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823"/>
        <w:gridCol w:w="242"/>
        <w:gridCol w:w="4790"/>
      </w:tblGrid>
      <w:tr>
        <w:trPr/>
        <w:tc>
          <w:tcPr>
            <w:tcW w:w="2447" w:type="pct"/>
            <w:vAlign w:val="center"/>
            <w:textDirection w:val="lrTb"/>
            <w:noWrap w:val="false"/>
          </w:tcPr>
          <w:p>
            <w:pPr>
              <w:pStyle w:val="1010"/>
            </w:pPr>
            <w:r/>
            <w:r/>
          </w:p>
        </w:tc>
        <w:tc>
          <w:tcPr>
            <w:tcW w:w="123" w:type="pct"/>
            <w:vAlign w:val="center"/>
            <w:textDirection w:val="lrTb"/>
            <w:noWrap w:val="false"/>
          </w:tcPr>
          <w:p>
            <w:pPr>
              <w:pStyle w:val="1010"/>
            </w:pPr>
            <w:r/>
            <w:r/>
          </w:p>
        </w:tc>
        <w:tc>
          <w:tcPr>
            <w:tcW w:w="2430" w:type="pct"/>
            <w:vAlign w:val="center"/>
            <w:textDirection w:val="lrTb"/>
            <w:noWrap w:val="false"/>
          </w:tcPr>
          <w:p>
            <w:pPr>
              <w:pStyle w:val="1010"/>
            </w:pPr>
            <w:r>
              <w:t xml:space="preserve">УТВЕРЖДАЮ</w:t>
            </w:r>
            <w:r/>
          </w:p>
        </w:tc>
      </w:tr>
      <w:tr>
        <w:trPr/>
        <w:tc>
          <w:tcPr>
            <w:tcW w:w="2447" w:type="pct"/>
            <w:vAlign w:val="center"/>
            <w:textDirection w:val="lrTb"/>
            <w:noWrap w:val="false"/>
          </w:tcPr>
          <w:p>
            <w:pPr>
              <w:pStyle w:val="1010"/>
            </w:pPr>
            <w:r/>
            <w:r/>
          </w:p>
        </w:tc>
        <w:tc>
          <w:tcPr>
            <w:tcW w:w="123" w:type="pct"/>
            <w:vAlign w:val="center"/>
            <w:textDirection w:val="lrTb"/>
            <w:noWrap w:val="false"/>
          </w:tcPr>
          <w:p>
            <w:pPr>
              <w:pStyle w:val="1010"/>
            </w:pPr>
            <w:r/>
            <w:r/>
          </w:p>
        </w:tc>
        <w:tc>
          <w:tcPr>
            <w:tcW w:w="2430" w:type="pct"/>
            <w:vAlign w:val="center"/>
            <w:textDirection w:val="lrTb"/>
            <w:noWrap w:val="false"/>
          </w:tcPr>
          <w:p>
            <w:pPr>
              <w:pStyle w:val="1010"/>
            </w:pPr>
            <w:r/>
            <w:r/>
          </w:p>
        </w:tc>
      </w:tr>
      <w:tr>
        <w:trPr>
          <w:trHeight w:val="2447"/>
        </w:trPr>
        <w:tc>
          <w:tcPr>
            <w:tcW w:w="2447" w:type="pct"/>
            <w:textDirection w:val="lrTb"/>
            <w:noWrap w:val="false"/>
          </w:tcPr>
          <w:p>
            <w:pPr>
              <w:pStyle w:val="1010"/>
            </w:pPr>
            <w:r/>
            <w:bookmarkStart w:id="0" w:name="_GoBack"/>
            <w:r/>
            <w:bookmarkEnd w:id="0"/>
            <w:r/>
            <w:r/>
          </w:p>
        </w:tc>
        <w:tc>
          <w:tcPr>
            <w:tcW w:w="123" w:type="pct"/>
            <w:vAlign w:val="center"/>
            <w:textDirection w:val="lrTb"/>
            <w:noWrap w:val="false"/>
          </w:tcPr>
          <w:p>
            <w:pPr>
              <w:pStyle w:val="1010"/>
            </w:pPr>
            <w:r/>
            <w:r/>
          </w:p>
        </w:tc>
        <w:tc>
          <w:tcPr>
            <w:tcW w:w="2430" w:type="pct"/>
            <w:textDirection w:val="lrTb"/>
            <w:noWrap w:val="false"/>
          </w:tcPr>
          <w:p>
            <w:pPr>
              <w:pStyle w:val="1010"/>
            </w:pPr>
            <w:r>
              <w:t xml:space="preserve">От Федерального казначейства</w:t>
            </w:r>
            <w:r/>
          </w:p>
          <w:p>
            <w:pPr>
              <w:pStyle w:val="1010"/>
            </w:pPr>
            <w:r/>
            <w:r/>
          </w:p>
          <w:p>
            <w:pPr>
              <w:pStyle w:val="1010"/>
            </w:pPr>
            <w:r/>
            <w:r/>
          </w:p>
          <w:p>
            <w:pPr>
              <w:pStyle w:val="1010"/>
            </w:pPr>
            <w:r/>
            <w:r/>
          </w:p>
          <w:p>
            <w:pPr>
              <w:pStyle w:val="1010"/>
            </w:pPr>
            <w:r>
              <w:t xml:space="preserve">______________ /                             /</w:t>
            </w:r>
            <w:r/>
          </w:p>
          <w:p>
            <w:pPr>
              <w:pStyle w:val="1010"/>
            </w:pPr>
            <w:r/>
            <w:r/>
          </w:p>
          <w:p>
            <w:pPr>
              <w:pStyle w:val="1010"/>
            </w:pPr>
            <w:r>
              <w:t xml:space="preserve">«___» _____</w:t>
            </w:r>
            <w:r>
              <w:rPr>
                <w:lang w:val="en-US"/>
              </w:rPr>
              <w:t xml:space="preserve">____</w:t>
            </w:r>
            <w:r>
              <w:t xml:space="preserve">_______ 20__ г</w:t>
            </w:r>
            <w:r>
              <w:t xml:space="preserve">.</w:t>
            </w:r>
            <w:r/>
          </w:p>
        </w:tc>
      </w:tr>
      <w:tr>
        <w:trPr>
          <w:trHeight w:val="388"/>
        </w:trPr>
        <w:tc>
          <w:tcPr>
            <w:tcW w:w="2447" w:type="pct"/>
            <w:textDirection w:val="lrTb"/>
            <w:noWrap w:val="false"/>
          </w:tcPr>
          <w:p>
            <w:pPr>
              <w:pStyle w:val="1010"/>
            </w:pPr>
            <w:r/>
            <w:r/>
          </w:p>
        </w:tc>
        <w:tc>
          <w:tcPr>
            <w:tcW w:w="123" w:type="pct"/>
            <w:vAlign w:val="center"/>
            <w:textDirection w:val="lrTb"/>
            <w:noWrap w:val="false"/>
          </w:tcPr>
          <w:p>
            <w:pPr>
              <w:pStyle w:val="1010"/>
            </w:pPr>
            <w:r/>
            <w:r/>
          </w:p>
        </w:tc>
        <w:tc>
          <w:tcPr>
            <w:tcW w:w="2430" w:type="pct"/>
            <w:textDirection w:val="lrTb"/>
            <w:noWrap w:val="false"/>
          </w:tcPr>
          <w:p>
            <w:pPr>
              <w:pStyle w:val="1010"/>
            </w:pPr>
            <w:r/>
            <w:r/>
          </w:p>
        </w:tc>
      </w:tr>
      <w:tr>
        <w:trPr>
          <w:trHeight w:val="1238"/>
        </w:trPr>
        <w:tc>
          <w:tcPr>
            <w:gridSpan w:val="3"/>
            <w:shd w:val="clear" w:fill="auto" w:color="auto"/>
            <w:tcW w:w="5000" w:type="pct"/>
            <w:vAlign w:val="center"/>
            <w:textDirection w:val="lrTb"/>
            <w:noWrap w:val="false"/>
          </w:tcPr>
          <w:p>
            <w:pPr>
              <w:pStyle w:val="1012"/>
            </w:pPr>
            <w:r>
              <w:t xml:space="preserve">Автоматизированная система Федерального казначейства</w:t>
            </w:r>
            <w:r/>
          </w:p>
        </w:tc>
      </w:tr>
      <w:tr>
        <w:trPr>
          <w:trHeight w:val="1734"/>
        </w:trPr>
        <w:tc>
          <w:tcPr>
            <w:gridSpan w:val="3"/>
            <w:tcW w:w="5000" w:type="pct"/>
            <w:vAlign w:val="center"/>
            <w:textDirection w:val="lrTb"/>
            <w:noWrap w:val="false"/>
          </w:tcPr>
          <w:p>
            <w:pPr>
              <w:pStyle w:val="1013"/>
            </w:pPr>
            <w:r>
              <w:t xml:space="preserve">Обучающие материалы</w:t>
            </w:r>
            <w:r>
              <w:t xml:space="preserve"> «</w:t>
            </w:r>
            <w:r>
              <w:t xml:space="preserve">Руководство по работе с «АРМ ФО»</w:t>
            </w:r>
            <w:r/>
          </w:p>
        </w:tc>
      </w:tr>
      <w:tr>
        <w:trPr>
          <w:trHeight w:val="657"/>
        </w:trPr>
        <w:tc>
          <w:tcPr>
            <w:gridSpan w:val="3"/>
            <w:tcW w:w="5000" w:type="pct"/>
            <w:vAlign w:val="center"/>
            <w:textDirection w:val="lrTb"/>
            <w:noWrap w:val="false"/>
          </w:tcPr>
          <w:p>
            <w:pPr>
              <w:pStyle w:val="1160"/>
            </w:pPr>
            <w:r/>
            <w:r/>
          </w:p>
        </w:tc>
      </w:tr>
      <w:tr>
        <w:trPr>
          <w:trHeight w:val="647"/>
        </w:trPr>
        <w:tc>
          <w:tcPr>
            <w:gridSpan w:val="3"/>
            <w:tcW w:w="5000" w:type="pct"/>
            <w:vAlign w:val="center"/>
            <w:textDirection w:val="lrTb"/>
            <w:noWrap w:val="false"/>
          </w:tcPr>
          <w:p>
            <w:pPr>
              <w:pStyle w:val="1012"/>
            </w:pPr>
            <w:r>
              <w:t xml:space="preserve">Лист утверждения</w:t>
            </w:r>
            <w:r/>
          </w:p>
        </w:tc>
      </w:tr>
      <w:tr>
        <w:trPr/>
        <w:tc>
          <w:tcPr>
            <w:gridSpan w:val="3"/>
            <w:tcW w:w="5000" w:type="pct"/>
            <w:vAlign w:val="center"/>
            <w:textDirection w:val="lrTb"/>
            <w:noWrap w:val="false"/>
          </w:tcPr>
          <w:p>
            <w:pPr>
              <w:pStyle w:val="1010"/>
            </w:pPr>
            <w:r/>
            <w:r/>
          </w:p>
        </w:tc>
      </w:tr>
      <w:tr>
        <w:trPr/>
        <w:tc>
          <w:tcPr>
            <w:gridSpan w:val="3"/>
            <w:tcW w:w="5000" w:type="pct"/>
            <w:vAlign w:val="center"/>
            <w:textDirection w:val="lrTb"/>
            <w:noWrap w:val="false"/>
          </w:tcPr>
          <w:p>
            <w:pPr>
              <w:pStyle w:val="1010"/>
            </w:pPr>
            <w:r>
              <w:t xml:space="preserve">Код документа: </w:t>
            </w:r>
            <w:r>
              <w:fldChar w:fldCharType="begin"/>
            </w:r>
            <w:r>
              <w:instrText xml:space="preserve"> DOCPROPERTY  DocCode  \* MERGEFORMAT </w:instrText>
            </w:r>
            <w:r>
              <w:fldChar w:fldCharType="separate"/>
            </w:r>
            <w:r>
              <w:t xml:space="preserve">54819512.09.01,01.ОМ.003-20.00 2(5)</w:t>
            </w:r>
            <w:r>
              <w:fldChar w:fldCharType="end"/>
            </w:r>
            <w:r>
              <w:t xml:space="preserve">-ЛУ</w:t>
            </w:r>
            <w:r/>
          </w:p>
        </w:tc>
      </w:tr>
      <w:tr>
        <w:trPr/>
        <w:tc>
          <w:tcPr>
            <w:gridSpan w:val="3"/>
            <w:tcW w:w="5000" w:type="pct"/>
            <w:vAlign w:val="center"/>
            <w:textDirection w:val="lrTb"/>
            <w:noWrap w:val="false"/>
          </w:tcPr>
          <w:p>
            <w:pPr>
              <w:pStyle w:val="1010"/>
            </w:pPr>
            <w:r/>
            <w:r/>
          </w:p>
        </w:tc>
      </w:tr>
      <w:tr>
        <w:trPr/>
        <w:tc>
          <w:tcPr>
            <w:gridSpan w:val="3"/>
            <w:tcW w:w="5000" w:type="pct"/>
            <w:vAlign w:val="center"/>
            <w:textDirection w:val="lrTb"/>
            <w:noWrap w:val="false"/>
          </w:tcPr>
          <w:p>
            <w:pPr>
              <w:pStyle w:val="1010"/>
            </w:pPr>
            <w:r/>
            <w:r/>
          </w:p>
        </w:tc>
      </w:tr>
      <w:tr>
        <w:trPr>
          <w:trHeight w:val="1613"/>
        </w:trPr>
        <w:tc>
          <w:tcPr>
            <w:tcW w:w="2447" w:type="pct"/>
            <w:vAlign w:val="center"/>
            <w:textDirection w:val="lrTb"/>
            <w:noWrap w:val="false"/>
          </w:tcPr>
          <w:p>
            <w:pPr>
              <w:pStyle w:val="1010"/>
            </w:pPr>
            <w:r/>
            <w:r/>
          </w:p>
        </w:tc>
        <w:tc>
          <w:tcPr>
            <w:tcW w:w="123" w:type="pct"/>
            <w:vAlign w:val="center"/>
            <w:textDirection w:val="lrTb"/>
            <w:noWrap w:val="false"/>
          </w:tcPr>
          <w:p>
            <w:pPr>
              <w:pStyle w:val="1010"/>
            </w:pPr>
            <w:r/>
            <w:r/>
          </w:p>
        </w:tc>
        <w:tc>
          <w:tcPr>
            <w:tcW w:w="2430" w:type="pct"/>
            <w:vAlign w:val="center"/>
            <w:textDirection w:val="lrTb"/>
            <w:noWrap w:val="false"/>
          </w:tcPr>
          <w:p>
            <w:pPr>
              <w:pStyle w:val="1010"/>
            </w:pPr>
            <w:r/>
            <w:r/>
          </w:p>
        </w:tc>
      </w:tr>
      <w:tr>
        <w:trPr/>
        <w:tc>
          <w:tcPr>
            <w:tcW w:w="2447" w:type="pct"/>
            <w:vAlign w:val="center"/>
            <w:textDirection w:val="lrTb"/>
            <w:noWrap w:val="false"/>
          </w:tcPr>
          <w:p>
            <w:pPr>
              <w:pStyle w:val="1010"/>
            </w:pPr>
            <w:r>
              <w:t xml:space="preserve">СОГЛАСОВАНО</w:t>
            </w:r>
            <w:r/>
          </w:p>
        </w:tc>
        <w:tc>
          <w:tcPr>
            <w:tcW w:w="123" w:type="pct"/>
            <w:vAlign w:val="center"/>
            <w:textDirection w:val="lrTb"/>
            <w:noWrap w:val="false"/>
          </w:tcPr>
          <w:p>
            <w:pPr>
              <w:pStyle w:val="1010"/>
            </w:pPr>
            <w:r/>
            <w:r/>
          </w:p>
        </w:tc>
        <w:tc>
          <w:tcPr>
            <w:tcW w:w="2430" w:type="pct"/>
            <w:vAlign w:val="center"/>
            <w:textDirection w:val="lrTb"/>
            <w:noWrap w:val="false"/>
          </w:tcPr>
          <w:p>
            <w:pPr>
              <w:pStyle w:val="1010"/>
            </w:pPr>
            <w:r>
              <w:t xml:space="preserve">СОГЛАСОВАНО</w:t>
            </w:r>
            <w:r/>
          </w:p>
        </w:tc>
      </w:tr>
      <w:tr>
        <w:trPr>
          <w:trHeight w:val="285"/>
        </w:trPr>
        <w:tc>
          <w:tcPr>
            <w:tcW w:w="2447" w:type="pct"/>
            <w:textDirection w:val="lrTb"/>
            <w:noWrap w:val="false"/>
          </w:tcPr>
          <w:p>
            <w:pPr>
              <w:pStyle w:val="1010"/>
            </w:pPr>
            <w:r>
              <w:t xml:space="preserve">От Федерального казначейства</w:t>
            </w:r>
            <w:r/>
          </w:p>
          <w:p>
            <w:pPr>
              <w:pStyle w:val="1010"/>
            </w:pPr>
            <w:r/>
            <w:r/>
          </w:p>
        </w:tc>
        <w:tc>
          <w:tcPr>
            <w:tcW w:w="123" w:type="pct"/>
            <w:textDirection w:val="lrTb"/>
            <w:noWrap w:val="false"/>
          </w:tcPr>
          <w:p>
            <w:pPr>
              <w:pStyle w:val="1010"/>
            </w:pPr>
            <w:r/>
            <w:r/>
          </w:p>
        </w:tc>
        <w:tc>
          <w:tcPr>
            <w:tcW w:w="2430" w:type="pct"/>
            <w:textDirection w:val="lrTb"/>
            <w:noWrap w:val="false"/>
          </w:tcPr>
          <w:p>
            <w:pPr>
              <w:pStyle w:val="1010"/>
            </w:pPr>
            <w:r>
              <w:t xml:space="preserve">От OOO «ОТР</w:t>
            </w:r>
            <w:r>
              <w:t xml:space="preserve"> </w:t>
            </w:r>
            <w:r>
              <w:t xml:space="preserve">2000»</w:t>
            </w:r>
            <w:r/>
          </w:p>
        </w:tc>
      </w:tr>
      <w:tr>
        <w:trPr>
          <w:trHeight w:val="2335"/>
        </w:trPr>
        <w:tc>
          <w:tcPr>
            <w:tcW w:w="2447" w:type="pct"/>
            <w:textDirection w:val="lrTb"/>
            <w:noWrap w:val="false"/>
          </w:tcPr>
          <w:p>
            <w:pPr>
              <w:pStyle w:val="1010"/>
            </w:pPr>
            <w:r/>
            <w:r/>
          </w:p>
          <w:p>
            <w:pPr>
              <w:pStyle w:val="1010"/>
            </w:pPr>
            <w:r/>
            <w:r/>
          </w:p>
          <w:p>
            <w:pPr>
              <w:pStyle w:val="1010"/>
            </w:pPr>
            <w:r/>
            <w:r/>
          </w:p>
          <w:p>
            <w:pPr>
              <w:pStyle w:val="1010"/>
            </w:pPr>
            <w:r>
              <w:t xml:space="preserve">______________ /                             /</w:t>
            </w:r>
            <w:r/>
          </w:p>
          <w:p>
            <w:pPr>
              <w:pStyle w:val="1010"/>
            </w:pPr>
            <w:r/>
            <w:r/>
          </w:p>
          <w:p>
            <w:pPr>
              <w:pStyle w:val="1010"/>
            </w:pPr>
            <w:r>
              <w:t xml:space="preserve">«___» _____</w:t>
            </w:r>
            <w:r>
              <w:rPr>
                <w:lang w:val="en-US"/>
              </w:rPr>
              <w:t xml:space="preserve">____</w:t>
            </w:r>
            <w:r>
              <w:t xml:space="preserve">_______ 20__ г</w:t>
            </w:r>
            <w:r>
              <w:t xml:space="preserve">.</w:t>
            </w:r>
            <w:r/>
          </w:p>
        </w:tc>
        <w:tc>
          <w:tcPr>
            <w:tcW w:w="123" w:type="pct"/>
            <w:vAlign w:val="center"/>
            <w:textDirection w:val="lrTb"/>
            <w:noWrap w:val="false"/>
          </w:tcPr>
          <w:p>
            <w:pPr>
              <w:pStyle w:val="1010"/>
            </w:pPr>
            <w:r/>
            <w:r/>
          </w:p>
        </w:tc>
        <w:tc>
          <w:tcPr>
            <w:tcW w:w="2430" w:type="pct"/>
            <w:textDirection w:val="lrTb"/>
            <w:noWrap w:val="false"/>
          </w:tcPr>
          <w:p>
            <w:pPr>
              <w:pStyle w:val="1010"/>
            </w:pPr>
            <w:r>
              <w:t xml:space="preserve">Генеральный директор</w:t>
            </w:r>
            <w:r/>
          </w:p>
          <w:p>
            <w:pPr>
              <w:pStyle w:val="1010"/>
            </w:pPr>
            <w:r/>
            <w:r/>
          </w:p>
          <w:p>
            <w:pPr>
              <w:pStyle w:val="1010"/>
            </w:pPr>
            <w:r/>
            <w:r/>
          </w:p>
          <w:p>
            <w:pPr>
              <w:pStyle w:val="1010"/>
            </w:pPr>
            <w:r>
              <w:t xml:space="preserve">______________ /С. Ю. Манохин/</w:t>
            </w:r>
            <w:r/>
          </w:p>
          <w:p>
            <w:pPr>
              <w:pStyle w:val="1010"/>
            </w:pPr>
            <w:r/>
            <w:r/>
          </w:p>
          <w:p>
            <w:pPr>
              <w:pStyle w:val="1010"/>
            </w:pPr>
            <w:r>
              <w:t xml:space="preserve">«___» ____________ 20___ г.</w:t>
            </w:r>
            <w:r/>
          </w:p>
        </w:tc>
      </w:tr>
    </w:tbl>
    <w:p>
      <w:pPr>
        <w:pStyle w:val="1010"/>
        <w:jc w:val="left"/>
      </w:pPr>
      <w:r/>
      <w:r/>
    </w:p>
    <w:tbl>
      <w:tblPr>
        <w:tblW w:w="4996" w:type="pct"/>
        <w:tblLook w:val="0000" w:firstRow="0" w:lastRow="0" w:firstColumn="0" w:lastColumn="0" w:noHBand="0" w:noVBand="0"/>
      </w:tblPr>
      <w:tblGrid>
        <w:gridCol w:w="5520"/>
        <w:gridCol w:w="4085"/>
        <w:gridCol w:w="242"/>
      </w:tblGrid>
      <w:tr>
        <w:trPr>
          <w:trHeight w:val="386"/>
        </w:trPr>
        <w:tc>
          <w:tcPr>
            <w:gridSpan w:val="2"/>
            <w:tcW w:w="4877" w:type="pct"/>
            <w:textDirection w:val="lrTb"/>
            <w:noWrap w:val="false"/>
          </w:tcPr>
          <w:p>
            <w:pPr>
              <w:pStyle w:val="1010"/>
              <w:jc w:val="left"/>
            </w:pPr>
            <w:r>
              <w:t xml:space="preserve">УТВЕРЖДЕН</w:t>
            </w:r>
            <w:r/>
          </w:p>
        </w:tc>
        <w:tc>
          <w:tcPr>
            <w:tcW w:w="123" w:type="pct"/>
            <w:textDirection w:val="lrTb"/>
            <w:noWrap w:val="false"/>
          </w:tcPr>
          <w:p>
            <w:pPr>
              <w:pStyle w:val="1010"/>
            </w:pPr>
            <w:r/>
            <w:r/>
          </w:p>
        </w:tc>
      </w:tr>
      <w:tr>
        <w:trPr>
          <w:trHeight w:val="2712"/>
        </w:trPr>
        <w:tc>
          <w:tcPr>
            <w:gridSpan w:val="2"/>
            <w:tcW w:w="4877" w:type="pct"/>
            <w:textDirection w:val="lrTb"/>
            <w:noWrap w:val="false"/>
          </w:tcPr>
          <w:p>
            <w:pPr>
              <w:pStyle w:val="1010"/>
              <w:jc w:val="left"/>
            </w:pPr>
            <w:r>
              <w:fldChar w:fldCharType="begin"/>
            </w:r>
            <w:r>
              <w:instrText xml:space="preserve"> DOCPROPERTY  DocCode  \* MERGEFORMAT </w:instrText>
            </w:r>
            <w:r>
              <w:fldChar w:fldCharType="separate"/>
            </w:r>
            <w:r>
              <w:t xml:space="preserve">54819512.09.01,01.ОМ.003-20.00 2(5)</w:t>
            </w:r>
            <w:r>
              <w:fldChar w:fldCharType="end"/>
            </w:r>
            <w:r>
              <w:t xml:space="preserve">-ЛУ</w:t>
            </w:r>
            <w:r/>
          </w:p>
        </w:tc>
        <w:tc>
          <w:tcPr>
            <w:tcW w:w="123" w:type="pct"/>
            <w:textDirection w:val="lrTb"/>
            <w:noWrap w:val="false"/>
          </w:tcPr>
          <w:p>
            <w:pPr>
              <w:pStyle w:val="1010"/>
            </w:pPr>
            <w:r/>
            <w:r/>
          </w:p>
        </w:tc>
      </w:tr>
      <w:tr>
        <w:trPr>
          <w:trHeight w:val="402"/>
        </w:trPr>
        <w:tc>
          <w:tcPr>
            <w:gridSpan w:val="3"/>
            <w:tcW w:w="4999" w:type="pct"/>
            <w:textDirection w:val="lrTb"/>
            <w:noWrap w:val="false"/>
          </w:tcPr>
          <w:p>
            <w:pPr>
              <w:pStyle w:val="1010"/>
            </w:pPr>
            <w:r/>
            <w:r/>
          </w:p>
        </w:tc>
      </w:tr>
      <w:tr>
        <w:trPr>
          <w:trHeight w:val="1252"/>
        </w:trPr>
        <w:tc>
          <w:tcPr>
            <w:gridSpan w:val="3"/>
            <w:tcW w:w="4999" w:type="pct"/>
            <w:vAlign w:val="center"/>
            <w:textDirection w:val="lrTb"/>
            <w:noWrap w:val="false"/>
          </w:tcPr>
          <w:p>
            <w:pPr>
              <w:pStyle w:val="1012"/>
            </w:pPr>
            <w:r>
              <w:t xml:space="preserve">Автоматизированная система Федерального казначейства</w:t>
            </w:r>
            <w:r/>
          </w:p>
        </w:tc>
      </w:tr>
      <w:tr>
        <w:trPr>
          <w:trHeight w:val="1851"/>
        </w:trPr>
        <w:tc>
          <w:tcPr>
            <w:gridSpan w:val="3"/>
            <w:tcW w:w="4999" w:type="pct"/>
            <w:vAlign w:val="center"/>
            <w:textDirection w:val="lrTb"/>
            <w:noWrap w:val="false"/>
          </w:tcPr>
          <w:p>
            <w:pPr>
              <w:pStyle w:val="1013"/>
            </w:pPr>
            <w:r>
              <w:t xml:space="preserve">Обучающие материалы</w:t>
            </w:r>
            <w:r>
              <w:t xml:space="preserve"> «</w:t>
            </w:r>
            <w:r>
              <w:t xml:space="preserve">Руководство по работе с «АРМ ФО»</w:t>
            </w:r>
            <w:r/>
          </w:p>
        </w:tc>
      </w:tr>
      <w:tr>
        <w:trPr/>
        <w:tc>
          <w:tcPr>
            <w:gridSpan w:val="3"/>
            <w:tcW w:w="4999" w:type="pct"/>
            <w:vAlign w:val="center"/>
            <w:textDirection w:val="lrTb"/>
            <w:noWrap w:val="false"/>
          </w:tcPr>
          <w:p>
            <w:pPr>
              <w:pStyle w:val="1160"/>
            </w:pPr>
            <w:r/>
            <w:r/>
          </w:p>
        </w:tc>
      </w:tr>
      <w:tr>
        <w:trPr/>
        <w:tc>
          <w:tcPr>
            <w:gridSpan w:val="3"/>
            <w:tcW w:w="4999" w:type="pct"/>
            <w:vAlign w:val="center"/>
            <w:textDirection w:val="lrTb"/>
            <w:noWrap w:val="false"/>
          </w:tcPr>
          <w:p>
            <w:pPr>
              <w:pStyle w:val="1010"/>
            </w:pPr>
            <w:r/>
            <w:r/>
          </w:p>
        </w:tc>
      </w:tr>
      <w:tr>
        <w:trPr>
          <w:trHeight w:val="785"/>
        </w:trPr>
        <w:tc>
          <w:tcPr>
            <w:gridSpan w:val="3"/>
            <w:tcW w:w="4999" w:type="pct"/>
            <w:vAlign w:val="center"/>
            <w:textDirection w:val="lrTb"/>
            <w:noWrap w:val="false"/>
          </w:tcPr>
          <w:p>
            <w:pPr>
              <w:pStyle w:val="1010"/>
            </w:pPr>
            <w:r/>
            <w:r/>
          </w:p>
        </w:tc>
      </w:tr>
      <w:tr>
        <w:trPr>
          <w:trHeight w:val="271"/>
        </w:trPr>
        <w:tc>
          <w:tcPr>
            <w:gridSpan w:val="3"/>
            <w:tcW w:w="4999" w:type="pct"/>
            <w:vAlign w:val="center"/>
            <w:textDirection w:val="lrTb"/>
            <w:noWrap w:val="false"/>
          </w:tcPr>
          <w:p>
            <w:pPr>
              <w:pStyle w:val="1010"/>
            </w:pPr>
            <w:r>
              <w:t xml:space="preserve">Код документа: </w:t>
            </w:r>
            <w:bookmarkStart w:id="1" w:name="OLE_LINK67"/>
            <w:r>
              <w:fldChar w:fldCharType="begin"/>
            </w:r>
            <w:r>
              <w:instrText xml:space="preserve"> DOCPROPERTY  DocCode  \* MERGEFORMAT </w:instrText>
            </w:r>
            <w:r>
              <w:fldChar w:fldCharType="separate"/>
            </w:r>
            <w:r>
              <w:t xml:space="preserve">54819512.09.01,01.ОМ.003-20.00 2(5)</w:t>
            </w:r>
            <w:r>
              <w:fldChar w:fldCharType="end"/>
            </w:r>
            <w:bookmarkEnd w:id="1"/>
            <w:r/>
            <w:r/>
          </w:p>
        </w:tc>
      </w:tr>
      <w:tr>
        <w:trPr/>
        <w:tc>
          <w:tcPr>
            <w:gridSpan w:val="3"/>
            <w:tcW w:w="4999" w:type="pct"/>
            <w:vAlign w:val="center"/>
            <w:textDirection w:val="lrTb"/>
            <w:noWrap w:val="false"/>
          </w:tcPr>
          <w:p>
            <w:pPr>
              <w:pStyle w:val="1010"/>
            </w:pPr>
            <w:r/>
            <w:r/>
          </w:p>
        </w:tc>
      </w:tr>
      <w:tr>
        <w:trPr/>
        <w:tc>
          <w:tcPr>
            <w:gridSpan w:val="3"/>
            <w:tcW w:w="4999" w:type="pct"/>
            <w:vAlign w:val="center"/>
            <w:textDirection w:val="lrTb"/>
            <w:noWrap w:val="false"/>
          </w:tcPr>
          <w:p>
            <w:pPr>
              <w:pStyle w:val="1010"/>
            </w:pPr>
            <w:r>
              <w:t xml:space="preserve">Листов: </w:t>
            </w:r>
            <w:r>
              <w:fldChar w:fldCharType="begin"/>
            </w:r>
            <w:r>
              <w:instrText xml:space="preserve"> </w:instrText>
            </w:r>
            <w:r>
              <w:rPr>
                <w:lang w:val="en-US"/>
              </w:rPr>
              <w:instrText xml:space="preserve">= </w:instrText>
            </w:r>
            <w:r>
              <w:rPr>
                <w:lang w:val="en-US"/>
              </w:rPr>
              <w:fldChar w:fldCharType="begin"/>
            </w:r>
            <w:r>
              <w:rPr>
                <w:lang w:val="en-US"/>
              </w:rPr>
              <w:instrText xml:space="preserve"> </w:instrText>
            </w:r>
            <w:r>
              <w:rPr>
                <w:rFonts w:ascii="Verdana" w:hAnsi="Verdana"/>
                <w:color w:val="333333"/>
                <w:sz w:val="20"/>
                <w:shd w:val="clear" w:fill="F9F9F9" w:color="auto"/>
              </w:rPr>
              <w:instrText xml:space="preserve">NUMPAGES \* ARABIC \* MERGEFORMAT</w:instrText>
            </w:r>
            <w:r>
              <w:rPr>
                <w:lang w:val="en-US"/>
              </w:rPr>
              <w:instrText xml:space="preserve"> </w:instrText>
            </w:r>
            <w:r>
              <w:rPr>
                <w:lang w:val="en-US"/>
              </w:rPr>
              <w:fldChar w:fldCharType="separate"/>
            </w:r>
            <w:r>
              <w:rPr>
                <w:rFonts w:ascii="Verdana" w:hAnsi="Verdana"/>
                <w:color w:val="333333"/>
                <w:sz w:val="20"/>
                <w:shd w:val="clear" w:fill="F9F9F9" w:color="auto"/>
              </w:rPr>
              <w:instrText xml:space="preserve">650</w:instrText>
            </w:r>
            <w:r>
              <w:rPr>
                <w:lang w:val="en-US"/>
              </w:rPr>
              <w:fldChar w:fldCharType="end"/>
            </w:r>
            <w:r>
              <w:rPr>
                <w:lang w:val="en-US"/>
              </w:rPr>
              <w:instrText xml:space="preserve"> - 1 </w:instrText>
            </w:r>
            <w:r>
              <w:fldChar w:fldCharType="separate"/>
            </w:r>
            <w:r>
              <w:t xml:space="preserve">649</w:t>
            </w:r>
            <w:r>
              <w:fldChar w:fldCharType="end"/>
            </w:r>
            <w:r>
              <w:fldChar w:fldCharType="begin"/>
            </w:r>
            <w:r>
              <w:fldChar w:fldCharType="end"/>
            </w:r>
            <w:r/>
          </w:p>
        </w:tc>
      </w:tr>
      <w:tr>
        <w:trPr>
          <w:trHeight w:val="1613"/>
        </w:trPr>
        <w:tc>
          <w:tcPr>
            <w:gridSpan w:val="3"/>
            <w:tcW w:w="4999" w:type="pct"/>
            <w:vAlign w:val="center"/>
            <w:textDirection w:val="lrTb"/>
            <w:noWrap w:val="false"/>
          </w:tcPr>
          <w:p>
            <w:pPr>
              <w:pStyle w:val="1010"/>
            </w:pPr>
            <w:r/>
            <w:r/>
          </w:p>
        </w:tc>
      </w:tr>
      <w:tr>
        <w:trPr/>
        <w:tc>
          <w:tcPr>
            <w:tcW w:w="2803" w:type="pct"/>
            <w:textDirection w:val="lrTb"/>
            <w:noWrap w:val="false"/>
          </w:tcPr>
          <w:p>
            <w:pPr>
              <w:pStyle w:val="1010"/>
            </w:pPr>
            <w:r/>
            <w:r/>
          </w:p>
        </w:tc>
        <w:tc>
          <w:tcPr>
            <w:gridSpan w:val="2"/>
            <w:tcW w:w="2197" w:type="pct"/>
            <w:textDirection w:val="lrTb"/>
            <w:noWrap w:val="false"/>
          </w:tcPr>
          <w:p>
            <w:pPr>
              <w:pStyle w:val="1010"/>
            </w:pPr>
            <w:r/>
            <w:r/>
          </w:p>
        </w:tc>
      </w:tr>
      <w:tr>
        <w:trPr/>
        <w:tc>
          <w:tcPr>
            <w:tcW w:w="2803" w:type="pct"/>
            <w:textDirection w:val="lrTb"/>
            <w:noWrap w:val="false"/>
          </w:tcPr>
          <w:p>
            <w:pPr>
              <w:pStyle w:val="1010"/>
            </w:pPr>
            <w:r/>
            <w:r/>
          </w:p>
        </w:tc>
        <w:tc>
          <w:tcPr>
            <w:gridSpan w:val="2"/>
            <w:tcW w:w="2197" w:type="pct"/>
            <w:textDirection w:val="lrTb"/>
            <w:noWrap w:val="false"/>
          </w:tcPr>
          <w:p>
            <w:pPr>
              <w:pStyle w:val="1010"/>
            </w:pPr>
            <w:r/>
            <w:r/>
          </w:p>
        </w:tc>
      </w:tr>
      <w:tr>
        <w:trPr/>
        <w:tc>
          <w:tcPr>
            <w:tcW w:w="2803" w:type="pct"/>
            <w:textDirection w:val="lrTb"/>
            <w:noWrap w:val="false"/>
          </w:tcPr>
          <w:p>
            <w:pPr>
              <w:pStyle w:val="1010"/>
            </w:pPr>
            <w:r/>
            <w:r/>
          </w:p>
        </w:tc>
        <w:tc>
          <w:tcPr>
            <w:gridSpan w:val="2"/>
            <w:tcW w:w="2197" w:type="pct"/>
            <w:textDirection w:val="lrTb"/>
            <w:noWrap w:val="false"/>
          </w:tcPr>
          <w:p>
            <w:pPr>
              <w:pStyle w:val="1010"/>
            </w:pPr>
            <w:r/>
            <w:r/>
          </w:p>
        </w:tc>
      </w:tr>
      <w:tr>
        <w:trPr>
          <w:trHeight w:val="106"/>
        </w:trPr>
        <w:tc>
          <w:tcPr>
            <w:tcW w:w="2803" w:type="pct"/>
            <w:textDirection w:val="lrTb"/>
            <w:noWrap w:val="false"/>
          </w:tcPr>
          <w:p>
            <w:pPr>
              <w:pStyle w:val="1010"/>
            </w:pPr>
            <w:r/>
            <w:r/>
          </w:p>
        </w:tc>
        <w:tc>
          <w:tcPr>
            <w:gridSpan w:val="2"/>
            <w:tcW w:w="2197" w:type="pct"/>
            <w:textDirection w:val="lrTb"/>
            <w:noWrap w:val="false"/>
          </w:tcPr>
          <w:p>
            <w:pPr>
              <w:pStyle w:val="1010"/>
            </w:pPr>
            <w:r/>
            <w:r/>
          </w:p>
        </w:tc>
      </w:tr>
    </w:tbl>
    <w:p>
      <w:pPr>
        <w:pStyle w:val="994"/>
      </w:pPr>
      <w:r/>
      <w:r/>
    </w:p>
    <w:p>
      <w:pPr>
        <w:pStyle w:val="994"/>
        <w:sectPr>
          <w:headerReference w:type="default" r:id="rId9"/>
          <w:footerReference w:type="default" r:id="rId12"/>
          <w:footnotePr/>
          <w:endnotePr/>
          <w:type w:val="nextPage"/>
          <w:pgSz w:w="11907" w:h="16840" w:orient="portrait"/>
          <w:pgMar w:top="1134" w:right="567" w:bottom="851" w:left="1701" w:header="567" w:footer="567" w:gutter="0"/>
          <w:cols w:num="1" w:sep="0" w:space="708" w:equalWidth="1"/>
          <w:docGrid w:linePitch="360"/>
        </w:sectPr>
      </w:pPr>
      <w:r/>
      <w:r/>
    </w:p>
    <w:p>
      <w:pPr>
        <w:pStyle w:val="1165"/>
      </w:pPr>
      <w:r/>
      <w:bookmarkStart w:id="2" w:name="_Toc176584673"/>
      <w:r/>
      <w:bookmarkStart w:id="3" w:name="_Toc176584802"/>
      <w:r/>
      <w:bookmarkStart w:id="4" w:name="_Toc180297702"/>
      <w:r/>
      <w:bookmarkStart w:id="5" w:name="_Toc180308527"/>
      <w:r>
        <w:t xml:space="preserve">Аннотация</w:t>
      </w:r>
      <w:r/>
    </w:p>
    <w:p>
      <w:pPr>
        <w:pStyle w:val="994"/>
      </w:pPr>
      <w:r>
        <w:t xml:space="preserve">Документ</w:t>
      </w:r>
      <w:r>
        <w:t xml:space="preserve"> </w:t>
      </w:r>
      <w:r>
        <w:t xml:space="preserve">с</w:t>
      </w:r>
      <w:r>
        <w:t xml:space="preserve">оздан для прикладного программного обесп</w:t>
      </w:r>
      <w:r>
        <w:t xml:space="preserve">е</w:t>
      </w:r>
      <w:r>
        <w:t xml:space="preserve">чения </w:t>
      </w:r>
      <w:r>
        <w:t xml:space="preserve">«Система удаленного финансового документооборота» (</w:t>
      </w:r>
      <w:r>
        <w:t xml:space="preserve">ППО СУФД АСФК</w:t>
      </w:r>
      <w:r>
        <w:t xml:space="preserve">)</w:t>
      </w:r>
      <w:r>
        <w:t xml:space="preserve">,</w:t>
      </w:r>
      <w:r>
        <w:t xml:space="preserve"> </w:t>
      </w:r>
      <w:r>
        <w:t xml:space="preserve">обеспечивающе</w:t>
      </w:r>
      <w:r>
        <w:t xml:space="preserve">го</w:t>
      </w:r>
      <w:r>
        <w:t xml:space="preserve"> реализацию юридически знач</w:t>
      </w:r>
      <w:r>
        <w:t xml:space="preserve">и</w:t>
      </w:r>
      <w:r>
        <w:t xml:space="preserve">мого информационного обмена между по</w:t>
      </w:r>
      <w:r>
        <w:t xml:space="preserve">д</w:t>
      </w:r>
      <w:r>
        <w:t xml:space="preserve">системами автоматизированной системы Фед</w:t>
      </w:r>
      <w:r>
        <w:t xml:space="preserve">е</w:t>
      </w:r>
      <w:r>
        <w:t xml:space="preserve">рального казначейства</w:t>
      </w:r>
      <w:r>
        <w:t xml:space="preserve">. </w:t>
      </w:r>
      <w:r/>
    </w:p>
    <w:p>
      <w:pPr>
        <w:pStyle w:val="994"/>
      </w:pPr>
      <w:r>
        <w:t xml:space="preserve">Документ соответствует 7 версии ядра </w:t>
      </w:r>
      <w:r>
        <w:t xml:space="preserve">3</w:t>
      </w:r>
      <w:r>
        <w:t xml:space="preserve">2</w:t>
      </w:r>
      <w:r>
        <w:t xml:space="preserve">.</w:t>
      </w:r>
      <w:r>
        <w:t xml:space="preserve">8</w:t>
      </w:r>
      <w:r>
        <w:t xml:space="preserve">.</w:t>
      </w:r>
      <w:r>
        <w:t xml:space="preserve">0</w:t>
      </w:r>
      <w:r>
        <w:t xml:space="preserve"> версии программного обеспечения.</w:t>
      </w:r>
      <w:r/>
    </w:p>
    <w:p>
      <w:pPr>
        <w:pStyle w:val="994"/>
      </w:pPr>
      <w:r>
        <w:t xml:space="preserve">Документ относится к следующей подсистеме (компоненту, модулю</w:t>
      </w:r>
      <w:r>
        <w:t xml:space="preserve">) Автоматизированной системы Федерального казначейства:</w:t>
      </w:r>
      <w:r/>
    </w:p>
    <w:p>
      <w:pPr>
        <w:pStyle w:val="1156"/>
      </w:pPr>
      <w:r>
        <w:t xml:space="preserve">01,01 – модуль «СУФД-Портал» подсистемы «СУФД».</w:t>
      </w:r>
      <w:r/>
    </w:p>
    <w:p>
      <w:pPr>
        <w:pStyle w:val="1000"/>
      </w:pPr>
      <w:r>
        <w:br w:type="page"/>
      </w:r>
      <w:r>
        <w:t xml:space="preserve">СОДЕРЖАНИЕ</w:t>
      </w:r>
      <w:r/>
    </w:p>
    <w:p>
      <w:pPr>
        <w:pStyle w:val="1021"/>
        <w:rPr>
          <w:rFonts w:ascii="Calibri" w:hAnsi="Calibri"/>
          <w:b w:val="false"/>
          <w:bCs w:val="false"/>
          <w:caps w:val="false"/>
          <w:sz w:val="22"/>
          <w:szCs w:val="22"/>
        </w:rPr>
      </w:pPr>
      <w:r/>
      <w:bookmarkStart w:id="6" w:name="_Toc182196480"/>
      <w:r>
        <w:rPr>
          <w:bCs w:val="false"/>
        </w:rPr>
        <w:fldChar w:fldCharType="begin"/>
      </w:r>
      <w:r>
        <w:rPr>
          <w:bCs w:val="false"/>
        </w:rPr>
        <w:instrText xml:space="preserve"> TOC \o "1-3" \h \z \u </w:instrText>
      </w:r>
      <w:r>
        <w:rPr>
          <w:bCs w:val="false"/>
        </w:rPr>
        <w:fldChar w:fldCharType="separate"/>
      </w:r>
      <w:hyperlink w:tooltip="#_Toc88819055" w:anchor="_Toc88819055" w:history="1">
        <w:r>
          <w:rPr>
            <w:rStyle w:val="1020"/>
          </w:rPr>
          <w:t xml:space="preserve">Перечень таблиц</w:t>
        </w:r>
        <w:r>
          <w:tab/>
        </w:r>
        <w:r>
          <w:fldChar w:fldCharType="begin"/>
        </w:r>
        <w:r>
          <w:instrText xml:space="preserve"> PAGEREF _Toc88819055 \h </w:instrText>
        </w:r>
        <w:r/>
        <w:r>
          <w:fldChar w:fldCharType="separate"/>
        </w:r>
        <w:r>
          <w:t xml:space="preserve">6</w:t>
        </w:r>
        <w:r>
          <w:fldChar w:fldCharType="end"/>
        </w:r>
      </w:hyperlink>
      <w:r/>
      <w:r/>
    </w:p>
    <w:p>
      <w:pPr>
        <w:pStyle w:val="1021"/>
        <w:rPr>
          <w:rFonts w:ascii="Calibri" w:hAnsi="Calibri"/>
          <w:b w:val="false"/>
          <w:bCs w:val="false"/>
          <w:caps w:val="false"/>
          <w:sz w:val="22"/>
          <w:szCs w:val="22"/>
        </w:rPr>
      </w:pPr>
      <w:r/>
      <w:hyperlink w:tooltip="#_Toc88819056" w:anchor="_Toc88819056" w:history="1">
        <w:r>
          <w:rPr>
            <w:rStyle w:val="1020"/>
          </w:rPr>
          <w:t xml:space="preserve">Перечень рисунков</w:t>
        </w:r>
        <w:r>
          <w:tab/>
        </w:r>
        <w:r>
          <w:fldChar w:fldCharType="begin"/>
        </w:r>
        <w:r>
          <w:instrText xml:space="preserve"> PAGEREF _Toc88819056 \h </w:instrText>
        </w:r>
        <w:r/>
        <w:r>
          <w:fldChar w:fldCharType="separate"/>
        </w:r>
        <w:r>
          <w:t xml:space="preserve">15</w:t>
        </w:r>
        <w:r>
          <w:fldChar w:fldCharType="end"/>
        </w:r>
      </w:hyperlink>
      <w:r/>
      <w:r/>
    </w:p>
    <w:p>
      <w:pPr>
        <w:pStyle w:val="1021"/>
        <w:rPr>
          <w:rFonts w:ascii="Calibri" w:hAnsi="Calibri"/>
          <w:b w:val="false"/>
          <w:bCs w:val="false"/>
          <w:caps w:val="false"/>
          <w:sz w:val="22"/>
          <w:szCs w:val="22"/>
        </w:rPr>
      </w:pPr>
      <w:r/>
      <w:hyperlink w:tooltip="#_Toc88819057" w:anchor="_Toc88819057" w:history="1">
        <w:r>
          <w:rPr>
            <w:rStyle w:val="1020"/>
          </w:rPr>
          <w:t xml:space="preserve">1.</w:t>
        </w:r>
        <w:r>
          <w:rPr>
            <w:rFonts w:ascii="Calibri" w:hAnsi="Calibri"/>
            <w:b w:val="false"/>
            <w:bCs w:val="false"/>
            <w:caps w:val="false"/>
            <w:sz w:val="22"/>
            <w:szCs w:val="22"/>
          </w:rPr>
          <w:tab/>
        </w:r>
        <w:r>
          <w:rPr>
            <w:rStyle w:val="1020"/>
          </w:rPr>
          <w:t xml:space="preserve">Введение</w:t>
        </w:r>
        <w:r>
          <w:tab/>
        </w:r>
        <w:r>
          <w:fldChar w:fldCharType="begin"/>
        </w:r>
        <w:r>
          <w:instrText xml:space="preserve"> PAGEREF _Toc88819057 \h </w:instrText>
        </w:r>
        <w:r/>
        <w:r>
          <w:fldChar w:fldCharType="separate"/>
        </w:r>
        <w:r>
          <w:t xml:space="preserve">27</w:t>
        </w:r>
        <w:r>
          <w:fldChar w:fldCharType="end"/>
        </w:r>
      </w:hyperlink>
      <w:r/>
      <w:r/>
    </w:p>
    <w:p>
      <w:pPr>
        <w:pStyle w:val="1022"/>
        <w:rPr>
          <w:rFonts w:ascii="Calibri" w:hAnsi="Calibri"/>
          <w:bCs w:val="false"/>
          <w:sz w:val="22"/>
          <w:szCs w:val="22"/>
        </w:rPr>
      </w:pPr>
      <w:r/>
      <w:hyperlink w:tooltip="#_Toc88819058" w:anchor="_Toc88819058" w:history="1">
        <w:r>
          <w:rPr>
            <w:rStyle w:val="1020"/>
          </w:rPr>
          <w:t xml:space="preserve">1.1.</w:t>
        </w:r>
        <w:r>
          <w:rPr>
            <w:rFonts w:ascii="Calibri" w:hAnsi="Calibri"/>
            <w:bCs w:val="false"/>
            <w:sz w:val="22"/>
            <w:szCs w:val="22"/>
          </w:rPr>
          <w:tab/>
        </w:r>
        <w:r>
          <w:rPr>
            <w:rStyle w:val="1020"/>
          </w:rPr>
          <w:t xml:space="preserve">Область применения</w:t>
        </w:r>
        <w:r>
          <w:tab/>
        </w:r>
        <w:r>
          <w:fldChar w:fldCharType="begin"/>
        </w:r>
        <w:r>
          <w:instrText xml:space="preserve"> PAGEREF _Toc88819058 \h </w:instrText>
        </w:r>
        <w:r/>
        <w:r>
          <w:fldChar w:fldCharType="separate"/>
        </w:r>
        <w:r>
          <w:t xml:space="preserve">27</w:t>
        </w:r>
        <w:r>
          <w:fldChar w:fldCharType="end"/>
        </w:r>
      </w:hyperlink>
      <w:r/>
      <w:r/>
    </w:p>
    <w:p>
      <w:pPr>
        <w:pStyle w:val="1022"/>
        <w:rPr>
          <w:rFonts w:ascii="Calibri" w:hAnsi="Calibri"/>
          <w:bCs w:val="false"/>
          <w:sz w:val="22"/>
          <w:szCs w:val="22"/>
        </w:rPr>
      </w:pPr>
      <w:r/>
      <w:hyperlink w:tooltip="#_Toc88819059" w:anchor="_Toc88819059" w:history="1">
        <w:r>
          <w:rPr>
            <w:rStyle w:val="1020"/>
          </w:rPr>
          <w:t xml:space="preserve">1.2.</w:t>
        </w:r>
        <w:r>
          <w:rPr>
            <w:rFonts w:ascii="Calibri" w:hAnsi="Calibri"/>
            <w:bCs w:val="false"/>
            <w:sz w:val="22"/>
            <w:szCs w:val="22"/>
          </w:rPr>
          <w:tab/>
        </w:r>
        <w:r>
          <w:rPr>
            <w:rStyle w:val="1020"/>
          </w:rPr>
          <w:t xml:space="preserve">Краткое описание возможностей</w:t>
        </w:r>
        <w:r>
          <w:tab/>
        </w:r>
        <w:r>
          <w:fldChar w:fldCharType="begin"/>
        </w:r>
        <w:r>
          <w:instrText xml:space="preserve"> PAGEREF _Toc88819059 \h </w:instrText>
        </w:r>
        <w:r/>
        <w:r>
          <w:fldChar w:fldCharType="separate"/>
        </w:r>
        <w:r>
          <w:t xml:space="preserve">27</w:t>
        </w:r>
        <w:r>
          <w:fldChar w:fldCharType="end"/>
        </w:r>
      </w:hyperlink>
      <w:r/>
      <w:r/>
    </w:p>
    <w:p>
      <w:pPr>
        <w:pStyle w:val="1022"/>
        <w:rPr>
          <w:rFonts w:ascii="Calibri" w:hAnsi="Calibri"/>
          <w:bCs w:val="false"/>
          <w:sz w:val="22"/>
          <w:szCs w:val="22"/>
        </w:rPr>
      </w:pPr>
      <w:r/>
      <w:hyperlink w:tooltip="#_Toc88819060" w:anchor="_Toc88819060" w:history="1">
        <w:r>
          <w:rPr>
            <w:rStyle w:val="1020"/>
          </w:rPr>
          <w:t xml:space="preserve">1.3.</w:t>
        </w:r>
        <w:r>
          <w:rPr>
            <w:rFonts w:ascii="Calibri" w:hAnsi="Calibri"/>
            <w:bCs w:val="false"/>
            <w:sz w:val="22"/>
            <w:szCs w:val="22"/>
          </w:rPr>
          <w:tab/>
        </w:r>
        <w:r>
          <w:rPr>
            <w:rStyle w:val="1020"/>
          </w:rPr>
          <w:t xml:space="preserve">Уровень подготовки пользователя</w:t>
        </w:r>
        <w:r>
          <w:tab/>
        </w:r>
        <w:r>
          <w:fldChar w:fldCharType="begin"/>
        </w:r>
        <w:r>
          <w:instrText xml:space="preserve"> PAGEREF _Toc88819060 \h </w:instrText>
        </w:r>
        <w:r/>
        <w:r>
          <w:fldChar w:fldCharType="separate"/>
        </w:r>
        <w:r>
          <w:t xml:space="preserve">27</w:t>
        </w:r>
        <w:r>
          <w:fldChar w:fldCharType="end"/>
        </w:r>
      </w:hyperlink>
      <w:r/>
      <w:r/>
    </w:p>
    <w:p>
      <w:pPr>
        <w:pStyle w:val="1022"/>
        <w:rPr>
          <w:rFonts w:ascii="Calibri" w:hAnsi="Calibri"/>
          <w:bCs w:val="false"/>
          <w:sz w:val="22"/>
          <w:szCs w:val="22"/>
        </w:rPr>
      </w:pPr>
      <w:r/>
      <w:hyperlink w:tooltip="#_Toc88819061" w:anchor="_Toc88819061" w:history="1">
        <w:r>
          <w:rPr>
            <w:rStyle w:val="1020"/>
          </w:rPr>
          <w:t xml:space="preserve">1.4.</w:t>
        </w:r>
        <w:r>
          <w:rPr>
            <w:rFonts w:ascii="Calibri" w:hAnsi="Calibri"/>
            <w:bCs w:val="false"/>
            <w:sz w:val="22"/>
            <w:szCs w:val="22"/>
          </w:rPr>
          <w:tab/>
        </w:r>
        <w:r>
          <w:rPr>
            <w:rStyle w:val="1020"/>
          </w:rPr>
          <w:t xml:space="preserve">Список принятых терминов и сокращений</w:t>
        </w:r>
        <w:r>
          <w:tab/>
        </w:r>
        <w:r>
          <w:fldChar w:fldCharType="begin"/>
        </w:r>
        <w:r>
          <w:instrText xml:space="preserve"> PAGEREF _Toc88819061 \h </w:instrText>
        </w:r>
        <w:r/>
        <w:r>
          <w:fldChar w:fldCharType="separate"/>
        </w:r>
        <w:r>
          <w:t xml:space="preserve">27</w:t>
        </w:r>
        <w:r>
          <w:fldChar w:fldCharType="end"/>
        </w:r>
      </w:hyperlink>
      <w:r/>
      <w:r/>
    </w:p>
    <w:p>
      <w:pPr>
        <w:pStyle w:val="1021"/>
        <w:rPr>
          <w:rFonts w:ascii="Calibri" w:hAnsi="Calibri"/>
          <w:b w:val="false"/>
          <w:bCs w:val="false"/>
          <w:caps w:val="false"/>
          <w:sz w:val="22"/>
          <w:szCs w:val="22"/>
        </w:rPr>
      </w:pPr>
      <w:r/>
      <w:hyperlink w:tooltip="#_Toc88819062" w:anchor="_Toc88819062" w:history="1">
        <w:r>
          <w:rPr>
            <w:rStyle w:val="1020"/>
          </w:rPr>
          <w:t xml:space="preserve">2.</w:t>
        </w:r>
        <w:r>
          <w:rPr>
            <w:rFonts w:ascii="Calibri" w:hAnsi="Calibri"/>
            <w:b w:val="false"/>
            <w:bCs w:val="false"/>
            <w:caps w:val="false"/>
            <w:sz w:val="22"/>
            <w:szCs w:val="22"/>
          </w:rPr>
          <w:tab/>
        </w:r>
        <w:r>
          <w:rPr>
            <w:rStyle w:val="1020"/>
          </w:rPr>
          <w:t xml:space="preserve">Назначение и условия применения</w:t>
        </w:r>
        <w:r>
          <w:tab/>
        </w:r>
        <w:r>
          <w:fldChar w:fldCharType="begin"/>
        </w:r>
        <w:r>
          <w:instrText xml:space="preserve"> PAGEREF _Toc88819062 \h </w:instrText>
        </w:r>
        <w:r/>
        <w:r>
          <w:fldChar w:fldCharType="separate"/>
        </w:r>
        <w:r>
          <w:t xml:space="preserve">42</w:t>
        </w:r>
        <w:r>
          <w:fldChar w:fldCharType="end"/>
        </w:r>
      </w:hyperlink>
      <w:r/>
      <w:r/>
    </w:p>
    <w:p>
      <w:pPr>
        <w:pStyle w:val="1022"/>
        <w:rPr>
          <w:rFonts w:ascii="Calibri" w:hAnsi="Calibri"/>
          <w:bCs w:val="false"/>
          <w:sz w:val="22"/>
          <w:szCs w:val="22"/>
        </w:rPr>
      </w:pPr>
      <w:r/>
      <w:hyperlink w:tooltip="#_Toc88819063" w:anchor="_Toc88819063" w:history="1">
        <w:r>
          <w:rPr>
            <w:rStyle w:val="1020"/>
          </w:rPr>
          <w:t xml:space="preserve">2.1.</w:t>
        </w:r>
        <w:r>
          <w:rPr>
            <w:rFonts w:ascii="Calibri" w:hAnsi="Calibri"/>
            <w:bCs w:val="false"/>
            <w:sz w:val="22"/>
            <w:szCs w:val="22"/>
          </w:rPr>
          <w:tab/>
        </w:r>
        <w:r>
          <w:rPr>
            <w:rStyle w:val="1020"/>
          </w:rPr>
          <w:t xml:space="preserve">Виды деятельности, функции</w:t>
        </w:r>
        <w:r>
          <w:tab/>
        </w:r>
        <w:r>
          <w:fldChar w:fldCharType="begin"/>
        </w:r>
        <w:r>
          <w:instrText xml:space="preserve"> PAGEREF _Toc88819063 \h </w:instrText>
        </w:r>
        <w:r/>
        <w:r>
          <w:fldChar w:fldCharType="separate"/>
        </w:r>
        <w:r>
          <w:t xml:space="preserve">42</w:t>
        </w:r>
        <w:r>
          <w:fldChar w:fldCharType="end"/>
        </w:r>
      </w:hyperlink>
      <w:r/>
      <w:r/>
    </w:p>
    <w:p>
      <w:pPr>
        <w:pStyle w:val="1022"/>
        <w:rPr>
          <w:rFonts w:ascii="Calibri" w:hAnsi="Calibri"/>
          <w:bCs w:val="false"/>
          <w:sz w:val="22"/>
          <w:szCs w:val="22"/>
        </w:rPr>
      </w:pPr>
      <w:r/>
      <w:hyperlink w:tooltip="#_Toc88819064" w:anchor="_Toc88819064" w:history="1">
        <w:r>
          <w:rPr>
            <w:rStyle w:val="1020"/>
          </w:rPr>
          <w:t xml:space="preserve">2.2.</w:t>
        </w:r>
        <w:r>
          <w:rPr>
            <w:rFonts w:ascii="Calibri" w:hAnsi="Calibri"/>
            <w:bCs w:val="false"/>
            <w:sz w:val="22"/>
            <w:szCs w:val="22"/>
          </w:rPr>
          <w:tab/>
        </w:r>
        <w:r>
          <w:rPr>
            <w:rStyle w:val="1020"/>
          </w:rPr>
          <w:t xml:space="preserve">Программные и аппаратные требования к системе</w:t>
        </w:r>
        <w:r>
          <w:tab/>
        </w:r>
        <w:r>
          <w:fldChar w:fldCharType="begin"/>
        </w:r>
        <w:r>
          <w:instrText xml:space="preserve"> PAGEREF _Toc88819064 \h </w:instrText>
        </w:r>
        <w:r/>
        <w:r>
          <w:fldChar w:fldCharType="separate"/>
        </w:r>
        <w:r>
          <w:t xml:space="preserve">42</w:t>
        </w:r>
        <w:r>
          <w:fldChar w:fldCharType="end"/>
        </w:r>
      </w:hyperlink>
      <w:r/>
      <w:r/>
    </w:p>
    <w:p>
      <w:pPr>
        <w:pStyle w:val="1021"/>
        <w:rPr>
          <w:rFonts w:ascii="Calibri" w:hAnsi="Calibri"/>
          <w:b w:val="false"/>
          <w:bCs w:val="false"/>
          <w:caps w:val="false"/>
          <w:sz w:val="22"/>
          <w:szCs w:val="22"/>
        </w:rPr>
      </w:pPr>
      <w:r/>
      <w:hyperlink w:tooltip="#_Toc88819065" w:anchor="_Toc88819065" w:history="1">
        <w:r>
          <w:rPr>
            <w:rStyle w:val="1020"/>
          </w:rPr>
          <w:t xml:space="preserve">3.</w:t>
        </w:r>
        <w:r>
          <w:rPr>
            <w:rFonts w:ascii="Calibri" w:hAnsi="Calibri"/>
            <w:b w:val="false"/>
            <w:bCs w:val="false"/>
            <w:caps w:val="false"/>
            <w:sz w:val="22"/>
            <w:szCs w:val="22"/>
          </w:rPr>
          <w:tab/>
        </w:r>
        <w:r>
          <w:rPr>
            <w:rStyle w:val="1020"/>
          </w:rPr>
          <w:t xml:space="preserve">Подготовка к работе</w:t>
        </w:r>
        <w:r>
          <w:tab/>
        </w:r>
        <w:r>
          <w:fldChar w:fldCharType="begin"/>
        </w:r>
        <w:r>
          <w:instrText xml:space="preserve"> PAGEREF _Toc88819065 \h </w:instrText>
        </w:r>
        <w:r/>
        <w:r>
          <w:fldChar w:fldCharType="separate"/>
        </w:r>
        <w:r>
          <w:t xml:space="preserve">43</w:t>
        </w:r>
        <w:r>
          <w:fldChar w:fldCharType="end"/>
        </w:r>
      </w:hyperlink>
      <w:r/>
      <w:r/>
    </w:p>
    <w:p>
      <w:pPr>
        <w:pStyle w:val="1022"/>
        <w:rPr>
          <w:rFonts w:ascii="Calibri" w:hAnsi="Calibri"/>
          <w:bCs w:val="false"/>
          <w:sz w:val="22"/>
          <w:szCs w:val="22"/>
        </w:rPr>
      </w:pPr>
      <w:r/>
      <w:hyperlink w:tooltip="#_Toc88819066" w:anchor="_Toc88819066" w:history="1">
        <w:r>
          <w:rPr>
            <w:rStyle w:val="1020"/>
          </w:rPr>
          <w:t xml:space="preserve">3.1.</w:t>
        </w:r>
        <w:r>
          <w:rPr>
            <w:rFonts w:ascii="Calibri" w:hAnsi="Calibri"/>
            <w:bCs w:val="false"/>
            <w:sz w:val="22"/>
            <w:szCs w:val="22"/>
          </w:rPr>
          <w:tab/>
        </w:r>
        <w:r>
          <w:rPr>
            <w:rStyle w:val="1020"/>
          </w:rPr>
          <w:t xml:space="preserve">Порядок проверки работоспособности</w:t>
        </w:r>
        <w:r>
          <w:tab/>
        </w:r>
        <w:r>
          <w:fldChar w:fldCharType="begin"/>
        </w:r>
        <w:r>
          <w:instrText xml:space="preserve"> PAGEREF _Toc88819066 \h </w:instrText>
        </w:r>
        <w:r/>
        <w:r>
          <w:fldChar w:fldCharType="separate"/>
        </w:r>
        <w:r>
          <w:t xml:space="preserve">43</w:t>
        </w:r>
        <w:r>
          <w:fldChar w:fldCharType="end"/>
        </w:r>
      </w:hyperlink>
      <w:r/>
      <w:r/>
    </w:p>
    <w:p>
      <w:pPr>
        <w:pStyle w:val="1022"/>
        <w:rPr>
          <w:rFonts w:ascii="Calibri" w:hAnsi="Calibri"/>
          <w:bCs w:val="false"/>
          <w:sz w:val="22"/>
          <w:szCs w:val="22"/>
        </w:rPr>
      </w:pPr>
      <w:r/>
      <w:hyperlink w:tooltip="#_Toc88819067" w:anchor="_Toc88819067" w:history="1">
        <w:r>
          <w:rPr>
            <w:rStyle w:val="1020"/>
          </w:rPr>
          <w:t xml:space="preserve">3.2.</w:t>
        </w:r>
        <w:r>
          <w:rPr>
            <w:rFonts w:ascii="Calibri" w:hAnsi="Calibri"/>
            <w:bCs w:val="false"/>
            <w:sz w:val="22"/>
            <w:szCs w:val="22"/>
          </w:rPr>
          <w:tab/>
        </w:r>
        <w:r>
          <w:rPr>
            <w:rStyle w:val="1020"/>
          </w:rPr>
          <w:t xml:space="preserve">Справочники системы</w:t>
        </w:r>
        <w:r>
          <w:tab/>
        </w:r>
        <w:r>
          <w:fldChar w:fldCharType="begin"/>
        </w:r>
        <w:r>
          <w:instrText xml:space="preserve"> PAGEREF _Toc88819067 \h </w:instrText>
        </w:r>
        <w:r/>
        <w:r>
          <w:fldChar w:fldCharType="separate"/>
        </w:r>
        <w:r>
          <w:t xml:space="preserve">43</w:t>
        </w:r>
        <w:r>
          <w:fldChar w:fldCharType="end"/>
        </w:r>
      </w:hyperlink>
      <w:r/>
      <w:r/>
    </w:p>
    <w:p>
      <w:pPr>
        <w:pStyle w:val="1022"/>
        <w:rPr>
          <w:rFonts w:ascii="Calibri" w:hAnsi="Calibri"/>
          <w:bCs w:val="false"/>
          <w:sz w:val="22"/>
          <w:szCs w:val="22"/>
        </w:rPr>
      </w:pPr>
      <w:r/>
      <w:hyperlink w:tooltip="#_Toc88819068" w:anchor="_Toc88819068" w:history="1">
        <w:r>
          <w:rPr>
            <w:rStyle w:val="1020"/>
          </w:rPr>
          <w:t xml:space="preserve">3.3.</w:t>
        </w:r>
        <w:r>
          <w:rPr>
            <w:rFonts w:ascii="Calibri" w:hAnsi="Calibri"/>
            <w:bCs w:val="false"/>
            <w:sz w:val="22"/>
            <w:szCs w:val="22"/>
          </w:rPr>
          <w:tab/>
        </w:r>
        <w:r>
          <w:rPr>
            <w:rStyle w:val="1020"/>
          </w:rPr>
          <w:t xml:space="preserve">Функции системы</w:t>
        </w:r>
        <w:r>
          <w:tab/>
        </w:r>
        <w:r>
          <w:fldChar w:fldCharType="begin"/>
        </w:r>
        <w:r>
          <w:instrText xml:space="preserve"> PAGEREF _Toc88819068 \h </w:instrText>
        </w:r>
        <w:r/>
        <w:r>
          <w:fldChar w:fldCharType="separate"/>
        </w:r>
        <w:r>
          <w:t xml:space="preserve">43</w:t>
        </w:r>
        <w:r>
          <w:fldChar w:fldCharType="end"/>
        </w:r>
      </w:hyperlink>
      <w:r/>
      <w:r/>
    </w:p>
    <w:p>
      <w:pPr>
        <w:pStyle w:val="1023"/>
        <w:rPr>
          <w:rFonts w:ascii="Calibri" w:hAnsi="Calibri"/>
          <w:bCs w:val="false"/>
          <w:iCs w:val="false"/>
          <w:sz w:val="22"/>
          <w:szCs w:val="22"/>
        </w:rPr>
      </w:pPr>
      <w:r/>
      <w:hyperlink w:tooltip="#_Toc88819069" w:anchor="_Toc88819069" w:history="1">
        <w:r>
          <w:rPr>
            <w:rStyle w:val="1020"/>
          </w:rPr>
          <w:t xml:space="preserve">3.3.1.</w:t>
        </w:r>
        <w:r>
          <w:rPr>
            <w:rFonts w:ascii="Calibri" w:hAnsi="Calibri"/>
            <w:bCs w:val="false"/>
            <w:iCs w:val="false"/>
            <w:sz w:val="22"/>
            <w:szCs w:val="22"/>
          </w:rPr>
          <w:tab/>
        </w:r>
        <w:r>
          <w:rPr>
            <w:rStyle w:val="1020"/>
          </w:rPr>
          <w:t xml:space="preserve">Санкционирование транзитных документов</w:t>
        </w:r>
        <w:r>
          <w:tab/>
        </w:r>
        <w:r>
          <w:fldChar w:fldCharType="begin"/>
        </w:r>
        <w:r>
          <w:instrText xml:space="preserve"> PAGEREF _Toc88819069 \h </w:instrText>
        </w:r>
        <w:r/>
        <w:r>
          <w:fldChar w:fldCharType="separate"/>
        </w:r>
        <w:r>
          <w:t xml:space="preserve">43</w:t>
        </w:r>
        <w:r>
          <w:fldChar w:fldCharType="end"/>
        </w:r>
      </w:hyperlink>
      <w:r/>
      <w:r/>
    </w:p>
    <w:p>
      <w:pPr>
        <w:pStyle w:val="1022"/>
        <w:rPr>
          <w:rFonts w:ascii="Calibri" w:hAnsi="Calibri"/>
          <w:bCs w:val="false"/>
          <w:sz w:val="22"/>
          <w:szCs w:val="22"/>
        </w:rPr>
      </w:pPr>
      <w:r/>
      <w:hyperlink w:tooltip="#_Toc88819070" w:anchor="_Toc88819070" w:history="1">
        <w:r>
          <w:rPr>
            <w:rStyle w:val="1020"/>
          </w:rPr>
          <w:t xml:space="preserve">3.4.</w:t>
        </w:r>
        <w:r>
          <w:rPr>
            <w:rFonts w:ascii="Calibri" w:hAnsi="Calibri"/>
            <w:bCs w:val="false"/>
            <w:sz w:val="22"/>
            <w:szCs w:val="22"/>
          </w:rPr>
          <w:tab/>
        </w:r>
        <w:r>
          <w:rPr>
            <w:rStyle w:val="1020"/>
          </w:rPr>
          <w:t xml:space="preserve">Дополнительные настройки системы</w:t>
        </w:r>
        <w:r>
          <w:tab/>
        </w:r>
        <w:r>
          <w:fldChar w:fldCharType="begin"/>
        </w:r>
        <w:r>
          <w:instrText xml:space="preserve"> PAGEREF _Toc88819070 \h </w:instrText>
        </w:r>
        <w:r/>
        <w:r>
          <w:fldChar w:fldCharType="separate"/>
        </w:r>
        <w:r>
          <w:t xml:space="preserve">44</w:t>
        </w:r>
        <w:r>
          <w:fldChar w:fldCharType="end"/>
        </w:r>
      </w:hyperlink>
      <w:r/>
      <w:r/>
    </w:p>
    <w:p>
      <w:pPr>
        <w:pStyle w:val="1021"/>
        <w:rPr>
          <w:rFonts w:ascii="Calibri" w:hAnsi="Calibri"/>
          <w:b w:val="false"/>
          <w:bCs w:val="false"/>
          <w:caps w:val="false"/>
          <w:sz w:val="22"/>
          <w:szCs w:val="22"/>
        </w:rPr>
      </w:pPr>
      <w:r/>
      <w:hyperlink w:tooltip="#_Toc88819071" w:anchor="_Toc88819071" w:history="1">
        <w:r>
          <w:rPr>
            <w:rStyle w:val="1020"/>
          </w:rPr>
          <w:t xml:space="preserve">4.</w:t>
        </w:r>
        <w:r>
          <w:rPr>
            <w:rFonts w:ascii="Calibri" w:hAnsi="Calibri"/>
            <w:b w:val="false"/>
            <w:bCs w:val="false"/>
            <w:caps w:val="false"/>
            <w:sz w:val="22"/>
            <w:szCs w:val="22"/>
          </w:rPr>
          <w:tab/>
        </w:r>
        <w:r>
          <w:rPr>
            <w:rStyle w:val="1020"/>
          </w:rPr>
          <w:t xml:space="preserve">Основные сведения об интерфейсе программы, типовых операциях и приемах работы</w:t>
        </w:r>
        <w:r>
          <w:tab/>
        </w:r>
        <w:r>
          <w:fldChar w:fldCharType="begin"/>
        </w:r>
        <w:r>
          <w:instrText xml:space="preserve"> PAGEREF _Toc88819071 \h </w:instrText>
        </w:r>
        <w:r/>
        <w:r>
          <w:fldChar w:fldCharType="separate"/>
        </w:r>
        <w:r>
          <w:t xml:space="preserve">45</w:t>
        </w:r>
        <w:r>
          <w:fldChar w:fldCharType="end"/>
        </w:r>
      </w:hyperlink>
      <w:r/>
      <w:r/>
    </w:p>
    <w:p>
      <w:pPr>
        <w:pStyle w:val="1022"/>
        <w:rPr>
          <w:rFonts w:ascii="Calibri" w:hAnsi="Calibri"/>
          <w:bCs w:val="false"/>
          <w:sz w:val="22"/>
          <w:szCs w:val="22"/>
        </w:rPr>
      </w:pPr>
      <w:r/>
      <w:hyperlink w:tooltip="#_Toc88819072" w:anchor="_Toc88819072" w:history="1">
        <w:r>
          <w:rPr>
            <w:rStyle w:val="1020"/>
          </w:rPr>
          <w:t xml:space="preserve">4.1.</w:t>
        </w:r>
        <w:r>
          <w:rPr>
            <w:rFonts w:ascii="Calibri" w:hAnsi="Calibri"/>
            <w:bCs w:val="false"/>
            <w:sz w:val="22"/>
            <w:szCs w:val="22"/>
          </w:rPr>
          <w:tab/>
        </w:r>
        <w:r>
          <w:rPr>
            <w:rStyle w:val="1020"/>
          </w:rPr>
          <w:t xml:space="preserve">Основные элементы интерфейса</w:t>
        </w:r>
        <w:r>
          <w:tab/>
        </w:r>
        <w:r>
          <w:fldChar w:fldCharType="begin"/>
        </w:r>
        <w:r>
          <w:instrText xml:space="preserve"> PAGEREF _Toc88819072 \h </w:instrText>
        </w:r>
        <w:r/>
        <w:r>
          <w:fldChar w:fldCharType="separate"/>
        </w:r>
        <w:r>
          <w:t xml:space="preserve">45</w:t>
        </w:r>
        <w:r>
          <w:fldChar w:fldCharType="end"/>
        </w:r>
      </w:hyperlink>
      <w:r/>
      <w:r/>
    </w:p>
    <w:p>
      <w:pPr>
        <w:pStyle w:val="1023"/>
        <w:rPr>
          <w:rFonts w:ascii="Calibri" w:hAnsi="Calibri"/>
          <w:bCs w:val="false"/>
          <w:iCs w:val="false"/>
          <w:sz w:val="22"/>
          <w:szCs w:val="22"/>
        </w:rPr>
      </w:pPr>
      <w:r/>
      <w:hyperlink w:tooltip="#_Toc88819073" w:anchor="_Toc88819073" w:history="1">
        <w:r>
          <w:rPr>
            <w:rStyle w:val="1020"/>
          </w:rPr>
          <w:t xml:space="preserve">4.1.1.</w:t>
        </w:r>
        <w:r>
          <w:rPr>
            <w:rFonts w:ascii="Calibri" w:hAnsi="Calibri"/>
            <w:bCs w:val="false"/>
            <w:iCs w:val="false"/>
            <w:sz w:val="22"/>
            <w:szCs w:val="22"/>
          </w:rPr>
          <w:tab/>
        </w:r>
        <w:r>
          <w:rPr>
            <w:rStyle w:val="1020"/>
          </w:rPr>
          <w:t xml:space="preserve">Заголовок рабочего окна программы</w:t>
        </w:r>
        <w:r>
          <w:tab/>
        </w:r>
        <w:r>
          <w:fldChar w:fldCharType="begin"/>
        </w:r>
        <w:r>
          <w:instrText xml:space="preserve"> PAGEREF _Toc88819073 \h </w:instrText>
        </w:r>
        <w:r/>
        <w:r>
          <w:fldChar w:fldCharType="separate"/>
        </w:r>
        <w:r>
          <w:t xml:space="preserve">46</w:t>
        </w:r>
        <w:r>
          <w:fldChar w:fldCharType="end"/>
        </w:r>
      </w:hyperlink>
      <w:r/>
      <w:r/>
    </w:p>
    <w:p>
      <w:pPr>
        <w:pStyle w:val="1023"/>
        <w:rPr>
          <w:rFonts w:ascii="Calibri" w:hAnsi="Calibri"/>
          <w:bCs w:val="false"/>
          <w:iCs w:val="false"/>
          <w:sz w:val="22"/>
          <w:szCs w:val="22"/>
        </w:rPr>
      </w:pPr>
      <w:r/>
      <w:hyperlink w:tooltip="#_Toc88819074" w:anchor="_Toc88819074" w:history="1">
        <w:r>
          <w:rPr>
            <w:rStyle w:val="1020"/>
          </w:rPr>
          <w:t xml:space="preserve">4.1.2.</w:t>
        </w:r>
        <w:r>
          <w:rPr>
            <w:rFonts w:ascii="Calibri" w:hAnsi="Calibri"/>
            <w:bCs w:val="false"/>
            <w:iCs w:val="false"/>
            <w:sz w:val="22"/>
            <w:szCs w:val="22"/>
          </w:rPr>
          <w:tab/>
        </w:r>
        <w:r>
          <w:rPr>
            <w:rStyle w:val="1020"/>
          </w:rPr>
          <w:t xml:space="preserve">Строка навигации</w:t>
        </w:r>
        <w:r>
          <w:tab/>
        </w:r>
        <w:r>
          <w:fldChar w:fldCharType="begin"/>
        </w:r>
        <w:r>
          <w:instrText xml:space="preserve"> PAGEREF _Toc88819074 \h </w:instrText>
        </w:r>
        <w:r/>
        <w:r>
          <w:fldChar w:fldCharType="separate"/>
        </w:r>
        <w:r>
          <w:t xml:space="preserve">46</w:t>
        </w:r>
        <w:r>
          <w:fldChar w:fldCharType="end"/>
        </w:r>
      </w:hyperlink>
      <w:r/>
      <w:r/>
    </w:p>
    <w:p>
      <w:pPr>
        <w:pStyle w:val="1023"/>
        <w:rPr>
          <w:rFonts w:ascii="Calibri" w:hAnsi="Calibri"/>
          <w:bCs w:val="false"/>
          <w:iCs w:val="false"/>
          <w:sz w:val="22"/>
          <w:szCs w:val="22"/>
        </w:rPr>
      </w:pPr>
      <w:r/>
      <w:hyperlink w:tooltip="#_Toc88819075" w:anchor="_Toc88819075" w:history="1">
        <w:r>
          <w:rPr>
            <w:rStyle w:val="1020"/>
          </w:rPr>
          <w:t xml:space="preserve">4.1.3.</w:t>
        </w:r>
        <w:r>
          <w:rPr>
            <w:rFonts w:ascii="Calibri" w:hAnsi="Calibri"/>
            <w:bCs w:val="false"/>
            <w:iCs w:val="false"/>
            <w:sz w:val="22"/>
            <w:szCs w:val="22"/>
          </w:rPr>
          <w:tab/>
        </w:r>
        <w:r>
          <w:rPr>
            <w:rStyle w:val="1020"/>
          </w:rPr>
          <w:t xml:space="preserve">Поле выбора организации</w:t>
        </w:r>
        <w:r>
          <w:tab/>
        </w:r>
        <w:r>
          <w:fldChar w:fldCharType="begin"/>
        </w:r>
        <w:r>
          <w:instrText xml:space="preserve"> PAGEREF _Toc88819075 \h </w:instrText>
        </w:r>
        <w:r/>
        <w:r>
          <w:fldChar w:fldCharType="separate"/>
        </w:r>
        <w:r>
          <w:t xml:space="preserve">46</w:t>
        </w:r>
        <w:r>
          <w:fldChar w:fldCharType="end"/>
        </w:r>
      </w:hyperlink>
      <w:r/>
      <w:r/>
    </w:p>
    <w:p>
      <w:pPr>
        <w:pStyle w:val="1023"/>
        <w:rPr>
          <w:rFonts w:ascii="Calibri" w:hAnsi="Calibri"/>
          <w:bCs w:val="false"/>
          <w:iCs w:val="false"/>
          <w:sz w:val="22"/>
          <w:szCs w:val="22"/>
        </w:rPr>
      </w:pPr>
      <w:r/>
      <w:hyperlink w:tooltip="#_Toc88819076" w:anchor="_Toc88819076" w:history="1">
        <w:r>
          <w:rPr>
            <w:rStyle w:val="1020"/>
          </w:rPr>
          <w:t xml:space="preserve">4.1.4.</w:t>
        </w:r>
        <w:r>
          <w:rPr>
            <w:rFonts w:ascii="Calibri" w:hAnsi="Calibri"/>
            <w:bCs w:val="false"/>
            <w:iCs w:val="false"/>
            <w:sz w:val="22"/>
            <w:szCs w:val="22"/>
          </w:rPr>
          <w:tab/>
        </w:r>
        <w:r>
          <w:rPr>
            <w:rStyle w:val="1020"/>
          </w:rPr>
          <w:t xml:space="preserve">Переключатели содержимого панели навигации</w:t>
        </w:r>
        <w:r>
          <w:tab/>
        </w:r>
        <w:r>
          <w:fldChar w:fldCharType="begin"/>
        </w:r>
        <w:r>
          <w:instrText xml:space="preserve"> PAGEREF _Toc88819076 \h </w:instrText>
        </w:r>
        <w:r/>
        <w:r>
          <w:fldChar w:fldCharType="separate"/>
        </w:r>
        <w:r>
          <w:t xml:space="preserve">46</w:t>
        </w:r>
        <w:r>
          <w:fldChar w:fldCharType="end"/>
        </w:r>
      </w:hyperlink>
      <w:r/>
      <w:r/>
    </w:p>
    <w:p>
      <w:pPr>
        <w:pStyle w:val="1023"/>
        <w:rPr>
          <w:rFonts w:ascii="Calibri" w:hAnsi="Calibri"/>
          <w:bCs w:val="false"/>
          <w:iCs w:val="false"/>
          <w:sz w:val="22"/>
          <w:szCs w:val="22"/>
        </w:rPr>
      </w:pPr>
      <w:r/>
      <w:hyperlink w:tooltip="#_Toc88819077" w:anchor="_Toc88819077" w:history="1">
        <w:r>
          <w:rPr>
            <w:rStyle w:val="1020"/>
          </w:rPr>
          <w:t xml:space="preserve">4.1.5.</w:t>
        </w:r>
        <w:r>
          <w:rPr>
            <w:rFonts w:ascii="Calibri" w:hAnsi="Calibri"/>
            <w:bCs w:val="false"/>
            <w:iCs w:val="false"/>
            <w:sz w:val="22"/>
            <w:szCs w:val="22"/>
          </w:rPr>
          <w:tab/>
        </w:r>
        <w:r>
          <w:rPr>
            <w:rStyle w:val="1020"/>
          </w:rPr>
          <w:t xml:space="preserve">Поле поиска</w:t>
        </w:r>
        <w:r>
          <w:tab/>
        </w:r>
        <w:r>
          <w:fldChar w:fldCharType="begin"/>
        </w:r>
        <w:r>
          <w:instrText xml:space="preserve"> PAGEREF _Toc88819077 \h </w:instrText>
        </w:r>
        <w:r/>
        <w:r>
          <w:fldChar w:fldCharType="separate"/>
        </w:r>
        <w:r>
          <w:t xml:space="preserve">46</w:t>
        </w:r>
        <w:r>
          <w:fldChar w:fldCharType="end"/>
        </w:r>
      </w:hyperlink>
      <w:r/>
      <w:r/>
    </w:p>
    <w:p>
      <w:pPr>
        <w:pStyle w:val="1023"/>
        <w:rPr>
          <w:rFonts w:ascii="Calibri" w:hAnsi="Calibri"/>
          <w:bCs w:val="false"/>
          <w:iCs w:val="false"/>
          <w:sz w:val="22"/>
          <w:szCs w:val="22"/>
        </w:rPr>
      </w:pPr>
      <w:r/>
      <w:hyperlink w:tooltip="#_Toc88819078" w:anchor="_Toc88819078" w:history="1">
        <w:r>
          <w:rPr>
            <w:rStyle w:val="1020"/>
          </w:rPr>
          <w:t xml:space="preserve">4.1.6.</w:t>
        </w:r>
        <w:r>
          <w:rPr>
            <w:rFonts w:ascii="Calibri" w:hAnsi="Calibri"/>
            <w:bCs w:val="false"/>
            <w:iCs w:val="false"/>
            <w:sz w:val="22"/>
            <w:szCs w:val="22"/>
          </w:rPr>
          <w:tab/>
        </w:r>
        <w:r>
          <w:rPr>
            <w:rStyle w:val="1020"/>
          </w:rPr>
          <w:t xml:space="preserve">Панель навигации</w:t>
        </w:r>
        <w:r>
          <w:tab/>
        </w:r>
        <w:r>
          <w:fldChar w:fldCharType="begin"/>
        </w:r>
        <w:r>
          <w:instrText xml:space="preserve"> PAGEREF _Toc88819078 \h </w:instrText>
        </w:r>
        <w:r/>
        <w:r>
          <w:fldChar w:fldCharType="separate"/>
        </w:r>
        <w:r>
          <w:t xml:space="preserve">46</w:t>
        </w:r>
        <w:r>
          <w:fldChar w:fldCharType="end"/>
        </w:r>
      </w:hyperlink>
      <w:r/>
      <w:r/>
    </w:p>
    <w:p>
      <w:pPr>
        <w:pStyle w:val="1023"/>
        <w:rPr>
          <w:rFonts w:ascii="Calibri" w:hAnsi="Calibri"/>
          <w:bCs w:val="false"/>
          <w:iCs w:val="false"/>
          <w:sz w:val="22"/>
          <w:szCs w:val="22"/>
        </w:rPr>
      </w:pPr>
      <w:r/>
      <w:hyperlink w:tooltip="#_Toc88819079" w:anchor="_Toc88819079" w:history="1">
        <w:r>
          <w:rPr>
            <w:rStyle w:val="1020"/>
          </w:rPr>
          <w:t xml:space="preserve">4.1.7.</w:t>
        </w:r>
        <w:r>
          <w:rPr>
            <w:rFonts w:ascii="Calibri" w:hAnsi="Calibri"/>
            <w:bCs w:val="false"/>
            <w:iCs w:val="false"/>
            <w:sz w:val="22"/>
            <w:szCs w:val="22"/>
          </w:rPr>
          <w:tab/>
        </w:r>
        <w:r>
          <w:rPr>
            <w:rStyle w:val="1020"/>
          </w:rPr>
          <w:t xml:space="preserve">Область пользовательских представлений</w:t>
        </w:r>
        <w:r>
          <w:tab/>
        </w:r>
        <w:r>
          <w:fldChar w:fldCharType="begin"/>
        </w:r>
        <w:r>
          <w:instrText xml:space="preserve"> PAGEREF _Toc88819079 \h </w:instrText>
        </w:r>
        <w:r/>
        <w:r>
          <w:fldChar w:fldCharType="separate"/>
        </w:r>
        <w:r>
          <w:t xml:space="preserve">47</w:t>
        </w:r>
        <w:r>
          <w:fldChar w:fldCharType="end"/>
        </w:r>
      </w:hyperlink>
      <w:r/>
      <w:r/>
    </w:p>
    <w:p>
      <w:pPr>
        <w:pStyle w:val="1023"/>
        <w:rPr>
          <w:rFonts w:ascii="Calibri" w:hAnsi="Calibri"/>
          <w:bCs w:val="false"/>
          <w:iCs w:val="false"/>
          <w:sz w:val="22"/>
          <w:szCs w:val="22"/>
        </w:rPr>
      </w:pPr>
      <w:r/>
      <w:hyperlink w:tooltip="#_Toc88819080" w:anchor="_Toc88819080" w:history="1">
        <w:r>
          <w:rPr>
            <w:rStyle w:val="1020"/>
          </w:rPr>
          <w:t xml:space="preserve">4.1.8.</w:t>
        </w:r>
        <w:r>
          <w:rPr>
            <w:rFonts w:ascii="Calibri" w:hAnsi="Calibri"/>
            <w:bCs w:val="false"/>
            <w:iCs w:val="false"/>
            <w:sz w:val="22"/>
            <w:szCs w:val="22"/>
          </w:rPr>
          <w:tab/>
        </w:r>
        <w:r>
          <w:rPr>
            <w:rStyle w:val="1020"/>
          </w:rPr>
          <w:t xml:space="preserve">Кнопка настроек параметров программы</w:t>
        </w:r>
        <w:r>
          <w:tab/>
        </w:r>
        <w:r>
          <w:fldChar w:fldCharType="begin"/>
        </w:r>
        <w:r>
          <w:instrText xml:space="preserve"> PAGEREF _Toc88819080 \h </w:instrText>
        </w:r>
        <w:r/>
        <w:r>
          <w:fldChar w:fldCharType="separate"/>
        </w:r>
        <w:r>
          <w:t xml:space="preserve">47</w:t>
        </w:r>
        <w:r>
          <w:fldChar w:fldCharType="end"/>
        </w:r>
      </w:hyperlink>
      <w:r/>
      <w:r/>
    </w:p>
    <w:p>
      <w:pPr>
        <w:pStyle w:val="1023"/>
        <w:rPr>
          <w:rFonts w:ascii="Calibri" w:hAnsi="Calibri"/>
          <w:bCs w:val="false"/>
          <w:iCs w:val="false"/>
          <w:sz w:val="22"/>
          <w:szCs w:val="22"/>
        </w:rPr>
      </w:pPr>
      <w:r/>
      <w:hyperlink w:tooltip="#_Toc88819081" w:anchor="_Toc88819081" w:history="1">
        <w:r>
          <w:rPr>
            <w:rStyle w:val="1020"/>
          </w:rPr>
          <w:t xml:space="preserve">4.1.9.</w:t>
        </w:r>
        <w:r>
          <w:rPr>
            <w:rFonts w:ascii="Calibri" w:hAnsi="Calibri"/>
            <w:bCs w:val="false"/>
            <w:iCs w:val="false"/>
            <w:sz w:val="22"/>
            <w:szCs w:val="22"/>
          </w:rPr>
          <w:tab/>
        </w:r>
        <w:r>
          <w:rPr>
            <w:rStyle w:val="1020"/>
          </w:rPr>
          <w:t xml:space="preserve">Кнопка настройки автоматического импорта/экспорта</w:t>
        </w:r>
        <w:r>
          <w:tab/>
        </w:r>
        <w:r>
          <w:fldChar w:fldCharType="begin"/>
        </w:r>
        <w:r>
          <w:instrText xml:space="preserve"> PAGEREF _Toc88819081 \h </w:instrText>
        </w:r>
        <w:r/>
        <w:r>
          <w:fldChar w:fldCharType="separate"/>
        </w:r>
        <w:r>
          <w:t xml:space="preserve">47</w:t>
        </w:r>
        <w:r>
          <w:fldChar w:fldCharType="end"/>
        </w:r>
      </w:hyperlink>
      <w:r/>
      <w:r/>
    </w:p>
    <w:p>
      <w:pPr>
        <w:pStyle w:val="1023"/>
        <w:rPr>
          <w:rFonts w:ascii="Calibri" w:hAnsi="Calibri"/>
          <w:bCs w:val="false"/>
          <w:iCs w:val="false"/>
          <w:sz w:val="22"/>
          <w:szCs w:val="22"/>
        </w:rPr>
      </w:pPr>
      <w:r/>
      <w:hyperlink w:tooltip="#_Toc88819082" w:anchor="_Toc88819082" w:history="1">
        <w:r>
          <w:rPr>
            <w:rStyle w:val="1020"/>
          </w:rPr>
          <w:t xml:space="preserve">4.1.10.</w:t>
        </w:r>
        <w:r>
          <w:rPr>
            <w:rFonts w:ascii="Calibri" w:hAnsi="Calibri"/>
            <w:bCs w:val="false"/>
            <w:iCs w:val="false"/>
            <w:sz w:val="22"/>
            <w:szCs w:val="22"/>
          </w:rPr>
          <w:tab/>
        </w:r>
        <w:r>
          <w:rPr>
            <w:rStyle w:val="1020"/>
          </w:rPr>
          <w:t xml:space="preserve">Кнопка вызова окна «Диспетчер задач»</w:t>
        </w:r>
        <w:r>
          <w:tab/>
        </w:r>
        <w:r>
          <w:fldChar w:fldCharType="begin"/>
        </w:r>
        <w:r>
          <w:instrText xml:space="preserve"> PAGEREF _Toc88819082 \h </w:instrText>
        </w:r>
        <w:r/>
        <w:r>
          <w:fldChar w:fldCharType="separate"/>
        </w:r>
        <w:r>
          <w:t xml:space="preserve">48</w:t>
        </w:r>
        <w:r>
          <w:fldChar w:fldCharType="end"/>
        </w:r>
      </w:hyperlink>
      <w:r/>
      <w:r/>
    </w:p>
    <w:p>
      <w:pPr>
        <w:pStyle w:val="1023"/>
        <w:rPr>
          <w:rFonts w:ascii="Calibri" w:hAnsi="Calibri"/>
          <w:bCs w:val="false"/>
          <w:iCs w:val="false"/>
          <w:sz w:val="22"/>
          <w:szCs w:val="22"/>
        </w:rPr>
      </w:pPr>
      <w:r/>
      <w:hyperlink w:tooltip="#_Toc88819083" w:anchor="_Toc88819083" w:history="1">
        <w:r>
          <w:rPr>
            <w:rStyle w:val="1020"/>
          </w:rPr>
          <w:t xml:space="preserve">4.1.11.</w:t>
        </w:r>
        <w:r>
          <w:rPr>
            <w:rFonts w:ascii="Calibri" w:hAnsi="Calibri"/>
            <w:bCs w:val="false"/>
            <w:iCs w:val="false"/>
            <w:sz w:val="22"/>
            <w:szCs w:val="22"/>
          </w:rPr>
          <w:tab/>
        </w:r>
        <w:r>
          <w:rPr>
            <w:rStyle w:val="1020"/>
          </w:rPr>
          <w:t xml:space="preserve">Рабочая область</w:t>
        </w:r>
        <w:r>
          <w:tab/>
        </w:r>
        <w:r>
          <w:fldChar w:fldCharType="begin"/>
        </w:r>
        <w:r>
          <w:instrText xml:space="preserve"> PAGEREF _Toc88819083 \h </w:instrText>
        </w:r>
        <w:r/>
        <w:r>
          <w:fldChar w:fldCharType="separate"/>
        </w:r>
        <w:r>
          <w:t xml:space="preserve">49</w:t>
        </w:r>
        <w:r>
          <w:fldChar w:fldCharType="end"/>
        </w:r>
      </w:hyperlink>
      <w:r/>
      <w:r/>
    </w:p>
    <w:p>
      <w:pPr>
        <w:pStyle w:val="1022"/>
        <w:rPr>
          <w:rFonts w:ascii="Calibri" w:hAnsi="Calibri"/>
          <w:bCs w:val="false"/>
          <w:sz w:val="22"/>
          <w:szCs w:val="22"/>
        </w:rPr>
      </w:pPr>
      <w:r/>
      <w:hyperlink w:tooltip="#_Toc88819084" w:anchor="_Toc88819084" w:history="1">
        <w:r>
          <w:rPr>
            <w:rStyle w:val="1020"/>
          </w:rPr>
          <w:t xml:space="preserve">4.2.</w:t>
        </w:r>
        <w:r>
          <w:rPr>
            <w:rFonts w:ascii="Calibri" w:hAnsi="Calibri"/>
            <w:bCs w:val="false"/>
            <w:sz w:val="22"/>
            <w:szCs w:val="22"/>
          </w:rPr>
          <w:tab/>
        </w:r>
        <w:r>
          <w:rPr>
            <w:rStyle w:val="1020"/>
          </w:rPr>
          <w:t xml:space="preserve">Описание типовых операций и приемов работы</w:t>
        </w:r>
        <w:r>
          <w:tab/>
        </w:r>
        <w:r>
          <w:fldChar w:fldCharType="begin"/>
        </w:r>
        <w:r>
          <w:instrText xml:space="preserve"> PAGEREF _Toc88819084 \h </w:instrText>
        </w:r>
        <w:r/>
        <w:r>
          <w:fldChar w:fldCharType="separate"/>
        </w:r>
        <w:r>
          <w:t xml:space="preserve">49</w:t>
        </w:r>
        <w:r>
          <w:fldChar w:fldCharType="end"/>
        </w:r>
      </w:hyperlink>
      <w:r/>
      <w:r/>
    </w:p>
    <w:p>
      <w:pPr>
        <w:pStyle w:val="1023"/>
        <w:rPr>
          <w:rFonts w:ascii="Calibri" w:hAnsi="Calibri"/>
          <w:bCs w:val="false"/>
          <w:iCs w:val="false"/>
          <w:sz w:val="22"/>
          <w:szCs w:val="22"/>
        </w:rPr>
      </w:pPr>
      <w:r/>
      <w:hyperlink w:tooltip="#_Toc88819085" w:anchor="_Toc88819085" w:history="1">
        <w:r>
          <w:rPr>
            <w:rStyle w:val="1020"/>
          </w:rPr>
          <w:t xml:space="preserve">4.2.1.</w:t>
        </w:r>
        <w:r>
          <w:rPr>
            <w:rFonts w:ascii="Calibri" w:hAnsi="Calibri"/>
            <w:bCs w:val="false"/>
            <w:iCs w:val="false"/>
            <w:sz w:val="22"/>
            <w:szCs w:val="22"/>
          </w:rPr>
          <w:tab/>
        </w:r>
        <w:r>
          <w:rPr>
            <w:rStyle w:val="1020"/>
          </w:rPr>
          <w:t xml:space="preserve">Операции доступные на главной панели инструментов</w:t>
        </w:r>
        <w:r>
          <w:tab/>
        </w:r>
        <w:r>
          <w:fldChar w:fldCharType="begin"/>
        </w:r>
        <w:r>
          <w:instrText xml:space="preserve"> PAGEREF _Toc88819085 \h </w:instrText>
        </w:r>
        <w:r/>
        <w:r>
          <w:fldChar w:fldCharType="separate"/>
        </w:r>
        <w:r>
          <w:t xml:space="preserve">49</w:t>
        </w:r>
        <w:r>
          <w:fldChar w:fldCharType="end"/>
        </w:r>
      </w:hyperlink>
      <w:r/>
      <w:r/>
    </w:p>
    <w:p>
      <w:pPr>
        <w:pStyle w:val="1023"/>
        <w:rPr>
          <w:rFonts w:ascii="Calibri" w:hAnsi="Calibri"/>
          <w:bCs w:val="false"/>
          <w:iCs w:val="false"/>
          <w:sz w:val="22"/>
          <w:szCs w:val="22"/>
        </w:rPr>
      </w:pPr>
      <w:r/>
      <w:hyperlink w:tooltip="#_Toc88819086" w:anchor="_Toc88819086" w:history="1">
        <w:r>
          <w:rPr>
            <w:rStyle w:val="1020"/>
          </w:rPr>
          <w:t xml:space="preserve">4.2.2.</w:t>
        </w:r>
        <w:r>
          <w:rPr>
            <w:rFonts w:ascii="Calibri" w:hAnsi="Calibri"/>
            <w:bCs w:val="false"/>
            <w:iCs w:val="false"/>
            <w:sz w:val="22"/>
            <w:szCs w:val="22"/>
          </w:rPr>
          <w:tab/>
        </w:r>
        <w:r>
          <w:rPr>
            <w:rStyle w:val="1020"/>
          </w:rPr>
          <w:t xml:space="preserve">Использование «горячих клавиш»</w:t>
        </w:r>
        <w:r>
          <w:tab/>
        </w:r>
        <w:r>
          <w:fldChar w:fldCharType="begin"/>
        </w:r>
        <w:r>
          <w:instrText xml:space="preserve"> PAGEREF _Toc88819086 \h </w:instrText>
        </w:r>
        <w:r/>
        <w:r>
          <w:fldChar w:fldCharType="separate"/>
        </w:r>
        <w:r>
          <w:t xml:space="preserve">51</w:t>
        </w:r>
        <w:r>
          <w:fldChar w:fldCharType="end"/>
        </w:r>
      </w:hyperlink>
      <w:r/>
      <w:r/>
    </w:p>
    <w:p>
      <w:pPr>
        <w:pStyle w:val="1023"/>
        <w:rPr>
          <w:rFonts w:ascii="Calibri" w:hAnsi="Calibri"/>
          <w:bCs w:val="false"/>
          <w:iCs w:val="false"/>
          <w:sz w:val="22"/>
          <w:szCs w:val="22"/>
        </w:rPr>
      </w:pPr>
      <w:r/>
      <w:hyperlink w:tooltip="#_Toc88819087" w:anchor="_Toc88819087" w:history="1">
        <w:r>
          <w:rPr>
            <w:rStyle w:val="1020"/>
          </w:rPr>
          <w:t xml:space="preserve">4.2.3.</w:t>
        </w:r>
        <w:r>
          <w:rPr>
            <w:rFonts w:ascii="Calibri" w:hAnsi="Calibri"/>
            <w:bCs w:val="false"/>
            <w:iCs w:val="false"/>
            <w:sz w:val="22"/>
            <w:szCs w:val="22"/>
          </w:rPr>
          <w:tab/>
        </w:r>
        <w:r>
          <w:rPr>
            <w:rStyle w:val="1020"/>
          </w:rPr>
          <w:t xml:space="preserve">Операции доступные на панели инструментов экранной формы документа</w:t>
        </w:r>
        <w:r>
          <w:tab/>
        </w:r>
        <w:r>
          <w:fldChar w:fldCharType="begin"/>
        </w:r>
        <w:r>
          <w:instrText xml:space="preserve"> PAGEREF _Toc88819087 \h </w:instrText>
        </w:r>
        <w:r/>
        <w:r>
          <w:fldChar w:fldCharType="separate"/>
        </w:r>
        <w:r>
          <w:t xml:space="preserve">52</w:t>
        </w:r>
        <w:r>
          <w:fldChar w:fldCharType="end"/>
        </w:r>
      </w:hyperlink>
      <w:r/>
      <w:r/>
    </w:p>
    <w:p>
      <w:pPr>
        <w:pStyle w:val="1023"/>
        <w:rPr>
          <w:rFonts w:ascii="Calibri" w:hAnsi="Calibri"/>
          <w:bCs w:val="false"/>
          <w:iCs w:val="false"/>
          <w:sz w:val="22"/>
          <w:szCs w:val="22"/>
        </w:rPr>
      </w:pPr>
      <w:r/>
      <w:hyperlink w:tooltip="#_Toc88819088" w:anchor="_Toc88819088" w:history="1">
        <w:r>
          <w:rPr>
            <w:rStyle w:val="1020"/>
          </w:rPr>
          <w:t xml:space="preserve">4.2.4.</w:t>
        </w:r>
        <w:r>
          <w:rPr>
            <w:rFonts w:ascii="Calibri" w:hAnsi="Calibri"/>
            <w:bCs w:val="false"/>
            <w:iCs w:val="false"/>
            <w:sz w:val="22"/>
            <w:szCs w:val="22"/>
          </w:rPr>
          <w:tab/>
        </w:r>
        <w:r>
          <w:rPr>
            <w:rStyle w:val="1020"/>
          </w:rPr>
          <w:t xml:space="preserve">Работа с табличными записями</w:t>
        </w:r>
        <w:r>
          <w:tab/>
        </w:r>
        <w:r>
          <w:fldChar w:fldCharType="begin"/>
        </w:r>
        <w:r>
          <w:instrText xml:space="preserve"> PAGEREF _Toc88819088 \h </w:instrText>
        </w:r>
        <w:r/>
        <w:r>
          <w:fldChar w:fldCharType="separate"/>
        </w:r>
        <w:r>
          <w:t xml:space="preserve">53</w:t>
        </w:r>
        <w:r>
          <w:fldChar w:fldCharType="end"/>
        </w:r>
      </w:hyperlink>
      <w:r/>
      <w:r/>
    </w:p>
    <w:p>
      <w:pPr>
        <w:pStyle w:val="1023"/>
        <w:rPr>
          <w:rFonts w:ascii="Calibri" w:hAnsi="Calibri"/>
          <w:bCs w:val="false"/>
          <w:iCs w:val="false"/>
          <w:sz w:val="22"/>
          <w:szCs w:val="22"/>
        </w:rPr>
      </w:pPr>
      <w:r/>
      <w:hyperlink w:tooltip="#_Toc88819089" w:anchor="_Toc88819089" w:history="1">
        <w:r>
          <w:rPr>
            <w:rStyle w:val="1020"/>
          </w:rPr>
          <w:t xml:space="preserve">4.2.5.</w:t>
        </w:r>
        <w:r>
          <w:rPr>
            <w:rFonts w:ascii="Calibri" w:hAnsi="Calibri"/>
            <w:bCs w:val="false"/>
            <w:iCs w:val="false"/>
            <w:sz w:val="22"/>
            <w:szCs w:val="22"/>
          </w:rPr>
          <w:tab/>
        </w:r>
        <w:r>
          <w:rPr>
            <w:rStyle w:val="1020"/>
          </w:rPr>
          <w:t xml:space="preserve">Контекстное меню</w:t>
        </w:r>
        <w:r>
          <w:tab/>
        </w:r>
        <w:r>
          <w:fldChar w:fldCharType="begin"/>
        </w:r>
        <w:r>
          <w:instrText xml:space="preserve"> PAGEREF _Toc88819089 \h </w:instrText>
        </w:r>
        <w:r/>
        <w:r>
          <w:fldChar w:fldCharType="separate"/>
        </w:r>
        <w:r>
          <w:t xml:space="preserve">54</w:t>
        </w:r>
        <w:r>
          <w:fldChar w:fldCharType="end"/>
        </w:r>
      </w:hyperlink>
      <w:r/>
      <w:r/>
    </w:p>
    <w:p>
      <w:pPr>
        <w:pStyle w:val="1023"/>
        <w:rPr>
          <w:rFonts w:ascii="Calibri" w:hAnsi="Calibri"/>
          <w:bCs w:val="false"/>
          <w:iCs w:val="false"/>
          <w:sz w:val="22"/>
          <w:szCs w:val="22"/>
        </w:rPr>
      </w:pPr>
      <w:r/>
      <w:hyperlink w:tooltip="#_Toc88819090" w:anchor="_Toc88819090" w:history="1">
        <w:r>
          <w:rPr>
            <w:rStyle w:val="1020"/>
          </w:rPr>
          <w:t xml:space="preserve">4.2.6.</w:t>
        </w:r>
        <w:r>
          <w:rPr>
            <w:rFonts w:ascii="Calibri" w:hAnsi="Calibri"/>
            <w:bCs w:val="false"/>
            <w:iCs w:val="false"/>
            <w:sz w:val="22"/>
            <w:szCs w:val="22"/>
          </w:rPr>
          <w:tab/>
        </w:r>
        <w:r>
          <w:rPr>
            <w:rStyle w:val="1020"/>
          </w:rPr>
          <w:t xml:space="preserve">Панели сортировки и фильтров</w:t>
        </w:r>
        <w:r>
          <w:tab/>
        </w:r>
        <w:r>
          <w:fldChar w:fldCharType="begin"/>
        </w:r>
        <w:r>
          <w:instrText xml:space="preserve"> PAGEREF _Toc88819090 \h </w:instrText>
        </w:r>
        <w:r/>
        <w:r>
          <w:fldChar w:fldCharType="separate"/>
        </w:r>
        <w:r>
          <w:t xml:space="preserve">54</w:t>
        </w:r>
        <w:r>
          <w:fldChar w:fldCharType="end"/>
        </w:r>
      </w:hyperlink>
      <w:r/>
      <w:r/>
    </w:p>
    <w:p>
      <w:pPr>
        <w:pStyle w:val="1023"/>
        <w:rPr>
          <w:rFonts w:ascii="Calibri" w:hAnsi="Calibri"/>
          <w:bCs w:val="false"/>
          <w:iCs w:val="false"/>
          <w:sz w:val="22"/>
          <w:szCs w:val="22"/>
        </w:rPr>
      </w:pPr>
      <w:r/>
      <w:hyperlink w:tooltip="#_Toc88819091" w:anchor="_Toc88819091" w:history="1">
        <w:r>
          <w:rPr>
            <w:rStyle w:val="1020"/>
          </w:rPr>
          <w:t xml:space="preserve">4.2.7.</w:t>
        </w:r>
        <w:r>
          <w:rPr>
            <w:rFonts w:ascii="Calibri" w:hAnsi="Calibri"/>
            <w:bCs w:val="false"/>
            <w:iCs w:val="false"/>
            <w:sz w:val="22"/>
            <w:szCs w:val="22"/>
          </w:rPr>
          <w:tab/>
        </w:r>
        <w:r>
          <w:rPr>
            <w:rStyle w:val="1020"/>
          </w:rPr>
          <w:t xml:space="preserve">Перемещение по списку документов</w:t>
        </w:r>
        <w:r>
          <w:tab/>
        </w:r>
        <w:r>
          <w:fldChar w:fldCharType="begin"/>
        </w:r>
        <w:r>
          <w:instrText xml:space="preserve"> PAGEREF _Toc88819091 \h </w:instrText>
        </w:r>
        <w:r/>
        <w:r>
          <w:fldChar w:fldCharType="separate"/>
        </w:r>
        <w:r>
          <w:t xml:space="preserve">55</w:t>
        </w:r>
        <w:r>
          <w:fldChar w:fldCharType="end"/>
        </w:r>
      </w:hyperlink>
      <w:r/>
      <w:r/>
    </w:p>
    <w:p>
      <w:pPr>
        <w:pStyle w:val="1023"/>
        <w:rPr>
          <w:rFonts w:ascii="Calibri" w:hAnsi="Calibri"/>
          <w:bCs w:val="false"/>
          <w:iCs w:val="false"/>
          <w:sz w:val="22"/>
          <w:szCs w:val="22"/>
        </w:rPr>
      </w:pPr>
      <w:r/>
      <w:hyperlink w:tooltip="#_Toc88819092" w:anchor="_Toc88819092" w:history="1">
        <w:r>
          <w:rPr>
            <w:rStyle w:val="1020"/>
          </w:rPr>
          <w:t xml:space="preserve">4.2.8.</w:t>
        </w:r>
        <w:r>
          <w:rPr>
            <w:rFonts w:ascii="Calibri" w:hAnsi="Calibri"/>
            <w:bCs w:val="false"/>
            <w:iCs w:val="false"/>
            <w:sz w:val="22"/>
            <w:szCs w:val="22"/>
          </w:rPr>
          <w:tab/>
        </w:r>
        <w:r>
          <w:rPr>
            <w:rStyle w:val="1020"/>
          </w:rPr>
          <w:t xml:space="preserve">Выделение документов в списке</w:t>
        </w:r>
        <w:r>
          <w:tab/>
        </w:r>
        <w:r>
          <w:fldChar w:fldCharType="begin"/>
        </w:r>
        <w:r>
          <w:instrText xml:space="preserve"> PAGEREF _Toc88819092 \h </w:instrText>
        </w:r>
        <w:r/>
        <w:r>
          <w:fldChar w:fldCharType="separate"/>
        </w:r>
        <w:r>
          <w:t xml:space="preserve">56</w:t>
        </w:r>
        <w:r>
          <w:fldChar w:fldCharType="end"/>
        </w:r>
      </w:hyperlink>
      <w:r/>
      <w:r/>
    </w:p>
    <w:p>
      <w:pPr>
        <w:pStyle w:val="1023"/>
        <w:rPr>
          <w:rFonts w:ascii="Calibri" w:hAnsi="Calibri"/>
          <w:bCs w:val="false"/>
          <w:iCs w:val="false"/>
          <w:sz w:val="22"/>
          <w:szCs w:val="22"/>
        </w:rPr>
      </w:pPr>
      <w:r/>
      <w:hyperlink w:tooltip="#_Toc88819093" w:anchor="_Toc88819093" w:history="1">
        <w:r>
          <w:rPr>
            <w:rStyle w:val="1020"/>
          </w:rPr>
          <w:t xml:space="preserve">4.2.9.</w:t>
        </w:r>
        <w:r>
          <w:rPr>
            <w:rFonts w:ascii="Calibri" w:hAnsi="Calibri"/>
            <w:bCs w:val="false"/>
            <w:iCs w:val="false"/>
            <w:sz w:val="22"/>
            <w:szCs w:val="22"/>
          </w:rPr>
          <w:tab/>
        </w:r>
        <w:r>
          <w:rPr>
            <w:rStyle w:val="1020"/>
          </w:rPr>
          <w:t xml:space="preserve">Отображение статистических данных</w:t>
        </w:r>
        <w:r>
          <w:tab/>
        </w:r>
        <w:r>
          <w:fldChar w:fldCharType="begin"/>
        </w:r>
        <w:r>
          <w:instrText xml:space="preserve"> PAGEREF _Toc88819093 \h </w:instrText>
        </w:r>
        <w:r/>
        <w:r>
          <w:fldChar w:fldCharType="separate"/>
        </w:r>
        <w:r>
          <w:t xml:space="preserve">56</w:t>
        </w:r>
        <w:r>
          <w:fldChar w:fldCharType="end"/>
        </w:r>
      </w:hyperlink>
      <w:r/>
      <w:r/>
    </w:p>
    <w:p>
      <w:pPr>
        <w:pStyle w:val="1023"/>
        <w:rPr>
          <w:rFonts w:ascii="Calibri" w:hAnsi="Calibri"/>
          <w:bCs w:val="false"/>
          <w:iCs w:val="false"/>
          <w:sz w:val="22"/>
          <w:szCs w:val="22"/>
        </w:rPr>
      </w:pPr>
      <w:r/>
      <w:hyperlink w:tooltip="#_Toc88819094" w:anchor="_Toc88819094" w:history="1">
        <w:r>
          <w:rPr>
            <w:rStyle w:val="1020"/>
          </w:rPr>
          <w:t xml:space="preserve">4.2.10.</w:t>
        </w:r>
        <w:r>
          <w:rPr>
            <w:rFonts w:ascii="Calibri" w:hAnsi="Calibri"/>
            <w:bCs w:val="false"/>
            <w:iCs w:val="false"/>
            <w:sz w:val="22"/>
            <w:szCs w:val="22"/>
          </w:rPr>
          <w:tab/>
        </w:r>
        <w:r>
          <w:rPr>
            <w:rStyle w:val="1020"/>
          </w:rPr>
          <w:t xml:space="preserve">Информационная панель</w:t>
        </w:r>
        <w:r>
          <w:tab/>
        </w:r>
        <w:r>
          <w:fldChar w:fldCharType="begin"/>
        </w:r>
        <w:r>
          <w:instrText xml:space="preserve"> PAGEREF _Toc88819094 \h </w:instrText>
        </w:r>
        <w:r/>
        <w:r>
          <w:fldChar w:fldCharType="separate"/>
        </w:r>
        <w:r>
          <w:t xml:space="preserve">57</w:t>
        </w:r>
        <w:r>
          <w:fldChar w:fldCharType="end"/>
        </w:r>
      </w:hyperlink>
      <w:r/>
      <w:r/>
    </w:p>
    <w:p>
      <w:pPr>
        <w:pStyle w:val="1021"/>
        <w:rPr>
          <w:rFonts w:ascii="Calibri" w:hAnsi="Calibri"/>
          <w:b w:val="false"/>
          <w:bCs w:val="false"/>
          <w:caps w:val="false"/>
          <w:sz w:val="22"/>
          <w:szCs w:val="22"/>
        </w:rPr>
      </w:pPr>
      <w:r/>
      <w:hyperlink w:tooltip="#_Toc88819095" w:anchor="_Toc88819095" w:history="1">
        <w:r>
          <w:rPr>
            <w:rStyle w:val="1020"/>
          </w:rPr>
          <w:t xml:space="preserve">5.</w:t>
        </w:r>
        <w:r>
          <w:rPr>
            <w:rFonts w:ascii="Calibri" w:hAnsi="Calibri"/>
            <w:b w:val="false"/>
            <w:bCs w:val="false"/>
            <w:caps w:val="false"/>
            <w:sz w:val="22"/>
            <w:szCs w:val="22"/>
          </w:rPr>
          <w:tab/>
        </w:r>
        <w:r>
          <w:rPr>
            <w:rStyle w:val="1020"/>
          </w:rPr>
          <w:t xml:space="preserve">Описание операций и экранных форм</w:t>
        </w:r>
        <w:r>
          <w:tab/>
        </w:r>
        <w:r>
          <w:fldChar w:fldCharType="begin"/>
        </w:r>
        <w:r>
          <w:instrText xml:space="preserve"> PAGEREF _Toc88819095 \h </w:instrText>
        </w:r>
        <w:r/>
        <w:r>
          <w:fldChar w:fldCharType="separate"/>
        </w:r>
        <w:r>
          <w:t xml:space="preserve">58</w:t>
        </w:r>
        <w:r>
          <w:fldChar w:fldCharType="end"/>
        </w:r>
      </w:hyperlink>
      <w:r/>
      <w:r/>
    </w:p>
    <w:p>
      <w:pPr>
        <w:pStyle w:val="1022"/>
        <w:rPr>
          <w:rFonts w:ascii="Calibri" w:hAnsi="Calibri"/>
          <w:bCs w:val="false"/>
          <w:sz w:val="22"/>
          <w:szCs w:val="22"/>
        </w:rPr>
      </w:pPr>
      <w:r/>
      <w:hyperlink w:tooltip="#_Toc88819096" w:anchor="_Toc88819096" w:history="1">
        <w:r>
          <w:rPr>
            <w:rStyle w:val="1020"/>
          </w:rPr>
          <w:t xml:space="preserve">5.1.</w:t>
        </w:r>
        <w:r>
          <w:rPr>
            <w:rFonts w:ascii="Calibri" w:hAnsi="Calibri"/>
            <w:bCs w:val="false"/>
            <w:sz w:val="22"/>
            <w:szCs w:val="22"/>
          </w:rPr>
          <w:tab/>
        </w:r>
        <w:r>
          <w:rPr>
            <w:rStyle w:val="1020"/>
          </w:rPr>
          <w:t xml:space="preserve">Группа документов «Регистрация и учет обязательств»</w:t>
        </w:r>
        <w:r>
          <w:tab/>
        </w:r>
        <w:r>
          <w:fldChar w:fldCharType="begin"/>
        </w:r>
        <w:r>
          <w:instrText xml:space="preserve"> PAGEREF _Toc88819096 \h </w:instrText>
        </w:r>
        <w:r/>
        <w:r>
          <w:fldChar w:fldCharType="separate"/>
        </w:r>
        <w:r>
          <w:t xml:space="preserve">58</w:t>
        </w:r>
        <w:r>
          <w:fldChar w:fldCharType="end"/>
        </w:r>
      </w:hyperlink>
      <w:r/>
      <w:r/>
    </w:p>
    <w:p>
      <w:pPr>
        <w:pStyle w:val="1023"/>
        <w:rPr>
          <w:rFonts w:ascii="Calibri" w:hAnsi="Calibri"/>
          <w:bCs w:val="false"/>
          <w:iCs w:val="false"/>
          <w:sz w:val="22"/>
          <w:szCs w:val="22"/>
        </w:rPr>
      </w:pPr>
      <w:r/>
      <w:hyperlink w:tooltip="#_Toc88819097" w:anchor="_Toc88819097" w:history="1">
        <w:r>
          <w:rPr>
            <w:rStyle w:val="1020"/>
          </w:rPr>
          <w:t xml:space="preserve">5.1.1.</w:t>
        </w:r>
        <w:r>
          <w:rPr>
            <w:rFonts w:ascii="Calibri" w:hAnsi="Calibri"/>
            <w:bCs w:val="false"/>
            <w:iCs w:val="false"/>
            <w:sz w:val="22"/>
            <w:szCs w:val="22"/>
          </w:rPr>
          <w:tab/>
        </w:r>
        <w:r>
          <w:rPr>
            <w:rStyle w:val="1020"/>
          </w:rPr>
          <w:t xml:space="preserve">Заявка на кассовый расход</w:t>
        </w:r>
        <w:r>
          <w:tab/>
        </w:r>
        <w:r>
          <w:fldChar w:fldCharType="begin"/>
        </w:r>
        <w:r>
          <w:instrText xml:space="preserve"> PAGEREF _Toc88819097 \h </w:instrText>
        </w:r>
        <w:r/>
        <w:r>
          <w:fldChar w:fldCharType="separate"/>
        </w:r>
        <w:r>
          <w:t xml:space="preserve">58</w:t>
        </w:r>
        <w:r>
          <w:fldChar w:fldCharType="end"/>
        </w:r>
      </w:hyperlink>
      <w:r/>
      <w:r/>
    </w:p>
    <w:p>
      <w:pPr>
        <w:pStyle w:val="1023"/>
        <w:rPr>
          <w:rFonts w:ascii="Calibri" w:hAnsi="Calibri"/>
          <w:bCs w:val="false"/>
          <w:iCs w:val="false"/>
          <w:sz w:val="22"/>
          <w:szCs w:val="22"/>
        </w:rPr>
      </w:pPr>
      <w:r/>
      <w:hyperlink w:tooltip="#_Toc88819098" w:anchor="_Toc88819098" w:history="1">
        <w:r>
          <w:rPr>
            <w:rStyle w:val="1020"/>
          </w:rPr>
          <w:t xml:space="preserve">5.1.2.</w:t>
        </w:r>
        <w:r>
          <w:rPr>
            <w:rFonts w:ascii="Calibri" w:hAnsi="Calibri"/>
            <w:bCs w:val="false"/>
            <w:iCs w:val="false"/>
            <w:sz w:val="22"/>
            <w:szCs w:val="22"/>
          </w:rPr>
          <w:tab/>
        </w:r>
        <w:r>
          <w:rPr>
            <w:rStyle w:val="1020"/>
          </w:rPr>
          <w:t xml:space="preserve">Заявка на кассовый расход (сокращенная)</w:t>
        </w:r>
        <w:r>
          <w:tab/>
        </w:r>
        <w:r>
          <w:fldChar w:fldCharType="begin"/>
        </w:r>
        <w:r>
          <w:instrText xml:space="preserve"> PAGEREF _Toc88819098 \h </w:instrText>
        </w:r>
        <w:r/>
        <w:r>
          <w:fldChar w:fldCharType="separate"/>
        </w:r>
        <w:r>
          <w:t xml:space="preserve">74</w:t>
        </w:r>
        <w:r>
          <w:fldChar w:fldCharType="end"/>
        </w:r>
      </w:hyperlink>
      <w:r/>
      <w:r/>
    </w:p>
    <w:p>
      <w:pPr>
        <w:pStyle w:val="1023"/>
        <w:rPr>
          <w:rFonts w:ascii="Calibri" w:hAnsi="Calibri"/>
          <w:bCs w:val="false"/>
          <w:iCs w:val="false"/>
          <w:sz w:val="22"/>
          <w:szCs w:val="22"/>
        </w:rPr>
      </w:pPr>
      <w:r/>
      <w:hyperlink w:tooltip="#_Toc88819099" w:anchor="_Toc88819099" w:history="1">
        <w:r>
          <w:rPr>
            <w:rStyle w:val="1020"/>
          </w:rPr>
          <w:t xml:space="preserve">5.1.3.</w:t>
        </w:r>
        <w:r>
          <w:rPr>
            <w:rFonts w:ascii="Calibri" w:hAnsi="Calibri"/>
            <w:bCs w:val="false"/>
            <w:iCs w:val="false"/>
            <w:sz w:val="22"/>
            <w:szCs w:val="22"/>
          </w:rPr>
          <w:tab/>
        </w:r>
        <w:r>
          <w:rPr>
            <w:rStyle w:val="1020"/>
          </w:rPr>
          <w:t xml:space="preserve">Заявка на получение наличных денег</w:t>
        </w:r>
        <w:r>
          <w:tab/>
        </w:r>
        <w:r>
          <w:fldChar w:fldCharType="begin"/>
        </w:r>
        <w:r>
          <w:instrText xml:space="preserve"> PAGEREF _Toc88819099 \h </w:instrText>
        </w:r>
        <w:r/>
        <w:r>
          <w:fldChar w:fldCharType="separate"/>
        </w:r>
        <w:r>
          <w:t xml:space="preserve">83</w:t>
        </w:r>
        <w:r>
          <w:fldChar w:fldCharType="end"/>
        </w:r>
      </w:hyperlink>
      <w:r/>
      <w:r/>
    </w:p>
    <w:p>
      <w:pPr>
        <w:pStyle w:val="1023"/>
        <w:rPr>
          <w:rFonts w:ascii="Calibri" w:hAnsi="Calibri"/>
          <w:bCs w:val="false"/>
          <w:iCs w:val="false"/>
          <w:sz w:val="22"/>
          <w:szCs w:val="22"/>
        </w:rPr>
      </w:pPr>
      <w:r/>
      <w:hyperlink w:tooltip="#_Toc88819100" w:anchor="_Toc88819100" w:history="1">
        <w:r>
          <w:rPr>
            <w:rStyle w:val="1020"/>
          </w:rPr>
          <w:t xml:space="preserve">5.1.4.</w:t>
        </w:r>
        <w:r>
          <w:rPr>
            <w:rFonts w:ascii="Calibri" w:hAnsi="Calibri"/>
            <w:bCs w:val="false"/>
            <w:iCs w:val="false"/>
            <w:sz w:val="22"/>
            <w:szCs w:val="22"/>
          </w:rPr>
          <w:tab/>
        </w:r>
        <w:r>
          <w:rPr>
            <w:rStyle w:val="1020"/>
          </w:rPr>
          <w:t xml:space="preserve">Заявка на получение денежных средств, перечисляемых на карту</w:t>
        </w:r>
        <w:r>
          <w:tab/>
        </w:r>
        <w:r>
          <w:fldChar w:fldCharType="begin"/>
        </w:r>
        <w:r>
          <w:instrText xml:space="preserve"> PAGEREF _Toc88819100 \h </w:instrText>
        </w:r>
        <w:r/>
        <w:r>
          <w:fldChar w:fldCharType="separate"/>
        </w:r>
        <w:r>
          <w:t xml:space="preserve">94</w:t>
        </w:r>
        <w:r>
          <w:fldChar w:fldCharType="end"/>
        </w:r>
      </w:hyperlink>
      <w:r/>
      <w:r/>
    </w:p>
    <w:p>
      <w:pPr>
        <w:pStyle w:val="1023"/>
        <w:rPr>
          <w:rFonts w:ascii="Calibri" w:hAnsi="Calibri"/>
          <w:bCs w:val="false"/>
          <w:iCs w:val="false"/>
          <w:sz w:val="22"/>
          <w:szCs w:val="22"/>
        </w:rPr>
      </w:pPr>
      <w:r/>
      <w:hyperlink w:tooltip="#_Toc88819101" w:anchor="_Toc88819101" w:history="1">
        <w:r>
          <w:rPr>
            <w:rStyle w:val="1020"/>
          </w:rPr>
          <w:t xml:space="preserve">5.1.5.</w:t>
        </w:r>
        <w:r>
          <w:rPr>
            <w:rFonts w:ascii="Calibri" w:hAnsi="Calibri"/>
            <w:bCs w:val="false"/>
            <w:iCs w:val="false"/>
            <w:sz w:val="22"/>
            <w:szCs w:val="22"/>
          </w:rPr>
          <w:tab/>
        </w:r>
        <w:r>
          <w:rPr>
            <w:rStyle w:val="1020"/>
          </w:rPr>
          <w:t xml:space="preserve">Расшифровка сумм неиспользованных средств</w:t>
        </w:r>
        <w:r>
          <w:tab/>
        </w:r>
        <w:r>
          <w:fldChar w:fldCharType="begin"/>
        </w:r>
        <w:r>
          <w:instrText xml:space="preserve"> PAGEREF _Toc88819101 \h </w:instrText>
        </w:r>
        <w:r/>
        <w:r>
          <w:fldChar w:fldCharType="separate"/>
        </w:r>
        <w:r>
          <w:t xml:space="preserve">103</w:t>
        </w:r>
        <w:r>
          <w:fldChar w:fldCharType="end"/>
        </w:r>
      </w:hyperlink>
      <w:r/>
      <w:r/>
    </w:p>
    <w:p>
      <w:pPr>
        <w:pStyle w:val="1023"/>
        <w:rPr>
          <w:rFonts w:ascii="Calibri" w:hAnsi="Calibri"/>
          <w:bCs w:val="false"/>
          <w:iCs w:val="false"/>
          <w:sz w:val="22"/>
          <w:szCs w:val="22"/>
        </w:rPr>
      </w:pPr>
      <w:r/>
      <w:hyperlink w:tooltip="#_Toc88819102" w:anchor="_Toc88819102" w:history="1">
        <w:r>
          <w:rPr>
            <w:rStyle w:val="1020"/>
          </w:rPr>
          <w:t xml:space="preserve">5.1.6.</w:t>
        </w:r>
        <w:r>
          <w:rPr>
            <w:rFonts w:ascii="Calibri" w:hAnsi="Calibri"/>
            <w:bCs w:val="false"/>
            <w:iCs w:val="false"/>
            <w:sz w:val="22"/>
            <w:szCs w:val="22"/>
          </w:rPr>
          <w:tab/>
        </w:r>
        <w:r>
          <w:rPr>
            <w:rStyle w:val="1020"/>
          </w:rPr>
          <w:t xml:space="preserve">Платежное поручение</w:t>
        </w:r>
        <w:r>
          <w:tab/>
        </w:r>
        <w:r>
          <w:fldChar w:fldCharType="begin"/>
        </w:r>
        <w:r>
          <w:instrText xml:space="preserve"> PAGEREF _Toc88819102 \h </w:instrText>
        </w:r>
        <w:r/>
        <w:r>
          <w:fldChar w:fldCharType="separate"/>
        </w:r>
        <w:r>
          <w:t xml:space="preserve">110</w:t>
        </w:r>
        <w:r>
          <w:fldChar w:fldCharType="end"/>
        </w:r>
      </w:hyperlink>
      <w:r/>
      <w:r/>
    </w:p>
    <w:p>
      <w:pPr>
        <w:pStyle w:val="1023"/>
        <w:rPr>
          <w:rFonts w:ascii="Calibri" w:hAnsi="Calibri"/>
          <w:bCs w:val="false"/>
          <w:iCs w:val="false"/>
          <w:sz w:val="22"/>
          <w:szCs w:val="22"/>
        </w:rPr>
      </w:pPr>
      <w:r/>
      <w:hyperlink w:tooltip="#_Toc88819103" w:anchor="_Toc88819103" w:history="1">
        <w:r>
          <w:rPr>
            <w:rStyle w:val="1020"/>
          </w:rPr>
          <w:t xml:space="preserve">5.1.7.</w:t>
        </w:r>
        <w:r>
          <w:rPr>
            <w:rFonts w:ascii="Calibri" w:hAnsi="Calibri"/>
            <w:bCs w:val="false"/>
            <w:iCs w:val="false"/>
            <w:sz w:val="22"/>
            <w:szCs w:val="22"/>
          </w:rPr>
          <w:tab/>
        </w:r>
        <w:r>
          <w:rPr>
            <w:rStyle w:val="1020"/>
          </w:rPr>
          <w:t xml:space="preserve">Пакет платежных поручений</w:t>
        </w:r>
        <w:r>
          <w:tab/>
        </w:r>
        <w:r>
          <w:fldChar w:fldCharType="begin"/>
        </w:r>
        <w:r>
          <w:instrText xml:space="preserve"> PAGEREF _Toc88819103 \h </w:instrText>
        </w:r>
        <w:r/>
        <w:r>
          <w:fldChar w:fldCharType="separate"/>
        </w:r>
        <w:r>
          <w:t xml:space="preserve">120</w:t>
        </w:r>
        <w:r>
          <w:fldChar w:fldCharType="end"/>
        </w:r>
      </w:hyperlink>
      <w:r/>
      <w:r/>
    </w:p>
    <w:p>
      <w:pPr>
        <w:pStyle w:val="1023"/>
        <w:rPr>
          <w:rFonts w:ascii="Calibri" w:hAnsi="Calibri"/>
          <w:bCs w:val="false"/>
          <w:iCs w:val="false"/>
          <w:sz w:val="22"/>
          <w:szCs w:val="22"/>
        </w:rPr>
      </w:pPr>
      <w:r/>
      <w:hyperlink w:tooltip="#_Toc88819104" w:anchor="_Toc88819104" w:history="1">
        <w:r>
          <w:rPr>
            <w:rStyle w:val="1020"/>
          </w:rPr>
          <w:t xml:space="preserve">5.1.8.</w:t>
        </w:r>
        <w:r>
          <w:rPr>
            <w:rFonts w:ascii="Calibri" w:hAnsi="Calibri"/>
            <w:bCs w:val="false"/>
            <w:iCs w:val="false"/>
            <w:sz w:val="22"/>
            <w:szCs w:val="22"/>
          </w:rPr>
          <w:tab/>
        </w:r>
        <w:r>
          <w:rPr>
            <w:rStyle w:val="1020"/>
          </w:rPr>
          <w:t xml:space="preserve">Распоряжение финансового органа с расшифровкой</w:t>
        </w:r>
        <w:r>
          <w:tab/>
        </w:r>
        <w:r>
          <w:fldChar w:fldCharType="begin"/>
        </w:r>
        <w:r>
          <w:instrText xml:space="preserve"> PAGEREF _Toc88819104 \h </w:instrText>
        </w:r>
        <w:r/>
        <w:r>
          <w:fldChar w:fldCharType="separate"/>
        </w:r>
        <w:r>
          <w:t xml:space="preserve">129</w:t>
        </w:r>
        <w:r>
          <w:fldChar w:fldCharType="end"/>
        </w:r>
      </w:hyperlink>
      <w:r/>
      <w:r/>
    </w:p>
    <w:p>
      <w:pPr>
        <w:pStyle w:val="1023"/>
        <w:rPr>
          <w:rFonts w:ascii="Calibri" w:hAnsi="Calibri"/>
          <w:bCs w:val="false"/>
          <w:iCs w:val="false"/>
          <w:sz w:val="22"/>
          <w:szCs w:val="22"/>
        </w:rPr>
      </w:pPr>
      <w:r/>
      <w:hyperlink w:tooltip="#_Toc88819105" w:anchor="_Toc88819105" w:history="1">
        <w:r>
          <w:rPr>
            <w:rStyle w:val="1020"/>
          </w:rPr>
          <w:t xml:space="preserve">5.1.9.</w:t>
        </w:r>
        <w:r>
          <w:rPr>
            <w:rFonts w:ascii="Calibri" w:hAnsi="Calibri"/>
            <w:bCs w:val="false"/>
            <w:iCs w:val="false"/>
            <w:sz w:val="22"/>
            <w:szCs w:val="22"/>
          </w:rPr>
          <w:tab/>
        </w:r>
        <w:r>
          <w:rPr>
            <w:rStyle w:val="1020"/>
          </w:rPr>
          <w:t xml:space="preserve">Данные об аннулированных чеках</w:t>
        </w:r>
        <w:r>
          <w:tab/>
        </w:r>
        <w:r>
          <w:fldChar w:fldCharType="begin"/>
        </w:r>
        <w:r>
          <w:instrText xml:space="preserve"> PAGEREF _Toc88819105 \h </w:instrText>
        </w:r>
        <w:r/>
        <w:r>
          <w:fldChar w:fldCharType="separate"/>
        </w:r>
        <w:r>
          <w:t xml:space="preserve">135</w:t>
        </w:r>
        <w:r>
          <w:fldChar w:fldCharType="end"/>
        </w:r>
      </w:hyperlink>
      <w:r/>
      <w:r/>
    </w:p>
    <w:p>
      <w:pPr>
        <w:pStyle w:val="1023"/>
        <w:rPr>
          <w:rFonts w:ascii="Calibri" w:hAnsi="Calibri"/>
          <w:bCs w:val="false"/>
          <w:iCs w:val="false"/>
          <w:sz w:val="22"/>
          <w:szCs w:val="22"/>
        </w:rPr>
      </w:pPr>
      <w:r/>
      <w:hyperlink w:tooltip="#_Toc88819106" w:anchor="_Toc88819106" w:history="1">
        <w:r>
          <w:rPr>
            <w:rStyle w:val="1020"/>
          </w:rPr>
          <w:t xml:space="preserve">5.1.10.</w:t>
        </w:r>
        <w:r>
          <w:rPr>
            <w:rFonts w:ascii="Calibri" w:hAnsi="Calibri"/>
            <w:bCs w:val="false"/>
            <w:iCs w:val="false"/>
            <w:sz w:val="22"/>
            <w:szCs w:val="22"/>
          </w:rPr>
          <w:tab/>
        </w:r>
        <w:r>
          <w:rPr>
            <w:rStyle w:val="1020"/>
          </w:rPr>
          <w:t xml:space="preserve">Заявление на проведение операций с иностранной валютой</w:t>
        </w:r>
        <w:r>
          <w:tab/>
        </w:r>
        <w:r>
          <w:fldChar w:fldCharType="begin"/>
        </w:r>
        <w:r>
          <w:instrText xml:space="preserve"> PAGEREF _Toc88819106 \h </w:instrText>
        </w:r>
        <w:r/>
        <w:r>
          <w:fldChar w:fldCharType="separate"/>
        </w:r>
        <w:r>
          <w:t xml:space="preserve">137</w:t>
        </w:r>
        <w:r>
          <w:fldChar w:fldCharType="end"/>
        </w:r>
      </w:hyperlink>
      <w:r/>
      <w:r/>
    </w:p>
    <w:p>
      <w:pPr>
        <w:pStyle w:val="1023"/>
        <w:rPr>
          <w:rFonts w:ascii="Calibri" w:hAnsi="Calibri"/>
          <w:bCs w:val="false"/>
          <w:iCs w:val="false"/>
          <w:sz w:val="22"/>
          <w:szCs w:val="22"/>
        </w:rPr>
      </w:pPr>
      <w:r/>
      <w:hyperlink w:tooltip="#_Toc88819107" w:anchor="_Toc88819107" w:history="1">
        <w:r>
          <w:rPr>
            <w:rStyle w:val="1020"/>
          </w:rPr>
          <w:t xml:space="preserve">5.1.11.</w:t>
        </w:r>
        <w:r>
          <w:rPr>
            <w:rFonts w:ascii="Calibri" w:hAnsi="Calibri"/>
            <w:bCs w:val="false"/>
            <w:iCs w:val="false"/>
            <w:sz w:val="22"/>
            <w:szCs w:val="22"/>
          </w:rPr>
          <w:tab/>
        </w:r>
        <w:r>
          <w:rPr>
            <w:rStyle w:val="1020"/>
          </w:rPr>
          <w:t xml:space="preserve">Сводная заявка на кассовый расход (для уплаты налогов)</w:t>
        </w:r>
        <w:r>
          <w:tab/>
        </w:r>
        <w:r>
          <w:fldChar w:fldCharType="begin"/>
        </w:r>
        <w:r>
          <w:instrText xml:space="preserve"> PAGEREF _Toc88819107 \h </w:instrText>
        </w:r>
        <w:r/>
        <w:r>
          <w:fldChar w:fldCharType="separate"/>
        </w:r>
        <w:r>
          <w:t xml:space="preserve">149</w:t>
        </w:r>
        <w:r>
          <w:fldChar w:fldCharType="end"/>
        </w:r>
      </w:hyperlink>
      <w:r/>
      <w:r/>
    </w:p>
    <w:p>
      <w:pPr>
        <w:pStyle w:val="1023"/>
        <w:rPr>
          <w:rFonts w:ascii="Calibri" w:hAnsi="Calibri"/>
          <w:bCs w:val="false"/>
          <w:iCs w:val="false"/>
          <w:sz w:val="22"/>
          <w:szCs w:val="22"/>
        </w:rPr>
      </w:pPr>
      <w:r/>
      <w:hyperlink w:tooltip="#_Toc88819108" w:anchor="_Toc88819108" w:history="1">
        <w:r>
          <w:rPr>
            <w:rStyle w:val="1020"/>
          </w:rPr>
          <w:t xml:space="preserve">5.1.12.</w:t>
        </w:r>
        <w:r>
          <w:rPr>
            <w:rFonts w:ascii="Calibri" w:hAnsi="Calibri"/>
            <w:bCs w:val="false"/>
            <w:iCs w:val="false"/>
            <w:sz w:val="22"/>
            <w:szCs w:val="22"/>
          </w:rPr>
          <w:tab/>
        </w:r>
        <w:r>
          <w:rPr>
            <w:rStyle w:val="1020"/>
          </w:rPr>
          <w:t xml:space="preserve">Распоряжение о перечислении денежных средств на банковские карты «Мир» физических лиц</w:t>
        </w:r>
        <w:r>
          <w:tab/>
        </w:r>
        <w:r>
          <w:fldChar w:fldCharType="begin"/>
        </w:r>
        <w:r>
          <w:instrText xml:space="preserve"> PAGEREF _Toc88819108 \h </w:instrText>
        </w:r>
        <w:r/>
        <w:r>
          <w:fldChar w:fldCharType="separate"/>
        </w:r>
        <w:r>
          <w:t xml:space="preserve">157</w:t>
        </w:r>
        <w:r>
          <w:fldChar w:fldCharType="end"/>
        </w:r>
      </w:hyperlink>
      <w:r/>
      <w:r/>
    </w:p>
    <w:p>
      <w:pPr>
        <w:pStyle w:val="1023"/>
        <w:rPr>
          <w:rFonts w:ascii="Calibri" w:hAnsi="Calibri"/>
          <w:bCs w:val="false"/>
          <w:iCs w:val="false"/>
          <w:sz w:val="22"/>
          <w:szCs w:val="22"/>
        </w:rPr>
      </w:pPr>
      <w:r/>
      <w:hyperlink w:tooltip="#_Toc88819109" w:anchor="_Toc88819109" w:history="1">
        <w:r>
          <w:rPr>
            <w:rStyle w:val="1020"/>
          </w:rPr>
          <w:t xml:space="preserve">5.1.13.</w:t>
        </w:r>
        <w:r>
          <w:rPr>
            <w:rFonts w:ascii="Calibri" w:hAnsi="Calibri"/>
            <w:bCs w:val="false"/>
            <w:iCs w:val="false"/>
            <w:sz w:val="22"/>
            <w:szCs w:val="22"/>
          </w:rPr>
          <w:tab/>
        </w:r>
        <w:r>
          <w:rPr>
            <w:rStyle w:val="1020"/>
          </w:rPr>
          <w:t xml:space="preserve">Сведения об обязательстве</w:t>
        </w:r>
        <w:r>
          <w:tab/>
        </w:r>
        <w:r>
          <w:fldChar w:fldCharType="begin"/>
        </w:r>
        <w:r>
          <w:instrText xml:space="preserve"> PAGEREF _Toc88819109 \h </w:instrText>
        </w:r>
        <w:r/>
        <w:r>
          <w:fldChar w:fldCharType="separate"/>
        </w:r>
        <w:r>
          <w:t xml:space="preserve">165</w:t>
        </w:r>
        <w:r>
          <w:fldChar w:fldCharType="end"/>
        </w:r>
      </w:hyperlink>
      <w:r/>
      <w:r/>
    </w:p>
    <w:p>
      <w:pPr>
        <w:pStyle w:val="1023"/>
        <w:rPr>
          <w:rFonts w:ascii="Calibri" w:hAnsi="Calibri"/>
          <w:bCs w:val="false"/>
          <w:iCs w:val="false"/>
          <w:sz w:val="22"/>
          <w:szCs w:val="22"/>
        </w:rPr>
      </w:pPr>
      <w:r/>
      <w:hyperlink w:tooltip="#_Toc88819110" w:anchor="_Toc88819110" w:history="1">
        <w:r>
          <w:rPr>
            <w:rStyle w:val="1020"/>
          </w:rPr>
          <w:t xml:space="preserve">5.1.14.</w:t>
        </w:r>
        <w:r>
          <w:rPr>
            <w:rFonts w:ascii="Calibri" w:hAnsi="Calibri"/>
            <w:bCs w:val="false"/>
            <w:iCs w:val="false"/>
            <w:sz w:val="22"/>
            <w:szCs w:val="22"/>
          </w:rPr>
          <w:tab/>
        </w:r>
        <w:r>
          <w:rPr>
            <w:rStyle w:val="1020"/>
          </w:rPr>
          <w:t xml:space="preserve">Заявка на внесение изменений в обязательство</w:t>
        </w:r>
        <w:r>
          <w:tab/>
        </w:r>
        <w:r>
          <w:fldChar w:fldCharType="begin"/>
        </w:r>
        <w:r>
          <w:instrText xml:space="preserve"> PAGEREF _Toc88819110 \h </w:instrText>
        </w:r>
        <w:r/>
        <w:r>
          <w:fldChar w:fldCharType="separate"/>
        </w:r>
        <w:r>
          <w:t xml:space="preserve">180</w:t>
        </w:r>
        <w:r>
          <w:fldChar w:fldCharType="end"/>
        </w:r>
      </w:hyperlink>
      <w:r/>
      <w:r/>
    </w:p>
    <w:p>
      <w:pPr>
        <w:pStyle w:val="1023"/>
        <w:rPr>
          <w:rFonts w:ascii="Calibri" w:hAnsi="Calibri"/>
          <w:bCs w:val="false"/>
          <w:iCs w:val="false"/>
          <w:sz w:val="22"/>
          <w:szCs w:val="22"/>
        </w:rPr>
      </w:pPr>
      <w:r/>
      <w:hyperlink w:tooltip="#_Toc88819111" w:anchor="_Toc88819111" w:history="1">
        <w:r>
          <w:rPr>
            <w:rStyle w:val="1020"/>
          </w:rPr>
          <w:t xml:space="preserve">5.1.15.</w:t>
        </w:r>
        <w:r>
          <w:rPr>
            <w:rFonts w:ascii="Calibri" w:hAnsi="Calibri"/>
            <w:bCs w:val="false"/>
            <w:iCs w:val="false"/>
            <w:sz w:val="22"/>
            <w:szCs w:val="22"/>
          </w:rPr>
          <w:tab/>
        </w:r>
        <w:r>
          <w:rPr>
            <w:rStyle w:val="1020"/>
          </w:rPr>
          <w:t xml:space="preserve">Заявка на перерегистрацию бюджетного обязательства</w:t>
        </w:r>
        <w:r>
          <w:tab/>
        </w:r>
        <w:r>
          <w:fldChar w:fldCharType="begin"/>
        </w:r>
        <w:r>
          <w:instrText xml:space="preserve"> PAGEREF _Toc88819111 \h </w:instrText>
        </w:r>
        <w:r/>
        <w:r>
          <w:fldChar w:fldCharType="separate"/>
        </w:r>
        <w:r>
          <w:t xml:space="preserve">195</w:t>
        </w:r>
        <w:r>
          <w:fldChar w:fldCharType="end"/>
        </w:r>
      </w:hyperlink>
      <w:r/>
      <w:r/>
    </w:p>
    <w:p>
      <w:pPr>
        <w:pStyle w:val="1023"/>
        <w:rPr>
          <w:rFonts w:ascii="Calibri" w:hAnsi="Calibri"/>
          <w:bCs w:val="false"/>
          <w:iCs w:val="false"/>
          <w:sz w:val="22"/>
          <w:szCs w:val="22"/>
        </w:rPr>
      </w:pPr>
      <w:r/>
      <w:hyperlink w:tooltip="#_Toc88819112" w:anchor="_Toc88819112" w:history="1">
        <w:r>
          <w:rPr>
            <w:rStyle w:val="1020"/>
          </w:rPr>
          <w:t xml:space="preserve">5.1.16.</w:t>
        </w:r>
        <w:r>
          <w:rPr>
            <w:rFonts w:ascii="Calibri" w:hAnsi="Calibri"/>
            <w:bCs w:val="false"/>
            <w:iCs w:val="false"/>
            <w:sz w:val="22"/>
            <w:szCs w:val="22"/>
          </w:rPr>
          <w:tab/>
        </w:r>
        <w:r>
          <w:rPr>
            <w:rStyle w:val="1020"/>
          </w:rPr>
          <w:t xml:space="preserve">Извещение о постановке на учет (изменении) БО в ФК</w:t>
        </w:r>
        <w:r>
          <w:tab/>
        </w:r>
        <w:r>
          <w:fldChar w:fldCharType="begin"/>
        </w:r>
        <w:r>
          <w:instrText xml:space="preserve"> PAGEREF _Toc88819112 \h </w:instrText>
        </w:r>
        <w:r/>
        <w:r>
          <w:fldChar w:fldCharType="separate"/>
        </w:r>
        <w:r>
          <w:t xml:space="preserve">207</w:t>
        </w:r>
        <w:r>
          <w:fldChar w:fldCharType="end"/>
        </w:r>
      </w:hyperlink>
      <w:r/>
      <w:r/>
    </w:p>
    <w:p>
      <w:pPr>
        <w:pStyle w:val="1023"/>
        <w:rPr>
          <w:rFonts w:ascii="Calibri" w:hAnsi="Calibri"/>
          <w:bCs w:val="false"/>
          <w:iCs w:val="false"/>
          <w:sz w:val="22"/>
          <w:szCs w:val="22"/>
        </w:rPr>
      </w:pPr>
      <w:r/>
      <w:hyperlink w:tooltip="#_Toc88819113" w:anchor="_Toc88819113" w:history="1">
        <w:r>
          <w:rPr>
            <w:rStyle w:val="1020"/>
          </w:rPr>
          <w:t xml:space="preserve">5.1.17.</w:t>
        </w:r>
        <w:r>
          <w:rPr>
            <w:rFonts w:ascii="Calibri" w:hAnsi="Calibri"/>
            <w:bCs w:val="false"/>
            <w:iCs w:val="false"/>
            <w:sz w:val="22"/>
            <w:szCs w:val="22"/>
          </w:rPr>
          <w:tab/>
        </w:r>
        <w:r>
          <w:rPr>
            <w:rStyle w:val="1020"/>
          </w:rPr>
          <w:t xml:space="preserve">Извещение о постановке на учет (изменении) ДО в ФК</w:t>
        </w:r>
        <w:r>
          <w:tab/>
        </w:r>
        <w:r>
          <w:fldChar w:fldCharType="begin"/>
        </w:r>
        <w:r>
          <w:instrText xml:space="preserve"> PAGEREF _Toc88819113 \h </w:instrText>
        </w:r>
        <w:r/>
        <w:r>
          <w:fldChar w:fldCharType="separate"/>
        </w:r>
        <w:r>
          <w:t xml:space="preserve">211</w:t>
        </w:r>
        <w:r>
          <w:fldChar w:fldCharType="end"/>
        </w:r>
      </w:hyperlink>
      <w:r/>
      <w:r/>
    </w:p>
    <w:p>
      <w:pPr>
        <w:pStyle w:val="1023"/>
        <w:rPr>
          <w:rFonts w:ascii="Calibri" w:hAnsi="Calibri"/>
          <w:bCs w:val="false"/>
          <w:iCs w:val="false"/>
          <w:sz w:val="22"/>
          <w:szCs w:val="22"/>
        </w:rPr>
      </w:pPr>
      <w:r/>
      <w:hyperlink w:tooltip="#_Toc88819114" w:anchor="_Toc88819114" w:history="1">
        <w:r>
          <w:rPr>
            <w:rStyle w:val="1020"/>
          </w:rPr>
          <w:t xml:space="preserve">5.1.18.</w:t>
        </w:r>
        <w:r>
          <w:rPr>
            <w:rFonts w:ascii="Calibri" w:hAnsi="Calibri"/>
            <w:bCs w:val="false"/>
            <w:iCs w:val="false"/>
            <w:sz w:val="22"/>
            <w:szCs w:val="22"/>
          </w:rPr>
          <w:tab/>
        </w:r>
        <w:r>
          <w:rPr>
            <w:rStyle w:val="1020"/>
          </w:rPr>
          <w:t xml:space="preserve">Заявление на выдачу (перевод, отзыв) Казначейского обеспечения обязательств</w:t>
        </w:r>
        <w:r>
          <w:tab/>
        </w:r>
        <w:r>
          <w:fldChar w:fldCharType="begin"/>
        </w:r>
        <w:r>
          <w:instrText xml:space="preserve"> PAGEREF _Toc88819114 \h </w:instrText>
        </w:r>
        <w:r/>
        <w:r>
          <w:fldChar w:fldCharType="separate"/>
        </w:r>
        <w:r>
          <w:t xml:space="preserve">214</w:t>
        </w:r>
        <w:r>
          <w:fldChar w:fldCharType="end"/>
        </w:r>
      </w:hyperlink>
      <w:r/>
      <w:r/>
    </w:p>
    <w:p>
      <w:pPr>
        <w:pStyle w:val="1023"/>
        <w:rPr>
          <w:rFonts w:ascii="Calibri" w:hAnsi="Calibri"/>
          <w:bCs w:val="false"/>
          <w:iCs w:val="false"/>
          <w:sz w:val="22"/>
          <w:szCs w:val="22"/>
        </w:rPr>
      </w:pPr>
      <w:r/>
      <w:hyperlink w:tooltip="#_Toc88819115" w:anchor="_Toc88819115" w:history="1">
        <w:r>
          <w:rPr>
            <w:rStyle w:val="1020"/>
          </w:rPr>
          <w:t xml:space="preserve">5.1.19.</w:t>
        </w:r>
        <w:r>
          <w:rPr>
            <w:rFonts w:ascii="Calibri" w:hAnsi="Calibri"/>
            <w:bCs w:val="false"/>
            <w:iCs w:val="false"/>
            <w:sz w:val="22"/>
            <w:szCs w:val="22"/>
          </w:rPr>
          <w:tab/>
        </w:r>
        <w:r>
          <w:rPr>
            <w:rStyle w:val="1020"/>
          </w:rPr>
          <w:t xml:space="preserve">Казначейское обеспечение обязательств</w:t>
        </w:r>
        <w:r>
          <w:tab/>
        </w:r>
        <w:r>
          <w:fldChar w:fldCharType="begin"/>
        </w:r>
        <w:r>
          <w:instrText xml:space="preserve"> PAGEREF _Toc88819115 \h </w:instrText>
        </w:r>
        <w:r/>
        <w:r>
          <w:fldChar w:fldCharType="separate"/>
        </w:r>
        <w:r>
          <w:t xml:space="preserve">226</w:t>
        </w:r>
        <w:r>
          <w:fldChar w:fldCharType="end"/>
        </w:r>
      </w:hyperlink>
      <w:r/>
      <w:r/>
    </w:p>
    <w:p>
      <w:pPr>
        <w:pStyle w:val="1023"/>
        <w:rPr>
          <w:rFonts w:ascii="Calibri" w:hAnsi="Calibri"/>
          <w:bCs w:val="false"/>
          <w:iCs w:val="false"/>
          <w:sz w:val="22"/>
          <w:szCs w:val="22"/>
        </w:rPr>
      </w:pPr>
      <w:r/>
      <w:hyperlink w:tooltip="#_Toc88819116" w:anchor="_Toc88819116" w:history="1">
        <w:r>
          <w:rPr>
            <w:rStyle w:val="1020"/>
          </w:rPr>
          <w:t xml:space="preserve">5.1.20.</w:t>
        </w:r>
        <w:r>
          <w:rPr>
            <w:rFonts w:ascii="Calibri" w:hAnsi="Calibri"/>
            <w:bCs w:val="false"/>
            <w:iCs w:val="false"/>
            <w:sz w:val="22"/>
            <w:szCs w:val="22"/>
          </w:rPr>
          <w:tab/>
        </w:r>
        <w:r>
          <w:rPr>
            <w:rStyle w:val="1020"/>
          </w:rPr>
          <w:t xml:space="preserve">Сведения о денежном обязательстве</w:t>
        </w:r>
        <w:r>
          <w:tab/>
        </w:r>
        <w:r>
          <w:fldChar w:fldCharType="begin"/>
        </w:r>
        <w:r>
          <w:instrText xml:space="preserve"> PAGEREF _Toc88819116 \h </w:instrText>
        </w:r>
        <w:r/>
        <w:r>
          <w:fldChar w:fldCharType="separate"/>
        </w:r>
        <w:r>
          <w:t xml:space="preserve">235</w:t>
        </w:r>
        <w:r>
          <w:fldChar w:fldCharType="end"/>
        </w:r>
      </w:hyperlink>
      <w:r/>
      <w:r/>
    </w:p>
    <w:p>
      <w:pPr>
        <w:pStyle w:val="1022"/>
        <w:rPr>
          <w:rFonts w:ascii="Calibri" w:hAnsi="Calibri"/>
          <w:bCs w:val="false"/>
          <w:sz w:val="22"/>
          <w:szCs w:val="22"/>
        </w:rPr>
      </w:pPr>
      <w:r/>
      <w:hyperlink w:tooltip="#_Toc88819117" w:anchor="_Toc88819117" w:history="1">
        <w:r>
          <w:rPr>
            <w:rStyle w:val="1020"/>
          </w:rPr>
          <w:t xml:space="preserve">5.2.</w:t>
        </w:r>
        <w:r>
          <w:rPr>
            <w:rFonts w:ascii="Calibri" w:hAnsi="Calibri"/>
            <w:bCs w:val="false"/>
            <w:sz w:val="22"/>
            <w:szCs w:val="22"/>
          </w:rPr>
          <w:tab/>
        </w:r>
        <w:r>
          <w:rPr>
            <w:rStyle w:val="1020"/>
          </w:rPr>
          <w:t xml:space="preserve">Группа документов «Кассовое планирование»</w:t>
        </w:r>
        <w:r>
          <w:tab/>
        </w:r>
        <w:r>
          <w:fldChar w:fldCharType="begin"/>
        </w:r>
        <w:r>
          <w:instrText xml:space="preserve"> PAGEREF _Toc88819117 \h </w:instrText>
        </w:r>
        <w:r/>
        <w:r>
          <w:fldChar w:fldCharType="separate"/>
        </w:r>
        <w:r>
          <w:t xml:space="preserve">244</w:t>
        </w:r>
        <w:r>
          <w:fldChar w:fldCharType="end"/>
        </w:r>
      </w:hyperlink>
      <w:r/>
      <w:r/>
    </w:p>
    <w:p>
      <w:pPr>
        <w:pStyle w:val="1023"/>
        <w:rPr>
          <w:rFonts w:ascii="Calibri" w:hAnsi="Calibri"/>
          <w:bCs w:val="false"/>
          <w:iCs w:val="false"/>
          <w:sz w:val="22"/>
          <w:szCs w:val="22"/>
        </w:rPr>
      </w:pPr>
      <w:r/>
      <w:hyperlink w:tooltip="#_Toc88819118" w:anchor="_Toc88819118" w:history="1">
        <w:r>
          <w:rPr>
            <w:rStyle w:val="1020"/>
          </w:rPr>
          <w:t xml:space="preserve">5.2.1.</w:t>
        </w:r>
        <w:r>
          <w:rPr>
            <w:rFonts w:ascii="Calibri" w:hAnsi="Calibri"/>
            <w:bCs w:val="false"/>
            <w:iCs w:val="false"/>
            <w:sz w:val="22"/>
            <w:szCs w:val="22"/>
          </w:rPr>
          <w:tab/>
        </w:r>
        <w:r>
          <w:rPr>
            <w:rStyle w:val="1020"/>
          </w:rPr>
          <w:t xml:space="preserve">Прогноз движения средств на счете бюджета</w:t>
        </w:r>
        <w:r>
          <w:tab/>
        </w:r>
        <w:r>
          <w:fldChar w:fldCharType="begin"/>
        </w:r>
        <w:r>
          <w:instrText xml:space="preserve"> PAGEREF _Toc88819118 \h </w:instrText>
        </w:r>
        <w:r/>
        <w:r>
          <w:fldChar w:fldCharType="separate"/>
        </w:r>
        <w:r>
          <w:t xml:space="preserve">244</w:t>
        </w:r>
        <w:r>
          <w:fldChar w:fldCharType="end"/>
        </w:r>
      </w:hyperlink>
      <w:r/>
      <w:r/>
    </w:p>
    <w:p>
      <w:pPr>
        <w:pStyle w:val="1023"/>
        <w:rPr>
          <w:rFonts w:ascii="Calibri" w:hAnsi="Calibri"/>
          <w:bCs w:val="false"/>
          <w:iCs w:val="false"/>
          <w:sz w:val="22"/>
          <w:szCs w:val="22"/>
        </w:rPr>
      </w:pPr>
      <w:r/>
      <w:hyperlink w:tooltip="#_Toc88819119" w:anchor="_Toc88819119" w:history="1">
        <w:r>
          <w:rPr>
            <w:rStyle w:val="1020"/>
          </w:rPr>
          <w:t xml:space="preserve">5.2.2.</w:t>
        </w:r>
        <w:r>
          <w:rPr>
            <w:rFonts w:ascii="Calibri" w:hAnsi="Calibri"/>
            <w:bCs w:val="false"/>
            <w:iCs w:val="false"/>
            <w:sz w:val="22"/>
            <w:szCs w:val="22"/>
          </w:rPr>
          <w:tab/>
        </w:r>
        <w:r>
          <w:rPr>
            <w:rStyle w:val="1020"/>
          </w:rPr>
          <w:t xml:space="preserve">Прогноз движения средств на счете бюджета с детализацией по дням</w:t>
        </w:r>
        <w:r>
          <w:tab/>
        </w:r>
        <w:r>
          <w:fldChar w:fldCharType="begin"/>
        </w:r>
        <w:r>
          <w:instrText xml:space="preserve"> PAGEREF _Toc88819119 \h </w:instrText>
        </w:r>
        <w:r/>
        <w:r>
          <w:fldChar w:fldCharType="separate"/>
        </w:r>
        <w:r>
          <w:t xml:space="preserve">264</w:t>
        </w:r>
        <w:r>
          <w:fldChar w:fldCharType="end"/>
        </w:r>
      </w:hyperlink>
      <w:r/>
      <w:r/>
    </w:p>
    <w:p>
      <w:pPr>
        <w:pStyle w:val="1022"/>
        <w:rPr>
          <w:rFonts w:ascii="Calibri" w:hAnsi="Calibri"/>
          <w:bCs w:val="false"/>
          <w:sz w:val="22"/>
          <w:szCs w:val="22"/>
        </w:rPr>
      </w:pPr>
      <w:r/>
      <w:hyperlink w:tooltip="#_Toc88819120" w:anchor="_Toc88819120" w:history="1">
        <w:r>
          <w:rPr>
            <w:rStyle w:val="1020"/>
          </w:rPr>
          <w:t xml:space="preserve">5.3.</w:t>
        </w:r>
        <w:r>
          <w:rPr>
            <w:rFonts w:ascii="Calibri" w:hAnsi="Calibri"/>
            <w:bCs w:val="false"/>
            <w:sz w:val="22"/>
            <w:szCs w:val="22"/>
          </w:rPr>
          <w:tab/>
        </w:r>
        <w:r>
          <w:rPr>
            <w:rStyle w:val="1020"/>
          </w:rPr>
          <w:t xml:space="preserve">Группа документов «Обработка и учет поступлений»</w:t>
        </w:r>
        <w:r>
          <w:tab/>
        </w:r>
        <w:r>
          <w:fldChar w:fldCharType="begin"/>
        </w:r>
        <w:r>
          <w:instrText xml:space="preserve"> PAGEREF _Toc88819120 \h </w:instrText>
        </w:r>
        <w:r/>
        <w:r>
          <w:fldChar w:fldCharType="separate"/>
        </w:r>
        <w:r>
          <w:t xml:space="preserve">273</w:t>
        </w:r>
        <w:r>
          <w:fldChar w:fldCharType="end"/>
        </w:r>
      </w:hyperlink>
      <w:r/>
      <w:r/>
    </w:p>
    <w:p>
      <w:pPr>
        <w:pStyle w:val="1023"/>
        <w:rPr>
          <w:rFonts w:ascii="Calibri" w:hAnsi="Calibri"/>
          <w:bCs w:val="false"/>
          <w:iCs w:val="false"/>
          <w:sz w:val="22"/>
          <w:szCs w:val="22"/>
        </w:rPr>
      </w:pPr>
      <w:r/>
      <w:hyperlink w:tooltip="#_Toc88819121" w:anchor="_Toc88819121" w:history="1">
        <w:r>
          <w:rPr>
            <w:rStyle w:val="1020"/>
          </w:rPr>
          <w:t xml:space="preserve">5.3.1.</w:t>
        </w:r>
        <w:r>
          <w:rPr>
            <w:rFonts w:ascii="Calibri" w:hAnsi="Calibri"/>
            <w:bCs w:val="false"/>
            <w:iCs w:val="false"/>
            <w:sz w:val="22"/>
            <w:szCs w:val="22"/>
          </w:rPr>
          <w:tab/>
        </w:r>
        <w:r>
          <w:rPr>
            <w:rStyle w:val="1020"/>
          </w:rPr>
          <w:t xml:space="preserve">Уведомление об уточнении вида и принадлежности платежа (расходы)</w:t>
        </w:r>
        <w:r>
          <w:tab/>
        </w:r>
        <w:r>
          <w:fldChar w:fldCharType="begin"/>
        </w:r>
        <w:r>
          <w:instrText xml:space="preserve"> PAGEREF _Toc88819121 \h </w:instrText>
        </w:r>
        <w:r/>
        <w:r>
          <w:fldChar w:fldCharType="separate"/>
        </w:r>
        <w:r>
          <w:t xml:space="preserve">273</w:t>
        </w:r>
        <w:r>
          <w:fldChar w:fldCharType="end"/>
        </w:r>
      </w:hyperlink>
      <w:r/>
      <w:r/>
    </w:p>
    <w:p>
      <w:pPr>
        <w:pStyle w:val="1023"/>
        <w:rPr>
          <w:rFonts w:ascii="Calibri" w:hAnsi="Calibri"/>
          <w:bCs w:val="false"/>
          <w:iCs w:val="false"/>
          <w:sz w:val="22"/>
          <w:szCs w:val="22"/>
        </w:rPr>
      </w:pPr>
      <w:r/>
      <w:hyperlink w:tooltip="#_Toc88819122" w:anchor="_Toc88819122" w:history="1">
        <w:r>
          <w:rPr>
            <w:rStyle w:val="1020"/>
          </w:rPr>
          <w:t xml:space="preserve">5.3.2.</w:t>
        </w:r>
        <w:r>
          <w:rPr>
            <w:rFonts w:ascii="Calibri" w:hAnsi="Calibri"/>
            <w:bCs w:val="false"/>
            <w:iCs w:val="false"/>
            <w:sz w:val="22"/>
            <w:szCs w:val="22"/>
          </w:rPr>
          <w:tab/>
        </w:r>
        <w:r>
          <w:rPr>
            <w:rStyle w:val="1020"/>
          </w:rPr>
          <w:t xml:space="preserve">Уведомление об уточнении операций клиента</w:t>
        </w:r>
        <w:r>
          <w:tab/>
        </w:r>
        <w:r>
          <w:fldChar w:fldCharType="begin"/>
        </w:r>
        <w:r>
          <w:instrText xml:space="preserve"> PAGEREF _Toc88819122 \h </w:instrText>
        </w:r>
        <w:r/>
        <w:r>
          <w:fldChar w:fldCharType="separate"/>
        </w:r>
        <w:r>
          <w:t xml:space="preserve">285</w:t>
        </w:r>
        <w:r>
          <w:fldChar w:fldCharType="end"/>
        </w:r>
      </w:hyperlink>
      <w:r/>
      <w:r/>
    </w:p>
    <w:p>
      <w:pPr>
        <w:pStyle w:val="1023"/>
        <w:rPr>
          <w:rFonts w:ascii="Calibri" w:hAnsi="Calibri"/>
          <w:bCs w:val="false"/>
          <w:iCs w:val="false"/>
          <w:sz w:val="22"/>
          <w:szCs w:val="22"/>
        </w:rPr>
      </w:pPr>
      <w:r/>
      <w:hyperlink w:tooltip="#_Toc88819123" w:anchor="_Toc88819123" w:history="1">
        <w:r>
          <w:rPr>
            <w:rStyle w:val="1020"/>
          </w:rPr>
          <w:t xml:space="preserve">5.3.3.</w:t>
        </w:r>
        <w:r>
          <w:rPr>
            <w:rFonts w:ascii="Calibri" w:hAnsi="Calibri"/>
            <w:bCs w:val="false"/>
            <w:iCs w:val="false"/>
            <w:sz w:val="22"/>
            <w:szCs w:val="22"/>
          </w:rPr>
          <w:tab/>
        </w:r>
        <w:r>
          <w:rPr>
            <w:rStyle w:val="1020"/>
          </w:rPr>
          <w:t xml:space="preserve">Заявка на возврат</w:t>
        </w:r>
        <w:r>
          <w:tab/>
        </w:r>
        <w:r>
          <w:fldChar w:fldCharType="begin"/>
        </w:r>
        <w:r>
          <w:instrText xml:space="preserve"> PAGEREF _Toc88819123 \h </w:instrText>
        </w:r>
        <w:r/>
        <w:r>
          <w:fldChar w:fldCharType="separate"/>
        </w:r>
        <w:r>
          <w:t xml:space="preserve">293</w:t>
        </w:r>
        <w:r>
          <w:fldChar w:fldCharType="end"/>
        </w:r>
      </w:hyperlink>
      <w:r/>
      <w:r/>
    </w:p>
    <w:p>
      <w:pPr>
        <w:pStyle w:val="1023"/>
        <w:rPr>
          <w:rFonts w:ascii="Calibri" w:hAnsi="Calibri"/>
          <w:bCs w:val="false"/>
          <w:iCs w:val="false"/>
          <w:sz w:val="22"/>
          <w:szCs w:val="22"/>
        </w:rPr>
      </w:pPr>
      <w:r/>
      <w:hyperlink w:tooltip="#_Toc88819124" w:anchor="_Toc88819124" w:history="1">
        <w:r>
          <w:rPr>
            <w:rStyle w:val="1020"/>
          </w:rPr>
          <w:t xml:space="preserve">5.3.4.</w:t>
        </w:r>
        <w:r>
          <w:rPr>
            <w:rFonts w:ascii="Calibri" w:hAnsi="Calibri"/>
            <w:bCs w:val="false"/>
            <w:iCs w:val="false"/>
            <w:sz w:val="22"/>
            <w:szCs w:val="22"/>
          </w:rPr>
          <w:tab/>
        </w:r>
        <w:r>
          <w:rPr>
            <w:rStyle w:val="1020"/>
          </w:rPr>
          <w:t xml:space="preserve">Реестр передаваемых (принимаемых) платежей</w:t>
        </w:r>
        <w:r>
          <w:tab/>
        </w:r>
        <w:r>
          <w:fldChar w:fldCharType="begin"/>
        </w:r>
        <w:r>
          <w:instrText xml:space="preserve"> PAGEREF _Toc88819124 \h </w:instrText>
        </w:r>
        <w:r/>
        <w:r>
          <w:fldChar w:fldCharType="separate"/>
        </w:r>
        <w:r>
          <w:t xml:space="preserve">302</w:t>
        </w:r>
        <w:r>
          <w:fldChar w:fldCharType="end"/>
        </w:r>
      </w:hyperlink>
      <w:r/>
      <w:r/>
    </w:p>
    <w:p>
      <w:pPr>
        <w:pStyle w:val="1023"/>
        <w:rPr>
          <w:rFonts w:ascii="Calibri" w:hAnsi="Calibri"/>
          <w:bCs w:val="false"/>
          <w:iCs w:val="false"/>
          <w:sz w:val="22"/>
          <w:szCs w:val="22"/>
        </w:rPr>
      </w:pPr>
      <w:r/>
      <w:hyperlink w:tooltip="#_Toc88819125" w:anchor="_Toc88819125" w:history="1">
        <w:r>
          <w:rPr>
            <w:rStyle w:val="1020"/>
          </w:rPr>
          <w:t xml:space="preserve">5.3.5.</w:t>
        </w:r>
        <w:r>
          <w:rPr>
            <w:rFonts w:ascii="Calibri" w:hAnsi="Calibri"/>
            <w:bCs w:val="false"/>
            <w:iCs w:val="false"/>
            <w:sz w:val="22"/>
            <w:szCs w:val="22"/>
          </w:rPr>
          <w:tab/>
        </w:r>
        <w:r>
          <w:rPr>
            <w:rStyle w:val="1020"/>
          </w:rPr>
          <w:t xml:space="preserve">Информация из расчетных документов, прилагаемых к реестру платежей минуя счет 40101</w:t>
        </w:r>
        <w:r>
          <w:tab/>
        </w:r>
        <w:r>
          <w:fldChar w:fldCharType="begin"/>
        </w:r>
        <w:r>
          <w:instrText xml:space="preserve"> PAGEREF _Toc88819125 \h </w:instrText>
        </w:r>
        <w:r/>
        <w:r>
          <w:fldChar w:fldCharType="separate"/>
        </w:r>
        <w:r>
          <w:t xml:space="preserve">308</w:t>
        </w:r>
        <w:r>
          <w:fldChar w:fldCharType="end"/>
        </w:r>
      </w:hyperlink>
      <w:r/>
      <w:r/>
    </w:p>
    <w:p>
      <w:pPr>
        <w:pStyle w:val="1023"/>
        <w:rPr>
          <w:rFonts w:ascii="Calibri" w:hAnsi="Calibri"/>
          <w:bCs w:val="false"/>
          <w:iCs w:val="false"/>
          <w:sz w:val="22"/>
          <w:szCs w:val="22"/>
        </w:rPr>
      </w:pPr>
      <w:r/>
      <w:hyperlink w:tooltip="#_Toc88819126" w:anchor="_Toc88819126" w:history="1">
        <w:r>
          <w:rPr>
            <w:rStyle w:val="1020"/>
          </w:rPr>
          <w:t xml:space="preserve">5.3.6.</w:t>
        </w:r>
        <w:r>
          <w:rPr>
            <w:rFonts w:ascii="Calibri" w:hAnsi="Calibri"/>
            <w:bCs w:val="false"/>
            <w:iCs w:val="false"/>
            <w:sz w:val="22"/>
            <w:szCs w:val="22"/>
          </w:rPr>
          <w:tab/>
        </w:r>
        <w:r>
          <w:rPr>
            <w:rStyle w:val="1020"/>
          </w:rPr>
          <w:t xml:space="preserve">Справка органов ФК</w:t>
        </w:r>
        <w:r>
          <w:tab/>
        </w:r>
        <w:r>
          <w:fldChar w:fldCharType="begin"/>
        </w:r>
        <w:r>
          <w:instrText xml:space="preserve"> PAGEREF _Toc88819126 \h </w:instrText>
        </w:r>
        <w:r/>
        <w:r>
          <w:fldChar w:fldCharType="separate"/>
        </w:r>
        <w:r>
          <w:t xml:space="preserve">316</w:t>
        </w:r>
        <w:r>
          <w:fldChar w:fldCharType="end"/>
        </w:r>
      </w:hyperlink>
      <w:r/>
      <w:r/>
    </w:p>
    <w:p>
      <w:pPr>
        <w:pStyle w:val="1022"/>
        <w:rPr>
          <w:rFonts w:ascii="Calibri" w:hAnsi="Calibri"/>
          <w:bCs w:val="false"/>
          <w:sz w:val="22"/>
          <w:szCs w:val="22"/>
        </w:rPr>
      </w:pPr>
      <w:r/>
      <w:hyperlink w:tooltip="#_Toc88819127" w:anchor="_Toc88819127" w:history="1">
        <w:r>
          <w:rPr>
            <w:rStyle w:val="1020"/>
          </w:rPr>
          <w:t xml:space="preserve">5.4.</w:t>
        </w:r>
        <w:r>
          <w:rPr>
            <w:rFonts w:ascii="Calibri" w:hAnsi="Calibri"/>
            <w:bCs w:val="false"/>
            <w:sz w:val="22"/>
            <w:szCs w:val="22"/>
          </w:rPr>
          <w:tab/>
        </w:r>
        <w:r>
          <w:rPr>
            <w:rStyle w:val="1020"/>
          </w:rPr>
          <w:t xml:space="preserve">Группа документов «Отзыв документа»</w:t>
        </w:r>
        <w:r>
          <w:tab/>
        </w:r>
        <w:r>
          <w:fldChar w:fldCharType="begin"/>
        </w:r>
        <w:r>
          <w:instrText xml:space="preserve"> PAGEREF _Toc88819127 \h </w:instrText>
        </w:r>
        <w:r/>
        <w:r>
          <w:fldChar w:fldCharType="separate"/>
        </w:r>
        <w:r>
          <w:t xml:space="preserve">320</w:t>
        </w:r>
        <w:r>
          <w:fldChar w:fldCharType="end"/>
        </w:r>
      </w:hyperlink>
      <w:r/>
      <w:r/>
    </w:p>
    <w:p>
      <w:pPr>
        <w:pStyle w:val="1023"/>
        <w:rPr>
          <w:rFonts w:ascii="Calibri" w:hAnsi="Calibri"/>
          <w:bCs w:val="false"/>
          <w:iCs w:val="false"/>
          <w:sz w:val="22"/>
          <w:szCs w:val="22"/>
        </w:rPr>
      </w:pPr>
      <w:r/>
      <w:hyperlink w:tooltip="#_Toc88819128" w:anchor="_Toc88819128" w:history="1">
        <w:r>
          <w:rPr>
            <w:rStyle w:val="1020"/>
          </w:rPr>
          <w:t xml:space="preserve">5.4.1.</w:t>
        </w:r>
        <w:r>
          <w:rPr>
            <w:rFonts w:ascii="Calibri" w:hAnsi="Calibri"/>
            <w:bCs w:val="false"/>
            <w:iCs w:val="false"/>
            <w:sz w:val="22"/>
            <w:szCs w:val="22"/>
          </w:rPr>
          <w:tab/>
        </w:r>
        <w:r>
          <w:rPr>
            <w:rStyle w:val="1020"/>
          </w:rPr>
          <w:t xml:space="preserve">Запрос на отзыв распоряжения (запрос на аннулирование)</w:t>
        </w:r>
        <w:r>
          <w:tab/>
        </w:r>
        <w:r>
          <w:fldChar w:fldCharType="begin"/>
        </w:r>
        <w:r>
          <w:instrText xml:space="preserve"> PAGEREF _Toc88819128 \h </w:instrText>
        </w:r>
        <w:r/>
        <w:r>
          <w:fldChar w:fldCharType="separate"/>
        </w:r>
        <w:r>
          <w:t xml:space="preserve">320</w:t>
        </w:r>
        <w:r>
          <w:fldChar w:fldCharType="end"/>
        </w:r>
      </w:hyperlink>
      <w:r/>
      <w:r/>
    </w:p>
    <w:p>
      <w:pPr>
        <w:pStyle w:val="1022"/>
        <w:rPr>
          <w:rFonts w:ascii="Calibri" w:hAnsi="Calibri"/>
          <w:bCs w:val="false"/>
          <w:sz w:val="22"/>
          <w:szCs w:val="22"/>
        </w:rPr>
      </w:pPr>
      <w:r/>
      <w:hyperlink w:tooltip="#_Toc88819129" w:anchor="_Toc88819129" w:history="1">
        <w:r>
          <w:rPr>
            <w:rStyle w:val="1020"/>
          </w:rPr>
          <w:t xml:space="preserve">5.5.</w:t>
        </w:r>
        <w:r>
          <w:rPr>
            <w:rFonts w:ascii="Calibri" w:hAnsi="Calibri"/>
            <w:bCs w:val="false"/>
            <w:sz w:val="22"/>
            <w:szCs w:val="22"/>
          </w:rPr>
          <w:tab/>
        </w:r>
        <w:r>
          <w:rPr>
            <w:rStyle w:val="1020"/>
          </w:rPr>
          <w:t xml:space="preserve">Группа документов «Реорганизация»</w:t>
        </w:r>
        <w:r>
          <w:tab/>
        </w:r>
        <w:r>
          <w:fldChar w:fldCharType="begin"/>
        </w:r>
        <w:r>
          <w:instrText xml:space="preserve"> PAGEREF _Toc88819129 \h </w:instrText>
        </w:r>
        <w:r/>
        <w:r>
          <w:fldChar w:fldCharType="separate"/>
        </w:r>
        <w:r>
          <w:t xml:space="preserve">326</w:t>
        </w:r>
        <w:r>
          <w:fldChar w:fldCharType="end"/>
        </w:r>
      </w:hyperlink>
      <w:r/>
      <w:r/>
    </w:p>
    <w:p>
      <w:pPr>
        <w:pStyle w:val="1023"/>
        <w:rPr>
          <w:rFonts w:ascii="Calibri" w:hAnsi="Calibri"/>
          <w:bCs w:val="false"/>
          <w:iCs w:val="false"/>
          <w:sz w:val="22"/>
          <w:szCs w:val="22"/>
        </w:rPr>
      </w:pPr>
      <w:r/>
      <w:hyperlink w:tooltip="#_Toc88819130" w:anchor="_Toc88819130" w:history="1">
        <w:r>
          <w:rPr>
            <w:rStyle w:val="1020"/>
          </w:rPr>
          <w:t xml:space="preserve">5.5.1.</w:t>
        </w:r>
        <w:r>
          <w:rPr>
            <w:rFonts w:ascii="Calibri" w:hAnsi="Calibri"/>
            <w:bCs w:val="false"/>
            <w:iCs w:val="false"/>
            <w:sz w:val="22"/>
            <w:szCs w:val="22"/>
          </w:rPr>
          <w:tab/>
        </w:r>
        <w:r>
          <w:rPr>
            <w:rStyle w:val="1020"/>
          </w:rPr>
          <w:t xml:space="preserve">Акт приемки-передачи принятых на учет обязательств при реорганизации участников бюджетного процесса</w:t>
        </w:r>
        <w:r>
          <w:tab/>
        </w:r>
        <w:r>
          <w:fldChar w:fldCharType="begin"/>
        </w:r>
        <w:r>
          <w:instrText xml:space="preserve"> PAGEREF _Toc88819130 \h </w:instrText>
        </w:r>
        <w:r/>
        <w:r>
          <w:fldChar w:fldCharType="separate"/>
        </w:r>
        <w:r>
          <w:t xml:space="preserve">326</w:t>
        </w:r>
        <w:r>
          <w:fldChar w:fldCharType="end"/>
        </w:r>
      </w:hyperlink>
      <w:r/>
      <w:r/>
    </w:p>
    <w:p>
      <w:pPr>
        <w:pStyle w:val="1023"/>
        <w:rPr>
          <w:rFonts w:ascii="Calibri" w:hAnsi="Calibri"/>
          <w:bCs w:val="false"/>
          <w:iCs w:val="false"/>
          <w:sz w:val="22"/>
          <w:szCs w:val="22"/>
        </w:rPr>
      </w:pPr>
      <w:r/>
      <w:hyperlink w:tooltip="#_Toc88819131" w:anchor="_Toc88819131" w:history="1">
        <w:r>
          <w:rPr>
            <w:rStyle w:val="1020"/>
          </w:rPr>
          <w:t xml:space="preserve">5.5.2.</w:t>
        </w:r>
        <w:r>
          <w:rPr>
            <w:rFonts w:ascii="Calibri" w:hAnsi="Calibri"/>
            <w:bCs w:val="false"/>
            <w:iCs w:val="false"/>
            <w:sz w:val="22"/>
            <w:szCs w:val="22"/>
          </w:rPr>
          <w:tab/>
        </w:r>
        <w:r>
          <w:rPr>
            <w:rStyle w:val="1020"/>
          </w:rPr>
          <w:t xml:space="preserve">Акт приемки-передачи показателей лицевого счета бюджета</w:t>
        </w:r>
        <w:r>
          <w:tab/>
        </w:r>
        <w:r>
          <w:fldChar w:fldCharType="begin"/>
        </w:r>
        <w:r>
          <w:instrText xml:space="preserve"> PAGEREF _Toc88819131 \h </w:instrText>
        </w:r>
        <w:r/>
        <w:r>
          <w:fldChar w:fldCharType="separate"/>
        </w:r>
        <w:r>
          <w:t xml:space="preserve">336</w:t>
        </w:r>
        <w:r>
          <w:fldChar w:fldCharType="end"/>
        </w:r>
      </w:hyperlink>
      <w:r/>
      <w:r/>
    </w:p>
    <w:p>
      <w:pPr>
        <w:pStyle w:val="1023"/>
        <w:rPr>
          <w:rFonts w:ascii="Calibri" w:hAnsi="Calibri"/>
          <w:bCs w:val="false"/>
          <w:iCs w:val="false"/>
          <w:sz w:val="22"/>
          <w:szCs w:val="22"/>
        </w:rPr>
      </w:pPr>
      <w:r/>
      <w:hyperlink w:tooltip="#_Toc88819132" w:anchor="_Toc88819132" w:history="1">
        <w:r>
          <w:rPr>
            <w:rStyle w:val="1020"/>
          </w:rPr>
          <w:t xml:space="preserve">5.5.3.</w:t>
        </w:r>
        <w:r>
          <w:rPr>
            <w:rFonts w:ascii="Calibri" w:hAnsi="Calibri"/>
            <w:bCs w:val="false"/>
            <w:iCs w:val="false"/>
            <w:sz w:val="22"/>
            <w:szCs w:val="22"/>
          </w:rPr>
          <w:tab/>
        </w:r>
        <w:r>
          <w:rPr>
            <w:rStyle w:val="1020"/>
          </w:rPr>
          <w:t xml:space="preserve">Акт приемки-передачи показателей лицевого счета ТГВФ</w:t>
        </w:r>
        <w:r>
          <w:tab/>
        </w:r>
        <w:r>
          <w:fldChar w:fldCharType="begin"/>
        </w:r>
        <w:r>
          <w:instrText xml:space="preserve"> PAGEREF _Toc88819132 \h </w:instrText>
        </w:r>
        <w:r/>
        <w:r>
          <w:fldChar w:fldCharType="separate"/>
        </w:r>
        <w:r>
          <w:t xml:space="preserve">346</w:t>
        </w:r>
        <w:r>
          <w:fldChar w:fldCharType="end"/>
        </w:r>
      </w:hyperlink>
      <w:r/>
      <w:r/>
    </w:p>
    <w:p>
      <w:pPr>
        <w:pStyle w:val="1022"/>
        <w:rPr>
          <w:rFonts w:ascii="Calibri" w:hAnsi="Calibri"/>
          <w:bCs w:val="false"/>
          <w:sz w:val="22"/>
          <w:szCs w:val="22"/>
        </w:rPr>
      </w:pPr>
      <w:r/>
      <w:hyperlink w:tooltip="#_Toc88819133" w:anchor="_Toc88819133" w:history="1">
        <w:r>
          <w:rPr>
            <w:rStyle w:val="1020"/>
          </w:rPr>
          <w:t xml:space="preserve">5.6.</w:t>
        </w:r>
        <w:r>
          <w:rPr>
            <w:rFonts w:ascii="Calibri" w:hAnsi="Calibri"/>
            <w:bCs w:val="false"/>
            <w:sz w:val="22"/>
            <w:szCs w:val="22"/>
          </w:rPr>
          <w:tab/>
        </w:r>
        <w:r>
          <w:rPr>
            <w:rStyle w:val="1020"/>
          </w:rPr>
          <w:t xml:space="preserve">Группа документов «Неисполненные»</w:t>
        </w:r>
        <w:r>
          <w:tab/>
        </w:r>
        <w:r>
          <w:fldChar w:fldCharType="begin"/>
        </w:r>
        <w:r>
          <w:instrText xml:space="preserve"> PAGEREF _Toc88819133 \h </w:instrText>
        </w:r>
        <w:r/>
        <w:r>
          <w:fldChar w:fldCharType="separate"/>
        </w:r>
        <w:r>
          <w:t xml:space="preserve">352</w:t>
        </w:r>
        <w:r>
          <w:fldChar w:fldCharType="end"/>
        </w:r>
      </w:hyperlink>
      <w:r/>
      <w:r/>
    </w:p>
    <w:p>
      <w:pPr>
        <w:pStyle w:val="1023"/>
        <w:rPr>
          <w:rFonts w:ascii="Calibri" w:hAnsi="Calibri"/>
          <w:bCs w:val="false"/>
          <w:iCs w:val="false"/>
          <w:sz w:val="22"/>
          <w:szCs w:val="22"/>
        </w:rPr>
      </w:pPr>
      <w:r/>
      <w:hyperlink w:tooltip="#_Toc88819134" w:anchor="_Toc88819134" w:history="1">
        <w:r>
          <w:rPr>
            <w:rStyle w:val="1020"/>
          </w:rPr>
          <w:t xml:space="preserve">5.6.1.</w:t>
        </w:r>
        <w:r>
          <w:rPr>
            <w:rFonts w:ascii="Calibri" w:hAnsi="Calibri"/>
            <w:bCs w:val="false"/>
            <w:iCs w:val="false"/>
            <w:sz w:val="22"/>
            <w:szCs w:val="22"/>
          </w:rPr>
          <w:tab/>
        </w:r>
        <w:r>
          <w:rPr>
            <w:rStyle w:val="1020"/>
          </w:rPr>
          <w:t xml:space="preserve">Входящее уведомление (протокол)</w:t>
        </w:r>
        <w:r>
          <w:tab/>
        </w:r>
        <w:r>
          <w:fldChar w:fldCharType="begin"/>
        </w:r>
        <w:r>
          <w:instrText xml:space="preserve"> PAGEREF _Toc88819134 \h </w:instrText>
        </w:r>
        <w:r/>
        <w:r>
          <w:fldChar w:fldCharType="separate"/>
        </w:r>
        <w:r>
          <w:t xml:space="preserve">352</w:t>
        </w:r>
        <w:r>
          <w:fldChar w:fldCharType="end"/>
        </w:r>
      </w:hyperlink>
      <w:r/>
      <w:r/>
    </w:p>
    <w:p>
      <w:pPr>
        <w:pStyle w:val="1022"/>
        <w:rPr>
          <w:rFonts w:ascii="Calibri" w:hAnsi="Calibri"/>
          <w:bCs w:val="false"/>
          <w:sz w:val="22"/>
          <w:szCs w:val="22"/>
        </w:rPr>
      </w:pPr>
      <w:r/>
      <w:hyperlink w:tooltip="#_Toc88819135" w:anchor="_Toc88819135" w:history="1">
        <w:r>
          <w:rPr>
            <w:rStyle w:val="1020"/>
          </w:rPr>
          <w:t xml:space="preserve">5.7.</w:t>
        </w:r>
        <w:r>
          <w:rPr>
            <w:rFonts w:ascii="Calibri" w:hAnsi="Calibri"/>
            <w:bCs w:val="false"/>
            <w:sz w:val="22"/>
            <w:szCs w:val="22"/>
          </w:rPr>
          <w:tab/>
        </w:r>
        <w:r>
          <w:rPr>
            <w:rStyle w:val="1020"/>
          </w:rPr>
          <w:t xml:space="preserve">Группа документов «Регистрация и доведение бюджета»</w:t>
        </w:r>
        <w:r>
          <w:tab/>
        </w:r>
        <w:r>
          <w:fldChar w:fldCharType="begin"/>
        </w:r>
        <w:r>
          <w:instrText xml:space="preserve"> PAGEREF _Toc88819135 \h </w:instrText>
        </w:r>
        <w:r/>
        <w:r>
          <w:fldChar w:fldCharType="separate"/>
        </w:r>
        <w:r>
          <w:t xml:space="preserve">356</w:t>
        </w:r>
        <w:r>
          <w:fldChar w:fldCharType="end"/>
        </w:r>
      </w:hyperlink>
      <w:r/>
      <w:r/>
    </w:p>
    <w:p>
      <w:pPr>
        <w:pStyle w:val="1023"/>
        <w:rPr>
          <w:rFonts w:ascii="Calibri" w:hAnsi="Calibri"/>
          <w:bCs w:val="false"/>
          <w:iCs w:val="false"/>
          <w:sz w:val="22"/>
          <w:szCs w:val="22"/>
        </w:rPr>
      </w:pPr>
      <w:r/>
      <w:hyperlink w:tooltip="#_Toc88819136" w:anchor="_Toc88819136" w:history="1">
        <w:r>
          <w:rPr>
            <w:rStyle w:val="1020"/>
          </w:rPr>
          <w:t xml:space="preserve">5.7.1.</w:t>
        </w:r>
        <w:r>
          <w:rPr>
            <w:rFonts w:ascii="Calibri" w:hAnsi="Calibri"/>
            <w:bCs w:val="false"/>
            <w:iCs w:val="false"/>
            <w:sz w:val="22"/>
            <w:szCs w:val="22"/>
          </w:rPr>
          <w:tab/>
        </w:r>
        <w:r>
          <w:rPr>
            <w:rStyle w:val="1020"/>
          </w:rPr>
          <w:t xml:space="preserve">Расходное расписание</w:t>
        </w:r>
        <w:r>
          <w:tab/>
        </w:r>
        <w:r>
          <w:fldChar w:fldCharType="begin"/>
        </w:r>
        <w:r>
          <w:instrText xml:space="preserve"> PAGEREF _Toc88819136 \h </w:instrText>
        </w:r>
        <w:r/>
        <w:r>
          <w:fldChar w:fldCharType="separate"/>
        </w:r>
        <w:r>
          <w:t xml:space="preserve">356</w:t>
        </w:r>
        <w:r>
          <w:fldChar w:fldCharType="end"/>
        </w:r>
      </w:hyperlink>
      <w:r/>
      <w:r/>
    </w:p>
    <w:p>
      <w:pPr>
        <w:pStyle w:val="1023"/>
        <w:rPr>
          <w:rFonts w:ascii="Calibri" w:hAnsi="Calibri"/>
          <w:bCs w:val="false"/>
          <w:iCs w:val="false"/>
          <w:sz w:val="22"/>
          <w:szCs w:val="22"/>
        </w:rPr>
      </w:pPr>
      <w:r/>
      <w:hyperlink w:tooltip="#_Toc88819137" w:anchor="_Toc88819137" w:history="1">
        <w:r>
          <w:rPr>
            <w:rStyle w:val="1020"/>
          </w:rPr>
          <w:t xml:space="preserve">5.7.2.</w:t>
        </w:r>
        <w:r>
          <w:rPr>
            <w:rFonts w:ascii="Calibri" w:hAnsi="Calibri"/>
            <w:bCs w:val="false"/>
            <w:iCs w:val="false"/>
            <w:sz w:val="22"/>
            <w:szCs w:val="22"/>
          </w:rPr>
          <w:tab/>
        </w:r>
        <w:r>
          <w:rPr>
            <w:rStyle w:val="1020"/>
          </w:rPr>
          <w:t xml:space="preserve">Реестр расходных расписаний</w:t>
        </w:r>
        <w:r>
          <w:tab/>
        </w:r>
        <w:r>
          <w:fldChar w:fldCharType="begin"/>
        </w:r>
        <w:r>
          <w:instrText xml:space="preserve"> PAGEREF _Toc88819137 \h </w:instrText>
        </w:r>
        <w:r/>
        <w:r>
          <w:fldChar w:fldCharType="separate"/>
        </w:r>
        <w:r>
          <w:t xml:space="preserve">369</w:t>
        </w:r>
        <w:r>
          <w:fldChar w:fldCharType="end"/>
        </w:r>
      </w:hyperlink>
      <w:r/>
      <w:r/>
    </w:p>
    <w:p>
      <w:pPr>
        <w:pStyle w:val="1023"/>
        <w:rPr>
          <w:rFonts w:ascii="Calibri" w:hAnsi="Calibri"/>
          <w:bCs w:val="false"/>
          <w:iCs w:val="false"/>
          <w:sz w:val="22"/>
          <w:szCs w:val="22"/>
        </w:rPr>
      </w:pPr>
      <w:r/>
      <w:hyperlink w:tooltip="#_Toc88819138" w:anchor="_Toc88819138" w:history="1">
        <w:r>
          <w:rPr>
            <w:rStyle w:val="1020"/>
          </w:rPr>
          <w:t xml:space="preserve">5.7.3.</w:t>
        </w:r>
        <w:r>
          <w:rPr>
            <w:rFonts w:ascii="Calibri" w:hAnsi="Calibri"/>
            <w:bCs w:val="false"/>
            <w:iCs w:val="false"/>
            <w:sz w:val="22"/>
            <w:szCs w:val="22"/>
          </w:rPr>
          <w:tab/>
        </w:r>
        <w:r>
          <w:rPr>
            <w:rStyle w:val="1020"/>
          </w:rPr>
          <w:t xml:space="preserve">Сведения об операциях с целевыми субсидиями</w:t>
        </w:r>
        <w:r>
          <w:tab/>
        </w:r>
        <w:r>
          <w:fldChar w:fldCharType="begin"/>
        </w:r>
        <w:r>
          <w:instrText xml:space="preserve"> PAGEREF _Toc88819138 \h </w:instrText>
        </w:r>
        <w:r/>
        <w:r>
          <w:fldChar w:fldCharType="separate"/>
        </w:r>
        <w:r>
          <w:t xml:space="preserve">385</w:t>
        </w:r>
        <w:r>
          <w:fldChar w:fldCharType="end"/>
        </w:r>
      </w:hyperlink>
      <w:r/>
      <w:r/>
    </w:p>
    <w:p>
      <w:pPr>
        <w:pStyle w:val="1023"/>
        <w:rPr>
          <w:rFonts w:ascii="Calibri" w:hAnsi="Calibri"/>
          <w:bCs w:val="false"/>
          <w:iCs w:val="false"/>
          <w:sz w:val="22"/>
          <w:szCs w:val="22"/>
        </w:rPr>
      </w:pPr>
      <w:r/>
      <w:hyperlink w:tooltip="#_Toc88819139" w:anchor="_Toc88819139" w:history="1">
        <w:r>
          <w:rPr>
            <w:rStyle w:val="1020"/>
          </w:rPr>
          <w:t xml:space="preserve">5.7.4.</w:t>
        </w:r>
        <w:r>
          <w:rPr>
            <w:rFonts w:ascii="Calibri" w:hAnsi="Calibri"/>
            <w:bCs w:val="false"/>
            <w:iCs w:val="false"/>
            <w:sz w:val="22"/>
            <w:szCs w:val="22"/>
          </w:rPr>
          <w:tab/>
        </w:r>
        <w:r>
          <w:rPr>
            <w:rStyle w:val="1020"/>
          </w:rPr>
          <w:t xml:space="preserve">Сведения об операциях с целевыми средствами</w:t>
        </w:r>
        <w:r>
          <w:tab/>
        </w:r>
        <w:r>
          <w:fldChar w:fldCharType="begin"/>
        </w:r>
        <w:r>
          <w:instrText xml:space="preserve"> PAGEREF _Toc88819139 \h </w:instrText>
        </w:r>
        <w:r/>
        <w:r>
          <w:fldChar w:fldCharType="separate"/>
        </w:r>
        <w:r>
          <w:t xml:space="preserve">403</w:t>
        </w:r>
        <w:r>
          <w:fldChar w:fldCharType="end"/>
        </w:r>
      </w:hyperlink>
      <w:r/>
      <w:r/>
    </w:p>
    <w:p>
      <w:pPr>
        <w:pStyle w:val="1023"/>
        <w:rPr>
          <w:rFonts w:ascii="Calibri" w:hAnsi="Calibri"/>
          <w:bCs w:val="false"/>
          <w:iCs w:val="false"/>
          <w:sz w:val="22"/>
          <w:szCs w:val="22"/>
        </w:rPr>
      </w:pPr>
      <w:r/>
      <w:hyperlink w:tooltip="#_Toc88819140" w:anchor="_Toc88819140" w:history="1">
        <w:r>
          <w:rPr>
            <w:rStyle w:val="1020"/>
          </w:rPr>
          <w:t xml:space="preserve">5.7.5.</w:t>
        </w:r>
        <w:r>
          <w:rPr>
            <w:rFonts w:ascii="Calibri" w:hAnsi="Calibri"/>
            <w:bCs w:val="false"/>
            <w:iCs w:val="false"/>
            <w:sz w:val="22"/>
            <w:szCs w:val="22"/>
          </w:rPr>
          <w:tab/>
        </w:r>
        <w:r>
          <w:rPr>
            <w:rStyle w:val="1020"/>
          </w:rPr>
          <w:t xml:space="preserve">Перечень целевых субсидий</w:t>
        </w:r>
        <w:r>
          <w:tab/>
        </w:r>
        <w:r>
          <w:fldChar w:fldCharType="begin"/>
        </w:r>
        <w:r>
          <w:instrText xml:space="preserve"> PAGEREF _Toc88819140 \h </w:instrText>
        </w:r>
        <w:r/>
        <w:r>
          <w:fldChar w:fldCharType="separate"/>
        </w:r>
        <w:r>
          <w:t xml:space="preserve">415</w:t>
        </w:r>
        <w:r>
          <w:fldChar w:fldCharType="end"/>
        </w:r>
      </w:hyperlink>
      <w:r/>
      <w:r/>
    </w:p>
    <w:p>
      <w:pPr>
        <w:pStyle w:val="1023"/>
        <w:rPr>
          <w:rFonts w:ascii="Calibri" w:hAnsi="Calibri"/>
          <w:bCs w:val="false"/>
          <w:iCs w:val="false"/>
          <w:sz w:val="22"/>
          <w:szCs w:val="22"/>
        </w:rPr>
      </w:pPr>
      <w:r/>
      <w:hyperlink w:tooltip="#_Toc88819141" w:anchor="_Toc88819141" w:history="1">
        <w:r>
          <w:rPr>
            <w:rStyle w:val="1020"/>
          </w:rPr>
          <w:t xml:space="preserve">5.7.6.</w:t>
        </w:r>
        <w:r>
          <w:rPr>
            <w:rFonts w:ascii="Calibri" w:hAnsi="Calibri"/>
            <w:bCs w:val="false"/>
            <w:iCs w:val="false"/>
            <w:sz w:val="22"/>
            <w:szCs w:val="22"/>
          </w:rPr>
          <w:tab/>
        </w:r>
        <w:r>
          <w:rPr>
            <w:rStyle w:val="1020"/>
          </w:rPr>
          <w:t xml:space="preserve">Расходная декларация</w:t>
        </w:r>
        <w:r>
          <w:tab/>
        </w:r>
        <w:r>
          <w:fldChar w:fldCharType="begin"/>
        </w:r>
        <w:r>
          <w:instrText xml:space="preserve"> PAGEREF _Toc88819141 \h </w:instrText>
        </w:r>
        <w:r/>
        <w:r>
          <w:fldChar w:fldCharType="separate"/>
        </w:r>
        <w:r>
          <w:t xml:space="preserve">421</w:t>
        </w:r>
        <w:r>
          <w:fldChar w:fldCharType="end"/>
        </w:r>
      </w:hyperlink>
      <w:r/>
      <w:r/>
    </w:p>
    <w:p>
      <w:pPr>
        <w:pStyle w:val="1022"/>
        <w:rPr>
          <w:rFonts w:ascii="Calibri" w:hAnsi="Calibri"/>
          <w:bCs w:val="false"/>
          <w:sz w:val="22"/>
          <w:szCs w:val="22"/>
        </w:rPr>
      </w:pPr>
      <w:r/>
      <w:hyperlink w:tooltip="#_Toc88819142" w:anchor="_Toc88819142" w:history="1">
        <w:r>
          <w:rPr>
            <w:rStyle w:val="1020"/>
          </w:rPr>
          <w:t xml:space="preserve">5.8.</w:t>
        </w:r>
        <w:r>
          <w:rPr>
            <w:rFonts w:ascii="Calibri" w:hAnsi="Calibri"/>
            <w:bCs w:val="false"/>
            <w:sz w:val="22"/>
            <w:szCs w:val="22"/>
          </w:rPr>
          <w:tab/>
        </w:r>
        <w:r>
          <w:rPr>
            <w:rStyle w:val="1020"/>
          </w:rPr>
          <w:t xml:space="preserve">Группа документов «Периодическая отчетность»</w:t>
        </w:r>
        <w:r>
          <w:tab/>
        </w:r>
        <w:r>
          <w:fldChar w:fldCharType="begin"/>
        </w:r>
        <w:r>
          <w:instrText xml:space="preserve"> PAGEREF _Toc88819142 \h </w:instrText>
        </w:r>
        <w:r/>
        <w:r>
          <w:fldChar w:fldCharType="separate"/>
        </w:r>
        <w:r>
          <w:t xml:space="preserve">427</w:t>
        </w:r>
        <w:r>
          <w:fldChar w:fldCharType="end"/>
        </w:r>
      </w:hyperlink>
      <w:r/>
      <w:r/>
    </w:p>
    <w:p>
      <w:pPr>
        <w:pStyle w:val="1023"/>
        <w:rPr>
          <w:rFonts w:ascii="Calibri" w:hAnsi="Calibri"/>
          <w:bCs w:val="false"/>
          <w:iCs w:val="false"/>
          <w:sz w:val="22"/>
          <w:szCs w:val="22"/>
        </w:rPr>
      </w:pPr>
      <w:r/>
      <w:hyperlink w:tooltip="#_Toc88819143" w:anchor="_Toc88819143" w:history="1">
        <w:r>
          <w:rPr>
            <w:rStyle w:val="1020"/>
          </w:rPr>
          <w:t xml:space="preserve">5.8.1.</w:t>
        </w:r>
        <w:r>
          <w:rPr>
            <w:rFonts w:ascii="Calibri" w:hAnsi="Calibri"/>
            <w:bCs w:val="false"/>
            <w:iCs w:val="false"/>
            <w:sz w:val="22"/>
            <w:szCs w:val="22"/>
          </w:rPr>
          <w:tab/>
        </w:r>
        <w:r>
          <w:rPr>
            <w:rStyle w:val="1020"/>
          </w:rPr>
          <w:t xml:space="preserve">Бюджетная отчетность ГРБС, ФО, ГВБФ. Сводные отчеты</w:t>
        </w:r>
        <w:r>
          <w:tab/>
        </w:r>
        <w:r>
          <w:fldChar w:fldCharType="begin"/>
        </w:r>
        <w:r>
          <w:instrText xml:space="preserve"> PAGEREF _Toc88819143 \h </w:instrText>
        </w:r>
        <w:r/>
        <w:r>
          <w:fldChar w:fldCharType="separate"/>
        </w:r>
        <w:r>
          <w:t xml:space="preserve">428</w:t>
        </w:r>
        <w:r>
          <w:fldChar w:fldCharType="end"/>
        </w:r>
      </w:hyperlink>
      <w:r/>
      <w:r/>
    </w:p>
    <w:p>
      <w:pPr>
        <w:pStyle w:val="1023"/>
        <w:rPr>
          <w:rFonts w:ascii="Calibri" w:hAnsi="Calibri"/>
          <w:bCs w:val="false"/>
          <w:iCs w:val="false"/>
          <w:sz w:val="22"/>
          <w:szCs w:val="22"/>
        </w:rPr>
      </w:pPr>
      <w:r/>
      <w:hyperlink w:tooltip="#_Toc88819144" w:anchor="_Toc88819144" w:history="1">
        <w:r>
          <w:rPr>
            <w:rStyle w:val="1020"/>
          </w:rPr>
          <w:t xml:space="preserve">5.8.2.</w:t>
        </w:r>
        <w:r>
          <w:rPr>
            <w:rFonts w:ascii="Calibri" w:hAnsi="Calibri"/>
            <w:bCs w:val="false"/>
            <w:iCs w:val="false"/>
            <w:sz w:val="22"/>
            <w:szCs w:val="22"/>
          </w:rPr>
          <w:tab/>
        </w:r>
        <w:r>
          <w:rPr>
            <w:rStyle w:val="1020"/>
          </w:rPr>
          <w:t xml:space="preserve">Бюджетная отчетность ГРБС, ФО, ГВБФ. Протоколы для отчетов</w:t>
        </w:r>
        <w:r>
          <w:tab/>
        </w:r>
        <w:r>
          <w:fldChar w:fldCharType="begin"/>
        </w:r>
        <w:r>
          <w:instrText xml:space="preserve"> PAGEREF _Toc88819144 \h </w:instrText>
        </w:r>
        <w:r/>
        <w:r>
          <w:fldChar w:fldCharType="separate"/>
        </w:r>
        <w:r>
          <w:t xml:space="preserve">431</w:t>
        </w:r>
        <w:r>
          <w:fldChar w:fldCharType="end"/>
        </w:r>
      </w:hyperlink>
      <w:r/>
      <w:r/>
    </w:p>
    <w:p>
      <w:pPr>
        <w:pStyle w:val="1023"/>
        <w:rPr>
          <w:rFonts w:ascii="Calibri" w:hAnsi="Calibri"/>
          <w:bCs w:val="false"/>
          <w:iCs w:val="false"/>
          <w:sz w:val="22"/>
          <w:szCs w:val="22"/>
        </w:rPr>
      </w:pPr>
      <w:r/>
      <w:hyperlink w:tooltip="#_Toc88819145" w:anchor="_Toc88819145" w:history="1">
        <w:r>
          <w:rPr>
            <w:rStyle w:val="1020"/>
          </w:rPr>
          <w:t xml:space="preserve">5.8.3.</w:t>
        </w:r>
        <w:r>
          <w:rPr>
            <w:rFonts w:ascii="Calibri" w:hAnsi="Calibri"/>
            <w:bCs w:val="false"/>
            <w:iCs w:val="false"/>
            <w:sz w:val="22"/>
            <w:szCs w:val="22"/>
          </w:rPr>
          <w:tab/>
        </w:r>
        <w:r>
          <w:rPr>
            <w:rStyle w:val="1020"/>
          </w:rPr>
          <w:t xml:space="preserve">Справка о межбюджетной задолженности ф. 0521441</w:t>
        </w:r>
        <w:r>
          <w:tab/>
        </w:r>
        <w:r>
          <w:fldChar w:fldCharType="begin"/>
        </w:r>
        <w:r>
          <w:instrText xml:space="preserve"> PAGEREF _Toc88819145 \h </w:instrText>
        </w:r>
        <w:r/>
        <w:r>
          <w:fldChar w:fldCharType="separate"/>
        </w:r>
        <w:r>
          <w:t xml:space="preserve">434</w:t>
        </w:r>
        <w:r>
          <w:fldChar w:fldCharType="end"/>
        </w:r>
      </w:hyperlink>
      <w:r/>
      <w:r/>
    </w:p>
    <w:p>
      <w:pPr>
        <w:pStyle w:val="1023"/>
        <w:rPr>
          <w:rFonts w:ascii="Calibri" w:hAnsi="Calibri"/>
          <w:bCs w:val="false"/>
          <w:iCs w:val="false"/>
          <w:sz w:val="22"/>
          <w:szCs w:val="22"/>
        </w:rPr>
      </w:pPr>
      <w:r/>
      <w:hyperlink w:tooltip="#_Toc88819146" w:anchor="_Toc88819146" w:history="1">
        <w:r>
          <w:rPr>
            <w:rStyle w:val="1020"/>
          </w:rPr>
          <w:t xml:space="preserve">5.8.4.</w:t>
        </w:r>
        <w:r>
          <w:rPr>
            <w:rFonts w:ascii="Calibri" w:hAnsi="Calibri"/>
            <w:bCs w:val="false"/>
            <w:iCs w:val="false"/>
            <w:sz w:val="22"/>
            <w:szCs w:val="22"/>
          </w:rPr>
          <w:tab/>
        </w:r>
        <w:r>
          <w:rPr>
            <w:rStyle w:val="1020"/>
          </w:rPr>
          <w:t xml:space="preserve">Периодические отчеты</w:t>
        </w:r>
        <w:r>
          <w:tab/>
        </w:r>
        <w:r>
          <w:fldChar w:fldCharType="begin"/>
        </w:r>
        <w:r>
          <w:instrText xml:space="preserve"> PAGEREF _Toc88819146 \h </w:instrText>
        </w:r>
        <w:r/>
        <w:r>
          <w:fldChar w:fldCharType="separate"/>
        </w:r>
        <w:r>
          <w:t xml:space="preserve">436</w:t>
        </w:r>
        <w:r>
          <w:fldChar w:fldCharType="end"/>
        </w:r>
      </w:hyperlink>
      <w:r/>
      <w:r/>
    </w:p>
    <w:p>
      <w:pPr>
        <w:pStyle w:val="1022"/>
        <w:rPr>
          <w:rFonts w:ascii="Calibri" w:hAnsi="Calibri"/>
          <w:bCs w:val="false"/>
          <w:sz w:val="22"/>
          <w:szCs w:val="22"/>
        </w:rPr>
      </w:pPr>
      <w:r/>
      <w:hyperlink w:tooltip="#_Toc88819147" w:anchor="_Toc88819147" w:history="1">
        <w:r>
          <w:rPr>
            <w:rStyle w:val="1020"/>
          </w:rPr>
          <w:t xml:space="preserve">5.9.</w:t>
        </w:r>
        <w:r>
          <w:rPr>
            <w:rFonts w:ascii="Calibri" w:hAnsi="Calibri"/>
            <w:bCs w:val="false"/>
            <w:sz w:val="22"/>
            <w:szCs w:val="22"/>
          </w:rPr>
          <w:tab/>
        </w:r>
        <w:r>
          <w:rPr>
            <w:rStyle w:val="1020"/>
          </w:rPr>
          <w:t xml:space="preserve">Группа документов «Управление платежами»</w:t>
        </w:r>
        <w:r>
          <w:tab/>
        </w:r>
        <w:r>
          <w:fldChar w:fldCharType="begin"/>
        </w:r>
        <w:r>
          <w:instrText xml:space="preserve"> PAGEREF _Toc88819147 \h </w:instrText>
        </w:r>
        <w:r/>
        <w:r>
          <w:fldChar w:fldCharType="separate"/>
        </w:r>
        <w:r>
          <w:t xml:space="preserve">441</w:t>
        </w:r>
        <w:r>
          <w:fldChar w:fldCharType="end"/>
        </w:r>
      </w:hyperlink>
      <w:r/>
      <w:r/>
    </w:p>
    <w:p>
      <w:pPr>
        <w:pStyle w:val="1023"/>
        <w:rPr>
          <w:rFonts w:ascii="Calibri" w:hAnsi="Calibri"/>
          <w:bCs w:val="false"/>
          <w:iCs w:val="false"/>
          <w:sz w:val="22"/>
          <w:szCs w:val="22"/>
        </w:rPr>
      </w:pPr>
      <w:r/>
      <w:hyperlink w:tooltip="#_Toc88819148" w:anchor="_Toc88819148" w:history="1">
        <w:r>
          <w:rPr>
            <w:rStyle w:val="1020"/>
          </w:rPr>
          <w:t xml:space="preserve">5.9.1.</w:t>
        </w:r>
        <w:r>
          <w:rPr>
            <w:rFonts w:ascii="Calibri" w:hAnsi="Calibri"/>
            <w:bCs w:val="false"/>
            <w:iCs w:val="false"/>
            <w:sz w:val="22"/>
            <w:szCs w:val="22"/>
          </w:rPr>
          <w:tab/>
        </w:r>
        <w:r>
          <w:rPr>
            <w:rStyle w:val="1020"/>
          </w:rPr>
          <w:t xml:space="preserve">Перечень финансового органа</w:t>
        </w:r>
        <w:r>
          <w:tab/>
        </w:r>
        <w:r>
          <w:fldChar w:fldCharType="begin"/>
        </w:r>
        <w:r>
          <w:instrText xml:space="preserve"> PAGEREF _Toc88819148 \h </w:instrText>
        </w:r>
        <w:r/>
        <w:r>
          <w:fldChar w:fldCharType="separate"/>
        </w:r>
        <w:r>
          <w:t xml:space="preserve">441</w:t>
        </w:r>
        <w:r>
          <w:fldChar w:fldCharType="end"/>
        </w:r>
      </w:hyperlink>
      <w:r/>
      <w:r/>
    </w:p>
    <w:p>
      <w:pPr>
        <w:pStyle w:val="1023"/>
        <w:rPr>
          <w:rFonts w:ascii="Calibri" w:hAnsi="Calibri"/>
          <w:bCs w:val="false"/>
          <w:iCs w:val="false"/>
          <w:sz w:val="22"/>
          <w:szCs w:val="22"/>
        </w:rPr>
      </w:pPr>
      <w:r/>
      <w:hyperlink w:tooltip="#_Toc88819149" w:anchor="_Toc88819149" w:history="1">
        <w:r>
          <w:rPr>
            <w:rStyle w:val="1020"/>
          </w:rPr>
          <w:t xml:space="preserve">5.9.2.</w:t>
        </w:r>
        <w:r>
          <w:rPr>
            <w:rFonts w:ascii="Calibri" w:hAnsi="Calibri"/>
            <w:bCs w:val="false"/>
            <w:iCs w:val="false"/>
            <w:sz w:val="22"/>
            <w:szCs w:val="22"/>
          </w:rPr>
          <w:tab/>
        </w:r>
        <w:r>
          <w:rPr>
            <w:rStyle w:val="1020"/>
          </w:rPr>
          <w:t xml:space="preserve">Запрос о получении информации по ЭПС участника</w:t>
        </w:r>
        <w:r>
          <w:tab/>
        </w:r>
        <w:r>
          <w:fldChar w:fldCharType="begin"/>
        </w:r>
        <w:r>
          <w:instrText xml:space="preserve"> PAGEREF _Toc88819149 \h </w:instrText>
        </w:r>
        <w:r/>
        <w:r>
          <w:fldChar w:fldCharType="separate"/>
        </w:r>
        <w:r>
          <w:t xml:space="preserve">447</w:t>
        </w:r>
        <w:r>
          <w:fldChar w:fldCharType="end"/>
        </w:r>
      </w:hyperlink>
      <w:r/>
      <w:r/>
    </w:p>
    <w:p>
      <w:pPr>
        <w:pStyle w:val="1023"/>
        <w:rPr>
          <w:rFonts w:ascii="Calibri" w:hAnsi="Calibri"/>
          <w:bCs w:val="false"/>
          <w:iCs w:val="false"/>
          <w:sz w:val="22"/>
          <w:szCs w:val="22"/>
        </w:rPr>
      </w:pPr>
      <w:r/>
      <w:hyperlink w:tooltip="#_Toc88819150" w:anchor="_Toc88819150" w:history="1">
        <w:r>
          <w:rPr>
            <w:rStyle w:val="1020"/>
          </w:rPr>
          <w:t xml:space="preserve">5.9.3.</w:t>
        </w:r>
        <w:r>
          <w:rPr>
            <w:rFonts w:ascii="Calibri" w:hAnsi="Calibri"/>
            <w:bCs w:val="false"/>
            <w:iCs w:val="false"/>
            <w:sz w:val="22"/>
            <w:szCs w:val="22"/>
          </w:rPr>
          <w:tab/>
        </w:r>
        <w:r>
          <w:rPr>
            <w:rStyle w:val="1020"/>
          </w:rPr>
          <w:t xml:space="preserve">Ответ на запрос (уведомление) по ЭПС участника</w:t>
        </w:r>
        <w:r>
          <w:tab/>
        </w:r>
        <w:r>
          <w:fldChar w:fldCharType="begin"/>
        </w:r>
        <w:r>
          <w:instrText xml:space="preserve"> PAGEREF _Toc88819150 \h </w:instrText>
        </w:r>
        <w:r/>
        <w:r>
          <w:fldChar w:fldCharType="separate"/>
        </w:r>
        <w:r>
          <w:t xml:space="preserve">451</w:t>
        </w:r>
        <w:r>
          <w:fldChar w:fldCharType="end"/>
        </w:r>
      </w:hyperlink>
      <w:r/>
      <w:r/>
    </w:p>
    <w:p>
      <w:pPr>
        <w:pStyle w:val="1022"/>
        <w:rPr>
          <w:rFonts w:ascii="Calibri" w:hAnsi="Calibri"/>
          <w:bCs w:val="false"/>
          <w:sz w:val="22"/>
          <w:szCs w:val="22"/>
        </w:rPr>
      </w:pPr>
      <w:r/>
      <w:hyperlink w:tooltip="#_Toc88819151" w:anchor="_Toc88819151" w:history="1">
        <w:r>
          <w:rPr>
            <w:rStyle w:val="1020"/>
          </w:rPr>
          <w:t xml:space="preserve">5.10.</w:t>
        </w:r>
        <w:r>
          <w:rPr>
            <w:rFonts w:ascii="Calibri" w:hAnsi="Calibri"/>
            <w:bCs w:val="false"/>
            <w:sz w:val="22"/>
            <w:szCs w:val="22"/>
          </w:rPr>
          <w:tab/>
        </w:r>
        <w:r>
          <w:rPr>
            <w:rStyle w:val="1020"/>
          </w:rPr>
          <w:t xml:space="preserve">Группа документов «Служебные»</w:t>
        </w:r>
        <w:r>
          <w:tab/>
        </w:r>
        <w:r>
          <w:fldChar w:fldCharType="begin"/>
        </w:r>
        <w:r>
          <w:instrText xml:space="preserve"> PAGEREF _Toc88819151 \h </w:instrText>
        </w:r>
        <w:r/>
        <w:r>
          <w:fldChar w:fldCharType="separate"/>
        </w:r>
        <w:r>
          <w:t xml:space="preserve">456</w:t>
        </w:r>
        <w:r>
          <w:fldChar w:fldCharType="end"/>
        </w:r>
      </w:hyperlink>
      <w:r/>
      <w:r/>
    </w:p>
    <w:p>
      <w:pPr>
        <w:pStyle w:val="1023"/>
        <w:rPr>
          <w:rFonts w:ascii="Calibri" w:hAnsi="Calibri"/>
          <w:bCs w:val="false"/>
          <w:iCs w:val="false"/>
          <w:sz w:val="22"/>
          <w:szCs w:val="22"/>
        </w:rPr>
      </w:pPr>
      <w:r/>
      <w:hyperlink w:tooltip="#_Toc88819152" w:anchor="_Toc88819152" w:history="1">
        <w:r>
          <w:rPr>
            <w:rStyle w:val="1020"/>
          </w:rPr>
          <w:t xml:space="preserve">5.10.1.</w:t>
        </w:r>
        <w:r>
          <w:rPr>
            <w:rFonts w:ascii="Calibri" w:hAnsi="Calibri"/>
            <w:bCs w:val="false"/>
            <w:iCs w:val="false"/>
            <w:sz w:val="22"/>
            <w:szCs w:val="22"/>
          </w:rPr>
          <w:tab/>
        </w:r>
        <w:r>
          <w:rPr>
            <w:rStyle w:val="1020"/>
          </w:rPr>
          <w:t xml:space="preserve">Анкета</w:t>
        </w:r>
        <w:r>
          <w:tab/>
        </w:r>
        <w:r>
          <w:fldChar w:fldCharType="begin"/>
        </w:r>
        <w:r>
          <w:instrText xml:space="preserve"> PAGEREF _Toc88819152 \h </w:instrText>
        </w:r>
        <w:r/>
        <w:r>
          <w:fldChar w:fldCharType="separate"/>
        </w:r>
        <w:r>
          <w:t xml:space="preserve">456</w:t>
        </w:r>
        <w:r>
          <w:fldChar w:fldCharType="end"/>
        </w:r>
      </w:hyperlink>
      <w:r/>
      <w:r/>
    </w:p>
    <w:p>
      <w:pPr>
        <w:pStyle w:val="1023"/>
        <w:rPr>
          <w:rFonts w:ascii="Calibri" w:hAnsi="Calibri"/>
          <w:bCs w:val="false"/>
          <w:iCs w:val="false"/>
          <w:sz w:val="22"/>
          <w:szCs w:val="22"/>
        </w:rPr>
      </w:pPr>
      <w:r/>
      <w:hyperlink w:tooltip="#_Toc88819153" w:anchor="_Toc88819153" w:history="1">
        <w:r>
          <w:rPr>
            <w:rStyle w:val="1020"/>
          </w:rPr>
          <w:t xml:space="preserve">5.10.2.</w:t>
        </w:r>
        <w:r>
          <w:rPr>
            <w:rFonts w:ascii="Calibri" w:hAnsi="Calibri"/>
            <w:bCs w:val="false"/>
            <w:iCs w:val="false"/>
            <w:sz w:val="22"/>
            <w:szCs w:val="22"/>
          </w:rPr>
          <w:tab/>
        </w:r>
        <w:r>
          <w:rPr>
            <w:rStyle w:val="1020"/>
          </w:rPr>
          <w:t xml:space="preserve">Способы автоматического импорта файлов</w:t>
        </w:r>
        <w:r>
          <w:tab/>
        </w:r>
        <w:r>
          <w:fldChar w:fldCharType="begin"/>
        </w:r>
        <w:r>
          <w:instrText xml:space="preserve"> PAGEREF _Toc88819153 \h </w:instrText>
        </w:r>
        <w:r/>
        <w:r>
          <w:fldChar w:fldCharType="separate"/>
        </w:r>
        <w:r>
          <w:t xml:space="preserve">458</w:t>
        </w:r>
        <w:r>
          <w:fldChar w:fldCharType="end"/>
        </w:r>
      </w:hyperlink>
      <w:r/>
      <w:r/>
    </w:p>
    <w:p>
      <w:pPr>
        <w:pStyle w:val="1023"/>
        <w:rPr>
          <w:rFonts w:ascii="Calibri" w:hAnsi="Calibri"/>
          <w:bCs w:val="false"/>
          <w:iCs w:val="false"/>
          <w:sz w:val="22"/>
          <w:szCs w:val="22"/>
        </w:rPr>
      </w:pPr>
      <w:r/>
      <w:hyperlink w:tooltip="#_Toc88819154" w:anchor="_Toc88819154" w:history="1">
        <w:r>
          <w:rPr>
            <w:rStyle w:val="1020"/>
          </w:rPr>
          <w:t xml:space="preserve">5.10.3.</w:t>
        </w:r>
        <w:r>
          <w:rPr>
            <w:rFonts w:ascii="Calibri" w:hAnsi="Calibri"/>
            <w:bCs w:val="false"/>
            <w:iCs w:val="false"/>
            <w:sz w:val="22"/>
            <w:szCs w:val="22"/>
          </w:rPr>
          <w:tab/>
        </w:r>
        <w:r>
          <w:rPr>
            <w:rStyle w:val="1020"/>
          </w:rPr>
          <w:t xml:space="preserve">Способы автоматического экспорта документов</w:t>
        </w:r>
        <w:r>
          <w:tab/>
        </w:r>
        <w:r>
          <w:fldChar w:fldCharType="begin"/>
        </w:r>
        <w:r>
          <w:instrText xml:space="preserve"> PAGEREF _Toc88819154 \h </w:instrText>
        </w:r>
        <w:r/>
        <w:r>
          <w:fldChar w:fldCharType="separate"/>
        </w:r>
        <w:r>
          <w:t xml:space="preserve">464</w:t>
        </w:r>
        <w:r>
          <w:fldChar w:fldCharType="end"/>
        </w:r>
      </w:hyperlink>
      <w:r/>
      <w:r/>
    </w:p>
    <w:p>
      <w:pPr>
        <w:pStyle w:val="1022"/>
        <w:rPr>
          <w:rFonts w:ascii="Calibri" w:hAnsi="Calibri"/>
          <w:bCs w:val="false"/>
          <w:sz w:val="22"/>
          <w:szCs w:val="22"/>
        </w:rPr>
      </w:pPr>
      <w:r/>
      <w:hyperlink w:tooltip="#_Toc88819155" w:anchor="_Toc88819155" w:history="1">
        <w:r>
          <w:rPr>
            <w:rStyle w:val="1020"/>
          </w:rPr>
          <w:t xml:space="preserve">5.11.</w:t>
        </w:r>
        <w:r>
          <w:rPr>
            <w:rFonts w:ascii="Calibri" w:hAnsi="Calibri"/>
            <w:bCs w:val="false"/>
            <w:sz w:val="22"/>
            <w:szCs w:val="22"/>
          </w:rPr>
          <w:tab/>
        </w:r>
        <w:r>
          <w:rPr>
            <w:rStyle w:val="1020"/>
          </w:rPr>
          <w:t xml:space="preserve">Группа документов «Оперативная отчетность»</w:t>
        </w:r>
        <w:r>
          <w:tab/>
        </w:r>
        <w:r>
          <w:fldChar w:fldCharType="begin"/>
        </w:r>
        <w:r>
          <w:instrText xml:space="preserve"> PAGEREF _Toc88819155 \h </w:instrText>
        </w:r>
        <w:r/>
        <w:r>
          <w:fldChar w:fldCharType="separate"/>
        </w:r>
        <w:r>
          <w:t xml:space="preserve">467</w:t>
        </w:r>
        <w:r>
          <w:fldChar w:fldCharType="end"/>
        </w:r>
      </w:hyperlink>
      <w:r/>
      <w:r/>
    </w:p>
    <w:p>
      <w:pPr>
        <w:pStyle w:val="1023"/>
        <w:rPr>
          <w:rFonts w:ascii="Calibri" w:hAnsi="Calibri"/>
          <w:bCs w:val="false"/>
          <w:iCs w:val="false"/>
          <w:sz w:val="22"/>
          <w:szCs w:val="22"/>
        </w:rPr>
      </w:pPr>
      <w:r/>
      <w:hyperlink w:tooltip="#_Toc88819156" w:anchor="_Toc88819156" w:history="1">
        <w:r>
          <w:rPr>
            <w:rStyle w:val="1020"/>
          </w:rPr>
          <w:t xml:space="preserve">5.11.1.</w:t>
        </w:r>
        <w:r>
          <w:rPr>
            <w:rFonts w:ascii="Calibri" w:hAnsi="Calibri"/>
            <w:bCs w:val="false"/>
            <w:iCs w:val="false"/>
            <w:sz w:val="22"/>
            <w:szCs w:val="22"/>
          </w:rPr>
          <w:tab/>
        </w:r>
        <w:r>
          <w:rPr>
            <w:rStyle w:val="1020"/>
          </w:rPr>
          <w:t xml:space="preserve">Отчеты</w:t>
        </w:r>
        <w:r>
          <w:tab/>
        </w:r>
        <w:r>
          <w:fldChar w:fldCharType="begin"/>
        </w:r>
        <w:r>
          <w:instrText xml:space="preserve"> PAGEREF _Toc88819156 \h </w:instrText>
        </w:r>
        <w:r/>
        <w:r>
          <w:fldChar w:fldCharType="separate"/>
        </w:r>
        <w:r>
          <w:t xml:space="preserve">467</w:t>
        </w:r>
        <w:r>
          <w:fldChar w:fldCharType="end"/>
        </w:r>
      </w:hyperlink>
      <w:r/>
      <w:r/>
    </w:p>
    <w:p>
      <w:pPr>
        <w:pStyle w:val="1023"/>
        <w:rPr>
          <w:rFonts w:ascii="Calibri" w:hAnsi="Calibri"/>
          <w:bCs w:val="false"/>
          <w:iCs w:val="false"/>
          <w:sz w:val="22"/>
          <w:szCs w:val="22"/>
        </w:rPr>
      </w:pPr>
      <w:r/>
      <w:hyperlink w:tooltip="#_Toc88819157" w:anchor="_Toc88819157" w:history="1">
        <w:r>
          <w:rPr>
            <w:rStyle w:val="1020"/>
          </w:rPr>
          <w:t xml:space="preserve">5.11.2.</w:t>
        </w:r>
        <w:r>
          <w:rPr>
            <w:rFonts w:ascii="Calibri" w:hAnsi="Calibri"/>
            <w:bCs w:val="false"/>
            <w:iCs w:val="false"/>
            <w:sz w:val="22"/>
            <w:szCs w:val="22"/>
          </w:rPr>
          <w:tab/>
        </w:r>
        <w:r>
          <w:rPr>
            <w:rStyle w:val="1020"/>
          </w:rPr>
          <w:t xml:space="preserve">Информация из РД</w:t>
        </w:r>
        <w:r>
          <w:tab/>
        </w:r>
        <w:r>
          <w:fldChar w:fldCharType="begin"/>
        </w:r>
        <w:r>
          <w:instrText xml:space="preserve"> PAGEREF _Toc88819157 \h </w:instrText>
        </w:r>
        <w:r/>
        <w:r>
          <w:fldChar w:fldCharType="separate"/>
        </w:r>
        <w:r>
          <w:t xml:space="preserve">473</w:t>
        </w:r>
        <w:r>
          <w:fldChar w:fldCharType="end"/>
        </w:r>
      </w:hyperlink>
      <w:r/>
      <w:r/>
    </w:p>
    <w:p>
      <w:pPr>
        <w:pStyle w:val="1023"/>
        <w:rPr>
          <w:rFonts w:ascii="Calibri" w:hAnsi="Calibri"/>
          <w:bCs w:val="false"/>
          <w:iCs w:val="false"/>
          <w:sz w:val="22"/>
          <w:szCs w:val="22"/>
        </w:rPr>
      </w:pPr>
      <w:r/>
      <w:hyperlink w:tooltip="#_Toc88819158" w:anchor="_Toc88819158" w:history="1">
        <w:r>
          <w:rPr>
            <w:rStyle w:val="1020"/>
          </w:rPr>
          <w:t xml:space="preserve">5.11.3.</w:t>
        </w:r>
        <w:r>
          <w:rPr>
            <w:rFonts w:ascii="Calibri" w:hAnsi="Calibri"/>
            <w:bCs w:val="false"/>
            <w:iCs w:val="false"/>
            <w:sz w:val="22"/>
            <w:szCs w:val="22"/>
          </w:rPr>
          <w:tab/>
        </w:r>
        <w:r>
          <w:rPr>
            <w:rStyle w:val="1020"/>
          </w:rPr>
          <w:t xml:space="preserve">Запрос на предоставление отчета клиента</w:t>
        </w:r>
        <w:r>
          <w:tab/>
        </w:r>
        <w:r>
          <w:fldChar w:fldCharType="begin"/>
        </w:r>
        <w:r>
          <w:instrText xml:space="preserve"> PAGEREF _Toc88819158 \h </w:instrText>
        </w:r>
        <w:r/>
        <w:r>
          <w:fldChar w:fldCharType="separate"/>
        </w:r>
        <w:r>
          <w:t xml:space="preserve">481</w:t>
        </w:r>
        <w:r>
          <w:fldChar w:fldCharType="end"/>
        </w:r>
      </w:hyperlink>
      <w:r/>
      <w:r/>
    </w:p>
    <w:p>
      <w:pPr>
        <w:pStyle w:val="1023"/>
        <w:rPr>
          <w:rFonts w:ascii="Calibri" w:hAnsi="Calibri"/>
          <w:bCs w:val="false"/>
          <w:iCs w:val="false"/>
          <w:sz w:val="22"/>
          <w:szCs w:val="22"/>
        </w:rPr>
      </w:pPr>
      <w:r/>
      <w:hyperlink w:tooltip="#_Toc88819159" w:anchor="_Toc88819159" w:history="1">
        <w:r>
          <w:rPr>
            <w:rStyle w:val="1020"/>
          </w:rPr>
          <w:t xml:space="preserve">5.11.4.</w:t>
        </w:r>
        <w:r>
          <w:rPr>
            <w:rFonts w:ascii="Calibri" w:hAnsi="Calibri"/>
            <w:bCs w:val="false"/>
            <w:iCs w:val="false"/>
            <w:sz w:val="22"/>
            <w:szCs w:val="22"/>
          </w:rPr>
          <w:tab/>
        </w:r>
        <w:r>
          <w:rPr>
            <w:rStyle w:val="1020"/>
          </w:rPr>
          <w:t xml:space="preserve">Запрос на предоставление выписки из казначейского счета</w:t>
        </w:r>
        <w:r>
          <w:tab/>
        </w:r>
        <w:r>
          <w:fldChar w:fldCharType="begin"/>
        </w:r>
        <w:r>
          <w:instrText xml:space="preserve"> PAGEREF _Toc88819159 \h </w:instrText>
        </w:r>
        <w:r/>
        <w:r>
          <w:fldChar w:fldCharType="separate"/>
        </w:r>
        <w:r>
          <w:t xml:space="preserve">487</w:t>
        </w:r>
        <w:r>
          <w:fldChar w:fldCharType="end"/>
        </w:r>
      </w:hyperlink>
      <w:r/>
      <w:r/>
    </w:p>
    <w:p>
      <w:pPr>
        <w:pStyle w:val="1023"/>
        <w:rPr>
          <w:rFonts w:ascii="Calibri" w:hAnsi="Calibri"/>
          <w:bCs w:val="false"/>
          <w:iCs w:val="false"/>
          <w:sz w:val="22"/>
          <w:szCs w:val="22"/>
        </w:rPr>
      </w:pPr>
      <w:r/>
      <w:hyperlink w:tooltip="#_Toc88819160" w:anchor="_Toc88819160" w:history="1">
        <w:r>
          <w:rPr>
            <w:rStyle w:val="1020"/>
          </w:rPr>
          <w:t xml:space="preserve">5.11.5.</w:t>
        </w:r>
        <w:r>
          <w:rPr>
            <w:rFonts w:ascii="Calibri" w:hAnsi="Calibri"/>
            <w:bCs w:val="false"/>
            <w:iCs w:val="false"/>
            <w:sz w:val="22"/>
            <w:szCs w:val="22"/>
          </w:rPr>
          <w:tab/>
        </w:r>
        <w:r>
          <w:rPr>
            <w:rStyle w:val="1020"/>
          </w:rPr>
          <w:t xml:space="preserve">Информация о кассовых операциях на лицевых счетах учреждений</w:t>
        </w:r>
        <w:r>
          <w:tab/>
        </w:r>
        <w:r>
          <w:fldChar w:fldCharType="begin"/>
        </w:r>
        <w:r>
          <w:instrText xml:space="preserve"> PAGEREF _Toc88819160 \h </w:instrText>
        </w:r>
        <w:r/>
        <w:r>
          <w:fldChar w:fldCharType="separate"/>
        </w:r>
        <w:r>
          <w:t xml:space="preserve">493</w:t>
        </w:r>
        <w:r>
          <w:fldChar w:fldCharType="end"/>
        </w:r>
      </w:hyperlink>
      <w:r/>
      <w:r/>
    </w:p>
    <w:p>
      <w:pPr>
        <w:pStyle w:val="1023"/>
        <w:rPr>
          <w:rFonts w:ascii="Calibri" w:hAnsi="Calibri"/>
          <w:bCs w:val="false"/>
          <w:iCs w:val="false"/>
          <w:sz w:val="22"/>
          <w:szCs w:val="22"/>
        </w:rPr>
      </w:pPr>
      <w:r/>
      <w:hyperlink w:tooltip="#_Toc88819161" w:anchor="_Toc88819161" w:history="1">
        <w:r>
          <w:rPr>
            <w:rStyle w:val="1020"/>
          </w:rPr>
          <w:t xml:space="preserve">5.11.6.</w:t>
        </w:r>
        <w:r>
          <w:rPr>
            <w:rFonts w:ascii="Calibri" w:hAnsi="Calibri"/>
            <w:bCs w:val="false"/>
            <w:iCs w:val="false"/>
            <w:sz w:val="22"/>
            <w:szCs w:val="22"/>
          </w:rPr>
          <w:tab/>
        </w:r>
        <w:r>
          <w:rPr>
            <w:rStyle w:val="1020"/>
          </w:rPr>
          <w:t xml:space="preserve">Отчетность ПУР</w:t>
        </w:r>
        <w:r>
          <w:tab/>
        </w:r>
        <w:r>
          <w:fldChar w:fldCharType="begin"/>
        </w:r>
        <w:r>
          <w:instrText xml:space="preserve"> PAGEREF _Toc88819161 \h </w:instrText>
        </w:r>
        <w:r/>
        <w:r>
          <w:fldChar w:fldCharType="separate"/>
        </w:r>
        <w:r>
          <w:t xml:space="preserve">524</w:t>
        </w:r>
        <w:r>
          <w:fldChar w:fldCharType="end"/>
        </w:r>
      </w:hyperlink>
      <w:r/>
      <w:r/>
    </w:p>
    <w:p>
      <w:pPr>
        <w:pStyle w:val="1023"/>
        <w:rPr>
          <w:rFonts w:ascii="Calibri" w:hAnsi="Calibri"/>
          <w:bCs w:val="false"/>
          <w:iCs w:val="false"/>
          <w:sz w:val="22"/>
          <w:szCs w:val="22"/>
        </w:rPr>
      </w:pPr>
      <w:r/>
      <w:hyperlink w:tooltip="#_Toc88819162" w:anchor="_Toc88819162" w:history="1">
        <w:r>
          <w:rPr>
            <w:rStyle w:val="1020"/>
          </w:rPr>
          <w:t xml:space="preserve">5.11.7.</w:t>
        </w:r>
        <w:r>
          <w:rPr>
            <w:rFonts w:ascii="Calibri" w:hAnsi="Calibri"/>
            <w:bCs w:val="false"/>
            <w:iCs w:val="false"/>
            <w:sz w:val="22"/>
            <w:szCs w:val="22"/>
          </w:rPr>
          <w:tab/>
        </w:r>
        <w:r>
          <w:rPr>
            <w:rStyle w:val="1020"/>
          </w:rPr>
          <w:t xml:space="preserve">Сервисный документ доставки шаблона отчета</w:t>
        </w:r>
        <w:r>
          <w:tab/>
        </w:r>
        <w:r>
          <w:fldChar w:fldCharType="begin"/>
        </w:r>
        <w:r>
          <w:instrText xml:space="preserve"> PAGEREF _Toc88819162 \h </w:instrText>
        </w:r>
        <w:r/>
        <w:r>
          <w:fldChar w:fldCharType="separate"/>
        </w:r>
        <w:r>
          <w:t xml:space="preserve">527</w:t>
        </w:r>
        <w:r>
          <w:fldChar w:fldCharType="end"/>
        </w:r>
      </w:hyperlink>
      <w:r/>
      <w:r/>
    </w:p>
    <w:p>
      <w:pPr>
        <w:pStyle w:val="1022"/>
        <w:rPr>
          <w:rFonts w:ascii="Calibri" w:hAnsi="Calibri"/>
          <w:bCs w:val="false"/>
          <w:sz w:val="22"/>
          <w:szCs w:val="22"/>
        </w:rPr>
      </w:pPr>
      <w:r/>
      <w:hyperlink w:tooltip="#_Toc88819163" w:anchor="_Toc88819163" w:history="1">
        <w:r>
          <w:rPr>
            <w:rStyle w:val="1020"/>
          </w:rPr>
          <w:t xml:space="preserve">5.12.</w:t>
        </w:r>
        <w:r>
          <w:rPr>
            <w:rFonts w:ascii="Calibri" w:hAnsi="Calibri"/>
            <w:bCs w:val="false"/>
            <w:sz w:val="22"/>
            <w:szCs w:val="22"/>
          </w:rPr>
          <w:tab/>
        </w:r>
        <w:r>
          <w:rPr>
            <w:rStyle w:val="1020"/>
          </w:rPr>
          <w:t xml:space="preserve">Группа документов «Ведение справочника участников бюджетного процесса»</w:t>
        </w:r>
        <w:r>
          <w:tab/>
        </w:r>
        <w:r>
          <w:fldChar w:fldCharType="begin"/>
        </w:r>
        <w:r>
          <w:instrText xml:space="preserve"> PAGEREF _Toc88819163 \h </w:instrText>
        </w:r>
        <w:r/>
        <w:r>
          <w:fldChar w:fldCharType="separate"/>
        </w:r>
        <w:r>
          <w:t xml:space="preserve">530</w:t>
        </w:r>
        <w:r>
          <w:fldChar w:fldCharType="end"/>
        </w:r>
      </w:hyperlink>
      <w:r/>
      <w:r/>
    </w:p>
    <w:p>
      <w:pPr>
        <w:pStyle w:val="1023"/>
        <w:rPr>
          <w:rFonts w:ascii="Calibri" w:hAnsi="Calibri"/>
          <w:bCs w:val="false"/>
          <w:iCs w:val="false"/>
          <w:sz w:val="22"/>
          <w:szCs w:val="22"/>
        </w:rPr>
      </w:pPr>
      <w:r/>
      <w:hyperlink w:tooltip="#_Toc88819164" w:anchor="_Toc88819164" w:history="1">
        <w:r>
          <w:rPr>
            <w:rStyle w:val="1020"/>
          </w:rPr>
          <w:t xml:space="preserve">5.12.1.</w:t>
        </w:r>
        <w:r>
          <w:rPr>
            <w:rFonts w:ascii="Calibri" w:hAnsi="Calibri"/>
            <w:bCs w:val="false"/>
            <w:iCs w:val="false"/>
            <w:sz w:val="22"/>
            <w:szCs w:val="22"/>
          </w:rPr>
          <w:tab/>
        </w:r>
        <w:r>
          <w:rPr>
            <w:rStyle w:val="1020"/>
          </w:rPr>
          <w:t xml:space="preserve">Перечень участников бюджетного процесса</w:t>
        </w:r>
        <w:r>
          <w:tab/>
        </w:r>
        <w:r>
          <w:fldChar w:fldCharType="begin"/>
        </w:r>
        <w:r>
          <w:instrText xml:space="preserve"> PAGEREF _Toc88819164 \h </w:instrText>
        </w:r>
        <w:r/>
        <w:r>
          <w:fldChar w:fldCharType="separate"/>
        </w:r>
        <w:r>
          <w:t xml:space="preserve">530</w:t>
        </w:r>
        <w:r>
          <w:fldChar w:fldCharType="end"/>
        </w:r>
      </w:hyperlink>
      <w:r/>
      <w:r/>
    </w:p>
    <w:p>
      <w:pPr>
        <w:pStyle w:val="1022"/>
        <w:rPr>
          <w:rFonts w:ascii="Calibri" w:hAnsi="Calibri"/>
          <w:bCs w:val="false"/>
          <w:sz w:val="22"/>
          <w:szCs w:val="22"/>
        </w:rPr>
      </w:pPr>
      <w:r/>
      <w:hyperlink w:tooltip="#_Toc88819165" w:anchor="_Toc88819165" w:history="1">
        <w:r>
          <w:rPr>
            <w:rStyle w:val="1020"/>
          </w:rPr>
          <w:t xml:space="preserve">5.13.</w:t>
        </w:r>
        <w:r>
          <w:rPr>
            <w:rFonts w:ascii="Calibri" w:hAnsi="Calibri"/>
            <w:bCs w:val="false"/>
            <w:sz w:val="22"/>
            <w:szCs w:val="22"/>
          </w:rPr>
          <w:tab/>
        </w:r>
        <w:r>
          <w:rPr>
            <w:rStyle w:val="1020"/>
          </w:rPr>
          <w:t xml:space="preserve">Группа документов «Произвольные»</w:t>
        </w:r>
        <w:r>
          <w:tab/>
        </w:r>
        <w:r>
          <w:fldChar w:fldCharType="begin"/>
        </w:r>
        <w:r>
          <w:instrText xml:space="preserve"> PAGEREF _Toc88819165 \h </w:instrText>
        </w:r>
        <w:r/>
        <w:r>
          <w:fldChar w:fldCharType="separate"/>
        </w:r>
        <w:r>
          <w:t xml:space="preserve">535</w:t>
        </w:r>
        <w:r>
          <w:fldChar w:fldCharType="end"/>
        </w:r>
      </w:hyperlink>
      <w:r/>
      <w:r/>
    </w:p>
    <w:p>
      <w:pPr>
        <w:pStyle w:val="1023"/>
        <w:rPr>
          <w:rFonts w:ascii="Calibri" w:hAnsi="Calibri"/>
          <w:bCs w:val="false"/>
          <w:iCs w:val="false"/>
          <w:sz w:val="22"/>
          <w:szCs w:val="22"/>
        </w:rPr>
      </w:pPr>
      <w:r/>
      <w:hyperlink w:tooltip="#_Toc88819166" w:anchor="_Toc88819166" w:history="1">
        <w:r>
          <w:rPr>
            <w:rStyle w:val="1020"/>
          </w:rPr>
          <w:t xml:space="preserve">5.13.1.</w:t>
        </w:r>
        <w:r>
          <w:rPr>
            <w:rFonts w:ascii="Calibri" w:hAnsi="Calibri"/>
            <w:bCs w:val="false"/>
            <w:iCs w:val="false"/>
            <w:sz w:val="22"/>
            <w:szCs w:val="22"/>
          </w:rPr>
          <w:tab/>
        </w:r>
        <w:r>
          <w:rPr>
            <w:rStyle w:val="1020"/>
          </w:rPr>
          <w:t xml:space="preserve">Информационное сообщение</w:t>
        </w:r>
        <w:r>
          <w:tab/>
        </w:r>
        <w:r>
          <w:fldChar w:fldCharType="begin"/>
        </w:r>
        <w:r>
          <w:instrText xml:space="preserve"> PAGEREF _Toc88819166 \h </w:instrText>
        </w:r>
        <w:r/>
        <w:r>
          <w:fldChar w:fldCharType="separate"/>
        </w:r>
        <w:r>
          <w:t xml:space="preserve">535</w:t>
        </w:r>
        <w:r>
          <w:fldChar w:fldCharType="end"/>
        </w:r>
      </w:hyperlink>
      <w:r/>
      <w:r/>
    </w:p>
    <w:p>
      <w:pPr>
        <w:pStyle w:val="1022"/>
        <w:rPr>
          <w:rFonts w:ascii="Calibri" w:hAnsi="Calibri"/>
          <w:bCs w:val="false"/>
          <w:sz w:val="22"/>
          <w:szCs w:val="22"/>
        </w:rPr>
      </w:pPr>
      <w:r/>
      <w:hyperlink w:tooltip="#_Toc88819167" w:anchor="_Toc88819167" w:history="1">
        <w:r>
          <w:rPr>
            <w:rStyle w:val="1020"/>
          </w:rPr>
          <w:t xml:space="preserve">5.14.</w:t>
        </w:r>
        <w:r>
          <w:rPr>
            <w:rFonts w:ascii="Calibri" w:hAnsi="Calibri"/>
            <w:bCs w:val="false"/>
            <w:sz w:val="22"/>
            <w:szCs w:val="22"/>
          </w:rPr>
          <w:tab/>
        </w:r>
        <w:r>
          <w:rPr>
            <w:rStyle w:val="1020"/>
          </w:rPr>
          <w:t xml:space="preserve">Группа документов «Предоставление бюджетных кредитов»</w:t>
        </w:r>
        <w:r>
          <w:tab/>
        </w:r>
        <w:r>
          <w:fldChar w:fldCharType="begin"/>
        </w:r>
        <w:r>
          <w:instrText xml:space="preserve"> PAGEREF _Toc88819167 \h </w:instrText>
        </w:r>
        <w:r/>
        <w:r>
          <w:fldChar w:fldCharType="separate"/>
        </w:r>
        <w:r>
          <w:t xml:space="preserve">542</w:t>
        </w:r>
        <w:r>
          <w:fldChar w:fldCharType="end"/>
        </w:r>
      </w:hyperlink>
      <w:r/>
      <w:r/>
    </w:p>
    <w:p>
      <w:pPr>
        <w:pStyle w:val="1023"/>
        <w:rPr>
          <w:rFonts w:ascii="Calibri" w:hAnsi="Calibri"/>
          <w:bCs w:val="false"/>
          <w:iCs w:val="false"/>
          <w:sz w:val="22"/>
          <w:szCs w:val="22"/>
        </w:rPr>
      </w:pPr>
      <w:r/>
      <w:hyperlink w:tooltip="#_Toc88819168" w:anchor="_Toc88819168" w:history="1">
        <w:r>
          <w:rPr>
            <w:rStyle w:val="1020"/>
          </w:rPr>
          <w:t xml:space="preserve">5.14.1.</w:t>
        </w:r>
        <w:r>
          <w:rPr>
            <w:rFonts w:ascii="Calibri" w:hAnsi="Calibri"/>
            <w:bCs w:val="false"/>
            <w:iCs w:val="false"/>
            <w:sz w:val="22"/>
            <w:szCs w:val="22"/>
          </w:rPr>
          <w:tab/>
        </w:r>
        <w:r>
          <w:rPr>
            <w:rStyle w:val="1020"/>
          </w:rPr>
          <w:t xml:space="preserve">Кредитный договор</w:t>
        </w:r>
        <w:r>
          <w:tab/>
        </w:r>
        <w:r>
          <w:fldChar w:fldCharType="begin"/>
        </w:r>
        <w:r>
          <w:instrText xml:space="preserve"> PAGEREF _Toc88819168 \h </w:instrText>
        </w:r>
        <w:r/>
        <w:r>
          <w:fldChar w:fldCharType="separate"/>
        </w:r>
        <w:r>
          <w:t xml:space="preserve">542</w:t>
        </w:r>
        <w:r>
          <w:fldChar w:fldCharType="end"/>
        </w:r>
      </w:hyperlink>
      <w:r/>
      <w:r/>
    </w:p>
    <w:p>
      <w:pPr>
        <w:pStyle w:val="1023"/>
        <w:rPr>
          <w:rFonts w:ascii="Calibri" w:hAnsi="Calibri"/>
          <w:bCs w:val="false"/>
          <w:iCs w:val="false"/>
          <w:sz w:val="22"/>
          <w:szCs w:val="22"/>
        </w:rPr>
      </w:pPr>
      <w:r/>
      <w:hyperlink w:tooltip="#_Toc88819169" w:anchor="_Toc88819169" w:history="1">
        <w:r>
          <w:rPr>
            <w:rStyle w:val="1020"/>
          </w:rPr>
          <w:t xml:space="preserve">5.14.2.</w:t>
        </w:r>
        <w:r>
          <w:rPr>
            <w:rFonts w:ascii="Calibri" w:hAnsi="Calibri"/>
            <w:bCs w:val="false"/>
            <w:iCs w:val="false"/>
            <w:sz w:val="22"/>
            <w:szCs w:val="22"/>
          </w:rPr>
          <w:tab/>
        </w:r>
        <w:r>
          <w:rPr>
            <w:rStyle w:val="1020"/>
          </w:rPr>
          <w:t xml:space="preserve">Уведомление об отказе в заключении Кредитного договора</w:t>
        </w:r>
        <w:r>
          <w:tab/>
        </w:r>
        <w:r>
          <w:fldChar w:fldCharType="begin"/>
        </w:r>
        <w:r>
          <w:instrText xml:space="preserve"> PAGEREF _Toc88819169 \h </w:instrText>
        </w:r>
        <w:r/>
        <w:r>
          <w:fldChar w:fldCharType="separate"/>
        </w:r>
        <w:r>
          <w:t xml:space="preserve">551</w:t>
        </w:r>
        <w:r>
          <w:fldChar w:fldCharType="end"/>
        </w:r>
      </w:hyperlink>
      <w:r/>
      <w:r/>
    </w:p>
    <w:p>
      <w:pPr>
        <w:pStyle w:val="1022"/>
        <w:rPr>
          <w:rFonts w:ascii="Calibri" w:hAnsi="Calibri"/>
          <w:bCs w:val="false"/>
          <w:sz w:val="22"/>
          <w:szCs w:val="22"/>
        </w:rPr>
      </w:pPr>
      <w:r/>
      <w:hyperlink w:tooltip="#_Toc88819170" w:anchor="_Toc88819170" w:history="1">
        <w:r>
          <w:rPr>
            <w:rStyle w:val="1020"/>
          </w:rPr>
          <w:t xml:space="preserve">5.15.</w:t>
        </w:r>
        <w:r>
          <w:rPr>
            <w:rFonts w:ascii="Calibri" w:hAnsi="Calibri"/>
            <w:bCs w:val="false"/>
            <w:sz w:val="22"/>
            <w:szCs w:val="22"/>
          </w:rPr>
          <w:tab/>
        </w:r>
        <w:r>
          <w:rPr>
            <w:rStyle w:val="1020"/>
          </w:rPr>
          <w:t xml:space="preserve">Группа документов «Справки о кассовых операциях»</w:t>
        </w:r>
        <w:r>
          <w:tab/>
        </w:r>
        <w:r>
          <w:fldChar w:fldCharType="begin"/>
        </w:r>
        <w:r>
          <w:instrText xml:space="preserve"> PAGEREF _Toc88819170 \h </w:instrText>
        </w:r>
        <w:r/>
        <w:r>
          <w:fldChar w:fldCharType="separate"/>
        </w:r>
        <w:r>
          <w:t xml:space="preserve">555</w:t>
        </w:r>
        <w:r>
          <w:fldChar w:fldCharType="end"/>
        </w:r>
      </w:hyperlink>
      <w:r/>
      <w:r/>
    </w:p>
    <w:p>
      <w:pPr>
        <w:pStyle w:val="1023"/>
        <w:rPr>
          <w:rFonts w:ascii="Calibri" w:hAnsi="Calibri"/>
          <w:bCs w:val="false"/>
          <w:iCs w:val="false"/>
          <w:sz w:val="22"/>
          <w:szCs w:val="22"/>
        </w:rPr>
      </w:pPr>
      <w:r/>
      <w:hyperlink w:tooltip="#_Toc88819171" w:anchor="_Toc88819171" w:history="1">
        <w:r>
          <w:rPr>
            <w:rStyle w:val="1020"/>
          </w:rPr>
          <w:t xml:space="preserve">5.15.1.</w:t>
        </w:r>
        <w:r>
          <w:rPr>
            <w:rFonts w:ascii="Calibri" w:hAnsi="Calibri"/>
            <w:bCs w:val="false"/>
            <w:iCs w:val="false"/>
            <w:sz w:val="22"/>
            <w:szCs w:val="22"/>
          </w:rPr>
          <w:tab/>
        </w:r>
        <w:r>
          <w:rPr>
            <w:rStyle w:val="1020"/>
          </w:rPr>
          <w:t xml:space="preserve">Справка о кассовых поступлениях</w:t>
        </w:r>
        <w:r>
          <w:tab/>
        </w:r>
        <w:r>
          <w:fldChar w:fldCharType="begin"/>
        </w:r>
        <w:r>
          <w:instrText xml:space="preserve"> PAGEREF _Toc88819171 \h </w:instrText>
        </w:r>
        <w:r/>
        <w:r>
          <w:fldChar w:fldCharType="separate"/>
        </w:r>
        <w:r>
          <w:t xml:space="preserve">555</w:t>
        </w:r>
        <w:r>
          <w:fldChar w:fldCharType="end"/>
        </w:r>
      </w:hyperlink>
      <w:r/>
      <w:r/>
    </w:p>
    <w:p>
      <w:pPr>
        <w:pStyle w:val="1023"/>
        <w:rPr>
          <w:rFonts w:ascii="Calibri" w:hAnsi="Calibri"/>
          <w:bCs w:val="false"/>
          <w:iCs w:val="false"/>
          <w:sz w:val="22"/>
          <w:szCs w:val="22"/>
        </w:rPr>
      </w:pPr>
      <w:r/>
      <w:hyperlink w:tooltip="#_Toc88819172" w:anchor="_Toc88819172" w:history="1">
        <w:r>
          <w:rPr>
            <w:rStyle w:val="1020"/>
          </w:rPr>
          <w:t xml:space="preserve">5.15.2.</w:t>
        </w:r>
        <w:r>
          <w:rPr>
            <w:rFonts w:ascii="Calibri" w:hAnsi="Calibri"/>
            <w:bCs w:val="false"/>
            <w:iCs w:val="false"/>
            <w:sz w:val="22"/>
            <w:szCs w:val="22"/>
          </w:rPr>
          <w:tab/>
        </w:r>
        <w:r>
          <w:rPr>
            <w:rStyle w:val="1020"/>
          </w:rPr>
          <w:t xml:space="preserve">Справка о финансировании и кассовых выплатах</w:t>
        </w:r>
        <w:r>
          <w:tab/>
        </w:r>
        <w:r>
          <w:fldChar w:fldCharType="begin"/>
        </w:r>
        <w:r>
          <w:instrText xml:space="preserve"> PAGEREF _Toc88819172 \h </w:instrText>
        </w:r>
        <w:r/>
        <w:r>
          <w:fldChar w:fldCharType="separate"/>
        </w:r>
        <w:r>
          <w:t xml:space="preserve">559</w:t>
        </w:r>
        <w:r>
          <w:fldChar w:fldCharType="end"/>
        </w:r>
      </w:hyperlink>
      <w:r/>
      <w:r/>
    </w:p>
    <w:p>
      <w:pPr>
        <w:pStyle w:val="1022"/>
        <w:rPr>
          <w:rFonts w:ascii="Calibri" w:hAnsi="Calibri"/>
          <w:bCs w:val="false"/>
          <w:sz w:val="22"/>
          <w:szCs w:val="22"/>
        </w:rPr>
      </w:pPr>
      <w:r/>
      <w:hyperlink w:tooltip="#_Toc88819173" w:anchor="_Toc88819173" w:history="1">
        <w:r>
          <w:rPr>
            <w:rStyle w:val="1020"/>
          </w:rPr>
          <w:t xml:space="preserve">5.16.</w:t>
        </w:r>
        <w:r>
          <w:rPr>
            <w:rFonts w:ascii="Calibri" w:hAnsi="Calibri"/>
            <w:bCs w:val="false"/>
            <w:sz w:val="22"/>
            <w:szCs w:val="22"/>
          </w:rPr>
          <w:tab/>
        </w:r>
        <w:r>
          <w:rPr>
            <w:rStyle w:val="1020"/>
          </w:rPr>
          <w:t xml:space="preserve">Группа документов «Ведение КБК»</w:t>
        </w:r>
        <w:r>
          <w:tab/>
        </w:r>
        <w:r>
          <w:fldChar w:fldCharType="begin"/>
        </w:r>
        <w:r>
          <w:instrText xml:space="preserve"> PAGEREF _Toc88819173 \h </w:instrText>
        </w:r>
        <w:r/>
        <w:r>
          <w:fldChar w:fldCharType="separate"/>
        </w:r>
        <w:r>
          <w:t xml:space="preserve">565</w:t>
        </w:r>
        <w:r>
          <w:fldChar w:fldCharType="end"/>
        </w:r>
      </w:hyperlink>
      <w:r/>
      <w:r/>
    </w:p>
    <w:p>
      <w:pPr>
        <w:pStyle w:val="1023"/>
        <w:rPr>
          <w:rFonts w:ascii="Calibri" w:hAnsi="Calibri"/>
          <w:bCs w:val="false"/>
          <w:iCs w:val="false"/>
          <w:sz w:val="22"/>
          <w:szCs w:val="22"/>
        </w:rPr>
      </w:pPr>
      <w:r/>
      <w:hyperlink w:tooltip="#_Toc88819174" w:anchor="_Toc88819174" w:history="1">
        <w:r>
          <w:rPr>
            <w:rStyle w:val="1020"/>
          </w:rPr>
          <w:t xml:space="preserve">5.16.1.</w:t>
        </w:r>
        <w:r>
          <w:rPr>
            <w:rFonts w:ascii="Calibri" w:hAnsi="Calibri"/>
            <w:bCs w:val="false"/>
            <w:iCs w:val="false"/>
            <w:sz w:val="22"/>
            <w:szCs w:val="22"/>
          </w:rPr>
          <w:tab/>
        </w:r>
        <w:r>
          <w:rPr>
            <w:rStyle w:val="1020"/>
          </w:rPr>
          <w:t xml:space="preserve">Сведения о КБК</w:t>
        </w:r>
        <w:r>
          <w:tab/>
        </w:r>
        <w:r>
          <w:fldChar w:fldCharType="begin"/>
        </w:r>
        <w:r>
          <w:instrText xml:space="preserve"> PAGEREF _Toc88819174 \h </w:instrText>
        </w:r>
        <w:r/>
        <w:r>
          <w:fldChar w:fldCharType="separate"/>
        </w:r>
        <w:r>
          <w:t xml:space="preserve">565</w:t>
        </w:r>
        <w:r>
          <w:fldChar w:fldCharType="end"/>
        </w:r>
      </w:hyperlink>
      <w:r/>
      <w:r/>
    </w:p>
    <w:p>
      <w:pPr>
        <w:pStyle w:val="1022"/>
        <w:rPr>
          <w:rFonts w:ascii="Calibri" w:hAnsi="Calibri"/>
          <w:bCs w:val="false"/>
          <w:sz w:val="22"/>
          <w:szCs w:val="22"/>
        </w:rPr>
      </w:pPr>
      <w:r/>
      <w:hyperlink w:tooltip="#_Toc88819175" w:anchor="_Toc88819175" w:history="1">
        <w:r>
          <w:rPr>
            <w:rStyle w:val="1020"/>
          </w:rPr>
          <w:t xml:space="preserve">5.17.</w:t>
        </w:r>
        <w:r>
          <w:rPr>
            <w:rFonts w:ascii="Calibri" w:hAnsi="Calibri"/>
            <w:bCs w:val="false"/>
            <w:sz w:val="22"/>
            <w:szCs w:val="22"/>
          </w:rPr>
          <w:tab/>
        </w:r>
        <w:r>
          <w:rPr>
            <w:rStyle w:val="1020"/>
          </w:rPr>
          <w:t xml:space="preserve">Группа документов «Регистрация пользователей на официальном сайте РФ»</w:t>
        </w:r>
        <w:r>
          <w:tab/>
        </w:r>
        <w:r>
          <w:fldChar w:fldCharType="begin"/>
        </w:r>
        <w:r>
          <w:instrText xml:space="preserve"> PAGEREF _Toc88819175 \h </w:instrText>
        </w:r>
        <w:r/>
        <w:r>
          <w:fldChar w:fldCharType="separate"/>
        </w:r>
        <w:r>
          <w:t xml:space="preserve">575</w:t>
        </w:r>
        <w:r>
          <w:fldChar w:fldCharType="end"/>
        </w:r>
      </w:hyperlink>
      <w:r/>
      <w:r/>
    </w:p>
    <w:p>
      <w:pPr>
        <w:pStyle w:val="1023"/>
        <w:rPr>
          <w:rFonts w:ascii="Calibri" w:hAnsi="Calibri"/>
          <w:bCs w:val="false"/>
          <w:iCs w:val="false"/>
          <w:sz w:val="22"/>
          <w:szCs w:val="22"/>
        </w:rPr>
      </w:pPr>
      <w:r/>
      <w:hyperlink w:tooltip="#_Toc88819176" w:anchor="_Toc88819176" w:history="1">
        <w:r>
          <w:rPr>
            <w:rStyle w:val="1020"/>
          </w:rPr>
          <w:t xml:space="preserve">5.17.1.</w:t>
        </w:r>
        <w:r>
          <w:rPr>
            <w:rFonts w:ascii="Calibri" w:hAnsi="Calibri"/>
            <w:bCs w:val="false"/>
            <w:iCs w:val="false"/>
            <w:sz w:val="22"/>
            <w:szCs w:val="22"/>
          </w:rPr>
          <w:tab/>
        </w:r>
        <w:r>
          <w:rPr>
            <w:rStyle w:val="1020"/>
          </w:rPr>
          <w:t xml:space="preserve">Заявка на внесение изменений в перечень ГМУ (основные реквизиты)</w:t>
        </w:r>
        <w:r>
          <w:tab/>
        </w:r>
        <w:r>
          <w:fldChar w:fldCharType="begin"/>
        </w:r>
        <w:r>
          <w:instrText xml:space="preserve"> PAGEREF _Toc88819176 \h </w:instrText>
        </w:r>
        <w:r/>
        <w:r>
          <w:fldChar w:fldCharType="separate"/>
        </w:r>
        <w:r>
          <w:t xml:space="preserve">575</w:t>
        </w:r>
        <w:r>
          <w:fldChar w:fldCharType="end"/>
        </w:r>
      </w:hyperlink>
      <w:r/>
      <w:r/>
    </w:p>
    <w:p>
      <w:pPr>
        <w:pStyle w:val="1023"/>
        <w:rPr>
          <w:rFonts w:ascii="Calibri" w:hAnsi="Calibri"/>
          <w:bCs w:val="false"/>
          <w:iCs w:val="false"/>
          <w:sz w:val="22"/>
          <w:szCs w:val="22"/>
        </w:rPr>
      </w:pPr>
      <w:r/>
      <w:hyperlink w:tooltip="#_Toc88819177" w:anchor="_Toc88819177" w:history="1">
        <w:r>
          <w:rPr>
            <w:rStyle w:val="1020"/>
          </w:rPr>
          <w:t xml:space="preserve">5.17.2.</w:t>
        </w:r>
        <w:r>
          <w:rPr>
            <w:rFonts w:ascii="Calibri" w:hAnsi="Calibri"/>
            <w:bCs w:val="false"/>
            <w:iCs w:val="false"/>
            <w:sz w:val="22"/>
            <w:szCs w:val="22"/>
          </w:rPr>
          <w:tab/>
        </w:r>
        <w:r>
          <w:rPr>
            <w:rStyle w:val="1020"/>
          </w:rPr>
          <w:t xml:space="preserve">Заявка на внесение изменений в перечень ГМУ (дополнительные реквизиты)</w:t>
        </w:r>
        <w:r>
          <w:tab/>
        </w:r>
        <w:r>
          <w:fldChar w:fldCharType="begin"/>
        </w:r>
        <w:r>
          <w:instrText xml:space="preserve"> PAGEREF _Toc88819177 \h </w:instrText>
        </w:r>
        <w:r/>
        <w:r>
          <w:fldChar w:fldCharType="separate"/>
        </w:r>
        <w:r>
          <w:t xml:space="preserve">591</w:t>
        </w:r>
        <w:r>
          <w:fldChar w:fldCharType="end"/>
        </w:r>
      </w:hyperlink>
      <w:r/>
      <w:r/>
    </w:p>
    <w:p>
      <w:pPr>
        <w:pStyle w:val="1023"/>
        <w:rPr>
          <w:rFonts w:ascii="Calibri" w:hAnsi="Calibri"/>
          <w:bCs w:val="false"/>
          <w:iCs w:val="false"/>
          <w:sz w:val="22"/>
          <w:szCs w:val="22"/>
        </w:rPr>
      </w:pPr>
      <w:r/>
      <w:hyperlink w:tooltip="#_Toc88819178" w:anchor="_Toc88819178" w:history="1">
        <w:r>
          <w:rPr>
            <w:rStyle w:val="1020"/>
          </w:rPr>
          <w:t xml:space="preserve">5.17.3.</w:t>
        </w:r>
        <w:r>
          <w:rPr>
            <w:rFonts w:ascii="Calibri" w:hAnsi="Calibri"/>
            <w:bCs w:val="false"/>
            <w:iCs w:val="false"/>
            <w:sz w:val="22"/>
            <w:szCs w:val="22"/>
          </w:rPr>
          <w:tab/>
        </w:r>
        <w:r>
          <w:rPr>
            <w:rStyle w:val="1020"/>
          </w:rPr>
          <w:t xml:space="preserve">Сведения об организации</w:t>
        </w:r>
        <w:r>
          <w:tab/>
        </w:r>
        <w:r>
          <w:fldChar w:fldCharType="begin"/>
        </w:r>
        <w:r>
          <w:instrText xml:space="preserve"> PAGEREF _Toc88819178 \h </w:instrText>
        </w:r>
        <w:r/>
        <w:r>
          <w:fldChar w:fldCharType="separate"/>
        </w:r>
        <w:r>
          <w:t xml:space="preserve">591</w:t>
        </w:r>
        <w:r>
          <w:fldChar w:fldCharType="end"/>
        </w:r>
      </w:hyperlink>
      <w:r/>
      <w:r/>
    </w:p>
    <w:p>
      <w:pPr>
        <w:pStyle w:val="1023"/>
        <w:rPr>
          <w:rFonts w:ascii="Calibri" w:hAnsi="Calibri"/>
          <w:bCs w:val="false"/>
          <w:iCs w:val="false"/>
          <w:sz w:val="22"/>
          <w:szCs w:val="22"/>
        </w:rPr>
      </w:pPr>
      <w:r/>
      <w:hyperlink w:tooltip="#_Toc88819179" w:anchor="_Toc88819179" w:history="1">
        <w:r>
          <w:rPr>
            <w:rStyle w:val="1020"/>
          </w:rPr>
          <w:t xml:space="preserve">5.17.4.</w:t>
        </w:r>
        <w:r>
          <w:rPr>
            <w:rFonts w:ascii="Calibri" w:hAnsi="Calibri"/>
            <w:bCs w:val="false"/>
            <w:iCs w:val="false"/>
            <w:sz w:val="22"/>
            <w:szCs w:val="22"/>
          </w:rPr>
          <w:tab/>
        </w:r>
        <w:r>
          <w:rPr>
            <w:rStyle w:val="1020"/>
          </w:rPr>
          <w:t xml:space="preserve">Уведомление о подтверждении (аннулировании)</w:t>
        </w:r>
        <w:r>
          <w:tab/>
        </w:r>
        <w:r>
          <w:fldChar w:fldCharType="begin"/>
        </w:r>
        <w:r>
          <w:instrText xml:space="preserve"> PAGEREF _Toc88819179 \h </w:instrText>
        </w:r>
        <w:r/>
        <w:r>
          <w:fldChar w:fldCharType="separate"/>
        </w:r>
        <w:r>
          <w:t xml:space="preserve">609</w:t>
        </w:r>
        <w:r>
          <w:fldChar w:fldCharType="end"/>
        </w:r>
      </w:hyperlink>
      <w:r/>
      <w:r/>
    </w:p>
    <w:p>
      <w:pPr>
        <w:pStyle w:val="1023"/>
        <w:rPr>
          <w:rFonts w:ascii="Calibri" w:hAnsi="Calibri"/>
          <w:bCs w:val="false"/>
          <w:iCs w:val="false"/>
          <w:sz w:val="22"/>
          <w:szCs w:val="22"/>
        </w:rPr>
      </w:pPr>
      <w:r/>
      <w:hyperlink w:tooltip="#_Toc88819180" w:anchor="_Toc88819180" w:history="1">
        <w:r>
          <w:rPr>
            <w:rStyle w:val="1020"/>
          </w:rPr>
          <w:t xml:space="preserve">5.17.5.</w:t>
        </w:r>
        <w:r>
          <w:rPr>
            <w:rFonts w:ascii="Calibri" w:hAnsi="Calibri"/>
            <w:bCs w:val="false"/>
            <w:iCs w:val="false"/>
            <w:sz w:val="22"/>
            <w:szCs w:val="22"/>
          </w:rPr>
          <w:tab/>
        </w:r>
        <w:r>
          <w:rPr>
            <w:rStyle w:val="1020"/>
          </w:rPr>
          <w:t xml:space="preserve">Информация из реестра</w:t>
        </w:r>
        <w:r>
          <w:tab/>
        </w:r>
        <w:r>
          <w:fldChar w:fldCharType="begin"/>
        </w:r>
        <w:r>
          <w:instrText xml:space="preserve"> PAGEREF _Toc88819180 \h </w:instrText>
        </w:r>
        <w:r/>
        <w:r>
          <w:fldChar w:fldCharType="separate"/>
        </w:r>
        <w:r>
          <w:t xml:space="preserve">613</w:t>
        </w:r>
        <w:r>
          <w:fldChar w:fldCharType="end"/>
        </w:r>
      </w:hyperlink>
      <w:r/>
      <w:r/>
    </w:p>
    <w:p>
      <w:pPr>
        <w:pStyle w:val="1023"/>
        <w:rPr>
          <w:rFonts w:ascii="Calibri" w:hAnsi="Calibri"/>
          <w:bCs w:val="false"/>
          <w:iCs w:val="false"/>
          <w:sz w:val="22"/>
          <w:szCs w:val="22"/>
        </w:rPr>
      </w:pPr>
      <w:r/>
      <w:hyperlink w:tooltip="#_Toc88819181" w:anchor="_Toc88819181" w:history="1">
        <w:r>
          <w:rPr>
            <w:rStyle w:val="1020"/>
          </w:rPr>
          <w:t xml:space="preserve">5.17.6.</w:t>
        </w:r>
        <w:r>
          <w:rPr>
            <w:rFonts w:ascii="Calibri" w:hAnsi="Calibri"/>
            <w:bCs w:val="false"/>
            <w:iCs w:val="false"/>
            <w:sz w:val="22"/>
            <w:szCs w:val="22"/>
          </w:rPr>
          <w:tab/>
        </w:r>
        <w:r>
          <w:rPr>
            <w:rStyle w:val="1020"/>
          </w:rPr>
          <w:t xml:space="preserve">Запрос на подтверждение сведений об организации</w:t>
        </w:r>
        <w:r>
          <w:tab/>
        </w:r>
        <w:r>
          <w:fldChar w:fldCharType="begin"/>
        </w:r>
        <w:r>
          <w:instrText xml:space="preserve"> PAGEREF _Toc88819181 \h </w:instrText>
        </w:r>
        <w:r/>
        <w:r>
          <w:fldChar w:fldCharType="separate"/>
        </w:r>
        <w:r>
          <w:t xml:space="preserve">618</w:t>
        </w:r>
        <w:r>
          <w:fldChar w:fldCharType="end"/>
        </w:r>
      </w:hyperlink>
      <w:r/>
      <w:r/>
    </w:p>
    <w:p>
      <w:pPr>
        <w:pStyle w:val="1022"/>
        <w:rPr>
          <w:rFonts w:ascii="Calibri" w:hAnsi="Calibri"/>
          <w:bCs w:val="false"/>
          <w:sz w:val="22"/>
          <w:szCs w:val="22"/>
        </w:rPr>
      </w:pPr>
      <w:r/>
      <w:hyperlink w:tooltip="#_Toc88819182" w:anchor="_Toc88819182" w:history="1">
        <w:r>
          <w:rPr>
            <w:rStyle w:val="1020"/>
          </w:rPr>
          <w:t xml:space="preserve">5.18.</w:t>
        </w:r>
        <w:r>
          <w:rPr>
            <w:rFonts w:ascii="Calibri" w:hAnsi="Calibri"/>
            <w:bCs w:val="false"/>
            <w:sz w:val="22"/>
            <w:szCs w:val="22"/>
          </w:rPr>
          <w:tab/>
        </w:r>
        <w:r>
          <w:rPr>
            <w:rStyle w:val="1020"/>
          </w:rPr>
          <w:t xml:space="preserve">Группа документов «Служебные документы»</w:t>
        </w:r>
        <w:r>
          <w:tab/>
        </w:r>
        <w:r>
          <w:fldChar w:fldCharType="begin"/>
        </w:r>
        <w:r>
          <w:instrText xml:space="preserve"> PAGEREF _Toc88819182 \h </w:instrText>
        </w:r>
        <w:r/>
        <w:r>
          <w:fldChar w:fldCharType="separate"/>
        </w:r>
        <w:r>
          <w:t xml:space="preserve">625</w:t>
        </w:r>
        <w:r>
          <w:fldChar w:fldCharType="end"/>
        </w:r>
      </w:hyperlink>
      <w:r/>
      <w:r/>
    </w:p>
    <w:p>
      <w:pPr>
        <w:pStyle w:val="1023"/>
        <w:rPr>
          <w:rFonts w:ascii="Calibri" w:hAnsi="Calibri"/>
          <w:bCs w:val="false"/>
          <w:iCs w:val="false"/>
          <w:sz w:val="22"/>
          <w:szCs w:val="22"/>
        </w:rPr>
      </w:pPr>
      <w:r/>
      <w:hyperlink w:tooltip="#_Toc88819183" w:anchor="_Toc88819183" w:history="1">
        <w:r>
          <w:rPr>
            <w:rStyle w:val="1020"/>
          </w:rPr>
          <w:t xml:space="preserve">5.18.1.</w:t>
        </w:r>
        <w:r>
          <w:rPr>
            <w:rFonts w:ascii="Calibri" w:hAnsi="Calibri"/>
            <w:bCs w:val="false"/>
            <w:iCs w:val="false"/>
            <w:sz w:val="22"/>
            <w:szCs w:val="22"/>
          </w:rPr>
          <w:tab/>
        </w:r>
        <w:r>
          <w:rPr>
            <w:rStyle w:val="1020"/>
          </w:rPr>
          <w:t xml:space="preserve">Протокол операций импорта</w:t>
        </w:r>
        <w:r>
          <w:tab/>
        </w:r>
        <w:r>
          <w:fldChar w:fldCharType="begin"/>
        </w:r>
        <w:r>
          <w:instrText xml:space="preserve"> PAGEREF _Toc88819183 \h </w:instrText>
        </w:r>
        <w:r/>
        <w:r>
          <w:fldChar w:fldCharType="separate"/>
        </w:r>
        <w:r>
          <w:t xml:space="preserve">625</w:t>
        </w:r>
        <w:r>
          <w:fldChar w:fldCharType="end"/>
        </w:r>
      </w:hyperlink>
      <w:r/>
      <w:r/>
    </w:p>
    <w:p>
      <w:pPr>
        <w:pStyle w:val="1021"/>
        <w:rPr>
          <w:rFonts w:ascii="Calibri" w:hAnsi="Calibri"/>
          <w:b w:val="false"/>
          <w:bCs w:val="false"/>
          <w:caps w:val="false"/>
          <w:sz w:val="22"/>
          <w:szCs w:val="22"/>
        </w:rPr>
      </w:pPr>
      <w:r/>
      <w:hyperlink w:tooltip="#_Toc88819184" w:anchor="_Toc88819184" w:history="1">
        <w:r>
          <w:rPr>
            <w:rStyle w:val="1020"/>
          </w:rPr>
          <w:t xml:space="preserve">СОСТАВИЛИ</w:t>
        </w:r>
        <w:r>
          <w:tab/>
        </w:r>
        <w:r>
          <w:fldChar w:fldCharType="begin"/>
        </w:r>
        <w:r>
          <w:instrText xml:space="preserve"> PAGEREF _Toc88819184 \h </w:instrText>
        </w:r>
        <w:r/>
        <w:r>
          <w:fldChar w:fldCharType="separate"/>
        </w:r>
        <w:r>
          <w:t xml:space="preserve">630</w:t>
        </w:r>
        <w:r>
          <w:fldChar w:fldCharType="end"/>
        </w:r>
      </w:hyperlink>
      <w:r/>
      <w:r/>
    </w:p>
    <w:p>
      <w:pPr>
        <w:pStyle w:val="1021"/>
        <w:rPr>
          <w:rFonts w:ascii="Calibri" w:hAnsi="Calibri"/>
          <w:b w:val="false"/>
          <w:bCs w:val="false"/>
          <w:caps w:val="false"/>
          <w:sz w:val="22"/>
          <w:szCs w:val="22"/>
        </w:rPr>
      </w:pPr>
      <w:r/>
      <w:hyperlink w:tooltip="#_Toc88819185" w:anchor="_Toc88819185" w:history="1">
        <w:r>
          <w:rPr>
            <w:rStyle w:val="1020"/>
          </w:rPr>
          <w:t xml:space="preserve">СОГЛАСОВАНО</w:t>
        </w:r>
        <w:r>
          <w:tab/>
        </w:r>
        <w:r>
          <w:fldChar w:fldCharType="begin"/>
        </w:r>
        <w:r>
          <w:instrText xml:space="preserve"> PAGEREF _Toc88819185 \h </w:instrText>
        </w:r>
        <w:r/>
        <w:r>
          <w:fldChar w:fldCharType="separate"/>
        </w:r>
        <w:r>
          <w:t xml:space="preserve">631</w:t>
        </w:r>
        <w:r>
          <w:fldChar w:fldCharType="end"/>
        </w:r>
      </w:hyperlink>
      <w:r/>
      <w:r/>
    </w:p>
    <w:p>
      <w:pPr>
        <w:pStyle w:val="1021"/>
        <w:rPr>
          <w:rFonts w:ascii="Calibri" w:hAnsi="Calibri"/>
          <w:b w:val="false"/>
          <w:bCs w:val="false"/>
          <w:caps w:val="false"/>
          <w:sz w:val="22"/>
          <w:szCs w:val="22"/>
        </w:rPr>
      </w:pPr>
      <w:r/>
      <w:hyperlink w:tooltip="#_Toc88819186" w:anchor="_Toc88819186" w:history="1">
        <w:r>
          <w:rPr>
            <w:rStyle w:val="1020"/>
          </w:rPr>
          <w:t xml:space="preserve">ЛИСТ РЕГИСТРАЦИИ ИЗМЕНЕНИЙ</w:t>
        </w:r>
        <w:r>
          <w:tab/>
        </w:r>
        <w:r>
          <w:fldChar w:fldCharType="begin"/>
        </w:r>
        <w:r>
          <w:instrText xml:space="preserve"> PAGEREF _Toc88819186 \h </w:instrText>
        </w:r>
        <w:r/>
        <w:r>
          <w:fldChar w:fldCharType="separate"/>
        </w:r>
        <w:r>
          <w:t xml:space="preserve">632</w:t>
        </w:r>
        <w:r>
          <w:fldChar w:fldCharType="end"/>
        </w:r>
      </w:hyperlink>
      <w:r/>
      <w:r/>
    </w:p>
    <w:p>
      <w:pPr>
        <w:tabs>
          <w:tab w:val="left" w:pos="1005" w:leader="none"/>
        </w:tabs>
      </w:pPr>
      <w:r>
        <w:fldChar w:fldCharType="end"/>
      </w:r>
      <w:r/>
    </w:p>
    <w:p>
      <w:pPr>
        <w:pStyle w:val="998"/>
      </w:pPr>
      <w:r/>
      <w:bookmarkStart w:id="7" w:name="_Toc88819055"/>
      <w:r>
        <w:t xml:space="preserve">Перечень таблиц</w:t>
      </w:r>
      <w:bookmarkEnd w:id="7"/>
      <w:r/>
      <w:r/>
    </w:p>
    <w:p>
      <w:pPr>
        <w:pStyle w:val="1152"/>
        <w:rPr>
          <w:rFonts w:ascii="Calibri" w:hAnsi="Calibri"/>
          <w:sz w:val="22"/>
          <w:szCs w:val="22"/>
        </w:rPr>
      </w:pPr>
      <w:r>
        <w:fldChar w:fldCharType="begin"/>
      </w:r>
      <w:r>
        <w:instrText xml:space="preserve"> TOC \f F \h \z \t "_ASFK_Name_Table" \c "Таблица" </w:instrText>
      </w:r>
      <w:r>
        <w:fldChar w:fldCharType="separate"/>
      </w:r>
      <w:hyperlink w:tooltip="#_Toc88819187" w:anchor="_Toc88819187" w:history="1">
        <w:r>
          <w:rPr>
            <w:rStyle w:val="1020"/>
          </w:rPr>
          <w:t xml:space="preserve">Таблица </w:t>
        </w:r>
        <w:r>
          <w:rPr>
            <w:rFonts w:ascii="Calibri" w:hAnsi="Calibri"/>
            <w:sz w:val="22"/>
            <w:szCs w:val="22"/>
          </w:rPr>
          <w:tab/>
        </w:r>
        <w:r>
          <w:rPr>
            <w:rStyle w:val="1020"/>
          </w:rPr>
          <w:t xml:space="preserve">1. Условные обозначения и сокращения</w:t>
        </w:r>
        <w:r>
          <w:tab/>
        </w:r>
        <w:r>
          <w:fldChar w:fldCharType="begin"/>
        </w:r>
        <w:r>
          <w:instrText xml:space="preserve"> PAGEREF _Toc88819187 \h </w:instrText>
        </w:r>
        <w:r/>
        <w:r>
          <w:fldChar w:fldCharType="separate"/>
        </w:r>
        <w:r>
          <w:t xml:space="preserve">27</w:t>
        </w:r>
        <w:r>
          <w:fldChar w:fldCharType="end"/>
        </w:r>
      </w:hyperlink>
      <w:r/>
      <w:r/>
    </w:p>
    <w:p>
      <w:pPr>
        <w:pStyle w:val="1152"/>
        <w:rPr>
          <w:rFonts w:ascii="Calibri" w:hAnsi="Calibri"/>
          <w:sz w:val="22"/>
          <w:szCs w:val="22"/>
        </w:rPr>
      </w:pPr>
      <w:r/>
      <w:hyperlink w:tooltip="#_Toc88819188" w:anchor="_Toc88819188" w:history="1">
        <w:r>
          <w:rPr>
            <w:rStyle w:val="1020"/>
          </w:rPr>
          <w:t xml:space="preserve">Таблица </w:t>
        </w:r>
        <w:r>
          <w:rPr>
            <w:rFonts w:ascii="Calibri" w:hAnsi="Calibri"/>
            <w:sz w:val="22"/>
            <w:szCs w:val="22"/>
          </w:rPr>
          <w:tab/>
        </w:r>
        <w:r>
          <w:rPr>
            <w:rStyle w:val="1020"/>
          </w:rPr>
          <w:t xml:space="preserve">2. Типовые операции над документами</w:t>
        </w:r>
        <w:r>
          <w:tab/>
        </w:r>
        <w:r>
          <w:fldChar w:fldCharType="begin"/>
        </w:r>
        <w:r>
          <w:instrText xml:space="preserve"> PAGEREF _Toc88819188 \h </w:instrText>
        </w:r>
        <w:r/>
        <w:r>
          <w:fldChar w:fldCharType="separate"/>
        </w:r>
        <w:r>
          <w:t xml:space="preserve">49</w:t>
        </w:r>
        <w:r>
          <w:fldChar w:fldCharType="end"/>
        </w:r>
      </w:hyperlink>
      <w:r/>
      <w:r/>
    </w:p>
    <w:p>
      <w:pPr>
        <w:pStyle w:val="1152"/>
        <w:rPr>
          <w:rFonts w:ascii="Calibri" w:hAnsi="Calibri"/>
          <w:sz w:val="22"/>
          <w:szCs w:val="22"/>
        </w:rPr>
      </w:pPr>
      <w:r/>
      <w:hyperlink w:tooltip="#_Toc88819189" w:anchor="_Toc88819189" w:history="1">
        <w:r>
          <w:rPr>
            <w:rStyle w:val="1020"/>
          </w:rPr>
          <w:t xml:space="preserve">Таблица </w:t>
        </w:r>
        <w:r>
          <w:rPr>
            <w:rFonts w:ascii="Calibri" w:hAnsi="Calibri"/>
            <w:sz w:val="22"/>
            <w:szCs w:val="22"/>
          </w:rPr>
          <w:tab/>
        </w:r>
        <w:r>
          <w:rPr>
            <w:rStyle w:val="1020"/>
          </w:rPr>
          <w:t xml:space="preserve">3. Описание кнопок панели инструментов экранной формы документа</w:t>
        </w:r>
        <w:r>
          <w:tab/>
        </w:r>
        <w:r>
          <w:fldChar w:fldCharType="begin"/>
        </w:r>
        <w:r>
          <w:instrText xml:space="preserve"> PAGEREF _Toc88819189 \h </w:instrText>
        </w:r>
        <w:r/>
        <w:r>
          <w:fldChar w:fldCharType="separate"/>
        </w:r>
        <w:r>
          <w:t xml:space="preserve">52</w:t>
        </w:r>
        <w:r>
          <w:fldChar w:fldCharType="end"/>
        </w:r>
      </w:hyperlink>
      <w:r/>
      <w:r/>
    </w:p>
    <w:p>
      <w:pPr>
        <w:pStyle w:val="1152"/>
        <w:rPr>
          <w:rFonts w:ascii="Calibri" w:hAnsi="Calibri"/>
          <w:sz w:val="22"/>
          <w:szCs w:val="22"/>
        </w:rPr>
      </w:pPr>
      <w:r/>
      <w:hyperlink w:tooltip="#_Toc88819190" w:anchor="_Toc88819190" w:history="1">
        <w:r>
          <w:rPr>
            <w:rStyle w:val="1020"/>
          </w:rPr>
          <w:t xml:space="preserve">Таблица </w:t>
        </w:r>
        <w:r>
          <w:rPr>
            <w:rFonts w:ascii="Calibri" w:hAnsi="Calibri"/>
            <w:sz w:val="22"/>
            <w:szCs w:val="22"/>
          </w:rPr>
          <w:tab/>
        </w:r>
        <w:r>
          <w:rPr>
            <w:rStyle w:val="1020"/>
          </w:rPr>
          <w:t xml:space="preserve">4. Описание кнопок панели инструментов табличного блока</w:t>
        </w:r>
        <w:r>
          <w:tab/>
        </w:r>
        <w:r>
          <w:fldChar w:fldCharType="begin"/>
        </w:r>
        <w:r>
          <w:instrText xml:space="preserve"> PAGEREF _Toc88819190 \h </w:instrText>
        </w:r>
        <w:r/>
        <w:r>
          <w:fldChar w:fldCharType="separate"/>
        </w:r>
        <w:r>
          <w:t xml:space="preserve">53</w:t>
        </w:r>
        <w:r>
          <w:fldChar w:fldCharType="end"/>
        </w:r>
      </w:hyperlink>
      <w:r/>
      <w:r/>
    </w:p>
    <w:p>
      <w:pPr>
        <w:pStyle w:val="1152"/>
        <w:rPr>
          <w:rFonts w:ascii="Calibri" w:hAnsi="Calibri"/>
          <w:sz w:val="22"/>
          <w:szCs w:val="22"/>
        </w:rPr>
      </w:pPr>
      <w:r/>
      <w:hyperlink w:tooltip="#_Toc88819191" w:anchor="_Toc88819191" w:history="1">
        <w:r>
          <w:rPr>
            <w:rStyle w:val="1020"/>
          </w:rPr>
          <w:t xml:space="preserve">Таблица </w:t>
        </w:r>
        <w:r>
          <w:rPr>
            <w:rFonts w:ascii="Calibri" w:hAnsi="Calibri"/>
            <w:sz w:val="22"/>
            <w:szCs w:val="22"/>
          </w:rPr>
          <w:tab/>
        </w:r>
        <w:r>
          <w:rPr>
            <w:rStyle w:val="1020"/>
          </w:rPr>
          <w:t xml:space="preserve">5. Описание полей документа «Заявка на кассовый расход», закладки «Заголовок, Раздел 1, 2 (1)»</w:t>
        </w:r>
        <w:r>
          <w:tab/>
        </w:r>
        <w:r>
          <w:fldChar w:fldCharType="begin"/>
        </w:r>
        <w:r>
          <w:instrText xml:space="preserve"> PAGEREF _Toc88819191 \h </w:instrText>
        </w:r>
        <w:r/>
        <w:r>
          <w:fldChar w:fldCharType="separate"/>
        </w:r>
        <w:r>
          <w:t xml:space="preserve">62</w:t>
        </w:r>
        <w:r>
          <w:fldChar w:fldCharType="end"/>
        </w:r>
      </w:hyperlink>
      <w:r/>
      <w:r/>
    </w:p>
    <w:p>
      <w:pPr>
        <w:pStyle w:val="1152"/>
        <w:rPr>
          <w:rFonts w:ascii="Calibri" w:hAnsi="Calibri"/>
          <w:sz w:val="22"/>
          <w:szCs w:val="22"/>
        </w:rPr>
      </w:pPr>
      <w:r/>
      <w:hyperlink w:tooltip="#_Toc88819192" w:anchor="_Toc88819192" w:history="1">
        <w:r>
          <w:rPr>
            <w:rStyle w:val="1020"/>
          </w:rPr>
          <w:t xml:space="preserve">Таблица </w:t>
        </w:r>
        <w:r>
          <w:rPr>
            <w:rFonts w:ascii="Calibri" w:hAnsi="Calibri"/>
            <w:sz w:val="22"/>
            <w:szCs w:val="22"/>
          </w:rPr>
          <w:tab/>
        </w:r>
        <w:r>
          <w:rPr>
            <w:rStyle w:val="1020"/>
          </w:rPr>
          <w:t xml:space="preserve">6. Описание полей документа «Заявка на кассовый расход», закладки «Раздел 3, 4, 5 (2)»</w:t>
        </w:r>
        <w:r>
          <w:tab/>
        </w:r>
        <w:r>
          <w:fldChar w:fldCharType="begin"/>
        </w:r>
        <w:r>
          <w:instrText xml:space="preserve"> PAGEREF _Toc88819192 \h </w:instrText>
        </w:r>
        <w:r/>
        <w:r>
          <w:fldChar w:fldCharType="separate"/>
        </w:r>
        <w:r>
          <w:t xml:space="preserve">67</w:t>
        </w:r>
        <w:r>
          <w:fldChar w:fldCharType="end"/>
        </w:r>
      </w:hyperlink>
      <w:r/>
      <w:r/>
    </w:p>
    <w:p>
      <w:pPr>
        <w:pStyle w:val="1152"/>
        <w:rPr>
          <w:rFonts w:ascii="Calibri" w:hAnsi="Calibri"/>
          <w:sz w:val="22"/>
          <w:szCs w:val="22"/>
        </w:rPr>
      </w:pPr>
      <w:r/>
      <w:hyperlink w:tooltip="#_Toc88819193" w:anchor="_Toc88819193" w:history="1">
        <w:r>
          <w:rPr>
            <w:rStyle w:val="1020"/>
          </w:rPr>
          <w:t xml:space="preserve">Таблица </w:t>
        </w:r>
        <w:r>
          <w:rPr>
            <w:rFonts w:ascii="Calibri" w:hAnsi="Calibri"/>
            <w:sz w:val="22"/>
            <w:szCs w:val="22"/>
          </w:rPr>
          <w:tab/>
        </w:r>
        <w:r>
          <w:rPr>
            <w:rStyle w:val="1020"/>
          </w:rPr>
          <w:t xml:space="preserve">7. Описание полей документа «Заявка на кассовый расход», закладки «Подписи (3)»</w:t>
        </w:r>
        <w:r>
          <w:tab/>
        </w:r>
        <w:r>
          <w:fldChar w:fldCharType="begin"/>
        </w:r>
        <w:r>
          <w:instrText xml:space="preserve"> PAGEREF _Toc88819193 \h </w:instrText>
        </w:r>
        <w:r/>
        <w:r>
          <w:fldChar w:fldCharType="separate"/>
        </w:r>
        <w:r>
          <w:t xml:space="preserve">73</w:t>
        </w:r>
        <w:r>
          <w:fldChar w:fldCharType="end"/>
        </w:r>
      </w:hyperlink>
      <w:r/>
      <w:r/>
    </w:p>
    <w:p>
      <w:pPr>
        <w:pStyle w:val="1152"/>
        <w:rPr>
          <w:rFonts w:ascii="Calibri" w:hAnsi="Calibri"/>
          <w:sz w:val="22"/>
          <w:szCs w:val="22"/>
        </w:rPr>
      </w:pPr>
      <w:r/>
      <w:hyperlink w:tooltip="#_Toc88819194" w:anchor="_Toc88819194" w:history="1">
        <w:r>
          <w:rPr>
            <w:rStyle w:val="1020"/>
          </w:rPr>
          <w:t xml:space="preserve">Таблица </w:t>
        </w:r>
        <w:r>
          <w:rPr>
            <w:rFonts w:ascii="Calibri" w:hAnsi="Calibri"/>
            <w:sz w:val="22"/>
            <w:szCs w:val="22"/>
          </w:rPr>
          <w:tab/>
        </w:r>
        <w:r>
          <w:rPr>
            <w:rStyle w:val="1020"/>
          </w:rPr>
          <w:t xml:space="preserve">8. Описание полей документа «Заявка на кассовый расход (сокращенная)», закладки «Заголовок, Раздел 1, (1)»</w:t>
        </w:r>
        <w:r>
          <w:tab/>
        </w:r>
        <w:r>
          <w:fldChar w:fldCharType="begin"/>
        </w:r>
        <w:r>
          <w:instrText xml:space="preserve"> PAGEREF _Toc88819194 \h </w:instrText>
        </w:r>
        <w:r/>
        <w:r>
          <w:fldChar w:fldCharType="separate"/>
        </w:r>
        <w:r>
          <w:t xml:space="preserve">76</w:t>
        </w:r>
        <w:r>
          <w:fldChar w:fldCharType="end"/>
        </w:r>
      </w:hyperlink>
      <w:r/>
      <w:r/>
    </w:p>
    <w:p>
      <w:pPr>
        <w:pStyle w:val="1152"/>
        <w:rPr>
          <w:rFonts w:ascii="Calibri" w:hAnsi="Calibri"/>
          <w:sz w:val="22"/>
          <w:szCs w:val="22"/>
        </w:rPr>
      </w:pPr>
      <w:r/>
      <w:hyperlink w:tooltip="#_Toc88819195" w:anchor="_Toc88819195" w:history="1">
        <w:r>
          <w:rPr>
            <w:rStyle w:val="1020"/>
          </w:rPr>
          <w:t xml:space="preserve">Таблица </w:t>
        </w:r>
        <w:r>
          <w:rPr>
            <w:rFonts w:ascii="Calibri" w:hAnsi="Calibri"/>
            <w:sz w:val="22"/>
            <w:szCs w:val="22"/>
          </w:rPr>
          <w:tab/>
        </w:r>
        <w:r>
          <w:rPr>
            <w:rStyle w:val="1020"/>
          </w:rPr>
          <w:t xml:space="preserve">9. Описание полей документа «Заявка на кассовый расход (сокращенная)», закладки «Раздел 2, 3 (2)»</w:t>
        </w:r>
        <w:r>
          <w:tab/>
        </w:r>
        <w:r>
          <w:fldChar w:fldCharType="begin"/>
        </w:r>
        <w:r>
          <w:instrText xml:space="preserve"> PAGEREF _Toc88819195 \h </w:instrText>
        </w:r>
        <w:r/>
        <w:r>
          <w:fldChar w:fldCharType="separate"/>
        </w:r>
        <w:r>
          <w:t xml:space="preserve">80</w:t>
        </w:r>
        <w:r>
          <w:fldChar w:fldCharType="end"/>
        </w:r>
      </w:hyperlink>
      <w:r/>
      <w:r/>
    </w:p>
    <w:p>
      <w:pPr>
        <w:pStyle w:val="1152"/>
        <w:rPr>
          <w:rFonts w:ascii="Calibri" w:hAnsi="Calibri"/>
          <w:sz w:val="22"/>
          <w:szCs w:val="22"/>
        </w:rPr>
      </w:pPr>
      <w:r/>
      <w:hyperlink w:tooltip="#_Toc88819196" w:anchor="_Toc88819196" w:history="1">
        <w:r>
          <w:rPr>
            <w:rStyle w:val="1020"/>
          </w:rPr>
          <w:t xml:space="preserve">Таблица </w:t>
        </w:r>
        <w:r>
          <w:rPr>
            <w:rFonts w:ascii="Calibri" w:hAnsi="Calibri"/>
            <w:sz w:val="22"/>
            <w:szCs w:val="22"/>
          </w:rPr>
          <w:tab/>
        </w:r>
        <w:r>
          <w:rPr>
            <w:rStyle w:val="1020"/>
          </w:rPr>
          <w:t xml:space="preserve">10. Описание полей документа «Заявка на кассовый расход (сокращенная)», закладки «Подписи (3)»</w:t>
        </w:r>
        <w:r>
          <w:tab/>
        </w:r>
        <w:r>
          <w:fldChar w:fldCharType="begin"/>
        </w:r>
        <w:r>
          <w:instrText xml:space="preserve"> PAGEREF _Toc88819196 \h </w:instrText>
        </w:r>
        <w:r/>
        <w:r>
          <w:fldChar w:fldCharType="separate"/>
        </w:r>
        <w:r>
          <w:t xml:space="preserve">82</w:t>
        </w:r>
        <w:r>
          <w:fldChar w:fldCharType="end"/>
        </w:r>
      </w:hyperlink>
      <w:r/>
      <w:r/>
    </w:p>
    <w:p>
      <w:pPr>
        <w:pStyle w:val="1152"/>
        <w:rPr>
          <w:rFonts w:ascii="Calibri" w:hAnsi="Calibri"/>
          <w:sz w:val="22"/>
          <w:szCs w:val="22"/>
        </w:rPr>
      </w:pPr>
      <w:r/>
      <w:hyperlink w:tooltip="#_Toc88819197" w:anchor="_Toc88819197" w:history="1">
        <w:r>
          <w:rPr>
            <w:rStyle w:val="1020"/>
          </w:rPr>
          <w:t xml:space="preserve">Таблица </w:t>
        </w:r>
        <w:r>
          <w:rPr>
            <w:rFonts w:ascii="Calibri" w:hAnsi="Calibri"/>
            <w:sz w:val="22"/>
            <w:szCs w:val="22"/>
          </w:rPr>
          <w:tab/>
        </w:r>
        <w:r>
          <w:rPr>
            <w:rStyle w:val="1020"/>
          </w:rPr>
          <w:t xml:space="preserve">11. Описание полей документа «Заявка на получение наличных денег», закладки «Раздел 1,2 (1)»</w:t>
        </w:r>
        <w:r>
          <w:tab/>
        </w:r>
        <w:r>
          <w:fldChar w:fldCharType="begin"/>
        </w:r>
        <w:r>
          <w:instrText xml:space="preserve"> PAGEREF _Toc88819197 \h </w:instrText>
        </w:r>
        <w:r/>
        <w:r>
          <w:fldChar w:fldCharType="separate"/>
        </w:r>
        <w:r>
          <w:t xml:space="preserve">87</w:t>
        </w:r>
        <w:r>
          <w:fldChar w:fldCharType="end"/>
        </w:r>
      </w:hyperlink>
      <w:r/>
      <w:r/>
    </w:p>
    <w:p>
      <w:pPr>
        <w:pStyle w:val="1152"/>
        <w:rPr>
          <w:rFonts w:ascii="Calibri" w:hAnsi="Calibri"/>
          <w:sz w:val="22"/>
          <w:szCs w:val="22"/>
        </w:rPr>
      </w:pPr>
      <w:r/>
      <w:hyperlink w:tooltip="#_Toc88819198" w:anchor="_Toc88819198" w:history="1">
        <w:r>
          <w:rPr>
            <w:rStyle w:val="1020"/>
          </w:rPr>
          <w:t xml:space="preserve">Таблица </w:t>
        </w:r>
        <w:r>
          <w:rPr>
            <w:rFonts w:ascii="Calibri" w:hAnsi="Calibri"/>
            <w:sz w:val="22"/>
            <w:szCs w:val="22"/>
          </w:rPr>
          <w:tab/>
        </w:r>
        <w:r>
          <w:rPr>
            <w:rStyle w:val="1020"/>
          </w:rPr>
          <w:t xml:space="preserve">12. Описание полей документа «Заявка на получение наличных денег», закладки «Подписи(2)»</w:t>
        </w:r>
        <w:r>
          <w:tab/>
        </w:r>
        <w:r>
          <w:fldChar w:fldCharType="begin"/>
        </w:r>
        <w:r>
          <w:instrText xml:space="preserve"> PAGEREF _Toc88819198 \h </w:instrText>
        </w:r>
        <w:r/>
        <w:r>
          <w:fldChar w:fldCharType="separate"/>
        </w:r>
        <w:r>
          <w:t xml:space="preserve">93</w:t>
        </w:r>
        <w:r>
          <w:fldChar w:fldCharType="end"/>
        </w:r>
      </w:hyperlink>
      <w:r/>
      <w:r/>
    </w:p>
    <w:p>
      <w:pPr>
        <w:pStyle w:val="1152"/>
        <w:rPr>
          <w:rFonts w:ascii="Calibri" w:hAnsi="Calibri"/>
          <w:sz w:val="22"/>
          <w:szCs w:val="22"/>
        </w:rPr>
      </w:pPr>
      <w:r/>
      <w:hyperlink w:tooltip="#_Toc88819199" w:anchor="_Toc88819199" w:history="1">
        <w:r>
          <w:rPr>
            <w:rStyle w:val="1020"/>
          </w:rPr>
          <w:t xml:space="preserve">Таблица </w:t>
        </w:r>
        <w:r>
          <w:rPr>
            <w:rFonts w:ascii="Calibri" w:hAnsi="Calibri"/>
            <w:sz w:val="22"/>
            <w:szCs w:val="22"/>
          </w:rPr>
          <w:tab/>
        </w:r>
        <w:r>
          <w:rPr>
            <w:rStyle w:val="1020"/>
          </w:rPr>
          <w:t xml:space="preserve">13. Описание полей документа «Заявка на получение денежных средств, перечисляемых на карту», закладки «Заголовок (1)»</w:t>
        </w:r>
        <w:r>
          <w:tab/>
        </w:r>
        <w:r>
          <w:fldChar w:fldCharType="begin"/>
        </w:r>
        <w:r>
          <w:instrText xml:space="preserve"> PAGEREF _Toc88819199 \h </w:instrText>
        </w:r>
        <w:r/>
        <w:r>
          <w:fldChar w:fldCharType="separate"/>
        </w:r>
        <w:r>
          <w:t xml:space="preserve">98</w:t>
        </w:r>
        <w:r>
          <w:fldChar w:fldCharType="end"/>
        </w:r>
      </w:hyperlink>
      <w:r/>
      <w:r/>
    </w:p>
    <w:p>
      <w:pPr>
        <w:pStyle w:val="1152"/>
        <w:rPr>
          <w:rFonts w:ascii="Calibri" w:hAnsi="Calibri"/>
          <w:sz w:val="22"/>
          <w:szCs w:val="22"/>
        </w:rPr>
      </w:pPr>
      <w:r/>
      <w:hyperlink w:tooltip="#_Toc88819200" w:anchor="_Toc88819200" w:history="1">
        <w:r>
          <w:rPr>
            <w:rStyle w:val="1020"/>
          </w:rPr>
          <w:t xml:space="preserve">Таблица </w:t>
        </w:r>
        <w:r>
          <w:rPr>
            <w:rFonts w:ascii="Calibri" w:hAnsi="Calibri"/>
            <w:sz w:val="22"/>
            <w:szCs w:val="22"/>
          </w:rPr>
          <w:tab/>
        </w:r>
        <w:r>
          <w:rPr>
            <w:rStyle w:val="1020"/>
          </w:rPr>
          <w:t xml:space="preserve">14. Описание полей документа «Заявка на получение денежных средств, перечисляемых на карту», закладки «Подписи (2)»</w:t>
        </w:r>
        <w:r>
          <w:tab/>
        </w:r>
        <w:r>
          <w:fldChar w:fldCharType="begin"/>
        </w:r>
        <w:r>
          <w:instrText xml:space="preserve"> PAGEREF _Toc88819200 \h </w:instrText>
        </w:r>
        <w:r/>
        <w:r>
          <w:fldChar w:fldCharType="separate"/>
        </w:r>
        <w:r>
          <w:t xml:space="preserve">103</w:t>
        </w:r>
        <w:r>
          <w:fldChar w:fldCharType="end"/>
        </w:r>
      </w:hyperlink>
      <w:r/>
      <w:r/>
    </w:p>
    <w:p>
      <w:pPr>
        <w:pStyle w:val="1152"/>
        <w:rPr>
          <w:rFonts w:ascii="Calibri" w:hAnsi="Calibri"/>
          <w:sz w:val="22"/>
          <w:szCs w:val="22"/>
        </w:rPr>
      </w:pPr>
      <w:r/>
      <w:hyperlink w:tooltip="#_Toc88819201" w:anchor="_Toc88819201" w:history="1">
        <w:r>
          <w:rPr>
            <w:rStyle w:val="1020"/>
          </w:rPr>
          <w:t xml:space="preserve">Таблица </w:t>
        </w:r>
        <w:r>
          <w:rPr>
            <w:rFonts w:ascii="Calibri" w:hAnsi="Calibri"/>
            <w:sz w:val="22"/>
            <w:szCs w:val="22"/>
          </w:rPr>
          <w:tab/>
        </w:r>
        <w:r>
          <w:rPr>
            <w:rStyle w:val="1020"/>
          </w:rPr>
          <w:t xml:space="preserve">15. Описание полей документа «Расшифровка сумм неиспользованных средств», закладки «Заголовок»</w:t>
        </w:r>
        <w:r>
          <w:tab/>
        </w:r>
        <w:r>
          <w:fldChar w:fldCharType="begin"/>
        </w:r>
        <w:r>
          <w:instrText xml:space="preserve"> PAGEREF _Toc88819201 \h </w:instrText>
        </w:r>
        <w:r/>
        <w:r>
          <w:fldChar w:fldCharType="separate"/>
        </w:r>
        <w:r>
          <w:t xml:space="preserve">105</w:t>
        </w:r>
        <w:r>
          <w:fldChar w:fldCharType="end"/>
        </w:r>
      </w:hyperlink>
      <w:r/>
      <w:r/>
    </w:p>
    <w:p>
      <w:pPr>
        <w:pStyle w:val="1152"/>
        <w:rPr>
          <w:rFonts w:ascii="Calibri" w:hAnsi="Calibri"/>
          <w:sz w:val="22"/>
          <w:szCs w:val="22"/>
        </w:rPr>
      </w:pPr>
      <w:r/>
      <w:hyperlink w:tooltip="#_Toc88819202" w:anchor="_Toc88819202" w:history="1">
        <w:r>
          <w:rPr>
            <w:rStyle w:val="1020"/>
          </w:rPr>
          <w:t xml:space="preserve">Таблица </w:t>
        </w:r>
        <w:r>
          <w:rPr>
            <w:rFonts w:ascii="Calibri" w:hAnsi="Calibri"/>
            <w:sz w:val="22"/>
            <w:szCs w:val="22"/>
          </w:rPr>
          <w:tab/>
        </w:r>
        <w:r>
          <w:rPr>
            <w:rStyle w:val="1020"/>
          </w:rPr>
          <w:t xml:space="preserve">16. Описание полей документа «Расшифровка сумм неиспользованных средств», закладки «Подписи»</w:t>
        </w:r>
        <w:r>
          <w:tab/>
        </w:r>
        <w:r>
          <w:fldChar w:fldCharType="begin"/>
        </w:r>
        <w:r>
          <w:instrText xml:space="preserve"> PAGEREF _Toc88819202 \h </w:instrText>
        </w:r>
        <w:r/>
        <w:r>
          <w:fldChar w:fldCharType="separate"/>
        </w:r>
        <w:r>
          <w:t xml:space="preserve">109</w:t>
        </w:r>
        <w:r>
          <w:fldChar w:fldCharType="end"/>
        </w:r>
      </w:hyperlink>
      <w:r/>
      <w:r/>
    </w:p>
    <w:p>
      <w:pPr>
        <w:pStyle w:val="1152"/>
        <w:rPr>
          <w:rFonts w:ascii="Calibri" w:hAnsi="Calibri"/>
          <w:sz w:val="22"/>
          <w:szCs w:val="22"/>
        </w:rPr>
      </w:pPr>
      <w:r/>
      <w:hyperlink w:tooltip="#_Toc88819203" w:anchor="_Toc88819203" w:history="1">
        <w:r>
          <w:rPr>
            <w:rStyle w:val="1020"/>
          </w:rPr>
          <w:t xml:space="preserve">Таблица </w:t>
        </w:r>
        <w:r>
          <w:rPr>
            <w:rFonts w:ascii="Calibri" w:hAnsi="Calibri"/>
            <w:sz w:val="22"/>
            <w:szCs w:val="22"/>
          </w:rPr>
          <w:tab/>
        </w:r>
        <w:r>
          <w:rPr>
            <w:rStyle w:val="1020"/>
          </w:rPr>
          <w:t xml:space="preserve">17. Описание полей документа «Платежное поручение», закладки «Основные атрибуты»</w:t>
        </w:r>
        <w:r>
          <w:tab/>
        </w:r>
        <w:r>
          <w:fldChar w:fldCharType="begin"/>
        </w:r>
        <w:r>
          <w:instrText xml:space="preserve"> PAGEREF _Toc88819203 \h </w:instrText>
        </w:r>
        <w:r/>
        <w:r>
          <w:fldChar w:fldCharType="separate"/>
        </w:r>
        <w:r>
          <w:t xml:space="preserve">112</w:t>
        </w:r>
        <w:r>
          <w:fldChar w:fldCharType="end"/>
        </w:r>
      </w:hyperlink>
      <w:r/>
      <w:r/>
    </w:p>
    <w:p>
      <w:pPr>
        <w:pStyle w:val="1152"/>
        <w:rPr>
          <w:rFonts w:ascii="Calibri" w:hAnsi="Calibri"/>
          <w:sz w:val="22"/>
          <w:szCs w:val="22"/>
        </w:rPr>
      </w:pPr>
      <w:r/>
      <w:hyperlink w:tooltip="#_Toc88819204" w:anchor="_Toc88819204" w:history="1">
        <w:r>
          <w:rPr>
            <w:rStyle w:val="1020"/>
          </w:rPr>
          <w:t xml:space="preserve">Таблица </w:t>
        </w:r>
        <w:r>
          <w:rPr>
            <w:rFonts w:ascii="Calibri" w:hAnsi="Calibri"/>
            <w:sz w:val="22"/>
            <w:szCs w:val="22"/>
          </w:rPr>
          <w:tab/>
        </w:r>
        <w:r>
          <w:rPr>
            <w:rStyle w:val="1020"/>
          </w:rPr>
          <w:t xml:space="preserve">18. Описание полей документа «Платежное поручение», закладки «Расшифровка, подписи»</w:t>
        </w:r>
        <w:r>
          <w:tab/>
        </w:r>
        <w:r>
          <w:fldChar w:fldCharType="begin"/>
        </w:r>
        <w:r>
          <w:instrText xml:space="preserve"> PAGEREF _Toc88819204 \h </w:instrText>
        </w:r>
        <w:r/>
        <w:r>
          <w:fldChar w:fldCharType="separate"/>
        </w:r>
        <w:r>
          <w:t xml:space="preserve">116</w:t>
        </w:r>
        <w:r>
          <w:fldChar w:fldCharType="end"/>
        </w:r>
      </w:hyperlink>
      <w:r/>
      <w:r/>
    </w:p>
    <w:p>
      <w:pPr>
        <w:pStyle w:val="1152"/>
        <w:rPr>
          <w:rFonts w:ascii="Calibri" w:hAnsi="Calibri"/>
          <w:sz w:val="22"/>
          <w:szCs w:val="22"/>
        </w:rPr>
      </w:pPr>
      <w:r/>
      <w:hyperlink w:tooltip="#_Toc88819205" w:anchor="_Toc88819205" w:history="1">
        <w:r>
          <w:rPr>
            <w:rStyle w:val="1020"/>
          </w:rPr>
          <w:t xml:space="preserve">Таблица </w:t>
        </w:r>
        <w:r>
          <w:rPr>
            <w:rFonts w:ascii="Calibri" w:hAnsi="Calibri"/>
            <w:sz w:val="22"/>
            <w:szCs w:val="22"/>
          </w:rPr>
          <w:tab/>
        </w:r>
        <w:r>
          <w:rPr>
            <w:rStyle w:val="1020"/>
          </w:rPr>
          <w:t xml:space="preserve">19. Описание полей документа «Пакет платежных поручений», закладки «Документ (1)», вкладки «Основные атрибуты»</w:t>
        </w:r>
        <w:r>
          <w:tab/>
        </w:r>
        <w:r>
          <w:fldChar w:fldCharType="begin"/>
        </w:r>
        <w:r>
          <w:instrText xml:space="preserve"> PAGEREF _Toc88819205 \h </w:instrText>
        </w:r>
        <w:r/>
        <w:r>
          <w:fldChar w:fldCharType="separate"/>
        </w:r>
        <w:r>
          <w:t xml:space="preserve">123</w:t>
        </w:r>
        <w:r>
          <w:fldChar w:fldCharType="end"/>
        </w:r>
      </w:hyperlink>
      <w:r/>
      <w:r/>
    </w:p>
    <w:p>
      <w:pPr>
        <w:pStyle w:val="1152"/>
        <w:rPr>
          <w:rFonts w:ascii="Calibri" w:hAnsi="Calibri"/>
          <w:sz w:val="22"/>
          <w:szCs w:val="22"/>
        </w:rPr>
      </w:pPr>
      <w:r/>
      <w:hyperlink w:tooltip="#_Toc88819206" w:anchor="_Toc88819206" w:history="1">
        <w:r>
          <w:rPr>
            <w:rStyle w:val="1020"/>
          </w:rPr>
          <w:t xml:space="preserve">Таблица </w:t>
        </w:r>
        <w:r>
          <w:rPr>
            <w:rFonts w:ascii="Calibri" w:hAnsi="Calibri"/>
            <w:sz w:val="22"/>
            <w:szCs w:val="22"/>
          </w:rPr>
          <w:tab/>
        </w:r>
        <w:r>
          <w:rPr>
            <w:rStyle w:val="1020"/>
          </w:rPr>
          <w:t xml:space="preserve">20. Описание полей документа «Пакет платежных поручений», закладки «Документ (1)», вкладки «БК и налоговые показатели»</w:t>
        </w:r>
        <w:r>
          <w:tab/>
        </w:r>
        <w:r>
          <w:fldChar w:fldCharType="begin"/>
        </w:r>
        <w:r>
          <w:instrText xml:space="preserve"> PAGEREF _Toc88819206 \h </w:instrText>
        </w:r>
        <w:r/>
        <w:r>
          <w:fldChar w:fldCharType="separate"/>
        </w:r>
        <w:r>
          <w:t xml:space="preserve">127</w:t>
        </w:r>
        <w:r>
          <w:fldChar w:fldCharType="end"/>
        </w:r>
      </w:hyperlink>
      <w:r/>
      <w:r/>
    </w:p>
    <w:p>
      <w:pPr>
        <w:pStyle w:val="1152"/>
        <w:rPr>
          <w:rFonts w:ascii="Calibri" w:hAnsi="Calibri"/>
          <w:sz w:val="22"/>
          <w:szCs w:val="22"/>
        </w:rPr>
      </w:pPr>
      <w:r/>
      <w:hyperlink w:tooltip="#_Toc88819207" w:anchor="_Toc88819207" w:history="1">
        <w:r>
          <w:rPr>
            <w:rStyle w:val="1020"/>
          </w:rPr>
          <w:t xml:space="preserve">Таблица </w:t>
        </w:r>
        <w:r>
          <w:rPr>
            <w:rFonts w:ascii="Calibri" w:hAnsi="Calibri"/>
            <w:sz w:val="22"/>
            <w:szCs w:val="22"/>
          </w:rPr>
          <w:tab/>
        </w:r>
        <w:r>
          <w:rPr>
            <w:rStyle w:val="1020"/>
          </w:rPr>
          <w:t xml:space="preserve">21. Описание полей документа «Пакет платежных поручений», закладки «Дополнительные атрибуты (2)»</w:t>
        </w:r>
        <w:r>
          <w:tab/>
        </w:r>
        <w:r>
          <w:fldChar w:fldCharType="begin"/>
        </w:r>
        <w:r>
          <w:instrText xml:space="preserve"> PAGEREF _Toc88819207 \h </w:instrText>
        </w:r>
        <w:r/>
        <w:r>
          <w:fldChar w:fldCharType="separate"/>
        </w:r>
        <w:r>
          <w:t xml:space="preserve">129</w:t>
        </w:r>
        <w:r>
          <w:fldChar w:fldCharType="end"/>
        </w:r>
      </w:hyperlink>
      <w:r/>
      <w:r/>
    </w:p>
    <w:p>
      <w:pPr>
        <w:pStyle w:val="1152"/>
        <w:rPr>
          <w:rFonts w:ascii="Calibri" w:hAnsi="Calibri"/>
          <w:sz w:val="22"/>
          <w:szCs w:val="22"/>
        </w:rPr>
      </w:pPr>
      <w:r/>
      <w:hyperlink w:tooltip="#_Toc88819208" w:anchor="_Toc88819208" w:history="1">
        <w:r>
          <w:rPr>
            <w:rStyle w:val="1020"/>
          </w:rPr>
          <w:t xml:space="preserve">Таблица </w:t>
        </w:r>
        <w:r>
          <w:rPr>
            <w:rFonts w:ascii="Calibri" w:hAnsi="Calibri"/>
            <w:sz w:val="22"/>
            <w:szCs w:val="22"/>
          </w:rPr>
          <w:tab/>
        </w:r>
        <w:r>
          <w:rPr>
            <w:rStyle w:val="1020"/>
          </w:rPr>
          <w:t xml:space="preserve">22. Описание полей документа «Распоряжение финансового органа с расшифровкой», закладки «Основные атрибуты»</w:t>
        </w:r>
        <w:r>
          <w:tab/>
        </w:r>
        <w:r>
          <w:fldChar w:fldCharType="begin"/>
        </w:r>
        <w:r>
          <w:instrText xml:space="preserve"> PAGEREF _Toc88819208 \h </w:instrText>
        </w:r>
        <w:r/>
        <w:r>
          <w:fldChar w:fldCharType="separate"/>
        </w:r>
        <w:r>
          <w:t xml:space="preserve">131</w:t>
        </w:r>
        <w:r>
          <w:fldChar w:fldCharType="end"/>
        </w:r>
      </w:hyperlink>
      <w:r/>
      <w:r/>
    </w:p>
    <w:p>
      <w:pPr>
        <w:pStyle w:val="1152"/>
        <w:rPr>
          <w:rFonts w:ascii="Calibri" w:hAnsi="Calibri"/>
          <w:sz w:val="22"/>
          <w:szCs w:val="22"/>
        </w:rPr>
      </w:pPr>
      <w:r/>
      <w:hyperlink w:tooltip="#_Toc88819209" w:anchor="_Toc88819209" w:history="1">
        <w:r>
          <w:rPr>
            <w:rStyle w:val="1020"/>
          </w:rPr>
          <w:t xml:space="preserve">Таблица </w:t>
        </w:r>
        <w:r>
          <w:rPr>
            <w:rFonts w:ascii="Calibri" w:hAnsi="Calibri"/>
            <w:sz w:val="22"/>
            <w:szCs w:val="22"/>
          </w:rPr>
          <w:tab/>
        </w:r>
        <w:r>
          <w:rPr>
            <w:rStyle w:val="1020"/>
          </w:rPr>
          <w:t xml:space="preserve">23. Описание полей документа «Распоряжение финансового органа с расшифровкой», закладки «Подписи»</w:t>
        </w:r>
        <w:r>
          <w:tab/>
        </w:r>
        <w:r>
          <w:fldChar w:fldCharType="begin"/>
        </w:r>
        <w:r>
          <w:instrText xml:space="preserve"> PAGEREF _Toc88819209 \h </w:instrText>
        </w:r>
        <w:r/>
        <w:r>
          <w:fldChar w:fldCharType="separate"/>
        </w:r>
        <w:r>
          <w:t xml:space="preserve">134</w:t>
        </w:r>
        <w:r>
          <w:fldChar w:fldCharType="end"/>
        </w:r>
      </w:hyperlink>
      <w:r/>
      <w:r/>
    </w:p>
    <w:p>
      <w:pPr>
        <w:pStyle w:val="1152"/>
        <w:rPr>
          <w:rFonts w:ascii="Calibri" w:hAnsi="Calibri"/>
          <w:sz w:val="22"/>
          <w:szCs w:val="22"/>
        </w:rPr>
      </w:pPr>
      <w:r/>
      <w:hyperlink w:tooltip="#_Toc88819210" w:anchor="_Toc88819210" w:history="1">
        <w:r>
          <w:rPr>
            <w:rStyle w:val="1020"/>
          </w:rPr>
          <w:t xml:space="preserve">Таблица </w:t>
        </w:r>
        <w:r>
          <w:rPr>
            <w:rFonts w:ascii="Calibri" w:hAnsi="Calibri"/>
            <w:sz w:val="22"/>
            <w:szCs w:val="22"/>
          </w:rPr>
          <w:tab/>
        </w:r>
        <w:r>
          <w:rPr>
            <w:rStyle w:val="1020"/>
          </w:rPr>
          <w:t xml:space="preserve">24. Описание полей документа «Данные об аннулированных чеках»</w:t>
        </w:r>
        <w:r>
          <w:tab/>
        </w:r>
        <w:r>
          <w:fldChar w:fldCharType="begin"/>
        </w:r>
        <w:r>
          <w:instrText xml:space="preserve"> PAGEREF _Toc88819210 \h </w:instrText>
        </w:r>
        <w:r/>
        <w:r>
          <w:fldChar w:fldCharType="separate"/>
        </w:r>
        <w:r>
          <w:t xml:space="preserve">136</w:t>
        </w:r>
        <w:r>
          <w:fldChar w:fldCharType="end"/>
        </w:r>
      </w:hyperlink>
      <w:r/>
      <w:r/>
    </w:p>
    <w:p>
      <w:pPr>
        <w:pStyle w:val="1152"/>
        <w:rPr>
          <w:rFonts w:ascii="Calibri" w:hAnsi="Calibri"/>
          <w:sz w:val="22"/>
          <w:szCs w:val="22"/>
        </w:rPr>
      </w:pPr>
      <w:r/>
      <w:hyperlink w:tooltip="#_Toc88819211" w:anchor="_Toc88819211" w:history="1">
        <w:r>
          <w:rPr>
            <w:rStyle w:val="1020"/>
          </w:rPr>
          <w:t xml:space="preserve">Таблица </w:t>
        </w:r>
        <w:r>
          <w:rPr>
            <w:rFonts w:ascii="Calibri" w:hAnsi="Calibri"/>
            <w:sz w:val="22"/>
            <w:szCs w:val="22"/>
          </w:rPr>
          <w:tab/>
        </w:r>
        <w:r>
          <w:rPr>
            <w:rStyle w:val="1020"/>
          </w:rPr>
          <w:t xml:space="preserve">25. Описание полей документа «Заявление на проведение операций с иностранной валютой», закладки «Покупка-продажа(1)»</w:t>
        </w:r>
        <w:r>
          <w:tab/>
        </w:r>
        <w:r>
          <w:fldChar w:fldCharType="begin"/>
        </w:r>
        <w:r>
          <w:instrText xml:space="preserve"> PAGEREF _Toc88819211 \h </w:instrText>
        </w:r>
        <w:r/>
        <w:r>
          <w:fldChar w:fldCharType="separate"/>
        </w:r>
        <w:r>
          <w:t xml:space="preserve">140</w:t>
        </w:r>
        <w:r>
          <w:fldChar w:fldCharType="end"/>
        </w:r>
      </w:hyperlink>
      <w:r/>
      <w:r/>
    </w:p>
    <w:p>
      <w:pPr>
        <w:pStyle w:val="1152"/>
        <w:rPr>
          <w:rFonts w:ascii="Calibri" w:hAnsi="Calibri"/>
          <w:sz w:val="22"/>
          <w:szCs w:val="22"/>
        </w:rPr>
      </w:pPr>
      <w:r/>
      <w:hyperlink w:tooltip="#_Toc88819212" w:anchor="_Toc88819212" w:history="1">
        <w:r>
          <w:rPr>
            <w:rStyle w:val="1020"/>
          </w:rPr>
          <w:t xml:space="preserve">Таблица </w:t>
        </w:r>
        <w:r>
          <w:rPr>
            <w:rFonts w:ascii="Calibri" w:hAnsi="Calibri"/>
            <w:sz w:val="22"/>
            <w:szCs w:val="22"/>
          </w:rPr>
          <w:tab/>
        </w:r>
        <w:r>
          <w:rPr>
            <w:rStyle w:val="1020"/>
          </w:rPr>
          <w:t xml:space="preserve">26. Описание полей документа «Заявление на проведение операций с иностранной валютой», закладки «Перевод(2)»</w:t>
        </w:r>
        <w:r>
          <w:tab/>
        </w:r>
        <w:r>
          <w:fldChar w:fldCharType="begin"/>
        </w:r>
        <w:r>
          <w:instrText xml:space="preserve"> PAGEREF _Toc88819212 \h </w:instrText>
        </w:r>
        <w:r/>
        <w:r>
          <w:fldChar w:fldCharType="separate"/>
        </w:r>
        <w:r>
          <w:t xml:space="preserve">144</w:t>
        </w:r>
        <w:r>
          <w:fldChar w:fldCharType="end"/>
        </w:r>
      </w:hyperlink>
      <w:r/>
      <w:r/>
    </w:p>
    <w:p>
      <w:pPr>
        <w:pStyle w:val="1152"/>
        <w:rPr>
          <w:rFonts w:ascii="Calibri" w:hAnsi="Calibri"/>
          <w:sz w:val="22"/>
          <w:szCs w:val="22"/>
        </w:rPr>
      </w:pPr>
      <w:r/>
      <w:hyperlink w:tooltip="#_Toc88819213" w:anchor="_Toc88819213" w:history="1">
        <w:r>
          <w:rPr>
            <w:rStyle w:val="1020"/>
          </w:rPr>
          <w:t xml:space="preserve">Таблица </w:t>
        </w:r>
        <w:r>
          <w:rPr>
            <w:rFonts w:ascii="Calibri" w:hAnsi="Calibri"/>
            <w:sz w:val="22"/>
            <w:szCs w:val="22"/>
          </w:rPr>
          <w:tab/>
        </w:r>
        <w:r>
          <w:rPr>
            <w:rStyle w:val="1020"/>
          </w:rPr>
          <w:t xml:space="preserve">27. Описание полей документа «Заявление на проведение операций с иностранной валютой», закладки «Назначение платежа (КБК)(3)»</w:t>
        </w:r>
        <w:r>
          <w:tab/>
        </w:r>
        <w:r>
          <w:fldChar w:fldCharType="begin"/>
        </w:r>
        <w:r>
          <w:instrText xml:space="preserve"> PAGEREF _Toc88819213 \h </w:instrText>
        </w:r>
        <w:r/>
        <w:r>
          <w:fldChar w:fldCharType="separate"/>
        </w:r>
        <w:r>
          <w:t xml:space="preserve">146</w:t>
        </w:r>
        <w:r>
          <w:fldChar w:fldCharType="end"/>
        </w:r>
      </w:hyperlink>
      <w:r/>
      <w:r/>
    </w:p>
    <w:p>
      <w:pPr>
        <w:pStyle w:val="1152"/>
        <w:rPr>
          <w:rFonts w:ascii="Calibri" w:hAnsi="Calibri"/>
          <w:sz w:val="22"/>
          <w:szCs w:val="22"/>
        </w:rPr>
      </w:pPr>
      <w:r/>
      <w:hyperlink w:tooltip="#_Toc88819214" w:anchor="_Toc88819214" w:history="1">
        <w:r>
          <w:rPr>
            <w:rStyle w:val="1020"/>
          </w:rPr>
          <w:t xml:space="preserve">Таблица </w:t>
        </w:r>
        <w:r>
          <w:rPr>
            <w:rFonts w:ascii="Calibri" w:hAnsi="Calibri"/>
            <w:sz w:val="22"/>
            <w:szCs w:val="22"/>
          </w:rPr>
          <w:tab/>
        </w:r>
        <w:r>
          <w:rPr>
            <w:rStyle w:val="1020"/>
          </w:rPr>
          <w:t xml:space="preserve">28. Описание полей документа «Заявление на проведение операций с иностранной валютой», закладки «Банки (4)»</w:t>
        </w:r>
        <w:r>
          <w:tab/>
        </w:r>
        <w:r>
          <w:fldChar w:fldCharType="begin"/>
        </w:r>
        <w:r>
          <w:instrText xml:space="preserve"> PAGEREF _Toc88819214 \h </w:instrText>
        </w:r>
        <w:r/>
        <w:r>
          <w:fldChar w:fldCharType="separate"/>
        </w:r>
        <w:r>
          <w:t xml:space="preserve">148</w:t>
        </w:r>
        <w:r>
          <w:fldChar w:fldCharType="end"/>
        </w:r>
      </w:hyperlink>
      <w:r/>
      <w:r/>
    </w:p>
    <w:p>
      <w:pPr>
        <w:pStyle w:val="1152"/>
        <w:rPr>
          <w:rFonts w:ascii="Calibri" w:hAnsi="Calibri"/>
          <w:sz w:val="22"/>
          <w:szCs w:val="22"/>
        </w:rPr>
      </w:pPr>
      <w:r/>
      <w:hyperlink w:tooltip="#_Toc88819215" w:anchor="_Toc88819215" w:history="1">
        <w:r>
          <w:rPr>
            <w:rStyle w:val="1020"/>
          </w:rPr>
          <w:t xml:space="preserve">Таблица </w:t>
        </w:r>
        <w:r>
          <w:rPr>
            <w:rFonts w:ascii="Calibri" w:hAnsi="Calibri"/>
            <w:sz w:val="22"/>
            <w:szCs w:val="22"/>
          </w:rPr>
          <w:tab/>
        </w:r>
        <w:r>
          <w:rPr>
            <w:rStyle w:val="1020"/>
          </w:rPr>
          <w:t xml:space="preserve">29. Описание полей документа «Сводная заявка на кассовый расход (для уплаты налогов)», закладки «Заголовок, Раздел 1 (1)»</w:t>
        </w:r>
        <w:r>
          <w:tab/>
        </w:r>
        <w:r>
          <w:fldChar w:fldCharType="begin"/>
        </w:r>
        <w:r>
          <w:instrText xml:space="preserve"> PAGEREF _Toc88819215 \h </w:instrText>
        </w:r>
        <w:r/>
        <w:r>
          <w:fldChar w:fldCharType="separate"/>
        </w:r>
        <w:r>
          <w:t xml:space="preserve">151</w:t>
        </w:r>
        <w:r>
          <w:fldChar w:fldCharType="end"/>
        </w:r>
      </w:hyperlink>
      <w:r/>
      <w:r/>
    </w:p>
    <w:p>
      <w:pPr>
        <w:pStyle w:val="1152"/>
        <w:rPr>
          <w:rFonts w:ascii="Calibri" w:hAnsi="Calibri"/>
          <w:sz w:val="22"/>
          <w:szCs w:val="22"/>
        </w:rPr>
      </w:pPr>
      <w:r/>
      <w:hyperlink w:tooltip="#_Toc88819216" w:anchor="_Toc88819216" w:history="1">
        <w:r>
          <w:rPr>
            <w:rStyle w:val="1020"/>
          </w:rPr>
          <w:t xml:space="preserve">Таблица </w:t>
        </w:r>
        <w:r>
          <w:rPr>
            <w:rFonts w:ascii="Calibri" w:hAnsi="Calibri"/>
            <w:sz w:val="22"/>
            <w:szCs w:val="22"/>
          </w:rPr>
          <w:tab/>
        </w:r>
        <w:r>
          <w:rPr>
            <w:rStyle w:val="1020"/>
          </w:rPr>
          <w:t xml:space="preserve">30. Описание полей документа «Сводная заявка на кассовый расход (для уплаты налогов)», закладки «Раздел 2 (2)»</w:t>
        </w:r>
        <w:r>
          <w:tab/>
        </w:r>
        <w:r>
          <w:fldChar w:fldCharType="begin"/>
        </w:r>
        <w:r>
          <w:instrText xml:space="preserve"> PAGEREF _Toc88819216 \h </w:instrText>
        </w:r>
        <w:r/>
        <w:r>
          <w:fldChar w:fldCharType="separate"/>
        </w:r>
        <w:r>
          <w:t xml:space="preserve">155</w:t>
        </w:r>
        <w:r>
          <w:fldChar w:fldCharType="end"/>
        </w:r>
      </w:hyperlink>
      <w:r/>
      <w:r/>
    </w:p>
    <w:p>
      <w:pPr>
        <w:pStyle w:val="1152"/>
        <w:rPr>
          <w:rFonts w:ascii="Calibri" w:hAnsi="Calibri"/>
          <w:sz w:val="22"/>
          <w:szCs w:val="22"/>
        </w:rPr>
      </w:pPr>
      <w:r/>
      <w:hyperlink w:tooltip="#_Toc88819217" w:anchor="_Toc88819217" w:history="1">
        <w:r>
          <w:rPr>
            <w:rStyle w:val="1020"/>
          </w:rPr>
          <w:t xml:space="preserve">Таблица </w:t>
        </w:r>
        <w:r>
          <w:rPr>
            <w:rFonts w:ascii="Calibri" w:hAnsi="Calibri"/>
            <w:sz w:val="22"/>
            <w:szCs w:val="22"/>
          </w:rPr>
          <w:tab/>
        </w:r>
        <w:r>
          <w:rPr>
            <w:rStyle w:val="1020"/>
          </w:rPr>
          <w:t xml:space="preserve">31. Описание полей документа «Сводная заявка на кассовый расход (для уплаты налогов)», закладки «Подписи (3)»</w:t>
        </w:r>
        <w:r>
          <w:tab/>
        </w:r>
        <w:r>
          <w:fldChar w:fldCharType="begin"/>
        </w:r>
        <w:r>
          <w:instrText xml:space="preserve"> PAGEREF _Toc88819217 \h </w:instrText>
        </w:r>
        <w:r/>
        <w:r>
          <w:fldChar w:fldCharType="separate"/>
        </w:r>
        <w:r>
          <w:t xml:space="preserve">157</w:t>
        </w:r>
        <w:r>
          <w:fldChar w:fldCharType="end"/>
        </w:r>
      </w:hyperlink>
      <w:r/>
      <w:r/>
    </w:p>
    <w:p>
      <w:pPr>
        <w:pStyle w:val="1152"/>
        <w:rPr>
          <w:rFonts w:ascii="Calibri" w:hAnsi="Calibri"/>
          <w:sz w:val="22"/>
          <w:szCs w:val="22"/>
        </w:rPr>
      </w:pPr>
      <w:r/>
      <w:hyperlink w:tooltip="#_Toc88819218" w:anchor="_Toc88819218" w:history="1">
        <w:r>
          <w:rPr>
            <w:rStyle w:val="1020"/>
          </w:rPr>
          <w:t xml:space="preserve">Таблица </w:t>
        </w:r>
        <w:r>
          <w:rPr>
            <w:rFonts w:ascii="Calibri" w:hAnsi="Calibri"/>
            <w:sz w:val="22"/>
            <w:szCs w:val="22"/>
          </w:rPr>
          <w:tab/>
        </w:r>
        <w:r>
          <w:rPr>
            <w:rStyle w:val="1020"/>
          </w:rPr>
          <w:t xml:space="preserve">32. Описание полей документа «Распоряжение о перечислении денежных средств на карты «Мир» физических лиц», закладки «Реквизиты (1)»</w:t>
        </w:r>
        <w:r>
          <w:tab/>
        </w:r>
        <w:r>
          <w:fldChar w:fldCharType="begin"/>
        </w:r>
        <w:r>
          <w:instrText xml:space="preserve"> PAGEREF _Toc88819218 \h </w:instrText>
        </w:r>
        <w:r/>
        <w:r>
          <w:fldChar w:fldCharType="separate"/>
        </w:r>
        <w:r>
          <w:t xml:space="preserve">159</w:t>
        </w:r>
        <w:r>
          <w:fldChar w:fldCharType="end"/>
        </w:r>
      </w:hyperlink>
      <w:r/>
      <w:r/>
    </w:p>
    <w:p>
      <w:pPr>
        <w:pStyle w:val="1152"/>
        <w:rPr>
          <w:rFonts w:ascii="Calibri" w:hAnsi="Calibri"/>
          <w:sz w:val="22"/>
          <w:szCs w:val="22"/>
        </w:rPr>
      </w:pPr>
      <w:r/>
      <w:hyperlink w:tooltip="#_Toc88819219" w:anchor="_Toc88819219" w:history="1">
        <w:r>
          <w:rPr>
            <w:rStyle w:val="1020"/>
          </w:rPr>
          <w:t xml:space="preserve">Таблица </w:t>
        </w:r>
        <w:r>
          <w:rPr>
            <w:rFonts w:ascii="Calibri" w:hAnsi="Calibri"/>
            <w:sz w:val="22"/>
            <w:szCs w:val="22"/>
          </w:rPr>
          <w:tab/>
        </w:r>
        <w:r>
          <w:rPr>
            <w:rStyle w:val="1020"/>
          </w:rPr>
          <w:t xml:space="preserve">33. Описание полей документа «Распоряжение о перечислении денежных средств на карты «Мир», закладки «Информация о выплатах (2)»</w:t>
        </w:r>
        <w:r>
          <w:tab/>
        </w:r>
        <w:r>
          <w:fldChar w:fldCharType="begin"/>
        </w:r>
        <w:r>
          <w:instrText xml:space="preserve"> PAGEREF _Toc88819219 \h </w:instrText>
        </w:r>
        <w:r/>
        <w:r>
          <w:fldChar w:fldCharType="separate"/>
        </w:r>
        <w:r>
          <w:t xml:space="preserve">162</w:t>
        </w:r>
        <w:r>
          <w:fldChar w:fldCharType="end"/>
        </w:r>
      </w:hyperlink>
      <w:r/>
      <w:r/>
    </w:p>
    <w:p>
      <w:pPr>
        <w:pStyle w:val="1152"/>
        <w:rPr>
          <w:rFonts w:ascii="Calibri" w:hAnsi="Calibri"/>
          <w:sz w:val="22"/>
          <w:szCs w:val="22"/>
        </w:rPr>
      </w:pPr>
      <w:r/>
      <w:hyperlink w:tooltip="#_Toc88819220" w:anchor="_Toc88819220" w:history="1">
        <w:r>
          <w:rPr>
            <w:rStyle w:val="1020"/>
          </w:rPr>
          <w:t xml:space="preserve">Таблица </w:t>
        </w:r>
        <w:r>
          <w:rPr>
            <w:rFonts w:ascii="Calibri" w:hAnsi="Calibri"/>
            <w:sz w:val="22"/>
            <w:szCs w:val="22"/>
          </w:rPr>
          <w:tab/>
        </w:r>
        <w:r>
          <w:rPr>
            <w:rStyle w:val="1020"/>
          </w:rPr>
          <w:t xml:space="preserve">34. Описание полей документа «Распоряжение о перечислении денежных средств на карты «Мир» физических лиц», закладки «Подписи»</w:t>
        </w:r>
        <w:r>
          <w:tab/>
        </w:r>
        <w:r>
          <w:fldChar w:fldCharType="begin"/>
        </w:r>
        <w:r>
          <w:instrText xml:space="preserve"> PAGEREF _Toc88819220 \h </w:instrText>
        </w:r>
        <w:r/>
        <w:r>
          <w:fldChar w:fldCharType="separate"/>
        </w:r>
        <w:r>
          <w:t xml:space="preserve">164</w:t>
        </w:r>
        <w:r>
          <w:fldChar w:fldCharType="end"/>
        </w:r>
      </w:hyperlink>
      <w:r/>
      <w:r/>
    </w:p>
    <w:p>
      <w:pPr>
        <w:pStyle w:val="1152"/>
        <w:rPr>
          <w:rFonts w:ascii="Calibri" w:hAnsi="Calibri"/>
          <w:sz w:val="22"/>
          <w:szCs w:val="22"/>
        </w:rPr>
      </w:pPr>
      <w:r/>
      <w:hyperlink w:tooltip="#_Toc88819221" w:anchor="_Toc88819221" w:history="1">
        <w:r>
          <w:rPr>
            <w:rStyle w:val="1020"/>
          </w:rPr>
          <w:t xml:space="preserve">Таблица </w:t>
        </w:r>
        <w:r>
          <w:rPr>
            <w:rFonts w:ascii="Calibri" w:hAnsi="Calibri"/>
            <w:sz w:val="22"/>
            <w:szCs w:val="22"/>
          </w:rPr>
          <w:tab/>
        </w:r>
        <w:r>
          <w:rPr>
            <w:rStyle w:val="1020"/>
          </w:rPr>
          <w:t xml:space="preserve">35. Описание полей документа «Сведения об обязательстве», закладки «Заголовок, Раздел 1,2 (1)»</w:t>
        </w:r>
        <w:r>
          <w:tab/>
        </w:r>
        <w:r>
          <w:fldChar w:fldCharType="begin"/>
        </w:r>
        <w:r>
          <w:instrText xml:space="preserve"> PAGEREF _Toc88819221 \h </w:instrText>
        </w:r>
        <w:r/>
        <w:r>
          <w:fldChar w:fldCharType="separate"/>
        </w:r>
        <w:r>
          <w:t xml:space="preserve">168</w:t>
        </w:r>
        <w:r>
          <w:fldChar w:fldCharType="end"/>
        </w:r>
      </w:hyperlink>
      <w:r/>
      <w:r/>
    </w:p>
    <w:p>
      <w:pPr>
        <w:pStyle w:val="1152"/>
        <w:rPr>
          <w:rFonts w:ascii="Calibri" w:hAnsi="Calibri"/>
          <w:sz w:val="22"/>
          <w:szCs w:val="22"/>
        </w:rPr>
      </w:pPr>
      <w:r/>
      <w:hyperlink w:tooltip="#_Toc88819222" w:anchor="_Toc88819222" w:history="1">
        <w:r>
          <w:rPr>
            <w:rStyle w:val="1020"/>
          </w:rPr>
          <w:t xml:space="preserve">Таблица </w:t>
        </w:r>
        <w:r>
          <w:rPr>
            <w:rFonts w:ascii="Calibri" w:hAnsi="Calibri"/>
            <w:sz w:val="22"/>
            <w:szCs w:val="22"/>
          </w:rPr>
          <w:tab/>
        </w:r>
        <w:r>
          <w:rPr>
            <w:rStyle w:val="1020"/>
          </w:rPr>
          <w:t xml:space="preserve">36. Описание полей документа «Сведения об обязательстве», закладки «Раздел 3 (2)»</w:t>
        </w:r>
        <w:r>
          <w:tab/>
        </w:r>
        <w:r>
          <w:fldChar w:fldCharType="begin"/>
        </w:r>
        <w:r>
          <w:instrText xml:space="preserve"> PAGEREF _Toc88819222 \h </w:instrText>
        </w:r>
        <w:r/>
        <w:r>
          <w:fldChar w:fldCharType="separate"/>
        </w:r>
        <w:r>
          <w:t xml:space="preserve">175</w:t>
        </w:r>
        <w:r>
          <w:fldChar w:fldCharType="end"/>
        </w:r>
      </w:hyperlink>
      <w:r/>
      <w:r/>
    </w:p>
    <w:p>
      <w:pPr>
        <w:pStyle w:val="1152"/>
        <w:rPr>
          <w:rFonts w:ascii="Calibri" w:hAnsi="Calibri"/>
          <w:sz w:val="22"/>
          <w:szCs w:val="22"/>
        </w:rPr>
      </w:pPr>
      <w:r/>
      <w:hyperlink w:tooltip="#_Toc88819223" w:anchor="_Toc88819223" w:history="1">
        <w:r>
          <w:rPr>
            <w:rStyle w:val="1020"/>
          </w:rPr>
          <w:t xml:space="preserve">Таблица </w:t>
        </w:r>
        <w:r>
          <w:rPr>
            <w:rFonts w:ascii="Calibri" w:hAnsi="Calibri"/>
            <w:sz w:val="22"/>
            <w:szCs w:val="22"/>
          </w:rPr>
          <w:tab/>
        </w:r>
        <w:r>
          <w:rPr>
            <w:rStyle w:val="1020"/>
          </w:rPr>
          <w:t xml:space="preserve">37. Описание полей документа «Сведения об обязательстве», закладки «Подписи (3)»</w:t>
        </w:r>
        <w:r>
          <w:tab/>
        </w:r>
        <w:r>
          <w:fldChar w:fldCharType="begin"/>
        </w:r>
        <w:r>
          <w:instrText xml:space="preserve"> PAGEREF _Toc88819223 \h </w:instrText>
        </w:r>
        <w:r/>
        <w:r>
          <w:fldChar w:fldCharType="separate"/>
        </w:r>
        <w:r>
          <w:t xml:space="preserve">180</w:t>
        </w:r>
        <w:r>
          <w:fldChar w:fldCharType="end"/>
        </w:r>
      </w:hyperlink>
      <w:r/>
      <w:r/>
    </w:p>
    <w:p>
      <w:pPr>
        <w:pStyle w:val="1152"/>
        <w:rPr>
          <w:rFonts w:ascii="Calibri" w:hAnsi="Calibri"/>
          <w:sz w:val="22"/>
          <w:szCs w:val="22"/>
        </w:rPr>
      </w:pPr>
      <w:r/>
      <w:hyperlink w:tooltip="#_Toc88819224" w:anchor="_Toc88819224" w:history="1">
        <w:r>
          <w:rPr>
            <w:rStyle w:val="1020"/>
          </w:rPr>
          <w:t xml:space="preserve">Таблица </w:t>
        </w:r>
        <w:r>
          <w:rPr>
            <w:rFonts w:ascii="Calibri" w:hAnsi="Calibri"/>
            <w:sz w:val="22"/>
            <w:szCs w:val="22"/>
          </w:rPr>
          <w:tab/>
        </w:r>
        <w:r>
          <w:rPr>
            <w:rStyle w:val="1020"/>
          </w:rPr>
          <w:t xml:space="preserve">38. Описание полей документа «Заявка на внесение изменений в обязательство», закладки «Заголовок, Раздел 1,2 (1)»</w:t>
        </w:r>
        <w:r>
          <w:tab/>
        </w:r>
        <w:r>
          <w:fldChar w:fldCharType="begin"/>
        </w:r>
        <w:r>
          <w:instrText xml:space="preserve"> PAGEREF _Toc88819224 \h </w:instrText>
        </w:r>
        <w:r/>
        <w:r>
          <w:fldChar w:fldCharType="separate"/>
        </w:r>
        <w:r>
          <w:t xml:space="preserve">183</w:t>
        </w:r>
        <w:r>
          <w:fldChar w:fldCharType="end"/>
        </w:r>
      </w:hyperlink>
      <w:r/>
      <w:r/>
    </w:p>
    <w:p>
      <w:pPr>
        <w:pStyle w:val="1152"/>
        <w:rPr>
          <w:rFonts w:ascii="Calibri" w:hAnsi="Calibri"/>
          <w:sz w:val="22"/>
          <w:szCs w:val="22"/>
        </w:rPr>
      </w:pPr>
      <w:r/>
      <w:hyperlink w:tooltip="#_Toc88819225" w:anchor="_Toc88819225" w:history="1">
        <w:r>
          <w:rPr>
            <w:rStyle w:val="1020"/>
          </w:rPr>
          <w:t xml:space="preserve">Таблица </w:t>
        </w:r>
        <w:r>
          <w:rPr>
            <w:rFonts w:ascii="Calibri" w:hAnsi="Calibri"/>
            <w:sz w:val="22"/>
            <w:szCs w:val="22"/>
          </w:rPr>
          <w:tab/>
        </w:r>
        <w:r>
          <w:rPr>
            <w:rStyle w:val="1020"/>
          </w:rPr>
          <w:t xml:space="preserve">39. Описание полей документа «Заявка на внесение изменений в обязательство», закладки «Раздел 3,4 (2)»</w:t>
        </w:r>
        <w:r>
          <w:tab/>
        </w:r>
        <w:r>
          <w:fldChar w:fldCharType="begin"/>
        </w:r>
        <w:r>
          <w:instrText xml:space="preserve"> PAGEREF _Toc88819225 \h </w:instrText>
        </w:r>
        <w:r/>
        <w:r>
          <w:fldChar w:fldCharType="separate"/>
        </w:r>
        <w:r>
          <w:t xml:space="preserve">187</w:t>
        </w:r>
        <w:r>
          <w:fldChar w:fldCharType="end"/>
        </w:r>
      </w:hyperlink>
      <w:r/>
      <w:r/>
    </w:p>
    <w:p>
      <w:pPr>
        <w:pStyle w:val="1152"/>
        <w:rPr>
          <w:rFonts w:ascii="Calibri" w:hAnsi="Calibri"/>
          <w:sz w:val="22"/>
          <w:szCs w:val="22"/>
        </w:rPr>
      </w:pPr>
      <w:r/>
      <w:hyperlink w:tooltip="#_Toc88819226" w:anchor="_Toc88819226" w:history="1">
        <w:r>
          <w:rPr>
            <w:rStyle w:val="1020"/>
          </w:rPr>
          <w:t xml:space="preserve">Таблица </w:t>
        </w:r>
        <w:r>
          <w:rPr>
            <w:rFonts w:ascii="Calibri" w:hAnsi="Calibri"/>
            <w:sz w:val="22"/>
            <w:szCs w:val="22"/>
          </w:rPr>
          <w:tab/>
        </w:r>
        <w:r>
          <w:rPr>
            <w:rStyle w:val="1020"/>
          </w:rPr>
          <w:t xml:space="preserve">40. Описание полей документа «Заявка на внесение изменений в обязательство», закладки «Раздел 5 (3)»</w:t>
        </w:r>
        <w:r>
          <w:tab/>
        </w:r>
        <w:r>
          <w:fldChar w:fldCharType="begin"/>
        </w:r>
        <w:r>
          <w:instrText xml:space="preserve"> PAGEREF _Toc88819226 \h </w:instrText>
        </w:r>
        <w:r/>
        <w:r>
          <w:fldChar w:fldCharType="separate"/>
        </w:r>
        <w:r>
          <w:t xml:space="preserve">189</w:t>
        </w:r>
        <w:r>
          <w:fldChar w:fldCharType="end"/>
        </w:r>
      </w:hyperlink>
      <w:r/>
      <w:r/>
    </w:p>
    <w:p>
      <w:pPr>
        <w:pStyle w:val="1152"/>
        <w:rPr>
          <w:rFonts w:ascii="Calibri" w:hAnsi="Calibri"/>
          <w:sz w:val="22"/>
          <w:szCs w:val="22"/>
        </w:rPr>
      </w:pPr>
      <w:r/>
      <w:hyperlink w:tooltip="#_Toc88819227" w:anchor="_Toc88819227" w:history="1">
        <w:r>
          <w:rPr>
            <w:rStyle w:val="1020"/>
          </w:rPr>
          <w:t xml:space="preserve">Таблица </w:t>
        </w:r>
        <w:r>
          <w:rPr>
            <w:rFonts w:ascii="Calibri" w:hAnsi="Calibri"/>
            <w:sz w:val="22"/>
            <w:szCs w:val="22"/>
          </w:rPr>
          <w:tab/>
        </w:r>
        <w:r>
          <w:rPr>
            <w:rStyle w:val="1020"/>
          </w:rPr>
          <w:t xml:space="preserve">41. Описание полей документа «Заявка на внесение изменений в обязательство», закладки «Подписи (4)»</w:t>
        </w:r>
        <w:r>
          <w:tab/>
        </w:r>
        <w:r>
          <w:fldChar w:fldCharType="begin"/>
        </w:r>
        <w:r>
          <w:instrText xml:space="preserve"> PAGEREF _Toc88819227 \h </w:instrText>
        </w:r>
        <w:r/>
        <w:r>
          <w:fldChar w:fldCharType="separate"/>
        </w:r>
        <w:r>
          <w:t xml:space="preserve">194</w:t>
        </w:r>
        <w:r>
          <w:fldChar w:fldCharType="end"/>
        </w:r>
      </w:hyperlink>
      <w:r/>
      <w:r/>
    </w:p>
    <w:p>
      <w:pPr>
        <w:pStyle w:val="1152"/>
        <w:rPr>
          <w:rFonts w:ascii="Calibri" w:hAnsi="Calibri"/>
          <w:sz w:val="22"/>
          <w:szCs w:val="22"/>
        </w:rPr>
      </w:pPr>
      <w:r/>
      <w:hyperlink w:tooltip="#_Toc88819228" w:anchor="_Toc88819228" w:history="1">
        <w:r>
          <w:rPr>
            <w:rStyle w:val="1020"/>
          </w:rPr>
          <w:t xml:space="preserve">Таблица </w:t>
        </w:r>
        <w:r>
          <w:rPr>
            <w:rFonts w:ascii="Calibri" w:hAnsi="Calibri"/>
            <w:sz w:val="22"/>
            <w:szCs w:val="22"/>
          </w:rPr>
          <w:tab/>
        </w:r>
        <w:r>
          <w:rPr>
            <w:rStyle w:val="1020"/>
          </w:rPr>
          <w:t xml:space="preserve">42. Описание полей документа «Заявка на перерегистрацию бюджетного обязательства», закладки «Заголовок, раздел 1,2 (1)»</w:t>
        </w:r>
        <w:r>
          <w:tab/>
        </w:r>
        <w:r>
          <w:fldChar w:fldCharType="begin"/>
        </w:r>
        <w:r>
          <w:instrText xml:space="preserve"> PAGEREF _Toc88819228 \h </w:instrText>
        </w:r>
        <w:r/>
        <w:r>
          <w:fldChar w:fldCharType="separate"/>
        </w:r>
        <w:r>
          <w:t xml:space="preserve">198</w:t>
        </w:r>
        <w:r>
          <w:fldChar w:fldCharType="end"/>
        </w:r>
      </w:hyperlink>
      <w:r/>
      <w:r/>
    </w:p>
    <w:p>
      <w:pPr>
        <w:pStyle w:val="1152"/>
        <w:rPr>
          <w:rFonts w:ascii="Calibri" w:hAnsi="Calibri"/>
          <w:sz w:val="22"/>
          <w:szCs w:val="22"/>
        </w:rPr>
      </w:pPr>
      <w:r/>
      <w:hyperlink w:tooltip="#_Toc88819229" w:anchor="_Toc88819229" w:history="1">
        <w:r>
          <w:rPr>
            <w:rStyle w:val="1020"/>
          </w:rPr>
          <w:t xml:space="preserve">Таблица </w:t>
        </w:r>
        <w:r>
          <w:rPr>
            <w:rFonts w:ascii="Calibri" w:hAnsi="Calibri"/>
            <w:sz w:val="22"/>
            <w:szCs w:val="22"/>
          </w:rPr>
          <w:tab/>
        </w:r>
        <w:r>
          <w:rPr>
            <w:rStyle w:val="1020"/>
          </w:rPr>
          <w:t xml:space="preserve">43. Описание полей документа «Заявка на перерегистрацию бюджетного обязательства», закладки «Раздел 3,4 (2)»</w:t>
        </w:r>
        <w:r>
          <w:tab/>
        </w:r>
        <w:r>
          <w:fldChar w:fldCharType="begin"/>
        </w:r>
        <w:r>
          <w:instrText xml:space="preserve"> PAGEREF _Toc88819229 \h </w:instrText>
        </w:r>
        <w:r/>
        <w:r>
          <w:fldChar w:fldCharType="separate"/>
        </w:r>
        <w:r>
          <w:t xml:space="preserve">201</w:t>
        </w:r>
        <w:r>
          <w:fldChar w:fldCharType="end"/>
        </w:r>
      </w:hyperlink>
      <w:r/>
      <w:r/>
    </w:p>
    <w:p>
      <w:pPr>
        <w:pStyle w:val="1152"/>
        <w:rPr>
          <w:rFonts w:ascii="Calibri" w:hAnsi="Calibri"/>
          <w:sz w:val="22"/>
          <w:szCs w:val="22"/>
        </w:rPr>
      </w:pPr>
      <w:r/>
      <w:hyperlink w:tooltip="#_Toc88819230" w:anchor="_Toc88819230" w:history="1">
        <w:r>
          <w:rPr>
            <w:rStyle w:val="1020"/>
          </w:rPr>
          <w:t xml:space="preserve">Таблица </w:t>
        </w:r>
        <w:r>
          <w:rPr>
            <w:rFonts w:ascii="Calibri" w:hAnsi="Calibri"/>
            <w:sz w:val="22"/>
            <w:szCs w:val="22"/>
          </w:rPr>
          <w:tab/>
        </w:r>
        <w:r>
          <w:rPr>
            <w:rStyle w:val="1020"/>
          </w:rPr>
          <w:t xml:space="preserve">44. Описание полей документа «Заявка на перерегистрацию бюджетного обязательства», закладки «Раздел 5 (3)»</w:t>
        </w:r>
        <w:r>
          <w:tab/>
        </w:r>
        <w:r>
          <w:fldChar w:fldCharType="begin"/>
        </w:r>
        <w:r>
          <w:instrText xml:space="preserve"> PAGEREF _Toc88819230 \h </w:instrText>
        </w:r>
        <w:r/>
        <w:r>
          <w:fldChar w:fldCharType="separate"/>
        </w:r>
        <w:r>
          <w:t xml:space="preserve">203</w:t>
        </w:r>
        <w:r>
          <w:fldChar w:fldCharType="end"/>
        </w:r>
      </w:hyperlink>
      <w:r/>
      <w:r/>
    </w:p>
    <w:p>
      <w:pPr>
        <w:pStyle w:val="1152"/>
        <w:rPr>
          <w:rFonts w:ascii="Calibri" w:hAnsi="Calibri"/>
          <w:sz w:val="22"/>
          <w:szCs w:val="22"/>
        </w:rPr>
      </w:pPr>
      <w:r/>
      <w:hyperlink w:tooltip="#_Toc88819231" w:anchor="_Toc88819231" w:history="1">
        <w:r>
          <w:rPr>
            <w:rStyle w:val="1020"/>
          </w:rPr>
          <w:t xml:space="preserve">Таблица </w:t>
        </w:r>
        <w:r>
          <w:rPr>
            <w:rFonts w:ascii="Calibri" w:hAnsi="Calibri"/>
            <w:sz w:val="22"/>
            <w:szCs w:val="22"/>
          </w:rPr>
          <w:tab/>
        </w:r>
        <w:r>
          <w:rPr>
            <w:rStyle w:val="1020"/>
          </w:rPr>
          <w:t xml:space="preserve">45. Описание полей документа «Заявка на перерегистрацию бюджетного обязательства», закладки «Подписи (4)»</w:t>
        </w:r>
        <w:r>
          <w:tab/>
        </w:r>
        <w:r>
          <w:fldChar w:fldCharType="begin"/>
        </w:r>
        <w:r>
          <w:instrText xml:space="preserve"> PAGEREF _Toc88819231 \h </w:instrText>
        </w:r>
        <w:r/>
        <w:r>
          <w:fldChar w:fldCharType="separate"/>
        </w:r>
        <w:r>
          <w:t xml:space="preserve">206</w:t>
        </w:r>
        <w:r>
          <w:fldChar w:fldCharType="end"/>
        </w:r>
      </w:hyperlink>
      <w:r/>
      <w:r/>
    </w:p>
    <w:p>
      <w:pPr>
        <w:pStyle w:val="1152"/>
        <w:rPr>
          <w:rFonts w:ascii="Calibri" w:hAnsi="Calibri"/>
          <w:sz w:val="22"/>
          <w:szCs w:val="22"/>
        </w:rPr>
      </w:pPr>
      <w:r/>
      <w:hyperlink w:tooltip="#_Toc88819232" w:anchor="_Toc88819232" w:history="1">
        <w:r>
          <w:rPr>
            <w:rStyle w:val="1020"/>
          </w:rPr>
          <w:t xml:space="preserve">Таблица </w:t>
        </w:r>
        <w:r>
          <w:rPr>
            <w:rFonts w:ascii="Calibri" w:hAnsi="Calibri"/>
            <w:sz w:val="22"/>
            <w:szCs w:val="22"/>
          </w:rPr>
          <w:tab/>
        </w:r>
        <w:r>
          <w:rPr>
            <w:rStyle w:val="1020"/>
          </w:rPr>
          <w:t xml:space="preserve">46. Описание полей документа «Извещение о постановке на учет (изменении) БО в ФК», закладки «Основные атрибуты»</w:t>
        </w:r>
        <w:r>
          <w:tab/>
        </w:r>
        <w:r>
          <w:fldChar w:fldCharType="begin"/>
        </w:r>
        <w:r>
          <w:instrText xml:space="preserve"> PAGEREF _Toc88819232 \h </w:instrText>
        </w:r>
        <w:r/>
        <w:r>
          <w:fldChar w:fldCharType="separate"/>
        </w:r>
        <w:r>
          <w:t xml:space="preserve">209</w:t>
        </w:r>
        <w:r>
          <w:fldChar w:fldCharType="end"/>
        </w:r>
      </w:hyperlink>
      <w:r/>
      <w:r/>
    </w:p>
    <w:p>
      <w:pPr>
        <w:pStyle w:val="1152"/>
        <w:rPr>
          <w:rFonts w:ascii="Calibri" w:hAnsi="Calibri"/>
          <w:sz w:val="22"/>
          <w:szCs w:val="22"/>
        </w:rPr>
      </w:pPr>
      <w:r/>
      <w:hyperlink w:tooltip="#_Toc88819233" w:anchor="_Toc88819233" w:history="1">
        <w:r>
          <w:rPr>
            <w:rStyle w:val="1020"/>
          </w:rPr>
          <w:t xml:space="preserve">Таблица </w:t>
        </w:r>
        <w:r>
          <w:rPr>
            <w:rFonts w:ascii="Calibri" w:hAnsi="Calibri"/>
            <w:sz w:val="22"/>
            <w:szCs w:val="22"/>
          </w:rPr>
          <w:tab/>
        </w:r>
        <w:r>
          <w:rPr>
            <w:rStyle w:val="1020"/>
          </w:rPr>
          <w:t xml:space="preserve">47. Описание полей документа «Извещение о постановке на учет (изменении) БО в ФК», закладки «Подписи»</w:t>
        </w:r>
        <w:r>
          <w:tab/>
        </w:r>
        <w:r>
          <w:fldChar w:fldCharType="begin"/>
        </w:r>
        <w:r>
          <w:instrText xml:space="preserve"> PAGEREF _Toc88819233 \h </w:instrText>
        </w:r>
        <w:r/>
        <w:r>
          <w:fldChar w:fldCharType="separate"/>
        </w:r>
        <w:r>
          <w:t xml:space="preserve">210</w:t>
        </w:r>
        <w:r>
          <w:fldChar w:fldCharType="end"/>
        </w:r>
      </w:hyperlink>
      <w:r/>
      <w:r/>
    </w:p>
    <w:p>
      <w:pPr>
        <w:pStyle w:val="1152"/>
        <w:rPr>
          <w:rFonts w:ascii="Calibri" w:hAnsi="Calibri"/>
          <w:sz w:val="22"/>
          <w:szCs w:val="22"/>
        </w:rPr>
      </w:pPr>
      <w:r/>
      <w:hyperlink w:tooltip="#_Toc88819234" w:anchor="_Toc88819234" w:history="1">
        <w:r>
          <w:rPr>
            <w:rStyle w:val="1020"/>
          </w:rPr>
          <w:t xml:space="preserve">Таблица </w:t>
        </w:r>
        <w:r>
          <w:rPr>
            <w:rFonts w:ascii="Calibri" w:hAnsi="Calibri"/>
            <w:sz w:val="22"/>
            <w:szCs w:val="22"/>
          </w:rPr>
          <w:tab/>
        </w:r>
        <w:r>
          <w:rPr>
            <w:rStyle w:val="1020"/>
          </w:rPr>
          <w:t xml:space="preserve">48. Описание полей документа «Извещение о постановке на учет (изменении) ДО в ФК», закладки «Основные атрибуты»</w:t>
        </w:r>
        <w:r>
          <w:tab/>
        </w:r>
        <w:r>
          <w:fldChar w:fldCharType="begin"/>
        </w:r>
        <w:r>
          <w:instrText xml:space="preserve"> PAGEREF _Toc88819234 \h </w:instrText>
        </w:r>
        <w:r/>
        <w:r>
          <w:fldChar w:fldCharType="separate"/>
        </w:r>
        <w:r>
          <w:t xml:space="preserve">212</w:t>
        </w:r>
        <w:r>
          <w:fldChar w:fldCharType="end"/>
        </w:r>
      </w:hyperlink>
      <w:r/>
      <w:r/>
    </w:p>
    <w:p>
      <w:pPr>
        <w:pStyle w:val="1152"/>
        <w:rPr>
          <w:rFonts w:ascii="Calibri" w:hAnsi="Calibri"/>
          <w:sz w:val="22"/>
          <w:szCs w:val="22"/>
        </w:rPr>
      </w:pPr>
      <w:r/>
      <w:hyperlink w:tooltip="#_Toc88819235" w:anchor="_Toc88819235" w:history="1">
        <w:r>
          <w:rPr>
            <w:rStyle w:val="1020"/>
          </w:rPr>
          <w:t xml:space="preserve">Таблица </w:t>
        </w:r>
        <w:r>
          <w:rPr>
            <w:rFonts w:ascii="Calibri" w:hAnsi="Calibri"/>
            <w:sz w:val="22"/>
            <w:szCs w:val="22"/>
          </w:rPr>
          <w:tab/>
        </w:r>
        <w:r>
          <w:rPr>
            <w:rStyle w:val="1020"/>
          </w:rPr>
          <w:t xml:space="preserve">49. Описание полей документа «Извещение о постановке на учет (изменении) ДО в ФК», закладки «Подписи»</w:t>
        </w:r>
        <w:r>
          <w:tab/>
        </w:r>
        <w:r>
          <w:fldChar w:fldCharType="begin"/>
        </w:r>
        <w:r>
          <w:instrText xml:space="preserve"> PAGEREF _Toc88819235 \h </w:instrText>
        </w:r>
        <w:r/>
        <w:r>
          <w:fldChar w:fldCharType="separate"/>
        </w:r>
        <w:r>
          <w:t xml:space="preserve">213</w:t>
        </w:r>
        <w:r>
          <w:fldChar w:fldCharType="end"/>
        </w:r>
      </w:hyperlink>
      <w:r/>
      <w:r/>
    </w:p>
    <w:p>
      <w:pPr>
        <w:pStyle w:val="1152"/>
        <w:rPr>
          <w:rFonts w:ascii="Calibri" w:hAnsi="Calibri"/>
          <w:sz w:val="22"/>
          <w:szCs w:val="22"/>
        </w:rPr>
      </w:pPr>
      <w:r/>
      <w:hyperlink w:tooltip="#_Toc88819236" w:anchor="_Toc88819236" w:history="1">
        <w:r>
          <w:rPr>
            <w:rStyle w:val="1020"/>
          </w:rPr>
          <w:t xml:space="preserve">Таблица </w:t>
        </w:r>
        <w:r>
          <w:rPr>
            <w:rFonts w:ascii="Calibri" w:hAnsi="Calibri"/>
            <w:sz w:val="22"/>
            <w:szCs w:val="22"/>
          </w:rPr>
          <w:tab/>
        </w:r>
        <w:r>
          <w:rPr>
            <w:rStyle w:val="1020"/>
          </w:rPr>
          <w:t xml:space="preserve">50. Описание полей документа «Заявление на выдачу (перевод, отзыв) Казначейского обеспечения обязательств», закладки «Основные атрибуты»</w:t>
        </w:r>
        <w:r>
          <w:tab/>
        </w:r>
        <w:r>
          <w:fldChar w:fldCharType="begin"/>
        </w:r>
        <w:r>
          <w:instrText xml:space="preserve"> PAGEREF _Toc88819236 \h </w:instrText>
        </w:r>
        <w:r/>
        <w:r>
          <w:fldChar w:fldCharType="separate"/>
        </w:r>
        <w:r>
          <w:t xml:space="preserve">216</w:t>
        </w:r>
        <w:r>
          <w:fldChar w:fldCharType="end"/>
        </w:r>
      </w:hyperlink>
      <w:r/>
      <w:r/>
    </w:p>
    <w:p>
      <w:pPr>
        <w:pStyle w:val="1152"/>
        <w:rPr>
          <w:rFonts w:ascii="Calibri" w:hAnsi="Calibri"/>
          <w:sz w:val="22"/>
          <w:szCs w:val="22"/>
        </w:rPr>
      </w:pPr>
      <w:r/>
      <w:hyperlink w:tooltip="#_Toc88819237" w:anchor="_Toc88819237" w:history="1">
        <w:r>
          <w:rPr>
            <w:rStyle w:val="1020"/>
          </w:rPr>
          <w:t xml:space="preserve">Таблица </w:t>
        </w:r>
        <w:r>
          <w:rPr>
            <w:rFonts w:ascii="Calibri" w:hAnsi="Calibri"/>
            <w:sz w:val="22"/>
            <w:szCs w:val="22"/>
          </w:rPr>
          <w:tab/>
        </w:r>
        <w:r>
          <w:rPr>
            <w:rStyle w:val="1020"/>
          </w:rPr>
          <w:t xml:space="preserve">51. Описание полей документа «Заявление на выдачу (перевод, отзыв) Казначейского обеспечения обязательств», закладки «Сведения о документе-основании»</w:t>
        </w:r>
        <w:r>
          <w:tab/>
        </w:r>
        <w:r>
          <w:fldChar w:fldCharType="begin"/>
        </w:r>
        <w:r>
          <w:instrText xml:space="preserve"> PAGEREF _Toc88819237 \h </w:instrText>
        </w:r>
        <w:r/>
        <w:r>
          <w:fldChar w:fldCharType="separate"/>
        </w:r>
        <w:r>
          <w:t xml:space="preserve">219</w:t>
        </w:r>
        <w:r>
          <w:fldChar w:fldCharType="end"/>
        </w:r>
      </w:hyperlink>
      <w:r/>
      <w:r/>
    </w:p>
    <w:p>
      <w:pPr>
        <w:pStyle w:val="1152"/>
        <w:rPr>
          <w:rFonts w:ascii="Calibri" w:hAnsi="Calibri"/>
          <w:sz w:val="22"/>
          <w:szCs w:val="22"/>
        </w:rPr>
      </w:pPr>
      <w:r/>
      <w:hyperlink w:tooltip="#_Toc88819238" w:anchor="_Toc88819238" w:history="1">
        <w:r>
          <w:rPr>
            <w:rStyle w:val="1020"/>
          </w:rPr>
          <w:t xml:space="preserve">Таблица </w:t>
        </w:r>
        <w:r>
          <w:rPr>
            <w:rFonts w:ascii="Calibri" w:hAnsi="Calibri"/>
            <w:sz w:val="22"/>
            <w:szCs w:val="22"/>
          </w:rPr>
          <w:tab/>
        </w:r>
        <w:r>
          <w:rPr>
            <w:rStyle w:val="1020"/>
          </w:rPr>
          <w:t xml:space="preserve">52. Описание полей документа «Заявление на выдачу (перевод, отзыв) Казначейского обеспечения обязательств», закладки «Реквизиты плательщика»</w:t>
        </w:r>
        <w:r>
          <w:tab/>
        </w:r>
        <w:r>
          <w:fldChar w:fldCharType="begin"/>
        </w:r>
        <w:r>
          <w:instrText xml:space="preserve"> PAGEREF _Toc88819238 \h </w:instrText>
        </w:r>
        <w:r/>
        <w:r>
          <w:fldChar w:fldCharType="separate"/>
        </w:r>
        <w:r>
          <w:t xml:space="preserve">221</w:t>
        </w:r>
        <w:r>
          <w:fldChar w:fldCharType="end"/>
        </w:r>
      </w:hyperlink>
      <w:r/>
      <w:r/>
    </w:p>
    <w:p>
      <w:pPr>
        <w:pStyle w:val="1152"/>
        <w:rPr>
          <w:rFonts w:ascii="Calibri" w:hAnsi="Calibri"/>
          <w:sz w:val="22"/>
          <w:szCs w:val="22"/>
        </w:rPr>
      </w:pPr>
      <w:r/>
      <w:hyperlink w:tooltip="#_Toc88819239" w:anchor="_Toc88819239" w:history="1">
        <w:r>
          <w:rPr>
            <w:rStyle w:val="1020"/>
          </w:rPr>
          <w:t xml:space="preserve">Таблица </w:t>
        </w:r>
        <w:r>
          <w:rPr>
            <w:rFonts w:ascii="Calibri" w:hAnsi="Calibri"/>
            <w:sz w:val="22"/>
            <w:szCs w:val="22"/>
          </w:rPr>
          <w:tab/>
        </w:r>
        <w:r>
          <w:rPr>
            <w:rStyle w:val="1020"/>
          </w:rPr>
          <w:t xml:space="preserve">53. Описание полей документа «Заявление на выдачу (перевод, отзыв) Казначейского обеспечения обязательств», закладки «Реквизиты получателя»</w:t>
        </w:r>
        <w:r>
          <w:tab/>
        </w:r>
        <w:r>
          <w:fldChar w:fldCharType="begin"/>
        </w:r>
        <w:r>
          <w:instrText xml:space="preserve"> PAGEREF _Toc88819239 \h </w:instrText>
        </w:r>
        <w:r/>
        <w:r>
          <w:fldChar w:fldCharType="separate"/>
        </w:r>
        <w:r>
          <w:t xml:space="preserve">223</w:t>
        </w:r>
        <w:r>
          <w:fldChar w:fldCharType="end"/>
        </w:r>
      </w:hyperlink>
      <w:r/>
      <w:r/>
    </w:p>
    <w:p>
      <w:pPr>
        <w:pStyle w:val="1152"/>
        <w:rPr>
          <w:rFonts w:ascii="Calibri" w:hAnsi="Calibri"/>
          <w:sz w:val="22"/>
          <w:szCs w:val="22"/>
        </w:rPr>
      </w:pPr>
      <w:r/>
      <w:hyperlink w:tooltip="#_Toc88819240" w:anchor="_Toc88819240" w:history="1">
        <w:r>
          <w:rPr>
            <w:rStyle w:val="1020"/>
          </w:rPr>
          <w:t xml:space="preserve">Таблица </w:t>
        </w:r>
        <w:r>
          <w:rPr>
            <w:rFonts w:ascii="Calibri" w:hAnsi="Calibri"/>
            <w:sz w:val="22"/>
            <w:szCs w:val="22"/>
          </w:rPr>
          <w:tab/>
        </w:r>
        <w:r>
          <w:rPr>
            <w:rStyle w:val="1020"/>
          </w:rPr>
          <w:t xml:space="preserve">54. Описание полей документа «Заявление на выдачу (перевод, отзыв) Казначейского обеспечения обязательств», закладки «Дополнительная информация»</w:t>
        </w:r>
        <w:r>
          <w:tab/>
        </w:r>
        <w:r>
          <w:fldChar w:fldCharType="begin"/>
        </w:r>
        <w:r>
          <w:instrText xml:space="preserve"> PAGEREF _Toc88819240 \h </w:instrText>
        </w:r>
        <w:r/>
        <w:r>
          <w:fldChar w:fldCharType="separate"/>
        </w:r>
        <w:r>
          <w:t xml:space="preserve">225</w:t>
        </w:r>
        <w:r>
          <w:fldChar w:fldCharType="end"/>
        </w:r>
      </w:hyperlink>
      <w:r/>
      <w:r/>
    </w:p>
    <w:p>
      <w:pPr>
        <w:pStyle w:val="1152"/>
        <w:rPr>
          <w:rFonts w:ascii="Calibri" w:hAnsi="Calibri"/>
          <w:sz w:val="22"/>
          <w:szCs w:val="22"/>
        </w:rPr>
      </w:pPr>
      <w:r/>
      <w:hyperlink w:tooltip="#_Toc88819241" w:anchor="_Toc88819241" w:history="1">
        <w:r>
          <w:rPr>
            <w:rStyle w:val="1020"/>
          </w:rPr>
          <w:t xml:space="preserve">Таблица </w:t>
        </w:r>
        <w:r>
          <w:rPr>
            <w:rFonts w:ascii="Calibri" w:hAnsi="Calibri"/>
            <w:sz w:val="22"/>
            <w:szCs w:val="22"/>
          </w:rPr>
          <w:tab/>
        </w:r>
        <w:r>
          <w:rPr>
            <w:rStyle w:val="1020"/>
          </w:rPr>
          <w:t xml:space="preserve">55.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tab/>
        </w:r>
        <w:r>
          <w:fldChar w:fldCharType="begin"/>
        </w:r>
        <w:r>
          <w:instrText xml:space="preserve"> PAGEREF _Toc88819241 \h </w:instrText>
        </w:r>
        <w:r/>
        <w:r>
          <w:fldChar w:fldCharType="separate"/>
        </w:r>
        <w:r>
          <w:t xml:space="preserve">226</w:t>
        </w:r>
        <w:r>
          <w:fldChar w:fldCharType="end"/>
        </w:r>
      </w:hyperlink>
      <w:r/>
      <w:r/>
    </w:p>
    <w:p>
      <w:pPr>
        <w:pStyle w:val="1152"/>
        <w:rPr>
          <w:rFonts w:ascii="Calibri" w:hAnsi="Calibri"/>
          <w:sz w:val="22"/>
          <w:szCs w:val="22"/>
        </w:rPr>
      </w:pPr>
      <w:r/>
      <w:hyperlink w:tooltip="#_Toc88819242" w:anchor="_Toc88819242" w:history="1">
        <w:r>
          <w:rPr>
            <w:rStyle w:val="1020"/>
          </w:rPr>
          <w:t xml:space="preserve">Таблица </w:t>
        </w:r>
        <w:r>
          <w:rPr>
            <w:rFonts w:ascii="Calibri" w:hAnsi="Calibri"/>
            <w:sz w:val="22"/>
            <w:szCs w:val="22"/>
          </w:rPr>
          <w:tab/>
        </w:r>
        <w:r>
          <w:rPr>
            <w:rStyle w:val="1020"/>
          </w:rPr>
          <w:t xml:space="preserve">56. Описание полей документа «Казначейское обеспечение обязательств», закладки «Документ (1)»</w:t>
        </w:r>
        <w:r>
          <w:tab/>
        </w:r>
        <w:r>
          <w:fldChar w:fldCharType="begin"/>
        </w:r>
        <w:r>
          <w:instrText xml:space="preserve"> PAGEREF _Toc88819242 \h </w:instrText>
        </w:r>
        <w:r/>
        <w:r>
          <w:fldChar w:fldCharType="separate"/>
        </w:r>
        <w:r>
          <w:t xml:space="preserve">228</w:t>
        </w:r>
        <w:r>
          <w:fldChar w:fldCharType="end"/>
        </w:r>
      </w:hyperlink>
      <w:r/>
      <w:r/>
    </w:p>
    <w:p>
      <w:pPr>
        <w:pStyle w:val="1152"/>
        <w:rPr>
          <w:rFonts w:ascii="Calibri" w:hAnsi="Calibri"/>
          <w:sz w:val="22"/>
          <w:szCs w:val="22"/>
        </w:rPr>
      </w:pPr>
      <w:r/>
      <w:hyperlink w:tooltip="#_Toc88819243" w:anchor="_Toc88819243" w:history="1">
        <w:r>
          <w:rPr>
            <w:rStyle w:val="1020"/>
          </w:rPr>
          <w:t xml:space="preserve">Таблица </w:t>
        </w:r>
        <w:r>
          <w:rPr>
            <w:rFonts w:ascii="Calibri" w:hAnsi="Calibri"/>
            <w:sz w:val="22"/>
            <w:szCs w:val="22"/>
          </w:rPr>
          <w:tab/>
        </w:r>
        <w:r>
          <w:rPr>
            <w:rStyle w:val="1020"/>
          </w:rPr>
          <w:t xml:space="preserve">57. Описание полей документа «Казначейское обеспечение обязательств», закладки «Реквизиты (2)»</w:t>
        </w:r>
        <w:r>
          <w:tab/>
        </w:r>
        <w:r>
          <w:fldChar w:fldCharType="begin"/>
        </w:r>
        <w:r>
          <w:instrText xml:space="preserve"> PAGEREF _Toc88819243 \h </w:instrText>
        </w:r>
        <w:r/>
        <w:r>
          <w:fldChar w:fldCharType="separate"/>
        </w:r>
        <w:r>
          <w:t xml:space="preserve">230</w:t>
        </w:r>
        <w:r>
          <w:fldChar w:fldCharType="end"/>
        </w:r>
      </w:hyperlink>
      <w:r/>
      <w:r/>
    </w:p>
    <w:p>
      <w:pPr>
        <w:pStyle w:val="1152"/>
        <w:rPr>
          <w:rFonts w:ascii="Calibri" w:hAnsi="Calibri"/>
          <w:sz w:val="22"/>
          <w:szCs w:val="22"/>
        </w:rPr>
      </w:pPr>
      <w:r/>
      <w:hyperlink w:tooltip="#_Toc88819244" w:anchor="_Toc88819244" w:history="1">
        <w:r>
          <w:rPr>
            <w:rStyle w:val="1020"/>
          </w:rPr>
          <w:t xml:space="preserve">Таблица </w:t>
        </w:r>
        <w:r>
          <w:rPr>
            <w:rFonts w:ascii="Calibri" w:hAnsi="Calibri"/>
            <w:sz w:val="22"/>
            <w:szCs w:val="22"/>
          </w:rPr>
          <w:tab/>
        </w:r>
        <w:r>
          <w:rPr>
            <w:rStyle w:val="1020"/>
          </w:rPr>
          <w:t xml:space="preserve">58. Описание полей документа «Казначейское обеспечение обязательств», закладки «Сведения о казначейском обеспечении обязательств (3)»</w:t>
        </w:r>
        <w:r>
          <w:tab/>
        </w:r>
        <w:r>
          <w:fldChar w:fldCharType="begin"/>
        </w:r>
        <w:r>
          <w:instrText xml:space="preserve"> PAGEREF _Toc88819244 \h </w:instrText>
        </w:r>
        <w:r/>
        <w:r>
          <w:fldChar w:fldCharType="separate"/>
        </w:r>
        <w:r>
          <w:t xml:space="preserve">232</w:t>
        </w:r>
        <w:r>
          <w:fldChar w:fldCharType="end"/>
        </w:r>
      </w:hyperlink>
      <w:r/>
      <w:r/>
    </w:p>
    <w:p>
      <w:pPr>
        <w:pStyle w:val="1152"/>
        <w:rPr>
          <w:rFonts w:ascii="Calibri" w:hAnsi="Calibri"/>
          <w:sz w:val="22"/>
          <w:szCs w:val="22"/>
        </w:rPr>
      </w:pPr>
      <w:r/>
      <w:hyperlink w:tooltip="#_Toc88819245" w:anchor="_Toc88819245" w:history="1">
        <w:r>
          <w:rPr>
            <w:rStyle w:val="1020"/>
          </w:rPr>
          <w:t xml:space="preserve">Таблица </w:t>
        </w:r>
        <w:r>
          <w:rPr>
            <w:rFonts w:ascii="Calibri" w:hAnsi="Calibri"/>
            <w:sz w:val="22"/>
            <w:szCs w:val="22"/>
          </w:rPr>
          <w:tab/>
        </w:r>
        <w:r>
          <w:rPr>
            <w:rStyle w:val="1020"/>
          </w:rPr>
          <w:t xml:space="preserve">59. Описание полей документа «Казначейское обеспечение обязательств», закладки «Подписи (4)»</w:t>
        </w:r>
        <w:r>
          <w:tab/>
        </w:r>
        <w:r>
          <w:fldChar w:fldCharType="begin"/>
        </w:r>
        <w:r>
          <w:instrText xml:space="preserve"> PAGEREF _Toc88819245 \h </w:instrText>
        </w:r>
        <w:r/>
        <w:r>
          <w:fldChar w:fldCharType="separate"/>
        </w:r>
        <w:r>
          <w:t xml:space="preserve">234</w:t>
        </w:r>
        <w:r>
          <w:fldChar w:fldCharType="end"/>
        </w:r>
      </w:hyperlink>
      <w:r/>
      <w:r/>
    </w:p>
    <w:p>
      <w:pPr>
        <w:pStyle w:val="1152"/>
        <w:rPr>
          <w:rFonts w:ascii="Calibri" w:hAnsi="Calibri"/>
          <w:sz w:val="22"/>
          <w:szCs w:val="22"/>
        </w:rPr>
      </w:pPr>
      <w:r/>
      <w:hyperlink w:tooltip="#_Toc88819246" w:anchor="_Toc88819246" w:history="1">
        <w:r>
          <w:rPr>
            <w:rStyle w:val="1020"/>
          </w:rPr>
          <w:t xml:space="preserve">Таблица </w:t>
        </w:r>
        <w:r>
          <w:rPr>
            <w:rFonts w:ascii="Calibri" w:hAnsi="Calibri"/>
            <w:sz w:val="22"/>
            <w:szCs w:val="22"/>
          </w:rPr>
          <w:tab/>
        </w:r>
        <w:r>
          <w:rPr>
            <w:rStyle w:val="1020"/>
          </w:rPr>
          <w:t xml:space="preserve">60. Описание полей документа «Казначейское обеспечение обязательств», закладки «Дополнительные атрибуты (5)»</w:t>
        </w:r>
        <w:r>
          <w:tab/>
        </w:r>
        <w:r>
          <w:fldChar w:fldCharType="begin"/>
        </w:r>
        <w:r>
          <w:instrText xml:space="preserve"> PAGEREF _Toc88819246 \h </w:instrText>
        </w:r>
        <w:r/>
        <w:r>
          <w:fldChar w:fldCharType="separate"/>
        </w:r>
        <w:r>
          <w:t xml:space="preserve">235</w:t>
        </w:r>
        <w:r>
          <w:fldChar w:fldCharType="end"/>
        </w:r>
      </w:hyperlink>
      <w:r/>
      <w:r/>
    </w:p>
    <w:p>
      <w:pPr>
        <w:pStyle w:val="1152"/>
        <w:rPr>
          <w:rFonts w:ascii="Calibri" w:hAnsi="Calibri"/>
          <w:sz w:val="22"/>
          <w:szCs w:val="22"/>
        </w:rPr>
      </w:pPr>
      <w:r/>
      <w:hyperlink w:tooltip="#_Toc88819247" w:anchor="_Toc88819247" w:history="1">
        <w:r>
          <w:rPr>
            <w:rStyle w:val="1020"/>
          </w:rPr>
          <w:t xml:space="preserve">Таблица </w:t>
        </w:r>
        <w:r>
          <w:rPr>
            <w:rFonts w:ascii="Calibri" w:hAnsi="Calibri"/>
            <w:sz w:val="22"/>
            <w:szCs w:val="22"/>
          </w:rPr>
          <w:tab/>
        </w:r>
        <w:r>
          <w:rPr>
            <w:rStyle w:val="1020"/>
          </w:rPr>
          <w:t xml:space="preserve">61. Описание полей документа «Сведения о денежном обязательстве», закладки «Заголовок»</w:t>
        </w:r>
        <w:r>
          <w:tab/>
        </w:r>
        <w:r>
          <w:fldChar w:fldCharType="begin"/>
        </w:r>
        <w:r>
          <w:instrText xml:space="preserve"> PAGEREF _Toc88819247 \h </w:instrText>
        </w:r>
        <w:r/>
        <w:r>
          <w:fldChar w:fldCharType="separate"/>
        </w:r>
        <w:r>
          <w:t xml:space="preserve">238</w:t>
        </w:r>
        <w:r>
          <w:fldChar w:fldCharType="end"/>
        </w:r>
      </w:hyperlink>
      <w:r/>
      <w:r/>
    </w:p>
    <w:p>
      <w:pPr>
        <w:pStyle w:val="1152"/>
        <w:rPr>
          <w:rFonts w:ascii="Calibri" w:hAnsi="Calibri"/>
          <w:sz w:val="22"/>
          <w:szCs w:val="22"/>
        </w:rPr>
      </w:pPr>
      <w:r/>
      <w:hyperlink w:tooltip="#_Toc88819248" w:anchor="_Toc88819248" w:history="1">
        <w:r>
          <w:rPr>
            <w:rStyle w:val="1020"/>
          </w:rPr>
          <w:t xml:space="preserve">Таблица </w:t>
        </w:r>
        <w:r>
          <w:rPr>
            <w:rFonts w:ascii="Calibri" w:hAnsi="Calibri"/>
            <w:sz w:val="22"/>
            <w:szCs w:val="22"/>
          </w:rPr>
          <w:tab/>
        </w:r>
        <w:r>
          <w:rPr>
            <w:rStyle w:val="1020"/>
          </w:rPr>
          <w:t xml:space="preserve">62. Описание полей документа «Сведения о денежном обязательстве», закладки «Строки (2)»</w:t>
        </w:r>
        <w:r>
          <w:tab/>
        </w:r>
        <w:r>
          <w:fldChar w:fldCharType="begin"/>
        </w:r>
        <w:r>
          <w:instrText xml:space="preserve"> PAGEREF _Toc88819248 \h </w:instrText>
        </w:r>
        <w:r/>
        <w:r>
          <w:fldChar w:fldCharType="separate"/>
        </w:r>
        <w:r>
          <w:t xml:space="preserve">242</w:t>
        </w:r>
        <w:r>
          <w:fldChar w:fldCharType="end"/>
        </w:r>
      </w:hyperlink>
      <w:r/>
      <w:r/>
    </w:p>
    <w:p>
      <w:pPr>
        <w:pStyle w:val="1152"/>
        <w:rPr>
          <w:rFonts w:ascii="Calibri" w:hAnsi="Calibri"/>
          <w:sz w:val="22"/>
          <w:szCs w:val="22"/>
        </w:rPr>
      </w:pPr>
      <w:r/>
      <w:hyperlink w:tooltip="#_Toc88819249" w:anchor="_Toc88819249" w:history="1">
        <w:r>
          <w:rPr>
            <w:rStyle w:val="1020"/>
          </w:rPr>
          <w:t xml:space="preserve">Таблица </w:t>
        </w:r>
        <w:r>
          <w:rPr>
            <w:rFonts w:ascii="Calibri" w:hAnsi="Calibri"/>
            <w:sz w:val="22"/>
            <w:szCs w:val="22"/>
          </w:rPr>
          <w:tab/>
        </w:r>
        <w:r>
          <w:rPr>
            <w:rStyle w:val="1020"/>
          </w:rPr>
          <w:t xml:space="preserve">63. Описание полей документа «Сведения о денежном обязательстве», закладки «Подписи (3)»</w:t>
        </w:r>
        <w:r>
          <w:tab/>
        </w:r>
        <w:r>
          <w:fldChar w:fldCharType="begin"/>
        </w:r>
        <w:r>
          <w:instrText xml:space="preserve"> PAGEREF _Toc88819249 \h </w:instrText>
        </w:r>
        <w:r/>
        <w:r>
          <w:fldChar w:fldCharType="separate"/>
        </w:r>
        <w:r>
          <w:t xml:space="preserve">243</w:t>
        </w:r>
        <w:r>
          <w:fldChar w:fldCharType="end"/>
        </w:r>
      </w:hyperlink>
      <w:r/>
      <w:r/>
    </w:p>
    <w:p>
      <w:pPr>
        <w:pStyle w:val="1152"/>
        <w:rPr>
          <w:rFonts w:ascii="Calibri" w:hAnsi="Calibri"/>
          <w:sz w:val="22"/>
          <w:szCs w:val="22"/>
        </w:rPr>
      </w:pPr>
      <w:r/>
      <w:hyperlink w:tooltip="#_Toc88819250" w:anchor="_Toc88819250" w:history="1">
        <w:r>
          <w:rPr>
            <w:rStyle w:val="1020"/>
          </w:rPr>
          <w:t xml:space="preserve">Таблица </w:t>
        </w:r>
        <w:r>
          <w:rPr>
            <w:rFonts w:ascii="Calibri" w:hAnsi="Calibri"/>
            <w:sz w:val="22"/>
            <w:szCs w:val="22"/>
          </w:rPr>
          <w:tab/>
        </w:r>
        <w:r>
          <w:rPr>
            <w:rStyle w:val="1020"/>
          </w:rPr>
          <w:t xml:space="preserve">64. Описание полей документа «Прогноз движения средств на счете бюджета (ф. 05010Y3)», закладки «Основная информация»</w:t>
        </w:r>
        <w:r>
          <w:tab/>
        </w:r>
        <w:r>
          <w:fldChar w:fldCharType="begin"/>
        </w:r>
        <w:r>
          <w:instrText xml:space="preserve"> PAGEREF _Toc88819250 \h </w:instrText>
        </w:r>
        <w:r/>
        <w:r>
          <w:fldChar w:fldCharType="separate"/>
        </w:r>
        <w:r>
          <w:t xml:space="preserve">245</w:t>
        </w:r>
        <w:r>
          <w:fldChar w:fldCharType="end"/>
        </w:r>
      </w:hyperlink>
      <w:r/>
      <w:r/>
    </w:p>
    <w:p>
      <w:pPr>
        <w:pStyle w:val="1152"/>
        <w:rPr>
          <w:rFonts w:ascii="Calibri" w:hAnsi="Calibri"/>
          <w:sz w:val="22"/>
          <w:szCs w:val="22"/>
        </w:rPr>
      </w:pPr>
      <w:r/>
      <w:hyperlink w:tooltip="#_Toc88819251" w:anchor="_Toc88819251" w:history="1">
        <w:r>
          <w:rPr>
            <w:rStyle w:val="1020"/>
          </w:rPr>
          <w:t xml:space="preserve">Таблица </w:t>
        </w:r>
        <w:r>
          <w:rPr>
            <w:rFonts w:ascii="Calibri" w:hAnsi="Calibri"/>
            <w:sz w:val="22"/>
            <w:szCs w:val="22"/>
          </w:rPr>
          <w:tab/>
        </w:r>
        <w:r>
          <w:rPr>
            <w:rStyle w:val="1020"/>
          </w:rPr>
          <w:t xml:space="preserve">65. Описание полей документа «Прогноз движения средств на счете бюджета (ф. 05010Y3)», закладки «Показатели»</w:t>
        </w:r>
        <w:r>
          <w:tab/>
        </w:r>
        <w:r>
          <w:fldChar w:fldCharType="begin"/>
        </w:r>
        <w:r>
          <w:instrText xml:space="preserve"> PAGEREF _Toc88819251 \h </w:instrText>
        </w:r>
        <w:r/>
        <w:r>
          <w:fldChar w:fldCharType="separate"/>
        </w:r>
        <w:r>
          <w:t xml:space="preserve">247</w:t>
        </w:r>
        <w:r>
          <w:fldChar w:fldCharType="end"/>
        </w:r>
      </w:hyperlink>
      <w:r/>
      <w:r/>
    </w:p>
    <w:p>
      <w:pPr>
        <w:pStyle w:val="1152"/>
        <w:rPr>
          <w:rFonts w:ascii="Calibri" w:hAnsi="Calibri"/>
          <w:sz w:val="22"/>
          <w:szCs w:val="22"/>
        </w:rPr>
      </w:pPr>
      <w:r/>
      <w:hyperlink w:tooltip="#_Toc88819252" w:anchor="_Toc88819252" w:history="1">
        <w:r>
          <w:rPr>
            <w:rStyle w:val="1020"/>
          </w:rPr>
          <w:t xml:space="preserve">Таблица </w:t>
        </w:r>
        <w:r>
          <w:rPr>
            <w:rFonts w:ascii="Calibri" w:hAnsi="Calibri"/>
            <w:sz w:val="22"/>
            <w:szCs w:val="22"/>
          </w:rPr>
          <w:tab/>
        </w:r>
        <w:r>
          <w:rPr>
            <w:rStyle w:val="1020"/>
          </w:rPr>
          <w:t xml:space="preserve">66. Описание полей документа «Прогноз движения средств на счете бюджета с детализацией по дням (ф. 05010X4)», закладки «Общая информация»</w:t>
        </w:r>
        <w:r>
          <w:tab/>
        </w:r>
        <w:r>
          <w:fldChar w:fldCharType="begin"/>
        </w:r>
        <w:r>
          <w:instrText xml:space="preserve"> PAGEREF _Toc88819252 \h </w:instrText>
        </w:r>
        <w:r/>
        <w:r>
          <w:fldChar w:fldCharType="separate"/>
        </w:r>
        <w:r>
          <w:t xml:space="preserve">266</w:t>
        </w:r>
        <w:r>
          <w:fldChar w:fldCharType="end"/>
        </w:r>
      </w:hyperlink>
      <w:r/>
      <w:r/>
    </w:p>
    <w:p>
      <w:pPr>
        <w:pStyle w:val="1152"/>
        <w:rPr>
          <w:rFonts w:ascii="Calibri" w:hAnsi="Calibri"/>
          <w:sz w:val="22"/>
          <w:szCs w:val="22"/>
        </w:rPr>
      </w:pPr>
      <w:r/>
      <w:hyperlink w:tooltip="#_Toc88819253" w:anchor="_Toc88819253" w:history="1">
        <w:r>
          <w:rPr>
            <w:rStyle w:val="1020"/>
          </w:rPr>
          <w:t xml:space="preserve">Таблица </w:t>
        </w:r>
        <w:r>
          <w:rPr>
            <w:rFonts w:ascii="Calibri" w:hAnsi="Calibri"/>
            <w:sz w:val="22"/>
            <w:szCs w:val="22"/>
          </w:rPr>
          <w:tab/>
        </w:r>
        <w:r>
          <w:rPr>
            <w:rStyle w:val="1020"/>
          </w:rPr>
          <w:t xml:space="preserve">67. Описание полей документа «Прогноз движения средств на счете бюджета с детализацией по дням (ф. 05010X4)», закладки «Показатели»</w:t>
        </w:r>
        <w:r>
          <w:tab/>
        </w:r>
        <w:r>
          <w:fldChar w:fldCharType="begin"/>
        </w:r>
        <w:r>
          <w:instrText xml:space="preserve"> PAGEREF _Toc88819253 \h </w:instrText>
        </w:r>
        <w:r/>
        <w:r>
          <w:fldChar w:fldCharType="separate"/>
        </w:r>
        <w:r>
          <w:t xml:space="preserve">268</w:t>
        </w:r>
        <w:r>
          <w:fldChar w:fldCharType="end"/>
        </w:r>
      </w:hyperlink>
      <w:r/>
      <w:r/>
    </w:p>
    <w:p>
      <w:pPr>
        <w:pStyle w:val="1152"/>
        <w:rPr>
          <w:rFonts w:ascii="Calibri" w:hAnsi="Calibri"/>
          <w:sz w:val="22"/>
          <w:szCs w:val="22"/>
        </w:rPr>
      </w:pPr>
      <w:r/>
      <w:hyperlink w:tooltip="#_Toc88819254" w:anchor="_Toc88819254" w:history="1">
        <w:r>
          <w:rPr>
            <w:rStyle w:val="1020"/>
          </w:rPr>
          <w:t xml:space="preserve">Таблица </w:t>
        </w:r>
        <w:r>
          <w:rPr>
            <w:rFonts w:ascii="Calibri" w:hAnsi="Calibri"/>
            <w:sz w:val="22"/>
            <w:szCs w:val="22"/>
          </w:rPr>
          <w:tab/>
        </w:r>
        <w:r>
          <w:rPr>
            <w:rStyle w:val="1020"/>
          </w:rPr>
          <w:t xml:space="preserve">68. Описание полей документа «Уведомление об уточнении вида и принадлежности платежа (расходы)», закладки «Документ», вкладки «Основные атрибуты (1)»</w:t>
        </w:r>
        <w:r>
          <w:tab/>
        </w:r>
        <w:r>
          <w:fldChar w:fldCharType="begin"/>
        </w:r>
        <w:r>
          <w:instrText xml:space="preserve"> PAGEREF _Toc88819254 \h </w:instrText>
        </w:r>
        <w:r/>
        <w:r>
          <w:fldChar w:fldCharType="separate"/>
        </w:r>
        <w:r>
          <w:t xml:space="preserve">276</w:t>
        </w:r>
        <w:r>
          <w:fldChar w:fldCharType="end"/>
        </w:r>
      </w:hyperlink>
      <w:r/>
      <w:r/>
    </w:p>
    <w:p>
      <w:pPr>
        <w:pStyle w:val="1152"/>
        <w:rPr>
          <w:rFonts w:ascii="Calibri" w:hAnsi="Calibri"/>
          <w:sz w:val="22"/>
          <w:szCs w:val="22"/>
        </w:rPr>
      </w:pPr>
      <w:r/>
      <w:hyperlink w:tooltip="#_Toc88819255" w:anchor="_Toc88819255" w:history="1">
        <w:r>
          <w:rPr>
            <w:rStyle w:val="1020"/>
          </w:rPr>
          <w:t xml:space="preserve">Таблица </w:t>
        </w:r>
        <w:r>
          <w:rPr>
            <w:rFonts w:ascii="Calibri" w:hAnsi="Calibri"/>
            <w:sz w:val="22"/>
            <w:szCs w:val="22"/>
          </w:rPr>
          <w:tab/>
        </w:r>
        <w:r>
          <w:rPr>
            <w:rStyle w:val="1020"/>
          </w:rPr>
          <w:t xml:space="preserve">69. Описание полей документа «Уведомление об уточнении вида и принадлежности платежа», закладки «Документ», вкладки «Платежные документы (2)»</w:t>
        </w:r>
        <w:r>
          <w:tab/>
        </w:r>
        <w:r>
          <w:fldChar w:fldCharType="begin"/>
        </w:r>
        <w:r>
          <w:instrText xml:space="preserve"> PAGEREF _Toc88819255 \h </w:instrText>
        </w:r>
        <w:r/>
        <w:r>
          <w:fldChar w:fldCharType="separate"/>
        </w:r>
        <w:r>
          <w:t xml:space="preserve">280</w:t>
        </w:r>
        <w:r>
          <w:fldChar w:fldCharType="end"/>
        </w:r>
      </w:hyperlink>
      <w:r/>
      <w:r/>
    </w:p>
    <w:p>
      <w:pPr>
        <w:pStyle w:val="1152"/>
        <w:rPr>
          <w:rFonts w:ascii="Calibri" w:hAnsi="Calibri"/>
          <w:sz w:val="22"/>
          <w:szCs w:val="22"/>
        </w:rPr>
      </w:pPr>
      <w:r/>
      <w:hyperlink w:tooltip="#_Toc88819256" w:anchor="_Toc88819256" w:history="1">
        <w:r>
          <w:rPr>
            <w:rStyle w:val="1020"/>
          </w:rPr>
          <w:t xml:space="preserve">Таблица </w:t>
        </w:r>
        <w:r>
          <w:rPr>
            <w:rFonts w:ascii="Calibri" w:hAnsi="Calibri"/>
            <w:sz w:val="22"/>
            <w:szCs w:val="22"/>
          </w:rPr>
          <w:tab/>
        </w:r>
        <w:r>
          <w:rPr>
            <w:rStyle w:val="1020"/>
          </w:rPr>
          <w:t xml:space="preserve">70. Описание полей документа «Уведомление об уточнении вида и принадлежности платежа (расходы)», закладки «Документ», вкладки «Дополнительные атрибуты (3)»</w:t>
        </w:r>
        <w:r>
          <w:tab/>
        </w:r>
        <w:r>
          <w:fldChar w:fldCharType="begin"/>
        </w:r>
        <w:r>
          <w:instrText xml:space="preserve"> PAGEREF _Toc88819256 \h </w:instrText>
        </w:r>
        <w:r/>
        <w:r>
          <w:fldChar w:fldCharType="separate"/>
        </w:r>
        <w:r>
          <w:t xml:space="preserve">284</w:t>
        </w:r>
        <w:r>
          <w:fldChar w:fldCharType="end"/>
        </w:r>
      </w:hyperlink>
      <w:r/>
      <w:r/>
    </w:p>
    <w:p>
      <w:pPr>
        <w:pStyle w:val="1152"/>
        <w:rPr>
          <w:rFonts w:ascii="Calibri" w:hAnsi="Calibri"/>
          <w:sz w:val="22"/>
          <w:szCs w:val="22"/>
        </w:rPr>
      </w:pPr>
      <w:r/>
      <w:hyperlink w:tooltip="#_Toc88819257" w:anchor="_Toc88819257" w:history="1">
        <w:r>
          <w:rPr>
            <w:rStyle w:val="1020"/>
          </w:rPr>
          <w:t xml:space="preserve">Таблица </w:t>
        </w:r>
        <w:r>
          <w:rPr>
            <w:rFonts w:ascii="Calibri" w:hAnsi="Calibri"/>
            <w:sz w:val="22"/>
            <w:szCs w:val="22"/>
          </w:rPr>
          <w:tab/>
        </w:r>
        <w:r>
          <w:rPr>
            <w:rStyle w:val="1020"/>
          </w:rPr>
          <w:t xml:space="preserve">71. Описание полей документа «Уведомление об уточнении операций клиента», закладки «Документ (1)»</w:t>
        </w:r>
        <w:r>
          <w:tab/>
        </w:r>
        <w:r>
          <w:fldChar w:fldCharType="begin"/>
        </w:r>
        <w:r>
          <w:instrText xml:space="preserve"> PAGEREF _Toc88819257 \h </w:instrText>
        </w:r>
        <w:r/>
        <w:r>
          <w:fldChar w:fldCharType="separate"/>
        </w:r>
        <w:r>
          <w:t xml:space="preserve">287</w:t>
        </w:r>
        <w:r>
          <w:fldChar w:fldCharType="end"/>
        </w:r>
      </w:hyperlink>
      <w:r/>
      <w:r/>
    </w:p>
    <w:p>
      <w:pPr>
        <w:pStyle w:val="1152"/>
        <w:rPr>
          <w:rFonts w:ascii="Calibri" w:hAnsi="Calibri"/>
          <w:sz w:val="22"/>
          <w:szCs w:val="22"/>
        </w:rPr>
      </w:pPr>
      <w:r/>
      <w:hyperlink w:tooltip="#_Toc88819258" w:anchor="_Toc88819258" w:history="1">
        <w:r>
          <w:rPr>
            <w:rStyle w:val="1020"/>
          </w:rPr>
          <w:t xml:space="preserve">Таблица </w:t>
        </w:r>
        <w:r>
          <w:rPr>
            <w:rFonts w:ascii="Calibri" w:hAnsi="Calibri"/>
            <w:sz w:val="22"/>
            <w:szCs w:val="22"/>
          </w:rPr>
          <w:tab/>
        </w:r>
        <w:r>
          <w:rPr>
            <w:rStyle w:val="1020"/>
          </w:rPr>
          <w:t xml:space="preserve">72. Описание полей документа «Уведомление об уточнении операций клиента», закладки «Платежные документы (2)»</w:t>
        </w:r>
        <w:r>
          <w:tab/>
        </w:r>
        <w:r>
          <w:fldChar w:fldCharType="begin"/>
        </w:r>
        <w:r>
          <w:instrText xml:space="preserve"> PAGEREF _Toc88819258 \h </w:instrText>
        </w:r>
        <w:r/>
        <w:r>
          <w:fldChar w:fldCharType="separate"/>
        </w:r>
        <w:r>
          <w:t xml:space="preserve">289</w:t>
        </w:r>
        <w:r>
          <w:fldChar w:fldCharType="end"/>
        </w:r>
      </w:hyperlink>
      <w:r/>
      <w:r/>
    </w:p>
    <w:p>
      <w:pPr>
        <w:pStyle w:val="1152"/>
        <w:rPr>
          <w:rFonts w:ascii="Calibri" w:hAnsi="Calibri"/>
          <w:sz w:val="22"/>
          <w:szCs w:val="22"/>
        </w:rPr>
      </w:pPr>
      <w:r/>
      <w:hyperlink w:tooltip="#_Toc88819259" w:anchor="_Toc88819259" w:history="1">
        <w:r>
          <w:rPr>
            <w:rStyle w:val="1020"/>
          </w:rPr>
          <w:t xml:space="preserve">Таблица </w:t>
        </w:r>
        <w:r>
          <w:rPr>
            <w:rFonts w:ascii="Calibri" w:hAnsi="Calibri"/>
            <w:sz w:val="22"/>
            <w:szCs w:val="22"/>
          </w:rPr>
          <w:tab/>
        </w:r>
        <w:r>
          <w:rPr>
            <w:rStyle w:val="1020"/>
          </w:rPr>
          <w:t xml:space="preserve">73. Описание полей документа «Уведомление об уточнении операций клиента», закладки «Дополнительные атрибуты (3)»</w:t>
        </w:r>
        <w:r>
          <w:tab/>
        </w:r>
        <w:r>
          <w:fldChar w:fldCharType="begin"/>
        </w:r>
        <w:r>
          <w:instrText xml:space="preserve"> PAGEREF _Toc88819259 \h </w:instrText>
        </w:r>
        <w:r/>
        <w:r>
          <w:fldChar w:fldCharType="separate"/>
        </w:r>
        <w:r>
          <w:t xml:space="preserve">293</w:t>
        </w:r>
        <w:r>
          <w:fldChar w:fldCharType="end"/>
        </w:r>
      </w:hyperlink>
      <w:r/>
      <w:r/>
    </w:p>
    <w:p>
      <w:pPr>
        <w:pStyle w:val="1152"/>
        <w:rPr>
          <w:rFonts w:ascii="Calibri" w:hAnsi="Calibri"/>
          <w:sz w:val="22"/>
          <w:szCs w:val="22"/>
        </w:rPr>
      </w:pPr>
      <w:r/>
      <w:hyperlink w:tooltip="#_Toc88819260" w:anchor="_Toc88819260" w:history="1">
        <w:r>
          <w:rPr>
            <w:rStyle w:val="1020"/>
          </w:rPr>
          <w:t xml:space="preserve">Таблица </w:t>
        </w:r>
        <w:r>
          <w:rPr>
            <w:rFonts w:ascii="Calibri" w:hAnsi="Calibri"/>
            <w:sz w:val="22"/>
            <w:szCs w:val="22"/>
          </w:rPr>
          <w:tab/>
        </w:r>
        <w:r>
          <w:rPr>
            <w:rStyle w:val="1020"/>
          </w:rPr>
          <w:t xml:space="preserve">74. Описание полей документа «Заявка на возврат», закладки «Раздел 1, 2 (1)»</w:t>
        </w:r>
        <w:r>
          <w:tab/>
        </w:r>
        <w:r>
          <w:fldChar w:fldCharType="begin"/>
        </w:r>
        <w:r>
          <w:instrText xml:space="preserve"> PAGEREF _Toc88819260 \h </w:instrText>
        </w:r>
        <w:r/>
        <w:r>
          <w:fldChar w:fldCharType="separate"/>
        </w:r>
        <w:r>
          <w:t xml:space="preserve">295</w:t>
        </w:r>
        <w:r>
          <w:fldChar w:fldCharType="end"/>
        </w:r>
      </w:hyperlink>
      <w:r/>
      <w:r/>
    </w:p>
    <w:p>
      <w:pPr>
        <w:pStyle w:val="1152"/>
        <w:rPr>
          <w:rFonts w:ascii="Calibri" w:hAnsi="Calibri"/>
          <w:sz w:val="22"/>
          <w:szCs w:val="22"/>
        </w:rPr>
      </w:pPr>
      <w:r/>
      <w:hyperlink w:tooltip="#_Toc88819261" w:anchor="_Toc88819261" w:history="1">
        <w:r>
          <w:rPr>
            <w:rStyle w:val="1020"/>
          </w:rPr>
          <w:t xml:space="preserve">Таблица </w:t>
        </w:r>
        <w:r>
          <w:rPr>
            <w:rFonts w:ascii="Calibri" w:hAnsi="Calibri"/>
            <w:sz w:val="22"/>
            <w:szCs w:val="22"/>
          </w:rPr>
          <w:tab/>
        </w:r>
        <w:r>
          <w:rPr>
            <w:rStyle w:val="1020"/>
          </w:rPr>
          <w:t xml:space="preserve">75. Описание полей документа «Заявка на возврат», закладки «Раздел 3 (2)»</w:t>
        </w:r>
        <w:r>
          <w:tab/>
        </w:r>
        <w:r>
          <w:fldChar w:fldCharType="begin"/>
        </w:r>
        <w:r>
          <w:instrText xml:space="preserve"> PAGEREF _Toc88819261 \h </w:instrText>
        </w:r>
        <w:r/>
        <w:r>
          <w:fldChar w:fldCharType="separate"/>
        </w:r>
        <w:r>
          <w:t xml:space="preserve">300</w:t>
        </w:r>
        <w:r>
          <w:fldChar w:fldCharType="end"/>
        </w:r>
      </w:hyperlink>
      <w:r/>
      <w:r/>
    </w:p>
    <w:p>
      <w:pPr>
        <w:pStyle w:val="1152"/>
        <w:rPr>
          <w:rFonts w:ascii="Calibri" w:hAnsi="Calibri"/>
          <w:sz w:val="22"/>
          <w:szCs w:val="22"/>
        </w:rPr>
      </w:pPr>
      <w:r/>
      <w:hyperlink w:tooltip="#_Toc88819262" w:anchor="_Toc88819262" w:history="1">
        <w:r>
          <w:rPr>
            <w:rStyle w:val="1020"/>
          </w:rPr>
          <w:t xml:space="preserve">Таблица </w:t>
        </w:r>
        <w:r>
          <w:rPr>
            <w:rFonts w:ascii="Calibri" w:hAnsi="Calibri"/>
            <w:sz w:val="22"/>
            <w:szCs w:val="22"/>
          </w:rPr>
          <w:tab/>
        </w:r>
        <w:r>
          <w:rPr>
            <w:rStyle w:val="1020"/>
          </w:rPr>
          <w:t xml:space="preserve">76. Описание полей документа «Реестр передаваемых (принимаемых) платежей», закладки «Основные атрибуты (1)»</w:t>
        </w:r>
        <w:r>
          <w:tab/>
        </w:r>
        <w:r>
          <w:fldChar w:fldCharType="begin"/>
        </w:r>
        <w:r>
          <w:instrText xml:space="preserve"> PAGEREF _Toc88819262 \h </w:instrText>
        </w:r>
        <w:r/>
        <w:r>
          <w:fldChar w:fldCharType="separate"/>
        </w:r>
        <w:r>
          <w:t xml:space="preserve">304</w:t>
        </w:r>
        <w:r>
          <w:fldChar w:fldCharType="end"/>
        </w:r>
      </w:hyperlink>
      <w:r/>
      <w:r/>
    </w:p>
    <w:p>
      <w:pPr>
        <w:pStyle w:val="1152"/>
        <w:rPr>
          <w:rFonts w:ascii="Calibri" w:hAnsi="Calibri"/>
          <w:sz w:val="22"/>
          <w:szCs w:val="22"/>
        </w:rPr>
      </w:pPr>
      <w:r/>
      <w:hyperlink w:tooltip="#_Toc88819263" w:anchor="_Toc88819263" w:history="1">
        <w:r>
          <w:rPr>
            <w:rStyle w:val="1020"/>
          </w:rPr>
          <w:t xml:space="preserve">Таблица </w:t>
        </w:r>
        <w:r>
          <w:rPr>
            <w:rFonts w:ascii="Calibri" w:hAnsi="Calibri"/>
            <w:sz w:val="22"/>
            <w:szCs w:val="22"/>
          </w:rPr>
          <w:tab/>
        </w:r>
        <w:r>
          <w:rPr>
            <w:rStyle w:val="1020"/>
          </w:rPr>
          <w:t xml:space="preserve">77. Описание полей документа «Реестр передаваемых (принимаемых) платежей», закладки «Дополнительные атрибуты (2)»</w:t>
        </w:r>
        <w:r>
          <w:tab/>
        </w:r>
        <w:r>
          <w:fldChar w:fldCharType="begin"/>
        </w:r>
        <w:r>
          <w:instrText xml:space="preserve"> PAGEREF _Toc88819263 \h </w:instrText>
        </w:r>
        <w:r/>
        <w:r>
          <w:fldChar w:fldCharType="separate"/>
        </w:r>
        <w:r>
          <w:t xml:space="preserve">307</w:t>
        </w:r>
        <w:r>
          <w:fldChar w:fldCharType="end"/>
        </w:r>
      </w:hyperlink>
      <w:r/>
      <w:r/>
    </w:p>
    <w:p>
      <w:pPr>
        <w:pStyle w:val="1152"/>
        <w:rPr>
          <w:rFonts w:ascii="Calibri" w:hAnsi="Calibri"/>
          <w:sz w:val="22"/>
          <w:szCs w:val="22"/>
        </w:rPr>
      </w:pPr>
      <w:r/>
      <w:hyperlink w:tooltip="#_Toc88819264" w:anchor="_Toc88819264" w:history="1">
        <w:r>
          <w:rPr>
            <w:rStyle w:val="1020"/>
          </w:rPr>
          <w:t xml:space="preserve">Таблица </w:t>
        </w:r>
        <w:r>
          <w:rPr>
            <w:rFonts w:ascii="Calibri" w:hAnsi="Calibri"/>
            <w:sz w:val="22"/>
            <w:szCs w:val="22"/>
          </w:rPr>
          <w:tab/>
        </w:r>
        <w:r>
          <w:rPr>
            <w:rStyle w:val="1020"/>
          </w:rPr>
          <w:t xml:space="preserve">78. Описание полей документа «Информация из расчетных документов», закладки «Основные атрибуты»</w:t>
        </w:r>
        <w:r>
          <w:tab/>
        </w:r>
        <w:r>
          <w:fldChar w:fldCharType="begin"/>
        </w:r>
        <w:r>
          <w:instrText xml:space="preserve"> PAGEREF _Toc88819264 \h </w:instrText>
        </w:r>
        <w:r/>
        <w:r>
          <w:fldChar w:fldCharType="separate"/>
        </w:r>
        <w:r>
          <w:t xml:space="preserve">310</w:t>
        </w:r>
        <w:r>
          <w:fldChar w:fldCharType="end"/>
        </w:r>
      </w:hyperlink>
      <w:r/>
      <w:r/>
    </w:p>
    <w:p>
      <w:pPr>
        <w:pStyle w:val="1152"/>
        <w:rPr>
          <w:rFonts w:ascii="Calibri" w:hAnsi="Calibri"/>
          <w:sz w:val="22"/>
          <w:szCs w:val="22"/>
        </w:rPr>
      </w:pPr>
      <w:r/>
      <w:hyperlink w:tooltip="#_Toc88819265" w:anchor="_Toc88819265" w:history="1">
        <w:r>
          <w:rPr>
            <w:rStyle w:val="1020"/>
          </w:rPr>
          <w:t xml:space="preserve">Таблица </w:t>
        </w:r>
        <w:r>
          <w:rPr>
            <w:rFonts w:ascii="Calibri" w:hAnsi="Calibri"/>
            <w:sz w:val="22"/>
            <w:szCs w:val="22"/>
          </w:rPr>
          <w:tab/>
        </w:r>
        <w:r>
          <w:rPr>
            <w:rStyle w:val="1020"/>
          </w:rPr>
          <w:t xml:space="preserve">79. Описание полей документа «Информация из расчетных документов, прилагаемых к реестру платежей минуя счет 40101», закладки «БК и налоговые показатели»</w:t>
        </w:r>
        <w:r>
          <w:tab/>
        </w:r>
        <w:r>
          <w:fldChar w:fldCharType="begin"/>
        </w:r>
        <w:r>
          <w:instrText xml:space="preserve"> PAGEREF _Toc88819265 \h </w:instrText>
        </w:r>
        <w:r/>
        <w:r>
          <w:fldChar w:fldCharType="separate"/>
        </w:r>
        <w:r>
          <w:t xml:space="preserve">314</w:t>
        </w:r>
        <w:r>
          <w:fldChar w:fldCharType="end"/>
        </w:r>
      </w:hyperlink>
      <w:r/>
      <w:r/>
    </w:p>
    <w:p>
      <w:pPr>
        <w:pStyle w:val="1152"/>
        <w:rPr>
          <w:rFonts w:ascii="Calibri" w:hAnsi="Calibri"/>
          <w:sz w:val="22"/>
          <w:szCs w:val="22"/>
        </w:rPr>
      </w:pPr>
      <w:r/>
      <w:hyperlink w:tooltip="#_Toc88819266" w:anchor="_Toc88819266" w:history="1">
        <w:r>
          <w:rPr>
            <w:rStyle w:val="1020"/>
          </w:rPr>
          <w:t xml:space="preserve">Таблица </w:t>
        </w:r>
        <w:r>
          <w:rPr>
            <w:rFonts w:ascii="Calibri" w:hAnsi="Calibri"/>
            <w:sz w:val="22"/>
            <w:szCs w:val="22"/>
          </w:rPr>
          <w:tab/>
        </w:r>
        <w:r>
          <w:rPr>
            <w:rStyle w:val="1020"/>
          </w:rPr>
          <w:t xml:space="preserve">80. Описание полей документа «Справка органов ФК», закладки «Документ»</w:t>
        </w:r>
        <w:r>
          <w:tab/>
        </w:r>
        <w:r>
          <w:fldChar w:fldCharType="begin"/>
        </w:r>
        <w:r>
          <w:instrText xml:space="preserve"> PAGEREF _Toc88819266 \h </w:instrText>
        </w:r>
        <w:r/>
        <w:r>
          <w:fldChar w:fldCharType="separate"/>
        </w:r>
        <w:r>
          <w:t xml:space="preserve">318</w:t>
        </w:r>
        <w:r>
          <w:fldChar w:fldCharType="end"/>
        </w:r>
      </w:hyperlink>
      <w:r/>
      <w:r/>
    </w:p>
    <w:p>
      <w:pPr>
        <w:pStyle w:val="1152"/>
        <w:rPr>
          <w:rFonts w:ascii="Calibri" w:hAnsi="Calibri"/>
          <w:sz w:val="22"/>
          <w:szCs w:val="22"/>
        </w:rPr>
      </w:pPr>
      <w:r/>
      <w:hyperlink w:tooltip="#_Toc88819267" w:anchor="_Toc88819267" w:history="1">
        <w:r>
          <w:rPr>
            <w:rStyle w:val="1020"/>
          </w:rPr>
          <w:t xml:space="preserve">Таблица </w:t>
        </w:r>
        <w:r>
          <w:rPr>
            <w:rFonts w:ascii="Calibri" w:hAnsi="Calibri"/>
            <w:sz w:val="22"/>
            <w:szCs w:val="22"/>
          </w:rPr>
          <w:tab/>
        </w:r>
        <w:r>
          <w:rPr>
            <w:rStyle w:val="1020"/>
          </w:rPr>
          <w:t xml:space="preserve">81. Описание полей документа «Справка органов ФК», закладки «Дополнительные атрибуты»</w:t>
        </w:r>
        <w:r>
          <w:tab/>
        </w:r>
        <w:r>
          <w:fldChar w:fldCharType="begin"/>
        </w:r>
        <w:r>
          <w:instrText xml:space="preserve"> PAGEREF _Toc88819267 \h </w:instrText>
        </w:r>
        <w:r/>
        <w:r>
          <w:fldChar w:fldCharType="separate"/>
        </w:r>
        <w:r>
          <w:t xml:space="preserve">319</w:t>
        </w:r>
        <w:r>
          <w:fldChar w:fldCharType="end"/>
        </w:r>
      </w:hyperlink>
      <w:r/>
      <w:r/>
    </w:p>
    <w:p>
      <w:pPr>
        <w:pStyle w:val="1152"/>
        <w:rPr>
          <w:rFonts w:ascii="Calibri" w:hAnsi="Calibri"/>
          <w:sz w:val="22"/>
          <w:szCs w:val="22"/>
        </w:rPr>
      </w:pPr>
      <w:r/>
      <w:hyperlink w:tooltip="#_Toc88819268" w:anchor="_Toc88819268" w:history="1">
        <w:r>
          <w:rPr>
            <w:rStyle w:val="1020"/>
          </w:rPr>
          <w:t xml:space="preserve">Таблица </w:t>
        </w:r>
        <w:r>
          <w:rPr>
            <w:rFonts w:ascii="Calibri" w:hAnsi="Calibri"/>
            <w:sz w:val="22"/>
            <w:szCs w:val="22"/>
          </w:rPr>
          <w:tab/>
        </w:r>
        <w:r>
          <w:rPr>
            <w:rStyle w:val="1020"/>
          </w:rPr>
          <w:t xml:space="preserve">82. Описание полей документа «Запрос на отзыв распоряжения (запрос на аннулирование)»</w:t>
        </w:r>
        <w:r>
          <w:tab/>
        </w:r>
        <w:r>
          <w:fldChar w:fldCharType="begin"/>
        </w:r>
        <w:r>
          <w:instrText xml:space="preserve"> PAGEREF _Toc88819268 \h </w:instrText>
        </w:r>
        <w:r/>
        <w:r>
          <w:fldChar w:fldCharType="separate"/>
        </w:r>
        <w:r>
          <w:t xml:space="preserve">322</w:t>
        </w:r>
        <w:r>
          <w:fldChar w:fldCharType="end"/>
        </w:r>
      </w:hyperlink>
      <w:r/>
      <w:r/>
    </w:p>
    <w:p>
      <w:pPr>
        <w:pStyle w:val="1152"/>
        <w:rPr>
          <w:rFonts w:ascii="Calibri" w:hAnsi="Calibri"/>
          <w:sz w:val="22"/>
          <w:szCs w:val="22"/>
        </w:rPr>
      </w:pPr>
      <w:r/>
      <w:hyperlink w:tooltip="#_Toc88819269" w:anchor="_Toc88819269" w:history="1">
        <w:r>
          <w:rPr>
            <w:rStyle w:val="1020"/>
          </w:rPr>
          <w:t xml:space="preserve">Таблица </w:t>
        </w:r>
        <w:r>
          <w:rPr>
            <w:rFonts w:ascii="Calibri" w:hAnsi="Calibri"/>
            <w:sz w:val="22"/>
            <w:szCs w:val="22"/>
          </w:rPr>
          <w:tab/>
        </w:r>
        <w:r>
          <w:rPr>
            <w:rStyle w:val="1020"/>
          </w:rPr>
          <w:t xml:space="preserve">83. Описание полей документа «Акт приемки-передачи принятых на учет обязательств при реорганизации участников бюджетного процесса», закладки «Документ»</w:t>
        </w:r>
        <w:r>
          <w:tab/>
        </w:r>
        <w:r>
          <w:fldChar w:fldCharType="begin"/>
        </w:r>
        <w:r>
          <w:instrText xml:space="preserve"> PAGEREF _Toc88819269 \h </w:instrText>
        </w:r>
        <w:r/>
        <w:r>
          <w:fldChar w:fldCharType="separate"/>
        </w:r>
        <w:r>
          <w:t xml:space="preserve">328</w:t>
        </w:r>
        <w:r>
          <w:fldChar w:fldCharType="end"/>
        </w:r>
      </w:hyperlink>
      <w:r/>
      <w:r/>
    </w:p>
    <w:p>
      <w:pPr>
        <w:pStyle w:val="1152"/>
        <w:rPr>
          <w:rFonts w:ascii="Calibri" w:hAnsi="Calibri"/>
          <w:sz w:val="22"/>
          <w:szCs w:val="22"/>
        </w:rPr>
      </w:pPr>
      <w:r/>
      <w:hyperlink w:tooltip="#_Toc88819270" w:anchor="_Toc88819270" w:history="1">
        <w:r>
          <w:rPr>
            <w:rStyle w:val="1020"/>
          </w:rPr>
          <w:t xml:space="preserve">Таблица </w:t>
        </w:r>
        <w:r>
          <w:rPr>
            <w:rFonts w:ascii="Calibri" w:hAnsi="Calibri"/>
            <w:sz w:val="22"/>
            <w:szCs w:val="22"/>
          </w:rPr>
          <w:tab/>
        </w:r>
        <w:r>
          <w:rPr>
            <w:rStyle w:val="1020"/>
          </w:rPr>
          <w:t xml:space="preserve">84. Описание полей документа «Акт приемки-передачи принятых на учет обязательств при реорганизации участников бюджетного процесса», закладки «Подписи/Доп. атрибуты»</w:t>
        </w:r>
        <w:r>
          <w:tab/>
        </w:r>
        <w:r>
          <w:fldChar w:fldCharType="begin"/>
        </w:r>
        <w:r>
          <w:instrText xml:space="preserve"> PAGEREF _Toc88819270 \h </w:instrText>
        </w:r>
        <w:r/>
        <w:r>
          <w:fldChar w:fldCharType="separate"/>
        </w:r>
        <w:r>
          <w:t xml:space="preserve">335</w:t>
        </w:r>
        <w:r>
          <w:fldChar w:fldCharType="end"/>
        </w:r>
      </w:hyperlink>
      <w:r/>
      <w:r/>
    </w:p>
    <w:p>
      <w:pPr>
        <w:pStyle w:val="1152"/>
        <w:rPr>
          <w:rFonts w:ascii="Calibri" w:hAnsi="Calibri"/>
          <w:sz w:val="22"/>
          <w:szCs w:val="22"/>
        </w:rPr>
      </w:pPr>
      <w:r/>
      <w:hyperlink w:tooltip="#_Toc88819271" w:anchor="_Toc88819271" w:history="1">
        <w:r>
          <w:rPr>
            <w:rStyle w:val="1020"/>
          </w:rPr>
          <w:t xml:space="preserve">Таблица </w:t>
        </w:r>
        <w:r>
          <w:rPr>
            <w:rFonts w:ascii="Calibri" w:hAnsi="Calibri"/>
            <w:sz w:val="22"/>
            <w:szCs w:val="22"/>
          </w:rPr>
          <w:tab/>
        </w:r>
        <w:r>
          <w:rPr>
            <w:rStyle w:val="1020"/>
          </w:rPr>
          <w:t xml:space="preserve">85. Описание полей документа «Акт приемки-передачи показателей лицевого счета бюджета», закладки «Документ», вкладки «Раздел 1.1. Остатки на лицевом счете»</w:t>
        </w:r>
        <w:r>
          <w:tab/>
        </w:r>
        <w:r>
          <w:fldChar w:fldCharType="begin"/>
        </w:r>
        <w:r>
          <w:instrText xml:space="preserve"> PAGEREF _Toc88819271 \h </w:instrText>
        </w:r>
        <w:r/>
        <w:r>
          <w:fldChar w:fldCharType="separate"/>
        </w:r>
        <w:r>
          <w:t xml:space="preserve">338</w:t>
        </w:r>
        <w:r>
          <w:fldChar w:fldCharType="end"/>
        </w:r>
      </w:hyperlink>
      <w:r/>
      <w:r/>
    </w:p>
    <w:p>
      <w:pPr>
        <w:pStyle w:val="1152"/>
        <w:rPr>
          <w:rFonts w:ascii="Calibri" w:hAnsi="Calibri"/>
          <w:sz w:val="22"/>
          <w:szCs w:val="22"/>
        </w:rPr>
      </w:pPr>
      <w:r/>
      <w:hyperlink w:tooltip="#_Toc88819272" w:anchor="_Toc88819272" w:history="1">
        <w:r>
          <w:rPr>
            <w:rStyle w:val="1020"/>
          </w:rPr>
          <w:t xml:space="preserve">Таблица </w:t>
        </w:r>
        <w:r>
          <w:rPr>
            <w:rFonts w:ascii="Calibri" w:hAnsi="Calibri"/>
            <w:sz w:val="22"/>
            <w:szCs w:val="22"/>
          </w:rPr>
          <w:tab/>
        </w:r>
        <w:r>
          <w:rPr>
            <w:rStyle w:val="1020"/>
          </w:rPr>
          <w:t xml:space="preserve">86. Описание полей документа «Акт приемки-передачи показателей лицевого счета бюджета», закладки «Документ», вкладки «Раздел 1.2. Операции с бюджетными средствами»</w:t>
        </w:r>
        <w:r>
          <w:tab/>
        </w:r>
        <w:r>
          <w:fldChar w:fldCharType="begin"/>
        </w:r>
        <w:r>
          <w:instrText xml:space="preserve"> PAGEREF _Toc88819272 \h </w:instrText>
        </w:r>
        <w:r/>
        <w:r>
          <w:fldChar w:fldCharType="separate"/>
        </w:r>
        <w:r>
          <w:t xml:space="preserve">340</w:t>
        </w:r>
        <w:r>
          <w:fldChar w:fldCharType="end"/>
        </w:r>
      </w:hyperlink>
      <w:r/>
      <w:r/>
    </w:p>
    <w:p>
      <w:pPr>
        <w:pStyle w:val="1152"/>
        <w:rPr>
          <w:rFonts w:ascii="Calibri" w:hAnsi="Calibri"/>
          <w:sz w:val="22"/>
          <w:szCs w:val="22"/>
        </w:rPr>
      </w:pPr>
      <w:r/>
      <w:hyperlink w:tooltip="#_Toc88819273" w:anchor="_Toc88819273" w:history="1">
        <w:r>
          <w:rPr>
            <w:rStyle w:val="1020"/>
          </w:rPr>
          <w:t xml:space="preserve">Таблица </w:t>
        </w:r>
        <w:r>
          <w:rPr>
            <w:rFonts w:ascii="Calibri" w:hAnsi="Calibri"/>
            <w:sz w:val="22"/>
            <w:szCs w:val="22"/>
          </w:rPr>
          <w:tab/>
        </w:r>
        <w:r>
          <w:rPr>
            <w:rStyle w:val="1020"/>
          </w:rPr>
          <w:t xml:space="preserve">87. Описание полей документа «Акт приемки-передачи показателей лицевого счета бюджета», закладки «Документ», вкладки «Раздел 1.3. Предельные объемы финансирования»</w:t>
        </w:r>
        <w:r>
          <w:tab/>
        </w:r>
        <w:r>
          <w:fldChar w:fldCharType="begin"/>
        </w:r>
        <w:r>
          <w:instrText xml:space="preserve"> PAGEREF _Toc88819273 \h </w:instrText>
        </w:r>
        <w:r/>
        <w:r>
          <w:fldChar w:fldCharType="separate"/>
        </w:r>
        <w:r>
          <w:t xml:space="preserve">342</w:t>
        </w:r>
        <w:r>
          <w:fldChar w:fldCharType="end"/>
        </w:r>
      </w:hyperlink>
      <w:r/>
      <w:r/>
    </w:p>
    <w:p>
      <w:pPr>
        <w:pStyle w:val="1152"/>
        <w:rPr>
          <w:rFonts w:ascii="Calibri" w:hAnsi="Calibri"/>
          <w:sz w:val="22"/>
          <w:szCs w:val="22"/>
        </w:rPr>
      </w:pPr>
      <w:r/>
      <w:hyperlink w:tooltip="#_Toc88819274" w:anchor="_Toc88819274" w:history="1">
        <w:r>
          <w:rPr>
            <w:rStyle w:val="1020"/>
          </w:rPr>
          <w:t xml:space="preserve">Таблица </w:t>
        </w:r>
        <w:r>
          <w:rPr>
            <w:rFonts w:ascii="Calibri" w:hAnsi="Calibri"/>
            <w:sz w:val="22"/>
            <w:szCs w:val="22"/>
          </w:rPr>
          <w:tab/>
        </w:r>
        <w:r>
          <w:rPr>
            <w:rStyle w:val="1020"/>
          </w:rPr>
          <w:t xml:space="preserve">88. Описание полей документа «Акт приемки-передачи показателей лицевого счета бюджета», закладки «Дополнительные атрибуты»</w:t>
        </w:r>
        <w:r>
          <w:tab/>
        </w:r>
        <w:r>
          <w:fldChar w:fldCharType="begin"/>
        </w:r>
        <w:r>
          <w:instrText xml:space="preserve"> PAGEREF _Toc88819274 \h </w:instrText>
        </w:r>
        <w:r/>
        <w:r>
          <w:fldChar w:fldCharType="separate"/>
        </w:r>
        <w:r>
          <w:t xml:space="preserve">344</w:t>
        </w:r>
        <w:r>
          <w:fldChar w:fldCharType="end"/>
        </w:r>
      </w:hyperlink>
      <w:r/>
      <w:r/>
    </w:p>
    <w:p>
      <w:pPr>
        <w:pStyle w:val="1152"/>
        <w:rPr>
          <w:rFonts w:ascii="Calibri" w:hAnsi="Calibri"/>
          <w:sz w:val="22"/>
          <w:szCs w:val="22"/>
        </w:rPr>
      </w:pPr>
      <w:r/>
      <w:hyperlink w:tooltip="#_Toc88819275" w:anchor="_Toc88819275" w:history="1">
        <w:r>
          <w:rPr>
            <w:rStyle w:val="1020"/>
          </w:rPr>
          <w:t xml:space="preserve">Таблица </w:t>
        </w:r>
        <w:r>
          <w:rPr>
            <w:rFonts w:ascii="Calibri" w:hAnsi="Calibri"/>
            <w:sz w:val="22"/>
            <w:szCs w:val="22"/>
          </w:rPr>
          <w:tab/>
        </w:r>
        <w:r>
          <w:rPr>
            <w:rStyle w:val="1020"/>
          </w:rPr>
          <w:t xml:space="preserve">89. Описание полей документа «Акт приемки-передачи показателей лицевого счета ТГВФ», закладки «Документ», вкладки «Раздел 1.1. Остатки на лицевом счете»</w:t>
        </w:r>
        <w:r>
          <w:tab/>
        </w:r>
        <w:r>
          <w:fldChar w:fldCharType="begin"/>
        </w:r>
        <w:r>
          <w:instrText xml:space="preserve"> PAGEREF _Toc88819275 \h </w:instrText>
        </w:r>
        <w:r/>
        <w:r>
          <w:fldChar w:fldCharType="separate"/>
        </w:r>
        <w:r>
          <w:t xml:space="preserve">348</w:t>
        </w:r>
        <w:r>
          <w:fldChar w:fldCharType="end"/>
        </w:r>
      </w:hyperlink>
      <w:r/>
      <w:r/>
    </w:p>
    <w:p>
      <w:pPr>
        <w:pStyle w:val="1152"/>
        <w:rPr>
          <w:rFonts w:ascii="Calibri" w:hAnsi="Calibri"/>
          <w:sz w:val="22"/>
          <w:szCs w:val="22"/>
        </w:rPr>
      </w:pPr>
      <w:r/>
      <w:hyperlink w:tooltip="#_Toc88819276" w:anchor="_Toc88819276" w:history="1">
        <w:r>
          <w:rPr>
            <w:rStyle w:val="1020"/>
          </w:rPr>
          <w:t xml:space="preserve">Таблица </w:t>
        </w:r>
        <w:r>
          <w:rPr>
            <w:rFonts w:ascii="Calibri" w:hAnsi="Calibri"/>
            <w:sz w:val="22"/>
            <w:szCs w:val="22"/>
          </w:rPr>
          <w:tab/>
        </w:r>
        <w:r>
          <w:rPr>
            <w:rStyle w:val="1020"/>
          </w:rPr>
          <w:t xml:space="preserve">90. Описание полей документа «Акт приемки-передачи показателей лицевого счета ТГВФ», закладки «Документ», вкладки «Раздел 1.2. Операции с бюджетными средствами»</w:t>
        </w:r>
        <w:r>
          <w:tab/>
        </w:r>
        <w:r>
          <w:fldChar w:fldCharType="begin"/>
        </w:r>
        <w:r>
          <w:instrText xml:space="preserve"> PAGEREF _Toc88819276 \h </w:instrText>
        </w:r>
        <w:r/>
        <w:r>
          <w:fldChar w:fldCharType="separate"/>
        </w:r>
        <w:r>
          <w:t xml:space="preserve">349</w:t>
        </w:r>
        <w:r>
          <w:fldChar w:fldCharType="end"/>
        </w:r>
      </w:hyperlink>
      <w:r/>
      <w:r/>
    </w:p>
    <w:p>
      <w:pPr>
        <w:pStyle w:val="1152"/>
        <w:rPr>
          <w:rFonts w:ascii="Calibri" w:hAnsi="Calibri"/>
          <w:sz w:val="22"/>
          <w:szCs w:val="22"/>
        </w:rPr>
      </w:pPr>
      <w:r/>
      <w:hyperlink w:tooltip="#_Toc88819277" w:anchor="_Toc88819277" w:history="1">
        <w:r>
          <w:rPr>
            <w:rStyle w:val="1020"/>
          </w:rPr>
          <w:t xml:space="preserve">Таблица </w:t>
        </w:r>
        <w:r>
          <w:rPr>
            <w:rFonts w:ascii="Calibri" w:hAnsi="Calibri"/>
            <w:sz w:val="22"/>
            <w:szCs w:val="22"/>
          </w:rPr>
          <w:tab/>
        </w:r>
        <w:r>
          <w:rPr>
            <w:rStyle w:val="1020"/>
          </w:rPr>
          <w:t xml:space="preserve">91. Описание полей документа «Акт приемки-передачи показателей лицевого счета ТГВФ», закладки «Документ», вкладки «Раздел 1.3. Предельные объёмы финансирования»</w:t>
        </w:r>
        <w:r>
          <w:tab/>
        </w:r>
        <w:r>
          <w:fldChar w:fldCharType="begin"/>
        </w:r>
        <w:r>
          <w:instrText xml:space="preserve"> PAGEREF _Toc88819277 \h </w:instrText>
        </w:r>
        <w:r/>
        <w:r>
          <w:fldChar w:fldCharType="separate"/>
        </w:r>
        <w:r>
          <w:t xml:space="preserve">350</w:t>
        </w:r>
        <w:r>
          <w:fldChar w:fldCharType="end"/>
        </w:r>
      </w:hyperlink>
      <w:r/>
      <w:r/>
    </w:p>
    <w:p>
      <w:pPr>
        <w:pStyle w:val="1152"/>
        <w:rPr>
          <w:rFonts w:ascii="Calibri" w:hAnsi="Calibri"/>
          <w:sz w:val="22"/>
          <w:szCs w:val="22"/>
        </w:rPr>
      </w:pPr>
      <w:r/>
      <w:hyperlink w:tooltip="#_Toc88819278" w:anchor="_Toc88819278" w:history="1">
        <w:r>
          <w:rPr>
            <w:rStyle w:val="1020"/>
          </w:rPr>
          <w:t xml:space="preserve">Таблица </w:t>
        </w:r>
        <w:r>
          <w:rPr>
            <w:rFonts w:ascii="Calibri" w:hAnsi="Calibri"/>
            <w:sz w:val="22"/>
            <w:szCs w:val="22"/>
          </w:rPr>
          <w:tab/>
        </w:r>
        <w:r>
          <w:rPr>
            <w:rStyle w:val="1020"/>
          </w:rPr>
          <w:t xml:space="preserve">92. Описание полей документа «Акт приемки-передачи показателей лицевого счета ТГВФ», закладки «Дополнительные атрибуты»</w:t>
        </w:r>
        <w:r>
          <w:tab/>
        </w:r>
        <w:r>
          <w:fldChar w:fldCharType="begin"/>
        </w:r>
        <w:r>
          <w:instrText xml:space="preserve"> PAGEREF _Toc88819278 \h </w:instrText>
        </w:r>
        <w:r/>
        <w:r>
          <w:fldChar w:fldCharType="separate"/>
        </w:r>
        <w:r>
          <w:t xml:space="preserve">351</w:t>
        </w:r>
        <w:r>
          <w:fldChar w:fldCharType="end"/>
        </w:r>
      </w:hyperlink>
      <w:r/>
      <w:r/>
    </w:p>
    <w:p>
      <w:pPr>
        <w:pStyle w:val="1152"/>
        <w:rPr>
          <w:rFonts w:ascii="Calibri" w:hAnsi="Calibri"/>
          <w:sz w:val="22"/>
          <w:szCs w:val="22"/>
        </w:rPr>
      </w:pPr>
      <w:r/>
      <w:hyperlink w:tooltip="#_Toc88819279" w:anchor="_Toc88819279" w:history="1">
        <w:r>
          <w:rPr>
            <w:rStyle w:val="1020"/>
          </w:rPr>
          <w:t xml:space="preserve">Таблица </w:t>
        </w:r>
        <w:r>
          <w:rPr>
            <w:rFonts w:ascii="Calibri" w:hAnsi="Calibri"/>
            <w:sz w:val="22"/>
            <w:szCs w:val="22"/>
          </w:rPr>
          <w:tab/>
        </w:r>
        <w:r>
          <w:rPr>
            <w:rStyle w:val="1020"/>
          </w:rPr>
          <w:t xml:space="preserve">93. Описание полей документа «Уведомление (протокол)», закладки «Основные»</w:t>
        </w:r>
        <w:r>
          <w:tab/>
        </w:r>
        <w:r>
          <w:fldChar w:fldCharType="begin"/>
        </w:r>
        <w:r>
          <w:instrText xml:space="preserve"> PAGEREF _Toc88819279 \h </w:instrText>
        </w:r>
        <w:r/>
        <w:r>
          <w:fldChar w:fldCharType="separate"/>
        </w:r>
        <w:r>
          <w:t xml:space="preserve">354</w:t>
        </w:r>
        <w:r>
          <w:fldChar w:fldCharType="end"/>
        </w:r>
      </w:hyperlink>
      <w:r/>
      <w:r/>
    </w:p>
    <w:p>
      <w:pPr>
        <w:pStyle w:val="1152"/>
        <w:rPr>
          <w:rFonts w:ascii="Calibri" w:hAnsi="Calibri"/>
          <w:sz w:val="22"/>
          <w:szCs w:val="22"/>
        </w:rPr>
      </w:pPr>
      <w:r/>
      <w:hyperlink w:tooltip="#_Toc88819280" w:anchor="_Toc88819280" w:history="1">
        <w:r>
          <w:rPr>
            <w:rStyle w:val="1020"/>
          </w:rPr>
          <w:t xml:space="preserve">Таблица </w:t>
        </w:r>
        <w:r>
          <w:rPr>
            <w:rFonts w:ascii="Calibri" w:hAnsi="Calibri"/>
            <w:sz w:val="22"/>
            <w:szCs w:val="22"/>
          </w:rPr>
          <w:tab/>
        </w:r>
        <w:r>
          <w:rPr>
            <w:rStyle w:val="1020"/>
          </w:rPr>
          <w:t xml:space="preserve">94. Описание полей документа «Расходное расписание», закладки «Документ (1)», вкладки «Раздел I: БА (3)»</w:t>
        </w:r>
        <w:r>
          <w:tab/>
        </w:r>
        <w:r>
          <w:fldChar w:fldCharType="begin"/>
        </w:r>
        <w:r>
          <w:instrText xml:space="preserve"> PAGEREF _Toc88819280 \h </w:instrText>
        </w:r>
        <w:r/>
        <w:r>
          <w:fldChar w:fldCharType="separate"/>
        </w:r>
        <w:r>
          <w:t xml:space="preserve">358</w:t>
        </w:r>
        <w:r>
          <w:fldChar w:fldCharType="end"/>
        </w:r>
      </w:hyperlink>
      <w:r/>
      <w:r/>
    </w:p>
    <w:p>
      <w:pPr>
        <w:pStyle w:val="1152"/>
        <w:rPr>
          <w:rFonts w:ascii="Calibri" w:hAnsi="Calibri"/>
          <w:sz w:val="22"/>
          <w:szCs w:val="22"/>
        </w:rPr>
      </w:pPr>
      <w:r/>
      <w:hyperlink w:tooltip="#_Toc88819281" w:anchor="_Toc88819281" w:history="1">
        <w:r>
          <w:rPr>
            <w:rStyle w:val="1020"/>
          </w:rPr>
          <w:t xml:space="preserve">Таблица </w:t>
        </w:r>
        <w:r>
          <w:rPr>
            <w:rFonts w:ascii="Calibri" w:hAnsi="Calibri"/>
            <w:sz w:val="22"/>
            <w:szCs w:val="22"/>
          </w:rPr>
          <w:tab/>
        </w:r>
        <w:r>
          <w:rPr>
            <w:rStyle w:val="1020"/>
          </w:rPr>
          <w:t xml:space="preserve">95. Описание полей документа «Расходное расписание», закладки «Документ (1)», вкладки «Раздел II: ЛБО (4)»</w:t>
        </w:r>
        <w:r>
          <w:tab/>
        </w:r>
        <w:r>
          <w:fldChar w:fldCharType="begin"/>
        </w:r>
        <w:r>
          <w:instrText xml:space="preserve"> PAGEREF _Toc88819281 \h </w:instrText>
        </w:r>
        <w:r/>
        <w:r>
          <w:fldChar w:fldCharType="separate"/>
        </w:r>
        <w:r>
          <w:t xml:space="preserve">365</w:t>
        </w:r>
        <w:r>
          <w:fldChar w:fldCharType="end"/>
        </w:r>
      </w:hyperlink>
      <w:r/>
      <w:r/>
    </w:p>
    <w:p>
      <w:pPr>
        <w:pStyle w:val="1152"/>
        <w:rPr>
          <w:rFonts w:ascii="Calibri" w:hAnsi="Calibri"/>
          <w:sz w:val="22"/>
          <w:szCs w:val="22"/>
        </w:rPr>
      </w:pPr>
      <w:r/>
      <w:hyperlink w:tooltip="#_Toc88819282" w:anchor="_Toc88819282" w:history="1">
        <w:r>
          <w:rPr>
            <w:rStyle w:val="1020"/>
          </w:rPr>
          <w:t xml:space="preserve">Таблица </w:t>
        </w:r>
        <w:r>
          <w:rPr>
            <w:rFonts w:ascii="Calibri" w:hAnsi="Calibri"/>
            <w:sz w:val="22"/>
            <w:szCs w:val="22"/>
          </w:rPr>
          <w:tab/>
        </w:r>
        <w:r>
          <w:rPr>
            <w:rStyle w:val="1020"/>
          </w:rPr>
          <w:t xml:space="preserve">96. Описание полей документа «Расходное расписание», закладки «Документ (1)», вкладки «Раздел III: ПОФР (5)»</w:t>
        </w:r>
        <w:r>
          <w:tab/>
        </w:r>
        <w:r>
          <w:fldChar w:fldCharType="begin"/>
        </w:r>
        <w:r>
          <w:instrText xml:space="preserve"> PAGEREF _Toc88819282 \h </w:instrText>
        </w:r>
        <w:r/>
        <w:r>
          <w:fldChar w:fldCharType="separate"/>
        </w:r>
        <w:r>
          <w:t xml:space="preserve">367</w:t>
        </w:r>
        <w:r>
          <w:fldChar w:fldCharType="end"/>
        </w:r>
      </w:hyperlink>
      <w:r/>
      <w:r/>
    </w:p>
    <w:p>
      <w:pPr>
        <w:pStyle w:val="1152"/>
        <w:rPr>
          <w:rFonts w:ascii="Calibri" w:hAnsi="Calibri"/>
          <w:sz w:val="22"/>
          <w:szCs w:val="22"/>
        </w:rPr>
      </w:pPr>
      <w:r/>
      <w:hyperlink w:tooltip="#_Toc88819283" w:anchor="_Toc88819283" w:history="1">
        <w:r>
          <w:rPr>
            <w:rStyle w:val="1020"/>
          </w:rPr>
          <w:t xml:space="preserve">Таблица </w:t>
        </w:r>
        <w:r>
          <w:rPr>
            <w:rFonts w:ascii="Calibri" w:hAnsi="Calibri"/>
            <w:sz w:val="22"/>
            <w:szCs w:val="22"/>
          </w:rPr>
          <w:tab/>
        </w:r>
        <w:r>
          <w:rPr>
            <w:rStyle w:val="1020"/>
          </w:rPr>
          <w:t xml:space="preserve">97. Описание полей документа «Расходное расписание», закладки «Дополнительные атрибуты (2)»</w:t>
        </w:r>
        <w:r>
          <w:tab/>
        </w:r>
        <w:r>
          <w:fldChar w:fldCharType="begin"/>
        </w:r>
        <w:r>
          <w:instrText xml:space="preserve"> PAGEREF _Toc88819283 \h </w:instrText>
        </w:r>
        <w:r/>
        <w:r>
          <w:fldChar w:fldCharType="separate"/>
        </w:r>
        <w:r>
          <w:t xml:space="preserve">368</w:t>
        </w:r>
        <w:r>
          <w:fldChar w:fldCharType="end"/>
        </w:r>
      </w:hyperlink>
      <w:r/>
      <w:r/>
    </w:p>
    <w:p>
      <w:pPr>
        <w:pStyle w:val="1152"/>
        <w:rPr>
          <w:rFonts w:ascii="Calibri" w:hAnsi="Calibri"/>
          <w:sz w:val="22"/>
          <w:szCs w:val="22"/>
        </w:rPr>
      </w:pPr>
      <w:r/>
      <w:hyperlink w:tooltip="#_Toc88819284" w:anchor="_Toc88819284" w:history="1">
        <w:r>
          <w:rPr>
            <w:rStyle w:val="1020"/>
          </w:rPr>
          <w:t xml:space="preserve">Таблица </w:t>
        </w:r>
        <w:r>
          <w:rPr>
            <w:rFonts w:ascii="Calibri" w:hAnsi="Calibri"/>
            <w:sz w:val="22"/>
            <w:szCs w:val="22"/>
          </w:rPr>
          <w:tab/>
        </w:r>
        <w:r>
          <w:rPr>
            <w:rStyle w:val="1020"/>
          </w:rPr>
          <w:t xml:space="preserve">98. Описание полей документа «Реестр расходных расписаний», закладки «Документ (1)», вкладки «Расходные расписания (3)»</w:t>
        </w:r>
        <w:r>
          <w:tab/>
        </w:r>
        <w:r>
          <w:fldChar w:fldCharType="begin"/>
        </w:r>
        <w:r>
          <w:instrText xml:space="preserve"> PAGEREF _Toc88819284 \h </w:instrText>
        </w:r>
        <w:r/>
        <w:r>
          <w:fldChar w:fldCharType="separate"/>
        </w:r>
        <w:r>
          <w:t xml:space="preserve">372</w:t>
        </w:r>
        <w:r>
          <w:fldChar w:fldCharType="end"/>
        </w:r>
      </w:hyperlink>
      <w:r/>
      <w:r/>
    </w:p>
    <w:p>
      <w:pPr>
        <w:pStyle w:val="1152"/>
        <w:rPr>
          <w:rFonts w:ascii="Calibri" w:hAnsi="Calibri"/>
          <w:sz w:val="22"/>
          <w:szCs w:val="22"/>
        </w:rPr>
      </w:pPr>
      <w:r/>
      <w:hyperlink w:tooltip="#_Toc88819285" w:anchor="_Toc88819285" w:history="1">
        <w:r>
          <w:rPr>
            <w:rStyle w:val="1020"/>
          </w:rPr>
          <w:t xml:space="preserve">Таблица </w:t>
        </w:r>
        <w:r>
          <w:rPr>
            <w:rFonts w:ascii="Calibri" w:hAnsi="Calibri"/>
            <w:sz w:val="22"/>
            <w:szCs w:val="22"/>
          </w:rPr>
          <w:tab/>
        </w:r>
        <w:r>
          <w:rPr>
            <w:rStyle w:val="1020"/>
          </w:rPr>
          <w:t xml:space="preserve">99. Описание полей документа «Реестр расходных расписаний», закладки «Документ (1)», вкладки «Раздел I: БА (4)»</w:t>
        </w:r>
        <w:r>
          <w:tab/>
        </w:r>
        <w:r>
          <w:fldChar w:fldCharType="begin"/>
        </w:r>
        <w:r>
          <w:instrText xml:space="preserve"> PAGEREF _Toc88819285 \h </w:instrText>
        </w:r>
        <w:r/>
        <w:r>
          <w:fldChar w:fldCharType="separate"/>
        </w:r>
        <w:r>
          <w:t xml:space="preserve">377</w:t>
        </w:r>
        <w:r>
          <w:fldChar w:fldCharType="end"/>
        </w:r>
      </w:hyperlink>
      <w:r/>
      <w:r/>
    </w:p>
    <w:p>
      <w:pPr>
        <w:pStyle w:val="1152"/>
        <w:rPr>
          <w:rFonts w:ascii="Calibri" w:hAnsi="Calibri"/>
          <w:sz w:val="22"/>
          <w:szCs w:val="22"/>
        </w:rPr>
      </w:pPr>
      <w:r/>
      <w:hyperlink w:tooltip="#_Toc88819286" w:anchor="_Toc88819286" w:history="1">
        <w:r>
          <w:rPr>
            <w:rStyle w:val="1020"/>
          </w:rPr>
          <w:t xml:space="preserve">Таблица </w:t>
        </w:r>
        <w:r>
          <w:rPr>
            <w:rFonts w:ascii="Calibri" w:hAnsi="Calibri"/>
            <w:sz w:val="22"/>
            <w:szCs w:val="22"/>
          </w:rPr>
          <w:tab/>
        </w:r>
        <w:r>
          <w:rPr>
            <w:rStyle w:val="1020"/>
          </w:rPr>
          <w:t xml:space="preserve">100. Описание полей документа «Реестр расходных расписаний», закладки «Документ (1)», вкладки «Раздел II: ЛБО (5)»</w:t>
        </w:r>
        <w:r>
          <w:tab/>
        </w:r>
        <w:r>
          <w:fldChar w:fldCharType="begin"/>
        </w:r>
        <w:r>
          <w:instrText xml:space="preserve"> PAGEREF _Toc88819286 \h </w:instrText>
        </w:r>
        <w:r/>
        <w:r>
          <w:fldChar w:fldCharType="separate"/>
        </w:r>
        <w:r>
          <w:t xml:space="preserve">380</w:t>
        </w:r>
        <w:r>
          <w:fldChar w:fldCharType="end"/>
        </w:r>
      </w:hyperlink>
      <w:r/>
      <w:r/>
    </w:p>
    <w:p>
      <w:pPr>
        <w:pStyle w:val="1152"/>
        <w:rPr>
          <w:rFonts w:ascii="Calibri" w:hAnsi="Calibri"/>
          <w:sz w:val="22"/>
          <w:szCs w:val="22"/>
        </w:rPr>
      </w:pPr>
      <w:r/>
      <w:hyperlink w:tooltip="#_Toc88819287" w:anchor="_Toc88819287" w:history="1">
        <w:r>
          <w:rPr>
            <w:rStyle w:val="1020"/>
          </w:rPr>
          <w:t xml:space="preserve">Таблица </w:t>
        </w:r>
        <w:r>
          <w:rPr>
            <w:rFonts w:ascii="Calibri" w:hAnsi="Calibri"/>
            <w:sz w:val="22"/>
            <w:szCs w:val="22"/>
          </w:rPr>
          <w:tab/>
        </w:r>
        <w:r>
          <w:rPr>
            <w:rStyle w:val="1020"/>
          </w:rPr>
          <w:t xml:space="preserve">101. Описание полей документа «Реестр расходных расписаний», закладки «Документ (1)», вкладки «Раздел III: ПОФР (6)»</w:t>
        </w:r>
        <w:r>
          <w:tab/>
        </w:r>
        <w:r>
          <w:fldChar w:fldCharType="begin"/>
        </w:r>
        <w:r>
          <w:instrText xml:space="preserve"> PAGEREF _Toc88819287 \h </w:instrText>
        </w:r>
        <w:r/>
        <w:r>
          <w:fldChar w:fldCharType="separate"/>
        </w:r>
        <w:r>
          <w:t xml:space="preserve">382</w:t>
        </w:r>
        <w:r>
          <w:fldChar w:fldCharType="end"/>
        </w:r>
      </w:hyperlink>
      <w:r/>
      <w:r/>
    </w:p>
    <w:p>
      <w:pPr>
        <w:pStyle w:val="1152"/>
        <w:rPr>
          <w:rFonts w:ascii="Calibri" w:hAnsi="Calibri"/>
          <w:sz w:val="22"/>
          <w:szCs w:val="22"/>
        </w:rPr>
      </w:pPr>
      <w:r/>
      <w:hyperlink w:tooltip="#_Toc88819288" w:anchor="_Toc88819288" w:history="1">
        <w:r>
          <w:rPr>
            <w:rStyle w:val="1020"/>
          </w:rPr>
          <w:t xml:space="preserve">Таблица </w:t>
        </w:r>
        <w:r>
          <w:rPr>
            <w:rFonts w:ascii="Calibri" w:hAnsi="Calibri"/>
            <w:sz w:val="22"/>
            <w:szCs w:val="22"/>
          </w:rPr>
          <w:tab/>
        </w:r>
        <w:r>
          <w:rPr>
            <w:rStyle w:val="1020"/>
          </w:rPr>
          <w:t xml:space="preserve">102. Описание полей документа «Реестр расходных расписаний», закладки «Дополнительные атрибуты (2)»</w:t>
        </w:r>
        <w:r>
          <w:tab/>
        </w:r>
        <w:r>
          <w:fldChar w:fldCharType="begin"/>
        </w:r>
        <w:r>
          <w:instrText xml:space="preserve"> PAGEREF _Toc88819288 \h </w:instrText>
        </w:r>
        <w:r/>
        <w:r>
          <w:fldChar w:fldCharType="separate"/>
        </w:r>
        <w:r>
          <w:t xml:space="preserve">384</w:t>
        </w:r>
        <w:r>
          <w:fldChar w:fldCharType="end"/>
        </w:r>
      </w:hyperlink>
      <w:r/>
      <w:r/>
    </w:p>
    <w:p>
      <w:pPr>
        <w:pStyle w:val="1152"/>
        <w:rPr>
          <w:rFonts w:ascii="Calibri" w:hAnsi="Calibri"/>
          <w:sz w:val="22"/>
          <w:szCs w:val="22"/>
        </w:rPr>
      </w:pPr>
      <w:r/>
      <w:hyperlink w:tooltip="#_Toc88819289" w:anchor="_Toc88819289" w:history="1">
        <w:r>
          <w:rPr>
            <w:rStyle w:val="1020"/>
          </w:rPr>
          <w:t xml:space="preserve">Таблица </w:t>
        </w:r>
        <w:r>
          <w:rPr>
            <w:rFonts w:ascii="Calibri" w:hAnsi="Calibri"/>
            <w:sz w:val="22"/>
            <w:szCs w:val="22"/>
          </w:rPr>
          <w:tab/>
        </w:r>
        <w:r>
          <w:rPr>
            <w:rStyle w:val="1020"/>
          </w:rPr>
          <w:t xml:space="preserve">103. Перечень полей документа «Сведения об операциях с целевыми субсидиями», закладки «Документ (1)»</w:t>
        </w:r>
        <w:r>
          <w:tab/>
        </w:r>
        <w:r>
          <w:fldChar w:fldCharType="begin"/>
        </w:r>
        <w:r>
          <w:instrText xml:space="preserve"> PAGEREF _Toc88819289 \h </w:instrText>
        </w:r>
        <w:r/>
        <w:r>
          <w:fldChar w:fldCharType="separate"/>
        </w:r>
        <w:r>
          <w:t xml:space="preserve">389</w:t>
        </w:r>
        <w:r>
          <w:fldChar w:fldCharType="end"/>
        </w:r>
      </w:hyperlink>
      <w:r/>
      <w:r/>
    </w:p>
    <w:p>
      <w:pPr>
        <w:pStyle w:val="1152"/>
        <w:rPr>
          <w:rFonts w:ascii="Calibri" w:hAnsi="Calibri"/>
          <w:sz w:val="22"/>
          <w:szCs w:val="22"/>
        </w:rPr>
      </w:pPr>
      <w:r/>
      <w:hyperlink w:tooltip="#_Toc88819290" w:anchor="_Toc88819290" w:history="1">
        <w:r>
          <w:rPr>
            <w:rStyle w:val="1020"/>
          </w:rPr>
          <w:t xml:space="preserve">Таблица </w:t>
        </w:r>
        <w:r>
          <w:rPr>
            <w:rFonts w:ascii="Calibri" w:hAnsi="Calibri"/>
            <w:sz w:val="22"/>
            <w:szCs w:val="22"/>
          </w:rPr>
          <w:tab/>
        </w:r>
        <w:r>
          <w:rPr>
            <w:rStyle w:val="1020"/>
          </w:rPr>
          <w:t xml:space="preserve">104. Описание полей документа «Сведения об операциях с целевыми субсидиями», закладки «Документ (2)»</w:t>
        </w:r>
        <w:r>
          <w:tab/>
        </w:r>
        <w:r>
          <w:fldChar w:fldCharType="begin"/>
        </w:r>
        <w:r>
          <w:instrText xml:space="preserve"> PAGEREF _Toc88819290 \h </w:instrText>
        </w:r>
        <w:r/>
        <w:r>
          <w:fldChar w:fldCharType="separate"/>
        </w:r>
        <w:r>
          <w:t xml:space="preserve">399</w:t>
        </w:r>
        <w:r>
          <w:fldChar w:fldCharType="end"/>
        </w:r>
      </w:hyperlink>
      <w:r/>
      <w:r/>
    </w:p>
    <w:p>
      <w:pPr>
        <w:pStyle w:val="1152"/>
        <w:rPr>
          <w:rFonts w:ascii="Calibri" w:hAnsi="Calibri"/>
          <w:sz w:val="22"/>
          <w:szCs w:val="22"/>
        </w:rPr>
      </w:pPr>
      <w:r/>
      <w:hyperlink w:tooltip="#_Toc88819291" w:anchor="_Toc88819291" w:history="1">
        <w:r>
          <w:rPr>
            <w:rStyle w:val="1020"/>
          </w:rPr>
          <w:t xml:space="preserve">Таблица </w:t>
        </w:r>
        <w:r>
          <w:rPr>
            <w:rFonts w:ascii="Calibri" w:hAnsi="Calibri"/>
            <w:sz w:val="22"/>
            <w:szCs w:val="22"/>
          </w:rPr>
          <w:tab/>
        </w:r>
        <w:r>
          <w:rPr>
            <w:rStyle w:val="1020"/>
          </w:rPr>
          <w:t xml:space="preserve">105. Перечень полей документа «Сведения об операциях с целевыми субсидиями», закладки «Дополнительные атрибуты (3)»</w:t>
        </w:r>
        <w:r>
          <w:tab/>
        </w:r>
        <w:r>
          <w:fldChar w:fldCharType="begin"/>
        </w:r>
        <w:r>
          <w:instrText xml:space="preserve"> PAGEREF _Toc88819291 \h </w:instrText>
        </w:r>
        <w:r/>
        <w:r>
          <w:fldChar w:fldCharType="separate"/>
        </w:r>
        <w:r>
          <w:t xml:space="preserve">402</w:t>
        </w:r>
        <w:r>
          <w:fldChar w:fldCharType="end"/>
        </w:r>
      </w:hyperlink>
      <w:r/>
      <w:r/>
    </w:p>
    <w:p>
      <w:pPr>
        <w:pStyle w:val="1152"/>
        <w:rPr>
          <w:rFonts w:ascii="Calibri" w:hAnsi="Calibri"/>
          <w:sz w:val="22"/>
          <w:szCs w:val="22"/>
        </w:rPr>
      </w:pPr>
      <w:r/>
      <w:hyperlink w:tooltip="#_Toc88819292" w:anchor="_Toc88819292" w:history="1">
        <w:r>
          <w:rPr>
            <w:rStyle w:val="1020"/>
          </w:rPr>
          <w:t xml:space="preserve">Таблица </w:t>
        </w:r>
        <w:r>
          <w:rPr>
            <w:rFonts w:ascii="Calibri" w:hAnsi="Calibri"/>
            <w:sz w:val="22"/>
            <w:szCs w:val="22"/>
          </w:rPr>
          <w:tab/>
        </w:r>
        <w:r>
          <w:rPr>
            <w:rStyle w:val="1020"/>
          </w:rPr>
          <w:t xml:space="preserve">106. Описание полей документа «Сведения об операциях с целевыми средствами», закладки «Реквизиты (1)»</w:t>
        </w:r>
        <w:r>
          <w:tab/>
        </w:r>
        <w:r>
          <w:fldChar w:fldCharType="begin"/>
        </w:r>
        <w:r>
          <w:instrText xml:space="preserve"> PAGEREF _Toc88819292 \h </w:instrText>
        </w:r>
        <w:r/>
        <w:r>
          <w:fldChar w:fldCharType="separate"/>
        </w:r>
        <w:r>
          <w:t xml:space="preserve">405</w:t>
        </w:r>
        <w:r>
          <w:fldChar w:fldCharType="end"/>
        </w:r>
      </w:hyperlink>
      <w:r/>
      <w:r/>
    </w:p>
    <w:p>
      <w:pPr>
        <w:pStyle w:val="1152"/>
        <w:rPr>
          <w:rFonts w:ascii="Calibri" w:hAnsi="Calibri"/>
          <w:sz w:val="22"/>
          <w:szCs w:val="22"/>
        </w:rPr>
      </w:pPr>
      <w:r/>
      <w:hyperlink w:tooltip="#_Toc88819293" w:anchor="_Toc88819293" w:history="1">
        <w:r>
          <w:rPr>
            <w:rStyle w:val="1020"/>
          </w:rPr>
          <w:t xml:space="preserve">Таблица </w:t>
        </w:r>
        <w:r>
          <w:rPr>
            <w:rFonts w:ascii="Calibri" w:hAnsi="Calibri"/>
            <w:sz w:val="22"/>
            <w:szCs w:val="22"/>
          </w:rPr>
          <w:tab/>
        </w:r>
        <w:r>
          <w:rPr>
            <w:rStyle w:val="1020"/>
          </w:rPr>
          <w:t xml:space="preserve">107. Описание полей документа «Сведения об операциях с целевыми средствами», закладки «Реквизиты расшифровки документа (2)»</w:t>
        </w:r>
        <w:r>
          <w:tab/>
        </w:r>
        <w:r>
          <w:fldChar w:fldCharType="begin"/>
        </w:r>
        <w:r>
          <w:instrText xml:space="preserve"> PAGEREF _Toc88819293 \h </w:instrText>
        </w:r>
        <w:r/>
        <w:r>
          <w:fldChar w:fldCharType="separate"/>
        </w:r>
        <w:r>
          <w:t xml:space="preserve">408</w:t>
        </w:r>
        <w:r>
          <w:fldChar w:fldCharType="end"/>
        </w:r>
      </w:hyperlink>
      <w:r/>
      <w:r/>
    </w:p>
    <w:p>
      <w:pPr>
        <w:pStyle w:val="1152"/>
        <w:rPr>
          <w:rFonts w:ascii="Calibri" w:hAnsi="Calibri"/>
          <w:sz w:val="22"/>
          <w:szCs w:val="22"/>
        </w:rPr>
      </w:pPr>
      <w:r/>
      <w:hyperlink w:tooltip="#_Toc88819294" w:anchor="_Toc88819294" w:history="1">
        <w:r>
          <w:rPr>
            <w:rStyle w:val="1020"/>
          </w:rPr>
          <w:t xml:space="preserve">Таблица </w:t>
        </w:r>
        <w:r>
          <w:rPr>
            <w:rFonts w:ascii="Calibri" w:hAnsi="Calibri"/>
            <w:sz w:val="22"/>
            <w:szCs w:val="22"/>
          </w:rPr>
          <w:tab/>
        </w:r>
        <w:r>
          <w:rPr>
            <w:rStyle w:val="1020"/>
          </w:rPr>
          <w:t xml:space="preserve">108. Описание полей документа «Сведения об операциях с целевыми средствами», закладки «Дополнительные атрибуты (3)»</w:t>
        </w:r>
        <w:r>
          <w:tab/>
        </w:r>
        <w:r>
          <w:fldChar w:fldCharType="begin"/>
        </w:r>
        <w:r>
          <w:instrText xml:space="preserve"> PAGEREF _Toc88819294 \h </w:instrText>
        </w:r>
        <w:r/>
        <w:r>
          <w:fldChar w:fldCharType="separate"/>
        </w:r>
        <w:r>
          <w:t xml:space="preserve">414</w:t>
        </w:r>
        <w:r>
          <w:fldChar w:fldCharType="end"/>
        </w:r>
      </w:hyperlink>
      <w:r/>
      <w:r/>
    </w:p>
    <w:p>
      <w:pPr>
        <w:pStyle w:val="1152"/>
        <w:rPr>
          <w:rFonts w:ascii="Calibri" w:hAnsi="Calibri"/>
          <w:sz w:val="22"/>
          <w:szCs w:val="22"/>
        </w:rPr>
      </w:pPr>
      <w:r/>
      <w:hyperlink w:tooltip="#_Toc88819295" w:anchor="_Toc88819295" w:history="1">
        <w:r>
          <w:rPr>
            <w:rStyle w:val="1020"/>
          </w:rPr>
          <w:t xml:space="preserve">Таблица </w:t>
        </w:r>
        <w:r>
          <w:rPr>
            <w:rFonts w:ascii="Calibri" w:hAnsi="Calibri"/>
            <w:sz w:val="22"/>
            <w:szCs w:val="22"/>
          </w:rPr>
          <w:tab/>
        </w:r>
        <w:r>
          <w:rPr>
            <w:rStyle w:val="1020"/>
          </w:rPr>
          <w:t xml:space="preserve">109. Описание полей документа «Перечень целевых субсидий», закладки «Документ»</w:t>
        </w:r>
        <w:r>
          <w:tab/>
        </w:r>
        <w:r>
          <w:fldChar w:fldCharType="begin"/>
        </w:r>
        <w:r>
          <w:instrText xml:space="preserve"> PAGEREF _Toc88819295 \h </w:instrText>
        </w:r>
        <w:r/>
        <w:r>
          <w:fldChar w:fldCharType="separate"/>
        </w:r>
        <w:r>
          <w:t xml:space="preserve">417</w:t>
        </w:r>
        <w:r>
          <w:fldChar w:fldCharType="end"/>
        </w:r>
      </w:hyperlink>
      <w:r/>
      <w:r/>
    </w:p>
    <w:p>
      <w:pPr>
        <w:pStyle w:val="1152"/>
        <w:rPr>
          <w:rFonts w:ascii="Calibri" w:hAnsi="Calibri"/>
          <w:sz w:val="22"/>
          <w:szCs w:val="22"/>
        </w:rPr>
      </w:pPr>
      <w:r/>
      <w:hyperlink w:tooltip="#_Toc88819296" w:anchor="_Toc88819296" w:history="1">
        <w:r>
          <w:rPr>
            <w:rStyle w:val="1020"/>
          </w:rPr>
          <w:t xml:space="preserve">Таблица </w:t>
        </w:r>
        <w:r>
          <w:rPr>
            <w:rFonts w:ascii="Calibri" w:hAnsi="Calibri"/>
            <w:sz w:val="22"/>
            <w:szCs w:val="22"/>
          </w:rPr>
          <w:tab/>
        </w:r>
        <w:r>
          <w:rPr>
            <w:rStyle w:val="1020"/>
          </w:rPr>
          <w:t xml:space="preserve">110. Описание полей документа «Перечень целевых субсидий», закладки «Дополнительные атрибуты»</w:t>
        </w:r>
        <w:r>
          <w:tab/>
        </w:r>
        <w:r>
          <w:fldChar w:fldCharType="begin"/>
        </w:r>
        <w:r>
          <w:instrText xml:space="preserve"> PAGEREF _Toc88819296 \h </w:instrText>
        </w:r>
        <w:r/>
        <w:r>
          <w:fldChar w:fldCharType="separate"/>
        </w:r>
        <w:r>
          <w:t xml:space="preserve">420</w:t>
        </w:r>
        <w:r>
          <w:fldChar w:fldCharType="end"/>
        </w:r>
      </w:hyperlink>
      <w:r/>
      <w:r/>
    </w:p>
    <w:p>
      <w:pPr>
        <w:pStyle w:val="1152"/>
        <w:rPr>
          <w:rFonts w:ascii="Calibri" w:hAnsi="Calibri"/>
          <w:sz w:val="22"/>
          <w:szCs w:val="22"/>
        </w:rPr>
      </w:pPr>
      <w:r/>
      <w:hyperlink w:tooltip="#_Toc88819297" w:anchor="_Toc88819297" w:history="1">
        <w:r>
          <w:rPr>
            <w:rStyle w:val="1020"/>
          </w:rPr>
          <w:t xml:space="preserve">Таблица </w:t>
        </w:r>
        <w:r>
          <w:rPr>
            <w:rFonts w:ascii="Calibri" w:hAnsi="Calibri"/>
            <w:sz w:val="22"/>
            <w:szCs w:val="22"/>
          </w:rPr>
          <w:tab/>
        </w:r>
        <w:r>
          <w:rPr>
            <w:rStyle w:val="1020"/>
          </w:rPr>
          <w:t xml:space="preserve">111. Описание полей документа «Расходная декларация», закладки «Заголовок»</w:t>
        </w:r>
        <w:r>
          <w:tab/>
        </w:r>
        <w:r>
          <w:fldChar w:fldCharType="begin"/>
        </w:r>
        <w:r>
          <w:instrText xml:space="preserve"> PAGEREF _Toc88819297 \h </w:instrText>
        </w:r>
        <w:r/>
        <w:r>
          <w:fldChar w:fldCharType="separate"/>
        </w:r>
        <w:r>
          <w:t xml:space="preserve">422</w:t>
        </w:r>
        <w:r>
          <w:fldChar w:fldCharType="end"/>
        </w:r>
      </w:hyperlink>
      <w:r/>
      <w:r/>
    </w:p>
    <w:p>
      <w:pPr>
        <w:pStyle w:val="1152"/>
        <w:rPr>
          <w:rFonts w:ascii="Calibri" w:hAnsi="Calibri"/>
          <w:sz w:val="22"/>
          <w:szCs w:val="22"/>
        </w:rPr>
      </w:pPr>
      <w:r/>
      <w:hyperlink w:tooltip="#_Toc88819298" w:anchor="_Toc88819298" w:history="1">
        <w:r>
          <w:rPr>
            <w:rStyle w:val="1020"/>
          </w:rPr>
          <w:t xml:space="preserve">Таблица </w:t>
        </w:r>
        <w:r>
          <w:rPr>
            <w:rFonts w:ascii="Calibri" w:hAnsi="Calibri"/>
            <w:sz w:val="22"/>
            <w:szCs w:val="22"/>
          </w:rPr>
          <w:tab/>
        </w:r>
        <w:r>
          <w:rPr>
            <w:rStyle w:val="1020"/>
          </w:rPr>
          <w:t xml:space="preserve">112. Описание полей документа «Расходная декларация», закладки «Информация о структуре цены договора»</w:t>
        </w:r>
        <w:r>
          <w:tab/>
        </w:r>
        <w:r>
          <w:fldChar w:fldCharType="begin"/>
        </w:r>
        <w:r>
          <w:instrText xml:space="preserve"> PAGEREF _Toc88819298 \h </w:instrText>
        </w:r>
        <w:r/>
        <w:r>
          <w:fldChar w:fldCharType="separate"/>
        </w:r>
        <w:r>
          <w:t xml:space="preserve">425</w:t>
        </w:r>
        <w:r>
          <w:fldChar w:fldCharType="end"/>
        </w:r>
      </w:hyperlink>
      <w:r/>
      <w:r/>
    </w:p>
    <w:p>
      <w:pPr>
        <w:pStyle w:val="1152"/>
        <w:rPr>
          <w:rFonts w:ascii="Calibri" w:hAnsi="Calibri"/>
          <w:sz w:val="22"/>
          <w:szCs w:val="22"/>
        </w:rPr>
      </w:pPr>
      <w:r/>
      <w:hyperlink w:tooltip="#_Toc88819299" w:anchor="_Toc88819299" w:history="1">
        <w:r>
          <w:rPr>
            <w:rStyle w:val="1020"/>
          </w:rPr>
          <w:t xml:space="preserve">Наименование поля</w:t>
        </w:r>
        <w:r>
          <w:tab/>
        </w:r>
        <w:r>
          <w:fldChar w:fldCharType="begin"/>
        </w:r>
        <w:r>
          <w:instrText xml:space="preserve"> PAGEREF _Toc88819299 \h </w:instrText>
        </w:r>
        <w:r/>
        <w:r>
          <w:fldChar w:fldCharType="separate"/>
        </w:r>
        <w:r>
          <w:t xml:space="preserve">425</w:t>
        </w:r>
        <w:r>
          <w:fldChar w:fldCharType="end"/>
        </w:r>
      </w:hyperlink>
      <w:r/>
      <w:r/>
    </w:p>
    <w:p>
      <w:pPr>
        <w:pStyle w:val="1152"/>
        <w:rPr>
          <w:rFonts w:ascii="Calibri" w:hAnsi="Calibri"/>
          <w:sz w:val="22"/>
          <w:szCs w:val="22"/>
        </w:rPr>
      </w:pPr>
      <w:r/>
      <w:hyperlink w:tooltip="#_Toc88819300" w:anchor="_Toc88819300" w:history="1">
        <w:r>
          <w:rPr>
            <w:rStyle w:val="1020"/>
          </w:rPr>
          <w:t xml:space="preserve">Таблица </w:t>
        </w:r>
        <w:r>
          <w:rPr>
            <w:rFonts w:ascii="Calibri" w:hAnsi="Calibri"/>
            <w:sz w:val="22"/>
            <w:szCs w:val="22"/>
          </w:rPr>
          <w:tab/>
        </w:r>
        <w:r>
          <w:rPr>
            <w:rStyle w:val="1020"/>
          </w:rPr>
          <w:t xml:space="preserve">113. Описание полей документа «Расходная декларация», закладки «Реквизиты подписи»</w:t>
        </w:r>
        <w:r>
          <w:tab/>
        </w:r>
        <w:r>
          <w:fldChar w:fldCharType="begin"/>
        </w:r>
        <w:r>
          <w:instrText xml:space="preserve"> PAGEREF _Toc88819300 \h </w:instrText>
        </w:r>
        <w:r/>
        <w:r>
          <w:fldChar w:fldCharType="separate"/>
        </w:r>
        <w:r>
          <w:t xml:space="preserve">427</w:t>
        </w:r>
        <w:r>
          <w:fldChar w:fldCharType="end"/>
        </w:r>
      </w:hyperlink>
      <w:r/>
      <w:r/>
    </w:p>
    <w:p>
      <w:pPr>
        <w:pStyle w:val="1152"/>
        <w:rPr>
          <w:rFonts w:ascii="Calibri" w:hAnsi="Calibri"/>
          <w:sz w:val="22"/>
          <w:szCs w:val="22"/>
        </w:rPr>
      </w:pPr>
      <w:r/>
      <w:hyperlink w:tooltip="#_Toc88819301" w:anchor="_Toc88819301" w:history="1">
        <w:r>
          <w:rPr>
            <w:rStyle w:val="1020"/>
          </w:rPr>
          <w:t xml:space="preserve">Таблица </w:t>
        </w:r>
        <w:r>
          <w:rPr>
            <w:rFonts w:ascii="Calibri" w:hAnsi="Calibri"/>
            <w:sz w:val="22"/>
            <w:szCs w:val="22"/>
          </w:rPr>
          <w:tab/>
        </w:r>
        <w:r>
          <w:rPr>
            <w:rStyle w:val="1020"/>
          </w:rPr>
          <w:t xml:space="preserve">114. Описание полей документа «Сводные отчеты», закладки «Основные атрибуты»</w:t>
        </w:r>
        <w:r>
          <w:tab/>
        </w:r>
        <w:r>
          <w:fldChar w:fldCharType="begin"/>
        </w:r>
        <w:r>
          <w:instrText xml:space="preserve"> PAGEREF _Toc88819301 \h </w:instrText>
        </w:r>
        <w:r/>
        <w:r>
          <w:fldChar w:fldCharType="separate"/>
        </w:r>
        <w:r>
          <w:t xml:space="preserve">430</w:t>
        </w:r>
        <w:r>
          <w:fldChar w:fldCharType="end"/>
        </w:r>
      </w:hyperlink>
      <w:r/>
      <w:r/>
    </w:p>
    <w:p>
      <w:pPr>
        <w:pStyle w:val="1152"/>
        <w:rPr>
          <w:rFonts w:ascii="Calibri" w:hAnsi="Calibri"/>
          <w:sz w:val="22"/>
          <w:szCs w:val="22"/>
        </w:rPr>
      </w:pPr>
      <w:r/>
      <w:hyperlink w:tooltip="#_Toc88819302" w:anchor="_Toc88819302" w:history="1">
        <w:r>
          <w:rPr>
            <w:rStyle w:val="1020"/>
          </w:rPr>
          <w:t xml:space="preserve">Таблица </w:t>
        </w:r>
        <w:r>
          <w:rPr>
            <w:rFonts w:ascii="Calibri" w:hAnsi="Calibri"/>
            <w:sz w:val="22"/>
            <w:szCs w:val="22"/>
          </w:rPr>
          <w:tab/>
        </w:r>
        <w:r>
          <w:rPr>
            <w:rStyle w:val="1020"/>
          </w:rPr>
          <w:t xml:space="preserve">115. Описание полей документа «Сводные отчеты», закладки «Дополнительные атрибуты»</w:t>
        </w:r>
        <w:r>
          <w:tab/>
        </w:r>
        <w:r>
          <w:fldChar w:fldCharType="begin"/>
        </w:r>
        <w:r>
          <w:instrText xml:space="preserve"> PAGEREF _Toc88819302 \h </w:instrText>
        </w:r>
        <w:r/>
        <w:r>
          <w:fldChar w:fldCharType="separate"/>
        </w:r>
        <w:r>
          <w:t xml:space="preserve">431</w:t>
        </w:r>
        <w:r>
          <w:fldChar w:fldCharType="end"/>
        </w:r>
      </w:hyperlink>
      <w:r/>
      <w:r/>
    </w:p>
    <w:p>
      <w:pPr>
        <w:pStyle w:val="1152"/>
        <w:rPr>
          <w:rFonts w:ascii="Calibri" w:hAnsi="Calibri"/>
          <w:sz w:val="22"/>
          <w:szCs w:val="22"/>
        </w:rPr>
      </w:pPr>
      <w:r/>
      <w:hyperlink w:tooltip="#_Toc88819303" w:anchor="_Toc88819303" w:history="1">
        <w:r>
          <w:rPr>
            <w:rStyle w:val="1020"/>
          </w:rPr>
          <w:t xml:space="preserve">Таблица </w:t>
        </w:r>
        <w:r>
          <w:rPr>
            <w:rFonts w:ascii="Calibri" w:hAnsi="Calibri"/>
            <w:sz w:val="22"/>
            <w:szCs w:val="22"/>
          </w:rPr>
          <w:tab/>
        </w:r>
        <w:r>
          <w:rPr>
            <w:rStyle w:val="1020"/>
          </w:rPr>
          <w:t xml:space="preserve">116. Описание полей документа «Протоколы для отчетов»</w:t>
        </w:r>
        <w:r>
          <w:tab/>
        </w:r>
        <w:r>
          <w:fldChar w:fldCharType="begin"/>
        </w:r>
        <w:r>
          <w:instrText xml:space="preserve"> PAGEREF _Toc88819303 \h </w:instrText>
        </w:r>
        <w:r/>
        <w:r>
          <w:fldChar w:fldCharType="separate"/>
        </w:r>
        <w:r>
          <w:t xml:space="preserve">433</w:t>
        </w:r>
        <w:r>
          <w:fldChar w:fldCharType="end"/>
        </w:r>
      </w:hyperlink>
      <w:r/>
      <w:r/>
    </w:p>
    <w:p>
      <w:pPr>
        <w:pStyle w:val="1152"/>
        <w:rPr>
          <w:rFonts w:ascii="Calibri" w:hAnsi="Calibri"/>
          <w:sz w:val="22"/>
          <w:szCs w:val="22"/>
        </w:rPr>
      </w:pPr>
      <w:r/>
      <w:hyperlink w:tooltip="#_Toc88819304" w:anchor="_Toc88819304" w:history="1">
        <w:r>
          <w:rPr>
            <w:rStyle w:val="1020"/>
          </w:rPr>
          <w:t xml:space="preserve">Таблица </w:t>
        </w:r>
        <w:r>
          <w:rPr>
            <w:rFonts w:ascii="Calibri" w:hAnsi="Calibri"/>
            <w:sz w:val="22"/>
            <w:szCs w:val="22"/>
          </w:rPr>
          <w:tab/>
        </w:r>
        <w:r>
          <w:rPr>
            <w:rStyle w:val="1020"/>
          </w:rPr>
          <w:t xml:space="preserve">117. Описание полей документа «Справка о межбюджетной задолженности ф. 0521441», закладки «Документ»</w:t>
        </w:r>
        <w:r>
          <w:tab/>
        </w:r>
        <w:r>
          <w:fldChar w:fldCharType="begin"/>
        </w:r>
        <w:r>
          <w:instrText xml:space="preserve"> PAGEREF _Toc88819304 \h </w:instrText>
        </w:r>
        <w:r/>
        <w:r>
          <w:fldChar w:fldCharType="separate"/>
        </w:r>
        <w:r>
          <w:t xml:space="preserve">435</w:t>
        </w:r>
        <w:r>
          <w:fldChar w:fldCharType="end"/>
        </w:r>
      </w:hyperlink>
      <w:r/>
      <w:r/>
    </w:p>
    <w:p>
      <w:pPr>
        <w:pStyle w:val="1152"/>
        <w:rPr>
          <w:rFonts w:ascii="Calibri" w:hAnsi="Calibri"/>
          <w:sz w:val="22"/>
          <w:szCs w:val="22"/>
        </w:rPr>
      </w:pPr>
      <w:r/>
      <w:hyperlink w:tooltip="#_Toc88819305" w:anchor="_Toc88819305" w:history="1">
        <w:r>
          <w:rPr>
            <w:rStyle w:val="1020"/>
          </w:rPr>
          <w:t xml:space="preserve">Таблица </w:t>
        </w:r>
        <w:r>
          <w:rPr>
            <w:rFonts w:ascii="Calibri" w:hAnsi="Calibri"/>
            <w:sz w:val="22"/>
            <w:szCs w:val="22"/>
          </w:rPr>
          <w:tab/>
        </w:r>
        <w:r>
          <w:rPr>
            <w:rStyle w:val="1020"/>
          </w:rPr>
          <w:t xml:space="preserve">118. Описание полей документа «Справка о межбюджетной задолженности ф. 0521441», закладки «Дополнительные атрибуты»</w:t>
        </w:r>
        <w:r>
          <w:tab/>
        </w:r>
        <w:r>
          <w:fldChar w:fldCharType="begin"/>
        </w:r>
        <w:r>
          <w:instrText xml:space="preserve"> PAGEREF _Toc88819305 \h </w:instrText>
        </w:r>
        <w:r/>
        <w:r>
          <w:fldChar w:fldCharType="separate"/>
        </w:r>
        <w:r>
          <w:t xml:space="preserve">436</w:t>
        </w:r>
        <w:r>
          <w:fldChar w:fldCharType="end"/>
        </w:r>
      </w:hyperlink>
      <w:r/>
      <w:r/>
    </w:p>
    <w:p>
      <w:pPr>
        <w:pStyle w:val="1152"/>
        <w:rPr>
          <w:rFonts w:ascii="Calibri" w:hAnsi="Calibri"/>
          <w:sz w:val="22"/>
          <w:szCs w:val="22"/>
        </w:rPr>
      </w:pPr>
      <w:r/>
      <w:hyperlink w:tooltip="#_Toc88819306" w:anchor="_Toc88819306" w:history="1">
        <w:r>
          <w:rPr>
            <w:rStyle w:val="1020"/>
          </w:rPr>
          <w:t xml:space="preserve">Таблица </w:t>
        </w:r>
        <w:r>
          <w:rPr>
            <w:rFonts w:ascii="Calibri" w:hAnsi="Calibri"/>
            <w:sz w:val="22"/>
            <w:szCs w:val="22"/>
          </w:rPr>
          <w:tab/>
        </w:r>
        <w:r>
          <w:rPr>
            <w:rStyle w:val="1020"/>
          </w:rPr>
          <w:t xml:space="preserve">119. Описание полей документа «Периодические отчеты», закладки «Основные атрибуты»</w:t>
        </w:r>
        <w:r>
          <w:tab/>
        </w:r>
        <w:r>
          <w:fldChar w:fldCharType="begin"/>
        </w:r>
        <w:r>
          <w:instrText xml:space="preserve"> PAGEREF _Toc88819306 \h </w:instrText>
        </w:r>
        <w:r/>
        <w:r>
          <w:fldChar w:fldCharType="separate"/>
        </w:r>
        <w:r>
          <w:t xml:space="preserve">438</w:t>
        </w:r>
        <w:r>
          <w:fldChar w:fldCharType="end"/>
        </w:r>
      </w:hyperlink>
      <w:r/>
      <w:r/>
    </w:p>
    <w:p>
      <w:pPr>
        <w:pStyle w:val="1152"/>
        <w:rPr>
          <w:rFonts w:ascii="Calibri" w:hAnsi="Calibri"/>
          <w:sz w:val="22"/>
          <w:szCs w:val="22"/>
        </w:rPr>
      </w:pPr>
      <w:r/>
      <w:hyperlink w:tooltip="#_Toc88819307" w:anchor="_Toc88819307" w:history="1">
        <w:r>
          <w:rPr>
            <w:rStyle w:val="1020"/>
          </w:rPr>
          <w:t xml:space="preserve">Таблица </w:t>
        </w:r>
        <w:r>
          <w:rPr>
            <w:rFonts w:ascii="Calibri" w:hAnsi="Calibri"/>
            <w:sz w:val="22"/>
            <w:szCs w:val="22"/>
          </w:rPr>
          <w:tab/>
        </w:r>
        <w:r>
          <w:rPr>
            <w:rStyle w:val="1020"/>
          </w:rPr>
          <w:t xml:space="preserve">120. Описание полей документа «Периодические отчеты», закладки «Системные атрибуты»</w:t>
        </w:r>
        <w:r>
          <w:tab/>
        </w:r>
        <w:r>
          <w:fldChar w:fldCharType="begin"/>
        </w:r>
        <w:r>
          <w:instrText xml:space="preserve"> PAGEREF _Toc88819307 \h </w:instrText>
        </w:r>
        <w:r/>
        <w:r>
          <w:fldChar w:fldCharType="separate"/>
        </w:r>
        <w:r>
          <w:t xml:space="preserve">439</w:t>
        </w:r>
        <w:r>
          <w:fldChar w:fldCharType="end"/>
        </w:r>
      </w:hyperlink>
      <w:r/>
      <w:r/>
    </w:p>
    <w:p>
      <w:pPr>
        <w:pStyle w:val="1152"/>
        <w:rPr>
          <w:rFonts w:ascii="Calibri" w:hAnsi="Calibri"/>
          <w:sz w:val="22"/>
          <w:szCs w:val="22"/>
        </w:rPr>
      </w:pPr>
      <w:r/>
      <w:hyperlink w:tooltip="#_Toc88819308" w:anchor="_Toc88819308" w:history="1">
        <w:r>
          <w:rPr>
            <w:rStyle w:val="1020"/>
          </w:rPr>
          <w:t xml:space="preserve">Таблица </w:t>
        </w:r>
        <w:r>
          <w:rPr>
            <w:rFonts w:ascii="Calibri" w:hAnsi="Calibri"/>
            <w:sz w:val="22"/>
            <w:szCs w:val="22"/>
          </w:rPr>
          <w:tab/>
        </w:r>
        <w:r>
          <w:rPr>
            <w:rStyle w:val="1020"/>
          </w:rPr>
          <w:t xml:space="preserve">121. Описание полей документа «Периодические отчеты», закладки «Системные атрибуты»</w:t>
        </w:r>
        <w:r>
          <w:tab/>
        </w:r>
        <w:r>
          <w:fldChar w:fldCharType="begin"/>
        </w:r>
        <w:r>
          <w:instrText xml:space="preserve"> PAGEREF _Toc88819308 \h </w:instrText>
        </w:r>
        <w:r/>
        <w:r>
          <w:fldChar w:fldCharType="separate"/>
        </w:r>
        <w:r>
          <w:t xml:space="preserve">440</w:t>
        </w:r>
        <w:r>
          <w:fldChar w:fldCharType="end"/>
        </w:r>
      </w:hyperlink>
      <w:r/>
      <w:r/>
    </w:p>
    <w:p>
      <w:pPr>
        <w:pStyle w:val="1152"/>
        <w:rPr>
          <w:rFonts w:ascii="Calibri" w:hAnsi="Calibri"/>
          <w:sz w:val="22"/>
          <w:szCs w:val="22"/>
        </w:rPr>
      </w:pPr>
      <w:r/>
      <w:hyperlink w:tooltip="#_Toc88819309" w:anchor="_Toc88819309" w:history="1">
        <w:r>
          <w:rPr>
            <w:rStyle w:val="1020"/>
          </w:rPr>
          <w:t xml:space="preserve">Таблица </w:t>
        </w:r>
        <w:r>
          <w:rPr>
            <w:rFonts w:ascii="Calibri" w:hAnsi="Calibri"/>
            <w:sz w:val="22"/>
            <w:szCs w:val="22"/>
          </w:rPr>
          <w:tab/>
        </w:r>
        <w:r>
          <w:rPr>
            <w:rStyle w:val="1020"/>
          </w:rPr>
          <w:t xml:space="preserve">122. Описание полей документа «Перечень финансового органа», закладки «Общая информация»</w:t>
        </w:r>
        <w:r>
          <w:tab/>
        </w:r>
        <w:r>
          <w:fldChar w:fldCharType="begin"/>
        </w:r>
        <w:r>
          <w:instrText xml:space="preserve"> PAGEREF _Toc88819309 \h </w:instrText>
        </w:r>
        <w:r/>
        <w:r>
          <w:fldChar w:fldCharType="separate"/>
        </w:r>
        <w:r>
          <w:t xml:space="preserve">443</w:t>
        </w:r>
        <w:r>
          <w:fldChar w:fldCharType="end"/>
        </w:r>
      </w:hyperlink>
      <w:r/>
      <w:r/>
    </w:p>
    <w:p>
      <w:pPr>
        <w:pStyle w:val="1152"/>
        <w:rPr>
          <w:rFonts w:ascii="Calibri" w:hAnsi="Calibri"/>
          <w:sz w:val="22"/>
          <w:szCs w:val="22"/>
        </w:rPr>
      </w:pPr>
      <w:r/>
      <w:hyperlink w:tooltip="#_Toc88819310" w:anchor="_Toc88819310" w:history="1">
        <w:r>
          <w:rPr>
            <w:rStyle w:val="1020"/>
          </w:rPr>
          <w:t xml:space="preserve">Таблица </w:t>
        </w:r>
        <w:r>
          <w:rPr>
            <w:rFonts w:ascii="Calibri" w:hAnsi="Calibri"/>
            <w:sz w:val="22"/>
            <w:szCs w:val="22"/>
          </w:rPr>
          <w:tab/>
        </w:r>
        <w:r>
          <w:rPr>
            <w:rStyle w:val="1020"/>
          </w:rPr>
          <w:t xml:space="preserve">123. Описание полей документа «Перечень финансового органа», закладки «Реквизиты удаленного УБП/НУБП»</w:t>
        </w:r>
        <w:r>
          <w:tab/>
        </w:r>
        <w:r>
          <w:fldChar w:fldCharType="begin"/>
        </w:r>
        <w:r>
          <w:instrText xml:space="preserve"> PAGEREF _Toc88819310 \h </w:instrText>
        </w:r>
        <w:r/>
        <w:r>
          <w:fldChar w:fldCharType="separate"/>
        </w:r>
        <w:r>
          <w:t xml:space="preserve">445</w:t>
        </w:r>
        <w:r>
          <w:fldChar w:fldCharType="end"/>
        </w:r>
      </w:hyperlink>
      <w:r/>
      <w:r/>
    </w:p>
    <w:p>
      <w:pPr>
        <w:pStyle w:val="1152"/>
        <w:rPr>
          <w:rFonts w:ascii="Calibri" w:hAnsi="Calibri"/>
          <w:sz w:val="22"/>
          <w:szCs w:val="22"/>
        </w:rPr>
      </w:pPr>
      <w:r/>
      <w:hyperlink w:tooltip="#_Toc88819311" w:anchor="_Toc88819311" w:history="1">
        <w:r>
          <w:rPr>
            <w:rStyle w:val="1020"/>
          </w:rPr>
          <w:t xml:space="preserve">Таблица </w:t>
        </w:r>
        <w:r>
          <w:rPr>
            <w:rFonts w:ascii="Calibri" w:hAnsi="Calibri"/>
            <w:sz w:val="22"/>
            <w:szCs w:val="22"/>
          </w:rPr>
          <w:tab/>
        </w:r>
        <w:r>
          <w:rPr>
            <w:rStyle w:val="1020"/>
          </w:rPr>
          <w:t xml:space="preserve">124. Описание полей документа «Перечень финансового органа», закладки «Подписи»</w:t>
        </w:r>
        <w:r>
          <w:tab/>
        </w:r>
        <w:r>
          <w:fldChar w:fldCharType="begin"/>
        </w:r>
        <w:r>
          <w:instrText xml:space="preserve"> PAGEREF _Toc88819311 \h </w:instrText>
        </w:r>
        <w:r/>
        <w:r>
          <w:fldChar w:fldCharType="separate"/>
        </w:r>
        <w:r>
          <w:t xml:space="preserve">446</w:t>
        </w:r>
        <w:r>
          <w:fldChar w:fldCharType="end"/>
        </w:r>
      </w:hyperlink>
      <w:r/>
      <w:r/>
    </w:p>
    <w:p>
      <w:pPr>
        <w:pStyle w:val="1152"/>
        <w:rPr>
          <w:rFonts w:ascii="Calibri" w:hAnsi="Calibri"/>
          <w:sz w:val="22"/>
          <w:szCs w:val="22"/>
        </w:rPr>
      </w:pPr>
      <w:r/>
      <w:hyperlink w:tooltip="#_Toc88819312" w:anchor="_Toc88819312" w:history="1">
        <w:r>
          <w:rPr>
            <w:rStyle w:val="1020"/>
          </w:rPr>
          <w:t xml:space="preserve">Таблица </w:t>
        </w:r>
        <w:r>
          <w:rPr>
            <w:rFonts w:ascii="Calibri" w:hAnsi="Calibri"/>
            <w:sz w:val="22"/>
            <w:szCs w:val="22"/>
          </w:rPr>
          <w:tab/>
        </w:r>
        <w:r>
          <w:rPr>
            <w:rStyle w:val="1020"/>
          </w:rPr>
          <w:t xml:space="preserve">125. Описание полей документа «Запрос о получении информации по ЭПС участника»</w:t>
        </w:r>
        <w:r>
          <w:tab/>
        </w:r>
        <w:r>
          <w:fldChar w:fldCharType="begin"/>
        </w:r>
        <w:r>
          <w:instrText xml:space="preserve"> PAGEREF _Toc88819312 \h </w:instrText>
        </w:r>
        <w:r/>
        <w:r>
          <w:fldChar w:fldCharType="separate"/>
        </w:r>
        <w:r>
          <w:t xml:space="preserve">449</w:t>
        </w:r>
        <w:r>
          <w:fldChar w:fldCharType="end"/>
        </w:r>
      </w:hyperlink>
      <w:r/>
      <w:r/>
    </w:p>
    <w:p>
      <w:pPr>
        <w:pStyle w:val="1152"/>
        <w:rPr>
          <w:rFonts w:ascii="Calibri" w:hAnsi="Calibri"/>
          <w:sz w:val="22"/>
          <w:szCs w:val="22"/>
        </w:rPr>
      </w:pPr>
      <w:r/>
      <w:hyperlink w:tooltip="#_Toc88819313" w:anchor="_Toc88819313" w:history="1">
        <w:r>
          <w:rPr>
            <w:rStyle w:val="1020"/>
          </w:rPr>
          <w:t xml:space="preserve">Таблица </w:t>
        </w:r>
        <w:r>
          <w:rPr>
            <w:rFonts w:ascii="Calibri" w:hAnsi="Calibri"/>
            <w:sz w:val="22"/>
            <w:szCs w:val="22"/>
          </w:rPr>
          <w:tab/>
        </w:r>
        <w:r>
          <w:rPr>
            <w:rStyle w:val="1020"/>
          </w:rPr>
          <w:t xml:space="preserve">126. Описание полей документа «Ответ на запрос (уведомление) по ЭПС участника»</w:t>
        </w:r>
        <w:r>
          <w:tab/>
        </w:r>
        <w:r>
          <w:fldChar w:fldCharType="begin"/>
        </w:r>
        <w:r>
          <w:instrText xml:space="preserve"> PAGEREF _Toc88819313 \h </w:instrText>
        </w:r>
        <w:r/>
        <w:r>
          <w:fldChar w:fldCharType="separate"/>
        </w:r>
        <w:r>
          <w:t xml:space="preserve">455</w:t>
        </w:r>
        <w:r>
          <w:fldChar w:fldCharType="end"/>
        </w:r>
      </w:hyperlink>
      <w:r/>
      <w:r/>
    </w:p>
    <w:p>
      <w:pPr>
        <w:pStyle w:val="1152"/>
        <w:rPr>
          <w:rFonts w:ascii="Calibri" w:hAnsi="Calibri"/>
          <w:sz w:val="22"/>
          <w:szCs w:val="22"/>
        </w:rPr>
      </w:pPr>
      <w:r/>
      <w:hyperlink w:tooltip="#_Toc88819314" w:anchor="_Toc88819314" w:history="1">
        <w:r>
          <w:rPr>
            <w:rStyle w:val="1020"/>
          </w:rPr>
          <w:t xml:space="preserve">Таблица </w:t>
        </w:r>
        <w:r>
          <w:rPr>
            <w:rFonts w:ascii="Calibri" w:hAnsi="Calibri"/>
            <w:sz w:val="22"/>
            <w:szCs w:val="22"/>
          </w:rPr>
          <w:tab/>
        </w:r>
        <w:r>
          <w:rPr>
            <w:rStyle w:val="1020"/>
          </w:rPr>
          <w:t xml:space="preserve">127. Описание полей документа «Способы автоматического импорта файлов», закладки «Отправитель и получатель документа»</w:t>
        </w:r>
        <w:r>
          <w:tab/>
        </w:r>
        <w:r>
          <w:fldChar w:fldCharType="begin"/>
        </w:r>
        <w:r>
          <w:instrText xml:space="preserve"> PAGEREF _Toc88819314 \h </w:instrText>
        </w:r>
        <w:r/>
        <w:r>
          <w:fldChar w:fldCharType="separate"/>
        </w:r>
        <w:r>
          <w:t xml:space="preserve">461</w:t>
        </w:r>
        <w:r>
          <w:fldChar w:fldCharType="end"/>
        </w:r>
      </w:hyperlink>
      <w:r/>
      <w:r/>
    </w:p>
    <w:p>
      <w:pPr>
        <w:pStyle w:val="1152"/>
        <w:rPr>
          <w:rFonts w:ascii="Calibri" w:hAnsi="Calibri"/>
          <w:sz w:val="22"/>
          <w:szCs w:val="22"/>
        </w:rPr>
      </w:pPr>
      <w:r/>
      <w:hyperlink w:tooltip="#_Toc88819315" w:anchor="_Toc88819315" w:history="1">
        <w:r>
          <w:rPr>
            <w:rStyle w:val="1020"/>
          </w:rPr>
          <w:t xml:space="preserve">Таблица </w:t>
        </w:r>
        <w:r>
          <w:rPr>
            <w:rFonts w:ascii="Calibri" w:hAnsi="Calibri"/>
            <w:sz w:val="22"/>
            <w:szCs w:val="22"/>
          </w:rPr>
          <w:tab/>
        </w:r>
        <w:r>
          <w:rPr>
            <w:rStyle w:val="1020"/>
          </w:rPr>
          <w:t xml:space="preserve">128. Описание полей документа «Способы автоматического импорта файлов», закладки «Параметры документа Информационное сообщение»</w:t>
        </w:r>
        <w:r>
          <w:tab/>
        </w:r>
        <w:r>
          <w:fldChar w:fldCharType="begin"/>
        </w:r>
        <w:r>
          <w:instrText xml:space="preserve"> PAGEREF _Toc88819315 \h </w:instrText>
        </w:r>
        <w:r/>
        <w:r>
          <w:fldChar w:fldCharType="separate"/>
        </w:r>
        <w:r>
          <w:t xml:space="preserve">463</w:t>
        </w:r>
        <w:r>
          <w:fldChar w:fldCharType="end"/>
        </w:r>
      </w:hyperlink>
      <w:r/>
      <w:r/>
    </w:p>
    <w:p>
      <w:pPr>
        <w:pStyle w:val="1152"/>
        <w:rPr>
          <w:rFonts w:ascii="Calibri" w:hAnsi="Calibri"/>
          <w:sz w:val="22"/>
          <w:szCs w:val="22"/>
        </w:rPr>
      </w:pPr>
      <w:r/>
      <w:hyperlink w:tooltip="#_Toc88819316" w:anchor="_Toc88819316" w:history="1">
        <w:r>
          <w:rPr>
            <w:rStyle w:val="1020"/>
          </w:rPr>
          <w:t xml:space="preserve">Таблица </w:t>
        </w:r>
        <w:r>
          <w:rPr>
            <w:rFonts w:ascii="Calibri" w:hAnsi="Calibri"/>
            <w:sz w:val="22"/>
            <w:szCs w:val="22"/>
          </w:rPr>
          <w:tab/>
        </w:r>
        <w:r>
          <w:rPr>
            <w:rStyle w:val="1020"/>
          </w:rPr>
          <w:t xml:space="preserve">129. Описание полей документа «Способы автоматического импорта файлов», закладки «Дополнительные операции»</w:t>
        </w:r>
        <w:r>
          <w:tab/>
        </w:r>
        <w:r>
          <w:fldChar w:fldCharType="begin"/>
        </w:r>
        <w:r>
          <w:instrText xml:space="preserve"> PAGEREF _Toc88819316 \h </w:instrText>
        </w:r>
        <w:r/>
        <w:r>
          <w:fldChar w:fldCharType="separate"/>
        </w:r>
        <w:r>
          <w:t xml:space="preserve">464</w:t>
        </w:r>
        <w:r>
          <w:fldChar w:fldCharType="end"/>
        </w:r>
      </w:hyperlink>
      <w:r/>
      <w:r/>
    </w:p>
    <w:p>
      <w:pPr>
        <w:pStyle w:val="1152"/>
        <w:rPr>
          <w:rFonts w:ascii="Calibri" w:hAnsi="Calibri"/>
          <w:sz w:val="22"/>
          <w:szCs w:val="22"/>
        </w:rPr>
      </w:pPr>
      <w:r/>
      <w:hyperlink w:tooltip="#_Toc88819317" w:anchor="_Toc88819317" w:history="1">
        <w:r>
          <w:rPr>
            <w:rStyle w:val="1020"/>
          </w:rPr>
          <w:t xml:space="preserve">Таблица </w:t>
        </w:r>
        <w:r>
          <w:rPr>
            <w:rFonts w:ascii="Calibri" w:hAnsi="Calibri"/>
            <w:sz w:val="22"/>
            <w:szCs w:val="22"/>
          </w:rPr>
          <w:tab/>
        </w:r>
        <w:r>
          <w:rPr>
            <w:rStyle w:val="1020"/>
          </w:rPr>
          <w:t xml:space="preserve">130. Описание полей документа «Способы автоматического экспорта документов»</w:t>
        </w:r>
        <w:r>
          <w:tab/>
        </w:r>
        <w:r>
          <w:fldChar w:fldCharType="begin"/>
        </w:r>
        <w:r>
          <w:instrText xml:space="preserve"> PAGEREF _Toc88819317 \h </w:instrText>
        </w:r>
        <w:r/>
        <w:r>
          <w:fldChar w:fldCharType="separate"/>
        </w:r>
        <w:r>
          <w:t xml:space="preserve">466</w:t>
        </w:r>
        <w:r>
          <w:fldChar w:fldCharType="end"/>
        </w:r>
      </w:hyperlink>
      <w:r/>
      <w:r/>
    </w:p>
    <w:p>
      <w:pPr>
        <w:pStyle w:val="1152"/>
        <w:rPr>
          <w:rFonts w:ascii="Calibri" w:hAnsi="Calibri"/>
          <w:sz w:val="22"/>
          <w:szCs w:val="22"/>
        </w:rPr>
      </w:pPr>
      <w:r/>
      <w:hyperlink w:tooltip="#_Toc88819318" w:anchor="_Toc88819318" w:history="1">
        <w:r>
          <w:rPr>
            <w:rStyle w:val="1020"/>
          </w:rPr>
          <w:t xml:space="preserve">Таблица </w:t>
        </w:r>
        <w:r>
          <w:rPr>
            <w:rFonts w:ascii="Calibri" w:hAnsi="Calibri"/>
            <w:sz w:val="22"/>
            <w:szCs w:val="22"/>
          </w:rPr>
          <w:tab/>
        </w:r>
        <w:r>
          <w:rPr>
            <w:rStyle w:val="1020"/>
          </w:rPr>
          <w:t xml:space="preserve">131. Описание полей документа «Отчеты», закладки «Основные атрибуты»</w:t>
        </w:r>
        <w:r>
          <w:tab/>
        </w:r>
        <w:r>
          <w:fldChar w:fldCharType="begin"/>
        </w:r>
        <w:r>
          <w:instrText xml:space="preserve"> PAGEREF _Toc88819318 \h </w:instrText>
        </w:r>
        <w:r/>
        <w:r>
          <w:fldChar w:fldCharType="separate"/>
        </w:r>
        <w:r>
          <w:t xml:space="preserve">470</w:t>
        </w:r>
        <w:r>
          <w:fldChar w:fldCharType="end"/>
        </w:r>
      </w:hyperlink>
      <w:r/>
      <w:r/>
    </w:p>
    <w:p>
      <w:pPr>
        <w:pStyle w:val="1152"/>
        <w:rPr>
          <w:rFonts w:ascii="Calibri" w:hAnsi="Calibri"/>
          <w:sz w:val="22"/>
          <w:szCs w:val="22"/>
        </w:rPr>
      </w:pPr>
      <w:r/>
      <w:hyperlink w:tooltip="#_Toc88819319" w:anchor="_Toc88819319" w:history="1">
        <w:r>
          <w:rPr>
            <w:rStyle w:val="1020"/>
          </w:rPr>
          <w:t xml:space="preserve">Таблица </w:t>
        </w:r>
        <w:r>
          <w:rPr>
            <w:rFonts w:ascii="Calibri" w:hAnsi="Calibri"/>
            <w:sz w:val="22"/>
            <w:szCs w:val="22"/>
          </w:rPr>
          <w:tab/>
        </w:r>
        <w:r>
          <w:rPr>
            <w:rStyle w:val="1020"/>
          </w:rPr>
          <w:t xml:space="preserve">132. Описание полей документа «Отчеты», закладки «Вложения»</w:t>
        </w:r>
        <w:r>
          <w:tab/>
        </w:r>
        <w:r>
          <w:fldChar w:fldCharType="begin"/>
        </w:r>
        <w:r>
          <w:instrText xml:space="preserve"> PAGEREF _Toc88819319 \h </w:instrText>
        </w:r>
        <w:r/>
        <w:r>
          <w:fldChar w:fldCharType="separate"/>
        </w:r>
        <w:r>
          <w:t xml:space="preserve">471</w:t>
        </w:r>
        <w:r>
          <w:fldChar w:fldCharType="end"/>
        </w:r>
      </w:hyperlink>
      <w:r/>
      <w:r/>
    </w:p>
    <w:p>
      <w:pPr>
        <w:pStyle w:val="1152"/>
        <w:rPr>
          <w:rFonts w:ascii="Calibri" w:hAnsi="Calibri"/>
          <w:sz w:val="22"/>
          <w:szCs w:val="22"/>
        </w:rPr>
      </w:pPr>
      <w:r/>
      <w:hyperlink w:tooltip="#_Toc88819320" w:anchor="_Toc88819320" w:history="1">
        <w:r>
          <w:rPr>
            <w:rStyle w:val="1020"/>
          </w:rPr>
          <w:t xml:space="preserve">Таблица </w:t>
        </w:r>
        <w:r>
          <w:rPr>
            <w:rFonts w:ascii="Calibri" w:hAnsi="Calibri"/>
            <w:sz w:val="22"/>
            <w:szCs w:val="22"/>
          </w:rPr>
          <w:tab/>
        </w:r>
        <w:r>
          <w:rPr>
            <w:rStyle w:val="1020"/>
          </w:rPr>
          <w:t xml:space="preserve">133. Описание полей документа «Отчеты», закладки «Реестр вложений первичных документов»</w:t>
        </w:r>
        <w:r>
          <w:tab/>
        </w:r>
        <w:r>
          <w:fldChar w:fldCharType="begin"/>
        </w:r>
        <w:r>
          <w:instrText xml:space="preserve"> PAGEREF _Toc88819320 \h </w:instrText>
        </w:r>
        <w:r/>
        <w:r>
          <w:fldChar w:fldCharType="separate"/>
        </w:r>
        <w:r>
          <w:t xml:space="preserve">472</w:t>
        </w:r>
        <w:r>
          <w:fldChar w:fldCharType="end"/>
        </w:r>
      </w:hyperlink>
      <w:r/>
      <w:r/>
    </w:p>
    <w:p>
      <w:pPr>
        <w:pStyle w:val="1152"/>
        <w:rPr>
          <w:rFonts w:ascii="Calibri" w:hAnsi="Calibri"/>
          <w:sz w:val="22"/>
          <w:szCs w:val="22"/>
        </w:rPr>
      </w:pPr>
      <w:r/>
      <w:hyperlink w:tooltip="#_Toc88819321" w:anchor="_Toc88819321" w:history="1">
        <w:r>
          <w:rPr>
            <w:rStyle w:val="1020"/>
          </w:rPr>
          <w:t xml:space="preserve">Таблица </w:t>
        </w:r>
        <w:r>
          <w:rPr>
            <w:rFonts w:ascii="Calibri" w:hAnsi="Calibri"/>
            <w:sz w:val="22"/>
            <w:szCs w:val="22"/>
          </w:rPr>
          <w:tab/>
        </w:r>
        <w:r>
          <w:rPr>
            <w:rStyle w:val="1020"/>
          </w:rPr>
          <w:t xml:space="preserve">134. Описание полей ЭФ документа «Информация РД»</w:t>
        </w:r>
        <w:r>
          <w:tab/>
        </w:r>
        <w:r>
          <w:fldChar w:fldCharType="begin"/>
        </w:r>
        <w:r>
          <w:instrText xml:space="preserve"> PAGEREF _Toc88819321 \h </w:instrText>
        </w:r>
        <w:r/>
        <w:r>
          <w:fldChar w:fldCharType="separate"/>
        </w:r>
        <w:r>
          <w:t xml:space="preserve">474</w:t>
        </w:r>
        <w:r>
          <w:fldChar w:fldCharType="end"/>
        </w:r>
      </w:hyperlink>
      <w:r/>
      <w:r/>
    </w:p>
    <w:p>
      <w:pPr>
        <w:pStyle w:val="1152"/>
        <w:rPr>
          <w:rFonts w:ascii="Calibri" w:hAnsi="Calibri"/>
          <w:sz w:val="22"/>
          <w:szCs w:val="22"/>
        </w:rPr>
      </w:pPr>
      <w:r/>
      <w:hyperlink w:tooltip="#_Toc88819322" w:anchor="_Toc88819322" w:history="1">
        <w:r>
          <w:rPr>
            <w:rStyle w:val="1020"/>
          </w:rPr>
          <w:t xml:space="preserve">Таблица </w:t>
        </w:r>
        <w:r>
          <w:rPr>
            <w:rFonts w:ascii="Calibri" w:hAnsi="Calibri"/>
            <w:sz w:val="22"/>
            <w:szCs w:val="22"/>
          </w:rPr>
          <w:tab/>
        </w:r>
        <w:r>
          <w:rPr>
            <w:rStyle w:val="1020"/>
          </w:rPr>
          <w:t xml:space="preserve">135. Описание полей документа «Информация из РД», закладки «Распоряжения о совершении казначейского платежа»</w:t>
        </w:r>
        <w:r>
          <w:tab/>
        </w:r>
        <w:r>
          <w:fldChar w:fldCharType="begin"/>
        </w:r>
        <w:r>
          <w:instrText xml:space="preserve"> PAGEREF _Toc88819322 \h </w:instrText>
        </w:r>
        <w:r/>
        <w:r>
          <w:fldChar w:fldCharType="separate"/>
        </w:r>
        <w:r>
          <w:t xml:space="preserve">478</w:t>
        </w:r>
        <w:r>
          <w:fldChar w:fldCharType="end"/>
        </w:r>
      </w:hyperlink>
      <w:r/>
      <w:r/>
    </w:p>
    <w:p>
      <w:pPr>
        <w:pStyle w:val="1152"/>
        <w:rPr>
          <w:rFonts w:ascii="Calibri" w:hAnsi="Calibri"/>
          <w:sz w:val="22"/>
          <w:szCs w:val="22"/>
        </w:rPr>
      </w:pPr>
      <w:r/>
      <w:hyperlink w:tooltip="#_Toc88819323" w:anchor="_Toc88819323" w:history="1">
        <w:r>
          <w:rPr>
            <w:rStyle w:val="1020"/>
          </w:rPr>
          <w:t xml:space="preserve">Таблица </w:t>
        </w:r>
        <w:r>
          <w:rPr>
            <w:rFonts w:ascii="Calibri" w:hAnsi="Calibri"/>
            <w:sz w:val="22"/>
            <w:szCs w:val="22"/>
          </w:rPr>
          <w:tab/>
        </w:r>
        <w:r>
          <w:rPr>
            <w:rStyle w:val="1020"/>
          </w:rPr>
          <w:t xml:space="preserve">136. Описание полей документа «Запрос на предоставление отчета клиента», закладки «Основные атрибуты»</w:t>
        </w:r>
        <w:r>
          <w:tab/>
        </w:r>
        <w:r>
          <w:fldChar w:fldCharType="begin"/>
        </w:r>
        <w:r>
          <w:instrText xml:space="preserve"> PAGEREF _Toc88819323 \h </w:instrText>
        </w:r>
        <w:r/>
        <w:r>
          <w:fldChar w:fldCharType="separate"/>
        </w:r>
        <w:r>
          <w:t xml:space="preserve">483</w:t>
        </w:r>
        <w:r>
          <w:fldChar w:fldCharType="end"/>
        </w:r>
      </w:hyperlink>
      <w:r/>
      <w:r/>
    </w:p>
    <w:p>
      <w:pPr>
        <w:pStyle w:val="1152"/>
        <w:rPr>
          <w:rFonts w:ascii="Calibri" w:hAnsi="Calibri"/>
          <w:sz w:val="22"/>
          <w:szCs w:val="22"/>
        </w:rPr>
      </w:pPr>
      <w:r/>
      <w:hyperlink w:tooltip="#_Toc88819324" w:anchor="_Toc88819324" w:history="1">
        <w:r>
          <w:rPr>
            <w:rStyle w:val="1020"/>
          </w:rPr>
          <w:t xml:space="preserve">Таблица </w:t>
        </w:r>
        <w:r>
          <w:rPr>
            <w:rFonts w:ascii="Calibri" w:hAnsi="Calibri"/>
            <w:sz w:val="22"/>
            <w:szCs w:val="22"/>
          </w:rPr>
          <w:tab/>
        </w:r>
        <w:r>
          <w:rPr>
            <w:rStyle w:val="1020"/>
          </w:rPr>
          <w:t xml:space="preserve">137. Соответствие типа л/с наименованию и коду формы отчета/выписки/приложения к выписке</w:t>
        </w:r>
        <w:r>
          <w:tab/>
        </w:r>
        <w:r>
          <w:fldChar w:fldCharType="begin"/>
        </w:r>
        <w:r>
          <w:instrText xml:space="preserve"> PAGEREF _Toc88819324 \h </w:instrText>
        </w:r>
        <w:r/>
        <w:r>
          <w:fldChar w:fldCharType="separate"/>
        </w:r>
        <w:r>
          <w:t xml:space="preserve">485</w:t>
        </w:r>
        <w:r>
          <w:fldChar w:fldCharType="end"/>
        </w:r>
      </w:hyperlink>
      <w:r/>
      <w:r/>
    </w:p>
    <w:p>
      <w:pPr>
        <w:pStyle w:val="1152"/>
        <w:rPr>
          <w:rFonts w:ascii="Calibri" w:hAnsi="Calibri"/>
          <w:sz w:val="22"/>
          <w:szCs w:val="22"/>
        </w:rPr>
      </w:pPr>
      <w:r/>
      <w:hyperlink w:tooltip="#_Toc88819325" w:anchor="_Toc88819325" w:history="1">
        <w:r>
          <w:rPr>
            <w:rStyle w:val="1020"/>
          </w:rPr>
          <w:t xml:space="preserve">Таблица </w:t>
        </w:r>
        <w:r>
          <w:rPr>
            <w:rFonts w:ascii="Calibri" w:hAnsi="Calibri"/>
            <w:sz w:val="22"/>
            <w:szCs w:val="22"/>
          </w:rPr>
          <w:tab/>
        </w:r>
        <w:r>
          <w:rPr>
            <w:rStyle w:val="1020"/>
          </w:rPr>
          <w:t xml:space="preserve">138. Описание полей документа «Запрос на предоставление отчета клиента», закладки «Подписи/Дополнительные атрибуты»</w:t>
        </w:r>
        <w:r>
          <w:tab/>
        </w:r>
        <w:r>
          <w:fldChar w:fldCharType="begin"/>
        </w:r>
        <w:r>
          <w:instrText xml:space="preserve"> PAGEREF _Toc88819325 \h </w:instrText>
        </w:r>
        <w:r/>
        <w:r>
          <w:fldChar w:fldCharType="separate"/>
        </w:r>
        <w:r>
          <w:t xml:space="preserve">487</w:t>
        </w:r>
        <w:r>
          <w:fldChar w:fldCharType="end"/>
        </w:r>
      </w:hyperlink>
      <w:r/>
      <w:r/>
    </w:p>
    <w:p>
      <w:pPr>
        <w:pStyle w:val="1152"/>
        <w:rPr>
          <w:rFonts w:ascii="Calibri" w:hAnsi="Calibri"/>
          <w:sz w:val="22"/>
          <w:szCs w:val="22"/>
        </w:rPr>
      </w:pPr>
      <w:r/>
      <w:hyperlink w:tooltip="#_Toc88819326" w:anchor="_Toc88819326" w:history="1">
        <w:r>
          <w:rPr>
            <w:rStyle w:val="1020"/>
          </w:rPr>
          <w:t xml:space="preserve">Таблица </w:t>
        </w:r>
        <w:r>
          <w:rPr>
            <w:rFonts w:ascii="Calibri" w:hAnsi="Calibri"/>
            <w:sz w:val="22"/>
            <w:szCs w:val="22"/>
          </w:rPr>
          <w:tab/>
        </w:r>
        <w:r>
          <w:rPr>
            <w:rStyle w:val="1020"/>
          </w:rPr>
          <w:t xml:space="preserve">139. Описание полей документа «Запрос на предоставление выписки из казначейского счета», закладки «Основные атрибуты»</w:t>
        </w:r>
        <w:r>
          <w:tab/>
        </w:r>
        <w:r>
          <w:fldChar w:fldCharType="begin"/>
        </w:r>
        <w:r>
          <w:instrText xml:space="preserve"> PAGEREF _Toc88819326 \h </w:instrText>
        </w:r>
        <w:r/>
        <w:r>
          <w:fldChar w:fldCharType="separate"/>
        </w:r>
        <w:r>
          <w:t xml:space="preserve">489</w:t>
        </w:r>
        <w:r>
          <w:fldChar w:fldCharType="end"/>
        </w:r>
      </w:hyperlink>
      <w:r/>
      <w:r/>
    </w:p>
    <w:p>
      <w:pPr>
        <w:pStyle w:val="1152"/>
        <w:rPr>
          <w:rFonts w:ascii="Calibri" w:hAnsi="Calibri"/>
          <w:sz w:val="22"/>
          <w:szCs w:val="22"/>
        </w:rPr>
      </w:pPr>
      <w:r/>
      <w:hyperlink w:tooltip="#_Toc88819327" w:anchor="_Toc88819327" w:history="1">
        <w:r>
          <w:rPr>
            <w:rStyle w:val="1020"/>
          </w:rPr>
          <w:t xml:space="preserve">Таблица </w:t>
        </w:r>
        <w:r>
          <w:rPr>
            <w:rFonts w:ascii="Calibri" w:hAnsi="Calibri"/>
            <w:sz w:val="22"/>
            <w:szCs w:val="22"/>
          </w:rPr>
          <w:tab/>
        </w:r>
        <w:r>
          <w:rPr>
            <w:rStyle w:val="1020"/>
          </w:rPr>
          <w:t xml:space="preserve">140. Соответствие типа л/с наименованию и коду формы отчета/выписки/приложения к выписке</w:t>
        </w:r>
        <w:r>
          <w:tab/>
        </w:r>
        <w:r>
          <w:fldChar w:fldCharType="begin"/>
        </w:r>
        <w:r>
          <w:instrText xml:space="preserve"> PAGEREF _Toc88819327 \h </w:instrText>
        </w:r>
        <w:r/>
        <w:r>
          <w:fldChar w:fldCharType="separate"/>
        </w:r>
        <w:r>
          <w:t xml:space="preserve">490</w:t>
        </w:r>
        <w:r>
          <w:fldChar w:fldCharType="end"/>
        </w:r>
      </w:hyperlink>
      <w:r/>
      <w:r/>
    </w:p>
    <w:p>
      <w:pPr>
        <w:pStyle w:val="1152"/>
        <w:rPr>
          <w:rFonts w:ascii="Calibri" w:hAnsi="Calibri"/>
          <w:sz w:val="22"/>
          <w:szCs w:val="22"/>
        </w:rPr>
      </w:pPr>
      <w:r/>
      <w:hyperlink w:tooltip="#_Toc88819328" w:anchor="_Toc88819328" w:history="1">
        <w:r>
          <w:rPr>
            <w:rStyle w:val="1020"/>
          </w:rPr>
          <w:t xml:space="preserve">Таблица </w:t>
        </w:r>
        <w:r>
          <w:rPr>
            <w:rFonts w:ascii="Calibri" w:hAnsi="Calibri"/>
            <w:sz w:val="22"/>
            <w:szCs w:val="22"/>
          </w:rPr>
          <w:tab/>
        </w:r>
        <w:r>
          <w:rPr>
            <w:rStyle w:val="1020"/>
          </w:rPr>
          <w:t xml:space="preserve">141. Описание полей документа «Запрос на предоставление выписки из казначейского счета», закладки «Подписи/Дополнительные атрибуты»</w:t>
        </w:r>
        <w:r>
          <w:tab/>
        </w:r>
        <w:r>
          <w:fldChar w:fldCharType="begin"/>
        </w:r>
        <w:r>
          <w:instrText xml:space="preserve"> PAGEREF _Toc88819328 \h </w:instrText>
        </w:r>
        <w:r/>
        <w:r>
          <w:fldChar w:fldCharType="separate"/>
        </w:r>
        <w:r>
          <w:t xml:space="preserve">492</w:t>
        </w:r>
        <w:r>
          <w:fldChar w:fldCharType="end"/>
        </w:r>
      </w:hyperlink>
      <w:r/>
      <w:r/>
    </w:p>
    <w:p>
      <w:pPr>
        <w:pStyle w:val="1152"/>
        <w:rPr>
          <w:rFonts w:ascii="Calibri" w:hAnsi="Calibri"/>
          <w:sz w:val="22"/>
          <w:szCs w:val="22"/>
        </w:rPr>
      </w:pPr>
      <w:r/>
      <w:hyperlink w:tooltip="#_Toc88819329" w:anchor="_Toc88819329" w:history="1">
        <w:r>
          <w:rPr>
            <w:rStyle w:val="1020"/>
          </w:rPr>
          <w:t xml:space="preserve">Таблица </w:t>
        </w:r>
        <w:r>
          <w:rPr>
            <w:rFonts w:ascii="Calibri" w:hAnsi="Calibri"/>
            <w:sz w:val="22"/>
            <w:szCs w:val="22"/>
          </w:rPr>
          <w:tab/>
        </w:r>
        <w:r>
          <w:rPr>
            <w:rStyle w:val="1020"/>
          </w:rPr>
          <w:t xml:space="preserve">142. Описание полей документа «Информация о кассовых операциях на лицевых счетах учреждений», табличного поля «Основные атрибуты»</w:t>
        </w:r>
        <w:r>
          <w:tab/>
        </w:r>
        <w:r>
          <w:fldChar w:fldCharType="begin"/>
        </w:r>
        <w:r>
          <w:instrText xml:space="preserve"> PAGEREF _Toc88819329 \h </w:instrText>
        </w:r>
        <w:r/>
        <w:r>
          <w:fldChar w:fldCharType="separate"/>
        </w:r>
        <w:r>
          <w:t xml:space="preserve">494</w:t>
        </w:r>
        <w:r>
          <w:fldChar w:fldCharType="end"/>
        </w:r>
      </w:hyperlink>
      <w:r/>
      <w:r/>
    </w:p>
    <w:p>
      <w:pPr>
        <w:pStyle w:val="1152"/>
        <w:rPr>
          <w:rFonts w:ascii="Calibri" w:hAnsi="Calibri"/>
          <w:sz w:val="22"/>
          <w:szCs w:val="22"/>
        </w:rPr>
      </w:pPr>
      <w:r/>
      <w:hyperlink w:tooltip="#_Toc88819330" w:anchor="_Toc88819330" w:history="1">
        <w:r>
          <w:rPr>
            <w:rStyle w:val="1020"/>
          </w:rPr>
          <w:t xml:space="preserve">Таблица </w:t>
        </w:r>
        <w:r>
          <w:rPr>
            <w:rFonts w:ascii="Calibri" w:hAnsi="Calibri"/>
            <w:sz w:val="22"/>
            <w:szCs w:val="22"/>
          </w:rPr>
          <w:tab/>
        </w:r>
        <w:r>
          <w:rPr>
            <w:rStyle w:val="1020"/>
          </w:rPr>
          <w:t xml:space="preserve">143. Описание полей документа «Информация о кассовых операциях на лицевых счетах учреждений», закладки «Заявка на кассовый расход»</w:t>
        </w:r>
        <w:r>
          <w:tab/>
        </w:r>
        <w:r>
          <w:fldChar w:fldCharType="begin"/>
        </w:r>
        <w:r>
          <w:instrText xml:space="preserve"> PAGEREF _Toc88819330 \h </w:instrText>
        </w:r>
        <w:r/>
        <w:r>
          <w:fldChar w:fldCharType="separate"/>
        </w:r>
        <w:r>
          <w:t xml:space="preserve">495</w:t>
        </w:r>
        <w:r>
          <w:fldChar w:fldCharType="end"/>
        </w:r>
      </w:hyperlink>
      <w:r/>
      <w:r/>
    </w:p>
    <w:p>
      <w:pPr>
        <w:pStyle w:val="1152"/>
        <w:rPr>
          <w:rFonts w:ascii="Calibri" w:hAnsi="Calibri"/>
          <w:sz w:val="22"/>
          <w:szCs w:val="22"/>
        </w:rPr>
      </w:pPr>
      <w:r/>
      <w:hyperlink w:tooltip="#_Toc88819331" w:anchor="_Toc88819331" w:history="1">
        <w:r>
          <w:rPr>
            <w:rStyle w:val="1020"/>
          </w:rPr>
          <w:t xml:space="preserve">Таблица </w:t>
        </w:r>
        <w:r>
          <w:rPr>
            <w:rFonts w:ascii="Calibri" w:hAnsi="Calibri"/>
            <w:sz w:val="22"/>
            <w:szCs w:val="22"/>
          </w:rPr>
          <w:tab/>
        </w:r>
        <w:r>
          <w:rPr>
            <w:rStyle w:val="1020"/>
          </w:rPr>
          <w:t xml:space="preserve">144. Описание полей документа «Информация о кассовых операциях на лицевых счетах учреждений», закладки «Заявка на кассовый расход сокращенная»</w:t>
        </w:r>
        <w:r>
          <w:tab/>
        </w:r>
        <w:r>
          <w:fldChar w:fldCharType="begin"/>
        </w:r>
        <w:r>
          <w:instrText xml:space="preserve"> PAGEREF _Toc88819331 \h </w:instrText>
        </w:r>
        <w:r/>
        <w:r>
          <w:fldChar w:fldCharType="separate"/>
        </w:r>
        <w:r>
          <w:t xml:space="preserve">498</w:t>
        </w:r>
        <w:r>
          <w:fldChar w:fldCharType="end"/>
        </w:r>
      </w:hyperlink>
      <w:r/>
      <w:r/>
    </w:p>
    <w:p>
      <w:pPr>
        <w:pStyle w:val="1152"/>
        <w:rPr>
          <w:rFonts w:ascii="Calibri" w:hAnsi="Calibri"/>
          <w:sz w:val="22"/>
          <w:szCs w:val="22"/>
        </w:rPr>
      </w:pPr>
      <w:r/>
      <w:hyperlink w:tooltip="#_Toc88819332" w:anchor="_Toc88819332" w:history="1">
        <w:r>
          <w:rPr>
            <w:rStyle w:val="1020"/>
          </w:rPr>
          <w:t xml:space="preserve">Таблица </w:t>
        </w:r>
        <w:r>
          <w:rPr>
            <w:rFonts w:ascii="Calibri" w:hAnsi="Calibri"/>
            <w:sz w:val="22"/>
            <w:szCs w:val="22"/>
          </w:rPr>
          <w:tab/>
        </w:r>
        <w:r>
          <w:rPr>
            <w:rStyle w:val="1020"/>
          </w:rPr>
          <w:t xml:space="preserve">145. Описание полей документа «Информация о кассовых операциях на лицевых счетах учреждений», закладки «Заявка на получение наличных денег»</w:t>
        </w:r>
        <w:r>
          <w:tab/>
        </w:r>
        <w:r>
          <w:fldChar w:fldCharType="begin"/>
        </w:r>
        <w:r>
          <w:instrText xml:space="preserve"> PAGEREF _Toc88819332 \h </w:instrText>
        </w:r>
        <w:r/>
        <w:r>
          <w:fldChar w:fldCharType="separate"/>
        </w:r>
        <w:r>
          <w:t xml:space="preserve">499</w:t>
        </w:r>
        <w:r>
          <w:fldChar w:fldCharType="end"/>
        </w:r>
      </w:hyperlink>
      <w:r/>
      <w:r/>
    </w:p>
    <w:p>
      <w:pPr>
        <w:pStyle w:val="1152"/>
        <w:rPr>
          <w:rFonts w:ascii="Calibri" w:hAnsi="Calibri"/>
          <w:sz w:val="22"/>
          <w:szCs w:val="22"/>
        </w:rPr>
      </w:pPr>
      <w:r/>
      <w:hyperlink w:tooltip="#_Toc88819333" w:anchor="_Toc88819333" w:history="1">
        <w:r>
          <w:rPr>
            <w:rStyle w:val="1020"/>
          </w:rPr>
          <w:t xml:space="preserve">Таблица </w:t>
        </w:r>
        <w:r>
          <w:rPr>
            <w:rFonts w:ascii="Calibri" w:hAnsi="Calibri"/>
            <w:sz w:val="22"/>
            <w:szCs w:val="22"/>
          </w:rPr>
          <w:tab/>
        </w:r>
        <w:r>
          <w:rPr>
            <w:rStyle w:val="1020"/>
          </w:rPr>
          <w:t xml:space="preserve">146. Описание полей документа «Информация о кассовых операциях на лицевых счетах учреждений», закладки «Заявка на получение наличных денег, перечисляемых на карту»</w:t>
        </w:r>
        <w:r>
          <w:tab/>
        </w:r>
        <w:r>
          <w:fldChar w:fldCharType="begin"/>
        </w:r>
        <w:r>
          <w:instrText xml:space="preserve"> PAGEREF _Toc88819333 \h </w:instrText>
        </w:r>
        <w:r/>
        <w:r>
          <w:fldChar w:fldCharType="separate"/>
        </w:r>
        <w:r>
          <w:t xml:space="preserve">501</w:t>
        </w:r>
        <w:r>
          <w:fldChar w:fldCharType="end"/>
        </w:r>
      </w:hyperlink>
      <w:r/>
      <w:r/>
    </w:p>
    <w:p>
      <w:pPr>
        <w:pStyle w:val="1152"/>
        <w:rPr>
          <w:rFonts w:ascii="Calibri" w:hAnsi="Calibri"/>
          <w:sz w:val="22"/>
          <w:szCs w:val="22"/>
        </w:rPr>
      </w:pPr>
      <w:r/>
      <w:hyperlink w:tooltip="#_Toc88819334" w:anchor="_Toc88819334" w:history="1">
        <w:r>
          <w:rPr>
            <w:rStyle w:val="1020"/>
          </w:rPr>
          <w:t xml:space="preserve">Таблица </w:t>
        </w:r>
        <w:r>
          <w:rPr>
            <w:rFonts w:ascii="Calibri" w:hAnsi="Calibri"/>
            <w:sz w:val="22"/>
            <w:szCs w:val="22"/>
          </w:rPr>
          <w:tab/>
        </w:r>
        <w:r>
          <w:rPr>
            <w:rStyle w:val="1020"/>
          </w:rPr>
          <w:t xml:space="preserve">147. Описание полей документа «Информация о кассовых операциях на лицевых счетах учреждений», закладки «Заявка на возврат»</w:t>
        </w:r>
        <w:r>
          <w:tab/>
        </w:r>
        <w:r>
          <w:fldChar w:fldCharType="begin"/>
        </w:r>
        <w:r>
          <w:instrText xml:space="preserve"> PAGEREF _Toc88819334 \h </w:instrText>
        </w:r>
        <w:r/>
        <w:r>
          <w:fldChar w:fldCharType="separate"/>
        </w:r>
        <w:r>
          <w:t xml:space="preserve">503</w:t>
        </w:r>
        <w:r>
          <w:fldChar w:fldCharType="end"/>
        </w:r>
      </w:hyperlink>
      <w:r/>
      <w:r/>
    </w:p>
    <w:p>
      <w:pPr>
        <w:pStyle w:val="1152"/>
        <w:rPr>
          <w:rFonts w:ascii="Calibri" w:hAnsi="Calibri"/>
          <w:sz w:val="22"/>
          <w:szCs w:val="22"/>
        </w:rPr>
      </w:pPr>
      <w:r/>
      <w:hyperlink w:tooltip="#_Toc88819335" w:anchor="_Toc88819335" w:history="1">
        <w:r>
          <w:rPr>
            <w:rStyle w:val="1020"/>
          </w:rPr>
          <w:t xml:space="preserve">Таблица </w:t>
        </w:r>
        <w:r>
          <w:rPr>
            <w:rFonts w:ascii="Calibri" w:hAnsi="Calibri"/>
            <w:sz w:val="22"/>
            <w:szCs w:val="22"/>
          </w:rPr>
          <w:tab/>
        </w:r>
        <w:r>
          <w:rPr>
            <w:rStyle w:val="1020"/>
          </w:rPr>
          <w:t xml:space="preserve">148. Описание полей документа «Информация о кассовых операциях на лицевых счетах учреждений», закладки «Бухгалтерская справка ф. 0504833»</w:t>
        </w:r>
        <w:r>
          <w:tab/>
        </w:r>
        <w:r>
          <w:fldChar w:fldCharType="begin"/>
        </w:r>
        <w:r>
          <w:instrText xml:space="preserve"> PAGEREF _Toc88819335 \h </w:instrText>
        </w:r>
        <w:r/>
        <w:r>
          <w:fldChar w:fldCharType="separate"/>
        </w:r>
        <w:r>
          <w:t xml:space="preserve">505</w:t>
        </w:r>
        <w:r>
          <w:fldChar w:fldCharType="end"/>
        </w:r>
      </w:hyperlink>
      <w:r/>
      <w:r/>
    </w:p>
    <w:p>
      <w:pPr>
        <w:pStyle w:val="1152"/>
        <w:rPr>
          <w:rFonts w:ascii="Calibri" w:hAnsi="Calibri"/>
          <w:sz w:val="22"/>
          <w:szCs w:val="22"/>
        </w:rPr>
      </w:pPr>
      <w:r/>
      <w:hyperlink w:tooltip="#_Toc88819336" w:anchor="_Toc88819336" w:history="1">
        <w:r>
          <w:rPr>
            <w:rStyle w:val="1020"/>
          </w:rPr>
          <w:t xml:space="preserve">Таблица </w:t>
        </w:r>
        <w:r>
          <w:rPr>
            <w:rFonts w:ascii="Calibri" w:hAnsi="Calibri"/>
            <w:sz w:val="22"/>
            <w:szCs w:val="22"/>
          </w:rPr>
          <w:tab/>
        </w:r>
        <w:r>
          <w:rPr>
            <w:rStyle w:val="1020"/>
          </w:rPr>
          <w:t xml:space="preserve">149. Описание полей документа «Информация о кассовых операциях на лицевых счетах учреждений», закладки «Уведомление об уточнении операций клиента»</w:t>
        </w:r>
        <w:r>
          <w:tab/>
        </w:r>
        <w:r>
          <w:fldChar w:fldCharType="begin"/>
        </w:r>
        <w:r>
          <w:instrText xml:space="preserve"> PAGEREF _Toc88819336 \h </w:instrText>
        </w:r>
        <w:r/>
        <w:r>
          <w:fldChar w:fldCharType="separate"/>
        </w:r>
        <w:r>
          <w:t xml:space="preserve">507</w:t>
        </w:r>
        <w:r>
          <w:fldChar w:fldCharType="end"/>
        </w:r>
      </w:hyperlink>
      <w:r/>
      <w:r/>
    </w:p>
    <w:p>
      <w:pPr>
        <w:pStyle w:val="1152"/>
        <w:rPr>
          <w:rFonts w:ascii="Calibri" w:hAnsi="Calibri"/>
          <w:sz w:val="22"/>
          <w:szCs w:val="22"/>
        </w:rPr>
      </w:pPr>
      <w:r/>
      <w:hyperlink w:tooltip="#_Toc88819337" w:anchor="_Toc88819337" w:history="1">
        <w:r>
          <w:rPr>
            <w:rStyle w:val="1020"/>
          </w:rPr>
          <w:t xml:space="preserve">Таблица </w:t>
        </w:r>
        <w:r>
          <w:rPr>
            <w:rFonts w:ascii="Calibri" w:hAnsi="Calibri"/>
            <w:sz w:val="22"/>
            <w:szCs w:val="22"/>
          </w:rPr>
          <w:tab/>
        </w:r>
        <w:r>
          <w:rPr>
            <w:rStyle w:val="1020"/>
          </w:rPr>
          <w:t xml:space="preserve">150. Описание полей документа «Информация о кассовых операциях на лицевых счетах учреждений», закладки «Уведомление об уточнении вида и принадлежности платежа»</w:t>
        </w:r>
        <w:r>
          <w:tab/>
        </w:r>
        <w:r>
          <w:fldChar w:fldCharType="begin"/>
        </w:r>
        <w:r>
          <w:instrText xml:space="preserve"> PAGEREF _Toc88819337 \h </w:instrText>
        </w:r>
        <w:r/>
        <w:r>
          <w:fldChar w:fldCharType="separate"/>
        </w:r>
        <w:r>
          <w:t xml:space="preserve">509</w:t>
        </w:r>
        <w:r>
          <w:fldChar w:fldCharType="end"/>
        </w:r>
      </w:hyperlink>
      <w:r/>
      <w:r/>
    </w:p>
    <w:p>
      <w:pPr>
        <w:pStyle w:val="1152"/>
        <w:rPr>
          <w:rFonts w:ascii="Calibri" w:hAnsi="Calibri"/>
          <w:sz w:val="22"/>
          <w:szCs w:val="22"/>
        </w:rPr>
      </w:pPr>
      <w:r/>
      <w:hyperlink w:tooltip="#_Toc88819338" w:anchor="_Toc88819338" w:history="1">
        <w:r>
          <w:rPr>
            <w:rStyle w:val="1020"/>
          </w:rPr>
          <w:t xml:space="preserve">Таблица </w:t>
        </w:r>
        <w:r>
          <w:rPr>
            <w:rFonts w:ascii="Calibri" w:hAnsi="Calibri"/>
            <w:sz w:val="22"/>
            <w:szCs w:val="22"/>
          </w:rPr>
          <w:tab/>
        </w:r>
        <w:r>
          <w:rPr>
            <w:rStyle w:val="1020"/>
          </w:rPr>
          <w:t xml:space="preserve">151. Описание полей документа «Информация о кассовых операциях на лицевых счетах учреждений», закладки «Платежное поручение»</w:t>
        </w:r>
        <w:r>
          <w:tab/>
        </w:r>
        <w:r>
          <w:fldChar w:fldCharType="begin"/>
        </w:r>
        <w:r>
          <w:instrText xml:space="preserve"> PAGEREF _Toc88819338 \h </w:instrText>
        </w:r>
        <w:r/>
        <w:r>
          <w:fldChar w:fldCharType="separate"/>
        </w:r>
        <w:r>
          <w:t xml:space="preserve">511</w:t>
        </w:r>
        <w:r>
          <w:fldChar w:fldCharType="end"/>
        </w:r>
      </w:hyperlink>
      <w:r/>
      <w:r/>
    </w:p>
    <w:p>
      <w:pPr>
        <w:pStyle w:val="1152"/>
        <w:rPr>
          <w:rFonts w:ascii="Calibri" w:hAnsi="Calibri"/>
          <w:sz w:val="22"/>
          <w:szCs w:val="22"/>
        </w:rPr>
      </w:pPr>
      <w:r/>
      <w:hyperlink w:tooltip="#_Toc88819339" w:anchor="_Toc88819339" w:history="1">
        <w:r>
          <w:rPr>
            <w:rStyle w:val="1020"/>
          </w:rPr>
          <w:t xml:space="preserve">Таблица </w:t>
        </w:r>
        <w:r>
          <w:rPr>
            <w:rFonts w:ascii="Calibri" w:hAnsi="Calibri"/>
            <w:sz w:val="22"/>
            <w:szCs w:val="22"/>
          </w:rPr>
          <w:tab/>
        </w:r>
        <w:r>
          <w:rPr>
            <w:rStyle w:val="1020"/>
          </w:rPr>
          <w:t xml:space="preserve">152. Описание полей документа «Информация о кассовых операциях на лицевых счетах учреждений», закладки «Сводная заявка на кассовый расход»</w:t>
        </w:r>
        <w:r>
          <w:tab/>
        </w:r>
        <w:r>
          <w:fldChar w:fldCharType="begin"/>
        </w:r>
        <w:r>
          <w:instrText xml:space="preserve"> PAGEREF _Toc88819339 \h </w:instrText>
        </w:r>
        <w:r/>
        <w:r>
          <w:fldChar w:fldCharType="separate"/>
        </w:r>
        <w:r>
          <w:t xml:space="preserve">514</w:t>
        </w:r>
        <w:r>
          <w:fldChar w:fldCharType="end"/>
        </w:r>
      </w:hyperlink>
      <w:r/>
      <w:r/>
    </w:p>
    <w:p>
      <w:pPr>
        <w:pStyle w:val="1152"/>
        <w:rPr>
          <w:rFonts w:ascii="Calibri" w:hAnsi="Calibri"/>
          <w:sz w:val="22"/>
          <w:szCs w:val="22"/>
        </w:rPr>
      </w:pPr>
      <w:r/>
      <w:hyperlink w:tooltip="#_Toc88819340" w:anchor="_Toc88819340" w:history="1">
        <w:r>
          <w:rPr>
            <w:rStyle w:val="1020"/>
          </w:rPr>
          <w:t xml:space="preserve">Таблица </w:t>
        </w:r>
        <w:r>
          <w:rPr>
            <w:rFonts w:ascii="Calibri" w:hAnsi="Calibri"/>
            <w:sz w:val="22"/>
            <w:szCs w:val="22"/>
          </w:rPr>
          <w:tab/>
        </w:r>
        <w:r>
          <w:rPr>
            <w:rStyle w:val="1020"/>
          </w:rPr>
          <w:t xml:space="preserve">153.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tab/>
        </w:r>
        <w:r>
          <w:fldChar w:fldCharType="begin"/>
        </w:r>
        <w:r>
          <w:instrText xml:space="preserve"> PAGEREF _Toc88819340 \h </w:instrText>
        </w:r>
        <w:r/>
        <w:r>
          <w:fldChar w:fldCharType="separate"/>
        </w:r>
        <w:r>
          <w:t xml:space="preserve">516</w:t>
        </w:r>
        <w:r>
          <w:fldChar w:fldCharType="end"/>
        </w:r>
      </w:hyperlink>
      <w:r/>
      <w:r/>
    </w:p>
    <w:p>
      <w:pPr>
        <w:pStyle w:val="1152"/>
        <w:rPr>
          <w:rFonts w:ascii="Calibri" w:hAnsi="Calibri"/>
          <w:sz w:val="22"/>
          <w:szCs w:val="22"/>
        </w:rPr>
      </w:pPr>
      <w:r/>
      <w:hyperlink w:tooltip="#_Toc88819341" w:anchor="_Toc88819341" w:history="1">
        <w:r>
          <w:rPr>
            <w:rStyle w:val="1020"/>
          </w:rPr>
          <w:t xml:space="preserve">Таблица </w:t>
        </w:r>
        <w:r>
          <w:rPr>
            <w:rFonts w:ascii="Calibri" w:hAnsi="Calibri"/>
            <w:sz w:val="22"/>
            <w:szCs w:val="22"/>
          </w:rPr>
          <w:tab/>
        </w:r>
        <w:r>
          <w:rPr>
            <w:rStyle w:val="1020"/>
          </w:rPr>
          <w:t xml:space="preserve">154.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tab/>
        </w:r>
        <w:r>
          <w:fldChar w:fldCharType="begin"/>
        </w:r>
        <w:r>
          <w:instrText xml:space="preserve"> PAGEREF _Toc88819341 \h </w:instrText>
        </w:r>
        <w:r/>
        <w:r>
          <w:fldChar w:fldCharType="separate"/>
        </w:r>
        <w:r>
          <w:t xml:space="preserve">518</w:t>
        </w:r>
        <w:r>
          <w:fldChar w:fldCharType="end"/>
        </w:r>
      </w:hyperlink>
      <w:r/>
      <w:r/>
    </w:p>
    <w:p>
      <w:pPr>
        <w:pStyle w:val="1152"/>
        <w:rPr>
          <w:rFonts w:ascii="Calibri" w:hAnsi="Calibri"/>
          <w:sz w:val="22"/>
          <w:szCs w:val="22"/>
        </w:rPr>
      </w:pPr>
      <w:r/>
      <w:hyperlink w:tooltip="#_Toc88819342" w:anchor="_Toc88819342" w:history="1">
        <w:r>
          <w:rPr>
            <w:rStyle w:val="1020"/>
          </w:rPr>
          <w:t xml:space="preserve">Таблица </w:t>
        </w:r>
        <w:r>
          <w:rPr>
            <w:rFonts w:ascii="Calibri" w:hAnsi="Calibri"/>
            <w:sz w:val="22"/>
            <w:szCs w:val="22"/>
          </w:rPr>
          <w:tab/>
        </w:r>
        <w:r>
          <w:rPr>
            <w:rStyle w:val="1020"/>
          </w:rPr>
          <w:t xml:space="preserve">155.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r>
          <w:tab/>
        </w:r>
        <w:r>
          <w:fldChar w:fldCharType="begin"/>
        </w:r>
        <w:r>
          <w:instrText xml:space="preserve"> PAGEREF _Toc88819342 \h </w:instrText>
        </w:r>
        <w:r/>
        <w:r>
          <w:fldChar w:fldCharType="separate"/>
        </w:r>
        <w:r>
          <w:t xml:space="preserve">520</w:t>
        </w:r>
        <w:r>
          <w:fldChar w:fldCharType="end"/>
        </w:r>
      </w:hyperlink>
      <w:r/>
      <w:r/>
    </w:p>
    <w:p>
      <w:pPr>
        <w:pStyle w:val="1152"/>
        <w:rPr>
          <w:rFonts w:ascii="Calibri" w:hAnsi="Calibri"/>
          <w:sz w:val="22"/>
          <w:szCs w:val="22"/>
        </w:rPr>
      </w:pPr>
      <w:r/>
      <w:hyperlink w:tooltip="#_Toc88819343" w:anchor="_Toc88819343" w:history="1">
        <w:r>
          <w:rPr>
            <w:rStyle w:val="1020"/>
          </w:rPr>
          <w:t xml:space="preserve">Таблица </w:t>
        </w:r>
        <w:r>
          <w:rPr>
            <w:rFonts w:ascii="Calibri" w:hAnsi="Calibri"/>
            <w:sz w:val="22"/>
            <w:szCs w:val="22"/>
          </w:rPr>
          <w:tab/>
        </w:r>
        <w:r>
          <w:rPr>
            <w:rStyle w:val="1020"/>
          </w:rPr>
          <w:t xml:space="preserve">156. Описание полей документа «Бухгалтерская справка ф. 0504833»</w:t>
        </w:r>
        <w:r>
          <w:tab/>
        </w:r>
        <w:r>
          <w:fldChar w:fldCharType="begin"/>
        </w:r>
        <w:r>
          <w:instrText xml:space="preserve"> PAGEREF _Toc88819343 \h </w:instrText>
        </w:r>
        <w:r/>
        <w:r>
          <w:fldChar w:fldCharType="separate"/>
        </w:r>
        <w:r>
          <w:t xml:space="preserve">523</w:t>
        </w:r>
        <w:r>
          <w:fldChar w:fldCharType="end"/>
        </w:r>
      </w:hyperlink>
      <w:r/>
      <w:r/>
    </w:p>
    <w:p>
      <w:pPr>
        <w:pStyle w:val="1152"/>
        <w:rPr>
          <w:rFonts w:ascii="Calibri" w:hAnsi="Calibri"/>
          <w:sz w:val="22"/>
          <w:szCs w:val="22"/>
        </w:rPr>
      </w:pPr>
      <w:r/>
      <w:hyperlink w:tooltip="#_Toc88819344" w:anchor="_Toc88819344" w:history="1">
        <w:r>
          <w:rPr>
            <w:rStyle w:val="1020"/>
          </w:rPr>
          <w:t xml:space="preserve">Таблица </w:t>
        </w:r>
        <w:r>
          <w:rPr>
            <w:rFonts w:ascii="Calibri" w:hAnsi="Calibri"/>
            <w:sz w:val="22"/>
            <w:szCs w:val="22"/>
          </w:rPr>
          <w:tab/>
        </w:r>
        <w:r>
          <w:rPr>
            <w:rStyle w:val="1020"/>
          </w:rPr>
          <w:t xml:space="preserve">157. Описание полей документа «Отчетность ПУР»</w:t>
        </w:r>
        <w:r>
          <w:tab/>
        </w:r>
        <w:r>
          <w:fldChar w:fldCharType="begin"/>
        </w:r>
        <w:r>
          <w:instrText xml:space="preserve"> PAGEREF _Toc88819344 \h </w:instrText>
        </w:r>
        <w:r/>
        <w:r>
          <w:fldChar w:fldCharType="separate"/>
        </w:r>
        <w:r>
          <w:t xml:space="preserve">525</w:t>
        </w:r>
        <w:r>
          <w:fldChar w:fldCharType="end"/>
        </w:r>
      </w:hyperlink>
      <w:r/>
      <w:r/>
    </w:p>
    <w:p>
      <w:pPr>
        <w:pStyle w:val="1152"/>
        <w:rPr>
          <w:rFonts w:ascii="Calibri" w:hAnsi="Calibri"/>
          <w:sz w:val="22"/>
          <w:szCs w:val="22"/>
        </w:rPr>
      </w:pPr>
      <w:r/>
      <w:hyperlink w:tooltip="#_Toc88819345" w:anchor="_Toc88819345" w:history="1">
        <w:r>
          <w:rPr>
            <w:rStyle w:val="1020"/>
          </w:rPr>
          <w:t xml:space="preserve">Таблица </w:t>
        </w:r>
        <w:r>
          <w:rPr>
            <w:rFonts w:ascii="Calibri" w:hAnsi="Calibri"/>
            <w:sz w:val="22"/>
            <w:szCs w:val="22"/>
          </w:rPr>
          <w:tab/>
        </w:r>
        <w:r>
          <w:rPr>
            <w:rStyle w:val="1020"/>
          </w:rPr>
          <w:t xml:space="preserve">158. Описание полей документа «Сервисный документ доставки шаблона отчета»</w:t>
        </w:r>
        <w:r>
          <w:tab/>
        </w:r>
        <w:r>
          <w:fldChar w:fldCharType="begin"/>
        </w:r>
        <w:r>
          <w:instrText xml:space="preserve"> PAGEREF _Toc88819345 \h </w:instrText>
        </w:r>
        <w:r/>
        <w:r>
          <w:fldChar w:fldCharType="separate"/>
        </w:r>
        <w:r>
          <w:t xml:space="preserve">529</w:t>
        </w:r>
        <w:r>
          <w:fldChar w:fldCharType="end"/>
        </w:r>
      </w:hyperlink>
      <w:r/>
      <w:r/>
    </w:p>
    <w:p>
      <w:pPr>
        <w:pStyle w:val="1152"/>
        <w:rPr>
          <w:rFonts w:ascii="Calibri" w:hAnsi="Calibri"/>
          <w:sz w:val="22"/>
          <w:szCs w:val="22"/>
        </w:rPr>
      </w:pPr>
      <w:r/>
      <w:hyperlink w:tooltip="#_Toc88819346" w:anchor="_Toc88819346" w:history="1">
        <w:r>
          <w:rPr>
            <w:rStyle w:val="1020"/>
          </w:rPr>
          <w:t xml:space="preserve">Таблица </w:t>
        </w:r>
        <w:r>
          <w:rPr>
            <w:rFonts w:ascii="Calibri" w:hAnsi="Calibri"/>
            <w:sz w:val="22"/>
            <w:szCs w:val="22"/>
          </w:rPr>
          <w:tab/>
        </w:r>
        <w:r>
          <w:rPr>
            <w:rStyle w:val="1020"/>
          </w:rPr>
          <w:t xml:space="preserve">159. Описание полей документа «Перечень участников бюджетного процесса», закладки «Основные атрибуты»</w:t>
        </w:r>
        <w:r>
          <w:tab/>
        </w:r>
        <w:r>
          <w:fldChar w:fldCharType="begin"/>
        </w:r>
        <w:r>
          <w:instrText xml:space="preserve"> PAGEREF _Toc88819346 \h </w:instrText>
        </w:r>
        <w:r/>
        <w:r>
          <w:fldChar w:fldCharType="separate"/>
        </w:r>
        <w:r>
          <w:t xml:space="preserve">532</w:t>
        </w:r>
        <w:r>
          <w:fldChar w:fldCharType="end"/>
        </w:r>
      </w:hyperlink>
      <w:r/>
      <w:r/>
    </w:p>
    <w:p>
      <w:pPr>
        <w:pStyle w:val="1152"/>
        <w:rPr>
          <w:rFonts w:ascii="Calibri" w:hAnsi="Calibri"/>
          <w:sz w:val="22"/>
          <w:szCs w:val="22"/>
        </w:rPr>
      </w:pPr>
      <w:r/>
      <w:hyperlink w:tooltip="#_Toc88819347" w:anchor="_Toc88819347" w:history="1">
        <w:r>
          <w:rPr>
            <w:rStyle w:val="1020"/>
          </w:rPr>
          <w:t xml:space="preserve">Таблица </w:t>
        </w:r>
        <w:r>
          <w:rPr>
            <w:rFonts w:ascii="Calibri" w:hAnsi="Calibri"/>
            <w:sz w:val="22"/>
            <w:szCs w:val="22"/>
          </w:rPr>
          <w:tab/>
        </w:r>
        <w:r>
          <w:rPr>
            <w:rStyle w:val="1020"/>
          </w:rPr>
          <w:t xml:space="preserve">160. Описание полей документа «Перечень участников бюджетного процесса», закладки «Примечание»</w:t>
        </w:r>
        <w:r>
          <w:tab/>
        </w:r>
        <w:r>
          <w:fldChar w:fldCharType="begin"/>
        </w:r>
        <w:r>
          <w:instrText xml:space="preserve"> PAGEREF _Toc88819347 \h </w:instrText>
        </w:r>
        <w:r/>
        <w:r>
          <w:fldChar w:fldCharType="separate"/>
        </w:r>
        <w:r>
          <w:t xml:space="preserve">535</w:t>
        </w:r>
        <w:r>
          <w:fldChar w:fldCharType="end"/>
        </w:r>
      </w:hyperlink>
      <w:r/>
      <w:r/>
    </w:p>
    <w:p>
      <w:pPr>
        <w:pStyle w:val="1152"/>
        <w:rPr>
          <w:rFonts w:ascii="Calibri" w:hAnsi="Calibri"/>
          <w:sz w:val="22"/>
          <w:szCs w:val="22"/>
        </w:rPr>
      </w:pPr>
      <w:r/>
      <w:hyperlink w:tooltip="#_Toc88819348" w:anchor="_Toc88819348" w:history="1">
        <w:r>
          <w:rPr>
            <w:rStyle w:val="1020"/>
          </w:rPr>
          <w:t xml:space="preserve">Таблица </w:t>
        </w:r>
        <w:r>
          <w:rPr>
            <w:rFonts w:ascii="Calibri" w:hAnsi="Calibri"/>
            <w:sz w:val="22"/>
            <w:szCs w:val="22"/>
          </w:rPr>
          <w:tab/>
        </w:r>
        <w:r>
          <w:rPr>
            <w:rStyle w:val="1020"/>
          </w:rPr>
          <w:t xml:space="preserve">161. Описание полей документа «Информационное сообщение»</w:t>
        </w:r>
        <w:r>
          <w:tab/>
        </w:r>
        <w:r>
          <w:fldChar w:fldCharType="begin"/>
        </w:r>
        <w:r>
          <w:instrText xml:space="preserve"> PAGEREF _Toc88819348 \h </w:instrText>
        </w:r>
        <w:r/>
        <w:r>
          <w:fldChar w:fldCharType="separate"/>
        </w:r>
        <w:r>
          <w:t xml:space="preserve">538</w:t>
        </w:r>
        <w:r>
          <w:fldChar w:fldCharType="end"/>
        </w:r>
      </w:hyperlink>
      <w:r/>
      <w:r/>
    </w:p>
    <w:p>
      <w:pPr>
        <w:pStyle w:val="1152"/>
        <w:rPr>
          <w:rFonts w:ascii="Calibri" w:hAnsi="Calibri"/>
          <w:sz w:val="22"/>
          <w:szCs w:val="22"/>
        </w:rPr>
      </w:pPr>
      <w:r/>
      <w:hyperlink w:tooltip="#_Toc88819349" w:anchor="_Toc88819349" w:history="1">
        <w:r>
          <w:rPr>
            <w:rStyle w:val="1020"/>
          </w:rPr>
          <w:t xml:space="preserve">Таблица </w:t>
        </w:r>
        <w:r>
          <w:rPr>
            <w:rFonts w:ascii="Calibri" w:hAnsi="Calibri"/>
            <w:sz w:val="22"/>
            <w:szCs w:val="22"/>
          </w:rPr>
          <w:tab/>
        </w:r>
        <w:r>
          <w:rPr>
            <w:rStyle w:val="1020"/>
          </w:rPr>
          <w:t xml:space="preserve">162. Уточнения по доступности операций над документом «Кредитный договор»</w:t>
        </w:r>
        <w:r>
          <w:tab/>
        </w:r>
        <w:r>
          <w:fldChar w:fldCharType="begin"/>
        </w:r>
        <w:r>
          <w:instrText xml:space="preserve"> PAGEREF _Toc88819349 \h </w:instrText>
        </w:r>
        <w:r/>
        <w:r>
          <w:fldChar w:fldCharType="separate"/>
        </w:r>
        <w:r>
          <w:t xml:space="preserve">543</w:t>
        </w:r>
        <w:r>
          <w:fldChar w:fldCharType="end"/>
        </w:r>
      </w:hyperlink>
      <w:r/>
      <w:r/>
    </w:p>
    <w:p>
      <w:pPr>
        <w:pStyle w:val="1152"/>
        <w:rPr>
          <w:rFonts w:ascii="Calibri" w:hAnsi="Calibri"/>
          <w:sz w:val="22"/>
          <w:szCs w:val="22"/>
        </w:rPr>
      </w:pPr>
      <w:r/>
      <w:hyperlink w:tooltip="#_Toc88819350" w:anchor="_Toc88819350" w:history="1">
        <w:r>
          <w:rPr>
            <w:rStyle w:val="1020"/>
          </w:rPr>
          <w:t xml:space="preserve">Таблица </w:t>
        </w:r>
        <w:r>
          <w:rPr>
            <w:rFonts w:ascii="Calibri" w:hAnsi="Calibri"/>
            <w:sz w:val="22"/>
            <w:szCs w:val="22"/>
          </w:rPr>
          <w:tab/>
        </w:r>
        <w:r>
          <w:rPr>
            <w:rStyle w:val="1020"/>
          </w:rPr>
          <w:t xml:space="preserve">163. Описание полей документа «Кредитный договор», закладки «Документ (1)»</w:t>
        </w:r>
        <w:r>
          <w:tab/>
        </w:r>
        <w:r>
          <w:fldChar w:fldCharType="begin"/>
        </w:r>
        <w:r>
          <w:instrText xml:space="preserve"> PAGEREF _Toc88819350 \h </w:instrText>
        </w:r>
        <w:r/>
        <w:r>
          <w:fldChar w:fldCharType="separate"/>
        </w:r>
        <w:r>
          <w:t xml:space="preserve">545</w:t>
        </w:r>
        <w:r>
          <w:fldChar w:fldCharType="end"/>
        </w:r>
      </w:hyperlink>
      <w:r/>
      <w:r/>
    </w:p>
    <w:p>
      <w:pPr>
        <w:pStyle w:val="1152"/>
        <w:rPr>
          <w:rFonts w:ascii="Calibri" w:hAnsi="Calibri"/>
          <w:sz w:val="22"/>
          <w:szCs w:val="22"/>
        </w:rPr>
      </w:pPr>
      <w:r/>
      <w:hyperlink w:tooltip="#_Toc88819351" w:anchor="_Toc88819351" w:history="1">
        <w:r>
          <w:rPr>
            <w:rStyle w:val="1020"/>
          </w:rPr>
          <w:t xml:space="preserve">Таблица </w:t>
        </w:r>
        <w:r>
          <w:rPr>
            <w:rFonts w:ascii="Calibri" w:hAnsi="Calibri"/>
            <w:sz w:val="22"/>
            <w:szCs w:val="22"/>
          </w:rPr>
          <w:tab/>
        </w:r>
        <w:r>
          <w:rPr>
            <w:rStyle w:val="1020"/>
          </w:rPr>
          <w:t xml:space="preserve">164. Описание полей документа «Кредитный договор», закладки «Параметры Кредита (2)»</w:t>
        </w:r>
        <w:r>
          <w:tab/>
        </w:r>
        <w:r>
          <w:fldChar w:fldCharType="begin"/>
        </w:r>
        <w:r>
          <w:instrText xml:space="preserve"> PAGEREF _Toc88819351 \h </w:instrText>
        </w:r>
        <w:r/>
        <w:r>
          <w:fldChar w:fldCharType="separate"/>
        </w:r>
        <w:r>
          <w:t xml:space="preserve">547</w:t>
        </w:r>
        <w:r>
          <w:fldChar w:fldCharType="end"/>
        </w:r>
      </w:hyperlink>
      <w:r/>
      <w:r/>
    </w:p>
    <w:p>
      <w:pPr>
        <w:pStyle w:val="1152"/>
        <w:rPr>
          <w:rFonts w:ascii="Calibri" w:hAnsi="Calibri"/>
          <w:sz w:val="22"/>
          <w:szCs w:val="22"/>
        </w:rPr>
      </w:pPr>
      <w:r/>
      <w:hyperlink w:tooltip="#_Toc88819352" w:anchor="_Toc88819352" w:history="1">
        <w:r>
          <w:rPr>
            <w:rStyle w:val="1020"/>
          </w:rPr>
          <w:t xml:space="preserve">Таблица </w:t>
        </w:r>
        <w:r>
          <w:rPr>
            <w:rFonts w:ascii="Calibri" w:hAnsi="Calibri"/>
            <w:sz w:val="22"/>
            <w:szCs w:val="22"/>
          </w:rPr>
          <w:tab/>
        </w:r>
        <w:r>
          <w:rPr>
            <w:rStyle w:val="1020"/>
          </w:rPr>
          <w:t xml:space="preserve">165. Описание полей документа «Кредитный договор», закладки «Реквизиты сторон (3)»</w:t>
        </w:r>
        <w:r>
          <w:tab/>
        </w:r>
        <w:r>
          <w:fldChar w:fldCharType="begin"/>
        </w:r>
        <w:r>
          <w:instrText xml:space="preserve"> PAGEREF _Toc88819352 \h </w:instrText>
        </w:r>
        <w:r/>
        <w:r>
          <w:fldChar w:fldCharType="separate"/>
        </w:r>
        <w:r>
          <w:t xml:space="preserve">548</w:t>
        </w:r>
        <w:r>
          <w:fldChar w:fldCharType="end"/>
        </w:r>
      </w:hyperlink>
      <w:r/>
      <w:r/>
    </w:p>
    <w:p>
      <w:pPr>
        <w:pStyle w:val="1152"/>
        <w:rPr>
          <w:rFonts w:ascii="Calibri" w:hAnsi="Calibri"/>
          <w:sz w:val="22"/>
          <w:szCs w:val="22"/>
        </w:rPr>
      </w:pPr>
      <w:r/>
      <w:hyperlink w:tooltip="#_Toc88819353" w:anchor="_Toc88819353" w:history="1">
        <w:r>
          <w:rPr>
            <w:rStyle w:val="1020"/>
          </w:rPr>
          <w:t xml:space="preserve">Таблица </w:t>
        </w:r>
        <w:r>
          <w:rPr>
            <w:rFonts w:ascii="Calibri" w:hAnsi="Calibri"/>
            <w:sz w:val="22"/>
            <w:szCs w:val="22"/>
          </w:rPr>
          <w:tab/>
        </w:r>
        <w:r>
          <w:rPr>
            <w:rStyle w:val="1020"/>
          </w:rPr>
          <w:t xml:space="preserve">166. Описание полей документа «Кредитный договор», закладки «Подписи сторон (4)»</w:t>
        </w:r>
        <w:r>
          <w:tab/>
        </w:r>
        <w:r>
          <w:fldChar w:fldCharType="begin"/>
        </w:r>
        <w:r>
          <w:instrText xml:space="preserve"> PAGEREF _Toc88819353 \h </w:instrText>
        </w:r>
        <w:r/>
        <w:r>
          <w:fldChar w:fldCharType="separate"/>
        </w:r>
        <w:r>
          <w:t xml:space="preserve">550</w:t>
        </w:r>
        <w:r>
          <w:fldChar w:fldCharType="end"/>
        </w:r>
      </w:hyperlink>
      <w:r/>
      <w:r/>
    </w:p>
    <w:p>
      <w:pPr>
        <w:pStyle w:val="1152"/>
        <w:rPr>
          <w:rFonts w:ascii="Calibri" w:hAnsi="Calibri"/>
          <w:sz w:val="22"/>
          <w:szCs w:val="22"/>
        </w:rPr>
      </w:pPr>
      <w:r/>
      <w:hyperlink w:tooltip="#_Toc88819354" w:anchor="_Toc88819354" w:history="1">
        <w:r>
          <w:rPr>
            <w:rStyle w:val="1020"/>
          </w:rPr>
          <w:t xml:space="preserve">Таблица </w:t>
        </w:r>
        <w:r>
          <w:rPr>
            <w:rFonts w:ascii="Calibri" w:hAnsi="Calibri"/>
            <w:sz w:val="22"/>
            <w:szCs w:val="22"/>
          </w:rPr>
          <w:tab/>
        </w:r>
        <w:r>
          <w:rPr>
            <w:rStyle w:val="1020"/>
          </w:rPr>
          <w:t xml:space="preserve">167. Описание полей документа «Информационное сообщение» с типом «Уведомление об отказе в заключении Кредитного договора»</w:t>
        </w:r>
        <w:r>
          <w:tab/>
        </w:r>
        <w:r>
          <w:fldChar w:fldCharType="begin"/>
        </w:r>
        <w:r>
          <w:instrText xml:space="preserve"> PAGEREF _Toc88819354 \h </w:instrText>
        </w:r>
        <w:r/>
        <w:r>
          <w:fldChar w:fldCharType="separate"/>
        </w:r>
        <w:r>
          <w:t xml:space="preserve">553</w:t>
        </w:r>
        <w:r>
          <w:fldChar w:fldCharType="end"/>
        </w:r>
      </w:hyperlink>
      <w:r/>
      <w:r/>
    </w:p>
    <w:p>
      <w:pPr>
        <w:pStyle w:val="1152"/>
        <w:rPr>
          <w:rFonts w:ascii="Calibri" w:hAnsi="Calibri"/>
          <w:sz w:val="22"/>
          <w:szCs w:val="22"/>
        </w:rPr>
      </w:pPr>
      <w:r/>
      <w:hyperlink w:tooltip="#_Toc88819355" w:anchor="_Toc88819355" w:history="1">
        <w:r>
          <w:rPr>
            <w:rStyle w:val="1020"/>
          </w:rPr>
          <w:t xml:space="preserve">Таблица </w:t>
        </w:r>
        <w:r>
          <w:rPr>
            <w:rFonts w:ascii="Calibri" w:hAnsi="Calibri"/>
            <w:sz w:val="22"/>
            <w:szCs w:val="22"/>
          </w:rPr>
          <w:tab/>
        </w:r>
        <w:r>
          <w:rPr>
            <w:rStyle w:val="1020"/>
          </w:rPr>
          <w:t xml:space="preserve">168. Описание полей документа «Справка о кассовых поступлениях», закладки «Документ (1)»</w:t>
        </w:r>
        <w:r>
          <w:tab/>
        </w:r>
        <w:r>
          <w:fldChar w:fldCharType="begin"/>
        </w:r>
        <w:r>
          <w:instrText xml:space="preserve"> PAGEREF _Toc88819355 \h </w:instrText>
        </w:r>
        <w:r/>
        <w:r>
          <w:fldChar w:fldCharType="separate"/>
        </w:r>
        <w:r>
          <w:t xml:space="preserve">556</w:t>
        </w:r>
        <w:r>
          <w:fldChar w:fldCharType="end"/>
        </w:r>
      </w:hyperlink>
      <w:r/>
      <w:r/>
    </w:p>
    <w:p>
      <w:pPr>
        <w:pStyle w:val="1152"/>
        <w:rPr>
          <w:rFonts w:ascii="Calibri" w:hAnsi="Calibri"/>
          <w:sz w:val="22"/>
          <w:szCs w:val="22"/>
        </w:rPr>
      </w:pPr>
      <w:r/>
      <w:hyperlink w:tooltip="#_Toc88819356" w:anchor="_Toc88819356" w:history="1">
        <w:r>
          <w:rPr>
            <w:rStyle w:val="1020"/>
          </w:rPr>
          <w:t xml:space="preserve">Таблица </w:t>
        </w:r>
        <w:r>
          <w:rPr>
            <w:rFonts w:ascii="Calibri" w:hAnsi="Calibri"/>
            <w:sz w:val="22"/>
            <w:szCs w:val="22"/>
          </w:rPr>
          <w:tab/>
        </w:r>
        <w:r>
          <w:rPr>
            <w:rStyle w:val="1020"/>
          </w:rPr>
          <w:t xml:space="preserve">169. Описание полей документа «Справка о кассовых поступлениях», закладки «Дополнительные атрибуты»</w:t>
        </w:r>
        <w:r>
          <w:tab/>
        </w:r>
        <w:r>
          <w:fldChar w:fldCharType="begin"/>
        </w:r>
        <w:r>
          <w:instrText xml:space="preserve"> PAGEREF _Toc88819356 \h </w:instrText>
        </w:r>
        <w:r/>
        <w:r>
          <w:fldChar w:fldCharType="separate"/>
        </w:r>
        <w:r>
          <w:t xml:space="preserve">559</w:t>
        </w:r>
        <w:r>
          <w:fldChar w:fldCharType="end"/>
        </w:r>
      </w:hyperlink>
      <w:r/>
      <w:r/>
    </w:p>
    <w:p>
      <w:pPr>
        <w:pStyle w:val="1152"/>
        <w:rPr>
          <w:rFonts w:ascii="Calibri" w:hAnsi="Calibri"/>
          <w:sz w:val="22"/>
          <w:szCs w:val="22"/>
        </w:rPr>
      </w:pPr>
      <w:r/>
      <w:hyperlink w:tooltip="#_Toc88819357" w:anchor="_Toc88819357" w:history="1">
        <w:r>
          <w:rPr>
            <w:rStyle w:val="1020"/>
          </w:rPr>
          <w:t xml:space="preserve">Таблица </w:t>
        </w:r>
        <w:r>
          <w:rPr>
            <w:rFonts w:ascii="Calibri" w:hAnsi="Calibri"/>
            <w:sz w:val="22"/>
            <w:szCs w:val="22"/>
          </w:rPr>
          <w:tab/>
        </w:r>
        <w:r>
          <w:rPr>
            <w:rStyle w:val="1020"/>
          </w:rPr>
          <w:t xml:space="preserve">170. Описание полей документа «Справка о финансировании и кассовых выплатах», закладки «Документ (1)»</w:t>
        </w:r>
        <w:r>
          <w:tab/>
        </w:r>
        <w:r>
          <w:fldChar w:fldCharType="begin"/>
        </w:r>
        <w:r>
          <w:instrText xml:space="preserve"> PAGEREF _Toc88819357 \h </w:instrText>
        </w:r>
        <w:r/>
        <w:r>
          <w:fldChar w:fldCharType="separate"/>
        </w:r>
        <w:r>
          <w:t xml:space="preserve">561</w:t>
        </w:r>
        <w:r>
          <w:fldChar w:fldCharType="end"/>
        </w:r>
      </w:hyperlink>
      <w:r/>
      <w:r/>
    </w:p>
    <w:p>
      <w:pPr>
        <w:pStyle w:val="1152"/>
        <w:rPr>
          <w:rFonts w:ascii="Calibri" w:hAnsi="Calibri"/>
          <w:sz w:val="22"/>
          <w:szCs w:val="22"/>
        </w:rPr>
      </w:pPr>
      <w:r/>
      <w:hyperlink w:tooltip="#_Toc88819358" w:anchor="_Toc88819358" w:history="1">
        <w:r>
          <w:rPr>
            <w:rStyle w:val="1020"/>
          </w:rPr>
          <w:t xml:space="preserve">Таблица </w:t>
        </w:r>
        <w:r>
          <w:rPr>
            <w:rFonts w:ascii="Calibri" w:hAnsi="Calibri"/>
            <w:sz w:val="22"/>
            <w:szCs w:val="22"/>
          </w:rPr>
          <w:tab/>
        </w:r>
        <w:r>
          <w:rPr>
            <w:rStyle w:val="1020"/>
          </w:rPr>
          <w:t xml:space="preserve">171. Описание полей документа «Справка о финансировании и кассовых выплатах», закладки «Дополнительные атрибуты»</w:t>
        </w:r>
        <w:r>
          <w:tab/>
        </w:r>
        <w:r>
          <w:fldChar w:fldCharType="begin"/>
        </w:r>
        <w:r>
          <w:instrText xml:space="preserve"> PAGEREF _Toc88819358 \h </w:instrText>
        </w:r>
        <w:r/>
        <w:r>
          <w:fldChar w:fldCharType="separate"/>
        </w:r>
        <w:r>
          <w:t xml:space="preserve">564</w:t>
        </w:r>
        <w:r>
          <w:fldChar w:fldCharType="end"/>
        </w:r>
      </w:hyperlink>
      <w:r/>
      <w:r/>
    </w:p>
    <w:p>
      <w:pPr>
        <w:pStyle w:val="1152"/>
        <w:rPr>
          <w:rFonts w:ascii="Calibri" w:hAnsi="Calibri"/>
          <w:sz w:val="22"/>
          <w:szCs w:val="22"/>
        </w:rPr>
      </w:pPr>
      <w:r/>
      <w:hyperlink w:tooltip="#_Toc88819359" w:anchor="_Toc88819359" w:history="1">
        <w:r>
          <w:rPr>
            <w:rStyle w:val="1020"/>
          </w:rPr>
          <w:t xml:space="preserve">Таблица </w:t>
        </w:r>
        <w:r>
          <w:rPr>
            <w:rFonts w:ascii="Calibri" w:hAnsi="Calibri"/>
            <w:sz w:val="22"/>
            <w:szCs w:val="22"/>
          </w:rPr>
          <w:tab/>
        </w:r>
        <w:r>
          <w:rPr>
            <w:rStyle w:val="1020"/>
          </w:rPr>
          <w:t xml:space="preserve">172. Описание полей документа «Сведения о КБК», вкладки «Основные атрибуты»</w:t>
        </w:r>
        <w:r>
          <w:tab/>
        </w:r>
        <w:r>
          <w:fldChar w:fldCharType="begin"/>
        </w:r>
        <w:r>
          <w:instrText xml:space="preserve"> PAGEREF _Toc88819359 \h </w:instrText>
        </w:r>
        <w:r/>
        <w:r>
          <w:fldChar w:fldCharType="separate"/>
        </w:r>
        <w:r>
          <w:t xml:space="preserve">567</w:t>
        </w:r>
        <w:r>
          <w:fldChar w:fldCharType="end"/>
        </w:r>
      </w:hyperlink>
      <w:r/>
      <w:r/>
    </w:p>
    <w:p>
      <w:pPr>
        <w:pStyle w:val="1152"/>
        <w:rPr>
          <w:rFonts w:ascii="Calibri" w:hAnsi="Calibri"/>
          <w:sz w:val="22"/>
          <w:szCs w:val="22"/>
        </w:rPr>
      </w:pPr>
      <w:r/>
      <w:hyperlink w:tooltip="#_Toc88819360" w:anchor="_Toc88819360" w:history="1">
        <w:r>
          <w:rPr>
            <w:rStyle w:val="1020"/>
          </w:rPr>
          <w:t xml:space="preserve">Таблица </w:t>
        </w:r>
        <w:r>
          <w:rPr>
            <w:rFonts w:ascii="Calibri" w:hAnsi="Calibri"/>
            <w:sz w:val="22"/>
            <w:szCs w:val="22"/>
          </w:rPr>
          <w:tab/>
        </w:r>
        <w:r>
          <w:rPr>
            <w:rStyle w:val="1020"/>
          </w:rPr>
          <w:t xml:space="preserve">173. Описание полей формы «Добавление записи»</w:t>
        </w:r>
        <w:r>
          <w:tab/>
        </w:r>
        <w:r>
          <w:fldChar w:fldCharType="begin"/>
        </w:r>
        <w:r>
          <w:instrText xml:space="preserve"> PAGEREF _Toc88819360 \h </w:instrText>
        </w:r>
        <w:r/>
        <w:r>
          <w:fldChar w:fldCharType="separate"/>
        </w:r>
        <w:r>
          <w:t xml:space="preserve">571</w:t>
        </w:r>
        <w:r>
          <w:fldChar w:fldCharType="end"/>
        </w:r>
      </w:hyperlink>
      <w:r/>
      <w:r/>
    </w:p>
    <w:p>
      <w:pPr>
        <w:pStyle w:val="1152"/>
        <w:rPr>
          <w:rFonts w:ascii="Calibri" w:hAnsi="Calibri"/>
          <w:sz w:val="22"/>
          <w:szCs w:val="22"/>
        </w:rPr>
      </w:pPr>
      <w:r/>
      <w:hyperlink w:tooltip="#_Toc88819361" w:anchor="_Toc88819361" w:history="1">
        <w:r>
          <w:rPr>
            <w:rStyle w:val="1020"/>
          </w:rPr>
          <w:t xml:space="preserve">Таблица </w:t>
        </w:r>
        <w:r>
          <w:rPr>
            <w:rFonts w:ascii="Calibri" w:hAnsi="Calibri"/>
            <w:sz w:val="22"/>
            <w:szCs w:val="22"/>
          </w:rPr>
          <w:tab/>
        </w:r>
        <w:r>
          <w:rPr>
            <w:rStyle w:val="1020"/>
          </w:rPr>
          <w:t xml:space="preserve">174. Описание полей формы «Добавление записи», вкладки «КБК»</w:t>
        </w:r>
        <w:r>
          <w:tab/>
        </w:r>
        <w:r>
          <w:fldChar w:fldCharType="begin"/>
        </w:r>
        <w:r>
          <w:instrText xml:space="preserve"> PAGEREF _Toc88819361 \h </w:instrText>
        </w:r>
        <w:r/>
        <w:r>
          <w:fldChar w:fldCharType="separate"/>
        </w:r>
        <w:r>
          <w:t xml:space="preserve">572</w:t>
        </w:r>
        <w:r>
          <w:fldChar w:fldCharType="end"/>
        </w:r>
      </w:hyperlink>
      <w:r/>
      <w:r/>
    </w:p>
    <w:p>
      <w:pPr>
        <w:pStyle w:val="1152"/>
        <w:rPr>
          <w:rFonts w:ascii="Calibri" w:hAnsi="Calibri"/>
          <w:sz w:val="22"/>
          <w:szCs w:val="22"/>
        </w:rPr>
      </w:pPr>
      <w:r/>
      <w:hyperlink w:tooltip="#_Toc88819362" w:anchor="_Toc88819362" w:history="1">
        <w:r>
          <w:rPr>
            <w:rStyle w:val="1020"/>
          </w:rPr>
          <w:t xml:space="preserve">Таблица </w:t>
        </w:r>
        <w:r>
          <w:rPr>
            <w:rFonts w:ascii="Calibri" w:hAnsi="Calibri"/>
            <w:sz w:val="22"/>
            <w:szCs w:val="22"/>
          </w:rPr>
          <w:tab/>
        </w:r>
        <w:r>
          <w:rPr>
            <w:rStyle w:val="1020"/>
          </w:rPr>
          <w:t xml:space="preserve">175. Описание полей формы «Добавление записи», вкладки «Цели субсидий/Субвенций»</w:t>
        </w:r>
        <w:r>
          <w:tab/>
        </w:r>
        <w:r>
          <w:fldChar w:fldCharType="begin"/>
        </w:r>
        <w:r>
          <w:instrText xml:space="preserve"> PAGEREF _Toc88819362 \h </w:instrText>
        </w:r>
        <w:r/>
        <w:r>
          <w:fldChar w:fldCharType="separate"/>
        </w:r>
        <w:r>
          <w:t xml:space="preserve">574</w:t>
        </w:r>
        <w:r>
          <w:fldChar w:fldCharType="end"/>
        </w:r>
      </w:hyperlink>
      <w:r/>
      <w:r/>
    </w:p>
    <w:p>
      <w:pPr>
        <w:pStyle w:val="1152"/>
        <w:rPr>
          <w:rFonts w:ascii="Calibri" w:hAnsi="Calibri"/>
          <w:sz w:val="22"/>
          <w:szCs w:val="22"/>
        </w:rPr>
      </w:pPr>
      <w:r/>
      <w:hyperlink w:tooltip="#_Toc88819363" w:anchor="_Toc88819363" w:history="1">
        <w:r>
          <w:rPr>
            <w:rStyle w:val="1020"/>
          </w:rPr>
          <w:t xml:space="preserve">Таблица </w:t>
        </w:r>
        <w:r>
          <w:rPr>
            <w:rFonts w:ascii="Calibri" w:hAnsi="Calibri"/>
            <w:sz w:val="22"/>
            <w:szCs w:val="22"/>
          </w:rPr>
          <w:tab/>
        </w:r>
        <w:r>
          <w:rPr>
            <w:rStyle w:val="1020"/>
          </w:rPr>
          <w:t xml:space="preserve">176. Описание полей документа «Заявка на внесение изменений в перечень ГМУ (основные реквизиты)», закладки «Основные реквизиты»</w:t>
        </w:r>
        <w:r>
          <w:tab/>
        </w:r>
        <w:r>
          <w:fldChar w:fldCharType="begin"/>
        </w:r>
        <w:r>
          <w:instrText xml:space="preserve"> PAGEREF _Toc88819363 \h </w:instrText>
        </w:r>
        <w:r/>
        <w:r>
          <w:fldChar w:fldCharType="separate"/>
        </w:r>
        <w:r>
          <w:t xml:space="preserve">577</w:t>
        </w:r>
        <w:r>
          <w:fldChar w:fldCharType="end"/>
        </w:r>
      </w:hyperlink>
      <w:r/>
      <w:r/>
    </w:p>
    <w:p>
      <w:pPr>
        <w:pStyle w:val="1152"/>
        <w:rPr>
          <w:rFonts w:ascii="Calibri" w:hAnsi="Calibri"/>
          <w:sz w:val="22"/>
          <w:szCs w:val="22"/>
        </w:rPr>
      </w:pPr>
      <w:r/>
      <w:hyperlink w:tooltip="#_Toc88819364" w:anchor="_Toc88819364" w:history="1">
        <w:r>
          <w:rPr>
            <w:rStyle w:val="1020"/>
          </w:rPr>
          <w:t xml:space="preserve">Таблица </w:t>
        </w:r>
        <w:r>
          <w:rPr>
            <w:rFonts w:ascii="Calibri" w:hAnsi="Calibri"/>
            <w:sz w:val="22"/>
            <w:szCs w:val="22"/>
          </w:rPr>
          <w:tab/>
        </w:r>
        <w:r>
          <w:rPr>
            <w:rStyle w:val="1020"/>
          </w:rPr>
          <w:t xml:space="preserve">177. Описание полей документа «Заявка на внесение изменений в перечень ГМУ (основные реквизиты)», вкладки «Общая информация»</w:t>
        </w:r>
        <w:r>
          <w:tab/>
        </w:r>
        <w:r>
          <w:fldChar w:fldCharType="begin"/>
        </w:r>
        <w:r>
          <w:instrText xml:space="preserve"> PAGEREF _Toc88819364 \h </w:instrText>
        </w:r>
        <w:r/>
        <w:r>
          <w:fldChar w:fldCharType="separate"/>
        </w:r>
        <w:r>
          <w:t xml:space="preserve">578</w:t>
        </w:r>
        <w:r>
          <w:fldChar w:fldCharType="end"/>
        </w:r>
      </w:hyperlink>
      <w:r/>
      <w:r/>
    </w:p>
    <w:p>
      <w:pPr>
        <w:pStyle w:val="1152"/>
        <w:rPr>
          <w:rFonts w:ascii="Calibri" w:hAnsi="Calibri"/>
          <w:sz w:val="22"/>
          <w:szCs w:val="22"/>
        </w:rPr>
      </w:pPr>
      <w:r/>
      <w:hyperlink w:tooltip="#_Toc88819365" w:anchor="_Toc88819365" w:history="1">
        <w:r>
          <w:rPr>
            <w:rStyle w:val="1020"/>
          </w:rPr>
          <w:t xml:space="preserve">Таблица </w:t>
        </w:r>
        <w:r>
          <w:rPr>
            <w:rFonts w:ascii="Calibri" w:hAnsi="Calibri"/>
            <w:sz w:val="22"/>
            <w:szCs w:val="22"/>
          </w:rPr>
          <w:tab/>
        </w:r>
        <w:r>
          <w:rPr>
            <w:rStyle w:val="1020"/>
          </w:rPr>
          <w:t xml:space="preserve">178. Описание полей документа «Заявка на внесение изменений в перечень ГМУ (основные реквизиты)», вкладки «Адресные данные»</w:t>
        </w:r>
        <w:r>
          <w:tab/>
        </w:r>
        <w:r>
          <w:fldChar w:fldCharType="begin"/>
        </w:r>
        <w:r>
          <w:instrText xml:space="preserve"> PAGEREF _Toc88819365 \h </w:instrText>
        </w:r>
        <w:r/>
        <w:r>
          <w:fldChar w:fldCharType="separate"/>
        </w:r>
        <w:r>
          <w:t xml:space="preserve">583</w:t>
        </w:r>
        <w:r>
          <w:fldChar w:fldCharType="end"/>
        </w:r>
      </w:hyperlink>
      <w:r/>
      <w:r/>
    </w:p>
    <w:p>
      <w:pPr>
        <w:pStyle w:val="1152"/>
        <w:rPr>
          <w:rFonts w:ascii="Calibri" w:hAnsi="Calibri"/>
          <w:sz w:val="22"/>
          <w:szCs w:val="22"/>
        </w:rPr>
      </w:pPr>
      <w:r/>
      <w:hyperlink w:tooltip="#_Toc88819366" w:anchor="_Toc88819366" w:history="1">
        <w:r>
          <w:rPr>
            <w:rStyle w:val="1020"/>
          </w:rPr>
          <w:t xml:space="preserve">Таблица </w:t>
        </w:r>
        <w:r>
          <w:rPr>
            <w:rFonts w:ascii="Calibri" w:hAnsi="Calibri"/>
            <w:sz w:val="22"/>
            <w:szCs w:val="22"/>
          </w:rPr>
          <w:tab/>
        </w:r>
        <w:r>
          <w:rPr>
            <w:rStyle w:val="1020"/>
          </w:rPr>
          <w:t xml:space="preserve">179. Описание полей документа «Заявка на внесение изменений в перечень ГМУ (основные реквизиты)», вкладки «Административная принадлежность»</w:t>
        </w:r>
        <w:r>
          <w:tab/>
        </w:r>
        <w:r>
          <w:fldChar w:fldCharType="begin"/>
        </w:r>
        <w:r>
          <w:instrText xml:space="preserve"> PAGEREF _Toc88819366 \h </w:instrText>
        </w:r>
        <w:r/>
        <w:r>
          <w:fldChar w:fldCharType="separate"/>
        </w:r>
        <w:r>
          <w:t xml:space="preserve">585</w:t>
        </w:r>
        <w:r>
          <w:fldChar w:fldCharType="end"/>
        </w:r>
      </w:hyperlink>
      <w:r/>
      <w:r/>
    </w:p>
    <w:p>
      <w:pPr>
        <w:pStyle w:val="1152"/>
        <w:rPr>
          <w:rFonts w:ascii="Calibri" w:hAnsi="Calibri"/>
          <w:sz w:val="22"/>
          <w:szCs w:val="22"/>
        </w:rPr>
      </w:pPr>
      <w:r/>
      <w:hyperlink w:tooltip="#_Toc88819367" w:anchor="_Toc88819367" w:history="1">
        <w:r>
          <w:rPr>
            <w:rStyle w:val="1020"/>
          </w:rPr>
          <w:t xml:space="preserve">Таблица </w:t>
        </w:r>
        <w:r>
          <w:rPr>
            <w:rFonts w:ascii="Calibri" w:hAnsi="Calibri"/>
            <w:sz w:val="22"/>
            <w:szCs w:val="22"/>
          </w:rPr>
          <w:tab/>
        </w:r>
        <w:r>
          <w:rPr>
            <w:rStyle w:val="1020"/>
          </w:rPr>
          <w:t xml:space="preserve">180. Описание полей документа «Заявка на внесение изменений в перечень ГМУ (основные реквизиты)», вкладки «Остальные реквизиты учреждения»</w:t>
        </w:r>
        <w:r>
          <w:tab/>
        </w:r>
        <w:r>
          <w:fldChar w:fldCharType="begin"/>
        </w:r>
        <w:r>
          <w:instrText xml:space="preserve"> PAGEREF _Toc88819367 \h </w:instrText>
        </w:r>
        <w:r/>
        <w:r>
          <w:fldChar w:fldCharType="separate"/>
        </w:r>
        <w:r>
          <w:t xml:space="preserve">587</w:t>
        </w:r>
        <w:r>
          <w:fldChar w:fldCharType="end"/>
        </w:r>
      </w:hyperlink>
      <w:r/>
      <w:r/>
    </w:p>
    <w:p>
      <w:pPr>
        <w:pStyle w:val="1152"/>
        <w:rPr>
          <w:rFonts w:ascii="Calibri" w:hAnsi="Calibri"/>
          <w:sz w:val="22"/>
          <w:szCs w:val="22"/>
        </w:rPr>
      </w:pPr>
      <w:r/>
      <w:hyperlink w:tooltip="#_Toc88819368" w:anchor="_Toc88819368" w:history="1">
        <w:r>
          <w:rPr>
            <w:rStyle w:val="1020"/>
          </w:rPr>
          <w:t xml:space="preserve">Таблица </w:t>
        </w:r>
        <w:r>
          <w:rPr>
            <w:rFonts w:ascii="Calibri" w:hAnsi="Calibri"/>
            <w:sz w:val="22"/>
            <w:szCs w:val="22"/>
          </w:rPr>
          <w:tab/>
        </w:r>
        <w:r>
          <w:rPr>
            <w:rStyle w:val="1020"/>
          </w:rPr>
          <w:t xml:space="preserve">181. Описание полей документа «Заявка на внесение изменений в перечень ГМУ (основные реквизиты)», вкладки «Бюджеты»</w:t>
        </w:r>
        <w:r>
          <w:tab/>
        </w:r>
        <w:r>
          <w:fldChar w:fldCharType="begin"/>
        </w:r>
        <w:r>
          <w:instrText xml:space="preserve"> PAGEREF _Toc88819368 \h </w:instrText>
        </w:r>
        <w:r/>
        <w:r>
          <w:fldChar w:fldCharType="separate"/>
        </w:r>
        <w:r>
          <w:t xml:space="preserve">588</w:t>
        </w:r>
        <w:r>
          <w:fldChar w:fldCharType="end"/>
        </w:r>
      </w:hyperlink>
      <w:r/>
      <w:r/>
    </w:p>
    <w:p>
      <w:pPr>
        <w:pStyle w:val="1152"/>
        <w:rPr>
          <w:rFonts w:ascii="Calibri" w:hAnsi="Calibri"/>
          <w:sz w:val="22"/>
          <w:szCs w:val="22"/>
        </w:rPr>
      </w:pPr>
      <w:r/>
      <w:hyperlink w:tooltip="#_Toc88819369" w:anchor="_Toc88819369" w:history="1">
        <w:r>
          <w:rPr>
            <w:rStyle w:val="1020"/>
          </w:rPr>
          <w:t xml:space="preserve">Таблица </w:t>
        </w:r>
        <w:r>
          <w:rPr>
            <w:rFonts w:ascii="Calibri" w:hAnsi="Calibri"/>
            <w:sz w:val="22"/>
            <w:szCs w:val="22"/>
          </w:rPr>
          <w:tab/>
        </w:r>
        <w:r>
          <w:rPr>
            <w:rStyle w:val="1020"/>
          </w:rPr>
          <w:t xml:space="preserve">182 Описание полей документа «Заявка на внесение изменений в перечень ГМУ (основные реквизиты)», вкладки «Подтверждающие документы»</w:t>
        </w:r>
        <w:r>
          <w:tab/>
        </w:r>
        <w:r>
          <w:fldChar w:fldCharType="begin"/>
        </w:r>
        <w:r>
          <w:instrText xml:space="preserve"> PAGEREF _Toc88819369 \h </w:instrText>
        </w:r>
        <w:r/>
        <w:r>
          <w:fldChar w:fldCharType="separate"/>
        </w:r>
        <w:r>
          <w:t xml:space="preserve">589</w:t>
        </w:r>
        <w:r>
          <w:fldChar w:fldCharType="end"/>
        </w:r>
      </w:hyperlink>
      <w:r/>
      <w:r/>
    </w:p>
    <w:p>
      <w:pPr>
        <w:pStyle w:val="1152"/>
        <w:rPr>
          <w:rFonts w:ascii="Calibri" w:hAnsi="Calibri"/>
          <w:sz w:val="22"/>
          <w:szCs w:val="22"/>
        </w:rPr>
      </w:pPr>
      <w:r/>
      <w:hyperlink w:tooltip="#_Toc88819370" w:anchor="_Toc88819370" w:history="1">
        <w:r>
          <w:rPr>
            <w:rStyle w:val="1020"/>
          </w:rPr>
          <w:t xml:space="preserve">Таблица </w:t>
        </w:r>
        <w:r>
          <w:rPr>
            <w:rFonts w:ascii="Calibri" w:hAnsi="Calibri"/>
            <w:sz w:val="22"/>
            <w:szCs w:val="22"/>
          </w:rPr>
          <w:tab/>
        </w:r>
        <w:r>
          <w:rPr>
            <w:rStyle w:val="1020"/>
          </w:rPr>
          <w:t xml:space="preserve">183. Описание полей документа «Заявка на внесение изменений в перечень ГМУ (основные реквизиты)», закладки «Подписи»</w:t>
        </w:r>
        <w:r>
          <w:tab/>
        </w:r>
        <w:r>
          <w:fldChar w:fldCharType="begin"/>
        </w:r>
        <w:r>
          <w:instrText xml:space="preserve"> PAGEREF _Toc88819370 \h </w:instrText>
        </w:r>
        <w:r/>
        <w:r>
          <w:fldChar w:fldCharType="separate"/>
        </w:r>
        <w:r>
          <w:t xml:space="preserve">590</w:t>
        </w:r>
        <w:r>
          <w:fldChar w:fldCharType="end"/>
        </w:r>
      </w:hyperlink>
      <w:r/>
      <w:r/>
    </w:p>
    <w:p>
      <w:pPr>
        <w:pStyle w:val="1152"/>
        <w:rPr>
          <w:rFonts w:ascii="Calibri" w:hAnsi="Calibri"/>
          <w:sz w:val="22"/>
          <w:szCs w:val="22"/>
        </w:rPr>
      </w:pPr>
      <w:r/>
      <w:hyperlink w:tooltip="#_Toc88819371" w:anchor="_Toc88819371" w:history="1">
        <w:r>
          <w:rPr>
            <w:rStyle w:val="1020"/>
          </w:rPr>
          <w:t xml:space="preserve">Таблица </w:t>
        </w:r>
        <w:r>
          <w:rPr>
            <w:rFonts w:ascii="Calibri" w:hAnsi="Calibri"/>
            <w:sz w:val="22"/>
            <w:szCs w:val="22"/>
          </w:rPr>
          <w:tab/>
        </w:r>
        <w:r>
          <w:rPr>
            <w:rStyle w:val="1020"/>
          </w:rPr>
          <w:t xml:space="preserve">184. Описание полей документа «Сведения об организации», закладки «Основные атрибуты (1)»</w:t>
        </w:r>
        <w:r>
          <w:tab/>
        </w:r>
        <w:r>
          <w:fldChar w:fldCharType="begin"/>
        </w:r>
        <w:r>
          <w:instrText xml:space="preserve"> PAGEREF _Toc88819371 \h </w:instrText>
        </w:r>
        <w:r/>
        <w:r>
          <w:fldChar w:fldCharType="separate"/>
        </w:r>
        <w:r>
          <w:t xml:space="preserve">593</w:t>
        </w:r>
        <w:r>
          <w:fldChar w:fldCharType="end"/>
        </w:r>
      </w:hyperlink>
      <w:r/>
      <w:r/>
    </w:p>
    <w:p>
      <w:pPr>
        <w:pStyle w:val="1152"/>
        <w:rPr>
          <w:rFonts w:ascii="Calibri" w:hAnsi="Calibri"/>
          <w:sz w:val="22"/>
          <w:szCs w:val="22"/>
        </w:rPr>
      </w:pPr>
      <w:r/>
      <w:hyperlink w:tooltip="#_Toc88819372" w:anchor="_Toc88819372" w:history="1">
        <w:r>
          <w:rPr>
            <w:rStyle w:val="1020"/>
          </w:rPr>
          <w:t xml:space="preserve">Таблица </w:t>
        </w:r>
        <w:r>
          <w:rPr>
            <w:rFonts w:ascii="Calibri" w:hAnsi="Calibri"/>
            <w:sz w:val="22"/>
            <w:szCs w:val="22"/>
          </w:rPr>
          <w:tab/>
        </w:r>
        <w:r>
          <w:rPr>
            <w:rStyle w:val="1020"/>
          </w:rPr>
          <w:t xml:space="preserve">185. Описание полей документа «Сведения об организации», закладки «Полномочия и бюджеты (2)»</w:t>
        </w:r>
        <w:r>
          <w:tab/>
        </w:r>
        <w:r>
          <w:fldChar w:fldCharType="begin"/>
        </w:r>
        <w:r>
          <w:instrText xml:space="preserve"> PAGEREF _Toc88819372 \h </w:instrText>
        </w:r>
        <w:r/>
        <w:r>
          <w:fldChar w:fldCharType="separate"/>
        </w:r>
        <w:r>
          <w:t xml:space="preserve">601</w:t>
        </w:r>
        <w:r>
          <w:fldChar w:fldCharType="end"/>
        </w:r>
      </w:hyperlink>
      <w:r/>
      <w:r/>
    </w:p>
    <w:p>
      <w:pPr>
        <w:pStyle w:val="1152"/>
        <w:rPr>
          <w:rFonts w:ascii="Calibri" w:hAnsi="Calibri"/>
          <w:sz w:val="22"/>
          <w:szCs w:val="22"/>
        </w:rPr>
      </w:pPr>
      <w:r/>
      <w:hyperlink w:tooltip="#_Toc88819373" w:anchor="_Toc88819373" w:history="1">
        <w:r>
          <w:rPr>
            <w:rStyle w:val="1020"/>
          </w:rPr>
          <w:t xml:space="preserve">Таблица </w:t>
        </w:r>
        <w:r>
          <w:rPr>
            <w:rFonts w:ascii="Calibri" w:hAnsi="Calibri"/>
            <w:sz w:val="22"/>
            <w:szCs w:val="22"/>
          </w:rPr>
          <w:tab/>
        </w:r>
        <w:r>
          <w:rPr>
            <w:rStyle w:val="1020"/>
          </w:rPr>
          <w:t xml:space="preserve">186. Описание полей документа «Сведения об организации», закладки «Сведения о счетах (3)»</w:t>
        </w:r>
        <w:r>
          <w:tab/>
        </w:r>
        <w:r>
          <w:fldChar w:fldCharType="begin"/>
        </w:r>
        <w:r>
          <w:instrText xml:space="preserve"> PAGEREF _Toc88819373 \h </w:instrText>
        </w:r>
        <w:r/>
        <w:r>
          <w:fldChar w:fldCharType="separate"/>
        </w:r>
        <w:r>
          <w:t xml:space="preserve">606</w:t>
        </w:r>
        <w:r>
          <w:fldChar w:fldCharType="end"/>
        </w:r>
      </w:hyperlink>
      <w:r/>
      <w:r/>
    </w:p>
    <w:p>
      <w:pPr>
        <w:pStyle w:val="1152"/>
        <w:rPr>
          <w:rFonts w:ascii="Calibri" w:hAnsi="Calibri"/>
          <w:sz w:val="22"/>
          <w:szCs w:val="22"/>
        </w:rPr>
      </w:pPr>
      <w:r/>
      <w:hyperlink w:tooltip="#_Toc88819374" w:anchor="_Toc88819374" w:history="1">
        <w:r>
          <w:rPr>
            <w:rStyle w:val="1020"/>
          </w:rPr>
          <w:t xml:space="preserve">Таблица </w:t>
        </w:r>
        <w:r>
          <w:rPr>
            <w:rFonts w:ascii="Calibri" w:hAnsi="Calibri"/>
            <w:sz w:val="22"/>
            <w:szCs w:val="22"/>
          </w:rPr>
          <w:tab/>
        </w:r>
        <w:r>
          <w:rPr>
            <w:rStyle w:val="1020"/>
          </w:rPr>
          <w:t xml:space="preserve">187. Описание полей документа «Сведения об организации», закладки «Подписи документа (4)»</w:t>
        </w:r>
        <w:r>
          <w:tab/>
        </w:r>
        <w:r>
          <w:fldChar w:fldCharType="begin"/>
        </w:r>
        <w:r>
          <w:instrText xml:space="preserve"> PAGEREF _Toc88819374 \h </w:instrText>
        </w:r>
        <w:r/>
        <w:r>
          <w:fldChar w:fldCharType="separate"/>
        </w:r>
        <w:r>
          <w:t xml:space="preserve">606</w:t>
        </w:r>
        <w:r>
          <w:fldChar w:fldCharType="end"/>
        </w:r>
      </w:hyperlink>
      <w:r/>
      <w:r/>
    </w:p>
    <w:p>
      <w:pPr>
        <w:pStyle w:val="1152"/>
        <w:rPr>
          <w:rFonts w:ascii="Calibri" w:hAnsi="Calibri"/>
          <w:sz w:val="22"/>
          <w:szCs w:val="22"/>
        </w:rPr>
      </w:pPr>
      <w:r/>
      <w:hyperlink w:tooltip="#_Toc88819375" w:anchor="_Toc88819375" w:history="1">
        <w:r>
          <w:rPr>
            <w:rStyle w:val="1020"/>
          </w:rPr>
          <w:t xml:space="preserve">Таблица </w:t>
        </w:r>
        <w:r>
          <w:rPr>
            <w:rFonts w:ascii="Calibri" w:hAnsi="Calibri"/>
            <w:sz w:val="22"/>
            <w:szCs w:val="22"/>
          </w:rPr>
          <w:tab/>
        </w:r>
        <w:r>
          <w:rPr>
            <w:rStyle w:val="1020"/>
          </w:rPr>
          <w:t xml:space="preserve">188. Описание полей документа «Сведения об организации», закладки «Примечание (5)»</w:t>
        </w:r>
        <w:r>
          <w:tab/>
        </w:r>
        <w:r>
          <w:fldChar w:fldCharType="begin"/>
        </w:r>
        <w:r>
          <w:instrText xml:space="preserve"> PAGEREF _Toc88819375 \h </w:instrText>
        </w:r>
        <w:r/>
        <w:r>
          <w:fldChar w:fldCharType="separate"/>
        </w:r>
        <w:r>
          <w:t xml:space="preserve">607</w:t>
        </w:r>
        <w:r>
          <w:fldChar w:fldCharType="end"/>
        </w:r>
      </w:hyperlink>
      <w:r/>
      <w:r/>
    </w:p>
    <w:p>
      <w:pPr>
        <w:pStyle w:val="1152"/>
        <w:rPr>
          <w:rFonts w:ascii="Calibri" w:hAnsi="Calibri"/>
          <w:sz w:val="22"/>
          <w:szCs w:val="22"/>
        </w:rPr>
      </w:pPr>
      <w:r/>
      <w:hyperlink w:tooltip="#_Toc88819376" w:anchor="_Toc88819376" w:history="1">
        <w:r>
          <w:rPr>
            <w:rStyle w:val="1020"/>
          </w:rPr>
          <w:t xml:space="preserve">Таблица </w:t>
        </w:r>
        <w:r>
          <w:rPr>
            <w:rFonts w:ascii="Calibri" w:hAnsi="Calibri"/>
            <w:sz w:val="22"/>
            <w:szCs w:val="22"/>
          </w:rPr>
          <w:tab/>
        </w:r>
        <w:r>
          <w:rPr>
            <w:rStyle w:val="1020"/>
          </w:rPr>
          <w:t xml:space="preserve">189. Описание полей документа «Сведения об организации», закладки «Полномочия организации до 01.01.2016»</w:t>
        </w:r>
        <w:r>
          <w:tab/>
        </w:r>
        <w:r>
          <w:fldChar w:fldCharType="begin"/>
        </w:r>
        <w:r>
          <w:instrText xml:space="preserve"> PAGEREF _Toc88819376 \h </w:instrText>
        </w:r>
        <w:r/>
        <w:r>
          <w:fldChar w:fldCharType="separate"/>
        </w:r>
        <w:r>
          <w:t xml:space="preserve">608</w:t>
        </w:r>
        <w:r>
          <w:fldChar w:fldCharType="end"/>
        </w:r>
      </w:hyperlink>
      <w:r/>
      <w:r/>
    </w:p>
    <w:p>
      <w:pPr>
        <w:pStyle w:val="1152"/>
        <w:rPr>
          <w:rFonts w:ascii="Calibri" w:hAnsi="Calibri"/>
          <w:sz w:val="22"/>
          <w:szCs w:val="22"/>
        </w:rPr>
      </w:pPr>
      <w:r/>
      <w:hyperlink w:tooltip="#_Toc88819377" w:anchor="_Toc88819377" w:history="1">
        <w:r>
          <w:rPr>
            <w:rStyle w:val="1020"/>
          </w:rPr>
          <w:t xml:space="preserve">Таблица </w:t>
        </w:r>
        <w:r>
          <w:rPr>
            <w:rFonts w:ascii="Calibri" w:hAnsi="Calibri"/>
            <w:sz w:val="22"/>
            <w:szCs w:val="22"/>
          </w:rPr>
          <w:tab/>
        </w:r>
        <w:r>
          <w:rPr>
            <w:rStyle w:val="1020"/>
          </w:rPr>
          <w:t xml:space="preserve">190. Описание полей документа «Уведомление о подтверждении (аннулировании)», закладки «Реквизиты запроса (1)»</w:t>
        </w:r>
        <w:r>
          <w:tab/>
        </w:r>
        <w:r>
          <w:fldChar w:fldCharType="begin"/>
        </w:r>
        <w:r>
          <w:instrText xml:space="preserve"> PAGEREF _Toc88819377 \h </w:instrText>
        </w:r>
        <w:r/>
        <w:r>
          <w:fldChar w:fldCharType="separate"/>
        </w:r>
        <w:r>
          <w:t xml:space="preserve">610</w:t>
        </w:r>
        <w:r>
          <w:fldChar w:fldCharType="end"/>
        </w:r>
      </w:hyperlink>
      <w:r/>
      <w:r/>
    </w:p>
    <w:p>
      <w:pPr>
        <w:pStyle w:val="1152"/>
        <w:rPr>
          <w:rFonts w:ascii="Calibri" w:hAnsi="Calibri"/>
          <w:sz w:val="22"/>
          <w:szCs w:val="22"/>
        </w:rPr>
      </w:pPr>
      <w:r/>
      <w:hyperlink w:tooltip="#_Toc88819378" w:anchor="_Toc88819378" w:history="1">
        <w:r>
          <w:rPr>
            <w:rStyle w:val="1020"/>
          </w:rPr>
          <w:t xml:space="preserve">Таблица </w:t>
        </w:r>
        <w:r>
          <w:rPr>
            <w:rFonts w:ascii="Calibri" w:hAnsi="Calibri"/>
            <w:sz w:val="22"/>
            <w:szCs w:val="22"/>
          </w:rPr>
          <w:tab/>
        </w:r>
        <w:r>
          <w:rPr>
            <w:rStyle w:val="1020"/>
          </w:rPr>
          <w:t xml:space="preserve">191. Описание полей документа «Уведомление о подтверждении (аннулировании)», закладки «Подписи (2)»</w:t>
        </w:r>
        <w:r>
          <w:tab/>
        </w:r>
        <w:r>
          <w:fldChar w:fldCharType="begin"/>
        </w:r>
        <w:r>
          <w:instrText xml:space="preserve"> PAGEREF _Toc88819378 \h </w:instrText>
        </w:r>
        <w:r/>
        <w:r>
          <w:fldChar w:fldCharType="separate"/>
        </w:r>
        <w:r>
          <w:t xml:space="preserve">612</w:t>
        </w:r>
        <w:r>
          <w:fldChar w:fldCharType="end"/>
        </w:r>
      </w:hyperlink>
      <w:r/>
      <w:r/>
    </w:p>
    <w:p>
      <w:pPr>
        <w:pStyle w:val="1152"/>
        <w:rPr>
          <w:rFonts w:ascii="Calibri" w:hAnsi="Calibri"/>
          <w:sz w:val="22"/>
          <w:szCs w:val="22"/>
        </w:rPr>
      </w:pPr>
      <w:r/>
      <w:hyperlink w:tooltip="#_Toc88819379" w:anchor="_Toc88819379" w:history="1">
        <w:r>
          <w:rPr>
            <w:rStyle w:val="1020"/>
          </w:rPr>
          <w:t xml:space="preserve">Таблица </w:t>
        </w:r>
        <w:r>
          <w:rPr>
            <w:rFonts w:ascii="Calibri" w:hAnsi="Calibri"/>
            <w:sz w:val="22"/>
            <w:szCs w:val="22"/>
          </w:rPr>
          <w:tab/>
        </w:r>
        <w:r>
          <w:rPr>
            <w:rStyle w:val="1020"/>
          </w:rPr>
          <w:t xml:space="preserve">192. Описание полей документа «Информация из реестра», закладки «Основные реквизиты (1)»</w:t>
        </w:r>
        <w:r>
          <w:tab/>
        </w:r>
        <w:r>
          <w:fldChar w:fldCharType="begin"/>
        </w:r>
        <w:r>
          <w:instrText xml:space="preserve"> PAGEREF _Toc88819379 \h </w:instrText>
        </w:r>
        <w:r/>
        <w:r>
          <w:fldChar w:fldCharType="separate"/>
        </w:r>
        <w:r>
          <w:t xml:space="preserve">615</w:t>
        </w:r>
        <w:r>
          <w:fldChar w:fldCharType="end"/>
        </w:r>
      </w:hyperlink>
      <w:r/>
      <w:r/>
    </w:p>
    <w:p>
      <w:pPr>
        <w:pStyle w:val="1152"/>
        <w:rPr>
          <w:rFonts w:ascii="Calibri" w:hAnsi="Calibri"/>
          <w:sz w:val="22"/>
          <w:szCs w:val="22"/>
        </w:rPr>
      </w:pPr>
      <w:r/>
      <w:hyperlink w:tooltip="#_Toc88819380" w:anchor="_Toc88819380" w:history="1">
        <w:r>
          <w:rPr>
            <w:rStyle w:val="1020"/>
          </w:rPr>
          <w:t xml:space="preserve">Таблица </w:t>
        </w:r>
        <w:r>
          <w:rPr>
            <w:rFonts w:ascii="Calibri" w:hAnsi="Calibri"/>
            <w:sz w:val="22"/>
            <w:szCs w:val="22"/>
          </w:rPr>
          <w:tab/>
        </w:r>
        <w:r>
          <w:rPr>
            <w:rStyle w:val="1020"/>
          </w:rPr>
          <w:t xml:space="preserve">193. Описание полей документа «Информация из реестра», закладки «Реквизиты организаций (2)»</w:t>
        </w:r>
        <w:r>
          <w:tab/>
        </w:r>
        <w:r>
          <w:fldChar w:fldCharType="begin"/>
        </w:r>
        <w:r>
          <w:instrText xml:space="preserve"> PAGEREF _Toc88819380 \h </w:instrText>
        </w:r>
        <w:r/>
        <w:r>
          <w:fldChar w:fldCharType="separate"/>
        </w:r>
        <w:r>
          <w:t xml:space="preserve">616</w:t>
        </w:r>
        <w:r>
          <w:fldChar w:fldCharType="end"/>
        </w:r>
      </w:hyperlink>
      <w:r/>
      <w:r/>
    </w:p>
    <w:p>
      <w:pPr>
        <w:pStyle w:val="1152"/>
        <w:rPr>
          <w:rFonts w:ascii="Calibri" w:hAnsi="Calibri"/>
          <w:sz w:val="22"/>
          <w:szCs w:val="22"/>
        </w:rPr>
      </w:pPr>
      <w:r/>
      <w:hyperlink w:tooltip="#_Toc88819381" w:anchor="_Toc88819381" w:history="1">
        <w:r>
          <w:rPr>
            <w:rStyle w:val="1020"/>
          </w:rPr>
          <w:t xml:space="preserve">Таблица </w:t>
        </w:r>
        <w:r>
          <w:rPr>
            <w:rFonts w:ascii="Calibri" w:hAnsi="Calibri"/>
            <w:sz w:val="22"/>
            <w:szCs w:val="22"/>
          </w:rPr>
          <w:tab/>
        </w:r>
        <w:r>
          <w:rPr>
            <w:rStyle w:val="1020"/>
          </w:rPr>
          <w:t xml:space="preserve">194. Описание полей документа «Информация из реестра», закладки «Подписи (3)»</w:t>
        </w:r>
        <w:r>
          <w:tab/>
        </w:r>
        <w:r>
          <w:fldChar w:fldCharType="begin"/>
        </w:r>
        <w:r>
          <w:instrText xml:space="preserve"> PAGEREF _Toc88819381 \h </w:instrText>
        </w:r>
        <w:r/>
        <w:r>
          <w:fldChar w:fldCharType="separate"/>
        </w:r>
        <w:r>
          <w:t xml:space="preserve">617</w:t>
        </w:r>
        <w:r>
          <w:fldChar w:fldCharType="end"/>
        </w:r>
      </w:hyperlink>
      <w:r/>
      <w:r/>
    </w:p>
    <w:p>
      <w:pPr>
        <w:pStyle w:val="1152"/>
        <w:rPr>
          <w:rFonts w:ascii="Calibri" w:hAnsi="Calibri"/>
          <w:sz w:val="22"/>
          <w:szCs w:val="22"/>
        </w:rPr>
      </w:pPr>
      <w:r/>
      <w:hyperlink w:tooltip="#_Toc88819382" w:anchor="_Toc88819382" w:history="1">
        <w:r>
          <w:rPr>
            <w:rStyle w:val="1020"/>
          </w:rPr>
          <w:t xml:space="preserve">Таблица </w:t>
        </w:r>
        <w:r>
          <w:rPr>
            <w:rFonts w:ascii="Calibri" w:hAnsi="Calibri"/>
            <w:sz w:val="22"/>
            <w:szCs w:val="22"/>
          </w:rPr>
          <w:tab/>
        </w:r>
        <w:r>
          <w:rPr>
            <w:rStyle w:val="1020"/>
          </w:rPr>
          <w:t xml:space="preserve">195. Описание полей документа «Запрос на подтверждение сведений об организации», закладки «Основные реквизиты (1)»</w:t>
        </w:r>
        <w:r>
          <w:tab/>
        </w:r>
        <w:r>
          <w:fldChar w:fldCharType="begin"/>
        </w:r>
        <w:r>
          <w:instrText xml:space="preserve"> PAGEREF _Toc88819382 \h </w:instrText>
        </w:r>
        <w:r/>
        <w:r>
          <w:fldChar w:fldCharType="separate"/>
        </w:r>
        <w:r>
          <w:t xml:space="preserve">620</w:t>
        </w:r>
        <w:r>
          <w:fldChar w:fldCharType="end"/>
        </w:r>
      </w:hyperlink>
      <w:r/>
      <w:r/>
    </w:p>
    <w:p>
      <w:pPr>
        <w:pStyle w:val="1152"/>
        <w:rPr>
          <w:rFonts w:ascii="Calibri" w:hAnsi="Calibri"/>
          <w:sz w:val="22"/>
          <w:szCs w:val="22"/>
        </w:rPr>
      </w:pPr>
      <w:r/>
      <w:hyperlink w:tooltip="#_Toc88819383" w:anchor="_Toc88819383" w:history="1">
        <w:r>
          <w:rPr>
            <w:rStyle w:val="1020"/>
          </w:rPr>
          <w:t xml:space="preserve">Таблица </w:t>
        </w:r>
        <w:r>
          <w:rPr>
            <w:rFonts w:ascii="Calibri" w:hAnsi="Calibri"/>
            <w:sz w:val="22"/>
            <w:szCs w:val="22"/>
          </w:rPr>
          <w:tab/>
        </w:r>
        <w:r>
          <w:rPr>
            <w:rStyle w:val="1020"/>
          </w:rPr>
          <w:t xml:space="preserve">196. Описание полей документа «Запрос на подтверждение сведений об организации», закладки «Полномочия (2)»</w:t>
        </w:r>
        <w:r>
          <w:tab/>
        </w:r>
        <w:r>
          <w:fldChar w:fldCharType="begin"/>
        </w:r>
        <w:r>
          <w:instrText xml:space="preserve"> PAGEREF _Toc88819383 \h </w:instrText>
        </w:r>
        <w:r/>
        <w:r>
          <w:fldChar w:fldCharType="separate"/>
        </w:r>
        <w:r>
          <w:t xml:space="preserve">623</w:t>
        </w:r>
        <w:r>
          <w:fldChar w:fldCharType="end"/>
        </w:r>
      </w:hyperlink>
      <w:r/>
      <w:r/>
    </w:p>
    <w:p>
      <w:pPr>
        <w:pStyle w:val="1152"/>
        <w:rPr>
          <w:rFonts w:ascii="Calibri" w:hAnsi="Calibri"/>
          <w:sz w:val="22"/>
          <w:szCs w:val="22"/>
        </w:rPr>
      </w:pPr>
      <w:r/>
      <w:hyperlink w:tooltip="#_Toc88819384" w:anchor="_Toc88819384" w:history="1">
        <w:r>
          <w:rPr>
            <w:rStyle w:val="1020"/>
          </w:rPr>
          <w:t xml:space="preserve">Таблица </w:t>
        </w:r>
        <w:r>
          <w:rPr>
            <w:rFonts w:ascii="Calibri" w:hAnsi="Calibri"/>
            <w:sz w:val="22"/>
            <w:szCs w:val="22"/>
          </w:rPr>
          <w:tab/>
        </w:r>
        <w:r>
          <w:rPr>
            <w:rStyle w:val="1020"/>
          </w:rPr>
          <w:t xml:space="preserve">197. Описание полей документа «Запрос на подтверждение сведений об организации», закладки «Подписи (3)»</w:t>
        </w:r>
        <w:r>
          <w:tab/>
        </w:r>
        <w:r>
          <w:fldChar w:fldCharType="begin"/>
        </w:r>
        <w:r>
          <w:instrText xml:space="preserve"> PAGEREF _Toc88819384 \h </w:instrText>
        </w:r>
        <w:r/>
        <w:r>
          <w:fldChar w:fldCharType="separate"/>
        </w:r>
        <w:r>
          <w:t xml:space="preserve">625</w:t>
        </w:r>
        <w:r>
          <w:fldChar w:fldCharType="end"/>
        </w:r>
      </w:hyperlink>
      <w:r/>
      <w:r/>
    </w:p>
    <w:p>
      <w:pPr>
        <w:pStyle w:val="1152"/>
        <w:rPr>
          <w:rFonts w:ascii="Calibri" w:hAnsi="Calibri"/>
          <w:sz w:val="22"/>
          <w:szCs w:val="22"/>
        </w:rPr>
      </w:pPr>
      <w:r/>
      <w:hyperlink w:tooltip="#_Toc88819385" w:anchor="_Toc88819385" w:history="1">
        <w:r>
          <w:rPr>
            <w:rStyle w:val="1020"/>
          </w:rPr>
          <w:t xml:space="preserve">Таблица </w:t>
        </w:r>
        <w:r>
          <w:rPr>
            <w:rFonts w:ascii="Calibri" w:hAnsi="Calibri"/>
            <w:sz w:val="22"/>
            <w:szCs w:val="22"/>
          </w:rPr>
          <w:tab/>
        </w:r>
        <w:r>
          <w:rPr>
            <w:rStyle w:val="1020"/>
          </w:rPr>
          <w:t xml:space="preserve">198. Описание полей документа «Протокол операций импорта»</w:t>
        </w:r>
        <w:r>
          <w:tab/>
        </w:r>
        <w:r>
          <w:fldChar w:fldCharType="begin"/>
        </w:r>
        <w:r>
          <w:instrText xml:space="preserve"> PAGEREF _Toc88819385 \h </w:instrText>
        </w:r>
        <w:r/>
        <w:r>
          <w:fldChar w:fldCharType="separate"/>
        </w:r>
        <w:r>
          <w:t xml:space="preserve">628</w:t>
        </w:r>
        <w:r>
          <w:fldChar w:fldCharType="end"/>
        </w:r>
      </w:hyperlink>
      <w:r/>
      <w:r/>
    </w:p>
    <w:p>
      <w:pPr>
        <w:pStyle w:val="994"/>
      </w:pPr>
      <w:r>
        <w:fldChar w:fldCharType="end"/>
      </w:r>
      <w:r/>
    </w:p>
    <w:p>
      <w:pPr>
        <w:pStyle w:val="998"/>
      </w:pPr>
      <w:r/>
      <w:bookmarkStart w:id="8" w:name="_Toc88819056"/>
      <w:r>
        <w:t xml:space="preserve">Перечень рисунков</w:t>
      </w:r>
      <w:bookmarkEnd w:id="8"/>
      <w:r/>
      <w:r/>
    </w:p>
    <w:p>
      <w:pPr>
        <w:pStyle w:val="1152"/>
        <w:rPr>
          <w:rFonts w:ascii="Calibri" w:hAnsi="Calibri"/>
          <w:sz w:val="22"/>
          <w:szCs w:val="22"/>
        </w:rPr>
      </w:pPr>
      <w:r>
        <w:fldChar w:fldCharType="begin"/>
      </w:r>
      <w:r>
        <w:instrText xml:space="preserve"> TOC \f F \h \z \t "_ASFK_Fig_Name" \c "Рисунок" </w:instrText>
      </w:r>
      <w:r>
        <w:fldChar w:fldCharType="separate"/>
      </w:r>
      <w:hyperlink w:tooltip="#_Toc88819386" w:anchor="_Toc88819386" w:history="1">
        <w:r>
          <w:rPr>
            <w:rStyle w:val="1020"/>
          </w:rPr>
          <w:t xml:space="preserve">Рисунок </w:t>
        </w:r>
        <w:r>
          <w:rPr>
            <w:rFonts w:ascii="Calibri" w:hAnsi="Calibri"/>
            <w:sz w:val="22"/>
            <w:szCs w:val="22"/>
          </w:rPr>
          <w:tab/>
        </w:r>
        <w:r>
          <w:rPr>
            <w:rStyle w:val="1020"/>
          </w:rPr>
          <w:t xml:space="preserve">1. Основное окно программы</w:t>
        </w:r>
        <w:r>
          <w:tab/>
        </w:r>
        <w:r>
          <w:fldChar w:fldCharType="begin"/>
        </w:r>
        <w:r>
          <w:instrText xml:space="preserve"> PAGEREF _Toc88819386 \h </w:instrText>
        </w:r>
        <w:r/>
        <w:r>
          <w:fldChar w:fldCharType="separate"/>
        </w:r>
        <w:r>
          <w:t xml:space="preserve">45</w:t>
        </w:r>
        <w:r>
          <w:fldChar w:fldCharType="end"/>
        </w:r>
      </w:hyperlink>
      <w:r/>
      <w:r/>
    </w:p>
    <w:p>
      <w:pPr>
        <w:pStyle w:val="1152"/>
        <w:rPr>
          <w:rFonts w:ascii="Calibri" w:hAnsi="Calibri"/>
          <w:sz w:val="22"/>
          <w:szCs w:val="22"/>
        </w:rPr>
      </w:pPr>
      <w:r/>
      <w:hyperlink w:tooltip="#_Toc88819387" w:anchor="_Toc88819387" w:history="1">
        <w:r>
          <w:rPr>
            <w:rStyle w:val="1020"/>
          </w:rPr>
          <w:t xml:space="preserve">Рисунок </w:t>
        </w:r>
        <w:r>
          <w:rPr>
            <w:rFonts w:ascii="Calibri" w:hAnsi="Calibri"/>
            <w:sz w:val="22"/>
            <w:szCs w:val="22"/>
          </w:rPr>
          <w:tab/>
        </w:r>
        <w:r>
          <w:rPr>
            <w:rStyle w:val="1020"/>
          </w:rPr>
          <w:t xml:space="preserve">2. Окно настройки автоматического импорта/экспорта документов</w:t>
        </w:r>
        <w:r>
          <w:tab/>
        </w:r>
        <w:r>
          <w:fldChar w:fldCharType="begin"/>
        </w:r>
        <w:r>
          <w:instrText xml:space="preserve"> PAGEREF _Toc88819387 \h </w:instrText>
        </w:r>
        <w:r/>
        <w:r>
          <w:fldChar w:fldCharType="separate"/>
        </w:r>
        <w:r>
          <w:t xml:space="preserve">48</w:t>
        </w:r>
        <w:r>
          <w:fldChar w:fldCharType="end"/>
        </w:r>
      </w:hyperlink>
      <w:r/>
      <w:r/>
    </w:p>
    <w:p>
      <w:pPr>
        <w:pStyle w:val="1152"/>
        <w:rPr>
          <w:rFonts w:ascii="Calibri" w:hAnsi="Calibri"/>
          <w:sz w:val="22"/>
          <w:szCs w:val="22"/>
        </w:rPr>
      </w:pPr>
      <w:r/>
      <w:hyperlink w:tooltip="#_Toc88819388" w:anchor="_Toc88819388" w:history="1">
        <w:r>
          <w:rPr>
            <w:rStyle w:val="1020"/>
          </w:rPr>
          <w:t xml:space="preserve">Рисунок </w:t>
        </w:r>
        <w:r>
          <w:rPr>
            <w:rFonts w:ascii="Calibri" w:hAnsi="Calibri"/>
            <w:sz w:val="22"/>
            <w:szCs w:val="22"/>
          </w:rPr>
          <w:tab/>
        </w:r>
        <w:r>
          <w:rPr>
            <w:rStyle w:val="1020"/>
          </w:rPr>
          <w:t xml:space="preserve">3. Пример окна диспетчера задач</w:t>
        </w:r>
        <w:r>
          <w:tab/>
        </w:r>
        <w:r>
          <w:fldChar w:fldCharType="begin"/>
        </w:r>
        <w:r>
          <w:instrText xml:space="preserve"> PAGEREF _Toc88819388 \h </w:instrText>
        </w:r>
        <w:r/>
        <w:r>
          <w:fldChar w:fldCharType="separate"/>
        </w:r>
        <w:r>
          <w:t xml:space="preserve">49</w:t>
        </w:r>
        <w:r>
          <w:fldChar w:fldCharType="end"/>
        </w:r>
      </w:hyperlink>
      <w:r/>
      <w:r/>
    </w:p>
    <w:p>
      <w:pPr>
        <w:pStyle w:val="1152"/>
        <w:rPr>
          <w:rFonts w:ascii="Calibri" w:hAnsi="Calibri"/>
          <w:sz w:val="22"/>
          <w:szCs w:val="22"/>
        </w:rPr>
      </w:pPr>
      <w:r/>
      <w:hyperlink w:tooltip="#_Toc88819389" w:anchor="_Toc88819389" w:history="1">
        <w:r>
          <w:rPr>
            <w:rStyle w:val="1020"/>
          </w:rPr>
          <w:t xml:space="preserve">Рисунок </w:t>
        </w:r>
        <w:r>
          <w:rPr>
            <w:rFonts w:ascii="Calibri" w:hAnsi="Calibri"/>
            <w:sz w:val="22"/>
            <w:szCs w:val="22"/>
          </w:rPr>
          <w:tab/>
        </w:r>
        <w:r>
          <w:rPr>
            <w:rStyle w:val="1020"/>
          </w:rPr>
          <w:t xml:space="preserve">4. Пример панели инструментов экранной формы документа</w:t>
        </w:r>
        <w:r>
          <w:tab/>
        </w:r>
        <w:r>
          <w:fldChar w:fldCharType="begin"/>
        </w:r>
        <w:r>
          <w:instrText xml:space="preserve"> PAGEREF _Toc88819389 \h </w:instrText>
        </w:r>
        <w:r/>
        <w:r>
          <w:fldChar w:fldCharType="separate"/>
        </w:r>
        <w:r>
          <w:t xml:space="preserve">52</w:t>
        </w:r>
        <w:r>
          <w:fldChar w:fldCharType="end"/>
        </w:r>
      </w:hyperlink>
      <w:r/>
      <w:r/>
    </w:p>
    <w:p>
      <w:pPr>
        <w:pStyle w:val="1152"/>
        <w:rPr>
          <w:rFonts w:ascii="Calibri" w:hAnsi="Calibri"/>
          <w:sz w:val="22"/>
          <w:szCs w:val="22"/>
        </w:rPr>
      </w:pPr>
      <w:r/>
      <w:hyperlink w:tooltip="#_Toc88819390" w:anchor="_Toc88819390" w:history="1">
        <w:r>
          <w:rPr>
            <w:rStyle w:val="1020"/>
          </w:rPr>
          <w:t xml:space="preserve">Рисунок </w:t>
        </w:r>
        <w:r>
          <w:rPr>
            <w:rFonts w:ascii="Calibri" w:hAnsi="Calibri"/>
            <w:sz w:val="22"/>
            <w:szCs w:val="22"/>
          </w:rPr>
          <w:tab/>
        </w:r>
        <w:r>
          <w:rPr>
            <w:rStyle w:val="1020"/>
          </w:rPr>
          <w:t xml:space="preserve">5. Пример экранной формы, содержащей встроенную таблицу</w:t>
        </w:r>
        <w:r>
          <w:tab/>
        </w:r>
        <w:r>
          <w:fldChar w:fldCharType="begin"/>
        </w:r>
        <w:r>
          <w:instrText xml:space="preserve"> PAGEREF _Toc88819390 \h </w:instrText>
        </w:r>
        <w:r/>
        <w:r>
          <w:fldChar w:fldCharType="separate"/>
        </w:r>
        <w:r>
          <w:t xml:space="preserve">53</w:t>
        </w:r>
        <w:r>
          <w:fldChar w:fldCharType="end"/>
        </w:r>
      </w:hyperlink>
      <w:r/>
      <w:r/>
    </w:p>
    <w:p>
      <w:pPr>
        <w:pStyle w:val="1152"/>
        <w:rPr>
          <w:rFonts w:ascii="Calibri" w:hAnsi="Calibri"/>
          <w:sz w:val="22"/>
          <w:szCs w:val="22"/>
        </w:rPr>
      </w:pPr>
      <w:r/>
      <w:hyperlink w:tooltip="#_Toc88819391" w:anchor="_Toc88819391" w:history="1">
        <w:r>
          <w:rPr>
            <w:rStyle w:val="1020"/>
          </w:rPr>
          <w:t xml:space="preserve">Рисунок </w:t>
        </w:r>
        <w:r>
          <w:rPr>
            <w:rFonts w:ascii="Calibri" w:hAnsi="Calibri"/>
            <w:sz w:val="22"/>
            <w:szCs w:val="22"/>
          </w:rPr>
          <w:tab/>
        </w:r>
        <w:r>
          <w:rPr>
            <w:rStyle w:val="1020"/>
          </w:rPr>
          <w:t xml:space="preserve">6. Панели сортировки и фильтров</w:t>
        </w:r>
        <w:r>
          <w:tab/>
        </w:r>
        <w:r>
          <w:fldChar w:fldCharType="begin"/>
        </w:r>
        <w:r>
          <w:instrText xml:space="preserve"> PAGEREF _Toc88819391 \h </w:instrText>
        </w:r>
        <w:r/>
        <w:r>
          <w:fldChar w:fldCharType="separate"/>
        </w:r>
        <w:r>
          <w:t xml:space="preserve">55</w:t>
        </w:r>
        <w:r>
          <w:fldChar w:fldCharType="end"/>
        </w:r>
      </w:hyperlink>
      <w:r/>
      <w:r/>
    </w:p>
    <w:p>
      <w:pPr>
        <w:pStyle w:val="1152"/>
        <w:rPr>
          <w:rFonts w:ascii="Calibri" w:hAnsi="Calibri"/>
          <w:sz w:val="22"/>
          <w:szCs w:val="22"/>
        </w:rPr>
      </w:pPr>
      <w:r/>
      <w:hyperlink w:tooltip="#_Toc88819392" w:anchor="_Toc88819392" w:history="1">
        <w:r>
          <w:rPr>
            <w:rStyle w:val="1020"/>
          </w:rPr>
          <w:t xml:space="preserve">Рисунок </w:t>
        </w:r>
        <w:r>
          <w:rPr>
            <w:rFonts w:ascii="Calibri" w:hAnsi="Calibri"/>
            <w:sz w:val="22"/>
            <w:szCs w:val="22"/>
          </w:rPr>
          <w:tab/>
        </w:r>
        <w:r>
          <w:rPr>
            <w:rStyle w:val="1020"/>
          </w:rPr>
          <w:t xml:space="preserve">7. Панель сортировки</w:t>
        </w:r>
        <w:r>
          <w:tab/>
        </w:r>
        <w:r>
          <w:fldChar w:fldCharType="begin"/>
        </w:r>
        <w:r>
          <w:instrText xml:space="preserve"> PAGEREF _Toc88819392 \h </w:instrText>
        </w:r>
        <w:r/>
        <w:r>
          <w:fldChar w:fldCharType="separate"/>
        </w:r>
        <w:r>
          <w:t xml:space="preserve">55</w:t>
        </w:r>
        <w:r>
          <w:fldChar w:fldCharType="end"/>
        </w:r>
      </w:hyperlink>
      <w:r/>
      <w:r/>
    </w:p>
    <w:p>
      <w:pPr>
        <w:pStyle w:val="1152"/>
        <w:rPr>
          <w:rFonts w:ascii="Calibri" w:hAnsi="Calibri"/>
          <w:sz w:val="22"/>
          <w:szCs w:val="22"/>
        </w:rPr>
      </w:pPr>
      <w:r/>
      <w:hyperlink w:tooltip="#_Toc88819393" w:anchor="_Toc88819393" w:history="1">
        <w:r>
          <w:rPr>
            <w:rStyle w:val="1020"/>
          </w:rPr>
          <w:t xml:space="preserve">Рисунок </w:t>
        </w:r>
        <w:r>
          <w:rPr>
            <w:rFonts w:ascii="Calibri" w:hAnsi="Calibri"/>
            <w:sz w:val="22"/>
            <w:szCs w:val="22"/>
          </w:rPr>
          <w:tab/>
        </w:r>
        <w:r>
          <w:rPr>
            <w:rStyle w:val="1020"/>
          </w:rPr>
          <w:t xml:space="preserve">8. Панель фильтров</w:t>
        </w:r>
        <w:r>
          <w:tab/>
        </w:r>
        <w:r>
          <w:fldChar w:fldCharType="begin"/>
        </w:r>
        <w:r>
          <w:instrText xml:space="preserve"> PAGEREF _Toc88819393 \h </w:instrText>
        </w:r>
        <w:r/>
        <w:r>
          <w:fldChar w:fldCharType="separate"/>
        </w:r>
        <w:r>
          <w:t xml:space="preserve">55</w:t>
        </w:r>
        <w:r>
          <w:fldChar w:fldCharType="end"/>
        </w:r>
      </w:hyperlink>
      <w:r/>
      <w:r/>
    </w:p>
    <w:p>
      <w:pPr>
        <w:pStyle w:val="1152"/>
        <w:rPr>
          <w:rFonts w:ascii="Calibri" w:hAnsi="Calibri"/>
          <w:sz w:val="22"/>
          <w:szCs w:val="22"/>
        </w:rPr>
      </w:pPr>
      <w:r/>
      <w:hyperlink w:tooltip="#_Toc88819394" w:anchor="_Toc88819394" w:history="1">
        <w:r>
          <w:rPr>
            <w:rStyle w:val="1020"/>
          </w:rPr>
          <w:t xml:space="preserve">Рисунок </w:t>
        </w:r>
        <w:r>
          <w:rPr>
            <w:rFonts w:ascii="Calibri" w:hAnsi="Calibri"/>
            <w:sz w:val="22"/>
            <w:szCs w:val="22"/>
          </w:rPr>
          <w:tab/>
        </w:r>
        <w:r>
          <w:rPr>
            <w:rStyle w:val="1020"/>
          </w:rPr>
          <w:t xml:space="preserve">9. Панель перемещения по списку документов. Отображается первая из пяти страниц журнала документов</w:t>
        </w:r>
        <w:r>
          <w:tab/>
        </w:r>
        <w:r>
          <w:fldChar w:fldCharType="begin"/>
        </w:r>
        <w:r>
          <w:instrText xml:space="preserve"> PAGEREF _Toc88819394 \h </w:instrText>
        </w:r>
        <w:r/>
        <w:r>
          <w:fldChar w:fldCharType="separate"/>
        </w:r>
        <w:r>
          <w:t xml:space="preserve">56</w:t>
        </w:r>
        <w:r>
          <w:fldChar w:fldCharType="end"/>
        </w:r>
      </w:hyperlink>
      <w:r/>
      <w:r/>
    </w:p>
    <w:p>
      <w:pPr>
        <w:pStyle w:val="1152"/>
        <w:rPr>
          <w:rFonts w:ascii="Calibri" w:hAnsi="Calibri"/>
          <w:sz w:val="22"/>
          <w:szCs w:val="22"/>
        </w:rPr>
      </w:pPr>
      <w:r/>
      <w:hyperlink w:tooltip="#_Toc88819395" w:anchor="_Toc88819395" w:history="1">
        <w:r>
          <w:rPr>
            <w:rStyle w:val="1020"/>
          </w:rPr>
          <w:t xml:space="preserve">Рисунок </w:t>
        </w:r>
        <w:r>
          <w:rPr>
            <w:rFonts w:ascii="Calibri" w:hAnsi="Calibri"/>
            <w:sz w:val="22"/>
            <w:szCs w:val="22"/>
          </w:rPr>
          <w:tab/>
        </w:r>
        <w:r>
          <w:rPr>
            <w:rStyle w:val="1020"/>
          </w:rPr>
          <w:t xml:space="preserve">10. Информационная панель</w:t>
        </w:r>
        <w:r>
          <w:tab/>
        </w:r>
        <w:r>
          <w:fldChar w:fldCharType="begin"/>
        </w:r>
        <w:r>
          <w:instrText xml:space="preserve"> PAGEREF _Toc88819395 \h </w:instrText>
        </w:r>
        <w:r/>
        <w:r>
          <w:fldChar w:fldCharType="separate"/>
        </w:r>
        <w:r>
          <w:t xml:space="preserve">57</w:t>
        </w:r>
        <w:r>
          <w:fldChar w:fldCharType="end"/>
        </w:r>
      </w:hyperlink>
      <w:r/>
      <w:r/>
    </w:p>
    <w:p>
      <w:pPr>
        <w:pStyle w:val="1152"/>
        <w:rPr>
          <w:rFonts w:ascii="Calibri" w:hAnsi="Calibri"/>
          <w:sz w:val="22"/>
          <w:szCs w:val="22"/>
        </w:rPr>
      </w:pPr>
      <w:r/>
      <w:hyperlink w:tooltip="#_Toc88819396" w:anchor="_Toc88819396" w:history="1">
        <w:r>
          <w:rPr>
            <w:rStyle w:val="1020"/>
          </w:rPr>
          <w:t xml:space="preserve">Рисунок </w:t>
        </w:r>
        <w:r>
          <w:rPr>
            <w:rFonts w:ascii="Calibri" w:hAnsi="Calibri"/>
            <w:sz w:val="22"/>
            <w:szCs w:val="22"/>
          </w:rPr>
          <w:tab/>
        </w:r>
        <w:r>
          <w:rPr>
            <w:rStyle w:val="1020"/>
          </w:rPr>
          <w:t xml:space="preserve">11. ЭФ списка документов «Заявка на кассовый расход»</w:t>
        </w:r>
        <w:r>
          <w:tab/>
        </w:r>
        <w:r>
          <w:fldChar w:fldCharType="begin"/>
        </w:r>
        <w:r>
          <w:instrText xml:space="preserve"> PAGEREF _Toc88819396 \h </w:instrText>
        </w:r>
        <w:r/>
        <w:r>
          <w:fldChar w:fldCharType="separate"/>
        </w:r>
        <w:r>
          <w:t xml:space="preserve">59</w:t>
        </w:r>
        <w:r>
          <w:fldChar w:fldCharType="end"/>
        </w:r>
      </w:hyperlink>
      <w:r/>
      <w:r/>
    </w:p>
    <w:p>
      <w:pPr>
        <w:pStyle w:val="1152"/>
        <w:rPr>
          <w:rFonts w:ascii="Calibri" w:hAnsi="Calibri"/>
          <w:sz w:val="22"/>
          <w:szCs w:val="22"/>
        </w:rPr>
      </w:pPr>
      <w:r/>
      <w:hyperlink w:tooltip="#_Toc88819397" w:anchor="_Toc88819397" w:history="1">
        <w:r>
          <w:rPr>
            <w:rStyle w:val="1020"/>
          </w:rPr>
          <w:t xml:space="preserve">Рисунок </w:t>
        </w:r>
        <w:r>
          <w:rPr>
            <w:rFonts w:ascii="Calibri" w:hAnsi="Calibri"/>
            <w:sz w:val="22"/>
            <w:szCs w:val="22"/>
          </w:rPr>
          <w:tab/>
        </w:r>
        <w:r>
          <w:rPr>
            <w:rStyle w:val="1020"/>
          </w:rPr>
          <w:t xml:space="preserve">12. Фрагмент ЭФ списка документов «Заявка на кассовый расход» с полем «Признак ЭДО» в скроллере</w:t>
        </w:r>
        <w:r>
          <w:tab/>
        </w:r>
        <w:r>
          <w:fldChar w:fldCharType="begin"/>
        </w:r>
        <w:r>
          <w:instrText xml:space="preserve"> PAGEREF _Toc88819397 \h </w:instrText>
        </w:r>
        <w:r/>
        <w:r>
          <w:fldChar w:fldCharType="separate"/>
        </w:r>
        <w:r>
          <w:t xml:space="preserve">59</w:t>
        </w:r>
        <w:r>
          <w:fldChar w:fldCharType="end"/>
        </w:r>
      </w:hyperlink>
      <w:r/>
      <w:r/>
    </w:p>
    <w:p>
      <w:pPr>
        <w:pStyle w:val="1152"/>
        <w:rPr>
          <w:rFonts w:ascii="Calibri" w:hAnsi="Calibri"/>
          <w:sz w:val="22"/>
          <w:szCs w:val="22"/>
        </w:rPr>
      </w:pPr>
      <w:r/>
      <w:hyperlink w:tooltip="#_Toc88819398" w:anchor="_Toc88819398" w:history="1">
        <w:r>
          <w:rPr>
            <w:rStyle w:val="1020"/>
          </w:rPr>
          <w:t xml:space="preserve">Рисунок </w:t>
        </w:r>
        <w:r>
          <w:rPr>
            <w:rFonts w:ascii="Calibri" w:hAnsi="Calibri"/>
            <w:sz w:val="22"/>
            <w:szCs w:val="22"/>
          </w:rPr>
          <w:tab/>
        </w:r>
        <w:r>
          <w:rPr>
            <w:rStyle w:val="1020"/>
          </w:rPr>
          <w:t xml:space="preserve">13. Окно «Поиск…»</w:t>
        </w:r>
        <w:r>
          <w:tab/>
        </w:r>
        <w:r>
          <w:fldChar w:fldCharType="begin"/>
        </w:r>
        <w:r>
          <w:instrText xml:space="preserve"> PAGEREF _Toc88819398 \h </w:instrText>
        </w:r>
        <w:r/>
        <w:r>
          <w:fldChar w:fldCharType="separate"/>
        </w:r>
        <w:r>
          <w:t xml:space="preserve">60</w:t>
        </w:r>
        <w:r>
          <w:fldChar w:fldCharType="end"/>
        </w:r>
      </w:hyperlink>
      <w:r/>
      <w:r/>
    </w:p>
    <w:p>
      <w:pPr>
        <w:pStyle w:val="1152"/>
        <w:rPr>
          <w:rFonts w:ascii="Calibri" w:hAnsi="Calibri"/>
          <w:sz w:val="22"/>
          <w:szCs w:val="22"/>
        </w:rPr>
      </w:pPr>
      <w:r/>
      <w:hyperlink w:tooltip="#_Toc88819399" w:anchor="_Toc88819399" w:history="1">
        <w:r>
          <w:rPr>
            <w:rStyle w:val="1020"/>
          </w:rPr>
          <w:t xml:space="preserve">Рисунок </w:t>
        </w:r>
        <w:r>
          <w:rPr>
            <w:rFonts w:ascii="Calibri" w:hAnsi="Calibri"/>
            <w:sz w:val="22"/>
            <w:szCs w:val="22"/>
          </w:rPr>
          <w:tab/>
        </w:r>
        <w:r>
          <w:rPr>
            <w:rStyle w:val="1020"/>
          </w:rPr>
          <w:t xml:space="preserve">14. Окно «Выбор родительского документа» для документов типа «Сведения о соглашении»</w:t>
        </w:r>
        <w:r>
          <w:tab/>
        </w:r>
        <w:r>
          <w:fldChar w:fldCharType="begin"/>
        </w:r>
        <w:r>
          <w:instrText xml:space="preserve"> PAGEREF _Toc88819399 \h </w:instrText>
        </w:r>
        <w:r/>
        <w:r>
          <w:fldChar w:fldCharType="separate"/>
        </w:r>
        <w:r>
          <w:t xml:space="preserve">61</w:t>
        </w:r>
        <w:r>
          <w:fldChar w:fldCharType="end"/>
        </w:r>
      </w:hyperlink>
      <w:r/>
      <w:r/>
    </w:p>
    <w:p>
      <w:pPr>
        <w:pStyle w:val="1152"/>
        <w:rPr>
          <w:rFonts w:ascii="Calibri" w:hAnsi="Calibri"/>
          <w:sz w:val="22"/>
          <w:szCs w:val="22"/>
        </w:rPr>
      </w:pPr>
      <w:r/>
      <w:hyperlink w:tooltip="#_Toc88819400" w:anchor="_Toc88819400" w:history="1">
        <w:r>
          <w:rPr>
            <w:rStyle w:val="1020"/>
          </w:rPr>
          <w:t xml:space="preserve">Рисунок </w:t>
        </w:r>
        <w:r>
          <w:rPr>
            <w:rFonts w:ascii="Calibri" w:hAnsi="Calibri"/>
            <w:sz w:val="22"/>
            <w:szCs w:val="22"/>
          </w:rPr>
          <w:tab/>
        </w:r>
        <w:r>
          <w:rPr>
            <w:rStyle w:val="1020"/>
          </w:rPr>
          <w:t xml:space="preserve">15. ЭФ документа «Заявка на кассовый расход», закладки «Заголовок, Раздел 1, 2 (1)»</w:t>
        </w:r>
        <w:r>
          <w:tab/>
        </w:r>
        <w:r>
          <w:fldChar w:fldCharType="begin"/>
        </w:r>
        <w:r>
          <w:instrText xml:space="preserve"> PAGEREF _Toc88819400 \h </w:instrText>
        </w:r>
        <w:r/>
        <w:r>
          <w:fldChar w:fldCharType="separate"/>
        </w:r>
        <w:r>
          <w:t xml:space="preserve">62</w:t>
        </w:r>
        <w:r>
          <w:fldChar w:fldCharType="end"/>
        </w:r>
      </w:hyperlink>
      <w:r/>
      <w:r/>
    </w:p>
    <w:p>
      <w:pPr>
        <w:pStyle w:val="1152"/>
        <w:rPr>
          <w:rFonts w:ascii="Calibri" w:hAnsi="Calibri"/>
          <w:sz w:val="22"/>
          <w:szCs w:val="22"/>
        </w:rPr>
      </w:pPr>
      <w:r/>
      <w:hyperlink w:tooltip="#_Toc88819401" w:anchor="_Toc88819401" w:history="1">
        <w:r>
          <w:rPr>
            <w:rStyle w:val="1020"/>
          </w:rPr>
          <w:t xml:space="preserve">Рисунок </w:t>
        </w:r>
        <w:r>
          <w:rPr>
            <w:rFonts w:ascii="Calibri" w:hAnsi="Calibri"/>
            <w:sz w:val="22"/>
            <w:szCs w:val="22"/>
          </w:rPr>
          <w:tab/>
        </w:r>
        <w:r>
          <w:rPr>
            <w:rStyle w:val="1020"/>
          </w:rPr>
          <w:t xml:space="preserve">16. Форма «Добавление записи»</w:t>
        </w:r>
        <w:r>
          <w:tab/>
        </w:r>
        <w:r>
          <w:fldChar w:fldCharType="begin"/>
        </w:r>
        <w:r>
          <w:instrText xml:space="preserve"> PAGEREF _Toc88819401 \h </w:instrText>
        </w:r>
        <w:r/>
        <w:r>
          <w:fldChar w:fldCharType="separate"/>
        </w:r>
        <w:r>
          <w:t xml:space="preserve">67</w:t>
        </w:r>
        <w:r>
          <w:fldChar w:fldCharType="end"/>
        </w:r>
      </w:hyperlink>
      <w:r/>
      <w:r/>
    </w:p>
    <w:p>
      <w:pPr>
        <w:pStyle w:val="1152"/>
        <w:rPr>
          <w:rFonts w:ascii="Calibri" w:hAnsi="Calibri"/>
          <w:sz w:val="22"/>
          <w:szCs w:val="22"/>
        </w:rPr>
      </w:pPr>
      <w:r/>
      <w:hyperlink w:tooltip="#_Toc88819402" w:anchor="_Toc88819402" w:history="1">
        <w:r>
          <w:rPr>
            <w:rStyle w:val="1020"/>
          </w:rPr>
          <w:t xml:space="preserve">Рисунок </w:t>
        </w:r>
        <w:r>
          <w:rPr>
            <w:rFonts w:ascii="Calibri" w:hAnsi="Calibri"/>
            <w:sz w:val="22"/>
            <w:szCs w:val="22"/>
          </w:rPr>
          <w:tab/>
        </w:r>
        <w:r>
          <w:rPr>
            <w:rStyle w:val="1020"/>
          </w:rPr>
          <w:t xml:space="preserve">17. ЭФ документа «Заявка на кассовый расход», закладки «Раздел 3, 4, 5 (2)»</w:t>
        </w:r>
        <w:r>
          <w:tab/>
        </w:r>
        <w:r>
          <w:fldChar w:fldCharType="begin"/>
        </w:r>
        <w:r>
          <w:instrText xml:space="preserve"> PAGEREF _Toc88819402 \h </w:instrText>
        </w:r>
        <w:r/>
        <w:r>
          <w:fldChar w:fldCharType="separate"/>
        </w:r>
        <w:r>
          <w:t xml:space="preserve">67</w:t>
        </w:r>
        <w:r>
          <w:fldChar w:fldCharType="end"/>
        </w:r>
      </w:hyperlink>
      <w:r/>
      <w:r/>
    </w:p>
    <w:p>
      <w:pPr>
        <w:pStyle w:val="1152"/>
        <w:rPr>
          <w:rFonts w:ascii="Calibri" w:hAnsi="Calibri"/>
          <w:sz w:val="22"/>
          <w:szCs w:val="22"/>
        </w:rPr>
      </w:pPr>
      <w:r/>
      <w:hyperlink w:tooltip="#_Toc88819403" w:anchor="_Toc88819403" w:history="1">
        <w:r>
          <w:rPr>
            <w:rStyle w:val="1020"/>
          </w:rPr>
          <w:t xml:space="preserve">Рисунок </w:t>
        </w:r>
        <w:r>
          <w:rPr>
            <w:rFonts w:ascii="Calibri" w:hAnsi="Calibri"/>
            <w:sz w:val="22"/>
            <w:szCs w:val="22"/>
          </w:rPr>
          <w:tab/>
        </w:r>
        <w:r>
          <w:rPr>
            <w:rStyle w:val="1020"/>
          </w:rPr>
          <w:t xml:space="preserve">18. Форма «Добавление записи»</w:t>
        </w:r>
        <w:r>
          <w:tab/>
        </w:r>
        <w:r>
          <w:fldChar w:fldCharType="begin"/>
        </w:r>
        <w:r>
          <w:instrText xml:space="preserve"> PAGEREF _Toc88819403 \h </w:instrText>
        </w:r>
        <w:r/>
        <w:r>
          <w:fldChar w:fldCharType="separate"/>
        </w:r>
        <w:r>
          <w:t xml:space="preserve">72</w:t>
        </w:r>
        <w:r>
          <w:fldChar w:fldCharType="end"/>
        </w:r>
      </w:hyperlink>
      <w:r/>
      <w:r/>
    </w:p>
    <w:p>
      <w:pPr>
        <w:pStyle w:val="1152"/>
        <w:rPr>
          <w:rFonts w:ascii="Calibri" w:hAnsi="Calibri"/>
          <w:sz w:val="22"/>
          <w:szCs w:val="22"/>
        </w:rPr>
      </w:pPr>
      <w:r/>
      <w:hyperlink w:tooltip="#_Toc88819404" w:anchor="_Toc88819404" w:history="1">
        <w:r>
          <w:rPr>
            <w:rStyle w:val="1020"/>
          </w:rPr>
          <w:t xml:space="preserve">Рисунок </w:t>
        </w:r>
        <w:r>
          <w:rPr>
            <w:rFonts w:ascii="Calibri" w:hAnsi="Calibri"/>
            <w:sz w:val="22"/>
            <w:szCs w:val="22"/>
          </w:rPr>
          <w:tab/>
        </w:r>
        <w:r>
          <w:rPr>
            <w:rStyle w:val="1020"/>
          </w:rPr>
          <w:t xml:space="preserve">19. ЭФ документа «Заявка на кассовый расход», закладки «Подписи (3)»</w:t>
        </w:r>
        <w:r>
          <w:tab/>
        </w:r>
        <w:r>
          <w:fldChar w:fldCharType="begin"/>
        </w:r>
        <w:r>
          <w:instrText xml:space="preserve"> PAGEREF _Toc88819404 \h </w:instrText>
        </w:r>
        <w:r/>
        <w:r>
          <w:fldChar w:fldCharType="separate"/>
        </w:r>
        <w:r>
          <w:t xml:space="preserve">73</w:t>
        </w:r>
        <w:r>
          <w:fldChar w:fldCharType="end"/>
        </w:r>
      </w:hyperlink>
      <w:r/>
      <w:r/>
    </w:p>
    <w:p>
      <w:pPr>
        <w:pStyle w:val="1152"/>
        <w:rPr>
          <w:rFonts w:ascii="Calibri" w:hAnsi="Calibri"/>
          <w:sz w:val="22"/>
          <w:szCs w:val="22"/>
        </w:rPr>
      </w:pPr>
      <w:r/>
      <w:hyperlink w:tooltip="#_Toc88819405" w:anchor="_Toc88819405" w:history="1">
        <w:r>
          <w:rPr>
            <w:rStyle w:val="1020"/>
          </w:rPr>
          <w:t xml:space="preserve">Рисунок </w:t>
        </w:r>
        <w:r>
          <w:rPr>
            <w:rFonts w:ascii="Calibri" w:hAnsi="Calibri"/>
            <w:sz w:val="22"/>
            <w:szCs w:val="22"/>
          </w:rPr>
          <w:tab/>
        </w:r>
        <w:r>
          <w:rPr>
            <w:rStyle w:val="1020"/>
          </w:rPr>
          <w:t xml:space="preserve">20. ЭФ списка документов «Заявка на кассовый расход (сокращенная)»</w:t>
        </w:r>
        <w:r>
          <w:tab/>
        </w:r>
        <w:r>
          <w:fldChar w:fldCharType="begin"/>
        </w:r>
        <w:r>
          <w:instrText xml:space="preserve"> PAGEREF _Toc88819405 \h </w:instrText>
        </w:r>
        <w:r/>
        <w:r>
          <w:fldChar w:fldCharType="separate"/>
        </w:r>
        <w:r>
          <w:t xml:space="preserve">75</w:t>
        </w:r>
        <w:r>
          <w:fldChar w:fldCharType="end"/>
        </w:r>
      </w:hyperlink>
      <w:r/>
      <w:r/>
    </w:p>
    <w:p>
      <w:pPr>
        <w:pStyle w:val="1152"/>
        <w:rPr>
          <w:rFonts w:ascii="Calibri" w:hAnsi="Calibri"/>
          <w:sz w:val="22"/>
          <w:szCs w:val="22"/>
        </w:rPr>
      </w:pPr>
      <w:r/>
      <w:hyperlink w:tooltip="#_Toc88819406" w:anchor="_Toc88819406" w:history="1">
        <w:r>
          <w:rPr>
            <w:rStyle w:val="1020"/>
          </w:rPr>
          <w:t xml:space="preserve">Рисунок </w:t>
        </w:r>
        <w:r>
          <w:rPr>
            <w:rFonts w:ascii="Calibri" w:hAnsi="Calibri"/>
            <w:sz w:val="22"/>
            <w:szCs w:val="22"/>
          </w:rPr>
          <w:tab/>
        </w:r>
        <w:r>
          <w:rPr>
            <w:rStyle w:val="1020"/>
          </w:rPr>
          <w:t xml:space="preserve">21. ЭФ документа «Заявка на кассовый расход (сокращенная)», закладки «Заголовок, Раздел 1, (1)»</w:t>
        </w:r>
        <w:r>
          <w:tab/>
        </w:r>
        <w:r>
          <w:fldChar w:fldCharType="begin"/>
        </w:r>
        <w:r>
          <w:instrText xml:space="preserve"> PAGEREF _Toc88819406 \h </w:instrText>
        </w:r>
        <w:r/>
        <w:r>
          <w:fldChar w:fldCharType="separate"/>
        </w:r>
        <w:r>
          <w:t xml:space="preserve">76</w:t>
        </w:r>
        <w:r>
          <w:fldChar w:fldCharType="end"/>
        </w:r>
      </w:hyperlink>
      <w:r/>
      <w:r/>
    </w:p>
    <w:p>
      <w:pPr>
        <w:pStyle w:val="1152"/>
        <w:rPr>
          <w:rFonts w:ascii="Calibri" w:hAnsi="Calibri"/>
          <w:sz w:val="22"/>
          <w:szCs w:val="22"/>
        </w:rPr>
      </w:pPr>
      <w:r/>
      <w:hyperlink w:tooltip="#_Toc88819407" w:anchor="_Toc88819407" w:history="1">
        <w:r>
          <w:rPr>
            <w:rStyle w:val="1020"/>
          </w:rPr>
          <w:t xml:space="preserve">Рисунок </w:t>
        </w:r>
        <w:r>
          <w:rPr>
            <w:rFonts w:ascii="Calibri" w:hAnsi="Calibri"/>
            <w:sz w:val="22"/>
            <w:szCs w:val="22"/>
          </w:rPr>
          <w:tab/>
        </w:r>
        <w:r>
          <w:rPr>
            <w:rStyle w:val="1020"/>
          </w:rPr>
          <w:t xml:space="preserve">22. ЭФ документа «Заявка на кассовый расход (сокращенная)», закладки «Раздел 2, 3 (2)»</w:t>
        </w:r>
        <w:r>
          <w:tab/>
        </w:r>
        <w:r>
          <w:fldChar w:fldCharType="begin"/>
        </w:r>
        <w:r>
          <w:instrText xml:space="preserve"> PAGEREF _Toc88819407 \h </w:instrText>
        </w:r>
        <w:r/>
        <w:r>
          <w:fldChar w:fldCharType="separate"/>
        </w:r>
        <w:r>
          <w:t xml:space="preserve">80</w:t>
        </w:r>
        <w:r>
          <w:fldChar w:fldCharType="end"/>
        </w:r>
      </w:hyperlink>
      <w:r/>
      <w:r/>
    </w:p>
    <w:p>
      <w:pPr>
        <w:pStyle w:val="1152"/>
        <w:rPr>
          <w:rFonts w:ascii="Calibri" w:hAnsi="Calibri"/>
          <w:sz w:val="22"/>
          <w:szCs w:val="22"/>
        </w:rPr>
      </w:pPr>
      <w:r/>
      <w:hyperlink w:tooltip="#_Toc88819408" w:anchor="_Toc88819408" w:history="1">
        <w:r>
          <w:rPr>
            <w:rStyle w:val="1020"/>
          </w:rPr>
          <w:t xml:space="preserve">Рисунок </w:t>
        </w:r>
        <w:r>
          <w:rPr>
            <w:rFonts w:ascii="Calibri" w:hAnsi="Calibri"/>
            <w:sz w:val="22"/>
            <w:szCs w:val="22"/>
          </w:rPr>
          <w:tab/>
        </w:r>
        <w:r>
          <w:rPr>
            <w:rStyle w:val="1020"/>
          </w:rPr>
          <w:t xml:space="preserve">23. ЭФ документа «Заявка на кассовый расход (сокращенная)», закладки «Подписи (3)»</w:t>
        </w:r>
        <w:r>
          <w:tab/>
        </w:r>
        <w:r>
          <w:fldChar w:fldCharType="begin"/>
        </w:r>
        <w:r>
          <w:instrText xml:space="preserve"> PAGEREF _Toc88819408 \h </w:instrText>
        </w:r>
        <w:r/>
        <w:r>
          <w:fldChar w:fldCharType="separate"/>
        </w:r>
        <w:r>
          <w:t xml:space="preserve">82</w:t>
        </w:r>
        <w:r>
          <w:fldChar w:fldCharType="end"/>
        </w:r>
      </w:hyperlink>
      <w:r/>
      <w:r/>
    </w:p>
    <w:p>
      <w:pPr>
        <w:pStyle w:val="1152"/>
        <w:rPr>
          <w:rFonts w:ascii="Calibri" w:hAnsi="Calibri"/>
          <w:sz w:val="22"/>
          <w:szCs w:val="22"/>
        </w:rPr>
      </w:pPr>
      <w:r/>
      <w:hyperlink w:tooltip="#_Toc88819409" w:anchor="_Toc88819409" w:history="1">
        <w:r>
          <w:rPr>
            <w:rStyle w:val="1020"/>
          </w:rPr>
          <w:t xml:space="preserve">Рисунок </w:t>
        </w:r>
        <w:r>
          <w:rPr>
            <w:rFonts w:ascii="Calibri" w:hAnsi="Calibri"/>
            <w:sz w:val="22"/>
            <w:szCs w:val="22"/>
          </w:rPr>
          <w:tab/>
        </w:r>
        <w:r>
          <w:rPr>
            <w:rStyle w:val="1020"/>
          </w:rPr>
          <w:t xml:space="preserve">24. ЭФ списка документов «Заявка на получение наличных денег»</w:t>
        </w:r>
        <w:r>
          <w:tab/>
        </w:r>
        <w:r>
          <w:fldChar w:fldCharType="begin"/>
        </w:r>
        <w:r>
          <w:instrText xml:space="preserve"> PAGEREF _Toc88819409 \h </w:instrText>
        </w:r>
        <w:r/>
        <w:r>
          <w:fldChar w:fldCharType="separate"/>
        </w:r>
        <w:r>
          <w:t xml:space="preserve">84</w:t>
        </w:r>
        <w:r>
          <w:fldChar w:fldCharType="end"/>
        </w:r>
      </w:hyperlink>
      <w:r/>
      <w:r/>
    </w:p>
    <w:p>
      <w:pPr>
        <w:pStyle w:val="1152"/>
        <w:rPr>
          <w:rFonts w:ascii="Calibri" w:hAnsi="Calibri"/>
          <w:sz w:val="22"/>
          <w:szCs w:val="22"/>
        </w:rPr>
      </w:pPr>
      <w:r/>
      <w:hyperlink w:tooltip="#_Toc88819410" w:anchor="_Toc88819410" w:history="1">
        <w:r>
          <w:rPr>
            <w:rStyle w:val="1020"/>
          </w:rPr>
          <w:t xml:space="preserve">Рисунок </w:t>
        </w:r>
        <w:r>
          <w:rPr>
            <w:rFonts w:ascii="Calibri" w:hAnsi="Calibri"/>
            <w:sz w:val="22"/>
            <w:szCs w:val="22"/>
          </w:rPr>
          <w:tab/>
        </w:r>
        <w:r>
          <w:rPr>
            <w:rStyle w:val="1020"/>
          </w:rPr>
          <w:t xml:space="preserve">25. Окно «Поиск…»</w:t>
        </w:r>
        <w:r>
          <w:tab/>
        </w:r>
        <w:r>
          <w:fldChar w:fldCharType="begin"/>
        </w:r>
        <w:r>
          <w:instrText xml:space="preserve"> PAGEREF _Toc88819410 \h </w:instrText>
        </w:r>
        <w:r/>
        <w:r>
          <w:fldChar w:fldCharType="separate"/>
        </w:r>
        <w:r>
          <w:t xml:space="preserve">85</w:t>
        </w:r>
        <w:r>
          <w:fldChar w:fldCharType="end"/>
        </w:r>
      </w:hyperlink>
      <w:r/>
      <w:r/>
    </w:p>
    <w:p>
      <w:pPr>
        <w:pStyle w:val="1152"/>
        <w:rPr>
          <w:rFonts w:ascii="Calibri" w:hAnsi="Calibri"/>
          <w:sz w:val="22"/>
          <w:szCs w:val="22"/>
        </w:rPr>
      </w:pPr>
      <w:r/>
      <w:hyperlink w:tooltip="#_Toc88819411" w:anchor="_Toc88819411" w:history="1">
        <w:r>
          <w:rPr>
            <w:rStyle w:val="1020"/>
          </w:rPr>
          <w:t xml:space="preserve">Рисунок </w:t>
        </w:r>
        <w:r>
          <w:rPr>
            <w:rFonts w:ascii="Calibri" w:hAnsi="Calibri"/>
            <w:sz w:val="22"/>
            <w:szCs w:val="22"/>
          </w:rPr>
          <w:tab/>
        </w:r>
        <w:r>
          <w:rPr>
            <w:rStyle w:val="1020"/>
          </w:rPr>
          <w:t xml:space="preserve">26. Окно «Выбор родительского документа» для документов типа «Сведения об обязательстве»</w:t>
        </w:r>
        <w:r>
          <w:tab/>
        </w:r>
        <w:r>
          <w:fldChar w:fldCharType="begin"/>
        </w:r>
        <w:r>
          <w:instrText xml:space="preserve"> PAGEREF _Toc88819411 \h </w:instrText>
        </w:r>
        <w:r/>
        <w:r>
          <w:fldChar w:fldCharType="separate"/>
        </w:r>
        <w:r>
          <w:t xml:space="preserve">85</w:t>
        </w:r>
        <w:r>
          <w:fldChar w:fldCharType="end"/>
        </w:r>
      </w:hyperlink>
      <w:r/>
      <w:r/>
    </w:p>
    <w:p>
      <w:pPr>
        <w:pStyle w:val="1152"/>
        <w:rPr>
          <w:rFonts w:ascii="Calibri" w:hAnsi="Calibri"/>
          <w:sz w:val="22"/>
          <w:szCs w:val="22"/>
        </w:rPr>
      </w:pPr>
      <w:r/>
      <w:hyperlink w:tooltip="#_Toc88819412" w:anchor="_Toc88819412" w:history="1">
        <w:r>
          <w:rPr>
            <w:rStyle w:val="1020"/>
          </w:rPr>
          <w:t xml:space="preserve">Рисунок </w:t>
        </w:r>
        <w:r>
          <w:rPr>
            <w:rFonts w:ascii="Calibri" w:hAnsi="Calibri"/>
            <w:sz w:val="22"/>
            <w:szCs w:val="22"/>
          </w:rPr>
          <w:tab/>
        </w:r>
        <w:r>
          <w:rPr>
            <w:rStyle w:val="1020"/>
          </w:rPr>
          <w:t xml:space="preserve">27. ЭФ документа «Заявка на получение наличных денег», закладки «Раздел 1,2 (1)»</w:t>
        </w:r>
        <w:r>
          <w:tab/>
        </w:r>
        <w:r>
          <w:fldChar w:fldCharType="begin"/>
        </w:r>
        <w:r>
          <w:instrText xml:space="preserve"> PAGEREF _Toc88819412 \h </w:instrText>
        </w:r>
        <w:r/>
        <w:r>
          <w:fldChar w:fldCharType="separate"/>
        </w:r>
        <w:r>
          <w:t xml:space="preserve">86</w:t>
        </w:r>
        <w:r>
          <w:fldChar w:fldCharType="end"/>
        </w:r>
      </w:hyperlink>
      <w:r/>
      <w:r/>
    </w:p>
    <w:p>
      <w:pPr>
        <w:pStyle w:val="1152"/>
        <w:rPr>
          <w:rFonts w:ascii="Calibri" w:hAnsi="Calibri"/>
          <w:sz w:val="22"/>
          <w:szCs w:val="22"/>
        </w:rPr>
      </w:pPr>
      <w:r/>
      <w:hyperlink w:tooltip="#_Toc88819413" w:anchor="_Toc88819413" w:history="1">
        <w:r>
          <w:rPr>
            <w:rStyle w:val="1020"/>
          </w:rPr>
          <w:t xml:space="preserve">Рисунок </w:t>
        </w:r>
        <w:r>
          <w:rPr>
            <w:rFonts w:ascii="Calibri" w:hAnsi="Calibri"/>
            <w:sz w:val="22"/>
            <w:szCs w:val="22"/>
          </w:rPr>
          <w:tab/>
        </w:r>
        <w:r>
          <w:rPr>
            <w:rStyle w:val="1020"/>
          </w:rPr>
          <w:t xml:space="preserve">28. Форма «Добавление записи»</w:t>
        </w:r>
        <w:r>
          <w:tab/>
        </w:r>
        <w:r>
          <w:fldChar w:fldCharType="begin"/>
        </w:r>
        <w:r>
          <w:instrText xml:space="preserve"> PAGEREF _Toc88819413 \h </w:instrText>
        </w:r>
        <w:r/>
        <w:r>
          <w:fldChar w:fldCharType="separate"/>
        </w:r>
        <w:r>
          <w:t xml:space="preserve">91</w:t>
        </w:r>
        <w:r>
          <w:fldChar w:fldCharType="end"/>
        </w:r>
      </w:hyperlink>
      <w:r/>
      <w:r/>
    </w:p>
    <w:p>
      <w:pPr>
        <w:pStyle w:val="1152"/>
        <w:rPr>
          <w:rFonts w:ascii="Calibri" w:hAnsi="Calibri"/>
          <w:sz w:val="22"/>
          <w:szCs w:val="22"/>
        </w:rPr>
      </w:pPr>
      <w:r/>
      <w:hyperlink w:tooltip="#_Toc88819414" w:anchor="_Toc88819414" w:history="1">
        <w:r>
          <w:rPr>
            <w:rStyle w:val="1020"/>
          </w:rPr>
          <w:t xml:space="preserve">Рисунок </w:t>
        </w:r>
        <w:r>
          <w:rPr>
            <w:rFonts w:ascii="Calibri" w:hAnsi="Calibri"/>
            <w:sz w:val="22"/>
            <w:szCs w:val="22"/>
          </w:rPr>
          <w:tab/>
        </w:r>
        <w:r>
          <w:rPr>
            <w:rStyle w:val="1020"/>
          </w:rPr>
          <w:t xml:space="preserve">29. Форма «Добавление записи»</w:t>
        </w:r>
        <w:r>
          <w:tab/>
        </w:r>
        <w:r>
          <w:fldChar w:fldCharType="begin"/>
        </w:r>
        <w:r>
          <w:instrText xml:space="preserve"> PAGEREF _Toc88819414 \h </w:instrText>
        </w:r>
        <w:r/>
        <w:r>
          <w:fldChar w:fldCharType="separate"/>
        </w:r>
        <w:r>
          <w:t xml:space="preserve">92</w:t>
        </w:r>
        <w:r>
          <w:fldChar w:fldCharType="end"/>
        </w:r>
      </w:hyperlink>
      <w:r/>
      <w:r/>
    </w:p>
    <w:p>
      <w:pPr>
        <w:pStyle w:val="1152"/>
        <w:rPr>
          <w:rFonts w:ascii="Calibri" w:hAnsi="Calibri"/>
          <w:sz w:val="22"/>
          <w:szCs w:val="22"/>
        </w:rPr>
      </w:pPr>
      <w:r/>
      <w:hyperlink w:tooltip="#_Toc88819415" w:anchor="_Toc88819415" w:history="1">
        <w:r>
          <w:rPr>
            <w:rStyle w:val="1020"/>
          </w:rPr>
          <w:t xml:space="preserve">Рисунок </w:t>
        </w:r>
        <w:r>
          <w:rPr>
            <w:rFonts w:ascii="Calibri" w:hAnsi="Calibri"/>
            <w:sz w:val="22"/>
            <w:szCs w:val="22"/>
          </w:rPr>
          <w:tab/>
        </w:r>
        <w:r>
          <w:rPr>
            <w:rStyle w:val="1020"/>
          </w:rPr>
          <w:t xml:space="preserve">30. ЭФ документа «Заявка на получение наличных денег», закладки «Подписи(2)»</w:t>
        </w:r>
        <w:r>
          <w:tab/>
        </w:r>
        <w:r>
          <w:fldChar w:fldCharType="begin"/>
        </w:r>
        <w:r>
          <w:instrText xml:space="preserve"> PAGEREF _Toc88819415 \h </w:instrText>
        </w:r>
        <w:r/>
        <w:r>
          <w:fldChar w:fldCharType="separate"/>
        </w:r>
        <w:r>
          <w:t xml:space="preserve">93</w:t>
        </w:r>
        <w:r>
          <w:fldChar w:fldCharType="end"/>
        </w:r>
      </w:hyperlink>
      <w:r/>
      <w:r/>
    </w:p>
    <w:p>
      <w:pPr>
        <w:pStyle w:val="1152"/>
        <w:rPr>
          <w:rFonts w:ascii="Calibri" w:hAnsi="Calibri"/>
          <w:sz w:val="22"/>
          <w:szCs w:val="22"/>
        </w:rPr>
      </w:pPr>
      <w:r/>
      <w:hyperlink w:tooltip="#_Toc88819416" w:anchor="_Toc88819416" w:history="1">
        <w:r>
          <w:rPr>
            <w:rStyle w:val="1020"/>
          </w:rPr>
          <w:t xml:space="preserve">Рисунок </w:t>
        </w:r>
        <w:r>
          <w:rPr>
            <w:rFonts w:ascii="Calibri" w:hAnsi="Calibri"/>
            <w:sz w:val="22"/>
            <w:szCs w:val="22"/>
          </w:rPr>
          <w:tab/>
        </w:r>
        <w:r>
          <w:rPr>
            <w:rStyle w:val="1020"/>
          </w:rPr>
          <w:t xml:space="preserve">31. ЭФ списка документов «Заявка на получение денежных средств, перечисляемых на карту»</w:t>
        </w:r>
        <w:r>
          <w:tab/>
        </w:r>
        <w:r>
          <w:fldChar w:fldCharType="begin"/>
        </w:r>
        <w:r>
          <w:instrText xml:space="preserve"> PAGEREF _Toc88819416 \h </w:instrText>
        </w:r>
        <w:r/>
        <w:r>
          <w:fldChar w:fldCharType="separate"/>
        </w:r>
        <w:r>
          <w:t xml:space="preserve">95</w:t>
        </w:r>
        <w:r>
          <w:fldChar w:fldCharType="end"/>
        </w:r>
      </w:hyperlink>
      <w:r/>
      <w:r/>
    </w:p>
    <w:p>
      <w:pPr>
        <w:pStyle w:val="1152"/>
        <w:rPr>
          <w:rFonts w:ascii="Calibri" w:hAnsi="Calibri"/>
          <w:sz w:val="22"/>
          <w:szCs w:val="22"/>
        </w:rPr>
      </w:pPr>
      <w:r/>
      <w:hyperlink w:tooltip="#_Toc88819417" w:anchor="_Toc88819417" w:history="1">
        <w:r>
          <w:rPr>
            <w:rStyle w:val="1020"/>
          </w:rPr>
          <w:t xml:space="preserve">Рисунок </w:t>
        </w:r>
        <w:r>
          <w:rPr>
            <w:rFonts w:ascii="Calibri" w:hAnsi="Calibri"/>
            <w:sz w:val="22"/>
            <w:szCs w:val="22"/>
          </w:rPr>
          <w:tab/>
        </w:r>
        <w:r>
          <w:rPr>
            <w:rStyle w:val="1020"/>
          </w:rPr>
          <w:t xml:space="preserve">32. Окно «Поиск…»</w:t>
        </w:r>
        <w:r>
          <w:tab/>
        </w:r>
        <w:r>
          <w:fldChar w:fldCharType="begin"/>
        </w:r>
        <w:r>
          <w:instrText xml:space="preserve"> PAGEREF _Toc88819417 \h </w:instrText>
        </w:r>
        <w:r/>
        <w:r>
          <w:fldChar w:fldCharType="separate"/>
        </w:r>
        <w:r>
          <w:t xml:space="preserve">96</w:t>
        </w:r>
        <w:r>
          <w:fldChar w:fldCharType="end"/>
        </w:r>
      </w:hyperlink>
      <w:r/>
      <w:r/>
    </w:p>
    <w:p>
      <w:pPr>
        <w:pStyle w:val="1152"/>
        <w:rPr>
          <w:rFonts w:ascii="Calibri" w:hAnsi="Calibri"/>
          <w:sz w:val="22"/>
          <w:szCs w:val="22"/>
        </w:rPr>
      </w:pPr>
      <w:r/>
      <w:hyperlink w:tooltip="#_Toc88819418" w:anchor="_Toc88819418" w:history="1">
        <w:r>
          <w:rPr>
            <w:rStyle w:val="1020"/>
          </w:rPr>
          <w:t xml:space="preserve">Рисунок </w:t>
        </w:r>
        <w:r>
          <w:rPr>
            <w:rFonts w:ascii="Calibri" w:hAnsi="Calibri"/>
            <w:sz w:val="22"/>
            <w:szCs w:val="22"/>
          </w:rPr>
          <w:tab/>
        </w:r>
        <w:r>
          <w:rPr>
            <w:rStyle w:val="1020"/>
          </w:rPr>
          <w:t xml:space="preserve">33. Окно «Выбор родительского документа» для документов типа «Сведения об обязательстве»</w:t>
        </w:r>
        <w:r>
          <w:tab/>
        </w:r>
        <w:r>
          <w:fldChar w:fldCharType="begin"/>
        </w:r>
        <w:r>
          <w:instrText xml:space="preserve"> PAGEREF _Toc88819418 \h </w:instrText>
        </w:r>
        <w:r/>
        <w:r>
          <w:fldChar w:fldCharType="separate"/>
        </w:r>
        <w:r>
          <w:t xml:space="preserve">97</w:t>
        </w:r>
        <w:r>
          <w:fldChar w:fldCharType="end"/>
        </w:r>
      </w:hyperlink>
      <w:r/>
      <w:r/>
    </w:p>
    <w:p>
      <w:pPr>
        <w:pStyle w:val="1152"/>
        <w:rPr>
          <w:rFonts w:ascii="Calibri" w:hAnsi="Calibri"/>
          <w:sz w:val="22"/>
          <w:szCs w:val="22"/>
        </w:rPr>
      </w:pPr>
      <w:r/>
      <w:hyperlink w:tooltip="#_Toc88819419" w:anchor="_Toc88819419" w:history="1">
        <w:r>
          <w:rPr>
            <w:rStyle w:val="1020"/>
          </w:rPr>
          <w:t xml:space="preserve">Рисунок </w:t>
        </w:r>
        <w:r>
          <w:rPr>
            <w:rFonts w:ascii="Calibri" w:hAnsi="Calibri"/>
            <w:sz w:val="22"/>
            <w:szCs w:val="22"/>
          </w:rPr>
          <w:tab/>
        </w:r>
        <w:r>
          <w:rPr>
            <w:rStyle w:val="1020"/>
          </w:rPr>
          <w:t xml:space="preserve">34. ЭФ документа «Заявка на получение денежных средств, перечисляемых на карту», закладки «Заголовок (1)»</w:t>
        </w:r>
        <w:r>
          <w:tab/>
        </w:r>
        <w:r>
          <w:fldChar w:fldCharType="begin"/>
        </w:r>
        <w:r>
          <w:instrText xml:space="preserve"> PAGEREF _Toc88819419 \h </w:instrText>
        </w:r>
        <w:r/>
        <w:r>
          <w:fldChar w:fldCharType="separate"/>
        </w:r>
        <w:r>
          <w:t xml:space="preserve">98</w:t>
        </w:r>
        <w:r>
          <w:fldChar w:fldCharType="end"/>
        </w:r>
      </w:hyperlink>
      <w:r/>
      <w:r/>
    </w:p>
    <w:p>
      <w:pPr>
        <w:pStyle w:val="1152"/>
        <w:rPr>
          <w:rFonts w:ascii="Calibri" w:hAnsi="Calibri"/>
          <w:sz w:val="22"/>
          <w:szCs w:val="22"/>
        </w:rPr>
      </w:pPr>
      <w:r/>
      <w:hyperlink w:tooltip="#_Toc88819420" w:anchor="_Toc88819420" w:history="1">
        <w:r>
          <w:rPr>
            <w:rStyle w:val="1020"/>
          </w:rPr>
          <w:t xml:space="preserve">Рисунок </w:t>
        </w:r>
        <w:r>
          <w:rPr>
            <w:rFonts w:ascii="Calibri" w:hAnsi="Calibri"/>
            <w:sz w:val="22"/>
            <w:szCs w:val="22"/>
          </w:rPr>
          <w:tab/>
        </w:r>
        <w:r>
          <w:rPr>
            <w:rStyle w:val="1020"/>
          </w:rPr>
          <w:t xml:space="preserve">35. Форма «Добавление записи»</w:t>
        </w:r>
        <w:r>
          <w:tab/>
        </w:r>
        <w:r>
          <w:fldChar w:fldCharType="begin"/>
        </w:r>
        <w:r>
          <w:instrText xml:space="preserve"> PAGEREF _Toc88819420 \h </w:instrText>
        </w:r>
        <w:r/>
        <w:r>
          <w:fldChar w:fldCharType="separate"/>
        </w:r>
        <w:r>
          <w:t xml:space="preserve">102</w:t>
        </w:r>
        <w:r>
          <w:fldChar w:fldCharType="end"/>
        </w:r>
      </w:hyperlink>
      <w:r/>
      <w:r/>
    </w:p>
    <w:p>
      <w:pPr>
        <w:pStyle w:val="1152"/>
        <w:rPr>
          <w:rFonts w:ascii="Calibri" w:hAnsi="Calibri"/>
          <w:sz w:val="22"/>
          <w:szCs w:val="22"/>
        </w:rPr>
      </w:pPr>
      <w:r/>
      <w:hyperlink w:tooltip="#_Toc88819421" w:anchor="_Toc88819421" w:history="1">
        <w:r>
          <w:rPr>
            <w:rStyle w:val="1020"/>
          </w:rPr>
          <w:t xml:space="preserve">Рисунок </w:t>
        </w:r>
        <w:r>
          <w:rPr>
            <w:rFonts w:ascii="Calibri" w:hAnsi="Calibri"/>
            <w:sz w:val="22"/>
            <w:szCs w:val="22"/>
          </w:rPr>
          <w:tab/>
        </w:r>
        <w:r>
          <w:rPr>
            <w:rStyle w:val="1020"/>
          </w:rPr>
          <w:t xml:space="preserve">36. ЭФ документа «Заявка на получение денежных средств, перечисляемых на карту», закладки «Подписи (2)»</w:t>
        </w:r>
        <w:r>
          <w:tab/>
        </w:r>
        <w:r>
          <w:fldChar w:fldCharType="begin"/>
        </w:r>
        <w:r>
          <w:instrText xml:space="preserve"> PAGEREF _Toc88819421 \h </w:instrText>
        </w:r>
        <w:r/>
        <w:r>
          <w:fldChar w:fldCharType="separate"/>
        </w:r>
        <w:r>
          <w:t xml:space="preserve">102</w:t>
        </w:r>
        <w:r>
          <w:fldChar w:fldCharType="end"/>
        </w:r>
      </w:hyperlink>
      <w:r/>
      <w:r/>
    </w:p>
    <w:p>
      <w:pPr>
        <w:pStyle w:val="1152"/>
        <w:rPr>
          <w:rFonts w:ascii="Calibri" w:hAnsi="Calibri"/>
          <w:sz w:val="22"/>
          <w:szCs w:val="22"/>
        </w:rPr>
      </w:pPr>
      <w:r/>
      <w:hyperlink w:tooltip="#_Toc88819422" w:anchor="_Toc88819422" w:history="1">
        <w:r>
          <w:rPr>
            <w:rStyle w:val="1020"/>
          </w:rPr>
          <w:t xml:space="preserve">Рисунок </w:t>
        </w:r>
        <w:r>
          <w:rPr>
            <w:rFonts w:ascii="Calibri" w:hAnsi="Calibri"/>
            <w:sz w:val="22"/>
            <w:szCs w:val="22"/>
          </w:rPr>
          <w:tab/>
        </w:r>
        <w:r>
          <w:rPr>
            <w:rStyle w:val="1020"/>
          </w:rPr>
          <w:t xml:space="preserve">37. ЭФ списка документов «Расшифровка сумм неиспользованных средств»</w:t>
        </w:r>
        <w:r>
          <w:tab/>
        </w:r>
        <w:r>
          <w:fldChar w:fldCharType="begin"/>
        </w:r>
        <w:r>
          <w:instrText xml:space="preserve"> PAGEREF _Toc88819422 \h </w:instrText>
        </w:r>
        <w:r/>
        <w:r>
          <w:fldChar w:fldCharType="separate"/>
        </w:r>
        <w:r>
          <w:t xml:space="preserve">104</w:t>
        </w:r>
        <w:r>
          <w:fldChar w:fldCharType="end"/>
        </w:r>
      </w:hyperlink>
      <w:r/>
      <w:r/>
    </w:p>
    <w:p>
      <w:pPr>
        <w:pStyle w:val="1152"/>
        <w:rPr>
          <w:rFonts w:ascii="Calibri" w:hAnsi="Calibri"/>
          <w:sz w:val="22"/>
          <w:szCs w:val="22"/>
        </w:rPr>
      </w:pPr>
      <w:r/>
      <w:hyperlink w:tooltip="#_Toc88819423" w:anchor="_Toc88819423" w:history="1">
        <w:r>
          <w:rPr>
            <w:rStyle w:val="1020"/>
          </w:rPr>
          <w:t xml:space="preserve">Рисунок </w:t>
        </w:r>
        <w:r>
          <w:rPr>
            <w:rFonts w:ascii="Calibri" w:hAnsi="Calibri"/>
            <w:sz w:val="22"/>
            <w:szCs w:val="22"/>
          </w:rPr>
          <w:tab/>
        </w:r>
        <w:r>
          <w:rPr>
            <w:rStyle w:val="1020"/>
          </w:rPr>
          <w:t xml:space="preserve">38. ЭФ документа «Расшифровка сумм неиспользованных средств», закладки «Заголовок»</w:t>
        </w:r>
        <w:r>
          <w:tab/>
        </w:r>
        <w:r>
          <w:fldChar w:fldCharType="begin"/>
        </w:r>
        <w:r>
          <w:instrText xml:space="preserve"> PAGEREF _Toc88819423 \h </w:instrText>
        </w:r>
        <w:r/>
        <w:r>
          <w:fldChar w:fldCharType="separate"/>
        </w:r>
        <w:r>
          <w:t xml:space="preserve">105</w:t>
        </w:r>
        <w:r>
          <w:fldChar w:fldCharType="end"/>
        </w:r>
      </w:hyperlink>
      <w:r/>
      <w:r/>
    </w:p>
    <w:p>
      <w:pPr>
        <w:pStyle w:val="1152"/>
        <w:rPr>
          <w:rFonts w:ascii="Calibri" w:hAnsi="Calibri"/>
          <w:sz w:val="22"/>
          <w:szCs w:val="22"/>
        </w:rPr>
      </w:pPr>
      <w:r/>
      <w:hyperlink w:tooltip="#_Toc88819424" w:anchor="_Toc88819424" w:history="1">
        <w:r>
          <w:rPr>
            <w:rStyle w:val="1020"/>
          </w:rPr>
          <w:t xml:space="preserve">Рисунок </w:t>
        </w:r>
        <w:r>
          <w:rPr>
            <w:rFonts w:ascii="Calibri" w:hAnsi="Calibri"/>
            <w:sz w:val="22"/>
            <w:szCs w:val="22"/>
          </w:rPr>
          <w:tab/>
        </w:r>
        <w:r>
          <w:rPr>
            <w:rStyle w:val="1020"/>
          </w:rPr>
          <w:t xml:space="preserve">39. Форма «Добавление записи»</w:t>
        </w:r>
        <w:r>
          <w:tab/>
        </w:r>
        <w:r>
          <w:fldChar w:fldCharType="begin"/>
        </w:r>
        <w:r>
          <w:instrText xml:space="preserve"> PAGEREF _Toc88819424 \h </w:instrText>
        </w:r>
        <w:r/>
        <w:r>
          <w:fldChar w:fldCharType="separate"/>
        </w:r>
        <w:r>
          <w:t xml:space="preserve">108</w:t>
        </w:r>
        <w:r>
          <w:fldChar w:fldCharType="end"/>
        </w:r>
      </w:hyperlink>
      <w:r/>
      <w:r/>
    </w:p>
    <w:p>
      <w:pPr>
        <w:pStyle w:val="1152"/>
        <w:rPr>
          <w:rFonts w:ascii="Calibri" w:hAnsi="Calibri"/>
          <w:sz w:val="22"/>
          <w:szCs w:val="22"/>
        </w:rPr>
      </w:pPr>
      <w:r/>
      <w:hyperlink w:tooltip="#_Toc88819425" w:anchor="_Toc88819425" w:history="1">
        <w:r>
          <w:rPr>
            <w:rStyle w:val="1020"/>
          </w:rPr>
          <w:t xml:space="preserve">Рисунок </w:t>
        </w:r>
        <w:r>
          <w:rPr>
            <w:rFonts w:ascii="Calibri" w:hAnsi="Calibri"/>
            <w:sz w:val="22"/>
            <w:szCs w:val="22"/>
          </w:rPr>
          <w:tab/>
        </w:r>
        <w:r>
          <w:rPr>
            <w:rStyle w:val="1020"/>
          </w:rPr>
          <w:t xml:space="preserve">40. ЭФ документа «Расшифровка сумм неиспользованных средств», закладки «Подписи»</w:t>
        </w:r>
        <w:r>
          <w:tab/>
        </w:r>
        <w:r>
          <w:fldChar w:fldCharType="begin"/>
        </w:r>
        <w:r>
          <w:instrText xml:space="preserve"> PAGEREF _Toc88819425 \h </w:instrText>
        </w:r>
        <w:r/>
        <w:r>
          <w:fldChar w:fldCharType="separate"/>
        </w:r>
        <w:r>
          <w:t xml:space="preserve">109</w:t>
        </w:r>
        <w:r>
          <w:fldChar w:fldCharType="end"/>
        </w:r>
      </w:hyperlink>
      <w:r/>
      <w:r/>
    </w:p>
    <w:p>
      <w:pPr>
        <w:pStyle w:val="1152"/>
        <w:rPr>
          <w:rFonts w:ascii="Calibri" w:hAnsi="Calibri"/>
          <w:sz w:val="22"/>
          <w:szCs w:val="22"/>
        </w:rPr>
      </w:pPr>
      <w:r/>
      <w:hyperlink w:tooltip="#_Toc88819426" w:anchor="_Toc88819426" w:history="1">
        <w:r>
          <w:rPr>
            <w:rStyle w:val="1020"/>
          </w:rPr>
          <w:t xml:space="preserve">Рисунок </w:t>
        </w:r>
        <w:r>
          <w:rPr>
            <w:rFonts w:ascii="Calibri" w:hAnsi="Calibri"/>
            <w:sz w:val="22"/>
            <w:szCs w:val="22"/>
          </w:rPr>
          <w:tab/>
        </w:r>
        <w:r>
          <w:rPr>
            <w:rStyle w:val="1020"/>
          </w:rPr>
          <w:t xml:space="preserve">41. ЭФ списка документов «Платежное поручение»</w:t>
        </w:r>
        <w:r>
          <w:tab/>
        </w:r>
        <w:r>
          <w:fldChar w:fldCharType="begin"/>
        </w:r>
        <w:r>
          <w:instrText xml:space="preserve"> PAGEREF _Toc88819426 \h </w:instrText>
        </w:r>
        <w:r/>
        <w:r>
          <w:fldChar w:fldCharType="separate"/>
        </w:r>
        <w:r>
          <w:t xml:space="preserve">111</w:t>
        </w:r>
        <w:r>
          <w:fldChar w:fldCharType="end"/>
        </w:r>
      </w:hyperlink>
      <w:r/>
      <w:r/>
    </w:p>
    <w:p>
      <w:pPr>
        <w:pStyle w:val="1152"/>
        <w:rPr>
          <w:rFonts w:ascii="Calibri" w:hAnsi="Calibri"/>
          <w:sz w:val="22"/>
          <w:szCs w:val="22"/>
        </w:rPr>
      </w:pPr>
      <w:r/>
      <w:hyperlink w:tooltip="#_Toc88819427" w:anchor="_Toc88819427" w:history="1">
        <w:r>
          <w:rPr>
            <w:rStyle w:val="1020"/>
          </w:rPr>
          <w:t xml:space="preserve">Рисунок </w:t>
        </w:r>
        <w:r>
          <w:rPr>
            <w:rFonts w:ascii="Calibri" w:hAnsi="Calibri"/>
            <w:sz w:val="22"/>
            <w:szCs w:val="22"/>
          </w:rPr>
          <w:tab/>
        </w:r>
        <w:r>
          <w:rPr>
            <w:rStyle w:val="1020"/>
          </w:rPr>
          <w:t xml:space="preserve">42. ЭФ документа «Платежное поручение», закладки «Основные атрибуты»</w:t>
        </w:r>
        <w:r>
          <w:tab/>
        </w:r>
        <w:r>
          <w:fldChar w:fldCharType="begin"/>
        </w:r>
        <w:r>
          <w:instrText xml:space="preserve"> PAGEREF _Toc88819427 \h </w:instrText>
        </w:r>
        <w:r/>
        <w:r>
          <w:fldChar w:fldCharType="separate"/>
        </w:r>
        <w:r>
          <w:t xml:space="preserve">112</w:t>
        </w:r>
        <w:r>
          <w:fldChar w:fldCharType="end"/>
        </w:r>
      </w:hyperlink>
      <w:r/>
      <w:r/>
    </w:p>
    <w:p>
      <w:pPr>
        <w:pStyle w:val="1152"/>
        <w:rPr>
          <w:rFonts w:ascii="Calibri" w:hAnsi="Calibri"/>
          <w:sz w:val="22"/>
          <w:szCs w:val="22"/>
        </w:rPr>
      </w:pPr>
      <w:r/>
      <w:hyperlink w:tooltip="#_Toc88819428" w:anchor="_Toc88819428" w:history="1">
        <w:r>
          <w:rPr>
            <w:rStyle w:val="1020"/>
          </w:rPr>
          <w:t xml:space="preserve">Рисунок </w:t>
        </w:r>
        <w:r>
          <w:rPr>
            <w:rFonts w:ascii="Calibri" w:hAnsi="Calibri"/>
            <w:sz w:val="22"/>
            <w:szCs w:val="22"/>
          </w:rPr>
          <w:tab/>
        </w:r>
        <w:r>
          <w:rPr>
            <w:rStyle w:val="1020"/>
          </w:rPr>
          <w:t xml:space="preserve">43. ЭФ документа «Платежное поручение», закладки «Расшифровка, подписи»</w:t>
        </w:r>
        <w:r>
          <w:tab/>
        </w:r>
        <w:r>
          <w:fldChar w:fldCharType="begin"/>
        </w:r>
        <w:r>
          <w:instrText xml:space="preserve"> PAGEREF _Toc88819428 \h </w:instrText>
        </w:r>
        <w:r/>
        <w:r>
          <w:fldChar w:fldCharType="separate"/>
        </w:r>
        <w:r>
          <w:t xml:space="preserve">116</w:t>
        </w:r>
        <w:r>
          <w:fldChar w:fldCharType="end"/>
        </w:r>
      </w:hyperlink>
      <w:r/>
      <w:r/>
    </w:p>
    <w:p>
      <w:pPr>
        <w:pStyle w:val="1152"/>
        <w:rPr>
          <w:rFonts w:ascii="Calibri" w:hAnsi="Calibri"/>
          <w:sz w:val="22"/>
          <w:szCs w:val="22"/>
        </w:rPr>
      </w:pPr>
      <w:r/>
      <w:hyperlink w:tooltip="#_Toc88819429" w:anchor="_Toc88819429" w:history="1">
        <w:r>
          <w:rPr>
            <w:rStyle w:val="1020"/>
          </w:rPr>
          <w:t xml:space="preserve">Рисунок </w:t>
        </w:r>
        <w:r>
          <w:rPr>
            <w:rFonts w:ascii="Calibri" w:hAnsi="Calibri"/>
            <w:sz w:val="22"/>
            <w:szCs w:val="22"/>
          </w:rPr>
          <w:tab/>
        </w:r>
        <w:r>
          <w:rPr>
            <w:rStyle w:val="1020"/>
          </w:rPr>
          <w:t xml:space="preserve">44. Форма «Добавление записи»</w:t>
        </w:r>
        <w:r>
          <w:tab/>
        </w:r>
        <w:r>
          <w:fldChar w:fldCharType="begin"/>
        </w:r>
        <w:r>
          <w:instrText xml:space="preserve"> PAGEREF _Toc88819429 \h </w:instrText>
        </w:r>
        <w:r/>
        <w:r>
          <w:fldChar w:fldCharType="separate"/>
        </w:r>
        <w:r>
          <w:t xml:space="preserve">120</w:t>
        </w:r>
        <w:r>
          <w:fldChar w:fldCharType="end"/>
        </w:r>
      </w:hyperlink>
      <w:r/>
      <w:r/>
    </w:p>
    <w:p>
      <w:pPr>
        <w:pStyle w:val="1152"/>
        <w:rPr>
          <w:rFonts w:ascii="Calibri" w:hAnsi="Calibri"/>
          <w:sz w:val="22"/>
          <w:szCs w:val="22"/>
        </w:rPr>
      </w:pPr>
      <w:r/>
      <w:hyperlink w:tooltip="#_Toc88819430" w:anchor="_Toc88819430" w:history="1">
        <w:r>
          <w:rPr>
            <w:rStyle w:val="1020"/>
          </w:rPr>
          <w:t xml:space="preserve">Рисунок </w:t>
        </w:r>
        <w:r>
          <w:rPr>
            <w:rFonts w:ascii="Calibri" w:hAnsi="Calibri"/>
            <w:sz w:val="22"/>
            <w:szCs w:val="22"/>
          </w:rPr>
          <w:tab/>
        </w:r>
        <w:r>
          <w:rPr>
            <w:rStyle w:val="1020"/>
          </w:rPr>
          <w:t xml:space="preserve">45. ЭФ списка документов «Пакет платежных поручений»</w:t>
        </w:r>
        <w:r>
          <w:tab/>
        </w:r>
        <w:r>
          <w:fldChar w:fldCharType="begin"/>
        </w:r>
        <w:r>
          <w:instrText xml:space="preserve"> PAGEREF _Toc88819430 \h </w:instrText>
        </w:r>
        <w:r/>
        <w:r>
          <w:fldChar w:fldCharType="separate"/>
        </w:r>
        <w:r>
          <w:t xml:space="preserve">121</w:t>
        </w:r>
        <w:r>
          <w:fldChar w:fldCharType="end"/>
        </w:r>
      </w:hyperlink>
      <w:r/>
      <w:r/>
    </w:p>
    <w:p>
      <w:pPr>
        <w:pStyle w:val="1152"/>
        <w:rPr>
          <w:rFonts w:ascii="Calibri" w:hAnsi="Calibri"/>
          <w:sz w:val="22"/>
          <w:szCs w:val="22"/>
        </w:rPr>
      </w:pPr>
      <w:r/>
      <w:hyperlink w:tooltip="#_Toc88819431" w:anchor="_Toc88819431" w:history="1">
        <w:r>
          <w:rPr>
            <w:rStyle w:val="1020"/>
          </w:rPr>
          <w:t xml:space="preserve">Рисунок </w:t>
        </w:r>
        <w:r>
          <w:rPr>
            <w:rFonts w:ascii="Calibri" w:hAnsi="Calibri"/>
            <w:sz w:val="22"/>
            <w:szCs w:val="22"/>
          </w:rPr>
          <w:tab/>
        </w:r>
        <w:r>
          <w:rPr>
            <w:rStyle w:val="1020"/>
          </w:rPr>
          <w:t xml:space="preserve">46. ЭФ документа «Пакет платежных поручений», закладки «Документ (1)», вкладки «Основные атрибуты»</w:t>
        </w:r>
        <w:r>
          <w:tab/>
        </w:r>
        <w:r>
          <w:fldChar w:fldCharType="begin"/>
        </w:r>
        <w:r>
          <w:instrText xml:space="preserve"> PAGEREF _Toc88819431 \h </w:instrText>
        </w:r>
        <w:r/>
        <w:r>
          <w:fldChar w:fldCharType="separate"/>
        </w:r>
        <w:r>
          <w:t xml:space="preserve">122</w:t>
        </w:r>
        <w:r>
          <w:fldChar w:fldCharType="end"/>
        </w:r>
      </w:hyperlink>
      <w:r/>
      <w:r/>
    </w:p>
    <w:p>
      <w:pPr>
        <w:pStyle w:val="1152"/>
        <w:rPr>
          <w:rFonts w:ascii="Calibri" w:hAnsi="Calibri"/>
          <w:sz w:val="22"/>
          <w:szCs w:val="22"/>
        </w:rPr>
      </w:pPr>
      <w:r/>
      <w:hyperlink w:tooltip="#_Toc88819432" w:anchor="_Toc88819432" w:history="1">
        <w:r>
          <w:rPr>
            <w:rStyle w:val="1020"/>
          </w:rPr>
          <w:t xml:space="preserve">Рисунок </w:t>
        </w:r>
        <w:r>
          <w:rPr>
            <w:rFonts w:ascii="Calibri" w:hAnsi="Calibri"/>
            <w:sz w:val="22"/>
            <w:szCs w:val="22"/>
          </w:rPr>
          <w:tab/>
        </w:r>
        <w:r>
          <w:rPr>
            <w:rStyle w:val="1020"/>
          </w:rPr>
          <w:t xml:space="preserve">47. ЭФ документа «Пакет платежных поручений», закладки «Документ (1)», вкладки «БК и налоговые показатели»</w:t>
        </w:r>
        <w:r>
          <w:tab/>
        </w:r>
        <w:r>
          <w:fldChar w:fldCharType="begin"/>
        </w:r>
        <w:r>
          <w:instrText xml:space="preserve"> PAGEREF _Toc88819432 \h </w:instrText>
        </w:r>
        <w:r/>
        <w:r>
          <w:fldChar w:fldCharType="separate"/>
        </w:r>
        <w:r>
          <w:t xml:space="preserve">126</w:t>
        </w:r>
        <w:r>
          <w:fldChar w:fldCharType="end"/>
        </w:r>
      </w:hyperlink>
      <w:r/>
      <w:r/>
    </w:p>
    <w:p>
      <w:pPr>
        <w:pStyle w:val="1152"/>
        <w:rPr>
          <w:rFonts w:ascii="Calibri" w:hAnsi="Calibri"/>
          <w:sz w:val="22"/>
          <w:szCs w:val="22"/>
        </w:rPr>
      </w:pPr>
      <w:r/>
      <w:hyperlink w:tooltip="#_Toc88819433" w:anchor="_Toc88819433" w:history="1">
        <w:r>
          <w:rPr>
            <w:rStyle w:val="1020"/>
          </w:rPr>
          <w:t xml:space="preserve">Рисунок </w:t>
        </w:r>
        <w:r>
          <w:rPr>
            <w:rFonts w:ascii="Calibri" w:hAnsi="Calibri"/>
            <w:sz w:val="22"/>
            <w:szCs w:val="22"/>
          </w:rPr>
          <w:tab/>
        </w:r>
        <w:r>
          <w:rPr>
            <w:rStyle w:val="1020"/>
          </w:rPr>
          <w:t xml:space="preserve">48. Форма «Добавление записи»</w:t>
        </w:r>
        <w:r>
          <w:tab/>
        </w:r>
        <w:r>
          <w:fldChar w:fldCharType="begin"/>
        </w:r>
        <w:r>
          <w:instrText xml:space="preserve"> PAGEREF _Toc88819433 \h </w:instrText>
        </w:r>
        <w:r/>
        <w:r>
          <w:fldChar w:fldCharType="separate"/>
        </w:r>
        <w:r>
          <w:t xml:space="preserve">128</w:t>
        </w:r>
        <w:r>
          <w:fldChar w:fldCharType="end"/>
        </w:r>
      </w:hyperlink>
      <w:r/>
      <w:r/>
    </w:p>
    <w:p>
      <w:pPr>
        <w:pStyle w:val="1152"/>
        <w:rPr>
          <w:rFonts w:ascii="Calibri" w:hAnsi="Calibri"/>
          <w:sz w:val="22"/>
          <w:szCs w:val="22"/>
        </w:rPr>
      </w:pPr>
      <w:r/>
      <w:hyperlink w:tooltip="#_Toc88819434" w:anchor="_Toc88819434" w:history="1">
        <w:r>
          <w:rPr>
            <w:rStyle w:val="1020"/>
          </w:rPr>
          <w:t xml:space="preserve">Рисунок </w:t>
        </w:r>
        <w:r>
          <w:rPr>
            <w:rFonts w:ascii="Calibri" w:hAnsi="Calibri"/>
            <w:sz w:val="22"/>
            <w:szCs w:val="22"/>
          </w:rPr>
          <w:tab/>
        </w:r>
        <w:r>
          <w:rPr>
            <w:rStyle w:val="1020"/>
          </w:rPr>
          <w:t xml:space="preserve">49. ЭФ документа «Пакет платежных поручений», закладки «Дополнительные атрибуты (2)»</w:t>
        </w:r>
        <w:r>
          <w:tab/>
        </w:r>
        <w:r>
          <w:fldChar w:fldCharType="begin"/>
        </w:r>
        <w:r>
          <w:instrText xml:space="preserve"> PAGEREF _Toc88819434 \h </w:instrText>
        </w:r>
        <w:r/>
        <w:r>
          <w:fldChar w:fldCharType="separate"/>
        </w:r>
        <w:r>
          <w:t xml:space="preserve">129</w:t>
        </w:r>
        <w:r>
          <w:fldChar w:fldCharType="end"/>
        </w:r>
      </w:hyperlink>
      <w:r/>
      <w:r/>
    </w:p>
    <w:p>
      <w:pPr>
        <w:pStyle w:val="1152"/>
        <w:rPr>
          <w:rFonts w:ascii="Calibri" w:hAnsi="Calibri"/>
          <w:sz w:val="22"/>
          <w:szCs w:val="22"/>
        </w:rPr>
      </w:pPr>
      <w:r/>
      <w:hyperlink w:tooltip="#_Toc88819435" w:anchor="_Toc88819435" w:history="1">
        <w:r>
          <w:rPr>
            <w:rStyle w:val="1020"/>
          </w:rPr>
          <w:t xml:space="preserve">Рисунок </w:t>
        </w:r>
        <w:r>
          <w:rPr>
            <w:rFonts w:ascii="Calibri" w:hAnsi="Calibri"/>
            <w:sz w:val="22"/>
            <w:szCs w:val="22"/>
          </w:rPr>
          <w:tab/>
        </w:r>
        <w:r>
          <w:rPr>
            <w:rStyle w:val="1020"/>
          </w:rPr>
          <w:t xml:space="preserve">50. ЭФ списка документов «Распоряжение финансового органа с расшифровкой»</w:t>
        </w:r>
        <w:r>
          <w:tab/>
        </w:r>
        <w:r>
          <w:fldChar w:fldCharType="begin"/>
        </w:r>
        <w:r>
          <w:instrText xml:space="preserve"> PAGEREF _Toc88819435 \h </w:instrText>
        </w:r>
        <w:r/>
        <w:r>
          <w:fldChar w:fldCharType="separate"/>
        </w:r>
        <w:r>
          <w:t xml:space="preserve">130</w:t>
        </w:r>
        <w:r>
          <w:fldChar w:fldCharType="end"/>
        </w:r>
      </w:hyperlink>
      <w:r/>
      <w:r/>
    </w:p>
    <w:p>
      <w:pPr>
        <w:pStyle w:val="1152"/>
        <w:rPr>
          <w:rFonts w:ascii="Calibri" w:hAnsi="Calibri"/>
          <w:sz w:val="22"/>
          <w:szCs w:val="22"/>
        </w:rPr>
      </w:pPr>
      <w:r/>
      <w:hyperlink w:tooltip="#_Toc88819436" w:anchor="_Toc88819436" w:history="1">
        <w:r>
          <w:rPr>
            <w:rStyle w:val="1020"/>
          </w:rPr>
          <w:t xml:space="preserve">Рисунок </w:t>
        </w:r>
        <w:r>
          <w:rPr>
            <w:rFonts w:ascii="Calibri" w:hAnsi="Calibri"/>
            <w:sz w:val="22"/>
            <w:szCs w:val="22"/>
          </w:rPr>
          <w:tab/>
        </w:r>
        <w:r>
          <w:rPr>
            <w:rStyle w:val="1020"/>
          </w:rPr>
          <w:t xml:space="preserve">51. ЭФ документа «Распоряжение финансового органа с расшифровкой», закладки «Основные атрибуты»</w:t>
        </w:r>
        <w:r>
          <w:tab/>
        </w:r>
        <w:r>
          <w:fldChar w:fldCharType="begin"/>
        </w:r>
        <w:r>
          <w:instrText xml:space="preserve"> PAGEREF _Toc88819436 \h </w:instrText>
        </w:r>
        <w:r/>
        <w:r>
          <w:fldChar w:fldCharType="separate"/>
        </w:r>
        <w:r>
          <w:t xml:space="preserve">131</w:t>
        </w:r>
        <w:r>
          <w:fldChar w:fldCharType="end"/>
        </w:r>
      </w:hyperlink>
      <w:r/>
      <w:r/>
    </w:p>
    <w:p>
      <w:pPr>
        <w:pStyle w:val="1152"/>
        <w:rPr>
          <w:rFonts w:ascii="Calibri" w:hAnsi="Calibri"/>
          <w:sz w:val="22"/>
          <w:szCs w:val="22"/>
        </w:rPr>
      </w:pPr>
      <w:r/>
      <w:hyperlink w:tooltip="#_Toc88819437" w:anchor="_Toc88819437" w:history="1">
        <w:r>
          <w:rPr>
            <w:rStyle w:val="1020"/>
          </w:rPr>
          <w:t xml:space="preserve">Рисунок </w:t>
        </w:r>
        <w:r>
          <w:rPr>
            <w:rFonts w:ascii="Calibri" w:hAnsi="Calibri"/>
            <w:sz w:val="22"/>
            <w:szCs w:val="22"/>
          </w:rPr>
          <w:tab/>
        </w:r>
        <w:r>
          <w:rPr>
            <w:rStyle w:val="1020"/>
          </w:rPr>
          <w:t xml:space="preserve">52. Форма «Добавление записи»</w:t>
        </w:r>
        <w:r>
          <w:tab/>
        </w:r>
        <w:r>
          <w:fldChar w:fldCharType="begin"/>
        </w:r>
        <w:r>
          <w:instrText xml:space="preserve"> PAGEREF _Toc88819437 \h </w:instrText>
        </w:r>
        <w:r/>
        <w:r>
          <w:fldChar w:fldCharType="separate"/>
        </w:r>
        <w:r>
          <w:t xml:space="preserve">134</w:t>
        </w:r>
        <w:r>
          <w:fldChar w:fldCharType="end"/>
        </w:r>
      </w:hyperlink>
      <w:r/>
      <w:r/>
    </w:p>
    <w:p>
      <w:pPr>
        <w:pStyle w:val="1152"/>
        <w:rPr>
          <w:rFonts w:ascii="Calibri" w:hAnsi="Calibri"/>
          <w:sz w:val="22"/>
          <w:szCs w:val="22"/>
        </w:rPr>
      </w:pPr>
      <w:r/>
      <w:hyperlink w:tooltip="#_Toc88819438" w:anchor="_Toc88819438" w:history="1">
        <w:r>
          <w:rPr>
            <w:rStyle w:val="1020"/>
          </w:rPr>
          <w:t xml:space="preserve">Рисунок </w:t>
        </w:r>
        <w:r>
          <w:rPr>
            <w:rFonts w:ascii="Calibri" w:hAnsi="Calibri"/>
            <w:sz w:val="22"/>
            <w:szCs w:val="22"/>
          </w:rPr>
          <w:tab/>
        </w:r>
        <w:r>
          <w:rPr>
            <w:rStyle w:val="1020"/>
          </w:rPr>
          <w:t xml:space="preserve">53. ЭФ документа «Распоряжение финансового органа с расшифровкой», закладки «Подписи»</w:t>
        </w:r>
        <w:r>
          <w:tab/>
        </w:r>
        <w:r>
          <w:fldChar w:fldCharType="begin"/>
        </w:r>
        <w:r>
          <w:instrText xml:space="preserve"> PAGEREF _Toc88819438 \h </w:instrText>
        </w:r>
        <w:r/>
        <w:r>
          <w:fldChar w:fldCharType="separate"/>
        </w:r>
        <w:r>
          <w:t xml:space="preserve">134</w:t>
        </w:r>
        <w:r>
          <w:fldChar w:fldCharType="end"/>
        </w:r>
      </w:hyperlink>
      <w:r/>
      <w:r/>
    </w:p>
    <w:p>
      <w:pPr>
        <w:pStyle w:val="1152"/>
        <w:rPr>
          <w:rFonts w:ascii="Calibri" w:hAnsi="Calibri"/>
          <w:sz w:val="22"/>
          <w:szCs w:val="22"/>
        </w:rPr>
      </w:pPr>
      <w:r/>
      <w:hyperlink w:tooltip="#_Toc88819439" w:anchor="_Toc88819439" w:history="1">
        <w:r>
          <w:rPr>
            <w:rStyle w:val="1020"/>
          </w:rPr>
          <w:t xml:space="preserve">Рисунок </w:t>
        </w:r>
        <w:r>
          <w:rPr>
            <w:rFonts w:ascii="Calibri" w:hAnsi="Calibri"/>
            <w:sz w:val="22"/>
            <w:szCs w:val="22"/>
          </w:rPr>
          <w:tab/>
        </w:r>
        <w:r>
          <w:rPr>
            <w:rStyle w:val="1020"/>
          </w:rPr>
          <w:t xml:space="preserve">54. ЭФ списка документов «Данные об аннулированных чеках»</w:t>
        </w:r>
        <w:r>
          <w:tab/>
        </w:r>
        <w:r>
          <w:fldChar w:fldCharType="begin"/>
        </w:r>
        <w:r>
          <w:instrText xml:space="preserve"> PAGEREF _Toc88819439 \h </w:instrText>
        </w:r>
        <w:r/>
        <w:r>
          <w:fldChar w:fldCharType="separate"/>
        </w:r>
        <w:r>
          <w:t xml:space="preserve">135</w:t>
        </w:r>
        <w:r>
          <w:fldChar w:fldCharType="end"/>
        </w:r>
      </w:hyperlink>
      <w:r/>
      <w:r/>
    </w:p>
    <w:p>
      <w:pPr>
        <w:pStyle w:val="1152"/>
        <w:rPr>
          <w:rFonts w:ascii="Calibri" w:hAnsi="Calibri"/>
          <w:sz w:val="22"/>
          <w:szCs w:val="22"/>
        </w:rPr>
      </w:pPr>
      <w:r/>
      <w:hyperlink w:tooltip="#_Toc88819440" w:anchor="_Toc88819440" w:history="1">
        <w:r>
          <w:rPr>
            <w:rStyle w:val="1020"/>
          </w:rPr>
          <w:t xml:space="preserve">Рисунок </w:t>
        </w:r>
        <w:r>
          <w:rPr>
            <w:rFonts w:ascii="Calibri" w:hAnsi="Calibri"/>
            <w:sz w:val="22"/>
            <w:szCs w:val="22"/>
          </w:rPr>
          <w:tab/>
        </w:r>
        <w:r>
          <w:rPr>
            <w:rStyle w:val="1020"/>
          </w:rPr>
          <w:t xml:space="preserve">55. ЭФ «Данные об аннулированных чеках»</w:t>
        </w:r>
        <w:r>
          <w:tab/>
        </w:r>
        <w:r>
          <w:fldChar w:fldCharType="begin"/>
        </w:r>
        <w:r>
          <w:instrText xml:space="preserve"> PAGEREF _Toc88819440 \h </w:instrText>
        </w:r>
        <w:r/>
        <w:r>
          <w:fldChar w:fldCharType="separate"/>
        </w:r>
        <w:r>
          <w:t xml:space="preserve">136</w:t>
        </w:r>
        <w:r>
          <w:fldChar w:fldCharType="end"/>
        </w:r>
      </w:hyperlink>
      <w:r/>
      <w:r/>
    </w:p>
    <w:p>
      <w:pPr>
        <w:pStyle w:val="1152"/>
        <w:rPr>
          <w:rFonts w:ascii="Calibri" w:hAnsi="Calibri"/>
          <w:sz w:val="22"/>
          <w:szCs w:val="22"/>
        </w:rPr>
      </w:pPr>
      <w:r/>
      <w:hyperlink w:tooltip="#_Toc88819441" w:anchor="_Toc88819441" w:history="1">
        <w:r>
          <w:rPr>
            <w:rStyle w:val="1020"/>
          </w:rPr>
          <w:t xml:space="preserve">Рисунок </w:t>
        </w:r>
        <w:r>
          <w:rPr>
            <w:rFonts w:ascii="Calibri" w:hAnsi="Calibri"/>
            <w:sz w:val="22"/>
            <w:szCs w:val="22"/>
          </w:rPr>
          <w:tab/>
        </w:r>
        <w:r>
          <w:rPr>
            <w:rStyle w:val="1020"/>
          </w:rPr>
          <w:t xml:space="preserve">56. ЭФ списка «Заявление на проведение операций с иностранной валютой»</w:t>
        </w:r>
        <w:r>
          <w:tab/>
        </w:r>
        <w:r>
          <w:fldChar w:fldCharType="begin"/>
        </w:r>
        <w:r>
          <w:instrText xml:space="preserve"> PAGEREF _Toc88819441 \h </w:instrText>
        </w:r>
        <w:r/>
        <w:r>
          <w:fldChar w:fldCharType="separate"/>
        </w:r>
        <w:r>
          <w:t xml:space="preserve">138</w:t>
        </w:r>
        <w:r>
          <w:fldChar w:fldCharType="end"/>
        </w:r>
      </w:hyperlink>
      <w:r/>
      <w:r/>
    </w:p>
    <w:p>
      <w:pPr>
        <w:pStyle w:val="1152"/>
        <w:rPr>
          <w:rFonts w:ascii="Calibri" w:hAnsi="Calibri"/>
          <w:sz w:val="22"/>
          <w:szCs w:val="22"/>
        </w:rPr>
      </w:pPr>
      <w:r/>
      <w:hyperlink w:tooltip="#_Toc88819442" w:anchor="_Toc88819442" w:history="1">
        <w:r>
          <w:rPr>
            <w:rStyle w:val="1020"/>
          </w:rPr>
          <w:t xml:space="preserve">Рисунок </w:t>
        </w:r>
        <w:r>
          <w:rPr>
            <w:rFonts w:ascii="Calibri" w:hAnsi="Calibri"/>
            <w:sz w:val="22"/>
            <w:szCs w:val="22"/>
          </w:rPr>
          <w:tab/>
        </w:r>
        <w:r>
          <w:rPr>
            <w:rStyle w:val="1020"/>
          </w:rPr>
          <w:t xml:space="preserve">57. Окно «Поиск…»</w:t>
        </w:r>
        <w:r>
          <w:tab/>
        </w:r>
        <w:r>
          <w:fldChar w:fldCharType="begin"/>
        </w:r>
        <w:r>
          <w:instrText xml:space="preserve"> PAGEREF _Toc88819442 \h </w:instrText>
        </w:r>
        <w:r/>
        <w:r>
          <w:fldChar w:fldCharType="separate"/>
        </w:r>
        <w:r>
          <w:t xml:space="preserve">139</w:t>
        </w:r>
        <w:r>
          <w:fldChar w:fldCharType="end"/>
        </w:r>
      </w:hyperlink>
      <w:r/>
      <w:r/>
    </w:p>
    <w:p>
      <w:pPr>
        <w:pStyle w:val="1152"/>
        <w:rPr>
          <w:rFonts w:ascii="Calibri" w:hAnsi="Calibri"/>
          <w:sz w:val="22"/>
          <w:szCs w:val="22"/>
        </w:rPr>
      </w:pPr>
      <w:r/>
      <w:hyperlink w:tooltip="#_Toc88819443" w:anchor="_Toc88819443" w:history="1">
        <w:r>
          <w:rPr>
            <w:rStyle w:val="1020"/>
          </w:rPr>
          <w:t xml:space="preserve">Рисунок </w:t>
        </w:r>
        <w:r>
          <w:rPr>
            <w:rFonts w:ascii="Calibri" w:hAnsi="Calibri"/>
            <w:sz w:val="22"/>
            <w:szCs w:val="22"/>
          </w:rPr>
          <w:tab/>
        </w:r>
        <w:r>
          <w:rPr>
            <w:rStyle w:val="1020"/>
          </w:rPr>
          <w:t xml:space="preserve">58. Окно «Выбор родительского документа» для документов типа «Заявка на возврат»</w:t>
        </w:r>
        <w:r>
          <w:tab/>
        </w:r>
        <w:r>
          <w:fldChar w:fldCharType="begin"/>
        </w:r>
        <w:r>
          <w:instrText xml:space="preserve"> PAGEREF _Toc88819443 \h </w:instrText>
        </w:r>
        <w:r/>
        <w:r>
          <w:fldChar w:fldCharType="separate"/>
        </w:r>
        <w:r>
          <w:t xml:space="preserve">139</w:t>
        </w:r>
        <w:r>
          <w:fldChar w:fldCharType="end"/>
        </w:r>
      </w:hyperlink>
      <w:r/>
      <w:r/>
    </w:p>
    <w:p>
      <w:pPr>
        <w:pStyle w:val="1152"/>
        <w:rPr>
          <w:rFonts w:ascii="Calibri" w:hAnsi="Calibri"/>
          <w:sz w:val="22"/>
          <w:szCs w:val="22"/>
        </w:rPr>
      </w:pPr>
      <w:r/>
      <w:hyperlink w:tooltip="#_Toc88819444" w:anchor="_Toc88819444" w:history="1">
        <w:r>
          <w:rPr>
            <w:rStyle w:val="1020"/>
          </w:rPr>
          <w:t xml:space="preserve">Рисунок </w:t>
        </w:r>
        <w:r>
          <w:rPr>
            <w:rFonts w:ascii="Calibri" w:hAnsi="Calibri"/>
            <w:sz w:val="22"/>
            <w:szCs w:val="22"/>
          </w:rPr>
          <w:tab/>
        </w:r>
        <w:r>
          <w:rPr>
            <w:rStyle w:val="1020"/>
          </w:rPr>
          <w:t xml:space="preserve">59. ЭФ документа «Заявление на проведение операций с иностранной валютой», закладки «Покупка-продажа(1)»</w:t>
        </w:r>
        <w:r>
          <w:tab/>
        </w:r>
        <w:r>
          <w:fldChar w:fldCharType="begin"/>
        </w:r>
        <w:r>
          <w:instrText xml:space="preserve"> PAGEREF _Toc88819444 \h </w:instrText>
        </w:r>
        <w:r/>
        <w:r>
          <w:fldChar w:fldCharType="separate"/>
        </w:r>
        <w:r>
          <w:t xml:space="preserve">140</w:t>
        </w:r>
        <w:r>
          <w:fldChar w:fldCharType="end"/>
        </w:r>
      </w:hyperlink>
      <w:r/>
      <w:r/>
    </w:p>
    <w:p>
      <w:pPr>
        <w:pStyle w:val="1152"/>
        <w:rPr>
          <w:rFonts w:ascii="Calibri" w:hAnsi="Calibri"/>
          <w:sz w:val="22"/>
          <w:szCs w:val="22"/>
        </w:rPr>
      </w:pPr>
      <w:r/>
      <w:hyperlink w:tooltip="#_Toc88819445" w:anchor="_Toc88819445" w:history="1">
        <w:r>
          <w:rPr>
            <w:rStyle w:val="1020"/>
          </w:rPr>
          <w:t xml:space="preserve">Рисунок </w:t>
        </w:r>
        <w:r>
          <w:rPr>
            <w:rFonts w:ascii="Calibri" w:hAnsi="Calibri"/>
            <w:sz w:val="22"/>
            <w:szCs w:val="22"/>
          </w:rPr>
          <w:tab/>
        </w:r>
        <w:r>
          <w:rPr>
            <w:rStyle w:val="1020"/>
          </w:rPr>
          <w:t xml:space="preserve">60. ЭФ документа «Заявление на проведение операций с иностранной валютой», закладки «Перевод(2)»</w:t>
        </w:r>
        <w:r>
          <w:tab/>
        </w:r>
        <w:r>
          <w:fldChar w:fldCharType="begin"/>
        </w:r>
        <w:r>
          <w:instrText xml:space="preserve"> PAGEREF _Toc88819445 \h </w:instrText>
        </w:r>
        <w:r/>
        <w:r>
          <w:fldChar w:fldCharType="separate"/>
        </w:r>
        <w:r>
          <w:t xml:space="preserve">144</w:t>
        </w:r>
        <w:r>
          <w:fldChar w:fldCharType="end"/>
        </w:r>
      </w:hyperlink>
      <w:r/>
      <w:r/>
    </w:p>
    <w:p>
      <w:pPr>
        <w:pStyle w:val="1152"/>
        <w:rPr>
          <w:rFonts w:ascii="Calibri" w:hAnsi="Calibri"/>
          <w:sz w:val="22"/>
          <w:szCs w:val="22"/>
        </w:rPr>
      </w:pPr>
      <w:r/>
      <w:hyperlink w:tooltip="#_Toc88819446" w:anchor="_Toc88819446" w:history="1">
        <w:r>
          <w:rPr>
            <w:rStyle w:val="1020"/>
          </w:rPr>
          <w:t xml:space="preserve">Рисунок </w:t>
        </w:r>
        <w:r>
          <w:rPr>
            <w:rFonts w:ascii="Calibri" w:hAnsi="Calibri"/>
            <w:sz w:val="22"/>
            <w:szCs w:val="22"/>
          </w:rPr>
          <w:tab/>
        </w:r>
        <w:r>
          <w:rPr>
            <w:rStyle w:val="1020"/>
          </w:rPr>
          <w:t xml:space="preserve">61. ЭФ документа «Заявление на проведение операций с иностранной валютой», закладки «Назначение платежа (КБК)(3)»</w:t>
        </w:r>
        <w:r>
          <w:tab/>
        </w:r>
        <w:r>
          <w:fldChar w:fldCharType="begin"/>
        </w:r>
        <w:r>
          <w:instrText xml:space="preserve"> PAGEREF _Toc88819446 \h </w:instrText>
        </w:r>
        <w:r/>
        <w:r>
          <w:fldChar w:fldCharType="separate"/>
        </w:r>
        <w:r>
          <w:t xml:space="preserve">146</w:t>
        </w:r>
        <w:r>
          <w:fldChar w:fldCharType="end"/>
        </w:r>
      </w:hyperlink>
      <w:r/>
      <w:r/>
    </w:p>
    <w:p>
      <w:pPr>
        <w:pStyle w:val="1152"/>
        <w:rPr>
          <w:rFonts w:ascii="Calibri" w:hAnsi="Calibri"/>
          <w:sz w:val="22"/>
          <w:szCs w:val="22"/>
        </w:rPr>
      </w:pPr>
      <w:r/>
      <w:hyperlink w:tooltip="#_Toc88819447" w:anchor="_Toc88819447" w:history="1">
        <w:r>
          <w:rPr>
            <w:rStyle w:val="1020"/>
          </w:rPr>
          <w:t xml:space="preserve">Рисунок </w:t>
        </w:r>
        <w:r>
          <w:rPr>
            <w:rFonts w:ascii="Calibri" w:hAnsi="Calibri"/>
            <w:sz w:val="22"/>
            <w:szCs w:val="22"/>
          </w:rPr>
          <w:tab/>
        </w:r>
        <w:r>
          <w:rPr>
            <w:rStyle w:val="1020"/>
          </w:rPr>
          <w:t xml:space="preserve">62. Форма «Добавление записи»</w:t>
        </w:r>
        <w:r>
          <w:tab/>
        </w:r>
        <w:r>
          <w:fldChar w:fldCharType="begin"/>
        </w:r>
        <w:r>
          <w:instrText xml:space="preserve"> PAGEREF _Toc88819447 \h </w:instrText>
        </w:r>
        <w:r/>
        <w:r>
          <w:fldChar w:fldCharType="separate"/>
        </w:r>
        <w:r>
          <w:t xml:space="preserve">147</w:t>
        </w:r>
        <w:r>
          <w:fldChar w:fldCharType="end"/>
        </w:r>
      </w:hyperlink>
      <w:r/>
      <w:r/>
    </w:p>
    <w:p>
      <w:pPr>
        <w:pStyle w:val="1152"/>
        <w:rPr>
          <w:rFonts w:ascii="Calibri" w:hAnsi="Calibri"/>
          <w:sz w:val="22"/>
          <w:szCs w:val="22"/>
        </w:rPr>
      </w:pPr>
      <w:r/>
      <w:hyperlink w:tooltip="#_Toc88819448" w:anchor="_Toc88819448" w:history="1">
        <w:r>
          <w:rPr>
            <w:rStyle w:val="1020"/>
          </w:rPr>
          <w:t xml:space="preserve">Рисунок </w:t>
        </w:r>
        <w:r>
          <w:rPr>
            <w:rFonts w:ascii="Calibri" w:hAnsi="Calibri"/>
            <w:sz w:val="22"/>
            <w:szCs w:val="22"/>
          </w:rPr>
          <w:tab/>
        </w:r>
        <w:r>
          <w:rPr>
            <w:rStyle w:val="1020"/>
          </w:rPr>
          <w:t xml:space="preserve">63. ЭФ документа «Заявление на проведение операций с иностранной валютой», закладки «Банки (4)»</w:t>
        </w:r>
        <w:r>
          <w:tab/>
        </w:r>
        <w:r>
          <w:fldChar w:fldCharType="begin"/>
        </w:r>
        <w:r>
          <w:instrText xml:space="preserve"> PAGEREF _Toc88819448 \h </w:instrText>
        </w:r>
        <w:r/>
        <w:r>
          <w:fldChar w:fldCharType="separate"/>
        </w:r>
        <w:r>
          <w:t xml:space="preserve">147</w:t>
        </w:r>
        <w:r>
          <w:fldChar w:fldCharType="end"/>
        </w:r>
      </w:hyperlink>
      <w:r/>
      <w:r/>
    </w:p>
    <w:p>
      <w:pPr>
        <w:pStyle w:val="1152"/>
        <w:rPr>
          <w:rFonts w:ascii="Calibri" w:hAnsi="Calibri"/>
          <w:sz w:val="22"/>
          <w:szCs w:val="22"/>
        </w:rPr>
      </w:pPr>
      <w:r/>
      <w:hyperlink w:tooltip="#_Toc88819449" w:anchor="_Toc88819449" w:history="1">
        <w:r>
          <w:rPr>
            <w:rStyle w:val="1020"/>
          </w:rPr>
          <w:t xml:space="preserve">Рисунок </w:t>
        </w:r>
        <w:r>
          <w:rPr>
            <w:rFonts w:ascii="Calibri" w:hAnsi="Calibri"/>
            <w:sz w:val="22"/>
            <w:szCs w:val="22"/>
          </w:rPr>
          <w:tab/>
        </w:r>
        <w:r>
          <w:rPr>
            <w:rStyle w:val="1020"/>
          </w:rPr>
          <w:t xml:space="preserve">64. ЭФ списка документов «Сводная заявка на кассовый расход (для уплаты налогов)»</w:t>
        </w:r>
        <w:r>
          <w:tab/>
        </w:r>
        <w:r>
          <w:fldChar w:fldCharType="begin"/>
        </w:r>
        <w:r>
          <w:instrText xml:space="preserve"> PAGEREF _Toc88819449 \h </w:instrText>
        </w:r>
        <w:r/>
        <w:r>
          <w:fldChar w:fldCharType="separate"/>
        </w:r>
        <w:r>
          <w:t xml:space="preserve">150</w:t>
        </w:r>
        <w:r>
          <w:fldChar w:fldCharType="end"/>
        </w:r>
      </w:hyperlink>
      <w:r/>
      <w:r/>
    </w:p>
    <w:p>
      <w:pPr>
        <w:pStyle w:val="1152"/>
        <w:rPr>
          <w:rFonts w:ascii="Calibri" w:hAnsi="Calibri"/>
          <w:sz w:val="22"/>
          <w:szCs w:val="22"/>
        </w:rPr>
      </w:pPr>
      <w:r/>
      <w:hyperlink w:tooltip="#_Toc88819450" w:anchor="_Toc88819450" w:history="1">
        <w:r>
          <w:rPr>
            <w:rStyle w:val="1020"/>
          </w:rPr>
          <w:t xml:space="preserve">Рисунок </w:t>
        </w:r>
        <w:r>
          <w:rPr>
            <w:rFonts w:ascii="Calibri" w:hAnsi="Calibri"/>
            <w:sz w:val="22"/>
            <w:szCs w:val="22"/>
          </w:rPr>
          <w:tab/>
        </w:r>
        <w:r>
          <w:rPr>
            <w:rStyle w:val="1020"/>
          </w:rPr>
          <w:t xml:space="preserve">65. ЭФ документа «Сводная заявка на кассовый расход (для уплаты налогов)», закладки «Заголовок, Раздел 1 (1)»</w:t>
        </w:r>
        <w:r>
          <w:tab/>
        </w:r>
        <w:r>
          <w:fldChar w:fldCharType="begin"/>
        </w:r>
        <w:r>
          <w:instrText xml:space="preserve"> PAGEREF _Toc88819450 \h </w:instrText>
        </w:r>
        <w:r/>
        <w:r>
          <w:fldChar w:fldCharType="separate"/>
        </w:r>
        <w:r>
          <w:t xml:space="preserve">151</w:t>
        </w:r>
        <w:r>
          <w:fldChar w:fldCharType="end"/>
        </w:r>
      </w:hyperlink>
      <w:r/>
      <w:r/>
    </w:p>
    <w:p>
      <w:pPr>
        <w:pStyle w:val="1152"/>
        <w:rPr>
          <w:rFonts w:ascii="Calibri" w:hAnsi="Calibri"/>
          <w:sz w:val="22"/>
          <w:szCs w:val="22"/>
        </w:rPr>
      </w:pPr>
      <w:r/>
      <w:hyperlink w:tooltip="#_Toc88819451" w:anchor="_Toc88819451" w:history="1">
        <w:r>
          <w:rPr>
            <w:rStyle w:val="1020"/>
          </w:rPr>
          <w:t xml:space="preserve">Рисунок </w:t>
        </w:r>
        <w:r>
          <w:rPr>
            <w:rFonts w:ascii="Calibri" w:hAnsi="Calibri"/>
            <w:sz w:val="22"/>
            <w:szCs w:val="22"/>
          </w:rPr>
          <w:tab/>
        </w:r>
        <w:r>
          <w:rPr>
            <w:rStyle w:val="1020"/>
          </w:rPr>
          <w:t xml:space="preserve">66. ЭФ документа «Сводная заявка на кассовый расход (для уплаты налогов)», закладки «Раздел 2 (2)»</w:t>
        </w:r>
        <w:r>
          <w:tab/>
        </w:r>
        <w:r>
          <w:fldChar w:fldCharType="begin"/>
        </w:r>
        <w:r>
          <w:instrText xml:space="preserve"> PAGEREF _Toc88819451 \h </w:instrText>
        </w:r>
        <w:r/>
        <w:r>
          <w:fldChar w:fldCharType="separate"/>
        </w:r>
        <w:r>
          <w:t xml:space="preserve">154</w:t>
        </w:r>
        <w:r>
          <w:fldChar w:fldCharType="end"/>
        </w:r>
      </w:hyperlink>
      <w:r/>
      <w:r/>
    </w:p>
    <w:p>
      <w:pPr>
        <w:pStyle w:val="1152"/>
        <w:rPr>
          <w:rFonts w:ascii="Calibri" w:hAnsi="Calibri"/>
          <w:sz w:val="22"/>
          <w:szCs w:val="22"/>
        </w:rPr>
      </w:pPr>
      <w:r/>
      <w:hyperlink w:tooltip="#_Toc88819452" w:anchor="_Toc88819452" w:history="1">
        <w:r>
          <w:rPr>
            <w:rStyle w:val="1020"/>
          </w:rPr>
          <w:t xml:space="preserve">Рисунок </w:t>
        </w:r>
        <w:r>
          <w:rPr>
            <w:rFonts w:ascii="Calibri" w:hAnsi="Calibri"/>
            <w:sz w:val="22"/>
            <w:szCs w:val="22"/>
          </w:rPr>
          <w:tab/>
        </w:r>
        <w:r>
          <w:rPr>
            <w:rStyle w:val="1020"/>
          </w:rPr>
          <w:t xml:space="preserve">67. Форма «Добавление записи»</w:t>
        </w:r>
        <w:r>
          <w:tab/>
        </w:r>
        <w:r>
          <w:fldChar w:fldCharType="begin"/>
        </w:r>
        <w:r>
          <w:instrText xml:space="preserve"> PAGEREF _Toc88819452 \h </w:instrText>
        </w:r>
        <w:r/>
        <w:r>
          <w:fldChar w:fldCharType="separate"/>
        </w:r>
        <w:r>
          <w:t xml:space="preserve">156</w:t>
        </w:r>
        <w:r>
          <w:fldChar w:fldCharType="end"/>
        </w:r>
      </w:hyperlink>
      <w:r/>
      <w:r/>
    </w:p>
    <w:p>
      <w:pPr>
        <w:pStyle w:val="1152"/>
        <w:rPr>
          <w:rFonts w:ascii="Calibri" w:hAnsi="Calibri"/>
          <w:sz w:val="22"/>
          <w:szCs w:val="22"/>
        </w:rPr>
      </w:pPr>
      <w:r/>
      <w:hyperlink w:tooltip="#_Toc88819453" w:anchor="_Toc88819453" w:history="1">
        <w:r>
          <w:rPr>
            <w:rStyle w:val="1020"/>
          </w:rPr>
          <w:t xml:space="preserve">Рисунок </w:t>
        </w:r>
        <w:r>
          <w:rPr>
            <w:rFonts w:ascii="Calibri" w:hAnsi="Calibri"/>
            <w:sz w:val="22"/>
            <w:szCs w:val="22"/>
          </w:rPr>
          <w:tab/>
        </w:r>
        <w:r>
          <w:rPr>
            <w:rStyle w:val="1020"/>
          </w:rPr>
          <w:t xml:space="preserve">68. ЭФ документа «Сводная заявка на кассовый расход (для уплаты налогов)», закладки «Подписи (3)»</w:t>
        </w:r>
        <w:r>
          <w:tab/>
        </w:r>
        <w:r>
          <w:fldChar w:fldCharType="begin"/>
        </w:r>
        <w:r>
          <w:instrText xml:space="preserve"> PAGEREF _Toc88819453 \h </w:instrText>
        </w:r>
        <w:r/>
        <w:r>
          <w:fldChar w:fldCharType="separate"/>
        </w:r>
        <w:r>
          <w:t xml:space="preserve">157</w:t>
        </w:r>
        <w:r>
          <w:fldChar w:fldCharType="end"/>
        </w:r>
      </w:hyperlink>
      <w:r/>
      <w:r/>
    </w:p>
    <w:p>
      <w:pPr>
        <w:pStyle w:val="1152"/>
        <w:rPr>
          <w:rFonts w:ascii="Calibri" w:hAnsi="Calibri"/>
          <w:sz w:val="22"/>
          <w:szCs w:val="22"/>
        </w:rPr>
      </w:pPr>
      <w:r/>
      <w:hyperlink w:tooltip="#_Toc88819454" w:anchor="_Toc88819454" w:history="1">
        <w:r>
          <w:rPr>
            <w:rStyle w:val="1020"/>
          </w:rPr>
          <w:t xml:space="preserve">Рисунок </w:t>
        </w:r>
        <w:r>
          <w:rPr>
            <w:rFonts w:ascii="Calibri" w:hAnsi="Calibri"/>
            <w:sz w:val="22"/>
            <w:szCs w:val="22"/>
          </w:rPr>
          <w:tab/>
        </w:r>
        <w:r>
          <w:rPr>
            <w:rStyle w:val="1020"/>
          </w:rPr>
          <w:t xml:space="preserve">69. ЭФ списка документов «Распоряжение о перечислении денежных средств на карты «Мир» физических лиц»</w:t>
        </w:r>
        <w:r>
          <w:tab/>
        </w:r>
        <w:r>
          <w:fldChar w:fldCharType="begin"/>
        </w:r>
        <w:r>
          <w:instrText xml:space="preserve"> PAGEREF _Toc88819454 \h </w:instrText>
        </w:r>
        <w:r/>
        <w:r>
          <w:fldChar w:fldCharType="separate"/>
        </w:r>
        <w:r>
          <w:t xml:space="preserve">158</w:t>
        </w:r>
        <w:r>
          <w:fldChar w:fldCharType="end"/>
        </w:r>
      </w:hyperlink>
      <w:r/>
      <w:r/>
    </w:p>
    <w:p>
      <w:pPr>
        <w:pStyle w:val="1152"/>
        <w:rPr>
          <w:rFonts w:ascii="Calibri" w:hAnsi="Calibri"/>
          <w:sz w:val="22"/>
          <w:szCs w:val="22"/>
        </w:rPr>
      </w:pPr>
      <w:r/>
      <w:hyperlink w:tooltip="#_Toc88819455" w:anchor="_Toc88819455" w:history="1">
        <w:r>
          <w:rPr>
            <w:rStyle w:val="1020"/>
          </w:rPr>
          <w:t xml:space="preserve">Рисунок </w:t>
        </w:r>
        <w:r>
          <w:rPr>
            <w:rFonts w:ascii="Calibri" w:hAnsi="Calibri"/>
            <w:sz w:val="22"/>
            <w:szCs w:val="22"/>
          </w:rPr>
          <w:tab/>
        </w:r>
        <w:r>
          <w:rPr>
            <w:rStyle w:val="1020"/>
          </w:rPr>
          <w:t xml:space="preserve">70. ЭФ документа «Распоряжение о перечислении денежных средств на карты «Мир» физических лиц», закладки «Реквизиты (1)»</w:t>
        </w:r>
        <w:r>
          <w:tab/>
        </w:r>
        <w:r>
          <w:fldChar w:fldCharType="begin"/>
        </w:r>
        <w:r>
          <w:instrText xml:space="preserve"> PAGEREF _Toc88819455 \h </w:instrText>
        </w:r>
        <w:r/>
        <w:r>
          <w:fldChar w:fldCharType="separate"/>
        </w:r>
        <w:r>
          <w:t xml:space="preserve">159</w:t>
        </w:r>
        <w:r>
          <w:fldChar w:fldCharType="end"/>
        </w:r>
      </w:hyperlink>
      <w:r/>
      <w:r/>
    </w:p>
    <w:p>
      <w:pPr>
        <w:pStyle w:val="1152"/>
        <w:rPr>
          <w:rFonts w:ascii="Calibri" w:hAnsi="Calibri"/>
          <w:sz w:val="22"/>
          <w:szCs w:val="22"/>
        </w:rPr>
      </w:pPr>
      <w:r/>
      <w:hyperlink w:tooltip="#_Toc88819456" w:anchor="_Toc88819456" w:history="1">
        <w:r>
          <w:rPr>
            <w:rStyle w:val="1020"/>
          </w:rPr>
          <w:t xml:space="preserve">Рисунок </w:t>
        </w:r>
        <w:r>
          <w:rPr>
            <w:rFonts w:ascii="Calibri" w:hAnsi="Calibri"/>
            <w:sz w:val="22"/>
            <w:szCs w:val="22"/>
          </w:rPr>
          <w:tab/>
        </w:r>
        <w:r>
          <w:rPr>
            <w:rStyle w:val="1020"/>
          </w:rPr>
          <w:t xml:space="preserve">71. ЭФ документа «Распоряжение о перечислении денежных средств на карты «Мир», закладки «Информация о выплатах (2)»</w:t>
        </w:r>
        <w:r>
          <w:tab/>
        </w:r>
        <w:r>
          <w:fldChar w:fldCharType="begin"/>
        </w:r>
        <w:r>
          <w:instrText xml:space="preserve"> PAGEREF _Toc88819456 \h </w:instrText>
        </w:r>
        <w:r/>
        <w:r>
          <w:fldChar w:fldCharType="separate"/>
        </w:r>
        <w:r>
          <w:t xml:space="preserve">162</w:t>
        </w:r>
        <w:r>
          <w:fldChar w:fldCharType="end"/>
        </w:r>
      </w:hyperlink>
      <w:r/>
      <w:r/>
    </w:p>
    <w:p>
      <w:pPr>
        <w:pStyle w:val="1152"/>
        <w:rPr>
          <w:rFonts w:ascii="Calibri" w:hAnsi="Calibri"/>
          <w:sz w:val="22"/>
          <w:szCs w:val="22"/>
        </w:rPr>
      </w:pPr>
      <w:r/>
      <w:hyperlink w:tooltip="#_Toc88819457" w:anchor="_Toc88819457" w:history="1">
        <w:r>
          <w:rPr>
            <w:rStyle w:val="1020"/>
          </w:rPr>
          <w:t xml:space="preserve">Рисунок </w:t>
        </w:r>
        <w:r>
          <w:rPr>
            <w:rFonts w:ascii="Calibri" w:hAnsi="Calibri"/>
            <w:sz w:val="22"/>
            <w:szCs w:val="22"/>
          </w:rPr>
          <w:tab/>
        </w:r>
        <w:r>
          <w:rPr>
            <w:rStyle w:val="1020"/>
          </w:rPr>
          <w:t xml:space="preserve">72. ЭФ документа «Распоряжение о перечислении денежных средств на карты «Мир» физических лиц», закладки «Подписи»</w:t>
        </w:r>
        <w:r>
          <w:tab/>
        </w:r>
        <w:r>
          <w:fldChar w:fldCharType="begin"/>
        </w:r>
        <w:r>
          <w:instrText xml:space="preserve"> PAGEREF _Toc88819457 \h </w:instrText>
        </w:r>
        <w:r/>
        <w:r>
          <w:fldChar w:fldCharType="separate"/>
        </w:r>
        <w:r>
          <w:t xml:space="preserve">164</w:t>
        </w:r>
        <w:r>
          <w:fldChar w:fldCharType="end"/>
        </w:r>
      </w:hyperlink>
      <w:r/>
      <w:r/>
    </w:p>
    <w:p>
      <w:pPr>
        <w:pStyle w:val="1152"/>
        <w:rPr>
          <w:rFonts w:ascii="Calibri" w:hAnsi="Calibri"/>
          <w:sz w:val="22"/>
          <w:szCs w:val="22"/>
        </w:rPr>
      </w:pPr>
      <w:r/>
      <w:hyperlink w:tooltip="#_Toc88819458" w:anchor="_Toc88819458" w:history="1">
        <w:r>
          <w:rPr>
            <w:rStyle w:val="1020"/>
          </w:rPr>
          <w:t xml:space="preserve">Рисунок </w:t>
        </w:r>
        <w:r>
          <w:rPr>
            <w:rFonts w:ascii="Calibri" w:hAnsi="Calibri"/>
            <w:sz w:val="22"/>
            <w:szCs w:val="22"/>
          </w:rPr>
          <w:tab/>
        </w:r>
        <w:r>
          <w:rPr>
            <w:rStyle w:val="1020"/>
          </w:rPr>
          <w:t xml:space="preserve">73. ЭФ списка документов «Сведения об обязательстве (исходящие)»</w:t>
        </w:r>
        <w:r>
          <w:tab/>
        </w:r>
        <w:r>
          <w:fldChar w:fldCharType="begin"/>
        </w:r>
        <w:r>
          <w:instrText xml:space="preserve"> PAGEREF _Toc88819458 \h </w:instrText>
        </w:r>
        <w:r/>
        <w:r>
          <w:fldChar w:fldCharType="separate"/>
        </w:r>
        <w:r>
          <w:t xml:space="preserve">166</w:t>
        </w:r>
        <w:r>
          <w:fldChar w:fldCharType="end"/>
        </w:r>
      </w:hyperlink>
      <w:r/>
      <w:r/>
    </w:p>
    <w:p>
      <w:pPr>
        <w:pStyle w:val="1152"/>
        <w:rPr>
          <w:rFonts w:ascii="Calibri" w:hAnsi="Calibri"/>
          <w:sz w:val="22"/>
          <w:szCs w:val="22"/>
        </w:rPr>
      </w:pPr>
      <w:r/>
      <w:hyperlink w:tooltip="#_Toc88819459" w:anchor="_Toc88819459" w:history="1">
        <w:r>
          <w:rPr>
            <w:rStyle w:val="1020"/>
          </w:rPr>
          <w:t xml:space="preserve">Рисунок </w:t>
        </w:r>
        <w:r>
          <w:rPr>
            <w:rFonts w:ascii="Calibri" w:hAnsi="Calibri"/>
            <w:sz w:val="22"/>
            <w:szCs w:val="22"/>
          </w:rPr>
          <w:tab/>
        </w:r>
        <w:r>
          <w:rPr>
            <w:rStyle w:val="1020"/>
          </w:rPr>
          <w:t xml:space="preserve">74. ЭФ «Сведения об обязательстве», закладки «Заголовок, раздел 1,2 (1)»</w:t>
        </w:r>
        <w:r>
          <w:tab/>
        </w:r>
        <w:r>
          <w:fldChar w:fldCharType="begin"/>
        </w:r>
        <w:r>
          <w:instrText xml:space="preserve"> PAGEREF _Toc88819459 \h </w:instrText>
        </w:r>
        <w:r/>
        <w:r>
          <w:fldChar w:fldCharType="separate"/>
        </w:r>
        <w:r>
          <w:t xml:space="preserve">168</w:t>
        </w:r>
        <w:r>
          <w:fldChar w:fldCharType="end"/>
        </w:r>
      </w:hyperlink>
      <w:r/>
      <w:r/>
    </w:p>
    <w:p>
      <w:pPr>
        <w:pStyle w:val="1152"/>
        <w:rPr>
          <w:rFonts w:ascii="Calibri" w:hAnsi="Calibri"/>
          <w:sz w:val="22"/>
          <w:szCs w:val="22"/>
        </w:rPr>
      </w:pPr>
      <w:r/>
      <w:hyperlink w:tooltip="#_Toc88819460" w:anchor="_Toc88819460" w:history="1">
        <w:r>
          <w:rPr>
            <w:rStyle w:val="1020"/>
          </w:rPr>
          <w:t xml:space="preserve">Рисунок </w:t>
        </w:r>
        <w:r>
          <w:rPr>
            <w:rFonts w:ascii="Calibri" w:hAnsi="Calibri"/>
            <w:sz w:val="22"/>
            <w:szCs w:val="22"/>
          </w:rPr>
          <w:tab/>
        </w:r>
        <w:r>
          <w:rPr>
            <w:rStyle w:val="1020"/>
          </w:rPr>
          <w:t xml:space="preserve">75. ЭФ документа «Сведения об обязательстве», закладки «Раздел 3 (2)»</w:t>
        </w:r>
        <w:r>
          <w:tab/>
        </w:r>
        <w:r>
          <w:fldChar w:fldCharType="begin"/>
        </w:r>
        <w:r>
          <w:instrText xml:space="preserve"> PAGEREF _Toc88819460 \h </w:instrText>
        </w:r>
        <w:r/>
        <w:r>
          <w:fldChar w:fldCharType="separate"/>
        </w:r>
        <w:r>
          <w:t xml:space="preserve">175</w:t>
        </w:r>
        <w:r>
          <w:fldChar w:fldCharType="end"/>
        </w:r>
      </w:hyperlink>
      <w:r/>
      <w:r/>
    </w:p>
    <w:p>
      <w:pPr>
        <w:pStyle w:val="1152"/>
        <w:rPr>
          <w:rFonts w:ascii="Calibri" w:hAnsi="Calibri"/>
          <w:sz w:val="22"/>
          <w:szCs w:val="22"/>
        </w:rPr>
      </w:pPr>
      <w:r/>
      <w:hyperlink w:tooltip="#_Toc88819461" w:anchor="_Toc88819461" w:history="1">
        <w:r>
          <w:rPr>
            <w:rStyle w:val="1020"/>
          </w:rPr>
          <w:t xml:space="preserve">Рисунок </w:t>
        </w:r>
        <w:r>
          <w:rPr>
            <w:rFonts w:ascii="Calibri" w:hAnsi="Calibri"/>
            <w:sz w:val="22"/>
            <w:szCs w:val="22"/>
          </w:rPr>
          <w:tab/>
        </w:r>
        <w:r>
          <w:rPr>
            <w:rStyle w:val="1020"/>
          </w:rPr>
          <w:t xml:space="preserve">76. Форма «Добавление записи»</w:t>
        </w:r>
        <w:r>
          <w:tab/>
        </w:r>
        <w:r>
          <w:fldChar w:fldCharType="begin"/>
        </w:r>
        <w:r>
          <w:instrText xml:space="preserve"> PAGEREF _Toc88819461 \h </w:instrText>
        </w:r>
        <w:r/>
        <w:r>
          <w:fldChar w:fldCharType="separate"/>
        </w:r>
        <w:r>
          <w:t xml:space="preserve">179</w:t>
        </w:r>
        <w:r>
          <w:fldChar w:fldCharType="end"/>
        </w:r>
      </w:hyperlink>
      <w:r/>
      <w:r/>
    </w:p>
    <w:p>
      <w:pPr>
        <w:pStyle w:val="1152"/>
        <w:rPr>
          <w:rFonts w:ascii="Calibri" w:hAnsi="Calibri"/>
          <w:sz w:val="22"/>
          <w:szCs w:val="22"/>
        </w:rPr>
      </w:pPr>
      <w:r/>
      <w:hyperlink w:tooltip="#_Toc88819462" w:anchor="_Toc88819462" w:history="1">
        <w:r>
          <w:rPr>
            <w:rStyle w:val="1020"/>
          </w:rPr>
          <w:t xml:space="preserve">Рисунок </w:t>
        </w:r>
        <w:r>
          <w:rPr>
            <w:rFonts w:ascii="Calibri" w:hAnsi="Calibri"/>
            <w:sz w:val="22"/>
            <w:szCs w:val="22"/>
          </w:rPr>
          <w:tab/>
        </w:r>
        <w:r>
          <w:rPr>
            <w:rStyle w:val="1020"/>
          </w:rPr>
          <w:t xml:space="preserve">77. ЭФ документа «Сведения об обязательстве», закладки «Подписи (3)»</w:t>
        </w:r>
        <w:r>
          <w:tab/>
        </w:r>
        <w:r>
          <w:fldChar w:fldCharType="begin"/>
        </w:r>
        <w:r>
          <w:instrText xml:space="preserve"> PAGEREF _Toc88819462 \h </w:instrText>
        </w:r>
        <w:r/>
        <w:r>
          <w:fldChar w:fldCharType="separate"/>
        </w:r>
        <w:r>
          <w:t xml:space="preserve">180</w:t>
        </w:r>
        <w:r>
          <w:fldChar w:fldCharType="end"/>
        </w:r>
      </w:hyperlink>
      <w:r/>
      <w:r/>
    </w:p>
    <w:p>
      <w:pPr>
        <w:pStyle w:val="1152"/>
        <w:rPr>
          <w:rFonts w:ascii="Calibri" w:hAnsi="Calibri"/>
          <w:sz w:val="22"/>
          <w:szCs w:val="22"/>
        </w:rPr>
      </w:pPr>
      <w:r/>
      <w:hyperlink w:tooltip="#_Toc88819463" w:anchor="_Toc88819463" w:history="1">
        <w:r>
          <w:rPr>
            <w:rStyle w:val="1020"/>
          </w:rPr>
          <w:t xml:space="preserve">Рисунок </w:t>
        </w:r>
        <w:r>
          <w:rPr>
            <w:rFonts w:ascii="Calibri" w:hAnsi="Calibri"/>
            <w:sz w:val="22"/>
            <w:szCs w:val="22"/>
          </w:rPr>
          <w:tab/>
        </w:r>
        <w:r>
          <w:rPr>
            <w:rStyle w:val="1020"/>
          </w:rPr>
          <w:t xml:space="preserve">78. ЭФ списка документов «Заявка на внесение изменений в обязательство (исходящие)»</w:t>
        </w:r>
        <w:r>
          <w:tab/>
        </w:r>
        <w:r>
          <w:fldChar w:fldCharType="begin"/>
        </w:r>
        <w:r>
          <w:instrText xml:space="preserve"> PAGEREF _Toc88819463 \h </w:instrText>
        </w:r>
        <w:r/>
        <w:r>
          <w:fldChar w:fldCharType="separate"/>
        </w:r>
        <w:r>
          <w:t xml:space="preserve">182</w:t>
        </w:r>
        <w:r>
          <w:fldChar w:fldCharType="end"/>
        </w:r>
      </w:hyperlink>
      <w:r/>
      <w:r/>
    </w:p>
    <w:p>
      <w:pPr>
        <w:pStyle w:val="1152"/>
        <w:rPr>
          <w:rFonts w:ascii="Calibri" w:hAnsi="Calibri"/>
          <w:sz w:val="22"/>
          <w:szCs w:val="22"/>
        </w:rPr>
      </w:pPr>
      <w:r/>
      <w:hyperlink w:tooltip="#_Toc88819464" w:anchor="_Toc88819464" w:history="1">
        <w:r>
          <w:rPr>
            <w:rStyle w:val="1020"/>
          </w:rPr>
          <w:t xml:space="preserve">Рисунок </w:t>
        </w:r>
        <w:r>
          <w:rPr>
            <w:rFonts w:ascii="Calibri" w:hAnsi="Calibri"/>
            <w:sz w:val="22"/>
            <w:szCs w:val="22"/>
          </w:rPr>
          <w:tab/>
        </w:r>
        <w:r>
          <w:rPr>
            <w:rStyle w:val="1020"/>
          </w:rPr>
          <w:t xml:space="preserve">79. ЭФ документа «Заявка на внесение изменений в обязательство», закладки «Заголовок, раздел 1,2»</w:t>
        </w:r>
        <w:r>
          <w:tab/>
        </w:r>
        <w:r>
          <w:fldChar w:fldCharType="begin"/>
        </w:r>
        <w:r>
          <w:instrText xml:space="preserve"> PAGEREF _Toc88819464 \h </w:instrText>
        </w:r>
        <w:r/>
        <w:r>
          <w:fldChar w:fldCharType="separate"/>
        </w:r>
        <w:r>
          <w:t xml:space="preserve">183</w:t>
        </w:r>
        <w:r>
          <w:fldChar w:fldCharType="end"/>
        </w:r>
      </w:hyperlink>
      <w:r/>
      <w:r/>
    </w:p>
    <w:p>
      <w:pPr>
        <w:pStyle w:val="1152"/>
        <w:rPr>
          <w:rFonts w:ascii="Calibri" w:hAnsi="Calibri"/>
          <w:sz w:val="22"/>
          <w:szCs w:val="22"/>
        </w:rPr>
      </w:pPr>
      <w:r/>
      <w:hyperlink w:tooltip="#_Toc88819465" w:anchor="_Toc88819465" w:history="1">
        <w:r>
          <w:rPr>
            <w:rStyle w:val="1020"/>
          </w:rPr>
          <w:t xml:space="preserve">Рисунок </w:t>
        </w:r>
        <w:r>
          <w:rPr>
            <w:rFonts w:ascii="Calibri" w:hAnsi="Calibri"/>
            <w:sz w:val="22"/>
            <w:szCs w:val="22"/>
          </w:rPr>
          <w:tab/>
        </w:r>
        <w:r>
          <w:rPr>
            <w:rStyle w:val="1020"/>
          </w:rPr>
          <w:t xml:space="preserve">80. ЭФ документа «Заявка на внесение изменений в обязательство», закладки «Раздел 3,4 (2)»</w:t>
        </w:r>
        <w:r>
          <w:tab/>
        </w:r>
        <w:r>
          <w:fldChar w:fldCharType="begin"/>
        </w:r>
        <w:r>
          <w:instrText xml:space="preserve"> PAGEREF _Toc88819465 \h </w:instrText>
        </w:r>
        <w:r/>
        <w:r>
          <w:fldChar w:fldCharType="separate"/>
        </w:r>
        <w:r>
          <w:t xml:space="preserve">187</w:t>
        </w:r>
        <w:r>
          <w:fldChar w:fldCharType="end"/>
        </w:r>
      </w:hyperlink>
      <w:r/>
      <w:r/>
    </w:p>
    <w:p>
      <w:pPr>
        <w:pStyle w:val="1152"/>
        <w:rPr>
          <w:rFonts w:ascii="Calibri" w:hAnsi="Calibri"/>
          <w:sz w:val="22"/>
          <w:szCs w:val="22"/>
        </w:rPr>
      </w:pPr>
      <w:r/>
      <w:hyperlink w:tooltip="#_Toc88819466" w:anchor="_Toc88819466" w:history="1">
        <w:r>
          <w:rPr>
            <w:rStyle w:val="1020"/>
          </w:rPr>
          <w:t xml:space="preserve">Рисунок </w:t>
        </w:r>
        <w:r>
          <w:rPr>
            <w:rFonts w:ascii="Calibri" w:hAnsi="Calibri"/>
            <w:sz w:val="22"/>
            <w:szCs w:val="22"/>
          </w:rPr>
          <w:tab/>
        </w:r>
        <w:r>
          <w:rPr>
            <w:rStyle w:val="1020"/>
          </w:rPr>
          <w:t xml:space="preserve">81. ЭФ документа «Заявка на внесение изменений в обязательство», закладки «Раздел 5 (3)»</w:t>
        </w:r>
        <w:r>
          <w:tab/>
        </w:r>
        <w:r>
          <w:fldChar w:fldCharType="begin"/>
        </w:r>
        <w:r>
          <w:instrText xml:space="preserve"> PAGEREF _Toc88819466 \h </w:instrText>
        </w:r>
        <w:r/>
        <w:r>
          <w:fldChar w:fldCharType="separate"/>
        </w:r>
        <w:r>
          <w:t xml:space="preserve">189</w:t>
        </w:r>
        <w:r>
          <w:fldChar w:fldCharType="end"/>
        </w:r>
      </w:hyperlink>
      <w:r/>
      <w:r/>
    </w:p>
    <w:p>
      <w:pPr>
        <w:pStyle w:val="1152"/>
        <w:rPr>
          <w:rFonts w:ascii="Calibri" w:hAnsi="Calibri"/>
          <w:sz w:val="22"/>
          <w:szCs w:val="22"/>
        </w:rPr>
      </w:pPr>
      <w:r/>
      <w:hyperlink w:tooltip="#_Toc88819467" w:anchor="_Toc88819467" w:history="1">
        <w:r>
          <w:rPr>
            <w:rStyle w:val="1020"/>
          </w:rPr>
          <w:t xml:space="preserve">Рисунок </w:t>
        </w:r>
        <w:r>
          <w:rPr>
            <w:rFonts w:ascii="Calibri" w:hAnsi="Calibri"/>
            <w:sz w:val="22"/>
            <w:szCs w:val="22"/>
          </w:rPr>
          <w:tab/>
        </w:r>
        <w:r>
          <w:rPr>
            <w:rStyle w:val="1020"/>
          </w:rPr>
          <w:t xml:space="preserve">82. Форма «Просмотр записи»</w:t>
        </w:r>
        <w:r>
          <w:tab/>
        </w:r>
        <w:r>
          <w:fldChar w:fldCharType="begin"/>
        </w:r>
        <w:r>
          <w:instrText xml:space="preserve"> PAGEREF _Toc88819467 \h </w:instrText>
        </w:r>
        <w:r/>
        <w:r>
          <w:fldChar w:fldCharType="separate"/>
        </w:r>
        <w:r>
          <w:t xml:space="preserve">193</w:t>
        </w:r>
        <w:r>
          <w:fldChar w:fldCharType="end"/>
        </w:r>
      </w:hyperlink>
      <w:r/>
      <w:r/>
    </w:p>
    <w:p>
      <w:pPr>
        <w:pStyle w:val="1152"/>
        <w:rPr>
          <w:rFonts w:ascii="Calibri" w:hAnsi="Calibri"/>
          <w:sz w:val="22"/>
          <w:szCs w:val="22"/>
        </w:rPr>
      </w:pPr>
      <w:r/>
      <w:hyperlink w:tooltip="#_Toc88819468" w:anchor="_Toc88819468" w:history="1">
        <w:r>
          <w:rPr>
            <w:rStyle w:val="1020"/>
          </w:rPr>
          <w:t xml:space="preserve">Рисунок </w:t>
        </w:r>
        <w:r>
          <w:rPr>
            <w:rFonts w:ascii="Calibri" w:hAnsi="Calibri"/>
            <w:sz w:val="22"/>
            <w:szCs w:val="22"/>
          </w:rPr>
          <w:tab/>
        </w:r>
        <w:r>
          <w:rPr>
            <w:rStyle w:val="1020"/>
          </w:rPr>
          <w:t xml:space="preserve">83. ЭФ документа «Заявка на внесение изменений в обязательство», закладки «Подписи (4)»</w:t>
        </w:r>
        <w:r>
          <w:tab/>
        </w:r>
        <w:r>
          <w:fldChar w:fldCharType="begin"/>
        </w:r>
        <w:r>
          <w:instrText xml:space="preserve"> PAGEREF _Toc88819468 \h </w:instrText>
        </w:r>
        <w:r/>
        <w:r>
          <w:fldChar w:fldCharType="separate"/>
        </w:r>
        <w:r>
          <w:t xml:space="preserve">194</w:t>
        </w:r>
        <w:r>
          <w:fldChar w:fldCharType="end"/>
        </w:r>
      </w:hyperlink>
      <w:r/>
      <w:r/>
    </w:p>
    <w:p>
      <w:pPr>
        <w:pStyle w:val="1152"/>
        <w:rPr>
          <w:rFonts w:ascii="Calibri" w:hAnsi="Calibri"/>
          <w:sz w:val="22"/>
          <w:szCs w:val="22"/>
        </w:rPr>
      </w:pPr>
      <w:r/>
      <w:hyperlink w:tooltip="#_Toc88819469" w:anchor="_Toc88819469" w:history="1">
        <w:r>
          <w:rPr>
            <w:rStyle w:val="1020"/>
          </w:rPr>
          <w:t xml:space="preserve">Рисунок </w:t>
        </w:r>
        <w:r>
          <w:rPr>
            <w:rFonts w:ascii="Calibri" w:hAnsi="Calibri"/>
            <w:sz w:val="22"/>
            <w:szCs w:val="22"/>
          </w:rPr>
          <w:tab/>
        </w:r>
        <w:r>
          <w:rPr>
            <w:rStyle w:val="1020"/>
          </w:rPr>
          <w:t xml:space="preserve">84. ЭФ списка документов «Заявка на перерегистрацию бюджетного обязательства (исходящие)»</w:t>
        </w:r>
        <w:r>
          <w:tab/>
        </w:r>
        <w:r>
          <w:fldChar w:fldCharType="begin"/>
        </w:r>
        <w:r>
          <w:instrText xml:space="preserve"> PAGEREF _Toc88819469 \h </w:instrText>
        </w:r>
        <w:r/>
        <w:r>
          <w:fldChar w:fldCharType="separate"/>
        </w:r>
        <w:r>
          <w:t xml:space="preserve">196</w:t>
        </w:r>
        <w:r>
          <w:fldChar w:fldCharType="end"/>
        </w:r>
      </w:hyperlink>
      <w:r/>
      <w:r/>
    </w:p>
    <w:p>
      <w:pPr>
        <w:pStyle w:val="1152"/>
        <w:rPr>
          <w:rFonts w:ascii="Calibri" w:hAnsi="Calibri"/>
          <w:sz w:val="22"/>
          <w:szCs w:val="22"/>
        </w:rPr>
      </w:pPr>
      <w:r/>
      <w:hyperlink w:tooltip="#_Toc88819470" w:anchor="_Toc88819470" w:history="1">
        <w:r>
          <w:rPr>
            <w:rStyle w:val="1020"/>
          </w:rPr>
          <w:t xml:space="preserve">Рисунок </w:t>
        </w:r>
        <w:r>
          <w:rPr>
            <w:rFonts w:ascii="Calibri" w:hAnsi="Calibri"/>
            <w:sz w:val="22"/>
            <w:szCs w:val="22"/>
          </w:rPr>
          <w:tab/>
        </w:r>
        <w:r>
          <w:rPr>
            <w:rStyle w:val="1020"/>
          </w:rPr>
          <w:t xml:space="preserve">85. ЭФ документа «Заявка на перерегистрацию бюджетного обязательства», закладки «Заголовок, раздел 1,2 (1)»</w:t>
        </w:r>
        <w:r>
          <w:tab/>
        </w:r>
        <w:r>
          <w:fldChar w:fldCharType="begin"/>
        </w:r>
        <w:r>
          <w:instrText xml:space="preserve"> PAGEREF _Toc88819470 \h </w:instrText>
        </w:r>
        <w:r/>
        <w:r>
          <w:fldChar w:fldCharType="separate"/>
        </w:r>
        <w:r>
          <w:t xml:space="preserve">197</w:t>
        </w:r>
        <w:r>
          <w:fldChar w:fldCharType="end"/>
        </w:r>
      </w:hyperlink>
      <w:r/>
      <w:r/>
    </w:p>
    <w:p>
      <w:pPr>
        <w:pStyle w:val="1152"/>
        <w:rPr>
          <w:rFonts w:ascii="Calibri" w:hAnsi="Calibri"/>
          <w:sz w:val="22"/>
          <w:szCs w:val="22"/>
        </w:rPr>
      </w:pPr>
      <w:r/>
      <w:hyperlink w:tooltip="#_Toc88819471" w:anchor="_Toc88819471" w:history="1">
        <w:r>
          <w:rPr>
            <w:rStyle w:val="1020"/>
          </w:rPr>
          <w:t xml:space="preserve">Рисунок </w:t>
        </w:r>
        <w:r>
          <w:rPr>
            <w:rFonts w:ascii="Calibri" w:hAnsi="Calibri"/>
            <w:sz w:val="22"/>
            <w:szCs w:val="22"/>
          </w:rPr>
          <w:tab/>
        </w:r>
        <w:r>
          <w:rPr>
            <w:rStyle w:val="1020"/>
          </w:rPr>
          <w:t xml:space="preserve">86. ЭФ документа «Заявка на перерегистрацию бюджетного обязательства», закладки «Раздел 3,4 (2)»</w:t>
        </w:r>
        <w:r>
          <w:tab/>
        </w:r>
        <w:r>
          <w:fldChar w:fldCharType="begin"/>
        </w:r>
        <w:r>
          <w:instrText xml:space="preserve"> PAGEREF _Toc88819471 \h </w:instrText>
        </w:r>
        <w:r/>
        <w:r>
          <w:fldChar w:fldCharType="separate"/>
        </w:r>
        <w:r>
          <w:t xml:space="preserve">201</w:t>
        </w:r>
        <w:r>
          <w:fldChar w:fldCharType="end"/>
        </w:r>
      </w:hyperlink>
      <w:r/>
      <w:r/>
    </w:p>
    <w:p>
      <w:pPr>
        <w:pStyle w:val="1152"/>
        <w:rPr>
          <w:rFonts w:ascii="Calibri" w:hAnsi="Calibri"/>
          <w:sz w:val="22"/>
          <w:szCs w:val="22"/>
        </w:rPr>
      </w:pPr>
      <w:r/>
      <w:hyperlink w:tooltip="#_Toc88819472" w:anchor="_Toc88819472" w:history="1">
        <w:r>
          <w:rPr>
            <w:rStyle w:val="1020"/>
          </w:rPr>
          <w:t xml:space="preserve">Рисунок </w:t>
        </w:r>
        <w:r>
          <w:rPr>
            <w:rFonts w:ascii="Calibri" w:hAnsi="Calibri"/>
            <w:sz w:val="22"/>
            <w:szCs w:val="22"/>
          </w:rPr>
          <w:tab/>
        </w:r>
        <w:r>
          <w:rPr>
            <w:rStyle w:val="1020"/>
          </w:rPr>
          <w:t xml:space="preserve">87. ЭФ документа «Заявка на перерегистрацию бюджетного обязательства», закладки «Раздел 5 (3)»</w:t>
        </w:r>
        <w:r>
          <w:tab/>
        </w:r>
        <w:r>
          <w:fldChar w:fldCharType="begin"/>
        </w:r>
        <w:r>
          <w:instrText xml:space="preserve"> PAGEREF _Toc88819472 \h </w:instrText>
        </w:r>
        <w:r/>
        <w:r>
          <w:fldChar w:fldCharType="separate"/>
        </w:r>
        <w:r>
          <w:t xml:space="preserve">203</w:t>
        </w:r>
        <w:r>
          <w:fldChar w:fldCharType="end"/>
        </w:r>
      </w:hyperlink>
      <w:r/>
      <w:r/>
    </w:p>
    <w:p>
      <w:pPr>
        <w:pStyle w:val="1152"/>
        <w:rPr>
          <w:rFonts w:ascii="Calibri" w:hAnsi="Calibri"/>
          <w:sz w:val="22"/>
          <w:szCs w:val="22"/>
        </w:rPr>
      </w:pPr>
      <w:r/>
      <w:hyperlink w:tooltip="#_Toc88819473" w:anchor="_Toc88819473" w:history="1">
        <w:r>
          <w:rPr>
            <w:rStyle w:val="1020"/>
          </w:rPr>
          <w:t xml:space="preserve">Рисунок </w:t>
        </w:r>
        <w:r>
          <w:rPr>
            <w:rFonts w:ascii="Calibri" w:hAnsi="Calibri"/>
            <w:sz w:val="22"/>
            <w:szCs w:val="22"/>
          </w:rPr>
          <w:tab/>
        </w:r>
        <w:r>
          <w:rPr>
            <w:rStyle w:val="1020"/>
          </w:rPr>
          <w:t xml:space="preserve">88. ЭФ документа «Заявка на перерегистрацию бюджетного обязательства», закладки «Подписи (4)»</w:t>
        </w:r>
        <w:r>
          <w:tab/>
        </w:r>
        <w:r>
          <w:fldChar w:fldCharType="begin"/>
        </w:r>
        <w:r>
          <w:instrText xml:space="preserve"> PAGEREF _Toc88819473 \h </w:instrText>
        </w:r>
        <w:r/>
        <w:r>
          <w:fldChar w:fldCharType="separate"/>
        </w:r>
        <w:r>
          <w:t xml:space="preserve">206</w:t>
        </w:r>
        <w:r>
          <w:fldChar w:fldCharType="end"/>
        </w:r>
      </w:hyperlink>
      <w:r/>
      <w:r/>
    </w:p>
    <w:p>
      <w:pPr>
        <w:pStyle w:val="1152"/>
        <w:rPr>
          <w:rFonts w:ascii="Calibri" w:hAnsi="Calibri"/>
          <w:sz w:val="22"/>
          <w:szCs w:val="22"/>
        </w:rPr>
      </w:pPr>
      <w:r/>
      <w:hyperlink w:tooltip="#_Toc88819474" w:anchor="_Toc88819474" w:history="1">
        <w:r>
          <w:rPr>
            <w:rStyle w:val="1020"/>
          </w:rPr>
          <w:t xml:space="preserve">Рисунок </w:t>
        </w:r>
        <w:r>
          <w:rPr>
            <w:rFonts w:ascii="Calibri" w:hAnsi="Calibri"/>
            <w:sz w:val="22"/>
            <w:szCs w:val="22"/>
          </w:rPr>
          <w:tab/>
        </w:r>
        <w:r>
          <w:rPr>
            <w:rStyle w:val="1020"/>
          </w:rPr>
          <w:t xml:space="preserve">89. ЭФ списка документов «Извещение о постановке на учет (изменении) БО в ФК»</w:t>
        </w:r>
        <w:r>
          <w:tab/>
        </w:r>
        <w:r>
          <w:fldChar w:fldCharType="begin"/>
        </w:r>
        <w:r>
          <w:instrText xml:space="preserve"> PAGEREF _Toc88819474 \h </w:instrText>
        </w:r>
        <w:r/>
        <w:r>
          <w:fldChar w:fldCharType="separate"/>
        </w:r>
        <w:r>
          <w:t xml:space="preserve">208</w:t>
        </w:r>
        <w:r>
          <w:fldChar w:fldCharType="end"/>
        </w:r>
      </w:hyperlink>
      <w:r/>
      <w:r/>
    </w:p>
    <w:p>
      <w:pPr>
        <w:pStyle w:val="1152"/>
        <w:rPr>
          <w:rFonts w:ascii="Calibri" w:hAnsi="Calibri"/>
          <w:sz w:val="22"/>
          <w:szCs w:val="22"/>
        </w:rPr>
      </w:pPr>
      <w:r/>
      <w:hyperlink w:tooltip="#_Toc88819475" w:anchor="_Toc88819475" w:history="1">
        <w:r>
          <w:rPr>
            <w:rStyle w:val="1020"/>
          </w:rPr>
          <w:t xml:space="preserve">Рисунок </w:t>
        </w:r>
        <w:r>
          <w:rPr>
            <w:rFonts w:ascii="Calibri" w:hAnsi="Calibri"/>
            <w:sz w:val="22"/>
            <w:szCs w:val="22"/>
          </w:rPr>
          <w:tab/>
        </w:r>
        <w:r>
          <w:rPr>
            <w:rStyle w:val="1020"/>
          </w:rPr>
          <w:t xml:space="preserve">90. ЭФ документа «Извещение о постановке на учет (изменении) БО в ФК», закладки «Основные атрибуты»</w:t>
        </w:r>
        <w:r>
          <w:tab/>
        </w:r>
        <w:r>
          <w:fldChar w:fldCharType="begin"/>
        </w:r>
        <w:r>
          <w:instrText xml:space="preserve"> PAGEREF _Toc88819475 \h </w:instrText>
        </w:r>
        <w:r/>
        <w:r>
          <w:fldChar w:fldCharType="separate"/>
        </w:r>
        <w:r>
          <w:t xml:space="preserve">209</w:t>
        </w:r>
        <w:r>
          <w:fldChar w:fldCharType="end"/>
        </w:r>
      </w:hyperlink>
      <w:r/>
      <w:r/>
    </w:p>
    <w:p>
      <w:pPr>
        <w:pStyle w:val="1152"/>
        <w:rPr>
          <w:rFonts w:ascii="Calibri" w:hAnsi="Calibri"/>
          <w:sz w:val="22"/>
          <w:szCs w:val="22"/>
        </w:rPr>
      </w:pPr>
      <w:r/>
      <w:hyperlink w:tooltip="#_Toc88819476" w:anchor="_Toc88819476" w:history="1">
        <w:r>
          <w:rPr>
            <w:rStyle w:val="1020"/>
          </w:rPr>
          <w:t xml:space="preserve">Рисунок </w:t>
        </w:r>
        <w:r>
          <w:rPr>
            <w:rFonts w:ascii="Calibri" w:hAnsi="Calibri"/>
            <w:sz w:val="22"/>
            <w:szCs w:val="22"/>
          </w:rPr>
          <w:tab/>
        </w:r>
        <w:r>
          <w:rPr>
            <w:rStyle w:val="1020"/>
          </w:rPr>
          <w:t xml:space="preserve">91. ЭФ документа «Извещение о постановке на учет (изменении) БО в ФК», закладки «Подписи»</w:t>
        </w:r>
        <w:r>
          <w:tab/>
        </w:r>
        <w:r>
          <w:fldChar w:fldCharType="begin"/>
        </w:r>
        <w:r>
          <w:instrText xml:space="preserve"> PAGEREF _Toc88819476 \h </w:instrText>
        </w:r>
        <w:r/>
        <w:r>
          <w:fldChar w:fldCharType="separate"/>
        </w:r>
        <w:r>
          <w:t xml:space="preserve">210</w:t>
        </w:r>
        <w:r>
          <w:fldChar w:fldCharType="end"/>
        </w:r>
      </w:hyperlink>
      <w:r/>
      <w:r/>
    </w:p>
    <w:p>
      <w:pPr>
        <w:pStyle w:val="1152"/>
        <w:rPr>
          <w:rFonts w:ascii="Calibri" w:hAnsi="Calibri"/>
          <w:sz w:val="22"/>
          <w:szCs w:val="22"/>
        </w:rPr>
      </w:pPr>
      <w:r/>
      <w:hyperlink w:tooltip="#_Toc88819477" w:anchor="_Toc88819477" w:history="1">
        <w:r>
          <w:rPr>
            <w:rStyle w:val="1020"/>
          </w:rPr>
          <w:t xml:space="preserve">Рисунок </w:t>
        </w:r>
        <w:r>
          <w:rPr>
            <w:rFonts w:ascii="Calibri" w:hAnsi="Calibri"/>
            <w:sz w:val="22"/>
            <w:szCs w:val="22"/>
          </w:rPr>
          <w:tab/>
        </w:r>
        <w:r>
          <w:rPr>
            <w:rStyle w:val="1020"/>
          </w:rPr>
          <w:t xml:space="preserve">92. ЭФ списка документов «Извещение о постановке на учет (изменении) ДО в ФК»</w:t>
        </w:r>
        <w:r>
          <w:tab/>
        </w:r>
        <w:r>
          <w:fldChar w:fldCharType="begin"/>
        </w:r>
        <w:r>
          <w:instrText xml:space="preserve"> PAGEREF _Toc88819477 \h </w:instrText>
        </w:r>
        <w:r/>
        <w:r>
          <w:fldChar w:fldCharType="separate"/>
        </w:r>
        <w:r>
          <w:t xml:space="preserve">211</w:t>
        </w:r>
        <w:r>
          <w:fldChar w:fldCharType="end"/>
        </w:r>
      </w:hyperlink>
      <w:r/>
      <w:r/>
    </w:p>
    <w:p>
      <w:pPr>
        <w:pStyle w:val="1152"/>
        <w:rPr>
          <w:rFonts w:ascii="Calibri" w:hAnsi="Calibri"/>
          <w:sz w:val="22"/>
          <w:szCs w:val="22"/>
        </w:rPr>
      </w:pPr>
      <w:r/>
      <w:hyperlink w:tooltip="#_Toc88819478" w:anchor="_Toc88819478" w:history="1">
        <w:r>
          <w:rPr>
            <w:rStyle w:val="1020"/>
          </w:rPr>
          <w:t xml:space="preserve">Рисунок </w:t>
        </w:r>
        <w:r>
          <w:rPr>
            <w:rFonts w:ascii="Calibri" w:hAnsi="Calibri"/>
            <w:sz w:val="22"/>
            <w:szCs w:val="22"/>
          </w:rPr>
          <w:tab/>
        </w:r>
        <w:r>
          <w:rPr>
            <w:rStyle w:val="1020"/>
          </w:rPr>
          <w:t xml:space="preserve">93. ЭФ документа «Извещение о постановке на учет (изменении) ДО в ФК», закладки «Основные атрибуты»</w:t>
        </w:r>
        <w:r>
          <w:tab/>
        </w:r>
        <w:r>
          <w:fldChar w:fldCharType="begin"/>
        </w:r>
        <w:r>
          <w:instrText xml:space="preserve"> PAGEREF _Toc88819478 \h </w:instrText>
        </w:r>
        <w:r/>
        <w:r>
          <w:fldChar w:fldCharType="separate"/>
        </w:r>
        <w:r>
          <w:t xml:space="preserve">212</w:t>
        </w:r>
        <w:r>
          <w:fldChar w:fldCharType="end"/>
        </w:r>
      </w:hyperlink>
      <w:r/>
      <w:r/>
    </w:p>
    <w:p>
      <w:pPr>
        <w:pStyle w:val="1152"/>
        <w:rPr>
          <w:rFonts w:ascii="Calibri" w:hAnsi="Calibri"/>
          <w:sz w:val="22"/>
          <w:szCs w:val="22"/>
        </w:rPr>
      </w:pPr>
      <w:r/>
      <w:hyperlink w:tooltip="#_Toc88819479" w:anchor="_Toc88819479" w:history="1">
        <w:r>
          <w:rPr>
            <w:rStyle w:val="1020"/>
          </w:rPr>
          <w:t xml:space="preserve">Рисунок </w:t>
        </w:r>
        <w:r>
          <w:rPr>
            <w:rFonts w:ascii="Calibri" w:hAnsi="Calibri"/>
            <w:sz w:val="22"/>
            <w:szCs w:val="22"/>
          </w:rPr>
          <w:tab/>
        </w:r>
        <w:r>
          <w:rPr>
            <w:rStyle w:val="1020"/>
          </w:rPr>
          <w:t xml:space="preserve">94. ЭФ документа «Извещение о постановке на учет (изменении) ДО в ФК», закладки «Подписи»</w:t>
        </w:r>
        <w:r>
          <w:tab/>
        </w:r>
        <w:r>
          <w:fldChar w:fldCharType="begin"/>
        </w:r>
        <w:r>
          <w:instrText xml:space="preserve"> PAGEREF _Toc88819479 \h </w:instrText>
        </w:r>
        <w:r/>
        <w:r>
          <w:fldChar w:fldCharType="separate"/>
        </w:r>
        <w:r>
          <w:t xml:space="preserve">213</w:t>
        </w:r>
        <w:r>
          <w:fldChar w:fldCharType="end"/>
        </w:r>
      </w:hyperlink>
      <w:r/>
      <w:r/>
    </w:p>
    <w:p>
      <w:pPr>
        <w:pStyle w:val="1152"/>
        <w:rPr>
          <w:rFonts w:ascii="Calibri" w:hAnsi="Calibri"/>
          <w:sz w:val="22"/>
          <w:szCs w:val="22"/>
        </w:rPr>
      </w:pPr>
      <w:r/>
      <w:hyperlink w:tooltip="#_Toc88819480" w:anchor="_Toc88819480" w:history="1">
        <w:r>
          <w:rPr>
            <w:rStyle w:val="1020"/>
          </w:rPr>
          <w:t xml:space="preserve">Рисунок </w:t>
        </w:r>
        <w:r>
          <w:rPr>
            <w:rFonts w:ascii="Calibri" w:hAnsi="Calibri"/>
            <w:sz w:val="22"/>
            <w:szCs w:val="22"/>
          </w:rPr>
          <w:tab/>
        </w:r>
        <w:r>
          <w:rPr>
            <w:rStyle w:val="1020"/>
          </w:rPr>
          <w:t xml:space="preserve">95. ЭФ списка документов «Заявление на выдачу (перевод, отзыв) Казначейского обеспечения обязательств»</w:t>
        </w:r>
        <w:r>
          <w:tab/>
        </w:r>
        <w:r>
          <w:fldChar w:fldCharType="begin"/>
        </w:r>
        <w:r>
          <w:instrText xml:space="preserve"> PAGEREF _Toc88819480 \h </w:instrText>
        </w:r>
        <w:r/>
        <w:r>
          <w:fldChar w:fldCharType="separate"/>
        </w:r>
        <w:r>
          <w:t xml:space="preserve">214</w:t>
        </w:r>
        <w:r>
          <w:fldChar w:fldCharType="end"/>
        </w:r>
      </w:hyperlink>
      <w:r/>
      <w:r/>
    </w:p>
    <w:p>
      <w:pPr>
        <w:pStyle w:val="1152"/>
        <w:rPr>
          <w:rFonts w:ascii="Calibri" w:hAnsi="Calibri"/>
          <w:sz w:val="22"/>
          <w:szCs w:val="22"/>
        </w:rPr>
      </w:pPr>
      <w:r/>
      <w:hyperlink w:tooltip="#_Toc88819481" w:anchor="_Toc88819481" w:history="1">
        <w:r>
          <w:rPr>
            <w:rStyle w:val="1020"/>
          </w:rPr>
          <w:t xml:space="preserve">Рисунок </w:t>
        </w:r>
        <w:r>
          <w:rPr>
            <w:rFonts w:ascii="Calibri" w:hAnsi="Calibri"/>
            <w:sz w:val="22"/>
            <w:szCs w:val="22"/>
          </w:rPr>
          <w:tab/>
        </w:r>
        <w:r>
          <w:rPr>
            <w:rStyle w:val="1020"/>
          </w:rPr>
          <w:t xml:space="preserve">96. Окно «Поиск…»</w:t>
        </w:r>
        <w:r>
          <w:tab/>
        </w:r>
        <w:r>
          <w:fldChar w:fldCharType="begin"/>
        </w:r>
        <w:r>
          <w:instrText xml:space="preserve"> PAGEREF _Toc88819481 \h </w:instrText>
        </w:r>
        <w:r/>
        <w:r>
          <w:fldChar w:fldCharType="separate"/>
        </w:r>
        <w:r>
          <w:t xml:space="preserve">215</w:t>
        </w:r>
        <w:r>
          <w:fldChar w:fldCharType="end"/>
        </w:r>
      </w:hyperlink>
      <w:r/>
      <w:r/>
    </w:p>
    <w:p>
      <w:pPr>
        <w:pStyle w:val="1152"/>
        <w:rPr>
          <w:rFonts w:ascii="Calibri" w:hAnsi="Calibri"/>
          <w:sz w:val="22"/>
          <w:szCs w:val="22"/>
        </w:rPr>
      </w:pPr>
      <w:r/>
      <w:hyperlink w:tooltip="#_Toc88819482" w:anchor="_Toc88819482" w:history="1">
        <w:r>
          <w:rPr>
            <w:rStyle w:val="1020"/>
          </w:rPr>
          <w:t xml:space="preserve">Рисунок </w:t>
        </w:r>
        <w:r>
          <w:rPr>
            <w:rFonts w:ascii="Calibri" w:hAnsi="Calibri"/>
            <w:sz w:val="22"/>
            <w:szCs w:val="22"/>
          </w:rPr>
          <w:tab/>
        </w:r>
        <w:r>
          <w:rPr>
            <w:rStyle w:val="1020"/>
          </w:rPr>
          <w:t xml:space="preserve">97. Окно «Выбор родительского документа» для документов типа «Заявление на выдачу (перевод, отзыв) Казначейского обеспечения обязательств»</w:t>
        </w:r>
        <w:r>
          <w:tab/>
        </w:r>
        <w:r>
          <w:fldChar w:fldCharType="begin"/>
        </w:r>
        <w:r>
          <w:instrText xml:space="preserve"> PAGEREF _Toc88819482 \h </w:instrText>
        </w:r>
        <w:r/>
        <w:r>
          <w:fldChar w:fldCharType="separate"/>
        </w:r>
        <w:r>
          <w:t xml:space="preserve">215</w:t>
        </w:r>
        <w:r>
          <w:fldChar w:fldCharType="end"/>
        </w:r>
      </w:hyperlink>
      <w:r/>
      <w:r/>
    </w:p>
    <w:p>
      <w:pPr>
        <w:pStyle w:val="1152"/>
        <w:rPr>
          <w:rFonts w:ascii="Calibri" w:hAnsi="Calibri"/>
          <w:sz w:val="22"/>
          <w:szCs w:val="22"/>
        </w:rPr>
      </w:pPr>
      <w:r/>
      <w:hyperlink w:tooltip="#_Toc88819483" w:anchor="_Toc88819483" w:history="1">
        <w:r>
          <w:rPr>
            <w:rStyle w:val="1020"/>
          </w:rPr>
          <w:t xml:space="preserve">Рисунок </w:t>
        </w:r>
        <w:r>
          <w:rPr>
            <w:rFonts w:ascii="Calibri" w:hAnsi="Calibri"/>
            <w:sz w:val="22"/>
            <w:szCs w:val="22"/>
          </w:rPr>
          <w:tab/>
        </w:r>
        <w:r>
          <w:rPr>
            <w:rStyle w:val="1020"/>
          </w:rPr>
          <w:t xml:space="preserve">98. ЭФ документа «Заявление на выдачу (перевод, отзыв) Казначейского обеспечения обязательств», закладки «Основные атрибуты»</w:t>
        </w:r>
        <w:r>
          <w:tab/>
        </w:r>
        <w:r>
          <w:fldChar w:fldCharType="begin"/>
        </w:r>
        <w:r>
          <w:instrText xml:space="preserve"> PAGEREF _Toc88819483 \h </w:instrText>
        </w:r>
        <w:r/>
        <w:r>
          <w:fldChar w:fldCharType="separate"/>
        </w:r>
        <w:r>
          <w:t xml:space="preserve">216</w:t>
        </w:r>
        <w:r>
          <w:fldChar w:fldCharType="end"/>
        </w:r>
      </w:hyperlink>
      <w:r/>
      <w:r/>
    </w:p>
    <w:p>
      <w:pPr>
        <w:pStyle w:val="1152"/>
        <w:rPr>
          <w:rFonts w:ascii="Calibri" w:hAnsi="Calibri"/>
          <w:sz w:val="22"/>
          <w:szCs w:val="22"/>
        </w:rPr>
      </w:pPr>
      <w:r/>
      <w:hyperlink w:tooltip="#_Toc88819484" w:anchor="_Toc88819484" w:history="1">
        <w:r>
          <w:rPr>
            <w:rStyle w:val="1020"/>
          </w:rPr>
          <w:t xml:space="preserve">Рисунок </w:t>
        </w:r>
        <w:r>
          <w:rPr>
            <w:rFonts w:ascii="Calibri" w:hAnsi="Calibri"/>
            <w:sz w:val="22"/>
            <w:szCs w:val="22"/>
          </w:rPr>
          <w:tab/>
        </w:r>
        <w:r>
          <w:rPr>
            <w:rStyle w:val="1020"/>
          </w:rPr>
          <w:t xml:space="preserve">99. ЭФ документа «Заявление на выдачу (перевод, отзыв) Казначейского обеспечения обязательств», закладки « Сведения о документе-основании»</w:t>
        </w:r>
        <w:r>
          <w:tab/>
        </w:r>
        <w:r>
          <w:fldChar w:fldCharType="begin"/>
        </w:r>
        <w:r>
          <w:instrText xml:space="preserve"> PAGEREF _Toc88819484 \h </w:instrText>
        </w:r>
        <w:r/>
        <w:r>
          <w:fldChar w:fldCharType="separate"/>
        </w:r>
        <w:r>
          <w:t xml:space="preserve">219</w:t>
        </w:r>
        <w:r>
          <w:fldChar w:fldCharType="end"/>
        </w:r>
      </w:hyperlink>
      <w:r/>
      <w:r/>
    </w:p>
    <w:p>
      <w:pPr>
        <w:pStyle w:val="1152"/>
        <w:rPr>
          <w:rFonts w:ascii="Calibri" w:hAnsi="Calibri"/>
          <w:sz w:val="22"/>
          <w:szCs w:val="22"/>
        </w:rPr>
      </w:pPr>
      <w:r/>
      <w:hyperlink w:tooltip="#_Toc88819485" w:anchor="_Toc88819485" w:history="1">
        <w:r>
          <w:rPr>
            <w:rStyle w:val="1020"/>
          </w:rPr>
          <w:t xml:space="preserve">Рисунок </w:t>
        </w:r>
        <w:r>
          <w:rPr>
            <w:rFonts w:ascii="Calibri" w:hAnsi="Calibri"/>
            <w:sz w:val="22"/>
            <w:szCs w:val="22"/>
          </w:rPr>
          <w:tab/>
        </w:r>
        <w:r>
          <w:rPr>
            <w:rStyle w:val="1020"/>
          </w:rPr>
          <w:t xml:space="preserve">100. ЭФ документа «Заявление на выдачу (перевод, отзыв) Казначейского обеспечения обязательств», закладки «Реквизиты плательщика»</w:t>
        </w:r>
        <w:r>
          <w:tab/>
        </w:r>
        <w:r>
          <w:fldChar w:fldCharType="begin"/>
        </w:r>
        <w:r>
          <w:instrText xml:space="preserve"> PAGEREF _Toc88819485 \h </w:instrText>
        </w:r>
        <w:r/>
        <w:r>
          <w:fldChar w:fldCharType="separate"/>
        </w:r>
        <w:r>
          <w:t xml:space="preserve">221</w:t>
        </w:r>
        <w:r>
          <w:fldChar w:fldCharType="end"/>
        </w:r>
      </w:hyperlink>
      <w:r/>
      <w:r/>
    </w:p>
    <w:p>
      <w:pPr>
        <w:pStyle w:val="1152"/>
        <w:rPr>
          <w:rFonts w:ascii="Calibri" w:hAnsi="Calibri"/>
          <w:sz w:val="22"/>
          <w:szCs w:val="22"/>
        </w:rPr>
      </w:pPr>
      <w:r/>
      <w:hyperlink w:tooltip="#_Toc88819486" w:anchor="_Toc88819486" w:history="1">
        <w:r>
          <w:rPr>
            <w:rStyle w:val="1020"/>
          </w:rPr>
          <w:t xml:space="preserve">Рисунок </w:t>
        </w:r>
        <w:r>
          <w:rPr>
            <w:rFonts w:ascii="Calibri" w:hAnsi="Calibri"/>
            <w:sz w:val="22"/>
            <w:szCs w:val="22"/>
          </w:rPr>
          <w:tab/>
        </w:r>
        <w:r>
          <w:rPr>
            <w:rStyle w:val="1020"/>
          </w:rPr>
          <w:t xml:space="preserve">101. ЭФ документа «Заявление на выдачу (перевод, отзыв) Казначейского обеспечения обязательств», закладки «Реквизиты получателя»</w:t>
        </w:r>
        <w:r>
          <w:tab/>
        </w:r>
        <w:r>
          <w:fldChar w:fldCharType="begin"/>
        </w:r>
        <w:r>
          <w:instrText xml:space="preserve"> PAGEREF _Toc88819486 \h </w:instrText>
        </w:r>
        <w:r/>
        <w:r>
          <w:fldChar w:fldCharType="separate"/>
        </w:r>
        <w:r>
          <w:t xml:space="preserve">223</w:t>
        </w:r>
        <w:r>
          <w:fldChar w:fldCharType="end"/>
        </w:r>
      </w:hyperlink>
      <w:r/>
      <w:r/>
    </w:p>
    <w:p>
      <w:pPr>
        <w:pStyle w:val="1152"/>
        <w:rPr>
          <w:rFonts w:ascii="Calibri" w:hAnsi="Calibri"/>
          <w:sz w:val="22"/>
          <w:szCs w:val="22"/>
        </w:rPr>
      </w:pPr>
      <w:r/>
      <w:hyperlink w:tooltip="#_Toc88819487" w:anchor="_Toc88819487" w:history="1">
        <w:r>
          <w:rPr>
            <w:rStyle w:val="1020"/>
          </w:rPr>
          <w:t xml:space="preserve">Рисунок </w:t>
        </w:r>
        <w:r>
          <w:rPr>
            <w:rFonts w:ascii="Calibri" w:hAnsi="Calibri"/>
            <w:sz w:val="22"/>
            <w:szCs w:val="22"/>
          </w:rPr>
          <w:tab/>
        </w:r>
        <w:r>
          <w:rPr>
            <w:rStyle w:val="1020"/>
          </w:rPr>
          <w:t xml:space="preserve">102. ЭФ документа «Заявление на выдачу (перевод, отзыв) Казначейского обеспечения обязательств», закладки «Дополнительная информация»</w:t>
        </w:r>
        <w:r>
          <w:tab/>
        </w:r>
        <w:r>
          <w:fldChar w:fldCharType="begin"/>
        </w:r>
        <w:r>
          <w:instrText xml:space="preserve"> PAGEREF _Toc88819487 \h </w:instrText>
        </w:r>
        <w:r/>
        <w:r>
          <w:fldChar w:fldCharType="separate"/>
        </w:r>
        <w:r>
          <w:t xml:space="preserve">225</w:t>
        </w:r>
        <w:r>
          <w:fldChar w:fldCharType="end"/>
        </w:r>
      </w:hyperlink>
      <w:r/>
      <w:r/>
    </w:p>
    <w:p>
      <w:pPr>
        <w:pStyle w:val="1152"/>
        <w:rPr>
          <w:rFonts w:ascii="Calibri" w:hAnsi="Calibri"/>
          <w:sz w:val="22"/>
          <w:szCs w:val="22"/>
        </w:rPr>
      </w:pPr>
      <w:r/>
      <w:hyperlink w:tooltip="#_Toc88819488" w:anchor="_Toc88819488" w:history="1">
        <w:r>
          <w:rPr>
            <w:rStyle w:val="1020"/>
          </w:rPr>
          <w:t xml:space="preserve">Рисунок </w:t>
        </w:r>
        <w:r>
          <w:rPr>
            <w:rFonts w:ascii="Calibri" w:hAnsi="Calibri"/>
            <w:sz w:val="22"/>
            <w:szCs w:val="22"/>
          </w:rPr>
          <w:tab/>
        </w:r>
        <w:r>
          <w:rPr>
            <w:rStyle w:val="1020"/>
          </w:rPr>
          <w:t xml:space="preserve">103. ЭФ документа «Заявление на выдачу (перевод, отзыв) Казначейского обеспечения обязательств», закладки «Отметки ОрФК о принятии настоящего заявления»</w:t>
        </w:r>
        <w:r>
          <w:tab/>
        </w:r>
        <w:r>
          <w:fldChar w:fldCharType="begin"/>
        </w:r>
        <w:r>
          <w:instrText xml:space="preserve"> PAGEREF _Toc88819488 \h </w:instrText>
        </w:r>
        <w:r/>
        <w:r>
          <w:fldChar w:fldCharType="separate"/>
        </w:r>
        <w:r>
          <w:t xml:space="preserve">226</w:t>
        </w:r>
        <w:r>
          <w:fldChar w:fldCharType="end"/>
        </w:r>
      </w:hyperlink>
      <w:r/>
      <w:r/>
    </w:p>
    <w:p>
      <w:pPr>
        <w:pStyle w:val="1152"/>
        <w:rPr>
          <w:rFonts w:ascii="Calibri" w:hAnsi="Calibri"/>
          <w:sz w:val="22"/>
          <w:szCs w:val="22"/>
        </w:rPr>
      </w:pPr>
      <w:r/>
      <w:hyperlink w:tooltip="#_Toc88819489" w:anchor="_Toc88819489" w:history="1">
        <w:r>
          <w:rPr>
            <w:rStyle w:val="1020"/>
          </w:rPr>
          <w:t xml:space="preserve">Рисунок </w:t>
        </w:r>
        <w:r>
          <w:rPr>
            <w:rFonts w:ascii="Calibri" w:hAnsi="Calibri"/>
            <w:sz w:val="22"/>
            <w:szCs w:val="22"/>
          </w:rPr>
          <w:tab/>
        </w:r>
        <w:r>
          <w:rPr>
            <w:rStyle w:val="1020"/>
          </w:rPr>
          <w:t xml:space="preserve">104. ЭФ списка документов «Казначейское обеспечение обязательств»</w:t>
        </w:r>
        <w:r>
          <w:tab/>
        </w:r>
        <w:r>
          <w:fldChar w:fldCharType="begin"/>
        </w:r>
        <w:r>
          <w:instrText xml:space="preserve"> PAGEREF _Toc88819489 \h </w:instrText>
        </w:r>
        <w:r/>
        <w:r>
          <w:fldChar w:fldCharType="separate"/>
        </w:r>
        <w:r>
          <w:t xml:space="preserve">227</w:t>
        </w:r>
        <w:r>
          <w:fldChar w:fldCharType="end"/>
        </w:r>
      </w:hyperlink>
      <w:r/>
      <w:r/>
    </w:p>
    <w:p>
      <w:pPr>
        <w:pStyle w:val="1152"/>
        <w:rPr>
          <w:rFonts w:ascii="Calibri" w:hAnsi="Calibri"/>
          <w:sz w:val="22"/>
          <w:szCs w:val="22"/>
        </w:rPr>
      </w:pPr>
      <w:r/>
      <w:hyperlink w:tooltip="#_Toc88819490" w:anchor="_Toc88819490" w:history="1">
        <w:r>
          <w:rPr>
            <w:rStyle w:val="1020"/>
          </w:rPr>
          <w:t xml:space="preserve">Рисунок </w:t>
        </w:r>
        <w:r>
          <w:rPr>
            <w:rFonts w:ascii="Calibri" w:hAnsi="Calibri"/>
            <w:sz w:val="22"/>
            <w:szCs w:val="22"/>
          </w:rPr>
          <w:tab/>
        </w:r>
        <w:r>
          <w:rPr>
            <w:rStyle w:val="1020"/>
          </w:rPr>
          <w:t xml:space="preserve">105. ЭФ документа «Казначейское обеспечение обязательств», закладки «Документ (1)»</w:t>
        </w:r>
        <w:r>
          <w:tab/>
        </w:r>
        <w:r>
          <w:fldChar w:fldCharType="begin"/>
        </w:r>
        <w:r>
          <w:instrText xml:space="preserve"> PAGEREF _Toc88819490 \h </w:instrText>
        </w:r>
        <w:r/>
        <w:r>
          <w:fldChar w:fldCharType="separate"/>
        </w:r>
        <w:r>
          <w:t xml:space="preserve">228</w:t>
        </w:r>
        <w:r>
          <w:fldChar w:fldCharType="end"/>
        </w:r>
      </w:hyperlink>
      <w:r/>
      <w:r/>
    </w:p>
    <w:p>
      <w:pPr>
        <w:pStyle w:val="1152"/>
        <w:rPr>
          <w:rFonts w:ascii="Calibri" w:hAnsi="Calibri"/>
          <w:sz w:val="22"/>
          <w:szCs w:val="22"/>
        </w:rPr>
      </w:pPr>
      <w:r/>
      <w:hyperlink w:tooltip="#_Toc88819491" w:anchor="_Toc88819491" w:history="1">
        <w:r>
          <w:rPr>
            <w:rStyle w:val="1020"/>
          </w:rPr>
          <w:t xml:space="preserve">Рисунок </w:t>
        </w:r>
        <w:r>
          <w:rPr>
            <w:rFonts w:ascii="Calibri" w:hAnsi="Calibri"/>
            <w:sz w:val="22"/>
            <w:szCs w:val="22"/>
          </w:rPr>
          <w:tab/>
        </w:r>
        <w:r>
          <w:rPr>
            <w:rStyle w:val="1020"/>
          </w:rPr>
          <w:t xml:space="preserve">106. ЭФ документа «Казначейское обеспечение обязательств», закладки «Реквизиты (2)»</w:t>
        </w:r>
        <w:r>
          <w:tab/>
        </w:r>
        <w:r>
          <w:fldChar w:fldCharType="begin"/>
        </w:r>
        <w:r>
          <w:instrText xml:space="preserve"> PAGEREF _Toc88819491 \h </w:instrText>
        </w:r>
        <w:r/>
        <w:r>
          <w:fldChar w:fldCharType="separate"/>
        </w:r>
        <w:r>
          <w:t xml:space="preserve">230</w:t>
        </w:r>
        <w:r>
          <w:fldChar w:fldCharType="end"/>
        </w:r>
      </w:hyperlink>
      <w:r/>
      <w:r/>
    </w:p>
    <w:p>
      <w:pPr>
        <w:pStyle w:val="1152"/>
        <w:rPr>
          <w:rFonts w:ascii="Calibri" w:hAnsi="Calibri"/>
          <w:sz w:val="22"/>
          <w:szCs w:val="22"/>
        </w:rPr>
      </w:pPr>
      <w:r/>
      <w:hyperlink w:tooltip="#_Toc88819492" w:anchor="_Toc88819492" w:history="1">
        <w:r>
          <w:rPr>
            <w:rStyle w:val="1020"/>
          </w:rPr>
          <w:t xml:space="preserve">Рисунок </w:t>
        </w:r>
        <w:r>
          <w:rPr>
            <w:rFonts w:ascii="Calibri" w:hAnsi="Calibri"/>
            <w:sz w:val="22"/>
            <w:szCs w:val="22"/>
          </w:rPr>
          <w:tab/>
        </w:r>
        <w:r>
          <w:rPr>
            <w:rStyle w:val="1020"/>
          </w:rPr>
          <w:t xml:space="preserve">107. ЭФ документа «Казначейское обеспечение обязательств», закладки «Сведения о казначейском обеспечении обязательств (3)»</w:t>
        </w:r>
        <w:r>
          <w:tab/>
        </w:r>
        <w:r>
          <w:fldChar w:fldCharType="begin"/>
        </w:r>
        <w:r>
          <w:instrText xml:space="preserve"> PAGEREF _Toc88819492 \h </w:instrText>
        </w:r>
        <w:r/>
        <w:r>
          <w:fldChar w:fldCharType="separate"/>
        </w:r>
        <w:r>
          <w:t xml:space="preserve">232</w:t>
        </w:r>
        <w:r>
          <w:fldChar w:fldCharType="end"/>
        </w:r>
      </w:hyperlink>
      <w:r/>
      <w:r/>
    </w:p>
    <w:p>
      <w:pPr>
        <w:pStyle w:val="1152"/>
        <w:rPr>
          <w:rFonts w:ascii="Calibri" w:hAnsi="Calibri"/>
          <w:sz w:val="22"/>
          <w:szCs w:val="22"/>
        </w:rPr>
      </w:pPr>
      <w:r/>
      <w:hyperlink w:tooltip="#_Toc88819493" w:anchor="_Toc88819493" w:history="1">
        <w:r>
          <w:rPr>
            <w:rStyle w:val="1020"/>
          </w:rPr>
          <w:t xml:space="preserve">Рисунок </w:t>
        </w:r>
        <w:r>
          <w:rPr>
            <w:rFonts w:ascii="Calibri" w:hAnsi="Calibri"/>
            <w:sz w:val="22"/>
            <w:szCs w:val="22"/>
          </w:rPr>
          <w:tab/>
        </w:r>
        <w:r>
          <w:rPr>
            <w:rStyle w:val="1020"/>
          </w:rPr>
          <w:t xml:space="preserve">108. ЭФ документа «Казначейское обеспечение обязательств», закладки «Подписи (4)»</w:t>
        </w:r>
        <w:r>
          <w:tab/>
        </w:r>
        <w:r>
          <w:fldChar w:fldCharType="begin"/>
        </w:r>
        <w:r>
          <w:instrText xml:space="preserve"> PAGEREF _Toc88819493 \h </w:instrText>
        </w:r>
        <w:r/>
        <w:r>
          <w:fldChar w:fldCharType="separate"/>
        </w:r>
        <w:r>
          <w:t xml:space="preserve">234</w:t>
        </w:r>
        <w:r>
          <w:fldChar w:fldCharType="end"/>
        </w:r>
      </w:hyperlink>
      <w:r/>
      <w:r/>
    </w:p>
    <w:p>
      <w:pPr>
        <w:pStyle w:val="1152"/>
        <w:rPr>
          <w:rFonts w:ascii="Calibri" w:hAnsi="Calibri"/>
          <w:sz w:val="22"/>
          <w:szCs w:val="22"/>
        </w:rPr>
      </w:pPr>
      <w:r/>
      <w:hyperlink w:tooltip="#_Toc88819494" w:anchor="_Toc88819494" w:history="1">
        <w:r>
          <w:rPr>
            <w:rStyle w:val="1020"/>
          </w:rPr>
          <w:t xml:space="preserve">Рисунок </w:t>
        </w:r>
        <w:r>
          <w:rPr>
            <w:rFonts w:ascii="Calibri" w:hAnsi="Calibri"/>
            <w:sz w:val="22"/>
            <w:szCs w:val="22"/>
          </w:rPr>
          <w:tab/>
        </w:r>
        <w:r>
          <w:rPr>
            <w:rStyle w:val="1020"/>
          </w:rPr>
          <w:t xml:space="preserve">109. ЭФ документа «Казначейское обеспечение обязательств», закладки «Дополнительные атрибуты (5)»</w:t>
        </w:r>
        <w:r>
          <w:tab/>
        </w:r>
        <w:r>
          <w:fldChar w:fldCharType="begin"/>
        </w:r>
        <w:r>
          <w:instrText xml:space="preserve"> PAGEREF _Toc88819494 \h </w:instrText>
        </w:r>
        <w:r/>
        <w:r>
          <w:fldChar w:fldCharType="separate"/>
        </w:r>
        <w:r>
          <w:t xml:space="preserve">234</w:t>
        </w:r>
        <w:r>
          <w:fldChar w:fldCharType="end"/>
        </w:r>
      </w:hyperlink>
      <w:r/>
      <w:r/>
    </w:p>
    <w:p>
      <w:pPr>
        <w:pStyle w:val="1152"/>
        <w:rPr>
          <w:rFonts w:ascii="Calibri" w:hAnsi="Calibri"/>
          <w:sz w:val="22"/>
          <w:szCs w:val="22"/>
        </w:rPr>
      </w:pPr>
      <w:r/>
      <w:hyperlink w:tooltip="#_Toc88819495" w:anchor="_Toc88819495" w:history="1">
        <w:r>
          <w:rPr>
            <w:rStyle w:val="1020"/>
          </w:rPr>
          <w:t xml:space="preserve">Рисунок </w:t>
        </w:r>
        <w:r>
          <w:rPr>
            <w:rFonts w:ascii="Calibri" w:hAnsi="Calibri"/>
            <w:sz w:val="22"/>
            <w:szCs w:val="22"/>
          </w:rPr>
          <w:tab/>
        </w:r>
        <w:r>
          <w:rPr>
            <w:rStyle w:val="1020"/>
          </w:rPr>
          <w:t xml:space="preserve">110. ЭФ списка документов «Сведения о денежном обязательстве (исходящие)»</w:t>
        </w:r>
        <w:r>
          <w:tab/>
        </w:r>
        <w:r>
          <w:fldChar w:fldCharType="begin"/>
        </w:r>
        <w:r>
          <w:instrText xml:space="preserve"> PAGEREF _Toc88819495 \h </w:instrText>
        </w:r>
        <w:r/>
        <w:r>
          <w:fldChar w:fldCharType="separate"/>
        </w:r>
        <w:r>
          <w:t xml:space="preserve">236</w:t>
        </w:r>
        <w:r>
          <w:fldChar w:fldCharType="end"/>
        </w:r>
      </w:hyperlink>
      <w:r/>
      <w:r/>
    </w:p>
    <w:p>
      <w:pPr>
        <w:pStyle w:val="1152"/>
        <w:rPr>
          <w:rFonts w:ascii="Calibri" w:hAnsi="Calibri"/>
          <w:sz w:val="22"/>
          <w:szCs w:val="22"/>
        </w:rPr>
      </w:pPr>
      <w:r/>
      <w:hyperlink w:tooltip="#_Toc88819496" w:anchor="_Toc88819496" w:history="1">
        <w:r>
          <w:rPr>
            <w:rStyle w:val="1020"/>
          </w:rPr>
          <w:t xml:space="preserve">Рисунок </w:t>
        </w:r>
        <w:r>
          <w:rPr>
            <w:rFonts w:ascii="Calibri" w:hAnsi="Calibri"/>
            <w:sz w:val="22"/>
            <w:szCs w:val="22"/>
          </w:rPr>
          <w:tab/>
        </w:r>
        <w:r>
          <w:rPr>
            <w:rStyle w:val="1020"/>
          </w:rPr>
          <w:t xml:space="preserve">111. Окно «Поиск…»</w:t>
        </w:r>
        <w:r>
          <w:tab/>
        </w:r>
        <w:r>
          <w:fldChar w:fldCharType="begin"/>
        </w:r>
        <w:r>
          <w:instrText xml:space="preserve"> PAGEREF _Toc88819496 \h </w:instrText>
        </w:r>
        <w:r/>
        <w:r>
          <w:fldChar w:fldCharType="separate"/>
        </w:r>
        <w:r>
          <w:t xml:space="preserve">237</w:t>
        </w:r>
        <w:r>
          <w:fldChar w:fldCharType="end"/>
        </w:r>
      </w:hyperlink>
      <w:r/>
      <w:r/>
    </w:p>
    <w:p>
      <w:pPr>
        <w:pStyle w:val="1152"/>
        <w:rPr>
          <w:rFonts w:ascii="Calibri" w:hAnsi="Calibri"/>
          <w:sz w:val="22"/>
          <w:szCs w:val="22"/>
        </w:rPr>
      </w:pPr>
      <w:r/>
      <w:hyperlink w:tooltip="#_Toc88819497" w:anchor="_Toc88819497" w:history="1">
        <w:r>
          <w:rPr>
            <w:rStyle w:val="1020"/>
          </w:rPr>
          <w:t xml:space="preserve">Рисунок </w:t>
        </w:r>
        <w:r>
          <w:rPr>
            <w:rFonts w:ascii="Calibri" w:hAnsi="Calibri"/>
            <w:sz w:val="22"/>
            <w:szCs w:val="22"/>
          </w:rPr>
          <w:tab/>
        </w:r>
        <w:r>
          <w:rPr>
            <w:rStyle w:val="1020"/>
          </w:rPr>
          <w:t xml:space="preserve">112. Окно «Выбор родительского документа» для документов типа «Сведения о денежном обязательстве»</w:t>
        </w:r>
        <w:r>
          <w:tab/>
        </w:r>
        <w:r>
          <w:fldChar w:fldCharType="begin"/>
        </w:r>
        <w:r>
          <w:instrText xml:space="preserve"> PAGEREF _Toc88819497 \h </w:instrText>
        </w:r>
        <w:r/>
        <w:r>
          <w:fldChar w:fldCharType="separate"/>
        </w:r>
        <w:r>
          <w:t xml:space="preserve">237</w:t>
        </w:r>
        <w:r>
          <w:fldChar w:fldCharType="end"/>
        </w:r>
      </w:hyperlink>
      <w:r/>
      <w:r/>
    </w:p>
    <w:p>
      <w:pPr>
        <w:pStyle w:val="1152"/>
        <w:rPr>
          <w:rFonts w:ascii="Calibri" w:hAnsi="Calibri"/>
          <w:sz w:val="22"/>
          <w:szCs w:val="22"/>
        </w:rPr>
      </w:pPr>
      <w:r/>
      <w:hyperlink w:tooltip="#_Toc88819498" w:anchor="_Toc88819498" w:history="1">
        <w:r>
          <w:rPr>
            <w:rStyle w:val="1020"/>
          </w:rPr>
          <w:t xml:space="preserve">Рисунок </w:t>
        </w:r>
        <w:r>
          <w:rPr>
            <w:rFonts w:ascii="Calibri" w:hAnsi="Calibri"/>
            <w:sz w:val="22"/>
            <w:szCs w:val="22"/>
          </w:rPr>
          <w:tab/>
        </w:r>
        <w:r>
          <w:rPr>
            <w:rStyle w:val="1020"/>
          </w:rPr>
          <w:t xml:space="preserve">113. ЭФ документа «Сведения о денежном обязательстве», закладки «Заголовок»</w:t>
        </w:r>
        <w:r>
          <w:tab/>
        </w:r>
        <w:r>
          <w:fldChar w:fldCharType="begin"/>
        </w:r>
        <w:r>
          <w:instrText xml:space="preserve"> PAGEREF _Toc88819498 \h </w:instrText>
        </w:r>
        <w:r/>
        <w:r>
          <w:fldChar w:fldCharType="separate"/>
        </w:r>
        <w:r>
          <w:t xml:space="preserve">238</w:t>
        </w:r>
        <w:r>
          <w:fldChar w:fldCharType="end"/>
        </w:r>
      </w:hyperlink>
      <w:r/>
      <w:r/>
    </w:p>
    <w:p>
      <w:pPr>
        <w:pStyle w:val="1152"/>
        <w:rPr>
          <w:rFonts w:ascii="Calibri" w:hAnsi="Calibri"/>
          <w:sz w:val="22"/>
          <w:szCs w:val="22"/>
        </w:rPr>
      </w:pPr>
      <w:r/>
      <w:hyperlink w:tooltip="#_Toc88819499" w:anchor="_Toc88819499" w:history="1">
        <w:r>
          <w:rPr>
            <w:rStyle w:val="1020"/>
          </w:rPr>
          <w:t xml:space="preserve">Рисунок </w:t>
        </w:r>
        <w:r>
          <w:rPr>
            <w:rFonts w:ascii="Calibri" w:hAnsi="Calibri"/>
            <w:sz w:val="22"/>
            <w:szCs w:val="22"/>
          </w:rPr>
          <w:tab/>
        </w:r>
        <w:r>
          <w:rPr>
            <w:rStyle w:val="1020"/>
          </w:rPr>
          <w:t xml:space="preserve">114. ЭФ документа «Сведения о денежном обязательстве», закладки «Строки (2)»</w:t>
        </w:r>
        <w:r>
          <w:tab/>
        </w:r>
        <w:r>
          <w:fldChar w:fldCharType="begin"/>
        </w:r>
        <w:r>
          <w:instrText xml:space="preserve"> PAGEREF _Toc88819499 \h </w:instrText>
        </w:r>
        <w:r/>
        <w:r>
          <w:fldChar w:fldCharType="separate"/>
        </w:r>
        <w:r>
          <w:t xml:space="preserve">241</w:t>
        </w:r>
        <w:r>
          <w:fldChar w:fldCharType="end"/>
        </w:r>
      </w:hyperlink>
      <w:r/>
      <w:r/>
    </w:p>
    <w:p>
      <w:pPr>
        <w:pStyle w:val="1152"/>
        <w:rPr>
          <w:rFonts w:ascii="Calibri" w:hAnsi="Calibri"/>
          <w:sz w:val="22"/>
          <w:szCs w:val="22"/>
        </w:rPr>
      </w:pPr>
      <w:r/>
      <w:hyperlink w:tooltip="#_Toc88819500" w:anchor="_Toc88819500" w:history="1">
        <w:r>
          <w:rPr>
            <w:rStyle w:val="1020"/>
          </w:rPr>
          <w:t xml:space="preserve">Рисунок </w:t>
        </w:r>
        <w:r>
          <w:rPr>
            <w:rFonts w:ascii="Calibri" w:hAnsi="Calibri"/>
            <w:sz w:val="22"/>
            <w:szCs w:val="22"/>
          </w:rPr>
          <w:tab/>
        </w:r>
        <w:r>
          <w:rPr>
            <w:rStyle w:val="1020"/>
          </w:rPr>
          <w:t xml:space="preserve">115. ЭФ документа «Сведения о денежном обязательстве», закладки «Подписи (3)»</w:t>
        </w:r>
        <w:r>
          <w:tab/>
        </w:r>
        <w:r>
          <w:fldChar w:fldCharType="begin"/>
        </w:r>
        <w:r>
          <w:instrText xml:space="preserve"> PAGEREF _Toc88819500 \h </w:instrText>
        </w:r>
        <w:r/>
        <w:r>
          <w:fldChar w:fldCharType="separate"/>
        </w:r>
        <w:r>
          <w:t xml:space="preserve">243</w:t>
        </w:r>
        <w:r>
          <w:fldChar w:fldCharType="end"/>
        </w:r>
      </w:hyperlink>
      <w:r/>
      <w:r/>
    </w:p>
    <w:p>
      <w:pPr>
        <w:pStyle w:val="1152"/>
        <w:rPr>
          <w:rFonts w:ascii="Calibri" w:hAnsi="Calibri"/>
          <w:sz w:val="22"/>
          <w:szCs w:val="22"/>
        </w:rPr>
      </w:pPr>
      <w:r/>
      <w:hyperlink w:tooltip="#_Toc88819501" w:anchor="_Toc88819501" w:history="1">
        <w:r>
          <w:rPr>
            <w:rStyle w:val="1020"/>
          </w:rPr>
          <w:t xml:space="preserve">Рисунок </w:t>
        </w:r>
        <w:r>
          <w:rPr>
            <w:rFonts w:ascii="Calibri" w:hAnsi="Calibri"/>
            <w:sz w:val="22"/>
            <w:szCs w:val="22"/>
          </w:rPr>
          <w:tab/>
        </w:r>
        <w:r>
          <w:rPr>
            <w:rStyle w:val="1020"/>
          </w:rPr>
          <w:t xml:space="preserve">116. ЭФ списка документов «Прогноз движения средств на счете бюджета (ф. 05010Y3)»</w:t>
        </w:r>
        <w:r>
          <w:tab/>
        </w:r>
        <w:r>
          <w:fldChar w:fldCharType="begin"/>
        </w:r>
        <w:r>
          <w:instrText xml:space="preserve"> PAGEREF _Toc88819501 \h </w:instrText>
        </w:r>
        <w:r/>
        <w:r>
          <w:fldChar w:fldCharType="separate"/>
        </w:r>
        <w:r>
          <w:t xml:space="preserve">244</w:t>
        </w:r>
        <w:r>
          <w:fldChar w:fldCharType="end"/>
        </w:r>
      </w:hyperlink>
      <w:r/>
      <w:r/>
    </w:p>
    <w:p>
      <w:pPr>
        <w:pStyle w:val="1152"/>
        <w:rPr>
          <w:rFonts w:ascii="Calibri" w:hAnsi="Calibri"/>
          <w:sz w:val="22"/>
          <w:szCs w:val="22"/>
        </w:rPr>
      </w:pPr>
      <w:r/>
      <w:hyperlink w:tooltip="#_Toc88819502" w:anchor="_Toc88819502" w:history="1">
        <w:r>
          <w:rPr>
            <w:rStyle w:val="1020"/>
          </w:rPr>
          <w:t xml:space="preserve">Рисунок </w:t>
        </w:r>
        <w:r>
          <w:rPr>
            <w:rFonts w:ascii="Calibri" w:hAnsi="Calibri"/>
            <w:sz w:val="22"/>
            <w:szCs w:val="22"/>
          </w:rPr>
          <w:tab/>
        </w:r>
        <w:r>
          <w:rPr>
            <w:rStyle w:val="1020"/>
          </w:rPr>
          <w:t xml:space="preserve">117. ЭФ документа «Прогноз движения средств на счете бюджета (ф. 05010Y3)», закладки «Основная информация»</w:t>
        </w:r>
        <w:r>
          <w:tab/>
        </w:r>
        <w:r>
          <w:fldChar w:fldCharType="begin"/>
        </w:r>
        <w:r>
          <w:instrText xml:space="preserve"> PAGEREF _Toc88819502 \h </w:instrText>
        </w:r>
        <w:r/>
        <w:r>
          <w:fldChar w:fldCharType="separate"/>
        </w:r>
        <w:r>
          <w:t xml:space="preserve">245</w:t>
        </w:r>
        <w:r>
          <w:fldChar w:fldCharType="end"/>
        </w:r>
      </w:hyperlink>
      <w:r/>
      <w:r/>
    </w:p>
    <w:p>
      <w:pPr>
        <w:pStyle w:val="1152"/>
        <w:rPr>
          <w:rFonts w:ascii="Calibri" w:hAnsi="Calibri"/>
          <w:sz w:val="22"/>
          <w:szCs w:val="22"/>
        </w:rPr>
      </w:pPr>
      <w:r/>
      <w:hyperlink w:tooltip="#_Toc88819503" w:anchor="_Toc88819503" w:history="1">
        <w:r>
          <w:rPr>
            <w:rStyle w:val="1020"/>
          </w:rPr>
          <w:t xml:space="preserve">Рисунок </w:t>
        </w:r>
        <w:r>
          <w:rPr>
            <w:rFonts w:ascii="Calibri" w:hAnsi="Calibri"/>
            <w:sz w:val="22"/>
            <w:szCs w:val="22"/>
          </w:rPr>
          <w:tab/>
        </w:r>
        <w:r>
          <w:rPr>
            <w:rStyle w:val="1020"/>
          </w:rPr>
          <w:t xml:space="preserve">118. ЭФ документа «Прогноз движения средств на счете бюджета (ф. 05010Y3)», закладки «Показатели»</w:t>
        </w:r>
        <w:r>
          <w:tab/>
        </w:r>
        <w:r>
          <w:fldChar w:fldCharType="begin"/>
        </w:r>
        <w:r>
          <w:instrText xml:space="preserve"> PAGEREF _Toc88819503 \h </w:instrText>
        </w:r>
        <w:r/>
        <w:r>
          <w:fldChar w:fldCharType="separate"/>
        </w:r>
        <w:r>
          <w:t xml:space="preserve">247</w:t>
        </w:r>
        <w:r>
          <w:fldChar w:fldCharType="end"/>
        </w:r>
      </w:hyperlink>
      <w:r/>
      <w:r/>
    </w:p>
    <w:p>
      <w:pPr>
        <w:pStyle w:val="1152"/>
        <w:rPr>
          <w:rFonts w:ascii="Calibri" w:hAnsi="Calibri"/>
          <w:sz w:val="22"/>
          <w:szCs w:val="22"/>
        </w:rPr>
      </w:pPr>
      <w:r/>
      <w:hyperlink w:tooltip="#_Toc88819504" w:anchor="_Toc88819504" w:history="1">
        <w:r>
          <w:rPr>
            <w:rStyle w:val="1020"/>
          </w:rPr>
          <w:t xml:space="preserve">Рисунок </w:t>
        </w:r>
        <w:r>
          <w:rPr>
            <w:rFonts w:ascii="Calibri" w:hAnsi="Calibri"/>
            <w:sz w:val="22"/>
            <w:szCs w:val="22"/>
          </w:rPr>
          <w:tab/>
        </w:r>
        <w:r>
          <w:rPr>
            <w:rStyle w:val="1020"/>
          </w:rPr>
          <w:t xml:space="preserve">119. ЭФ списка документов «Прогноз движения средств на счете бюджета с детализацией по дням (ф. 05010X4)»</w:t>
        </w:r>
        <w:r>
          <w:tab/>
        </w:r>
        <w:r>
          <w:fldChar w:fldCharType="begin"/>
        </w:r>
        <w:r>
          <w:instrText xml:space="preserve"> PAGEREF _Toc88819504 \h </w:instrText>
        </w:r>
        <w:r/>
        <w:r>
          <w:fldChar w:fldCharType="separate"/>
        </w:r>
        <w:r>
          <w:t xml:space="preserve">265</w:t>
        </w:r>
        <w:r>
          <w:fldChar w:fldCharType="end"/>
        </w:r>
      </w:hyperlink>
      <w:r/>
      <w:r/>
    </w:p>
    <w:p>
      <w:pPr>
        <w:pStyle w:val="1152"/>
        <w:rPr>
          <w:rFonts w:ascii="Calibri" w:hAnsi="Calibri"/>
          <w:sz w:val="22"/>
          <w:szCs w:val="22"/>
        </w:rPr>
      </w:pPr>
      <w:r/>
      <w:hyperlink w:tooltip="#_Toc88819505" w:anchor="_Toc88819505" w:history="1">
        <w:r>
          <w:rPr>
            <w:rStyle w:val="1020"/>
          </w:rPr>
          <w:t xml:space="preserve">Рисунок </w:t>
        </w:r>
        <w:r>
          <w:rPr>
            <w:rFonts w:ascii="Calibri" w:hAnsi="Calibri"/>
            <w:sz w:val="22"/>
            <w:szCs w:val="22"/>
          </w:rPr>
          <w:tab/>
        </w:r>
        <w:r>
          <w:rPr>
            <w:rStyle w:val="1020"/>
          </w:rPr>
          <w:t xml:space="preserve">120. ЭФ документа «Прогноз движения средств на счете бюджета с детализацией по дням (ф. 05010X4)», закладки «Общая информация»</w:t>
        </w:r>
        <w:r>
          <w:tab/>
        </w:r>
        <w:r>
          <w:fldChar w:fldCharType="begin"/>
        </w:r>
        <w:r>
          <w:instrText xml:space="preserve"> PAGEREF _Toc88819505 \h </w:instrText>
        </w:r>
        <w:r/>
        <w:r>
          <w:fldChar w:fldCharType="separate"/>
        </w:r>
        <w:r>
          <w:t xml:space="preserve">266</w:t>
        </w:r>
        <w:r>
          <w:fldChar w:fldCharType="end"/>
        </w:r>
      </w:hyperlink>
      <w:r/>
      <w:r/>
    </w:p>
    <w:p>
      <w:pPr>
        <w:pStyle w:val="1152"/>
        <w:rPr>
          <w:rFonts w:ascii="Calibri" w:hAnsi="Calibri"/>
          <w:sz w:val="22"/>
          <w:szCs w:val="22"/>
        </w:rPr>
      </w:pPr>
      <w:r/>
      <w:hyperlink w:tooltip="#_Toc88819506" w:anchor="_Toc88819506" w:history="1">
        <w:r>
          <w:rPr>
            <w:rStyle w:val="1020"/>
          </w:rPr>
          <w:t xml:space="preserve">Рисунок </w:t>
        </w:r>
        <w:r>
          <w:rPr>
            <w:rFonts w:ascii="Calibri" w:hAnsi="Calibri"/>
            <w:sz w:val="22"/>
            <w:szCs w:val="22"/>
          </w:rPr>
          <w:tab/>
        </w:r>
        <w:r>
          <w:rPr>
            <w:rStyle w:val="1020"/>
          </w:rPr>
          <w:t xml:space="preserve">121. ЭФ документа «Прогноз движения средств на счете бюджета с детализацией по дням (ф. 05010X4)», закладки «Показатели»</w:t>
        </w:r>
        <w:r>
          <w:tab/>
        </w:r>
        <w:r>
          <w:fldChar w:fldCharType="begin"/>
        </w:r>
        <w:r>
          <w:instrText xml:space="preserve"> PAGEREF _Toc88819506 \h </w:instrText>
        </w:r>
        <w:r/>
        <w:r>
          <w:fldChar w:fldCharType="separate"/>
        </w:r>
        <w:r>
          <w:t xml:space="preserve">268</w:t>
        </w:r>
        <w:r>
          <w:fldChar w:fldCharType="end"/>
        </w:r>
      </w:hyperlink>
      <w:r/>
      <w:r/>
    </w:p>
    <w:p>
      <w:pPr>
        <w:pStyle w:val="1152"/>
        <w:rPr>
          <w:rFonts w:ascii="Calibri" w:hAnsi="Calibri"/>
          <w:sz w:val="22"/>
          <w:szCs w:val="22"/>
        </w:rPr>
      </w:pPr>
      <w:r/>
      <w:hyperlink w:tooltip="#_Toc88819507" w:anchor="_Toc88819507" w:history="1">
        <w:r>
          <w:rPr>
            <w:rStyle w:val="1020"/>
          </w:rPr>
          <w:t xml:space="preserve">Рисунок </w:t>
        </w:r>
        <w:r>
          <w:rPr>
            <w:rFonts w:ascii="Calibri" w:hAnsi="Calibri"/>
            <w:sz w:val="22"/>
            <w:szCs w:val="22"/>
          </w:rPr>
          <w:tab/>
        </w:r>
        <w:r>
          <w:rPr>
            <w:rStyle w:val="1020"/>
          </w:rPr>
          <w:t xml:space="preserve">122. ЭФ списка документов «Уведомление об уточнении вида и принадлежности платежа (расходы)»</w:t>
        </w:r>
        <w:r>
          <w:tab/>
        </w:r>
        <w:r>
          <w:fldChar w:fldCharType="begin"/>
        </w:r>
        <w:r>
          <w:instrText xml:space="preserve"> PAGEREF _Toc88819507 \h </w:instrText>
        </w:r>
        <w:r/>
        <w:r>
          <w:fldChar w:fldCharType="separate"/>
        </w:r>
        <w:r>
          <w:t xml:space="preserve">274</w:t>
        </w:r>
        <w:r>
          <w:fldChar w:fldCharType="end"/>
        </w:r>
      </w:hyperlink>
      <w:r/>
      <w:r/>
    </w:p>
    <w:p>
      <w:pPr>
        <w:pStyle w:val="1152"/>
        <w:rPr>
          <w:rFonts w:ascii="Calibri" w:hAnsi="Calibri"/>
          <w:sz w:val="22"/>
          <w:szCs w:val="22"/>
        </w:rPr>
      </w:pPr>
      <w:r/>
      <w:hyperlink w:tooltip="#_Toc88819508" w:anchor="_Toc88819508" w:history="1">
        <w:r>
          <w:rPr>
            <w:rStyle w:val="1020"/>
          </w:rPr>
          <w:t xml:space="preserve">Рисунок </w:t>
        </w:r>
        <w:r>
          <w:rPr>
            <w:rFonts w:ascii="Calibri" w:hAnsi="Calibri"/>
            <w:sz w:val="22"/>
            <w:szCs w:val="22"/>
          </w:rPr>
          <w:tab/>
        </w:r>
        <w:r>
          <w:rPr>
            <w:rStyle w:val="1020"/>
          </w:rPr>
          <w:t xml:space="preserve">123. Окно «Выбор записи из справочника» для документов типа «Заявка на возврат»</w:t>
        </w:r>
        <w:r>
          <w:tab/>
        </w:r>
        <w:r>
          <w:fldChar w:fldCharType="begin"/>
        </w:r>
        <w:r>
          <w:instrText xml:space="preserve"> PAGEREF _Toc88819508 \h </w:instrText>
        </w:r>
        <w:r/>
        <w:r>
          <w:fldChar w:fldCharType="separate"/>
        </w:r>
        <w:r>
          <w:t xml:space="preserve">275</w:t>
        </w:r>
        <w:r>
          <w:fldChar w:fldCharType="end"/>
        </w:r>
      </w:hyperlink>
      <w:r/>
      <w:r/>
    </w:p>
    <w:p>
      <w:pPr>
        <w:pStyle w:val="1152"/>
        <w:rPr>
          <w:rFonts w:ascii="Calibri" w:hAnsi="Calibri"/>
          <w:sz w:val="22"/>
          <w:szCs w:val="22"/>
        </w:rPr>
      </w:pPr>
      <w:r/>
      <w:hyperlink w:tooltip="#_Toc88819509" w:anchor="_Toc88819509" w:history="1">
        <w:r>
          <w:rPr>
            <w:rStyle w:val="1020"/>
          </w:rPr>
          <w:t xml:space="preserve">Рисунок </w:t>
        </w:r>
        <w:r>
          <w:rPr>
            <w:rFonts w:ascii="Calibri" w:hAnsi="Calibri"/>
            <w:sz w:val="22"/>
            <w:szCs w:val="22"/>
          </w:rPr>
          <w:tab/>
        </w:r>
        <w:r>
          <w:rPr>
            <w:rStyle w:val="1020"/>
          </w:rPr>
          <w:t xml:space="preserve">124. ЭФ документа «Уведомление об уточнении вида и принадлежности платежа», закладки «Документ», вкладки «Основные атрибуты (1)»</w:t>
        </w:r>
        <w:r>
          <w:tab/>
        </w:r>
        <w:r>
          <w:fldChar w:fldCharType="begin"/>
        </w:r>
        <w:r>
          <w:instrText xml:space="preserve"> PAGEREF _Toc88819509 \h </w:instrText>
        </w:r>
        <w:r/>
        <w:r>
          <w:fldChar w:fldCharType="separate"/>
        </w:r>
        <w:r>
          <w:t xml:space="preserve">276</w:t>
        </w:r>
        <w:r>
          <w:fldChar w:fldCharType="end"/>
        </w:r>
      </w:hyperlink>
      <w:r/>
      <w:r/>
    </w:p>
    <w:p>
      <w:pPr>
        <w:pStyle w:val="1152"/>
        <w:rPr>
          <w:rFonts w:ascii="Calibri" w:hAnsi="Calibri"/>
          <w:sz w:val="22"/>
          <w:szCs w:val="22"/>
        </w:rPr>
      </w:pPr>
      <w:r/>
      <w:hyperlink w:tooltip="#_Toc88819510" w:anchor="_Toc88819510" w:history="1">
        <w:r>
          <w:rPr>
            <w:rStyle w:val="1020"/>
          </w:rPr>
          <w:t xml:space="preserve">Рисунок </w:t>
        </w:r>
        <w:r>
          <w:rPr>
            <w:rFonts w:ascii="Calibri" w:hAnsi="Calibri"/>
            <w:sz w:val="22"/>
            <w:szCs w:val="22"/>
          </w:rPr>
          <w:tab/>
        </w:r>
        <w:r>
          <w:rPr>
            <w:rStyle w:val="1020"/>
          </w:rPr>
          <w:t xml:space="preserve">125. ЭФ документа «Уведомление об уточнении вида и принадлежности платежа (расходы)», закладки «Документ», вкладки «Платежные документы (2)»</w:t>
        </w:r>
        <w:r>
          <w:tab/>
        </w:r>
        <w:r>
          <w:fldChar w:fldCharType="begin"/>
        </w:r>
        <w:r>
          <w:instrText xml:space="preserve"> PAGEREF _Toc88819510 \h </w:instrText>
        </w:r>
        <w:r/>
        <w:r>
          <w:fldChar w:fldCharType="separate"/>
        </w:r>
        <w:r>
          <w:t xml:space="preserve">279</w:t>
        </w:r>
        <w:r>
          <w:fldChar w:fldCharType="end"/>
        </w:r>
      </w:hyperlink>
      <w:r/>
      <w:r/>
    </w:p>
    <w:p>
      <w:pPr>
        <w:pStyle w:val="1152"/>
        <w:rPr>
          <w:rFonts w:ascii="Calibri" w:hAnsi="Calibri"/>
          <w:sz w:val="22"/>
          <w:szCs w:val="22"/>
        </w:rPr>
      </w:pPr>
      <w:r/>
      <w:hyperlink w:tooltip="#_Toc88819511" w:anchor="_Toc88819511" w:history="1">
        <w:r>
          <w:rPr>
            <w:rStyle w:val="1020"/>
          </w:rPr>
          <w:t xml:space="preserve">Рисунок </w:t>
        </w:r>
        <w:r>
          <w:rPr>
            <w:rFonts w:ascii="Calibri" w:hAnsi="Calibri"/>
            <w:sz w:val="22"/>
            <w:szCs w:val="22"/>
          </w:rPr>
          <w:tab/>
        </w:r>
        <w:r>
          <w:rPr>
            <w:rStyle w:val="1020"/>
          </w:rPr>
          <w:t xml:space="preserve">126. Форма «Добавление записи» (в блок «Реквизиты платежного документа»)</w:t>
        </w:r>
        <w:r>
          <w:tab/>
        </w:r>
        <w:r>
          <w:fldChar w:fldCharType="begin"/>
        </w:r>
        <w:r>
          <w:instrText xml:space="preserve"> PAGEREF _Toc88819511 \h </w:instrText>
        </w:r>
        <w:r/>
        <w:r>
          <w:fldChar w:fldCharType="separate"/>
        </w:r>
        <w:r>
          <w:t xml:space="preserve">283</w:t>
        </w:r>
        <w:r>
          <w:fldChar w:fldCharType="end"/>
        </w:r>
      </w:hyperlink>
      <w:r/>
      <w:r/>
    </w:p>
    <w:p>
      <w:pPr>
        <w:pStyle w:val="1152"/>
        <w:rPr>
          <w:rFonts w:ascii="Calibri" w:hAnsi="Calibri"/>
          <w:sz w:val="22"/>
          <w:szCs w:val="22"/>
        </w:rPr>
      </w:pPr>
      <w:r/>
      <w:hyperlink w:tooltip="#_Toc88819512" w:anchor="_Toc88819512" w:history="1">
        <w:r>
          <w:rPr>
            <w:rStyle w:val="1020"/>
          </w:rPr>
          <w:t xml:space="preserve">Рисунок </w:t>
        </w:r>
        <w:r>
          <w:rPr>
            <w:rFonts w:ascii="Calibri" w:hAnsi="Calibri"/>
            <w:sz w:val="22"/>
            <w:szCs w:val="22"/>
          </w:rPr>
          <w:tab/>
        </w:r>
        <w:r>
          <w:rPr>
            <w:rStyle w:val="1020"/>
          </w:rPr>
          <w:t xml:space="preserve">127. Форма «Добавление записи» (в блок «Изменить на реквизиты»)</w:t>
        </w:r>
        <w:r>
          <w:tab/>
        </w:r>
        <w:r>
          <w:fldChar w:fldCharType="begin"/>
        </w:r>
        <w:r>
          <w:instrText xml:space="preserve"> PAGEREF _Toc88819512 \h </w:instrText>
        </w:r>
        <w:r/>
        <w:r>
          <w:fldChar w:fldCharType="separate"/>
        </w:r>
        <w:r>
          <w:t xml:space="preserve">283</w:t>
        </w:r>
        <w:r>
          <w:fldChar w:fldCharType="end"/>
        </w:r>
      </w:hyperlink>
      <w:r/>
      <w:r/>
    </w:p>
    <w:p>
      <w:pPr>
        <w:pStyle w:val="1152"/>
        <w:rPr>
          <w:rFonts w:ascii="Calibri" w:hAnsi="Calibri"/>
          <w:sz w:val="22"/>
          <w:szCs w:val="22"/>
        </w:rPr>
      </w:pPr>
      <w:r/>
      <w:hyperlink w:tooltip="#_Toc88819513" w:anchor="_Toc88819513" w:history="1">
        <w:r>
          <w:rPr>
            <w:rStyle w:val="1020"/>
          </w:rPr>
          <w:t xml:space="preserve">Рисунок </w:t>
        </w:r>
        <w:r>
          <w:rPr>
            <w:rFonts w:ascii="Calibri" w:hAnsi="Calibri"/>
            <w:sz w:val="22"/>
            <w:szCs w:val="22"/>
          </w:rPr>
          <w:tab/>
        </w:r>
        <w:r>
          <w:rPr>
            <w:rStyle w:val="1020"/>
          </w:rPr>
          <w:t xml:space="preserve">128. ЭФ документа «Уведомление об уточнении вида и принадлежности платежа (расходы)», закладки «Документ», вкладки «Дополнительные атрибуты (3)»</w:t>
        </w:r>
        <w:r>
          <w:tab/>
        </w:r>
        <w:r>
          <w:fldChar w:fldCharType="begin"/>
        </w:r>
        <w:r>
          <w:instrText xml:space="preserve"> PAGEREF _Toc88819513 \h </w:instrText>
        </w:r>
        <w:r/>
        <w:r>
          <w:fldChar w:fldCharType="separate"/>
        </w:r>
        <w:r>
          <w:t xml:space="preserve">284</w:t>
        </w:r>
        <w:r>
          <w:fldChar w:fldCharType="end"/>
        </w:r>
      </w:hyperlink>
      <w:r/>
      <w:r/>
    </w:p>
    <w:p>
      <w:pPr>
        <w:pStyle w:val="1152"/>
        <w:rPr>
          <w:rFonts w:ascii="Calibri" w:hAnsi="Calibri"/>
          <w:sz w:val="22"/>
          <w:szCs w:val="22"/>
        </w:rPr>
      </w:pPr>
      <w:r/>
      <w:hyperlink w:tooltip="#_Toc88819514" w:anchor="_Toc88819514" w:history="1">
        <w:r>
          <w:rPr>
            <w:rStyle w:val="1020"/>
          </w:rPr>
          <w:t xml:space="preserve">Рисунок </w:t>
        </w:r>
        <w:r>
          <w:rPr>
            <w:rFonts w:ascii="Calibri" w:hAnsi="Calibri"/>
            <w:sz w:val="22"/>
            <w:szCs w:val="22"/>
          </w:rPr>
          <w:tab/>
        </w:r>
        <w:r>
          <w:rPr>
            <w:rStyle w:val="1020"/>
          </w:rPr>
          <w:t xml:space="preserve">129. ЭФ списка документов «Уведомление об уточнении операций клиента»</w:t>
        </w:r>
        <w:r>
          <w:tab/>
        </w:r>
        <w:r>
          <w:fldChar w:fldCharType="begin"/>
        </w:r>
        <w:r>
          <w:instrText xml:space="preserve"> PAGEREF _Toc88819514 \h </w:instrText>
        </w:r>
        <w:r/>
        <w:r>
          <w:fldChar w:fldCharType="separate"/>
        </w:r>
        <w:r>
          <w:t xml:space="preserve">286</w:t>
        </w:r>
        <w:r>
          <w:fldChar w:fldCharType="end"/>
        </w:r>
      </w:hyperlink>
      <w:r/>
      <w:r/>
    </w:p>
    <w:p>
      <w:pPr>
        <w:pStyle w:val="1152"/>
        <w:rPr>
          <w:rFonts w:ascii="Calibri" w:hAnsi="Calibri"/>
          <w:sz w:val="22"/>
          <w:szCs w:val="22"/>
        </w:rPr>
      </w:pPr>
      <w:r/>
      <w:hyperlink w:tooltip="#_Toc88819515" w:anchor="_Toc88819515" w:history="1">
        <w:r>
          <w:rPr>
            <w:rStyle w:val="1020"/>
          </w:rPr>
          <w:t xml:space="preserve">Рисунок </w:t>
        </w:r>
        <w:r>
          <w:rPr>
            <w:rFonts w:ascii="Calibri" w:hAnsi="Calibri"/>
            <w:sz w:val="22"/>
            <w:szCs w:val="22"/>
          </w:rPr>
          <w:tab/>
        </w:r>
        <w:r>
          <w:rPr>
            <w:rStyle w:val="1020"/>
          </w:rPr>
          <w:t xml:space="preserve">130. ЭФ документа «Уведомление об уточнении операций клиента», закладки «Документ (1)»</w:t>
        </w:r>
        <w:r>
          <w:tab/>
        </w:r>
        <w:r>
          <w:fldChar w:fldCharType="begin"/>
        </w:r>
        <w:r>
          <w:instrText xml:space="preserve"> PAGEREF _Toc88819515 \h </w:instrText>
        </w:r>
        <w:r/>
        <w:r>
          <w:fldChar w:fldCharType="separate"/>
        </w:r>
        <w:r>
          <w:t xml:space="preserve">286</w:t>
        </w:r>
        <w:r>
          <w:fldChar w:fldCharType="end"/>
        </w:r>
      </w:hyperlink>
      <w:r/>
      <w:r/>
    </w:p>
    <w:p>
      <w:pPr>
        <w:pStyle w:val="1152"/>
        <w:rPr>
          <w:rFonts w:ascii="Calibri" w:hAnsi="Calibri"/>
          <w:sz w:val="22"/>
          <w:szCs w:val="22"/>
        </w:rPr>
      </w:pPr>
      <w:r/>
      <w:hyperlink w:tooltip="#_Toc88819516" w:anchor="_Toc88819516" w:history="1">
        <w:r>
          <w:rPr>
            <w:rStyle w:val="1020"/>
          </w:rPr>
          <w:t xml:space="preserve">Рисунок </w:t>
        </w:r>
        <w:r>
          <w:rPr>
            <w:rFonts w:ascii="Calibri" w:hAnsi="Calibri"/>
            <w:sz w:val="22"/>
            <w:szCs w:val="22"/>
          </w:rPr>
          <w:tab/>
        </w:r>
        <w:r>
          <w:rPr>
            <w:rStyle w:val="1020"/>
          </w:rPr>
          <w:t xml:space="preserve">131. ЭФ документа «Уведомление об уточнении операций клиента», закладки «Платежные документы (2)»</w:t>
        </w:r>
        <w:r>
          <w:tab/>
        </w:r>
        <w:r>
          <w:fldChar w:fldCharType="begin"/>
        </w:r>
        <w:r>
          <w:instrText xml:space="preserve"> PAGEREF _Toc88819516 \h </w:instrText>
        </w:r>
        <w:r/>
        <w:r>
          <w:fldChar w:fldCharType="separate"/>
        </w:r>
        <w:r>
          <w:t xml:space="preserve">288</w:t>
        </w:r>
        <w:r>
          <w:fldChar w:fldCharType="end"/>
        </w:r>
      </w:hyperlink>
      <w:r/>
      <w:r/>
    </w:p>
    <w:p>
      <w:pPr>
        <w:pStyle w:val="1152"/>
        <w:rPr>
          <w:rFonts w:ascii="Calibri" w:hAnsi="Calibri"/>
          <w:sz w:val="22"/>
          <w:szCs w:val="22"/>
        </w:rPr>
      </w:pPr>
      <w:r/>
      <w:hyperlink w:tooltip="#_Toc88819517" w:anchor="_Toc88819517" w:history="1">
        <w:r>
          <w:rPr>
            <w:rStyle w:val="1020"/>
          </w:rPr>
          <w:t xml:space="preserve">Рисунок </w:t>
        </w:r>
        <w:r>
          <w:rPr>
            <w:rFonts w:ascii="Calibri" w:hAnsi="Calibri"/>
            <w:sz w:val="22"/>
            <w:szCs w:val="22"/>
          </w:rPr>
          <w:tab/>
        </w:r>
        <w:r>
          <w:rPr>
            <w:rStyle w:val="1020"/>
          </w:rPr>
          <w:t xml:space="preserve">132. Форма «Добавление записи» (в блок «Реквизиты платежного документа»)</w:t>
        </w:r>
        <w:r>
          <w:tab/>
        </w:r>
        <w:r>
          <w:fldChar w:fldCharType="begin"/>
        </w:r>
        <w:r>
          <w:instrText xml:space="preserve"> PAGEREF _Toc88819517 \h </w:instrText>
        </w:r>
        <w:r/>
        <w:r>
          <w:fldChar w:fldCharType="separate"/>
        </w:r>
        <w:r>
          <w:t xml:space="preserve">291</w:t>
        </w:r>
        <w:r>
          <w:fldChar w:fldCharType="end"/>
        </w:r>
      </w:hyperlink>
      <w:r/>
      <w:r/>
    </w:p>
    <w:p>
      <w:pPr>
        <w:pStyle w:val="1152"/>
        <w:rPr>
          <w:rFonts w:ascii="Calibri" w:hAnsi="Calibri"/>
          <w:sz w:val="22"/>
          <w:szCs w:val="22"/>
        </w:rPr>
      </w:pPr>
      <w:r/>
      <w:hyperlink w:tooltip="#_Toc88819518" w:anchor="_Toc88819518" w:history="1">
        <w:r>
          <w:rPr>
            <w:rStyle w:val="1020"/>
          </w:rPr>
          <w:t xml:space="preserve">Рисунок </w:t>
        </w:r>
        <w:r>
          <w:rPr>
            <w:rFonts w:ascii="Calibri" w:hAnsi="Calibri"/>
            <w:sz w:val="22"/>
            <w:szCs w:val="22"/>
          </w:rPr>
          <w:tab/>
        </w:r>
        <w:r>
          <w:rPr>
            <w:rStyle w:val="1020"/>
          </w:rPr>
          <w:t xml:space="preserve">133. Форма «Добавление записи» (в блок «Изменить на реквизиты»)</w:t>
        </w:r>
        <w:r>
          <w:tab/>
        </w:r>
        <w:r>
          <w:fldChar w:fldCharType="begin"/>
        </w:r>
        <w:r>
          <w:instrText xml:space="preserve"> PAGEREF _Toc88819518 \h </w:instrText>
        </w:r>
        <w:r/>
        <w:r>
          <w:fldChar w:fldCharType="separate"/>
        </w:r>
        <w:r>
          <w:t xml:space="preserve">292</w:t>
        </w:r>
        <w:r>
          <w:fldChar w:fldCharType="end"/>
        </w:r>
      </w:hyperlink>
      <w:r/>
      <w:r/>
    </w:p>
    <w:p>
      <w:pPr>
        <w:pStyle w:val="1152"/>
        <w:rPr>
          <w:rFonts w:ascii="Calibri" w:hAnsi="Calibri"/>
          <w:sz w:val="22"/>
          <w:szCs w:val="22"/>
        </w:rPr>
      </w:pPr>
      <w:r/>
      <w:hyperlink w:tooltip="#_Toc88819519" w:anchor="_Toc88819519" w:history="1">
        <w:r>
          <w:rPr>
            <w:rStyle w:val="1020"/>
          </w:rPr>
          <w:t xml:space="preserve">Рисунок </w:t>
        </w:r>
        <w:r>
          <w:rPr>
            <w:rFonts w:ascii="Calibri" w:hAnsi="Calibri"/>
            <w:sz w:val="22"/>
            <w:szCs w:val="22"/>
          </w:rPr>
          <w:tab/>
        </w:r>
        <w:r>
          <w:rPr>
            <w:rStyle w:val="1020"/>
          </w:rPr>
          <w:t xml:space="preserve">134. ЭФ документа «Уведомление об уточнении операций клиента», закладки «Дополнительные атрибуты (3)»</w:t>
        </w:r>
        <w:r>
          <w:tab/>
        </w:r>
        <w:r>
          <w:fldChar w:fldCharType="begin"/>
        </w:r>
        <w:r>
          <w:instrText xml:space="preserve"> PAGEREF _Toc88819519 \h </w:instrText>
        </w:r>
        <w:r/>
        <w:r>
          <w:fldChar w:fldCharType="separate"/>
        </w:r>
        <w:r>
          <w:t xml:space="preserve">292</w:t>
        </w:r>
        <w:r>
          <w:fldChar w:fldCharType="end"/>
        </w:r>
      </w:hyperlink>
      <w:r/>
      <w:r/>
    </w:p>
    <w:p>
      <w:pPr>
        <w:pStyle w:val="1152"/>
        <w:rPr>
          <w:rFonts w:ascii="Calibri" w:hAnsi="Calibri"/>
          <w:sz w:val="22"/>
          <w:szCs w:val="22"/>
        </w:rPr>
      </w:pPr>
      <w:r/>
      <w:hyperlink w:tooltip="#_Toc88819520" w:anchor="_Toc88819520" w:history="1">
        <w:r>
          <w:rPr>
            <w:rStyle w:val="1020"/>
          </w:rPr>
          <w:t xml:space="preserve">Рисунок </w:t>
        </w:r>
        <w:r>
          <w:rPr>
            <w:rFonts w:ascii="Calibri" w:hAnsi="Calibri"/>
            <w:sz w:val="22"/>
            <w:szCs w:val="22"/>
          </w:rPr>
          <w:tab/>
        </w:r>
        <w:r>
          <w:rPr>
            <w:rStyle w:val="1020"/>
          </w:rPr>
          <w:t xml:space="preserve">135. ЭФ списка документов «Заявка на возврат»</w:t>
        </w:r>
        <w:r>
          <w:tab/>
        </w:r>
        <w:r>
          <w:fldChar w:fldCharType="begin"/>
        </w:r>
        <w:r>
          <w:instrText xml:space="preserve"> PAGEREF _Toc88819520 \h </w:instrText>
        </w:r>
        <w:r/>
        <w:r>
          <w:fldChar w:fldCharType="separate"/>
        </w:r>
        <w:r>
          <w:t xml:space="preserve">294</w:t>
        </w:r>
        <w:r>
          <w:fldChar w:fldCharType="end"/>
        </w:r>
      </w:hyperlink>
      <w:r/>
      <w:r/>
    </w:p>
    <w:p>
      <w:pPr>
        <w:pStyle w:val="1152"/>
        <w:rPr>
          <w:rFonts w:ascii="Calibri" w:hAnsi="Calibri"/>
          <w:sz w:val="22"/>
          <w:szCs w:val="22"/>
        </w:rPr>
      </w:pPr>
      <w:r/>
      <w:hyperlink w:tooltip="#_Toc88819521" w:anchor="_Toc88819521" w:history="1">
        <w:r>
          <w:rPr>
            <w:rStyle w:val="1020"/>
          </w:rPr>
          <w:t xml:space="preserve">Рисунок </w:t>
        </w:r>
        <w:r>
          <w:rPr>
            <w:rFonts w:ascii="Calibri" w:hAnsi="Calibri"/>
            <w:sz w:val="22"/>
            <w:szCs w:val="22"/>
          </w:rPr>
          <w:tab/>
        </w:r>
        <w:r>
          <w:rPr>
            <w:rStyle w:val="1020"/>
          </w:rPr>
          <w:t xml:space="preserve">136. ЭФ документа «Заявка на возврат», закладки «Раздел 1, 2 (1)»</w:t>
        </w:r>
        <w:r>
          <w:tab/>
        </w:r>
        <w:r>
          <w:fldChar w:fldCharType="begin"/>
        </w:r>
        <w:r>
          <w:instrText xml:space="preserve"> PAGEREF _Toc88819521 \h </w:instrText>
        </w:r>
        <w:r/>
        <w:r>
          <w:fldChar w:fldCharType="separate"/>
        </w:r>
        <w:r>
          <w:t xml:space="preserve">295</w:t>
        </w:r>
        <w:r>
          <w:fldChar w:fldCharType="end"/>
        </w:r>
      </w:hyperlink>
      <w:r/>
      <w:r/>
    </w:p>
    <w:p>
      <w:pPr>
        <w:pStyle w:val="1152"/>
        <w:rPr>
          <w:rFonts w:ascii="Calibri" w:hAnsi="Calibri"/>
          <w:sz w:val="22"/>
          <w:szCs w:val="22"/>
        </w:rPr>
      </w:pPr>
      <w:r/>
      <w:hyperlink w:tooltip="#_Toc88819522" w:anchor="_Toc88819522" w:history="1">
        <w:r>
          <w:rPr>
            <w:rStyle w:val="1020"/>
          </w:rPr>
          <w:t xml:space="preserve">Рисунок </w:t>
        </w:r>
        <w:r>
          <w:rPr>
            <w:rFonts w:ascii="Calibri" w:hAnsi="Calibri"/>
            <w:sz w:val="22"/>
            <w:szCs w:val="22"/>
          </w:rPr>
          <w:tab/>
        </w:r>
        <w:r>
          <w:rPr>
            <w:rStyle w:val="1020"/>
          </w:rPr>
          <w:t xml:space="preserve">137. ЭФ документа «Заявка на возврат», закладки «Раздел 3 (2)»</w:t>
        </w:r>
        <w:r>
          <w:tab/>
        </w:r>
        <w:r>
          <w:fldChar w:fldCharType="begin"/>
        </w:r>
        <w:r>
          <w:instrText xml:space="preserve"> PAGEREF _Toc88819522 \h </w:instrText>
        </w:r>
        <w:r/>
        <w:r>
          <w:fldChar w:fldCharType="separate"/>
        </w:r>
        <w:r>
          <w:t xml:space="preserve">300</w:t>
        </w:r>
        <w:r>
          <w:fldChar w:fldCharType="end"/>
        </w:r>
      </w:hyperlink>
      <w:r/>
      <w:r/>
    </w:p>
    <w:p>
      <w:pPr>
        <w:pStyle w:val="1152"/>
        <w:rPr>
          <w:rFonts w:ascii="Calibri" w:hAnsi="Calibri"/>
          <w:sz w:val="22"/>
          <w:szCs w:val="22"/>
        </w:rPr>
      </w:pPr>
      <w:r/>
      <w:hyperlink w:tooltip="#_Toc88819523" w:anchor="_Toc88819523" w:history="1">
        <w:r>
          <w:rPr>
            <w:rStyle w:val="1020"/>
          </w:rPr>
          <w:t xml:space="preserve">Рисунок </w:t>
        </w:r>
        <w:r>
          <w:rPr>
            <w:rFonts w:ascii="Calibri" w:hAnsi="Calibri"/>
            <w:sz w:val="22"/>
            <w:szCs w:val="22"/>
          </w:rPr>
          <w:tab/>
        </w:r>
        <w:r>
          <w:rPr>
            <w:rStyle w:val="1020"/>
          </w:rPr>
          <w:t xml:space="preserve">138. ЭФ списка документов «Реестр передаваемых (принимаемых) платежей»</w:t>
        </w:r>
        <w:r>
          <w:tab/>
        </w:r>
        <w:r>
          <w:fldChar w:fldCharType="begin"/>
        </w:r>
        <w:r>
          <w:instrText xml:space="preserve"> PAGEREF _Toc88819523 \h </w:instrText>
        </w:r>
        <w:r/>
        <w:r>
          <w:fldChar w:fldCharType="separate"/>
        </w:r>
        <w:r>
          <w:t xml:space="preserve">302</w:t>
        </w:r>
        <w:r>
          <w:fldChar w:fldCharType="end"/>
        </w:r>
      </w:hyperlink>
      <w:r/>
      <w:r/>
    </w:p>
    <w:p>
      <w:pPr>
        <w:pStyle w:val="1152"/>
        <w:rPr>
          <w:rFonts w:ascii="Calibri" w:hAnsi="Calibri"/>
          <w:sz w:val="22"/>
          <w:szCs w:val="22"/>
        </w:rPr>
      </w:pPr>
      <w:r/>
      <w:hyperlink w:tooltip="#_Toc88819524" w:anchor="_Toc88819524" w:history="1">
        <w:r>
          <w:rPr>
            <w:rStyle w:val="1020"/>
          </w:rPr>
          <w:t xml:space="preserve">Рисунок </w:t>
        </w:r>
        <w:r>
          <w:rPr>
            <w:rFonts w:ascii="Calibri" w:hAnsi="Calibri"/>
            <w:sz w:val="22"/>
            <w:szCs w:val="22"/>
          </w:rPr>
          <w:tab/>
        </w:r>
        <w:r>
          <w:rPr>
            <w:rStyle w:val="1020"/>
          </w:rPr>
          <w:t xml:space="preserve">139. ЭФ документа «Реестр передаваемых (принимаемых) платежей», закладки «Основные атрибуты (1)»</w:t>
        </w:r>
        <w:r>
          <w:tab/>
        </w:r>
        <w:r>
          <w:fldChar w:fldCharType="begin"/>
        </w:r>
        <w:r>
          <w:instrText xml:space="preserve"> PAGEREF _Toc88819524 \h </w:instrText>
        </w:r>
        <w:r/>
        <w:r>
          <w:fldChar w:fldCharType="separate"/>
        </w:r>
        <w:r>
          <w:t xml:space="preserve">303</w:t>
        </w:r>
        <w:r>
          <w:fldChar w:fldCharType="end"/>
        </w:r>
      </w:hyperlink>
      <w:r/>
      <w:r/>
    </w:p>
    <w:p>
      <w:pPr>
        <w:pStyle w:val="1152"/>
        <w:rPr>
          <w:rFonts w:ascii="Calibri" w:hAnsi="Calibri"/>
          <w:sz w:val="22"/>
          <w:szCs w:val="22"/>
        </w:rPr>
      </w:pPr>
      <w:r/>
      <w:hyperlink w:tooltip="#_Toc88819525" w:anchor="_Toc88819525" w:history="1">
        <w:r>
          <w:rPr>
            <w:rStyle w:val="1020"/>
          </w:rPr>
          <w:t xml:space="preserve">Рисунок </w:t>
        </w:r>
        <w:r>
          <w:rPr>
            <w:rFonts w:ascii="Calibri" w:hAnsi="Calibri"/>
            <w:sz w:val="22"/>
            <w:szCs w:val="22"/>
          </w:rPr>
          <w:tab/>
        </w:r>
        <w:r>
          <w:rPr>
            <w:rStyle w:val="1020"/>
          </w:rPr>
          <w:t xml:space="preserve">140. Форма «Добавление записи»</w:t>
        </w:r>
        <w:r>
          <w:tab/>
        </w:r>
        <w:r>
          <w:fldChar w:fldCharType="begin"/>
        </w:r>
        <w:r>
          <w:instrText xml:space="preserve"> PAGEREF _Toc88819525 \h </w:instrText>
        </w:r>
        <w:r/>
        <w:r>
          <w:fldChar w:fldCharType="separate"/>
        </w:r>
        <w:r>
          <w:t xml:space="preserve">306</w:t>
        </w:r>
        <w:r>
          <w:fldChar w:fldCharType="end"/>
        </w:r>
      </w:hyperlink>
      <w:r/>
      <w:r/>
    </w:p>
    <w:p>
      <w:pPr>
        <w:pStyle w:val="1152"/>
        <w:rPr>
          <w:rFonts w:ascii="Calibri" w:hAnsi="Calibri"/>
          <w:sz w:val="22"/>
          <w:szCs w:val="22"/>
        </w:rPr>
      </w:pPr>
      <w:r/>
      <w:hyperlink w:tooltip="#_Toc88819526" w:anchor="_Toc88819526" w:history="1">
        <w:r>
          <w:rPr>
            <w:rStyle w:val="1020"/>
          </w:rPr>
          <w:t xml:space="preserve">Рисунок </w:t>
        </w:r>
        <w:r>
          <w:rPr>
            <w:rFonts w:ascii="Calibri" w:hAnsi="Calibri"/>
            <w:sz w:val="22"/>
            <w:szCs w:val="22"/>
          </w:rPr>
          <w:tab/>
        </w:r>
        <w:r>
          <w:rPr>
            <w:rStyle w:val="1020"/>
          </w:rPr>
          <w:t xml:space="preserve">141. ЭФ документа «Реестр передаваемых (принимаемых) платежей», закладки «Дополнительные атрибуты (2)»</w:t>
        </w:r>
        <w:r>
          <w:tab/>
        </w:r>
        <w:r>
          <w:fldChar w:fldCharType="begin"/>
        </w:r>
        <w:r>
          <w:instrText xml:space="preserve"> PAGEREF _Toc88819526 \h </w:instrText>
        </w:r>
        <w:r/>
        <w:r>
          <w:fldChar w:fldCharType="separate"/>
        </w:r>
        <w:r>
          <w:t xml:space="preserve">307</w:t>
        </w:r>
        <w:r>
          <w:fldChar w:fldCharType="end"/>
        </w:r>
      </w:hyperlink>
      <w:r/>
      <w:r/>
    </w:p>
    <w:p>
      <w:pPr>
        <w:pStyle w:val="1152"/>
        <w:rPr>
          <w:rFonts w:ascii="Calibri" w:hAnsi="Calibri"/>
          <w:sz w:val="22"/>
          <w:szCs w:val="22"/>
        </w:rPr>
      </w:pPr>
      <w:r/>
      <w:hyperlink w:tooltip="#_Toc88819527" w:anchor="_Toc88819527" w:history="1">
        <w:r>
          <w:rPr>
            <w:rStyle w:val="1020"/>
          </w:rPr>
          <w:t xml:space="preserve">Рисунок </w:t>
        </w:r>
        <w:r>
          <w:rPr>
            <w:rFonts w:ascii="Calibri" w:hAnsi="Calibri"/>
            <w:sz w:val="22"/>
            <w:szCs w:val="22"/>
          </w:rPr>
          <w:tab/>
        </w:r>
        <w:r>
          <w:rPr>
            <w:rStyle w:val="1020"/>
          </w:rPr>
          <w:t xml:space="preserve">142. ЭФ списка документов «Информация из расчетных документов, прилагаемых к реестру платежей минуя счет 40101»</w:t>
        </w:r>
        <w:r>
          <w:tab/>
        </w:r>
        <w:r>
          <w:fldChar w:fldCharType="begin"/>
        </w:r>
        <w:r>
          <w:instrText xml:space="preserve"> PAGEREF _Toc88819527 \h </w:instrText>
        </w:r>
        <w:r/>
        <w:r>
          <w:fldChar w:fldCharType="separate"/>
        </w:r>
        <w:r>
          <w:t xml:space="preserve">308</w:t>
        </w:r>
        <w:r>
          <w:fldChar w:fldCharType="end"/>
        </w:r>
      </w:hyperlink>
      <w:r/>
      <w:r/>
    </w:p>
    <w:p>
      <w:pPr>
        <w:pStyle w:val="1152"/>
        <w:rPr>
          <w:rFonts w:ascii="Calibri" w:hAnsi="Calibri"/>
          <w:sz w:val="22"/>
          <w:szCs w:val="22"/>
        </w:rPr>
      </w:pPr>
      <w:r/>
      <w:hyperlink w:tooltip="#_Toc88819528" w:anchor="_Toc88819528" w:history="1">
        <w:r>
          <w:rPr>
            <w:rStyle w:val="1020"/>
          </w:rPr>
          <w:t xml:space="preserve">Рисунок </w:t>
        </w:r>
        <w:r>
          <w:rPr>
            <w:rFonts w:ascii="Calibri" w:hAnsi="Calibri"/>
            <w:sz w:val="22"/>
            <w:szCs w:val="22"/>
          </w:rPr>
          <w:tab/>
        </w:r>
        <w:r>
          <w:rPr>
            <w:rStyle w:val="1020"/>
          </w:rPr>
          <w:t xml:space="preserve">143. ЭФ документа «Информация из расчетных документов, прилагаемых к реестру платежей минуя счет 40101», закладки «Основные атрибуты»</w:t>
        </w:r>
        <w:r>
          <w:tab/>
        </w:r>
        <w:r>
          <w:fldChar w:fldCharType="begin"/>
        </w:r>
        <w:r>
          <w:instrText xml:space="preserve"> PAGEREF _Toc88819528 \h </w:instrText>
        </w:r>
        <w:r/>
        <w:r>
          <w:fldChar w:fldCharType="separate"/>
        </w:r>
        <w:r>
          <w:t xml:space="preserve">310</w:t>
        </w:r>
        <w:r>
          <w:fldChar w:fldCharType="end"/>
        </w:r>
      </w:hyperlink>
      <w:r/>
      <w:r/>
    </w:p>
    <w:p>
      <w:pPr>
        <w:pStyle w:val="1152"/>
        <w:rPr>
          <w:rFonts w:ascii="Calibri" w:hAnsi="Calibri"/>
          <w:sz w:val="22"/>
          <w:szCs w:val="22"/>
        </w:rPr>
      </w:pPr>
      <w:r/>
      <w:hyperlink w:tooltip="#_Toc88819529" w:anchor="_Toc88819529" w:history="1">
        <w:r>
          <w:rPr>
            <w:rStyle w:val="1020"/>
          </w:rPr>
          <w:t xml:space="preserve">Рисунок </w:t>
        </w:r>
        <w:r>
          <w:rPr>
            <w:rFonts w:ascii="Calibri" w:hAnsi="Calibri"/>
            <w:sz w:val="22"/>
            <w:szCs w:val="22"/>
          </w:rPr>
          <w:tab/>
        </w:r>
        <w:r>
          <w:rPr>
            <w:rStyle w:val="1020"/>
          </w:rPr>
          <w:t xml:space="preserve">144. ЭФ документа «Информация из расчетных документов, прилагаемых к реестру платежей минуя счет 40101», закладки «БК и налоговые показатели»</w:t>
        </w:r>
        <w:r>
          <w:tab/>
        </w:r>
        <w:r>
          <w:fldChar w:fldCharType="begin"/>
        </w:r>
        <w:r>
          <w:instrText xml:space="preserve"> PAGEREF _Toc88819529 \h </w:instrText>
        </w:r>
        <w:r/>
        <w:r>
          <w:fldChar w:fldCharType="separate"/>
        </w:r>
        <w:r>
          <w:t xml:space="preserve">314</w:t>
        </w:r>
        <w:r>
          <w:fldChar w:fldCharType="end"/>
        </w:r>
      </w:hyperlink>
      <w:r/>
      <w:r/>
    </w:p>
    <w:p>
      <w:pPr>
        <w:pStyle w:val="1152"/>
        <w:rPr>
          <w:rFonts w:ascii="Calibri" w:hAnsi="Calibri"/>
          <w:sz w:val="22"/>
          <w:szCs w:val="22"/>
        </w:rPr>
      </w:pPr>
      <w:r/>
      <w:hyperlink w:tooltip="#_Toc88819530" w:anchor="_Toc88819530" w:history="1">
        <w:r>
          <w:rPr>
            <w:rStyle w:val="1020"/>
          </w:rPr>
          <w:t xml:space="preserve">Рисунок </w:t>
        </w:r>
        <w:r>
          <w:rPr>
            <w:rFonts w:ascii="Calibri" w:hAnsi="Calibri"/>
            <w:sz w:val="22"/>
            <w:szCs w:val="22"/>
          </w:rPr>
          <w:tab/>
        </w:r>
        <w:r>
          <w:rPr>
            <w:rStyle w:val="1020"/>
          </w:rPr>
          <w:t xml:space="preserve">145. Форма «Добавление записи»</w:t>
        </w:r>
        <w:r>
          <w:tab/>
        </w:r>
        <w:r>
          <w:fldChar w:fldCharType="begin"/>
        </w:r>
        <w:r>
          <w:instrText xml:space="preserve"> PAGEREF _Toc88819530 \h </w:instrText>
        </w:r>
        <w:r/>
        <w:r>
          <w:fldChar w:fldCharType="separate"/>
        </w:r>
        <w:r>
          <w:t xml:space="preserve">316</w:t>
        </w:r>
        <w:r>
          <w:fldChar w:fldCharType="end"/>
        </w:r>
      </w:hyperlink>
      <w:r/>
      <w:r/>
    </w:p>
    <w:p>
      <w:pPr>
        <w:pStyle w:val="1152"/>
        <w:rPr>
          <w:rFonts w:ascii="Calibri" w:hAnsi="Calibri"/>
          <w:sz w:val="22"/>
          <w:szCs w:val="22"/>
        </w:rPr>
      </w:pPr>
      <w:r/>
      <w:hyperlink w:tooltip="#_Toc88819531" w:anchor="_Toc88819531" w:history="1">
        <w:r>
          <w:rPr>
            <w:rStyle w:val="1020"/>
          </w:rPr>
          <w:t xml:space="preserve">Рисунок </w:t>
        </w:r>
        <w:r>
          <w:rPr>
            <w:rFonts w:ascii="Calibri" w:hAnsi="Calibri"/>
            <w:sz w:val="22"/>
            <w:szCs w:val="22"/>
          </w:rPr>
          <w:tab/>
        </w:r>
        <w:r>
          <w:rPr>
            <w:rStyle w:val="1020"/>
          </w:rPr>
          <w:t xml:space="preserve">146. ЭФ списка документов «Справка органов ФК»</w:t>
        </w:r>
        <w:r>
          <w:tab/>
        </w:r>
        <w:r>
          <w:fldChar w:fldCharType="begin"/>
        </w:r>
        <w:r>
          <w:instrText xml:space="preserve"> PAGEREF _Toc88819531 \h </w:instrText>
        </w:r>
        <w:r/>
        <w:r>
          <w:fldChar w:fldCharType="separate"/>
        </w:r>
        <w:r>
          <w:t xml:space="preserve">317</w:t>
        </w:r>
        <w:r>
          <w:fldChar w:fldCharType="end"/>
        </w:r>
      </w:hyperlink>
      <w:r/>
      <w:r/>
    </w:p>
    <w:p>
      <w:pPr>
        <w:pStyle w:val="1152"/>
        <w:rPr>
          <w:rFonts w:ascii="Calibri" w:hAnsi="Calibri"/>
          <w:sz w:val="22"/>
          <w:szCs w:val="22"/>
        </w:rPr>
      </w:pPr>
      <w:r/>
      <w:hyperlink w:tooltip="#_Toc88819532" w:anchor="_Toc88819532" w:history="1">
        <w:r>
          <w:rPr>
            <w:rStyle w:val="1020"/>
          </w:rPr>
          <w:t xml:space="preserve">Рисунок </w:t>
        </w:r>
        <w:r>
          <w:rPr>
            <w:rFonts w:ascii="Calibri" w:hAnsi="Calibri"/>
            <w:sz w:val="22"/>
            <w:szCs w:val="22"/>
          </w:rPr>
          <w:tab/>
        </w:r>
        <w:r>
          <w:rPr>
            <w:rStyle w:val="1020"/>
          </w:rPr>
          <w:t xml:space="preserve">147. ЭФ документа «Справка органов ФК», закладки «Документ»</w:t>
        </w:r>
        <w:r>
          <w:tab/>
        </w:r>
        <w:r>
          <w:fldChar w:fldCharType="begin"/>
        </w:r>
        <w:r>
          <w:instrText xml:space="preserve"> PAGEREF _Toc88819532 \h </w:instrText>
        </w:r>
        <w:r/>
        <w:r>
          <w:fldChar w:fldCharType="separate"/>
        </w:r>
        <w:r>
          <w:t xml:space="preserve">318</w:t>
        </w:r>
        <w:r>
          <w:fldChar w:fldCharType="end"/>
        </w:r>
      </w:hyperlink>
      <w:r/>
      <w:r/>
    </w:p>
    <w:p>
      <w:pPr>
        <w:pStyle w:val="1152"/>
        <w:rPr>
          <w:rFonts w:ascii="Calibri" w:hAnsi="Calibri"/>
          <w:sz w:val="22"/>
          <w:szCs w:val="22"/>
        </w:rPr>
      </w:pPr>
      <w:r/>
      <w:hyperlink w:tooltip="#_Toc88819533" w:anchor="_Toc88819533" w:history="1">
        <w:r>
          <w:rPr>
            <w:rStyle w:val="1020"/>
          </w:rPr>
          <w:t xml:space="preserve">Рисунок </w:t>
        </w:r>
        <w:r>
          <w:rPr>
            <w:rFonts w:ascii="Calibri" w:hAnsi="Calibri"/>
            <w:sz w:val="22"/>
            <w:szCs w:val="22"/>
          </w:rPr>
          <w:tab/>
        </w:r>
        <w:r>
          <w:rPr>
            <w:rStyle w:val="1020"/>
          </w:rPr>
          <w:t xml:space="preserve">148. ЭФ документа «Справка органов ФК», закладки «Дополнительные атрибуты»</w:t>
        </w:r>
        <w:r>
          <w:tab/>
        </w:r>
        <w:r>
          <w:fldChar w:fldCharType="begin"/>
        </w:r>
        <w:r>
          <w:instrText xml:space="preserve"> PAGEREF _Toc88819533 \h </w:instrText>
        </w:r>
        <w:r/>
        <w:r>
          <w:fldChar w:fldCharType="separate"/>
        </w:r>
        <w:r>
          <w:t xml:space="preserve">319</w:t>
        </w:r>
        <w:r>
          <w:fldChar w:fldCharType="end"/>
        </w:r>
      </w:hyperlink>
      <w:r/>
      <w:r/>
    </w:p>
    <w:p>
      <w:pPr>
        <w:pStyle w:val="1152"/>
        <w:rPr>
          <w:rFonts w:ascii="Calibri" w:hAnsi="Calibri"/>
          <w:sz w:val="22"/>
          <w:szCs w:val="22"/>
        </w:rPr>
      </w:pPr>
      <w:r/>
      <w:hyperlink w:tooltip="#_Toc88819534" w:anchor="_Toc88819534" w:history="1">
        <w:r>
          <w:rPr>
            <w:rStyle w:val="1020"/>
          </w:rPr>
          <w:t xml:space="preserve">Рисунок </w:t>
        </w:r>
        <w:r>
          <w:rPr>
            <w:rFonts w:ascii="Calibri" w:hAnsi="Calibri"/>
            <w:sz w:val="22"/>
            <w:szCs w:val="22"/>
          </w:rPr>
          <w:tab/>
        </w:r>
        <w:r>
          <w:rPr>
            <w:rStyle w:val="1020"/>
          </w:rPr>
          <w:t xml:space="preserve">149. ЭФ списка документов «Запрос на отзыв распоряжения (запрос на аннулирование)»</w:t>
        </w:r>
        <w:r>
          <w:tab/>
        </w:r>
        <w:r>
          <w:fldChar w:fldCharType="begin"/>
        </w:r>
        <w:r>
          <w:instrText xml:space="preserve"> PAGEREF _Toc88819534 \h </w:instrText>
        </w:r>
        <w:r/>
        <w:r>
          <w:fldChar w:fldCharType="separate"/>
        </w:r>
        <w:r>
          <w:t xml:space="preserve">321</w:t>
        </w:r>
        <w:r>
          <w:fldChar w:fldCharType="end"/>
        </w:r>
      </w:hyperlink>
      <w:r/>
      <w:r/>
    </w:p>
    <w:p>
      <w:pPr>
        <w:pStyle w:val="1152"/>
        <w:rPr>
          <w:rFonts w:ascii="Calibri" w:hAnsi="Calibri"/>
          <w:sz w:val="22"/>
          <w:szCs w:val="22"/>
        </w:rPr>
      </w:pPr>
      <w:r/>
      <w:hyperlink w:tooltip="#_Toc88819535" w:anchor="_Toc88819535" w:history="1">
        <w:r>
          <w:rPr>
            <w:rStyle w:val="1020"/>
          </w:rPr>
          <w:t xml:space="preserve">Рисунок </w:t>
        </w:r>
        <w:r>
          <w:rPr>
            <w:rFonts w:ascii="Calibri" w:hAnsi="Calibri"/>
            <w:sz w:val="22"/>
            <w:szCs w:val="22"/>
          </w:rPr>
          <w:tab/>
        </w:r>
        <w:r>
          <w:rPr>
            <w:rStyle w:val="1020"/>
          </w:rPr>
          <w:t xml:space="preserve">150. ЭФ документа «Запрос на отзыв распоряжения (запрос на аннулирование)»</w:t>
        </w:r>
        <w:r>
          <w:tab/>
        </w:r>
        <w:r>
          <w:fldChar w:fldCharType="begin"/>
        </w:r>
        <w:r>
          <w:instrText xml:space="preserve"> PAGEREF _Toc88819535 \h </w:instrText>
        </w:r>
        <w:r/>
        <w:r>
          <w:fldChar w:fldCharType="separate"/>
        </w:r>
        <w:r>
          <w:t xml:space="preserve">322</w:t>
        </w:r>
        <w:r>
          <w:fldChar w:fldCharType="end"/>
        </w:r>
      </w:hyperlink>
      <w:r/>
      <w:r/>
    </w:p>
    <w:p>
      <w:pPr>
        <w:pStyle w:val="1152"/>
        <w:rPr>
          <w:rFonts w:ascii="Calibri" w:hAnsi="Calibri"/>
          <w:sz w:val="22"/>
          <w:szCs w:val="22"/>
        </w:rPr>
      </w:pPr>
      <w:r/>
      <w:hyperlink w:tooltip="#_Toc88819536" w:anchor="_Toc88819536" w:history="1">
        <w:r>
          <w:rPr>
            <w:rStyle w:val="1020"/>
          </w:rPr>
          <w:t xml:space="preserve">Рисунок </w:t>
        </w:r>
        <w:r>
          <w:rPr>
            <w:rFonts w:ascii="Calibri" w:hAnsi="Calibri"/>
            <w:sz w:val="22"/>
            <w:szCs w:val="22"/>
          </w:rPr>
          <w:tab/>
        </w:r>
        <w:r>
          <w:rPr>
            <w:rStyle w:val="1020"/>
          </w:rPr>
          <w:t xml:space="preserve">151. ЭФ списка документов «Акт приемки-передачи принятых на учет обязательств при реорганизации участников бюджетного процесса»</w:t>
        </w:r>
        <w:r>
          <w:tab/>
        </w:r>
        <w:r>
          <w:fldChar w:fldCharType="begin"/>
        </w:r>
        <w:r>
          <w:instrText xml:space="preserve"> PAGEREF _Toc88819536 \h </w:instrText>
        </w:r>
        <w:r/>
        <w:r>
          <w:fldChar w:fldCharType="separate"/>
        </w:r>
        <w:r>
          <w:t xml:space="preserve">327</w:t>
        </w:r>
        <w:r>
          <w:fldChar w:fldCharType="end"/>
        </w:r>
      </w:hyperlink>
      <w:r/>
      <w:r/>
    </w:p>
    <w:p>
      <w:pPr>
        <w:pStyle w:val="1152"/>
        <w:rPr>
          <w:rFonts w:ascii="Calibri" w:hAnsi="Calibri"/>
          <w:sz w:val="22"/>
          <w:szCs w:val="22"/>
        </w:rPr>
      </w:pPr>
      <w:r/>
      <w:hyperlink w:tooltip="#_Toc88819537" w:anchor="_Toc88819537" w:history="1">
        <w:r>
          <w:rPr>
            <w:rStyle w:val="1020"/>
          </w:rPr>
          <w:t xml:space="preserve">Рисунок </w:t>
        </w:r>
        <w:r>
          <w:rPr>
            <w:rFonts w:ascii="Calibri" w:hAnsi="Calibri"/>
            <w:sz w:val="22"/>
            <w:szCs w:val="22"/>
          </w:rPr>
          <w:tab/>
        </w:r>
        <w:r>
          <w:rPr>
            <w:rStyle w:val="1020"/>
          </w:rPr>
          <w:t xml:space="preserve">152. ЭФ документа «Акт приемки-передачи принятых на учет обязательств при реорганизации участников бюджетного процесса», закладки «Документ»</w:t>
        </w:r>
        <w:r>
          <w:tab/>
        </w:r>
        <w:r>
          <w:fldChar w:fldCharType="begin"/>
        </w:r>
        <w:r>
          <w:instrText xml:space="preserve"> PAGEREF _Toc88819537 \h </w:instrText>
        </w:r>
        <w:r/>
        <w:r>
          <w:fldChar w:fldCharType="separate"/>
        </w:r>
        <w:r>
          <w:t xml:space="preserve">328</w:t>
        </w:r>
        <w:r>
          <w:fldChar w:fldCharType="end"/>
        </w:r>
      </w:hyperlink>
      <w:r/>
      <w:r/>
    </w:p>
    <w:p>
      <w:pPr>
        <w:pStyle w:val="1152"/>
        <w:rPr>
          <w:rFonts w:ascii="Calibri" w:hAnsi="Calibri"/>
          <w:sz w:val="22"/>
          <w:szCs w:val="22"/>
        </w:rPr>
      </w:pPr>
      <w:r/>
      <w:hyperlink w:tooltip="#_Toc88819538" w:anchor="_Toc88819538" w:history="1">
        <w:r>
          <w:rPr>
            <w:rStyle w:val="1020"/>
          </w:rPr>
          <w:t xml:space="preserve">Рисунок </w:t>
        </w:r>
        <w:r>
          <w:rPr>
            <w:rFonts w:ascii="Calibri" w:hAnsi="Calibri"/>
            <w:sz w:val="22"/>
            <w:szCs w:val="22"/>
          </w:rPr>
          <w:tab/>
        </w:r>
        <w:r>
          <w:rPr>
            <w:rStyle w:val="1020"/>
          </w:rPr>
          <w:t xml:space="preserve">153. Форма «Добавление записи» (Реквизиты документа-основания)</w:t>
        </w:r>
        <w:r>
          <w:tab/>
        </w:r>
        <w:r>
          <w:fldChar w:fldCharType="begin"/>
        </w:r>
        <w:r>
          <w:instrText xml:space="preserve"> PAGEREF _Toc88819538 \h </w:instrText>
        </w:r>
        <w:r/>
        <w:r>
          <w:fldChar w:fldCharType="separate"/>
        </w:r>
        <w:r>
          <w:t xml:space="preserve">333</w:t>
        </w:r>
        <w:r>
          <w:fldChar w:fldCharType="end"/>
        </w:r>
      </w:hyperlink>
      <w:r/>
      <w:r/>
    </w:p>
    <w:p>
      <w:pPr>
        <w:pStyle w:val="1152"/>
        <w:rPr>
          <w:rFonts w:ascii="Calibri" w:hAnsi="Calibri"/>
          <w:sz w:val="22"/>
          <w:szCs w:val="22"/>
        </w:rPr>
      </w:pPr>
      <w:r/>
      <w:hyperlink w:tooltip="#_Toc88819539" w:anchor="_Toc88819539" w:history="1">
        <w:r>
          <w:rPr>
            <w:rStyle w:val="1020"/>
          </w:rPr>
          <w:t xml:space="preserve">Рисунок </w:t>
        </w:r>
        <w:r>
          <w:rPr>
            <w:rFonts w:ascii="Calibri" w:hAnsi="Calibri"/>
            <w:sz w:val="22"/>
            <w:szCs w:val="22"/>
          </w:rPr>
          <w:tab/>
        </w:r>
        <w:r>
          <w:rPr>
            <w:rStyle w:val="1020"/>
          </w:rPr>
          <w:t xml:space="preserve">154. Форма «Добавление записи» (Бюджетные обязательства)</w:t>
        </w:r>
        <w:r>
          <w:tab/>
        </w:r>
        <w:r>
          <w:fldChar w:fldCharType="begin"/>
        </w:r>
        <w:r>
          <w:instrText xml:space="preserve"> PAGEREF _Toc88819539 \h </w:instrText>
        </w:r>
        <w:r/>
        <w:r>
          <w:fldChar w:fldCharType="separate"/>
        </w:r>
        <w:r>
          <w:t xml:space="preserve">334</w:t>
        </w:r>
        <w:r>
          <w:fldChar w:fldCharType="end"/>
        </w:r>
      </w:hyperlink>
      <w:r/>
      <w:r/>
    </w:p>
    <w:p>
      <w:pPr>
        <w:pStyle w:val="1152"/>
        <w:rPr>
          <w:rFonts w:ascii="Calibri" w:hAnsi="Calibri"/>
          <w:sz w:val="22"/>
          <w:szCs w:val="22"/>
        </w:rPr>
      </w:pPr>
      <w:r/>
      <w:hyperlink w:tooltip="#_Toc88819540" w:anchor="_Toc88819540" w:history="1">
        <w:r>
          <w:rPr>
            <w:rStyle w:val="1020"/>
          </w:rPr>
          <w:t xml:space="preserve">Рисунок </w:t>
        </w:r>
        <w:r>
          <w:rPr>
            <w:rFonts w:ascii="Calibri" w:hAnsi="Calibri"/>
            <w:sz w:val="22"/>
            <w:szCs w:val="22"/>
          </w:rPr>
          <w:tab/>
        </w:r>
        <w:r>
          <w:rPr>
            <w:rStyle w:val="1020"/>
          </w:rPr>
          <w:t xml:space="preserve">155. ЭФ документа «Акт приемки-передачи принятых на учет обязательств при реорганизации участников бюджетного процесса», закладки «Подписи/Доп. атрибуты»</w:t>
        </w:r>
        <w:r>
          <w:tab/>
        </w:r>
        <w:r>
          <w:fldChar w:fldCharType="begin"/>
        </w:r>
        <w:r>
          <w:instrText xml:space="preserve"> PAGEREF _Toc88819540 \h </w:instrText>
        </w:r>
        <w:r/>
        <w:r>
          <w:fldChar w:fldCharType="separate"/>
        </w:r>
        <w:r>
          <w:t xml:space="preserve">334</w:t>
        </w:r>
        <w:r>
          <w:fldChar w:fldCharType="end"/>
        </w:r>
      </w:hyperlink>
      <w:r/>
      <w:r/>
    </w:p>
    <w:p>
      <w:pPr>
        <w:pStyle w:val="1152"/>
        <w:rPr>
          <w:rFonts w:ascii="Calibri" w:hAnsi="Calibri"/>
          <w:sz w:val="22"/>
          <w:szCs w:val="22"/>
        </w:rPr>
      </w:pPr>
      <w:r/>
      <w:hyperlink w:tooltip="#_Toc88819541" w:anchor="_Toc88819541" w:history="1">
        <w:r>
          <w:rPr>
            <w:rStyle w:val="1020"/>
          </w:rPr>
          <w:t xml:space="preserve">Рисунок </w:t>
        </w:r>
        <w:r>
          <w:rPr>
            <w:rFonts w:ascii="Calibri" w:hAnsi="Calibri"/>
            <w:sz w:val="22"/>
            <w:szCs w:val="22"/>
          </w:rPr>
          <w:tab/>
        </w:r>
        <w:r>
          <w:rPr>
            <w:rStyle w:val="1020"/>
          </w:rPr>
          <w:t xml:space="preserve">156. ЭФ списка документов «Акт приемки-передачи показателей лицевого счета бюджета»</w:t>
        </w:r>
        <w:r>
          <w:tab/>
        </w:r>
        <w:r>
          <w:fldChar w:fldCharType="begin"/>
        </w:r>
        <w:r>
          <w:instrText xml:space="preserve"> PAGEREF _Toc88819541 \h </w:instrText>
        </w:r>
        <w:r/>
        <w:r>
          <w:fldChar w:fldCharType="separate"/>
        </w:r>
        <w:r>
          <w:t xml:space="preserve">337</w:t>
        </w:r>
        <w:r>
          <w:fldChar w:fldCharType="end"/>
        </w:r>
      </w:hyperlink>
      <w:r/>
      <w:r/>
    </w:p>
    <w:p>
      <w:pPr>
        <w:pStyle w:val="1152"/>
        <w:rPr>
          <w:rFonts w:ascii="Calibri" w:hAnsi="Calibri"/>
          <w:sz w:val="22"/>
          <w:szCs w:val="22"/>
        </w:rPr>
      </w:pPr>
      <w:r/>
      <w:hyperlink w:tooltip="#_Toc88819542" w:anchor="_Toc88819542" w:history="1">
        <w:r>
          <w:rPr>
            <w:rStyle w:val="1020"/>
          </w:rPr>
          <w:t xml:space="preserve">Рисунок </w:t>
        </w:r>
        <w:r>
          <w:rPr>
            <w:rFonts w:ascii="Calibri" w:hAnsi="Calibri"/>
            <w:sz w:val="22"/>
            <w:szCs w:val="22"/>
          </w:rPr>
          <w:tab/>
        </w:r>
        <w:r>
          <w:rPr>
            <w:rStyle w:val="1020"/>
          </w:rPr>
          <w:t xml:space="preserve">157. ЭФ документа «Акт приемки-передачи показателей лицевого счета бюджета», закладки «Документ», вкладки «Раздел 1.1. Остатки на лицевом счете»</w:t>
        </w:r>
        <w:r>
          <w:tab/>
        </w:r>
        <w:r>
          <w:fldChar w:fldCharType="begin"/>
        </w:r>
        <w:r>
          <w:instrText xml:space="preserve"> PAGEREF _Toc88819542 \h </w:instrText>
        </w:r>
        <w:r/>
        <w:r>
          <w:fldChar w:fldCharType="separate"/>
        </w:r>
        <w:r>
          <w:t xml:space="preserve">338</w:t>
        </w:r>
        <w:r>
          <w:fldChar w:fldCharType="end"/>
        </w:r>
      </w:hyperlink>
      <w:r/>
      <w:r/>
    </w:p>
    <w:p>
      <w:pPr>
        <w:pStyle w:val="1152"/>
        <w:rPr>
          <w:rFonts w:ascii="Calibri" w:hAnsi="Calibri"/>
          <w:sz w:val="22"/>
          <w:szCs w:val="22"/>
        </w:rPr>
      </w:pPr>
      <w:r/>
      <w:hyperlink w:tooltip="#_Toc88819543" w:anchor="_Toc88819543" w:history="1">
        <w:r>
          <w:rPr>
            <w:rStyle w:val="1020"/>
          </w:rPr>
          <w:t xml:space="preserve">Рисунок </w:t>
        </w:r>
        <w:r>
          <w:rPr>
            <w:rFonts w:ascii="Calibri" w:hAnsi="Calibri"/>
            <w:sz w:val="22"/>
            <w:szCs w:val="22"/>
          </w:rPr>
          <w:tab/>
        </w:r>
        <w:r>
          <w:rPr>
            <w:rStyle w:val="1020"/>
          </w:rPr>
          <w:t xml:space="preserve">158. ЭФ документа «Акт приемки-передачи показателей лицевого счета бюджета», закладки «Документ», вкладки «Раздел 1.2. Операции с бюджетными средствами»</w:t>
        </w:r>
        <w:r>
          <w:tab/>
        </w:r>
        <w:r>
          <w:fldChar w:fldCharType="begin"/>
        </w:r>
        <w:r>
          <w:instrText xml:space="preserve"> PAGEREF _Toc88819543 \h </w:instrText>
        </w:r>
        <w:r/>
        <w:r>
          <w:fldChar w:fldCharType="separate"/>
        </w:r>
        <w:r>
          <w:t xml:space="preserve">340</w:t>
        </w:r>
        <w:r>
          <w:fldChar w:fldCharType="end"/>
        </w:r>
      </w:hyperlink>
      <w:r/>
      <w:r/>
    </w:p>
    <w:p>
      <w:pPr>
        <w:pStyle w:val="1152"/>
        <w:rPr>
          <w:rFonts w:ascii="Calibri" w:hAnsi="Calibri"/>
          <w:sz w:val="22"/>
          <w:szCs w:val="22"/>
        </w:rPr>
      </w:pPr>
      <w:r/>
      <w:hyperlink w:tooltip="#_Toc88819544" w:anchor="_Toc88819544" w:history="1">
        <w:r>
          <w:rPr>
            <w:rStyle w:val="1020"/>
          </w:rPr>
          <w:t xml:space="preserve">Рисунок </w:t>
        </w:r>
        <w:r>
          <w:rPr>
            <w:rFonts w:ascii="Calibri" w:hAnsi="Calibri"/>
            <w:sz w:val="22"/>
            <w:szCs w:val="22"/>
          </w:rPr>
          <w:tab/>
        </w:r>
        <w:r>
          <w:rPr>
            <w:rStyle w:val="1020"/>
          </w:rPr>
          <w:t xml:space="preserve">159. Форма «Добавление записи»</w:t>
        </w:r>
        <w:r>
          <w:tab/>
        </w:r>
        <w:r>
          <w:fldChar w:fldCharType="begin"/>
        </w:r>
        <w:r>
          <w:instrText xml:space="preserve"> PAGEREF _Toc88819544 \h </w:instrText>
        </w:r>
        <w:r/>
        <w:r>
          <w:fldChar w:fldCharType="separate"/>
        </w:r>
        <w:r>
          <w:t xml:space="preserve">341</w:t>
        </w:r>
        <w:r>
          <w:fldChar w:fldCharType="end"/>
        </w:r>
      </w:hyperlink>
      <w:r/>
      <w:r/>
    </w:p>
    <w:p>
      <w:pPr>
        <w:pStyle w:val="1152"/>
        <w:rPr>
          <w:rFonts w:ascii="Calibri" w:hAnsi="Calibri"/>
          <w:sz w:val="22"/>
          <w:szCs w:val="22"/>
        </w:rPr>
      </w:pPr>
      <w:r/>
      <w:hyperlink w:tooltip="#_Toc88819545" w:anchor="_Toc88819545" w:history="1">
        <w:r>
          <w:rPr>
            <w:rStyle w:val="1020"/>
          </w:rPr>
          <w:t xml:space="preserve">Рисунок </w:t>
        </w:r>
        <w:r>
          <w:rPr>
            <w:rFonts w:ascii="Calibri" w:hAnsi="Calibri"/>
            <w:sz w:val="22"/>
            <w:szCs w:val="22"/>
          </w:rPr>
          <w:tab/>
        </w:r>
        <w:r>
          <w:rPr>
            <w:rStyle w:val="1020"/>
          </w:rPr>
          <w:t xml:space="preserve">160. ЭФ документа «Акт приемки-передачи показателей лицевого счета бюджета», закладки «Документ», вкладки «Раздел 1.3. Предельные объемы финансирования»</w:t>
        </w:r>
        <w:r>
          <w:tab/>
        </w:r>
        <w:r>
          <w:fldChar w:fldCharType="begin"/>
        </w:r>
        <w:r>
          <w:instrText xml:space="preserve"> PAGEREF _Toc88819545 \h </w:instrText>
        </w:r>
        <w:r/>
        <w:r>
          <w:fldChar w:fldCharType="separate"/>
        </w:r>
        <w:r>
          <w:t xml:space="preserve">342</w:t>
        </w:r>
        <w:r>
          <w:fldChar w:fldCharType="end"/>
        </w:r>
      </w:hyperlink>
      <w:r/>
      <w:r/>
    </w:p>
    <w:p>
      <w:pPr>
        <w:pStyle w:val="1152"/>
        <w:rPr>
          <w:rFonts w:ascii="Calibri" w:hAnsi="Calibri"/>
          <w:sz w:val="22"/>
          <w:szCs w:val="22"/>
        </w:rPr>
      </w:pPr>
      <w:r/>
      <w:hyperlink w:tooltip="#_Toc88819546" w:anchor="_Toc88819546" w:history="1">
        <w:r>
          <w:rPr>
            <w:rStyle w:val="1020"/>
          </w:rPr>
          <w:t xml:space="preserve">Рисунок </w:t>
        </w:r>
        <w:r>
          <w:rPr>
            <w:rFonts w:ascii="Calibri" w:hAnsi="Calibri"/>
            <w:sz w:val="22"/>
            <w:szCs w:val="22"/>
          </w:rPr>
          <w:tab/>
        </w:r>
        <w:r>
          <w:rPr>
            <w:rStyle w:val="1020"/>
          </w:rPr>
          <w:t xml:space="preserve">161. Форма «Добавление записи»</w:t>
        </w:r>
        <w:r>
          <w:tab/>
        </w:r>
        <w:r>
          <w:fldChar w:fldCharType="begin"/>
        </w:r>
        <w:r>
          <w:instrText xml:space="preserve"> PAGEREF _Toc88819546 \h </w:instrText>
        </w:r>
        <w:r/>
        <w:r>
          <w:fldChar w:fldCharType="separate"/>
        </w:r>
        <w:r>
          <w:t xml:space="preserve">343</w:t>
        </w:r>
        <w:r>
          <w:fldChar w:fldCharType="end"/>
        </w:r>
      </w:hyperlink>
      <w:r/>
      <w:r/>
    </w:p>
    <w:p>
      <w:pPr>
        <w:pStyle w:val="1152"/>
        <w:rPr>
          <w:rFonts w:ascii="Calibri" w:hAnsi="Calibri"/>
          <w:sz w:val="22"/>
          <w:szCs w:val="22"/>
        </w:rPr>
      </w:pPr>
      <w:r/>
      <w:hyperlink w:tooltip="#_Toc88819547" w:anchor="_Toc88819547" w:history="1">
        <w:r>
          <w:rPr>
            <w:rStyle w:val="1020"/>
          </w:rPr>
          <w:t xml:space="preserve">Рисунок </w:t>
        </w:r>
        <w:r>
          <w:rPr>
            <w:rFonts w:ascii="Calibri" w:hAnsi="Calibri"/>
            <w:sz w:val="22"/>
            <w:szCs w:val="22"/>
          </w:rPr>
          <w:tab/>
        </w:r>
        <w:r>
          <w:rPr>
            <w:rStyle w:val="1020"/>
          </w:rPr>
          <w:t xml:space="preserve">162. ЭФ документа «Акт приемки-передачи показателей лицевого счета бюджета», закладки «Дополнительные атрибуты»</w:t>
        </w:r>
        <w:r>
          <w:tab/>
        </w:r>
        <w:r>
          <w:fldChar w:fldCharType="begin"/>
        </w:r>
        <w:r>
          <w:instrText xml:space="preserve"> PAGEREF _Toc88819547 \h </w:instrText>
        </w:r>
        <w:r/>
        <w:r>
          <w:fldChar w:fldCharType="separate"/>
        </w:r>
        <w:r>
          <w:t xml:space="preserve">344</w:t>
        </w:r>
        <w:r>
          <w:fldChar w:fldCharType="end"/>
        </w:r>
      </w:hyperlink>
      <w:r/>
      <w:r/>
    </w:p>
    <w:p>
      <w:pPr>
        <w:pStyle w:val="1152"/>
        <w:rPr>
          <w:rFonts w:ascii="Calibri" w:hAnsi="Calibri"/>
          <w:sz w:val="22"/>
          <w:szCs w:val="22"/>
        </w:rPr>
      </w:pPr>
      <w:r/>
      <w:hyperlink w:tooltip="#_Toc88819548" w:anchor="_Toc88819548" w:history="1">
        <w:r>
          <w:rPr>
            <w:rStyle w:val="1020"/>
          </w:rPr>
          <w:t xml:space="preserve">Рисунок </w:t>
        </w:r>
        <w:r>
          <w:rPr>
            <w:rFonts w:ascii="Calibri" w:hAnsi="Calibri"/>
            <w:sz w:val="22"/>
            <w:szCs w:val="22"/>
          </w:rPr>
          <w:tab/>
        </w:r>
        <w:r>
          <w:rPr>
            <w:rStyle w:val="1020"/>
          </w:rPr>
          <w:t xml:space="preserve">163. ЭФ списка документов «Акт приемки-передачи показателей лицевого счета ТГВФ»</w:t>
        </w:r>
        <w:r>
          <w:tab/>
        </w:r>
        <w:r>
          <w:fldChar w:fldCharType="begin"/>
        </w:r>
        <w:r>
          <w:instrText xml:space="preserve"> PAGEREF _Toc88819548 \h </w:instrText>
        </w:r>
        <w:r/>
        <w:r>
          <w:fldChar w:fldCharType="separate"/>
        </w:r>
        <w:r>
          <w:t xml:space="preserve">347</w:t>
        </w:r>
        <w:r>
          <w:fldChar w:fldCharType="end"/>
        </w:r>
      </w:hyperlink>
      <w:r/>
      <w:r/>
    </w:p>
    <w:p>
      <w:pPr>
        <w:pStyle w:val="1152"/>
        <w:rPr>
          <w:rFonts w:ascii="Calibri" w:hAnsi="Calibri"/>
          <w:sz w:val="22"/>
          <w:szCs w:val="22"/>
        </w:rPr>
      </w:pPr>
      <w:r/>
      <w:hyperlink w:tooltip="#_Toc88819549" w:anchor="_Toc88819549" w:history="1">
        <w:r>
          <w:rPr>
            <w:rStyle w:val="1020"/>
          </w:rPr>
          <w:t xml:space="preserve">Рисунок </w:t>
        </w:r>
        <w:r>
          <w:rPr>
            <w:rFonts w:ascii="Calibri" w:hAnsi="Calibri"/>
            <w:sz w:val="22"/>
            <w:szCs w:val="22"/>
          </w:rPr>
          <w:tab/>
        </w:r>
        <w:r>
          <w:rPr>
            <w:rStyle w:val="1020"/>
          </w:rPr>
          <w:t xml:space="preserve">164. ЭФ документа «Акт приемки-передачи показателей лицевого счета ТГВФ», закладки «Документ», вкладки «Раздел 1.1. Остатки на лицевом счете»</w:t>
        </w:r>
        <w:r>
          <w:tab/>
        </w:r>
        <w:r>
          <w:fldChar w:fldCharType="begin"/>
        </w:r>
        <w:r>
          <w:instrText xml:space="preserve"> PAGEREF _Toc88819549 \h </w:instrText>
        </w:r>
        <w:r/>
        <w:r>
          <w:fldChar w:fldCharType="separate"/>
        </w:r>
        <w:r>
          <w:t xml:space="preserve">348</w:t>
        </w:r>
        <w:r>
          <w:fldChar w:fldCharType="end"/>
        </w:r>
      </w:hyperlink>
      <w:r/>
      <w:r/>
    </w:p>
    <w:p>
      <w:pPr>
        <w:pStyle w:val="1152"/>
        <w:rPr>
          <w:rFonts w:ascii="Calibri" w:hAnsi="Calibri"/>
          <w:sz w:val="22"/>
          <w:szCs w:val="22"/>
        </w:rPr>
      </w:pPr>
      <w:r/>
      <w:hyperlink w:tooltip="#_Toc88819550" w:anchor="_Toc88819550" w:history="1">
        <w:r>
          <w:rPr>
            <w:rStyle w:val="1020"/>
          </w:rPr>
          <w:t xml:space="preserve">Рисунок </w:t>
        </w:r>
        <w:r>
          <w:rPr>
            <w:rFonts w:ascii="Calibri" w:hAnsi="Calibri"/>
            <w:sz w:val="22"/>
            <w:szCs w:val="22"/>
          </w:rPr>
          <w:tab/>
        </w:r>
        <w:r>
          <w:rPr>
            <w:rStyle w:val="1020"/>
          </w:rPr>
          <w:t xml:space="preserve">165. ЭФ документа «Акт приемки-передачи показателей лицевого счета ТГВФ», закладки «Документ», вкладки «Раздел 1.2. Операции с бюджетными средствами»</w:t>
        </w:r>
        <w:r>
          <w:tab/>
        </w:r>
        <w:r>
          <w:fldChar w:fldCharType="begin"/>
        </w:r>
        <w:r>
          <w:instrText xml:space="preserve"> PAGEREF _Toc88819550 \h </w:instrText>
        </w:r>
        <w:r/>
        <w:r>
          <w:fldChar w:fldCharType="separate"/>
        </w:r>
        <w:r>
          <w:t xml:space="preserve">349</w:t>
        </w:r>
        <w:r>
          <w:fldChar w:fldCharType="end"/>
        </w:r>
      </w:hyperlink>
      <w:r/>
      <w:r/>
    </w:p>
    <w:p>
      <w:pPr>
        <w:pStyle w:val="1152"/>
        <w:rPr>
          <w:rFonts w:ascii="Calibri" w:hAnsi="Calibri"/>
          <w:sz w:val="22"/>
          <w:szCs w:val="22"/>
        </w:rPr>
      </w:pPr>
      <w:r/>
      <w:hyperlink w:tooltip="#_Toc88819551" w:anchor="_Toc88819551" w:history="1">
        <w:r>
          <w:rPr>
            <w:rStyle w:val="1020"/>
          </w:rPr>
          <w:t xml:space="preserve">Рисунок </w:t>
        </w:r>
        <w:r>
          <w:rPr>
            <w:rFonts w:ascii="Calibri" w:hAnsi="Calibri"/>
            <w:sz w:val="22"/>
            <w:szCs w:val="22"/>
          </w:rPr>
          <w:tab/>
        </w:r>
        <w:r>
          <w:rPr>
            <w:rStyle w:val="1020"/>
          </w:rPr>
          <w:t xml:space="preserve">166. ЭФ документа «Акт приемки-передачи показателей лицевого счета ТГВФ», закладки «Документ», вкладки «Раздел 1.3. Предельные объёмы финансирования»</w:t>
        </w:r>
        <w:r>
          <w:tab/>
        </w:r>
        <w:r>
          <w:fldChar w:fldCharType="begin"/>
        </w:r>
        <w:r>
          <w:instrText xml:space="preserve"> PAGEREF _Toc88819551 \h </w:instrText>
        </w:r>
        <w:r/>
        <w:r>
          <w:fldChar w:fldCharType="separate"/>
        </w:r>
        <w:r>
          <w:t xml:space="preserve">350</w:t>
        </w:r>
        <w:r>
          <w:fldChar w:fldCharType="end"/>
        </w:r>
      </w:hyperlink>
      <w:r/>
      <w:r/>
    </w:p>
    <w:p>
      <w:pPr>
        <w:pStyle w:val="1152"/>
        <w:rPr>
          <w:rFonts w:ascii="Calibri" w:hAnsi="Calibri"/>
          <w:sz w:val="22"/>
          <w:szCs w:val="22"/>
        </w:rPr>
      </w:pPr>
      <w:r/>
      <w:hyperlink w:tooltip="#_Toc88819552" w:anchor="_Toc88819552" w:history="1">
        <w:r>
          <w:rPr>
            <w:rStyle w:val="1020"/>
          </w:rPr>
          <w:t xml:space="preserve">Рисунок </w:t>
        </w:r>
        <w:r>
          <w:rPr>
            <w:rFonts w:ascii="Calibri" w:hAnsi="Calibri"/>
            <w:sz w:val="22"/>
            <w:szCs w:val="22"/>
          </w:rPr>
          <w:tab/>
        </w:r>
        <w:r>
          <w:rPr>
            <w:rStyle w:val="1020"/>
          </w:rPr>
          <w:t xml:space="preserve">167. ЭФ документа «Акт приемки-передачи показателей лицевого счета ТГВФ», закладки «Дополнительные атрибуты»</w:t>
        </w:r>
        <w:r>
          <w:tab/>
        </w:r>
        <w:r>
          <w:fldChar w:fldCharType="begin"/>
        </w:r>
        <w:r>
          <w:instrText xml:space="preserve"> PAGEREF _Toc88819552 \h </w:instrText>
        </w:r>
        <w:r/>
        <w:r>
          <w:fldChar w:fldCharType="separate"/>
        </w:r>
        <w:r>
          <w:t xml:space="preserve">351</w:t>
        </w:r>
        <w:r>
          <w:fldChar w:fldCharType="end"/>
        </w:r>
      </w:hyperlink>
      <w:r/>
      <w:r/>
    </w:p>
    <w:p>
      <w:pPr>
        <w:pStyle w:val="1152"/>
        <w:rPr>
          <w:rFonts w:ascii="Calibri" w:hAnsi="Calibri"/>
          <w:sz w:val="22"/>
          <w:szCs w:val="22"/>
        </w:rPr>
      </w:pPr>
      <w:r/>
      <w:hyperlink w:tooltip="#_Toc88819553" w:anchor="_Toc88819553" w:history="1">
        <w:r>
          <w:rPr>
            <w:rStyle w:val="1020"/>
          </w:rPr>
          <w:t xml:space="preserve">Рисунок </w:t>
        </w:r>
        <w:r>
          <w:rPr>
            <w:rFonts w:ascii="Calibri" w:hAnsi="Calibri"/>
            <w:sz w:val="22"/>
            <w:szCs w:val="22"/>
          </w:rPr>
          <w:tab/>
        </w:r>
        <w:r>
          <w:rPr>
            <w:rStyle w:val="1020"/>
          </w:rPr>
          <w:t xml:space="preserve">168. ЭФ списка документов «Входящее уведомление (протокол)»</w:t>
        </w:r>
        <w:r>
          <w:tab/>
        </w:r>
        <w:r>
          <w:fldChar w:fldCharType="begin"/>
        </w:r>
        <w:r>
          <w:instrText xml:space="preserve"> PAGEREF _Toc88819553 \h </w:instrText>
        </w:r>
        <w:r/>
        <w:r>
          <w:fldChar w:fldCharType="separate"/>
        </w:r>
        <w:r>
          <w:t xml:space="preserve">353</w:t>
        </w:r>
        <w:r>
          <w:fldChar w:fldCharType="end"/>
        </w:r>
      </w:hyperlink>
      <w:r/>
      <w:r/>
    </w:p>
    <w:p>
      <w:pPr>
        <w:pStyle w:val="1152"/>
        <w:rPr>
          <w:rFonts w:ascii="Calibri" w:hAnsi="Calibri"/>
          <w:sz w:val="22"/>
          <w:szCs w:val="22"/>
        </w:rPr>
      </w:pPr>
      <w:r/>
      <w:hyperlink w:tooltip="#_Toc88819554" w:anchor="_Toc88819554" w:history="1">
        <w:r>
          <w:rPr>
            <w:rStyle w:val="1020"/>
          </w:rPr>
          <w:t xml:space="preserve">Рисунок </w:t>
        </w:r>
        <w:r>
          <w:rPr>
            <w:rFonts w:ascii="Calibri" w:hAnsi="Calibri"/>
            <w:sz w:val="22"/>
            <w:szCs w:val="22"/>
          </w:rPr>
          <w:tab/>
        </w:r>
        <w:r>
          <w:rPr>
            <w:rStyle w:val="1020"/>
          </w:rPr>
          <w:t xml:space="preserve">169. ЭФ документа «Уведомление (протокол)», закладки «Основные»</w:t>
        </w:r>
        <w:r>
          <w:tab/>
        </w:r>
        <w:r>
          <w:fldChar w:fldCharType="begin"/>
        </w:r>
        <w:r>
          <w:instrText xml:space="preserve"> PAGEREF _Toc88819554 \h </w:instrText>
        </w:r>
        <w:r/>
        <w:r>
          <w:fldChar w:fldCharType="separate"/>
        </w:r>
        <w:r>
          <w:t xml:space="preserve">354</w:t>
        </w:r>
        <w:r>
          <w:fldChar w:fldCharType="end"/>
        </w:r>
      </w:hyperlink>
      <w:r/>
      <w:r/>
    </w:p>
    <w:p>
      <w:pPr>
        <w:pStyle w:val="1152"/>
        <w:rPr>
          <w:rFonts w:ascii="Calibri" w:hAnsi="Calibri"/>
          <w:sz w:val="22"/>
          <w:szCs w:val="22"/>
        </w:rPr>
      </w:pPr>
      <w:r/>
      <w:hyperlink w:tooltip="#_Toc88819555" w:anchor="_Toc88819555" w:history="1">
        <w:r>
          <w:rPr>
            <w:rStyle w:val="1020"/>
          </w:rPr>
          <w:t xml:space="preserve">Рисунок </w:t>
        </w:r>
        <w:r>
          <w:rPr>
            <w:rFonts w:ascii="Calibri" w:hAnsi="Calibri"/>
            <w:sz w:val="22"/>
            <w:szCs w:val="22"/>
          </w:rPr>
          <w:tab/>
        </w:r>
        <w:r>
          <w:rPr>
            <w:rStyle w:val="1020"/>
          </w:rPr>
          <w:t xml:space="preserve">170. Форма «Просмотр записи»</w:t>
        </w:r>
        <w:r>
          <w:tab/>
        </w:r>
        <w:r>
          <w:fldChar w:fldCharType="begin"/>
        </w:r>
        <w:r>
          <w:instrText xml:space="preserve"> PAGEREF _Toc88819555 \h </w:instrText>
        </w:r>
        <w:r/>
        <w:r>
          <w:fldChar w:fldCharType="separate"/>
        </w:r>
        <w:r>
          <w:t xml:space="preserve">355</w:t>
        </w:r>
        <w:r>
          <w:fldChar w:fldCharType="end"/>
        </w:r>
      </w:hyperlink>
      <w:r/>
      <w:r/>
    </w:p>
    <w:p>
      <w:pPr>
        <w:pStyle w:val="1152"/>
        <w:rPr>
          <w:rFonts w:ascii="Calibri" w:hAnsi="Calibri"/>
          <w:sz w:val="22"/>
          <w:szCs w:val="22"/>
        </w:rPr>
      </w:pPr>
      <w:r/>
      <w:hyperlink w:tooltip="#_Toc88819556" w:anchor="_Toc88819556" w:history="1">
        <w:r>
          <w:rPr>
            <w:rStyle w:val="1020"/>
          </w:rPr>
          <w:t xml:space="preserve">Рисунок </w:t>
        </w:r>
        <w:r>
          <w:rPr>
            <w:rFonts w:ascii="Calibri" w:hAnsi="Calibri"/>
            <w:sz w:val="22"/>
            <w:szCs w:val="22"/>
          </w:rPr>
          <w:tab/>
        </w:r>
        <w:r>
          <w:rPr>
            <w:rStyle w:val="1020"/>
          </w:rPr>
          <w:t xml:space="preserve">171. ЭФ документа «Уведомление (протокол)», закладки «Системные атрибуты»</w:t>
        </w:r>
        <w:r>
          <w:tab/>
        </w:r>
        <w:r>
          <w:fldChar w:fldCharType="begin"/>
        </w:r>
        <w:r>
          <w:instrText xml:space="preserve"> PAGEREF _Toc88819556 \h </w:instrText>
        </w:r>
        <w:r/>
        <w:r>
          <w:fldChar w:fldCharType="separate"/>
        </w:r>
        <w:r>
          <w:t xml:space="preserve">356</w:t>
        </w:r>
        <w:r>
          <w:fldChar w:fldCharType="end"/>
        </w:r>
      </w:hyperlink>
      <w:r/>
      <w:r/>
    </w:p>
    <w:p>
      <w:pPr>
        <w:pStyle w:val="1152"/>
        <w:rPr>
          <w:rFonts w:ascii="Calibri" w:hAnsi="Calibri"/>
          <w:sz w:val="22"/>
          <w:szCs w:val="22"/>
        </w:rPr>
      </w:pPr>
      <w:r/>
      <w:hyperlink w:tooltip="#_Toc88819557" w:anchor="_Toc88819557" w:history="1">
        <w:r>
          <w:rPr>
            <w:rStyle w:val="1020"/>
          </w:rPr>
          <w:t xml:space="preserve">Рисунок </w:t>
        </w:r>
        <w:r>
          <w:rPr>
            <w:rFonts w:ascii="Calibri" w:hAnsi="Calibri"/>
            <w:sz w:val="22"/>
            <w:szCs w:val="22"/>
          </w:rPr>
          <w:tab/>
        </w:r>
        <w:r>
          <w:rPr>
            <w:rStyle w:val="1020"/>
          </w:rPr>
          <w:t xml:space="preserve">172. ЭФ списка документов «Расходное расписание»</w:t>
        </w:r>
        <w:r>
          <w:tab/>
        </w:r>
        <w:r>
          <w:fldChar w:fldCharType="begin"/>
        </w:r>
        <w:r>
          <w:instrText xml:space="preserve"> PAGEREF _Toc88819557 \h </w:instrText>
        </w:r>
        <w:r/>
        <w:r>
          <w:fldChar w:fldCharType="separate"/>
        </w:r>
        <w:r>
          <w:t xml:space="preserve">357</w:t>
        </w:r>
        <w:r>
          <w:fldChar w:fldCharType="end"/>
        </w:r>
      </w:hyperlink>
      <w:r/>
      <w:r/>
    </w:p>
    <w:p>
      <w:pPr>
        <w:pStyle w:val="1152"/>
        <w:rPr>
          <w:rFonts w:ascii="Calibri" w:hAnsi="Calibri"/>
          <w:sz w:val="22"/>
          <w:szCs w:val="22"/>
        </w:rPr>
      </w:pPr>
      <w:r/>
      <w:hyperlink w:tooltip="#_Toc88819558" w:anchor="_Toc88819558" w:history="1">
        <w:r>
          <w:rPr>
            <w:rStyle w:val="1020"/>
          </w:rPr>
          <w:t xml:space="preserve">Рисунок </w:t>
        </w:r>
        <w:r>
          <w:rPr>
            <w:rFonts w:ascii="Calibri" w:hAnsi="Calibri"/>
            <w:sz w:val="22"/>
            <w:szCs w:val="22"/>
          </w:rPr>
          <w:tab/>
        </w:r>
        <w:r>
          <w:rPr>
            <w:rStyle w:val="1020"/>
          </w:rPr>
          <w:t xml:space="preserve">173. ЭФ документа «Расходное расписание», закладки «Документ (1)», вкладки «Раздел I: БА (3)»</w:t>
        </w:r>
        <w:r>
          <w:tab/>
        </w:r>
        <w:r>
          <w:fldChar w:fldCharType="begin"/>
        </w:r>
        <w:r>
          <w:instrText xml:space="preserve"> PAGEREF _Toc88819558 \h </w:instrText>
        </w:r>
        <w:r/>
        <w:r>
          <w:fldChar w:fldCharType="separate"/>
        </w:r>
        <w:r>
          <w:t xml:space="preserve">358</w:t>
        </w:r>
        <w:r>
          <w:fldChar w:fldCharType="end"/>
        </w:r>
      </w:hyperlink>
      <w:r/>
      <w:r/>
    </w:p>
    <w:p>
      <w:pPr>
        <w:pStyle w:val="1152"/>
        <w:rPr>
          <w:rFonts w:ascii="Calibri" w:hAnsi="Calibri"/>
          <w:sz w:val="22"/>
          <w:szCs w:val="22"/>
        </w:rPr>
      </w:pPr>
      <w:r/>
      <w:hyperlink w:tooltip="#_Toc88819559" w:anchor="_Toc88819559" w:history="1">
        <w:r>
          <w:rPr>
            <w:rStyle w:val="1020"/>
          </w:rPr>
          <w:t xml:space="preserve">Рисунок </w:t>
        </w:r>
        <w:r>
          <w:rPr>
            <w:rFonts w:ascii="Calibri" w:hAnsi="Calibri"/>
            <w:sz w:val="22"/>
            <w:szCs w:val="22"/>
          </w:rPr>
          <w:tab/>
        </w:r>
        <w:r>
          <w:rPr>
            <w:rStyle w:val="1020"/>
          </w:rPr>
          <w:t xml:space="preserve">174. Форма «Специальные указания» (для кода «08»)</w:t>
        </w:r>
        <w:r>
          <w:tab/>
        </w:r>
        <w:r>
          <w:fldChar w:fldCharType="begin"/>
        </w:r>
        <w:r>
          <w:instrText xml:space="preserve"> PAGEREF _Toc88819559 \h </w:instrText>
        </w:r>
        <w:r/>
        <w:r>
          <w:fldChar w:fldCharType="separate"/>
        </w:r>
        <w:r>
          <w:t xml:space="preserve">363</w:t>
        </w:r>
        <w:r>
          <w:fldChar w:fldCharType="end"/>
        </w:r>
      </w:hyperlink>
      <w:r/>
      <w:r/>
    </w:p>
    <w:p>
      <w:pPr>
        <w:pStyle w:val="1152"/>
        <w:rPr>
          <w:rFonts w:ascii="Calibri" w:hAnsi="Calibri"/>
          <w:sz w:val="22"/>
          <w:szCs w:val="22"/>
        </w:rPr>
      </w:pPr>
      <w:r/>
      <w:hyperlink w:tooltip="#_Toc88819560" w:anchor="_Toc88819560" w:history="1">
        <w:r>
          <w:rPr>
            <w:rStyle w:val="1020"/>
          </w:rPr>
          <w:t xml:space="preserve">Рисунок </w:t>
        </w:r>
        <w:r>
          <w:rPr>
            <w:rFonts w:ascii="Calibri" w:hAnsi="Calibri"/>
            <w:sz w:val="22"/>
            <w:szCs w:val="22"/>
          </w:rPr>
          <w:tab/>
        </w:r>
        <w:r>
          <w:rPr>
            <w:rStyle w:val="1020"/>
          </w:rPr>
          <w:t xml:space="preserve">175. Форма «Специальные указания» (для кода «02»)</w:t>
        </w:r>
        <w:r>
          <w:tab/>
        </w:r>
        <w:r>
          <w:fldChar w:fldCharType="begin"/>
        </w:r>
        <w:r>
          <w:instrText xml:space="preserve"> PAGEREF _Toc88819560 \h </w:instrText>
        </w:r>
        <w:r/>
        <w:r>
          <w:fldChar w:fldCharType="separate"/>
        </w:r>
        <w:r>
          <w:t xml:space="preserve">363</w:t>
        </w:r>
        <w:r>
          <w:fldChar w:fldCharType="end"/>
        </w:r>
      </w:hyperlink>
      <w:r/>
      <w:r/>
    </w:p>
    <w:p>
      <w:pPr>
        <w:pStyle w:val="1152"/>
        <w:rPr>
          <w:rFonts w:ascii="Calibri" w:hAnsi="Calibri"/>
          <w:sz w:val="22"/>
          <w:szCs w:val="22"/>
        </w:rPr>
      </w:pPr>
      <w:r/>
      <w:hyperlink w:tooltip="#_Toc88819561" w:anchor="_Toc88819561" w:history="1">
        <w:r>
          <w:rPr>
            <w:rStyle w:val="1020"/>
          </w:rPr>
          <w:t xml:space="preserve">Рисунок </w:t>
        </w:r>
        <w:r>
          <w:rPr>
            <w:rFonts w:ascii="Calibri" w:hAnsi="Calibri"/>
            <w:sz w:val="22"/>
            <w:szCs w:val="22"/>
          </w:rPr>
          <w:tab/>
        </w:r>
        <w:r>
          <w:rPr>
            <w:rStyle w:val="1020"/>
          </w:rPr>
          <w:t xml:space="preserve">176. Форма «Специальные указания» (для кода, не равного «02» и «08»)</w:t>
        </w:r>
        <w:r>
          <w:tab/>
        </w:r>
        <w:r>
          <w:fldChar w:fldCharType="begin"/>
        </w:r>
        <w:r>
          <w:instrText xml:space="preserve"> PAGEREF _Toc88819561 \h </w:instrText>
        </w:r>
        <w:r/>
        <w:r>
          <w:fldChar w:fldCharType="separate"/>
        </w:r>
        <w:r>
          <w:t xml:space="preserve">364</w:t>
        </w:r>
        <w:r>
          <w:fldChar w:fldCharType="end"/>
        </w:r>
      </w:hyperlink>
      <w:r/>
      <w:r/>
    </w:p>
    <w:p>
      <w:pPr>
        <w:pStyle w:val="1152"/>
        <w:rPr>
          <w:rFonts w:ascii="Calibri" w:hAnsi="Calibri"/>
          <w:sz w:val="22"/>
          <w:szCs w:val="22"/>
        </w:rPr>
      </w:pPr>
      <w:r/>
      <w:hyperlink w:tooltip="#_Toc88819562" w:anchor="_Toc88819562" w:history="1">
        <w:r>
          <w:rPr>
            <w:rStyle w:val="1020"/>
          </w:rPr>
          <w:t xml:space="preserve">Рисунок </w:t>
        </w:r>
        <w:r>
          <w:rPr>
            <w:rFonts w:ascii="Calibri" w:hAnsi="Calibri"/>
            <w:sz w:val="22"/>
            <w:szCs w:val="22"/>
          </w:rPr>
          <w:tab/>
        </w:r>
        <w:r>
          <w:rPr>
            <w:rStyle w:val="1020"/>
          </w:rPr>
          <w:t xml:space="preserve">177. Форма «Добавление записи» (строка БА)</w:t>
        </w:r>
        <w:r>
          <w:tab/>
        </w:r>
        <w:r>
          <w:fldChar w:fldCharType="begin"/>
        </w:r>
        <w:r>
          <w:instrText xml:space="preserve"> PAGEREF _Toc88819562 \h </w:instrText>
        </w:r>
        <w:r/>
        <w:r>
          <w:fldChar w:fldCharType="separate"/>
        </w:r>
        <w:r>
          <w:t xml:space="preserve">364</w:t>
        </w:r>
        <w:r>
          <w:fldChar w:fldCharType="end"/>
        </w:r>
      </w:hyperlink>
      <w:r/>
      <w:r/>
    </w:p>
    <w:p>
      <w:pPr>
        <w:pStyle w:val="1152"/>
        <w:rPr>
          <w:rFonts w:ascii="Calibri" w:hAnsi="Calibri"/>
          <w:sz w:val="22"/>
          <w:szCs w:val="22"/>
        </w:rPr>
      </w:pPr>
      <w:r/>
      <w:hyperlink w:tooltip="#_Toc88819563" w:anchor="_Toc88819563" w:history="1">
        <w:r>
          <w:rPr>
            <w:rStyle w:val="1020"/>
          </w:rPr>
          <w:t xml:space="preserve">Рисунок </w:t>
        </w:r>
        <w:r>
          <w:rPr>
            <w:rFonts w:ascii="Calibri" w:hAnsi="Calibri"/>
            <w:sz w:val="22"/>
            <w:szCs w:val="22"/>
          </w:rPr>
          <w:tab/>
        </w:r>
        <w:r>
          <w:rPr>
            <w:rStyle w:val="1020"/>
          </w:rPr>
          <w:t xml:space="preserve">178. ЭФ документа «Расходное расписание», закладки «Документ (1)», вкладки «Раздел II: ЛБО (4)»</w:t>
        </w:r>
        <w:r>
          <w:tab/>
        </w:r>
        <w:r>
          <w:fldChar w:fldCharType="begin"/>
        </w:r>
        <w:r>
          <w:instrText xml:space="preserve"> PAGEREF _Toc88819563 \h </w:instrText>
        </w:r>
        <w:r/>
        <w:r>
          <w:fldChar w:fldCharType="separate"/>
        </w:r>
        <w:r>
          <w:t xml:space="preserve">365</w:t>
        </w:r>
        <w:r>
          <w:fldChar w:fldCharType="end"/>
        </w:r>
      </w:hyperlink>
      <w:r/>
      <w:r/>
    </w:p>
    <w:p>
      <w:pPr>
        <w:pStyle w:val="1152"/>
        <w:rPr>
          <w:rFonts w:ascii="Calibri" w:hAnsi="Calibri"/>
          <w:sz w:val="22"/>
          <w:szCs w:val="22"/>
        </w:rPr>
      </w:pPr>
      <w:r/>
      <w:hyperlink w:tooltip="#_Toc88819564" w:anchor="_Toc88819564" w:history="1">
        <w:r>
          <w:rPr>
            <w:rStyle w:val="1020"/>
          </w:rPr>
          <w:t xml:space="preserve">Рисунок </w:t>
        </w:r>
        <w:r>
          <w:rPr>
            <w:rFonts w:ascii="Calibri" w:hAnsi="Calibri"/>
            <w:sz w:val="22"/>
            <w:szCs w:val="22"/>
          </w:rPr>
          <w:tab/>
        </w:r>
        <w:r>
          <w:rPr>
            <w:rStyle w:val="1020"/>
          </w:rPr>
          <w:t xml:space="preserve">179. ЭФ документа «Расходное расписание», закладки «Документ (1)», вкладки «Раздел III: ПОФР (5)»</w:t>
        </w:r>
        <w:r>
          <w:tab/>
        </w:r>
        <w:r>
          <w:fldChar w:fldCharType="begin"/>
        </w:r>
        <w:r>
          <w:instrText xml:space="preserve"> PAGEREF _Toc88819564 \h </w:instrText>
        </w:r>
        <w:r/>
        <w:r>
          <w:fldChar w:fldCharType="separate"/>
        </w:r>
        <w:r>
          <w:t xml:space="preserve">367</w:t>
        </w:r>
        <w:r>
          <w:fldChar w:fldCharType="end"/>
        </w:r>
      </w:hyperlink>
      <w:r/>
      <w:r/>
    </w:p>
    <w:p>
      <w:pPr>
        <w:pStyle w:val="1152"/>
        <w:rPr>
          <w:rFonts w:ascii="Calibri" w:hAnsi="Calibri"/>
          <w:sz w:val="22"/>
          <w:szCs w:val="22"/>
        </w:rPr>
      </w:pPr>
      <w:r/>
      <w:hyperlink w:tooltip="#_Toc88819565" w:anchor="_Toc88819565" w:history="1">
        <w:r>
          <w:rPr>
            <w:rStyle w:val="1020"/>
          </w:rPr>
          <w:t xml:space="preserve">Рисунок </w:t>
        </w:r>
        <w:r>
          <w:rPr>
            <w:rFonts w:ascii="Calibri" w:hAnsi="Calibri"/>
            <w:sz w:val="22"/>
            <w:szCs w:val="22"/>
          </w:rPr>
          <w:tab/>
        </w:r>
        <w:r>
          <w:rPr>
            <w:rStyle w:val="1020"/>
          </w:rPr>
          <w:t xml:space="preserve">180. ЭФ документа «Расходное расписание», закладки «Дополнительные атрибуты (2)»</w:t>
        </w:r>
        <w:r>
          <w:tab/>
        </w:r>
        <w:r>
          <w:fldChar w:fldCharType="begin"/>
        </w:r>
        <w:r>
          <w:instrText xml:space="preserve"> PAGEREF _Toc88819565 \h </w:instrText>
        </w:r>
        <w:r/>
        <w:r>
          <w:fldChar w:fldCharType="separate"/>
        </w:r>
        <w:r>
          <w:t xml:space="preserve">368</w:t>
        </w:r>
        <w:r>
          <w:fldChar w:fldCharType="end"/>
        </w:r>
      </w:hyperlink>
      <w:r/>
      <w:r/>
    </w:p>
    <w:p>
      <w:pPr>
        <w:pStyle w:val="1152"/>
        <w:rPr>
          <w:rFonts w:ascii="Calibri" w:hAnsi="Calibri"/>
          <w:sz w:val="22"/>
          <w:szCs w:val="22"/>
        </w:rPr>
      </w:pPr>
      <w:r/>
      <w:hyperlink w:tooltip="#_Toc88819566" w:anchor="_Toc88819566" w:history="1">
        <w:r>
          <w:rPr>
            <w:rStyle w:val="1020"/>
          </w:rPr>
          <w:t xml:space="preserve">Рисунок </w:t>
        </w:r>
        <w:r>
          <w:rPr>
            <w:rFonts w:ascii="Calibri" w:hAnsi="Calibri"/>
            <w:sz w:val="22"/>
            <w:szCs w:val="22"/>
          </w:rPr>
          <w:tab/>
        </w:r>
        <w:r>
          <w:rPr>
            <w:rStyle w:val="1020"/>
          </w:rPr>
          <w:t xml:space="preserve">181. ЭФ списка документов «Реестр расходных расписаний»</w:t>
        </w:r>
        <w:r>
          <w:tab/>
        </w:r>
        <w:r>
          <w:fldChar w:fldCharType="begin"/>
        </w:r>
        <w:r>
          <w:instrText xml:space="preserve"> PAGEREF _Toc88819566 \h </w:instrText>
        </w:r>
        <w:r/>
        <w:r>
          <w:fldChar w:fldCharType="separate"/>
        </w:r>
        <w:r>
          <w:t xml:space="preserve">370</w:t>
        </w:r>
        <w:r>
          <w:fldChar w:fldCharType="end"/>
        </w:r>
      </w:hyperlink>
      <w:r/>
      <w:r/>
    </w:p>
    <w:p>
      <w:pPr>
        <w:pStyle w:val="1152"/>
        <w:rPr>
          <w:rFonts w:ascii="Calibri" w:hAnsi="Calibri"/>
          <w:sz w:val="22"/>
          <w:szCs w:val="22"/>
        </w:rPr>
      </w:pPr>
      <w:r/>
      <w:hyperlink w:tooltip="#_Toc88819567" w:anchor="_Toc88819567" w:history="1">
        <w:r>
          <w:rPr>
            <w:rStyle w:val="1020"/>
          </w:rPr>
          <w:t xml:space="preserve">Рисунок </w:t>
        </w:r>
        <w:r>
          <w:rPr>
            <w:rFonts w:ascii="Calibri" w:hAnsi="Calibri"/>
            <w:sz w:val="22"/>
            <w:szCs w:val="22"/>
          </w:rPr>
          <w:tab/>
        </w:r>
        <w:r>
          <w:rPr>
            <w:rStyle w:val="1020"/>
          </w:rPr>
          <w:t xml:space="preserve">182. ЭФ выбора родительского документа</w:t>
        </w:r>
        <w:r>
          <w:tab/>
        </w:r>
        <w:r>
          <w:fldChar w:fldCharType="begin"/>
        </w:r>
        <w:r>
          <w:instrText xml:space="preserve"> PAGEREF _Toc88819567 \h </w:instrText>
        </w:r>
        <w:r/>
        <w:r>
          <w:fldChar w:fldCharType="separate"/>
        </w:r>
        <w:r>
          <w:t xml:space="preserve">371</w:t>
        </w:r>
        <w:r>
          <w:fldChar w:fldCharType="end"/>
        </w:r>
      </w:hyperlink>
      <w:r/>
      <w:r/>
    </w:p>
    <w:p>
      <w:pPr>
        <w:pStyle w:val="1152"/>
        <w:rPr>
          <w:rFonts w:ascii="Calibri" w:hAnsi="Calibri"/>
          <w:sz w:val="22"/>
          <w:szCs w:val="22"/>
        </w:rPr>
      </w:pPr>
      <w:r/>
      <w:hyperlink w:tooltip="#_Toc88819568" w:anchor="_Toc88819568" w:history="1">
        <w:r>
          <w:rPr>
            <w:rStyle w:val="1020"/>
          </w:rPr>
          <w:t xml:space="preserve">Рисунок </w:t>
        </w:r>
        <w:r>
          <w:rPr>
            <w:rFonts w:ascii="Calibri" w:hAnsi="Calibri"/>
            <w:sz w:val="22"/>
            <w:szCs w:val="22"/>
          </w:rPr>
          <w:tab/>
        </w:r>
        <w:r>
          <w:rPr>
            <w:rStyle w:val="1020"/>
          </w:rPr>
          <w:t xml:space="preserve">183. ЭФ «Выбор записи из справочника»</w:t>
        </w:r>
        <w:r>
          <w:tab/>
        </w:r>
        <w:r>
          <w:fldChar w:fldCharType="begin"/>
        </w:r>
        <w:r>
          <w:instrText xml:space="preserve"> PAGEREF _Toc88819568 \h </w:instrText>
        </w:r>
        <w:r/>
        <w:r>
          <w:fldChar w:fldCharType="separate"/>
        </w:r>
        <w:r>
          <w:t xml:space="preserve">371</w:t>
        </w:r>
        <w:r>
          <w:fldChar w:fldCharType="end"/>
        </w:r>
      </w:hyperlink>
      <w:r/>
      <w:r/>
    </w:p>
    <w:p>
      <w:pPr>
        <w:pStyle w:val="1152"/>
        <w:rPr>
          <w:rFonts w:ascii="Calibri" w:hAnsi="Calibri"/>
          <w:sz w:val="22"/>
          <w:szCs w:val="22"/>
        </w:rPr>
      </w:pPr>
      <w:r/>
      <w:hyperlink w:tooltip="#_Toc88819569" w:anchor="_Toc88819569" w:history="1">
        <w:r>
          <w:rPr>
            <w:rStyle w:val="1020"/>
          </w:rPr>
          <w:t xml:space="preserve">Рисунок </w:t>
        </w:r>
        <w:r>
          <w:rPr>
            <w:rFonts w:ascii="Calibri" w:hAnsi="Calibri"/>
            <w:sz w:val="22"/>
            <w:szCs w:val="22"/>
          </w:rPr>
          <w:tab/>
        </w:r>
        <w:r>
          <w:rPr>
            <w:rStyle w:val="1020"/>
          </w:rPr>
          <w:t xml:space="preserve">184. ЭФ документа «Реестр расходных расписаний», закладки «Документ (1)», вкладки «Расходные расписания (3)»</w:t>
        </w:r>
        <w:r>
          <w:tab/>
        </w:r>
        <w:r>
          <w:fldChar w:fldCharType="begin"/>
        </w:r>
        <w:r>
          <w:instrText xml:space="preserve"> PAGEREF _Toc88819569 \h </w:instrText>
        </w:r>
        <w:r/>
        <w:r>
          <w:fldChar w:fldCharType="separate"/>
        </w:r>
        <w:r>
          <w:t xml:space="preserve">372</w:t>
        </w:r>
        <w:r>
          <w:fldChar w:fldCharType="end"/>
        </w:r>
      </w:hyperlink>
      <w:r/>
      <w:r/>
    </w:p>
    <w:p>
      <w:pPr>
        <w:pStyle w:val="1152"/>
        <w:rPr>
          <w:rFonts w:ascii="Calibri" w:hAnsi="Calibri"/>
          <w:sz w:val="22"/>
          <w:szCs w:val="22"/>
        </w:rPr>
      </w:pPr>
      <w:r/>
      <w:hyperlink w:tooltip="#_Toc88819570" w:anchor="_Toc88819570" w:history="1">
        <w:r>
          <w:rPr>
            <w:rStyle w:val="1020"/>
          </w:rPr>
          <w:t xml:space="preserve">Рисунок </w:t>
        </w:r>
        <w:r>
          <w:rPr>
            <w:rFonts w:ascii="Calibri" w:hAnsi="Calibri"/>
            <w:sz w:val="22"/>
            <w:szCs w:val="22"/>
          </w:rPr>
          <w:tab/>
        </w:r>
        <w:r>
          <w:rPr>
            <w:rStyle w:val="1020"/>
          </w:rPr>
          <w:t xml:space="preserve">185. Форма «Добавление записи» (строка данных о расходном расписании)</w:t>
        </w:r>
        <w:r>
          <w:tab/>
        </w:r>
        <w:r>
          <w:fldChar w:fldCharType="begin"/>
        </w:r>
        <w:r>
          <w:instrText xml:space="preserve"> PAGEREF _Toc88819570 \h </w:instrText>
        </w:r>
        <w:r/>
        <w:r>
          <w:fldChar w:fldCharType="separate"/>
        </w:r>
        <w:r>
          <w:t xml:space="preserve">376</w:t>
        </w:r>
        <w:r>
          <w:fldChar w:fldCharType="end"/>
        </w:r>
      </w:hyperlink>
      <w:r/>
      <w:r/>
    </w:p>
    <w:p>
      <w:pPr>
        <w:pStyle w:val="1152"/>
        <w:rPr>
          <w:rFonts w:ascii="Calibri" w:hAnsi="Calibri"/>
          <w:sz w:val="22"/>
          <w:szCs w:val="22"/>
        </w:rPr>
      </w:pPr>
      <w:r/>
      <w:hyperlink w:tooltip="#_Toc88819571" w:anchor="_Toc88819571" w:history="1">
        <w:r>
          <w:rPr>
            <w:rStyle w:val="1020"/>
          </w:rPr>
          <w:t xml:space="preserve">Рисунок </w:t>
        </w:r>
        <w:r>
          <w:rPr>
            <w:rFonts w:ascii="Calibri" w:hAnsi="Calibri"/>
            <w:sz w:val="22"/>
            <w:szCs w:val="22"/>
          </w:rPr>
          <w:tab/>
        </w:r>
        <w:r>
          <w:rPr>
            <w:rStyle w:val="1020"/>
          </w:rPr>
          <w:t xml:space="preserve">186. ЭФ документа «Реестр расходных расписаний», закладки «Документ (1)», вкладки «Раздел I: БА (4)»</w:t>
        </w:r>
        <w:r>
          <w:tab/>
        </w:r>
        <w:r>
          <w:fldChar w:fldCharType="begin"/>
        </w:r>
        <w:r>
          <w:instrText xml:space="preserve"> PAGEREF _Toc88819571 \h </w:instrText>
        </w:r>
        <w:r/>
        <w:r>
          <w:fldChar w:fldCharType="separate"/>
        </w:r>
        <w:r>
          <w:t xml:space="preserve">377</w:t>
        </w:r>
        <w:r>
          <w:fldChar w:fldCharType="end"/>
        </w:r>
      </w:hyperlink>
      <w:r/>
      <w:r/>
    </w:p>
    <w:p>
      <w:pPr>
        <w:pStyle w:val="1152"/>
        <w:rPr>
          <w:rFonts w:ascii="Calibri" w:hAnsi="Calibri"/>
          <w:sz w:val="22"/>
          <w:szCs w:val="22"/>
        </w:rPr>
      </w:pPr>
      <w:r/>
      <w:hyperlink w:tooltip="#_Toc88819572" w:anchor="_Toc88819572" w:history="1">
        <w:r>
          <w:rPr>
            <w:rStyle w:val="1020"/>
          </w:rPr>
          <w:t xml:space="preserve">Рисунок </w:t>
        </w:r>
        <w:r>
          <w:rPr>
            <w:rFonts w:ascii="Calibri" w:hAnsi="Calibri"/>
            <w:sz w:val="22"/>
            <w:szCs w:val="22"/>
          </w:rPr>
          <w:tab/>
        </w:r>
        <w:r>
          <w:rPr>
            <w:rStyle w:val="1020"/>
          </w:rPr>
          <w:t xml:space="preserve">187. ЭД «Добавление записи» (строка БА)</w:t>
        </w:r>
        <w:r>
          <w:tab/>
        </w:r>
        <w:r>
          <w:fldChar w:fldCharType="begin"/>
        </w:r>
        <w:r>
          <w:instrText xml:space="preserve"> PAGEREF _Toc88819572 \h </w:instrText>
        </w:r>
        <w:r/>
        <w:r>
          <w:fldChar w:fldCharType="separate"/>
        </w:r>
        <w:r>
          <w:t xml:space="preserve">379</w:t>
        </w:r>
        <w:r>
          <w:fldChar w:fldCharType="end"/>
        </w:r>
      </w:hyperlink>
      <w:r/>
      <w:r/>
    </w:p>
    <w:p>
      <w:pPr>
        <w:pStyle w:val="1152"/>
        <w:rPr>
          <w:rFonts w:ascii="Calibri" w:hAnsi="Calibri"/>
          <w:sz w:val="22"/>
          <w:szCs w:val="22"/>
        </w:rPr>
      </w:pPr>
      <w:r/>
      <w:hyperlink w:tooltip="#_Toc88819573" w:anchor="_Toc88819573" w:history="1">
        <w:r>
          <w:rPr>
            <w:rStyle w:val="1020"/>
          </w:rPr>
          <w:t xml:space="preserve">Рисунок </w:t>
        </w:r>
        <w:r>
          <w:rPr>
            <w:rFonts w:ascii="Calibri" w:hAnsi="Calibri"/>
            <w:sz w:val="22"/>
            <w:szCs w:val="22"/>
          </w:rPr>
          <w:tab/>
        </w:r>
        <w:r>
          <w:rPr>
            <w:rStyle w:val="1020"/>
          </w:rPr>
          <w:t xml:space="preserve">188. ЭФ документа «Реестр расходных расписаний», закладки «Документ (1)», вкладки «Раздел II: ЛБО (5)»</w:t>
        </w:r>
        <w:r>
          <w:tab/>
        </w:r>
        <w:r>
          <w:fldChar w:fldCharType="begin"/>
        </w:r>
        <w:r>
          <w:instrText xml:space="preserve"> PAGEREF _Toc88819573 \h </w:instrText>
        </w:r>
        <w:r/>
        <w:r>
          <w:fldChar w:fldCharType="separate"/>
        </w:r>
        <w:r>
          <w:t xml:space="preserve">380</w:t>
        </w:r>
        <w:r>
          <w:fldChar w:fldCharType="end"/>
        </w:r>
      </w:hyperlink>
      <w:r/>
      <w:r/>
    </w:p>
    <w:p>
      <w:pPr>
        <w:pStyle w:val="1152"/>
        <w:rPr>
          <w:rFonts w:ascii="Calibri" w:hAnsi="Calibri"/>
          <w:sz w:val="22"/>
          <w:szCs w:val="22"/>
        </w:rPr>
      </w:pPr>
      <w:r/>
      <w:hyperlink w:tooltip="#_Toc88819574" w:anchor="_Toc88819574" w:history="1">
        <w:r>
          <w:rPr>
            <w:rStyle w:val="1020"/>
          </w:rPr>
          <w:t xml:space="preserve">Рисунок </w:t>
        </w:r>
        <w:r>
          <w:rPr>
            <w:rFonts w:ascii="Calibri" w:hAnsi="Calibri"/>
            <w:sz w:val="22"/>
            <w:szCs w:val="22"/>
          </w:rPr>
          <w:tab/>
        </w:r>
        <w:r>
          <w:rPr>
            <w:rStyle w:val="1020"/>
          </w:rPr>
          <w:t xml:space="preserve">189. ЭФ документа «Реестр расходных расписаний», закладки «Документ (1)», вкладки «Раздел III: ПОФР (6)»</w:t>
        </w:r>
        <w:r>
          <w:tab/>
        </w:r>
        <w:r>
          <w:fldChar w:fldCharType="begin"/>
        </w:r>
        <w:r>
          <w:instrText xml:space="preserve"> PAGEREF _Toc88819574 \h </w:instrText>
        </w:r>
        <w:r/>
        <w:r>
          <w:fldChar w:fldCharType="separate"/>
        </w:r>
        <w:r>
          <w:t xml:space="preserve">382</w:t>
        </w:r>
        <w:r>
          <w:fldChar w:fldCharType="end"/>
        </w:r>
      </w:hyperlink>
      <w:r/>
      <w:r/>
    </w:p>
    <w:p>
      <w:pPr>
        <w:pStyle w:val="1152"/>
        <w:rPr>
          <w:rFonts w:ascii="Calibri" w:hAnsi="Calibri"/>
          <w:sz w:val="22"/>
          <w:szCs w:val="22"/>
        </w:rPr>
      </w:pPr>
      <w:r/>
      <w:hyperlink w:tooltip="#_Toc88819575" w:anchor="_Toc88819575" w:history="1">
        <w:r>
          <w:rPr>
            <w:rStyle w:val="1020"/>
          </w:rPr>
          <w:t xml:space="preserve">Рисунок </w:t>
        </w:r>
        <w:r>
          <w:rPr>
            <w:rFonts w:ascii="Calibri" w:hAnsi="Calibri"/>
            <w:sz w:val="22"/>
            <w:szCs w:val="22"/>
          </w:rPr>
          <w:tab/>
        </w:r>
        <w:r>
          <w:rPr>
            <w:rStyle w:val="1020"/>
          </w:rPr>
          <w:t xml:space="preserve">190. ЭФ документа «Реестр расходных расписаний», закладки «Дополнительные атрибуты (2)»</w:t>
        </w:r>
        <w:r>
          <w:tab/>
        </w:r>
        <w:r>
          <w:fldChar w:fldCharType="begin"/>
        </w:r>
        <w:r>
          <w:instrText xml:space="preserve"> PAGEREF _Toc88819575 \h </w:instrText>
        </w:r>
        <w:r/>
        <w:r>
          <w:fldChar w:fldCharType="separate"/>
        </w:r>
        <w:r>
          <w:t xml:space="preserve">384</w:t>
        </w:r>
        <w:r>
          <w:fldChar w:fldCharType="end"/>
        </w:r>
      </w:hyperlink>
      <w:r/>
      <w:r/>
    </w:p>
    <w:p>
      <w:pPr>
        <w:pStyle w:val="1152"/>
        <w:rPr>
          <w:rFonts w:ascii="Calibri" w:hAnsi="Calibri"/>
          <w:sz w:val="22"/>
          <w:szCs w:val="22"/>
        </w:rPr>
      </w:pPr>
      <w:r/>
      <w:hyperlink w:tooltip="#_Toc88819576" w:anchor="_Toc88819576" w:history="1">
        <w:r>
          <w:rPr>
            <w:rStyle w:val="1020"/>
          </w:rPr>
          <w:t xml:space="preserve">Рисунок </w:t>
        </w:r>
        <w:r>
          <w:rPr>
            <w:rFonts w:ascii="Calibri" w:hAnsi="Calibri"/>
            <w:sz w:val="22"/>
            <w:szCs w:val="22"/>
          </w:rPr>
          <w:tab/>
        </w:r>
        <w:r>
          <w:rPr>
            <w:rStyle w:val="1020"/>
          </w:rPr>
          <w:t xml:space="preserve">191. ЭФ списка документов «Сведения об операциях с целевыми субсидиями»</w:t>
        </w:r>
        <w:r>
          <w:tab/>
        </w:r>
        <w:r>
          <w:fldChar w:fldCharType="begin"/>
        </w:r>
        <w:r>
          <w:instrText xml:space="preserve"> PAGEREF _Toc88819576 \h </w:instrText>
        </w:r>
        <w:r/>
        <w:r>
          <w:fldChar w:fldCharType="separate"/>
        </w:r>
        <w:r>
          <w:t xml:space="preserve">386</w:t>
        </w:r>
        <w:r>
          <w:fldChar w:fldCharType="end"/>
        </w:r>
      </w:hyperlink>
      <w:r/>
      <w:r/>
    </w:p>
    <w:p>
      <w:pPr>
        <w:pStyle w:val="1152"/>
        <w:rPr>
          <w:rFonts w:ascii="Calibri" w:hAnsi="Calibri"/>
          <w:sz w:val="22"/>
          <w:szCs w:val="22"/>
        </w:rPr>
      </w:pPr>
      <w:r/>
      <w:hyperlink w:tooltip="#_Toc88819577" w:anchor="_Toc88819577" w:history="1">
        <w:r>
          <w:rPr>
            <w:rStyle w:val="1020"/>
          </w:rPr>
          <w:t xml:space="preserve">Рисунок </w:t>
        </w:r>
        <w:r>
          <w:rPr>
            <w:rFonts w:ascii="Calibri" w:hAnsi="Calibri"/>
            <w:sz w:val="22"/>
            <w:szCs w:val="22"/>
          </w:rPr>
          <w:tab/>
        </w:r>
        <w:r>
          <w:rPr>
            <w:rStyle w:val="1020"/>
          </w:rPr>
          <w:t xml:space="preserve">192. ЭФ документа «Сведения об операциях с целевыми субсидиями», закладки «Документ (1)»</w:t>
        </w:r>
        <w:r>
          <w:tab/>
        </w:r>
        <w:r>
          <w:fldChar w:fldCharType="begin"/>
        </w:r>
        <w:r>
          <w:instrText xml:space="preserve"> PAGEREF _Toc88819577 \h </w:instrText>
        </w:r>
        <w:r/>
        <w:r>
          <w:fldChar w:fldCharType="separate"/>
        </w:r>
        <w:r>
          <w:t xml:space="preserve">387</w:t>
        </w:r>
        <w:r>
          <w:fldChar w:fldCharType="end"/>
        </w:r>
      </w:hyperlink>
      <w:r/>
      <w:r/>
    </w:p>
    <w:p>
      <w:pPr>
        <w:pStyle w:val="1152"/>
        <w:rPr>
          <w:rFonts w:ascii="Calibri" w:hAnsi="Calibri"/>
          <w:sz w:val="22"/>
          <w:szCs w:val="22"/>
        </w:rPr>
      </w:pPr>
      <w:r/>
      <w:hyperlink w:tooltip="#_Toc88819578" w:anchor="_Toc88819578" w:history="1">
        <w:r>
          <w:rPr>
            <w:rStyle w:val="1020"/>
          </w:rPr>
          <w:t xml:space="preserve">Рисунок </w:t>
        </w:r>
        <w:r>
          <w:rPr>
            <w:rFonts w:ascii="Calibri" w:hAnsi="Calibri"/>
            <w:sz w:val="22"/>
            <w:szCs w:val="22"/>
          </w:rPr>
          <w:tab/>
        </w:r>
        <w:r>
          <w:rPr>
            <w:rStyle w:val="1020"/>
          </w:rPr>
          <w:t xml:space="preserve">193. ЭФ документа «Сведения об операциях с целевыми субсидиями», закладки «Документ (1)» для типа документа «3 – санкционирование ЮЛ»</w:t>
        </w:r>
        <w:r>
          <w:tab/>
        </w:r>
        <w:r>
          <w:fldChar w:fldCharType="begin"/>
        </w:r>
        <w:r>
          <w:instrText xml:space="preserve"> PAGEREF _Toc88819578 \h </w:instrText>
        </w:r>
        <w:r/>
        <w:r>
          <w:fldChar w:fldCharType="separate"/>
        </w:r>
        <w:r>
          <w:t xml:space="preserve">388</w:t>
        </w:r>
        <w:r>
          <w:fldChar w:fldCharType="end"/>
        </w:r>
      </w:hyperlink>
      <w:r/>
      <w:r/>
    </w:p>
    <w:p>
      <w:pPr>
        <w:pStyle w:val="1152"/>
        <w:rPr>
          <w:rFonts w:ascii="Calibri" w:hAnsi="Calibri"/>
          <w:sz w:val="22"/>
          <w:szCs w:val="22"/>
        </w:rPr>
      </w:pPr>
      <w:r/>
      <w:hyperlink w:tooltip="#_Toc88819579" w:anchor="_Toc88819579" w:history="1">
        <w:r>
          <w:rPr>
            <w:rStyle w:val="1020"/>
          </w:rPr>
          <w:t xml:space="preserve">Рисунок </w:t>
        </w:r>
        <w:r>
          <w:rPr>
            <w:rFonts w:ascii="Calibri" w:hAnsi="Calibri"/>
            <w:sz w:val="22"/>
            <w:szCs w:val="22"/>
          </w:rPr>
          <w:tab/>
        </w:r>
        <w:r>
          <w:rPr>
            <w:rStyle w:val="1020"/>
          </w:rPr>
          <w:t xml:space="preserve">194. Форма «Добавление записи»</w:t>
        </w:r>
        <w:r>
          <w:tab/>
        </w:r>
        <w:r>
          <w:fldChar w:fldCharType="begin"/>
        </w:r>
        <w:r>
          <w:instrText xml:space="preserve"> PAGEREF _Toc88819579 \h </w:instrText>
        </w:r>
        <w:r/>
        <w:r>
          <w:fldChar w:fldCharType="separate"/>
        </w:r>
        <w:r>
          <w:t xml:space="preserve">398</w:t>
        </w:r>
        <w:r>
          <w:fldChar w:fldCharType="end"/>
        </w:r>
      </w:hyperlink>
      <w:r/>
      <w:r/>
    </w:p>
    <w:p>
      <w:pPr>
        <w:pStyle w:val="1152"/>
        <w:rPr>
          <w:rFonts w:ascii="Calibri" w:hAnsi="Calibri"/>
          <w:sz w:val="22"/>
          <w:szCs w:val="22"/>
        </w:rPr>
      </w:pPr>
      <w:r/>
      <w:hyperlink w:tooltip="#_Toc88819580" w:anchor="_Toc88819580" w:history="1">
        <w:r>
          <w:rPr>
            <w:rStyle w:val="1020"/>
          </w:rPr>
          <w:t xml:space="preserve">Рисунок </w:t>
        </w:r>
        <w:r>
          <w:rPr>
            <w:rFonts w:ascii="Calibri" w:hAnsi="Calibri"/>
            <w:sz w:val="22"/>
            <w:szCs w:val="22"/>
          </w:rPr>
          <w:tab/>
        </w:r>
        <w:r>
          <w:rPr>
            <w:rStyle w:val="1020"/>
          </w:rPr>
          <w:t xml:space="preserve">195. ЭФ документа «Сведения об операциях с целевыми субсидиями», закладки «Документ (2)»</w:t>
        </w:r>
        <w:r>
          <w:tab/>
        </w:r>
        <w:r>
          <w:fldChar w:fldCharType="begin"/>
        </w:r>
        <w:r>
          <w:instrText xml:space="preserve"> PAGEREF _Toc88819580 \h </w:instrText>
        </w:r>
        <w:r/>
        <w:r>
          <w:fldChar w:fldCharType="separate"/>
        </w:r>
        <w:r>
          <w:t xml:space="preserve">399</w:t>
        </w:r>
        <w:r>
          <w:fldChar w:fldCharType="end"/>
        </w:r>
      </w:hyperlink>
      <w:r/>
      <w:r/>
    </w:p>
    <w:p>
      <w:pPr>
        <w:pStyle w:val="1152"/>
        <w:rPr>
          <w:rFonts w:ascii="Calibri" w:hAnsi="Calibri"/>
          <w:sz w:val="22"/>
          <w:szCs w:val="22"/>
        </w:rPr>
      </w:pPr>
      <w:r/>
      <w:hyperlink w:tooltip="#_Toc88819581" w:anchor="_Toc88819581" w:history="1">
        <w:r>
          <w:rPr>
            <w:rStyle w:val="1020"/>
          </w:rPr>
          <w:t xml:space="preserve">Рисунок </w:t>
        </w:r>
        <w:r>
          <w:rPr>
            <w:rFonts w:ascii="Calibri" w:hAnsi="Calibri"/>
            <w:sz w:val="22"/>
            <w:szCs w:val="22"/>
          </w:rPr>
          <w:tab/>
        </w:r>
        <w:r>
          <w:rPr>
            <w:rStyle w:val="1020"/>
          </w:rPr>
          <w:t xml:space="preserve">196. ЭФ документа «Сведения об операциях с целевыми субсидиями», закладки «Документ (2)» для типа документа «3 – санкционирование ЮЛ»</w:t>
        </w:r>
        <w:r>
          <w:tab/>
        </w:r>
        <w:r>
          <w:fldChar w:fldCharType="begin"/>
        </w:r>
        <w:r>
          <w:instrText xml:space="preserve"> PAGEREF _Toc88819581 \h </w:instrText>
        </w:r>
        <w:r/>
        <w:r>
          <w:fldChar w:fldCharType="separate"/>
        </w:r>
        <w:r>
          <w:t xml:space="preserve">399</w:t>
        </w:r>
        <w:r>
          <w:fldChar w:fldCharType="end"/>
        </w:r>
      </w:hyperlink>
      <w:r/>
      <w:r/>
    </w:p>
    <w:p>
      <w:pPr>
        <w:pStyle w:val="1152"/>
        <w:rPr>
          <w:rFonts w:ascii="Calibri" w:hAnsi="Calibri"/>
          <w:sz w:val="22"/>
          <w:szCs w:val="22"/>
        </w:rPr>
      </w:pPr>
      <w:r/>
      <w:hyperlink w:tooltip="#_Toc88819582" w:anchor="_Toc88819582" w:history="1">
        <w:r>
          <w:rPr>
            <w:rStyle w:val="1020"/>
          </w:rPr>
          <w:t xml:space="preserve">Рисунок </w:t>
        </w:r>
        <w:r>
          <w:rPr>
            <w:rFonts w:ascii="Calibri" w:hAnsi="Calibri"/>
            <w:sz w:val="22"/>
            <w:szCs w:val="22"/>
          </w:rPr>
          <w:tab/>
        </w:r>
        <w:r>
          <w:rPr>
            <w:rStyle w:val="1020"/>
          </w:rPr>
          <w:t xml:space="preserve">197. ЭФ документа «Сведения об операциях с целевыми субсидиями», закладки «Дополнительные атрибуты (3)»</w:t>
        </w:r>
        <w:r>
          <w:tab/>
        </w:r>
        <w:r>
          <w:fldChar w:fldCharType="begin"/>
        </w:r>
        <w:r>
          <w:instrText xml:space="preserve"> PAGEREF _Toc88819582 \h </w:instrText>
        </w:r>
        <w:r/>
        <w:r>
          <w:fldChar w:fldCharType="separate"/>
        </w:r>
        <w:r>
          <w:t xml:space="preserve">402</w:t>
        </w:r>
        <w:r>
          <w:fldChar w:fldCharType="end"/>
        </w:r>
      </w:hyperlink>
      <w:r/>
      <w:r/>
    </w:p>
    <w:p>
      <w:pPr>
        <w:pStyle w:val="1152"/>
        <w:rPr>
          <w:rFonts w:ascii="Calibri" w:hAnsi="Calibri"/>
          <w:sz w:val="22"/>
          <w:szCs w:val="22"/>
        </w:rPr>
      </w:pPr>
      <w:r/>
      <w:hyperlink w:tooltip="#_Toc88819583" w:anchor="_Toc88819583" w:history="1">
        <w:r>
          <w:rPr>
            <w:rStyle w:val="1020"/>
          </w:rPr>
          <w:t xml:space="preserve">Рисунок </w:t>
        </w:r>
        <w:r>
          <w:rPr>
            <w:rFonts w:ascii="Calibri" w:hAnsi="Calibri"/>
            <w:sz w:val="22"/>
            <w:szCs w:val="22"/>
          </w:rPr>
          <w:tab/>
        </w:r>
        <w:r>
          <w:rPr>
            <w:rStyle w:val="1020"/>
          </w:rPr>
          <w:t xml:space="preserve">198. ЭФ списка документов «Сведения об операциях с целевыми средствами»</w:t>
        </w:r>
        <w:r>
          <w:tab/>
        </w:r>
        <w:r>
          <w:fldChar w:fldCharType="begin"/>
        </w:r>
        <w:r>
          <w:instrText xml:space="preserve"> PAGEREF _Toc88819583 \h </w:instrText>
        </w:r>
        <w:r/>
        <w:r>
          <w:fldChar w:fldCharType="separate"/>
        </w:r>
        <w:r>
          <w:t xml:space="preserve">404</w:t>
        </w:r>
        <w:r>
          <w:fldChar w:fldCharType="end"/>
        </w:r>
      </w:hyperlink>
      <w:r/>
      <w:r/>
    </w:p>
    <w:p>
      <w:pPr>
        <w:pStyle w:val="1152"/>
        <w:rPr>
          <w:rFonts w:ascii="Calibri" w:hAnsi="Calibri"/>
          <w:sz w:val="22"/>
          <w:szCs w:val="22"/>
        </w:rPr>
      </w:pPr>
      <w:r/>
      <w:hyperlink w:tooltip="#_Toc88819584" w:anchor="_Toc88819584" w:history="1">
        <w:r>
          <w:rPr>
            <w:rStyle w:val="1020"/>
          </w:rPr>
          <w:t xml:space="preserve">Рисунок </w:t>
        </w:r>
        <w:r>
          <w:rPr>
            <w:rFonts w:ascii="Calibri" w:hAnsi="Calibri"/>
            <w:sz w:val="22"/>
            <w:szCs w:val="22"/>
          </w:rPr>
          <w:tab/>
        </w:r>
        <w:r>
          <w:rPr>
            <w:rStyle w:val="1020"/>
          </w:rPr>
          <w:t xml:space="preserve">199. ЭФ документа «Сведения об операциях с целевыми средствами», закладки «Реквизиты (1)»</w:t>
        </w:r>
        <w:r>
          <w:tab/>
        </w:r>
        <w:r>
          <w:fldChar w:fldCharType="begin"/>
        </w:r>
        <w:r>
          <w:instrText xml:space="preserve"> PAGEREF _Toc88819584 \h </w:instrText>
        </w:r>
        <w:r/>
        <w:r>
          <w:fldChar w:fldCharType="separate"/>
        </w:r>
        <w:r>
          <w:t xml:space="preserve">405</w:t>
        </w:r>
        <w:r>
          <w:fldChar w:fldCharType="end"/>
        </w:r>
      </w:hyperlink>
      <w:r/>
      <w:r/>
    </w:p>
    <w:p>
      <w:pPr>
        <w:pStyle w:val="1152"/>
        <w:rPr>
          <w:rFonts w:ascii="Calibri" w:hAnsi="Calibri"/>
          <w:sz w:val="22"/>
          <w:szCs w:val="22"/>
        </w:rPr>
      </w:pPr>
      <w:r/>
      <w:hyperlink w:tooltip="#_Toc88819585" w:anchor="_Toc88819585" w:history="1">
        <w:r>
          <w:rPr>
            <w:rStyle w:val="1020"/>
          </w:rPr>
          <w:t xml:space="preserve">Рисунок </w:t>
        </w:r>
        <w:r>
          <w:rPr>
            <w:rFonts w:ascii="Calibri" w:hAnsi="Calibri"/>
            <w:sz w:val="22"/>
            <w:szCs w:val="22"/>
          </w:rPr>
          <w:tab/>
        </w:r>
        <w:r>
          <w:rPr>
            <w:rStyle w:val="1020"/>
          </w:rPr>
          <w:t xml:space="preserve">200. ЭФ документа «Сведения об операциях с целевыми средствами», закладки «Реквизиты расшифровки документа (2)»</w:t>
        </w:r>
        <w:r>
          <w:tab/>
        </w:r>
        <w:r>
          <w:fldChar w:fldCharType="begin"/>
        </w:r>
        <w:r>
          <w:instrText xml:space="preserve"> PAGEREF _Toc88819585 \h </w:instrText>
        </w:r>
        <w:r/>
        <w:r>
          <w:fldChar w:fldCharType="separate"/>
        </w:r>
        <w:r>
          <w:t xml:space="preserve">408</w:t>
        </w:r>
        <w:r>
          <w:fldChar w:fldCharType="end"/>
        </w:r>
      </w:hyperlink>
      <w:r/>
      <w:r/>
    </w:p>
    <w:p>
      <w:pPr>
        <w:pStyle w:val="1152"/>
        <w:rPr>
          <w:rFonts w:ascii="Calibri" w:hAnsi="Calibri"/>
          <w:sz w:val="22"/>
          <w:szCs w:val="22"/>
        </w:rPr>
      </w:pPr>
      <w:r/>
      <w:hyperlink w:tooltip="#_Toc88819586" w:anchor="_Toc88819586" w:history="1">
        <w:r>
          <w:rPr>
            <w:rStyle w:val="1020"/>
          </w:rPr>
          <w:t xml:space="preserve">Рисунок </w:t>
        </w:r>
        <w:r>
          <w:rPr>
            <w:rFonts w:ascii="Calibri" w:hAnsi="Calibri"/>
            <w:sz w:val="22"/>
            <w:szCs w:val="22"/>
          </w:rPr>
          <w:tab/>
        </w:r>
        <w:r>
          <w:rPr>
            <w:rStyle w:val="1020"/>
          </w:rPr>
          <w:t xml:space="preserve">201. Форма «Добавление записи»</w:t>
        </w:r>
        <w:r>
          <w:tab/>
        </w:r>
        <w:r>
          <w:fldChar w:fldCharType="begin"/>
        </w:r>
        <w:r>
          <w:instrText xml:space="preserve"> PAGEREF _Toc88819586 \h </w:instrText>
        </w:r>
        <w:r/>
        <w:r>
          <w:fldChar w:fldCharType="separate"/>
        </w:r>
        <w:r>
          <w:t xml:space="preserve">413</w:t>
        </w:r>
        <w:r>
          <w:fldChar w:fldCharType="end"/>
        </w:r>
      </w:hyperlink>
      <w:r/>
      <w:r/>
    </w:p>
    <w:p>
      <w:pPr>
        <w:pStyle w:val="1152"/>
        <w:rPr>
          <w:rFonts w:ascii="Calibri" w:hAnsi="Calibri"/>
          <w:sz w:val="22"/>
          <w:szCs w:val="22"/>
        </w:rPr>
      </w:pPr>
      <w:r/>
      <w:hyperlink w:tooltip="#_Toc88819587" w:anchor="_Toc88819587" w:history="1">
        <w:r>
          <w:rPr>
            <w:rStyle w:val="1020"/>
          </w:rPr>
          <w:t xml:space="preserve">Рисунок </w:t>
        </w:r>
        <w:r>
          <w:rPr>
            <w:rFonts w:ascii="Calibri" w:hAnsi="Calibri"/>
            <w:sz w:val="22"/>
            <w:szCs w:val="22"/>
          </w:rPr>
          <w:tab/>
        </w:r>
        <w:r>
          <w:rPr>
            <w:rStyle w:val="1020"/>
          </w:rPr>
          <w:t xml:space="preserve">202. ЭФ документа «Сведения об операциях с целевыми средствами», закладки «Дополнительные атрибуты (3)»</w:t>
        </w:r>
        <w:r>
          <w:tab/>
        </w:r>
        <w:r>
          <w:fldChar w:fldCharType="begin"/>
        </w:r>
        <w:r>
          <w:instrText xml:space="preserve"> PAGEREF _Toc88819587 \h </w:instrText>
        </w:r>
        <w:r/>
        <w:r>
          <w:fldChar w:fldCharType="separate"/>
        </w:r>
        <w:r>
          <w:t xml:space="preserve">414</w:t>
        </w:r>
        <w:r>
          <w:fldChar w:fldCharType="end"/>
        </w:r>
      </w:hyperlink>
      <w:r/>
      <w:r/>
    </w:p>
    <w:p>
      <w:pPr>
        <w:pStyle w:val="1152"/>
        <w:rPr>
          <w:rFonts w:ascii="Calibri" w:hAnsi="Calibri"/>
          <w:sz w:val="22"/>
          <w:szCs w:val="22"/>
        </w:rPr>
      </w:pPr>
      <w:r/>
      <w:hyperlink w:tooltip="#_Toc88819588" w:anchor="_Toc88819588" w:history="1">
        <w:r>
          <w:rPr>
            <w:rStyle w:val="1020"/>
          </w:rPr>
          <w:t xml:space="preserve">Рисунок </w:t>
        </w:r>
        <w:r>
          <w:rPr>
            <w:rFonts w:ascii="Calibri" w:hAnsi="Calibri"/>
            <w:sz w:val="22"/>
            <w:szCs w:val="22"/>
          </w:rPr>
          <w:tab/>
        </w:r>
        <w:r>
          <w:rPr>
            <w:rStyle w:val="1020"/>
          </w:rPr>
          <w:t xml:space="preserve">203. ЭФ списка документов «Перечень целевых субсидий»</w:t>
        </w:r>
        <w:r>
          <w:tab/>
        </w:r>
        <w:r>
          <w:fldChar w:fldCharType="begin"/>
        </w:r>
        <w:r>
          <w:instrText xml:space="preserve"> PAGEREF _Toc88819588 \h </w:instrText>
        </w:r>
        <w:r/>
        <w:r>
          <w:fldChar w:fldCharType="separate"/>
        </w:r>
        <w:r>
          <w:t xml:space="preserve">416</w:t>
        </w:r>
        <w:r>
          <w:fldChar w:fldCharType="end"/>
        </w:r>
      </w:hyperlink>
      <w:r/>
      <w:r/>
    </w:p>
    <w:p>
      <w:pPr>
        <w:pStyle w:val="1152"/>
        <w:rPr>
          <w:rFonts w:ascii="Calibri" w:hAnsi="Calibri"/>
          <w:sz w:val="22"/>
          <w:szCs w:val="22"/>
        </w:rPr>
      </w:pPr>
      <w:r/>
      <w:hyperlink w:tooltip="#_Toc88819589" w:anchor="_Toc88819589" w:history="1">
        <w:r>
          <w:rPr>
            <w:rStyle w:val="1020"/>
          </w:rPr>
          <w:t xml:space="preserve">Рисунок </w:t>
        </w:r>
        <w:r>
          <w:rPr>
            <w:rFonts w:ascii="Calibri" w:hAnsi="Calibri"/>
            <w:sz w:val="22"/>
            <w:szCs w:val="22"/>
          </w:rPr>
          <w:tab/>
        </w:r>
        <w:r>
          <w:rPr>
            <w:rStyle w:val="1020"/>
          </w:rPr>
          <w:t xml:space="preserve">204. ЭФ документа «Перечень целевых субсидий», закладки «Документ»</w:t>
        </w:r>
        <w:r>
          <w:tab/>
        </w:r>
        <w:r>
          <w:fldChar w:fldCharType="begin"/>
        </w:r>
        <w:r>
          <w:instrText xml:space="preserve"> PAGEREF _Toc88819589 \h </w:instrText>
        </w:r>
        <w:r/>
        <w:r>
          <w:fldChar w:fldCharType="separate"/>
        </w:r>
        <w:r>
          <w:t xml:space="preserve">417</w:t>
        </w:r>
        <w:r>
          <w:fldChar w:fldCharType="end"/>
        </w:r>
      </w:hyperlink>
      <w:r/>
      <w:r/>
    </w:p>
    <w:p>
      <w:pPr>
        <w:pStyle w:val="1152"/>
        <w:rPr>
          <w:rFonts w:ascii="Calibri" w:hAnsi="Calibri"/>
          <w:sz w:val="22"/>
          <w:szCs w:val="22"/>
        </w:rPr>
      </w:pPr>
      <w:r/>
      <w:hyperlink w:tooltip="#_Toc88819590" w:anchor="_Toc88819590" w:history="1">
        <w:r>
          <w:rPr>
            <w:rStyle w:val="1020"/>
          </w:rPr>
          <w:t xml:space="preserve">Рисунок </w:t>
        </w:r>
        <w:r>
          <w:rPr>
            <w:rFonts w:ascii="Calibri" w:hAnsi="Calibri"/>
            <w:sz w:val="22"/>
            <w:szCs w:val="22"/>
          </w:rPr>
          <w:tab/>
        </w:r>
        <w:r>
          <w:rPr>
            <w:rStyle w:val="1020"/>
          </w:rPr>
          <w:t xml:space="preserve">205. ЭФ документа «Перечень целевых субсидий», закладки «Дополнительные атрибуты»</w:t>
        </w:r>
        <w:r>
          <w:tab/>
        </w:r>
        <w:r>
          <w:fldChar w:fldCharType="begin"/>
        </w:r>
        <w:r>
          <w:instrText xml:space="preserve"> PAGEREF _Toc88819590 \h </w:instrText>
        </w:r>
        <w:r/>
        <w:r>
          <w:fldChar w:fldCharType="separate"/>
        </w:r>
        <w:r>
          <w:t xml:space="preserve">420</w:t>
        </w:r>
        <w:r>
          <w:fldChar w:fldCharType="end"/>
        </w:r>
      </w:hyperlink>
      <w:r/>
      <w:r/>
    </w:p>
    <w:p>
      <w:pPr>
        <w:pStyle w:val="1152"/>
        <w:rPr>
          <w:rFonts w:ascii="Calibri" w:hAnsi="Calibri"/>
          <w:sz w:val="22"/>
          <w:szCs w:val="22"/>
        </w:rPr>
      </w:pPr>
      <w:r/>
      <w:hyperlink w:tooltip="#_Toc88819591" w:anchor="_Toc88819591" w:history="1">
        <w:r>
          <w:rPr>
            <w:rStyle w:val="1020"/>
          </w:rPr>
          <w:t xml:space="preserve">Рисунок </w:t>
        </w:r>
        <w:r>
          <w:rPr>
            <w:rFonts w:ascii="Calibri" w:hAnsi="Calibri"/>
            <w:sz w:val="22"/>
            <w:szCs w:val="22"/>
          </w:rPr>
          <w:tab/>
        </w:r>
        <w:r>
          <w:rPr>
            <w:rStyle w:val="1020"/>
          </w:rPr>
          <w:t xml:space="preserve">206. ЭФ списка документов «Расходная декларация»</w:t>
        </w:r>
        <w:r>
          <w:tab/>
        </w:r>
        <w:r>
          <w:fldChar w:fldCharType="begin"/>
        </w:r>
        <w:r>
          <w:instrText xml:space="preserve"> PAGEREF _Toc88819591 \h </w:instrText>
        </w:r>
        <w:r/>
        <w:r>
          <w:fldChar w:fldCharType="separate"/>
        </w:r>
        <w:r>
          <w:t xml:space="preserve">421</w:t>
        </w:r>
        <w:r>
          <w:fldChar w:fldCharType="end"/>
        </w:r>
      </w:hyperlink>
      <w:r/>
      <w:r/>
    </w:p>
    <w:p>
      <w:pPr>
        <w:pStyle w:val="1152"/>
        <w:rPr>
          <w:rFonts w:ascii="Calibri" w:hAnsi="Calibri"/>
          <w:sz w:val="22"/>
          <w:szCs w:val="22"/>
        </w:rPr>
      </w:pPr>
      <w:r/>
      <w:hyperlink w:tooltip="#_Toc88819592" w:anchor="_Toc88819592" w:history="1">
        <w:r>
          <w:rPr>
            <w:rStyle w:val="1020"/>
          </w:rPr>
          <w:t xml:space="preserve">Рисунок </w:t>
        </w:r>
        <w:r>
          <w:rPr>
            <w:rFonts w:ascii="Calibri" w:hAnsi="Calibri"/>
            <w:sz w:val="22"/>
            <w:szCs w:val="22"/>
          </w:rPr>
          <w:tab/>
        </w:r>
        <w:r>
          <w:rPr>
            <w:rStyle w:val="1020"/>
          </w:rPr>
          <w:t xml:space="preserve">207. ЭФ документа «Расходная декларация», закладки «Заголовок»</w:t>
        </w:r>
        <w:r>
          <w:tab/>
        </w:r>
        <w:r>
          <w:fldChar w:fldCharType="begin"/>
        </w:r>
        <w:r>
          <w:instrText xml:space="preserve"> PAGEREF _Toc88819592 \h </w:instrText>
        </w:r>
        <w:r/>
        <w:r>
          <w:fldChar w:fldCharType="separate"/>
        </w:r>
        <w:r>
          <w:t xml:space="preserve">422</w:t>
        </w:r>
        <w:r>
          <w:fldChar w:fldCharType="end"/>
        </w:r>
      </w:hyperlink>
      <w:r/>
      <w:r/>
    </w:p>
    <w:p>
      <w:pPr>
        <w:pStyle w:val="1152"/>
        <w:rPr>
          <w:rFonts w:ascii="Calibri" w:hAnsi="Calibri"/>
          <w:sz w:val="22"/>
          <w:szCs w:val="22"/>
        </w:rPr>
      </w:pPr>
      <w:r/>
      <w:hyperlink w:tooltip="#_Toc88819593" w:anchor="_Toc88819593" w:history="1">
        <w:r>
          <w:rPr>
            <w:rStyle w:val="1020"/>
          </w:rPr>
          <w:t xml:space="preserve">Рисунок </w:t>
        </w:r>
        <w:r>
          <w:rPr>
            <w:rFonts w:ascii="Calibri" w:hAnsi="Calibri"/>
            <w:sz w:val="22"/>
            <w:szCs w:val="22"/>
          </w:rPr>
          <w:tab/>
        </w:r>
        <w:r>
          <w:rPr>
            <w:rStyle w:val="1020"/>
          </w:rPr>
          <w:t xml:space="preserve">208. ЭФ документа «Расходная декларация», закладки «Информация о структуре цены договора»</w:t>
        </w:r>
        <w:r>
          <w:tab/>
        </w:r>
        <w:r>
          <w:fldChar w:fldCharType="begin"/>
        </w:r>
        <w:r>
          <w:instrText xml:space="preserve"> PAGEREF _Toc88819593 \h </w:instrText>
        </w:r>
        <w:r/>
        <w:r>
          <w:fldChar w:fldCharType="separate"/>
        </w:r>
        <w:r>
          <w:t xml:space="preserve">425</w:t>
        </w:r>
        <w:r>
          <w:fldChar w:fldCharType="end"/>
        </w:r>
      </w:hyperlink>
      <w:r/>
      <w:r/>
    </w:p>
    <w:p>
      <w:pPr>
        <w:pStyle w:val="1152"/>
        <w:rPr>
          <w:rFonts w:ascii="Calibri" w:hAnsi="Calibri"/>
          <w:sz w:val="22"/>
          <w:szCs w:val="22"/>
        </w:rPr>
      </w:pPr>
      <w:r/>
      <w:hyperlink w:tooltip="#_Toc88819594" w:anchor="_Toc88819594" w:history="1">
        <w:r>
          <w:rPr>
            <w:rStyle w:val="1020"/>
          </w:rPr>
          <w:t xml:space="preserve">Рисунок </w:t>
        </w:r>
        <w:r>
          <w:rPr>
            <w:rFonts w:ascii="Calibri" w:hAnsi="Calibri"/>
            <w:sz w:val="22"/>
            <w:szCs w:val="22"/>
          </w:rPr>
          <w:tab/>
        </w:r>
        <w:r>
          <w:rPr>
            <w:rStyle w:val="1020"/>
          </w:rPr>
          <w:t xml:space="preserve">209. ЭФ документа «Расходная декларация», закладки «Реквизиты подписи»</w:t>
        </w:r>
        <w:r>
          <w:tab/>
        </w:r>
        <w:r>
          <w:fldChar w:fldCharType="begin"/>
        </w:r>
        <w:r>
          <w:instrText xml:space="preserve"> PAGEREF _Toc88819594 \h </w:instrText>
        </w:r>
        <w:r/>
        <w:r>
          <w:fldChar w:fldCharType="separate"/>
        </w:r>
        <w:r>
          <w:t xml:space="preserve">427</w:t>
        </w:r>
        <w:r>
          <w:fldChar w:fldCharType="end"/>
        </w:r>
      </w:hyperlink>
      <w:r/>
      <w:r/>
    </w:p>
    <w:p>
      <w:pPr>
        <w:pStyle w:val="1152"/>
        <w:rPr>
          <w:rFonts w:ascii="Calibri" w:hAnsi="Calibri"/>
          <w:sz w:val="22"/>
          <w:szCs w:val="22"/>
        </w:rPr>
      </w:pPr>
      <w:r/>
      <w:hyperlink w:tooltip="#_Toc88819595" w:anchor="_Toc88819595" w:history="1">
        <w:r>
          <w:rPr>
            <w:rStyle w:val="1020"/>
          </w:rPr>
          <w:t xml:space="preserve">Рисунок </w:t>
        </w:r>
        <w:r>
          <w:rPr>
            <w:rFonts w:ascii="Calibri" w:hAnsi="Calibri"/>
            <w:sz w:val="22"/>
            <w:szCs w:val="22"/>
          </w:rPr>
          <w:tab/>
        </w:r>
        <w:r>
          <w:rPr>
            <w:rStyle w:val="1020"/>
          </w:rPr>
          <w:t xml:space="preserve">210. ЭФ списка документов «Сводные отчеты»</w:t>
        </w:r>
        <w:r>
          <w:tab/>
        </w:r>
        <w:r>
          <w:fldChar w:fldCharType="begin"/>
        </w:r>
        <w:r>
          <w:instrText xml:space="preserve"> PAGEREF _Toc88819595 \h </w:instrText>
        </w:r>
        <w:r/>
        <w:r>
          <w:fldChar w:fldCharType="separate"/>
        </w:r>
        <w:r>
          <w:t xml:space="preserve">428</w:t>
        </w:r>
        <w:r>
          <w:fldChar w:fldCharType="end"/>
        </w:r>
      </w:hyperlink>
      <w:r/>
      <w:r/>
    </w:p>
    <w:p>
      <w:pPr>
        <w:pStyle w:val="1152"/>
        <w:rPr>
          <w:rFonts w:ascii="Calibri" w:hAnsi="Calibri"/>
          <w:sz w:val="22"/>
          <w:szCs w:val="22"/>
        </w:rPr>
      </w:pPr>
      <w:r/>
      <w:hyperlink w:tooltip="#_Toc88819596" w:anchor="_Toc88819596" w:history="1">
        <w:r>
          <w:rPr>
            <w:rStyle w:val="1020"/>
          </w:rPr>
          <w:t xml:space="preserve">Рисунок </w:t>
        </w:r>
        <w:r>
          <w:rPr>
            <w:rFonts w:ascii="Calibri" w:hAnsi="Calibri"/>
            <w:sz w:val="22"/>
            <w:szCs w:val="22"/>
          </w:rPr>
          <w:tab/>
        </w:r>
        <w:r>
          <w:rPr>
            <w:rStyle w:val="1020"/>
          </w:rPr>
          <w:t xml:space="preserve">211. ЭФ документа «Сводные отчеты», закладки «Основные атрибуты»</w:t>
        </w:r>
        <w:r>
          <w:tab/>
        </w:r>
        <w:r>
          <w:fldChar w:fldCharType="begin"/>
        </w:r>
        <w:r>
          <w:instrText xml:space="preserve"> PAGEREF _Toc88819596 \h </w:instrText>
        </w:r>
        <w:r/>
        <w:r>
          <w:fldChar w:fldCharType="separate"/>
        </w:r>
        <w:r>
          <w:t xml:space="preserve">429</w:t>
        </w:r>
        <w:r>
          <w:fldChar w:fldCharType="end"/>
        </w:r>
      </w:hyperlink>
      <w:r/>
      <w:r/>
    </w:p>
    <w:p>
      <w:pPr>
        <w:pStyle w:val="1152"/>
        <w:rPr>
          <w:rFonts w:ascii="Calibri" w:hAnsi="Calibri"/>
          <w:sz w:val="22"/>
          <w:szCs w:val="22"/>
        </w:rPr>
      </w:pPr>
      <w:r/>
      <w:hyperlink w:tooltip="#_Toc88819597" w:anchor="_Toc88819597" w:history="1">
        <w:r>
          <w:rPr>
            <w:rStyle w:val="1020"/>
          </w:rPr>
          <w:t xml:space="preserve">Рисунок </w:t>
        </w:r>
        <w:r>
          <w:rPr>
            <w:rFonts w:ascii="Calibri" w:hAnsi="Calibri"/>
            <w:sz w:val="22"/>
            <w:szCs w:val="22"/>
          </w:rPr>
          <w:tab/>
        </w:r>
        <w:r>
          <w:rPr>
            <w:rStyle w:val="1020"/>
          </w:rPr>
          <w:t xml:space="preserve">212. ЭФ документа «Сводные отчеты», закладки «Дополнительные атрибуты»</w:t>
        </w:r>
        <w:r>
          <w:tab/>
        </w:r>
        <w:r>
          <w:fldChar w:fldCharType="begin"/>
        </w:r>
        <w:r>
          <w:instrText xml:space="preserve"> PAGEREF _Toc88819597 \h </w:instrText>
        </w:r>
        <w:r/>
        <w:r>
          <w:fldChar w:fldCharType="separate"/>
        </w:r>
        <w:r>
          <w:t xml:space="preserve">430</w:t>
        </w:r>
        <w:r>
          <w:fldChar w:fldCharType="end"/>
        </w:r>
      </w:hyperlink>
      <w:r/>
      <w:r/>
    </w:p>
    <w:p>
      <w:pPr>
        <w:pStyle w:val="1152"/>
        <w:rPr>
          <w:rFonts w:ascii="Calibri" w:hAnsi="Calibri"/>
          <w:sz w:val="22"/>
          <w:szCs w:val="22"/>
        </w:rPr>
      </w:pPr>
      <w:r/>
      <w:hyperlink w:tooltip="#_Toc88819598" w:anchor="_Toc88819598" w:history="1">
        <w:r>
          <w:rPr>
            <w:rStyle w:val="1020"/>
          </w:rPr>
          <w:t xml:space="preserve">Рисунок </w:t>
        </w:r>
        <w:r>
          <w:rPr>
            <w:rFonts w:ascii="Calibri" w:hAnsi="Calibri"/>
            <w:sz w:val="22"/>
            <w:szCs w:val="22"/>
          </w:rPr>
          <w:tab/>
        </w:r>
        <w:r>
          <w:rPr>
            <w:rStyle w:val="1020"/>
          </w:rPr>
          <w:t xml:space="preserve">213. ЭФ списка документов «Протоколы для отчетов»</w:t>
        </w:r>
        <w:r>
          <w:tab/>
        </w:r>
        <w:r>
          <w:fldChar w:fldCharType="begin"/>
        </w:r>
        <w:r>
          <w:instrText xml:space="preserve"> PAGEREF _Toc88819598 \h </w:instrText>
        </w:r>
        <w:r/>
        <w:r>
          <w:fldChar w:fldCharType="separate"/>
        </w:r>
        <w:r>
          <w:t xml:space="preserve">431</w:t>
        </w:r>
        <w:r>
          <w:fldChar w:fldCharType="end"/>
        </w:r>
      </w:hyperlink>
      <w:r/>
      <w:r/>
    </w:p>
    <w:p>
      <w:pPr>
        <w:pStyle w:val="1152"/>
        <w:rPr>
          <w:rFonts w:ascii="Calibri" w:hAnsi="Calibri"/>
          <w:sz w:val="22"/>
          <w:szCs w:val="22"/>
        </w:rPr>
      </w:pPr>
      <w:r/>
      <w:hyperlink w:tooltip="#_Toc88819599" w:anchor="_Toc88819599" w:history="1">
        <w:r>
          <w:rPr>
            <w:rStyle w:val="1020"/>
          </w:rPr>
          <w:t xml:space="preserve">Рисунок </w:t>
        </w:r>
        <w:r>
          <w:rPr>
            <w:rFonts w:ascii="Calibri" w:hAnsi="Calibri"/>
            <w:sz w:val="22"/>
            <w:szCs w:val="22"/>
          </w:rPr>
          <w:tab/>
        </w:r>
        <w:r>
          <w:rPr>
            <w:rStyle w:val="1020"/>
          </w:rPr>
          <w:t xml:space="preserve">214. ЭФ документа «Протоколы для отчетов»</w:t>
        </w:r>
        <w:r>
          <w:tab/>
        </w:r>
        <w:r>
          <w:fldChar w:fldCharType="begin"/>
        </w:r>
        <w:r>
          <w:instrText xml:space="preserve"> PAGEREF _Toc88819599 \h </w:instrText>
        </w:r>
        <w:r/>
        <w:r>
          <w:fldChar w:fldCharType="separate"/>
        </w:r>
        <w:r>
          <w:t xml:space="preserve">433</w:t>
        </w:r>
        <w:r>
          <w:fldChar w:fldCharType="end"/>
        </w:r>
      </w:hyperlink>
      <w:r/>
      <w:r/>
    </w:p>
    <w:p>
      <w:pPr>
        <w:pStyle w:val="1152"/>
        <w:rPr>
          <w:rFonts w:ascii="Calibri" w:hAnsi="Calibri"/>
          <w:sz w:val="22"/>
          <w:szCs w:val="22"/>
        </w:rPr>
      </w:pPr>
      <w:r/>
      <w:hyperlink w:tooltip="#_Toc88819600" w:anchor="_Toc88819600" w:history="1">
        <w:r>
          <w:rPr>
            <w:rStyle w:val="1020"/>
          </w:rPr>
          <w:t xml:space="preserve">Рисунок </w:t>
        </w:r>
        <w:r>
          <w:rPr>
            <w:rFonts w:ascii="Calibri" w:hAnsi="Calibri"/>
            <w:sz w:val="22"/>
            <w:szCs w:val="22"/>
          </w:rPr>
          <w:tab/>
        </w:r>
        <w:r>
          <w:rPr>
            <w:rStyle w:val="1020"/>
          </w:rPr>
          <w:t xml:space="preserve">215. ЭФ списка документов «Справка о межбюджетной задолженности ф. 0521441»</w:t>
        </w:r>
        <w:r>
          <w:tab/>
        </w:r>
        <w:r>
          <w:fldChar w:fldCharType="begin"/>
        </w:r>
        <w:r>
          <w:instrText xml:space="preserve"> PAGEREF _Toc88819600 \h </w:instrText>
        </w:r>
        <w:r/>
        <w:r>
          <w:fldChar w:fldCharType="separate"/>
        </w:r>
        <w:r>
          <w:t xml:space="preserve">434</w:t>
        </w:r>
        <w:r>
          <w:fldChar w:fldCharType="end"/>
        </w:r>
      </w:hyperlink>
      <w:r/>
      <w:r/>
    </w:p>
    <w:p>
      <w:pPr>
        <w:pStyle w:val="1152"/>
        <w:rPr>
          <w:rFonts w:ascii="Calibri" w:hAnsi="Calibri"/>
          <w:sz w:val="22"/>
          <w:szCs w:val="22"/>
        </w:rPr>
      </w:pPr>
      <w:r/>
      <w:hyperlink w:tooltip="#_Toc88819601" w:anchor="_Toc88819601" w:history="1">
        <w:r>
          <w:rPr>
            <w:rStyle w:val="1020"/>
          </w:rPr>
          <w:t xml:space="preserve">Рисунок </w:t>
        </w:r>
        <w:r>
          <w:rPr>
            <w:rFonts w:ascii="Calibri" w:hAnsi="Calibri"/>
            <w:sz w:val="22"/>
            <w:szCs w:val="22"/>
          </w:rPr>
          <w:tab/>
        </w:r>
        <w:r>
          <w:rPr>
            <w:rStyle w:val="1020"/>
          </w:rPr>
          <w:t xml:space="preserve">216. ЭФ документа «Справка о межбюджетной задолженности ф. 0521441», закладки «Документ»</w:t>
        </w:r>
        <w:r>
          <w:tab/>
        </w:r>
        <w:r>
          <w:fldChar w:fldCharType="begin"/>
        </w:r>
        <w:r>
          <w:instrText xml:space="preserve"> PAGEREF _Toc88819601 \h </w:instrText>
        </w:r>
        <w:r/>
        <w:r>
          <w:fldChar w:fldCharType="separate"/>
        </w:r>
        <w:r>
          <w:t xml:space="preserve">435</w:t>
        </w:r>
        <w:r>
          <w:fldChar w:fldCharType="end"/>
        </w:r>
      </w:hyperlink>
      <w:r/>
      <w:r/>
    </w:p>
    <w:p>
      <w:pPr>
        <w:pStyle w:val="1152"/>
        <w:rPr>
          <w:rFonts w:ascii="Calibri" w:hAnsi="Calibri"/>
          <w:sz w:val="22"/>
          <w:szCs w:val="22"/>
        </w:rPr>
      </w:pPr>
      <w:r/>
      <w:hyperlink w:tooltip="#_Toc88819602" w:anchor="_Toc88819602" w:history="1">
        <w:r>
          <w:rPr>
            <w:rStyle w:val="1020"/>
          </w:rPr>
          <w:t xml:space="preserve">Рисунок </w:t>
        </w:r>
        <w:r>
          <w:rPr>
            <w:rFonts w:ascii="Calibri" w:hAnsi="Calibri"/>
            <w:sz w:val="22"/>
            <w:szCs w:val="22"/>
          </w:rPr>
          <w:tab/>
        </w:r>
        <w:r>
          <w:rPr>
            <w:rStyle w:val="1020"/>
          </w:rPr>
          <w:t xml:space="preserve">217. ЭФ документа «Справка о межбюджетной задолженности ф. 0521441», закладки «Дополнительные атрибуты»</w:t>
        </w:r>
        <w:r>
          <w:tab/>
        </w:r>
        <w:r>
          <w:fldChar w:fldCharType="begin"/>
        </w:r>
        <w:r>
          <w:instrText xml:space="preserve"> PAGEREF _Toc88819602 \h </w:instrText>
        </w:r>
        <w:r/>
        <w:r>
          <w:fldChar w:fldCharType="separate"/>
        </w:r>
        <w:r>
          <w:t xml:space="preserve">436</w:t>
        </w:r>
        <w:r>
          <w:fldChar w:fldCharType="end"/>
        </w:r>
      </w:hyperlink>
      <w:r/>
      <w:r/>
    </w:p>
    <w:p>
      <w:pPr>
        <w:pStyle w:val="1152"/>
        <w:rPr>
          <w:rFonts w:ascii="Calibri" w:hAnsi="Calibri"/>
          <w:sz w:val="22"/>
          <w:szCs w:val="22"/>
        </w:rPr>
      </w:pPr>
      <w:r/>
      <w:hyperlink w:tooltip="#_Toc88819603" w:anchor="_Toc88819603" w:history="1">
        <w:r>
          <w:rPr>
            <w:rStyle w:val="1020"/>
          </w:rPr>
          <w:t xml:space="preserve">Рисунок </w:t>
        </w:r>
        <w:r>
          <w:rPr>
            <w:rFonts w:ascii="Calibri" w:hAnsi="Calibri"/>
            <w:sz w:val="22"/>
            <w:szCs w:val="22"/>
          </w:rPr>
          <w:tab/>
        </w:r>
        <w:r>
          <w:rPr>
            <w:rStyle w:val="1020"/>
          </w:rPr>
          <w:t xml:space="preserve">218. ЭФ списка документов «Периодические отчеты»</w:t>
        </w:r>
        <w:r>
          <w:tab/>
        </w:r>
        <w:r>
          <w:fldChar w:fldCharType="begin"/>
        </w:r>
        <w:r>
          <w:instrText xml:space="preserve"> PAGEREF _Toc88819603 \h </w:instrText>
        </w:r>
        <w:r/>
        <w:r>
          <w:fldChar w:fldCharType="separate"/>
        </w:r>
        <w:r>
          <w:t xml:space="preserve">437</w:t>
        </w:r>
        <w:r>
          <w:fldChar w:fldCharType="end"/>
        </w:r>
      </w:hyperlink>
      <w:r/>
      <w:r/>
    </w:p>
    <w:p>
      <w:pPr>
        <w:pStyle w:val="1152"/>
        <w:rPr>
          <w:rFonts w:ascii="Calibri" w:hAnsi="Calibri"/>
          <w:sz w:val="22"/>
          <w:szCs w:val="22"/>
        </w:rPr>
      </w:pPr>
      <w:r/>
      <w:hyperlink w:tooltip="#_Toc88819604" w:anchor="_Toc88819604" w:history="1">
        <w:r>
          <w:rPr>
            <w:rStyle w:val="1020"/>
          </w:rPr>
          <w:t xml:space="preserve">Рисунок </w:t>
        </w:r>
        <w:r>
          <w:rPr>
            <w:rFonts w:ascii="Calibri" w:hAnsi="Calibri"/>
            <w:sz w:val="22"/>
            <w:szCs w:val="22"/>
          </w:rPr>
          <w:tab/>
        </w:r>
        <w:r>
          <w:rPr>
            <w:rStyle w:val="1020"/>
          </w:rPr>
          <w:t xml:space="preserve">219. ЭФ «Сервисный документ доставки типа отчета», закладки «Основные атрибуты»</w:t>
        </w:r>
        <w:r>
          <w:tab/>
        </w:r>
        <w:r>
          <w:fldChar w:fldCharType="begin"/>
        </w:r>
        <w:r>
          <w:instrText xml:space="preserve"> PAGEREF _Toc88819604 \h </w:instrText>
        </w:r>
        <w:r/>
        <w:r>
          <w:fldChar w:fldCharType="separate"/>
        </w:r>
        <w:r>
          <w:t xml:space="preserve">438</w:t>
        </w:r>
        <w:r>
          <w:fldChar w:fldCharType="end"/>
        </w:r>
      </w:hyperlink>
      <w:r/>
      <w:r/>
    </w:p>
    <w:p>
      <w:pPr>
        <w:pStyle w:val="1152"/>
        <w:rPr>
          <w:rFonts w:ascii="Calibri" w:hAnsi="Calibri"/>
          <w:sz w:val="22"/>
          <w:szCs w:val="22"/>
        </w:rPr>
      </w:pPr>
      <w:r/>
      <w:hyperlink w:tooltip="#_Toc88819605" w:anchor="_Toc88819605" w:history="1">
        <w:r>
          <w:rPr>
            <w:rStyle w:val="1020"/>
          </w:rPr>
          <w:t xml:space="preserve">Рисунок </w:t>
        </w:r>
        <w:r>
          <w:rPr>
            <w:rFonts w:ascii="Calibri" w:hAnsi="Calibri"/>
            <w:sz w:val="22"/>
            <w:szCs w:val="22"/>
          </w:rPr>
          <w:tab/>
        </w:r>
        <w:r>
          <w:rPr>
            <w:rStyle w:val="1020"/>
          </w:rPr>
          <w:t xml:space="preserve">220. ЭФ «Сервисный документ доставки типа отчета», закладки «Системные атрибуты»</w:t>
        </w:r>
        <w:r>
          <w:tab/>
        </w:r>
        <w:r>
          <w:fldChar w:fldCharType="begin"/>
        </w:r>
        <w:r>
          <w:instrText xml:space="preserve"> PAGEREF _Toc88819605 \h </w:instrText>
        </w:r>
        <w:r/>
        <w:r>
          <w:fldChar w:fldCharType="separate"/>
        </w:r>
        <w:r>
          <w:t xml:space="preserve">439</w:t>
        </w:r>
        <w:r>
          <w:fldChar w:fldCharType="end"/>
        </w:r>
      </w:hyperlink>
      <w:r/>
      <w:r/>
    </w:p>
    <w:p>
      <w:pPr>
        <w:pStyle w:val="1152"/>
        <w:rPr>
          <w:rFonts w:ascii="Calibri" w:hAnsi="Calibri"/>
          <w:sz w:val="22"/>
          <w:szCs w:val="22"/>
        </w:rPr>
      </w:pPr>
      <w:r/>
      <w:hyperlink w:tooltip="#_Toc88819606" w:anchor="_Toc88819606" w:history="1">
        <w:r>
          <w:rPr>
            <w:rStyle w:val="1020"/>
          </w:rPr>
          <w:t xml:space="preserve">Рисунок </w:t>
        </w:r>
        <w:r>
          <w:rPr>
            <w:rFonts w:ascii="Calibri" w:hAnsi="Calibri"/>
            <w:sz w:val="22"/>
            <w:szCs w:val="22"/>
          </w:rPr>
          <w:tab/>
        </w:r>
        <w:r>
          <w:rPr>
            <w:rStyle w:val="1020"/>
          </w:rPr>
          <w:t xml:space="preserve">221. ЭФ документа «Периодические отчеты», закладки «Системные атрибуты»</w:t>
        </w:r>
        <w:r>
          <w:tab/>
        </w:r>
        <w:r>
          <w:fldChar w:fldCharType="begin"/>
        </w:r>
        <w:r>
          <w:instrText xml:space="preserve"> PAGEREF _Toc88819606 \h </w:instrText>
        </w:r>
        <w:r/>
        <w:r>
          <w:fldChar w:fldCharType="separate"/>
        </w:r>
        <w:r>
          <w:t xml:space="preserve">440</w:t>
        </w:r>
        <w:r>
          <w:fldChar w:fldCharType="end"/>
        </w:r>
      </w:hyperlink>
      <w:r/>
      <w:r/>
    </w:p>
    <w:p>
      <w:pPr>
        <w:pStyle w:val="1152"/>
        <w:rPr>
          <w:rFonts w:ascii="Calibri" w:hAnsi="Calibri"/>
          <w:sz w:val="22"/>
          <w:szCs w:val="22"/>
        </w:rPr>
      </w:pPr>
      <w:r/>
      <w:hyperlink w:tooltip="#_Toc88819607" w:anchor="_Toc88819607" w:history="1">
        <w:r>
          <w:rPr>
            <w:rStyle w:val="1020"/>
          </w:rPr>
          <w:t xml:space="preserve">Рисунок </w:t>
        </w:r>
        <w:r>
          <w:rPr>
            <w:rFonts w:ascii="Calibri" w:hAnsi="Calibri"/>
            <w:sz w:val="22"/>
            <w:szCs w:val="22"/>
          </w:rPr>
          <w:tab/>
        </w:r>
        <w:r>
          <w:rPr>
            <w:rStyle w:val="1020"/>
          </w:rPr>
          <w:t xml:space="preserve">222. ЭФ списка документов «Перечень финансового органа»</w:t>
        </w:r>
        <w:r>
          <w:tab/>
        </w:r>
        <w:r>
          <w:fldChar w:fldCharType="begin"/>
        </w:r>
        <w:r>
          <w:instrText xml:space="preserve"> PAGEREF _Toc88819607 \h </w:instrText>
        </w:r>
        <w:r/>
        <w:r>
          <w:fldChar w:fldCharType="separate"/>
        </w:r>
        <w:r>
          <w:t xml:space="preserve">442</w:t>
        </w:r>
        <w:r>
          <w:fldChar w:fldCharType="end"/>
        </w:r>
      </w:hyperlink>
      <w:r/>
      <w:r/>
    </w:p>
    <w:p>
      <w:pPr>
        <w:pStyle w:val="1152"/>
        <w:rPr>
          <w:rFonts w:ascii="Calibri" w:hAnsi="Calibri"/>
          <w:sz w:val="22"/>
          <w:szCs w:val="22"/>
        </w:rPr>
      </w:pPr>
      <w:r/>
      <w:hyperlink w:tooltip="#_Toc88819608" w:anchor="_Toc88819608" w:history="1">
        <w:r>
          <w:rPr>
            <w:rStyle w:val="1020"/>
          </w:rPr>
          <w:t xml:space="preserve">Рисунок </w:t>
        </w:r>
        <w:r>
          <w:rPr>
            <w:rFonts w:ascii="Calibri" w:hAnsi="Calibri"/>
            <w:sz w:val="22"/>
            <w:szCs w:val="22"/>
          </w:rPr>
          <w:tab/>
        </w:r>
        <w:r>
          <w:rPr>
            <w:rStyle w:val="1020"/>
          </w:rPr>
          <w:t xml:space="preserve">223. ЭФ документа «Перечень финансового органа», закладки «Общая информация»</w:t>
        </w:r>
        <w:r>
          <w:tab/>
        </w:r>
        <w:r>
          <w:fldChar w:fldCharType="begin"/>
        </w:r>
        <w:r>
          <w:instrText xml:space="preserve"> PAGEREF _Toc88819608 \h </w:instrText>
        </w:r>
        <w:r/>
        <w:r>
          <w:fldChar w:fldCharType="separate"/>
        </w:r>
        <w:r>
          <w:t xml:space="preserve">443</w:t>
        </w:r>
        <w:r>
          <w:fldChar w:fldCharType="end"/>
        </w:r>
      </w:hyperlink>
      <w:r/>
      <w:r/>
    </w:p>
    <w:p>
      <w:pPr>
        <w:pStyle w:val="1152"/>
        <w:rPr>
          <w:rFonts w:ascii="Calibri" w:hAnsi="Calibri"/>
          <w:sz w:val="22"/>
          <w:szCs w:val="22"/>
        </w:rPr>
      </w:pPr>
      <w:r/>
      <w:hyperlink w:tooltip="#_Toc88819609" w:anchor="_Toc88819609" w:history="1">
        <w:r>
          <w:rPr>
            <w:rStyle w:val="1020"/>
          </w:rPr>
          <w:t xml:space="preserve">Рисунок </w:t>
        </w:r>
        <w:r>
          <w:rPr>
            <w:rFonts w:ascii="Calibri" w:hAnsi="Calibri"/>
            <w:sz w:val="22"/>
            <w:szCs w:val="22"/>
          </w:rPr>
          <w:tab/>
        </w:r>
        <w:r>
          <w:rPr>
            <w:rStyle w:val="1020"/>
          </w:rPr>
          <w:t xml:space="preserve">224. ЭФ документа «Перечень финансового органа», закладки «Реквизиты удаленного УБП/НУБП»</w:t>
        </w:r>
        <w:r>
          <w:tab/>
        </w:r>
        <w:r>
          <w:fldChar w:fldCharType="begin"/>
        </w:r>
        <w:r>
          <w:instrText xml:space="preserve"> PAGEREF _Toc88819609 \h </w:instrText>
        </w:r>
        <w:r/>
        <w:r>
          <w:fldChar w:fldCharType="separate"/>
        </w:r>
        <w:r>
          <w:t xml:space="preserve">445</w:t>
        </w:r>
        <w:r>
          <w:fldChar w:fldCharType="end"/>
        </w:r>
      </w:hyperlink>
      <w:r/>
      <w:r/>
    </w:p>
    <w:p>
      <w:pPr>
        <w:pStyle w:val="1152"/>
        <w:rPr>
          <w:rFonts w:ascii="Calibri" w:hAnsi="Calibri"/>
          <w:sz w:val="22"/>
          <w:szCs w:val="22"/>
        </w:rPr>
      </w:pPr>
      <w:r/>
      <w:hyperlink w:tooltip="#_Toc88819610" w:anchor="_Toc88819610" w:history="1">
        <w:r>
          <w:rPr>
            <w:rStyle w:val="1020"/>
          </w:rPr>
          <w:t xml:space="preserve">Рисунок </w:t>
        </w:r>
        <w:r>
          <w:rPr>
            <w:rFonts w:ascii="Calibri" w:hAnsi="Calibri"/>
            <w:sz w:val="22"/>
            <w:szCs w:val="22"/>
          </w:rPr>
          <w:tab/>
        </w:r>
        <w:r>
          <w:rPr>
            <w:rStyle w:val="1020"/>
          </w:rPr>
          <w:t xml:space="preserve">225. ЭФ документа «Перечень финансового органа», закладки «Подписи»</w:t>
        </w:r>
        <w:r>
          <w:tab/>
        </w:r>
        <w:r>
          <w:fldChar w:fldCharType="begin"/>
        </w:r>
        <w:r>
          <w:instrText xml:space="preserve"> PAGEREF _Toc88819610 \h </w:instrText>
        </w:r>
        <w:r/>
        <w:r>
          <w:fldChar w:fldCharType="separate"/>
        </w:r>
        <w:r>
          <w:t xml:space="preserve">446</w:t>
        </w:r>
        <w:r>
          <w:fldChar w:fldCharType="end"/>
        </w:r>
      </w:hyperlink>
      <w:r/>
      <w:r/>
    </w:p>
    <w:p>
      <w:pPr>
        <w:pStyle w:val="1152"/>
        <w:rPr>
          <w:rFonts w:ascii="Calibri" w:hAnsi="Calibri"/>
          <w:sz w:val="22"/>
          <w:szCs w:val="22"/>
        </w:rPr>
      </w:pPr>
      <w:r/>
      <w:hyperlink w:tooltip="#_Toc88819611" w:anchor="_Toc88819611" w:history="1">
        <w:r>
          <w:rPr>
            <w:rStyle w:val="1020"/>
          </w:rPr>
          <w:t xml:space="preserve">Рисунок </w:t>
        </w:r>
        <w:r>
          <w:rPr>
            <w:rFonts w:ascii="Calibri" w:hAnsi="Calibri"/>
            <w:sz w:val="22"/>
            <w:szCs w:val="22"/>
          </w:rPr>
          <w:tab/>
        </w:r>
        <w:r>
          <w:rPr>
            <w:rStyle w:val="1020"/>
          </w:rPr>
          <w:t xml:space="preserve">226. ЭФ списка документов «Запрос о получении информации по ЭПС участника»</w:t>
        </w:r>
        <w:r>
          <w:tab/>
        </w:r>
        <w:r>
          <w:fldChar w:fldCharType="begin"/>
        </w:r>
        <w:r>
          <w:instrText xml:space="preserve"> PAGEREF _Toc88819611 \h </w:instrText>
        </w:r>
        <w:r/>
        <w:r>
          <w:fldChar w:fldCharType="separate"/>
        </w:r>
        <w:r>
          <w:t xml:space="preserve">447</w:t>
        </w:r>
        <w:r>
          <w:fldChar w:fldCharType="end"/>
        </w:r>
      </w:hyperlink>
      <w:r/>
      <w:r/>
    </w:p>
    <w:p>
      <w:pPr>
        <w:pStyle w:val="1152"/>
        <w:rPr>
          <w:rFonts w:ascii="Calibri" w:hAnsi="Calibri"/>
          <w:sz w:val="22"/>
          <w:szCs w:val="22"/>
        </w:rPr>
      </w:pPr>
      <w:r/>
      <w:hyperlink w:tooltip="#_Toc88819612" w:anchor="_Toc88819612" w:history="1">
        <w:r>
          <w:rPr>
            <w:rStyle w:val="1020"/>
          </w:rPr>
          <w:t xml:space="preserve">Рисунок </w:t>
        </w:r>
        <w:r>
          <w:rPr>
            <w:rFonts w:ascii="Calibri" w:hAnsi="Calibri"/>
            <w:sz w:val="22"/>
            <w:szCs w:val="22"/>
          </w:rPr>
          <w:tab/>
        </w:r>
        <w:r>
          <w:rPr>
            <w:rStyle w:val="1020"/>
          </w:rPr>
          <w:t xml:space="preserve">227. ЭФ документа «Запрос о получении информации по ЭПС участника»</w:t>
        </w:r>
        <w:r>
          <w:tab/>
        </w:r>
        <w:r>
          <w:fldChar w:fldCharType="begin"/>
        </w:r>
        <w:r>
          <w:instrText xml:space="preserve"> PAGEREF _Toc88819612 \h </w:instrText>
        </w:r>
        <w:r/>
        <w:r>
          <w:fldChar w:fldCharType="separate"/>
        </w:r>
        <w:r>
          <w:t xml:space="preserve">448</w:t>
        </w:r>
        <w:r>
          <w:fldChar w:fldCharType="end"/>
        </w:r>
      </w:hyperlink>
      <w:r/>
      <w:r/>
    </w:p>
    <w:p>
      <w:pPr>
        <w:pStyle w:val="1152"/>
        <w:rPr>
          <w:rFonts w:ascii="Calibri" w:hAnsi="Calibri"/>
          <w:sz w:val="22"/>
          <w:szCs w:val="22"/>
        </w:rPr>
      </w:pPr>
      <w:r/>
      <w:hyperlink w:tooltip="#_Toc88819613" w:anchor="_Toc88819613" w:history="1">
        <w:r>
          <w:rPr>
            <w:rStyle w:val="1020"/>
          </w:rPr>
          <w:t xml:space="preserve">Рисунок </w:t>
        </w:r>
        <w:r>
          <w:rPr>
            <w:rFonts w:ascii="Calibri" w:hAnsi="Calibri"/>
            <w:sz w:val="22"/>
            <w:szCs w:val="22"/>
          </w:rPr>
          <w:tab/>
        </w:r>
        <w:r>
          <w:rPr>
            <w:rStyle w:val="1020"/>
          </w:rPr>
          <w:t xml:space="preserve">228. ЭФ списка документов «Ответ на запрос (уведомление) по ЭПС участника»</w:t>
        </w:r>
        <w:r>
          <w:tab/>
        </w:r>
        <w:r>
          <w:fldChar w:fldCharType="begin"/>
        </w:r>
        <w:r>
          <w:instrText xml:space="preserve"> PAGEREF _Toc88819613 \h </w:instrText>
        </w:r>
        <w:r/>
        <w:r>
          <w:fldChar w:fldCharType="separate"/>
        </w:r>
        <w:r>
          <w:t xml:space="preserve">452</w:t>
        </w:r>
        <w:r>
          <w:fldChar w:fldCharType="end"/>
        </w:r>
      </w:hyperlink>
      <w:r/>
      <w:r/>
    </w:p>
    <w:p>
      <w:pPr>
        <w:pStyle w:val="1152"/>
        <w:rPr>
          <w:rFonts w:ascii="Calibri" w:hAnsi="Calibri"/>
          <w:sz w:val="22"/>
          <w:szCs w:val="22"/>
        </w:rPr>
      </w:pPr>
      <w:r/>
      <w:hyperlink w:tooltip="#_Toc88819614" w:anchor="_Toc88819614" w:history="1">
        <w:r>
          <w:rPr>
            <w:rStyle w:val="1020"/>
          </w:rPr>
          <w:t xml:space="preserve">Рисунок </w:t>
        </w:r>
        <w:r>
          <w:rPr>
            <w:rFonts w:ascii="Calibri" w:hAnsi="Calibri"/>
            <w:sz w:val="22"/>
            <w:szCs w:val="22"/>
          </w:rPr>
          <w:tab/>
        </w:r>
        <w:r>
          <w:rPr>
            <w:rStyle w:val="1020"/>
          </w:rPr>
          <w:t xml:space="preserve">229. ЭФ документа «Ответ на запрос (уведомление) по ЭПС участника»</w:t>
        </w:r>
        <w:r>
          <w:tab/>
        </w:r>
        <w:r>
          <w:fldChar w:fldCharType="begin"/>
        </w:r>
        <w:r>
          <w:instrText xml:space="preserve"> PAGEREF _Toc88819614 \h </w:instrText>
        </w:r>
        <w:r/>
        <w:r>
          <w:fldChar w:fldCharType="separate"/>
        </w:r>
        <w:r>
          <w:t xml:space="preserve">454</w:t>
        </w:r>
        <w:r>
          <w:fldChar w:fldCharType="end"/>
        </w:r>
      </w:hyperlink>
      <w:r/>
      <w:r/>
    </w:p>
    <w:p>
      <w:pPr>
        <w:pStyle w:val="1152"/>
        <w:rPr>
          <w:rFonts w:ascii="Calibri" w:hAnsi="Calibri"/>
          <w:sz w:val="22"/>
          <w:szCs w:val="22"/>
        </w:rPr>
      </w:pPr>
      <w:r/>
      <w:hyperlink w:tooltip="#_Toc88819615" w:anchor="_Toc88819615" w:history="1">
        <w:r>
          <w:rPr>
            <w:rStyle w:val="1020"/>
          </w:rPr>
          <w:t xml:space="preserve">Рисунок </w:t>
        </w:r>
        <w:r>
          <w:rPr>
            <w:rFonts w:ascii="Calibri" w:hAnsi="Calibri"/>
            <w:sz w:val="22"/>
            <w:szCs w:val="22"/>
          </w:rPr>
          <w:tab/>
        </w:r>
        <w:r>
          <w:rPr>
            <w:rStyle w:val="1020"/>
          </w:rPr>
          <w:t xml:space="preserve">230. ЭФ списка документов «Анкета»</w:t>
        </w:r>
        <w:r>
          <w:tab/>
        </w:r>
        <w:r>
          <w:fldChar w:fldCharType="begin"/>
        </w:r>
        <w:r>
          <w:instrText xml:space="preserve"> PAGEREF _Toc88819615 \h </w:instrText>
        </w:r>
        <w:r/>
        <w:r>
          <w:fldChar w:fldCharType="separate"/>
        </w:r>
        <w:r>
          <w:t xml:space="preserve">457</w:t>
        </w:r>
        <w:r>
          <w:fldChar w:fldCharType="end"/>
        </w:r>
      </w:hyperlink>
      <w:r/>
      <w:r/>
    </w:p>
    <w:p>
      <w:pPr>
        <w:pStyle w:val="1152"/>
        <w:rPr>
          <w:rFonts w:ascii="Calibri" w:hAnsi="Calibri"/>
          <w:sz w:val="22"/>
          <w:szCs w:val="22"/>
        </w:rPr>
      </w:pPr>
      <w:r/>
      <w:hyperlink w:tooltip="#_Toc88819616" w:anchor="_Toc88819616" w:history="1">
        <w:r>
          <w:rPr>
            <w:rStyle w:val="1020"/>
          </w:rPr>
          <w:t xml:space="preserve">Рисунок </w:t>
        </w:r>
        <w:r>
          <w:rPr>
            <w:rFonts w:ascii="Calibri" w:hAnsi="Calibri"/>
            <w:sz w:val="22"/>
            <w:szCs w:val="22"/>
          </w:rPr>
          <w:tab/>
        </w:r>
        <w:r>
          <w:rPr>
            <w:rStyle w:val="1020"/>
          </w:rPr>
          <w:t xml:space="preserve">231. ЭФ документа «Анкета»</w:t>
        </w:r>
        <w:r>
          <w:tab/>
        </w:r>
        <w:r>
          <w:fldChar w:fldCharType="begin"/>
        </w:r>
        <w:r>
          <w:instrText xml:space="preserve"> PAGEREF _Toc88819616 \h </w:instrText>
        </w:r>
        <w:r/>
        <w:r>
          <w:fldChar w:fldCharType="separate"/>
        </w:r>
        <w:r>
          <w:t xml:space="preserve">458</w:t>
        </w:r>
        <w:r>
          <w:fldChar w:fldCharType="end"/>
        </w:r>
      </w:hyperlink>
      <w:r/>
      <w:r/>
    </w:p>
    <w:p>
      <w:pPr>
        <w:pStyle w:val="1152"/>
        <w:rPr>
          <w:rFonts w:ascii="Calibri" w:hAnsi="Calibri"/>
          <w:sz w:val="22"/>
          <w:szCs w:val="22"/>
        </w:rPr>
      </w:pPr>
      <w:r/>
      <w:hyperlink w:tooltip="#_Toc88819617" w:anchor="_Toc88819617" w:history="1">
        <w:r>
          <w:rPr>
            <w:rStyle w:val="1020"/>
          </w:rPr>
          <w:t xml:space="preserve">Рисунок </w:t>
        </w:r>
        <w:r>
          <w:rPr>
            <w:rFonts w:ascii="Calibri" w:hAnsi="Calibri"/>
            <w:sz w:val="22"/>
            <w:szCs w:val="22"/>
          </w:rPr>
          <w:tab/>
        </w:r>
        <w:r>
          <w:rPr>
            <w:rStyle w:val="1020"/>
          </w:rPr>
          <w:t xml:space="preserve">232. ЭФ списка документов «Способы автоматического импорта файлов»</w:t>
        </w:r>
        <w:r>
          <w:tab/>
        </w:r>
        <w:r>
          <w:fldChar w:fldCharType="begin"/>
        </w:r>
        <w:r>
          <w:instrText xml:space="preserve"> PAGEREF _Toc88819617 \h </w:instrText>
        </w:r>
        <w:r/>
        <w:r>
          <w:fldChar w:fldCharType="separate"/>
        </w:r>
        <w:r>
          <w:t xml:space="preserve">459</w:t>
        </w:r>
        <w:r>
          <w:fldChar w:fldCharType="end"/>
        </w:r>
      </w:hyperlink>
      <w:r/>
      <w:r/>
    </w:p>
    <w:p>
      <w:pPr>
        <w:pStyle w:val="1152"/>
        <w:rPr>
          <w:rFonts w:ascii="Calibri" w:hAnsi="Calibri"/>
          <w:sz w:val="22"/>
          <w:szCs w:val="22"/>
        </w:rPr>
      </w:pPr>
      <w:r/>
      <w:hyperlink w:tooltip="#_Toc88819618" w:anchor="_Toc88819618" w:history="1">
        <w:r>
          <w:rPr>
            <w:rStyle w:val="1020"/>
          </w:rPr>
          <w:t xml:space="preserve">Рисунок </w:t>
        </w:r>
        <w:r>
          <w:rPr>
            <w:rFonts w:ascii="Calibri" w:hAnsi="Calibri"/>
            <w:sz w:val="22"/>
            <w:szCs w:val="22"/>
          </w:rPr>
          <w:tab/>
        </w:r>
        <w:r>
          <w:rPr>
            <w:rStyle w:val="1020"/>
          </w:rPr>
          <w:t xml:space="preserve">233. ЭФ документа «Способы автоматического импорта файлов», закладки «Отправитель и получатель документа»</w:t>
        </w:r>
        <w:r>
          <w:tab/>
        </w:r>
        <w:r>
          <w:fldChar w:fldCharType="begin"/>
        </w:r>
        <w:r>
          <w:instrText xml:space="preserve"> PAGEREF _Toc88819618 \h </w:instrText>
        </w:r>
        <w:r/>
        <w:r>
          <w:fldChar w:fldCharType="separate"/>
        </w:r>
        <w:r>
          <w:t xml:space="preserve">461</w:t>
        </w:r>
        <w:r>
          <w:fldChar w:fldCharType="end"/>
        </w:r>
      </w:hyperlink>
      <w:r/>
      <w:r/>
    </w:p>
    <w:p>
      <w:pPr>
        <w:pStyle w:val="1152"/>
        <w:rPr>
          <w:rFonts w:ascii="Calibri" w:hAnsi="Calibri"/>
          <w:sz w:val="22"/>
          <w:szCs w:val="22"/>
        </w:rPr>
      </w:pPr>
      <w:r/>
      <w:hyperlink w:tooltip="#_Toc88819619" w:anchor="_Toc88819619" w:history="1">
        <w:r>
          <w:rPr>
            <w:rStyle w:val="1020"/>
          </w:rPr>
          <w:t xml:space="preserve">Рисунок </w:t>
        </w:r>
        <w:r>
          <w:rPr>
            <w:rFonts w:ascii="Calibri" w:hAnsi="Calibri"/>
            <w:sz w:val="22"/>
            <w:szCs w:val="22"/>
          </w:rPr>
          <w:tab/>
        </w:r>
        <w:r>
          <w:rPr>
            <w:rStyle w:val="1020"/>
          </w:rPr>
          <w:t xml:space="preserve">234. ЭФ документа «Способы автоматического импорта файлов», закладки «Параметры документа Информационное сообщение»</w:t>
        </w:r>
        <w:r>
          <w:tab/>
        </w:r>
        <w:r>
          <w:fldChar w:fldCharType="begin"/>
        </w:r>
        <w:r>
          <w:instrText xml:space="preserve"> PAGEREF _Toc88819619 \h </w:instrText>
        </w:r>
        <w:r/>
        <w:r>
          <w:fldChar w:fldCharType="separate"/>
        </w:r>
        <w:r>
          <w:t xml:space="preserve">463</w:t>
        </w:r>
        <w:r>
          <w:fldChar w:fldCharType="end"/>
        </w:r>
      </w:hyperlink>
      <w:r/>
      <w:r/>
    </w:p>
    <w:p>
      <w:pPr>
        <w:pStyle w:val="1152"/>
        <w:rPr>
          <w:rFonts w:ascii="Calibri" w:hAnsi="Calibri"/>
          <w:sz w:val="22"/>
          <w:szCs w:val="22"/>
        </w:rPr>
      </w:pPr>
      <w:r/>
      <w:hyperlink w:tooltip="#_Toc88819620" w:anchor="_Toc88819620" w:history="1">
        <w:r>
          <w:rPr>
            <w:rStyle w:val="1020"/>
          </w:rPr>
          <w:t xml:space="preserve">Рисунок </w:t>
        </w:r>
        <w:r>
          <w:rPr>
            <w:rFonts w:ascii="Calibri" w:hAnsi="Calibri"/>
            <w:sz w:val="22"/>
            <w:szCs w:val="22"/>
          </w:rPr>
          <w:tab/>
        </w:r>
        <w:r>
          <w:rPr>
            <w:rStyle w:val="1020"/>
          </w:rPr>
          <w:t xml:space="preserve">235. ЭФ документа «Способы автоматического импорта файлов», закладки «Дополнительные операции»</w:t>
        </w:r>
        <w:r>
          <w:tab/>
        </w:r>
        <w:r>
          <w:fldChar w:fldCharType="begin"/>
        </w:r>
        <w:r>
          <w:instrText xml:space="preserve"> PAGEREF _Toc88819620 \h </w:instrText>
        </w:r>
        <w:r/>
        <w:r>
          <w:fldChar w:fldCharType="separate"/>
        </w:r>
        <w:r>
          <w:t xml:space="preserve">463</w:t>
        </w:r>
        <w:r>
          <w:fldChar w:fldCharType="end"/>
        </w:r>
      </w:hyperlink>
      <w:r/>
      <w:r/>
    </w:p>
    <w:p>
      <w:pPr>
        <w:pStyle w:val="1152"/>
        <w:rPr>
          <w:rFonts w:ascii="Calibri" w:hAnsi="Calibri"/>
          <w:sz w:val="22"/>
          <w:szCs w:val="22"/>
        </w:rPr>
      </w:pPr>
      <w:r/>
      <w:hyperlink w:tooltip="#_Toc88819621" w:anchor="_Toc88819621" w:history="1">
        <w:r>
          <w:rPr>
            <w:rStyle w:val="1020"/>
          </w:rPr>
          <w:t xml:space="preserve">Рисунок </w:t>
        </w:r>
        <w:r>
          <w:rPr>
            <w:rFonts w:ascii="Calibri" w:hAnsi="Calibri"/>
            <w:sz w:val="22"/>
            <w:szCs w:val="22"/>
          </w:rPr>
          <w:tab/>
        </w:r>
        <w:r>
          <w:rPr>
            <w:rStyle w:val="1020"/>
          </w:rPr>
          <w:t xml:space="preserve">236. ЭФ списка документов «Способы автоматического экспорта документов»</w:t>
        </w:r>
        <w:r>
          <w:tab/>
        </w:r>
        <w:r>
          <w:fldChar w:fldCharType="begin"/>
        </w:r>
        <w:r>
          <w:instrText xml:space="preserve"> PAGEREF _Toc88819621 \h </w:instrText>
        </w:r>
        <w:r/>
        <w:r>
          <w:fldChar w:fldCharType="separate"/>
        </w:r>
        <w:r>
          <w:t xml:space="preserve">464</w:t>
        </w:r>
        <w:r>
          <w:fldChar w:fldCharType="end"/>
        </w:r>
      </w:hyperlink>
      <w:r/>
      <w:r/>
    </w:p>
    <w:p>
      <w:pPr>
        <w:pStyle w:val="1152"/>
        <w:rPr>
          <w:rFonts w:ascii="Calibri" w:hAnsi="Calibri"/>
          <w:sz w:val="22"/>
          <w:szCs w:val="22"/>
        </w:rPr>
      </w:pPr>
      <w:r/>
      <w:hyperlink w:tooltip="#_Toc88819622" w:anchor="_Toc88819622" w:history="1">
        <w:r>
          <w:rPr>
            <w:rStyle w:val="1020"/>
          </w:rPr>
          <w:t xml:space="preserve">Рисунок </w:t>
        </w:r>
        <w:r>
          <w:rPr>
            <w:rFonts w:ascii="Calibri" w:hAnsi="Calibri"/>
            <w:sz w:val="22"/>
            <w:szCs w:val="22"/>
          </w:rPr>
          <w:tab/>
        </w:r>
        <w:r>
          <w:rPr>
            <w:rStyle w:val="1020"/>
          </w:rPr>
          <w:t xml:space="preserve">237. ЭФ документа «Способы автоматического экспорта документов»</w:t>
        </w:r>
        <w:r>
          <w:tab/>
        </w:r>
        <w:r>
          <w:fldChar w:fldCharType="begin"/>
        </w:r>
        <w:r>
          <w:instrText xml:space="preserve"> PAGEREF _Toc88819622 \h </w:instrText>
        </w:r>
        <w:r/>
        <w:r>
          <w:fldChar w:fldCharType="separate"/>
        </w:r>
        <w:r>
          <w:t xml:space="preserve">466</w:t>
        </w:r>
        <w:r>
          <w:fldChar w:fldCharType="end"/>
        </w:r>
      </w:hyperlink>
      <w:r/>
      <w:r/>
    </w:p>
    <w:p>
      <w:pPr>
        <w:pStyle w:val="1152"/>
        <w:rPr>
          <w:rFonts w:ascii="Calibri" w:hAnsi="Calibri"/>
          <w:sz w:val="22"/>
          <w:szCs w:val="22"/>
        </w:rPr>
      </w:pPr>
      <w:r/>
      <w:hyperlink w:tooltip="#_Toc88819623" w:anchor="_Toc88819623" w:history="1">
        <w:r>
          <w:rPr>
            <w:rStyle w:val="1020"/>
          </w:rPr>
          <w:t xml:space="preserve">Рисунок </w:t>
        </w:r>
        <w:r>
          <w:rPr>
            <w:rFonts w:ascii="Calibri" w:hAnsi="Calibri"/>
            <w:sz w:val="22"/>
            <w:szCs w:val="22"/>
          </w:rPr>
          <w:tab/>
        </w:r>
        <w:r>
          <w:rPr>
            <w:rStyle w:val="1020"/>
          </w:rPr>
          <w:t xml:space="preserve">238. ЭФ списка документов «Отчеты»</w:t>
        </w:r>
        <w:r>
          <w:tab/>
        </w:r>
        <w:r>
          <w:fldChar w:fldCharType="begin"/>
        </w:r>
        <w:r>
          <w:instrText xml:space="preserve"> PAGEREF _Toc88819623 \h </w:instrText>
        </w:r>
        <w:r/>
        <w:r>
          <w:fldChar w:fldCharType="separate"/>
        </w:r>
        <w:r>
          <w:t xml:space="preserve">468</w:t>
        </w:r>
        <w:r>
          <w:fldChar w:fldCharType="end"/>
        </w:r>
      </w:hyperlink>
      <w:r/>
      <w:r/>
    </w:p>
    <w:p>
      <w:pPr>
        <w:pStyle w:val="1152"/>
        <w:rPr>
          <w:rFonts w:ascii="Calibri" w:hAnsi="Calibri"/>
          <w:sz w:val="22"/>
          <w:szCs w:val="22"/>
        </w:rPr>
      </w:pPr>
      <w:r/>
      <w:hyperlink w:tooltip="#_Toc88819624" w:anchor="_Toc88819624" w:history="1">
        <w:r>
          <w:rPr>
            <w:rStyle w:val="1020"/>
          </w:rPr>
          <w:t xml:space="preserve">Рисунок </w:t>
        </w:r>
        <w:r>
          <w:rPr>
            <w:rFonts w:ascii="Calibri" w:hAnsi="Calibri"/>
            <w:sz w:val="22"/>
            <w:szCs w:val="22"/>
          </w:rPr>
          <w:tab/>
        </w:r>
        <w:r>
          <w:rPr>
            <w:rStyle w:val="1020"/>
          </w:rPr>
          <w:t xml:space="preserve">239. ЭФ документа «Отчеты», закладки «Основные атрибуты»</w:t>
        </w:r>
        <w:r>
          <w:tab/>
        </w:r>
        <w:r>
          <w:fldChar w:fldCharType="begin"/>
        </w:r>
        <w:r>
          <w:instrText xml:space="preserve"> PAGEREF _Toc88819624 \h </w:instrText>
        </w:r>
        <w:r/>
        <w:r>
          <w:fldChar w:fldCharType="separate"/>
        </w:r>
        <w:r>
          <w:t xml:space="preserve">470</w:t>
        </w:r>
        <w:r>
          <w:fldChar w:fldCharType="end"/>
        </w:r>
      </w:hyperlink>
      <w:r/>
      <w:r/>
    </w:p>
    <w:p>
      <w:pPr>
        <w:pStyle w:val="1152"/>
        <w:rPr>
          <w:rFonts w:ascii="Calibri" w:hAnsi="Calibri"/>
          <w:sz w:val="22"/>
          <w:szCs w:val="22"/>
        </w:rPr>
      </w:pPr>
      <w:r/>
      <w:hyperlink w:tooltip="#_Toc88819625" w:anchor="_Toc88819625" w:history="1">
        <w:r>
          <w:rPr>
            <w:rStyle w:val="1020"/>
          </w:rPr>
          <w:t xml:space="preserve">Рисунок </w:t>
        </w:r>
        <w:r>
          <w:rPr>
            <w:rFonts w:ascii="Calibri" w:hAnsi="Calibri"/>
            <w:sz w:val="22"/>
            <w:szCs w:val="22"/>
          </w:rPr>
          <w:tab/>
        </w:r>
        <w:r>
          <w:rPr>
            <w:rStyle w:val="1020"/>
          </w:rPr>
          <w:t xml:space="preserve">240. ЭФ документа «Отчеты», закладки «Вложения»</w:t>
        </w:r>
        <w:r>
          <w:tab/>
        </w:r>
        <w:r>
          <w:fldChar w:fldCharType="begin"/>
        </w:r>
        <w:r>
          <w:instrText xml:space="preserve"> PAGEREF _Toc88819625 \h </w:instrText>
        </w:r>
        <w:r/>
        <w:r>
          <w:fldChar w:fldCharType="separate"/>
        </w:r>
        <w:r>
          <w:t xml:space="preserve">471</w:t>
        </w:r>
        <w:r>
          <w:fldChar w:fldCharType="end"/>
        </w:r>
      </w:hyperlink>
      <w:r/>
      <w:r/>
    </w:p>
    <w:p>
      <w:pPr>
        <w:pStyle w:val="1152"/>
        <w:rPr>
          <w:rFonts w:ascii="Calibri" w:hAnsi="Calibri"/>
          <w:sz w:val="22"/>
          <w:szCs w:val="22"/>
        </w:rPr>
      </w:pPr>
      <w:r/>
      <w:hyperlink w:tooltip="#_Toc88819626" w:anchor="_Toc88819626" w:history="1">
        <w:r>
          <w:rPr>
            <w:rStyle w:val="1020"/>
          </w:rPr>
          <w:t xml:space="preserve">Рисунок </w:t>
        </w:r>
        <w:r>
          <w:rPr>
            <w:rFonts w:ascii="Calibri" w:hAnsi="Calibri"/>
            <w:sz w:val="22"/>
            <w:szCs w:val="22"/>
          </w:rPr>
          <w:tab/>
        </w:r>
        <w:r>
          <w:rPr>
            <w:rStyle w:val="1020"/>
          </w:rPr>
          <w:t xml:space="preserve">241. ЭФ документа «Отчеты», закладки «Реестр вложений первичных документов»</w:t>
        </w:r>
        <w:r>
          <w:tab/>
        </w:r>
        <w:r>
          <w:fldChar w:fldCharType="begin"/>
        </w:r>
        <w:r>
          <w:instrText xml:space="preserve"> PAGEREF _Toc88819626 \h </w:instrText>
        </w:r>
        <w:r/>
        <w:r>
          <w:fldChar w:fldCharType="separate"/>
        </w:r>
        <w:r>
          <w:t xml:space="preserve">472</w:t>
        </w:r>
        <w:r>
          <w:fldChar w:fldCharType="end"/>
        </w:r>
      </w:hyperlink>
      <w:r/>
      <w:r/>
    </w:p>
    <w:p>
      <w:pPr>
        <w:pStyle w:val="1152"/>
        <w:rPr>
          <w:rFonts w:ascii="Calibri" w:hAnsi="Calibri"/>
          <w:sz w:val="22"/>
          <w:szCs w:val="22"/>
        </w:rPr>
      </w:pPr>
      <w:r/>
      <w:hyperlink w:tooltip="#_Toc88819627" w:anchor="_Toc88819627" w:history="1">
        <w:r>
          <w:rPr>
            <w:rStyle w:val="1020"/>
          </w:rPr>
          <w:t xml:space="preserve">Рисунок </w:t>
        </w:r>
        <w:r>
          <w:rPr>
            <w:rFonts w:ascii="Calibri" w:hAnsi="Calibri"/>
            <w:sz w:val="22"/>
            <w:szCs w:val="22"/>
          </w:rPr>
          <w:tab/>
        </w:r>
        <w:r>
          <w:rPr>
            <w:rStyle w:val="1020"/>
          </w:rPr>
          <w:t xml:space="preserve">242. ЭФ списка документов «Информация из расчетных документов»</w:t>
        </w:r>
        <w:r>
          <w:tab/>
        </w:r>
        <w:r>
          <w:fldChar w:fldCharType="begin"/>
        </w:r>
        <w:r>
          <w:instrText xml:space="preserve"> PAGEREF _Toc88819627 \h </w:instrText>
        </w:r>
        <w:r/>
        <w:r>
          <w:fldChar w:fldCharType="separate"/>
        </w:r>
        <w:r>
          <w:t xml:space="preserve">473</w:t>
        </w:r>
        <w:r>
          <w:fldChar w:fldCharType="end"/>
        </w:r>
      </w:hyperlink>
      <w:r/>
      <w:r/>
    </w:p>
    <w:p>
      <w:pPr>
        <w:pStyle w:val="1152"/>
        <w:rPr>
          <w:rFonts w:ascii="Calibri" w:hAnsi="Calibri"/>
          <w:sz w:val="22"/>
          <w:szCs w:val="22"/>
        </w:rPr>
      </w:pPr>
      <w:r/>
      <w:hyperlink w:tooltip="#_Toc88819628" w:anchor="_Toc88819628" w:history="1">
        <w:r>
          <w:rPr>
            <w:rStyle w:val="1020"/>
          </w:rPr>
          <w:t xml:space="preserve">Рисунок </w:t>
        </w:r>
        <w:r>
          <w:rPr>
            <w:rFonts w:ascii="Calibri" w:hAnsi="Calibri"/>
            <w:sz w:val="22"/>
            <w:szCs w:val="22"/>
          </w:rPr>
          <w:tab/>
        </w:r>
        <w:r>
          <w:rPr>
            <w:rStyle w:val="1020"/>
          </w:rPr>
          <w:t xml:space="preserve">243. ЭФ документа «Информация РД»</w:t>
        </w:r>
        <w:r>
          <w:tab/>
        </w:r>
        <w:r>
          <w:fldChar w:fldCharType="begin"/>
        </w:r>
        <w:r>
          <w:instrText xml:space="preserve"> PAGEREF _Toc88819628 \h </w:instrText>
        </w:r>
        <w:r/>
        <w:r>
          <w:fldChar w:fldCharType="separate"/>
        </w:r>
        <w:r>
          <w:t xml:space="preserve">474</w:t>
        </w:r>
        <w:r>
          <w:fldChar w:fldCharType="end"/>
        </w:r>
      </w:hyperlink>
      <w:r/>
      <w:r/>
    </w:p>
    <w:p>
      <w:pPr>
        <w:pStyle w:val="1152"/>
        <w:rPr>
          <w:rFonts w:ascii="Calibri" w:hAnsi="Calibri"/>
          <w:sz w:val="22"/>
          <w:szCs w:val="22"/>
        </w:rPr>
      </w:pPr>
      <w:r/>
      <w:hyperlink w:tooltip="#_Toc88819629" w:anchor="_Toc88819629" w:history="1">
        <w:r>
          <w:rPr>
            <w:rStyle w:val="1020"/>
          </w:rPr>
          <w:t xml:space="preserve">Рисунок </w:t>
        </w:r>
        <w:r>
          <w:rPr>
            <w:rFonts w:ascii="Calibri" w:hAnsi="Calibri"/>
            <w:sz w:val="22"/>
            <w:szCs w:val="22"/>
          </w:rPr>
          <w:tab/>
        </w:r>
        <w:r>
          <w:rPr>
            <w:rStyle w:val="1020"/>
          </w:rPr>
          <w:t xml:space="preserve">244. ЭФ документа «Информация из РД», закладки «Распоряжения о совершении казначейского платежа»</w:t>
        </w:r>
        <w:r>
          <w:tab/>
        </w:r>
        <w:r>
          <w:fldChar w:fldCharType="begin"/>
        </w:r>
        <w:r>
          <w:instrText xml:space="preserve"> PAGEREF _Toc88819629 \h </w:instrText>
        </w:r>
        <w:r/>
        <w:r>
          <w:fldChar w:fldCharType="separate"/>
        </w:r>
        <w:r>
          <w:t xml:space="preserve">478</w:t>
        </w:r>
        <w:r>
          <w:fldChar w:fldCharType="end"/>
        </w:r>
      </w:hyperlink>
      <w:r/>
      <w:r/>
    </w:p>
    <w:p>
      <w:pPr>
        <w:pStyle w:val="1152"/>
        <w:rPr>
          <w:rFonts w:ascii="Calibri" w:hAnsi="Calibri"/>
          <w:sz w:val="22"/>
          <w:szCs w:val="22"/>
        </w:rPr>
      </w:pPr>
      <w:r/>
      <w:hyperlink w:tooltip="#_Toc88819630" w:anchor="_Toc88819630" w:history="1">
        <w:r>
          <w:rPr>
            <w:rStyle w:val="1020"/>
          </w:rPr>
          <w:t xml:space="preserve">Рисунок </w:t>
        </w:r>
        <w:r>
          <w:rPr>
            <w:rFonts w:ascii="Calibri" w:hAnsi="Calibri"/>
            <w:sz w:val="22"/>
            <w:szCs w:val="22"/>
          </w:rPr>
          <w:tab/>
        </w:r>
        <w:r>
          <w:rPr>
            <w:rStyle w:val="1020"/>
          </w:rPr>
          <w:t xml:space="preserve">245. ЭФ списка документов «Запрос на предоставление отчета клиента»</w:t>
        </w:r>
        <w:r>
          <w:tab/>
        </w:r>
        <w:r>
          <w:fldChar w:fldCharType="begin"/>
        </w:r>
        <w:r>
          <w:instrText xml:space="preserve"> PAGEREF _Toc88819630 \h </w:instrText>
        </w:r>
        <w:r/>
        <w:r>
          <w:fldChar w:fldCharType="separate"/>
        </w:r>
        <w:r>
          <w:t xml:space="preserve">482</w:t>
        </w:r>
        <w:r>
          <w:fldChar w:fldCharType="end"/>
        </w:r>
      </w:hyperlink>
      <w:r/>
      <w:r/>
    </w:p>
    <w:p>
      <w:pPr>
        <w:pStyle w:val="1152"/>
        <w:rPr>
          <w:rFonts w:ascii="Calibri" w:hAnsi="Calibri"/>
          <w:sz w:val="22"/>
          <w:szCs w:val="22"/>
        </w:rPr>
      </w:pPr>
      <w:r/>
      <w:hyperlink w:tooltip="#_Toc88819631" w:anchor="_Toc88819631" w:history="1">
        <w:r>
          <w:rPr>
            <w:rStyle w:val="1020"/>
          </w:rPr>
          <w:t xml:space="preserve">Рисунок </w:t>
        </w:r>
        <w:r>
          <w:rPr>
            <w:rFonts w:ascii="Calibri" w:hAnsi="Calibri"/>
            <w:sz w:val="22"/>
            <w:szCs w:val="22"/>
          </w:rPr>
          <w:tab/>
        </w:r>
        <w:r>
          <w:rPr>
            <w:rStyle w:val="1020"/>
          </w:rPr>
          <w:t xml:space="preserve">246. ЭФ документа «Запрос на предоставление отчета клиента», закладки «Основные атрибуты»</w:t>
        </w:r>
        <w:r>
          <w:tab/>
        </w:r>
        <w:r>
          <w:fldChar w:fldCharType="begin"/>
        </w:r>
        <w:r>
          <w:instrText xml:space="preserve"> PAGEREF _Toc88819631 \h </w:instrText>
        </w:r>
        <w:r/>
        <w:r>
          <w:fldChar w:fldCharType="separate"/>
        </w:r>
        <w:r>
          <w:t xml:space="preserve">483</w:t>
        </w:r>
        <w:r>
          <w:fldChar w:fldCharType="end"/>
        </w:r>
      </w:hyperlink>
      <w:r/>
      <w:r/>
    </w:p>
    <w:p>
      <w:pPr>
        <w:pStyle w:val="1152"/>
        <w:rPr>
          <w:rFonts w:ascii="Calibri" w:hAnsi="Calibri"/>
          <w:sz w:val="22"/>
          <w:szCs w:val="22"/>
        </w:rPr>
      </w:pPr>
      <w:r/>
      <w:hyperlink w:tooltip="#_Toc88819632" w:anchor="_Toc88819632" w:history="1">
        <w:r>
          <w:rPr>
            <w:rStyle w:val="1020"/>
          </w:rPr>
          <w:t xml:space="preserve">Рисунок </w:t>
        </w:r>
        <w:r>
          <w:rPr>
            <w:rFonts w:ascii="Calibri" w:hAnsi="Calibri"/>
            <w:sz w:val="22"/>
            <w:szCs w:val="22"/>
          </w:rPr>
          <w:tab/>
        </w:r>
        <w:r>
          <w:rPr>
            <w:rStyle w:val="1020"/>
          </w:rPr>
          <w:t xml:space="preserve">247. ЭФ документа «Запрос на предоставление отчета клиента», закладки «Подписи/Дополнительные атрибуты»</w:t>
        </w:r>
        <w:r>
          <w:tab/>
        </w:r>
        <w:r>
          <w:fldChar w:fldCharType="begin"/>
        </w:r>
        <w:r>
          <w:instrText xml:space="preserve"> PAGEREF _Toc88819632 \h </w:instrText>
        </w:r>
        <w:r/>
        <w:r>
          <w:fldChar w:fldCharType="separate"/>
        </w:r>
        <w:r>
          <w:t xml:space="preserve">486</w:t>
        </w:r>
        <w:r>
          <w:fldChar w:fldCharType="end"/>
        </w:r>
      </w:hyperlink>
      <w:r/>
      <w:r/>
    </w:p>
    <w:p>
      <w:pPr>
        <w:pStyle w:val="1152"/>
        <w:rPr>
          <w:rFonts w:ascii="Calibri" w:hAnsi="Calibri"/>
          <w:sz w:val="22"/>
          <w:szCs w:val="22"/>
        </w:rPr>
      </w:pPr>
      <w:r/>
      <w:hyperlink w:tooltip="#_Toc88819633" w:anchor="_Toc88819633" w:history="1">
        <w:r>
          <w:rPr>
            <w:rStyle w:val="1020"/>
          </w:rPr>
          <w:t xml:space="preserve">Рисунок </w:t>
        </w:r>
        <w:r>
          <w:rPr>
            <w:rFonts w:ascii="Calibri" w:hAnsi="Calibri"/>
            <w:sz w:val="22"/>
            <w:szCs w:val="22"/>
          </w:rPr>
          <w:tab/>
        </w:r>
        <w:r>
          <w:rPr>
            <w:rStyle w:val="1020"/>
          </w:rPr>
          <w:t xml:space="preserve">248. ЭФ списка документов «Запрос на предоставление выписки из казначейского счета»</w:t>
        </w:r>
        <w:r>
          <w:tab/>
        </w:r>
        <w:r>
          <w:fldChar w:fldCharType="begin"/>
        </w:r>
        <w:r>
          <w:instrText xml:space="preserve"> PAGEREF _Toc88819633 \h </w:instrText>
        </w:r>
        <w:r/>
        <w:r>
          <w:fldChar w:fldCharType="separate"/>
        </w:r>
        <w:r>
          <w:t xml:space="preserve">488</w:t>
        </w:r>
        <w:r>
          <w:fldChar w:fldCharType="end"/>
        </w:r>
      </w:hyperlink>
      <w:r/>
      <w:r/>
    </w:p>
    <w:p>
      <w:pPr>
        <w:pStyle w:val="1152"/>
        <w:rPr>
          <w:rFonts w:ascii="Calibri" w:hAnsi="Calibri"/>
          <w:sz w:val="22"/>
          <w:szCs w:val="22"/>
        </w:rPr>
      </w:pPr>
      <w:r/>
      <w:hyperlink w:tooltip="#_Toc88819634" w:anchor="_Toc88819634" w:history="1">
        <w:r>
          <w:rPr>
            <w:rStyle w:val="1020"/>
          </w:rPr>
          <w:t xml:space="preserve">Рисунок </w:t>
        </w:r>
        <w:r>
          <w:rPr>
            <w:rFonts w:ascii="Calibri" w:hAnsi="Calibri"/>
            <w:sz w:val="22"/>
            <w:szCs w:val="22"/>
          </w:rPr>
          <w:tab/>
        </w:r>
        <w:r>
          <w:rPr>
            <w:rStyle w:val="1020"/>
          </w:rPr>
          <w:t xml:space="preserve">249. ЭФ документа «Запрос на предоставление выписки из казначейского счета», закладки «Основные атрибуты»</w:t>
        </w:r>
        <w:r>
          <w:tab/>
        </w:r>
        <w:r>
          <w:fldChar w:fldCharType="begin"/>
        </w:r>
        <w:r>
          <w:instrText xml:space="preserve"> PAGEREF _Toc88819634 \h </w:instrText>
        </w:r>
        <w:r/>
        <w:r>
          <w:fldChar w:fldCharType="separate"/>
        </w:r>
        <w:r>
          <w:t xml:space="preserve">489</w:t>
        </w:r>
        <w:r>
          <w:fldChar w:fldCharType="end"/>
        </w:r>
      </w:hyperlink>
      <w:r/>
      <w:r/>
    </w:p>
    <w:p>
      <w:pPr>
        <w:pStyle w:val="1152"/>
        <w:rPr>
          <w:rFonts w:ascii="Calibri" w:hAnsi="Calibri"/>
          <w:sz w:val="22"/>
          <w:szCs w:val="22"/>
        </w:rPr>
      </w:pPr>
      <w:r/>
      <w:hyperlink w:tooltip="#_Toc88819635" w:anchor="_Toc88819635" w:history="1">
        <w:r>
          <w:rPr>
            <w:rStyle w:val="1020"/>
          </w:rPr>
          <w:t xml:space="preserve">Рисунок </w:t>
        </w:r>
        <w:r>
          <w:rPr>
            <w:rFonts w:ascii="Calibri" w:hAnsi="Calibri"/>
            <w:sz w:val="22"/>
            <w:szCs w:val="22"/>
          </w:rPr>
          <w:tab/>
        </w:r>
        <w:r>
          <w:rPr>
            <w:rStyle w:val="1020"/>
          </w:rPr>
          <w:t xml:space="preserve">250. ЭФ документа «Запрос на предоставление выписки из казначейского счета», закладки «Подписи/Дополнительные атрибуты»</w:t>
        </w:r>
        <w:r>
          <w:tab/>
        </w:r>
        <w:r>
          <w:fldChar w:fldCharType="begin"/>
        </w:r>
        <w:r>
          <w:instrText xml:space="preserve"> PAGEREF _Toc88819635 \h </w:instrText>
        </w:r>
        <w:r/>
        <w:r>
          <w:fldChar w:fldCharType="separate"/>
        </w:r>
        <w:r>
          <w:t xml:space="preserve">492</w:t>
        </w:r>
        <w:r>
          <w:fldChar w:fldCharType="end"/>
        </w:r>
      </w:hyperlink>
      <w:r/>
      <w:r/>
    </w:p>
    <w:p>
      <w:pPr>
        <w:pStyle w:val="1152"/>
        <w:rPr>
          <w:rFonts w:ascii="Calibri" w:hAnsi="Calibri"/>
          <w:sz w:val="22"/>
          <w:szCs w:val="22"/>
        </w:rPr>
      </w:pPr>
      <w:r/>
      <w:hyperlink w:tooltip="#_Toc88819636" w:anchor="_Toc88819636" w:history="1">
        <w:r>
          <w:rPr>
            <w:rStyle w:val="1020"/>
          </w:rPr>
          <w:t xml:space="preserve">Рисунок </w:t>
        </w:r>
        <w:r>
          <w:rPr>
            <w:rFonts w:ascii="Calibri" w:hAnsi="Calibri"/>
            <w:sz w:val="22"/>
            <w:szCs w:val="22"/>
          </w:rPr>
          <w:tab/>
        </w:r>
        <w:r>
          <w:rPr>
            <w:rStyle w:val="1020"/>
          </w:rPr>
          <w:t xml:space="preserve">251. ЭФ списка документов «Информация о кассовых операциях на лицевых счетах учреждений»</w:t>
        </w:r>
        <w:r>
          <w:tab/>
        </w:r>
        <w:r>
          <w:fldChar w:fldCharType="begin"/>
        </w:r>
        <w:r>
          <w:instrText xml:space="preserve"> PAGEREF _Toc88819636 \h </w:instrText>
        </w:r>
        <w:r/>
        <w:r>
          <w:fldChar w:fldCharType="separate"/>
        </w:r>
        <w:r>
          <w:t xml:space="preserve">493</w:t>
        </w:r>
        <w:r>
          <w:fldChar w:fldCharType="end"/>
        </w:r>
      </w:hyperlink>
      <w:r/>
      <w:r/>
    </w:p>
    <w:p>
      <w:pPr>
        <w:pStyle w:val="1152"/>
        <w:rPr>
          <w:rFonts w:ascii="Calibri" w:hAnsi="Calibri"/>
          <w:sz w:val="22"/>
          <w:szCs w:val="22"/>
        </w:rPr>
      </w:pPr>
      <w:r/>
      <w:hyperlink w:tooltip="#_Toc88819637" w:anchor="_Toc88819637" w:history="1">
        <w:r>
          <w:rPr>
            <w:rStyle w:val="1020"/>
          </w:rPr>
          <w:t xml:space="preserve">Рисунок </w:t>
        </w:r>
        <w:r>
          <w:rPr>
            <w:rFonts w:ascii="Calibri" w:hAnsi="Calibri"/>
            <w:sz w:val="22"/>
            <w:szCs w:val="22"/>
          </w:rPr>
          <w:tab/>
        </w:r>
        <w:r>
          <w:rPr>
            <w:rStyle w:val="1020"/>
          </w:rPr>
          <w:t xml:space="preserve">252. ЭФ документа «Информация о кассовых операциях на лицевых счетах учреждений», табличного поля «Основные атрибуты»</w:t>
        </w:r>
        <w:r>
          <w:tab/>
        </w:r>
        <w:r>
          <w:fldChar w:fldCharType="begin"/>
        </w:r>
        <w:r>
          <w:instrText xml:space="preserve"> PAGEREF _Toc88819637 \h </w:instrText>
        </w:r>
        <w:r/>
        <w:r>
          <w:fldChar w:fldCharType="separate"/>
        </w:r>
        <w:r>
          <w:t xml:space="preserve">494</w:t>
        </w:r>
        <w:r>
          <w:fldChar w:fldCharType="end"/>
        </w:r>
      </w:hyperlink>
      <w:r/>
      <w:r/>
    </w:p>
    <w:p>
      <w:pPr>
        <w:pStyle w:val="1152"/>
        <w:rPr>
          <w:rFonts w:ascii="Calibri" w:hAnsi="Calibri"/>
          <w:sz w:val="22"/>
          <w:szCs w:val="22"/>
        </w:rPr>
      </w:pPr>
      <w:r/>
      <w:hyperlink w:tooltip="#_Toc88819638" w:anchor="_Toc88819638" w:history="1">
        <w:r>
          <w:rPr>
            <w:rStyle w:val="1020"/>
          </w:rPr>
          <w:t xml:space="preserve">Рисунок </w:t>
        </w:r>
        <w:r>
          <w:rPr>
            <w:rFonts w:ascii="Calibri" w:hAnsi="Calibri"/>
            <w:sz w:val="22"/>
            <w:szCs w:val="22"/>
          </w:rPr>
          <w:tab/>
        </w:r>
        <w:r>
          <w:rPr>
            <w:rStyle w:val="1020"/>
          </w:rPr>
          <w:t xml:space="preserve">253. ЭФ документа «Информация о кассовых операциях на лицевых счетах учреждений», закладки «Заявка на кассовый расход»</w:t>
        </w:r>
        <w:r>
          <w:tab/>
        </w:r>
        <w:r>
          <w:fldChar w:fldCharType="begin"/>
        </w:r>
        <w:r>
          <w:instrText xml:space="preserve"> PAGEREF _Toc88819638 \h </w:instrText>
        </w:r>
        <w:r/>
        <w:r>
          <w:fldChar w:fldCharType="separate"/>
        </w:r>
        <w:r>
          <w:t xml:space="preserve">495</w:t>
        </w:r>
        <w:r>
          <w:fldChar w:fldCharType="end"/>
        </w:r>
      </w:hyperlink>
      <w:r/>
      <w:r/>
    </w:p>
    <w:p>
      <w:pPr>
        <w:pStyle w:val="1152"/>
        <w:rPr>
          <w:rFonts w:ascii="Calibri" w:hAnsi="Calibri"/>
          <w:sz w:val="22"/>
          <w:szCs w:val="22"/>
        </w:rPr>
      </w:pPr>
      <w:r/>
      <w:hyperlink w:tooltip="#_Toc88819639" w:anchor="_Toc88819639" w:history="1">
        <w:r>
          <w:rPr>
            <w:rStyle w:val="1020"/>
          </w:rPr>
          <w:t xml:space="preserve">Рисунок </w:t>
        </w:r>
        <w:r>
          <w:rPr>
            <w:rFonts w:ascii="Calibri" w:hAnsi="Calibri"/>
            <w:sz w:val="22"/>
            <w:szCs w:val="22"/>
          </w:rPr>
          <w:tab/>
        </w:r>
        <w:r>
          <w:rPr>
            <w:rStyle w:val="1020"/>
          </w:rPr>
          <w:t xml:space="preserve">254. ЭФ документа «Информация о кассовых операциях на лицевых счетах учреждений», закладки «Заявка на кассовый расход (сокращенная)»</w:t>
        </w:r>
        <w:r>
          <w:tab/>
        </w:r>
        <w:r>
          <w:fldChar w:fldCharType="begin"/>
        </w:r>
        <w:r>
          <w:instrText xml:space="preserve"> PAGEREF _Toc88819639 \h </w:instrText>
        </w:r>
        <w:r/>
        <w:r>
          <w:fldChar w:fldCharType="separate"/>
        </w:r>
        <w:r>
          <w:t xml:space="preserve">498</w:t>
        </w:r>
        <w:r>
          <w:fldChar w:fldCharType="end"/>
        </w:r>
      </w:hyperlink>
      <w:r/>
      <w:r/>
    </w:p>
    <w:p>
      <w:pPr>
        <w:pStyle w:val="1152"/>
        <w:rPr>
          <w:rFonts w:ascii="Calibri" w:hAnsi="Calibri"/>
          <w:sz w:val="22"/>
          <w:szCs w:val="22"/>
        </w:rPr>
      </w:pPr>
      <w:r/>
      <w:hyperlink w:tooltip="#_Toc88819640" w:anchor="_Toc88819640" w:history="1">
        <w:r>
          <w:rPr>
            <w:rStyle w:val="1020"/>
          </w:rPr>
          <w:t xml:space="preserve">Рисунок </w:t>
        </w:r>
        <w:r>
          <w:rPr>
            <w:rFonts w:ascii="Calibri" w:hAnsi="Calibri"/>
            <w:sz w:val="22"/>
            <w:szCs w:val="22"/>
          </w:rPr>
          <w:tab/>
        </w:r>
        <w:r>
          <w:rPr>
            <w:rStyle w:val="1020"/>
          </w:rPr>
          <w:t xml:space="preserve">255. ЭФ документа «Информация о кассовых операциях на лицевых счетах учреждений», закладки «Заявка на получение наличных денег»</w:t>
        </w:r>
        <w:r>
          <w:tab/>
        </w:r>
        <w:r>
          <w:fldChar w:fldCharType="begin"/>
        </w:r>
        <w:r>
          <w:instrText xml:space="preserve"> PAGEREF _Toc88819640 \h </w:instrText>
        </w:r>
        <w:r/>
        <w:r>
          <w:fldChar w:fldCharType="separate"/>
        </w:r>
        <w:r>
          <w:t xml:space="preserve">499</w:t>
        </w:r>
        <w:r>
          <w:fldChar w:fldCharType="end"/>
        </w:r>
      </w:hyperlink>
      <w:r/>
      <w:r/>
    </w:p>
    <w:p>
      <w:pPr>
        <w:pStyle w:val="1152"/>
        <w:rPr>
          <w:rFonts w:ascii="Calibri" w:hAnsi="Calibri"/>
          <w:sz w:val="22"/>
          <w:szCs w:val="22"/>
        </w:rPr>
      </w:pPr>
      <w:r/>
      <w:hyperlink w:tooltip="#_Toc88819641" w:anchor="_Toc88819641" w:history="1">
        <w:r>
          <w:rPr>
            <w:rStyle w:val="1020"/>
          </w:rPr>
          <w:t xml:space="preserve">Рисунок </w:t>
        </w:r>
        <w:r>
          <w:rPr>
            <w:rFonts w:ascii="Calibri" w:hAnsi="Calibri"/>
            <w:sz w:val="22"/>
            <w:szCs w:val="22"/>
          </w:rPr>
          <w:tab/>
        </w:r>
        <w:r>
          <w:rPr>
            <w:rStyle w:val="1020"/>
          </w:rPr>
          <w:t xml:space="preserve">256. ЭФ документа «Информация о кассовых операциях на лицевых счетах учреждений», закладки «Заявка на получение наличных денег, перечисляемых на карту»</w:t>
        </w:r>
        <w:r>
          <w:tab/>
        </w:r>
        <w:r>
          <w:fldChar w:fldCharType="begin"/>
        </w:r>
        <w:r>
          <w:instrText xml:space="preserve"> PAGEREF _Toc88819641 \h </w:instrText>
        </w:r>
        <w:r/>
        <w:r>
          <w:fldChar w:fldCharType="separate"/>
        </w:r>
        <w:r>
          <w:t xml:space="preserve">501</w:t>
        </w:r>
        <w:r>
          <w:fldChar w:fldCharType="end"/>
        </w:r>
      </w:hyperlink>
      <w:r/>
      <w:r/>
    </w:p>
    <w:p>
      <w:pPr>
        <w:pStyle w:val="1152"/>
        <w:rPr>
          <w:rFonts w:ascii="Calibri" w:hAnsi="Calibri"/>
          <w:sz w:val="22"/>
          <w:szCs w:val="22"/>
        </w:rPr>
      </w:pPr>
      <w:r/>
      <w:hyperlink w:tooltip="#_Toc88819642" w:anchor="_Toc88819642" w:history="1">
        <w:r>
          <w:rPr>
            <w:rStyle w:val="1020"/>
          </w:rPr>
          <w:t xml:space="preserve">Рисунок </w:t>
        </w:r>
        <w:r>
          <w:rPr>
            <w:rFonts w:ascii="Calibri" w:hAnsi="Calibri"/>
            <w:sz w:val="22"/>
            <w:szCs w:val="22"/>
          </w:rPr>
          <w:tab/>
        </w:r>
        <w:r>
          <w:rPr>
            <w:rStyle w:val="1020"/>
          </w:rPr>
          <w:t xml:space="preserve">257. ЭФ документа «Информация о кассовых операциях на лицевых счетах учреждений», закладки «Заявка на возврат»</w:t>
        </w:r>
        <w:r>
          <w:tab/>
        </w:r>
        <w:r>
          <w:fldChar w:fldCharType="begin"/>
        </w:r>
        <w:r>
          <w:instrText xml:space="preserve"> PAGEREF _Toc88819642 \h </w:instrText>
        </w:r>
        <w:r/>
        <w:r>
          <w:fldChar w:fldCharType="separate"/>
        </w:r>
        <w:r>
          <w:t xml:space="preserve">503</w:t>
        </w:r>
        <w:r>
          <w:fldChar w:fldCharType="end"/>
        </w:r>
      </w:hyperlink>
      <w:r/>
      <w:r/>
    </w:p>
    <w:p>
      <w:pPr>
        <w:pStyle w:val="1152"/>
        <w:rPr>
          <w:rFonts w:ascii="Calibri" w:hAnsi="Calibri"/>
          <w:sz w:val="22"/>
          <w:szCs w:val="22"/>
        </w:rPr>
      </w:pPr>
      <w:r/>
      <w:hyperlink w:tooltip="#_Toc88819643" w:anchor="_Toc88819643" w:history="1">
        <w:r>
          <w:rPr>
            <w:rStyle w:val="1020"/>
          </w:rPr>
          <w:t xml:space="preserve">Рисунок </w:t>
        </w:r>
        <w:r>
          <w:rPr>
            <w:rFonts w:ascii="Calibri" w:hAnsi="Calibri"/>
            <w:sz w:val="22"/>
            <w:szCs w:val="22"/>
          </w:rPr>
          <w:tab/>
        </w:r>
        <w:r>
          <w:rPr>
            <w:rStyle w:val="1020"/>
          </w:rPr>
          <w:t xml:space="preserve">258. ЭФ документа «Информация о кассовых операциях на лицевых счетах учреждений», закладки «Бухгалтерская справка ф. 0504833»</w:t>
        </w:r>
        <w:r>
          <w:tab/>
        </w:r>
        <w:r>
          <w:fldChar w:fldCharType="begin"/>
        </w:r>
        <w:r>
          <w:instrText xml:space="preserve"> PAGEREF _Toc88819643 \h </w:instrText>
        </w:r>
        <w:r/>
        <w:r>
          <w:fldChar w:fldCharType="separate"/>
        </w:r>
        <w:r>
          <w:t xml:space="preserve">505</w:t>
        </w:r>
        <w:r>
          <w:fldChar w:fldCharType="end"/>
        </w:r>
      </w:hyperlink>
      <w:r/>
      <w:r/>
    </w:p>
    <w:p>
      <w:pPr>
        <w:pStyle w:val="1152"/>
        <w:rPr>
          <w:rFonts w:ascii="Calibri" w:hAnsi="Calibri"/>
          <w:sz w:val="22"/>
          <w:szCs w:val="22"/>
        </w:rPr>
      </w:pPr>
      <w:r/>
      <w:hyperlink w:tooltip="#_Toc88819644" w:anchor="_Toc88819644" w:history="1">
        <w:r>
          <w:rPr>
            <w:rStyle w:val="1020"/>
          </w:rPr>
          <w:t xml:space="preserve">Рисунок </w:t>
        </w:r>
        <w:r>
          <w:rPr>
            <w:rFonts w:ascii="Calibri" w:hAnsi="Calibri"/>
            <w:sz w:val="22"/>
            <w:szCs w:val="22"/>
          </w:rPr>
          <w:tab/>
        </w:r>
        <w:r>
          <w:rPr>
            <w:rStyle w:val="1020"/>
          </w:rPr>
          <w:t xml:space="preserve">259. ЭФ документа «Информация о кассовых операциях на лицевых счетах учреждений», закладки «Уведомление об уточнении операций клиента»</w:t>
        </w:r>
        <w:r>
          <w:tab/>
        </w:r>
        <w:r>
          <w:fldChar w:fldCharType="begin"/>
        </w:r>
        <w:r>
          <w:instrText xml:space="preserve"> PAGEREF _Toc88819644 \h </w:instrText>
        </w:r>
        <w:r/>
        <w:r>
          <w:fldChar w:fldCharType="separate"/>
        </w:r>
        <w:r>
          <w:t xml:space="preserve">506</w:t>
        </w:r>
        <w:r>
          <w:fldChar w:fldCharType="end"/>
        </w:r>
      </w:hyperlink>
      <w:r/>
      <w:r/>
    </w:p>
    <w:p>
      <w:pPr>
        <w:pStyle w:val="1152"/>
        <w:rPr>
          <w:rFonts w:ascii="Calibri" w:hAnsi="Calibri"/>
          <w:sz w:val="22"/>
          <w:szCs w:val="22"/>
        </w:rPr>
      </w:pPr>
      <w:r/>
      <w:hyperlink w:tooltip="#_Toc88819645" w:anchor="_Toc88819645" w:history="1">
        <w:r>
          <w:rPr>
            <w:rStyle w:val="1020"/>
          </w:rPr>
          <w:t xml:space="preserve">Рисунок </w:t>
        </w:r>
        <w:r>
          <w:rPr>
            <w:rFonts w:ascii="Calibri" w:hAnsi="Calibri"/>
            <w:sz w:val="22"/>
            <w:szCs w:val="22"/>
          </w:rPr>
          <w:tab/>
        </w:r>
        <w:r>
          <w:rPr>
            <w:rStyle w:val="1020"/>
          </w:rPr>
          <w:t xml:space="preserve">260. ЭФ документа «Информация о кассовых операциях на лицевых счетах учреждений», закладки «Уведомление об уточнении вида и принадлежности платежа»</w:t>
        </w:r>
        <w:r>
          <w:tab/>
        </w:r>
        <w:r>
          <w:fldChar w:fldCharType="begin"/>
        </w:r>
        <w:r>
          <w:instrText xml:space="preserve"> PAGEREF _Toc88819645 \h </w:instrText>
        </w:r>
        <w:r/>
        <w:r>
          <w:fldChar w:fldCharType="separate"/>
        </w:r>
        <w:r>
          <w:t xml:space="preserve">509</w:t>
        </w:r>
        <w:r>
          <w:fldChar w:fldCharType="end"/>
        </w:r>
      </w:hyperlink>
      <w:r/>
      <w:r/>
    </w:p>
    <w:p>
      <w:pPr>
        <w:pStyle w:val="1152"/>
        <w:rPr>
          <w:rFonts w:ascii="Calibri" w:hAnsi="Calibri"/>
          <w:sz w:val="22"/>
          <w:szCs w:val="22"/>
        </w:rPr>
      </w:pPr>
      <w:r/>
      <w:hyperlink w:tooltip="#_Toc88819646" w:anchor="_Toc88819646" w:history="1">
        <w:r>
          <w:rPr>
            <w:rStyle w:val="1020"/>
          </w:rPr>
          <w:t xml:space="preserve">Рисунок </w:t>
        </w:r>
        <w:r>
          <w:rPr>
            <w:rFonts w:ascii="Calibri" w:hAnsi="Calibri"/>
            <w:sz w:val="22"/>
            <w:szCs w:val="22"/>
          </w:rPr>
          <w:tab/>
        </w:r>
        <w:r>
          <w:rPr>
            <w:rStyle w:val="1020"/>
          </w:rPr>
          <w:t xml:space="preserve">261. ЭФ документа «Информация о кассовых операциях на лицевых счетах учреждений», закладки «Платежное поручение»</w:t>
        </w:r>
        <w:r>
          <w:tab/>
        </w:r>
        <w:r>
          <w:fldChar w:fldCharType="begin"/>
        </w:r>
        <w:r>
          <w:instrText xml:space="preserve"> PAGEREF _Toc88819646 \h </w:instrText>
        </w:r>
        <w:r/>
        <w:r>
          <w:fldChar w:fldCharType="separate"/>
        </w:r>
        <w:r>
          <w:t xml:space="preserve">511</w:t>
        </w:r>
        <w:r>
          <w:fldChar w:fldCharType="end"/>
        </w:r>
      </w:hyperlink>
      <w:r/>
      <w:r/>
    </w:p>
    <w:p>
      <w:pPr>
        <w:pStyle w:val="1152"/>
        <w:rPr>
          <w:rFonts w:ascii="Calibri" w:hAnsi="Calibri"/>
          <w:sz w:val="22"/>
          <w:szCs w:val="22"/>
        </w:rPr>
      </w:pPr>
      <w:r/>
      <w:hyperlink w:tooltip="#_Toc88819647" w:anchor="_Toc88819647" w:history="1">
        <w:r>
          <w:rPr>
            <w:rStyle w:val="1020"/>
          </w:rPr>
          <w:t xml:space="preserve">Рисунок </w:t>
        </w:r>
        <w:r>
          <w:rPr>
            <w:rFonts w:ascii="Calibri" w:hAnsi="Calibri"/>
            <w:sz w:val="22"/>
            <w:szCs w:val="22"/>
          </w:rPr>
          <w:tab/>
        </w:r>
        <w:r>
          <w:rPr>
            <w:rStyle w:val="1020"/>
          </w:rPr>
          <w:t xml:space="preserve">262. ЭФ документа «Информация о кассовых операциях на лицевых счетах учреждений», закладки «Сводная заявка на кассовый расход»</w:t>
        </w:r>
        <w:r>
          <w:tab/>
        </w:r>
        <w:r>
          <w:fldChar w:fldCharType="begin"/>
        </w:r>
        <w:r>
          <w:instrText xml:space="preserve"> PAGEREF _Toc88819647 \h </w:instrText>
        </w:r>
        <w:r/>
        <w:r>
          <w:fldChar w:fldCharType="separate"/>
        </w:r>
        <w:r>
          <w:t xml:space="preserve">513</w:t>
        </w:r>
        <w:r>
          <w:fldChar w:fldCharType="end"/>
        </w:r>
      </w:hyperlink>
      <w:r/>
      <w:r/>
    </w:p>
    <w:p>
      <w:pPr>
        <w:pStyle w:val="1152"/>
        <w:rPr>
          <w:rFonts w:ascii="Calibri" w:hAnsi="Calibri"/>
          <w:sz w:val="22"/>
          <w:szCs w:val="22"/>
        </w:rPr>
      </w:pPr>
      <w:r/>
      <w:hyperlink w:tooltip="#_Toc88819648" w:anchor="_Toc88819648" w:history="1">
        <w:r>
          <w:rPr>
            <w:rStyle w:val="1020"/>
          </w:rPr>
          <w:t xml:space="preserve">Рисунок </w:t>
        </w:r>
        <w:r>
          <w:rPr>
            <w:rFonts w:ascii="Calibri" w:hAnsi="Calibri"/>
            <w:sz w:val="22"/>
            <w:szCs w:val="22"/>
          </w:rPr>
          <w:tab/>
        </w:r>
        <w:r>
          <w:rPr>
            <w:rStyle w:val="1020"/>
          </w:rPr>
          <w:t xml:space="preserve">263. ЭФ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r>
          <w:tab/>
        </w:r>
        <w:r>
          <w:fldChar w:fldCharType="begin"/>
        </w:r>
        <w:r>
          <w:instrText xml:space="preserve"> PAGEREF _Toc88819648 \h </w:instrText>
        </w:r>
        <w:r/>
        <w:r>
          <w:fldChar w:fldCharType="separate"/>
        </w:r>
        <w:r>
          <w:t xml:space="preserve">516</w:t>
        </w:r>
        <w:r>
          <w:fldChar w:fldCharType="end"/>
        </w:r>
      </w:hyperlink>
      <w:r/>
      <w:r/>
    </w:p>
    <w:p>
      <w:pPr>
        <w:pStyle w:val="1152"/>
        <w:rPr>
          <w:rFonts w:ascii="Calibri" w:hAnsi="Calibri"/>
          <w:sz w:val="22"/>
          <w:szCs w:val="22"/>
        </w:rPr>
      </w:pPr>
      <w:r/>
      <w:hyperlink w:tooltip="#_Toc88819649" w:anchor="_Toc88819649" w:history="1">
        <w:r>
          <w:rPr>
            <w:rStyle w:val="1020"/>
          </w:rPr>
          <w:t xml:space="preserve">Рисунок </w:t>
        </w:r>
        <w:r>
          <w:rPr>
            <w:rFonts w:ascii="Calibri" w:hAnsi="Calibri"/>
            <w:sz w:val="22"/>
            <w:szCs w:val="22"/>
          </w:rPr>
          <w:tab/>
        </w:r>
        <w:r>
          <w:rPr>
            <w:rStyle w:val="1020"/>
          </w:rPr>
          <w:t xml:space="preserve">264. ЭФ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r>
          <w:tab/>
        </w:r>
        <w:r>
          <w:fldChar w:fldCharType="begin"/>
        </w:r>
        <w:r>
          <w:instrText xml:space="preserve"> PAGEREF _Toc88819649 \h </w:instrText>
        </w:r>
        <w:r/>
        <w:r>
          <w:fldChar w:fldCharType="separate"/>
        </w:r>
        <w:r>
          <w:t xml:space="preserve">518</w:t>
        </w:r>
        <w:r>
          <w:fldChar w:fldCharType="end"/>
        </w:r>
      </w:hyperlink>
      <w:r/>
      <w:r/>
    </w:p>
    <w:p>
      <w:pPr>
        <w:pStyle w:val="1152"/>
        <w:rPr>
          <w:rFonts w:ascii="Calibri" w:hAnsi="Calibri"/>
          <w:sz w:val="22"/>
          <w:szCs w:val="22"/>
        </w:rPr>
      </w:pPr>
      <w:r/>
      <w:hyperlink w:tooltip="#_Toc88819650" w:anchor="_Toc88819650" w:history="1">
        <w:r>
          <w:rPr>
            <w:rStyle w:val="1020"/>
          </w:rPr>
          <w:t xml:space="preserve">Рисунок </w:t>
        </w:r>
        <w:r>
          <w:rPr>
            <w:rFonts w:ascii="Calibri" w:hAnsi="Calibri"/>
            <w:sz w:val="22"/>
            <w:szCs w:val="22"/>
          </w:rPr>
          <w:tab/>
        </w:r>
        <w:r>
          <w:rPr>
            <w:rStyle w:val="1020"/>
          </w:rPr>
          <w:t xml:space="preserve">265. ЭФ документа «Информация о кассовых операциях на лицевых счетах учреждений», закладки «Заявка для обеспечения наличными денежными средствами»</w:t>
        </w:r>
        <w:r>
          <w:tab/>
        </w:r>
        <w:r>
          <w:fldChar w:fldCharType="begin"/>
        </w:r>
        <w:r>
          <w:instrText xml:space="preserve"> PAGEREF _Toc88819650 \h </w:instrText>
        </w:r>
        <w:r/>
        <w:r>
          <w:fldChar w:fldCharType="separate"/>
        </w:r>
        <w:r>
          <w:t xml:space="preserve">520</w:t>
        </w:r>
        <w:r>
          <w:fldChar w:fldCharType="end"/>
        </w:r>
      </w:hyperlink>
      <w:r/>
      <w:r/>
    </w:p>
    <w:p>
      <w:pPr>
        <w:pStyle w:val="1152"/>
        <w:rPr>
          <w:rFonts w:ascii="Calibri" w:hAnsi="Calibri"/>
          <w:sz w:val="22"/>
          <w:szCs w:val="22"/>
        </w:rPr>
      </w:pPr>
      <w:r/>
      <w:hyperlink w:tooltip="#_Toc88819651" w:anchor="_Toc88819651" w:history="1">
        <w:r>
          <w:rPr>
            <w:rStyle w:val="1020"/>
          </w:rPr>
          <w:t xml:space="preserve">Рисунок </w:t>
        </w:r>
        <w:r>
          <w:rPr>
            <w:rFonts w:ascii="Calibri" w:hAnsi="Calibri"/>
            <w:sz w:val="22"/>
            <w:szCs w:val="22"/>
          </w:rPr>
          <w:tab/>
        </w:r>
        <w:r>
          <w:rPr>
            <w:rStyle w:val="1020"/>
          </w:rPr>
          <w:t xml:space="preserve">266. ЭФ документа «Бухгалтерская справка ф. 0504833», закладки «Основные»</w:t>
        </w:r>
        <w:r>
          <w:tab/>
        </w:r>
        <w:r>
          <w:fldChar w:fldCharType="begin"/>
        </w:r>
        <w:r>
          <w:instrText xml:space="preserve"> PAGEREF _Toc88819651 \h </w:instrText>
        </w:r>
        <w:r/>
        <w:r>
          <w:fldChar w:fldCharType="separate"/>
        </w:r>
        <w:r>
          <w:t xml:space="preserve">522</w:t>
        </w:r>
        <w:r>
          <w:fldChar w:fldCharType="end"/>
        </w:r>
      </w:hyperlink>
      <w:r/>
      <w:r/>
    </w:p>
    <w:p>
      <w:pPr>
        <w:pStyle w:val="1152"/>
        <w:rPr>
          <w:rFonts w:ascii="Calibri" w:hAnsi="Calibri"/>
          <w:sz w:val="22"/>
          <w:szCs w:val="22"/>
        </w:rPr>
      </w:pPr>
      <w:r/>
      <w:hyperlink w:tooltip="#_Toc88819652" w:anchor="_Toc88819652" w:history="1">
        <w:r>
          <w:rPr>
            <w:rStyle w:val="1020"/>
          </w:rPr>
          <w:t xml:space="preserve">Рисунок </w:t>
        </w:r>
        <w:r>
          <w:rPr>
            <w:rFonts w:ascii="Calibri" w:hAnsi="Calibri"/>
            <w:sz w:val="22"/>
            <w:szCs w:val="22"/>
          </w:rPr>
          <w:tab/>
        </w:r>
        <w:r>
          <w:rPr>
            <w:rStyle w:val="1020"/>
          </w:rPr>
          <w:t xml:space="preserve">267. ЭФ документа «Бухгалтерская справка ф. 0504833», закладки «Раздел 1 (2)»</w:t>
        </w:r>
        <w:r>
          <w:tab/>
        </w:r>
        <w:r>
          <w:fldChar w:fldCharType="begin"/>
        </w:r>
        <w:r>
          <w:instrText xml:space="preserve"> PAGEREF _Toc88819652 \h </w:instrText>
        </w:r>
        <w:r/>
        <w:r>
          <w:fldChar w:fldCharType="separate"/>
        </w:r>
        <w:r>
          <w:t xml:space="preserve">522</w:t>
        </w:r>
        <w:r>
          <w:fldChar w:fldCharType="end"/>
        </w:r>
      </w:hyperlink>
      <w:r/>
      <w:r/>
    </w:p>
    <w:p>
      <w:pPr>
        <w:pStyle w:val="1152"/>
        <w:rPr>
          <w:rFonts w:ascii="Calibri" w:hAnsi="Calibri"/>
          <w:sz w:val="22"/>
          <w:szCs w:val="22"/>
        </w:rPr>
      </w:pPr>
      <w:r/>
      <w:hyperlink w:tooltip="#_Toc88819653" w:anchor="_Toc88819653" w:history="1">
        <w:r>
          <w:rPr>
            <w:rStyle w:val="1020"/>
          </w:rPr>
          <w:t xml:space="preserve">Рисунок </w:t>
        </w:r>
        <w:r>
          <w:rPr>
            <w:rFonts w:ascii="Calibri" w:hAnsi="Calibri"/>
            <w:sz w:val="22"/>
            <w:szCs w:val="22"/>
          </w:rPr>
          <w:tab/>
        </w:r>
        <w:r>
          <w:rPr>
            <w:rStyle w:val="1020"/>
          </w:rPr>
          <w:t xml:space="preserve">268. ЭФ документа «Бухгалтерская справка ф. 0504833», закладки «Подписи (3)»</w:t>
        </w:r>
        <w:r>
          <w:tab/>
        </w:r>
        <w:r>
          <w:fldChar w:fldCharType="begin"/>
        </w:r>
        <w:r>
          <w:instrText xml:space="preserve"> PAGEREF _Toc88819653 \h </w:instrText>
        </w:r>
        <w:r/>
        <w:r>
          <w:fldChar w:fldCharType="separate"/>
        </w:r>
        <w:r>
          <w:t xml:space="preserve">523</w:t>
        </w:r>
        <w:r>
          <w:fldChar w:fldCharType="end"/>
        </w:r>
      </w:hyperlink>
      <w:r/>
      <w:r/>
    </w:p>
    <w:p>
      <w:pPr>
        <w:pStyle w:val="1152"/>
        <w:rPr>
          <w:rFonts w:ascii="Calibri" w:hAnsi="Calibri"/>
          <w:sz w:val="22"/>
          <w:szCs w:val="22"/>
        </w:rPr>
      </w:pPr>
      <w:r/>
      <w:hyperlink w:tooltip="#_Toc88819654" w:anchor="_Toc88819654" w:history="1">
        <w:r>
          <w:rPr>
            <w:rStyle w:val="1020"/>
          </w:rPr>
          <w:t xml:space="preserve">Рисунок </w:t>
        </w:r>
        <w:r>
          <w:rPr>
            <w:rFonts w:ascii="Calibri" w:hAnsi="Calibri"/>
            <w:sz w:val="22"/>
            <w:szCs w:val="22"/>
          </w:rPr>
          <w:tab/>
        </w:r>
        <w:r>
          <w:rPr>
            <w:rStyle w:val="1020"/>
          </w:rPr>
          <w:t xml:space="preserve">269. ЭФ списка документов «Отчетность ПУР»</w:t>
        </w:r>
        <w:r>
          <w:tab/>
        </w:r>
        <w:r>
          <w:fldChar w:fldCharType="begin"/>
        </w:r>
        <w:r>
          <w:instrText xml:space="preserve"> PAGEREF _Toc88819654 \h </w:instrText>
        </w:r>
        <w:r/>
        <w:r>
          <w:fldChar w:fldCharType="separate"/>
        </w:r>
        <w:r>
          <w:t xml:space="preserve">524</w:t>
        </w:r>
        <w:r>
          <w:fldChar w:fldCharType="end"/>
        </w:r>
      </w:hyperlink>
      <w:r/>
      <w:r/>
    </w:p>
    <w:p>
      <w:pPr>
        <w:pStyle w:val="1152"/>
        <w:rPr>
          <w:rFonts w:ascii="Calibri" w:hAnsi="Calibri"/>
          <w:sz w:val="22"/>
          <w:szCs w:val="22"/>
        </w:rPr>
      </w:pPr>
      <w:r/>
      <w:hyperlink w:tooltip="#_Toc88819655" w:anchor="_Toc88819655" w:history="1">
        <w:r>
          <w:rPr>
            <w:rStyle w:val="1020"/>
          </w:rPr>
          <w:t xml:space="preserve">Рисунок </w:t>
        </w:r>
        <w:r>
          <w:rPr>
            <w:rFonts w:ascii="Calibri" w:hAnsi="Calibri"/>
            <w:sz w:val="22"/>
            <w:szCs w:val="22"/>
          </w:rPr>
          <w:tab/>
        </w:r>
        <w:r>
          <w:rPr>
            <w:rStyle w:val="1020"/>
          </w:rPr>
          <w:t xml:space="preserve">270. ЭФ документа «Отчетность ПУР»</w:t>
        </w:r>
        <w:r>
          <w:tab/>
        </w:r>
        <w:r>
          <w:fldChar w:fldCharType="begin"/>
        </w:r>
        <w:r>
          <w:instrText xml:space="preserve"> PAGEREF _Toc88819655 \h </w:instrText>
        </w:r>
        <w:r/>
        <w:r>
          <w:fldChar w:fldCharType="separate"/>
        </w:r>
        <w:r>
          <w:t xml:space="preserve">525</w:t>
        </w:r>
        <w:r>
          <w:fldChar w:fldCharType="end"/>
        </w:r>
      </w:hyperlink>
      <w:r/>
      <w:r/>
    </w:p>
    <w:p>
      <w:pPr>
        <w:pStyle w:val="1152"/>
        <w:rPr>
          <w:rFonts w:ascii="Calibri" w:hAnsi="Calibri"/>
          <w:sz w:val="22"/>
          <w:szCs w:val="22"/>
        </w:rPr>
      </w:pPr>
      <w:r/>
      <w:hyperlink w:tooltip="#_Toc88819656" w:anchor="_Toc88819656" w:history="1">
        <w:r>
          <w:rPr>
            <w:rStyle w:val="1020"/>
          </w:rPr>
          <w:t xml:space="preserve">Рисунок </w:t>
        </w:r>
        <w:r>
          <w:rPr>
            <w:rFonts w:ascii="Calibri" w:hAnsi="Calibri"/>
            <w:sz w:val="22"/>
            <w:szCs w:val="22"/>
          </w:rPr>
          <w:tab/>
        </w:r>
        <w:r>
          <w:rPr>
            <w:rStyle w:val="1020"/>
          </w:rPr>
          <w:t xml:space="preserve">271. ЭФ списка документов «Сервисный документ доставки шаблона отчета»</w:t>
        </w:r>
        <w:r>
          <w:tab/>
        </w:r>
        <w:r>
          <w:fldChar w:fldCharType="begin"/>
        </w:r>
        <w:r>
          <w:instrText xml:space="preserve"> PAGEREF _Toc88819656 \h </w:instrText>
        </w:r>
        <w:r/>
        <w:r>
          <w:fldChar w:fldCharType="separate"/>
        </w:r>
        <w:r>
          <w:t xml:space="preserve">528</w:t>
        </w:r>
        <w:r>
          <w:fldChar w:fldCharType="end"/>
        </w:r>
      </w:hyperlink>
      <w:r/>
      <w:r/>
    </w:p>
    <w:p>
      <w:pPr>
        <w:pStyle w:val="1152"/>
        <w:rPr>
          <w:rFonts w:ascii="Calibri" w:hAnsi="Calibri"/>
          <w:sz w:val="22"/>
          <w:szCs w:val="22"/>
        </w:rPr>
      </w:pPr>
      <w:r/>
      <w:hyperlink w:tooltip="#_Toc88819657" w:anchor="_Toc88819657" w:history="1">
        <w:r>
          <w:rPr>
            <w:rStyle w:val="1020"/>
          </w:rPr>
          <w:t xml:space="preserve">Рисунок </w:t>
        </w:r>
        <w:r>
          <w:rPr>
            <w:rFonts w:ascii="Calibri" w:hAnsi="Calibri"/>
            <w:sz w:val="22"/>
            <w:szCs w:val="22"/>
          </w:rPr>
          <w:tab/>
        </w:r>
        <w:r>
          <w:rPr>
            <w:rStyle w:val="1020"/>
          </w:rPr>
          <w:t xml:space="preserve">272. ЭФ документа «Сервисный документ доставки шаблона отчета», закладки «Основные атрибуты»</w:t>
        </w:r>
        <w:r>
          <w:tab/>
        </w:r>
        <w:r>
          <w:fldChar w:fldCharType="begin"/>
        </w:r>
        <w:r>
          <w:instrText xml:space="preserve"> PAGEREF _Toc88819657 \h </w:instrText>
        </w:r>
        <w:r/>
        <w:r>
          <w:fldChar w:fldCharType="separate"/>
        </w:r>
        <w:r>
          <w:t xml:space="preserve">529</w:t>
        </w:r>
        <w:r>
          <w:fldChar w:fldCharType="end"/>
        </w:r>
      </w:hyperlink>
      <w:r/>
      <w:r/>
    </w:p>
    <w:p>
      <w:pPr>
        <w:pStyle w:val="1152"/>
        <w:rPr>
          <w:rFonts w:ascii="Calibri" w:hAnsi="Calibri"/>
          <w:sz w:val="22"/>
          <w:szCs w:val="22"/>
        </w:rPr>
      </w:pPr>
      <w:r/>
      <w:hyperlink w:tooltip="#_Toc88819658" w:anchor="_Toc88819658" w:history="1">
        <w:r>
          <w:rPr>
            <w:rStyle w:val="1020"/>
          </w:rPr>
          <w:t xml:space="preserve">Рисунок </w:t>
        </w:r>
        <w:r>
          <w:rPr>
            <w:rFonts w:ascii="Calibri" w:hAnsi="Calibri"/>
            <w:sz w:val="22"/>
            <w:szCs w:val="22"/>
          </w:rPr>
          <w:tab/>
        </w:r>
        <w:r>
          <w:rPr>
            <w:rStyle w:val="1020"/>
          </w:rPr>
          <w:t xml:space="preserve">273. ЭФ списка документов «Перечень участников бюджетного процесса»</w:t>
        </w:r>
        <w:r>
          <w:tab/>
        </w:r>
        <w:r>
          <w:fldChar w:fldCharType="begin"/>
        </w:r>
        <w:r>
          <w:instrText xml:space="preserve"> PAGEREF _Toc88819658 \h </w:instrText>
        </w:r>
        <w:r/>
        <w:r>
          <w:fldChar w:fldCharType="separate"/>
        </w:r>
        <w:r>
          <w:t xml:space="preserve">531</w:t>
        </w:r>
        <w:r>
          <w:fldChar w:fldCharType="end"/>
        </w:r>
      </w:hyperlink>
      <w:r/>
      <w:r/>
    </w:p>
    <w:p>
      <w:pPr>
        <w:pStyle w:val="1152"/>
        <w:rPr>
          <w:rFonts w:ascii="Calibri" w:hAnsi="Calibri"/>
          <w:sz w:val="22"/>
          <w:szCs w:val="22"/>
        </w:rPr>
      </w:pPr>
      <w:r/>
      <w:hyperlink w:tooltip="#_Toc88819659" w:anchor="_Toc88819659" w:history="1">
        <w:r>
          <w:rPr>
            <w:rStyle w:val="1020"/>
          </w:rPr>
          <w:t xml:space="preserve">Рисунок </w:t>
        </w:r>
        <w:r>
          <w:rPr>
            <w:rFonts w:ascii="Calibri" w:hAnsi="Calibri"/>
            <w:sz w:val="22"/>
            <w:szCs w:val="22"/>
          </w:rPr>
          <w:tab/>
        </w:r>
        <w:r>
          <w:rPr>
            <w:rStyle w:val="1020"/>
          </w:rPr>
          <w:t xml:space="preserve">274. ЭФ документа «Перечень участников бюджетного процесса», закладки «Основные атрибуты»</w:t>
        </w:r>
        <w:r>
          <w:tab/>
        </w:r>
        <w:r>
          <w:fldChar w:fldCharType="begin"/>
        </w:r>
        <w:r>
          <w:instrText xml:space="preserve"> PAGEREF _Toc88819659 \h </w:instrText>
        </w:r>
        <w:r/>
        <w:r>
          <w:fldChar w:fldCharType="separate"/>
        </w:r>
        <w:r>
          <w:t xml:space="preserve">532</w:t>
        </w:r>
        <w:r>
          <w:fldChar w:fldCharType="end"/>
        </w:r>
      </w:hyperlink>
      <w:r/>
      <w:r/>
    </w:p>
    <w:p>
      <w:pPr>
        <w:pStyle w:val="1152"/>
        <w:rPr>
          <w:rFonts w:ascii="Calibri" w:hAnsi="Calibri"/>
          <w:sz w:val="22"/>
          <w:szCs w:val="22"/>
        </w:rPr>
      </w:pPr>
      <w:r/>
      <w:hyperlink w:tooltip="#_Toc88819660" w:anchor="_Toc88819660" w:history="1">
        <w:r>
          <w:rPr>
            <w:rStyle w:val="1020"/>
          </w:rPr>
          <w:t xml:space="preserve">Рисунок </w:t>
        </w:r>
        <w:r>
          <w:rPr>
            <w:rFonts w:ascii="Calibri" w:hAnsi="Calibri"/>
            <w:sz w:val="22"/>
            <w:szCs w:val="22"/>
          </w:rPr>
          <w:tab/>
        </w:r>
        <w:r>
          <w:rPr>
            <w:rStyle w:val="1020"/>
          </w:rPr>
          <w:t xml:space="preserve">275. Форма «Добавление записи»</w:t>
        </w:r>
        <w:r>
          <w:tab/>
        </w:r>
        <w:r>
          <w:fldChar w:fldCharType="begin"/>
        </w:r>
        <w:r>
          <w:instrText xml:space="preserve"> PAGEREF _Toc88819660 \h </w:instrText>
        </w:r>
        <w:r/>
        <w:r>
          <w:fldChar w:fldCharType="separate"/>
        </w:r>
        <w:r>
          <w:t xml:space="preserve">534</w:t>
        </w:r>
        <w:r>
          <w:fldChar w:fldCharType="end"/>
        </w:r>
      </w:hyperlink>
      <w:r/>
      <w:r/>
    </w:p>
    <w:p>
      <w:pPr>
        <w:pStyle w:val="1152"/>
        <w:rPr>
          <w:rFonts w:ascii="Calibri" w:hAnsi="Calibri"/>
          <w:sz w:val="22"/>
          <w:szCs w:val="22"/>
        </w:rPr>
      </w:pPr>
      <w:r/>
      <w:hyperlink w:tooltip="#_Toc88819661" w:anchor="_Toc88819661" w:history="1">
        <w:r>
          <w:rPr>
            <w:rStyle w:val="1020"/>
          </w:rPr>
          <w:t xml:space="preserve">Рисунок </w:t>
        </w:r>
        <w:r>
          <w:rPr>
            <w:rFonts w:ascii="Calibri" w:hAnsi="Calibri"/>
            <w:sz w:val="22"/>
            <w:szCs w:val="22"/>
          </w:rPr>
          <w:tab/>
        </w:r>
        <w:r>
          <w:rPr>
            <w:rStyle w:val="1020"/>
          </w:rPr>
          <w:t xml:space="preserve">276. ЭФ документа «Перечень участников бюджетного процесса», закладки «Примечание»</w:t>
        </w:r>
        <w:r>
          <w:tab/>
        </w:r>
        <w:r>
          <w:fldChar w:fldCharType="begin"/>
        </w:r>
        <w:r>
          <w:instrText xml:space="preserve"> PAGEREF _Toc88819661 \h </w:instrText>
        </w:r>
        <w:r/>
        <w:r>
          <w:fldChar w:fldCharType="separate"/>
        </w:r>
        <w:r>
          <w:t xml:space="preserve">535</w:t>
        </w:r>
        <w:r>
          <w:fldChar w:fldCharType="end"/>
        </w:r>
      </w:hyperlink>
      <w:r/>
      <w:r/>
    </w:p>
    <w:p>
      <w:pPr>
        <w:pStyle w:val="1152"/>
        <w:rPr>
          <w:rFonts w:ascii="Calibri" w:hAnsi="Calibri"/>
          <w:sz w:val="22"/>
          <w:szCs w:val="22"/>
        </w:rPr>
      </w:pPr>
      <w:r/>
      <w:hyperlink w:tooltip="#_Toc88819662" w:anchor="_Toc88819662" w:history="1">
        <w:r>
          <w:rPr>
            <w:rStyle w:val="1020"/>
          </w:rPr>
          <w:t xml:space="preserve">Рисунок </w:t>
        </w:r>
        <w:r>
          <w:rPr>
            <w:rFonts w:ascii="Calibri" w:hAnsi="Calibri"/>
            <w:sz w:val="22"/>
            <w:szCs w:val="22"/>
          </w:rPr>
          <w:tab/>
        </w:r>
        <w:r>
          <w:rPr>
            <w:rStyle w:val="1020"/>
          </w:rPr>
          <w:t xml:space="preserve">277. ЭФ списка документов «Информационное сообщение (входящие)»</w:t>
        </w:r>
        <w:r>
          <w:tab/>
        </w:r>
        <w:r>
          <w:fldChar w:fldCharType="begin"/>
        </w:r>
        <w:r>
          <w:instrText xml:space="preserve"> PAGEREF _Toc88819662 \h </w:instrText>
        </w:r>
        <w:r/>
        <w:r>
          <w:fldChar w:fldCharType="separate"/>
        </w:r>
        <w:r>
          <w:t xml:space="preserve">536</w:t>
        </w:r>
        <w:r>
          <w:fldChar w:fldCharType="end"/>
        </w:r>
      </w:hyperlink>
      <w:r/>
      <w:r/>
    </w:p>
    <w:p>
      <w:pPr>
        <w:pStyle w:val="1152"/>
        <w:rPr>
          <w:rFonts w:ascii="Calibri" w:hAnsi="Calibri"/>
          <w:sz w:val="22"/>
          <w:szCs w:val="22"/>
        </w:rPr>
      </w:pPr>
      <w:r/>
      <w:hyperlink w:tooltip="#_Toc88819663" w:anchor="_Toc88819663" w:history="1">
        <w:r>
          <w:rPr>
            <w:rStyle w:val="1020"/>
          </w:rPr>
          <w:t xml:space="preserve">Рисунок </w:t>
        </w:r>
        <w:r>
          <w:rPr>
            <w:rFonts w:ascii="Calibri" w:hAnsi="Calibri"/>
            <w:sz w:val="22"/>
            <w:szCs w:val="22"/>
          </w:rPr>
          <w:tab/>
        </w:r>
        <w:r>
          <w:rPr>
            <w:rStyle w:val="1020"/>
          </w:rPr>
          <w:t xml:space="preserve">278. ЭФ документа «Информационное сообщение»</w:t>
        </w:r>
        <w:r>
          <w:tab/>
        </w:r>
        <w:r>
          <w:fldChar w:fldCharType="begin"/>
        </w:r>
        <w:r>
          <w:instrText xml:space="preserve"> PAGEREF _Toc88819663 \h </w:instrText>
        </w:r>
        <w:r/>
        <w:r>
          <w:fldChar w:fldCharType="separate"/>
        </w:r>
        <w:r>
          <w:t xml:space="preserve">538</w:t>
        </w:r>
        <w:r>
          <w:fldChar w:fldCharType="end"/>
        </w:r>
      </w:hyperlink>
      <w:r/>
      <w:r/>
    </w:p>
    <w:p>
      <w:pPr>
        <w:pStyle w:val="1152"/>
        <w:rPr>
          <w:rFonts w:ascii="Calibri" w:hAnsi="Calibri"/>
          <w:sz w:val="22"/>
          <w:szCs w:val="22"/>
        </w:rPr>
      </w:pPr>
      <w:r/>
      <w:hyperlink w:tooltip="#_Toc88819664" w:anchor="_Toc88819664" w:history="1">
        <w:r>
          <w:rPr>
            <w:rStyle w:val="1020"/>
          </w:rPr>
          <w:t xml:space="preserve">Рисунок </w:t>
        </w:r>
        <w:r>
          <w:rPr>
            <w:rFonts w:ascii="Calibri" w:hAnsi="Calibri"/>
            <w:sz w:val="22"/>
            <w:szCs w:val="22"/>
          </w:rPr>
          <w:tab/>
        </w:r>
        <w:r>
          <w:rPr>
            <w:rStyle w:val="1020"/>
          </w:rPr>
          <w:t xml:space="preserve">279. ЭФ «Добавление вложения»</w:t>
        </w:r>
        <w:r>
          <w:tab/>
        </w:r>
        <w:r>
          <w:fldChar w:fldCharType="begin"/>
        </w:r>
        <w:r>
          <w:instrText xml:space="preserve"> PAGEREF _Toc88819664 \h </w:instrText>
        </w:r>
        <w:r/>
        <w:r>
          <w:fldChar w:fldCharType="separate"/>
        </w:r>
        <w:r>
          <w:t xml:space="preserve">541</w:t>
        </w:r>
        <w:r>
          <w:fldChar w:fldCharType="end"/>
        </w:r>
      </w:hyperlink>
      <w:r/>
      <w:r/>
    </w:p>
    <w:p>
      <w:pPr>
        <w:pStyle w:val="1152"/>
        <w:rPr>
          <w:rFonts w:ascii="Calibri" w:hAnsi="Calibri"/>
          <w:sz w:val="22"/>
          <w:szCs w:val="22"/>
        </w:rPr>
      </w:pPr>
      <w:r/>
      <w:hyperlink w:tooltip="#_Toc88819665" w:anchor="_Toc88819665" w:history="1">
        <w:r>
          <w:rPr>
            <w:rStyle w:val="1020"/>
          </w:rPr>
          <w:t xml:space="preserve">Рисунок </w:t>
        </w:r>
        <w:r>
          <w:rPr>
            <w:rFonts w:ascii="Calibri" w:hAnsi="Calibri"/>
            <w:sz w:val="22"/>
            <w:szCs w:val="22"/>
          </w:rPr>
          <w:tab/>
        </w:r>
        <w:r>
          <w:rPr>
            <w:rStyle w:val="1020"/>
          </w:rPr>
          <w:t xml:space="preserve">280. ЭФ списка документов «Кредитный договор»</w:t>
        </w:r>
        <w:r>
          <w:tab/>
        </w:r>
        <w:r>
          <w:fldChar w:fldCharType="begin"/>
        </w:r>
        <w:r>
          <w:instrText xml:space="preserve"> PAGEREF _Toc88819665 \h </w:instrText>
        </w:r>
        <w:r/>
        <w:r>
          <w:fldChar w:fldCharType="separate"/>
        </w:r>
        <w:r>
          <w:t xml:space="preserve">543</w:t>
        </w:r>
        <w:r>
          <w:fldChar w:fldCharType="end"/>
        </w:r>
      </w:hyperlink>
      <w:r/>
      <w:r/>
    </w:p>
    <w:p>
      <w:pPr>
        <w:pStyle w:val="1152"/>
        <w:rPr>
          <w:rFonts w:ascii="Calibri" w:hAnsi="Calibri"/>
          <w:sz w:val="22"/>
          <w:szCs w:val="22"/>
        </w:rPr>
      </w:pPr>
      <w:r/>
      <w:hyperlink w:tooltip="#_Toc88819666" w:anchor="_Toc88819666" w:history="1">
        <w:r>
          <w:rPr>
            <w:rStyle w:val="1020"/>
          </w:rPr>
          <w:t xml:space="preserve">Рисунок </w:t>
        </w:r>
        <w:r>
          <w:rPr>
            <w:rFonts w:ascii="Calibri" w:hAnsi="Calibri"/>
            <w:sz w:val="22"/>
            <w:szCs w:val="22"/>
          </w:rPr>
          <w:tab/>
        </w:r>
        <w:r>
          <w:rPr>
            <w:rStyle w:val="1020"/>
          </w:rPr>
          <w:t xml:space="preserve">281. ЭФ документа «Кредитный договор», закладки «Документ (1)»</w:t>
        </w:r>
        <w:r>
          <w:tab/>
        </w:r>
        <w:r>
          <w:fldChar w:fldCharType="begin"/>
        </w:r>
        <w:r>
          <w:instrText xml:space="preserve"> PAGEREF _Toc88819666 \h </w:instrText>
        </w:r>
        <w:r/>
        <w:r>
          <w:fldChar w:fldCharType="separate"/>
        </w:r>
        <w:r>
          <w:t xml:space="preserve">545</w:t>
        </w:r>
        <w:r>
          <w:fldChar w:fldCharType="end"/>
        </w:r>
      </w:hyperlink>
      <w:r/>
      <w:r/>
    </w:p>
    <w:p>
      <w:pPr>
        <w:pStyle w:val="1152"/>
        <w:rPr>
          <w:rFonts w:ascii="Calibri" w:hAnsi="Calibri"/>
          <w:sz w:val="22"/>
          <w:szCs w:val="22"/>
        </w:rPr>
      </w:pPr>
      <w:r/>
      <w:hyperlink w:tooltip="#_Toc88819667" w:anchor="_Toc88819667" w:history="1">
        <w:r>
          <w:rPr>
            <w:rStyle w:val="1020"/>
          </w:rPr>
          <w:t xml:space="preserve">Рисунок </w:t>
        </w:r>
        <w:r>
          <w:rPr>
            <w:rFonts w:ascii="Calibri" w:hAnsi="Calibri"/>
            <w:sz w:val="22"/>
            <w:szCs w:val="22"/>
          </w:rPr>
          <w:tab/>
        </w:r>
        <w:r>
          <w:rPr>
            <w:rStyle w:val="1020"/>
          </w:rPr>
          <w:t xml:space="preserve">282. ЭФ документа «Кредитный договор», закладки «Параметры Кредита (2)»</w:t>
        </w:r>
        <w:r>
          <w:tab/>
        </w:r>
        <w:r>
          <w:fldChar w:fldCharType="begin"/>
        </w:r>
        <w:r>
          <w:instrText xml:space="preserve"> PAGEREF _Toc88819667 \h </w:instrText>
        </w:r>
        <w:r/>
        <w:r>
          <w:fldChar w:fldCharType="separate"/>
        </w:r>
        <w:r>
          <w:t xml:space="preserve">547</w:t>
        </w:r>
        <w:r>
          <w:fldChar w:fldCharType="end"/>
        </w:r>
      </w:hyperlink>
      <w:r/>
      <w:r/>
    </w:p>
    <w:p>
      <w:pPr>
        <w:pStyle w:val="1152"/>
        <w:rPr>
          <w:rFonts w:ascii="Calibri" w:hAnsi="Calibri"/>
          <w:sz w:val="22"/>
          <w:szCs w:val="22"/>
        </w:rPr>
      </w:pPr>
      <w:r/>
      <w:hyperlink w:tooltip="#_Toc88819668" w:anchor="_Toc88819668" w:history="1">
        <w:r>
          <w:rPr>
            <w:rStyle w:val="1020"/>
          </w:rPr>
          <w:t xml:space="preserve">Рисунок </w:t>
        </w:r>
        <w:r>
          <w:rPr>
            <w:rFonts w:ascii="Calibri" w:hAnsi="Calibri"/>
            <w:sz w:val="22"/>
            <w:szCs w:val="22"/>
          </w:rPr>
          <w:tab/>
        </w:r>
        <w:r>
          <w:rPr>
            <w:rStyle w:val="1020"/>
          </w:rPr>
          <w:t xml:space="preserve">283. ЭФ документа «Кредитный договор», закладки «Реквизиты сторон (3)»</w:t>
        </w:r>
        <w:r>
          <w:tab/>
        </w:r>
        <w:r>
          <w:fldChar w:fldCharType="begin"/>
        </w:r>
        <w:r>
          <w:instrText xml:space="preserve"> PAGEREF _Toc88819668 \h </w:instrText>
        </w:r>
        <w:r/>
        <w:r>
          <w:fldChar w:fldCharType="separate"/>
        </w:r>
        <w:r>
          <w:t xml:space="preserve">548</w:t>
        </w:r>
        <w:r>
          <w:fldChar w:fldCharType="end"/>
        </w:r>
      </w:hyperlink>
      <w:r/>
      <w:r/>
    </w:p>
    <w:p>
      <w:pPr>
        <w:pStyle w:val="1152"/>
        <w:rPr>
          <w:rFonts w:ascii="Calibri" w:hAnsi="Calibri"/>
          <w:sz w:val="22"/>
          <w:szCs w:val="22"/>
        </w:rPr>
      </w:pPr>
      <w:r/>
      <w:hyperlink w:tooltip="#_Toc88819669" w:anchor="_Toc88819669" w:history="1">
        <w:r>
          <w:rPr>
            <w:rStyle w:val="1020"/>
          </w:rPr>
          <w:t xml:space="preserve">Рисунок </w:t>
        </w:r>
        <w:r>
          <w:rPr>
            <w:rFonts w:ascii="Calibri" w:hAnsi="Calibri"/>
            <w:sz w:val="22"/>
            <w:szCs w:val="22"/>
          </w:rPr>
          <w:tab/>
        </w:r>
        <w:r>
          <w:rPr>
            <w:rStyle w:val="1020"/>
          </w:rPr>
          <w:t xml:space="preserve">284. ЭФ документа «Кредитный договор», закладки «Подписи сторон (4)»</w:t>
        </w:r>
        <w:r>
          <w:tab/>
        </w:r>
        <w:r>
          <w:fldChar w:fldCharType="begin"/>
        </w:r>
        <w:r>
          <w:instrText xml:space="preserve"> PAGEREF _Toc88819669 \h </w:instrText>
        </w:r>
        <w:r/>
        <w:r>
          <w:fldChar w:fldCharType="separate"/>
        </w:r>
        <w:r>
          <w:t xml:space="preserve">549</w:t>
        </w:r>
        <w:r>
          <w:fldChar w:fldCharType="end"/>
        </w:r>
      </w:hyperlink>
      <w:r/>
      <w:r/>
    </w:p>
    <w:p>
      <w:pPr>
        <w:pStyle w:val="1152"/>
        <w:rPr>
          <w:rFonts w:ascii="Calibri" w:hAnsi="Calibri"/>
          <w:sz w:val="22"/>
          <w:szCs w:val="22"/>
        </w:rPr>
      </w:pPr>
      <w:r/>
      <w:hyperlink w:tooltip="#_Toc88819670" w:anchor="_Toc88819670" w:history="1">
        <w:r>
          <w:rPr>
            <w:rStyle w:val="1020"/>
          </w:rPr>
          <w:t xml:space="preserve">Рисунок </w:t>
        </w:r>
        <w:r>
          <w:rPr>
            <w:rFonts w:ascii="Calibri" w:hAnsi="Calibri"/>
            <w:sz w:val="22"/>
            <w:szCs w:val="22"/>
          </w:rPr>
          <w:tab/>
        </w:r>
        <w:r>
          <w:rPr>
            <w:rStyle w:val="1020"/>
          </w:rPr>
          <w:t xml:space="preserve">285. ЭФ списка документов «Информационное сообщение» с типом «Уведомление об отказе в заключении Кредитного договора»</w:t>
        </w:r>
        <w:r>
          <w:tab/>
        </w:r>
        <w:r>
          <w:fldChar w:fldCharType="begin"/>
        </w:r>
        <w:r>
          <w:instrText xml:space="preserve"> PAGEREF _Toc88819670 \h </w:instrText>
        </w:r>
        <w:r/>
        <w:r>
          <w:fldChar w:fldCharType="separate"/>
        </w:r>
        <w:r>
          <w:t xml:space="preserve">552</w:t>
        </w:r>
        <w:r>
          <w:fldChar w:fldCharType="end"/>
        </w:r>
      </w:hyperlink>
      <w:r/>
      <w:r/>
    </w:p>
    <w:p>
      <w:pPr>
        <w:pStyle w:val="1152"/>
        <w:rPr>
          <w:rFonts w:ascii="Calibri" w:hAnsi="Calibri"/>
          <w:sz w:val="22"/>
          <w:szCs w:val="22"/>
        </w:rPr>
      </w:pPr>
      <w:r/>
      <w:hyperlink w:tooltip="#_Toc88819671" w:anchor="_Toc88819671" w:history="1">
        <w:r>
          <w:rPr>
            <w:rStyle w:val="1020"/>
          </w:rPr>
          <w:t xml:space="preserve">Рисунок </w:t>
        </w:r>
        <w:r>
          <w:rPr>
            <w:rFonts w:ascii="Calibri" w:hAnsi="Calibri"/>
            <w:sz w:val="22"/>
            <w:szCs w:val="22"/>
          </w:rPr>
          <w:tab/>
        </w:r>
        <w:r>
          <w:rPr>
            <w:rStyle w:val="1020"/>
          </w:rPr>
          <w:t xml:space="preserve">286. ЭФ документа «Информационное сообщение» с типом «Уведомление об отказе в заключении Кредитного договора»</w:t>
        </w:r>
        <w:r>
          <w:tab/>
        </w:r>
        <w:r>
          <w:fldChar w:fldCharType="begin"/>
        </w:r>
        <w:r>
          <w:instrText xml:space="preserve"> PAGEREF _Toc88819671 \h </w:instrText>
        </w:r>
        <w:r/>
        <w:r>
          <w:fldChar w:fldCharType="separate"/>
        </w:r>
        <w:r>
          <w:t xml:space="preserve">553</w:t>
        </w:r>
        <w:r>
          <w:fldChar w:fldCharType="end"/>
        </w:r>
      </w:hyperlink>
      <w:r/>
      <w:r/>
    </w:p>
    <w:p>
      <w:pPr>
        <w:pStyle w:val="1152"/>
        <w:rPr>
          <w:rFonts w:ascii="Calibri" w:hAnsi="Calibri"/>
          <w:sz w:val="22"/>
          <w:szCs w:val="22"/>
        </w:rPr>
      </w:pPr>
      <w:r/>
      <w:hyperlink w:tooltip="#_Toc88819672" w:anchor="_Toc88819672" w:history="1">
        <w:r>
          <w:rPr>
            <w:rStyle w:val="1020"/>
          </w:rPr>
          <w:t xml:space="preserve">Рисунок </w:t>
        </w:r>
        <w:r>
          <w:rPr>
            <w:rFonts w:ascii="Calibri" w:hAnsi="Calibri"/>
            <w:sz w:val="22"/>
            <w:szCs w:val="22"/>
          </w:rPr>
          <w:tab/>
        </w:r>
        <w:r>
          <w:rPr>
            <w:rStyle w:val="1020"/>
          </w:rPr>
          <w:t xml:space="preserve">287. ЭФ списка документов «Справка о кассовых поступлениях»</w:t>
        </w:r>
        <w:r>
          <w:tab/>
        </w:r>
        <w:r>
          <w:fldChar w:fldCharType="begin"/>
        </w:r>
        <w:r>
          <w:instrText xml:space="preserve"> PAGEREF _Toc88819672 \h </w:instrText>
        </w:r>
        <w:r/>
        <w:r>
          <w:fldChar w:fldCharType="separate"/>
        </w:r>
        <w:r>
          <w:t xml:space="preserve">555</w:t>
        </w:r>
        <w:r>
          <w:fldChar w:fldCharType="end"/>
        </w:r>
      </w:hyperlink>
      <w:r/>
      <w:r/>
    </w:p>
    <w:p>
      <w:pPr>
        <w:pStyle w:val="1152"/>
        <w:rPr>
          <w:rFonts w:ascii="Calibri" w:hAnsi="Calibri"/>
          <w:sz w:val="22"/>
          <w:szCs w:val="22"/>
        </w:rPr>
      </w:pPr>
      <w:r/>
      <w:hyperlink w:tooltip="#_Toc88819673" w:anchor="_Toc88819673" w:history="1">
        <w:r>
          <w:rPr>
            <w:rStyle w:val="1020"/>
          </w:rPr>
          <w:t xml:space="preserve">Рисунок </w:t>
        </w:r>
        <w:r>
          <w:rPr>
            <w:rFonts w:ascii="Calibri" w:hAnsi="Calibri"/>
            <w:sz w:val="22"/>
            <w:szCs w:val="22"/>
          </w:rPr>
          <w:tab/>
        </w:r>
        <w:r>
          <w:rPr>
            <w:rStyle w:val="1020"/>
          </w:rPr>
          <w:t xml:space="preserve">288. ЭФ документа «Справка о кассовых поступлениях», закладки «Документ (1)»</w:t>
        </w:r>
        <w:r>
          <w:tab/>
        </w:r>
        <w:r>
          <w:fldChar w:fldCharType="begin"/>
        </w:r>
        <w:r>
          <w:instrText xml:space="preserve"> PAGEREF _Toc88819673 \h </w:instrText>
        </w:r>
        <w:r/>
        <w:r>
          <w:fldChar w:fldCharType="separate"/>
        </w:r>
        <w:r>
          <w:t xml:space="preserve">556</w:t>
        </w:r>
        <w:r>
          <w:fldChar w:fldCharType="end"/>
        </w:r>
      </w:hyperlink>
      <w:r/>
      <w:r/>
    </w:p>
    <w:p>
      <w:pPr>
        <w:pStyle w:val="1152"/>
        <w:rPr>
          <w:rFonts w:ascii="Calibri" w:hAnsi="Calibri"/>
          <w:sz w:val="22"/>
          <w:szCs w:val="22"/>
        </w:rPr>
      </w:pPr>
      <w:r/>
      <w:hyperlink w:tooltip="#_Toc88819674" w:anchor="_Toc88819674" w:history="1">
        <w:r>
          <w:rPr>
            <w:rStyle w:val="1020"/>
          </w:rPr>
          <w:t xml:space="preserve">Рисунок </w:t>
        </w:r>
        <w:r>
          <w:rPr>
            <w:rFonts w:ascii="Calibri" w:hAnsi="Calibri"/>
            <w:sz w:val="22"/>
            <w:szCs w:val="22"/>
          </w:rPr>
          <w:tab/>
        </w:r>
        <w:r>
          <w:rPr>
            <w:rStyle w:val="1020"/>
          </w:rPr>
          <w:t xml:space="preserve">289. Форма «Добавление записи»</w:t>
        </w:r>
        <w:r>
          <w:tab/>
        </w:r>
        <w:r>
          <w:fldChar w:fldCharType="begin"/>
        </w:r>
        <w:r>
          <w:instrText xml:space="preserve"> PAGEREF _Toc88819674 \h </w:instrText>
        </w:r>
        <w:r/>
        <w:r>
          <w:fldChar w:fldCharType="separate"/>
        </w:r>
        <w:r>
          <w:t xml:space="preserve">558</w:t>
        </w:r>
        <w:r>
          <w:fldChar w:fldCharType="end"/>
        </w:r>
      </w:hyperlink>
      <w:r/>
      <w:r/>
    </w:p>
    <w:p>
      <w:pPr>
        <w:pStyle w:val="1152"/>
        <w:rPr>
          <w:rFonts w:ascii="Calibri" w:hAnsi="Calibri"/>
          <w:sz w:val="22"/>
          <w:szCs w:val="22"/>
        </w:rPr>
      </w:pPr>
      <w:r/>
      <w:hyperlink w:tooltip="#_Toc88819675" w:anchor="_Toc88819675" w:history="1">
        <w:r>
          <w:rPr>
            <w:rStyle w:val="1020"/>
          </w:rPr>
          <w:t xml:space="preserve">Рисунок </w:t>
        </w:r>
        <w:r>
          <w:rPr>
            <w:rFonts w:ascii="Calibri" w:hAnsi="Calibri"/>
            <w:sz w:val="22"/>
            <w:szCs w:val="22"/>
          </w:rPr>
          <w:tab/>
        </w:r>
        <w:r>
          <w:rPr>
            <w:rStyle w:val="1020"/>
          </w:rPr>
          <w:t xml:space="preserve">290. ЭФ документа «Справка о кассовых поступлениях», закладки «Дополнительные атрибуты»</w:t>
        </w:r>
        <w:r>
          <w:tab/>
        </w:r>
        <w:r>
          <w:fldChar w:fldCharType="begin"/>
        </w:r>
        <w:r>
          <w:instrText xml:space="preserve"> PAGEREF _Toc88819675 \h </w:instrText>
        </w:r>
        <w:r/>
        <w:r>
          <w:fldChar w:fldCharType="separate"/>
        </w:r>
        <w:r>
          <w:t xml:space="preserve">558</w:t>
        </w:r>
        <w:r>
          <w:fldChar w:fldCharType="end"/>
        </w:r>
      </w:hyperlink>
      <w:r/>
      <w:r/>
    </w:p>
    <w:p>
      <w:pPr>
        <w:pStyle w:val="1152"/>
        <w:rPr>
          <w:rFonts w:ascii="Calibri" w:hAnsi="Calibri"/>
          <w:sz w:val="22"/>
          <w:szCs w:val="22"/>
        </w:rPr>
      </w:pPr>
      <w:r/>
      <w:hyperlink w:tooltip="#_Toc88819676" w:anchor="_Toc88819676" w:history="1">
        <w:r>
          <w:rPr>
            <w:rStyle w:val="1020"/>
          </w:rPr>
          <w:t xml:space="preserve">Рисунок </w:t>
        </w:r>
        <w:r>
          <w:rPr>
            <w:rFonts w:ascii="Calibri" w:hAnsi="Calibri"/>
            <w:sz w:val="22"/>
            <w:szCs w:val="22"/>
          </w:rPr>
          <w:tab/>
        </w:r>
        <w:r>
          <w:rPr>
            <w:rStyle w:val="1020"/>
          </w:rPr>
          <w:t xml:space="preserve">291. ЭФ списка документов «Справка о финансировании и кассовых выплатах»</w:t>
        </w:r>
        <w:r>
          <w:tab/>
        </w:r>
        <w:r>
          <w:fldChar w:fldCharType="begin"/>
        </w:r>
        <w:r>
          <w:instrText xml:space="preserve"> PAGEREF _Toc88819676 \h </w:instrText>
        </w:r>
        <w:r/>
        <w:r>
          <w:fldChar w:fldCharType="separate"/>
        </w:r>
        <w:r>
          <w:t xml:space="preserve">560</w:t>
        </w:r>
        <w:r>
          <w:fldChar w:fldCharType="end"/>
        </w:r>
      </w:hyperlink>
      <w:r/>
      <w:r/>
    </w:p>
    <w:p>
      <w:pPr>
        <w:pStyle w:val="1152"/>
        <w:rPr>
          <w:rFonts w:ascii="Calibri" w:hAnsi="Calibri"/>
          <w:sz w:val="22"/>
          <w:szCs w:val="22"/>
        </w:rPr>
      </w:pPr>
      <w:r/>
      <w:hyperlink w:tooltip="#_Toc88819677" w:anchor="_Toc88819677" w:history="1">
        <w:r>
          <w:rPr>
            <w:rStyle w:val="1020"/>
          </w:rPr>
          <w:t xml:space="preserve">Рисунок </w:t>
        </w:r>
        <w:r>
          <w:rPr>
            <w:rFonts w:ascii="Calibri" w:hAnsi="Calibri"/>
            <w:sz w:val="22"/>
            <w:szCs w:val="22"/>
          </w:rPr>
          <w:tab/>
        </w:r>
        <w:r>
          <w:rPr>
            <w:rStyle w:val="1020"/>
          </w:rPr>
          <w:t xml:space="preserve">292. ЭФ документа «Справка о финансировании и кассовых выплатах», закладки «Документ (1)»</w:t>
        </w:r>
        <w:r>
          <w:tab/>
        </w:r>
        <w:r>
          <w:fldChar w:fldCharType="begin"/>
        </w:r>
        <w:r>
          <w:instrText xml:space="preserve"> PAGEREF _Toc88819677 \h </w:instrText>
        </w:r>
        <w:r/>
        <w:r>
          <w:fldChar w:fldCharType="separate"/>
        </w:r>
        <w:r>
          <w:t xml:space="preserve">561</w:t>
        </w:r>
        <w:r>
          <w:fldChar w:fldCharType="end"/>
        </w:r>
      </w:hyperlink>
      <w:r/>
      <w:r/>
    </w:p>
    <w:p>
      <w:pPr>
        <w:pStyle w:val="1152"/>
        <w:rPr>
          <w:rFonts w:ascii="Calibri" w:hAnsi="Calibri"/>
          <w:sz w:val="22"/>
          <w:szCs w:val="22"/>
        </w:rPr>
      </w:pPr>
      <w:r/>
      <w:hyperlink w:tooltip="#_Toc88819678" w:anchor="_Toc88819678" w:history="1">
        <w:r>
          <w:rPr>
            <w:rStyle w:val="1020"/>
          </w:rPr>
          <w:t xml:space="preserve">Рисунок </w:t>
        </w:r>
        <w:r>
          <w:rPr>
            <w:rFonts w:ascii="Calibri" w:hAnsi="Calibri"/>
            <w:sz w:val="22"/>
            <w:szCs w:val="22"/>
          </w:rPr>
          <w:tab/>
        </w:r>
        <w:r>
          <w:rPr>
            <w:rStyle w:val="1020"/>
          </w:rPr>
          <w:t xml:space="preserve">293. Форма «Добавление записи»</w:t>
        </w:r>
        <w:r>
          <w:tab/>
        </w:r>
        <w:r>
          <w:fldChar w:fldCharType="begin"/>
        </w:r>
        <w:r>
          <w:instrText xml:space="preserve"> PAGEREF _Toc88819678 \h </w:instrText>
        </w:r>
        <w:r/>
        <w:r>
          <w:fldChar w:fldCharType="separate"/>
        </w:r>
        <w:r>
          <w:t xml:space="preserve">564</w:t>
        </w:r>
        <w:r>
          <w:fldChar w:fldCharType="end"/>
        </w:r>
      </w:hyperlink>
      <w:r/>
      <w:r/>
    </w:p>
    <w:p>
      <w:pPr>
        <w:pStyle w:val="1152"/>
        <w:rPr>
          <w:rFonts w:ascii="Calibri" w:hAnsi="Calibri"/>
          <w:sz w:val="22"/>
          <w:szCs w:val="22"/>
        </w:rPr>
      </w:pPr>
      <w:r/>
      <w:hyperlink w:tooltip="#_Toc88819679" w:anchor="_Toc88819679" w:history="1">
        <w:r>
          <w:rPr>
            <w:rStyle w:val="1020"/>
          </w:rPr>
          <w:t xml:space="preserve">Рисунок </w:t>
        </w:r>
        <w:r>
          <w:rPr>
            <w:rFonts w:ascii="Calibri" w:hAnsi="Calibri"/>
            <w:sz w:val="22"/>
            <w:szCs w:val="22"/>
          </w:rPr>
          <w:tab/>
        </w:r>
        <w:r>
          <w:rPr>
            <w:rStyle w:val="1020"/>
          </w:rPr>
          <w:t xml:space="preserve">294. ЭФ документа «Справка о финансировании и кассовых выплатах», закладки «Дополнительные атрибуты»</w:t>
        </w:r>
        <w:r>
          <w:tab/>
        </w:r>
        <w:r>
          <w:fldChar w:fldCharType="begin"/>
        </w:r>
        <w:r>
          <w:instrText xml:space="preserve"> PAGEREF _Toc88819679 \h </w:instrText>
        </w:r>
        <w:r/>
        <w:r>
          <w:fldChar w:fldCharType="separate"/>
        </w:r>
        <w:r>
          <w:t xml:space="preserve">564</w:t>
        </w:r>
        <w:r>
          <w:fldChar w:fldCharType="end"/>
        </w:r>
      </w:hyperlink>
      <w:r/>
      <w:r/>
    </w:p>
    <w:p>
      <w:pPr>
        <w:pStyle w:val="1152"/>
        <w:rPr>
          <w:rFonts w:ascii="Calibri" w:hAnsi="Calibri"/>
          <w:sz w:val="22"/>
          <w:szCs w:val="22"/>
        </w:rPr>
      </w:pPr>
      <w:r/>
      <w:hyperlink w:tooltip="#_Toc88819680" w:anchor="_Toc88819680" w:history="1">
        <w:r>
          <w:rPr>
            <w:rStyle w:val="1020"/>
          </w:rPr>
          <w:t xml:space="preserve">Рисунок </w:t>
        </w:r>
        <w:r>
          <w:rPr>
            <w:rFonts w:ascii="Calibri" w:hAnsi="Calibri"/>
            <w:sz w:val="22"/>
            <w:szCs w:val="22"/>
          </w:rPr>
          <w:tab/>
        </w:r>
        <w:r>
          <w:rPr>
            <w:rStyle w:val="1020"/>
          </w:rPr>
          <w:t xml:space="preserve">295. ЭФ списка документов «Сведения о КБК»</w:t>
        </w:r>
        <w:r>
          <w:tab/>
        </w:r>
        <w:r>
          <w:fldChar w:fldCharType="begin"/>
        </w:r>
        <w:r>
          <w:instrText xml:space="preserve"> PAGEREF _Toc88819680 \h </w:instrText>
        </w:r>
        <w:r/>
        <w:r>
          <w:fldChar w:fldCharType="separate"/>
        </w:r>
        <w:r>
          <w:t xml:space="preserve">566</w:t>
        </w:r>
        <w:r>
          <w:fldChar w:fldCharType="end"/>
        </w:r>
      </w:hyperlink>
      <w:r/>
      <w:r/>
    </w:p>
    <w:p>
      <w:pPr>
        <w:pStyle w:val="1152"/>
        <w:rPr>
          <w:rFonts w:ascii="Calibri" w:hAnsi="Calibri"/>
          <w:sz w:val="22"/>
          <w:szCs w:val="22"/>
        </w:rPr>
      </w:pPr>
      <w:r/>
      <w:hyperlink w:tooltip="#_Toc88819681" w:anchor="_Toc88819681" w:history="1">
        <w:r>
          <w:rPr>
            <w:rStyle w:val="1020"/>
          </w:rPr>
          <w:t xml:space="preserve">Рисунок </w:t>
        </w:r>
        <w:r>
          <w:rPr>
            <w:rFonts w:ascii="Calibri" w:hAnsi="Calibri"/>
            <w:sz w:val="22"/>
            <w:szCs w:val="22"/>
          </w:rPr>
          <w:tab/>
        </w:r>
        <w:r>
          <w:rPr>
            <w:rStyle w:val="1020"/>
          </w:rPr>
          <w:t xml:space="preserve">296. ЭФ документа «Сведения о КБК», закладки «Документ (1)», вкладки «Основные атрибуты»</w:t>
        </w:r>
        <w:r>
          <w:tab/>
        </w:r>
        <w:r>
          <w:fldChar w:fldCharType="begin"/>
        </w:r>
        <w:r>
          <w:instrText xml:space="preserve"> PAGEREF _Toc88819681 \h </w:instrText>
        </w:r>
        <w:r/>
        <w:r>
          <w:fldChar w:fldCharType="separate"/>
        </w:r>
        <w:r>
          <w:t xml:space="preserve">567</w:t>
        </w:r>
        <w:r>
          <w:fldChar w:fldCharType="end"/>
        </w:r>
      </w:hyperlink>
      <w:r/>
      <w:r/>
    </w:p>
    <w:p>
      <w:pPr>
        <w:pStyle w:val="1152"/>
        <w:rPr>
          <w:rFonts w:ascii="Calibri" w:hAnsi="Calibri"/>
          <w:sz w:val="22"/>
          <w:szCs w:val="22"/>
        </w:rPr>
      </w:pPr>
      <w:r/>
      <w:hyperlink w:tooltip="#_Toc88819682" w:anchor="_Toc88819682" w:history="1">
        <w:r>
          <w:rPr>
            <w:rStyle w:val="1020"/>
          </w:rPr>
          <w:t xml:space="preserve">Рисунок </w:t>
        </w:r>
        <w:r>
          <w:rPr>
            <w:rFonts w:ascii="Calibri" w:hAnsi="Calibri"/>
            <w:sz w:val="22"/>
            <w:szCs w:val="22"/>
          </w:rPr>
          <w:tab/>
        </w:r>
        <w:r>
          <w:rPr>
            <w:rStyle w:val="1020"/>
          </w:rPr>
          <w:t xml:space="preserve">297. ЭФ документа «Сведения о КБК», вкладки «Ведомства»</w:t>
        </w:r>
        <w:r>
          <w:tab/>
        </w:r>
        <w:r>
          <w:fldChar w:fldCharType="begin"/>
        </w:r>
        <w:r>
          <w:instrText xml:space="preserve"> PAGEREF _Toc88819682 \h </w:instrText>
        </w:r>
        <w:r/>
        <w:r>
          <w:fldChar w:fldCharType="separate"/>
        </w:r>
        <w:r>
          <w:t xml:space="preserve">569</w:t>
        </w:r>
        <w:r>
          <w:fldChar w:fldCharType="end"/>
        </w:r>
      </w:hyperlink>
      <w:r/>
      <w:r/>
    </w:p>
    <w:p>
      <w:pPr>
        <w:pStyle w:val="1152"/>
        <w:rPr>
          <w:rFonts w:ascii="Calibri" w:hAnsi="Calibri"/>
          <w:sz w:val="22"/>
          <w:szCs w:val="22"/>
        </w:rPr>
      </w:pPr>
      <w:r/>
      <w:hyperlink w:tooltip="#_Toc88819683" w:anchor="_Toc88819683" w:history="1">
        <w:r>
          <w:rPr>
            <w:rStyle w:val="1020"/>
          </w:rPr>
          <w:t xml:space="preserve">Рисунок </w:t>
        </w:r>
        <w:r>
          <w:rPr>
            <w:rFonts w:ascii="Calibri" w:hAnsi="Calibri"/>
            <w:sz w:val="22"/>
            <w:szCs w:val="22"/>
          </w:rPr>
          <w:tab/>
        </w:r>
        <w:r>
          <w:rPr>
            <w:rStyle w:val="1020"/>
          </w:rPr>
          <w:t xml:space="preserve">298. ЭФ документа «Сведения о КБК», вкладки «Целевые статьи ФКР»</w:t>
        </w:r>
        <w:r>
          <w:tab/>
        </w:r>
        <w:r>
          <w:fldChar w:fldCharType="begin"/>
        </w:r>
        <w:r>
          <w:instrText xml:space="preserve"> PAGEREF _Toc88819683 \h </w:instrText>
        </w:r>
        <w:r/>
        <w:r>
          <w:fldChar w:fldCharType="separate"/>
        </w:r>
        <w:r>
          <w:t xml:space="preserve">570</w:t>
        </w:r>
        <w:r>
          <w:fldChar w:fldCharType="end"/>
        </w:r>
      </w:hyperlink>
      <w:r/>
      <w:r/>
    </w:p>
    <w:p>
      <w:pPr>
        <w:pStyle w:val="1152"/>
        <w:rPr>
          <w:rFonts w:ascii="Calibri" w:hAnsi="Calibri"/>
          <w:sz w:val="22"/>
          <w:szCs w:val="22"/>
        </w:rPr>
      </w:pPr>
      <w:r/>
      <w:hyperlink w:tooltip="#_Toc88819684" w:anchor="_Toc88819684" w:history="1">
        <w:r>
          <w:rPr>
            <w:rStyle w:val="1020"/>
          </w:rPr>
          <w:t xml:space="preserve">Рисунок </w:t>
        </w:r>
        <w:r>
          <w:rPr>
            <w:rFonts w:ascii="Calibri" w:hAnsi="Calibri"/>
            <w:sz w:val="22"/>
            <w:szCs w:val="22"/>
          </w:rPr>
          <w:tab/>
        </w:r>
        <w:r>
          <w:rPr>
            <w:rStyle w:val="1020"/>
          </w:rPr>
          <w:t xml:space="preserve">299. ЭФ документа «Сведения о КБК», вкладки «Программы/Подпрограммы»</w:t>
        </w:r>
        <w:r>
          <w:tab/>
        </w:r>
        <w:r>
          <w:fldChar w:fldCharType="begin"/>
        </w:r>
        <w:r>
          <w:instrText xml:space="preserve"> PAGEREF _Toc88819684 \h </w:instrText>
        </w:r>
        <w:r/>
        <w:r>
          <w:fldChar w:fldCharType="separate"/>
        </w:r>
        <w:r>
          <w:t xml:space="preserve">570</w:t>
        </w:r>
        <w:r>
          <w:fldChar w:fldCharType="end"/>
        </w:r>
      </w:hyperlink>
      <w:r/>
      <w:r/>
    </w:p>
    <w:p>
      <w:pPr>
        <w:pStyle w:val="1152"/>
        <w:rPr>
          <w:rFonts w:ascii="Calibri" w:hAnsi="Calibri"/>
          <w:sz w:val="22"/>
          <w:szCs w:val="22"/>
        </w:rPr>
      </w:pPr>
      <w:r/>
      <w:hyperlink w:tooltip="#_Toc88819685" w:anchor="_Toc88819685" w:history="1">
        <w:r>
          <w:rPr>
            <w:rStyle w:val="1020"/>
          </w:rPr>
          <w:t xml:space="preserve">Рисунок </w:t>
        </w:r>
        <w:r>
          <w:rPr>
            <w:rFonts w:ascii="Calibri" w:hAnsi="Calibri"/>
            <w:sz w:val="22"/>
            <w:szCs w:val="22"/>
          </w:rPr>
          <w:tab/>
        </w:r>
        <w:r>
          <w:rPr>
            <w:rStyle w:val="1020"/>
          </w:rPr>
          <w:t xml:space="preserve">300. Форма «Добавление записи»</w:t>
        </w:r>
        <w:r>
          <w:tab/>
        </w:r>
        <w:r>
          <w:fldChar w:fldCharType="begin"/>
        </w:r>
        <w:r>
          <w:instrText xml:space="preserve"> PAGEREF _Toc88819685 \h </w:instrText>
        </w:r>
        <w:r/>
        <w:r>
          <w:fldChar w:fldCharType="separate"/>
        </w:r>
        <w:r>
          <w:t xml:space="preserve">571</w:t>
        </w:r>
        <w:r>
          <w:fldChar w:fldCharType="end"/>
        </w:r>
      </w:hyperlink>
      <w:r/>
      <w:r/>
    </w:p>
    <w:p>
      <w:pPr>
        <w:pStyle w:val="1152"/>
        <w:rPr>
          <w:rFonts w:ascii="Calibri" w:hAnsi="Calibri"/>
          <w:sz w:val="22"/>
          <w:szCs w:val="22"/>
        </w:rPr>
      </w:pPr>
      <w:r/>
      <w:hyperlink w:tooltip="#_Toc88819686" w:anchor="_Toc88819686" w:history="1">
        <w:r>
          <w:rPr>
            <w:rStyle w:val="1020"/>
          </w:rPr>
          <w:t xml:space="preserve">Рисунок </w:t>
        </w:r>
        <w:r>
          <w:rPr>
            <w:rFonts w:ascii="Calibri" w:hAnsi="Calibri"/>
            <w:sz w:val="22"/>
            <w:szCs w:val="22"/>
          </w:rPr>
          <w:tab/>
        </w:r>
        <w:r>
          <w:rPr>
            <w:rStyle w:val="1020"/>
          </w:rPr>
          <w:t xml:space="preserve">301. ЭФ документа «Сведения о КБК», вкладки «КБК»</w:t>
        </w:r>
        <w:r>
          <w:tab/>
        </w:r>
        <w:r>
          <w:fldChar w:fldCharType="begin"/>
        </w:r>
        <w:r>
          <w:instrText xml:space="preserve"> PAGEREF _Toc88819686 \h </w:instrText>
        </w:r>
        <w:r/>
        <w:r>
          <w:fldChar w:fldCharType="separate"/>
        </w:r>
        <w:r>
          <w:t xml:space="preserve">572</w:t>
        </w:r>
        <w:r>
          <w:fldChar w:fldCharType="end"/>
        </w:r>
      </w:hyperlink>
      <w:r/>
      <w:r/>
    </w:p>
    <w:p>
      <w:pPr>
        <w:pStyle w:val="1152"/>
        <w:rPr>
          <w:rFonts w:ascii="Calibri" w:hAnsi="Calibri"/>
          <w:sz w:val="22"/>
          <w:szCs w:val="22"/>
        </w:rPr>
      </w:pPr>
      <w:r/>
      <w:hyperlink w:tooltip="#_Toc88819687" w:anchor="_Toc88819687" w:history="1">
        <w:r>
          <w:rPr>
            <w:rStyle w:val="1020"/>
          </w:rPr>
          <w:t xml:space="preserve">Рисунок </w:t>
        </w:r>
        <w:r>
          <w:rPr>
            <w:rFonts w:ascii="Calibri" w:hAnsi="Calibri"/>
            <w:sz w:val="22"/>
            <w:szCs w:val="22"/>
          </w:rPr>
          <w:tab/>
        </w:r>
        <w:r>
          <w:rPr>
            <w:rStyle w:val="1020"/>
          </w:rPr>
          <w:t xml:space="preserve">302. Форма «Добавление записи», вкладки «КБК»</w:t>
        </w:r>
        <w:r>
          <w:tab/>
        </w:r>
        <w:r>
          <w:fldChar w:fldCharType="begin"/>
        </w:r>
        <w:r>
          <w:instrText xml:space="preserve"> PAGEREF _Toc88819687 \h </w:instrText>
        </w:r>
        <w:r/>
        <w:r>
          <w:fldChar w:fldCharType="separate"/>
        </w:r>
        <w:r>
          <w:t xml:space="preserve">572</w:t>
        </w:r>
        <w:r>
          <w:fldChar w:fldCharType="end"/>
        </w:r>
      </w:hyperlink>
      <w:r/>
      <w:r/>
    </w:p>
    <w:p>
      <w:pPr>
        <w:pStyle w:val="1152"/>
        <w:rPr>
          <w:rFonts w:ascii="Calibri" w:hAnsi="Calibri"/>
          <w:sz w:val="22"/>
          <w:szCs w:val="22"/>
        </w:rPr>
      </w:pPr>
      <w:r/>
      <w:hyperlink w:tooltip="#_Toc88819688" w:anchor="_Toc88819688" w:history="1">
        <w:r>
          <w:rPr>
            <w:rStyle w:val="1020"/>
          </w:rPr>
          <w:t xml:space="preserve">Рисунок </w:t>
        </w:r>
        <w:r>
          <w:rPr>
            <w:rFonts w:ascii="Calibri" w:hAnsi="Calibri"/>
            <w:sz w:val="22"/>
            <w:szCs w:val="22"/>
          </w:rPr>
          <w:tab/>
        </w:r>
        <w:r>
          <w:rPr>
            <w:rStyle w:val="1020"/>
          </w:rPr>
          <w:t xml:space="preserve">303. ЭФ документа «Сведения о КБК», вкладки «Цели субсидий/Субвенций»</w:t>
        </w:r>
        <w:r>
          <w:tab/>
        </w:r>
        <w:r>
          <w:fldChar w:fldCharType="begin"/>
        </w:r>
        <w:r>
          <w:instrText xml:space="preserve"> PAGEREF _Toc88819688 \h </w:instrText>
        </w:r>
        <w:r/>
        <w:r>
          <w:fldChar w:fldCharType="separate"/>
        </w:r>
        <w:r>
          <w:t xml:space="preserve">573</w:t>
        </w:r>
        <w:r>
          <w:fldChar w:fldCharType="end"/>
        </w:r>
      </w:hyperlink>
      <w:r/>
      <w:r/>
    </w:p>
    <w:p>
      <w:pPr>
        <w:pStyle w:val="1152"/>
        <w:rPr>
          <w:rFonts w:ascii="Calibri" w:hAnsi="Calibri"/>
          <w:sz w:val="22"/>
          <w:szCs w:val="22"/>
        </w:rPr>
      </w:pPr>
      <w:r/>
      <w:hyperlink w:tooltip="#_Toc88819689" w:anchor="_Toc88819689" w:history="1">
        <w:r>
          <w:rPr>
            <w:rStyle w:val="1020"/>
          </w:rPr>
          <w:t xml:space="preserve">Рисунок </w:t>
        </w:r>
        <w:r>
          <w:rPr>
            <w:rFonts w:ascii="Calibri" w:hAnsi="Calibri"/>
            <w:sz w:val="22"/>
            <w:szCs w:val="22"/>
          </w:rPr>
          <w:tab/>
        </w:r>
        <w:r>
          <w:rPr>
            <w:rStyle w:val="1020"/>
          </w:rPr>
          <w:t xml:space="preserve">304. Форма «Добавление записи», вкладки «Цели субсидий/Субвенций»</w:t>
        </w:r>
        <w:r>
          <w:tab/>
        </w:r>
        <w:r>
          <w:fldChar w:fldCharType="begin"/>
        </w:r>
        <w:r>
          <w:instrText xml:space="preserve"> PAGEREF _Toc88819689 \h </w:instrText>
        </w:r>
        <w:r/>
        <w:r>
          <w:fldChar w:fldCharType="separate"/>
        </w:r>
        <w:r>
          <w:t xml:space="preserve">574</w:t>
        </w:r>
        <w:r>
          <w:fldChar w:fldCharType="end"/>
        </w:r>
      </w:hyperlink>
      <w:r/>
      <w:r/>
    </w:p>
    <w:p>
      <w:pPr>
        <w:pStyle w:val="1152"/>
        <w:rPr>
          <w:rFonts w:ascii="Calibri" w:hAnsi="Calibri"/>
          <w:sz w:val="22"/>
          <w:szCs w:val="22"/>
        </w:rPr>
      </w:pPr>
      <w:r/>
      <w:hyperlink w:tooltip="#_Toc88819690" w:anchor="_Toc88819690" w:history="1">
        <w:r>
          <w:rPr>
            <w:rStyle w:val="1020"/>
          </w:rPr>
          <w:t xml:space="preserve">Рисунок </w:t>
        </w:r>
        <w:r>
          <w:rPr>
            <w:rFonts w:ascii="Calibri" w:hAnsi="Calibri"/>
            <w:sz w:val="22"/>
            <w:szCs w:val="22"/>
          </w:rPr>
          <w:tab/>
        </w:r>
        <w:r>
          <w:rPr>
            <w:rStyle w:val="1020"/>
          </w:rPr>
          <w:t xml:space="preserve">305. ЭФ списка документов «Заявка на внесение изменений в перечень ГМУ (основные реквизиты)»</w:t>
        </w:r>
        <w:r>
          <w:tab/>
        </w:r>
        <w:r>
          <w:fldChar w:fldCharType="begin"/>
        </w:r>
        <w:r>
          <w:instrText xml:space="preserve"> PAGEREF _Toc88819690 \h </w:instrText>
        </w:r>
        <w:r/>
        <w:r>
          <w:fldChar w:fldCharType="separate"/>
        </w:r>
        <w:r>
          <w:t xml:space="preserve">576</w:t>
        </w:r>
        <w:r>
          <w:fldChar w:fldCharType="end"/>
        </w:r>
      </w:hyperlink>
      <w:r/>
      <w:r/>
    </w:p>
    <w:p>
      <w:pPr>
        <w:pStyle w:val="1152"/>
        <w:rPr>
          <w:rFonts w:ascii="Calibri" w:hAnsi="Calibri"/>
          <w:sz w:val="22"/>
          <w:szCs w:val="22"/>
        </w:rPr>
      </w:pPr>
      <w:r/>
      <w:hyperlink w:tooltip="#_Toc88819691" w:anchor="_Toc88819691" w:history="1">
        <w:r>
          <w:rPr>
            <w:rStyle w:val="1020"/>
          </w:rPr>
          <w:t xml:space="preserve">Рисунок </w:t>
        </w:r>
        <w:r>
          <w:rPr>
            <w:rFonts w:ascii="Calibri" w:hAnsi="Calibri"/>
            <w:sz w:val="22"/>
            <w:szCs w:val="22"/>
          </w:rPr>
          <w:tab/>
        </w:r>
        <w:r>
          <w:rPr>
            <w:rStyle w:val="1020"/>
          </w:rPr>
          <w:t xml:space="preserve">306. ЭФ документа «Заявка на внесение изменений в перечень ГМУ (основные реквизиты)», закладки «Основные реквизиты», вкладки «Общая информация»</w:t>
        </w:r>
        <w:r>
          <w:tab/>
        </w:r>
        <w:r>
          <w:fldChar w:fldCharType="begin"/>
        </w:r>
        <w:r>
          <w:instrText xml:space="preserve"> PAGEREF _Toc88819691 \h </w:instrText>
        </w:r>
        <w:r/>
        <w:r>
          <w:fldChar w:fldCharType="separate"/>
        </w:r>
        <w:r>
          <w:t xml:space="preserve">577</w:t>
        </w:r>
        <w:r>
          <w:fldChar w:fldCharType="end"/>
        </w:r>
      </w:hyperlink>
      <w:r/>
      <w:r/>
    </w:p>
    <w:p>
      <w:pPr>
        <w:pStyle w:val="1152"/>
        <w:rPr>
          <w:rFonts w:ascii="Calibri" w:hAnsi="Calibri"/>
          <w:sz w:val="22"/>
          <w:szCs w:val="22"/>
        </w:rPr>
      </w:pPr>
      <w:r/>
      <w:hyperlink w:tooltip="#_Toc88819692" w:anchor="_Toc88819692" w:history="1">
        <w:r>
          <w:rPr>
            <w:rStyle w:val="1020"/>
          </w:rPr>
          <w:t xml:space="preserve">Рисунок </w:t>
        </w:r>
        <w:r>
          <w:rPr>
            <w:rFonts w:ascii="Calibri" w:hAnsi="Calibri"/>
            <w:sz w:val="22"/>
            <w:szCs w:val="22"/>
          </w:rPr>
          <w:tab/>
        </w:r>
        <w:r>
          <w:rPr>
            <w:rStyle w:val="1020"/>
          </w:rPr>
          <w:t xml:space="preserve">307. ЭФ документа «Заявка на внесение изменений в перечень ГМУ (основные реквизиты)», вкладки «Адресные данные»</w:t>
        </w:r>
        <w:r>
          <w:tab/>
        </w:r>
        <w:r>
          <w:fldChar w:fldCharType="begin"/>
        </w:r>
        <w:r>
          <w:instrText xml:space="preserve"> PAGEREF _Toc88819692 \h </w:instrText>
        </w:r>
        <w:r/>
        <w:r>
          <w:fldChar w:fldCharType="separate"/>
        </w:r>
        <w:r>
          <w:t xml:space="preserve">583</w:t>
        </w:r>
        <w:r>
          <w:fldChar w:fldCharType="end"/>
        </w:r>
      </w:hyperlink>
      <w:r/>
      <w:r/>
    </w:p>
    <w:p>
      <w:pPr>
        <w:pStyle w:val="1152"/>
        <w:rPr>
          <w:rFonts w:ascii="Calibri" w:hAnsi="Calibri"/>
          <w:sz w:val="22"/>
          <w:szCs w:val="22"/>
        </w:rPr>
      </w:pPr>
      <w:r/>
      <w:hyperlink w:tooltip="#_Toc88819693" w:anchor="_Toc88819693" w:history="1">
        <w:r>
          <w:rPr>
            <w:rStyle w:val="1020"/>
          </w:rPr>
          <w:t xml:space="preserve">Рисунок </w:t>
        </w:r>
        <w:r>
          <w:rPr>
            <w:rFonts w:ascii="Calibri" w:hAnsi="Calibri"/>
            <w:sz w:val="22"/>
            <w:szCs w:val="22"/>
          </w:rPr>
          <w:tab/>
        </w:r>
        <w:r>
          <w:rPr>
            <w:rStyle w:val="1020"/>
          </w:rPr>
          <w:t xml:space="preserve">308. ЭФ документа «Заявка на внесение изменений в перечень ГМУ (основные реквизиты)», вкладки «Административная принадлежность»</w:t>
        </w:r>
        <w:r>
          <w:tab/>
        </w:r>
        <w:r>
          <w:fldChar w:fldCharType="begin"/>
        </w:r>
        <w:r>
          <w:instrText xml:space="preserve"> PAGEREF _Toc88819693 \h </w:instrText>
        </w:r>
        <w:r/>
        <w:r>
          <w:fldChar w:fldCharType="separate"/>
        </w:r>
        <w:r>
          <w:t xml:space="preserve">585</w:t>
        </w:r>
        <w:r>
          <w:fldChar w:fldCharType="end"/>
        </w:r>
      </w:hyperlink>
      <w:r/>
      <w:r/>
    </w:p>
    <w:p>
      <w:pPr>
        <w:pStyle w:val="1152"/>
        <w:rPr>
          <w:rFonts w:ascii="Calibri" w:hAnsi="Calibri"/>
          <w:sz w:val="22"/>
          <w:szCs w:val="22"/>
        </w:rPr>
      </w:pPr>
      <w:r/>
      <w:hyperlink w:tooltip="#_Toc88819694" w:anchor="_Toc88819694" w:history="1">
        <w:r>
          <w:rPr>
            <w:rStyle w:val="1020"/>
          </w:rPr>
          <w:t xml:space="preserve">Рисунок </w:t>
        </w:r>
        <w:r>
          <w:rPr>
            <w:rFonts w:ascii="Calibri" w:hAnsi="Calibri"/>
            <w:sz w:val="22"/>
            <w:szCs w:val="22"/>
          </w:rPr>
          <w:tab/>
        </w:r>
        <w:r>
          <w:rPr>
            <w:rStyle w:val="1020"/>
          </w:rPr>
          <w:t xml:space="preserve">309. ЭФ документа «Заявка на внесение изменений в перечень ГМУ (основные реквизиты)», вкладки «Остальные реквизиты учреждения»</w:t>
        </w:r>
        <w:r>
          <w:tab/>
        </w:r>
        <w:r>
          <w:fldChar w:fldCharType="begin"/>
        </w:r>
        <w:r>
          <w:instrText xml:space="preserve"> PAGEREF _Toc88819694 \h </w:instrText>
        </w:r>
        <w:r/>
        <w:r>
          <w:fldChar w:fldCharType="separate"/>
        </w:r>
        <w:r>
          <w:t xml:space="preserve">587</w:t>
        </w:r>
        <w:r>
          <w:fldChar w:fldCharType="end"/>
        </w:r>
      </w:hyperlink>
      <w:r/>
      <w:r/>
    </w:p>
    <w:p>
      <w:pPr>
        <w:pStyle w:val="1152"/>
        <w:rPr>
          <w:rFonts w:ascii="Calibri" w:hAnsi="Calibri"/>
          <w:sz w:val="22"/>
          <w:szCs w:val="22"/>
        </w:rPr>
      </w:pPr>
      <w:r/>
      <w:hyperlink w:tooltip="#_Toc88819695" w:anchor="_Toc88819695" w:history="1">
        <w:r>
          <w:rPr>
            <w:rStyle w:val="1020"/>
          </w:rPr>
          <w:t xml:space="preserve">Рисунок </w:t>
        </w:r>
        <w:r>
          <w:rPr>
            <w:rFonts w:ascii="Calibri" w:hAnsi="Calibri"/>
            <w:sz w:val="22"/>
            <w:szCs w:val="22"/>
          </w:rPr>
          <w:tab/>
        </w:r>
        <w:r>
          <w:rPr>
            <w:rStyle w:val="1020"/>
          </w:rPr>
          <w:t xml:space="preserve">310. ЭФ документа «Заявка на внесение изменений в перечень ГМУ (основные реквизиты)», вкладки «Бюджеты»</w:t>
        </w:r>
        <w:r>
          <w:tab/>
        </w:r>
        <w:r>
          <w:fldChar w:fldCharType="begin"/>
        </w:r>
        <w:r>
          <w:instrText xml:space="preserve"> PAGEREF _Toc88819695 \h </w:instrText>
        </w:r>
        <w:r/>
        <w:r>
          <w:fldChar w:fldCharType="separate"/>
        </w:r>
        <w:r>
          <w:t xml:space="preserve">588</w:t>
        </w:r>
        <w:r>
          <w:fldChar w:fldCharType="end"/>
        </w:r>
      </w:hyperlink>
      <w:r/>
      <w:r/>
    </w:p>
    <w:p>
      <w:pPr>
        <w:pStyle w:val="1152"/>
        <w:rPr>
          <w:rFonts w:ascii="Calibri" w:hAnsi="Calibri"/>
          <w:sz w:val="22"/>
          <w:szCs w:val="22"/>
        </w:rPr>
      </w:pPr>
      <w:r/>
      <w:hyperlink w:tooltip="#_Toc88819696" w:anchor="_Toc88819696" w:history="1">
        <w:r>
          <w:rPr>
            <w:rStyle w:val="1020"/>
          </w:rPr>
          <w:t xml:space="preserve">Рисунок </w:t>
        </w:r>
        <w:r>
          <w:rPr>
            <w:rFonts w:ascii="Calibri" w:hAnsi="Calibri"/>
            <w:sz w:val="22"/>
            <w:szCs w:val="22"/>
          </w:rPr>
          <w:tab/>
        </w:r>
        <w:r>
          <w:rPr>
            <w:rStyle w:val="1020"/>
          </w:rPr>
          <w:t xml:space="preserve">311. ЭФ документа «Заявка на внесение изменений в перечень ГМУ (основные реквизиты)», вкладки «Подтверждающие документы»</w:t>
        </w:r>
        <w:r>
          <w:tab/>
        </w:r>
        <w:r>
          <w:fldChar w:fldCharType="begin"/>
        </w:r>
        <w:r>
          <w:instrText xml:space="preserve"> PAGEREF _Toc88819696 \h </w:instrText>
        </w:r>
        <w:r/>
        <w:r>
          <w:fldChar w:fldCharType="separate"/>
        </w:r>
        <w:r>
          <w:t xml:space="preserve">589</w:t>
        </w:r>
        <w:r>
          <w:fldChar w:fldCharType="end"/>
        </w:r>
      </w:hyperlink>
      <w:r/>
      <w:r/>
    </w:p>
    <w:p>
      <w:pPr>
        <w:pStyle w:val="1152"/>
        <w:rPr>
          <w:rFonts w:ascii="Calibri" w:hAnsi="Calibri"/>
          <w:sz w:val="22"/>
          <w:szCs w:val="22"/>
        </w:rPr>
      </w:pPr>
      <w:r/>
      <w:hyperlink w:tooltip="#_Toc88819697" w:anchor="_Toc88819697" w:history="1">
        <w:r>
          <w:rPr>
            <w:rStyle w:val="1020"/>
          </w:rPr>
          <w:t xml:space="preserve">Рисунок </w:t>
        </w:r>
        <w:r>
          <w:rPr>
            <w:rFonts w:ascii="Calibri" w:hAnsi="Calibri"/>
            <w:sz w:val="22"/>
            <w:szCs w:val="22"/>
          </w:rPr>
          <w:tab/>
        </w:r>
        <w:r>
          <w:rPr>
            <w:rStyle w:val="1020"/>
          </w:rPr>
          <w:t xml:space="preserve">312. ЭФ документа «Заявка на внесение изменений в перечень ГМУ (основные реквизиты)», закладки «Подписи»</w:t>
        </w:r>
        <w:r>
          <w:tab/>
        </w:r>
        <w:r>
          <w:fldChar w:fldCharType="begin"/>
        </w:r>
        <w:r>
          <w:instrText xml:space="preserve"> PAGEREF _Toc88819697 \h </w:instrText>
        </w:r>
        <w:r/>
        <w:r>
          <w:fldChar w:fldCharType="separate"/>
        </w:r>
        <w:r>
          <w:t xml:space="preserve">590</w:t>
        </w:r>
        <w:r>
          <w:fldChar w:fldCharType="end"/>
        </w:r>
      </w:hyperlink>
      <w:r/>
      <w:r/>
    </w:p>
    <w:p>
      <w:pPr>
        <w:pStyle w:val="1152"/>
        <w:rPr>
          <w:rFonts w:ascii="Calibri" w:hAnsi="Calibri"/>
          <w:sz w:val="22"/>
          <w:szCs w:val="22"/>
        </w:rPr>
      </w:pPr>
      <w:r/>
      <w:hyperlink w:tooltip="#_Toc88819698" w:anchor="_Toc88819698" w:history="1">
        <w:r>
          <w:rPr>
            <w:rStyle w:val="1020"/>
          </w:rPr>
          <w:t xml:space="preserve">Рисунок </w:t>
        </w:r>
        <w:r>
          <w:rPr>
            <w:rFonts w:ascii="Calibri" w:hAnsi="Calibri"/>
            <w:sz w:val="22"/>
            <w:szCs w:val="22"/>
          </w:rPr>
          <w:tab/>
        </w:r>
        <w:r>
          <w:rPr>
            <w:rStyle w:val="1020"/>
          </w:rPr>
          <w:t xml:space="preserve">313. ЭФ списка документов «Сведения об организации»</w:t>
        </w:r>
        <w:r>
          <w:tab/>
        </w:r>
        <w:r>
          <w:fldChar w:fldCharType="begin"/>
        </w:r>
        <w:r>
          <w:instrText xml:space="preserve"> PAGEREF _Toc88819698 \h </w:instrText>
        </w:r>
        <w:r/>
        <w:r>
          <w:fldChar w:fldCharType="separate"/>
        </w:r>
        <w:r>
          <w:t xml:space="preserve">592</w:t>
        </w:r>
        <w:r>
          <w:fldChar w:fldCharType="end"/>
        </w:r>
      </w:hyperlink>
      <w:r/>
      <w:r/>
    </w:p>
    <w:p>
      <w:pPr>
        <w:pStyle w:val="1152"/>
        <w:rPr>
          <w:rFonts w:ascii="Calibri" w:hAnsi="Calibri"/>
          <w:sz w:val="22"/>
          <w:szCs w:val="22"/>
        </w:rPr>
      </w:pPr>
      <w:r/>
      <w:hyperlink w:tooltip="#_Toc88819699" w:anchor="_Toc88819699" w:history="1">
        <w:r>
          <w:rPr>
            <w:rStyle w:val="1020"/>
          </w:rPr>
          <w:t xml:space="preserve">Рисунок </w:t>
        </w:r>
        <w:r>
          <w:rPr>
            <w:rFonts w:ascii="Calibri" w:hAnsi="Calibri"/>
            <w:sz w:val="22"/>
            <w:szCs w:val="22"/>
          </w:rPr>
          <w:tab/>
        </w:r>
        <w:r>
          <w:rPr>
            <w:rStyle w:val="1020"/>
          </w:rPr>
          <w:t xml:space="preserve">314. ЭФ документа «Сведения об организации», закладки «Основные атрибуты (1)»</w:t>
        </w:r>
        <w:r>
          <w:tab/>
        </w:r>
        <w:r>
          <w:fldChar w:fldCharType="begin"/>
        </w:r>
        <w:r>
          <w:instrText xml:space="preserve"> PAGEREF _Toc88819699 \h </w:instrText>
        </w:r>
        <w:r/>
        <w:r>
          <w:fldChar w:fldCharType="separate"/>
        </w:r>
        <w:r>
          <w:t xml:space="preserve">593</w:t>
        </w:r>
        <w:r>
          <w:fldChar w:fldCharType="end"/>
        </w:r>
      </w:hyperlink>
      <w:r/>
      <w:r/>
    </w:p>
    <w:p>
      <w:pPr>
        <w:pStyle w:val="1152"/>
        <w:rPr>
          <w:rFonts w:ascii="Calibri" w:hAnsi="Calibri"/>
          <w:sz w:val="22"/>
          <w:szCs w:val="22"/>
        </w:rPr>
      </w:pPr>
      <w:r/>
      <w:hyperlink w:tooltip="#_Toc88819700" w:anchor="_Toc88819700" w:history="1">
        <w:r>
          <w:rPr>
            <w:rStyle w:val="1020"/>
          </w:rPr>
          <w:t xml:space="preserve">Рисунок </w:t>
        </w:r>
        <w:r>
          <w:rPr>
            <w:rFonts w:ascii="Calibri" w:hAnsi="Calibri"/>
            <w:sz w:val="22"/>
            <w:szCs w:val="22"/>
          </w:rPr>
          <w:tab/>
        </w:r>
        <w:r>
          <w:rPr>
            <w:rStyle w:val="1020"/>
          </w:rPr>
          <w:t xml:space="preserve">315. ЭФ документа «Сведения об организации», закладки «Полномочия и бюджеты (2)»</w:t>
        </w:r>
        <w:r>
          <w:tab/>
        </w:r>
        <w:r>
          <w:fldChar w:fldCharType="begin"/>
        </w:r>
        <w:r>
          <w:instrText xml:space="preserve"> PAGEREF _Toc88819700 \h </w:instrText>
        </w:r>
        <w:r/>
        <w:r>
          <w:fldChar w:fldCharType="separate"/>
        </w:r>
        <w:r>
          <w:t xml:space="preserve">601</w:t>
        </w:r>
        <w:r>
          <w:fldChar w:fldCharType="end"/>
        </w:r>
      </w:hyperlink>
      <w:r/>
      <w:r/>
    </w:p>
    <w:p>
      <w:pPr>
        <w:pStyle w:val="1152"/>
        <w:rPr>
          <w:rFonts w:ascii="Calibri" w:hAnsi="Calibri"/>
          <w:sz w:val="22"/>
          <w:szCs w:val="22"/>
        </w:rPr>
      </w:pPr>
      <w:r/>
      <w:hyperlink w:tooltip="#_Toc88819701" w:anchor="_Toc88819701" w:history="1">
        <w:r>
          <w:rPr>
            <w:rStyle w:val="1020"/>
          </w:rPr>
          <w:t xml:space="preserve">Рисунок </w:t>
        </w:r>
        <w:r>
          <w:rPr>
            <w:rFonts w:ascii="Calibri" w:hAnsi="Calibri"/>
            <w:sz w:val="22"/>
            <w:szCs w:val="22"/>
          </w:rPr>
          <w:tab/>
        </w:r>
        <w:r>
          <w:rPr>
            <w:rStyle w:val="1020"/>
          </w:rPr>
          <w:t xml:space="preserve">316. ЭФ документа «Сведения об организации», закладки «Сведения о счетах (3)»</w:t>
        </w:r>
        <w:r>
          <w:tab/>
        </w:r>
        <w:r>
          <w:fldChar w:fldCharType="begin"/>
        </w:r>
        <w:r>
          <w:instrText xml:space="preserve"> PAGEREF _Toc88819701 \h </w:instrText>
        </w:r>
        <w:r/>
        <w:r>
          <w:fldChar w:fldCharType="separate"/>
        </w:r>
        <w:r>
          <w:t xml:space="preserve">605</w:t>
        </w:r>
        <w:r>
          <w:fldChar w:fldCharType="end"/>
        </w:r>
      </w:hyperlink>
      <w:r/>
      <w:r/>
    </w:p>
    <w:p>
      <w:pPr>
        <w:pStyle w:val="1152"/>
        <w:rPr>
          <w:rFonts w:ascii="Calibri" w:hAnsi="Calibri"/>
          <w:sz w:val="22"/>
          <w:szCs w:val="22"/>
        </w:rPr>
      </w:pPr>
      <w:r/>
      <w:hyperlink w:tooltip="#_Toc88819702" w:anchor="_Toc88819702" w:history="1">
        <w:r>
          <w:rPr>
            <w:rStyle w:val="1020"/>
          </w:rPr>
          <w:t xml:space="preserve">Рисунок </w:t>
        </w:r>
        <w:r>
          <w:rPr>
            <w:rFonts w:ascii="Calibri" w:hAnsi="Calibri"/>
            <w:sz w:val="22"/>
            <w:szCs w:val="22"/>
          </w:rPr>
          <w:tab/>
        </w:r>
        <w:r>
          <w:rPr>
            <w:rStyle w:val="1020"/>
          </w:rPr>
          <w:t xml:space="preserve">317. ЭФ документа «Сведения об организации», закладки «Подписи документа (4)»</w:t>
        </w:r>
        <w:r>
          <w:tab/>
        </w:r>
        <w:r>
          <w:fldChar w:fldCharType="begin"/>
        </w:r>
        <w:r>
          <w:instrText xml:space="preserve"> PAGEREF _Toc88819702 \h </w:instrText>
        </w:r>
        <w:r/>
        <w:r>
          <w:fldChar w:fldCharType="separate"/>
        </w:r>
        <w:r>
          <w:t xml:space="preserve">606</w:t>
        </w:r>
        <w:r>
          <w:fldChar w:fldCharType="end"/>
        </w:r>
      </w:hyperlink>
      <w:r/>
      <w:r/>
    </w:p>
    <w:p>
      <w:pPr>
        <w:pStyle w:val="1152"/>
        <w:rPr>
          <w:rFonts w:ascii="Calibri" w:hAnsi="Calibri"/>
          <w:sz w:val="22"/>
          <w:szCs w:val="22"/>
        </w:rPr>
      </w:pPr>
      <w:r/>
      <w:hyperlink w:tooltip="#_Toc88819703" w:anchor="_Toc88819703" w:history="1">
        <w:r>
          <w:rPr>
            <w:rStyle w:val="1020"/>
          </w:rPr>
          <w:t xml:space="preserve">Рисунок </w:t>
        </w:r>
        <w:r>
          <w:rPr>
            <w:rFonts w:ascii="Calibri" w:hAnsi="Calibri"/>
            <w:sz w:val="22"/>
            <w:szCs w:val="22"/>
          </w:rPr>
          <w:tab/>
        </w:r>
        <w:r>
          <w:rPr>
            <w:rStyle w:val="1020"/>
          </w:rPr>
          <w:t xml:space="preserve">318. ЭФ документа «Сведения об организации», закладки «Примечание (5)»</w:t>
        </w:r>
        <w:r>
          <w:tab/>
        </w:r>
        <w:r>
          <w:fldChar w:fldCharType="begin"/>
        </w:r>
        <w:r>
          <w:instrText xml:space="preserve"> PAGEREF _Toc88819703 \h </w:instrText>
        </w:r>
        <w:r/>
        <w:r>
          <w:fldChar w:fldCharType="separate"/>
        </w:r>
        <w:r>
          <w:t xml:space="preserve">607</w:t>
        </w:r>
        <w:r>
          <w:fldChar w:fldCharType="end"/>
        </w:r>
      </w:hyperlink>
      <w:r/>
      <w:r/>
    </w:p>
    <w:p>
      <w:pPr>
        <w:pStyle w:val="1152"/>
        <w:rPr>
          <w:rFonts w:ascii="Calibri" w:hAnsi="Calibri"/>
          <w:sz w:val="22"/>
          <w:szCs w:val="22"/>
        </w:rPr>
      </w:pPr>
      <w:r/>
      <w:hyperlink w:tooltip="#_Toc88819704" w:anchor="_Toc88819704" w:history="1">
        <w:r>
          <w:rPr>
            <w:rStyle w:val="1020"/>
          </w:rPr>
          <w:t xml:space="preserve">Рисунок </w:t>
        </w:r>
        <w:r>
          <w:rPr>
            <w:rFonts w:ascii="Calibri" w:hAnsi="Calibri"/>
            <w:sz w:val="22"/>
            <w:szCs w:val="22"/>
          </w:rPr>
          <w:tab/>
        </w:r>
        <w:r>
          <w:rPr>
            <w:rStyle w:val="1020"/>
          </w:rPr>
          <w:t xml:space="preserve">319. ЭФ документа «Сведения об организации», закладки «Полномочия организации до 01.01.2016»</w:t>
        </w:r>
        <w:r>
          <w:tab/>
        </w:r>
        <w:r>
          <w:fldChar w:fldCharType="begin"/>
        </w:r>
        <w:r>
          <w:instrText xml:space="preserve"> PAGEREF _Toc88819704 \h </w:instrText>
        </w:r>
        <w:r/>
        <w:r>
          <w:fldChar w:fldCharType="separate"/>
        </w:r>
        <w:r>
          <w:t xml:space="preserve">608</w:t>
        </w:r>
        <w:r>
          <w:fldChar w:fldCharType="end"/>
        </w:r>
      </w:hyperlink>
      <w:r/>
      <w:r/>
    </w:p>
    <w:p>
      <w:pPr>
        <w:pStyle w:val="1152"/>
        <w:rPr>
          <w:rFonts w:ascii="Calibri" w:hAnsi="Calibri"/>
          <w:sz w:val="22"/>
          <w:szCs w:val="22"/>
        </w:rPr>
      </w:pPr>
      <w:r/>
      <w:hyperlink w:tooltip="#_Toc88819705" w:anchor="_Toc88819705" w:history="1">
        <w:r>
          <w:rPr>
            <w:rStyle w:val="1020"/>
          </w:rPr>
          <w:t xml:space="preserve">Рисунок </w:t>
        </w:r>
        <w:r>
          <w:rPr>
            <w:rFonts w:ascii="Calibri" w:hAnsi="Calibri"/>
            <w:sz w:val="22"/>
            <w:szCs w:val="22"/>
          </w:rPr>
          <w:tab/>
        </w:r>
        <w:r>
          <w:rPr>
            <w:rStyle w:val="1020"/>
          </w:rPr>
          <w:t xml:space="preserve">320. ЭФ списка документов «Уведомление о подтверждении (аннулировании)»</w:t>
        </w:r>
        <w:r>
          <w:tab/>
        </w:r>
        <w:r>
          <w:fldChar w:fldCharType="begin"/>
        </w:r>
        <w:r>
          <w:instrText xml:space="preserve"> PAGEREF _Toc88819705 \h </w:instrText>
        </w:r>
        <w:r/>
        <w:r>
          <w:fldChar w:fldCharType="separate"/>
        </w:r>
        <w:r>
          <w:t xml:space="preserve">609</w:t>
        </w:r>
        <w:r>
          <w:fldChar w:fldCharType="end"/>
        </w:r>
      </w:hyperlink>
      <w:r/>
      <w:r/>
    </w:p>
    <w:p>
      <w:pPr>
        <w:pStyle w:val="1152"/>
        <w:rPr>
          <w:rFonts w:ascii="Calibri" w:hAnsi="Calibri"/>
          <w:sz w:val="22"/>
          <w:szCs w:val="22"/>
        </w:rPr>
      </w:pPr>
      <w:r/>
      <w:hyperlink w:tooltip="#_Toc88819706" w:anchor="_Toc88819706" w:history="1">
        <w:r>
          <w:rPr>
            <w:rStyle w:val="1020"/>
          </w:rPr>
          <w:t xml:space="preserve">Рисунок </w:t>
        </w:r>
        <w:r>
          <w:rPr>
            <w:rFonts w:ascii="Calibri" w:hAnsi="Calibri"/>
            <w:sz w:val="22"/>
            <w:szCs w:val="22"/>
          </w:rPr>
          <w:tab/>
        </w:r>
        <w:r>
          <w:rPr>
            <w:rStyle w:val="1020"/>
          </w:rPr>
          <w:t xml:space="preserve">321. ЭФ документа «Уведомление о подтверждении (аннулировании)», закладки «Реквизиты запроса (1)»</w:t>
        </w:r>
        <w:r>
          <w:tab/>
        </w:r>
        <w:r>
          <w:fldChar w:fldCharType="begin"/>
        </w:r>
        <w:r>
          <w:instrText xml:space="preserve"> PAGEREF _Toc88819706 \h </w:instrText>
        </w:r>
        <w:r/>
        <w:r>
          <w:fldChar w:fldCharType="separate"/>
        </w:r>
        <w:r>
          <w:t xml:space="preserve">610</w:t>
        </w:r>
        <w:r>
          <w:fldChar w:fldCharType="end"/>
        </w:r>
      </w:hyperlink>
      <w:r/>
      <w:r/>
    </w:p>
    <w:p>
      <w:pPr>
        <w:pStyle w:val="1152"/>
        <w:rPr>
          <w:rFonts w:ascii="Calibri" w:hAnsi="Calibri"/>
          <w:sz w:val="22"/>
          <w:szCs w:val="22"/>
        </w:rPr>
      </w:pPr>
      <w:r/>
      <w:hyperlink w:tooltip="#_Toc88819707" w:anchor="_Toc88819707" w:history="1">
        <w:r>
          <w:rPr>
            <w:rStyle w:val="1020"/>
          </w:rPr>
          <w:t xml:space="preserve">Рисунок </w:t>
        </w:r>
        <w:r>
          <w:rPr>
            <w:rFonts w:ascii="Calibri" w:hAnsi="Calibri"/>
            <w:sz w:val="22"/>
            <w:szCs w:val="22"/>
          </w:rPr>
          <w:tab/>
        </w:r>
        <w:r>
          <w:rPr>
            <w:rStyle w:val="1020"/>
          </w:rPr>
          <w:t xml:space="preserve">322. ЭФ документа «Уведомление о подтверждении (аннулировании)», закладки «Подписи (2)»</w:t>
        </w:r>
        <w:r>
          <w:tab/>
        </w:r>
        <w:r>
          <w:fldChar w:fldCharType="begin"/>
        </w:r>
        <w:r>
          <w:instrText xml:space="preserve"> PAGEREF _Toc88819707 \h </w:instrText>
        </w:r>
        <w:r/>
        <w:r>
          <w:fldChar w:fldCharType="separate"/>
        </w:r>
        <w:r>
          <w:t xml:space="preserve">612</w:t>
        </w:r>
        <w:r>
          <w:fldChar w:fldCharType="end"/>
        </w:r>
      </w:hyperlink>
      <w:r/>
      <w:r/>
    </w:p>
    <w:p>
      <w:pPr>
        <w:pStyle w:val="1152"/>
        <w:rPr>
          <w:rFonts w:ascii="Calibri" w:hAnsi="Calibri"/>
          <w:sz w:val="22"/>
          <w:szCs w:val="22"/>
        </w:rPr>
      </w:pPr>
      <w:r/>
      <w:hyperlink w:tooltip="#_Toc88819708" w:anchor="_Toc88819708" w:history="1">
        <w:r>
          <w:rPr>
            <w:rStyle w:val="1020"/>
          </w:rPr>
          <w:t xml:space="preserve">Рисунок </w:t>
        </w:r>
        <w:r>
          <w:rPr>
            <w:rFonts w:ascii="Calibri" w:hAnsi="Calibri"/>
            <w:sz w:val="22"/>
            <w:szCs w:val="22"/>
          </w:rPr>
          <w:tab/>
        </w:r>
        <w:r>
          <w:rPr>
            <w:rStyle w:val="1020"/>
          </w:rPr>
          <w:t xml:space="preserve">323. ЭФ списка документов «Информация из реестра»</w:t>
        </w:r>
        <w:r>
          <w:tab/>
        </w:r>
        <w:r>
          <w:fldChar w:fldCharType="begin"/>
        </w:r>
        <w:r>
          <w:instrText xml:space="preserve"> PAGEREF _Toc88819708 \h </w:instrText>
        </w:r>
        <w:r/>
        <w:r>
          <w:fldChar w:fldCharType="separate"/>
        </w:r>
        <w:r>
          <w:t xml:space="preserve">614</w:t>
        </w:r>
        <w:r>
          <w:fldChar w:fldCharType="end"/>
        </w:r>
      </w:hyperlink>
      <w:r/>
      <w:r/>
    </w:p>
    <w:p>
      <w:pPr>
        <w:pStyle w:val="1152"/>
        <w:rPr>
          <w:rFonts w:ascii="Calibri" w:hAnsi="Calibri"/>
          <w:sz w:val="22"/>
          <w:szCs w:val="22"/>
        </w:rPr>
      </w:pPr>
      <w:r/>
      <w:hyperlink w:tooltip="#_Toc88819709" w:anchor="_Toc88819709" w:history="1">
        <w:r>
          <w:rPr>
            <w:rStyle w:val="1020"/>
          </w:rPr>
          <w:t xml:space="preserve">Рисунок </w:t>
        </w:r>
        <w:r>
          <w:rPr>
            <w:rFonts w:ascii="Calibri" w:hAnsi="Calibri"/>
            <w:sz w:val="22"/>
            <w:szCs w:val="22"/>
          </w:rPr>
          <w:tab/>
        </w:r>
        <w:r>
          <w:rPr>
            <w:rStyle w:val="1020"/>
          </w:rPr>
          <w:t xml:space="preserve">324. ЭФ документа «Информация из реестра», закладки «Основные реквизиты (1)»</w:t>
        </w:r>
        <w:r>
          <w:tab/>
        </w:r>
        <w:r>
          <w:fldChar w:fldCharType="begin"/>
        </w:r>
        <w:r>
          <w:instrText xml:space="preserve"> PAGEREF _Toc88819709 \h </w:instrText>
        </w:r>
        <w:r/>
        <w:r>
          <w:fldChar w:fldCharType="separate"/>
        </w:r>
        <w:r>
          <w:t xml:space="preserve">615</w:t>
        </w:r>
        <w:r>
          <w:fldChar w:fldCharType="end"/>
        </w:r>
      </w:hyperlink>
      <w:r/>
      <w:r/>
    </w:p>
    <w:p>
      <w:pPr>
        <w:pStyle w:val="1152"/>
        <w:rPr>
          <w:rFonts w:ascii="Calibri" w:hAnsi="Calibri"/>
          <w:sz w:val="22"/>
          <w:szCs w:val="22"/>
        </w:rPr>
      </w:pPr>
      <w:r/>
      <w:hyperlink w:tooltip="#_Toc88819710" w:anchor="_Toc88819710" w:history="1">
        <w:r>
          <w:rPr>
            <w:rStyle w:val="1020"/>
          </w:rPr>
          <w:t xml:space="preserve">Рисунок </w:t>
        </w:r>
        <w:r>
          <w:rPr>
            <w:rFonts w:ascii="Calibri" w:hAnsi="Calibri"/>
            <w:sz w:val="22"/>
            <w:szCs w:val="22"/>
          </w:rPr>
          <w:tab/>
        </w:r>
        <w:r>
          <w:rPr>
            <w:rStyle w:val="1020"/>
          </w:rPr>
          <w:t xml:space="preserve">325. ЭФ документа «Информация из реестра», закладки «Реквизиты организаций (2)»</w:t>
        </w:r>
        <w:r>
          <w:tab/>
        </w:r>
        <w:r>
          <w:fldChar w:fldCharType="begin"/>
        </w:r>
        <w:r>
          <w:instrText xml:space="preserve"> PAGEREF _Toc88819710 \h </w:instrText>
        </w:r>
        <w:r/>
        <w:r>
          <w:fldChar w:fldCharType="separate"/>
        </w:r>
        <w:r>
          <w:t xml:space="preserve">616</w:t>
        </w:r>
        <w:r>
          <w:fldChar w:fldCharType="end"/>
        </w:r>
      </w:hyperlink>
      <w:r/>
      <w:r/>
    </w:p>
    <w:p>
      <w:pPr>
        <w:pStyle w:val="1152"/>
        <w:rPr>
          <w:rFonts w:ascii="Calibri" w:hAnsi="Calibri"/>
          <w:sz w:val="22"/>
          <w:szCs w:val="22"/>
        </w:rPr>
      </w:pPr>
      <w:r/>
      <w:hyperlink w:tooltip="#_Toc88819711" w:anchor="_Toc88819711" w:history="1">
        <w:r>
          <w:rPr>
            <w:rStyle w:val="1020"/>
          </w:rPr>
          <w:t xml:space="preserve">Рисунок </w:t>
        </w:r>
        <w:r>
          <w:rPr>
            <w:rFonts w:ascii="Calibri" w:hAnsi="Calibri"/>
            <w:sz w:val="22"/>
            <w:szCs w:val="22"/>
          </w:rPr>
          <w:tab/>
        </w:r>
        <w:r>
          <w:rPr>
            <w:rStyle w:val="1020"/>
          </w:rPr>
          <w:t xml:space="preserve">326. ЭФ документа «Информация из реестра», закладки «Подписи (3)»</w:t>
        </w:r>
        <w:r>
          <w:tab/>
        </w:r>
        <w:r>
          <w:fldChar w:fldCharType="begin"/>
        </w:r>
        <w:r>
          <w:instrText xml:space="preserve"> PAGEREF _Toc88819711 \h </w:instrText>
        </w:r>
        <w:r/>
        <w:r>
          <w:fldChar w:fldCharType="separate"/>
        </w:r>
        <w:r>
          <w:t xml:space="preserve">617</w:t>
        </w:r>
        <w:r>
          <w:fldChar w:fldCharType="end"/>
        </w:r>
      </w:hyperlink>
      <w:r/>
      <w:r/>
    </w:p>
    <w:p>
      <w:pPr>
        <w:pStyle w:val="1152"/>
        <w:rPr>
          <w:rFonts w:ascii="Calibri" w:hAnsi="Calibri"/>
          <w:sz w:val="22"/>
          <w:szCs w:val="22"/>
        </w:rPr>
      </w:pPr>
      <w:r/>
      <w:hyperlink w:tooltip="#_Toc88819712" w:anchor="_Toc88819712" w:history="1">
        <w:r>
          <w:rPr>
            <w:rStyle w:val="1020"/>
          </w:rPr>
          <w:t xml:space="preserve">Рисунок </w:t>
        </w:r>
        <w:r>
          <w:rPr>
            <w:rFonts w:ascii="Calibri" w:hAnsi="Calibri"/>
            <w:sz w:val="22"/>
            <w:szCs w:val="22"/>
          </w:rPr>
          <w:tab/>
        </w:r>
        <w:r>
          <w:rPr>
            <w:rStyle w:val="1020"/>
          </w:rPr>
          <w:t xml:space="preserve">327. Список документов «Запрос на подтверждение сведений об организации»</w:t>
        </w:r>
        <w:r>
          <w:tab/>
        </w:r>
        <w:r>
          <w:fldChar w:fldCharType="begin"/>
        </w:r>
        <w:r>
          <w:instrText xml:space="preserve"> PAGEREF _Toc88819712 \h </w:instrText>
        </w:r>
        <w:r/>
        <w:r>
          <w:fldChar w:fldCharType="separate"/>
        </w:r>
        <w:r>
          <w:t xml:space="preserve">619</w:t>
        </w:r>
        <w:r>
          <w:fldChar w:fldCharType="end"/>
        </w:r>
      </w:hyperlink>
      <w:r/>
      <w:r/>
    </w:p>
    <w:p>
      <w:pPr>
        <w:pStyle w:val="1152"/>
        <w:rPr>
          <w:rFonts w:ascii="Calibri" w:hAnsi="Calibri"/>
          <w:sz w:val="22"/>
          <w:szCs w:val="22"/>
        </w:rPr>
      </w:pPr>
      <w:r/>
      <w:hyperlink w:tooltip="#_Toc88819713" w:anchor="_Toc88819713" w:history="1">
        <w:r>
          <w:rPr>
            <w:rStyle w:val="1020"/>
          </w:rPr>
          <w:t xml:space="preserve">Рисунок </w:t>
        </w:r>
        <w:r>
          <w:rPr>
            <w:rFonts w:ascii="Calibri" w:hAnsi="Calibri"/>
            <w:sz w:val="22"/>
            <w:szCs w:val="22"/>
          </w:rPr>
          <w:tab/>
        </w:r>
        <w:r>
          <w:rPr>
            <w:rStyle w:val="1020"/>
          </w:rPr>
          <w:t xml:space="preserve">328. ЭФ документа «Запрос на подтверждение сведений об организации», закладки «Основные атрибуты (1)»</w:t>
        </w:r>
        <w:r>
          <w:tab/>
        </w:r>
        <w:r>
          <w:fldChar w:fldCharType="begin"/>
        </w:r>
        <w:r>
          <w:instrText xml:space="preserve"> PAGEREF _Toc88819713 \h </w:instrText>
        </w:r>
        <w:r/>
        <w:r>
          <w:fldChar w:fldCharType="separate"/>
        </w:r>
        <w:r>
          <w:t xml:space="preserve">620</w:t>
        </w:r>
        <w:r>
          <w:fldChar w:fldCharType="end"/>
        </w:r>
      </w:hyperlink>
      <w:r/>
      <w:r/>
    </w:p>
    <w:p>
      <w:pPr>
        <w:pStyle w:val="1152"/>
        <w:rPr>
          <w:rFonts w:ascii="Calibri" w:hAnsi="Calibri"/>
          <w:sz w:val="22"/>
          <w:szCs w:val="22"/>
        </w:rPr>
      </w:pPr>
      <w:r/>
      <w:hyperlink w:tooltip="#_Toc88819714" w:anchor="_Toc88819714" w:history="1">
        <w:r>
          <w:rPr>
            <w:rStyle w:val="1020"/>
          </w:rPr>
          <w:t xml:space="preserve">Рисунок </w:t>
        </w:r>
        <w:r>
          <w:rPr>
            <w:rFonts w:ascii="Calibri" w:hAnsi="Calibri"/>
            <w:sz w:val="22"/>
            <w:szCs w:val="22"/>
          </w:rPr>
          <w:tab/>
        </w:r>
        <w:r>
          <w:rPr>
            <w:rStyle w:val="1020"/>
          </w:rPr>
          <w:t xml:space="preserve">329. ЭФ документа «Запрос на подтверждение сведений об организации», закладки «Полномочия (2)»</w:t>
        </w:r>
        <w:r>
          <w:tab/>
        </w:r>
        <w:r>
          <w:fldChar w:fldCharType="begin"/>
        </w:r>
        <w:r>
          <w:instrText xml:space="preserve"> PAGEREF _Toc88819714 \h </w:instrText>
        </w:r>
        <w:r/>
        <w:r>
          <w:fldChar w:fldCharType="separate"/>
        </w:r>
        <w:r>
          <w:t xml:space="preserve">623</w:t>
        </w:r>
        <w:r>
          <w:fldChar w:fldCharType="end"/>
        </w:r>
      </w:hyperlink>
      <w:r/>
      <w:r/>
    </w:p>
    <w:p>
      <w:pPr>
        <w:pStyle w:val="1152"/>
        <w:rPr>
          <w:rFonts w:ascii="Calibri" w:hAnsi="Calibri"/>
          <w:sz w:val="22"/>
          <w:szCs w:val="22"/>
        </w:rPr>
      </w:pPr>
      <w:r/>
      <w:hyperlink w:tooltip="#_Toc88819715" w:anchor="_Toc88819715" w:history="1">
        <w:r>
          <w:rPr>
            <w:rStyle w:val="1020"/>
          </w:rPr>
          <w:t xml:space="preserve">Рисунок </w:t>
        </w:r>
        <w:r>
          <w:rPr>
            <w:rFonts w:ascii="Calibri" w:hAnsi="Calibri"/>
            <w:sz w:val="22"/>
            <w:szCs w:val="22"/>
          </w:rPr>
          <w:tab/>
        </w:r>
        <w:r>
          <w:rPr>
            <w:rStyle w:val="1020"/>
          </w:rPr>
          <w:t xml:space="preserve">330. ЭФ документа «Запрос на подтверждение сведений об организации», закладки «Подписи (3)»</w:t>
        </w:r>
        <w:r>
          <w:tab/>
        </w:r>
        <w:r>
          <w:fldChar w:fldCharType="begin"/>
        </w:r>
        <w:r>
          <w:instrText xml:space="preserve"> PAGEREF _Toc88819715 \h </w:instrText>
        </w:r>
        <w:r/>
        <w:r>
          <w:fldChar w:fldCharType="separate"/>
        </w:r>
        <w:r>
          <w:t xml:space="preserve">625</w:t>
        </w:r>
        <w:r>
          <w:fldChar w:fldCharType="end"/>
        </w:r>
      </w:hyperlink>
      <w:r/>
      <w:r/>
    </w:p>
    <w:p>
      <w:pPr>
        <w:pStyle w:val="1152"/>
        <w:rPr>
          <w:rFonts w:ascii="Calibri" w:hAnsi="Calibri"/>
          <w:sz w:val="22"/>
          <w:szCs w:val="22"/>
        </w:rPr>
      </w:pPr>
      <w:r/>
      <w:hyperlink w:tooltip="#_Toc88819716" w:anchor="_Toc88819716" w:history="1">
        <w:r>
          <w:rPr>
            <w:rStyle w:val="1020"/>
          </w:rPr>
          <w:t xml:space="preserve">Рисунок </w:t>
        </w:r>
        <w:r>
          <w:rPr>
            <w:rFonts w:ascii="Calibri" w:hAnsi="Calibri"/>
            <w:sz w:val="22"/>
            <w:szCs w:val="22"/>
          </w:rPr>
          <w:tab/>
        </w:r>
        <w:r>
          <w:rPr>
            <w:rStyle w:val="1020"/>
          </w:rPr>
          <w:t xml:space="preserve">331. Диспетчер задач с результатами импорта файлов</w:t>
        </w:r>
        <w:r>
          <w:tab/>
        </w:r>
        <w:r>
          <w:fldChar w:fldCharType="begin"/>
        </w:r>
        <w:r>
          <w:instrText xml:space="preserve"> PAGEREF _Toc88819716 \h </w:instrText>
        </w:r>
        <w:r/>
        <w:r>
          <w:fldChar w:fldCharType="separate"/>
        </w:r>
        <w:r>
          <w:t xml:space="preserve">626</w:t>
        </w:r>
        <w:r>
          <w:fldChar w:fldCharType="end"/>
        </w:r>
      </w:hyperlink>
      <w:r/>
      <w:r/>
    </w:p>
    <w:p>
      <w:pPr>
        <w:pStyle w:val="1152"/>
        <w:rPr>
          <w:rFonts w:ascii="Calibri" w:hAnsi="Calibri"/>
          <w:sz w:val="22"/>
          <w:szCs w:val="22"/>
        </w:rPr>
      </w:pPr>
      <w:r/>
      <w:hyperlink w:tooltip="#_Toc88819717" w:anchor="_Toc88819717" w:history="1">
        <w:r>
          <w:rPr>
            <w:rStyle w:val="1020"/>
          </w:rPr>
          <w:t xml:space="preserve">Рисунок </w:t>
        </w:r>
        <w:r>
          <w:rPr>
            <w:rFonts w:ascii="Calibri" w:hAnsi="Calibri"/>
            <w:sz w:val="22"/>
            <w:szCs w:val="22"/>
          </w:rPr>
          <w:tab/>
        </w:r>
        <w:r>
          <w:rPr>
            <w:rStyle w:val="1020"/>
          </w:rPr>
          <w:t xml:space="preserve">332. ЭФ списка документов «Протокол операций импорта»</w:t>
        </w:r>
        <w:r>
          <w:tab/>
        </w:r>
        <w:r>
          <w:fldChar w:fldCharType="begin"/>
        </w:r>
        <w:r>
          <w:instrText xml:space="preserve"> PAGEREF _Toc88819717 \h </w:instrText>
        </w:r>
        <w:r/>
        <w:r>
          <w:fldChar w:fldCharType="separate"/>
        </w:r>
        <w:r>
          <w:t xml:space="preserve">627</w:t>
        </w:r>
        <w:r>
          <w:fldChar w:fldCharType="end"/>
        </w:r>
      </w:hyperlink>
      <w:r/>
      <w:r/>
    </w:p>
    <w:p>
      <w:pPr>
        <w:pStyle w:val="1152"/>
        <w:rPr>
          <w:rFonts w:ascii="Calibri" w:hAnsi="Calibri"/>
          <w:sz w:val="22"/>
          <w:szCs w:val="22"/>
        </w:rPr>
      </w:pPr>
      <w:r/>
      <w:hyperlink w:tooltip="#_Toc88819718" w:anchor="_Toc88819718" w:history="1">
        <w:r>
          <w:rPr>
            <w:rStyle w:val="1020"/>
          </w:rPr>
          <w:t xml:space="preserve">Рисунок </w:t>
        </w:r>
        <w:r>
          <w:rPr>
            <w:rFonts w:ascii="Calibri" w:hAnsi="Calibri"/>
            <w:sz w:val="22"/>
            <w:szCs w:val="22"/>
          </w:rPr>
          <w:tab/>
        </w:r>
        <w:r>
          <w:rPr>
            <w:rStyle w:val="1020"/>
          </w:rPr>
          <w:t xml:space="preserve">333. ЭФ документа «Протокол операций импорта»</w:t>
        </w:r>
        <w:r>
          <w:tab/>
        </w:r>
        <w:r>
          <w:fldChar w:fldCharType="begin"/>
        </w:r>
        <w:r>
          <w:instrText xml:space="preserve"> PAGEREF _Toc88819718 \h </w:instrText>
        </w:r>
        <w:r/>
        <w:r>
          <w:fldChar w:fldCharType="separate"/>
        </w:r>
        <w:r>
          <w:t xml:space="preserve">628</w:t>
        </w:r>
        <w:r>
          <w:fldChar w:fldCharType="end"/>
        </w:r>
      </w:hyperlink>
      <w:r/>
      <w:r/>
    </w:p>
    <w:p>
      <w:pPr>
        <w:pStyle w:val="994"/>
      </w:pPr>
      <w:r>
        <w:fldChar w:fldCharType="end"/>
      </w:r>
      <w:r/>
    </w:p>
    <w:p>
      <w:pPr>
        <w:pStyle w:val="970"/>
      </w:pPr>
      <w:r/>
      <w:bookmarkStart w:id="9" w:name="_Toc88819057"/>
      <w:r>
        <w:t xml:space="preserve">Введение</w:t>
      </w:r>
      <w:bookmarkEnd w:id="9"/>
      <w:r/>
      <w:r/>
    </w:p>
    <w:p>
      <w:pPr>
        <w:pStyle w:val="971"/>
      </w:pPr>
      <w:r/>
      <w:bookmarkStart w:id="10" w:name="_Toc225916460"/>
      <w:r/>
      <w:bookmarkStart w:id="11" w:name="_Toc232827269"/>
      <w:r/>
      <w:bookmarkStart w:id="12" w:name="_Toc422496646"/>
      <w:r/>
      <w:bookmarkStart w:id="13" w:name="_Toc88819058"/>
      <w:r/>
      <w:bookmarkEnd w:id="6"/>
      <w:r>
        <w:t xml:space="preserve">Область применения</w:t>
      </w:r>
      <w:bookmarkEnd w:id="10"/>
      <w:r/>
      <w:bookmarkEnd w:id="11"/>
      <w:r/>
      <w:bookmarkEnd w:id="12"/>
      <w:r/>
      <w:bookmarkEnd w:id="13"/>
      <w:r/>
      <w:r/>
    </w:p>
    <w:p>
      <w:pPr>
        <w:pStyle w:val="994"/>
      </w:pPr>
      <w:r/>
      <w:bookmarkStart w:id="14" w:name="_Toc107037951"/>
      <w:r>
        <w:t xml:space="preserve">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Финансовых органов по контролю, учету и </w:t>
      </w:r>
      <w:r>
        <w:t xml:space="preserve">казначейскому</w:t>
      </w:r>
      <w:r>
        <w:t xml:space="preserve"> обслуживанию исполнения бюджетов.</w:t>
      </w:r>
      <w:r/>
    </w:p>
    <w:p>
      <w:pPr>
        <w:pStyle w:val="971"/>
      </w:pPr>
      <w:r/>
      <w:bookmarkStart w:id="15" w:name="_Toc221011455"/>
      <w:r/>
      <w:bookmarkStart w:id="16" w:name="_Toc221012156"/>
      <w:r/>
      <w:bookmarkStart w:id="17" w:name="_Toc225934537"/>
      <w:r/>
      <w:bookmarkStart w:id="18" w:name="_Toc88819059"/>
      <w:r>
        <w:t xml:space="preserve">Краткое описание возможностей</w:t>
      </w:r>
      <w:bookmarkEnd w:id="18"/>
      <w:r/>
      <w:r/>
    </w:p>
    <w:p>
      <w:pPr>
        <w:pStyle w:val="994"/>
      </w:pPr>
      <w:r>
        <w:t xml:space="preserve">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r/>
    </w:p>
    <w:p>
      <w:pPr>
        <w:pStyle w:val="994"/>
      </w:pPr>
      <w:r>
        <w:rPr>
          <w:rStyle w:val="1001"/>
        </w:rPr>
        <w:t xml:space="preserve">Регистрация и доведение бюджета</w:t>
      </w:r>
      <w:r>
        <w:t xml:space="preserve">. СУФД (АРМ ФО)</w:t>
      </w:r>
      <w:r>
        <w:t xml:space="preserve">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w:t>
      </w:r>
      <w:r/>
    </w:p>
    <w:p>
      <w:pPr>
        <w:pStyle w:val="994"/>
      </w:pPr>
      <w:r>
        <w:rPr>
          <w:rStyle w:val="1001"/>
        </w:rPr>
        <w:t xml:space="preserve">Контроль и учет обязательств</w:t>
      </w:r>
      <w:r>
        <w:t xml:space="preserve">. СУФД (АРМ ФО) обеспечивает контроль и учет заявок на кассовый расход для исполнения обязательств в рамках кассовых ограничений.</w:t>
      </w:r>
      <w:r/>
    </w:p>
    <w:p>
      <w:pPr>
        <w:pStyle w:val="994"/>
      </w:pPr>
      <w:r>
        <w:t xml:space="preserve">Помимо поддержки документооборота, данный АРМ обеспечивает также хранение документов в базе данных на уровне ФО.</w:t>
      </w:r>
      <w:r/>
    </w:p>
    <w:p>
      <w:pPr>
        <w:pStyle w:val="971"/>
      </w:pPr>
      <w:r/>
      <w:bookmarkStart w:id="19" w:name="_Toc88819060"/>
      <w:r>
        <w:t xml:space="preserve">Уровень подготовки пользователя</w:t>
      </w:r>
      <w:bookmarkEnd w:id="19"/>
      <w:r/>
      <w:r/>
    </w:p>
    <w:p>
      <w:pPr>
        <w:pStyle w:val="994"/>
      </w:pPr>
      <w:r>
        <w:t xml:space="preserve">Пользователи, работающие с АРМ СУФД должны обладать практическими навыками работы с графическим пользовательским интерфейсом операционных систем семейства </w:t>
      </w:r>
      <w:r>
        <w:rPr>
          <w:lang w:val="en-US"/>
        </w:rPr>
        <w:t xml:space="preserve">Windows</w:t>
      </w:r>
      <w:r>
        <w:t xml:space="preserve">. Пользователи, работающие с АРМ СУФД через </w:t>
      </w:r>
      <w:r>
        <w:rPr>
          <w:lang w:val="en-US"/>
        </w:rPr>
        <w:t xml:space="preserve">web</w:t>
      </w:r>
      <w:r>
        <w:t xml:space="preserve">-интерфейс, должны обладать навыками работы в среде </w:t>
      </w:r>
      <w:r>
        <w:rPr>
          <w:lang w:val="en-US"/>
        </w:rPr>
        <w:t xml:space="preserve">Microsoft</w:t>
      </w:r>
      <w:r>
        <w:t xml:space="preserve"> </w:t>
      </w:r>
      <w:r>
        <w:rPr>
          <w:lang w:val="en-US"/>
        </w:rPr>
        <w:t xml:space="preserve">Internet</w:t>
      </w:r>
      <w:r>
        <w:t xml:space="preserve"> </w:t>
      </w:r>
      <w:r>
        <w:rPr>
          <w:lang w:val="en-US"/>
        </w:rPr>
        <w:t xml:space="preserve">Explorer</w:t>
      </w:r>
      <w:r>
        <w:t xml:space="preserve"> (может использоваться любой другой </w:t>
      </w:r>
      <w:r>
        <w:t xml:space="preserve">и</w:t>
      </w:r>
      <w:r>
        <w:t xml:space="preserve">нтернет-браузер, например</w:t>
      </w:r>
      <w:r>
        <w:t xml:space="preserve">,</w:t>
      </w:r>
      <w:r>
        <w:t xml:space="preserve"> </w:t>
      </w:r>
      <w:r>
        <w:rPr>
          <w:lang w:val="en-US"/>
        </w:rPr>
        <w:t xml:space="preserve">Mozilla</w:t>
      </w:r>
      <w:r>
        <w:t xml:space="preserve"> </w:t>
      </w:r>
      <w:r>
        <w:rPr>
          <w:lang w:val="en-US"/>
        </w:rPr>
        <w:t xml:space="preserve">Firefox</w:t>
      </w:r>
      <w:r>
        <w:t xml:space="preserve">).</w:t>
      </w:r>
      <w:r/>
    </w:p>
    <w:p>
      <w:pPr>
        <w:pStyle w:val="994"/>
      </w:pPr>
      <w:r>
        <w:t xml:space="preserve">Перечень необходимых для изучения пользователем документов, ссылки на которые приведены по тексту настоящего документа</w:t>
      </w:r>
      <w:r>
        <w:t xml:space="preserve">:</w:t>
      </w:r>
      <w:r/>
    </w:p>
    <w:p>
      <w:pPr>
        <w:pStyle w:val="985"/>
      </w:pPr>
      <w:r>
        <w:t xml:space="preserve">обучающие материалы «Основные принципы работы с ППО СУФД», код документа: </w:t>
      </w:r>
      <w:r>
        <w:t xml:space="preserve">54819512.09.01,01.ОМ.004-04.0</w:t>
      </w:r>
      <w:r>
        <w:t xml:space="preserve">3</w:t>
      </w:r>
      <w:r>
        <w:t xml:space="preserve"> 2(4,5)</w:t>
      </w:r>
      <w:r>
        <w:t xml:space="preserve">.</w:t>
      </w:r>
      <w:r/>
    </w:p>
    <w:p>
      <w:pPr>
        <w:pStyle w:val="985"/>
      </w:pPr>
      <w:r>
        <w:t xml:space="preserve">руководство по администрированию системы «Руководство по установке и настройке системы (СУФД)», код документа: </w:t>
      </w:r>
      <w:r>
        <w:t xml:space="preserve">54819512.09.01,00.ИА.005-05.0</w:t>
      </w:r>
      <w:r>
        <w:t xml:space="preserve">3</w:t>
      </w:r>
      <w:r>
        <w:t xml:space="preserve"> 1(2,4,5)</w:t>
      </w:r>
      <w:r>
        <w:t xml:space="preserve">.</w:t>
      </w:r>
      <w:r/>
    </w:p>
    <w:p>
      <w:pPr>
        <w:pStyle w:val="985"/>
      </w:pPr>
      <w:r>
        <w:t xml:space="preserve">обучающие материалы «Руководство по работе со справочниками в ППО СУФД», код документа: </w:t>
      </w:r>
      <w:r>
        <w:t xml:space="preserve">54819512.09.01,03.ОМ.001-1</w:t>
      </w:r>
      <w:r>
        <w:t xml:space="preserve">2</w:t>
      </w:r>
      <w:r>
        <w:t xml:space="preserve">.00 1(2)</w:t>
      </w:r>
      <w:r>
        <w:t xml:space="preserve">.</w:t>
      </w:r>
      <w:r/>
    </w:p>
    <w:p>
      <w:pPr>
        <w:pStyle w:val="971"/>
      </w:pPr>
      <w:r/>
      <w:bookmarkStart w:id="20" w:name="_Toc88819061"/>
      <w:r>
        <w:t xml:space="preserve">Список принятых терминов и сокращений</w:t>
      </w:r>
      <w:bookmarkEnd w:id="20"/>
      <w:r/>
      <w:r/>
    </w:p>
    <w:p>
      <w:pPr>
        <w:pStyle w:val="994"/>
      </w:pPr>
      <w:r>
        <w:t xml:space="preserve">Сокращения и условные обозначения, встречающиеся в данном документе, </w:t>
      </w:r>
      <w:r>
        <w:t xml:space="preserve">приведен</w:t>
      </w:r>
      <w:r>
        <w:t xml:space="preserve">ы</w:t>
      </w:r>
      <w:r>
        <w:t xml:space="preserve"> в таблице</w:t>
      </w:r>
      <w:r>
        <w:t xml:space="preserve"> </w:t>
      </w:r>
      <w:r>
        <w:fldChar w:fldCharType="begin"/>
      </w:r>
      <w:r>
        <w:instrText xml:space="preserve"> REF _Ref227612515 \h </w:instrText>
      </w:r>
      <w:r>
        <w:fldChar w:fldCharType="separate"/>
      </w:r>
      <w:r>
        <w:t xml:space="preserve">1</w:t>
      </w:r>
      <w:r>
        <w:fldChar w:fldCharType="end"/>
      </w:r>
      <w:r>
        <w:t xml:space="preserve">.</w:t>
      </w:r>
      <w:bookmarkEnd w:id="14"/>
      <w:bookmarkEnd w:id="15"/>
      <w:bookmarkEnd w:id="16"/>
      <w:bookmarkEnd w:id="17"/>
      <w:r/>
    </w:p>
    <w:p>
      <w:pPr>
        <w:pStyle w:val="993"/>
      </w:pPr>
      <w:r>
        <w:fldChar w:fldCharType="begin"/>
      </w:r>
      <w:r>
        <w:instrText xml:space="preserve"> SEQ Таблица \* ARABIC </w:instrText>
      </w:r>
      <w:r>
        <w:fldChar w:fldCharType="separate"/>
      </w:r>
      <w:bookmarkStart w:id="21" w:name="_Ref227612515"/>
      <w:r/>
      <w:bookmarkStart w:id="22" w:name="_Toc88819187"/>
      <w:r>
        <w:t xml:space="preserve">1</w:t>
      </w:r>
      <w:bookmarkEnd w:id="21"/>
      <w:r>
        <w:fldChar w:fldCharType="end"/>
      </w:r>
      <w:r>
        <w:t xml:space="preserve">. Условные обозначения и сокращения</w:t>
      </w:r>
      <w:bookmarkEnd w:id="22"/>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624"/>
        <w:gridCol w:w="1845"/>
        <w:gridCol w:w="7283"/>
      </w:tblGrid>
      <w:tr>
        <w:trPr>
          <w:tblHeader/>
        </w:trPr>
        <w:tc>
          <w:tcPr>
            <w:gridSpan w:val="2"/>
            <w:shd w:val="clear" w:fill="E6E6E6" w:color="auto"/>
            <w:tcBorders>
              <w:left w:val="single" w:sz="4" w:space="0" w:color="auto"/>
              <w:top w:val="single" w:sz="4" w:space="0" w:color="auto"/>
              <w:right w:val="single" w:sz="4" w:space="0" w:color="auto"/>
              <w:bottom w:val="single" w:sz="4" w:space="0" w:color="auto"/>
            </w:tcBorders>
            <w:tcW w:w="1266" w:type="pct"/>
            <w:vAlign w:val="center"/>
            <w:textDirection w:val="lrTb"/>
            <w:noWrap w:val="false"/>
          </w:tcPr>
          <w:p>
            <w:pPr>
              <w:pStyle w:val="1006"/>
            </w:pPr>
            <w:r>
              <w:t xml:space="preserve">Термин/</w:t>
            </w:r>
            <w:r>
              <w:br/>
              <w:t xml:space="preserve">сокращение</w:t>
            </w:r>
            <w:r/>
          </w:p>
        </w:tc>
        <w:tc>
          <w:tcPr>
            <w:shd w:val="clear" w:fill="E6E6E6" w:color="auto"/>
            <w:tcBorders>
              <w:left w:val="single" w:sz="4" w:space="0" w:color="auto"/>
              <w:top w:val="single" w:sz="4" w:space="0" w:color="auto"/>
              <w:right w:val="single" w:sz="4" w:space="0" w:color="auto"/>
              <w:bottom w:val="single" w:sz="4" w:space="0" w:color="auto"/>
            </w:tcBorders>
            <w:tcW w:w="3734" w:type="pct"/>
            <w:vAlign w:val="center"/>
            <w:textDirection w:val="lrTb"/>
            <w:noWrap w:val="false"/>
          </w:tcPr>
          <w:p>
            <w:pPr>
              <w:pStyle w:val="1006"/>
            </w:pPr>
            <w:r>
              <w:t xml:space="preserve">Содержание</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rPr>
                <w:lang w:val="en-US"/>
              </w:rPr>
              <w:t xml:space="preserve">Excel</w:t>
            </w:r>
            <w:r/>
          </w:p>
        </w:tc>
        <w:tc>
          <w:tcPr>
            <w:shd w:val="clear" w:fill="auto" w:color="auto"/>
            <w:tcW w:w="3734" w:type="pct"/>
            <w:textDirection w:val="lrTb"/>
            <w:noWrap w:val="false"/>
          </w:tcPr>
          <w:p>
            <w:pPr>
              <w:pStyle w:val="1005"/>
              <w:ind w:left="57" w:right="57"/>
            </w:pPr>
            <w:r>
              <w:t xml:space="preserve">Microsoft </w:t>
            </w:r>
            <w:r>
              <w:rPr>
                <w:lang w:val="en-US"/>
              </w:rPr>
              <w:t xml:space="preserve">Excel</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GUID</w:t>
            </w:r>
            <w:r/>
          </w:p>
        </w:tc>
        <w:tc>
          <w:tcPr>
            <w:shd w:val="clear" w:fill="auto" w:color="auto"/>
            <w:tcW w:w="3734" w:type="pct"/>
            <w:textDirection w:val="lrTb"/>
            <w:noWrap w:val="false"/>
          </w:tcPr>
          <w:p>
            <w:pPr>
              <w:pStyle w:val="1005"/>
              <w:ind w:left="57" w:right="57"/>
            </w:pPr>
            <w:r>
              <w:rPr>
                <w:lang w:val="en-US"/>
              </w:rPr>
              <w:t xml:space="preserve">Globally</w:t>
            </w:r>
            <w:r>
              <w:t xml:space="preserve"> </w:t>
            </w:r>
            <w:r>
              <w:rPr>
                <w:lang w:val="en-US"/>
              </w:rPr>
              <w:t xml:space="preserve">Unique</w:t>
            </w:r>
            <w:r>
              <w:t xml:space="preserve"> </w:t>
            </w:r>
            <w:r>
              <w:rPr>
                <w:lang w:val="en-US"/>
              </w:rPr>
              <w:t xml:space="preserve">Identifier</w:t>
            </w:r>
            <w:r>
              <w:t xml:space="preserve"> – уникальный 128-битный идентиф</w:t>
            </w:r>
            <w:r>
              <w:t xml:space="preserve">икатор, представляется в виде строки из шестнадцатеричных цифр, разбитых на пять групп по 8, 4, 4, 4 и 12 символов соответственно, разделенных дефисами:</w:t>
            </w:r>
            <w:r>
              <w:t xml:space="preserve"> </w:t>
            </w:r>
            <w:r>
              <w:t xml:space="preserve">XXXXX</w:t>
            </w:r>
            <w:r>
              <w:t xml:space="preserve">XXX-XXXX-XXXX-XXXX-XXXXXXXXXXXX</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ID</w:t>
            </w:r>
            <w:r/>
          </w:p>
        </w:tc>
        <w:tc>
          <w:tcPr>
            <w:shd w:val="clear" w:fill="auto" w:color="auto"/>
            <w:tcW w:w="3734" w:type="pct"/>
            <w:textDirection w:val="lrTb"/>
            <w:noWrap w:val="false"/>
          </w:tcPr>
          <w:p>
            <w:pPr>
              <w:pStyle w:val="1005"/>
              <w:ind w:left="57" w:right="57"/>
            </w:pPr>
            <w:r>
              <w:t xml:space="preserve">Идентификационный номер</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Java</w:t>
            </w:r>
            <w:r/>
          </w:p>
        </w:tc>
        <w:tc>
          <w:tcPr>
            <w:shd w:val="clear" w:fill="auto" w:color="auto"/>
            <w:tcW w:w="3734" w:type="pct"/>
            <w:textDirection w:val="lrTb"/>
            <w:noWrap w:val="false"/>
          </w:tcPr>
          <w:p>
            <w:pPr>
              <w:pStyle w:val="1005"/>
              <w:ind w:left="57" w:right="57"/>
            </w:pPr>
            <w:r>
              <w:t xml:space="preserve">Язык программирования </w:t>
            </w:r>
            <w:r>
              <w:t xml:space="preserve">и платформа создания приложений</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OEBS</w:t>
            </w:r>
            <w:r/>
          </w:p>
        </w:tc>
        <w:tc>
          <w:tcPr>
            <w:shd w:val="clear" w:fill="auto" w:color="auto"/>
            <w:tcW w:w="3734" w:type="pct"/>
            <w:textDirection w:val="lrTb"/>
            <w:noWrap w:val="false"/>
          </w:tcPr>
          <w:p>
            <w:pPr>
              <w:pStyle w:val="1005"/>
              <w:ind w:left="57" w:right="57"/>
            </w:pPr>
            <w:r>
              <w:t xml:space="preserve">Прикладное программное обеспечение на базе </w:t>
            </w:r>
            <w:r>
              <w:t xml:space="preserve">модулей Oracle Е-Business Suite</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PDF</w:t>
            </w:r>
            <w:r/>
          </w:p>
        </w:tc>
        <w:tc>
          <w:tcPr>
            <w:shd w:val="clear" w:fill="auto" w:color="auto"/>
            <w:tcW w:w="3734" w:type="pct"/>
            <w:textDirection w:val="lrTb"/>
            <w:noWrap w:val="false"/>
          </w:tcPr>
          <w:p>
            <w:pPr>
              <w:pStyle w:val="1005"/>
              <w:ind w:left="57" w:right="57"/>
            </w:pPr>
            <w:r>
              <w:rPr>
                <w:lang w:val="en-US"/>
              </w:rPr>
              <w:t xml:space="preserve">Portable</w:t>
            </w:r>
            <w:r>
              <w:t xml:space="preserve"> Document Format – формат электронных документов, предназначенный для представления в электронном виде пол</w:t>
            </w:r>
            <w:r>
              <w:t xml:space="preserve">играфической продукции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SWIFT</w:t>
            </w:r>
            <w:r/>
          </w:p>
        </w:tc>
        <w:tc>
          <w:tcPr>
            <w:shd w:val="clear" w:fill="auto" w:color="auto"/>
            <w:tcW w:w="3734" w:type="pct"/>
            <w:textDirection w:val="lrTb"/>
            <w:noWrap w:val="false"/>
          </w:tcPr>
          <w:p>
            <w:pPr>
              <w:pStyle w:val="1005"/>
              <w:ind w:left="57" w:right="57"/>
            </w:pPr>
            <w:r>
              <w:t xml:space="preserve">Международная межбанковская система передачи информации и совершения платежей путем осуществления обмена электро</w:t>
            </w:r>
            <w:r>
              <w:t xml:space="preserve">нными сообщениями с использованием сети «Сообщества всемирных межбанковск</w:t>
            </w:r>
            <w:r>
              <w:t xml:space="preserve">их финансовых телекоммуникаций»</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XLS</w:t>
            </w:r>
            <w:r/>
          </w:p>
        </w:tc>
        <w:tc>
          <w:tcPr>
            <w:shd w:val="clear" w:fill="auto" w:color="auto"/>
            <w:tcW w:w="3734" w:type="pct"/>
            <w:textDirection w:val="lrTb"/>
            <w:noWrap w:val="false"/>
          </w:tcPr>
          <w:p>
            <w:pPr>
              <w:pStyle w:val="1005"/>
              <w:ind w:left="57" w:right="57"/>
            </w:pPr>
            <w:r>
              <w:t xml:space="preserve">Формат электронных документов Microsoft </w:t>
            </w:r>
            <w:r>
              <w:rPr>
                <w:lang w:val="en-US"/>
              </w:rPr>
              <w:t xml:space="preserve">Excel</w:t>
            </w:r>
            <w:r>
              <w:t xml:space="preserve">, предназн</w:t>
            </w:r>
            <w:r>
              <w:t xml:space="preserve">аченный для р</w:t>
            </w:r>
            <w:r>
              <w:t xml:space="preserve">аботы с электронными таблицами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XML</w:t>
            </w:r>
            <w:r/>
          </w:p>
        </w:tc>
        <w:tc>
          <w:tcPr>
            <w:shd w:val="clear" w:fill="auto" w:color="auto"/>
            <w:tcW w:w="3734" w:type="pct"/>
            <w:textDirection w:val="lrTb"/>
            <w:noWrap w:val="false"/>
          </w:tcPr>
          <w:p>
            <w:pPr>
              <w:pStyle w:val="1005"/>
              <w:ind w:left="57" w:right="57"/>
            </w:pPr>
            <w:r>
              <w:t xml:space="preserve">eXtensible </w:t>
            </w:r>
            <w:r>
              <w:rPr>
                <w:lang w:val="en-US"/>
              </w:rPr>
              <w:t xml:space="preserve">Markup</w:t>
            </w:r>
            <w:r>
              <w:t xml:space="preserve"> </w:t>
            </w:r>
            <w:r>
              <w:rPr>
                <w:lang w:val="en-US"/>
              </w:rPr>
              <w:t xml:space="preserve">Language</w:t>
            </w:r>
            <w:r>
              <w:t xml:space="preserve">. Расширяемый язык разметки – те</w:t>
            </w:r>
            <w:r>
              <w:t xml:space="preserve">кстовый формат, предназначенный для хранения структурированных данных и обмен</w:t>
            </w:r>
            <w:r>
              <w:t xml:space="preserve">а информацией между программами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АДБ</w:t>
            </w:r>
            <w:r/>
          </w:p>
        </w:tc>
        <w:tc>
          <w:tcPr>
            <w:shd w:val="clear" w:fill="auto" w:color="auto"/>
            <w:tcW w:w="3734" w:type="pct"/>
            <w:textDirection w:val="lrTb"/>
            <w:noWrap w:val="false"/>
          </w:tcPr>
          <w:p>
            <w:pPr>
              <w:pStyle w:val="1005"/>
              <w:ind w:left="57" w:right="57"/>
            </w:pPr>
            <w:r>
              <w:t xml:space="preserve">Администратор доходов бюджета – орган государственной вл</w:t>
            </w:r>
            <w:r>
              <w:t xml:space="preserve">асти (государственный орган), орган местного самоуправления, орган местн</w:t>
            </w:r>
            <w:r>
              <w:t xml:space="preserve">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w:t>
            </w:r>
            <w:r>
              <w:t xml:space="preserve">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w:t>
            </w:r>
            <w:r>
              <w:t xml:space="preserve">м кодексом Российской Федерации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АЗВ</w:t>
            </w:r>
            <w:r/>
          </w:p>
        </w:tc>
        <w:tc>
          <w:tcPr>
            <w:shd w:val="clear" w:fill="auto" w:color="auto"/>
            <w:tcW w:w="3734" w:type="pct"/>
            <w:textDirection w:val="lrTb"/>
            <w:noWrap w:val="false"/>
          </w:tcPr>
          <w:p>
            <w:pPr>
              <w:pStyle w:val="1005"/>
              <w:ind w:left="57" w:right="57"/>
            </w:pPr>
            <w:r>
              <w:t xml:space="preserve">Электронный документ «Заявление на выдачу Казначей</w:t>
            </w:r>
            <w:r>
              <w:t xml:space="preserve">ского обеспечения обязательств»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АЗИ</w:t>
            </w:r>
            <w:r/>
          </w:p>
        </w:tc>
        <w:tc>
          <w:tcPr>
            <w:shd w:val="clear" w:fill="auto" w:color="auto"/>
            <w:tcW w:w="3734" w:type="pct"/>
            <w:textDirection w:val="lrTb"/>
            <w:noWrap w:val="false"/>
          </w:tcPr>
          <w:p>
            <w:pPr>
              <w:pStyle w:val="1005"/>
              <w:ind w:left="57" w:right="57"/>
            </w:pPr>
            <w:r>
              <w:t xml:space="preserve">Электронный документ «Заявление на изменение Казначей</w:t>
            </w:r>
            <w:r>
              <w:t xml:space="preserve">ского обеспечения обязательств»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АЗО</w:t>
            </w:r>
            <w:r/>
          </w:p>
        </w:tc>
        <w:tc>
          <w:tcPr>
            <w:shd w:val="clear" w:fill="auto" w:color="auto"/>
            <w:tcW w:w="3734" w:type="pct"/>
            <w:textDirection w:val="lrTb"/>
            <w:noWrap w:val="false"/>
          </w:tcPr>
          <w:p>
            <w:pPr>
              <w:pStyle w:val="1005"/>
              <w:ind w:left="57" w:right="57"/>
            </w:pPr>
            <w:r>
              <w:t xml:space="preserve">Электронный документ «Заявление на отзыв Казначей</w:t>
            </w:r>
            <w:r>
              <w:t xml:space="preserve">ского обеспечения обязательств»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АЗП</w:t>
            </w:r>
            <w:r/>
          </w:p>
        </w:tc>
        <w:tc>
          <w:tcPr>
            <w:shd w:val="clear" w:fill="auto" w:color="auto"/>
            <w:tcW w:w="3734" w:type="pct"/>
            <w:textDirection w:val="lrTb"/>
            <w:noWrap w:val="false"/>
          </w:tcPr>
          <w:p>
            <w:pPr>
              <w:pStyle w:val="1005"/>
              <w:ind w:left="57" w:right="57"/>
            </w:pPr>
            <w:r>
              <w:t xml:space="preserve">Электронный документ «Заявление на перевод Казначей</w:t>
            </w:r>
            <w:r>
              <w:t xml:space="preserve">ского обеспечения обязательств»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АИФДБ</w:t>
            </w:r>
            <w:r/>
          </w:p>
        </w:tc>
        <w:tc>
          <w:tcPr>
            <w:shd w:val="clear" w:fill="auto" w:color="auto"/>
            <w:tcW w:w="3734" w:type="pct"/>
            <w:textDirection w:val="lrTb"/>
            <w:noWrap w:val="false"/>
          </w:tcPr>
          <w:p>
            <w:pPr>
              <w:pStyle w:val="1005"/>
              <w:ind w:left="57" w:right="57"/>
            </w:pPr>
            <w:r>
              <w:t xml:space="preserve">Администратор источников финансирования дефицита бюдж</w:t>
            </w:r>
            <w:r>
              <w:t xml:space="preserve">ета (администратор источников финансирования дефицита соответствующего бюджета) – орган государственной власти (государственный орган), орган местно</w:t>
            </w:r>
            <w:r>
              <w:t xml:space="preserve">го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w:t>
            </w:r>
            <w:r>
              <w:t xml:space="preserve">та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АКР</w:t>
            </w:r>
            <w:r/>
          </w:p>
        </w:tc>
        <w:tc>
          <w:tcPr>
            <w:shd w:val="clear" w:fill="auto" w:color="auto"/>
            <w:tcW w:w="3734" w:type="pct"/>
            <w:textDirection w:val="lrTb"/>
            <w:noWrap w:val="false"/>
          </w:tcPr>
          <w:p>
            <w:pPr>
              <w:pStyle w:val="1005"/>
              <w:ind w:left="57" w:right="57"/>
            </w:pPr>
            <w:r>
              <w:t xml:space="preserve">Электронный документ «Казначейское обеспечение обязательств», используемый при казначейском сопровожд</w:t>
            </w:r>
            <w:r>
              <w:t xml:space="preserve">ении государственных контрактов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АКС</w:t>
            </w:r>
            <w:r/>
          </w:p>
        </w:tc>
        <w:tc>
          <w:tcPr>
            <w:shd w:val="clear" w:fill="auto" w:color="auto"/>
            <w:tcW w:w="3734" w:type="pct"/>
            <w:textDirection w:val="lrTb"/>
            <w:noWrap w:val="false"/>
          </w:tcPr>
          <w:p>
            <w:pPr>
              <w:pStyle w:val="1005"/>
              <w:ind w:left="57" w:right="57"/>
            </w:pPr>
            <w:r>
              <w:t xml:space="preserve">Электронный документ «Казначейское обесп</w:t>
            </w:r>
            <w:r>
              <w:t xml:space="preserve">ечение обязательств» (закрытый)</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АП</w:t>
            </w:r>
            <w:r/>
          </w:p>
        </w:tc>
        <w:tc>
          <w:tcPr>
            <w:shd w:val="clear" w:fill="auto" w:color="auto"/>
            <w:tcW w:w="3734" w:type="pct"/>
            <w:textDirection w:val="lrTb"/>
            <w:noWrap w:val="false"/>
          </w:tcPr>
          <w:p>
            <w:pPr>
              <w:pStyle w:val="1005"/>
              <w:ind w:left="57" w:right="57"/>
            </w:pPr>
            <w:r>
              <w:t xml:space="preserve">Администратор поступлений в бюджет – администратор дох</w:t>
            </w:r>
            <w:r>
              <w:t xml:space="preserve">одов бюджетов, администратор источников финансирования дефицита бюджетов.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АРМ</w:t>
            </w:r>
            <w:r/>
          </w:p>
        </w:tc>
        <w:tc>
          <w:tcPr>
            <w:shd w:val="clear" w:fill="auto" w:color="auto"/>
            <w:tcW w:w="3734" w:type="pct"/>
            <w:textDirection w:val="lrTb"/>
            <w:noWrap w:val="false"/>
          </w:tcPr>
          <w:p>
            <w:pPr>
              <w:pStyle w:val="1005"/>
              <w:ind w:left="57" w:right="57"/>
            </w:pPr>
            <w:r>
              <w:t xml:space="preserve">А</w:t>
            </w:r>
            <w:r>
              <w:t xml:space="preserve">втоматизированное рабочее место</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АРМ ГРБС</w:t>
            </w:r>
            <w:r/>
          </w:p>
        </w:tc>
        <w:tc>
          <w:tcPr>
            <w:shd w:val="clear" w:fill="auto" w:color="auto"/>
            <w:tcW w:w="3734" w:type="pct"/>
            <w:textDirection w:val="lrTb"/>
            <w:noWrap w:val="false"/>
          </w:tcPr>
          <w:p>
            <w:pPr>
              <w:pStyle w:val="1005"/>
              <w:ind w:left="57" w:right="57"/>
            </w:pPr>
            <w:r>
              <w:t xml:space="preserve">Автоматизированное рабочее место пользователя – главного распорядителя средств, включенное в систему удаленного ф</w:t>
            </w:r>
            <w:r>
              <w:t xml:space="preserve">инансового документооб</w:t>
            </w:r>
            <w:r>
              <w:t xml:space="preserve">орота Федерального казначейства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АРМ ДУБП</w:t>
            </w:r>
            <w:r/>
          </w:p>
        </w:tc>
        <w:tc>
          <w:tcPr>
            <w:shd w:val="clear" w:fill="auto" w:color="auto"/>
            <w:tcW w:w="3734" w:type="pct"/>
            <w:textDirection w:val="lrTb"/>
            <w:noWrap w:val="false"/>
          </w:tcPr>
          <w:p>
            <w:pPr>
              <w:pStyle w:val="1005"/>
              <w:ind w:left="57" w:right="57"/>
            </w:pPr>
            <w:r>
              <w:t xml:space="preserve">Автоматизированное рабочее место пользователя – клиента Ф</w:t>
            </w:r>
            <w:r>
              <w:t xml:space="preserve">едерального казначейства, включенное в систему удаленного финансового документооб</w:t>
            </w:r>
            <w:r>
              <w:t xml:space="preserve">орота Федерального казначейства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АРМ НУБП</w:t>
            </w:r>
            <w:r/>
          </w:p>
        </w:tc>
        <w:tc>
          <w:tcPr>
            <w:shd w:val="clear" w:fill="auto" w:color="auto"/>
            <w:tcW w:w="3734" w:type="pct"/>
            <w:textDirection w:val="lrTb"/>
            <w:noWrap w:val="false"/>
          </w:tcPr>
          <w:p>
            <w:pPr>
              <w:pStyle w:val="1005"/>
              <w:ind w:left="57" w:right="57"/>
            </w:pPr>
            <w:r>
              <w:t xml:space="preserve">Автоматизированное рабочее место пользователя – юридическ</w:t>
            </w:r>
            <w:r>
              <w:t xml:space="preserve">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w:t>
            </w:r>
            <w:r>
              <w:t xml:space="preserve">орота Федерального казначейства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АРМ ОФК Off-line</w:t>
            </w:r>
            <w:r/>
          </w:p>
        </w:tc>
        <w:tc>
          <w:tcPr>
            <w:shd w:val="clear" w:fill="auto" w:color="auto"/>
            <w:tcW w:w="3734" w:type="pct"/>
            <w:textDirection w:val="lrTb"/>
            <w:noWrap w:val="false"/>
          </w:tcPr>
          <w:p>
            <w:pPr>
              <w:pStyle w:val="1005"/>
              <w:ind w:left="57" w:right="57"/>
            </w:pPr>
            <w:r>
              <w:t xml:space="preserve">Функциональный модуль системы удаленного финансового д</w:t>
            </w:r>
            <w:r>
              <w:t xml:space="preserve">окументооборота, установленный в отделе Управления Федерального казначейства по субъекту Российской Федерации, не имеющем постоянного канала сетевого взаимодействия с Управлением Федерального казначейства по субъекту</w:t>
            </w:r>
            <w:r>
              <w:t xml:space="preserve"> Российской Федерации, обеспечивающий реализацию юридически значимого информационного обмена между подсистемами автоматизированной системы Федерального казначейства и хранение документов в базе данных на уровне отдела управления Федерального казначейства п</w:t>
            </w:r>
            <w:r>
              <w:t xml:space="preserve">о субъекту Российской Федерации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АРМ ПБС</w:t>
            </w:r>
            <w:r/>
          </w:p>
        </w:tc>
        <w:tc>
          <w:tcPr>
            <w:shd w:val="clear" w:fill="auto" w:color="auto"/>
            <w:tcW w:w="3734" w:type="pct"/>
            <w:textDirection w:val="lrTb"/>
            <w:noWrap w:val="false"/>
          </w:tcPr>
          <w:p>
            <w:pPr>
              <w:pStyle w:val="1005"/>
              <w:ind w:left="57" w:right="57"/>
            </w:pPr>
            <w:r>
              <w:t xml:space="preserve">Автоматизированное рабочее место пользователя – получателя бюджетных средств, включенное в систему удаленного фина</w:t>
            </w:r>
            <w:r>
              <w:t xml:space="preserve">нсового документооб</w:t>
            </w:r>
            <w:r>
              <w:t xml:space="preserve">орота Федерального казначейства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АРМ УП</w:t>
            </w:r>
            <w:r/>
          </w:p>
        </w:tc>
        <w:tc>
          <w:tcPr>
            <w:shd w:val="clear" w:fill="auto" w:color="auto"/>
            <w:tcW w:w="3734" w:type="pct"/>
            <w:textDirection w:val="lrTb"/>
            <w:noWrap w:val="false"/>
          </w:tcPr>
          <w:p>
            <w:pPr>
              <w:pStyle w:val="1005"/>
              <w:ind w:left="57" w:right="57"/>
            </w:pPr>
            <w:r>
              <w:t xml:space="preserve">Автоматизированное рабочее место пользователя – уполном</w:t>
            </w:r>
            <w:r>
              <w:t xml:space="preserve">оченного подразделения, включенное в систему удаленного финансового документооб</w:t>
            </w:r>
            <w:r>
              <w:t xml:space="preserve">орота Федерального казначейства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АРМ ФО</w:t>
            </w:r>
            <w:r/>
          </w:p>
        </w:tc>
        <w:tc>
          <w:tcPr>
            <w:shd w:val="clear" w:fill="auto" w:color="auto"/>
            <w:tcW w:w="3734" w:type="pct"/>
            <w:textDirection w:val="lrTb"/>
            <w:noWrap w:val="false"/>
          </w:tcPr>
          <w:p>
            <w:pPr>
              <w:pStyle w:val="1005"/>
              <w:ind w:left="57" w:right="57"/>
            </w:pPr>
            <w:r>
              <w:t xml:space="preserve">Автоматизированное рабочее место пользователя – финансов</w:t>
            </w:r>
            <w:r>
              <w:t xml:space="preserve">ого органа, включенное в систему удаленного финансового документооб</w:t>
            </w:r>
            <w:r>
              <w:t xml:space="preserve">орота Федерального казначейства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АСФК</w:t>
            </w:r>
            <w:r/>
          </w:p>
        </w:tc>
        <w:tc>
          <w:tcPr>
            <w:shd w:val="clear" w:fill="auto" w:color="auto"/>
            <w:tcW w:w="3734" w:type="pct"/>
            <w:textDirection w:val="lrTb"/>
            <w:noWrap w:val="false"/>
          </w:tcPr>
          <w:p>
            <w:pPr>
              <w:pStyle w:val="1005"/>
              <w:ind w:left="57" w:right="57"/>
            </w:pPr>
            <w:r>
              <w:t xml:space="preserve">Автоматизированная си</w:t>
            </w:r>
            <w:r>
              <w:t xml:space="preserve">стема Федерального казначейства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АУ</w:t>
            </w:r>
            <w:r/>
          </w:p>
        </w:tc>
        <w:tc>
          <w:tcPr>
            <w:shd w:val="clear" w:fill="auto" w:color="auto"/>
            <w:tcW w:w="3734" w:type="pct"/>
            <w:textDirection w:val="lrTb"/>
            <w:noWrap w:val="false"/>
          </w:tcPr>
          <w:p>
            <w:pPr>
              <w:pStyle w:val="1005"/>
              <w:ind w:left="57" w:right="57"/>
            </w:pPr>
            <w:r>
              <w:t xml:space="preserve">Автономное учреждение – некоммерческая организация, со</w:t>
            </w:r>
            <w:r>
              <w:t xml:space="preserve">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w:t>
            </w:r>
            <w:r>
              <w:t xml:space="preserve">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w:t>
            </w:r>
            <w:r>
              <w:t xml:space="preserve">ях, уста</w:t>
            </w:r>
            <w:r>
              <w:t xml:space="preserve">новленных федеральными законами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БА</w:t>
            </w:r>
            <w:r/>
          </w:p>
        </w:tc>
        <w:tc>
          <w:tcPr>
            <w:shd w:val="clear" w:fill="auto" w:color="auto"/>
            <w:tcW w:w="3734" w:type="pct"/>
            <w:textDirection w:val="lrTb"/>
            <w:noWrap w:val="false"/>
          </w:tcPr>
          <w:p>
            <w:pPr>
              <w:pStyle w:val="1005"/>
              <w:ind w:left="57" w:right="57"/>
            </w:pPr>
            <w:r>
              <w:t xml:space="preserve">Бюджетные ассигнования – предельные объемы денежных средств, предусмотренных в соответствующем финансовом г</w:t>
            </w:r>
            <w:r>
              <w:t xml:space="preserve">оду для ис</w:t>
            </w:r>
            <w:r>
              <w:t xml:space="preserve">полнения бюджетных обязательств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Банк</w:t>
            </w:r>
            <w:r/>
          </w:p>
        </w:tc>
        <w:tc>
          <w:tcPr>
            <w:shd w:val="clear" w:fill="auto" w:color="auto"/>
            <w:tcW w:w="3734" w:type="pct"/>
            <w:textDirection w:val="lrTb"/>
            <w:noWrap w:val="false"/>
          </w:tcPr>
          <w:p>
            <w:pPr>
              <w:pStyle w:val="1005"/>
              <w:ind w:left="57" w:right="57"/>
            </w:pPr>
            <w:r>
              <w:t xml:space="preserve">Учреждение Центрального банка Российской Феде</w:t>
            </w:r>
            <w:r>
              <w:t xml:space="preserve">рации или кредитная организация</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БВС</w:t>
            </w:r>
            <w:r/>
          </w:p>
        </w:tc>
        <w:tc>
          <w:tcPr>
            <w:shd w:val="clear" w:fill="auto" w:color="auto"/>
            <w:tcW w:w="3734" w:type="pct"/>
            <w:textDirection w:val="lrTb"/>
            <w:noWrap w:val="false"/>
          </w:tcPr>
          <w:p>
            <w:pPr>
              <w:pStyle w:val="1005"/>
              <w:ind w:left="57" w:right="57"/>
            </w:pPr>
            <w:r>
              <w:t xml:space="preserve">Электронный документ «Сведения об операциях с целевыми субсидиями, предоставленными государственному (муниц</w:t>
            </w:r>
            <w:r>
              <w:t xml:space="preserve">ипальному) учреждению на 20__ </w:t>
            </w:r>
            <w:r>
              <w:t xml:space="preserve">г.» (код формы по ОКУД 0501016)</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БВУ</w:t>
            </w:r>
            <w:r/>
          </w:p>
        </w:tc>
        <w:tc>
          <w:tcPr>
            <w:shd w:val="clear" w:fill="auto" w:color="auto"/>
            <w:tcW w:w="3734" w:type="pct"/>
            <w:textDirection w:val="lrTb"/>
            <w:noWrap w:val="false"/>
          </w:tcPr>
          <w:p>
            <w:pPr>
              <w:pStyle w:val="1005"/>
              <w:ind w:left="57" w:right="57"/>
            </w:pPr>
            <w:r>
              <w:t xml:space="preserve">Электронный документ «Сведения об операциях с субсидиями на капитальные вложения, предоставленными федеральному г</w:t>
            </w:r>
            <w:r>
              <w:t xml:space="preserve">осударственному унитарному предприятию на 20__ г.» (код формы по общероссийскому классификатору управ</w:t>
            </w:r>
            <w:r>
              <w:t xml:space="preserve">ленческой документации 0501017)</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БВЮ</w:t>
            </w:r>
            <w:r/>
          </w:p>
        </w:tc>
        <w:tc>
          <w:tcPr>
            <w:shd w:val="clear" w:fill="auto" w:color="auto"/>
            <w:tcW w:w="3734" w:type="pct"/>
            <w:textDirection w:val="lrTb"/>
            <w:noWrap w:val="false"/>
          </w:tcPr>
          <w:p>
            <w:pPr>
              <w:pStyle w:val="1005"/>
              <w:ind w:left="57" w:right="57"/>
            </w:pPr>
            <w:r>
              <w:t xml:space="preserve">Электронный документ «Сведения о направлениях расходов</w:t>
            </w:r>
            <w:r>
              <w:t xml:space="preserve">ания целевых средств на ____ год (код формы по общероссийскому классификатору управл</w:t>
            </w:r>
            <w:r>
              <w:t xml:space="preserve">енческой документации 0501129)»</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БД</w:t>
            </w:r>
            <w:r/>
          </w:p>
        </w:tc>
        <w:tc>
          <w:tcPr>
            <w:shd w:val="clear" w:fill="auto" w:color="auto"/>
            <w:tcW w:w="3734" w:type="pct"/>
            <w:textDirection w:val="lrTb"/>
            <w:noWrap w:val="false"/>
          </w:tcPr>
          <w:p>
            <w:pPr>
              <w:pStyle w:val="1005"/>
              <w:ind w:left="57" w:right="57"/>
            </w:pPr>
            <w:r>
              <w:t xml:space="preserve">База </w:t>
            </w:r>
            <w:r>
              <w:t xml:space="preserve">данных</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БИК</w:t>
            </w:r>
            <w:r/>
          </w:p>
        </w:tc>
        <w:tc>
          <w:tcPr>
            <w:shd w:val="clear" w:fill="auto" w:color="auto"/>
            <w:tcW w:w="3734" w:type="pct"/>
            <w:textDirection w:val="lrTb"/>
            <w:noWrap w:val="false"/>
          </w:tcPr>
          <w:p>
            <w:pPr>
              <w:pStyle w:val="1005"/>
              <w:ind w:left="57" w:right="57"/>
            </w:pPr>
            <w:r>
              <w:t xml:space="preserve">Б</w:t>
            </w:r>
            <w:r>
              <w:t xml:space="preserve">анковский идентификационный код</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БО</w:t>
            </w:r>
            <w:r/>
          </w:p>
        </w:tc>
        <w:tc>
          <w:tcPr>
            <w:shd w:val="clear" w:fill="auto" w:color="auto"/>
            <w:tcW w:w="3734" w:type="pct"/>
            <w:textDirection w:val="lrTb"/>
            <w:noWrap w:val="false"/>
          </w:tcPr>
          <w:p>
            <w:pPr>
              <w:pStyle w:val="1005"/>
              <w:ind w:left="57" w:right="57"/>
            </w:pPr>
            <w:r>
              <w:t xml:space="preserve">Бюджетные обязательства – расходные обязательства, подлеж</w:t>
            </w:r>
            <w:r>
              <w:t xml:space="preserve">ащие исполнению в </w:t>
            </w:r>
            <w:r>
              <w:t xml:space="preserve">соответствующем финансовом году</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БС</w:t>
            </w:r>
            <w:r/>
          </w:p>
        </w:tc>
        <w:tc>
          <w:tcPr>
            <w:shd w:val="clear" w:fill="auto" w:color="auto"/>
            <w:tcW w:w="3734" w:type="pct"/>
            <w:textDirection w:val="lrTb"/>
            <w:noWrap w:val="false"/>
          </w:tcPr>
          <w:p>
            <w:pPr>
              <w:pStyle w:val="1005"/>
              <w:ind w:left="57" w:right="57"/>
            </w:pPr>
            <w:r>
              <w:t xml:space="preserve">Бюдже</w:t>
            </w:r>
            <w:r>
              <w:t xml:space="preserve">т субъекта Российской Федерации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БУ</w:t>
            </w:r>
            <w:r/>
          </w:p>
        </w:tc>
        <w:tc>
          <w:tcPr>
            <w:shd w:val="clear" w:fill="auto" w:color="auto"/>
            <w:tcW w:w="3734" w:type="pct"/>
            <w:textDirection w:val="lrTb"/>
            <w:noWrap w:val="false"/>
          </w:tcPr>
          <w:p>
            <w:pPr>
              <w:pStyle w:val="1005"/>
              <w:ind w:left="57" w:right="57"/>
            </w:pPr>
            <w:r>
              <w:t xml:space="preserve">Бюджетное учреждение – некоммерческая организация, созда</w:t>
            </w:r>
            <w:r>
              <w:t xml:space="preserve">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w:t>
            </w:r>
            <w:r>
              <w:t xml:space="preserve">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w:t>
            </w:r>
            <w:r>
              <w:t xml:space="preserve">и спорта, а также в иных сферах</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Бухгалтерская справка ф. 0504833</w:t>
            </w:r>
            <w:r/>
          </w:p>
        </w:tc>
        <w:tc>
          <w:tcPr>
            <w:shd w:val="clear" w:fill="auto" w:color="auto"/>
            <w:tcW w:w="3734" w:type="pct"/>
            <w:textDirection w:val="lrTb"/>
            <w:noWrap w:val="false"/>
          </w:tcPr>
          <w:p>
            <w:pPr>
              <w:pStyle w:val="1005"/>
              <w:ind w:left="57" w:right="57"/>
            </w:pPr>
            <w:r>
              <w:t xml:space="preserve">Бухгалтерская справка, формируемая органом Федерального к</w:t>
            </w:r>
            <w:r>
              <w:t xml:space="preserve">азначейства (код формы по общероссийскому классификатору управ</w:t>
            </w:r>
            <w:r>
              <w:t xml:space="preserve">ленческой документации 0504833)</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ВДК</w:t>
            </w:r>
            <w:r/>
          </w:p>
        </w:tc>
        <w:tc>
          <w:tcPr>
            <w:shd w:val="clear" w:fill="auto" w:color="auto"/>
            <w:tcW w:w="3734" w:type="pct"/>
            <w:textDirection w:val="lrTb"/>
            <w:noWrap w:val="false"/>
          </w:tcPr>
          <w:p>
            <w:pPr>
              <w:pStyle w:val="1005"/>
              <w:ind w:left="57" w:right="57"/>
            </w:pPr>
            <w:r>
              <w:t xml:space="preserve">Внутридокументный контроль – проверка контрольных соо</w:t>
            </w:r>
            <w:r>
              <w:t xml:space="preserve">тношений внутри одного отчета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ВС</w:t>
            </w:r>
            <w:r/>
          </w:p>
        </w:tc>
        <w:tc>
          <w:tcPr>
            <w:shd w:val="clear" w:fill="auto" w:color="auto"/>
            <w:tcW w:w="3734" w:type="pct"/>
            <w:textDirection w:val="lrTb"/>
            <w:noWrap w:val="false"/>
          </w:tcPr>
          <w:p>
            <w:pPr>
              <w:pStyle w:val="1005"/>
              <w:ind w:left="57" w:right="57"/>
            </w:pPr>
            <w:r>
              <w:t xml:space="preserve">Внешняя система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ГАДБ</w:t>
            </w:r>
            <w:r/>
          </w:p>
        </w:tc>
        <w:tc>
          <w:tcPr>
            <w:shd w:val="clear" w:fill="auto" w:color="auto"/>
            <w:tcW w:w="3734" w:type="pct"/>
            <w:textDirection w:val="lrTb"/>
            <w:noWrap w:val="false"/>
          </w:tcPr>
          <w:p>
            <w:pPr>
              <w:pStyle w:val="1005"/>
              <w:ind w:left="57" w:right="57"/>
            </w:pPr>
            <w:r>
              <w:t xml:space="preserve">Главный администратор доходов бюджета – определенный з</w:t>
            </w:r>
            <w:r>
              <w:t xml:space="preserve">аконом (решением) о бюджете орган государственной власти (государственный орган), орган местного самоуправления, орган местной администраци</w:t>
            </w:r>
            <w:r>
              <w:t xml:space="preserve">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w:t>
            </w:r>
            <w:r>
              <w:t xml:space="preserve">м Кодексом Российской Федерации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ГАИФ</w:t>
            </w:r>
            <w:r/>
          </w:p>
        </w:tc>
        <w:tc>
          <w:tcPr>
            <w:shd w:val="clear" w:fill="auto" w:color="auto"/>
            <w:tcW w:w="3734" w:type="pct"/>
            <w:textDirection w:val="lrTb"/>
            <w:noWrap w:val="false"/>
          </w:tcPr>
          <w:p>
            <w:pPr>
              <w:pStyle w:val="1005"/>
              <w:ind w:left="57" w:right="57"/>
            </w:pPr>
            <w:r>
              <w:t xml:space="preserve">Главный администратор источников финансирования дефицита соответствующего бюджета – определенный законом (решен</w:t>
            </w:r>
            <w:r>
              <w:t xml:space="preserve">ием) о бюджете ор</w:t>
            </w:r>
            <w:r>
              <w:t xml:space="preserve">ган государственной власти (государственный орган), орган </w:t>
            </w:r>
            <w:r>
              <w:t xml:space="preserve">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w:t>
            </w:r>
            <w:r>
              <w:t xml:space="preserve">финансирования дефицита бюджета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ГВФ РФ</w:t>
            </w:r>
            <w:r/>
          </w:p>
        </w:tc>
        <w:tc>
          <w:tcPr>
            <w:shd w:val="clear" w:fill="auto" w:color="auto"/>
            <w:tcW w:w="3734" w:type="pct"/>
            <w:textDirection w:val="lrTb"/>
            <w:noWrap w:val="false"/>
          </w:tcPr>
          <w:p>
            <w:pPr>
              <w:pStyle w:val="1005"/>
              <w:ind w:left="57" w:right="57"/>
            </w:pPr>
            <w:r>
              <w:t xml:space="preserve">Государственные внебюджетные фонды Российской Федерации (Пенсионный фонд Российской Федерации, Фонд социального страхования Российской Федерации и Федеральный фонд обяз</w:t>
            </w:r>
            <w:r>
              <w:t xml:space="preserve">ател</w:t>
            </w:r>
            <w:r>
              <w:t xml:space="preserve">ьного медицинского страхования)</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ГК</w:t>
            </w:r>
            <w:r/>
          </w:p>
        </w:tc>
        <w:tc>
          <w:tcPr>
            <w:shd w:val="clear" w:fill="auto" w:color="auto"/>
            <w:tcW w:w="3734" w:type="pct"/>
            <w:textDirection w:val="lrTb"/>
            <w:noWrap w:val="false"/>
          </w:tcPr>
          <w:p>
            <w:pPr>
              <w:pStyle w:val="1005"/>
              <w:ind w:left="57" w:right="57"/>
            </w:pPr>
            <w:r>
              <w:t xml:space="preserve">Государственный контракт, муниципальный контракт – дог</w:t>
            </w:r>
            <w:r>
              <w:t xml:space="preserve">овор, заключен</w:t>
            </w:r>
            <w:r>
              <w:t xml:space="preserve">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w:t>
            </w:r>
            <w:r>
              <w:t xml:space="preserve"> нужд</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ГМУ</w:t>
            </w:r>
            <w:r/>
          </w:p>
        </w:tc>
        <w:tc>
          <w:tcPr>
            <w:shd w:val="clear" w:fill="auto" w:color="auto"/>
            <w:tcW w:w="3734" w:type="pct"/>
            <w:textDirection w:val="lrTb"/>
            <w:noWrap w:val="false"/>
          </w:tcPr>
          <w:p>
            <w:pPr>
              <w:pStyle w:val="1005"/>
              <w:ind w:left="57" w:right="57"/>
            </w:pPr>
            <w:r>
              <w:t xml:space="preserve">Государстве</w:t>
            </w:r>
            <w:r>
              <w:t xml:space="preserve">нные и муниципальные учреждения</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ГРБС</w:t>
            </w:r>
            <w:r/>
          </w:p>
        </w:tc>
        <w:tc>
          <w:tcPr>
            <w:shd w:val="clear" w:fill="auto" w:color="auto"/>
            <w:tcW w:w="3734" w:type="pct"/>
            <w:textDirection w:val="lrTb"/>
            <w:noWrap w:val="false"/>
          </w:tcPr>
          <w:p>
            <w:pPr>
              <w:pStyle w:val="1005"/>
              <w:ind w:left="57" w:right="57"/>
            </w:pPr>
            <w:r>
              <w:t xml:space="preserve">Главный распорядитель бюджетных средств (главный распор</w:t>
            </w:r>
            <w:r>
              <w:t xml:space="preserve">ядитель средств соответствующего б</w:t>
            </w:r>
            <w:r>
              <w:t xml:space="preserve">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w:t>
            </w:r>
            <w:r>
              <w:t xml:space="preserve">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w:t>
            </w:r>
            <w:r>
              <w:t xml:space="preserve">м кодексом Российской Федерации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ГУП</w:t>
            </w:r>
            <w:r/>
          </w:p>
        </w:tc>
        <w:tc>
          <w:tcPr>
            <w:shd w:val="clear" w:fill="auto" w:color="auto"/>
            <w:tcW w:w="3734" w:type="pct"/>
            <w:textDirection w:val="lrTb"/>
            <w:noWrap w:val="false"/>
          </w:tcPr>
          <w:p>
            <w:pPr>
              <w:pStyle w:val="1005"/>
              <w:ind w:left="57" w:right="57"/>
            </w:pPr>
            <w:r>
              <w:t xml:space="preserve">Государственное унитарное предприятие субъекта Российской Федера</w:t>
            </w:r>
            <w:r>
              <w:t xml:space="preserve">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Денежное обяз</w:t>
            </w:r>
            <w:r>
              <w:t xml:space="preserve">ательство</w:t>
            </w:r>
            <w:r/>
          </w:p>
        </w:tc>
        <w:tc>
          <w:tcPr>
            <w:shd w:val="clear" w:fill="auto" w:color="auto"/>
            <w:tcW w:w="3734" w:type="pct"/>
            <w:textDirection w:val="lrTb"/>
            <w:noWrap w:val="false"/>
          </w:tcPr>
          <w:p>
            <w:pPr>
              <w:pStyle w:val="1005"/>
              <w:ind w:left="57" w:right="57"/>
            </w:pPr>
            <w:r>
              <w:t xml:space="preserve">Обязанность получателя бюджетных средств уплатить бюджету, физическому лицу и юридическому лицу за счет средств бюдж</w:t>
            </w:r>
            <w:r>
              <w:t xml:space="preserve">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w:t>
            </w:r>
            <w:r>
              <w:t xml:space="preserve">ловиями договора или соглашения</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Должник</w:t>
            </w:r>
            <w:r/>
          </w:p>
        </w:tc>
        <w:tc>
          <w:tcPr>
            <w:shd w:val="clear" w:fill="auto" w:color="auto"/>
            <w:tcW w:w="3734" w:type="pct"/>
            <w:textDirection w:val="lrTb"/>
            <w:noWrap w:val="false"/>
          </w:tcPr>
          <w:p>
            <w:pPr>
              <w:pStyle w:val="1005"/>
              <w:ind w:left="57" w:right="57"/>
            </w:pPr>
            <w:r>
              <w:t xml:space="preserve">Федеральное бюджетное учреждение, в адрес которого поступ</w:t>
            </w:r>
            <w:r>
              <w:t xml:space="preserve">ило обращение взыскания на средства федерального бюд</w:t>
            </w:r>
            <w:r>
              <w:t xml:space="preserve">жета по денежным обязательствам</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ДСП</w:t>
            </w:r>
            <w:r/>
          </w:p>
        </w:tc>
        <w:tc>
          <w:tcPr>
            <w:shd w:val="clear" w:fill="auto" w:color="auto"/>
            <w:tcW w:w="3734" w:type="pct"/>
            <w:textDirection w:val="lrTb"/>
            <w:noWrap w:val="false"/>
          </w:tcPr>
          <w:p>
            <w:pPr>
              <w:pStyle w:val="1005"/>
              <w:ind w:left="57" w:right="57"/>
            </w:pPr>
            <w:r>
              <w:t xml:space="preserve">Уровень конфиденциальности «Для служебного пользования», присваиваемый документа</w:t>
            </w:r>
            <w:r>
              <w:t xml:space="preserve">м ограниченного распространения</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ДУБП</w:t>
            </w:r>
            <w:r/>
          </w:p>
        </w:tc>
        <w:tc>
          <w:tcPr>
            <w:shd w:val="clear" w:fill="auto" w:color="auto"/>
            <w:tcW w:w="3734" w:type="pct"/>
            <w:textDirection w:val="lrTb"/>
            <w:noWrap w:val="false"/>
          </w:tcPr>
          <w:p>
            <w:pPr>
              <w:pStyle w:val="1005"/>
              <w:ind w:left="57" w:right="57"/>
            </w:pPr>
            <w:r>
              <w:t xml:space="preserve">Друг</w:t>
            </w:r>
            <w:r>
              <w:t xml:space="preserve">ой участник бюджетного процесса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ЕИС</w:t>
            </w:r>
            <w:r/>
          </w:p>
        </w:tc>
        <w:tc>
          <w:tcPr>
            <w:shd w:val="clear" w:fill="auto" w:color="auto"/>
            <w:tcW w:w="3734" w:type="pct"/>
            <w:textDirection w:val="lrTb"/>
            <w:noWrap w:val="false"/>
          </w:tcPr>
          <w:p>
            <w:pPr>
              <w:pStyle w:val="1005"/>
              <w:ind w:left="57" w:right="57"/>
            </w:pPr>
            <w:r>
              <w:t xml:space="preserve">Единая информа</w:t>
            </w:r>
            <w:r>
              <w:t xml:space="preserve">ционная система в сфере закупок</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Запрос на аннул</w:t>
            </w:r>
            <w:r>
              <w:t xml:space="preserve">ирование</w:t>
            </w:r>
            <w:r/>
          </w:p>
        </w:tc>
        <w:tc>
          <w:tcPr>
            <w:shd w:val="clear" w:fill="auto" w:color="auto"/>
            <w:tcW w:w="3734" w:type="pct"/>
            <w:textDirection w:val="lrTb"/>
            <w:noWrap w:val="false"/>
          </w:tcPr>
          <w:p>
            <w:pPr>
              <w:pStyle w:val="1005"/>
              <w:ind w:left="57" w:right="57"/>
            </w:pPr>
            <w:r>
              <w:t xml:space="preserve">Запрос на аннулирование за</w:t>
            </w:r>
            <w:r>
              <w:t xml:space="preserve">явки (консолидированной заявки)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Заявление</w:t>
            </w:r>
            <w:r/>
          </w:p>
        </w:tc>
        <w:tc>
          <w:tcPr>
            <w:shd w:val="clear" w:fill="auto" w:color="auto"/>
            <w:tcW w:w="3734" w:type="pct"/>
            <w:textDirection w:val="lrTb"/>
            <w:noWrap w:val="false"/>
          </w:tcPr>
          <w:p>
            <w:pPr>
              <w:pStyle w:val="1005"/>
              <w:ind w:left="57" w:right="57"/>
            </w:pPr>
            <w:r>
              <w:t xml:space="preserve">Заявление на проведение</w:t>
            </w:r>
            <w:r>
              <w:t xml:space="preserve"> операций с иностранной валютой</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ЗКР</w:t>
            </w:r>
            <w:r/>
          </w:p>
        </w:tc>
        <w:tc>
          <w:tcPr>
            <w:shd w:val="clear" w:fill="auto" w:color="auto"/>
            <w:tcW w:w="3734" w:type="pct"/>
            <w:textDirection w:val="lrTb"/>
            <w:noWrap w:val="false"/>
          </w:tcPr>
          <w:p>
            <w:pPr>
              <w:pStyle w:val="1005"/>
              <w:ind w:left="57" w:right="57"/>
            </w:pPr>
            <w:r>
              <w:t xml:space="preserve">Заявка на кассовый расход (код формы по классифи</w:t>
            </w:r>
            <w:r>
              <w:t xml:space="preserve">катору форм документов 0531801)</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ЗКС</w:t>
            </w:r>
            <w:r/>
          </w:p>
        </w:tc>
        <w:tc>
          <w:tcPr>
            <w:shd w:val="clear" w:fill="auto" w:color="auto"/>
            <w:tcW w:w="3734" w:type="pct"/>
            <w:textDirection w:val="lrTb"/>
            <w:noWrap w:val="false"/>
          </w:tcPr>
          <w:p>
            <w:pPr>
              <w:pStyle w:val="1005"/>
              <w:ind w:left="57" w:right="57"/>
            </w:pPr>
            <w:r>
              <w:t xml:space="preserve">Электронный документ «Заявка на кассовый расход (сокраще</w:t>
            </w:r>
            <w:r>
              <w:t xml:space="preserve">нная)»</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ЗНБ</w:t>
            </w:r>
            <w:r/>
          </w:p>
        </w:tc>
        <w:tc>
          <w:tcPr>
            <w:shd w:val="clear" w:fill="auto" w:color="auto"/>
            <w:tcW w:w="3734" w:type="pct"/>
            <w:textDirection w:val="lrTb"/>
            <w:noWrap w:val="false"/>
          </w:tcPr>
          <w:p>
            <w:pPr>
              <w:pStyle w:val="1005"/>
              <w:ind w:left="57" w:right="57"/>
            </w:pPr>
            <w:r>
              <w:t xml:space="preserve">Электронный документ «Заявка на получение денежных с</w:t>
            </w:r>
            <w:r>
              <w:t xml:space="preserve">редств, перечисляемых на карту»</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ЗНП</w:t>
            </w:r>
            <w:r/>
          </w:p>
        </w:tc>
        <w:tc>
          <w:tcPr>
            <w:shd w:val="clear" w:fill="auto" w:color="auto"/>
            <w:tcW w:w="3734" w:type="pct"/>
            <w:textDirection w:val="lrTb"/>
            <w:noWrap w:val="false"/>
          </w:tcPr>
          <w:p>
            <w:pPr>
              <w:pStyle w:val="1005"/>
              <w:ind w:left="57" w:right="57"/>
            </w:pPr>
            <w:r>
              <w:t xml:space="preserve">Электронный документ «Заяв</w:t>
            </w:r>
            <w:r>
              <w:t xml:space="preserve">ка на получение наличных денег»</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ЗОК</w:t>
            </w:r>
            <w:r/>
          </w:p>
        </w:tc>
        <w:tc>
          <w:tcPr>
            <w:shd w:val="clear" w:fill="auto" w:color="auto"/>
            <w:tcW w:w="3734" w:type="pct"/>
            <w:textDirection w:val="lrTb"/>
            <w:noWrap w:val="false"/>
          </w:tcPr>
          <w:p>
            <w:pPr>
              <w:pStyle w:val="1005"/>
              <w:ind w:left="57" w:right="57"/>
            </w:pPr>
            <w:r>
              <w:t xml:space="preserve">Электронный документ «Запрос на аннулирование заявки (ко</w:t>
            </w:r>
            <w:r>
              <w:t xml:space="preserve">нсолидированной заявки)», применяемый для аннулир</w:t>
            </w:r>
            <w:r>
              <w:t xml:space="preserve">ования консолидированной заявки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ЗПП</w:t>
            </w:r>
            <w:r/>
          </w:p>
        </w:tc>
        <w:tc>
          <w:tcPr>
            <w:shd w:val="clear" w:fill="auto" w:color="auto"/>
            <w:tcW w:w="3734" w:type="pct"/>
            <w:textDirection w:val="lrTb"/>
            <w:noWrap w:val="false"/>
          </w:tcPr>
          <w:p>
            <w:pPr>
              <w:pStyle w:val="1005"/>
              <w:ind w:left="57" w:right="57"/>
            </w:pPr>
            <w:r>
              <w:t xml:space="preserve">Электронный</w:t>
            </w:r>
            <w:r>
              <w:t xml:space="preserve"> документ «Платежное поручение»</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ИГК</w:t>
            </w:r>
            <w:r/>
          </w:p>
        </w:tc>
        <w:tc>
          <w:tcPr>
            <w:shd w:val="clear" w:fill="auto" w:color="auto"/>
            <w:tcW w:w="3734" w:type="pct"/>
            <w:textDirection w:val="lrTb"/>
            <w:noWrap w:val="false"/>
          </w:tcPr>
          <w:p>
            <w:pPr>
              <w:pStyle w:val="1005"/>
              <w:ind w:left="57" w:right="57"/>
            </w:pPr>
            <w:r>
              <w:t xml:space="preserve">Идентифик</w:t>
            </w:r>
            <w:r>
              <w:t xml:space="preserve">атор государственного контракта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ИД</w:t>
            </w:r>
            <w:r/>
          </w:p>
        </w:tc>
        <w:tc>
          <w:tcPr>
            <w:shd w:val="clear" w:fill="auto" w:color="auto"/>
            <w:tcW w:w="3734" w:type="pct"/>
            <w:textDirection w:val="lrTb"/>
            <w:noWrap w:val="false"/>
          </w:tcPr>
          <w:p>
            <w:pPr>
              <w:pStyle w:val="1005"/>
              <w:ind w:left="57" w:right="57"/>
            </w:pPr>
            <w:r>
              <w:t xml:space="preserve">Исполнительный документ (исполнительный лист, судебный приказ</w:t>
            </w:r>
            <w:r>
              <w:t xml:space="preserve">)</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ИНН</w:t>
            </w:r>
            <w:r/>
          </w:p>
        </w:tc>
        <w:tc>
          <w:tcPr>
            <w:shd w:val="clear" w:fill="auto" w:color="auto"/>
            <w:tcW w:w="3734" w:type="pct"/>
            <w:textDirection w:val="lrTb"/>
            <w:noWrap w:val="false"/>
          </w:tcPr>
          <w:p>
            <w:pPr>
              <w:pStyle w:val="1005"/>
              <w:ind w:left="57" w:right="57"/>
            </w:pPr>
            <w:r>
              <w:t xml:space="preserve">Идентифика</w:t>
            </w:r>
            <w:r>
              <w:t xml:space="preserve">ционный номер налогоплательщика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Информация из расчетных док</w:t>
            </w:r>
            <w:r>
              <w:t xml:space="preserve">ументов</w:t>
            </w:r>
            <w:r/>
          </w:p>
        </w:tc>
        <w:tc>
          <w:tcPr>
            <w:shd w:val="clear" w:fill="auto" w:color="auto"/>
            <w:tcW w:w="3734" w:type="pct"/>
            <w:textDirection w:val="lrTb"/>
            <w:noWrap w:val="false"/>
          </w:tcPr>
          <w:p>
            <w:pPr>
              <w:pStyle w:val="1005"/>
              <w:ind w:left="57" w:right="57"/>
            </w:pPr>
            <w:r>
              <w:t xml:space="preserve">Информация из расчетных документов, подтверждающих ба</w:t>
            </w:r>
            <w:r>
              <w:t xml:space="preserve">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w:t>
            </w:r>
            <w:r>
              <w:t xml:space="preserve">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w:t>
            </w:r>
            <w:r>
              <w:t xml:space="preserve">у реестру поступлений и выбытий</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ИП</w:t>
            </w:r>
            <w:r/>
          </w:p>
        </w:tc>
        <w:tc>
          <w:tcPr>
            <w:shd w:val="clear" w:fill="auto" w:color="auto"/>
            <w:tcW w:w="3734" w:type="pct"/>
            <w:textDirection w:val="lrTb"/>
            <w:noWrap w:val="false"/>
          </w:tcPr>
          <w:p>
            <w:pPr>
              <w:pStyle w:val="1005"/>
              <w:ind w:left="57" w:right="57"/>
            </w:pPr>
            <w:r>
              <w:t xml:space="preserve">Индивидуальный предприниматель</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ИПБС</w:t>
            </w:r>
            <w:r/>
          </w:p>
        </w:tc>
        <w:tc>
          <w:tcPr>
            <w:shd w:val="clear" w:fill="auto" w:color="auto"/>
            <w:tcW w:w="3734" w:type="pct"/>
            <w:textDirection w:val="lrTb"/>
            <w:noWrap w:val="false"/>
          </w:tcPr>
          <w:p>
            <w:pPr>
              <w:pStyle w:val="1005"/>
              <w:ind w:left="57" w:right="57"/>
            </w:pPr>
            <w:r>
              <w:t xml:space="preserve">Иной получатель бюджетных средств – получатель бюджетных средств, осуществляющий в соответствии с бюджетным закон</w:t>
            </w:r>
            <w:r>
              <w:t xml:space="preserve">одательством Российской Федерации операции с бюджетными средствами (в том числе в иностра</w:t>
            </w:r>
            <w:r>
              <w:t xml:space="preserve">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w:t>
            </w:r>
            <w:r>
              <w:t xml:space="preserve">ых средств в иностранной валюте</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ИС</w:t>
            </w:r>
            <w:r/>
          </w:p>
        </w:tc>
        <w:tc>
          <w:tcPr>
            <w:shd w:val="clear" w:fill="auto" w:color="auto"/>
            <w:tcW w:w="3734" w:type="pct"/>
            <w:textDirection w:val="lrTb"/>
            <w:noWrap w:val="false"/>
          </w:tcPr>
          <w:p>
            <w:pPr>
              <w:pStyle w:val="1005"/>
              <w:ind w:left="57" w:right="57"/>
            </w:pPr>
            <w:r>
              <w:t xml:space="preserve">Информационная система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ИФ</w:t>
            </w:r>
            <w:r/>
          </w:p>
        </w:tc>
        <w:tc>
          <w:tcPr>
            <w:shd w:val="clear" w:fill="auto" w:color="auto"/>
            <w:tcW w:w="3734" w:type="pct"/>
            <w:textDirection w:val="lrTb"/>
            <w:noWrap w:val="false"/>
          </w:tcPr>
          <w:p>
            <w:pPr>
              <w:pStyle w:val="1005"/>
              <w:ind w:left="57" w:right="57"/>
            </w:pPr>
            <w:r>
              <w:t xml:space="preserve">Источник финансирования</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КБК</w:t>
            </w:r>
            <w:r/>
          </w:p>
        </w:tc>
        <w:tc>
          <w:tcPr>
            <w:shd w:val="clear" w:fill="auto" w:color="auto"/>
            <w:tcW w:w="3734" w:type="pct"/>
            <w:textDirection w:val="lrTb"/>
            <w:noWrap w:val="false"/>
          </w:tcPr>
          <w:p>
            <w:pPr>
              <w:pStyle w:val="1005"/>
              <w:ind w:left="57" w:right="57"/>
            </w:pPr>
            <w:r>
              <w:t xml:space="preserve">Код бюджетной кла</w:t>
            </w:r>
            <w:r>
              <w:t xml:space="preserve">ссификации Российской Федерации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Квитанция</w:t>
            </w:r>
            <w:r/>
          </w:p>
        </w:tc>
        <w:tc>
          <w:tcPr>
            <w:shd w:val="clear" w:fill="auto" w:color="auto"/>
            <w:tcW w:w="3734" w:type="pct"/>
            <w:textDirection w:val="lrTb"/>
            <w:noWrap w:val="false"/>
          </w:tcPr>
          <w:p>
            <w:pPr>
              <w:pStyle w:val="1005"/>
              <w:ind w:left="57" w:right="57"/>
            </w:pPr>
            <w:r>
              <w:t xml:space="preserve">Квитанция о принятии к обработке файлов с расходными расп</w:t>
            </w:r>
            <w:r>
              <w:t xml:space="preserve">исаниями и/или извещениями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Квиток</w:t>
            </w:r>
            <w:r/>
          </w:p>
        </w:tc>
        <w:tc>
          <w:tcPr>
            <w:shd w:val="clear" w:fill="auto" w:color="auto"/>
            <w:tcW w:w="3734" w:type="pct"/>
            <w:textDirection w:val="lrTb"/>
            <w:noWrap w:val="false"/>
          </w:tcPr>
          <w:p>
            <w:pPr>
              <w:pStyle w:val="1005"/>
              <w:ind w:left="57" w:right="57"/>
            </w:pPr>
            <w:r>
              <w:t xml:space="preserve">Технический электронный документ, предназначенный для д</w:t>
            </w:r>
            <w:r>
              <w:t xml:space="preserve">оведения до внешней информационной системы информации о состоянии (с</w:t>
            </w:r>
            <w:r>
              <w:t xml:space="preserve">татусе) доставленного документа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КВР</w:t>
            </w:r>
            <w:r/>
          </w:p>
        </w:tc>
        <w:tc>
          <w:tcPr>
            <w:shd w:val="clear" w:fill="auto" w:color="auto"/>
            <w:tcW w:w="3734" w:type="pct"/>
            <w:textDirection w:val="lrTb"/>
            <w:noWrap w:val="false"/>
          </w:tcPr>
          <w:p>
            <w:pPr>
              <w:pStyle w:val="1005"/>
              <w:ind w:left="57" w:right="57"/>
            </w:pPr>
            <w:r>
              <w:t xml:space="preserve">Классификатор вида расходов функцион</w:t>
            </w:r>
            <w:r>
              <w:t xml:space="preserve">ального классификатора расходов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КЛАДР</w:t>
            </w:r>
            <w:r/>
          </w:p>
        </w:tc>
        <w:tc>
          <w:tcPr>
            <w:shd w:val="clear" w:fill="auto" w:color="auto"/>
            <w:tcW w:w="3734" w:type="pct"/>
            <w:textDirection w:val="lrTb"/>
            <w:noWrap w:val="false"/>
          </w:tcPr>
          <w:p>
            <w:pPr>
              <w:pStyle w:val="1005"/>
              <w:ind w:left="57" w:right="57"/>
            </w:pPr>
            <w:r>
              <w:t xml:space="preserve">Ведомственный классификатор адресов Российской Федерации. Ведется Федеральной налоговой службой Российской Федер</w:t>
            </w:r>
            <w:r>
              <w:t xml:space="preserve">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Клиент</w:t>
            </w:r>
            <w:r/>
          </w:p>
        </w:tc>
        <w:tc>
          <w:tcPr>
            <w:shd w:val="clear" w:fill="auto" w:color="auto"/>
            <w:tcW w:w="3734" w:type="pct"/>
            <w:textDirection w:val="lrTb"/>
            <w:noWrap w:val="false"/>
          </w:tcPr>
          <w:p>
            <w:pPr>
              <w:pStyle w:val="1005"/>
              <w:ind w:left="57" w:right="57"/>
            </w:pPr>
            <w:r>
              <w:t xml:space="preserve">Участник бюджетного процесса бюджетов бюджетной системы Российск</w:t>
            </w:r>
            <w:r>
              <w:t xml:space="preserve">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w:t>
            </w:r>
            <w:r>
              <w:t xml:space="preserve">производитель товаров, работ, услуг, которым в установленном порядке открываются лицевые счета в органе Федерального казначейства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Ключевание</w:t>
            </w:r>
            <w:r/>
          </w:p>
        </w:tc>
        <w:tc>
          <w:tcPr>
            <w:shd w:val="clear" w:fill="auto" w:color="auto"/>
            <w:tcW w:w="3734" w:type="pct"/>
            <w:textDirection w:val="lrTb"/>
            <w:noWrap w:val="false"/>
          </w:tcPr>
          <w:p>
            <w:pPr>
              <w:pStyle w:val="1005"/>
              <w:ind w:left="57" w:right="57"/>
            </w:pPr>
            <w:r>
              <w:t xml:space="preserve">Алгоритм проверки правильности указания банковского счета, основанн</w:t>
            </w:r>
            <w:r>
              <w:t xml:space="preserve">ый на расчете контрольной цифры</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Кнопка</w:t>
            </w:r>
            <w:r/>
          </w:p>
        </w:tc>
        <w:tc>
          <w:tcPr>
            <w:shd w:val="clear" w:fill="auto" w:color="auto"/>
            <w:tcW w:w="3734" w:type="pct"/>
            <w:textDirection w:val="lrTb"/>
            <w:noWrap w:val="false"/>
          </w:tcPr>
          <w:p>
            <w:pPr>
              <w:pStyle w:val="1005"/>
              <w:ind w:left="57" w:right="57"/>
            </w:pPr>
            <w:r>
              <w:t xml:space="preserve">Активизируемый щелчком левой кнопки мыши управляющий элемент пользовательского интерфейса, размещенный на пан</w:t>
            </w:r>
            <w:r>
              <w:t xml:space="preserve">ели инструментов и</w:t>
            </w:r>
            <w:r>
              <w:t xml:space="preserve">ли рабочей области окна системы</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Код дохода</w:t>
            </w:r>
            <w:r/>
          </w:p>
        </w:tc>
        <w:tc>
          <w:tcPr>
            <w:shd w:val="clear" w:fill="auto" w:color="auto"/>
            <w:tcW w:w="3734" w:type="pct"/>
            <w:textDirection w:val="lrTb"/>
            <w:noWrap w:val="false"/>
          </w:tcPr>
          <w:p>
            <w:pPr>
              <w:pStyle w:val="1005"/>
              <w:ind w:left="57" w:right="57"/>
            </w:pPr>
            <w:r>
              <w:t xml:space="preserve">Код классификации доходо</w:t>
            </w:r>
            <w:r>
              <w:t xml:space="preserve">в бюджетов Российской Федерации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Код источника</w:t>
            </w:r>
            <w:r/>
          </w:p>
        </w:tc>
        <w:tc>
          <w:tcPr>
            <w:shd w:val="clear" w:fill="auto" w:color="auto"/>
            <w:tcW w:w="3734" w:type="pct"/>
            <w:textDirection w:val="lrTb"/>
            <w:noWrap w:val="false"/>
          </w:tcPr>
          <w:p>
            <w:pPr>
              <w:pStyle w:val="1005"/>
              <w:ind w:left="57" w:right="57"/>
            </w:pPr>
            <w:r>
              <w:t xml:space="preserve">Код классификации источников внутреннего или внешнего ф</w:t>
            </w:r>
            <w:r>
              <w:t xml:space="preserve">инансирования дефицито</w:t>
            </w:r>
            <w:r>
              <w:t xml:space="preserve">в бюджетов Российской Федерации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Код ОрФК</w:t>
            </w:r>
            <w:r/>
          </w:p>
        </w:tc>
        <w:tc>
          <w:tcPr>
            <w:shd w:val="clear" w:fill="auto" w:color="auto"/>
            <w:tcW w:w="3734" w:type="pct"/>
            <w:textDirection w:val="lrTb"/>
            <w:noWrap w:val="false"/>
          </w:tcPr>
          <w:p>
            <w:pPr>
              <w:pStyle w:val="1005"/>
              <w:ind w:left="57" w:right="57"/>
            </w:pPr>
            <w:r>
              <w:t xml:space="preserve">Код органа Федерального казначейства по классификатору о</w:t>
            </w:r>
            <w:r>
              <w:t xml:space="preserve">р</w:t>
            </w:r>
            <w:r>
              <w:t xml:space="preserve">ганов Федерального казначейства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Код по БК</w:t>
            </w:r>
            <w:r/>
          </w:p>
        </w:tc>
        <w:tc>
          <w:tcPr>
            <w:shd w:val="clear" w:fill="auto" w:color="auto"/>
            <w:tcW w:w="3734" w:type="pct"/>
            <w:textDirection w:val="lrTb"/>
            <w:noWrap w:val="false"/>
          </w:tcPr>
          <w:p>
            <w:pPr>
              <w:pStyle w:val="1005"/>
              <w:ind w:left="57" w:right="57"/>
            </w:pPr>
            <w:r>
              <w:t xml:space="preserve">Код бюджетной кла</w:t>
            </w:r>
            <w:r>
              <w:t xml:space="preserve">ссификации Российской Федерации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Контекстное меню</w:t>
            </w:r>
            <w:r/>
          </w:p>
        </w:tc>
        <w:tc>
          <w:tcPr>
            <w:shd w:val="clear" w:fill="auto" w:color="auto"/>
            <w:tcW w:w="3734" w:type="pct"/>
            <w:textDirection w:val="lrTb"/>
            <w:noWrap w:val="false"/>
          </w:tcPr>
          <w:p>
            <w:pPr>
              <w:pStyle w:val="1005"/>
              <w:ind w:left="57" w:right="57"/>
            </w:pPr>
            <w:r>
              <w:t xml:space="preserve">Меню, активизируемое щелчком правой кнопки мыши на объе</w:t>
            </w:r>
            <w:r>
              <w:t xml:space="preserve">кте пользовательского интерфейса (команды контекстного меню частично дублируют одноименные команды главн</w:t>
            </w:r>
            <w:r>
              <w:t xml:space="preserve">ых меню и панелей инструментов)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КОО</w:t>
            </w:r>
            <w:r/>
          </w:p>
        </w:tc>
        <w:tc>
          <w:tcPr>
            <w:shd w:val="clear" w:fill="auto" w:color="auto"/>
            <w:tcW w:w="3734" w:type="pct"/>
            <w:textDirection w:val="lrTb"/>
            <w:noWrap w:val="false"/>
          </w:tcPr>
          <w:p>
            <w:pPr>
              <w:pStyle w:val="1005"/>
              <w:ind w:left="57" w:right="57"/>
            </w:pPr>
            <w:r>
              <w:t xml:space="preserve">Казнач</w:t>
            </w:r>
            <w:r>
              <w:t xml:space="preserve">ейское обеспечение обязательств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КОСГУ</w:t>
            </w:r>
            <w:r/>
          </w:p>
        </w:tc>
        <w:tc>
          <w:tcPr>
            <w:shd w:val="clear" w:fill="auto" w:color="auto"/>
            <w:tcW w:w="3734" w:type="pct"/>
            <w:textDirection w:val="lrTb"/>
            <w:noWrap w:val="false"/>
          </w:tcPr>
          <w:p>
            <w:pPr>
              <w:pStyle w:val="1005"/>
              <w:ind w:left="57" w:right="57"/>
            </w:pPr>
            <w:r>
              <w:t xml:space="preserve">Классификация операций сектора государственного управл</w:t>
            </w:r>
            <w:r>
              <w:t xml:space="preserve">ения</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КОФК</w:t>
            </w:r>
            <w:r/>
          </w:p>
        </w:tc>
        <w:tc>
          <w:tcPr>
            <w:shd w:val="clear" w:fill="auto" w:color="auto"/>
            <w:tcW w:w="3734" w:type="pct"/>
            <w:textDirection w:val="lrTb"/>
            <w:noWrap w:val="false"/>
          </w:tcPr>
          <w:p>
            <w:pPr>
              <w:pStyle w:val="1005"/>
              <w:ind w:left="57" w:right="57"/>
            </w:pPr>
            <w:r>
              <w:t xml:space="preserve">Классификатор ор</w:t>
            </w:r>
            <w:r>
              <w:t xml:space="preserve">ганов Федерального казначейства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КПП</w:t>
            </w:r>
            <w:r/>
          </w:p>
        </w:tc>
        <w:tc>
          <w:tcPr>
            <w:shd w:val="clear" w:fill="auto" w:color="auto"/>
            <w:tcW w:w="3734" w:type="pct"/>
            <w:textDirection w:val="lrTb"/>
            <w:noWrap w:val="false"/>
          </w:tcPr>
          <w:p>
            <w:pPr>
              <w:pStyle w:val="1005"/>
              <w:ind w:left="57" w:right="57"/>
            </w:pPr>
            <w:r>
              <w:t xml:space="preserve">Код причи</w:t>
            </w:r>
            <w:r>
              <w:t xml:space="preserve">ны постановки на налоговый учет</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КУ</w:t>
            </w:r>
            <w:r/>
          </w:p>
        </w:tc>
        <w:tc>
          <w:tcPr>
            <w:shd w:val="clear" w:fill="auto" w:color="auto"/>
            <w:tcW w:w="3734" w:type="pct"/>
            <w:textDirection w:val="lrTb"/>
            <w:noWrap w:val="false"/>
          </w:tcPr>
          <w:p>
            <w:pPr>
              <w:pStyle w:val="1005"/>
              <w:ind w:left="57" w:right="57"/>
            </w:pPr>
            <w:r>
              <w:t xml:space="preserve">Казенное учреждение – государственное (муниципальное) у</w:t>
            </w:r>
            <w:r>
              <w:t xml:space="preserve">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w:t>
            </w:r>
            <w:r>
              <w:t xml:space="preserve">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w:t>
            </w:r>
            <w:r>
              <w:t xml:space="preserve">та на основании бюджетной сметы</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КФД</w:t>
            </w:r>
            <w:r/>
          </w:p>
        </w:tc>
        <w:tc>
          <w:tcPr>
            <w:shd w:val="clear" w:fill="auto" w:color="auto"/>
            <w:tcW w:w="3734" w:type="pct"/>
            <w:textDirection w:val="lrTb"/>
            <w:noWrap w:val="false"/>
          </w:tcPr>
          <w:p>
            <w:pPr>
              <w:pStyle w:val="1005"/>
              <w:ind w:left="57" w:right="57"/>
            </w:pPr>
            <w:r>
              <w:t xml:space="preserve">Классификатор форм документов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КЦСР</w:t>
            </w:r>
            <w:r/>
          </w:p>
        </w:tc>
        <w:tc>
          <w:tcPr>
            <w:shd w:val="clear" w:fill="auto" w:color="auto"/>
            <w:tcW w:w="3734" w:type="pct"/>
            <w:textDirection w:val="lrTb"/>
            <w:noWrap w:val="false"/>
          </w:tcPr>
          <w:p>
            <w:pPr>
              <w:pStyle w:val="1005"/>
              <w:ind w:left="57" w:right="57"/>
            </w:pPr>
            <w:r>
              <w:t xml:space="preserve">Классификатор целевой статьи функционального классификат</w:t>
            </w:r>
            <w:r>
              <w:t xml:space="preserve">ора расходов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л/с</w:t>
            </w:r>
            <w:r/>
          </w:p>
        </w:tc>
        <w:tc>
          <w:tcPr>
            <w:shd w:val="clear" w:fill="auto" w:color="auto"/>
            <w:tcW w:w="3734" w:type="pct"/>
            <w:textDirection w:val="lrTb"/>
            <w:noWrap w:val="false"/>
          </w:tcPr>
          <w:p>
            <w:pPr>
              <w:pStyle w:val="1005"/>
              <w:ind w:left="57" w:right="57"/>
            </w:pPr>
            <w:r>
              <w:t xml:space="preserve">Лицевой счет, открытый территориальным органом Федерал</w:t>
            </w:r>
            <w:r>
              <w:t xml:space="preserve">ьного казначейства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л/с с кодом 02</w:t>
            </w:r>
            <w:r/>
          </w:p>
        </w:tc>
        <w:tc>
          <w:tcPr>
            <w:shd w:val="clear" w:fill="auto" w:color="auto"/>
            <w:tcW w:w="3734" w:type="pct"/>
            <w:textDirection w:val="lrTb"/>
            <w:noWrap w:val="false"/>
          </w:tcPr>
          <w:p>
            <w:pPr>
              <w:pStyle w:val="1005"/>
              <w:ind w:left="57" w:right="57"/>
            </w:pPr>
            <w:r>
              <w:t xml:space="preserve">Лицевой счет, открытый финансовому органу субъекта Росси</w:t>
            </w:r>
            <w:r>
              <w:t xml:space="preserve">йской Федерации (муниципального образования), органу управления Государственного внебюджетного фонда Российской Федерации в органе Федерального казначейства, предназначенный для учета операций по кассовым</w:t>
            </w:r>
            <w:r>
              <w:t xml:space="preserve"> поступлениям в бюджеты субъектов Российской Федерации (местные бюджеты, бюджеты Государственных внебюджетных фондов Российской Федерации) и кассовым выплатам из бюджетов субъектов Российской Федерации (местных бюджетов, бюджетов Государственных внебюджетн</w:t>
            </w:r>
            <w:r>
              <w:t xml:space="preserve">ых фондов Российской Федерации)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л/с с кодом 30</w:t>
            </w:r>
            <w:r/>
          </w:p>
        </w:tc>
        <w:tc>
          <w:tcPr>
            <w:shd w:val="clear" w:fill="auto" w:color="auto"/>
            <w:tcW w:w="3734" w:type="pct"/>
            <w:textDirection w:val="lrTb"/>
            <w:noWrap w:val="false"/>
          </w:tcPr>
          <w:p>
            <w:pPr>
              <w:pStyle w:val="1005"/>
              <w:ind w:left="57" w:right="57"/>
            </w:pPr>
            <w:r>
              <w:t xml:space="preserve">Лицевой счет, открытый территориальным органом Федерал</w:t>
            </w:r>
            <w:r>
              <w:t xml:space="preserve">ьного казначейства для учета операций со средствами автономных учреждений (за исключением субсидий на иные цели, а также бюджетных инвестиций, </w:t>
            </w:r>
            <w:r>
              <w:t xml:space="preserve">предоставленных автономным учреждениям из соответствующих бюджетов бюджетно</w:t>
            </w:r>
            <w:r>
              <w:t xml:space="preserve">й системы Российской Федерации)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л/с с кодом 41</w:t>
            </w:r>
            <w:r/>
          </w:p>
        </w:tc>
        <w:tc>
          <w:tcPr>
            <w:shd w:val="clear" w:fill="auto" w:color="auto"/>
            <w:tcW w:w="3734" w:type="pct"/>
            <w:textDirection w:val="lrTb"/>
            <w:noWrap w:val="false"/>
          </w:tcPr>
          <w:p>
            <w:pPr>
              <w:pStyle w:val="1005"/>
              <w:ind w:left="57" w:right="57"/>
            </w:pPr>
            <w:r>
              <w:t xml:space="preserve">Лицевой счет, открытый территориальным органом Федерал</w:t>
            </w:r>
            <w:r>
              <w:t xml:space="preserve">ьного казначейства для учета операций со средствами, предоставленными неучастникам бюджетного процесса из соответствующих бюджетов бюджетн</w:t>
            </w:r>
            <w:r>
              <w:t xml:space="preserve">ой системы Российской Федерации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ЛБО</w:t>
            </w:r>
            <w:r/>
          </w:p>
        </w:tc>
        <w:tc>
          <w:tcPr>
            <w:shd w:val="clear" w:fill="auto" w:color="auto"/>
            <w:tcW w:w="3734" w:type="pct"/>
            <w:textDirection w:val="lrTb"/>
            <w:noWrap w:val="false"/>
          </w:tcPr>
          <w:p>
            <w:pPr>
              <w:pStyle w:val="1005"/>
              <w:ind w:left="57" w:right="57"/>
            </w:pPr>
            <w:r>
              <w:t xml:space="preserve">Лимит бюджетных обязательств – объем прав в денежном в</w:t>
            </w:r>
            <w:r>
              <w:t xml:space="preserve">ыражении на принятие казенным учреждением бюджетных обязательств и (или) их исполнение в текущем финансовом году (текущем фина</w:t>
            </w:r>
            <w:r>
              <w:t xml:space="preserve">нсовом году и плановом периоде)</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ЛС</w:t>
            </w:r>
            <w:r/>
          </w:p>
        </w:tc>
        <w:tc>
          <w:tcPr>
            <w:shd w:val="clear" w:fill="auto" w:color="auto"/>
            <w:tcW w:w="3734" w:type="pct"/>
            <w:textDirection w:val="lrTb"/>
            <w:noWrap w:val="false"/>
          </w:tcPr>
          <w:p>
            <w:pPr>
              <w:pStyle w:val="1005"/>
              <w:ind w:left="57" w:right="57"/>
            </w:pPr>
            <w:r>
              <w:t xml:space="preserve">Лицевой счет, открытый территориальным органом Федерал</w:t>
            </w:r>
            <w:r>
              <w:t xml:space="preserve">ьного казн</w:t>
            </w:r>
            <w:r>
              <w:t xml:space="preserve">ачейства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МБ</w:t>
            </w:r>
            <w:r/>
          </w:p>
        </w:tc>
        <w:tc>
          <w:tcPr>
            <w:shd w:val="clear" w:fill="auto" w:color="auto"/>
            <w:tcW w:w="3734" w:type="pct"/>
            <w:textDirection w:val="lrTb"/>
            <w:noWrap w:val="false"/>
          </w:tcPr>
          <w:p>
            <w:pPr>
              <w:pStyle w:val="1005"/>
              <w:ind w:left="57" w:right="57"/>
            </w:pPr>
            <w:r>
              <w:t xml:space="preserve">Бюджет муниципально</w:t>
            </w:r>
            <w:r>
              <w:t xml:space="preserve">го образования (местный бюджет)</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МДК</w:t>
            </w:r>
            <w:r/>
          </w:p>
        </w:tc>
        <w:tc>
          <w:tcPr>
            <w:shd w:val="clear" w:fill="auto" w:color="auto"/>
            <w:tcW w:w="3734" w:type="pct"/>
            <w:textDirection w:val="lrTb"/>
            <w:noWrap w:val="false"/>
          </w:tcPr>
          <w:p>
            <w:pPr>
              <w:pStyle w:val="1005"/>
              <w:ind w:left="57" w:right="57"/>
            </w:pPr>
            <w:r>
              <w:t xml:space="preserve">Междокументный контроль – проверка контрольных соотнош</w:t>
            </w:r>
            <w:r>
              <w:t xml:space="preserve">ений между разными отчетами, поступившими</w:t>
            </w:r>
            <w:r>
              <w:t xml:space="preserve"> из одного источника информации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МО</w:t>
            </w:r>
            <w:r/>
          </w:p>
        </w:tc>
        <w:tc>
          <w:tcPr>
            <w:shd w:val="clear" w:fill="auto" w:color="auto"/>
            <w:tcW w:w="3734" w:type="pct"/>
            <w:textDirection w:val="lrTb"/>
            <w:noWrap w:val="false"/>
          </w:tcPr>
          <w:p>
            <w:pPr>
              <w:pStyle w:val="1005"/>
              <w:ind w:left="57" w:right="57"/>
            </w:pPr>
            <w:r>
              <w:t xml:space="preserve">Муниципальное образование</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МОУ ФК</w:t>
            </w:r>
            <w:r/>
          </w:p>
        </w:tc>
        <w:tc>
          <w:tcPr>
            <w:shd w:val="clear" w:fill="auto" w:color="auto"/>
            <w:tcW w:w="3734" w:type="pct"/>
            <w:textDirection w:val="lrTb"/>
            <w:noWrap w:val="false"/>
          </w:tcPr>
          <w:p>
            <w:pPr>
              <w:pStyle w:val="1005"/>
              <w:ind w:left="57" w:right="57"/>
            </w:pPr>
            <w:r>
              <w:t xml:space="preserve">Межрегиональное операционное управление Федерального к</w:t>
            </w:r>
            <w:r>
              <w:t xml:space="preserve">азначейства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МУП</w:t>
            </w:r>
            <w:r/>
          </w:p>
        </w:tc>
        <w:tc>
          <w:tcPr>
            <w:shd w:val="clear" w:fill="auto" w:color="auto"/>
            <w:tcW w:w="3734" w:type="pct"/>
            <w:textDirection w:val="lrTb"/>
            <w:noWrap w:val="false"/>
          </w:tcPr>
          <w:p>
            <w:pPr>
              <w:pStyle w:val="1005"/>
              <w:ind w:left="57" w:right="57"/>
            </w:pPr>
            <w:r>
              <w:t xml:space="preserve">Муни</w:t>
            </w:r>
            <w:r>
              <w:t xml:space="preserve">ципальное унитарное предприятие</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МФ РФ</w:t>
            </w:r>
            <w:r/>
          </w:p>
        </w:tc>
        <w:tc>
          <w:tcPr>
            <w:shd w:val="clear" w:fill="auto" w:color="auto"/>
            <w:tcW w:w="3734" w:type="pct"/>
            <w:textDirection w:val="lrTb"/>
            <w:noWrap w:val="false"/>
          </w:tcPr>
          <w:p>
            <w:pPr>
              <w:pStyle w:val="1005"/>
              <w:ind w:left="57" w:right="57"/>
            </w:pPr>
            <w:r>
              <w:t xml:space="preserve">Министерств</w:t>
            </w:r>
            <w:r>
              <w:t xml:space="preserve">о финансов Российской Федерации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НВС</w:t>
            </w:r>
            <w:r/>
          </w:p>
        </w:tc>
        <w:tc>
          <w:tcPr>
            <w:shd w:val="clear" w:fill="auto" w:color="auto"/>
            <w:tcW w:w="3734" w:type="pct"/>
            <w:textDirection w:val="lrTb"/>
            <w:noWrap w:val="false"/>
          </w:tcPr>
          <w:p>
            <w:pPr>
              <w:pStyle w:val="1005"/>
              <w:ind w:left="57" w:right="57"/>
            </w:pPr>
            <w:r>
              <w:t xml:space="preserve">Невыясненное поступление</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НДС</w:t>
            </w:r>
            <w:r/>
          </w:p>
        </w:tc>
        <w:tc>
          <w:tcPr>
            <w:shd w:val="clear" w:fill="auto" w:color="auto"/>
            <w:tcW w:w="3734" w:type="pct"/>
            <w:textDirection w:val="lrTb"/>
            <w:noWrap w:val="false"/>
          </w:tcPr>
          <w:p>
            <w:pPr>
              <w:pStyle w:val="1005"/>
              <w:ind w:left="57" w:right="57"/>
            </w:pPr>
            <w:r>
              <w:t xml:space="preserve">Налог на добавленную стоимость</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НПА</w:t>
            </w:r>
            <w:r/>
          </w:p>
        </w:tc>
        <w:tc>
          <w:tcPr>
            <w:shd w:val="clear" w:fill="auto" w:color="auto"/>
            <w:tcW w:w="3734" w:type="pct"/>
            <w:textDirection w:val="lrTb"/>
            <w:noWrap w:val="false"/>
          </w:tcPr>
          <w:p>
            <w:pPr>
              <w:pStyle w:val="1005"/>
              <w:ind w:left="57" w:right="57"/>
            </w:pPr>
            <w:r>
              <w:t xml:space="preserve">Нормативный правовой акт</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НУБП</w:t>
            </w:r>
            <w:r/>
          </w:p>
        </w:tc>
        <w:tc>
          <w:tcPr>
            <w:shd w:val="clear" w:fill="auto" w:color="auto"/>
            <w:tcW w:w="3734" w:type="pct"/>
            <w:textDirection w:val="lrTb"/>
            <w:noWrap w:val="false"/>
          </w:tcPr>
          <w:p>
            <w:pPr>
              <w:pStyle w:val="1005"/>
              <w:ind w:left="57" w:right="57"/>
            </w:pPr>
            <w:r>
              <w:t xml:space="preserve">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w:t>
            </w:r>
            <w:r>
              <w:t xml:space="preserve"> учреждением, ин</w:t>
            </w:r>
            <w:r>
              <w:t xml:space="preserve">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ОБЕ</w:t>
            </w:r>
            <w:r/>
          </w:p>
        </w:tc>
        <w:tc>
          <w:tcPr>
            <w:shd w:val="clear" w:fill="auto" w:color="auto"/>
            <w:tcW w:w="3734" w:type="pct"/>
            <w:textDirection w:val="lrTb"/>
            <w:noWrap w:val="false"/>
          </w:tcPr>
          <w:p>
            <w:pPr>
              <w:pStyle w:val="1005"/>
              <w:ind w:left="57" w:right="57"/>
            </w:pPr>
            <w:r>
              <w:t xml:space="preserve">Электронный документ «Исполнительный документ, пред</w:t>
            </w:r>
            <w:r>
              <w:t xml:space="preserve">усматрива</w:t>
            </w:r>
            <w:r>
              <w:t xml:space="preserve">ющий периодические выплаты»</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ОБЗ</w:t>
            </w:r>
            <w:r/>
          </w:p>
        </w:tc>
        <w:tc>
          <w:tcPr>
            <w:shd w:val="clear" w:fill="auto" w:color="auto"/>
            <w:tcW w:w="3734" w:type="pct"/>
            <w:textDirection w:val="lrTb"/>
            <w:noWrap w:val="false"/>
          </w:tcPr>
          <w:p>
            <w:pPr>
              <w:pStyle w:val="1005"/>
              <w:ind w:left="57" w:right="57"/>
            </w:pPr>
            <w:r>
              <w:t xml:space="preserve">Электронный документ «Заявка на внесение изменений в обяз</w:t>
            </w:r>
            <w:r>
              <w:t xml:space="preserve">ательство»</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ОБЛ</w:t>
            </w:r>
            <w:r/>
          </w:p>
        </w:tc>
        <w:tc>
          <w:tcPr>
            <w:shd w:val="clear" w:fill="auto" w:color="auto"/>
            <w:tcW w:w="3734" w:type="pct"/>
            <w:textDirection w:val="lrTb"/>
            <w:noWrap w:val="false"/>
          </w:tcPr>
          <w:p>
            <w:pPr>
              <w:pStyle w:val="1005"/>
              <w:ind w:left="57" w:right="57"/>
            </w:pPr>
            <w:r>
              <w:t xml:space="preserve">Электронный док</w:t>
            </w:r>
            <w:r>
              <w:t xml:space="preserve">умент «Исполнительный документ»</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ОГРН</w:t>
            </w:r>
            <w:r/>
          </w:p>
        </w:tc>
        <w:tc>
          <w:tcPr>
            <w:shd w:val="clear" w:fill="auto" w:color="auto"/>
            <w:tcW w:w="3734" w:type="pct"/>
            <w:textDirection w:val="lrTb"/>
            <w:noWrap w:val="false"/>
          </w:tcPr>
          <w:p>
            <w:pPr>
              <w:pStyle w:val="1005"/>
              <w:ind w:left="57" w:right="57"/>
            </w:pPr>
            <w:r>
              <w:t xml:space="preserve">Основной государственный регистрационный номер – госуда</w:t>
            </w:r>
            <w:r>
              <w:t xml:space="preserve">рственный регистрационный номер записи, вносимой в Единый государ</w:t>
            </w:r>
            <w:r>
              <w:t xml:space="preserve">ственный реестр юридических лиц</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ОЗУ</w:t>
            </w:r>
            <w:r/>
          </w:p>
        </w:tc>
        <w:tc>
          <w:tcPr>
            <w:shd w:val="clear" w:fill="auto" w:color="auto"/>
            <w:tcW w:w="3734" w:type="pct"/>
            <w:textDirection w:val="lrTb"/>
            <w:noWrap w:val="false"/>
          </w:tcPr>
          <w:p>
            <w:pPr>
              <w:pStyle w:val="1005"/>
              <w:ind w:left="57" w:right="57"/>
            </w:pPr>
            <w:r>
              <w:t xml:space="preserve">Опер</w:t>
            </w:r>
            <w:r>
              <w:t xml:space="preserve">ативное запоминающее устройство</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ОК</w:t>
            </w:r>
            <w:r/>
          </w:p>
        </w:tc>
        <w:tc>
          <w:tcPr>
            <w:shd w:val="clear" w:fill="auto" w:color="auto"/>
            <w:tcW w:w="3734" w:type="pct"/>
            <w:textDirection w:val="lrTb"/>
            <w:noWrap w:val="false"/>
          </w:tcPr>
          <w:p>
            <w:pPr>
              <w:pStyle w:val="1005"/>
              <w:ind w:left="57" w:right="57"/>
            </w:pPr>
            <w:r>
              <w:t xml:space="preserve">Открытый контур</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ОКАТО</w:t>
            </w:r>
            <w:r/>
          </w:p>
        </w:tc>
        <w:tc>
          <w:tcPr>
            <w:shd w:val="clear" w:fill="auto" w:color="auto"/>
            <w:tcW w:w="3734" w:type="pct"/>
            <w:textDirection w:val="lrTb"/>
            <w:noWrap w:val="false"/>
          </w:tcPr>
          <w:p>
            <w:pPr>
              <w:pStyle w:val="1005"/>
              <w:ind w:left="57" w:right="57"/>
            </w:pPr>
            <w:r>
              <w:t xml:space="preserve">Общероссийский классификатор объектов администр</w:t>
            </w:r>
            <w:r>
              <w:t xml:space="preserve">ативно-территориального деления</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ОКВ</w:t>
            </w:r>
            <w:r/>
          </w:p>
        </w:tc>
        <w:tc>
          <w:tcPr>
            <w:shd w:val="clear" w:fill="auto" w:color="auto"/>
            <w:tcW w:w="3734" w:type="pct"/>
            <w:textDirection w:val="lrTb"/>
            <w:noWrap w:val="false"/>
          </w:tcPr>
          <w:p>
            <w:pPr>
              <w:pStyle w:val="1005"/>
              <w:ind w:left="57" w:right="57"/>
            </w:pPr>
            <w:r>
              <w:t xml:space="preserve">Общ</w:t>
            </w:r>
            <w:r>
              <w:t xml:space="preserve">ероссийский классификатор валют</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ОКВЭД</w:t>
            </w:r>
            <w:r/>
          </w:p>
        </w:tc>
        <w:tc>
          <w:tcPr>
            <w:shd w:val="clear" w:fill="auto" w:color="auto"/>
            <w:tcW w:w="3734" w:type="pct"/>
            <w:textDirection w:val="lrTb"/>
            <w:noWrap w:val="false"/>
          </w:tcPr>
          <w:p>
            <w:pPr>
              <w:pStyle w:val="1005"/>
              <w:ind w:left="57" w:right="57"/>
            </w:pPr>
            <w:r>
              <w:t xml:space="preserve">Общероссийский классификатор видов экономической деятел</w:t>
            </w:r>
            <w:r>
              <w:t xml:space="preserve">ьности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ОКЕИ</w:t>
            </w:r>
            <w:r/>
          </w:p>
        </w:tc>
        <w:tc>
          <w:tcPr>
            <w:shd w:val="clear" w:fill="auto" w:color="auto"/>
            <w:tcW w:w="3734" w:type="pct"/>
            <w:textDirection w:val="lrTb"/>
            <w:noWrap w:val="false"/>
          </w:tcPr>
          <w:p>
            <w:pPr>
              <w:pStyle w:val="1005"/>
              <w:ind w:left="57" w:right="57"/>
            </w:pPr>
            <w:r>
              <w:t xml:space="preserve">Общероссийский</w:t>
            </w:r>
            <w:r>
              <w:t xml:space="preserve"> классификатор единиц измерения</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ОКОГУ</w:t>
            </w:r>
            <w:r/>
          </w:p>
        </w:tc>
        <w:tc>
          <w:tcPr>
            <w:shd w:val="clear" w:fill="auto" w:color="auto"/>
            <w:tcW w:w="3734" w:type="pct"/>
            <w:textDirection w:val="lrTb"/>
            <w:noWrap w:val="false"/>
          </w:tcPr>
          <w:p>
            <w:pPr>
              <w:pStyle w:val="1005"/>
              <w:ind w:left="57" w:right="57"/>
            </w:pPr>
            <w:r>
              <w:t xml:space="preserve">Общероссийский классификатор органов государственной вл</w:t>
            </w:r>
            <w:r>
              <w:t xml:space="preserve">асти и управления</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ОКОПФ</w:t>
            </w:r>
            <w:r/>
          </w:p>
        </w:tc>
        <w:tc>
          <w:tcPr>
            <w:shd w:val="clear" w:fill="auto" w:color="auto"/>
            <w:tcW w:w="3734" w:type="pct"/>
            <w:textDirection w:val="lrTb"/>
            <w:noWrap w:val="false"/>
          </w:tcPr>
          <w:p>
            <w:pPr>
              <w:pStyle w:val="1005"/>
              <w:ind w:left="57" w:right="57"/>
            </w:pPr>
            <w:r>
              <w:t xml:space="preserve">Общероссийский классификатор организацио</w:t>
            </w:r>
            <w:r>
              <w:t xml:space="preserve">нно-правовых форм</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ОКПО</w:t>
            </w:r>
            <w:r/>
          </w:p>
        </w:tc>
        <w:tc>
          <w:tcPr>
            <w:shd w:val="clear" w:fill="auto" w:color="auto"/>
            <w:tcW w:w="3734" w:type="pct"/>
            <w:textDirection w:val="lrTb"/>
            <w:noWrap w:val="false"/>
          </w:tcPr>
          <w:p>
            <w:pPr>
              <w:pStyle w:val="1005"/>
              <w:ind w:left="57" w:right="57"/>
            </w:pPr>
            <w:r>
              <w:t xml:space="preserve">Общероссийский классифи</w:t>
            </w:r>
            <w:r>
              <w:t xml:space="preserve">катор предприятий и организаций</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ОКС</w:t>
            </w:r>
            <w:r/>
          </w:p>
        </w:tc>
        <w:tc>
          <w:tcPr>
            <w:shd w:val="clear" w:fill="auto" w:color="auto"/>
            <w:tcW w:w="3734" w:type="pct"/>
            <w:textDirection w:val="lrTb"/>
            <w:noWrap w:val="false"/>
          </w:tcPr>
          <w:p>
            <w:pPr>
              <w:pStyle w:val="1005"/>
              <w:ind w:left="57" w:right="57"/>
            </w:pPr>
            <w:r>
              <w:t xml:space="preserve">Электронный документ «Отчет о расчетных остатках сре</w:t>
            </w:r>
            <w:r>
              <w:t xml:space="preserve">дств на единых счетах бюджетов»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ОКТМО</w:t>
            </w:r>
            <w:r/>
          </w:p>
        </w:tc>
        <w:tc>
          <w:tcPr>
            <w:shd w:val="clear" w:fill="auto" w:color="auto"/>
            <w:tcW w:w="3734" w:type="pct"/>
            <w:textDirection w:val="lrTb"/>
            <w:noWrap w:val="false"/>
          </w:tcPr>
          <w:p>
            <w:pPr>
              <w:pStyle w:val="1005"/>
              <w:ind w:left="57" w:right="57"/>
            </w:pPr>
            <w:r>
              <w:t xml:space="preserve">Общероссийский классификатор терри</w:t>
            </w:r>
            <w:r>
              <w:t xml:space="preserve">торий муниципальных образований</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ОКУД</w:t>
            </w:r>
            <w:r/>
          </w:p>
        </w:tc>
        <w:tc>
          <w:tcPr>
            <w:shd w:val="clear" w:fill="auto" w:color="auto"/>
            <w:tcW w:w="3734" w:type="pct"/>
            <w:textDirection w:val="lrTb"/>
            <w:noWrap w:val="false"/>
          </w:tcPr>
          <w:p>
            <w:pPr>
              <w:pStyle w:val="1005"/>
              <w:ind w:left="57" w:right="57"/>
            </w:pPr>
            <w:r>
              <w:t xml:space="preserve">Общероссийский классификатор управленческой документ</w:t>
            </w:r>
            <w:r>
              <w:t xml:space="preserve">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ОКФС</w:t>
            </w:r>
            <w:r/>
          </w:p>
        </w:tc>
        <w:tc>
          <w:tcPr>
            <w:shd w:val="clear" w:fill="auto" w:color="auto"/>
            <w:tcW w:w="3734" w:type="pct"/>
            <w:textDirection w:val="lrTb"/>
            <w:noWrap w:val="false"/>
          </w:tcPr>
          <w:p>
            <w:pPr>
              <w:pStyle w:val="1005"/>
              <w:ind w:left="57" w:right="57"/>
            </w:pPr>
            <w:r>
              <w:t xml:space="preserve">Общероссийский к</w:t>
            </w:r>
            <w:r>
              <w:t xml:space="preserve">лассификатор форм собственности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ООС</w:t>
            </w:r>
            <w:r/>
          </w:p>
        </w:tc>
        <w:tc>
          <w:tcPr>
            <w:shd w:val="clear" w:fill="auto" w:color="auto"/>
            <w:tcW w:w="3734" w:type="pct"/>
            <w:textDirection w:val="lrTb"/>
            <w:noWrap w:val="false"/>
          </w:tcPr>
          <w:p>
            <w:pPr>
              <w:pStyle w:val="1005"/>
              <w:ind w:left="57" w:right="57"/>
            </w:pPr>
            <w:r>
              <w:t xml:space="preserve">Официальный сайт Российской Федерации в информационно-телекоммуникационной сети «Интернет» для размещения и</w:t>
            </w:r>
            <w:r>
              <w:t xml:space="preserve">нформации о размещении заказов на поставки товаров, выполнение работ, оказание услуг (о</w:t>
            </w:r>
            <w:r>
              <w:t xml:space="preserve">бщероссийский официальный сайт)</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Операция</w:t>
            </w:r>
            <w:r/>
          </w:p>
        </w:tc>
        <w:tc>
          <w:tcPr>
            <w:shd w:val="clear" w:fill="auto" w:color="auto"/>
            <w:tcW w:w="3734" w:type="pct"/>
            <w:textDirection w:val="lrTb"/>
            <w:noWrap w:val="false"/>
          </w:tcPr>
          <w:p>
            <w:pPr>
              <w:pStyle w:val="1005"/>
              <w:ind w:left="57" w:right="57"/>
            </w:pPr>
            <w:r>
              <w:t xml:space="preserve">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t xml:space="preserve">ограммами, контролями, процедурами), приводящая к изменению статуса, свойств объекта или осуществля</w:t>
            </w:r>
            <w:r>
              <w:t xml:space="preserve">ющая проверку атрибутов объекта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Опердень</w:t>
            </w:r>
            <w:r/>
          </w:p>
        </w:tc>
        <w:tc>
          <w:tcPr>
            <w:shd w:val="clear" w:fill="auto" w:color="auto"/>
            <w:tcW w:w="3734" w:type="pct"/>
            <w:textDirection w:val="lrTb"/>
            <w:noWrap w:val="false"/>
          </w:tcPr>
          <w:p>
            <w:pPr>
              <w:pStyle w:val="1005"/>
              <w:ind w:left="57" w:right="57"/>
            </w:pPr>
            <w:r>
              <w:t xml:space="preserve">Определенный период времени в рамках рабочего дня органа Федерального казначейства, в течение кот</w:t>
            </w:r>
            <w:r>
              <w:t xml:space="preserve">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платежным</w:t>
            </w:r>
            <w:r>
              <w:t xml:space="preserve">и документами с банком</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ОрФК</w:t>
            </w:r>
            <w:r/>
          </w:p>
        </w:tc>
        <w:tc>
          <w:tcPr>
            <w:shd w:val="clear" w:fill="auto" w:color="auto"/>
            <w:tcW w:w="3734" w:type="pct"/>
            <w:textDirection w:val="lrTb"/>
            <w:noWrap w:val="false"/>
          </w:tcPr>
          <w:p>
            <w:pPr>
              <w:pStyle w:val="1005"/>
              <w:ind w:left="57" w:right="57"/>
            </w:pPr>
            <w:r>
              <w:t xml:space="preserve">Органы Федерального казначейства – Межрегиональное опер</w:t>
            </w:r>
            <w:r>
              <w:t xml:space="preserve">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w:t>
            </w:r>
            <w:r>
              <w:t xml:space="preserve">ъектам Российской Федерации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ОС</w:t>
            </w:r>
            <w:r/>
          </w:p>
        </w:tc>
        <w:tc>
          <w:tcPr>
            <w:shd w:val="clear" w:fill="auto" w:color="auto"/>
            <w:tcW w:w="3734" w:type="pct"/>
            <w:textDirection w:val="lrTb"/>
            <w:noWrap w:val="false"/>
          </w:tcPr>
          <w:p>
            <w:pPr>
              <w:pStyle w:val="1005"/>
              <w:ind w:left="57" w:right="57"/>
            </w:pPr>
            <w:r>
              <w:t xml:space="preserve">Операционная система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ОС ГМУ</w:t>
            </w:r>
            <w:r/>
          </w:p>
        </w:tc>
        <w:tc>
          <w:tcPr>
            <w:shd w:val="clear" w:fill="auto" w:color="auto"/>
            <w:tcW w:w="3734" w:type="pct"/>
            <w:textDirection w:val="lrTb"/>
            <w:noWrap w:val="false"/>
          </w:tcPr>
          <w:p>
            <w:pPr>
              <w:pStyle w:val="1005"/>
              <w:ind w:left="57" w:right="57"/>
            </w:pPr>
            <w:r>
              <w:t xml:space="preserve">Официальный сайт Российской Федерации в сети «Интернет» для размещения информации о Государственных (муниципал</w:t>
            </w:r>
            <w:r>
              <w:t xml:space="preserve">ьных) учреждениях</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ОФК</w:t>
            </w:r>
            <w:r/>
          </w:p>
        </w:tc>
        <w:tc>
          <w:tcPr>
            <w:shd w:val="clear" w:fill="auto" w:color="auto"/>
            <w:tcW w:w="3734" w:type="pct"/>
            <w:textDirection w:val="lrTb"/>
            <w:noWrap w:val="false"/>
          </w:tcPr>
          <w:p>
            <w:pPr>
              <w:pStyle w:val="1005"/>
              <w:ind w:left="57" w:right="57"/>
            </w:pPr>
            <w:r>
              <w:t xml:space="preserve">Отдел Управления Федерального казначейства по субъекту Ро</w:t>
            </w:r>
            <w:r>
              <w:t xml:space="preserve">ссийской Федерации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ОФК Off-line</w:t>
            </w:r>
            <w:r/>
          </w:p>
        </w:tc>
        <w:tc>
          <w:tcPr>
            <w:shd w:val="clear" w:fill="auto" w:color="auto"/>
            <w:tcW w:w="3734" w:type="pct"/>
            <w:textDirection w:val="lrTb"/>
            <w:noWrap w:val="false"/>
          </w:tcPr>
          <w:p>
            <w:pPr>
              <w:pStyle w:val="1005"/>
              <w:ind w:left="57" w:right="57"/>
            </w:pPr>
            <w:r>
              <w:t xml:space="preserve">Отдел Управления Федерального казначейства по субъекту Ро</w:t>
            </w:r>
            <w:r>
              <w:t xml:space="preserve">ссийской Федерации, не имеющий постоянного канала сетевого взаимодействия с Управлением Федерального казначейства п</w:t>
            </w:r>
            <w:r>
              <w:t xml:space="preserve">о субъекту Российской Федерации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п/п</w:t>
            </w:r>
            <w:r/>
          </w:p>
        </w:tc>
        <w:tc>
          <w:tcPr>
            <w:shd w:val="clear" w:fill="auto" w:color="auto"/>
            <w:tcW w:w="3734" w:type="pct"/>
            <w:textDirection w:val="lrTb"/>
            <w:noWrap w:val="false"/>
          </w:tcPr>
          <w:p>
            <w:pPr>
              <w:pStyle w:val="1005"/>
              <w:ind w:left="57" w:right="57"/>
            </w:pPr>
            <w:r>
              <w:t xml:space="preserve">Платежное</w:t>
            </w:r>
            <w:r>
              <w:t xml:space="preserve"> поручение</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Пакет</w:t>
            </w:r>
            <w:r/>
          </w:p>
        </w:tc>
        <w:tc>
          <w:tcPr>
            <w:shd w:val="clear" w:fill="auto" w:color="auto"/>
            <w:tcW w:w="3734" w:type="pct"/>
            <w:textDirection w:val="lrTb"/>
            <w:noWrap w:val="false"/>
          </w:tcPr>
          <w:p>
            <w:pPr>
              <w:pStyle w:val="1005"/>
              <w:ind w:left="57" w:right="57"/>
            </w:pPr>
            <w:r>
              <w:t xml:space="preserve">Тип документа, в состав которого могут входить один или н</w:t>
            </w:r>
            <w:r>
              <w:t xml:space="preserve">есколько электронных документов. Электронные документы, входящие в состав пакета, могут б</w:t>
            </w:r>
            <w:r>
              <w:t xml:space="preserve">ыть одного или нескольких типов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Параметры</w:t>
            </w:r>
            <w:r/>
          </w:p>
        </w:tc>
        <w:tc>
          <w:tcPr>
            <w:shd w:val="clear" w:fill="auto" w:color="auto"/>
            <w:tcW w:w="3734" w:type="pct"/>
            <w:textDirection w:val="lrTb"/>
            <w:noWrap w:val="false"/>
          </w:tcPr>
          <w:p>
            <w:pPr>
              <w:pStyle w:val="1005"/>
              <w:ind w:left="57" w:right="57"/>
            </w:pPr>
            <w:r>
              <w:t xml:space="preserve">Данны</w:t>
            </w:r>
            <w:r>
              <w:t xml:space="preserve">е полей документа, справочников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ПБС</w:t>
            </w:r>
            <w:r/>
          </w:p>
        </w:tc>
        <w:tc>
          <w:tcPr>
            <w:shd w:val="clear" w:fill="auto" w:color="auto"/>
            <w:tcW w:w="3734" w:type="pct"/>
            <w:textDirection w:val="lrTb"/>
            <w:noWrap w:val="false"/>
          </w:tcPr>
          <w:p>
            <w:pPr>
              <w:pStyle w:val="1005"/>
              <w:ind w:left="57" w:right="57"/>
            </w:pPr>
            <w:r>
              <w:t xml:space="preserve">Получатель бюджетных средств (получатель средств соответс</w:t>
            </w:r>
            <w:r>
              <w:t xml:space="preserve">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w:t>
            </w:r>
            <w:r>
              <w:t xml:space="preserve">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w:t>
            </w:r>
            <w:r>
              <w:t xml:space="preserve">м Кодексом Российской Федерации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ПГМУ</w:t>
            </w:r>
            <w:r/>
          </w:p>
        </w:tc>
        <w:tc>
          <w:tcPr>
            <w:shd w:val="clear" w:fill="auto" w:color="auto"/>
            <w:tcW w:w="3734" w:type="pct"/>
            <w:textDirection w:val="lrTb"/>
            <w:noWrap w:val="false"/>
          </w:tcPr>
          <w:p>
            <w:pPr>
              <w:pStyle w:val="1005"/>
              <w:ind w:left="57" w:right="57"/>
            </w:pPr>
            <w:r>
              <w:t xml:space="preserve">Перечень государственных (муниципальных) учреждений (в том числе организации, являющиеся представителями учрежд</w:t>
            </w:r>
            <w:r>
              <w:t xml:space="preserve">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w:t>
            </w:r>
            <w:r>
              <w:t xml:space="preserve">ных (муниципальных) учреждениях</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ПДУ</w:t>
            </w:r>
            <w:r/>
          </w:p>
        </w:tc>
        <w:tc>
          <w:tcPr>
            <w:shd w:val="clear" w:fill="auto" w:color="auto"/>
            <w:tcW w:w="3734" w:type="pct"/>
            <w:textDirection w:val="lrTb"/>
            <w:noWrap w:val="false"/>
          </w:tcPr>
          <w:p>
            <w:pPr>
              <w:pStyle w:val="1005"/>
              <w:ind w:left="57" w:right="57"/>
            </w:pPr>
            <w:r>
              <w:t xml:space="preserve">Электронный документ «Уведомление об уточнении вида и принадлежности платежа», документ из группы документов «Документы а</w:t>
            </w:r>
            <w:r>
              <w:t xml:space="preserve">дминистраторов»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ПЗВ</w:t>
            </w:r>
            <w:r/>
          </w:p>
        </w:tc>
        <w:tc>
          <w:tcPr>
            <w:shd w:val="clear" w:fill="auto" w:color="auto"/>
            <w:tcW w:w="3734" w:type="pct"/>
            <w:textDirection w:val="lrTb"/>
            <w:noWrap w:val="false"/>
          </w:tcPr>
          <w:p>
            <w:pPr>
              <w:pStyle w:val="1005"/>
              <w:ind w:left="57" w:right="57"/>
            </w:pPr>
            <w:r>
              <w:t xml:space="preserve">Электронн</w:t>
            </w:r>
            <w:r>
              <w:t xml:space="preserve">ый документ «Заявка на возврат»</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ПО</w:t>
            </w:r>
            <w:r/>
          </w:p>
        </w:tc>
        <w:tc>
          <w:tcPr>
            <w:shd w:val="clear" w:fill="auto" w:color="auto"/>
            <w:tcW w:w="3734" w:type="pct"/>
            <w:textDirection w:val="lrTb"/>
            <w:noWrap w:val="false"/>
          </w:tcPr>
          <w:p>
            <w:pPr>
              <w:pStyle w:val="1005"/>
              <w:ind w:left="57" w:right="57"/>
            </w:pPr>
            <w:r>
              <w:t xml:space="preserve">Программное обеспечение</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Пользователь</w:t>
            </w:r>
            <w:r/>
          </w:p>
        </w:tc>
        <w:tc>
          <w:tcPr>
            <w:shd w:val="clear" w:fill="auto" w:color="auto"/>
            <w:tcW w:w="3734" w:type="pct"/>
            <w:textDirection w:val="lrTb"/>
            <w:noWrap w:val="false"/>
          </w:tcPr>
          <w:p>
            <w:pPr>
              <w:pStyle w:val="1005"/>
              <w:ind w:left="57" w:right="57"/>
            </w:pPr>
            <w:r>
              <w:t xml:space="preserve">Лицо или организация, которое использует действующую си</w:t>
            </w:r>
            <w:r>
              <w:t xml:space="preserve">стему дл</w:t>
            </w:r>
            <w:r>
              <w:t xml:space="preserve">я выполнения конкретной функции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ПОСТУПЛЕНИЯ</w:t>
            </w:r>
            <w:r/>
          </w:p>
        </w:tc>
        <w:tc>
          <w:tcPr>
            <w:shd w:val="clear" w:fill="auto" w:color="auto"/>
            <w:tcW w:w="3734" w:type="pct"/>
            <w:textDirection w:val="lrTb"/>
            <w:noWrap w:val="false"/>
          </w:tcPr>
          <w:p>
            <w:pPr>
              <w:pStyle w:val="1005"/>
              <w:ind w:left="57" w:right="57"/>
            </w:pPr>
            <w:r>
              <w:t xml:space="preserve">Аналитический показатель. Распределенные классифицирова</w:t>
            </w:r>
            <w:r>
              <w:t xml:space="preserve">нные и невыясненные поступления</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ПОФР</w:t>
            </w:r>
            <w:r/>
          </w:p>
        </w:tc>
        <w:tc>
          <w:tcPr>
            <w:shd w:val="clear" w:fill="auto" w:color="auto"/>
            <w:tcW w:w="3734" w:type="pct"/>
            <w:textDirection w:val="lrTb"/>
            <w:noWrap w:val="false"/>
          </w:tcPr>
          <w:p>
            <w:pPr>
              <w:pStyle w:val="1005"/>
              <w:ind w:left="57" w:right="57"/>
            </w:pPr>
            <w:r>
              <w:t xml:space="preserve">Аналитический показатель. Предельные объемы финансиров</w:t>
            </w:r>
            <w:r>
              <w:t xml:space="preserve">ания расходов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ПП</w:t>
            </w:r>
            <w:r/>
          </w:p>
        </w:tc>
        <w:tc>
          <w:tcPr>
            <w:shd w:val="clear" w:fill="auto" w:color="auto"/>
            <w:tcW w:w="3734" w:type="pct"/>
            <w:textDirection w:val="lrTb"/>
            <w:noWrap w:val="false"/>
          </w:tcPr>
          <w:p>
            <w:pPr>
              <w:pStyle w:val="1005"/>
              <w:ind w:left="57" w:right="57"/>
            </w:pPr>
            <w:r>
              <w:t xml:space="preserve">Документ «Пл</w:t>
            </w:r>
            <w:r>
              <w:t xml:space="preserve">атежное поручение (ф. 0401060)»</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ППО</w:t>
            </w:r>
            <w:r/>
          </w:p>
        </w:tc>
        <w:tc>
          <w:tcPr>
            <w:shd w:val="clear" w:fill="auto" w:color="auto"/>
            <w:tcW w:w="3734" w:type="pct"/>
            <w:textDirection w:val="lrTb"/>
            <w:noWrap w:val="false"/>
          </w:tcPr>
          <w:p>
            <w:pPr>
              <w:pStyle w:val="1005"/>
              <w:ind w:left="57" w:right="57"/>
            </w:pPr>
            <w:r>
              <w:t xml:space="preserve">При</w:t>
            </w:r>
            <w:r>
              <w:t xml:space="preserve">кладное программное обеспечение</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ППО «СЭД»</w:t>
            </w:r>
            <w:r/>
          </w:p>
        </w:tc>
        <w:tc>
          <w:tcPr>
            <w:shd w:val="clear" w:fill="auto" w:color="auto"/>
            <w:tcW w:w="3734" w:type="pct"/>
            <w:textDirection w:val="lrTb"/>
            <w:noWrap w:val="false"/>
          </w:tcPr>
          <w:p>
            <w:pPr>
              <w:pStyle w:val="1005"/>
              <w:ind w:left="57" w:right="57"/>
            </w:pPr>
            <w:r>
              <w:t xml:space="preserve">Модуль «Система электронного документооборота» прикладн</w:t>
            </w:r>
            <w:r>
              <w:t xml:space="preserve">ого прог</w:t>
            </w:r>
            <w:r>
              <w:t xml:space="preserve">раммного обеспечения «Центр-КС»</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ППО OEBS АСФК</w:t>
            </w:r>
            <w:r/>
          </w:p>
        </w:tc>
        <w:tc>
          <w:tcPr>
            <w:shd w:val="clear" w:fill="auto" w:color="auto"/>
            <w:tcW w:w="3734" w:type="pct"/>
            <w:textDirection w:val="lrTb"/>
            <w:noWrap w:val="false"/>
          </w:tcPr>
          <w:p>
            <w:pPr>
              <w:pStyle w:val="1005"/>
              <w:ind w:left="57" w:right="57"/>
            </w:pPr>
            <w:r>
              <w:t xml:space="preserve">Прикладное программное обеспечение на базе Oracle E-Business Suite, обеспечивающее реализацию учетных функций и отче</w:t>
            </w:r>
            <w:r>
              <w:t xml:space="preserve">тность Автоматизированной системы Федерального казна</w:t>
            </w:r>
            <w:r>
              <w:t xml:space="preserve">чейства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ППО АСФК</w:t>
            </w:r>
            <w:r/>
          </w:p>
        </w:tc>
        <w:tc>
          <w:tcPr>
            <w:shd w:val="clear" w:fill="auto" w:color="auto"/>
            <w:tcW w:w="3734" w:type="pct"/>
            <w:textDirection w:val="lrTb"/>
            <w:noWrap w:val="false"/>
          </w:tcPr>
          <w:p>
            <w:pPr>
              <w:pStyle w:val="1005"/>
              <w:ind w:left="57" w:right="57"/>
            </w:pPr>
            <w:r>
              <w:t xml:space="preserve">Прикладное программное обеспечение Автоматизированной системы Федерального казначейства, включающее компоне</w:t>
            </w:r>
            <w:r>
              <w:t xml:space="preserve">н</w:t>
            </w:r>
            <w:r>
              <w:t xml:space="preserve">ты:</w:t>
            </w:r>
            <w:r/>
          </w:p>
          <w:p>
            <w:pPr>
              <w:pStyle w:val="1007"/>
            </w:pPr>
            <w:r>
              <w:t xml:space="preserve">Oracle E-Business Suite – компонент, обеспечивающий реа</w:t>
            </w:r>
            <w:r>
              <w:t xml:space="preserve">лизацию учетных функций;</w:t>
            </w:r>
            <w:r/>
          </w:p>
          <w:p>
            <w:pPr>
              <w:pStyle w:val="1007"/>
            </w:pPr>
            <w:r>
              <w:t xml:space="preserve">Система удаленного финансового документо</w:t>
            </w:r>
            <w:r>
              <w:t xml:space="preserve">оборота </w:t>
            </w:r>
            <w:r>
              <w:t xml:space="preserve">–</w:t>
            </w:r>
            <w:r>
              <w:t xml:space="preserve"> </w:t>
            </w:r>
            <w:r>
              <w:t xml:space="preserve">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w:t>
            </w:r>
            <w:r>
              <w:t xml:space="preserve">тва;</w:t>
            </w:r>
            <w:r/>
          </w:p>
          <w:p>
            <w:pPr>
              <w:pStyle w:val="1007"/>
            </w:pPr>
            <w:r>
              <w:t xml:space="preserve">Oracle Hyperion – компонент, обеспечивающий реализацию функции планирования модуля «Кассовое планирова</w:t>
            </w:r>
            <w:r>
              <w:t xml:space="preserve">ние»;</w:t>
            </w:r>
            <w:r/>
          </w:p>
          <w:p>
            <w:pPr>
              <w:pStyle w:val="1007"/>
            </w:pPr>
            <w:r>
              <w:t xml:space="preserve">Интеграционная шина – компонент, обеспечивающий сервисное взаимодействие компонент Автоматизированной системы Федерального казна</w:t>
            </w:r>
            <w:r>
              <w:t xml:space="preserve">чейства;</w:t>
            </w:r>
            <w:r/>
          </w:p>
          <w:p>
            <w:pPr>
              <w:pStyle w:val="1007"/>
            </w:pPr>
            <w:r>
              <w:t xml:space="preserve">Средство защиты информации – компонент, обеспечивающий информационную безопасность компонент Автоматизированной системы Федерального казначейст</w:t>
            </w:r>
            <w:r>
              <w:t xml:space="preserve">ва;</w:t>
            </w:r>
            <w:r/>
          </w:p>
          <w:p>
            <w:pPr>
              <w:pStyle w:val="1007"/>
            </w:pPr>
            <w:r>
              <w:t xml:space="preserve">Программный комплекс «Криптосервер»;</w:t>
            </w:r>
            <w:r/>
          </w:p>
          <w:p>
            <w:pPr>
              <w:pStyle w:val="1007"/>
            </w:pPr>
            <w:r>
              <w:t xml:space="preserve">Программный компонент «Криптоапплет OEBS»;</w:t>
            </w:r>
            <w:r/>
          </w:p>
          <w:p>
            <w:pPr>
              <w:pStyle w:val="1007"/>
            </w:pPr>
            <w:r>
              <w:t xml:space="preserve">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w:t>
            </w:r>
            <w:r>
              <w:t xml:space="preserve">значейства и внешними системами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ППО СУФД АСФК</w:t>
            </w:r>
            <w:r/>
          </w:p>
        </w:tc>
        <w:tc>
          <w:tcPr>
            <w:shd w:val="clear" w:fill="auto" w:color="auto"/>
            <w:tcW w:w="3734" w:type="pct"/>
            <w:textDirection w:val="lrTb"/>
            <w:noWrap w:val="false"/>
          </w:tcPr>
          <w:p>
            <w:pPr>
              <w:pStyle w:val="1005"/>
              <w:ind w:left="57" w:right="57"/>
            </w:pPr>
            <w:r>
              <w:t xml:space="preserve">Прикладное программное обеспечение Системы удаленного ф</w:t>
            </w:r>
            <w:r>
              <w:t xml:space="preserve">инансового документооборота, обеспечивающее реализацию юридически значимого информационного обмена между компонентами Автоматизированной си</w:t>
            </w:r>
            <w:r>
              <w:t xml:space="preserve">стемы Федерального казначейства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ППП</w:t>
            </w:r>
            <w:r/>
          </w:p>
        </w:tc>
        <w:tc>
          <w:tcPr>
            <w:shd w:val="clear" w:fill="auto" w:color="auto"/>
            <w:tcW w:w="3734" w:type="pct"/>
            <w:textDirection w:val="lrTb"/>
            <w:noWrap w:val="false"/>
          </w:tcPr>
          <w:p>
            <w:pPr>
              <w:pStyle w:val="1005"/>
              <w:ind w:left="57" w:right="57"/>
            </w:pPr>
            <w:r>
              <w:t xml:space="preserve">Перечень прямых получател</w:t>
            </w:r>
            <w:r>
              <w:t xml:space="preserve">ей средств федерального бюджета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ПР</w:t>
            </w:r>
            <w:r/>
          </w:p>
        </w:tc>
        <w:tc>
          <w:tcPr>
            <w:shd w:val="clear" w:fill="auto" w:color="auto"/>
            <w:tcW w:w="3734" w:type="pct"/>
            <w:textDirection w:val="lrTb"/>
            <w:noWrap w:val="false"/>
          </w:tcPr>
          <w:p>
            <w:pPr>
              <w:pStyle w:val="1005"/>
              <w:ind w:left="57" w:right="57"/>
            </w:pPr>
            <w:r>
              <w:t xml:space="preserve">Проектное решение</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Протокол</w:t>
            </w:r>
            <w:r/>
          </w:p>
        </w:tc>
        <w:tc>
          <w:tcPr>
            <w:shd w:val="clear" w:fill="auto" w:color="auto"/>
            <w:tcW w:w="3734" w:type="pct"/>
            <w:textDirection w:val="lrTb"/>
            <w:noWrap w:val="false"/>
          </w:tcPr>
          <w:p>
            <w:pPr>
              <w:pStyle w:val="1005"/>
              <w:ind w:left="57" w:right="57"/>
            </w:pPr>
            <w:r>
              <w:t xml:space="preserve">Информационный объект, содержащий результаты обработки других</w:t>
            </w:r>
            <w:r>
              <w:t xml:space="preserve"> информационных объектов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ПУБП</w:t>
            </w:r>
            <w:r/>
          </w:p>
        </w:tc>
        <w:tc>
          <w:tcPr>
            <w:shd w:val="clear" w:fill="auto" w:color="auto"/>
            <w:tcW w:w="3734" w:type="pct"/>
            <w:textDirection w:val="lrTb"/>
            <w:noWrap w:val="false"/>
          </w:tcPr>
          <w:p>
            <w:pPr>
              <w:pStyle w:val="1005"/>
              <w:ind w:left="57" w:right="57"/>
            </w:pPr>
            <w:r>
              <w:t xml:space="preserve">Перечень</w:t>
            </w:r>
            <w:r>
              <w:t xml:space="preserve"> участников бюджетного процесса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ПФО</w:t>
            </w:r>
            <w:r/>
          </w:p>
        </w:tc>
        <w:tc>
          <w:tcPr>
            <w:shd w:val="clear" w:fill="auto" w:color="auto"/>
            <w:tcW w:w="3734" w:type="pct"/>
            <w:textDirection w:val="lrTb"/>
            <w:noWrap w:val="false"/>
          </w:tcPr>
          <w:p>
            <w:pPr>
              <w:pStyle w:val="1005"/>
              <w:ind w:left="57" w:right="57"/>
            </w:pPr>
            <w:r>
              <w:t xml:space="preserve">Пакет платежных </w:t>
            </w:r>
            <w:r>
              <w:t xml:space="preserve">поручений от финансового органа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р/с</w:t>
            </w:r>
            <w:r/>
          </w:p>
        </w:tc>
        <w:tc>
          <w:tcPr>
            <w:shd w:val="clear" w:fill="auto" w:color="auto"/>
            <w:tcW w:w="3734" w:type="pct"/>
            <w:textDirection w:val="lrTb"/>
            <w:noWrap w:val="false"/>
          </w:tcPr>
          <w:p>
            <w:pPr>
              <w:pStyle w:val="1005"/>
              <w:ind w:left="57" w:right="57"/>
            </w:pPr>
            <w:r>
              <w:t xml:space="preserve">Расчетный счет</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РБС</w:t>
            </w:r>
            <w:r/>
          </w:p>
        </w:tc>
        <w:tc>
          <w:tcPr>
            <w:shd w:val="clear" w:fill="auto" w:color="auto"/>
            <w:tcW w:w="3734" w:type="pct"/>
            <w:textDirection w:val="lrTb"/>
            <w:noWrap w:val="false"/>
          </w:tcPr>
          <w:p>
            <w:pPr>
              <w:pStyle w:val="1005"/>
              <w:ind w:left="57" w:right="57"/>
            </w:pPr>
            <w:r>
              <w:t xml:space="preserve">Распорядитель бюджетных средств (распорядитель средств с</w:t>
            </w:r>
            <w:r>
              <w:t xml:space="preserve">оответствующего бюджета) – орган государственной власти (государственный орган), орган уп</w:t>
            </w:r>
            <w:r>
              <w:t xml:space="preserve">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w:t>
            </w:r>
            <w:r>
              <w:t xml:space="preserve"> получателями бюджетных средств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РД</w:t>
            </w:r>
            <w:r/>
          </w:p>
        </w:tc>
        <w:tc>
          <w:tcPr>
            <w:shd w:val="clear" w:fill="auto" w:color="auto"/>
            <w:tcW w:w="3734" w:type="pct"/>
            <w:textDirection w:val="lrTb"/>
            <w:noWrap w:val="false"/>
          </w:tcPr>
          <w:p>
            <w:pPr>
              <w:pStyle w:val="1005"/>
              <w:ind w:left="57" w:right="57"/>
            </w:pPr>
            <w:r>
              <w:t xml:space="preserve">Расчетные документы </w:t>
            </w:r>
            <w:r>
              <w:t xml:space="preserve">–</w:t>
            </w:r>
            <w:r>
              <w:t xml:space="preserve"> платежные поручения, на основании которых осуществляются</w:t>
            </w:r>
            <w:r>
              <w:t xml:space="preserve">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t xml:space="preserve">оло</w:t>
            </w:r>
            <w:r>
              <w:t xml:space="preserve">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w:t>
            </w:r>
            <w:r>
              <w:t xml:space="preserve">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w:t>
            </w:r>
            <w:r>
              <w:t xml:space="preserve">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w:t>
            </w:r>
            <w:r>
              <w:t xml:space="preserve">значейства от 29.10.2010 № 13н)</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Регистрация</w:t>
            </w:r>
            <w:r/>
          </w:p>
        </w:tc>
        <w:tc>
          <w:tcPr>
            <w:shd w:val="clear" w:fill="auto" w:color="auto"/>
            <w:tcW w:w="3734" w:type="pct"/>
            <w:textDirection w:val="lrTb"/>
            <w:noWrap w:val="false"/>
          </w:tcPr>
          <w:p>
            <w:pPr>
              <w:pStyle w:val="1005"/>
              <w:ind w:left="57" w:right="57"/>
            </w:pPr>
            <w:r>
              <w:t xml:space="preserve">Процесс создания учетных данных при обработке информац</w:t>
            </w:r>
            <w:r>
              <w:t xml:space="preserve">ионного объе</w:t>
            </w:r>
            <w:r>
              <w:t xml:space="preserve">кта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РКД</w:t>
            </w:r>
            <w:r/>
          </w:p>
        </w:tc>
        <w:tc>
          <w:tcPr>
            <w:shd w:val="clear" w:fill="auto" w:color="auto"/>
            <w:tcW w:w="3734" w:type="pct"/>
            <w:textDirection w:val="lrTb"/>
            <w:noWrap w:val="false"/>
          </w:tcPr>
          <w:p>
            <w:pPr>
              <w:pStyle w:val="1005"/>
              <w:ind w:left="57" w:right="57"/>
            </w:pPr>
            <w:r>
              <w:t xml:space="preserve">Электронный документ «Расшифровка сумм неиспользованных (внесенных через банкомат или пункт выдачи наличных дене</w:t>
            </w:r>
            <w:r>
              <w:t xml:space="preserve">жных средств) средств»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РОСГУ</w:t>
            </w:r>
            <w:r/>
          </w:p>
        </w:tc>
        <w:tc>
          <w:tcPr>
            <w:shd w:val="clear" w:fill="auto" w:color="auto"/>
            <w:tcW w:w="3734" w:type="pct"/>
            <w:textDirection w:val="lrTb"/>
            <w:noWrap w:val="false"/>
          </w:tcPr>
          <w:p>
            <w:pPr>
              <w:pStyle w:val="1005"/>
              <w:ind w:left="57" w:right="57"/>
            </w:pPr>
            <w:r>
              <w:t xml:space="preserve">Реестр организаций сект</w:t>
            </w:r>
            <w:r>
              <w:t xml:space="preserve">ора государственного управления</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РТ</w:t>
            </w:r>
            <w:r/>
          </w:p>
        </w:tc>
        <w:tc>
          <w:tcPr>
            <w:shd w:val="clear" w:fill="auto" w:color="auto"/>
            <w:tcW w:w="3734" w:type="pct"/>
            <w:textDirection w:val="lrTb"/>
            <w:noWrap w:val="false"/>
          </w:tcPr>
          <w:p>
            <w:pPr>
              <w:pStyle w:val="1005"/>
              <w:ind w:left="57" w:right="57"/>
            </w:pPr>
            <w:r>
              <w:t xml:space="preserve">Руководство технолога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РУБП</w:t>
            </w:r>
            <w:r/>
          </w:p>
        </w:tc>
        <w:tc>
          <w:tcPr>
            <w:shd w:val="clear" w:fill="auto" w:color="auto"/>
            <w:tcW w:w="3734" w:type="pct"/>
            <w:textDirection w:val="lrTb"/>
            <w:noWrap w:val="false"/>
          </w:tcPr>
          <w:p>
            <w:pPr>
              <w:pStyle w:val="1005"/>
              <w:ind w:left="57" w:right="57"/>
            </w:pPr>
            <w:r>
              <w:t xml:space="preserve">Реестр уча</w:t>
            </w:r>
            <w:r>
              <w:t xml:space="preserve">стников бюджетного процесса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Сводный реестр</w:t>
            </w:r>
            <w:r/>
          </w:p>
        </w:tc>
        <w:tc>
          <w:tcPr>
            <w:shd w:val="clear" w:fill="auto" w:color="auto"/>
            <w:tcW w:w="3734" w:type="pct"/>
            <w:textDirection w:val="lrTb"/>
            <w:noWrap w:val="false"/>
          </w:tcPr>
          <w:p>
            <w:pPr>
              <w:pStyle w:val="1005"/>
              <w:ind w:left="57" w:right="57"/>
            </w:pPr>
            <w:r>
              <w:t xml:space="preserve">Реестр участников бюджетного процесса, а также юридических лиц, не являющихся </w:t>
            </w:r>
            <w:r>
              <w:t xml:space="preserve">участниками бюджетного процесса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СЗКР</w:t>
            </w:r>
            <w:r/>
          </w:p>
        </w:tc>
        <w:tc>
          <w:tcPr>
            <w:shd w:val="clear" w:fill="auto" w:color="auto"/>
            <w:tcW w:w="3734" w:type="pct"/>
            <w:textDirection w:val="lrTb"/>
            <w:noWrap w:val="false"/>
          </w:tcPr>
          <w:p>
            <w:pPr>
              <w:pStyle w:val="1005"/>
              <w:ind w:left="57" w:right="57"/>
            </w:pPr>
            <w:r>
              <w:t xml:space="preserve">Сокращенная заявка на кассовый расход (код формы по класс</w:t>
            </w:r>
            <w:r>
              <w:t xml:space="preserve">ифи</w:t>
            </w:r>
            <w:r>
              <w:t xml:space="preserve">катору форм документов 0531851)</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Скроллер</w:t>
            </w:r>
            <w:r/>
          </w:p>
        </w:tc>
        <w:tc>
          <w:tcPr>
            <w:shd w:val="clear" w:fill="auto" w:color="auto"/>
            <w:tcW w:w="3734" w:type="pct"/>
            <w:textDirection w:val="lrTb"/>
            <w:noWrap w:val="false"/>
          </w:tcPr>
          <w:p>
            <w:pPr>
              <w:pStyle w:val="1005"/>
              <w:ind w:left="57" w:right="57"/>
            </w:pPr>
            <w:r>
              <w:t xml:space="preserve">Визуальная форма,</w:t>
            </w:r>
            <w:r>
              <w:t xml:space="preserve"> отображающая список документов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СМТ</w:t>
            </w:r>
            <w:r/>
          </w:p>
        </w:tc>
        <w:tc>
          <w:tcPr>
            <w:shd w:val="clear" w:fill="auto" w:color="auto"/>
            <w:tcW w:w="3734" w:type="pct"/>
            <w:textDirection w:val="lrTb"/>
            <w:noWrap w:val="false"/>
          </w:tcPr>
          <w:p>
            <w:pPr>
              <w:pStyle w:val="1005"/>
              <w:ind w:left="57" w:right="57"/>
            </w:pPr>
            <w:r>
              <w:t xml:space="preserve">Аналитический показатель. Смета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Соглашение</w:t>
            </w:r>
            <w:r/>
          </w:p>
        </w:tc>
        <w:tc>
          <w:tcPr>
            <w:shd w:val="clear" w:fill="auto" w:color="auto"/>
            <w:tcW w:w="3734" w:type="pct"/>
            <w:textDirection w:val="lrTb"/>
            <w:noWrap w:val="false"/>
          </w:tcPr>
          <w:p>
            <w:pPr>
              <w:pStyle w:val="1005"/>
              <w:ind w:left="57" w:right="57"/>
            </w:pPr>
            <w:r>
              <w:t xml:space="preserve">Соглашение об осуществлении органами Фе</w:t>
            </w:r>
            <w:r>
              <w:t xml:space="preserve">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w:t>
            </w:r>
            <w:r>
              <w:t xml:space="preserve">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w:t>
            </w:r>
            <w:r>
              <w:t xml:space="preserve">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СПЗ</w:t>
            </w:r>
            <w:r/>
          </w:p>
        </w:tc>
        <w:tc>
          <w:tcPr>
            <w:shd w:val="clear" w:fill="auto" w:color="auto"/>
            <w:tcW w:w="3734" w:type="pct"/>
            <w:textDirection w:val="lrTb"/>
            <w:noWrap w:val="false"/>
          </w:tcPr>
          <w:p>
            <w:pPr>
              <w:pStyle w:val="1005"/>
              <w:ind w:left="57" w:right="57"/>
            </w:pPr>
            <w:r>
              <w:t xml:space="preserve">Справочни</w:t>
            </w:r>
            <w:r>
              <w:t xml:space="preserve">к «Сводный перечень заказчиков»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СР</w:t>
            </w:r>
            <w:r/>
          </w:p>
        </w:tc>
        <w:tc>
          <w:tcPr>
            <w:shd w:val="clear" w:fill="auto" w:color="auto"/>
            <w:tcW w:w="3734" w:type="pct"/>
            <w:textDirection w:val="lrTb"/>
            <w:noWrap w:val="false"/>
          </w:tcPr>
          <w:p>
            <w:pPr>
              <w:pStyle w:val="1005"/>
              <w:ind w:left="57" w:right="57"/>
            </w:pPr>
            <w:r>
              <w:t xml:space="preserve">Сводный реестр. Реестр участников бюджетного процесса, а также юридических лиц, не являющихся участниками бюдже</w:t>
            </w:r>
            <w:r>
              <w:t xml:space="preserve">тного процесса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СРРПБС</w:t>
            </w:r>
            <w:r/>
          </w:p>
        </w:tc>
        <w:tc>
          <w:tcPr>
            <w:shd w:val="clear" w:fill="auto" w:color="auto"/>
            <w:tcW w:w="3734" w:type="pct"/>
            <w:textDirection w:val="lrTb"/>
            <w:noWrap w:val="false"/>
          </w:tcPr>
          <w:p>
            <w:pPr>
              <w:pStyle w:val="1005"/>
              <w:ind w:left="57" w:right="57"/>
            </w:pPr>
            <w:r>
              <w:t xml:space="preserve">Сводный реестр главных распорядителей, распорядителей и п</w:t>
            </w:r>
            <w:r>
              <w:t xml:space="preserve">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w:t>
            </w:r>
            <w:r>
              <w:t xml:space="preserve">бюджетного процесса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Статистические данные</w:t>
            </w:r>
            <w:r/>
          </w:p>
        </w:tc>
        <w:tc>
          <w:tcPr>
            <w:shd w:val="clear" w:fill="auto" w:color="auto"/>
            <w:tcW w:w="3734" w:type="pct"/>
            <w:textDirection w:val="lrTb"/>
            <w:noWrap w:val="false"/>
          </w:tcPr>
          <w:p>
            <w:pPr>
              <w:pStyle w:val="1005"/>
              <w:ind w:left="57" w:right="57"/>
            </w:pPr>
            <w:r>
              <w:t xml:space="preserve">Совокупность данных о событиях, зафиксированных при работе авторизованных сотрудников с прикладным программным обе</w:t>
            </w:r>
            <w:r>
              <w:t xml:space="preserve">спечением «Система поддержки технологического обеспечения (СПТО)»</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Субъект РФ</w:t>
            </w:r>
            <w:r/>
          </w:p>
        </w:tc>
        <w:tc>
          <w:tcPr>
            <w:shd w:val="clear" w:fill="auto" w:color="auto"/>
            <w:tcW w:w="3734" w:type="pct"/>
            <w:textDirection w:val="lrTb"/>
            <w:noWrap w:val="false"/>
          </w:tcPr>
          <w:p>
            <w:pPr>
              <w:pStyle w:val="1005"/>
              <w:ind w:left="57" w:right="57"/>
            </w:pPr>
            <w:r>
              <w:t xml:space="preserve">Субъект Российской</w:t>
            </w:r>
            <w:r>
              <w:t xml:space="preserve"> Федерации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СУФД</w:t>
            </w:r>
            <w:r/>
          </w:p>
        </w:tc>
        <w:tc>
          <w:tcPr>
            <w:shd w:val="clear" w:fill="auto" w:color="auto"/>
            <w:tcW w:w="3734" w:type="pct"/>
            <w:textDirection w:val="lrTb"/>
            <w:noWrap w:val="false"/>
          </w:tcPr>
          <w:p>
            <w:pPr>
              <w:pStyle w:val="1005"/>
              <w:ind w:left="57" w:right="57"/>
            </w:pPr>
            <w:r>
              <w:t xml:space="preserve">Система удаленно</w:t>
            </w:r>
            <w:r>
              <w:t xml:space="preserve">го финансового документооборота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СУФД-логистика</w:t>
            </w:r>
            <w:r/>
          </w:p>
        </w:tc>
        <w:tc>
          <w:tcPr>
            <w:shd w:val="clear" w:fill="auto" w:color="auto"/>
            <w:tcW w:w="3734" w:type="pct"/>
            <w:textDirection w:val="lrTb"/>
            <w:noWrap w:val="false"/>
          </w:tcPr>
          <w:p>
            <w:pPr>
              <w:pStyle w:val="1005"/>
              <w:ind w:left="57" w:right="57"/>
            </w:pPr>
            <w:r>
              <w:t xml:space="preserve">Подсистема прикладного программного обеспечения «Система удаленного финансового документооборота», обеспечивающая </w:t>
            </w:r>
            <w:r>
              <w:t xml:space="preserve">трансформацию</w:t>
            </w:r>
            <w:r>
              <w:t xml:space="preserve"> и обмен информационными сообщениями м</w:t>
            </w:r>
            <w:r>
              <w:t xml:space="preserve">ежду подсистемами автоматизированной системы Федерального ка</w:t>
            </w:r>
            <w:r>
              <w:t xml:space="preserve">значейства и внешними системами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rPr>
                <w:highlight w:val="yellow"/>
              </w:rPr>
            </w:pPr>
            <w:r>
              <w:t xml:space="preserve">Счет № </w:t>
            </w:r>
            <w:r>
              <w:t xml:space="preserve">03100</w:t>
            </w:r>
            <w:r/>
          </w:p>
        </w:tc>
        <w:tc>
          <w:tcPr>
            <w:shd w:val="clear" w:fill="auto" w:color="auto"/>
            <w:tcW w:w="3734" w:type="pct"/>
            <w:textDirection w:val="lrTb"/>
            <w:noWrap w:val="false"/>
          </w:tcPr>
          <w:p>
            <w:pPr>
              <w:pStyle w:val="1005"/>
              <w:ind w:left="57" w:right="57"/>
              <w:rPr>
                <w:highlight w:val="yellow"/>
              </w:rPr>
            </w:pPr>
            <w:r>
              <w:t xml:space="preserve">Казначейский счет, открытый отдельному участнику системы казначейских платежей с кодом вида казначейского счета № 3100 «Средства поступлений, являющихся источниками формирования доходов бюджетов </w:t>
            </w:r>
            <w:r>
              <w:t xml:space="preserve">бюджетной системы Российской Федерации» в Федеральном казначействе</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pPr>
            <w:r>
              <w:t xml:space="preserve">Счет № 40101</w:t>
            </w:r>
            <w:r/>
          </w:p>
        </w:tc>
        <w:tc>
          <w:tcPr>
            <w:shd w:val="clear" w:fill="auto" w:color="auto"/>
            <w:tcW w:w="3734" w:type="pct"/>
            <w:textDirection w:val="lrTb"/>
            <w:noWrap w:val="false"/>
          </w:tcPr>
          <w:p>
            <w:pPr>
              <w:pStyle w:val="1005"/>
            </w:pPr>
            <w:r>
              <w:t xml:space="preserve">Счет, открытый органу Федерального казначейства на бал</w:t>
            </w:r>
            <w:r>
              <w:t xml:space="preserve">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СЭД</w:t>
            </w:r>
            <w:r/>
          </w:p>
        </w:tc>
        <w:tc>
          <w:tcPr>
            <w:shd w:val="clear" w:fill="auto" w:color="auto"/>
            <w:tcW w:w="3734" w:type="pct"/>
            <w:textDirection w:val="lrTb"/>
            <w:noWrap w:val="false"/>
          </w:tcPr>
          <w:p>
            <w:pPr>
              <w:pStyle w:val="1005"/>
              <w:ind w:left="57" w:right="57"/>
            </w:pPr>
            <w:r>
              <w:t xml:space="preserve">Систем</w:t>
            </w:r>
            <w:r>
              <w:t xml:space="preserve">а электронного документооборота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ТГВФ</w:t>
            </w:r>
            <w:r/>
          </w:p>
        </w:tc>
        <w:tc>
          <w:tcPr>
            <w:shd w:val="clear" w:fill="auto" w:color="auto"/>
            <w:tcW w:w="3734" w:type="pct"/>
            <w:textDirection w:val="lrTb"/>
            <w:noWrap w:val="false"/>
          </w:tcPr>
          <w:p>
            <w:pPr>
              <w:pStyle w:val="1005"/>
              <w:ind w:left="57" w:right="57"/>
            </w:pPr>
            <w:r>
              <w:t xml:space="preserve">Территориальный государств</w:t>
            </w:r>
            <w:r>
              <w:t xml:space="preserve">енный внебюджетный фонд</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ТОАИФ</w:t>
            </w:r>
            <w:r/>
          </w:p>
        </w:tc>
        <w:tc>
          <w:tcPr>
            <w:shd w:val="clear" w:fill="auto" w:color="auto"/>
            <w:tcW w:w="3734" w:type="pct"/>
            <w:textDirection w:val="lrTb"/>
            <w:noWrap w:val="false"/>
          </w:tcPr>
          <w:p>
            <w:pPr>
              <w:pStyle w:val="1005"/>
              <w:ind w:left="57" w:right="57"/>
            </w:pPr>
            <w:r>
              <w:t xml:space="preserve">Территориальный орган администратора источников финанс</w:t>
            </w:r>
            <w:r>
              <w:t xml:space="preserve">ирования</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ТОАП</w:t>
            </w:r>
            <w:r/>
          </w:p>
        </w:tc>
        <w:tc>
          <w:tcPr>
            <w:shd w:val="clear" w:fill="auto" w:color="auto"/>
            <w:tcW w:w="3734" w:type="pct"/>
            <w:textDirection w:val="lrTb"/>
            <w:noWrap w:val="false"/>
          </w:tcPr>
          <w:p>
            <w:pPr>
              <w:pStyle w:val="1005"/>
              <w:ind w:left="57" w:right="57"/>
            </w:pPr>
            <w:r>
              <w:t xml:space="preserve">Территориальный о</w:t>
            </w:r>
            <w:r>
              <w:t xml:space="preserve">рган администратора поступлений</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ТОФК</w:t>
            </w:r>
            <w:r/>
          </w:p>
        </w:tc>
        <w:tc>
          <w:tcPr>
            <w:shd w:val="clear" w:fill="auto" w:color="auto"/>
            <w:tcW w:w="3734" w:type="pct"/>
            <w:textDirection w:val="lrTb"/>
            <w:noWrap w:val="false"/>
          </w:tcPr>
          <w:p>
            <w:pPr>
              <w:pStyle w:val="1005"/>
              <w:ind w:left="57" w:right="57"/>
            </w:pPr>
            <w:r>
              <w:t xml:space="preserve">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w:t>
            </w:r>
            <w:r>
              <w:t xml:space="preserve">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w:t>
            </w:r>
            <w:r>
              <w:t xml:space="preserve"> субъектам Российской Федерации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ТР</w:t>
            </w:r>
            <w:r/>
          </w:p>
        </w:tc>
        <w:tc>
          <w:tcPr>
            <w:shd w:val="clear" w:fill="auto" w:color="auto"/>
            <w:tcW w:w="3734" w:type="pct"/>
            <w:textDirection w:val="lrTb"/>
            <w:noWrap w:val="false"/>
          </w:tcPr>
          <w:p>
            <w:pPr>
              <w:pStyle w:val="1005"/>
              <w:ind w:left="57" w:right="57"/>
            </w:pPr>
            <w:r>
              <w:t xml:space="preserve">Технологический регламент</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ТУ</w:t>
            </w:r>
            <w:r/>
          </w:p>
        </w:tc>
        <w:tc>
          <w:tcPr>
            <w:shd w:val="clear" w:fill="auto" w:color="auto"/>
            <w:tcW w:w="3734" w:type="pct"/>
            <w:textDirection w:val="lrTb"/>
            <w:noWrap w:val="false"/>
          </w:tcPr>
          <w:p>
            <w:pPr>
              <w:pStyle w:val="1005"/>
              <w:ind w:left="57" w:right="57"/>
            </w:pPr>
            <w:r>
              <w:t xml:space="preserve">Технические условия</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ТФФ</w:t>
            </w:r>
            <w:r/>
          </w:p>
        </w:tc>
        <w:tc>
          <w:tcPr>
            <w:shd w:val="clear" w:fill="auto" w:color="auto"/>
            <w:tcW w:w="3734" w:type="pct"/>
            <w:textDirection w:val="lrTb"/>
            <w:noWrap w:val="false"/>
          </w:tcPr>
          <w:p>
            <w:pPr>
              <w:pStyle w:val="1005"/>
              <w:ind w:left="57" w:right="57"/>
            </w:pPr>
            <w:r>
              <w:t xml:space="preserve">Требования, предъявляемые к форматам файлов при информ</w:t>
            </w:r>
            <w:r>
              <w:t xml:space="preserve">ационном взаимодействии со смежными системами прикл</w:t>
            </w:r>
            <w:r>
              <w:t xml:space="preserve">адного программного обеспечения</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УБП</w:t>
            </w:r>
            <w:r/>
          </w:p>
        </w:tc>
        <w:tc>
          <w:tcPr>
            <w:shd w:val="clear" w:fill="auto" w:color="auto"/>
            <w:tcW w:w="3734" w:type="pct"/>
            <w:textDirection w:val="lrTb"/>
            <w:noWrap w:val="false"/>
          </w:tcPr>
          <w:p>
            <w:pPr>
              <w:pStyle w:val="1005"/>
              <w:ind w:left="57" w:right="57"/>
            </w:pPr>
            <w:r>
              <w:t xml:space="preserve">Участник бюджетного процесса – главный распорядитель бю</w:t>
            </w:r>
            <w:r>
              <w:t xml:space="preserve">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w:t>
            </w:r>
            <w:r>
              <w:t xml:space="preserve">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w:t>
            </w:r>
            <w:r>
              <w:t xml:space="preserve">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w:t>
            </w:r>
            <w:r>
              <w:t xml:space="preserve">дарственным внебюджетным фондом</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Уведомление о з</w:t>
            </w:r>
            <w:r>
              <w:t xml:space="preserve">ачете</w:t>
            </w:r>
            <w:r/>
          </w:p>
        </w:tc>
        <w:tc>
          <w:tcPr>
            <w:shd w:val="clear" w:fill="auto" w:color="auto"/>
            <w:tcW w:w="3734" w:type="pct"/>
            <w:textDirection w:val="lrTb"/>
            <w:noWrap w:val="false"/>
          </w:tcPr>
          <w:p>
            <w:pPr>
              <w:pStyle w:val="1005"/>
              <w:ind w:left="57" w:right="57"/>
            </w:pPr>
            <w:r>
              <w:t xml:space="preserve">Уведомление налоговых органов о решениях о зачете излишне уплаченных (взысканных) сумм налогов и сборов, пеней, штр</w:t>
            </w:r>
            <w:r>
              <w:t xml:space="preserve">афов, а также подлежащих во</w:t>
            </w:r>
            <w:r>
              <w:t xml:space="preserve">змещению сумм налогов и сборов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Уведомление об отказе</w:t>
            </w:r>
            <w:r/>
          </w:p>
        </w:tc>
        <w:tc>
          <w:tcPr>
            <w:shd w:val="clear" w:fill="auto" w:color="auto"/>
            <w:tcW w:w="3734" w:type="pct"/>
            <w:textDirection w:val="lrTb"/>
            <w:noWrap w:val="false"/>
          </w:tcPr>
          <w:p>
            <w:pPr>
              <w:pStyle w:val="1005"/>
              <w:ind w:left="57" w:right="57"/>
            </w:pPr>
            <w:r>
              <w:t xml:space="preserve">Документ произвольной фор</w:t>
            </w:r>
            <w:r>
              <w:t xml:space="preserve">мы (на бумажном носителе) или информация о причинах отказа, доступная в режиме просмотра документа после получения отказа от передающей стороны в прикладном программном обеспечении «Автоматизированная система электронного документооборота Федерального казн</w:t>
            </w:r>
            <w:r>
              <w:t xml:space="preserve">ачейства (СЭД)»</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Уведомление об уточнении</w:t>
            </w:r>
            <w:r/>
          </w:p>
        </w:tc>
        <w:tc>
          <w:tcPr>
            <w:shd w:val="clear" w:fill="auto" w:color="auto"/>
            <w:tcW w:w="3734" w:type="pct"/>
            <w:textDirection w:val="lrTb"/>
            <w:noWrap w:val="false"/>
          </w:tcPr>
          <w:p>
            <w:pPr>
              <w:pStyle w:val="1005"/>
              <w:ind w:left="57" w:right="57"/>
            </w:pPr>
            <w:r>
              <w:t xml:space="preserve">Уведомление об уточнении вида и принадлежности платежа (код формы по классифи</w:t>
            </w:r>
            <w:r>
              <w:t xml:space="preserve">катору форм документов 0531809)</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УИН</w:t>
            </w:r>
            <w:r/>
          </w:p>
        </w:tc>
        <w:tc>
          <w:tcPr>
            <w:shd w:val="clear" w:fill="auto" w:color="auto"/>
            <w:tcW w:w="3734" w:type="pct"/>
            <w:textDirection w:val="lrTb"/>
            <w:noWrap w:val="false"/>
          </w:tcPr>
          <w:p>
            <w:pPr>
              <w:pStyle w:val="1005"/>
              <w:ind w:left="57" w:right="57"/>
            </w:pPr>
            <w:r>
              <w:t xml:space="preserve">Уникальный иден</w:t>
            </w:r>
            <w:r>
              <w:t xml:space="preserve">тификатор начисления</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Унитарное пре</w:t>
            </w:r>
            <w:r>
              <w:t xml:space="preserve">дприятие</w:t>
            </w:r>
            <w:r/>
          </w:p>
        </w:tc>
        <w:tc>
          <w:tcPr>
            <w:shd w:val="clear" w:fill="auto" w:color="auto"/>
            <w:tcW w:w="3734" w:type="pct"/>
            <w:textDirection w:val="lrTb"/>
            <w:noWrap w:val="false"/>
          </w:tcPr>
          <w:p>
            <w:pPr>
              <w:pStyle w:val="1005"/>
              <w:ind w:left="57" w:right="57"/>
            </w:pPr>
            <w:r>
              <w:t xml:space="preserve">Коммерческая организация, не наделенная правом собственн</w:t>
            </w:r>
            <w:r>
              <w:t xml:space="preserve">ости на имущество, за</w:t>
            </w:r>
            <w:r>
              <w:t xml:space="preserve">крепленное за ней собственником</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УП</w:t>
            </w:r>
            <w:r/>
          </w:p>
        </w:tc>
        <w:tc>
          <w:tcPr>
            <w:shd w:val="clear" w:fill="auto" w:color="auto"/>
            <w:tcW w:w="3734" w:type="pct"/>
            <w:textDirection w:val="lrTb"/>
            <w:noWrap w:val="false"/>
          </w:tcPr>
          <w:p>
            <w:pPr>
              <w:pStyle w:val="1005"/>
              <w:ind w:left="57" w:right="57"/>
            </w:pPr>
            <w:r>
              <w:t xml:space="preserve">Уполномоченное подразделение – обособленное подразделение, не наделенное обязанностью ведения бухгалтерского (бюдже</w:t>
            </w:r>
            <w:r>
              <w:t xml:space="preserve">тного) учета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УУК</w:t>
            </w:r>
            <w:r/>
          </w:p>
        </w:tc>
        <w:tc>
          <w:tcPr>
            <w:shd w:val="clear" w:fill="auto" w:color="auto"/>
            <w:tcW w:w="3734" w:type="pct"/>
            <w:textDirection w:val="lrTb"/>
            <w:noWrap w:val="false"/>
          </w:tcPr>
          <w:p>
            <w:pPr>
              <w:pStyle w:val="1005"/>
              <w:ind w:left="57" w:right="57"/>
            </w:pPr>
            <w:r>
              <w:t xml:space="preserve">Технический подтип документа «Уведомление об уточнении в</w:t>
            </w:r>
            <w:r>
              <w:t xml:space="preserve">ида и принадлежности платежа» (код формы по классификатору форм документов 0531809), испол</w:t>
            </w:r>
            <w:r>
              <w:t xml:space="preserve">няемого на едином счете бюджета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УФК</w:t>
            </w:r>
            <w:r/>
          </w:p>
        </w:tc>
        <w:tc>
          <w:tcPr>
            <w:shd w:val="clear" w:fill="auto" w:color="auto"/>
            <w:tcW w:w="3734" w:type="pct"/>
            <w:textDirection w:val="lrTb"/>
            <w:noWrap w:val="false"/>
          </w:tcPr>
          <w:p>
            <w:pPr>
              <w:pStyle w:val="1005"/>
              <w:ind w:left="57" w:right="57"/>
            </w:pPr>
            <w:r>
              <w:t xml:space="preserve">Управление Федерального казначейства по субъекту Росси</w:t>
            </w:r>
            <w:r>
              <w:t xml:space="preserve">йской Федерации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УФЭБС</w:t>
            </w:r>
            <w:r/>
          </w:p>
        </w:tc>
        <w:tc>
          <w:tcPr>
            <w:shd w:val="clear" w:fill="auto" w:color="auto"/>
            <w:tcW w:w="3734" w:type="pct"/>
            <w:textDirection w:val="lrTb"/>
            <w:noWrap w:val="false"/>
          </w:tcPr>
          <w:p>
            <w:pPr>
              <w:pStyle w:val="1005"/>
              <w:ind w:left="57" w:right="57"/>
            </w:pPr>
            <w:r>
              <w:t xml:space="preserve">Унифицированный формат электронных банковских сообщ</w:t>
            </w:r>
            <w:r>
              <w:t xml:space="preserve">ений</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ФАИП</w:t>
            </w:r>
            <w:r/>
          </w:p>
        </w:tc>
        <w:tc>
          <w:tcPr>
            <w:shd w:val="clear" w:fill="auto" w:color="auto"/>
            <w:tcW w:w="3734" w:type="pct"/>
            <w:textDirection w:val="lrTb"/>
            <w:noWrap w:val="false"/>
          </w:tcPr>
          <w:p>
            <w:pPr>
              <w:pStyle w:val="1005"/>
              <w:ind w:left="57" w:right="57"/>
            </w:pPr>
            <w:r>
              <w:t xml:space="preserve">Федеральная ад</w:t>
            </w:r>
            <w:r>
              <w:t xml:space="preserve">ресная инвестиционная программа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ФБ</w:t>
            </w:r>
            <w:r/>
          </w:p>
        </w:tc>
        <w:tc>
          <w:tcPr>
            <w:shd w:val="clear" w:fill="auto" w:color="auto"/>
            <w:tcW w:w="3734" w:type="pct"/>
            <w:textDirection w:val="lrTb"/>
            <w:noWrap w:val="false"/>
          </w:tcPr>
          <w:p>
            <w:pPr>
              <w:pStyle w:val="1005"/>
              <w:ind w:left="57" w:right="57"/>
            </w:pPr>
            <w:r>
              <w:t xml:space="preserve">Федеральный бюджет</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ФГУП</w:t>
            </w:r>
            <w:r/>
          </w:p>
        </w:tc>
        <w:tc>
          <w:tcPr>
            <w:shd w:val="clear" w:fill="auto" w:color="auto"/>
            <w:tcW w:w="3734" w:type="pct"/>
            <w:textDirection w:val="lrTb"/>
            <w:noWrap w:val="false"/>
          </w:tcPr>
          <w:p>
            <w:pPr>
              <w:pStyle w:val="1005"/>
              <w:ind w:left="57" w:right="57"/>
            </w:pPr>
            <w:r>
              <w:t xml:space="preserve">Федеральное госуда</w:t>
            </w:r>
            <w:r>
              <w:t xml:space="preserve">рственное унитарное предприятие</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Финорган</w:t>
            </w:r>
            <w:r/>
          </w:p>
        </w:tc>
        <w:tc>
          <w:tcPr>
            <w:shd w:val="clear" w:fill="auto" w:color="auto"/>
            <w:tcW w:w="3734" w:type="pct"/>
            <w:textDirection w:val="lrTb"/>
            <w:noWrap w:val="false"/>
          </w:tcPr>
          <w:p>
            <w:pPr>
              <w:pStyle w:val="1005"/>
              <w:ind w:left="57" w:right="57"/>
            </w:pPr>
            <w:r>
              <w:t xml:space="preserve">Финансовый орган. К финансовым органам относятся: Мин</w:t>
            </w:r>
            <w:r>
              <w:t xml:space="preserve">истерство финансов Российской Федерации, органы исполнительной власти субъектов Российской Федерации, осуществляющие составление и организацию испо</w:t>
            </w:r>
            <w:r>
              <w:t xml:space="preserve">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w:t>
            </w:r>
            <w:r>
              <w:t xml:space="preserve">аны муниципального образования)</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ФИО</w:t>
            </w:r>
            <w:r/>
          </w:p>
        </w:tc>
        <w:tc>
          <w:tcPr>
            <w:shd w:val="clear" w:fill="auto" w:color="auto"/>
            <w:tcW w:w="3734" w:type="pct"/>
            <w:textDirection w:val="lrTb"/>
            <w:noWrap w:val="false"/>
          </w:tcPr>
          <w:p>
            <w:pPr>
              <w:pStyle w:val="1005"/>
              <w:ind w:left="57" w:right="57"/>
            </w:pPr>
            <w:r>
              <w:t xml:space="preserve">Фамилия, имя, отчест</w:t>
            </w:r>
            <w:r>
              <w:t xml:space="preserve">во</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ФК</w:t>
            </w:r>
            <w:r/>
          </w:p>
        </w:tc>
        <w:tc>
          <w:tcPr>
            <w:shd w:val="clear" w:fill="auto" w:color="auto"/>
            <w:tcW w:w="3734" w:type="pct"/>
            <w:textDirection w:val="lrTb"/>
            <w:noWrap w:val="false"/>
          </w:tcPr>
          <w:p>
            <w:pPr>
              <w:pStyle w:val="1005"/>
              <w:ind w:left="57" w:right="57"/>
            </w:pPr>
            <w:r>
              <w:t xml:space="preserve">Федеральное казначейство</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ФКР</w:t>
            </w:r>
            <w:r/>
          </w:p>
        </w:tc>
        <w:tc>
          <w:tcPr>
            <w:shd w:val="clear" w:fill="auto" w:color="auto"/>
            <w:tcW w:w="3734" w:type="pct"/>
            <w:textDirection w:val="lrTb"/>
            <w:noWrap w:val="false"/>
          </w:tcPr>
          <w:p>
            <w:pPr>
              <w:pStyle w:val="1005"/>
              <w:ind w:left="57" w:right="57"/>
            </w:pPr>
            <w:r>
              <w:t xml:space="preserve">Функци</w:t>
            </w:r>
            <w:r>
              <w:t xml:space="preserve">ональный классификатор расходов</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ФНС</w:t>
            </w:r>
            <w:r/>
          </w:p>
        </w:tc>
        <w:tc>
          <w:tcPr>
            <w:shd w:val="clear" w:fill="auto" w:color="auto"/>
            <w:tcW w:w="3734" w:type="pct"/>
            <w:textDirection w:val="lrTb"/>
            <w:noWrap w:val="false"/>
          </w:tcPr>
          <w:p>
            <w:pPr>
              <w:pStyle w:val="1005"/>
              <w:ind w:left="57" w:right="57"/>
            </w:pPr>
            <w:r>
              <w:t xml:space="preserve">Федеральная налоговая служба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ФО</w:t>
            </w:r>
            <w:r/>
          </w:p>
        </w:tc>
        <w:tc>
          <w:tcPr>
            <w:shd w:val="clear" w:fill="auto" w:color="auto"/>
            <w:tcW w:w="3734" w:type="pct"/>
            <w:textDirection w:val="lrTb"/>
            <w:noWrap w:val="false"/>
          </w:tcPr>
          <w:p>
            <w:pPr>
              <w:pStyle w:val="1005"/>
              <w:ind w:left="57" w:right="57"/>
            </w:pPr>
            <w:r>
              <w:t xml:space="preserve">Финансовые органы – Министерство финансов Российской Ф</w:t>
            </w:r>
            <w:r>
              <w:t xml:space="preserve">едерации, органы исполнительной власти субъектов Российской Федерации, осуществляющие составление и организацию испо</w:t>
            </w:r>
            <w:r>
              <w:t xml:space="preserve">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w:t>
            </w:r>
            <w:r>
              <w:t xml:space="preserve">аны муниципального образования)</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ЦАФК</w:t>
            </w:r>
            <w:r/>
          </w:p>
        </w:tc>
        <w:tc>
          <w:tcPr>
            <w:shd w:val="clear" w:fill="auto" w:color="auto"/>
            <w:tcW w:w="3734" w:type="pct"/>
            <w:textDirection w:val="lrTb"/>
            <w:noWrap w:val="false"/>
          </w:tcPr>
          <w:p>
            <w:pPr>
              <w:pStyle w:val="1005"/>
              <w:ind w:left="57" w:right="57"/>
            </w:pPr>
            <w:r>
              <w:t xml:space="preserve">Центральный ап</w:t>
            </w:r>
            <w:r>
              <w:t xml:space="preserve">парат Федерального казначейства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Чекбокс</w:t>
            </w:r>
            <w:r/>
          </w:p>
        </w:tc>
        <w:tc>
          <w:tcPr>
            <w:shd w:val="clear" w:fill="auto" w:color="auto"/>
            <w:tcW w:w="3734" w:type="pct"/>
            <w:textDirection w:val="lrTb"/>
            <w:noWrap w:val="false"/>
          </w:tcPr>
          <w:p>
            <w:pPr>
              <w:pStyle w:val="1005"/>
              <w:ind w:left="57" w:right="57"/>
            </w:pPr>
            <w:r>
              <w:t xml:space="preserve">Клетка выбора из</w:t>
            </w:r>
            <w:r>
              <w:t xml:space="preserve"> списка представленных значений</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ЭД</w:t>
            </w:r>
            <w:r/>
          </w:p>
        </w:tc>
        <w:tc>
          <w:tcPr>
            <w:shd w:val="clear" w:fill="auto" w:color="auto"/>
            <w:tcW w:w="3734" w:type="pct"/>
            <w:textDirection w:val="lrTb"/>
            <w:noWrap w:val="false"/>
          </w:tcPr>
          <w:p>
            <w:pPr>
              <w:pStyle w:val="1005"/>
              <w:ind w:left="57" w:right="57"/>
            </w:pPr>
            <w:r>
              <w:t xml:space="preserve">Электронный документ, аналог бум</w:t>
            </w:r>
            <w:r>
              <w:t xml:space="preserve">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t xml:space="preserve">атусы документа)</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ЭП</w:t>
            </w:r>
            <w:r/>
          </w:p>
        </w:tc>
        <w:tc>
          <w:tcPr>
            <w:shd w:val="clear" w:fill="auto" w:color="auto"/>
            <w:tcW w:w="3734" w:type="pct"/>
            <w:textDirection w:val="lrTb"/>
            <w:noWrap w:val="false"/>
          </w:tcPr>
          <w:p>
            <w:pPr>
              <w:pStyle w:val="1005"/>
              <w:ind w:left="57" w:right="57"/>
            </w:pPr>
            <w:r>
              <w:t xml:space="preserve">Электронная подпись. Информация в электронной форме, кот</w:t>
            </w:r>
            <w:r>
              <w:t xml:space="preserve">орая присоединена к другой информации в электронной форме (подписываемой информации) или иным образом связана с такой информацией и которая ис</w:t>
            </w:r>
            <w:r>
              <w:t xml:space="preserve">пользуется для определения </w:t>
            </w:r>
            <w:r>
              <w:t xml:space="preserve">лица, подписывающего информацию</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ЭПД</w:t>
            </w:r>
            <w:r/>
          </w:p>
        </w:tc>
        <w:tc>
          <w:tcPr>
            <w:shd w:val="clear" w:fill="auto" w:color="auto"/>
            <w:tcW w:w="3734" w:type="pct"/>
            <w:textDirection w:val="lrTb"/>
            <w:noWrap w:val="false"/>
          </w:tcPr>
          <w:p>
            <w:pPr>
              <w:pStyle w:val="1005"/>
              <w:ind w:left="57" w:right="57"/>
            </w:pPr>
            <w:r>
              <w:t xml:space="preserve">Электронный платежный документ – документ, являющийся о</w:t>
            </w:r>
            <w:r>
              <w:t xml:space="preserve">снованием для совершения операций по счетам кредитных организаций (филиалов) и других клиентов Центрального банка Российской Федерации, о</w:t>
            </w:r>
            <w:r>
              <w:t xml:space="preserve">ткрытым в учреждениях Центрального банка Российской Федерации, подписанный (защищенный) электронной цифровой подписью и имеющий равную юридическую силу с расчетным документом на бумажных носителях, подписанными собственноручными подписями уполномоченных ли</w:t>
            </w:r>
            <w:r>
              <w:t xml:space="preserve">ц и заверенными оттиском печати</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ЭС</w:t>
            </w:r>
            <w:r/>
          </w:p>
        </w:tc>
        <w:tc>
          <w:tcPr>
            <w:shd w:val="clear" w:fill="auto" w:color="auto"/>
            <w:tcW w:w="3734" w:type="pct"/>
            <w:textDirection w:val="lrTb"/>
            <w:noWrap w:val="false"/>
          </w:tcPr>
          <w:p>
            <w:pPr>
              <w:pStyle w:val="1005"/>
              <w:ind w:left="57" w:right="57"/>
            </w:pPr>
            <w:r>
              <w:t xml:space="preserve">Электронное сообщение</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ЭФ</w:t>
            </w:r>
            <w:r/>
          </w:p>
        </w:tc>
        <w:tc>
          <w:tcPr>
            <w:shd w:val="clear" w:fill="auto" w:color="auto"/>
            <w:tcW w:w="3734" w:type="pct"/>
            <w:textDirection w:val="lrTb"/>
            <w:noWrap w:val="false"/>
          </w:tcPr>
          <w:p>
            <w:pPr>
              <w:pStyle w:val="1005"/>
              <w:ind w:left="57" w:right="57"/>
            </w:pPr>
            <w:r>
              <w:t xml:space="preserve">Экранная форма – визуальная форма электронного документа в интерфейсе прикл</w:t>
            </w:r>
            <w:r>
              <w:t xml:space="preserve">адного программного обеспечения</w:t>
            </w:r>
            <w:r/>
          </w:p>
        </w:tc>
      </w:tr>
      <w:tr>
        <w:trPr/>
        <w:tc>
          <w:tcPr>
            <w:shd w:val="clear" w:fill="auto" w:color="auto"/>
            <w:tcW w:w="320" w:type="pct"/>
            <w:textDirection w:val="lrTb"/>
            <w:noWrap w:val="false"/>
          </w:tcPr>
          <w:p>
            <w:pPr>
              <w:pStyle w:val="1009"/>
            </w:pPr>
            <w:r/>
            <w:r/>
          </w:p>
        </w:tc>
        <w:tc>
          <w:tcPr>
            <w:shd w:val="clear" w:fill="auto" w:color="auto"/>
            <w:tcW w:w="946" w:type="pct"/>
            <w:textDirection w:val="lrTb"/>
            <w:noWrap w:val="false"/>
          </w:tcPr>
          <w:p>
            <w:pPr>
              <w:pStyle w:val="1005"/>
              <w:ind w:left="57" w:right="57"/>
            </w:pPr>
            <w:r>
              <w:t xml:space="preserve">ЮЛ</w:t>
            </w:r>
            <w:r/>
          </w:p>
        </w:tc>
        <w:tc>
          <w:tcPr>
            <w:shd w:val="clear" w:fill="auto" w:color="auto"/>
            <w:tcW w:w="3734" w:type="pct"/>
            <w:textDirection w:val="lrTb"/>
            <w:noWrap w:val="false"/>
          </w:tcPr>
          <w:p>
            <w:pPr>
              <w:pStyle w:val="1005"/>
              <w:ind w:left="57" w:right="57"/>
            </w:pPr>
            <w:r>
              <w:t xml:space="preserve">Юридическое лицо</w:t>
            </w:r>
            <w:r/>
          </w:p>
        </w:tc>
      </w:tr>
    </w:tbl>
    <w:p>
      <w:pPr>
        <w:pStyle w:val="974"/>
      </w:pPr>
      <w:r/>
      <w:bookmarkStart w:id="23" w:name="_Toc232827274"/>
      <w:r>
        <w:t xml:space="preserve">Элементы оформления</w:t>
      </w:r>
      <w:bookmarkEnd w:id="23"/>
      <w:r/>
      <w:r/>
    </w:p>
    <w:p>
      <w:pPr>
        <w:pStyle w:val="994"/>
      </w:pPr>
      <w:r>
        <w:t xml:space="preserve">Кнопки экранных форм или окон в тексте обозначаются следующим образом: «</w:t>
      </w:r>
      <w:r>
        <w:rPr>
          <w:lang w:val="en-US"/>
        </w:rPr>
        <w:t xml:space="preserve">OK</w:t>
      </w:r>
      <w:r>
        <w:t xml:space="preserve">», «Выйти», «Отмена» и т.д. Кнопки, расположенные на панели инструментов, обозначаются следующим образом: </w:t>
      </w:r>
      <w:r>
        <mc:AlternateContent>
          <mc:Choice Requires="wpg">
            <w:drawing>
              <wp:inline xmlns:wp="http://schemas.openxmlformats.org/drawingml/2006/wordprocessingDrawing" distT="0" distB="0" distL="0" distR="0">
                <wp:extent cx="182880" cy="182880"/>
                <wp:effectExtent l="0" t="0" r="0" b="0"/>
                <wp:docPr id="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6"/>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4.4pt;height:14.4pt;" stroked="f">
                <v:path textboxrect="0,0,0,0"/>
                <v:imagedata r:id="rId16" o:title=""/>
              </v:shape>
            </w:pict>
          </mc:Fallback>
        </mc:AlternateContent>
      </w:r>
      <w:r>
        <w:t xml:space="preserve"> (Сохранить), </w:t>
      </w:r>
      <w:r>
        <mc:AlternateContent>
          <mc:Choice Requires="wpg">
            <w:drawing>
              <wp:inline xmlns:wp="http://schemas.openxmlformats.org/drawingml/2006/wordprocessingDrawing" distT="0" distB="0" distL="0" distR="0">
                <wp:extent cx="274320" cy="274320"/>
                <wp:effectExtent l="0" t="0" r="0" b="0"/>
                <wp:docPr id="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7"/>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21.6pt;height:21.6pt;" stroked="f">
                <v:path textboxrect="0,0,0,0"/>
                <v:imagedata r:id="rId17" o:title=""/>
              </v:shape>
            </w:pict>
          </mc:Fallback>
        </mc:AlternateContent>
      </w:r>
      <w:r>
        <w:t xml:space="preserve"> (Создать) и т.</w:t>
      </w:r>
      <w:r>
        <w:t xml:space="preserve">п.</w:t>
      </w:r>
      <w:r/>
    </w:p>
    <w:p>
      <w:pPr>
        <w:pStyle w:val="994"/>
      </w:pPr>
      <w:r>
        <w:t xml:space="preserve">Название пунктов меню, закладок, а также названия документов и справочников в тексте заключаются в кавычки. Например: справочник «КБК», пункт меню «О программе», закладка «Основная информация» и т.д.</w:t>
      </w:r>
      <w:r/>
    </w:p>
    <w:p>
      <w:pPr>
        <w:pStyle w:val="994"/>
      </w:pPr>
      <w:r>
        <w:t xml:space="preserve">Последовательный переход пользователя по пунктам меню представлен</w:t>
      </w:r>
      <w:r>
        <w:t xml:space="preserve"> в тексте в виде названий выбираемых пунктов, разделенных косой чертой и заключенным в кавычки. Например: «Обработка/Выгрузка данных» (пользователь должен последовательно выбрать пункт меню «Обработка», затем в открывшемся подменю пункт «Выгрузка данных»).</w:t>
      </w:r>
      <w:r/>
    </w:p>
    <w:p>
      <w:pPr>
        <w:pStyle w:val="994"/>
      </w:pPr>
      <w:r>
        <w:t xml:space="preserve">Название файлов выделяются в тексте следующим образом: </w:t>
      </w:r>
      <w:r>
        <w:rPr>
          <w:lang w:val="en-US"/>
        </w:rPr>
        <w:t xml:space="preserve">setup</w:t>
      </w:r>
      <w:r>
        <w:t xml:space="preserve">.</w:t>
      </w:r>
      <w:r>
        <w:rPr>
          <w:lang w:val="en-US"/>
        </w:rPr>
        <w:t xml:space="preserve">exe</w:t>
      </w:r>
      <w:r>
        <w:t xml:space="preserve">.</w:t>
      </w:r>
      <w:r/>
    </w:p>
    <w:p>
      <w:pPr>
        <w:pStyle w:val="994"/>
      </w:pPr>
      <w:r>
        <w:t xml:space="preserve">Сведения, которые указывают на особенности данного описания, оформлены в виде примечаний, начинающихся со слова «</w:t>
      </w:r>
      <w:r>
        <w:rPr>
          <w:rStyle w:val="1001"/>
        </w:rPr>
        <w:t xml:space="preserve">Примечание</w:t>
      </w:r>
      <w:r>
        <w:t xml:space="preserve">». Примечание может предшествовать целой главе, разделу, подразделу или следовать непосредственно за элементом, к которому оно относится.</w:t>
      </w:r>
      <w:r/>
    </w:p>
    <w:p>
      <w:pPr>
        <w:pStyle w:val="994"/>
      </w:pPr>
      <w:r/>
      <w:bookmarkStart w:id="24" w:name="_Toc225916464"/>
      <w:r/>
      <w:bookmarkStart w:id="25" w:name="_Toc232827275"/>
      <w:r>
        <w:t xml:space="preserve">Сведения, имеющие критический характер для работы системы или пользователя, оформлены в виде примечаний, которые начинаются со слова «</w:t>
      </w:r>
      <w:r>
        <w:rPr>
          <w:rStyle w:val="1001"/>
        </w:rPr>
        <w:t xml:space="preserve">Внимание!</w:t>
      </w:r>
      <w:r>
        <w:t xml:space="preserve">». Как правило, эта информация имеет предупреждающий характер.</w:t>
      </w:r>
      <w:r/>
    </w:p>
    <w:p>
      <w:pPr>
        <w:pStyle w:val="994"/>
      </w:pPr>
      <w:r>
        <w:t xml:space="preserve">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r/>
    </w:p>
    <w:p>
      <w:pPr>
        <w:pStyle w:val="970"/>
      </w:pPr>
      <w:r/>
      <w:bookmarkStart w:id="26" w:name="_Toc88819062"/>
      <w:r/>
      <w:bookmarkEnd w:id="24"/>
      <w:r/>
      <w:bookmarkEnd w:id="25"/>
      <w:r>
        <w:t xml:space="preserve">Назначение и условия применения</w:t>
      </w:r>
      <w:bookmarkEnd w:id="26"/>
      <w:r/>
      <w:r/>
    </w:p>
    <w:p>
      <w:pPr>
        <w:pStyle w:val="971"/>
      </w:pPr>
      <w:r/>
      <w:bookmarkStart w:id="27" w:name="_Toc225916465"/>
      <w:r/>
      <w:bookmarkStart w:id="28" w:name="_Toc232827276"/>
      <w:r/>
      <w:bookmarkStart w:id="29" w:name="_Toc422496651"/>
      <w:r/>
      <w:bookmarkStart w:id="30" w:name="_Toc221011460"/>
      <w:r/>
      <w:bookmarkStart w:id="31" w:name="_Toc221012161"/>
      <w:r/>
      <w:bookmarkStart w:id="32" w:name="_Toc225934542"/>
      <w:r/>
      <w:bookmarkStart w:id="33" w:name="_Toc107037953"/>
      <w:r/>
      <w:bookmarkStart w:id="34" w:name="_Toc182196484"/>
      <w:r/>
      <w:bookmarkStart w:id="35" w:name="_Toc88819063"/>
      <w:r>
        <w:t xml:space="preserve">Виды деятельности, функции</w:t>
      </w:r>
      <w:bookmarkEnd w:id="27"/>
      <w:r/>
      <w:bookmarkEnd w:id="28"/>
      <w:r/>
      <w:bookmarkEnd w:id="29"/>
      <w:r/>
      <w:bookmarkEnd w:id="35"/>
      <w:r/>
      <w:bookmarkEnd w:id="30"/>
      <w:bookmarkEnd w:id="31"/>
      <w:bookmarkEnd w:id="32"/>
      <w:r/>
    </w:p>
    <w:p>
      <w:pPr>
        <w:pStyle w:val="994"/>
      </w:pPr>
      <w:r>
        <w:t xml:space="preserve">АРМ ФО представляет собой рабочее место пользователя финансового органа, вкл</w:t>
      </w:r>
      <w:r>
        <w:t xml:space="preserve">ю</w:t>
      </w:r>
      <w:r>
        <w:t xml:space="preserve">ченного в систему удаленного финансового документооборота Федерального казначейства.</w:t>
      </w:r>
      <w:r/>
    </w:p>
    <w:p>
      <w:pPr>
        <w:pStyle w:val="994"/>
      </w:pPr>
      <w:r>
        <w:t xml:space="preserve">АРМ ФО предназначен для организации и поддержки защищенного документооборота между ФО и ОрФК в рамках задачи обеспечения автоматизированного выполнения функций обслуживания бюджета на федеральном и региональном уровне.</w:t>
      </w:r>
      <w:r/>
    </w:p>
    <w:p>
      <w:pPr>
        <w:pStyle w:val="971"/>
      </w:pPr>
      <w:r/>
      <w:bookmarkStart w:id="36" w:name="_Toc225916466"/>
      <w:r/>
      <w:bookmarkStart w:id="37" w:name="_Toc232827277"/>
      <w:r/>
      <w:bookmarkStart w:id="38" w:name="_Toc422496652"/>
      <w:r/>
      <w:bookmarkStart w:id="39" w:name="_Toc88819064"/>
      <w:r>
        <w:t xml:space="preserve">Программные и аппаратные требования к системе</w:t>
      </w:r>
      <w:bookmarkEnd w:id="36"/>
      <w:r/>
      <w:bookmarkEnd w:id="37"/>
      <w:r/>
      <w:bookmarkEnd w:id="38"/>
      <w:r/>
      <w:bookmarkEnd w:id="39"/>
      <w:r/>
      <w:r/>
    </w:p>
    <w:p>
      <w:pPr>
        <w:pStyle w:val="994"/>
      </w:pPr>
      <w:r>
        <w:t xml:space="preserve">Для нормального запуска и функционирования АРМ ФО необходимо выполнение ряда требований, которые перечислены ниже.</w:t>
      </w:r>
      <w:r/>
    </w:p>
    <w:p>
      <w:pPr>
        <w:pStyle w:val="994"/>
      </w:pPr>
      <w:r/>
      <w:bookmarkStart w:id="40" w:name="_Toc167600089"/>
      <w:r/>
      <w:bookmarkStart w:id="41" w:name="_Toc170885707"/>
      <w:r/>
      <w:bookmarkStart w:id="42" w:name="_Toc221011463"/>
      <w:r/>
      <w:bookmarkStart w:id="43" w:name="_Toc221012164"/>
      <w:r/>
      <w:bookmarkStart w:id="44" w:name="_Toc225934545"/>
      <w:r>
        <w:t xml:space="preserve">Минимальный состав аппаратных средств</w:t>
      </w:r>
      <w:bookmarkEnd w:id="40"/>
      <w:r/>
      <w:bookmarkEnd w:id="41"/>
      <w:r/>
      <w:bookmarkEnd w:id="42"/>
      <w:r/>
      <w:bookmarkEnd w:id="43"/>
      <w:r/>
      <w:bookmarkEnd w:id="44"/>
      <w:r>
        <w:t xml:space="preserve">:</w:t>
      </w:r>
      <w:r/>
    </w:p>
    <w:p>
      <w:pPr>
        <w:pStyle w:val="985"/>
      </w:pPr>
      <w:r>
        <w:t xml:space="preserve">Процессор </w:t>
      </w:r>
      <w:r>
        <w:t xml:space="preserve">x86 частота 2.0 ГГц;</w:t>
      </w:r>
      <w:r/>
    </w:p>
    <w:p>
      <w:pPr>
        <w:pStyle w:val="985"/>
      </w:pPr>
      <w:r>
        <w:t xml:space="preserve">ОЗУ 256 Мб;</w:t>
      </w:r>
      <w:r/>
    </w:p>
    <w:p>
      <w:pPr>
        <w:pStyle w:val="985"/>
      </w:pPr>
      <w:r>
        <w:t xml:space="preserve">ПЗУ 40 Гб;</w:t>
      </w:r>
      <w:r/>
    </w:p>
    <w:p>
      <w:pPr>
        <w:pStyle w:val="985"/>
      </w:pPr>
      <w:r>
        <w:t xml:space="preserve">Монитор 1024х768;</w:t>
      </w:r>
      <w:r/>
    </w:p>
    <w:p>
      <w:pPr>
        <w:pStyle w:val="985"/>
      </w:pPr>
      <w:r>
        <w:t xml:space="preserve">Сеть </w:t>
      </w:r>
      <w:r>
        <w:t xml:space="preserve">FastEthernet (100+ </w:t>
      </w:r>
      <w:r>
        <w:rPr>
          <w:lang w:val="en-US"/>
        </w:rPr>
        <w:t xml:space="preserve">Mbit</w:t>
      </w:r>
      <w:r>
        <w:t xml:space="preserve">/s).</w:t>
      </w:r>
      <w:r/>
    </w:p>
    <w:p>
      <w:pPr>
        <w:pStyle w:val="994"/>
      </w:pPr>
      <w:r/>
      <w:bookmarkStart w:id="45" w:name="_Toc167600090"/>
      <w:r/>
      <w:bookmarkStart w:id="46" w:name="_Toc170885708"/>
      <w:r/>
      <w:bookmarkStart w:id="47" w:name="_Toc221011464"/>
      <w:r/>
      <w:bookmarkStart w:id="48" w:name="_Toc221012165"/>
      <w:r/>
      <w:bookmarkStart w:id="49" w:name="_Toc225934546"/>
      <w:r>
        <w:t xml:space="preserve">Минимальный состав программных средств</w:t>
      </w:r>
      <w:bookmarkEnd w:id="45"/>
      <w:r/>
      <w:bookmarkEnd w:id="46"/>
      <w:r/>
      <w:bookmarkEnd w:id="47"/>
      <w:r/>
      <w:bookmarkEnd w:id="48"/>
      <w:r/>
      <w:bookmarkEnd w:id="49"/>
      <w:r>
        <w:t xml:space="preserve">:</w:t>
      </w:r>
      <w:r/>
    </w:p>
    <w:p>
      <w:pPr>
        <w:pStyle w:val="985"/>
      </w:pPr>
      <w:r>
        <w:t xml:space="preserve">Операционная система </w:t>
      </w:r>
      <w:r>
        <w:t xml:space="preserve">Microsoft Windows 2000/XP;</w:t>
      </w:r>
      <w:r/>
    </w:p>
    <w:p>
      <w:pPr>
        <w:pStyle w:val="985"/>
      </w:pPr>
      <w:r>
        <w:t xml:space="preserve">Java 2 Runtime </w:t>
      </w:r>
      <w:r>
        <w:rPr>
          <w:lang w:val="en-US"/>
        </w:rPr>
        <w:t xml:space="preserve">Environment</w:t>
      </w:r>
      <w:r>
        <w:t xml:space="preserve">;</w:t>
      </w:r>
      <w:r/>
    </w:p>
    <w:p>
      <w:pPr>
        <w:pStyle w:val="985"/>
      </w:pPr>
      <w:r>
        <w:t xml:space="preserve">Клиентское приложение.</w:t>
      </w:r>
      <w:r/>
    </w:p>
    <w:p>
      <w:pPr>
        <w:pStyle w:val="970"/>
      </w:pPr>
      <w:r/>
      <w:bookmarkStart w:id="50" w:name="_Toc88819065"/>
      <w:r>
        <w:t xml:space="preserve">Подготовка к работе</w:t>
      </w:r>
      <w:bookmarkEnd w:id="33"/>
      <w:r/>
      <w:bookmarkEnd w:id="34"/>
      <w:r/>
      <w:bookmarkEnd w:id="50"/>
      <w:r/>
      <w:r/>
    </w:p>
    <w:p>
      <w:pPr>
        <w:pStyle w:val="994"/>
      </w:pPr>
      <w:r>
        <w:t xml:space="preserve">Подготовка к работе в системе включает в себя следующие действия:</w:t>
      </w:r>
      <w:r/>
    </w:p>
    <w:p>
      <w:pPr>
        <w:pStyle w:val="985"/>
      </w:pPr>
      <w:r>
        <w:t xml:space="preserve">проверку состава и содержания дистрибутивного носителя данных; </w:t>
      </w:r>
      <w:r/>
    </w:p>
    <w:p>
      <w:pPr>
        <w:pStyle w:val="985"/>
      </w:pPr>
      <w:r>
        <w:t xml:space="preserve">загрузку данных и программ;</w:t>
      </w:r>
      <w:r/>
    </w:p>
    <w:p>
      <w:pPr>
        <w:pStyle w:val="985"/>
      </w:pPr>
      <w:r>
        <w:t xml:space="preserve">проверку работоспособности системы;</w:t>
      </w:r>
      <w:r/>
    </w:p>
    <w:p>
      <w:pPr>
        <w:pStyle w:val="985"/>
      </w:pPr>
      <w:r>
        <w:t xml:space="preserve">настройку программы для условий конкретного применения.</w:t>
      </w:r>
      <w:r/>
    </w:p>
    <w:p>
      <w:pPr>
        <w:pStyle w:val="994"/>
      </w:pPr>
      <w:r>
        <w:t xml:space="preserve">Порядок и описание вышеуказанных действий приведены в </w:t>
      </w:r>
      <w:r>
        <w:t xml:space="preserve">руководств</w:t>
      </w:r>
      <w:r>
        <w:t xml:space="preserve">е</w:t>
      </w:r>
      <w:r>
        <w:t xml:space="preserve"> по администрированию системы «Руководство по установке и настройке системы (СУФД)»</w:t>
      </w:r>
      <w:r>
        <w:t xml:space="preserve">.</w:t>
      </w:r>
      <w:r/>
    </w:p>
    <w:p>
      <w:pPr>
        <w:pStyle w:val="971"/>
      </w:pPr>
      <w:r/>
      <w:bookmarkStart w:id="51" w:name="_Toc107037954"/>
      <w:r/>
      <w:bookmarkStart w:id="52" w:name="_Toc182196485"/>
      <w:r/>
      <w:bookmarkStart w:id="53" w:name="_Toc88819066"/>
      <w:r>
        <w:t xml:space="preserve">Порядок проверки работоспособности</w:t>
      </w:r>
      <w:bookmarkEnd w:id="53"/>
      <w:r/>
      <w:r/>
    </w:p>
    <w:p>
      <w:pPr>
        <w:pStyle w:val="994"/>
      </w:pPr>
      <w:r>
        <w:t xml:space="preserve">Проверка работоспособности системы осуществляется путем ввода в адресную строку web-браузера адреса соответствующей подсистемы </w:t>
      </w:r>
      <w:r>
        <w:t xml:space="preserve">ППО АСФК</w:t>
      </w:r>
      <w:r>
        <w:t xml:space="preserve">. Данный процесс описан в </w:t>
      </w:r>
      <w:r>
        <w:t xml:space="preserve">обучающих материалах</w:t>
      </w:r>
      <w:r>
        <w:t xml:space="preserve"> </w:t>
      </w:r>
      <w:r>
        <w:t xml:space="preserve">«Основные принципы работы с ППО СУФД». В случае возникновения ошибок в процессе запуска системы требуется обратиться к администратору.</w:t>
      </w:r>
      <w:r/>
    </w:p>
    <w:p>
      <w:pPr>
        <w:pStyle w:val="971"/>
      </w:pPr>
      <w:r/>
      <w:bookmarkStart w:id="54" w:name="_Toc225916469"/>
      <w:r/>
      <w:bookmarkStart w:id="55" w:name="_Toc232827280"/>
      <w:r/>
      <w:bookmarkStart w:id="56" w:name="_Toc422496655"/>
      <w:r/>
      <w:bookmarkStart w:id="57" w:name="_Toc88819067"/>
      <w:r>
        <w:t xml:space="preserve">Справочники системы</w:t>
      </w:r>
      <w:bookmarkEnd w:id="51"/>
      <w:r/>
      <w:bookmarkEnd w:id="52"/>
      <w:r/>
      <w:bookmarkEnd w:id="54"/>
      <w:r/>
      <w:bookmarkEnd w:id="55"/>
      <w:r/>
      <w:bookmarkEnd w:id="56"/>
      <w:r/>
      <w:bookmarkEnd w:id="57"/>
      <w:r/>
      <w:r/>
    </w:p>
    <w:p>
      <w:pPr>
        <w:pStyle w:val="994"/>
      </w:pPr>
      <w:r>
        <w:t xml:space="preserve">Описание справочников, используемых в АРМ ФО, представлено в </w:t>
      </w:r>
      <w:bookmarkStart w:id="58" w:name="_Toc106783468"/>
      <w:r/>
      <w:bookmarkStart w:id="59" w:name="_Toc106889283"/>
      <w:r>
        <w:t xml:space="preserve">обучающи</w:t>
      </w:r>
      <w:r>
        <w:t xml:space="preserve">х</w:t>
      </w:r>
      <w:r>
        <w:t xml:space="preserve"> материал</w:t>
      </w:r>
      <w:r>
        <w:t xml:space="preserve">ах</w:t>
      </w:r>
      <w:r>
        <w:t xml:space="preserve"> «Руководство по работе со справочниками в ППО СУФД»</w:t>
      </w:r>
      <w:r>
        <w:t xml:space="preserve">.</w:t>
      </w:r>
      <w:r/>
    </w:p>
    <w:p>
      <w:pPr>
        <w:pStyle w:val="971"/>
      </w:pPr>
      <w:r/>
      <w:bookmarkStart w:id="60" w:name="_Toc107037955"/>
      <w:r/>
      <w:bookmarkStart w:id="61" w:name="_Toc182196486"/>
      <w:r/>
      <w:bookmarkStart w:id="62" w:name="_Toc225916470"/>
      <w:r/>
      <w:bookmarkStart w:id="63" w:name="_Toc232827281"/>
      <w:r/>
      <w:bookmarkStart w:id="64" w:name="_Toc422496656"/>
      <w:r/>
      <w:bookmarkStart w:id="65" w:name="_Toc88819068"/>
      <w:r>
        <w:t xml:space="preserve">Функции системы</w:t>
      </w:r>
      <w:bookmarkEnd w:id="58"/>
      <w:r/>
      <w:bookmarkEnd w:id="59"/>
      <w:r/>
      <w:bookmarkEnd w:id="60"/>
      <w:r/>
      <w:bookmarkEnd w:id="61"/>
      <w:r/>
      <w:bookmarkEnd w:id="62"/>
      <w:r/>
      <w:bookmarkEnd w:id="63"/>
      <w:r/>
      <w:bookmarkEnd w:id="64"/>
      <w:r/>
      <w:bookmarkEnd w:id="65"/>
      <w:r/>
      <w:r/>
    </w:p>
    <w:p>
      <w:pPr>
        <w:pStyle w:val="994"/>
      </w:pPr>
      <w:r>
        <w:t xml:space="preserve">В рамках юридически правомочного документооборота АРМ ФО позволяет выполнять набор стандартных операций:</w:t>
      </w:r>
      <w:r/>
    </w:p>
    <w:p>
      <w:pPr>
        <w:pStyle w:val="985"/>
      </w:pPr>
      <w:r>
        <w:t xml:space="preserve">создавать документы путем импорта из внешних систем, ручного ввода, копиров</w:t>
      </w:r>
      <w:r>
        <w:t xml:space="preserve">а</w:t>
      </w:r>
      <w:r>
        <w:t xml:space="preserve">нием из существующих документов;</w:t>
      </w:r>
      <w:r/>
    </w:p>
    <w:p>
      <w:pPr>
        <w:pStyle w:val="985"/>
      </w:pPr>
      <w:r>
        <w:t xml:space="preserve">печатать документы на локальных и сетевых принтерах;</w:t>
      </w:r>
      <w:r/>
    </w:p>
    <w:p>
      <w:pPr>
        <w:pStyle w:val="985"/>
      </w:pPr>
      <w:r>
        <w:t xml:space="preserve">зашифровывать и расшифровать документы;</w:t>
      </w:r>
      <w:r/>
    </w:p>
    <w:p>
      <w:pPr>
        <w:pStyle w:val="985"/>
      </w:pPr>
      <w:r>
        <w:t xml:space="preserve">формировать и проверять </w:t>
      </w:r>
      <w:r>
        <w:t xml:space="preserve">ЭП</w:t>
      </w:r>
      <w:r>
        <w:t xml:space="preserve"> «под» документом;</w:t>
      </w:r>
      <w:r/>
    </w:p>
    <w:p>
      <w:pPr>
        <w:pStyle w:val="985"/>
      </w:pPr>
      <w:r>
        <w:t xml:space="preserve">осуществлять различные контроли: на корректность заполнения документов, соо</w:t>
      </w:r>
      <w:r>
        <w:t xml:space="preserve">т</w:t>
      </w:r>
      <w:r>
        <w:t xml:space="preserve">ветствие справочникам, наличие подписей, изменение состояний;</w:t>
      </w:r>
      <w:r/>
    </w:p>
    <w:p>
      <w:pPr>
        <w:pStyle w:val="985"/>
      </w:pPr>
      <w:r>
        <w:t xml:space="preserve">экспортировать документы во внешние системы;</w:t>
      </w:r>
      <w:r/>
    </w:p>
    <w:p>
      <w:pPr>
        <w:pStyle w:val="985"/>
      </w:pPr>
      <w:r>
        <w:t xml:space="preserve">осуществлять доставку документов между адресатами (отправка-получение);</w:t>
      </w:r>
      <w:r/>
    </w:p>
    <w:p>
      <w:pPr>
        <w:pStyle w:val="985"/>
      </w:pPr>
      <w:r>
        <w:t xml:space="preserve">вести историю изменений документов;</w:t>
      </w:r>
      <w:r/>
    </w:p>
    <w:p>
      <w:pPr>
        <w:pStyle w:val="985"/>
      </w:pPr>
      <w:r>
        <w:t xml:space="preserve">поддерживать жизненный цикл документов в виде последовательных изменений статусов в ходе их обработки.</w:t>
      </w:r>
      <w:r/>
    </w:p>
    <w:p>
      <w:pPr>
        <w:pStyle w:val="994"/>
      </w:pPr>
      <w:r>
        <w:t xml:space="preserve">В АРМ ФО предусмотрена возможность расширять функции модуля путем включения в меню дополнительных документов и отчетов подготовленными специалистами </w:t>
      </w:r>
      <w:r>
        <w:t xml:space="preserve">IT</w:t>
      </w:r>
      <w:r>
        <w:t xml:space="preserve">-подразделений организаций-пользователей.</w:t>
      </w:r>
      <w:r/>
    </w:p>
    <w:p>
      <w:pPr>
        <w:pStyle w:val="994"/>
      </w:pPr>
      <w:r>
        <w:t xml:space="preserve">Стандартные операции над документами описаны в </w:t>
      </w:r>
      <w:r>
        <w:t xml:space="preserve">обучающих материалах</w:t>
      </w:r>
      <w:r>
        <w:t xml:space="preserve"> «</w:t>
      </w:r>
      <w:r>
        <w:t xml:space="preserve">Основные принципы работы с ППО СУФД</w:t>
      </w:r>
      <w:r>
        <w:t xml:space="preserve">». Доступные операции, экранные формы и особенн</w:t>
      </w:r>
      <w:r>
        <w:t xml:space="preserve">о</w:t>
      </w:r>
      <w:r>
        <w:t xml:space="preserve">сти их заполнения для документов различных типов описаны в разделе </w:t>
      </w:r>
      <w:r>
        <w:fldChar w:fldCharType="begin"/>
      </w:r>
      <w:r>
        <w:instrText xml:space="preserve"> REF _Ref422835024 \r \h </w:instrText>
      </w:r>
      <w:r>
        <w:fldChar w:fldCharType="separate"/>
      </w:r>
      <w:r>
        <w:t xml:space="preserve">5</w:t>
      </w:r>
      <w:r>
        <w:fldChar w:fldCharType="end"/>
      </w:r>
      <w:r>
        <w:t xml:space="preserve">.</w:t>
      </w:r>
      <w:r/>
    </w:p>
    <w:p>
      <w:pPr>
        <w:pStyle w:val="972"/>
      </w:pPr>
      <w:r/>
      <w:bookmarkStart w:id="66" w:name="_Ref370314948"/>
      <w:r/>
      <w:bookmarkStart w:id="67" w:name="_Ref370315052"/>
      <w:r/>
      <w:bookmarkStart w:id="68" w:name="_Ref370315101"/>
      <w:r/>
      <w:bookmarkStart w:id="69" w:name="_Ref370315137"/>
      <w:r/>
      <w:bookmarkStart w:id="70" w:name="_Ref370315202"/>
      <w:r/>
      <w:bookmarkStart w:id="71" w:name="_Ref370315261"/>
      <w:r/>
      <w:bookmarkStart w:id="72" w:name="_Ref370315297"/>
      <w:r/>
      <w:bookmarkStart w:id="73" w:name="_Ref370315339"/>
      <w:r/>
      <w:bookmarkStart w:id="74" w:name="_Ref370315769"/>
      <w:r/>
      <w:bookmarkStart w:id="75" w:name="_Toc422496657"/>
      <w:r/>
      <w:bookmarkStart w:id="76" w:name="_Hlk362336359"/>
      <w:r/>
      <w:bookmarkStart w:id="77" w:name="_Toc88819069"/>
      <w:r>
        <w:t xml:space="preserve">Санкционирование транзитных документов</w:t>
      </w:r>
      <w:bookmarkEnd w:id="66"/>
      <w:r/>
      <w:bookmarkEnd w:id="67"/>
      <w:r/>
      <w:bookmarkEnd w:id="68"/>
      <w:r/>
      <w:bookmarkEnd w:id="69"/>
      <w:r/>
      <w:bookmarkEnd w:id="70"/>
      <w:r/>
      <w:bookmarkEnd w:id="71"/>
      <w:r/>
      <w:bookmarkEnd w:id="72"/>
      <w:r/>
      <w:bookmarkEnd w:id="73"/>
      <w:r/>
      <w:bookmarkEnd w:id="74"/>
      <w:r/>
      <w:bookmarkEnd w:id="75"/>
      <w:r/>
      <w:bookmarkEnd w:id="77"/>
      <w:r/>
      <w:r/>
    </w:p>
    <w:p>
      <w:pPr>
        <w:pStyle w:val="994"/>
      </w:pPr>
      <w:r>
        <w:t xml:space="preserve">Если в справочнике «Бюджеты» включена настройка, разрешающая санкционирование финансовым органом документов, предоставляемыми организациями данного бюджета, то </w:t>
      </w:r>
      <w:r>
        <w:t xml:space="preserve">после формирования и подписи документов учреждением, данные документы передаются в ФО данного бюджета для санкционирования (формирования ЭД «Уведомления о санкци</w:t>
      </w:r>
      <w:r>
        <w:t xml:space="preserve">о</w:t>
      </w:r>
      <w:r>
        <w:t xml:space="preserve">нировании/отказе» и его подписи ФО). После санкционирования документы штатно перед</w:t>
      </w:r>
      <w:r>
        <w:t xml:space="preserve">а</w:t>
      </w:r>
      <w:r>
        <w:t xml:space="preserve">ются в ОрФК.</w:t>
      </w:r>
      <w:r/>
    </w:p>
    <w:p>
      <w:pPr>
        <w:pStyle w:val="994"/>
      </w:pPr>
      <w:r>
        <w:t xml:space="preserve">Для доставленных на АРМ ФО транзитных документов </w:t>
      </w:r>
      <w:bookmarkEnd w:id="76"/>
      <w:r>
        <w:t xml:space="preserve">доступны операции «Пр</w:t>
      </w:r>
      <w:r>
        <w:t xml:space="preserve">о</w:t>
      </w:r>
      <w:r>
        <w:t xml:space="preserve">смотр», «Печать», «Отказать», «Проверка подписи».</w:t>
      </w:r>
      <w:r/>
    </w:p>
    <w:p>
      <w:pPr>
        <w:pStyle w:val="973"/>
      </w:pPr>
      <w:r>
        <w:t xml:space="preserve">Схема санкционирования транзитных документов</w:t>
      </w:r>
      <w:r/>
    </w:p>
    <w:p>
      <w:pPr>
        <w:pStyle w:val="994"/>
      </w:pPr>
      <w:r>
        <w:t xml:space="preserve">При нажатии кнопки «Санкционирование» на документе со статусом «Требует сан</w:t>
      </w:r>
      <w:r>
        <w:t xml:space="preserve">к</w:t>
      </w:r>
      <w:r>
        <w:t xml:space="preserve">ционирования» формируется новый документ «Уведомление о санкционировании», который: </w:t>
      </w:r>
      <w:r/>
    </w:p>
    <w:p>
      <w:pPr>
        <w:pStyle w:val="985"/>
      </w:pPr>
      <w:r>
        <w:t xml:space="preserve">заполняется данными из первичного родительского документа; </w:t>
      </w:r>
      <w:r/>
    </w:p>
    <w:p>
      <w:pPr>
        <w:pStyle w:val="985"/>
      </w:pPr>
      <w:r>
        <w:t xml:space="preserve">в автоматическом режиме вызывается процедура наложения на документ «Уведо</w:t>
      </w:r>
      <w:r>
        <w:t xml:space="preserve">м</w:t>
      </w:r>
      <w:r>
        <w:t xml:space="preserve">ление о санкционировании» ЭП уполномоченн</w:t>
      </w:r>
      <w:r>
        <w:t xml:space="preserve">о</w:t>
      </w:r>
      <w:r>
        <w:t xml:space="preserve">го сотрудника ФО. </w:t>
      </w:r>
      <w:r/>
    </w:p>
    <w:p>
      <w:pPr>
        <w:pStyle w:val="994"/>
      </w:pPr>
      <w:r>
        <w:t xml:space="preserve">После подписания сотрудником ФО статус первичного родительского документа изм</w:t>
      </w:r>
      <w:r>
        <w:t xml:space="preserve">е</w:t>
      </w:r>
      <w:r>
        <w:t xml:space="preserve">няется с «Требует санкционирования» на «Введено», и исходный документ автоматически передается в ОрФК. </w:t>
      </w:r>
      <w:r/>
    </w:p>
    <w:p>
      <w:pPr>
        <w:pStyle w:val="994"/>
      </w:pPr>
      <w:r>
        <w:t xml:space="preserve">В случае пакетного санкционирования нескольких документов одного типа сотру</w:t>
      </w:r>
      <w:r>
        <w:t xml:space="preserve">д</w:t>
      </w:r>
      <w:r>
        <w:t xml:space="preserve">ник ФО отмечает нужные записи в списковой форме документов, нажимает кнопку «Санкцион</w:t>
      </w:r>
      <w:r>
        <w:t xml:space="preserve">и</w:t>
      </w:r>
      <w:r>
        <w:t xml:space="preserve">ровать», при этом для каждого отмеченного документа формируется новый документ «Ув</w:t>
      </w:r>
      <w:r>
        <w:t xml:space="preserve">е</w:t>
      </w:r>
      <w:r>
        <w:t xml:space="preserve">домление о санкционировании» и выполняются операции, описанные выше. </w:t>
      </w:r>
      <w:r/>
    </w:p>
    <w:p>
      <w:pPr>
        <w:pStyle w:val="994"/>
      </w:pPr>
      <w:r>
        <w:t xml:space="preserve">Документы «Уведомление о санкционировании» отражаются на АРМ ФО в связях р</w:t>
      </w:r>
      <w:r>
        <w:t xml:space="preserve">о</w:t>
      </w:r>
      <w:r>
        <w:t xml:space="preserve">дительского документа на вкладке «Связа</w:t>
      </w:r>
      <w:r>
        <w:t xml:space="preserve">н</w:t>
      </w:r>
      <w:r>
        <w:t xml:space="preserve">ные документы».</w:t>
      </w:r>
      <w:r/>
    </w:p>
    <w:p>
      <w:pPr>
        <w:pStyle w:val="973"/>
      </w:pPr>
      <w:r>
        <w:t xml:space="preserve">Схема отказа транзитных документов</w:t>
      </w:r>
      <w:r/>
    </w:p>
    <w:p>
      <w:pPr>
        <w:pStyle w:val="994"/>
      </w:pPr>
      <w:r>
        <w:t xml:space="preserve">При отказе первичного документа пользователю ФО выводится окно с полем ввода причины отказа, с возможностью выбрать причину отказа из Справочника причин о</w:t>
      </w:r>
      <w:r>
        <w:t xml:space="preserve">т</w:t>
      </w:r>
      <w:r>
        <w:t xml:space="preserve">каза и возможностью доб</w:t>
      </w:r>
      <w:r>
        <w:t xml:space="preserve">а</w:t>
      </w:r>
      <w:r>
        <w:t xml:space="preserve">вить введенный текст в Справочник причин отказа.</w:t>
      </w:r>
      <w:r/>
    </w:p>
    <w:p>
      <w:pPr>
        <w:pStyle w:val="994"/>
      </w:pPr>
      <w:r>
        <w:t xml:space="preserve">При отказе нескольких документов добавляется текст «Для всех выделенных докуме</w:t>
      </w:r>
      <w:r>
        <w:t xml:space="preserve">н</w:t>
      </w:r>
      <w:r>
        <w:t xml:space="preserve">тов будет указана данная причина отказа».</w:t>
      </w:r>
      <w:r/>
    </w:p>
    <w:p>
      <w:pPr>
        <w:pStyle w:val="994"/>
      </w:pPr>
      <w:r>
        <w:t xml:space="preserve">Статус первичного документа изменяется на «Отказано ФО», поле «Причина отказа» заполняется причиной отказа, указанной в формируемом ЭД «Уведомление об отказе».</w:t>
      </w:r>
      <w:r/>
    </w:p>
    <w:p>
      <w:pPr>
        <w:pStyle w:val="994"/>
      </w:pPr>
      <w:r>
        <w:t xml:space="preserve">После окончания формирования ЭД «Уведомление об отказе» привязывается к исхо</w:t>
      </w:r>
      <w:r>
        <w:t xml:space="preserve">д</w:t>
      </w:r>
      <w:r>
        <w:t xml:space="preserve">ному документу.</w:t>
      </w:r>
      <w:r/>
    </w:p>
    <w:p>
      <w:pPr>
        <w:pStyle w:val="994"/>
      </w:pPr>
      <w:r>
        <w:t xml:space="preserve">Затем запускается процедура подписания ЭД «Уведомление об отказе» ЭП, после ч</w:t>
      </w:r>
      <w:r>
        <w:t xml:space="preserve">е</w:t>
      </w:r>
      <w:r>
        <w:t xml:space="preserve">го, Уведомление пересылается отправителю исходного докуме</w:t>
      </w:r>
      <w:r>
        <w:t xml:space="preserve">н</w:t>
      </w:r>
      <w:r>
        <w:t xml:space="preserve">та.</w:t>
      </w:r>
      <w:r/>
    </w:p>
    <w:p>
      <w:pPr>
        <w:pStyle w:val="971"/>
      </w:pPr>
      <w:r/>
      <w:bookmarkStart w:id="78" w:name="_Toc107037956"/>
      <w:r/>
      <w:bookmarkStart w:id="79" w:name="_Toc182196487"/>
      <w:r/>
      <w:bookmarkStart w:id="80" w:name="_Toc248041597"/>
      <w:r/>
      <w:bookmarkStart w:id="81" w:name="_Toc422496658"/>
      <w:r/>
      <w:bookmarkStart w:id="82" w:name="_Toc88819070"/>
      <w:r>
        <w:t xml:space="preserve">Дополнительные настройки системы</w:t>
      </w:r>
      <w:bookmarkEnd w:id="78"/>
      <w:r/>
      <w:bookmarkEnd w:id="79"/>
      <w:r/>
      <w:bookmarkEnd w:id="80"/>
      <w:r/>
      <w:bookmarkEnd w:id="81"/>
      <w:r/>
      <w:bookmarkEnd w:id="82"/>
      <w:r/>
      <w:r/>
    </w:p>
    <w:p>
      <w:pPr>
        <w:pStyle w:val="994"/>
      </w:pPr>
      <w:r>
        <w:t xml:space="preserve">Раздел в рамках данного документа не предусмотрен.</w:t>
      </w:r>
      <w:r/>
    </w:p>
    <w:p>
      <w:pPr>
        <w:pStyle w:val="970"/>
      </w:pPr>
      <w:r/>
      <w:bookmarkStart w:id="83" w:name="_Toc422496659"/>
      <w:r/>
      <w:bookmarkStart w:id="84" w:name="_Toc88819071"/>
      <w:r>
        <w:t xml:space="preserve">Основные сведения об интерфейсе программы, типовых операциях и приемах работы</w:t>
      </w:r>
      <w:bookmarkEnd w:id="83"/>
      <w:r/>
      <w:bookmarkEnd w:id="84"/>
      <w:r/>
      <w:r/>
    </w:p>
    <w:p>
      <w:pPr>
        <w:pStyle w:val="996"/>
      </w:pPr>
      <w:r>
        <w:rPr>
          <w:rStyle w:val="1001"/>
        </w:rPr>
        <w:t xml:space="preserve">Внимание!</w:t>
      </w:r>
      <w:r>
        <w:tab/>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ins w:id="0" w:author="Шеховцева" w:date="2020-09-03T20:48:00Z">
        <w:r>
          <w:t xml:space="preserve">обучающих материалах</w:t>
        </w:r>
      </w:ins>
      <w:r>
        <w:t xml:space="preserve"> </w:t>
      </w:r>
      <w:r>
        <w:t xml:space="preserve">«</w:t>
      </w:r>
      <w:r>
        <w:t xml:space="preserve">Основные принципы работы с ППО СУФД</w:t>
      </w:r>
      <w:r>
        <w:t xml:space="preserve">».</w:t>
      </w:r>
      <w:r/>
    </w:p>
    <w:p>
      <w:pPr>
        <w:pStyle w:val="971"/>
      </w:pPr>
      <w:r/>
      <w:bookmarkStart w:id="86" w:name="_Toc100631594"/>
      <w:r/>
      <w:bookmarkStart w:id="87" w:name="_Toc112819449"/>
      <w:r/>
      <w:bookmarkStart w:id="88" w:name="_Toc167600094"/>
      <w:r/>
      <w:bookmarkStart w:id="89" w:name="_Toc170885712"/>
      <w:r/>
      <w:bookmarkStart w:id="90" w:name="_Toc221011468"/>
      <w:r/>
      <w:bookmarkStart w:id="91" w:name="_Toc221012169"/>
      <w:r/>
      <w:bookmarkStart w:id="92" w:name="_Toc225934550"/>
      <w:r/>
      <w:bookmarkStart w:id="93" w:name="_Toc231630509"/>
      <w:r/>
      <w:bookmarkStart w:id="94" w:name="_Toc231630633"/>
      <w:r/>
      <w:bookmarkStart w:id="95" w:name="_Ref293486795"/>
      <w:r/>
      <w:bookmarkStart w:id="96" w:name="_Ref301872117"/>
      <w:r/>
      <w:bookmarkStart w:id="97" w:name="_Toc302380411"/>
      <w:r/>
      <w:bookmarkStart w:id="98" w:name="_Toc309837795"/>
      <w:r/>
      <w:bookmarkStart w:id="99" w:name="_Ref375231806"/>
      <w:r/>
      <w:bookmarkStart w:id="100" w:name="_Toc383088824"/>
      <w:r/>
      <w:bookmarkStart w:id="101" w:name="_Toc422496660"/>
      <w:r/>
      <w:bookmarkStart w:id="102" w:name="_Toc167600099"/>
      <w:r/>
      <w:bookmarkStart w:id="103" w:name="_Toc167600098"/>
      <w:r/>
      <w:bookmarkStart w:id="104" w:name="_Toc167600097"/>
      <w:r/>
      <w:bookmarkStart w:id="105" w:name="_Toc167600096"/>
      <w:r/>
      <w:bookmarkStart w:id="106" w:name="_Toc167600095"/>
      <w:r/>
      <w:bookmarkStart w:id="107" w:name="_Toc88819072"/>
      <w:r>
        <w:t xml:space="preserve">Основные элементы интерфейса</w:t>
      </w:r>
      <w:bookmarkEnd w:id="86"/>
      <w:r/>
      <w:bookmarkEnd w:id="87"/>
      <w:r/>
      <w:bookmarkEnd w:id="88"/>
      <w:r/>
      <w:bookmarkEnd w:id="89"/>
      <w:r/>
      <w:bookmarkEnd w:id="90"/>
      <w:r/>
      <w:bookmarkEnd w:id="91"/>
      <w:r/>
      <w:bookmarkEnd w:id="92"/>
      <w:r/>
      <w:bookmarkEnd w:id="93"/>
      <w:r/>
      <w:bookmarkEnd w:id="94"/>
      <w:r/>
      <w:bookmarkEnd w:id="95"/>
      <w:r/>
      <w:bookmarkEnd w:id="96"/>
      <w:r/>
      <w:bookmarkEnd w:id="97"/>
      <w:r/>
      <w:bookmarkEnd w:id="98"/>
      <w:r/>
      <w:bookmarkEnd w:id="99"/>
      <w:r/>
      <w:bookmarkEnd w:id="100"/>
      <w:r/>
      <w:bookmarkEnd w:id="101"/>
      <w:r/>
      <w:bookmarkEnd w:id="107"/>
      <w:r/>
      <w:r/>
    </w:p>
    <w:p>
      <w:pPr>
        <w:pStyle w:val="994"/>
      </w:pPr>
      <w:r>
        <w:t xml:space="preserve">На рисунке</w:t>
      </w:r>
      <w:r>
        <w:t xml:space="preserve"> </w:t>
      </w:r>
      <w:r>
        <w:fldChar w:fldCharType="begin"/>
      </w:r>
      <w:r>
        <w:instrText xml:space="preserve"> REF _Ref227155316 \h  \* MERGEFORMAT </w:instrText>
      </w:r>
      <w:r>
        <w:fldChar w:fldCharType="separate"/>
      </w:r>
      <w:r>
        <w:t xml:space="preserve">1</w:t>
      </w:r>
      <w:r>
        <w:fldChar w:fldCharType="end"/>
      </w:r>
      <w:r>
        <w:t xml:space="preserve"> показано главное окно программы.</w:t>
      </w:r>
      <w:r/>
    </w:p>
    <w:p>
      <w:pPr>
        <w:pStyle w:val="982"/>
      </w:pPr>
      <w:r>
        <mc:AlternateContent>
          <mc:Choice Requires="wpg">
            <w:drawing>
              <wp:inline xmlns:wp="http://schemas.openxmlformats.org/drawingml/2006/wordprocessingDrawing" distT="0" distB="0" distL="0" distR="0">
                <wp:extent cx="6126480" cy="5029200"/>
                <wp:effectExtent l="0" t="0" r="0" b="0"/>
                <wp:docPr id="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8"/>
                        <a:stretch/>
                      </pic:blipFill>
                      <pic:spPr bwMode="auto">
                        <a:xfrm>
                          <a:off x="0" y="0"/>
                          <a:ext cx="6126480" cy="50292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482.4pt;height:396.0pt;" stroked="f">
                <v:path textboxrect="0,0,0,0"/>
                <v:imagedata r:id="rId18" o:title=""/>
              </v:shape>
            </w:pict>
          </mc:Fallback>
        </mc:AlternateContent>
      </w:r>
      <w:r/>
    </w:p>
    <w:p>
      <w:pPr>
        <w:pStyle w:val="983"/>
      </w:pPr>
      <w:r>
        <w:fldChar w:fldCharType="begin"/>
      </w:r>
      <w:r>
        <w:instrText xml:space="preserve"> SEQ Рисунок \* ARABIC </w:instrText>
      </w:r>
      <w:r>
        <w:fldChar w:fldCharType="separate"/>
      </w:r>
      <w:bookmarkStart w:id="108" w:name="_Ref227155316"/>
      <w:r/>
      <w:bookmarkStart w:id="109" w:name="_Toc88819386"/>
      <w:r>
        <w:t xml:space="preserve">1</w:t>
      </w:r>
      <w:bookmarkEnd w:id="108"/>
      <w:r>
        <w:fldChar w:fldCharType="end"/>
      </w:r>
      <w:r>
        <w:t xml:space="preserve">. Основное окно программы</w:t>
      </w:r>
      <w:bookmarkEnd w:id="109"/>
      <w:r/>
      <w:r/>
    </w:p>
    <w:p>
      <w:pPr>
        <w:pStyle w:val="994"/>
      </w:pPr>
      <w:r>
        <w:t xml:space="preserve">Числами на рисунке обозначены основные элементы интерфейса программы:</w:t>
      </w:r>
      <w:r/>
    </w:p>
    <w:p>
      <w:pPr>
        <w:pStyle w:val="985"/>
      </w:pPr>
      <w:r>
        <w:t xml:space="preserve"> 1 – заголовок рабочего окна программы;</w:t>
      </w:r>
      <w:r/>
    </w:p>
    <w:p>
      <w:pPr>
        <w:pStyle w:val="985"/>
      </w:pPr>
      <w:r>
        <w:t xml:space="preserve"> 2 – строка навигации;</w:t>
      </w:r>
      <w:r/>
    </w:p>
    <w:p>
      <w:pPr>
        <w:pStyle w:val="985"/>
      </w:pPr>
      <w:r>
        <w:t xml:space="preserve"> 3 – поле выбора организации;</w:t>
      </w:r>
      <w:r/>
    </w:p>
    <w:p>
      <w:pPr>
        <w:pStyle w:val="985"/>
      </w:pPr>
      <w:r>
        <w:t xml:space="preserve"> 4 – переключатели содержимого панели навигации;</w:t>
      </w:r>
      <w:r/>
    </w:p>
    <w:p>
      <w:pPr>
        <w:pStyle w:val="985"/>
      </w:pPr>
      <w:r>
        <w:t xml:space="preserve"> 5 – поле поиска;</w:t>
      </w:r>
      <w:r/>
    </w:p>
    <w:p>
      <w:pPr>
        <w:pStyle w:val="985"/>
      </w:pPr>
      <w:r>
        <w:t xml:space="preserve"> 6 – панель навигации;</w:t>
      </w:r>
      <w:r/>
    </w:p>
    <w:p>
      <w:pPr>
        <w:pStyle w:val="985"/>
      </w:pPr>
      <w:r>
        <w:t xml:space="preserve"> 7 – область пользовательских представлений;</w:t>
      </w:r>
      <w:r/>
    </w:p>
    <w:p>
      <w:pPr>
        <w:pStyle w:val="985"/>
      </w:pPr>
      <w:r>
        <w:t xml:space="preserve"> 8 – кнопка настроек параметров программы;</w:t>
      </w:r>
      <w:r/>
    </w:p>
    <w:p>
      <w:pPr>
        <w:pStyle w:val="985"/>
      </w:pPr>
      <w:r>
        <w:t xml:space="preserve"> 9 – кнопка настройки автоматического импорта/экспорта;</w:t>
      </w:r>
      <w:r/>
    </w:p>
    <w:p>
      <w:pPr>
        <w:pStyle w:val="985"/>
      </w:pPr>
      <w:r>
        <w:t xml:space="preserve">10 – кнопка вызова диспетчера задач;</w:t>
      </w:r>
      <w:r/>
    </w:p>
    <w:p>
      <w:pPr>
        <w:pStyle w:val="985"/>
      </w:pPr>
      <w:r>
        <w:t xml:space="preserve">11 – рабочая область.</w:t>
      </w:r>
      <w:r/>
    </w:p>
    <w:p>
      <w:pPr>
        <w:pStyle w:val="972"/>
      </w:pPr>
      <w:r/>
      <w:bookmarkStart w:id="110" w:name="_Toc383088825"/>
      <w:r/>
      <w:bookmarkStart w:id="111" w:name="_Toc422496661"/>
      <w:r/>
      <w:bookmarkStart w:id="112" w:name="_Toc88819073"/>
      <w:r>
        <w:t xml:space="preserve">Заголовок рабочего окна </w:t>
      </w:r>
      <w:bookmarkEnd w:id="110"/>
      <w:r>
        <w:t xml:space="preserve">программы</w:t>
      </w:r>
      <w:bookmarkEnd w:id="111"/>
      <w:r/>
      <w:bookmarkEnd w:id="112"/>
      <w:r/>
      <w:r/>
    </w:p>
    <w:p>
      <w:pPr>
        <w:pStyle w:val="994"/>
      </w:pPr>
      <w:r>
        <w:t xml:space="preserve">В заголовке окна (см.</w:t>
      </w:r>
      <w:r>
        <w:t xml:space="preserve"> </w:t>
      </w:r>
      <w:r>
        <w:t xml:space="preserve">рис. </w:t>
      </w:r>
      <w:r>
        <w:fldChar w:fldCharType="begin"/>
      </w:r>
      <w:r>
        <w:instrText xml:space="preserve"> REF _Ref227155316 \h  \* MERGEFORMAT </w:instrText>
      </w:r>
      <w:r>
        <w:fldChar w:fldCharType="separate"/>
      </w:r>
      <w:r>
        <w:t xml:space="preserve">1</w:t>
      </w:r>
      <w:r>
        <w:fldChar w:fldCharType="end"/>
      </w:r>
      <w:r>
        <w:t xml:space="preserve"> [1]) указываются следующие сведения:</w:t>
      </w:r>
      <w:r/>
    </w:p>
    <w:p>
      <w:pPr>
        <w:pStyle w:val="985"/>
      </w:pPr>
      <w:r>
        <w:t xml:space="preserve">название ППО;</w:t>
      </w:r>
      <w:r/>
    </w:p>
    <w:p>
      <w:pPr>
        <w:pStyle w:val="985"/>
      </w:pPr>
      <w:r>
        <w:t xml:space="preserve">текущий пользователь;</w:t>
      </w:r>
      <w:r/>
    </w:p>
    <w:p>
      <w:pPr>
        <w:pStyle w:val="985"/>
      </w:pPr>
      <w:r>
        <w:t xml:space="preserve">текущая версия ППО;</w:t>
      </w:r>
      <w:r/>
    </w:p>
    <w:p>
      <w:pPr>
        <w:pStyle w:val="985"/>
      </w:pPr>
      <w:r>
        <w:t xml:space="preserve">текущая дата.</w:t>
      </w:r>
      <w:r/>
    </w:p>
    <w:p>
      <w:pPr>
        <w:pStyle w:val="972"/>
      </w:pPr>
      <w:r/>
      <w:bookmarkStart w:id="113" w:name="_Toc383088826"/>
      <w:r/>
      <w:bookmarkStart w:id="114" w:name="_Toc422496662"/>
      <w:r/>
      <w:bookmarkStart w:id="115" w:name="_Toc88819074"/>
      <w:r>
        <w:t xml:space="preserve">Строка навигации</w:t>
      </w:r>
      <w:bookmarkEnd w:id="113"/>
      <w:r/>
      <w:bookmarkEnd w:id="114"/>
      <w:r/>
      <w:bookmarkEnd w:id="115"/>
      <w:r/>
      <w:r/>
    </w:p>
    <w:p>
      <w:pPr>
        <w:pStyle w:val="994"/>
      </w:pPr>
      <w:r>
        <w:t xml:space="preserve">Строка навигации (рис. </w:t>
      </w:r>
      <w:r>
        <w:fldChar w:fldCharType="begin"/>
      </w:r>
      <w:r>
        <w:instrText xml:space="preserve"> REF _Ref227155316 \h  \* MERGEFORMAT </w:instrText>
      </w:r>
      <w:r>
        <w:fldChar w:fldCharType="separate"/>
      </w:r>
      <w:r>
        <w:t xml:space="preserve">1</w:t>
      </w:r>
      <w:r>
        <w:fldChar w:fldCharType="end"/>
      </w:r>
      <w:r>
        <w:t xml:space="preserve"> [2]) позволяет осуществлять быстрый переход между разделами и подразделами для работы с документами или справочниками.</w:t>
      </w:r>
      <w:r/>
    </w:p>
    <w:p>
      <w:pPr>
        <w:pStyle w:val="972"/>
      </w:pPr>
      <w:r/>
      <w:bookmarkStart w:id="116" w:name="_Ref376259721"/>
      <w:r/>
      <w:bookmarkStart w:id="117" w:name="_Toc383088827"/>
      <w:r/>
      <w:bookmarkStart w:id="118" w:name="_Toc422496663"/>
      <w:r/>
      <w:bookmarkStart w:id="119" w:name="_Toc88819075"/>
      <w:r>
        <w:t xml:space="preserve">Поле выбора организации</w:t>
      </w:r>
      <w:bookmarkEnd w:id="116"/>
      <w:r/>
      <w:bookmarkEnd w:id="117"/>
      <w:r/>
      <w:bookmarkEnd w:id="118"/>
      <w:r/>
      <w:bookmarkEnd w:id="119"/>
      <w:r/>
      <w:r/>
    </w:p>
    <w:p>
      <w:pPr>
        <w:pStyle w:val="994"/>
      </w:pPr>
      <w:r>
        <w:t xml:space="preserve">Панель выбора организации (см.</w:t>
      </w:r>
      <w:r>
        <w:t xml:space="preserve"> </w:t>
      </w:r>
      <w:r>
        <w:t xml:space="preserve">рис. </w:t>
      </w:r>
      <w:r>
        <w:fldChar w:fldCharType="begin"/>
      </w:r>
      <w:r>
        <w:instrText xml:space="preserve"> REF _Ref227155316 \h  \* MERGEFORMAT </w:instrText>
      </w:r>
      <w:r>
        <w:fldChar w:fldCharType="separate"/>
      </w:r>
      <w:r>
        <w:t xml:space="preserve">1</w:t>
      </w:r>
      <w:r>
        <w:fldChar w:fldCharType="end"/>
      </w:r>
      <w:r>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r/>
    </w:p>
    <w:p>
      <w:pPr>
        <w:pStyle w:val="972"/>
      </w:pPr>
      <w:r/>
      <w:bookmarkStart w:id="120" w:name="_Toc383088828"/>
      <w:r/>
      <w:bookmarkStart w:id="121" w:name="_Toc422496664"/>
      <w:r/>
      <w:bookmarkStart w:id="122" w:name="_Toc88819076"/>
      <w:r>
        <w:t xml:space="preserve">Переключатели содержимого панели навигации</w:t>
      </w:r>
      <w:bookmarkEnd w:id="120"/>
      <w:r/>
      <w:bookmarkEnd w:id="121"/>
      <w:r/>
      <w:bookmarkEnd w:id="122"/>
      <w:r/>
      <w:r/>
    </w:p>
    <w:p>
      <w:pPr>
        <w:pStyle w:val="994"/>
      </w:pPr>
      <w:r>
        <w:t xml:space="preserve">Переключатели со</w:t>
      </w:r>
      <w:r>
        <w:t xml:space="preserve">держимого панели навигации (см.</w:t>
      </w:r>
      <w:r>
        <w:t xml:space="preserve"> </w:t>
      </w:r>
      <w:r>
        <w:t xml:space="preserve">рис. </w:t>
      </w:r>
      <w:r>
        <w:fldChar w:fldCharType="begin"/>
      </w:r>
      <w:r>
        <w:instrText xml:space="preserve"> REF _Ref227155316 \h  \* MERGEFORMAT </w:instrText>
      </w:r>
      <w:r>
        <w:fldChar w:fldCharType="separate"/>
      </w:r>
      <w:r>
        <w:t xml:space="preserve">1</w:t>
      </w:r>
      <w:r>
        <w:fldChar w:fldCharType="end"/>
      </w:r>
      <w:r>
        <w:t xml:space="preserve"> [4])</w:t>
      </w:r>
      <w:r>
        <w:t xml:space="preserve"> </w:t>
      </w:r>
      <w:r>
        <w:t xml:space="preserve">позволяют оперативно переключаться между следующими режимами отображения:</w:t>
      </w:r>
      <w:r/>
    </w:p>
    <w:p>
      <w:pPr>
        <w:pStyle w:val="985"/>
      </w:pPr>
      <w:r>
        <w:t xml:space="preserve">«Все документы»;</w:t>
      </w:r>
      <w:r/>
    </w:p>
    <w:p>
      <w:pPr>
        <w:pStyle w:val="985"/>
      </w:pPr>
      <w:r>
        <w:t xml:space="preserve">«Мои документы»;</w:t>
      </w:r>
      <w:r/>
    </w:p>
    <w:p>
      <w:pPr>
        <w:pStyle w:val="985"/>
      </w:pPr>
      <w:r>
        <w:t xml:space="preserve">«Настройки».</w:t>
      </w:r>
      <w:r/>
    </w:p>
    <w:p>
      <w:pPr>
        <w:pStyle w:val="994"/>
      </w:pPr>
      <w:r>
        <w:t xml:space="preserve">В зависимости от выбранного режима содержимое панели навигации будет меняться.</w:t>
      </w:r>
      <w:r/>
    </w:p>
    <w:p>
      <w:pPr>
        <w:pStyle w:val="972"/>
      </w:pPr>
      <w:r/>
      <w:bookmarkStart w:id="123" w:name="_Toc383088829"/>
      <w:r/>
      <w:bookmarkStart w:id="124" w:name="_Toc422496665"/>
      <w:r/>
      <w:bookmarkStart w:id="125" w:name="_Toc88819077"/>
      <w:r>
        <w:t xml:space="preserve">Поле поиска</w:t>
      </w:r>
      <w:bookmarkEnd w:id="123"/>
      <w:r/>
      <w:bookmarkEnd w:id="124"/>
      <w:r/>
      <w:bookmarkEnd w:id="125"/>
      <w:r/>
      <w:r/>
    </w:p>
    <w:p>
      <w:pPr>
        <w:pStyle w:val="994"/>
      </w:pPr>
      <w:r>
        <w:t xml:space="preserve">Поле поиска (см.</w:t>
      </w:r>
      <w:r>
        <w:t xml:space="preserve"> </w:t>
      </w:r>
      <w:r>
        <w:t xml:space="preserve">рис. </w:t>
      </w:r>
      <w:r>
        <w:fldChar w:fldCharType="begin"/>
      </w:r>
      <w:r>
        <w:instrText xml:space="preserve"> REF _Ref227155316 \h  \* MERGEFORMAT </w:instrText>
      </w:r>
      <w:r>
        <w:fldChar w:fldCharType="separate"/>
      </w:r>
      <w:r>
        <w:t xml:space="preserve">1</w:t>
      </w:r>
      <w:r>
        <w:fldChar w:fldCharType="end"/>
      </w:r>
      <w:r>
        <w:t xml:space="preserve"> [5]) панели навигации позволяет осуществлять быстрый поиск названий разделов панели навигации, названий документов или справочников. </w:t>
      </w:r>
      <w:r/>
    </w:p>
    <w:p>
      <w:pPr>
        <w:pStyle w:val="972"/>
      </w:pPr>
      <w:r/>
      <w:bookmarkStart w:id="126" w:name="_Toc383088830"/>
      <w:r/>
      <w:bookmarkStart w:id="127" w:name="_Toc422496666"/>
      <w:r/>
      <w:bookmarkStart w:id="128" w:name="_Toc88819078"/>
      <w:r>
        <w:t xml:space="preserve">Панель навигации</w:t>
      </w:r>
      <w:bookmarkEnd w:id="126"/>
      <w:r/>
      <w:bookmarkEnd w:id="127"/>
      <w:r/>
      <w:bookmarkEnd w:id="128"/>
      <w:r/>
      <w:r/>
    </w:p>
    <w:p>
      <w:pPr>
        <w:pStyle w:val="994"/>
      </w:pPr>
      <w:r>
        <w:t xml:space="preserve">Панель навигации (рис. </w:t>
      </w:r>
      <w:r>
        <w:fldChar w:fldCharType="begin"/>
      </w:r>
      <w:r>
        <w:instrText xml:space="preserve"> REF _Ref227155316 \h  \* MERGEFORMAT </w:instrText>
      </w:r>
      <w:r>
        <w:fldChar w:fldCharType="separate"/>
      </w:r>
      <w:r>
        <w:t xml:space="preserve">1</w:t>
      </w:r>
      <w:r>
        <w:fldChar w:fldCharType="end"/>
      </w:r>
      <w:r>
        <w:t xml:space="preserve"> [6]) располагается в левой части окна и с</w:t>
      </w:r>
      <w:r>
        <w:t xml:space="preserve">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значками:</w:t>
      </w:r>
      <w:r>
        <w:t xml:space="preserve"> </w:t>
      </w:r>
      <w:r>
        <mc:AlternateContent>
          <mc:Choice Requires="wpg">
            <w:drawing>
              <wp:inline xmlns:wp="http://schemas.openxmlformats.org/drawingml/2006/wordprocessingDrawing" distT="0" distB="0" distL="0" distR="0">
                <wp:extent cx="365760" cy="274320"/>
                <wp:effectExtent l="0" t="0" r="0" b="0"/>
                <wp:docPr id="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9"/>
                        <a:srcRect l="0" t="-13999" r="0" b="0"/>
                        <a:stretch/>
                      </pic:blipFill>
                      <pic:spPr bwMode="auto">
                        <a:xfrm>
                          <a:off x="0" y="0"/>
                          <a:ext cx="36576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mso-wrap-distance-left:0.0pt;mso-wrap-distance-top:0.0pt;mso-wrap-distance-right:0.0pt;mso-wrap-distance-bottom:0.0pt;width:28.8pt;height:21.6pt;" stroked="f">
                <v:path textboxrect="0,0,0,0"/>
                <v:imagedata r:id="rId19" o:title=""/>
              </v:shape>
            </w:pict>
          </mc:Fallback>
        </mc:AlternateContent>
      </w:r>
      <w:r>
        <w:t xml:space="preserve"> и </w:t>
      </w:r>
      <w:r>
        <mc:AlternateContent>
          <mc:Choice Requires="wpg">
            <w:drawing>
              <wp:inline xmlns:wp="http://schemas.openxmlformats.org/drawingml/2006/wordprocessingDrawing" distT="0" distB="0" distL="0" distR="0">
                <wp:extent cx="365760" cy="182880"/>
                <wp:effectExtent l="0" t="0" r="0" b="0"/>
                <wp:docPr id="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0"/>
                        <a:srcRect l="0" t="-15119" r="0" b="0"/>
                        <a:stretch/>
                      </pic:blipFill>
                      <pic:spPr bwMode="auto">
                        <a:xfrm>
                          <a:off x="0" y="0"/>
                          <a:ext cx="36576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28.8pt;height:14.4pt;" stroked="f">
                <v:path textboxrect="0,0,0,0"/>
                <v:imagedata r:id="rId20" o:title=""/>
              </v:shape>
            </w:pict>
          </mc:Fallback>
        </mc:AlternateContent>
      </w:r>
      <w:r>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mc:AlternateContent>
          <mc:Choice Requires="wpg">
            <w:drawing>
              <wp:inline xmlns:wp="http://schemas.openxmlformats.org/drawingml/2006/wordprocessingDrawing" distT="0" distB="0" distL="0" distR="0">
                <wp:extent cx="449580" cy="182880"/>
                <wp:effectExtent l="0" t="0" r="0" b="0"/>
                <wp:docPr id="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1"/>
                        <a:srcRect l="0" t="-15119" r="0" b="0"/>
                        <a:stretch/>
                      </pic:blipFill>
                      <pic:spPr bwMode="auto">
                        <a:xfrm>
                          <a:off x="0" y="0"/>
                          <a:ext cx="4495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35.4pt;height:14.4pt;" stroked="f">
                <v:path textboxrect="0,0,0,0"/>
                <v:imagedata r:id="rId21" o:title=""/>
              </v:shape>
            </w:pict>
          </mc:Fallback>
        </mc:AlternateContent>
      </w:r>
      <w:r>
        <w:t xml:space="preserve"> и </w:t>
      </w:r>
      <w:r>
        <mc:AlternateContent>
          <mc:Choice Requires="wpg">
            <w:drawing>
              <wp:inline xmlns:wp="http://schemas.openxmlformats.org/drawingml/2006/wordprocessingDrawing" distT="0" distB="0" distL="0" distR="0">
                <wp:extent cx="365760" cy="182880"/>
                <wp:effectExtent l="0" t="0" r="0" b="0"/>
                <wp:docPr id="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2"/>
                        <a:srcRect l="0" t="-15119" r="0" b="0"/>
                        <a:stretch/>
                      </pic:blipFill>
                      <pic:spPr bwMode="auto">
                        <a:xfrm>
                          <a:off x="0" y="0"/>
                          <a:ext cx="36576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28.8pt;height:14.4pt;" stroked="f">
                <v:path textboxrect="0,0,0,0"/>
                <v:imagedata r:id="rId22" o:title=""/>
              </v:shape>
            </w:pict>
          </mc:Fallback>
        </mc:AlternateContent>
      </w:r>
      <w:r>
        <w:t xml:space="preserve">. Повторный щелчок закрывает раздел (подраздел). Документы </w:t>
      </w:r>
      <w:r>
        <w:t xml:space="preserve">на панели навигации изображаются значком</w:t>
      </w:r>
      <w:r>
        <w:t xml:space="preserve"> </w:t>
      </w:r>
      <w:r>
        <mc:AlternateContent>
          <mc:Choice Requires="wpg">
            <w:drawing>
              <wp:inline xmlns:wp="http://schemas.openxmlformats.org/drawingml/2006/wordprocessingDrawing" distT="0" distB="0" distL="0" distR="0">
                <wp:extent cx="281940" cy="274320"/>
                <wp:effectExtent l="0" t="0" r="0" b="0"/>
                <wp:docPr id="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3"/>
                        <a:srcRect l="0" t="-13999" r="0" b="0"/>
                        <a:stretch/>
                      </pic:blipFill>
                      <pic:spPr bwMode="auto">
                        <a:xfrm>
                          <a:off x="0" y="0"/>
                          <a:ext cx="28194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22.2pt;height:21.6pt;" stroked="f">
                <v:path textboxrect="0,0,0,0"/>
                <v:imagedata r:id="rId23" o:title=""/>
              </v:shape>
            </w:pict>
          </mc:Fallback>
        </mc:AlternateContent>
      </w:r>
      <w:r>
        <w:t xml:space="preserve">. Для изображения справочника используется значок</w:t>
      </w:r>
      <w:r>
        <w:t xml:space="preserve"> </w:t>
      </w:r>
      <w:r>
        <mc:AlternateContent>
          <mc:Choice Requires="wpg">
            <w:drawing>
              <wp:inline xmlns:wp="http://schemas.openxmlformats.org/drawingml/2006/wordprocessingDrawing" distT="0" distB="0" distL="0" distR="0">
                <wp:extent cx="281940" cy="182880"/>
                <wp:effectExtent l="0" t="0" r="0" b="0"/>
                <wp:docPr id="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4"/>
                        <a:srcRect l="0" t="-15119" r="0" b="0"/>
                        <a:stretch/>
                      </pic:blipFill>
                      <pic:spPr bwMode="auto">
                        <a:xfrm>
                          <a:off x="0" y="0"/>
                          <a:ext cx="28194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22.2pt;height:14.4pt;" stroked="f">
                <v:path textboxrect="0,0,0,0"/>
                <v:imagedata r:id="rId24" o:title=""/>
              </v:shape>
            </w:pict>
          </mc:Fallback>
        </mc:AlternateContent>
      </w:r>
      <w:r>
        <w:t xml:space="preserve">. </w:t>
      </w:r>
      <w:bookmarkStart w:id="129" w:name="_Toc383088831"/>
      <w:r/>
      <w:bookmarkStart w:id="130" w:name="_Ref325728261"/>
      <w:r/>
      <w:r/>
    </w:p>
    <w:p>
      <w:pPr>
        <w:pStyle w:val="972"/>
      </w:pPr>
      <w:r/>
      <w:bookmarkStart w:id="131" w:name="_Toc422496667"/>
      <w:r/>
      <w:bookmarkStart w:id="132" w:name="_Toc88819079"/>
      <w:r>
        <w:t xml:space="preserve">Область пользовательских представлений</w:t>
      </w:r>
      <w:bookmarkEnd w:id="129"/>
      <w:r/>
      <w:bookmarkEnd w:id="131"/>
      <w:r/>
      <w:bookmarkEnd w:id="132"/>
      <w:r/>
      <w:r/>
    </w:p>
    <w:p>
      <w:pPr>
        <w:pStyle w:val="994"/>
      </w:pPr>
      <w:r>
        <w:t xml:space="preserve">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r/>
    </w:p>
    <w:p>
      <w:pPr>
        <w:pStyle w:val="972"/>
      </w:pPr>
      <w:r/>
      <w:bookmarkStart w:id="133" w:name="_Toc383088832"/>
      <w:r/>
      <w:bookmarkStart w:id="134" w:name="_Toc422496668"/>
      <w:r/>
      <w:bookmarkStart w:id="135" w:name="_Toc88819080"/>
      <w:r>
        <w:t xml:space="preserve">Кнопка настроек параметров программы</w:t>
      </w:r>
      <w:bookmarkEnd w:id="133"/>
      <w:r/>
      <w:bookmarkEnd w:id="134"/>
      <w:r/>
      <w:bookmarkEnd w:id="135"/>
      <w:r/>
      <w:r/>
    </w:p>
    <w:p>
      <w:pPr>
        <w:pStyle w:val="994"/>
      </w:pPr>
      <w:r>
        <w:t xml:space="preserve">При наж</w:t>
      </w:r>
      <w:r>
        <w:t xml:space="preserve">атии на кнопку «Настройки» (см.</w:t>
      </w:r>
      <w:r>
        <w:t xml:space="preserve"> </w:t>
      </w:r>
      <w:r>
        <w:t xml:space="preserve">рис. </w:t>
      </w:r>
      <w:r>
        <w:fldChar w:fldCharType="begin"/>
      </w:r>
      <w:r>
        <w:instrText xml:space="preserve"> REF _Ref227155316 \h  \* MERGEFORMAT </w:instrText>
      </w:r>
      <w:r>
        <w:fldChar w:fldCharType="separate"/>
      </w:r>
      <w:r>
        <w:t xml:space="preserve">1</w:t>
      </w:r>
      <w:r>
        <w:fldChar w:fldCharType="end"/>
      </w:r>
      <w:r>
        <w:t xml:space="preserve"> [8]) на экране появляется меню, включающее в себя следующие пункты:</w:t>
      </w:r>
      <w:r/>
    </w:p>
    <w:p>
      <w:pPr>
        <w:pStyle w:val="985"/>
      </w:pPr>
      <w:r>
        <w:t xml:space="preserve">«Настройка клиента»;</w:t>
      </w:r>
      <w:r/>
    </w:p>
    <w:p>
      <w:pPr>
        <w:pStyle w:val="985"/>
      </w:pPr>
      <w:r>
        <w:t xml:space="preserve">«Сбросить пользовательские настройки»;</w:t>
      </w:r>
      <w:r/>
    </w:p>
    <w:p>
      <w:pPr>
        <w:pStyle w:val="985"/>
      </w:pPr>
      <w:r>
        <w:t xml:space="preserve">«Сменить пароль»;</w:t>
      </w:r>
      <w:r/>
    </w:p>
    <w:p>
      <w:pPr>
        <w:pStyle w:val="985"/>
      </w:pPr>
      <w:r>
        <w:t xml:space="preserve">«О системе»;</w:t>
      </w:r>
      <w:r/>
    </w:p>
    <w:p>
      <w:pPr>
        <w:pStyle w:val="985"/>
      </w:pPr>
      <w:r>
        <w:t xml:space="preserve">«Выйти».</w:t>
      </w:r>
      <w:r/>
    </w:p>
    <w:p>
      <w:pPr>
        <w:pStyle w:val="972"/>
      </w:pPr>
      <w:r/>
      <w:bookmarkStart w:id="136" w:name="_Toc383088838"/>
      <w:r/>
      <w:bookmarkStart w:id="137" w:name="_Toc422496669"/>
      <w:r/>
      <w:bookmarkStart w:id="138" w:name="_Toc88819081"/>
      <w:r>
        <w:t xml:space="preserve">Кнопка настройки автоматического импорта/экспорта</w:t>
      </w:r>
      <w:bookmarkEnd w:id="136"/>
      <w:r/>
      <w:bookmarkEnd w:id="137"/>
      <w:r/>
      <w:bookmarkEnd w:id="138"/>
      <w:r/>
      <w:r/>
    </w:p>
    <w:p>
      <w:pPr>
        <w:pStyle w:val="994"/>
      </w:pPr>
      <w:r>
        <w:t xml:space="preserve">При нажатии на кнопку (см.</w:t>
      </w:r>
      <w:r>
        <w:t xml:space="preserve"> </w:t>
      </w:r>
      <w:r>
        <w:t xml:space="preserve">рис. </w:t>
      </w:r>
      <w:r>
        <w:fldChar w:fldCharType="begin"/>
      </w:r>
      <w:r>
        <w:instrText xml:space="preserve"> REF _Ref227155316 \h  \* MERGEFORMAT </w:instrText>
      </w:r>
      <w:r>
        <w:fldChar w:fldCharType="separate"/>
      </w:r>
      <w:r>
        <w:t xml:space="preserve">1</w:t>
      </w:r>
      <w:r>
        <w:fldChar w:fldCharType="end"/>
      </w:r>
      <w:r>
        <w:t xml:space="preserve"> [9]) на экране появляется окно, позволяющее выполнить настройку автоматического импорта/экспорта документов. </w:t>
      </w:r>
      <w:r/>
    </w:p>
    <w:p>
      <w:pPr>
        <w:pStyle w:val="982"/>
      </w:pPr>
      <w:r>
        <mc:AlternateContent>
          <mc:Choice Requires="wpg">
            <w:drawing>
              <wp:inline xmlns:wp="http://schemas.openxmlformats.org/drawingml/2006/wordprocessingDrawing" distT="0" distB="0" distL="0" distR="0">
                <wp:extent cx="6126480" cy="5029200"/>
                <wp:effectExtent l="0" t="0" r="0" b="0"/>
                <wp:docPr id="1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5"/>
                        <a:stretch/>
                      </pic:blipFill>
                      <pic:spPr bwMode="auto">
                        <a:xfrm>
                          <a:off x="0" y="0"/>
                          <a:ext cx="6126480" cy="50292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mso-wrap-distance-left:0.0pt;mso-wrap-distance-top:0.0pt;mso-wrap-distance-right:0.0pt;mso-wrap-distance-bottom:0.0pt;width:482.4pt;height:396.0pt;" stroked="f">
                <v:path textboxrect="0,0,0,0"/>
                <v:imagedata r:id="rId25" o:title=""/>
              </v:shape>
            </w:pict>
          </mc:Fallback>
        </mc:AlternateContent>
      </w:r>
      <w:r/>
    </w:p>
    <w:p>
      <w:pPr>
        <w:pStyle w:val="983"/>
      </w:pPr>
      <w:r>
        <w:fldChar w:fldCharType="begin"/>
      </w:r>
      <w:r>
        <w:instrText xml:space="preserve"> SEQ Рисунок \* ARABIC </w:instrText>
      </w:r>
      <w:r>
        <w:fldChar w:fldCharType="separate"/>
      </w:r>
      <w:bookmarkStart w:id="139" w:name="_Ref334604472"/>
      <w:r/>
      <w:bookmarkStart w:id="140" w:name="_Toc88819387"/>
      <w:r>
        <w:t xml:space="preserve">2</w:t>
      </w:r>
      <w:bookmarkEnd w:id="139"/>
      <w:r>
        <w:fldChar w:fldCharType="end"/>
      </w:r>
      <w:r>
        <w:t xml:space="preserve">. Окно настройки автоматического импорта/экспорта документов</w:t>
      </w:r>
      <w:bookmarkEnd w:id="140"/>
      <w:r/>
      <w:r/>
    </w:p>
    <w:p>
      <w:pPr>
        <w:pStyle w:val="972"/>
      </w:pPr>
      <w:r/>
      <w:bookmarkStart w:id="141" w:name="_Toc383088839"/>
      <w:r/>
      <w:bookmarkStart w:id="142" w:name="_Toc422496670"/>
      <w:r/>
      <w:bookmarkStart w:id="143" w:name="_Toc88819082"/>
      <w:r>
        <w:t xml:space="preserve">Кнопка вызова окна «Диспетчер задач»</w:t>
      </w:r>
      <w:bookmarkEnd w:id="130"/>
      <w:r/>
      <w:bookmarkEnd w:id="141"/>
      <w:r/>
      <w:bookmarkEnd w:id="142"/>
      <w:r/>
      <w:bookmarkEnd w:id="143"/>
      <w:r/>
      <w:r/>
    </w:p>
    <w:p>
      <w:pPr>
        <w:pStyle w:val="994"/>
      </w:pPr>
      <w:r>
        <w:t xml:space="preserve">Диспетчер задач служит для отображения списка операц</w:t>
      </w:r>
      <w:r>
        <w:t xml:space="preserve">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r/>
    </w:p>
    <w:p>
      <w:pPr>
        <w:pStyle w:val="994"/>
      </w:pPr>
      <w:r>
        <w:t xml:space="preserve">При нажатии на кнопку откры</w:t>
      </w:r>
      <w:r>
        <w:t xml:space="preserve">тия окна «Диспетчер задач» (см.</w:t>
      </w:r>
      <w:r>
        <w:t xml:space="preserve"> </w:t>
      </w:r>
      <w:r>
        <w:t xml:space="preserve">рис. </w:t>
      </w:r>
      <w:r>
        <w:fldChar w:fldCharType="begin"/>
      </w:r>
      <w:r>
        <w:instrText xml:space="preserve"> REF _Ref227155316 \h  \* MERGEFORMAT </w:instrText>
      </w:r>
      <w:r>
        <w:fldChar w:fldCharType="separate"/>
      </w:r>
      <w:r>
        <w:t xml:space="preserve">1</w:t>
      </w:r>
      <w:r>
        <w:fldChar w:fldCharType="end"/>
      </w:r>
      <w:r>
        <w:t xml:space="preserve"> [10]) открывается окно со сведениями о выполненных задачах.</w:t>
      </w:r>
      <w:r/>
    </w:p>
    <w:p>
      <w:pPr>
        <w:pStyle w:val="982"/>
      </w:pPr>
      <w:r>
        <mc:AlternateContent>
          <mc:Choice Requires="wpg">
            <w:drawing>
              <wp:inline xmlns:wp="http://schemas.openxmlformats.org/drawingml/2006/wordprocessingDrawing" distT="0" distB="0" distL="0" distR="0">
                <wp:extent cx="5303520" cy="4572000"/>
                <wp:effectExtent l="0" t="0" r="0" b="0"/>
                <wp:docPr id="1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6"/>
                        <a:stretch/>
                      </pic:blipFill>
                      <pic:spPr bwMode="auto">
                        <a:xfrm>
                          <a:off x="0" y="0"/>
                          <a:ext cx="5303520" cy="45720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mso-wrap-distance-left:0.0pt;mso-wrap-distance-top:0.0pt;mso-wrap-distance-right:0.0pt;mso-wrap-distance-bottom:0.0pt;width:417.6pt;height:360.0pt;" stroked="f">
                <v:path textboxrect="0,0,0,0"/>
                <v:imagedata r:id="rId26" o:title=""/>
              </v:shape>
            </w:pict>
          </mc:Fallback>
        </mc:AlternateContent>
      </w:r>
      <w:r/>
    </w:p>
    <w:p>
      <w:pPr>
        <w:pStyle w:val="983"/>
      </w:pPr>
      <w:r>
        <w:fldChar w:fldCharType="begin"/>
      </w:r>
      <w:r>
        <w:instrText xml:space="preserve"> SEQ Рисунок \* ARABIC </w:instrText>
      </w:r>
      <w:r>
        <w:fldChar w:fldCharType="separate"/>
      </w:r>
      <w:bookmarkStart w:id="144" w:name="_Toc88819388"/>
      <w:r>
        <w:t xml:space="preserve">3</w:t>
      </w:r>
      <w:r>
        <w:fldChar w:fldCharType="end"/>
      </w:r>
      <w:r>
        <w:t xml:space="preserve">. Пример окна диспетчера задач</w:t>
      </w:r>
      <w:bookmarkEnd w:id="144"/>
      <w:r/>
      <w:r/>
    </w:p>
    <w:p>
      <w:pPr>
        <w:pStyle w:val="972"/>
      </w:pPr>
      <w:r/>
      <w:bookmarkStart w:id="145" w:name="_Toc383088840"/>
      <w:r/>
      <w:bookmarkStart w:id="146" w:name="_Toc422496671"/>
      <w:r/>
      <w:bookmarkStart w:id="147" w:name="_Toc170885728"/>
      <w:r/>
      <w:bookmarkStart w:id="148" w:name="_Toc221011476"/>
      <w:r/>
      <w:bookmarkStart w:id="149" w:name="_Toc221012177"/>
      <w:r/>
      <w:bookmarkStart w:id="150" w:name="_Toc225934558"/>
      <w:r/>
      <w:bookmarkStart w:id="151" w:name="_Toc231630520"/>
      <w:r/>
      <w:bookmarkStart w:id="152" w:name="_Toc231630644"/>
      <w:r/>
      <w:bookmarkStart w:id="153" w:name="_Ref295381372"/>
      <w:r/>
      <w:bookmarkStart w:id="154" w:name="_Toc302380419"/>
      <w:r/>
      <w:bookmarkStart w:id="155" w:name="_Toc309837803"/>
      <w:r/>
      <w:bookmarkStart w:id="156" w:name="_Toc88819083"/>
      <w:r/>
      <w:bookmarkEnd w:id="102"/>
      <w:r/>
      <w:bookmarkEnd w:id="103"/>
      <w:r/>
      <w:bookmarkEnd w:id="104"/>
      <w:r/>
      <w:bookmarkEnd w:id="105"/>
      <w:r/>
      <w:bookmarkEnd w:id="106"/>
      <w:r>
        <w:t xml:space="preserve">Рабочая область</w:t>
      </w:r>
      <w:bookmarkEnd w:id="145"/>
      <w:r/>
      <w:bookmarkEnd w:id="146"/>
      <w:r/>
      <w:bookmarkEnd w:id="156"/>
      <w:r/>
      <w:r/>
    </w:p>
    <w:p>
      <w:pPr>
        <w:pStyle w:val="994"/>
      </w:pPr>
      <w:r>
        <w:t xml:space="preserve">В рабочей области (см.</w:t>
      </w:r>
      <w:r>
        <w:t xml:space="preserve"> </w:t>
      </w:r>
      <w:r>
        <w:t xml:space="preserve">рис. </w:t>
      </w:r>
      <w:r>
        <w:fldChar w:fldCharType="begin"/>
      </w:r>
      <w:r>
        <w:instrText xml:space="preserve"> REF _Ref227155316 \h  \* MERGEFORMAT </w:instrText>
      </w:r>
      <w:r>
        <w:fldChar w:fldCharType="separate"/>
      </w:r>
      <w:r>
        <w:t xml:space="preserve">1</w:t>
      </w:r>
      <w:r>
        <w:fldChar w:fldCharType="end"/>
      </w:r>
      <w:r>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r/>
    </w:p>
    <w:p>
      <w:pPr>
        <w:pStyle w:val="971"/>
      </w:pPr>
      <w:r/>
      <w:bookmarkStart w:id="157" w:name="_Ref326579823"/>
      <w:r/>
      <w:bookmarkStart w:id="158" w:name="_Toc383088841"/>
      <w:r/>
      <w:bookmarkStart w:id="159" w:name="_Toc422496672"/>
      <w:r/>
      <w:bookmarkStart w:id="160" w:name="_Toc231630521"/>
      <w:r/>
      <w:bookmarkStart w:id="161" w:name="_Toc231630645"/>
      <w:r/>
      <w:bookmarkStart w:id="162" w:name="_Toc302380420"/>
      <w:r/>
      <w:bookmarkStart w:id="163" w:name="_Toc309837804"/>
      <w:r/>
      <w:bookmarkStart w:id="164" w:name="_Toc88819084"/>
      <w:r/>
      <w:bookmarkEnd w:id="147"/>
      <w:r/>
      <w:bookmarkEnd w:id="148"/>
      <w:r/>
      <w:bookmarkEnd w:id="149"/>
      <w:r/>
      <w:bookmarkEnd w:id="150"/>
      <w:r/>
      <w:bookmarkEnd w:id="151"/>
      <w:r/>
      <w:bookmarkEnd w:id="152"/>
      <w:r/>
      <w:bookmarkEnd w:id="153"/>
      <w:r/>
      <w:bookmarkEnd w:id="154"/>
      <w:r/>
      <w:bookmarkEnd w:id="155"/>
      <w:r>
        <w:t xml:space="preserve">Описание типовых операций</w:t>
      </w:r>
      <w:bookmarkEnd w:id="157"/>
      <w:r>
        <w:t xml:space="preserve"> и приемов работы</w:t>
      </w:r>
      <w:bookmarkEnd w:id="158"/>
      <w:r/>
      <w:bookmarkEnd w:id="159"/>
      <w:r/>
      <w:bookmarkEnd w:id="164"/>
      <w:r/>
      <w:r/>
    </w:p>
    <w:p>
      <w:pPr>
        <w:pStyle w:val="994"/>
      </w:pPr>
      <w:r>
        <w:t xml:space="preserve">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r/>
    </w:p>
    <w:p>
      <w:pPr>
        <w:pStyle w:val="972"/>
      </w:pPr>
      <w:r/>
      <w:bookmarkStart w:id="165" w:name="_Toc225934560"/>
      <w:r/>
      <w:bookmarkStart w:id="166" w:name="_Ref227053332"/>
      <w:r/>
      <w:bookmarkStart w:id="167" w:name="_Toc231630527"/>
      <w:r/>
      <w:bookmarkStart w:id="168" w:name="_Toc231630651"/>
      <w:r/>
      <w:bookmarkStart w:id="169" w:name="_Ref301186669"/>
      <w:r/>
      <w:bookmarkStart w:id="170" w:name="_Toc302380423"/>
      <w:r/>
      <w:bookmarkStart w:id="171" w:name="_Toc309837807"/>
      <w:r/>
      <w:bookmarkStart w:id="172" w:name="_Ref369860567"/>
      <w:r/>
      <w:bookmarkStart w:id="173" w:name="_Ref374697912"/>
      <w:r/>
      <w:bookmarkStart w:id="174" w:name="_Ref375570794"/>
      <w:r/>
      <w:bookmarkStart w:id="175" w:name="_Toc383088842"/>
      <w:r/>
      <w:bookmarkStart w:id="176" w:name="_Toc422496673"/>
      <w:r/>
      <w:bookmarkStart w:id="177" w:name="_Toc88819085"/>
      <w:r>
        <w:t xml:space="preserve">Операции доступные на главной панели инструментов</w:t>
      </w:r>
      <w:bookmarkEnd w:id="165"/>
      <w:r/>
      <w:bookmarkEnd w:id="166"/>
      <w:r/>
      <w:bookmarkEnd w:id="167"/>
      <w:r/>
      <w:bookmarkEnd w:id="168"/>
      <w:r/>
      <w:bookmarkEnd w:id="169"/>
      <w:r/>
      <w:bookmarkEnd w:id="170"/>
      <w:r/>
      <w:bookmarkEnd w:id="171"/>
      <w:r/>
      <w:bookmarkEnd w:id="172"/>
      <w:r/>
      <w:bookmarkEnd w:id="173"/>
      <w:r/>
      <w:bookmarkEnd w:id="174"/>
      <w:r/>
      <w:bookmarkEnd w:id="175"/>
      <w:r/>
      <w:bookmarkEnd w:id="176"/>
      <w:r/>
      <w:bookmarkEnd w:id="177"/>
      <w:r/>
      <w:r/>
    </w:p>
    <w:p>
      <w:pPr>
        <w:pStyle w:val="994"/>
      </w:pPr>
      <w:r>
        <w:t xml:space="preserve">Описание типовых операций с документами </w:t>
      </w:r>
      <w:r>
        <w:t xml:space="preserve">приведен в таблице</w:t>
      </w:r>
      <w:r>
        <w:t xml:space="preserve"> </w:t>
      </w:r>
      <w:r>
        <w:fldChar w:fldCharType="begin"/>
      </w:r>
      <w:r>
        <w:instrText xml:space="preserve"> REF _Ref204418774 \h  \* MERGEFORMAT </w:instrText>
      </w:r>
      <w:r>
        <w:fldChar w:fldCharType="separate"/>
      </w:r>
      <w:r>
        <w:t xml:space="preserve">2</w:t>
      </w:r>
      <w:r>
        <w:fldChar w:fldCharType="end"/>
      </w:r>
      <w:r>
        <w:t xml:space="preserve">. </w:t>
      </w:r>
      <w:r/>
    </w:p>
    <w:p>
      <w:pPr>
        <w:pStyle w:val="993"/>
      </w:pPr>
      <w:r>
        <w:fldChar w:fldCharType="begin"/>
      </w:r>
      <w:r>
        <w:instrText xml:space="preserve"> SEQ Таблица \* ARABIC </w:instrText>
      </w:r>
      <w:r>
        <w:fldChar w:fldCharType="separate"/>
      </w:r>
      <w:bookmarkStart w:id="178" w:name="_Ref204418774"/>
      <w:r/>
      <w:bookmarkStart w:id="179" w:name="_Toc88819188"/>
      <w:r>
        <w:t xml:space="preserve">2</w:t>
      </w:r>
      <w:bookmarkEnd w:id="178"/>
      <w:r>
        <w:fldChar w:fldCharType="end"/>
      </w:r>
      <w:r>
        <w:t xml:space="preserve">. Типовые операции над документами</w:t>
      </w:r>
      <w:bookmarkEnd w:id="179"/>
      <w:r/>
      <w:r/>
    </w:p>
    <w:tbl>
      <w:tblPr>
        <w:tblW w:w="9747"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1062"/>
        <w:gridCol w:w="1748"/>
        <w:gridCol w:w="6937"/>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548" w:type="pct"/>
            <w:vAlign w:val="center"/>
            <w:textDirection w:val="lrTb"/>
            <w:noWrap w:val="false"/>
          </w:tcPr>
          <w:p>
            <w:pPr>
              <w:pStyle w:val="1006"/>
            </w:pPr>
            <w:r>
              <w:t xml:space="preserve">Кнопка </w:t>
            </w:r>
            <w:r/>
          </w:p>
        </w:tc>
        <w:tc>
          <w:tcPr>
            <w:shd w:val="clear" w:fill="E6E6E6" w:color="auto"/>
            <w:tcBorders>
              <w:left w:val="single" w:sz="4" w:space="0" w:color="auto"/>
              <w:top w:val="single" w:sz="4" w:space="0" w:color="auto"/>
              <w:right w:val="single" w:sz="4" w:space="0" w:color="auto"/>
              <w:bottom w:val="single" w:sz="4" w:space="0" w:color="auto"/>
            </w:tcBorders>
            <w:tcW w:w="891" w:type="pct"/>
            <w:vAlign w:val="center"/>
            <w:textDirection w:val="lrTb"/>
            <w:noWrap w:val="false"/>
          </w:tcPr>
          <w:p>
            <w:pPr>
              <w:pStyle w:val="1006"/>
            </w:pPr>
            <w:r>
              <w:t xml:space="preserve">Название операции</w:t>
            </w:r>
            <w:r/>
          </w:p>
        </w:tc>
        <w:tc>
          <w:tcPr>
            <w:shd w:val="clear" w:fill="E6E6E6" w:color="auto"/>
            <w:tcBorders>
              <w:left w:val="single" w:sz="4" w:space="0" w:color="auto"/>
              <w:top w:val="single" w:sz="4" w:space="0" w:color="auto"/>
              <w:right w:val="single" w:sz="4" w:space="0" w:color="auto"/>
              <w:bottom w:val="single" w:sz="4" w:space="0" w:color="auto"/>
            </w:tcBorders>
            <w:tcW w:w="3562" w:type="pct"/>
            <w:vAlign w:val="center"/>
            <w:textDirection w:val="lrTb"/>
            <w:noWrap w:val="false"/>
          </w:tcPr>
          <w:p>
            <w:pPr>
              <w:pStyle w:val="1006"/>
            </w:pPr>
            <w:r>
              <w:t xml:space="preserve">Описание операции</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1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7"/>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mso-wrap-distance-left:0.0pt;mso-wrap-distance-top:0.0pt;mso-wrap-distance-right:0.0pt;mso-wrap-distance-bottom:0.0pt;width:28.8pt;height:28.8pt;" stroked="f">
                      <v:path textboxrect="0,0,0,0"/>
                      <v:imagedata r:id="rId27" o:title=""/>
                    </v:shape>
                  </w:pict>
                </mc:Fallback>
              </mc:AlternateContent>
            </w:r>
            <w:r/>
          </w:p>
        </w:tc>
        <w:tc>
          <w:tcPr>
            <w:shd w:val="clear" w:fill="auto" w:color="auto"/>
            <w:tcW w:w="891" w:type="pct"/>
            <w:textDirection w:val="lrTb"/>
            <w:noWrap w:val="false"/>
          </w:tcPr>
          <w:p>
            <w:pPr>
              <w:pStyle w:val="1005"/>
              <w:ind w:left="57" w:right="57"/>
            </w:pPr>
            <w:r>
              <w:t xml:space="preserve">Импортировать документы</w:t>
            </w:r>
            <w:r/>
          </w:p>
        </w:tc>
        <w:tc>
          <w:tcPr>
            <w:shd w:val="clear" w:fill="auto" w:color="auto"/>
            <w:tcW w:w="3562" w:type="pct"/>
            <w:textDirection w:val="lrTb"/>
            <w:noWrap w:val="false"/>
          </w:tcPr>
          <w:p>
            <w:pPr>
              <w:pStyle w:val="1005"/>
              <w:ind w:left="57" w:right="57"/>
            </w:pPr>
            <w:r>
              <w:t xml:space="preserve">Операция позволяет осуществлять импорт файлов в базу данных СУФД в одном из разрешенных форматов.</w:t>
            </w:r>
            <w:r/>
          </w:p>
        </w:tc>
      </w:tr>
      <w:tr>
        <w:trPr>
          <w:trHeight w:val="986"/>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1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8"/>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mso-wrap-distance-left:0.0pt;mso-wrap-distance-top:0.0pt;mso-wrap-distance-right:0.0pt;mso-wrap-distance-bottom:0.0pt;width:28.8pt;height:28.8pt;" stroked="f">
                      <v:path textboxrect="0,0,0,0"/>
                      <v:imagedata r:id="rId28" o:title=""/>
                    </v:shape>
                  </w:pict>
                </mc:Fallback>
              </mc:AlternateContent>
            </w:r>
            <w:r/>
          </w:p>
        </w:tc>
        <w:tc>
          <w:tcPr>
            <w:shd w:val="clear" w:fill="auto" w:color="auto"/>
            <w:tcW w:w="891" w:type="pct"/>
            <w:textDirection w:val="lrTb"/>
            <w:noWrap w:val="false"/>
          </w:tcPr>
          <w:p>
            <w:pPr>
              <w:pStyle w:val="1005"/>
              <w:ind w:left="57" w:right="57"/>
            </w:pPr>
            <w:r>
              <w:t xml:space="preserve">Экспортировать выделенные документы</w:t>
            </w:r>
            <w:r/>
          </w:p>
        </w:tc>
        <w:tc>
          <w:tcPr>
            <w:shd w:val="clear" w:fill="auto" w:color="auto"/>
            <w:tcW w:w="3562" w:type="pct"/>
            <w:textDirection w:val="lrTb"/>
            <w:noWrap w:val="false"/>
          </w:tcPr>
          <w:p>
            <w:pPr>
              <w:pStyle w:val="1005"/>
              <w:ind w:left="57" w:right="57"/>
            </w:pPr>
            <w:r>
              <w:t xml:space="preserve">Операция позволяет осуществлять экспорт файлов в одном из разрешенных форматов.</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1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7"/>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mso-wrap-distance-left:0.0pt;mso-wrap-distance-top:0.0pt;mso-wrap-distance-right:0.0pt;mso-wrap-distance-bottom:0.0pt;width:28.8pt;height:28.8pt;" stroked="f">
                      <v:path textboxrect="0,0,0,0"/>
                      <v:imagedata r:id="rId17" o:title=""/>
                    </v:shape>
                  </w:pict>
                </mc:Fallback>
              </mc:AlternateContent>
            </w:r>
            <w:r/>
          </w:p>
        </w:tc>
        <w:tc>
          <w:tcPr>
            <w:shd w:val="clear" w:fill="auto" w:color="auto"/>
            <w:tcW w:w="891" w:type="pct"/>
            <w:textDirection w:val="lrTb"/>
            <w:noWrap w:val="false"/>
          </w:tcPr>
          <w:p>
            <w:pPr>
              <w:pStyle w:val="1005"/>
              <w:ind w:left="57" w:right="57"/>
            </w:pPr>
            <w:r>
              <w:t xml:space="preserve">Создать новый документ</w:t>
            </w:r>
            <w:r/>
          </w:p>
        </w:tc>
        <w:tc>
          <w:tcPr>
            <w:shd w:val="clear" w:fill="auto" w:color="auto"/>
            <w:tcW w:w="3562" w:type="pct"/>
            <w:textDirection w:val="lrTb"/>
            <w:noWrap w:val="false"/>
          </w:tcPr>
          <w:p>
            <w:pPr>
              <w:pStyle w:val="1005"/>
              <w:ind w:left="57" w:right="57"/>
            </w:pPr>
            <w:r>
              <w:t xml:space="preserve">Открывается форма ввода нового документа. Следует заполнить поля нового документа и сохранить введенные данные.</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1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9"/>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mso-wrap-distance-left:0.0pt;mso-wrap-distance-top:0.0pt;mso-wrap-distance-right:0.0pt;mso-wrap-distance-bottom:0.0pt;width:28.8pt;height:28.8pt;" stroked="f">
                      <v:path textboxrect="0,0,0,0"/>
                      <v:imagedata r:id="rId29" o:title=""/>
                    </v:shape>
                  </w:pict>
                </mc:Fallback>
              </mc:AlternateContent>
            </w:r>
            <w:r/>
          </w:p>
        </w:tc>
        <w:tc>
          <w:tcPr>
            <w:shd w:val="clear" w:fill="auto" w:color="auto"/>
            <w:tcW w:w="891" w:type="pct"/>
            <w:textDirection w:val="lrTb"/>
            <w:noWrap w:val="false"/>
          </w:tcPr>
          <w:p>
            <w:pPr>
              <w:pStyle w:val="1005"/>
              <w:ind w:left="57" w:right="57"/>
            </w:pPr>
            <w:r>
              <w:t xml:space="preserve">Открыть документ на редактирование</w:t>
            </w:r>
            <w:r/>
          </w:p>
        </w:tc>
        <w:tc>
          <w:tcPr>
            <w:shd w:val="clear" w:fill="auto" w:color="auto"/>
            <w:tcW w:w="3562" w:type="pct"/>
            <w:textDirection w:val="lrTb"/>
            <w:noWrap w:val="false"/>
          </w:tcPr>
          <w:p>
            <w:pPr>
              <w:pStyle w:val="1005"/>
              <w:ind w:left="57" w:right="57"/>
            </w:pPr>
            <w:r>
              <w:t xml:space="preserve">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1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0"/>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mso-wrap-distance-left:0.0pt;mso-wrap-distance-top:0.0pt;mso-wrap-distance-right:0.0pt;mso-wrap-distance-bottom:0.0pt;width:28.8pt;height:28.8pt;" stroked="f">
                      <v:path textboxrect="0,0,0,0"/>
                      <v:imagedata r:id="rId30" o:title=""/>
                    </v:shape>
                  </w:pict>
                </mc:Fallback>
              </mc:AlternateContent>
            </w:r>
            <w:r/>
          </w:p>
        </w:tc>
        <w:tc>
          <w:tcPr>
            <w:shd w:val="clear" w:fill="auto" w:color="auto"/>
            <w:tcW w:w="891" w:type="pct"/>
            <w:textDirection w:val="lrTb"/>
            <w:noWrap w:val="false"/>
          </w:tcPr>
          <w:p>
            <w:pPr>
              <w:pStyle w:val="1005"/>
              <w:ind w:left="57" w:right="57"/>
            </w:pPr>
            <w:r>
              <w:t xml:space="preserve">Редактирование вложений</w:t>
            </w:r>
            <w:r/>
          </w:p>
        </w:tc>
        <w:tc>
          <w:tcPr>
            <w:shd w:val="clear" w:fill="auto" w:color="auto"/>
            <w:tcW w:w="3562" w:type="pct"/>
            <w:textDirection w:val="lrTb"/>
            <w:noWrap w:val="false"/>
          </w:tcPr>
          <w:p>
            <w:pPr>
              <w:pStyle w:val="1005"/>
              <w:ind w:left="57" w:right="57"/>
            </w:pPr>
            <w:r>
              <w:t xml:space="preserve">Открывается форма, позволяющая выполнить некоторые операции над файлами, приложенными к документу.</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1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1"/>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mso-wrap-distance-left:0.0pt;mso-wrap-distance-top:0.0pt;mso-wrap-distance-right:0.0pt;mso-wrap-distance-bottom:0.0pt;width:28.8pt;height:28.8pt;" stroked="f">
                      <v:path textboxrect="0,0,0,0"/>
                      <v:imagedata r:id="rId31" o:title=""/>
                    </v:shape>
                  </w:pict>
                </mc:Fallback>
              </mc:AlternateContent>
            </w:r>
            <w:r/>
          </w:p>
        </w:tc>
        <w:tc>
          <w:tcPr>
            <w:shd w:val="clear" w:fill="auto" w:color="auto"/>
            <w:tcW w:w="891" w:type="pct"/>
            <w:textDirection w:val="lrTb"/>
            <w:noWrap w:val="false"/>
          </w:tcPr>
          <w:p>
            <w:pPr>
              <w:pStyle w:val="1005"/>
              <w:ind w:left="57" w:right="57"/>
            </w:pPr>
            <w:r>
              <w:t xml:space="preserve">Открыть документ на просмотр</w:t>
            </w:r>
            <w:r/>
          </w:p>
        </w:tc>
        <w:tc>
          <w:tcPr>
            <w:shd w:val="clear" w:fill="auto" w:color="auto"/>
            <w:tcW w:w="3562" w:type="pct"/>
            <w:textDirection w:val="lrTb"/>
            <w:noWrap w:val="false"/>
          </w:tcPr>
          <w:p>
            <w:pPr>
              <w:pStyle w:val="1005"/>
              <w:ind w:left="57" w:right="57"/>
            </w:pPr>
            <w:r>
              <w:t xml:space="preserve">Открывается экранная форма документа, выбранного для просмотра. </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1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2"/>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mso-wrap-distance-left:0.0pt;mso-wrap-distance-top:0.0pt;mso-wrap-distance-right:0.0pt;mso-wrap-distance-bottom:0.0pt;width:28.8pt;height:28.8pt;" stroked="f">
                      <v:path textboxrect="0,0,0,0"/>
                      <v:imagedata r:id="rId32" o:title=""/>
                    </v:shape>
                  </w:pict>
                </mc:Fallback>
              </mc:AlternateContent>
            </w:r>
            <w:r/>
          </w:p>
        </w:tc>
        <w:tc>
          <w:tcPr>
            <w:shd w:val="clear" w:fill="auto" w:color="auto"/>
            <w:tcW w:w="891" w:type="pct"/>
            <w:textDirection w:val="lrTb"/>
            <w:noWrap w:val="false"/>
          </w:tcPr>
          <w:p>
            <w:pPr>
              <w:pStyle w:val="1005"/>
              <w:ind w:left="57" w:right="57"/>
            </w:pPr>
            <w:r>
              <w:t xml:space="preserve">Создать копию документа</w:t>
            </w:r>
            <w:r/>
          </w:p>
        </w:tc>
        <w:tc>
          <w:tcPr>
            <w:shd w:val="clear" w:fill="auto" w:color="auto"/>
            <w:tcW w:w="3562" w:type="pct"/>
            <w:textDirection w:val="lrTb"/>
            <w:noWrap w:val="false"/>
          </w:tcPr>
          <w:p>
            <w:pPr>
              <w:pStyle w:val="1005"/>
              <w:ind w:left="57" w:right="57"/>
            </w:pPr>
            <w:r>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1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3"/>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mso-wrap-distance-left:0.0pt;mso-wrap-distance-top:0.0pt;mso-wrap-distance-right:0.0pt;mso-wrap-distance-bottom:0.0pt;width:28.8pt;height:28.8pt;" stroked="f">
                      <v:path textboxrect="0,0,0,0"/>
                      <v:imagedata r:id="rId33" o:title=""/>
                    </v:shape>
                  </w:pict>
                </mc:Fallback>
              </mc:AlternateContent>
            </w:r>
            <w:r/>
          </w:p>
        </w:tc>
        <w:tc>
          <w:tcPr>
            <w:shd w:val="clear" w:fill="auto" w:color="auto"/>
            <w:tcW w:w="891" w:type="pct"/>
            <w:textDirection w:val="lrTb"/>
            <w:noWrap w:val="false"/>
          </w:tcPr>
          <w:p>
            <w:pPr>
              <w:pStyle w:val="1005"/>
              <w:ind w:left="57" w:right="57"/>
            </w:pPr>
            <w:r>
              <w:t xml:space="preserve">Удалить документ</w:t>
            </w:r>
            <w:r/>
          </w:p>
        </w:tc>
        <w:tc>
          <w:tcPr>
            <w:shd w:val="clear" w:fill="auto" w:color="auto"/>
            <w:tcW w:w="3562" w:type="pct"/>
            <w:textDirection w:val="lrTb"/>
            <w:noWrap w:val="false"/>
          </w:tcPr>
          <w:p>
            <w:pPr>
              <w:pStyle w:val="1005"/>
              <w:ind w:left="57" w:right="57"/>
            </w:pPr>
            <w:r>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«Удален».</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2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4"/>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mso-wrap-distance-left:0.0pt;mso-wrap-distance-top:0.0pt;mso-wrap-distance-right:0.0pt;mso-wrap-distance-bottom:0.0pt;width:28.8pt;height:28.8pt;" stroked="f">
                      <v:path textboxrect="0,0,0,0"/>
                      <v:imagedata r:id="rId34" o:title=""/>
                    </v:shape>
                  </w:pict>
                </mc:Fallback>
              </mc:AlternateContent>
            </w:r>
            <w:r/>
          </w:p>
        </w:tc>
        <w:tc>
          <w:tcPr>
            <w:shd w:val="clear" w:fill="auto" w:color="auto"/>
            <w:tcW w:w="891" w:type="pct"/>
            <w:textDirection w:val="lrTb"/>
            <w:noWrap w:val="false"/>
          </w:tcPr>
          <w:p>
            <w:pPr>
              <w:pStyle w:val="1005"/>
              <w:ind w:left="57" w:right="57"/>
            </w:pPr>
            <w:r>
              <w:t xml:space="preserve">Подпись</w:t>
            </w:r>
            <w:r/>
          </w:p>
        </w:tc>
        <w:tc>
          <w:tcPr>
            <w:shd w:val="clear" w:fill="auto" w:color="auto"/>
            <w:tcW w:w="3562" w:type="pct"/>
            <w:textDirection w:val="lrTb"/>
            <w:noWrap w:val="false"/>
          </w:tcPr>
          <w:p>
            <w:pPr>
              <w:pStyle w:val="1005"/>
              <w:ind w:left="57" w:right="57"/>
            </w:pPr>
            <w:r>
              <w:t xml:space="preserve">Выполняется подписание выбранного документа ЭП пользователя. </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2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5"/>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mso-wrap-distance-left:0.0pt;mso-wrap-distance-top:0.0pt;mso-wrap-distance-right:0.0pt;mso-wrap-distance-bottom:0.0pt;width:28.8pt;height:28.8pt;" stroked="f">
                      <v:path textboxrect="0,0,0,0"/>
                      <v:imagedata r:id="rId35" o:title=""/>
                    </v:shape>
                  </w:pict>
                </mc:Fallback>
              </mc:AlternateContent>
            </w:r>
            <w:r/>
          </w:p>
        </w:tc>
        <w:tc>
          <w:tcPr>
            <w:shd w:val="clear" w:fill="auto" w:color="auto"/>
            <w:tcW w:w="891" w:type="pct"/>
            <w:textDirection w:val="lrTb"/>
            <w:noWrap w:val="false"/>
          </w:tcPr>
          <w:p>
            <w:pPr>
              <w:pStyle w:val="1005"/>
              <w:ind w:left="57" w:right="57"/>
            </w:pPr>
            <w:r>
              <w:t xml:space="preserve">Проверка подписи </w:t>
            </w:r>
            <w:r/>
          </w:p>
        </w:tc>
        <w:tc>
          <w:tcPr>
            <w:shd w:val="clear" w:fill="auto" w:color="auto"/>
            <w:tcW w:w="3562" w:type="pct"/>
            <w:textDirection w:val="lrTb"/>
            <w:noWrap w:val="false"/>
          </w:tcPr>
          <w:p>
            <w:pPr>
              <w:pStyle w:val="1005"/>
              <w:ind w:left="57" w:right="57"/>
            </w:pPr>
            <w:r>
              <w:t xml:space="preserve">Выполняется проверка подлинности ЭП выбранного документа.</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2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6"/>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mso-wrap-distance-left:0.0pt;mso-wrap-distance-top:0.0pt;mso-wrap-distance-right:0.0pt;mso-wrap-distance-bottom:0.0pt;width:28.8pt;height:28.8pt;" stroked="f">
                      <v:path textboxrect="0,0,0,0"/>
                      <v:imagedata r:id="rId36" o:title=""/>
                    </v:shape>
                  </w:pict>
                </mc:Fallback>
              </mc:AlternateContent>
            </w:r>
            <w:r/>
          </w:p>
        </w:tc>
        <w:tc>
          <w:tcPr>
            <w:shd w:val="clear" w:fill="auto" w:color="auto"/>
            <w:tcW w:w="891" w:type="pct"/>
            <w:textDirection w:val="lrTb"/>
            <w:noWrap w:val="false"/>
          </w:tcPr>
          <w:p>
            <w:pPr>
              <w:pStyle w:val="1005"/>
              <w:ind w:left="57" w:right="57"/>
            </w:pPr>
            <w:r>
              <w:t xml:space="preserve">Удаление подписи</w:t>
            </w:r>
            <w:r/>
          </w:p>
        </w:tc>
        <w:tc>
          <w:tcPr>
            <w:shd w:val="clear" w:fill="auto" w:color="auto"/>
            <w:tcW w:w="3562" w:type="pct"/>
            <w:textDirection w:val="lrTb"/>
            <w:noWrap w:val="false"/>
          </w:tcPr>
          <w:p>
            <w:pPr>
              <w:pStyle w:val="1005"/>
              <w:ind w:left="57" w:right="57"/>
            </w:pPr>
            <w:r>
              <w:t xml:space="preserve">Выполняется удаление ЭП выбранного документа.</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2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7"/>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mso-wrap-distance-left:0.0pt;mso-wrap-distance-top:0.0pt;mso-wrap-distance-right:0.0pt;mso-wrap-distance-bottom:0.0pt;width:28.8pt;height:28.8pt;" stroked="f">
                      <v:path textboxrect="0,0,0,0"/>
                      <v:imagedata r:id="rId37" o:title=""/>
                    </v:shape>
                  </w:pict>
                </mc:Fallback>
              </mc:AlternateContent>
            </w:r>
            <w:r/>
          </w:p>
        </w:tc>
        <w:tc>
          <w:tcPr>
            <w:shd w:val="clear" w:fill="auto" w:color="auto"/>
            <w:tcW w:w="891" w:type="pct"/>
            <w:textDirection w:val="lrTb"/>
            <w:noWrap w:val="false"/>
          </w:tcPr>
          <w:p>
            <w:pPr>
              <w:pStyle w:val="1005"/>
              <w:ind w:left="57" w:right="57"/>
            </w:pPr>
            <w:r>
              <w:t xml:space="preserve">Документарный контроль</w:t>
            </w:r>
            <w:r/>
          </w:p>
        </w:tc>
        <w:tc>
          <w:tcPr>
            <w:shd w:val="clear" w:fill="auto" w:color="auto"/>
            <w:tcW w:w="3562" w:type="pct"/>
            <w:textDirection w:val="lrTb"/>
            <w:noWrap w:val="false"/>
          </w:tcPr>
          <w:p>
            <w:pPr>
              <w:pStyle w:val="1005"/>
              <w:ind w:left="57" w:right="57"/>
            </w:pPr>
            <w:r>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2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8"/>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mso-wrap-distance-left:0.0pt;mso-wrap-distance-top:0.0pt;mso-wrap-distance-right:0.0pt;mso-wrap-distance-bottom:0.0pt;width:28.8pt;height:28.8pt;" stroked="f">
                      <v:path textboxrect="0,0,0,0"/>
                      <v:imagedata r:id="rId38" o:title=""/>
                    </v:shape>
                  </w:pict>
                </mc:Fallback>
              </mc:AlternateContent>
            </w:r>
            <w:r/>
          </w:p>
        </w:tc>
        <w:tc>
          <w:tcPr>
            <w:shd w:val="clear" w:fill="auto" w:color="auto"/>
            <w:tcW w:w="891" w:type="pct"/>
            <w:textDirection w:val="lrTb"/>
            <w:noWrap w:val="false"/>
          </w:tcPr>
          <w:p>
            <w:pPr>
              <w:pStyle w:val="1005"/>
              <w:ind w:left="57" w:right="57"/>
            </w:pPr>
            <w:r>
              <w:t xml:space="preserve">Просмотр изменений статуса документа</w:t>
            </w:r>
            <w:r/>
          </w:p>
        </w:tc>
        <w:tc>
          <w:tcPr>
            <w:shd w:val="clear" w:fill="auto" w:color="auto"/>
            <w:tcW w:w="3562" w:type="pct"/>
            <w:textDirection w:val="lrTb"/>
            <w:noWrap w:val="false"/>
          </w:tcPr>
          <w:p>
            <w:pPr>
              <w:pStyle w:val="1005"/>
              <w:ind w:left="57" w:right="57"/>
            </w:pPr>
            <w:r>
              <w:t xml:space="preserve">Открывается окно, отображающее историю изменений статуса документа.</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2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9"/>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mso-wrap-distance-left:0.0pt;mso-wrap-distance-top:0.0pt;mso-wrap-distance-right:0.0pt;mso-wrap-distance-bottom:0.0pt;width:28.8pt;height:28.8pt;" stroked="f">
                      <v:path textboxrect="0,0,0,0"/>
                      <v:imagedata r:id="rId39" o:title=""/>
                    </v:shape>
                  </w:pict>
                </mc:Fallback>
              </mc:AlternateContent>
            </w:r>
            <w:r/>
          </w:p>
        </w:tc>
        <w:tc>
          <w:tcPr>
            <w:shd w:val="clear" w:fill="auto" w:color="auto"/>
            <w:tcW w:w="891" w:type="pct"/>
            <w:textDirection w:val="lrTb"/>
            <w:noWrap w:val="false"/>
          </w:tcPr>
          <w:p>
            <w:pPr>
              <w:pStyle w:val="1005"/>
              <w:ind w:left="57" w:right="57"/>
            </w:pPr>
            <w:r>
              <w:t xml:space="preserve">Отправить</w:t>
            </w:r>
            <w:r/>
          </w:p>
        </w:tc>
        <w:tc>
          <w:tcPr>
            <w:shd w:val="clear" w:fill="auto" w:color="auto"/>
            <w:tcW w:w="3562" w:type="pct"/>
            <w:textDirection w:val="lrTb"/>
            <w:noWrap w:val="false"/>
          </w:tcPr>
          <w:p>
            <w:pPr>
              <w:pStyle w:val="1005"/>
              <w:ind w:left="57" w:right="57"/>
            </w:pPr>
            <w:r>
              <w:t xml:space="preserve">Выполняется отправка выбранного документа. Документу присваивается статус «Отправляется». С данного статуса уже невозможно отменить отправку. Кнопка активна для документов имеющих статус «Введен». </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2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0"/>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mso-wrap-distance-left:0.0pt;mso-wrap-distance-top:0.0pt;mso-wrap-distance-right:0.0pt;mso-wrap-distance-bottom:0.0pt;width:28.8pt;height:28.8pt;" stroked="f">
                      <v:path textboxrect="0,0,0,0"/>
                      <v:imagedata r:id="rId40" o:title=""/>
                    </v:shape>
                  </w:pict>
                </mc:Fallback>
              </mc:AlternateContent>
            </w:r>
            <w:r/>
          </w:p>
        </w:tc>
        <w:tc>
          <w:tcPr>
            <w:shd w:val="clear" w:fill="auto" w:color="auto"/>
            <w:tcW w:w="891" w:type="pct"/>
            <w:textDirection w:val="lrTb"/>
            <w:noWrap w:val="false"/>
          </w:tcPr>
          <w:p>
            <w:pPr>
              <w:pStyle w:val="1005"/>
              <w:ind w:left="57" w:right="57"/>
            </w:pPr>
            <w:r>
              <w:t xml:space="preserve">Завершить доставку</w:t>
            </w:r>
            <w:r/>
          </w:p>
        </w:tc>
        <w:tc>
          <w:tcPr>
            <w:shd w:val="clear" w:fill="auto" w:color="auto"/>
            <w:tcW w:w="3562" w:type="pct"/>
            <w:textDirection w:val="lrTb"/>
            <w:noWrap w:val="false"/>
          </w:tcPr>
          <w:p>
            <w:pPr>
              <w:pStyle w:val="1005"/>
              <w:ind w:left="57" w:right="57"/>
            </w:pPr>
            <w:r>
              <w:t xml:space="preserve">Выполняется завершение доставки документа (статус меняется на «Доставлен»). Операция выполняется в том случае, когда документ доставляется не через транспортную систему СУФД.</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2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1"/>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mso-wrap-distance-left:0.0pt;mso-wrap-distance-top:0.0pt;mso-wrap-distance-right:0.0pt;mso-wrap-distance-bottom:0.0pt;width:28.8pt;height:28.8pt;" stroked="f">
                      <v:path textboxrect="0,0,0,0"/>
                      <v:imagedata r:id="rId41" o:title=""/>
                    </v:shape>
                  </w:pict>
                </mc:Fallback>
              </mc:AlternateContent>
            </w:r>
            <w:r/>
          </w:p>
        </w:tc>
        <w:tc>
          <w:tcPr>
            <w:shd w:val="clear" w:fill="auto" w:color="auto"/>
            <w:tcW w:w="891" w:type="pct"/>
            <w:textDirection w:val="lrTb"/>
            <w:noWrap w:val="false"/>
          </w:tcPr>
          <w:p>
            <w:pPr>
              <w:pStyle w:val="1005"/>
              <w:ind w:left="57" w:right="57"/>
            </w:pPr>
            <w:r>
              <w:t xml:space="preserve">Повторить поиск адресата</w:t>
            </w:r>
            <w:r/>
          </w:p>
        </w:tc>
        <w:tc>
          <w:tcPr>
            <w:shd w:val="clear" w:fill="auto" w:color="auto"/>
            <w:tcW w:w="3562" w:type="pct"/>
            <w:textDirection w:val="lrTb"/>
            <w:noWrap w:val="false"/>
          </w:tcPr>
          <w:p>
            <w:pPr>
              <w:pStyle w:val="1005"/>
              <w:ind w:left="57" w:right="57"/>
            </w:pPr>
            <w:r>
              <w:t xml:space="preserve">В случае ошибки адресации выполняется повторный поиск адресата.</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2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2"/>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mso-wrap-distance-left:0.0pt;mso-wrap-distance-top:0.0pt;mso-wrap-distance-right:0.0pt;mso-wrap-distance-bottom:0.0pt;width:28.8pt;height:28.8pt;" stroked="f">
                      <v:path textboxrect="0,0,0,0"/>
                      <v:imagedata r:id="rId42" o:title=""/>
                    </v:shape>
                  </w:pict>
                </mc:Fallback>
              </mc:AlternateContent>
            </w:r>
            <w:r/>
          </w:p>
        </w:tc>
        <w:tc>
          <w:tcPr>
            <w:shd w:val="clear" w:fill="auto" w:color="auto"/>
            <w:tcW w:w="891" w:type="pct"/>
            <w:textDirection w:val="lrTb"/>
            <w:noWrap w:val="false"/>
          </w:tcPr>
          <w:p>
            <w:pPr>
              <w:pStyle w:val="1005"/>
              <w:ind w:left="57" w:right="57"/>
            </w:pPr>
            <w:r>
              <w:t xml:space="preserve">Повторная выгрузка квитка</w:t>
            </w:r>
            <w:r/>
          </w:p>
        </w:tc>
        <w:tc>
          <w:tcPr>
            <w:shd w:val="clear" w:fill="auto" w:color="auto"/>
            <w:tcW w:w="3562" w:type="pct"/>
            <w:textDirection w:val="lrTb"/>
            <w:noWrap w:val="false"/>
          </w:tcPr>
          <w:p>
            <w:pPr>
              <w:pStyle w:val="1005"/>
              <w:ind w:left="57" w:right="57"/>
            </w:pPr>
            <w:r>
              <w:t xml:space="preserve">Выполняется повторная выгрузка квитка.</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2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3"/>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mso-wrap-distance-left:0.0pt;mso-wrap-distance-top:0.0pt;mso-wrap-distance-right:0.0pt;mso-wrap-distance-bottom:0.0pt;width:28.8pt;height:28.8pt;" stroked="f">
                      <v:path textboxrect="0,0,0,0"/>
                      <v:imagedata r:id="rId43" o:title=""/>
                    </v:shape>
                  </w:pict>
                </mc:Fallback>
              </mc:AlternateContent>
            </w:r>
            <w:r/>
          </w:p>
        </w:tc>
        <w:tc>
          <w:tcPr>
            <w:shd w:val="clear" w:fill="auto" w:color="auto"/>
            <w:tcW w:w="891" w:type="pct"/>
            <w:textDirection w:val="lrTb"/>
            <w:noWrap w:val="false"/>
          </w:tcPr>
          <w:p>
            <w:pPr>
              <w:pStyle w:val="1005"/>
              <w:ind w:left="57" w:right="57"/>
            </w:pPr>
            <w:r>
              <w:t xml:space="preserve">Отказать</w:t>
            </w:r>
            <w:r/>
          </w:p>
        </w:tc>
        <w:tc>
          <w:tcPr>
            <w:shd w:val="clear" w:fill="auto" w:color="auto"/>
            <w:tcW w:w="3562" w:type="pct"/>
            <w:textDirection w:val="lrTb"/>
            <w:noWrap w:val="false"/>
          </w:tcPr>
          <w:p>
            <w:pPr>
              <w:pStyle w:val="1005"/>
              <w:ind w:left="57" w:right="57"/>
            </w:pPr>
            <w:r>
              <w:t xml:space="preserve">Выполняется отмена документа. Документ переходит на конечный статус «Отменен», формируется протокол отмены.</w:t>
            </w:r>
            <w:r/>
          </w:p>
          <w:p>
            <w:pPr>
              <w:pStyle w:val="1005"/>
              <w:ind w:left="57" w:right="57"/>
            </w:pPr>
            <w:r>
              <w:t xml:space="preserve">При выполнении операции «Отказать документ и сформировать протокол», у документа сохраняется предыдущий бизнес-статус. </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3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4"/>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mso-wrap-distance-left:0.0pt;mso-wrap-distance-top:0.0pt;mso-wrap-distance-right:0.0pt;mso-wrap-distance-bottom:0.0pt;width:28.8pt;height:28.8pt;" stroked="f">
                      <v:path textboxrect="0,0,0,0"/>
                      <v:imagedata r:id="rId44" o:title=""/>
                    </v:shape>
                  </w:pict>
                </mc:Fallback>
              </mc:AlternateContent>
            </w:r>
            <w:r/>
          </w:p>
        </w:tc>
        <w:tc>
          <w:tcPr>
            <w:shd w:val="clear" w:fill="auto" w:color="auto"/>
            <w:tcW w:w="891" w:type="pct"/>
            <w:textDirection w:val="lrTb"/>
            <w:noWrap w:val="false"/>
          </w:tcPr>
          <w:p>
            <w:pPr>
              <w:pStyle w:val="1005"/>
              <w:ind w:left="57" w:right="57"/>
            </w:pPr>
            <w:r>
              <w:t xml:space="preserve">Печать документа</w:t>
            </w:r>
            <w:r/>
          </w:p>
        </w:tc>
        <w:tc>
          <w:tcPr>
            <w:shd w:val="clear" w:fill="auto" w:color="auto"/>
            <w:tcW w:w="3562" w:type="pct"/>
            <w:textDirection w:val="lrTb"/>
            <w:noWrap w:val="false"/>
          </w:tcPr>
          <w:p>
            <w:pPr>
              <w:pStyle w:val="1005"/>
              <w:ind w:left="57" w:right="57"/>
            </w:pPr>
            <w:r>
              <w:t xml:space="preserve">Открывается окно выбора шаблона печатной формы. Следует выбрать шаблон из списка и нажать «OK». Выбранный документ отправляется на печать.</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3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5"/>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mso-wrap-distance-left:0.0pt;mso-wrap-distance-top:0.0pt;mso-wrap-distance-right:0.0pt;mso-wrap-distance-bottom:0.0pt;width:28.8pt;height:28.8pt;" stroked="f">
                      <v:path textboxrect="0,0,0,0"/>
                      <v:imagedata r:id="rId45" o:title=""/>
                    </v:shape>
                  </w:pict>
                </mc:Fallback>
              </mc:AlternateContent>
            </w:r>
            <w:r/>
          </w:p>
        </w:tc>
        <w:tc>
          <w:tcPr>
            <w:shd w:val="clear" w:fill="auto" w:color="auto"/>
            <w:tcW w:w="891" w:type="pct"/>
            <w:textDirection w:val="lrTb"/>
            <w:noWrap w:val="false"/>
          </w:tcPr>
          <w:p>
            <w:pPr>
              <w:pStyle w:val="1005"/>
              <w:ind w:left="57" w:right="57"/>
            </w:pPr>
            <w:r>
              <w:t xml:space="preserve">Печать скроллера</w:t>
            </w:r>
            <w:r/>
          </w:p>
        </w:tc>
        <w:tc>
          <w:tcPr>
            <w:shd w:val="clear" w:fill="auto" w:color="auto"/>
            <w:tcW w:w="3562" w:type="pct"/>
            <w:textDirection w:val="lrTb"/>
            <w:noWrap w:val="false"/>
          </w:tcPr>
          <w:p>
            <w:pPr>
              <w:pStyle w:val="1005"/>
              <w:ind w:left="57" w:right="57"/>
            </w:pPr>
            <w:r>
              <w:t xml:space="preserve">Позволяет сохранить весь список документов данного типа со всеми реквизитами в файл формата </w:t>
            </w:r>
            <w:r>
              <w:rPr>
                <w:lang w:val="en-US"/>
              </w:rPr>
              <w:t xml:space="preserve">Excel</w:t>
            </w:r>
            <w:r>
              <w:t xml:space="preserve"> для последующей печати или обработки. Можно сохранять только выделенные строки.</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3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6"/>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mso-wrap-distance-left:0.0pt;mso-wrap-distance-top:0.0pt;mso-wrap-distance-right:0.0pt;mso-wrap-distance-bottom:0.0pt;width:28.8pt;height:28.8pt;" stroked="f">
                      <v:path textboxrect="0,0,0,0"/>
                      <v:imagedata r:id="rId46" o:title=""/>
                    </v:shape>
                  </w:pict>
                </mc:Fallback>
              </mc:AlternateContent>
            </w:r>
            <w:r/>
          </w:p>
        </w:tc>
        <w:tc>
          <w:tcPr>
            <w:shd w:val="clear" w:fill="auto" w:color="auto"/>
            <w:tcW w:w="891" w:type="pct"/>
            <w:textDirection w:val="lrTb"/>
            <w:noWrap w:val="false"/>
          </w:tcPr>
          <w:p>
            <w:pPr>
              <w:pStyle w:val="1005"/>
              <w:ind w:left="57" w:right="57"/>
            </w:pPr>
            <w:r>
              <w:t xml:space="preserve">Поиск</w:t>
            </w:r>
            <w:r/>
          </w:p>
        </w:tc>
        <w:tc>
          <w:tcPr>
            <w:shd w:val="clear" w:fill="auto" w:color="auto"/>
            <w:tcW w:w="3562" w:type="pct"/>
            <w:textDirection w:val="lrTb"/>
            <w:noWrap w:val="false"/>
          </w:tcPr>
          <w:p>
            <w:pPr>
              <w:pStyle w:val="1005"/>
              <w:ind w:left="57" w:right="57"/>
            </w:pPr>
            <w:r>
              <w:t xml:space="preserve">Открывается окно ввода параметров поиска, позволяющее быстро найти нужный документ в списке документов.</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3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7"/>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mso-wrap-distance-left:0.0pt;mso-wrap-distance-top:0.0pt;mso-wrap-distance-right:0.0pt;mso-wrap-distance-bottom:0.0pt;width:28.8pt;height:28.8pt;" stroked="f">
                      <v:path textboxrect="0,0,0,0"/>
                      <v:imagedata r:id="rId47" o:title=""/>
                    </v:shape>
                  </w:pict>
                </mc:Fallback>
              </mc:AlternateContent>
            </w:r>
            <w:r/>
          </w:p>
        </w:tc>
        <w:tc>
          <w:tcPr>
            <w:shd w:val="clear" w:fill="auto" w:color="auto"/>
            <w:tcW w:w="891" w:type="pct"/>
            <w:textDirection w:val="lrTb"/>
            <w:noWrap w:val="false"/>
          </w:tcPr>
          <w:p>
            <w:pPr>
              <w:pStyle w:val="1005"/>
              <w:ind w:left="57" w:right="57"/>
            </w:pPr>
            <w:r>
              <w:t xml:space="preserve">Откат статуса передачи</w:t>
            </w:r>
            <w:r/>
          </w:p>
        </w:tc>
        <w:tc>
          <w:tcPr>
            <w:shd w:val="clear" w:fill="auto" w:color="auto"/>
            <w:tcW w:w="3562" w:type="pct"/>
            <w:textDirection w:val="lrTb"/>
            <w:noWrap w:val="false"/>
          </w:tcPr>
          <w:p>
            <w:pPr>
              <w:pStyle w:val="1005"/>
              <w:ind w:left="57" w:right="57"/>
            </w:pPr>
            <w:r>
              <w:t xml:space="preserve">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3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8"/>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mso-wrap-distance-left:0.0pt;mso-wrap-distance-top:0.0pt;mso-wrap-distance-right:0.0pt;mso-wrap-distance-bottom:0.0pt;width:28.8pt;height:28.8pt;" stroked="f">
                      <v:path textboxrect="0,0,0,0"/>
                      <v:imagedata r:id="rId48" o:title=""/>
                    </v:shape>
                  </w:pict>
                </mc:Fallback>
              </mc:AlternateContent>
            </w:r>
            <w:r/>
          </w:p>
        </w:tc>
        <w:tc>
          <w:tcPr>
            <w:shd w:val="clear" w:fill="auto" w:color="auto"/>
            <w:tcW w:w="891" w:type="pct"/>
            <w:textDirection w:val="lrTb"/>
            <w:noWrap w:val="false"/>
          </w:tcPr>
          <w:p>
            <w:pPr>
              <w:pStyle w:val="1005"/>
              <w:ind w:left="57" w:right="57"/>
            </w:pPr>
            <w:r>
              <w:t xml:space="preserve">Обновить список документов</w:t>
            </w:r>
            <w:r/>
          </w:p>
        </w:tc>
        <w:tc>
          <w:tcPr>
            <w:shd w:val="clear" w:fill="auto" w:color="auto"/>
            <w:tcW w:w="3562" w:type="pct"/>
            <w:textDirection w:val="lrTb"/>
            <w:noWrap w:val="false"/>
          </w:tcPr>
          <w:p>
            <w:pPr>
              <w:pStyle w:val="1005"/>
              <w:ind w:left="57" w:right="57"/>
            </w:pPr>
            <w:r>
              <w:t xml:space="preserve">Выполняется обновление списка документов, в соответствии с последними изменениями.</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3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9"/>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mso-wrap-distance-left:0.0pt;mso-wrap-distance-top:0.0pt;mso-wrap-distance-right:0.0pt;mso-wrap-distance-bottom:0.0pt;width:28.8pt;height:28.8pt;" stroked="f">
                      <v:path textboxrect="0,0,0,0"/>
                      <v:imagedata r:id="rId49" o:title=""/>
                    </v:shape>
                  </w:pict>
                </mc:Fallback>
              </mc:AlternateContent>
            </w:r>
            <w:r/>
          </w:p>
        </w:tc>
        <w:tc>
          <w:tcPr>
            <w:shd w:val="clear" w:fill="auto" w:color="auto"/>
            <w:tcW w:w="891" w:type="pct"/>
            <w:textDirection w:val="lrTb"/>
            <w:noWrap w:val="false"/>
          </w:tcPr>
          <w:p>
            <w:pPr>
              <w:pStyle w:val="1005"/>
              <w:ind w:left="57" w:right="57"/>
            </w:pPr>
            <w:r>
              <w:t xml:space="preserve">Добавить в ар</w:t>
            </w:r>
            <w:r>
              <w:t xml:space="preserve">хив/</w:t>
            </w:r>
            <w:r>
              <w:t xml:space="preserve">Извлечь из архива</w:t>
            </w:r>
            <w:r/>
          </w:p>
        </w:tc>
        <w:tc>
          <w:tcPr>
            <w:shd w:val="clear" w:fill="auto" w:color="auto"/>
            <w:tcW w:w="3562" w:type="pct"/>
            <w:textDirection w:val="lrTb"/>
            <w:noWrap w:val="false"/>
          </w:tcPr>
          <w:p>
            <w:pPr>
              <w:pStyle w:val="1005"/>
              <w:ind w:left="57" w:right="57"/>
            </w:pPr>
            <w:r>
              <w:t xml:space="preserve">Добавление (извлечение) документа в (из) архив(а)</w:t>
            </w:r>
            <w:r>
              <w:t xml:space="preserve">.</w:t>
            </w:r>
            <w:r/>
          </w:p>
        </w:tc>
      </w:tr>
      <w:tr>
        <w:trPr/>
        <w:tc>
          <w:tcPr>
            <w:shd w:val="clear" w:fill="auto" w:color="auto"/>
            <w:tcW w:w="548"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3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50"/>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 o:spid="_x0000_s35" type="#_x0000_t75" style="mso-wrap-distance-left:0.0pt;mso-wrap-distance-top:0.0pt;mso-wrap-distance-right:0.0pt;mso-wrap-distance-bottom:0.0pt;width:28.8pt;height:28.8pt;" stroked="f">
                      <v:path textboxrect="0,0,0,0"/>
                      <v:imagedata r:id="rId50" o:title=""/>
                    </v:shape>
                  </w:pict>
                </mc:Fallback>
              </mc:AlternateContent>
            </w:r>
            <w:r/>
          </w:p>
        </w:tc>
        <w:tc>
          <w:tcPr>
            <w:shd w:val="clear" w:fill="auto" w:color="auto"/>
            <w:tcW w:w="891" w:type="pct"/>
            <w:textDirection w:val="lrTb"/>
            <w:noWrap w:val="false"/>
          </w:tcPr>
          <w:p>
            <w:pPr>
              <w:pStyle w:val="1005"/>
              <w:ind w:left="57" w:right="57"/>
            </w:pPr>
            <w:r>
              <w:t xml:space="preserve">Закрыть</w:t>
            </w:r>
            <w:r/>
          </w:p>
        </w:tc>
        <w:tc>
          <w:tcPr>
            <w:shd w:val="clear" w:fill="auto" w:color="auto"/>
            <w:tcW w:w="3562" w:type="pct"/>
            <w:textDirection w:val="lrTb"/>
            <w:noWrap w:val="false"/>
          </w:tcPr>
          <w:p>
            <w:pPr>
              <w:pStyle w:val="1005"/>
              <w:ind w:left="57" w:right="57"/>
            </w:pPr>
            <w:r>
              <w:t xml:space="preserve">Закрытие текущего окна и выход из программы.</w:t>
            </w:r>
            <w:r/>
          </w:p>
        </w:tc>
      </w:tr>
    </w:tbl>
    <w:p>
      <w:pPr>
        <w:pStyle w:val="972"/>
      </w:pPr>
      <w:r/>
      <w:bookmarkStart w:id="180" w:name="_Toc383088843"/>
      <w:r/>
      <w:bookmarkStart w:id="181" w:name="_Toc422496674"/>
      <w:r/>
      <w:bookmarkStart w:id="182" w:name="_Toc225934561"/>
      <w:r/>
      <w:bookmarkStart w:id="183" w:name="_Toc231630528"/>
      <w:r/>
      <w:bookmarkStart w:id="184" w:name="_Toc231630652"/>
      <w:r/>
      <w:bookmarkStart w:id="185" w:name="_Toc302380424"/>
      <w:r/>
      <w:bookmarkStart w:id="186" w:name="_Toc309837808"/>
      <w:r/>
      <w:bookmarkStart w:id="187" w:name="_Toc88819086"/>
      <w:r>
        <w:t xml:space="preserve">Использование «горячих клавиш»</w:t>
      </w:r>
      <w:bookmarkEnd w:id="180"/>
      <w:r/>
      <w:bookmarkEnd w:id="181"/>
      <w:r/>
      <w:bookmarkEnd w:id="187"/>
      <w:r/>
      <w:r/>
    </w:p>
    <w:p>
      <w:pPr>
        <w:pStyle w:val="994"/>
      </w:pPr>
      <w:r>
        <w:t xml:space="preserve">При работе со списком документов или вложенными таблицами, можно воспользоваться «горячими клавишами», которые позволяют быстро выполнять некоторые наиболее часто используемые операции.</w:t>
      </w:r>
      <w:r/>
    </w:p>
    <w:p>
      <w:pPr>
        <w:pStyle w:val="994"/>
      </w:pPr>
      <w:r>
        <w:t xml:space="preserve">Список «горячих клавиш» при работе со списком документов:</w:t>
      </w:r>
      <w:r/>
    </w:p>
    <w:p>
      <w:pPr>
        <w:pStyle w:val="985"/>
      </w:pPr>
      <w:r>
        <w:t xml:space="preserve">ALT+N – создать новый документ;</w:t>
      </w:r>
      <w:r/>
    </w:p>
    <w:p>
      <w:pPr>
        <w:pStyle w:val="985"/>
      </w:pPr>
      <w:r>
        <w:t xml:space="preserve">ALT+D – удалить выделенный документ;</w:t>
      </w:r>
      <w:r/>
    </w:p>
    <w:p>
      <w:pPr>
        <w:pStyle w:val="985"/>
      </w:pPr>
      <w:r>
        <w:t xml:space="preserve">ALT+F – поиск документа;</w:t>
      </w:r>
      <w:r/>
    </w:p>
    <w:p>
      <w:pPr>
        <w:pStyle w:val="985"/>
      </w:pPr>
      <w:r>
        <w:t xml:space="preserve">ALT+P – печать документа;</w:t>
      </w:r>
      <w:r/>
    </w:p>
    <w:p>
      <w:pPr>
        <w:pStyle w:val="985"/>
      </w:pPr>
      <w:r>
        <w:t xml:space="preserve">CTRL+ A – выделение всех докуме</w:t>
      </w:r>
      <w:r>
        <w:t xml:space="preserve">нтов на текущей странице списка</w:t>
      </w:r>
      <w:r>
        <w:t xml:space="preserve">;</w:t>
      </w:r>
      <w:r/>
    </w:p>
    <w:p>
      <w:pPr>
        <w:pStyle w:val="994"/>
      </w:pPr>
      <w:r>
        <w:t xml:space="preserve">Список </w:t>
      </w:r>
      <w:r>
        <w:t xml:space="preserve">«</w:t>
      </w:r>
      <w:r>
        <w:t xml:space="preserve">горячих клавиш</w:t>
      </w:r>
      <w:r>
        <w:t xml:space="preserve">»</w:t>
      </w:r>
      <w:r>
        <w:t xml:space="preserve"> для </w:t>
      </w:r>
      <w:r>
        <w:t xml:space="preserve">вложенных таблиц</w:t>
      </w:r>
      <w:r>
        <w:t xml:space="preserve">:</w:t>
      </w:r>
      <w:r/>
    </w:p>
    <w:p>
      <w:pPr>
        <w:pStyle w:val="985"/>
      </w:pPr>
      <w:r>
        <w:t xml:space="preserve">ALT+B – создать копию строки;</w:t>
      </w:r>
      <w:r/>
    </w:p>
    <w:p>
      <w:pPr>
        <w:pStyle w:val="985"/>
      </w:pPr>
      <w:r>
        <w:t xml:space="preserve">ALT+F – поиск;</w:t>
      </w:r>
      <w:r/>
    </w:p>
    <w:p>
      <w:pPr>
        <w:pStyle w:val="985"/>
      </w:pPr>
      <w:r>
        <w:rPr>
          <w:lang w:val="en-US"/>
        </w:rPr>
        <w:t xml:space="preserve">Ins</w:t>
      </w:r>
      <w:r>
        <w:t xml:space="preserve"> – добавить новую строку;</w:t>
      </w:r>
      <w:r/>
    </w:p>
    <w:p>
      <w:pPr>
        <w:pStyle w:val="985"/>
      </w:pPr>
      <w:r>
        <w:t xml:space="preserve">Del – удалить строку.</w:t>
      </w:r>
      <w:r/>
    </w:p>
    <w:p>
      <w:r/>
      <w:r/>
    </w:p>
    <w:p>
      <w:pPr>
        <w:pStyle w:val="996"/>
      </w:pPr>
      <w:r>
        <w:rPr>
          <w:rStyle w:val="1001"/>
        </w:rPr>
        <w:t xml:space="preserve">Внимание!</w:t>
      </w:r>
      <w:r>
        <w:tab/>
        <w:t xml:space="preserve">Перед использованием «горячих клавиш» необходимо сначала выделить произвольную строку списка документов или запись во вложенной таблице.</w:t>
      </w:r>
      <w:r/>
    </w:p>
    <w:p>
      <w:pPr>
        <w:pStyle w:val="972"/>
      </w:pPr>
      <w:r/>
      <w:bookmarkStart w:id="188" w:name="_Toc383088844"/>
      <w:r/>
      <w:bookmarkStart w:id="189" w:name="_Toc422496675"/>
      <w:r/>
      <w:bookmarkStart w:id="190" w:name="_Ref485828100"/>
      <w:r/>
      <w:bookmarkStart w:id="191" w:name="_Toc88819087"/>
      <w:r>
        <w:t xml:space="preserve">Операции доступные на панели инструментов экранной формы документа</w:t>
      </w:r>
      <w:bookmarkEnd w:id="182"/>
      <w:r/>
      <w:bookmarkEnd w:id="183"/>
      <w:r/>
      <w:bookmarkEnd w:id="184"/>
      <w:r/>
      <w:bookmarkEnd w:id="185"/>
      <w:r/>
      <w:bookmarkEnd w:id="186"/>
      <w:r/>
      <w:bookmarkEnd w:id="188"/>
      <w:r/>
      <w:bookmarkEnd w:id="189"/>
      <w:r/>
      <w:bookmarkEnd w:id="190"/>
      <w:r/>
      <w:bookmarkEnd w:id="191"/>
      <w:r/>
      <w:r/>
    </w:p>
    <w:p>
      <w:pPr>
        <w:pStyle w:val="994"/>
      </w:pPr>
      <w:r>
        <w:t xml:space="preserve">При вводе/редактировании документа используются кнопки, расположенные на панели инструментов экранной формы документа (рис. </w:t>
      </w:r>
      <w:r>
        <w:fldChar w:fldCharType="begin"/>
      </w:r>
      <w:r>
        <w:instrText xml:space="preserve"> REF _Ref220757333 \h  \* MERGEFORMAT </w:instrText>
      </w:r>
      <w:r>
        <w:fldChar w:fldCharType="separate"/>
      </w:r>
      <w:r>
        <w:t xml:space="preserve">4</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4114800"/>
                <wp:effectExtent l="0" t="0" r="0" b="0"/>
                <wp:docPr id="3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51"/>
                        <a:stretch/>
                      </pic:blipFill>
                      <pic:spPr bwMode="auto">
                        <a:xfrm>
                          <a:off x="0" y="0"/>
                          <a:ext cx="6126480" cy="4114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mso-wrap-distance-left:0.0pt;mso-wrap-distance-top:0.0pt;mso-wrap-distance-right:0.0pt;mso-wrap-distance-bottom:0.0pt;width:482.4pt;height:324.0pt;" stroked="f">
                <v:path textboxrect="0,0,0,0"/>
                <v:imagedata r:id="rId51" o:title=""/>
              </v:shape>
            </w:pict>
          </mc:Fallback>
        </mc:AlternateContent>
      </w:r>
      <w:r/>
    </w:p>
    <w:p>
      <w:pPr>
        <w:pStyle w:val="983"/>
      </w:pPr>
      <w:r>
        <w:fldChar w:fldCharType="begin"/>
      </w:r>
      <w:r>
        <w:instrText xml:space="preserve"> SEQ Рисунок \* ARABIC </w:instrText>
      </w:r>
      <w:r>
        <w:fldChar w:fldCharType="separate"/>
      </w:r>
      <w:bookmarkStart w:id="192" w:name="_Ref220757333"/>
      <w:r/>
      <w:bookmarkStart w:id="193" w:name="_Toc88819389"/>
      <w:r>
        <w:t xml:space="preserve">4</w:t>
      </w:r>
      <w:bookmarkEnd w:id="192"/>
      <w:r>
        <w:fldChar w:fldCharType="end"/>
      </w:r>
      <w:r>
        <w:t xml:space="preserve">. Пример панели инструментов экранной формы документа</w:t>
      </w:r>
      <w:bookmarkEnd w:id="193"/>
      <w:r/>
      <w:r/>
    </w:p>
    <w:p>
      <w:pPr>
        <w:pStyle w:val="994"/>
      </w:pPr>
      <w:r>
        <w:t xml:space="preserve">Назначение кнопок описано в таблице</w:t>
      </w:r>
      <w:r>
        <w:t xml:space="preserve"> </w:t>
      </w:r>
      <w:r>
        <w:fldChar w:fldCharType="begin"/>
      </w:r>
      <w:r>
        <w:instrText xml:space="preserve"> REF _Ref205891258 \h  \* MERGEFORMAT </w:instrText>
      </w:r>
      <w:r>
        <w:fldChar w:fldCharType="separate"/>
      </w:r>
      <w:r>
        <w:t xml:space="preserve">3</w:t>
      </w:r>
      <w:r>
        <w:fldChar w:fldCharType="end"/>
      </w:r>
      <w:r>
        <w:t xml:space="preserve">.</w:t>
      </w:r>
      <w:r/>
    </w:p>
    <w:p>
      <w:pPr>
        <w:pStyle w:val="993"/>
      </w:pPr>
      <w:r>
        <w:fldChar w:fldCharType="begin"/>
      </w:r>
      <w:r>
        <w:instrText xml:space="preserve"> SEQ Таблица \* ARABIC </w:instrText>
      </w:r>
      <w:r>
        <w:fldChar w:fldCharType="separate"/>
      </w:r>
      <w:bookmarkStart w:id="194" w:name="_Ref205891258"/>
      <w:r/>
      <w:bookmarkStart w:id="195" w:name="_Toc88819189"/>
      <w:r>
        <w:t xml:space="preserve">3</w:t>
      </w:r>
      <w:bookmarkEnd w:id="194"/>
      <w:r>
        <w:fldChar w:fldCharType="end"/>
      </w:r>
      <w:r>
        <w:t xml:space="preserve">. Описание кнопок панели инструментов экранной формы документа</w:t>
      </w:r>
      <w:bookmarkEnd w:id="195"/>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1018"/>
        <w:gridCol w:w="2426"/>
        <w:gridCol w:w="6308"/>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522" w:type="pct"/>
            <w:vAlign w:val="center"/>
            <w:textDirection w:val="lrTb"/>
            <w:noWrap w:val="false"/>
          </w:tcPr>
          <w:p>
            <w:pPr>
              <w:pStyle w:val="1006"/>
            </w:pPr>
            <w:r>
              <w:t xml:space="preserve">Кнопка </w:t>
            </w:r>
            <w:r/>
          </w:p>
        </w:tc>
        <w:tc>
          <w:tcPr>
            <w:shd w:val="clear" w:fill="E6E6E6" w:color="auto"/>
            <w:tcBorders>
              <w:left w:val="single" w:sz="4" w:space="0" w:color="auto"/>
              <w:top w:val="single" w:sz="4" w:space="0" w:color="auto"/>
              <w:right w:val="single" w:sz="4" w:space="0" w:color="auto"/>
              <w:bottom w:val="single" w:sz="4" w:space="0" w:color="auto"/>
            </w:tcBorders>
            <w:tcW w:w="1244" w:type="pct"/>
            <w:vAlign w:val="center"/>
            <w:textDirection w:val="lrTb"/>
            <w:noWrap w:val="false"/>
          </w:tcPr>
          <w:p>
            <w:pPr>
              <w:pStyle w:val="1006"/>
            </w:pPr>
            <w:r>
              <w:t xml:space="preserve">Название операции</w:t>
            </w:r>
            <w:r/>
          </w:p>
        </w:tc>
        <w:tc>
          <w:tcPr>
            <w:shd w:val="clear" w:fill="E6E6E6" w:color="auto"/>
            <w:tcBorders>
              <w:left w:val="single" w:sz="4" w:space="0" w:color="auto"/>
              <w:top w:val="single" w:sz="4" w:space="0" w:color="auto"/>
              <w:right w:val="single" w:sz="4" w:space="0" w:color="auto"/>
              <w:bottom w:val="single" w:sz="4" w:space="0" w:color="auto"/>
            </w:tcBorders>
            <w:tcW w:w="3234" w:type="pct"/>
            <w:vAlign w:val="center"/>
            <w:textDirection w:val="lrTb"/>
            <w:noWrap w:val="false"/>
          </w:tcPr>
          <w:p>
            <w:pPr>
              <w:pStyle w:val="1006"/>
            </w:pPr>
            <w:r>
              <w:t xml:space="preserve">Описание операции</w:t>
            </w:r>
            <w:r/>
          </w:p>
        </w:tc>
      </w:tr>
      <w:tr>
        <w:trPr/>
        <w:tc>
          <w:tcPr>
            <w:shd w:val="clear" w:fill="auto" w:color="auto"/>
            <w:tcW w:w="522"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3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7"/>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mso-wrap-distance-left:0.0pt;mso-wrap-distance-top:0.0pt;mso-wrap-distance-right:0.0pt;mso-wrap-distance-bottom:0.0pt;width:28.8pt;height:28.8pt;" stroked="f">
                      <v:path textboxrect="0,0,0,0"/>
                      <v:imagedata r:id="rId17" o:title=""/>
                    </v:shape>
                  </w:pict>
                </mc:Fallback>
              </mc:AlternateContent>
            </w:r>
            <w:r/>
          </w:p>
        </w:tc>
        <w:tc>
          <w:tcPr>
            <w:shd w:val="clear" w:fill="auto" w:color="auto"/>
            <w:tcW w:w="1244" w:type="pct"/>
            <w:textDirection w:val="lrTb"/>
            <w:noWrap w:val="false"/>
          </w:tcPr>
          <w:p>
            <w:pPr>
              <w:pStyle w:val="1005"/>
              <w:ind w:left="57" w:right="57"/>
            </w:pPr>
            <w:r>
              <w:t xml:space="preserve">Создать новый документ</w:t>
            </w:r>
            <w:r/>
          </w:p>
        </w:tc>
        <w:tc>
          <w:tcPr>
            <w:shd w:val="clear" w:fill="auto" w:color="auto"/>
            <w:tcW w:w="3234" w:type="pct"/>
            <w:textDirection w:val="lrTb"/>
            <w:noWrap w:val="false"/>
          </w:tcPr>
          <w:p>
            <w:pPr>
              <w:pStyle w:val="1005"/>
              <w:ind w:left="57" w:right="57"/>
            </w:pPr>
            <w:r>
              <w:t xml:space="preserve">Открывается форма для создания нового документа. </w:t>
            </w:r>
            <w:r/>
          </w:p>
        </w:tc>
      </w:tr>
      <w:tr>
        <w:trPr/>
        <w:tc>
          <w:tcPr>
            <w:shd w:val="clear" w:fill="auto" w:color="auto"/>
            <w:tcW w:w="522"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3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2"/>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mso-wrap-distance-left:0.0pt;mso-wrap-distance-top:0.0pt;mso-wrap-distance-right:0.0pt;mso-wrap-distance-bottom:0.0pt;width:28.8pt;height:28.8pt;" stroked="f">
                      <v:path textboxrect="0,0,0,0"/>
                      <v:imagedata r:id="rId32" o:title=""/>
                    </v:shape>
                  </w:pict>
                </mc:Fallback>
              </mc:AlternateContent>
            </w:r>
            <w:r/>
          </w:p>
        </w:tc>
        <w:tc>
          <w:tcPr>
            <w:shd w:val="clear" w:fill="auto" w:color="auto"/>
            <w:tcW w:w="1244" w:type="pct"/>
            <w:textDirection w:val="lrTb"/>
            <w:noWrap w:val="false"/>
          </w:tcPr>
          <w:p>
            <w:pPr>
              <w:pStyle w:val="1005"/>
              <w:ind w:left="57" w:right="57"/>
            </w:pPr>
            <w:r>
              <w:t xml:space="preserve">Создать копию документа</w:t>
            </w:r>
            <w:r/>
          </w:p>
        </w:tc>
        <w:tc>
          <w:tcPr>
            <w:shd w:val="clear" w:fill="auto" w:color="auto"/>
            <w:tcW w:w="3234" w:type="pct"/>
            <w:textDirection w:val="lrTb"/>
            <w:noWrap w:val="false"/>
          </w:tcPr>
          <w:p>
            <w:pPr>
              <w:pStyle w:val="1005"/>
              <w:ind w:left="57" w:right="57"/>
            </w:pPr>
            <w:r>
              <w:t xml:space="preserve">Создается копия открытого документа.</w:t>
            </w:r>
            <w:r/>
          </w:p>
        </w:tc>
      </w:tr>
      <w:tr>
        <w:trPr/>
        <w:tc>
          <w:tcPr>
            <w:shd w:val="clear" w:fill="auto" w:color="auto"/>
            <w:tcW w:w="522"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4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52"/>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mso-wrap-distance-left:0.0pt;mso-wrap-distance-top:0.0pt;mso-wrap-distance-right:0.0pt;mso-wrap-distance-bottom:0.0pt;width:28.8pt;height:28.8pt;" stroked="f">
                      <v:path textboxrect="0,0,0,0"/>
                      <v:imagedata r:id="rId52" o:title=""/>
                    </v:shape>
                  </w:pict>
                </mc:Fallback>
              </mc:AlternateContent>
            </w:r>
            <w:r/>
          </w:p>
        </w:tc>
        <w:tc>
          <w:tcPr>
            <w:shd w:val="clear" w:fill="auto" w:color="auto"/>
            <w:tcW w:w="1244" w:type="pct"/>
            <w:textDirection w:val="lrTb"/>
            <w:noWrap w:val="false"/>
          </w:tcPr>
          <w:p>
            <w:pPr>
              <w:pStyle w:val="1005"/>
              <w:ind w:left="57" w:right="57"/>
            </w:pPr>
            <w:r>
              <w:t xml:space="preserve">Выбрать родительский документ</w:t>
            </w:r>
            <w:r/>
          </w:p>
        </w:tc>
        <w:tc>
          <w:tcPr>
            <w:shd w:val="clear" w:fill="auto" w:color="auto"/>
            <w:tcW w:w="3234" w:type="pct"/>
            <w:textDirection w:val="lrTb"/>
            <w:noWrap w:val="false"/>
          </w:tcPr>
          <w:p>
            <w:pPr>
              <w:pStyle w:val="1005"/>
              <w:ind w:left="57" w:right="57"/>
            </w:pPr>
            <w:r>
              <w:t xml:space="preserve">Открывается окно поиска родительского документа. </w:t>
            </w:r>
            <w:r/>
          </w:p>
        </w:tc>
      </w:tr>
      <w:tr>
        <w:trPr/>
        <w:tc>
          <w:tcPr>
            <w:shd w:val="clear" w:fill="auto" w:color="auto"/>
            <w:tcW w:w="522"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4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53"/>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mso-wrap-distance-left:0.0pt;mso-wrap-distance-top:0.0pt;mso-wrap-distance-right:0.0pt;mso-wrap-distance-bottom:0.0pt;width:28.8pt;height:28.8pt;" stroked="f">
                      <v:path textboxrect="0,0,0,0"/>
                      <v:imagedata r:id="rId53" o:title=""/>
                    </v:shape>
                  </w:pict>
                </mc:Fallback>
              </mc:AlternateContent>
            </w:r>
            <w:r/>
          </w:p>
        </w:tc>
        <w:tc>
          <w:tcPr>
            <w:shd w:val="clear" w:fill="auto" w:color="auto"/>
            <w:tcW w:w="1244" w:type="pct"/>
            <w:textDirection w:val="lrTb"/>
            <w:noWrap w:val="false"/>
          </w:tcPr>
          <w:p>
            <w:pPr>
              <w:pStyle w:val="1005"/>
              <w:ind w:left="57" w:right="57"/>
            </w:pPr>
            <w:r>
              <w:t xml:space="preserve">Сохранить изменения</w:t>
            </w:r>
            <w:r/>
          </w:p>
        </w:tc>
        <w:tc>
          <w:tcPr>
            <w:shd w:val="clear" w:fill="auto" w:color="auto"/>
            <w:tcW w:w="3234" w:type="pct"/>
            <w:textDirection w:val="lrTb"/>
            <w:noWrap w:val="false"/>
          </w:tcPr>
          <w:p>
            <w:pPr>
              <w:pStyle w:val="1005"/>
              <w:ind w:left="57" w:right="57"/>
            </w:pPr>
            <w:r>
              <w:t xml:space="preserve">Выполняется контроль заполнения полей документа и сохранение произведенных изменений.</w:t>
            </w:r>
            <w:r/>
          </w:p>
        </w:tc>
      </w:tr>
      <w:tr>
        <w:trPr/>
        <w:tc>
          <w:tcPr>
            <w:shd w:val="clear" w:fill="auto" w:color="auto"/>
            <w:tcW w:w="522"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4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6"/>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 o:spid="_x0000_s41" type="#_x0000_t75" style="mso-wrap-distance-left:0.0pt;mso-wrap-distance-top:0.0pt;mso-wrap-distance-right:0.0pt;mso-wrap-distance-bottom:0.0pt;width:28.8pt;height:28.8pt;" stroked="f">
                      <v:path textboxrect="0,0,0,0"/>
                      <v:imagedata r:id="rId16" o:title=""/>
                    </v:shape>
                  </w:pict>
                </mc:Fallback>
              </mc:AlternateContent>
            </w:r>
            <w:r/>
          </w:p>
        </w:tc>
        <w:tc>
          <w:tcPr>
            <w:shd w:val="clear" w:fill="auto" w:color="auto"/>
            <w:tcW w:w="1244" w:type="pct"/>
            <w:textDirection w:val="lrTb"/>
            <w:noWrap w:val="false"/>
          </w:tcPr>
          <w:p>
            <w:pPr>
              <w:pStyle w:val="1005"/>
              <w:ind w:left="57" w:right="57"/>
            </w:pPr>
            <w:r>
              <w:t xml:space="preserve">Сохранить изменения и закрыть окно</w:t>
            </w:r>
            <w:r/>
          </w:p>
        </w:tc>
        <w:tc>
          <w:tcPr>
            <w:shd w:val="clear" w:fill="auto" w:color="auto"/>
            <w:tcW w:w="3234" w:type="pct"/>
            <w:textDirection w:val="lrTb"/>
            <w:noWrap w:val="false"/>
          </w:tcPr>
          <w:p>
            <w:pPr>
              <w:pStyle w:val="1005"/>
              <w:ind w:left="57" w:right="57"/>
            </w:pPr>
            <w:r>
              <w:t xml:space="preserve">Выполняется контроль заполнения полей документа, сохранение произведенных изменений и выход из формы.</w:t>
            </w:r>
            <w:r/>
          </w:p>
        </w:tc>
      </w:tr>
      <w:tr>
        <w:trPr/>
        <w:tc>
          <w:tcPr>
            <w:shd w:val="clear" w:fill="auto" w:color="auto"/>
            <w:tcW w:w="522"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4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54"/>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 o:spid="_x0000_s42" type="#_x0000_t75" style="mso-wrap-distance-left:0.0pt;mso-wrap-distance-top:0.0pt;mso-wrap-distance-right:0.0pt;mso-wrap-distance-bottom:0.0pt;width:28.8pt;height:28.8pt;" stroked="f">
                      <v:path textboxrect="0,0,0,0"/>
                      <v:imagedata r:id="rId54" o:title=""/>
                    </v:shape>
                  </w:pict>
                </mc:Fallback>
              </mc:AlternateContent>
            </w:r>
            <w:r/>
          </w:p>
        </w:tc>
        <w:tc>
          <w:tcPr>
            <w:shd w:val="clear" w:fill="auto" w:color="auto"/>
            <w:tcW w:w="1244" w:type="pct"/>
            <w:textDirection w:val="lrTb"/>
            <w:noWrap w:val="false"/>
          </w:tcPr>
          <w:p>
            <w:pPr>
              <w:pStyle w:val="1005"/>
              <w:ind w:left="57" w:right="57"/>
            </w:pPr>
            <w:r>
              <w:t xml:space="preserve">Проверить документ</w:t>
            </w:r>
            <w:r/>
          </w:p>
        </w:tc>
        <w:tc>
          <w:tcPr>
            <w:shd w:val="clear" w:fill="auto" w:color="auto"/>
            <w:tcW w:w="3234" w:type="pct"/>
            <w:textDirection w:val="lrTb"/>
            <w:noWrap w:val="false"/>
          </w:tcPr>
          <w:p>
            <w:pPr>
              <w:pStyle w:val="1005"/>
              <w:ind w:left="57" w:right="57"/>
            </w:pPr>
            <w:r>
              <w:t xml:space="preserve">Выполняется проверка документа.</w:t>
            </w:r>
            <w:r/>
          </w:p>
        </w:tc>
      </w:tr>
      <w:tr>
        <w:trPr/>
        <w:tc>
          <w:tcPr>
            <w:shd w:val="clear" w:fill="auto" w:color="auto"/>
            <w:tcW w:w="522"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4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4"/>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 o:spid="_x0000_s43" type="#_x0000_t75" style="mso-wrap-distance-left:0.0pt;mso-wrap-distance-top:0.0pt;mso-wrap-distance-right:0.0pt;mso-wrap-distance-bottom:0.0pt;width:28.8pt;height:28.8pt;" stroked="f">
                      <v:path textboxrect="0,0,0,0"/>
                      <v:imagedata r:id="rId44" o:title=""/>
                    </v:shape>
                  </w:pict>
                </mc:Fallback>
              </mc:AlternateContent>
            </w:r>
            <w:r/>
          </w:p>
        </w:tc>
        <w:tc>
          <w:tcPr>
            <w:shd w:val="clear" w:fill="auto" w:color="auto"/>
            <w:tcW w:w="1244" w:type="pct"/>
            <w:textDirection w:val="lrTb"/>
            <w:noWrap w:val="false"/>
          </w:tcPr>
          <w:p>
            <w:pPr>
              <w:pStyle w:val="1005"/>
              <w:ind w:left="57" w:right="57"/>
            </w:pPr>
            <w:r>
              <w:t xml:space="preserve">Печать</w:t>
            </w:r>
            <w:r/>
          </w:p>
        </w:tc>
        <w:tc>
          <w:tcPr>
            <w:shd w:val="clear" w:fill="auto" w:color="auto"/>
            <w:tcW w:w="3234" w:type="pct"/>
            <w:textDirection w:val="lrTb"/>
            <w:noWrap w:val="false"/>
          </w:tcPr>
          <w:p>
            <w:pPr>
              <w:pStyle w:val="1005"/>
              <w:ind w:left="57" w:right="57"/>
            </w:pPr>
            <w:r>
              <w:t xml:space="preserve">Выполняется отправка документа на печать.</w:t>
            </w:r>
            <w:r/>
          </w:p>
        </w:tc>
      </w:tr>
      <w:tr>
        <w:trPr/>
        <w:tc>
          <w:tcPr>
            <w:shd w:val="clear" w:fill="auto" w:color="auto"/>
            <w:tcW w:w="522"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4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50"/>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 o:spid="_x0000_s44" type="#_x0000_t75" style="mso-wrap-distance-left:0.0pt;mso-wrap-distance-top:0.0pt;mso-wrap-distance-right:0.0pt;mso-wrap-distance-bottom:0.0pt;width:28.8pt;height:28.8pt;" stroked="f">
                      <v:path textboxrect="0,0,0,0"/>
                      <v:imagedata r:id="rId50" o:title=""/>
                    </v:shape>
                  </w:pict>
                </mc:Fallback>
              </mc:AlternateContent>
            </w:r>
            <w:r/>
          </w:p>
        </w:tc>
        <w:tc>
          <w:tcPr>
            <w:shd w:val="clear" w:fill="auto" w:color="auto"/>
            <w:tcW w:w="1244" w:type="pct"/>
            <w:textDirection w:val="lrTb"/>
            <w:noWrap w:val="false"/>
          </w:tcPr>
          <w:p>
            <w:pPr>
              <w:pStyle w:val="1005"/>
              <w:ind w:left="57" w:right="57"/>
            </w:pPr>
            <w:r>
              <w:t xml:space="preserve">Закрыть форму </w:t>
            </w:r>
            <w:r/>
          </w:p>
        </w:tc>
        <w:tc>
          <w:tcPr>
            <w:shd w:val="clear" w:fill="auto" w:color="auto"/>
            <w:tcW w:w="3234" w:type="pct"/>
            <w:textDirection w:val="lrTb"/>
            <w:noWrap w:val="false"/>
          </w:tcPr>
          <w:p>
            <w:pPr>
              <w:pStyle w:val="1005"/>
              <w:ind w:left="57" w:right="57"/>
            </w:pPr>
            <w:r>
              <w:t xml:space="preserve">Закрывается форма документа.</w:t>
            </w:r>
            <w:r/>
          </w:p>
        </w:tc>
      </w:tr>
    </w:tbl>
    <w:p>
      <w:pPr>
        <w:pStyle w:val="996"/>
      </w:pPr>
      <w:r/>
      <w:bookmarkStart w:id="196" w:name="_Toc225934563"/>
      <w:r/>
      <w:bookmarkStart w:id="197" w:name="_Ref227065730"/>
      <w:r/>
      <w:bookmarkStart w:id="198" w:name="_Toc231630529"/>
      <w:r/>
      <w:bookmarkStart w:id="199" w:name="_Toc231630653"/>
      <w:r/>
      <w:bookmarkStart w:id="200" w:name="_Toc302380425"/>
      <w:r/>
      <w:bookmarkStart w:id="201" w:name="_Toc309837809"/>
      <w:r/>
      <w:bookmarkStart w:id="202" w:name="_Ref328396131"/>
      <w:r/>
      <w:bookmarkStart w:id="203" w:name="_Toc383088845"/>
      <w:r/>
      <w:bookmarkStart w:id="204" w:name="_Toc422496676"/>
      <w:r>
        <w:rPr>
          <w:rStyle w:val="1001"/>
        </w:rPr>
        <w:t xml:space="preserve">Внимание!</w:t>
      </w:r>
      <w:r>
        <w:tab/>
      </w:r>
      <w:r>
        <w:t xml:space="preserve">Для сохранения промежуточного результата при заполнении формы документа</w:t>
      </w:r>
      <w:r>
        <w:t xml:space="preserve">, необходимо </w:t>
      </w:r>
      <w:r>
        <w:t xml:space="preserve">сначала </w:t>
      </w:r>
      <w:r>
        <w:t xml:space="preserve">нажать кнопку «</w:t>
      </w:r>
      <w:r>
        <w:t xml:space="preserve">Проверить документ</w:t>
      </w:r>
      <w:r>
        <w:t xml:space="preserve">»</w:t>
      </w:r>
      <w:r>
        <w:t xml:space="preserve">, а затем</w:t>
      </w:r>
      <w:r>
        <w:t xml:space="preserve">,</w:t>
      </w:r>
      <w:r>
        <w:t xml:space="preserve"> в появившимся окне </w:t>
      </w:r>
      <w:r>
        <w:t xml:space="preserve">«</w:t>
      </w:r>
      <w:r>
        <w:t xml:space="preserve">Результаты проверки</w:t>
      </w:r>
      <w:r>
        <w:t xml:space="preserve">»</w:t>
      </w:r>
      <w:r>
        <w:t xml:space="preserve">,</w:t>
      </w:r>
      <w:r>
        <w:t xml:space="preserve"> нажать кнопку «</w:t>
      </w:r>
      <w:r>
        <w:t xml:space="preserve">Сохранить</w:t>
      </w:r>
      <w:r>
        <w:t xml:space="preserve">»</w:t>
      </w:r>
      <w:r>
        <w:t xml:space="preserve">.</w:t>
      </w:r>
      <w:r/>
    </w:p>
    <w:p>
      <w:pPr>
        <w:pStyle w:val="972"/>
      </w:pPr>
      <w:r/>
      <w:bookmarkStart w:id="205" w:name="_Toc88819088"/>
      <w:r>
        <w:t xml:space="preserve">Работа с табличными записями</w:t>
      </w:r>
      <w:bookmarkEnd w:id="196"/>
      <w:r/>
      <w:bookmarkEnd w:id="197"/>
      <w:r/>
      <w:bookmarkEnd w:id="198"/>
      <w:r/>
      <w:bookmarkEnd w:id="199"/>
      <w:r/>
      <w:bookmarkEnd w:id="200"/>
      <w:r/>
      <w:bookmarkEnd w:id="201"/>
      <w:r/>
      <w:bookmarkEnd w:id="202"/>
      <w:r/>
      <w:bookmarkEnd w:id="203"/>
      <w:r/>
      <w:bookmarkEnd w:id="204"/>
      <w:r/>
      <w:bookmarkEnd w:id="205"/>
      <w:r/>
      <w:r/>
    </w:p>
    <w:p>
      <w:pPr>
        <w:pStyle w:val="994"/>
      </w:pPr>
      <w:r>
        <w:t xml:space="preserve">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t xml:space="preserve"> </w:t>
      </w:r>
      <w:r>
        <w:fldChar w:fldCharType="begin"/>
      </w:r>
      <w:r>
        <w:instrText xml:space="preserve"> REF _Ref328404363 \h  \* MERGEFORMAT </w:instrText>
      </w:r>
      <w:r>
        <w:fldChar w:fldCharType="separate"/>
      </w:r>
      <w:r>
        <w:t xml:space="preserve">5</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4114800"/>
                <wp:effectExtent l="0" t="0" r="0" b="0"/>
                <wp:docPr id="4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55"/>
                        <a:stretch/>
                      </pic:blipFill>
                      <pic:spPr bwMode="auto">
                        <a:xfrm>
                          <a:off x="0" y="0"/>
                          <a:ext cx="6126480" cy="4114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 o:spid="_x0000_s45" type="#_x0000_t75" style="mso-wrap-distance-left:0.0pt;mso-wrap-distance-top:0.0pt;mso-wrap-distance-right:0.0pt;mso-wrap-distance-bottom:0.0pt;width:482.4pt;height:324.0pt;" stroked="f">
                <v:path textboxrect="0,0,0,0"/>
                <v:imagedata r:id="rId55" o:title=""/>
              </v:shape>
            </w:pict>
          </mc:Fallback>
        </mc:AlternateContent>
      </w:r>
      <w:r/>
    </w:p>
    <w:p>
      <w:pPr>
        <w:pStyle w:val="983"/>
      </w:pPr>
      <w:r>
        <w:fldChar w:fldCharType="begin"/>
      </w:r>
      <w:r>
        <w:instrText xml:space="preserve"> SEQ Рисунок \* ARABIC </w:instrText>
      </w:r>
      <w:r>
        <w:fldChar w:fldCharType="separate"/>
      </w:r>
      <w:bookmarkStart w:id="206" w:name="_Ref328404363"/>
      <w:r/>
      <w:bookmarkStart w:id="207" w:name="_Toc88819390"/>
      <w:r>
        <w:t xml:space="preserve">5</w:t>
      </w:r>
      <w:bookmarkEnd w:id="206"/>
      <w:r>
        <w:fldChar w:fldCharType="end"/>
      </w:r>
      <w:r>
        <w:t xml:space="preserve">. Пример экранной формы, содержащей встроенную таблицу</w:t>
      </w:r>
      <w:bookmarkEnd w:id="207"/>
      <w:r/>
      <w:r/>
    </w:p>
    <w:p>
      <w:pPr>
        <w:pStyle w:val="994"/>
      </w:pPr>
      <w:r>
        <w:t xml:space="preserve">При работе со встроенными таблицами используются кнопки, расположенные на панели инструментов табличного блока.</w:t>
      </w:r>
      <w:r/>
    </w:p>
    <w:p>
      <w:pPr>
        <w:pStyle w:val="994"/>
      </w:pPr>
      <w:r>
        <w:t xml:space="preserve">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t xml:space="preserve">л</w:t>
      </w:r>
      <w:r>
        <w:t xml:space="preserve">. </w:t>
      </w:r>
      <w:r>
        <w:fldChar w:fldCharType="begin"/>
      </w:r>
      <w:r>
        <w:instrText xml:space="preserve"> REF _Ref227420372 \h  \* MERGEFORMAT </w:instrText>
      </w:r>
      <w:r>
        <w:fldChar w:fldCharType="separate"/>
      </w:r>
      <w:r>
        <w:t xml:space="preserve">4</w:t>
      </w:r>
      <w:r>
        <w:fldChar w:fldCharType="end"/>
      </w:r>
      <w:r>
        <w:t xml:space="preserve">).</w:t>
      </w:r>
      <w:r/>
    </w:p>
    <w:p>
      <w:pPr>
        <w:pStyle w:val="993"/>
      </w:pPr>
      <w:r/>
      <w:bookmarkStart w:id="208" w:name="_Toc225934564"/>
      <w:r>
        <w:fldChar w:fldCharType="begin"/>
      </w:r>
      <w:r>
        <w:instrText xml:space="preserve"> SEQ Таблица \* ARABIC </w:instrText>
      </w:r>
      <w:r>
        <w:fldChar w:fldCharType="separate"/>
      </w:r>
      <w:bookmarkStart w:id="209" w:name="_Ref227420372"/>
      <w:r/>
      <w:bookmarkStart w:id="210" w:name="_Toc88819190"/>
      <w:r>
        <w:t xml:space="preserve">4</w:t>
      </w:r>
      <w:bookmarkEnd w:id="209"/>
      <w:r>
        <w:fldChar w:fldCharType="end"/>
      </w:r>
      <w:r>
        <w:t xml:space="preserve">. Описание кнопок панели инструментов табличного блока</w:t>
      </w:r>
      <w:bookmarkEnd w:id="210"/>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997"/>
        <w:gridCol w:w="2315"/>
        <w:gridCol w:w="6440"/>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511" w:type="pct"/>
            <w:vAlign w:val="center"/>
            <w:textDirection w:val="lrTb"/>
            <w:noWrap w:val="false"/>
          </w:tcPr>
          <w:p>
            <w:pPr>
              <w:pStyle w:val="1006"/>
            </w:pPr>
            <w:r>
              <w:t xml:space="preserve">Кнопка </w:t>
            </w:r>
            <w:r/>
          </w:p>
        </w:tc>
        <w:tc>
          <w:tcPr>
            <w:shd w:val="clear" w:fill="E6E6E6" w:color="auto"/>
            <w:tcBorders>
              <w:left w:val="single" w:sz="4" w:space="0" w:color="auto"/>
              <w:top w:val="single" w:sz="4" w:space="0" w:color="auto"/>
              <w:right w:val="single" w:sz="4" w:space="0" w:color="auto"/>
              <w:bottom w:val="single" w:sz="4" w:space="0" w:color="auto"/>
            </w:tcBorders>
            <w:tcW w:w="1187" w:type="pct"/>
            <w:vAlign w:val="center"/>
            <w:textDirection w:val="lrTb"/>
            <w:noWrap w:val="false"/>
          </w:tcPr>
          <w:p>
            <w:pPr>
              <w:pStyle w:val="1006"/>
            </w:pPr>
            <w:r>
              <w:t xml:space="preserve">Название операции</w:t>
            </w:r>
            <w:r/>
          </w:p>
        </w:tc>
        <w:tc>
          <w:tcPr>
            <w:shd w:val="clear" w:fill="E6E6E6" w:color="auto"/>
            <w:tcBorders>
              <w:left w:val="single" w:sz="4" w:space="0" w:color="auto"/>
              <w:top w:val="single" w:sz="4" w:space="0" w:color="auto"/>
              <w:right w:val="single" w:sz="4" w:space="0" w:color="auto"/>
              <w:bottom w:val="single" w:sz="4" w:space="0" w:color="auto"/>
            </w:tcBorders>
            <w:tcW w:w="3302" w:type="pct"/>
            <w:vAlign w:val="center"/>
            <w:textDirection w:val="lrTb"/>
            <w:noWrap w:val="false"/>
          </w:tcPr>
          <w:p>
            <w:pPr>
              <w:pStyle w:val="1006"/>
            </w:pPr>
            <w:r>
              <w:t xml:space="preserve">Описание операции</w:t>
            </w:r>
            <w:r/>
          </w:p>
        </w:tc>
      </w:tr>
      <w:tr>
        <w:trPr/>
        <w:tc>
          <w:tcPr>
            <w:shd w:val="clear" w:fill="auto" w:color="auto"/>
            <w:tcW w:w="511"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4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56"/>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 o:spid="_x0000_s46" type="#_x0000_t75" style="mso-wrap-distance-left:0.0pt;mso-wrap-distance-top:0.0pt;mso-wrap-distance-right:0.0pt;mso-wrap-distance-bottom:0.0pt;width:28.8pt;height:28.8pt;" stroked="f">
                      <v:path textboxrect="0,0,0,0"/>
                      <v:imagedata r:id="rId56" o:title=""/>
                    </v:shape>
                  </w:pict>
                </mc:Fallback>
              </mc:AlternateContent>
            </w:r>
            <w:r/>
          </w:p>
        </w:tc>
        <w:tc>
          <w:tcPr>
            <w:shd w:val="clear" w:fill="auto" w:color="auto"/>
            <w:tcW w:w="1187" w:type="pct"/>
            <w:textDirection w:val="lrTb"/>
            <w:noWrap w:val="false"/>
          </w:tcPr>
          <w:p>
            <w:pPr>
              <w:pStyle w:val="1005"/>
              <w:ind w:left="57" w:right="57"/>
            </w:pPr>
            <w:r>
              <w:t xml:space="preserve">Добавить новую строку</w:t>
            </w:r>
            <w:r/>
          </w:p>
        </w:tc>
        <w:tc>
          <w:tcPr>
            <w:shd w:val="clear" w:fill="auto" w:color="auto"/>
            <w:tcW w:w="3302" w:type="pct"/>
            <w:textDirection w:val="lrTb"/>
            <w:noWrap w:val="false"/>
          </w:tcPr>
          <w:p>
            <w:pPr>
              <w:pStyle w:val="1005"/>
              <w:ind w:left="57" w:right="57"/>
            </w:pPr>
            <w:r>
              <w:t xml:space="preserve">Открывается форма для создания новой записи. После заполнения полей формы и сохранения в список добавляется новая строка.</w:t>
            </w:r>
            <w:r/>
          </w:p>
        </w:tc>
      </w:tr>
      <w:tr>
        <w:trPr/>
        <w:tc>
          <w:tcPr>
            <w:shd w:val="clear" w:fill="auto" w:color="auto"/>
            <w:tcW w:w="511"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4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57"/>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 o:spid="_x0000_s47" type="#_x0000_t75" style="mso-wrap-distance-left:0.0pt;mso-wrap-distance-top:0.0pt;mso-wrap-distance-right:0.0pt;mso-wrap-distance-bottom:0.0pt;width:28.8pt;height:28.8pt;" stroked="f">
                      <v:path textboxrect="0,0,0,0"/>
                      <v:imagedata r:id="rId57" o:title=""/>
                    </v:shape>
                  </w:pict>
                </mc:Fallback>
              </mc:AlternateContent>
            </w:r>
            <w:r/>
          </w:p>
        </w:tc>
        <w:tc>
          <w:tcPr>
            <w:shd w:val="clear" w:fill="auto" w:color="auto"/>
            <w:tcW w:w="1187" w:type="pct"/>
            <w:textDirection w:val="lrTb"/>
            <w:noWrap w:val="false"/>
          </w:tcPr>
          <w:p>
            <w:pPr>
              <w:pStyle w:val="1005"/>
              <w:ind w:left="57" w:right="57"/>
            </w:pPr>
            <w:r>
              <w:t xml:space="preserve">Копирование записи</w:t>
            </w:r>
            <w:r/>
          </w:p>
        </w:tc>
        <w:tc>
          <w:tcPr>
            <w:shd w:val="clear" w:fill="auto" w:color="auto"/>
            <w:tcW w:w="3302" w:type="pct"/>
            <w:textDirection w:val="lrTb"/>
            <w:noWrap w:val="false"/>
          </w:tcPr>
          <w:p>
            <w:pPr>
              <w:pStyle w:val="1005"/>
              <w:ind w:left="57" w:right="57"/>
            </w:pPr>
            <w:r>
              <w:t xml:space="preserve">В списке отобразится новая запись с атрибутами скопированной записи.</w:t>
            </w:r>
            <w:r/>
          </w:p>
        </w:tc>
      </w:tr>
      <w:tr>
        <w:trPr/>
        <w:tc>
          <w:tcPr>
            <w:shd w:val="clear" w:fill="auto" w:color="auto"/>
            <w:tcW w:w="511"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4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58"/>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 o:spid="_x0000_s48" type="#_x0000_t75" style="mso-wrap-distance-left:0.0pt;mso-wrap-distance-top:0.0pt;mso-wrap-distance-right:0.0pt;mso-wrap-distance-bottom:0.0pt;width:28.8pt;height:28.8pt;" stroked="f">
                      <v:path textboxrect="0,0,0,0"/>
                      <v:imagedata r:id="rId58" o:title=""/>
                    </v:shape>
                  </w:pict>
                </mc:Fallback>
              </mc:AlternateContent>
            </w:r>
            <w:r/>
          </w:p>
        </w:tc>
        <w:tc>
          <w:tcPr>
            <w:shd w:val="clear" w:fill="auto" w:color="auto"/>
            <w:tcW w:w="1187" w:type="pct"/>
            <w:textDirection w:val="lrTb"/>
            <w:noWrap w:val="false"/>
          </w:tcPr>
          <w:p>
            <w:pPr>
              <w:pStyle w:val="1005"/>
              <w:ind w:left="57" w:right="57"/>
            </w:pPr>
            <w:r/>
            <w:bookmarkStart w:id="211" w:name="_Toc225934565"/>
            <w:r>
              <w:t xml:space="preserve">Просмотр/</w:t>
            </w:r>
            <w:r>
              <w:t xml:space="preserve">Редактирование</w:t>
            </w:r>
            <w:bookmarkEnd w:id="211"/>
            <w:r/>
            <w:r/>
          </w:p>
        </w:tc>
        <w:tc>
          <w:tcPr>
            <w:shd w:val="clear" w:fill="auto" w:color="auto"/>
            <w:tcW w:w="3302" w:type="pct"/>
            <w:textDirection w:val="lrTb"/>
            <w:noWrap w:val="false"/>
          </w:tcPr>
          <w:p>
            <w:pPr>
              <w:pStyle w:val="1005"/>
              <w:ind w:left="57" w:right="57"/>
            </w:pPr>
            <w:r>
              <w:t xml:space="preserve">Открывается форма «Редактирование записи», состав полей которой аналогичен форме «Добавление записи». В форме следует отредактировать требуемые поля и нажать на </w:t>
            </w:r>
            <w:r>
              <w:t xml:space="preserve">кнопку «Ok»</w:t>
            </w:r>
            <w:r>
              <w:t xml:space="preserve">. Если запись недоступна для редактирования, то она открывается только на просмотр.</w:t>
            </w:r>
            <w:r/>
          </w:p>
        </w:tc>
      </w:tr>
      <w:tr>
        <w:trPr/>
        <w:tc>
          <w:tcPr>
            <w:shd w:val="clear" w:fill="auto" w:color="auto"/>
            <w:tcW w:w="511"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5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59"/>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 o:spid="_x0000_s49" type="#_x0000_t75" style="mso-wrap-distance-left:0.0pt;mso-wrap-distance-top:0.0pt;mso-wrap-distance-right:0.0pt;mso-wrap-distance-bottom:0.0pt;width:28.8pt;height:28.8pt;" stroked="f">
                      <v:path textboxrect="0,0,0,0"/>
                      <v:imagedata r:id="rId59" o:title=""/>
                    </v:shape>
                  </w:pict>
                </mc:Fallback>
              </mc:AlternateContent>
            </w:r>
            <w:r/>
          </w:p>
        </w:tc>
        <w:tc>
          <w:tcPr>
            <w:shd w:val="clear" w:fill="auto" w:color="auto"/>
            <w:tcW w:w="1187" w:type="pct"/>
            <w:textDirection w:val="lrTb"/>
            <w:noWrap w:val="false"/>
          </w:tcPr>
          <w:p>
            <w:pPr>
              <w:pStyle w:val="1005"/>
              <w:ind w:left="57" w:right="57"/>
            </w:pPr>
            <w:r/>
            <w:bookmarkStart w:id="212" w:name="_Toc225934566"/>
            <w:r>
              <w:t xml:space="preserve">Удаление записи</w:t>
            </w:r>
            <w:bookmarkEnd w:id="212"/>
            <w:r/>
            <w:r/>
          </w:p>
        </w:tc>
        <w:tc>
          <w:tcPr>
            <w:shd w:val="clear" w:fill="auto" w:color="auto"/>
            <w:tcW w:w="3302" w:type="pct"/>
            <w:textDirection w:val="lrTb"/>
            <w:noWrap w:val="false"/>
          </w:tcPr>
          <w:p>
            <w:pPr>
              <w:pStyle w:val="1005"/>
              <w:ind w:left="57" w:right="57"/>
            </w:pPr>
            <w:r>
              <w:t xml:space="preserve">Открывается окно запроса на подтверждение операции удаления, в котором следует нажать на кнопку «Да».</w:t>
            </w:r>
            <w:r/>
          </w:p>
        </w:tc>
      </w:tr>
      <w:tr>
        <w:trPr/>
        <w:tc>
          <w:tcPr>
            <w:shd w:val="clear" w:fill="auto" w:color="auto"/>
            <w:tcW w:w="511"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5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60"/>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 o:spid="_x0000_s50" type="#_x0000_t75" style="mso-wrap-distance-left:0.0pt;mso-wrap-distance-top:0.0pt;mso-wrap-distance-right:0.0pt;mso-wrap-distance-bottom:0.0pt;width:28.8pt;height:28.8pt;" stroked="f">
                      <v:path textboxrect="0,0,0,0"/>
                      <v:imagedata r:id="rId60" o:title=""/>
                    </v:shape>
                  </w:pict>
                </mc:Fallback>
              </mc:AlternateContent>
            </w:r>
            <w:r/>
          </w:p>
        </w:tc>
        <w:tc>
          <w:tcPr>
            <w:shd w:val="clear" w:fill="auto" w:color="auto"/>
            <w:tcW w:w="1187" w:type="pct"/>
            <w:textDirection w:val="lrTb"/>
            <w:noWrap w:val="false"/>
          </w:tcPr>
          <w:p>
            <w:pPr>
              <w:pStyle w:val="1005"/>
              <w:ind w:left="57" w:right="57"/>
            </w:pPr>
            <w:r/>
            <w:bookmarkStart w:id="213" w:name="_Toc225934567"/>
            <w:r>
              <w:t xml:space="preserve">Настройка</w:t>
            </w:r>
            <w:bookmarkEnd w:id="213"/>
            <w:r/>
            <w:r/>
          </w:p>
        </w:tc>
        <w:tc>
          <w:tcPr>
            <w:shd w:val="clear" w:fill="auto" w:color="auto"/>
            <w:tcW w:w="3302" w:type="pct"/>
            <w:textDirection w:val="lrTb"/>
            <w:noWrap w:val="false"/>
          </w:tcPr>
          <w:p>
            <w:pPr>
              <w:pStyle w:val="1005"/>
              <w:ind w:left="57" w:right="57"/>
            </w:pPr>
            <w:r>
              <w:t xml:space="preserve">Открывается окно «Настройка колонок» следует установить флаги в полях «Включить» напротив названий колонок для просмотра.</w:t>
            </w:r>
            <w:r/>
          </w:p>
        </w:tc>
      </w:tr>
      <w:tr>
        <w:trPr/>
        <w:tc>
          <w:tcPr>
            <w:shd w:val="clear" w:fill="auto" w:color="auto"/>
            <w:tcW w:w="511"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5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61"/>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 o:spid="_x0000_s51" type="#_x0000_t75" style="mso-wrap-distance-left:0.0pt;mso-wrap-distance-top:0.0pt;mso-wrap-distance-right:0.0pt;mso-wrap-distance-bottom:0.0pt;width:28.8pt;height:28.8pt;" stroked="f">
                      <v:path textboxrect="0,0,0,0"/>
                      <v:imagedata r:id="rId61" o:title=""/>
                    </v:shape>
                  </w:pict>
                </mc:Fallback>
              </mc:AlternateContent>
            </w:r>
            <w:r/>
          </w:p>
        </w:tc>
        <w:tc>
          <w:tcPr>
            <w:shd w:val="clear" w:fill="auto" w:color="auto"/>
            <w:tcW w:w="1187" w:type="pct"/>
            <w:textDirection w:val="lrTb"/>
            <w:noWrap w:val="false"/>
          </w:tcPr>
          <w:p>
            <w:pPr>
              <w:pStyle w:val="1005"/>
              <w:ind w:left="57" w:right="57"/>
            </w:pPr>
            <w:r/>
            <w:bookmarkStart w:id="214" w:name="_Toc225934568"/>
            <w:r>
              <w:t xml:space="preserve">Поиск записей</w:t>
            </w:r>
            <w:bookmarkEnd w:id="214"/>
            <w:r/>
            <w:r/>
          </w:p>
        </w:tc>
        <w:tc>
          <w:tcPr>
            <w:shd w:val="clear" w:fill="auto" w:color="auto"/>
            <w:tcW w:w="3302" w:type="pct"/>
            <w:textDirection w:val="lrTb"/>
            <w:noWrap w:val="false"/>
          </w:tcPr>
          <w:p>
            <w:pPr>
              <w:pStyle w:val="1005"/>
              <w:ind w:left="57" w:right="57"/>
            </w:pPr>
            <w:r>
              <w:t xml:space="preserve">Открывается окно «Поиск», в котором следует:</w:t>
            </w:r>
            <w:r/>
          </w:p>
          <w:p>
            <w:pPr>
              <w:pStyle w:val="1007"/>
            </w:pPr>
            <w:r>
              <w:t xml:space="preserve">ввести в поле «Найти» строку символов;</w:t>
            </w:r>
            <w:r/>
          </w:p>
          <w:p>
            <w:pPr>
              <w:pStyle w:val="1007"/>
            </w:pPr>
            <w:r>
              <w:t xml:space="preserve">в поле «Колонка» выбрать из раскрывающегося списка наименование поля, по которому будет производиться поиск;</w:t>
            </w:r>
            <w:r/>
          </w:p>
          <w:p>
            <w:pPr>
              <w:pStyle w:val="1007"/>
            </w:pPr>
            <w:r>
              <w:t xml:space="preserve">установить флаг переключателя «Совпадение с любой частью поля» и/или «С начала» для определения способа поиска заданной строки символов в поле;</w:t>
            </w:r>
            <w:r/>
          </w:p>
          <w:p>
            <w:pPr>
              <w:pStyle w:val="1007"/>
            </w:pPr>
            <w:r>
              <w:t xml:space="preserve">нажать на кнопку «Найти».</w:t>
            </w:r>
            <w:r/>
          </w:p>
          <w:p>
            <w:pPr>
              <w:pStyle w:val="1005"/>
              <w:ind w:left="57" w:right="57"/>
            </w:pPr>
            <w:r>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«Найти далее». Для закрытия формы «Поиск» следует нажать на кнопку «Отмена».</w:t>
            </w:r>
            <w:r/>
          </w:p>
        </w:tc>
      </w:tr>
      <w:tr>
        <w:trPr/>
        <w:tc>
          <w:tcPr>
            <w:shd w:val="clear" w:fill="auto" w:color="auto"/>
            <w:tcW w:w="511"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5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62"/>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 o:spid="_x0000_s52" type="#_x0000_t75" style="mso-wrap-distance-left:0.0pt;mso-wrap-distance-top:0.0pt;mso-wrap-distance-right:0.0pt;mso-wrap-distance-bottom:0.0pt;width:28.8pt;height:28.8pt;" stroked="f">
                      <v:path textboxrect="0,0,0,0"/>
                      <v:imagedata r:id="rId62" o:title=""/>
                    </v:shape>
                  </w:pict>
                </mc:Fallback>
              </mc:AlternateContent>
            </w:r>
            <w:r/>
          </w:p>
        </w:tc>
        <w:tc>
          <w:tcPr>
            <w:shd w:val="clear" w:fill="auto" w:color="auto"/>
            <w:tcW w:w="1187" w:type="pct"/>
            <w:textDirection w:val="lrTb"/>
            <w:noWrap w:val="false"/>
          </w:tcPr>
          <w:p>
            <w:pPr>
              <w:pStyle w:val="1005"/>
              <w:ind w:left="57" w:right="57"/>
            </w:pPr>
            <w:r>
              <w:t xml:space="preserve">Применить фильтр</w:t>
            </w:r>
            <w:r/>
          </w:p>
        </w:tc>
        <w:tc>
          <w:tcPr>
            <w:shd w:val="clear" w:fill="auto" w:color="auto"/>
            <w:tcW w:w="3302" w:type="pct"/>
            <w:textDirection w:val="lrTb"/>
            <w:noWrap w:val="false"/>
          </w:tcPr>
          <w:p>
            <w:pPr>
              <w:pStyle w:val="1005"/>
              <w:ind w:left="57" w:right="57"/>
            </w:pPr>
            <w:r>
              <w:t xml:space="preserve">Включается фильтр по значениям, указанным в пустых полях, расположенных над названиями столбцов списка.</w:t>
            </w:r>
            <w:r/>
          </w:p>
        </w:tc>
      </w:tr>
      <w:tr>
        <w:trPr/>
        <w:tc>
          <w:tcPr>
            <w:shd w:val="clear" w:fill="auto" w:color="auto"/>
            <w:tcW w:w="511" w:type="pct"/>
            <w:textDirection w:val="lrTb"/>
            <w:noWrap w:val="false"/>
          </w:tcPr>
          <w:p>
            <w:pPr>
              <w:pStyle w:val="1005"/>
              <w:ind w:left="57" w:right="57"/>
            </w:pPr>
            <w:r>
              <mc:AlternateContent>
                <mc:Choice Requires="wpg">
                  <w:drawing>
                    <wp:inline xmlns:wp="http://schemas.openxmlformats.org/drawingml/2006/wordprocessingDrawing" distT="0" distB="0" distL="0" distR="0">
                      <wp:extent cx="365760" cy="365760"/>
                      <wp:effectExtent l="0" t="0" r="0" b="0"/>
                      <wp:docPr id="5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63"/>
                              <a:stretch/>
                            </pic:blipFill>
                            <pic:spPr bwMode="auto">
                              <a:xfrm>
                                <a:off x="0" y="0"/>
                                <a:ext cx="36576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 o:spid="_x0000_s53" type="#_x0000_t75" style="mso-wrap-distance-left:0.0pt;mso-wrap-distance-top:0.0pt;mso-wrap-distance-right:0.0pt;mso-wrap-distance-bottom:0.0pt;width:28.8pt;height:28.8pt;" stroked="f">
                      <v:path textboxrect="0,0,0,0"/>
                      <v:imagedata r:id="rId63" o:title=""/>
                    </v:shape>
                  </w:pict>
                </mc:Fallback>
              </mc:AlternateContent>
            </w:r>
            <w:r/>
          </w:p>
        </w:tc>
        <w:tc>
          <w:tcPr>
            <w:shd w:val="clear" w:fill="auto" w:color="auto"/>
            <w:tcW w:w="1187" w:type="pct"/>
            <w:textDirection w:val="lrTb"/>
            <w:noWrap w:val="false"/>
          </w:tcPr>
          <w:p>
            <w:pPr>
              <w:pStyle w:val="1005"/>
              <w:ind w:left="57" w:right="57"/>
            </w:pPr>
            <w:r>
              <w:t xml:space="preserve">Сбросить фильтр</w:t>
            </w:r>
            <w:r/>
          </w:p>
        </w:tc>
        <w:tc>
          <w:tcPr>
            <w:shd w:val="clear" w:fill="auto" w:color="auto"/>
            <w:tcW w:w="3302" w:type="pct"/>
            <w:textDirection w:val="lrTb"/>
            <w:noWrap w:val="false"/>
          </w:tcPr>
          <w:p>
            <w:pPr>
              <w:pStyle w:val="1005"/>
              <w:ind w:left="57" w:right="57"/>
            </w:pPr>
            <w:r>
              <w:t xml:space="preserve">Сброс фильтра.</w:t>
            </w:r>
            <w:r/>
          </w:p>
        </w:tc>
      </w:tr>
    </w:tbl>
    <w:p>
      <w:pPr>
        <w:pStyle w:val="972"/>
      </w:pPr>
      <w:r/>
      <w:bookmarkStart w:id="215" w:name="_Toc383088846"/>
      <w:r/>
      <w:bookmarkStart w:id="216" w:name="_Toc422496677"/>
      <w:r/>
      <w:bookmarkStart w:id="217" w:name="_Toc88819089"/>
      <w:r/>
      <w:bookmarkEnd w:id="208"/>
      <w:r>
        <w:t xml:space="preserve">Контекстное меню</w:t>
      </w:r>
      <w:bookmarkEnd w:id="215"/>
      <w:r/>
      <w:bookmarkEnd w:id="216"/>
      <w:r/>
      <w:bookmarkEnd w:id="217"/>
      <w:r/>
      <w:r/>
    </w:p>
    <w:p>
      <w:pPr>
        <w:pStyle w:val="994"/>
      </w:pPr>
      <w:r>
        <w:t xml:space="preserve">Помимо перечисленных выше описанных инструментальных панелей, при работе с программой, для выполнения</w:t>
      </w:r>
      <w:r>
        <w:t xml:space="preserve">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r/>
    </w:p>
    <w:p>
      <w:pPr>
        <w:pStyle w:val="994"/>
      </w:pPr>
      <w:r>
        <w:t xml:space="preserve">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r/>
    </w:p>
    <w:p>
      <w:pPr>
        <w:pStyle w:val="972"/>
      </w:pPr>
      <w:r/>
      <w:bookmarkStart w:id="218" w:name="_Toc383088847"/>
      <w:r/>
      <w:bookmarkStart w:id="219" w:name="_Toc422496678"/>
      <w:r/>
      <w:bookmarkStart w:id="220" w:name="_Toc88819090"/>
      <w:r>
        <w:t xml:space="preserve">Панели сортировки и фильтров</w:t>
      </w:r>
      <w:bookmarkEnd w:id="218"/>
      <w:r/>
      <w:bookmarkEnd w:id="219"/>
      <w:r/>
      <w:bookmarkEnd w:id="220"/>
      <w:r/>
      <w:r/>
    </w:p>
    <w:p>
      <w:pPr>
        <w:pStyle w:val="994"/>
      </w:pPr>
      <w:r>
        <w:t xml:space="preserve">Панели сортировки и фильтров (рис. </w:t>
      </w:r>
      <w:r>
        <w:fldChar w:fldCharType="begin"/>
      </w:r>
      <w:r>
        <w:instrText xml:space="preserve"> REF _Ref381285131 \h  \* MERGEFORMAT </w:instrText>
      </w:r>
      <w:r>
        <w:fldChar w:fldCharType="separate"/>
      </w:r>
      <w:r>
        <w:t xml:space="preserve">6</w:t>
      </w:r>
      <w:r>
        <w:fldChar w:fldCharType="end"/>
      </w:r>
      <w:r>
        <w:t xml:space="preserve">) предназначены для быстрого поиска нужных документов в списке и их сортировки.</w:t>
      </w:r>
      <w:r/>
    </w:p>
    <w:p>
      <w:pPr>
        <w:pStyle w:val="982"/>
      </w:pPr>
      <w:r>
        <mc:AlternateContent>
          <mc:Choice Requires="wpg">
            <w:drawing>
              <wp:inline xmlns:wp="http://schemas.openxmlformats.org/drawingml/2006/wordprocessingDrawing" distT="0" distB="0" distL="0" distR="0">
                <wp:extent cx="6134100" cy="4114800"/>
                <wp:effectExtent l="0" t="0" r="0" b="0"/>
                <wp:docPr id="5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64"/>
                        <a:stretch/>
                      </pic:blipFill>
                      <pic:spPr bwMode="auto">
                        <a:xfrm>
                          <a:off x="0" y="0"/>
                          <a:ext cx="6134100" cy="4114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 o:spid="_x0000_s54" type="#_x0000_t75" style="mso-wrap-distance-left:0.0pt;mso-wrap-distance-top:0.0pt;mso-wrap-distance-right:0.0pt;mso-wrap-distance-bottom:0.0pt;width:483.0pt;height:324.0pt;" stroked="f">
                <v:path textboxrect="0,0,0,0"/>
                <v:imagedata r:id="rId64" o:title=""/>
              </v:shape>
            </w:pict>
          </mc:Fallback>
        </mc:AlternateContent>
      </w:r>
      <w:r/>
    </w:p>
    <w:p>
      <w:pPr>
        <w:pStyle w:val="983"/>
      </w:pPr>
      <w:r>
        <w:fldChar w:fldCharType="begin"/>
      </w:r>
      <w:r>
        <w:instrText xml:space="preserve"> SEQ Рисунок \* ARABIC </w:instrText>
      </w:r>
      <w:r>
        <w:fldChar w:fldCharType="separate"/>
      </w:r>
      <w:bookmarkStart w:id="221" w:name="_Ref381285131"/>
      <w:r/>
      <w:bookmarkStart w:id="222" w:name="_Toc88819391"/>
      <w:r>
        <w:t xml:space="preserve">6</w:t>
      </w:r>
      <w:bookmarkEnd w:id="221"/>
      <w:r>
        <w:fldChar w:fldCharType="end"/>
      </w:r>
      <w:r>
        <w:t xml:space="preserve">. Панели сортировки и фильтров</w:t>
      </w:r>
      <w:bookmarkEnd w:id="222"/>
      <w:r/>
      <w:r/>
    </w:p>
    <w:p>
      <w:pPr>
        <w:pStyle w:val="973"/>
      </w:pPr>
      <w:r/>
      <w:bookmarkStart w:id="223" w:name="_Toc383088848"/>
      <w:r>
        <w:t xml:space="preserve">Сортировка документов</w:t>
      </w:r>
      <w:bookmarkEnd w:id="223"/>
      <w:r/>
      <w:r/>
    </w:p>
    <w:p>
      <w:pPr>
        <w:pStyle w:val="994"/>
      </w:pPr>
      <w:r>
        <w:t xml:space="preserve">Панель сортировки (рис.</w:t>
      </w:r>
      <w:r>
        <w:t xml:space="preserve"> </w:t>
      </w:r>
      <w:r>
        <w:fldChar w:fldCharType="begin"/>
      </w:r>
      <w:r>
        <w:instrText xml:space="preserve"> REF _Ref325535177 \h  \* MERGEFORMAT </w:instrText>
      </w:r>
      <w:r>
        <w:fldChar w:fldCharType="separate"/>
      </w:r>
      <w:r>
        <w:t xml:space="preserve">7</w:t>
      </w:r>
      <w:r>
        <w:fldChar w:fldCharType="end"/>
      </w:r>
      <w:r>
        <w:t xml:space="preserve">) предназначена для сортировки записей списка документов (записей справочников) по выбранному признаку.</w:t>
      </w:r>
      <w:r/>
    </w:p>
    <w:p>
      <w:pPr>
        <w:pStyle w:val="982"/>
      </w:pPr>
      <w:r>
        <mc:AlternateContent>
          <mc:Choice Requires="wpg">
            <w:drawing>
              <wp:inline xmlns:wp="http://schemas.openxmlformats.org/drawingml/2006/wordprocessingDrawing" distT="0" distB="0" distL="0" distR="0">
                <wp:extent cx="4030980" cy="365760"/>
                <wp:effectExtent l="0" t="0" r="0" b="0"/>
                <wp:docPr id="5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65"/>
                        <a:stretch/>
                      </pic:blipFill>
                      <pic:spPr bwMode="auto">
                        <a:xfrm>
                          <a:off x="0" y="0"/>
                          <a:ext cx="4030980"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 o:spid="_x0000_s55" type="#_x0000_t75" style="mso-wrap-distance-left:0.0pt;mso-wrap-distance-top:0.0pt;mso-wrap-distance-right:0.0pt;mso-wrap-distance-bottom:0.0pt;width:317.4pt;height:28.8pt;" stroked="f">
                <v:path textboxrect="0,0,0,0"/>
                <v:imagedata r:id="rId65" o:title=""/>
              </v:shape>
            </w:pict>
          </mc:Fallback>
        </mc:AlternateContent>
      </w:r>
      <w:r/>
    </w:p>
    <w:p>
      <w:pPr>
        <w:pStyle w:val="983"/>
      </w:pPr>
      <w:r>
        <w:fldChar w:fldCharType="begin"/>
      </w:r>
      <w:r>
        <w:instrText xml:space="preserve"> SEQ Рисунок \* ARABIC </w:instrText>
      </w:r>
      <w:r>
        <w:fldChar w:fldCharType="separate"/>
      </w:r>
      <w:bookmarkStart w:id="224" w:name="_Ref325535177"/>
      <w:r/>
      <w:bookmarkStart w:id="225" w:name="_Toc88819392"/>
      <w:r>
        <w:t xml:space="preserve">7</w:t>
      </w:r>
      <w:bookmarkEnd w:id="224"/>
      <w:r>
        <w:fldChar w:fldCharType="end"/>
      </w:r>
      <w:r>
        <w:t xml:space="preserve">. Панель сортировки</w:t>
      </w:r>
      <w:bookmarkEnd w:id="225"/>
      <w:r/>
      <w:r/>
    </w:p>
    <w:p>
      <w:pPr>
        <w:pStyle w:val="973"/>
      </w:pPr>
      <w:r/>
      <w:bookmarkStart w:id="226" w:name="_Toc383088849"/>
      <w:r>
        <w:t xml:space="preserve">Использование фильтров</w:t>
      </w:r>
      <w:bookmarkEnd w:id="226"/>
      <w:r/>
      <w:r/>
    </w:p>
    <w:p>
      <w:pPr>
        <w:pStyle w:val="994"/>
      </w:pPr>
      <w:r>
        <w:t xml:space="preserve">Панель фильтров (рис. </w:t>
      </w:r>
      <w:r>
        <w:fldChar w:fldCharType="begin"/>
      </w:r>
      <w:r>
        <w:instrText xml:space="preserve"> REF _Ref204398205 \h  \* MERGEFORMAT </w:instrText>
      </w:r>
      <w:r>
        <w:fldChar w:fldCharType="separate"/>
      </w:r>
      <w:r>
        <w:t xml:space="preserve">8</w:t>
      </w:r>
      <w:r>
        <w:fldChar w:fldCharType="end"/>
      </w:r>
      <w:r>
        <w:t xml:space="preserve">) предназначена для отбора записей в списке документов (справочника) по заданным параметрам.</w:t>
      </w:r>
      <w:r/>
    </w:p>
    <w:p>
      <w:pPr>
        <w:pStyle w:val="982"/>
      </w:pPr>
      <w:r>
        <mc:AlternateContent>
          <mc:Choice Requires="wpg">
            <w:drawing>
              <wp:inline xmlns:wp="http://schemas.openxmlformats.org/drawingml/2006/wordprocessingDrawing" distT="0" distB="0" distL="0" distR="0">
                <wp:extent cx="3017520" cy="365760"/>
                <wp:effectExtent l="0" t="0" r="0" b="0"/>
                <wp:docPr id="5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66"/>
                        <a:stretch/>
                      </pic:blipFill>
                      <pic:spPr bwMode="auto">
                        <a:xfrm>
                          <a:off x="0" y="0"/>
                          <a:ext cx="3017519" cy="365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 o:spid="_x0000_s56" type="#_x0000_t75" style="mso-wrap-distance-left:0.0pt;mso-wrap-distance-top:0.0pt;mso-wrap-distance-right:0.0pt;mso-wrap-distance-bottom:0.0pt;width:237.6pt;height:28.8pt;" stroked="f">
                <v:path textboxrect="0,0,0,0"/>
                <v:imagedata r:id="rId66" o:title=""/>
              </v:shape>
            </w:pict>
          </mc:Fallback>
        </mc:AlternateContent>
      </w:r>
      <w:r/>
    </w:p>
    <w:p>
      <w:pPr>
        <w:pStyle w:val="983"/>
      </w:pPr>
      <w:r>
        <w:fldChar w:fldCharType="begin"/>
      </w:r>
      <w:r>
        <w:instrText xml:space="preserve"> SEQ Рисунок \* ARABIC </w:instrText>
      </w:r>
      <w:r>
        <w:fldChar w:fldCharType="separate"/>
      </w:r>
      <w:bookmarkStart w:id="227" w:name="_Ref204398205"/>
      <w:r/>
      <w:bookmarkStart w:id="228" w:name="_Toc88819393"/>
      <w:r>
        <w:t xml:space="preserve">8</w:t>
      </w:r>
      <w:bookmarkEnd w:id="227"/>
      <w:r>
        <w:fldChar w:fldCharType="end"/>
      </w:r>
      <w:r>
        <w:t xml:space="preserve">. Панель фильтров</w:t>
      </w:r>
      <w:bookmarkEnd w:id="228"/>
      <w:r/>
      <w:r/>
    </w:p>
    <w:p>
      <w:pPr>
        <w:pStyle w:val="972"/>
      </w:pPr>
      <w:r/>
      <w:bookmarkStart w:id="229" w:name="_Ref357012118"/>
      <w:r/>
      <w:bookmarkStart w:id="230" w:name="_Toc383088851"/>
      <w:r/>
      <w:bookmarkStart w:id="231" w:name="_Toc422496679"/>
      <w:r/>
      <w:bookmarkStart w:id="232" w:name="_Toc88819091"/>
      <w:r>
        <w:t xml:space="preserve">Перемещение по списку документов</w:t>
      </w:r>
      <w:bookmarkEnd w:id="229"/>
      <w:r/>
      <w:bookmarkEnd w:id="230"/>
      <w:r/>
      <w:bookmarkEnd w:id="231"/>
      <w:r/>
      <w:bookmarkEnd w:id="232"/>
      <w:r/>
      <w:r/>
    </w:p>
    <w:p>
      <w:pPr>
        <w:pStyle w:val="994"/>
      </w:pPr>
      <w:r>
        <w:t xml:space="preserve">Список документов, отображаемый в окне программы, организован в виде журнала, состоящего из некоторого ко</w:t>
      </w:r>
      <w:r>
        <w:t xml:space="preserve">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fldChar w:fldCharType="begin"/>
      </w:r>
      <w:r>
        <w:instrText xml:space="preserve"> REF _Ref325550209 \h  \* MERGEFORMAT </w:instrText>
      </w:r>
      <w:r>
        <w:fldChar w:fldCharType="separate"/>
      </w:r>
      <w:r>
        <w:t xml:space="preserve">9</w:t>
      </w:r>
      <w:r>
        <w:fldChar w:fldCharType="end"/>
      </w:r>
      <w:r>
        <w:t xml:space="preserve">). </w:t>
      </w:r>
      <w:r/>
    </w:p>
    <w:p>
      <w:pPr>
        <w:pStyle w:val="982"/>
      </w:pPr>
      <w:r>
        <mc:AlternateContent>
          <mc:Choice Requires="wpg">
            <w:drawing>
              <wp:inline xmlns:wp="http://schemas.openxmlformats.org/drawingml/2006/wordprocessingDrawing" distT="0" distB="0" distL="0" distR="0">
                <wp:extent cx="6126480" cy="2278380"/>
                <wp:effectExtent l="0" t="0" r="0" b="0"/>
                <wp:docPr id="5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67"/>
                        <a:stretch/>
                      </pic:blipFill>
                      <pic:spPr bwMode="auto">
                        <a:xfrm>
                          <a:off x="0" y="0"/>
                          <a:ext cx="6126480" cy="22783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 o:spid="_x0000_s57" type="#_x0000_t75" style="mso-wrap-distance-left:0.0pt;mso-wrap-distance-top:0.0pt;mso-wrap-distance-right:0.0pt;mso-wrap-distance-bottom:0.0pt;width:482.4pt;height:179.4pt;" stroked="f">
                <v:path textboxrect="0,0,0,0"/>
                <v:imagedata r:id="rId67" o:title=""/>
              </v:shape>
            </w:pict>
          </mc:Fallback>
        </mc:AlternateContent>
      </w:r>
      <w:r/>
    </w:p>
    <w:p>
      <w:pPr>
        <w:pStyle w:val="983"/>
      </w:pPr>
      <w:r>
        <w:fldChar w:fldCharType="begin"/>
      </w:r>
      <w:r>
        <w:instrText xml:space="preserve"> SEQ Рисунок \* ARABIC </w:instrText>
      </w:r>
      <w:r>
        <w:fldChar w:fldCharType="separate"/>
      </w:r>
      <w:bookmarkStart w:id="233" w:name="_Ref325550209"/>
      <w:r/>
      <w:bookmarkStart w:id="234" w:name="_Toc88819394"/>
      <w:r>
        <w:t xml:space="preserve">9</w:t>
      </w:r>
      <w:bookmarkEnd w:id="233"/>
      <w:r>
        <w:fldChar w:fldCharType="end"/>
      </w:r>
      <w:r>
        <w:t xml:space="preserve">. Панель перемещения по списку документов. Отображается первая из пяти страниц журнала документов</w:t>
      </w:r>
      <w:bookmarkEnd w:id="234"/>
      <w:r/>
      <w:r/>
    </w:p>
    <w:p>
      <w:pPr>
        <w:pStyle w:val="994"/>
      </w:pPr>
      <w:r>
        <w:t xml:space="preserve">Назначение кнопок:</w:t>
      </w:r>
      <w:r/>
    </w:p>
    <w:p>
      <w:pPr>
        <w:pStyle w:val="985"/>
      </w:pPr>
      <w:r>
        <mc:AlternateContent>
          <mc:Choice Requires="wpg">
            <w:drawing>
              <wp:inline xmlns:wp="http://schemas.openxmlformats.org/drawingml/2006/wordprocessingDrawing" distT="0" distB="0" distL="0" distR="0">
                <wp:extent cx="182880" cy="281940"/>
                <wp:effectExtent l="0" t="0" r="0" b="0"/>
                <wp:docPr id="5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68"/>
                        <a:srcRect l="0" t="-18899" r="0" b="0"/>
                        <a:stretch/>
                      </pic:blipFill>
                      <pic:spPr bwMode="auto">
                        <a:xfrm>
                          <a:off x="0" y="0"/>
                          <a:ext cx="182880" cy="2819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 o:spid="_x0000_s58" type="#_x0000_t75" style="mso-wrap-distance-left:0.0pt;mso-wrap-distance-top:0.0pt;mso-wrap-distance-right:0.0pt;mso-wrap-distance-bottom:0.0pt;width:14.4pt;height:22.2pt;" stroked="f">
                <v:path textboxrect="0,0,0,0"/>
                <v:imagedata r:id="rId68" o:title=""/>
              </v:shape>
            </w:pict>
          </mc:Fallback>
        </mc:AlternateContent>
      </w:r>
      <w:r>
        <w:t xml:space="preserve"> – кнопка перехода на одну страницу вперед;</w:t>
      </w:r>
      <w:r/>
    </w:p>
    <w:p>
      <w:pPr>
        <w:pStyle w:val="985"/>
      </w:pPr>
      <w:r>
        <mc:AlternateContent>
          <mc:Choice Requires="wpg">
            <w:drawing>
              <wp:inline xmlns:wp="http://schemas.openxmlformats.org/drawingml/2006/wordprocessingDrawing" distT="0" distB="0" distL="0" distR="0">
                <wp:extent cx="182880" cy="281940"/>
                <wp:effectExtent l="0" t="0" r="0" b="0"/>
                <wp:docPr id="6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69"/>
                        <a:srcRect l="0" t="-18899" r="0" b="0"/>
                        <a:stretch/>
                      </pic:blipFill>
                      <pic:spPr bwMode="auto">
                        <a:xfrm>
                          <a:off x="0" y="0"/>
                          <a:ext cx="182880" cy="2819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 o:spid="_x0000_s59" type="#_x0000_t75" style="mso-wrap-distance-left:0.0pt;mso-wrap-distance-top:0.0pt;mso-wrap-distance-right:0.0pt;mso-wrap-distance-bottom:0.0pt;width:14.4pt;height:22.2pt;" stroked="f">
                <v:path textboxrect="0,0,0,0"/>
                <v:imagedata r:id="rId69" o:title=""/>
              </v:shape>
            </w:pict>
          </mc:Fallback>
        </mc:AlternateContent>
      </w:r>
      <w:r>
        <w:t xml:space="preserve"> – кнопка перехода на одну страницу назад;</w:t>
      </w:r>
      <w:r/>
    </w:p>
    <w:p>
      <w:pPr>
        <w:pStyle w:val="985"/>
      </w:pPr>
      <w:r>
        <mc:AlternateContent>
          <mc:Choice Requires="wpg">
            <w:drawing>
              <wp:inline xmlns:wp="http://schemas.openxmlformats.org/drawingml/2006/wordprocessingDrawing" distT="0" distB="0" distL="0" distR="0">
                <wp:extent cx="182880" cy="281940"/>
                <wp:effectExtent l="0" t="0" r="0" b="0"/>
                <wp:docPr id="6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70"/>
                        <a:srcRect l="0" t="-18899" r="0" b="0"/>
                        <a:stretch/>
                      </pic:blipFill>
                      <pic:spPr bwMode="auto">
                        <a:xfrm>
                          <a:off x="0" y="0"/>
                          <a:ext cx="182880" cy="2819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 o:spid="_x0000_s60" type="#_x0000_t75" style="mso-wrap-distance-left:0.0pt;mso-wrap-distance-top:0.0pt;mso-wrap-distance-right:0.0pt;mso-wrap-distance-bottom:0.0pt;width:14.4pt;height:22.2pt;" stroked="f">
                <v:path textboxrect="0,0,0,0"/>
                <v:imagedata r:id="rId70" o:title=""/>
              </v:shape>
            </w:pict>
          </mc:Fallback>
        </mc:AlternateContent>
      </w:r>
      <w:r>
        <w:t xml:space="preserve"> – кнопка перехода на первую страницу списка; </w:t>
      </w:r>
      <w:r/>
    </w:p>
    <w:p>
      <w:pPr>
        <w:pStyle w:val="985"/>
      </w:pPr>
      <w:r>
        <mc:AlternateContent>
          <mc:Choice Requires="wpg">
            <w:drawing>
              <wp:inline xmlns:wp="http://schemas.openxmlformats.org/drawingml/2006/wordprocessingDrawing" distT="0" distB="0" distL="0" distR="0">
                <wp:extent cx="182880" cy="281940"/>
                <wp:effectExtent l="0" t="0" r="0" b="0"/>
                <wp:docPr id="6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71"/>
                        <a:srcRect l="0" t="-18899" r="0" b="0"/>
                        <a:stretch/>
                      </pic:blipFill>
                      <pic:spPr bwMode="auto">
                        <a:xfrm>
                          <a:off x="0" y="0"/>
                          <a:ext cx="182880" cy="2819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 o:spid="_x0000_s61" type="#_x0000_t75" style="mso-wrap-distance-left:0.0pt;mso-wrap-distance-top:0.0pt;mso-wrap-distance-right:0.0pt;mso-wrap-distance-bottom:0.0pt;width:14.4pt;height:22.2pt;" stroked="f">
                <v:path textboxrect="0,0,0,0"/>
                <v:imagedata r:id="rId71" o:title=""/>
              </v:shape>
            </w:pict>
          </mc:Fallback>
        </mc:AlternateContent>
      </w:r>
      <w:r>
        <w:t xml:space="preserve"> – кнопка перехода на последнюю страницу списка. </w:t>
      </w:r>
      <w:r/>
    </w:p>
    <w:p>
      <w:pPr>
        <w:pStyle w:val="994"/>
      </w:pPr>
      <w:r>
        <w:t xml:space="preserve">При нажатии кнопки</w:t>
      </w:r>
      <w:r>
        <w:t xml:space="preserve"> </w:t>
      </w:r>
      <w:r>
        <mc:AlternateContent>
          <mc:Choice Requires="wpg">
            <w:drawing>
              <wp:inline xmlns:wp="http://schemas.openxmlformats.org/drawingml/2006/wordprocessingDrawing" distT="0" distB="0" distL="0" distR="0">
                <wp:extent cx="182880" cy="274320"/>
                <wp:effectExtent l="0" t="0" r="0" b="0"/>
                <wp:docPr id="6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72"/>
                        <a:srcRect l="0" t="-17180" r="0" b="0"/>
                        <a:stretch/>
                      </pic:blipFill>
                      <pic:spPr bwMode="auto">
                        <a:xfrm>
                          <a:off x="0" y="0"/>
                          <a:ext cx="18288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 o:spid="_x0000_s62" type="#_x0000_t75" style="mso-wrap-distance-left:0.0pt;mso-wrap-distance-top:0.0pt;mso-wrap-distance-right:0.0pt;mso-wrap-distance-bottom:0.0pt;width:14.4pt;height:21.6pt;" stroked="f">
                <v:path textboxrect="0,0,0,0"/>
                <v:imagedata r:id="rId72" o:title=""/>
              </v:shape>
            </w:pict>
          </mc:Fallback>
        </mc:AlternateContent>
      </w:r>
      <w:r>
        <w:t xml:space="preserve">, на экран будут выводиться только выделенные ранее документы. Повторное нажатие кнопки вернет список всех документов на экран.</w:t>
      </w:r>
      <w:r/>
    </w:p>
    <w:p>
      <w:pPr>
        <w:pStyle w:val="972"/>
      </w:pPr>
      <w:r/>
      <w:bookmarkStart w:id="235" w:name="_Toc383088852"/>
      <w:r/>
      <w:bookmarkStart w:id="236" w:name="_Toc422496680"/>
      <w:r/>
      <w:bookmarkStart w:id="237" w:name="_Toc88819092"/>
      <w:r>
        <w:t xml:space="preserve">Выделение документов в списке</w:t>
      </w:r>
      <w:bookmarkEnd w:id="235"/>
      <w:r/>
      <w:bookmarkEnd w:id="236"/>
      <w:r/>
      <w:bookmarkEnd w:id="237"/>
      <w:r/>
      <w:r/>
    </w:p>
    <w:p>
      <w:pPr>
        <w:pStyle w:val="994"/>
      </w:pPr>
      <w:r>
        <w:t xml:space="preserve">Для выделения документов в списке документов используют стандартные для ОС Windows действия.</w:t>
      </w:r>
      <w:r/>
    </w:p>
    <w:p>
      <w:pPr>
        <w:pStyle w:val="994"/>
      </w:pPr>
      <w:r>
        <w:t xml:space="preserve">Чтобы выделить несколько подряд идущих в списке документов, нео</w:t>
      </w:r>
      <w:r>
        <w:t xml:space="preserve">бходимо выполнить один щелчок левой клавишей мышки по первому выделяемому документу. Затем, нажав клавишу «Shift», выполнить один щелчок левой клавишей мышки по последнему выделяемому документу. В результате выделятся все документы, с первого по последний.</w:t>
      </w:r>
      <w:r/>
    </w:p>
    <w:p>
      <w:pPr>
        <w:pStyle w:val="994"/>
      </w:pPr>
      <w:r>
        <w:t xml:space="preserve">Для того чтобы выделить документы расположенные в списке не подряд, необходимо нажать левую клавишу «Ctrl» и удерживая ее, выполнить щелчок левой клавишей мышки по каждому из выделяемых документов.</w:t>
      </w:r>
      <w:r/>
    </w:p>
    <w:p>
      <w:pPr>
        <w:pStyle w:val="972"/>
      </w:pPr>
      <w:r/>
      <w:bookmarkStart w:id="238" w:name="_Toc383088853"/>
      <w:r/>
      <w:bookmarkStart w:id="239" w:name="_Toc422496681"/>
      <w:r/>
      <w:bookmarkStart w:id="240" w:name="_Toc88819093"/>
      <w:r>
        <w:t xml:space="preserve">Отображение статистических данных</w:t>
      </w:r>
      <w:bookmarkEnd w:id="238"/>
      <w:r/>
      <w:bookmarkEnd w:id="239"/>
      <w:r/>
      <w:bookmarkEnd w:id="240"/>
      <w:r/>
      <w:r/>
    </w:p>
    <w:p>
      <w:pPr>
        <w:pStyle w:val="994"/>
      </w:pPr>
      <w:r>
        <w:t xml:space="preserve">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r/>
    </w:p>
    <w:p>
      <w:pPr>
        <w:pStyle w:val="994"/>
      </w:pPr>
      <w:r>
        <w:t xml:space="preserve">Отображение данных во всплывающем окне.</w:t>
      </w:r>
      <w:r/>
    </w:p>
    <w:p>
      <w:pPr>
        <w:pStyle w:val="994"/>
      </w:pPr>
      <w:r>
        <w:t xml:space="preserve">Отображение агрегированных показателей по всем документам в строке состояния списка документов.</w:t>
      </w:r>
      <w:r/>
    </w:p>
    <w:p>
      <w:pPr>
        <w:pStyle w:val="994"/>
      </w:pPr>
      <w:r>
        <w:t xml:space="preserve">Отображение обобщенных агрегированных показателей по документам.</w:t>
      </w:r>
      <w:r/>
    </w:p>
    <w:p>
      <w:pPr>
        <w:pStyle w:val="972"/>
      </w:pPr>
      <w:r/>
      <w:bookmarkStart w:id="241" w:name="_Toc383088854"/>
      <w:r/>
      <w:bookmarkStart w:id="242" w:name="_Toc422496682"/>
      <w:r/>
      <w:bookmarkStart w:id="243" w:name="_Toc88819094"/>
      <w:r>
        <w:t xml:space="preserve">Информационная панель</w:t>
      </w:r>
      <w:bookmarkEnd w:id="241"/>
      <w:r/>
      <w:bookmarkEnd w:id="242"/>
      <w:r/>
      <w:bookmarkEnd w:id="243"/>
      <w:r/>
      <w:r/>
    </w:p>
    <w:p>
      <w:pPr>
        <w:pStyle w:val="994"/>
      </w:pPr>
      <w:r>
        <w:t xml:space="preserve">Информационная панель служит для</w:t>
      </w:r>
      <w:r>
        <w:t xml:space="preserve"> вывода на экран информации о выделенном в 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t xml:space="preserve"> </w:t>
      </w:r>
      <w:r>
        <w:fldChar w:fldCharType="begin"/>
      </w:r>
      <w:r>
        <w:instrText xml:space="preserve"> REF _Ref220740048 \h  \* MERGEFORMAT </w:instrText>
      </w:r>
      <w:r>
        <w:fldChar w:fldCharType="separate"/>
      </w:r>
      <w:r>
        <w:t xml:space="preserve">10</w:t>
      </w:r>
      <w:r>
        <w:fldChar w:fldCharType="end"/>
      </w:r>
      <w:r>
        <w:t xml:space="preserve"> показан пример содержания информационной панели для выделенного документа.</w:t>
      </w:r>
      <w:r/>
    </w:p>
    <w:p>
      <w:pPr>
        <w:pStyle w:val="982"/>
      </w:pPr>
      <w:r>
        <mc:AlternateContent>
          <mc:Choice Requires="wpg">
            <w:drawing>
              <wp:inline xmlns:wp="http://schemas.openxmlformats.org/drawingml/2006/wordprocessingDrawing" distT="0" distB="0" distL="0" distR="0">
                <wp:extent cx="6126480" cy="3931920"/>
                <wp:effectExtent l="0" t="0" r="0" b="0"/>
                <wp:docPr id="6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73"/>
                        <a:stretch/>
                      </pic:blipFill>
                      <pic:spPr bwMode="auto">
                        <a:xfrm>
                          <a:off x="0" y="0"/>
                          <a:ext cx="6126480" cy="39319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 o:spid="_x0000_s63" type="#_x0000_t75" style="mso-wrap-distance-left:0.0pt;mso-wrap-distance-top:0.0pt;mso-wrap-distance-right:0.0pt;mso-wrap-distance-bottom:0.0pt;width:482.4pt;height:309.6pt;" stroked="f">
                <v:path textboxrect="0,0,0,0"/>
                <v:imagedata r:id="rId73" o:title=""/>
              </v:shape>
            </w:pict>
          </mc:Fallback>
        </mc:AlternateContent>
      </w:r>
      <w:r/>
    </w:p>
    <w:p>
      <w:pPr>
        <w:pStyle w:val="983"/>
      </w:pPr>
      <w:r>
        <w:fldChar w:fldCharType="begin"/>
      </w:r>
      <w:r>
        <w:instrText xml:space="preserve"> SEQ Рисунок \* ARABIC </w:instrText>
      </w:r>
      <w:r>
        <w:fldChar w:fldCharType="separate"/>
      </w:r>
      <w:bookmarkStart w:id="244" w:name="_Ref220740048"/>
      <w:r/>
      <w:bookmarkStart w:id="245" w:name="_Toc88819395"/>
      <w:r>
        <w:t xml:space="preserve">10</w:t>
      </w:r>
      <w:bookmarkEnd w:id="244"/>
      <w:r>
        <w:fldChar w:fldCharType="end"/>
      </w:r>
      <w:r>
        <w:t xml:space="preserve">. Информационная панель</w:t>
      </w:r>
      <w:bookmarkEnd w:id="245"/>
      <w:r/>
      <w:r/>
    </w:p>
    <w:p>
      <w:pPr>
        <w:pStyle w:val="994"/>
      </w:pPr>
      <w:r>
        <w:t xml:space="preserve">Типичный список закладок информационной панели:</w:t>
      </w:r>
      <w:r/>
    </w:p>
    <w:p>
      <w:pPr>
        <w:pStyle w:val="985"/>
      </w:pPr>
      <w:r>
        <w:t xml:space="preserve">«Содержание» (отображается основное содержание выделенного документа);</w:t>
      </w:r>
      <w:r/>
    </w:p>
    <w:p>
      <w:pPr>
        <w:pStyle w:val="985"/>
      </w:pPr>
      <w:r>
        <w:t xml:space="preserve">«Подписи» (отображается информация об </w:t>
      </w:r>
      <w:r>
        <w:t xml:space="preserve">ЭП</w:t>
      </w:r>
      <w:r>
        <w:t xml:space="preserve">, если текущий документ был подписан);</w:t>
      </w:r>
      <w:r/>
    </w:p>
    <w:p>
      <w:pPr>
        <w:pStyle w:val="985"/>
      </w:pPr>
      <w:r>
        <w:t xml:space="preserve">«Атрибуты» (отображается текущий статус документа, а также дополнительная информация);</w:t>
      </w:r>
      <w:r/>
    </w:p>
    <w:p>
      <w:pPr>
        <w:pStyle w:val="985"/>
      </w:pPr>
      <w:r>
        <w:t xml:space="preserve">«Транспортная история» (отображается информация об отправке и/или получении документа на узлах приема/передачи, которые были зафиксированы транспортным модулем СУФД).</w:t>
      </w:r>
      <w:r/>
    </w:p>
    <w:p>
      <w:pPr>
        <w:pStyle w:val="970"/>
      </w:pPr>
      <w:r/>
      <w:bookmarkStart w:id="246" w:name="_Toc422496683"/>
      <w:r/>
      <w:bookmarkStart w:id="247" w:name="_Ref422835024"/>
      <w:r/>
      <w:bookmarkStart w:id="248" w:name="_Toc88819095"/>
      <w:r/>
      <w:bookmarkEnd w:id="160"/>
      <w:r/>
      <w:bookmarkEnd w:id="161"/>
      <w:r/>
      <w:bookmarkEnd w:id="162"/>
      <w:r/>
      <w:bookmarkEnd w:id="163"/>
      <w:r>
        <w:t xml:space="preserve">Описание операций и экранных форм</w:t>
      </w:r>
      <w:bookmarkEnd w:id="246"/>
      <w:r/>
      <w:bookmarkEnd w:id="247"/>
      <w:r/>
      <w:bookmarkEnd w:id="248"/>
      <w:r/>
      <w:r/>
    </w:p>
    <w:p>
      <w:pPr>
        <w:pStyle w:val="994"/>
      </w:pPr>
      <w:r/>
      <w:bookmarkStart w:id="249" w:name="_Toc221011479"/>
      <w:r/>
      <w:bookmarkStart w:id="250" w:name="_Toc221012180"/>
      <w:r/>
      <w:bookmarkStart w:id="251" w:name="_Toc225934571"/>
      <w:r/>
      <w:bookmarkEnd w:id="2"/>
      <w:r/>
      <w:bookmarkEnd w:id="3"/>
      <w:r/>
      <w:bookmarkEnd w:id="4"/>
      <w:r/>
      <w:bookmarkEnd w:id="5"/>
      <w:r>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t xml:space="preserve">обучающих материалах «Основные принципы работы с ППО СУФД»</w:t>
      </w:r>
      <w:r>
        <w:t xml:space="preserve">. В зависимости от типа документа набор доступных стандартных операций и порядок его обработки могут различаться.</w:t>
      </w:r>
      <w:r/>
    </w:p>
    <w:p>
      <w:pPr>
        <w:pStyle w:val="994"/>
      </w:pPr>
      <w:r>
        <w:t xml:space="preserve">Ниже представлены описания экранных форм </w:t>
      </w:r>
      <w:r>
        <w:t xml:space="preserve">электронных </w:t>
      </w:r>
      <w:r>
        <w:t xml:space="preserve">документов, используемых в АРМ </w:t>
      </w:r>
      <w:r>
        <w:t xml:space="preserve">ФО</w:t>
      </w:r>
      <w:r>
        <w:t xml:space="preserve">, и доступны</w:t>
      </w:r>
      <w:r>
        <w:t xml:space="preserve">е</w:t>
      </w:r>
      <w:r>
        <w:t xml:space="preserve"> операци</w:t>
      </w:r>
      <w:r>
        <w:t xml:space="preserve">и</w:t>
      </w:r>
      <w:r>
        <w:t xml:space="preserve"> над ними. Все экранные формы документов содержат</w:t>
      </w:r>
      <w:r>
        <w:t xml:space="preserve"> стандартные</w:t>
      </w:r>
      <w:r>
        <w:t xml:space="preserve"> закладки </w:t>
      </w:r>
      <w:r>
        <w:t xml:space="preserve">«</w:t>
      </w:r>
      <w:r>
        <w:t xml:space="preserve">Системные атрибуты</w:t>
      </w:r>
      <w:r>
        <w:t xml:space="preserve">» и</w:t>
      </w:r>
      <w:r>
        <w:t xml:space="preserve"> </w:t>
      </w:r>
      <w:r>
        <w:t xml:space="preserve">«</w:t>
      </w:r>
      <w:r>
        <w:t xml:space="preserve">Протоколы</w:t>
      </w:r>
      <w:r>
        <w:t xml:space="preserve">»</w:t>
      </w:r>
      <w:r>
        <w:t xml:space="preserve">, о</w:t>
      </w:r>
      <w:r>
        <w:t xml:space="preserve">писания которых приведены в </w:t>
      </w:r>
      <w:r>
        <w:t xml:space="preserve">обучающих материалах</w:t>
      </w:r>
      <w:r>
        <w:t xml:space="preserve"> </w:t>
      </w:r>
      <w:r>
        <w:t xml:space="preserve">«</w:t>
      </w:r>
      <w:r>
        <w:t xml:space="preserve">Основные принципы работы с ППО СУФД</w:t>
      </w:r>
      <w:r>
        <w:t xml:space="preserve">»</w:t>
      </w:r>
      <w:r>
        <w:t xml:space="preserve">, поэтому в данном </w:t>
      </w:r>
      <w:r>
        <w:t xml:space="preserve">документе</w:t>
      </w:r>
      <w:r>
        <w:t xml:space="preserve"> </w:t>
      </w:r>
      <w:r>
        <w:t xml:space="preserve">рассматриваются</w:t>
      </w:r>
      <w:r>
        <w:t xml:space="preserve"> только </w:t>
      </w:r>
      <w:r>
        <w:t xml:space="preserve">оригинальные</w:t>
      </w:r>
      <w:r>
        <w:t xml:space="preserve"> закладки, которые содержат</w:t>
      </w:r>
      <w:r>
        <w:t xml:space="preserve">ся</w:t>
      </w:r>
      <w:r>
        <w:t xml:space="preserve"> </w:t>
      </w:r>
      <w:r>
        <w:t xml:space="preserve">в описываемых экранных формах</w:t>
      </w:r>
      <w:r>
        <w:t xml:space="preserve">.</w:t>
      </w:r>
      <w:r/>
    </w:p>
    <w:p>
      <w:pPr>
        <w:pStyle w:val="971"/>
      </w:pPr>
      <w:r/>
      <w:bookmarkStart w:id="252" w:name="_Toc422496699"/>
      <w:r/>
      <w:bookmarkStart w:id="253" w:name="_Toc221011486"/>
      <w:r/>
      <w:bookmarkStart w:id="254" w:name="_Toc221012187"/>
      <w:r/>
      <w:bookmarkStart w:id="255" w:name="_Toc225934578"/>
      <w:r/>
      <w:bookmarkStart w:id="256" w:name="_Toc232827300"/>
      <w:r/>
      <w:bookmarkStart w:id="257" w:name="_Toc422496684"/>
      <w:r/>
      <w:bookmarkStart w:id="258" w:name="_Toc88819096"/>
      <w:r/>
      <w:bookmarkEnd w:id="249"/>
      <w:r/>
      <w:bookmarkEnd w:id="250"/>
      <w:r/>
      <w:bookmarkEnd w:id="251"/>
      <w:r>
        <w:t xml:space="preserve">Группа документов «Регистрация и учет обязательств»</w:t>
      </w:r>
      <w:bookmarkEnd w:id="252"/>
      <w:r/>
      <w:bookmarkEnd w:id="258"/>
      <w:r/>
      <w:r/>
    </w:p>
    <w:p>
      <w:pPr>
        <w:pStyle w:val="972"/>
      </w:pPr>
      <w:r/>
      <w:bookmarkStart w:id="259" w:name="_Toc225934606"/>
      <w:r/>
      <w:bookmarkStart w:id="260" w:name="_Toc232827354"/>
      <w:r/>
      <w:bookmarkStart w:id="261" w:name="_Ref306102668"/>
      <w:r/>
      <w:bookmarkStart w:id="262" w:name="_Ref318457176"/>
      <w:r/>
      <w:bookmarkStart w:id="263" w:name="_Ref319569917"/>
      <w:r/>
      <w:bookmarkStart w:id="264" w:name="_Ref341877464"/>
      <w:r/>
      <w:bookmarkStart w:id="265" w:name="_Ref359521302"/>
      <w:r/>
      <w:bookmarkStart w:id="266" w:name="_Ref365478143"/>
      <w:r/>
      <w:bookmarkStart w:id="267" w:name="_Ref367727352"/>
      <w:r/>
      <w:bookmarkStart w:id="268" w:name="_Ref368676705"/>
      <w:r/>
      <w:bookmarkStart w:id="269" w:name="_Ref369717299"/>
      <w:r/>
      <w:bookmarkStart w:id="270" w:name="_Ref370214507"/>
      <w:r/>
      <w:bookmarkStart w:id="271" w:name="_Ref370315826"/>
      <w:r/>
      <w:bookmarkStart w:id="272" w:name="_Ref373250277"/>
      <w:r/>
      <w:bookmarkStart w:id="273" w:name="_Ref377404002"/>
      <w:r/>
      <w:bookmarkStart w:id="274" w:name="_Ref378697488"/>
      <w:r/>
      <w:bookmarkStart w:id="275" w:name="_Ref383800420"/>
      <w:r/>
      <w:bookmarkStart w:id="276" w:name="_Ref406592633"/>
      <w:r/>
      <w:bookmarkStart w:id="277" w:name="_Ref420320329"/>
      <w:r/>
      <w:bookmarkStart w:id="278" w:name="_Ref420921155"/>
      <w:r/>
      <w:bookmarkStart w:id="279" w:name="_Toc422496700"/>
      <w:r/>
      <w:bookmarkStart w:id="280" w:name="_Ref434996122"/>
      <w:r/>
      <w:bookmarkStart w:id="281" w:name="_Ref436208810"/>
      <w:r/>
      <w:bookmarkStart w:id="282" w:name="_Ref436664244"/>
      <w:r/>
      <w:bookmarkStart w:id="283" w:name="_Ref474404511"/>
      <w:r/>
      <w:bookmarkStart w:id="284" w:name="_Ref502218450"/>
      <w:r/>
      <w:bookmarkStart w:id="285" w:name="_Ref505097280"/>
      <w:r/>
      <w:bookmarkStart w:id="286" w:name="_Ref513120055"/>
      <w:r/>
      <w:bookmarkStart w:id="287" w:name="_Ref515023791"/>
      <w:r/>
      <w:bookmarkStart w:id="288" w:name="_Ref523328503"/>
      <w:r/>
      <w:bookmarkStart w:id="289" w:name="_Ref3155634"/>
      <w:r/>
      <w:bookmarkStart w:id="290" w:name="_Ref4485242"/>
      <w:r/>
      <w:bookmarkStart w:id="291" w:name="_Ref35263454"/>
      <w:r/>
      <w:bookmarkStart w:id="292" w:name="_Ref40955673"/>
      <w:r/>
      <w:bookmarkStart w:id="293" w:name="_Ref51162587"/>
      <w:r/>
      <w:bookmarkStart w:id="294" w:name="_Ref68857975"/>
      <w:r/>
      <w:bookmarkStart w:id="295" w:name="_Ref83741785"/>
      <w:r/>
      <w:bookmarkStart w:id="296" w:name="_Toc88819097"/>
      <w:r>
        <w:t xml:space="preserve">Заявка на кассовый расход</w:t>
      </w:r>
      <w:bookmarkStart w:id="297" w:name="_Toc261617154"/>
      <w:r/>
      <w:bookmarkStart w:id="298" w:name="_Ref306104176"/>
      <w:r/>
      <w:bookmarkStart w:id="299" w:name="_Ref312759191"/>
      <w:r/>
      <w:bookmarkEnd w:id="259"/>
      <w:r/>
      <w:bookmarkEnd w:id="260"/>
      <w:r/>
      <w:bookmarkEnd w:id="261"/>
      <w:r/>
      <w:bookmarkEnd w:id="262"/>
      <w:r/>
      <w:bookmarkEnd w:id="263"/>
      <w:r/>
      <w:bookmarkEnd w:id="264"/>
      <w:r/>
      <w:bookmarkEnd w:id="265"/>
      <w:r/>
      <w:bookmarkEnd w:id="266"/>
      <w:r/>
      <w:bookmarkEnd w:id="267"/>
      <w:r/>
      <w:bookmarkEnd w:id="268"/>
      <w:r/>
      <w:bookmarkEnd w:id="269"/>
      <w:r/>
      <w:bookmarkEnd w:id="270"/>
      <w:r/>
      <w:bookmarkEnd w:id="271"/>
      <w:r/>
      <w:bookmarkEnd w:id="272"/>
      <w:r/>
      <w:bookmarkEnd w:id="273"/>
      <w:r/>
      <w:bookmarkEnd w:id="274"/>
      <w:r/>
      <w:bookmarkEnd w:id="275"/>
      <w:r/>
      <w:bookmarkEnd w:id="276"/>
      <w:r/>
      <w:bookmarkEnd w:id="277"/>
      <w:r/>
      <w:bookmarkEnd w:id="278"/>
      <w:r/>
      <w:bookmarkEnd w:id="279"/>
      <w:r/>
      <w:bookmarkEnd w:id="280"/>
      <w:r/>
      <w:bookmarkEnd w:id="281"/>
      <w:r/>
      <w:bookmarkEnd w:id="282"/>
      <w:r/>
      <w:bookmarkEnd w:id="283"/>
      <w:r/>
      <w:bookmarkEnd w:id="284"/>
      <w:r/>
      <w:bookmarkEnd w:id="285"/>
      <w:r/>
      <w:bookmarkEnd w:id="286"/>
      <w:r/>
      <w:bookmarkEnd w:id="287"/>
      <w:r/>
      <w:bookmarkEnd w:id="288"/>
      <w:r/>
      <w:bookmarkEnd w:id="289"/>
      <w:r/>
      <w:bookmarkEnd w:id="290"/>
      <w:r/>
      <w:bookmarkEnd w:id="291"/>
      <w:r/>
      <w:bookmarkEnd w:id="292"/>
      <w:r/>
      <w:bookmarkEnd w:id="293"/>
      <w:r/>
      <w:bookmarkEnd w:id="294"/>
      <w:r/>
      <w:bookmarkEnd w:id="295"/>
      <w:r/>
      <w:bookmarkEnd w:id="296"/>
      <w:r/>
      <w:r/>
    </w:p>
    <w:p>
      <w:pPr>
        <w:pStyle w:val="994"/>
      </w:pPr>
      <w:r>
        <w:t xml:space="preserve">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документ «</w:t>
      </w:r>
      <w:r>
        <w:t xml:space="preserve">Заявка на кассовый расход»,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исполнительные листы.</w:t>
      </w:r>
      <w:r/>
    </w:p>
    <w:p>
      <w:pPr>
        <w:pStyle w:val="994"/>
      </w:pPr>
      <w:r>
        <w:t xml:space="preserve">ЭД «Заявка на кассовый расход» поступает в ФО от клиентов (ПБС, АИФДБ, АУ, БУ) проходит санкционирование и направляется в ОрФК, где открыт лицевой счет кл</w:t>
      </w:r>
      <w:r>
        <w:t xml:space="preserve">и</w:t>
      </w:r>
      <w:r>
        <w:t xml:space="preserve">ента ФО. В случае отказа ФО документ не проходит процедуру санкционирования.</w:t>
      </w:r>
      <w:r/>
    </w:p>
    <w:p>
      <w:pPr>
        <w:pStyle w:val="994"/>
      </w:pPr>
      <w:r>
        <w:t xml:space="preserve">Для визуализации связи между документом «Заявка на кассовый расход» и документами «Заявка на кассовый расход (сокращенная)», «Заявка на получение наличных денег», «</w:t>
      </w:r>
      <w:r>
        <w:t xml:space="preserve">Заявка на получение денежных средств, перечисляемых на карту</w:t>
      </w:r>
      <w:r>
        <w:t xml:space="preserve">»,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t xml:space="preserve">ППО СУФД АСФК</w:t>
      </w:r>
      <w:r>
        <w:t xml:space="preserve"> на ЭФ списка документов «Заявка на кассовый расход» (рис. </w:t>
      </w:r>
      <w:r>
        <w:fldChar w:fldCharType="begin"/>
      </w:r>
      <w:r>
        <w:instrText xml:space="preserve"> REF _Ref225230353 \h  \* MERGEFORMAT </w:instrText>
      </w:r>
      <w:r>
        <w:fldChar w:fldCharType="separate"/>
      </w:r>
      <w:r>
        <w:t xml:space="preserve">11</w:t>
      </w:r>
      <w:r>
        <w:fldChar w:fldCharType="end"/>
      </w:r>
      <w:r>
        <w:t xml:space="preserve">) расположена отдельная вкладка «Связа</w:t>
      </w:r>
      <w:r>
        <w:t xml:space="preserve">н</w:t>
      </w:r>
      <w:r>
        <w:t xml:space="preserve">ные документы», в которой отражен список связанных документов. Табличное поле, отображающее этот список, содержит следующие реквизиты связанных д</w:t>
      </w:r>
      <w:r>
        <w:t xml:space="preserve">о</w:t>
      </w:r>
      <w:r>
        <w:t xml:space="preserve">кументов:</w:t>
      </w:r>
      <w:r/>
    </w:p>
    <w:p>
      <w:pPr>
        <w:pStyle w:val="985"/>
      </w:pPr>
      <w:r>
        <w:t xml:space="preserve">Тип документа;</w:t>
      </w:r>
      <w:r/>
    </w:p>
    <w:p>
      <w:pPr>
        <w:pStyle w:val="985"/>
      </w:pPr>
      <w:r>
        <w:t xml:space="preserve">Номер;</w:t>
      </w:r>
      <w:r/>
    </w:p>
    <w:p>
      <w:pPr>
        <w:pStyle w:val="985"/>
      </w:pPr>
      <w:r>
        <w:t xml:space="preserve">От (дата);</w:t>
      </w:r>
      <w:r/>
    </w:p>
    <w:p>
      <w:pPr>
        <w:pStyle w:val="985"/>
      </w:pPr>
      <w:r>
        <w:t xml:space="preserve">Глава по БК;</w:t>
      </w:r>
      <w:r/>
    </w:p>
    <w:p>
      <w:pPr>
        <w:pStyle w:val="985"/>
      </w:pPr>
      <w:r>
        <w:t xml:space="preserve">Сумма в валюте БО;</w:t>
      </w:r>
      <w:r/>
    </w:p>
    <w:p>
      <w:pPr>
        <w:pStyle w:val="985"/>
      </w:pPr>
      <w:r>
        <w:t xml:space="preserve">Наименование контрагента;</w:t>
      </w:r>
      <w:r/>
    </w:p>
    <w:p>
      <w:pPr>
        <w:pStyle w:val="985"/>
      </w:pPr>
      <w:r>
        <w:t xml:space="preserve">Статус.</w:t>
      </w:r>
      <w:r/>
    </w:p>
    <w:p>
      <w:pPr>
        <w:pStyle w:val="994"/>
      </w:pPr>
      <w:r>
        <w:t xml:space="preserve">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к ЭФ связанного документа.</w:t>
      </w:r>
      <w:r/>
    </w:p>
    <w:p>
      <w:pPr>
        <w:pStyle w:val="994"/>
      </w:pPr>
      <w:r>
        <w:t xml:space="preserve">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кассовый расход». Операции «Санкционировать» и «Отказать» опи</w:t>
      </w:r>
      <w:r>
        <w:t xml:space="preserve">саны в п.</w:t>
      </w:r>
      <w:r>
        <w:t xml:space="preserve"> </w:t>
      </w:r>
      <w:r>
        <w:fldChar w:fldCharType="begin"/>
      </w:r>
      <w:r>
        <w:instrText xml:space="preserve"> REF _Ref370314948 \r \h  \* MERGEFORMAT </w:instrText>
      </w:r>
      <w:r>
        <w:fldChar w:fldCharType="separate"/>
      </w:r>
      <w:r>
        <w:t xml:space="preserve">3.3.1</w:t>
      </w:r>
      <w:r>
        <w:fldChar w:fldCharType="end"/>
      </w:r>
      <w:r>
        <w:t xml:space="preserve">.</w:t>
      </w:r>
      <w:r/>
    </w:p>
    <w:p>
      <w:pPr>
        <w:pStyle w:val="994"/>
      </w:pPr>
      <w:r>
        <w:t xml:space="preserve">Для работы с документами «Заявка на кассовый расход» следует перейти в пункт меню «Документы – Регистрация и учет обязательств – Заявки на платеж – Заявка на кассовый расход». Откроется ЭФ списка документов, представленная на рисунке </w:t>
      </w:r>
      <w:r>
        <w:fldChar w:fldCharType="begin"/>
      </w:r>
      <w:r>
        <w:instrText xml:space="preserve"> REF _Ref225230353 \h  \* MERGEFORMAT </w:instrText>
      </w:r>
      <w:r>
        <w:fldChar w:fldCharType="separate"/>
      </w:r>
      <w:r>
        <w:t xml:space="preserve">11</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377440"/>
                <wp:effectExtent l="0" t="0" r="0" b="0"/>
                <wp:docPr id="6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74"/>
                        <a:stretch/>
                      </pic:blipFill>
                      <pic:spPr bwMode="auto">
                        <a:xfrm>
                          <a:off x="0" y="0"/>
                          <a:ext cx="6126480" cy="23774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 o:spid="_x0000_s64" type="#_x0000_t75" style="mso-wrap-distance-left:0.0pt;mso-wrap-distance-top:0.0pt;mso-wrap-distance-right:0.0pt;mso-wrap-distance-bottom:0.0pt;width:482.4pt;height:187.2pt;" stroked="f">
                <v:path textboxrect="0,0,0,0"/>
                <v:imagedata r:id="rId74" o:title=""/>
              </v:shape>
            </w:pict>
          </mc:Fallback>
        </mc:AlternateContent>
      </w:r>
      <w:r/>
    </w:p>
    <w:p>
      <w:pPr>
        <w:pStyle w:val="983"/>
      </w:pPr>
      <w:r>
        <w:fldChar w:fldCharType="begin"/>
      </w:r>
      <w:r>
        <w:instrText xml:space="preserve"> SEQ Рисунок \* ARABIC </w:instrText>
      </w:r>
      <w:r>
        <w:fldChar w:fldCharType="separate"/>
      </w:r>
      <w:bookmarkStart w:id="300" w:name="_Ref225230353"/>
      <w:r/>
      <w:bookmarkStart w:id="301" w:name="_Toc88819396"/>
      <w:r>
        <w:t xml:space="preserve">11</w:t>
      </w:r>
      <w:bookmarkEnd w:id="300"/>
      <w:r>
        <w:fldChar w:fldCharType="end"/>
      </w:r>
      <w:r>
        <w:t xml:space="preserve">. ЭФ списка документов «Заявка на кассовый расход»</w:t>
      </w:r>
      <w:bookmarkEnd w:id="301"/>
      <w:r/>
      <w:r/>
    </w:p>
    <w:p>
      <w:pPr>
        <w:pStyle w:val="982"/>
      </w:pPr>
      <w:r>
        <mc:AlternateContent>
          <mc:Choice Requires="wpg">
            <w:drawing>
              <wp:inline xmlns:wp="http://schemas.openxmlformats.org/drawingml/2006/wordprocessingDrawing" distT="0" distB="0" distL="0" distR="0">
                <wp:extent cx="4198620" cy="2651760"/>
                <wp:effectExtent l="0" t="0" r="0" b="0"/>
                <wp:docPr id="6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75"/>
                        <a:stretch/>
                      </pic:blipFill>
                      <pic:spPr bwMode="auto">
                        <a:xfrm>
                          <a:off x="0" y="0"/>
                          <a:ext cx="4198620" cy="2651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 o:spid="_x0000_s65" type="#_x0000_t75" style="mso-wrap-distance-left:0.0pt;mso-wrap-distance-top:0.0pt;mso-wrap-distance-right:0.0pt;mso-wrap-distance-bottom:0.0pt;width:330.6pt;height:208.8pt;" stroked="f">
                <v:path textboxrect="0,0,0,0"/>
                <v:imagedata r:id="rId75" o:title=""/>
              </v:shape>
            </w:pict>
          </mc:Fallback>
        </mc:AlternateContent>
      </w:r>
      <w:r/>
    </w:p>
    <w:p>
      <w:pPr>
        <w:pStyle w:val="983"/>
      </w:pPr>
      <w:r>
        <w:fldChar w:fldCharType="begin"/>
      </w:r>
      <w:r>
        <w:instrText xml:space="preserve"> SEQ Рисунок \* ARABIC </w:instrText>
      </w:r>
      <w:r>
        <w:fldChar w:fldCharType="separate"/>
      </w:r>
      <w:bookmarkStart w:id="302" w:name="_Ref373250233"/>
      <w:r/>
      <w:bookmarkStart w:id="303" w:name="_Toc88819397"/>
      <w:r>
        <w:t xml:space="preserve">12</w:t>
      </w:r>
      <w:bookmarkEnd w:id="302"/>
      <w:r>
        <w:fldChar w:fldCharType="end"/>
      </w:r>
      <w:r>
        <w:t xml:space="preserve">. Фрагмент ЭФ списка документов «Заявка на кассовый расход» с полем «Признак ЭДО» в скроллере</w:t>
      </w:r>
      <w:bookmarkEnd w:id="303"/>
      <w:r/>
      <w:r/>
    </w:p>
    <w:p>
      <w:pPr>
        <w:pStyle w:val="994"/>
      </w:pPr>
      <w:r>
        <w:t xml:space="preserve">На рисунке</w:t>
      </w:r>
      <w:r>
        <w:t xml:space="preserve"> </w:t>
      </w:r>
      <w:r>
        <w:fldChar w:fldCharType="begin"/>
      </w:r>
      <w:r>
        <w:instrText xml:space="preserve"> REF _Ref373250233 \h  \* MERGEFORMAT </w:instrText>
      </w:r>
      <w:r>
        <w:fldChar w:fldCharType="separate"/>
      </w:r>
      <w:r>
        <w:t xml:space="preserve">12</w:t>
      </w:r>
      <w:r>
        <w:fldChar w:fldCharType="end"/>
      </w:r>
      <w:r>
        <w:t xml:space="preserve"> представлен фрагмент ЭФ списка документов «Заявка на кассовый расход» с полем «Признак ЭДО» в скроллере. Также поле «Признак ЭДО» представлено на рисунке</w:t>
      </w:r>
      <w:r>
        <w:t xml:space="preserve"> </w:t>
      </w:r>
      <w:r>
        <w:fldChar w:fldCharType="begin"/>
      </w:r>
      <w:r>
        <w:instrText xml:space="preserve"> REF _Ref230769977 \h  \* MERGEFORMAT </w:instrText>
      </w:r>
      <w:r>
        <w:fldChar w:fldCharType="separate"/>
      </w:r>
      <w:r>
        <w:t xml:space="preserve">15</w:t>
      </w:r>
      <w:r>
        <w:fldChar w:fldCharType="end"/>
      </w:r>
      <w:r>
        <w:t xml:space="preserve"> ЭФ документа «Заявка на кассовый расход</w:t>
      </w:r>
      <w:r>
        <w:t xml:space="preserve">», закладки «</w:t>
      </w:r>
      <w:r>
        <w:t xml:space="preserve">Заголовок, Раздел 1, 2 (1)».</w:t>
      </w:r>
      <w:r/>
    </w:p>
    <w:p>
      <w:pPr>
        <w:pStyle w:val="973"/>
      </w:pPr>
      <w:r/>
      <w:bookmarkStart w:id="304" w:name="_Toc232827355"/>
      <w:r>
        <w:t xml:space="preserve">Доступные операции</w:t>
      </w:r>
      <w:bookmarkEnd w:id="304"/>
      <w:r/>
      <w:r/>
    </w:p>
    <w:p>
      <w:pPr>
        <w:pStyle w:val="994"/>
      </w:pPr>
      <w:r>
        <w:t xml:space="preserve">На АРМ ФО доступны следующие опер</w:t>
      </w:r>
      <w:r>
        <w:t xml:space="preserve">а</w:t>
      </w:r>
      <w:r>
        <w:t xml:space="preserve">ции</w:t>
      </w:r>
      <w:r>
        <w:t xml:space="preserve"> над документом</w:t>
      </w:r>
      <w:r>
        <w:t xml:space="preserve">: </w:t>
      </w:r>
      <w:r/>
    </w:p>
    <w:p>
      <w:pPr>
        <w:pStyle w:val="985"/>
      </w:pPr>
      <w:r>
        <w:t xml:space="preserve">Для исходящих документов:</w:t>
      </w:r>
      <w:r/>
    </w:p>
    <w:p>
      <w:pPr>
        <w:pStyle w:val="986"/>
      </w:pPr>
      <w:r>
        <w:t xml:space="preserve">ввод вручную;</w:t>
      </w:r>
      <w:r/>
    </w:p>
    <w:p>
      <w:pPr>
        <w:pStyle w:val="986"/>
      </w:pPr>
      <w:r>
        <w:t xml:space="preserve">создание на основе родительского документа;</w:t>
      </w:r>
      <w:r/>
    </w:p>
    <w:p>
      <w:pPr>
        <w:pStyle w:val="986"/>
      </w:pPr>
      <w:r>
        <w:t xml:space="preserve">импорт из внешней системы;</w:t>
      </w:r>
      <w:r/>
    </w:p>
    <w:p>
      <w:pPr>
        <w:pStyle w:val="986"/>
      </w:pPr>
      <w:r>
        <w:t xml:space="preserve">просмотр и редактирование;</w:t>
      </w:r>
      <w:r/>
    </w:p>
    <w:p>
      <w:pPr>
        <w:pStyle w:val="986"/>
      </w:pPr>
      <w:r>
        <w:t xml:space="preserve">редактирование вложений;</w:t>
      </w:r>
      <w:r/>
    </w:p>
    <w:p>
      <w:pPr>
        <w:pStyle w:val="986"/>
      </w:pPr>
      <w:r>
        <w:t xml:space="preserve">удаление;</w:t>
      </w:r>
      <w:r/>
    </w:p>
    <w:p>
      <w:pPr>
        <w:pStyle w:val="986"/>
      </w:pPr>
      <w:r>
        <w:t xml:space="preserve">подписание, просмотр и снятие ЭП;</w:t>
      </w:r>
      <w:r/>
    </w:p>
    <w:p>
      <w:pPr>
        <w:pStyle w:val="986"/>
      </w:pPr>
      <w:r>
        <w:t xml:space="preserve">печать;</w:t>
      </w:r>
      <w:r/>
    </w:p>
    <w:p>
      <w:pPr>
        <w:pStyle w:val="986"/>
      </w:pPr>
      <w:r>
        <w:t xml:space="preserve">экспорт во внешнюю систему;</w:t>
      </w:r>
      <w:r/>
    </w:p>
    <w:p>
      <w:pPr>
        <w:pStyle w:val="986"/>
      </w:pPr>
      <w:r>
        <w:t xml:space="preserve">отправка в УФК.</w:t>
      </w:r>
      <w:r/>
    </w:p>
    <w:p>
      <w:pPr>
        <w:pStyle w:val="985"/>
      </w:pPr>
      <w:r>
        <w:t xml:space="preserve">Для транзитных документов:</w:t>
      </w:r>
      <w:r/>
    </w:p>
    <w:p>
      <w:pPr>
        <w:pStyle w:val="986"/>
      </w:pPr>
      <w:r>
        <w:t xml:space="preserve">просмотр;</w:t>
      </w:r>
      <w:r/>
    </w:p>
    <w:p>
      <w:pPr>
        <w:pStyle w:val="986"/>
      </w:pPr>
      <w:r>
        <w:t xml:space="preserve">печать;</w:t>
      </w:r>
      <w:r/>
    </w:p>
    <w:p>
      <w:pPr>
        <w:pStyle w:val="986"/>
      </w:pPr>
      <w:r>
        <w:t xml:space="preserve">формирование и проверка ЭП;</w:t>
      </w:r>
      <w:r/>
    </w:p>
    <w:p>
      <w:pPr>
        <w:pStyle w:val="986"/>
      </w:pPr>
      <w:r>
        <w:t xml:space="preserve">отказ;</w:t>
      </w:r>
      <w:r/>
    </w:p>
    <w:p>
      <w:pPr>
        <w:pStyle w:val="986"/>
      </w:pPr>
      <w:r>
        <w:t xml:space="preserve">санкционирование;</w:t>
      </w:r>
      <w:r/>
    </w:p>
    <w:p>
      <w:pPr>
        <w:pStyle w:val="986"/>
      </w:pPr>
      <w:r>
        <w:t xml:space="preserve">отправка в УФК.</w:t>
      </w:r>
      <w:r/>
    </w:p>
    <w:p>
      <w:pPr>
        <w:pStyle w:val="994"/>
      </w:pPr>
      <w:r/>
      <w:bookmarkStart w:id="305" w:name="_Toc232827356"/>
      <w:r/>
      <w:bookmarkStart w:id="306" w:name="_Ref318727622"/>
      <w:r/>
      <w:bookmarkStart w:id="307" w:name="_Ref394331871"/>
      <w:r/>
      <w:bookmarkStart w:id="308" w:name="_Ref403056270"/>
      <w:r>
        <w:t xml:space="preserve">Для </w:t>
      </w:r>
      <w:r>
        <w:t xml:space="preserve">создания </w:t>
      </w:r>
      <w:r>
        <w:t xml:space="preserve">ЭД </w:t>
      </w:r>
      <w:r>
        <w:t xml:space="preserve">«</w:t>
      </w:r>
      <w:r>
        <w:t xml:space="preserve">Заявка на кассовый расход</w:t>
      </w:r>
      <w:r>
        <w:t xml:space="preserve">»</w:t>
      </w:r>
      <w:r>
        <w:t xml:space="preserve"> </w:t>
      </w:r>
      <w:r>
        <w:t xml:space="preserve">на основе </w:t>
      </w:r>
      <w:r>
        <w:t xml:space="preserve">родительского докуме</w:t>
      </w:r>
      <w:r>
        <w:t xml:space="preserve">н</w:t>
      </w:r>
      <w:r>
        <w:t xml:space="preserve">та</w:t>
      </w:r>
      <w:r>
        <w:t xml:space="preserve"> </w:t>
      </w:r>
      <w:r>
        <w:t xml:space="preserve">в форме д</w:t>
      </w:r>
      <w:r>
        <w:t xml:space="preserve">о</w:t>
      </w:r>
      <w:r>
        <w:t xml:space="preserve">кумента необходимо нажать на кнопку </w:t>
      </w:r>
      <w:r>
        <mc:AlternateContent>
          <mc:Choice Requires="wpg">
            <w:drawing>
              <wp:inline xmlns:wp="http://schemas.openxmlformats.org/drawingml/2006/wordprocessingDrawing" distT="0" distB="0" distL="0" distR="0">
                <wp:extent cx="182880" cy="182880"/>
                <wp:effectExtent l="0" t="0" r="0" b="0"/>
                <wp:docPr id="6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76"/>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 o:spid="_x0000_s66" type="#_x0000_t75" style="mso-wrap-distance-left:0.0pt;mso-wrap-distance-top:0.0pt;mso-wrap-distance-right:0.0pt;mso-wrap-distance-bottom:0.0pt;width:14.4pt;height:14.4pt;" stroked="f">
                <v:path textboxrect="0,0,0,0"/>
                <v:imagedata r:id="rId76" o:title=""/>
              </v:shape>
            </w:pict>
          </mc:Fallback>
        </mc:AlternateContent>
      </w:r>
      <w:r>
        <w:t xml:space="preserve"> </w:t>
      </w:r>
      <w:r>
        <w:t xml:space="preserve">(Выбрать родительский документ). </w:t>
      </w:r>
      <w:r>
        <w:t xml:space="preserve">При этом о</w:t>
      </w:r>
      <w:r>
        <w:t xml:space="preserve">т</w:t>
      </w:r>
      <w:r>
        <w:t xml:space="preserve">кроется окно выбора т</w:t>
      </w:r>
      <w:r>
        <w:t xml:space="preserve">и</w:t>
      </w:r>
      <w:r>
        <w:t xml:space="preserve">па документа «Поиск» </w:t>
      </w:r>
      <w:r>
        <w:t xml:space="preserve">(рис. </w:t>
      </w:r>
      <w:r>
        <w:fldChar w:fldCharType="begin"/>
      </w:r>
      <w:r>
        <w:instrText xml:space="preserve"> REF _Ref387857513 \h </w:instrText>
      </w:r>
      <w:r>
        <w:fldChar w:fldCharType="separate"/>
      </w:r>
      <w:r>
        <w:t xml:space="preserve">13</w:t>
      </w:r>
      <w:r>
        <w:fldChar w:fldCharType="end"/>
      </w:r>
      <w:r>
        <w:t xml:space="preserve">).</w:t>
      </w:r>
      <w:r/>
    </w:p>
    <w:p>
      <w:pPr>
        <w:pStyle w:val="982"/>
      </w:pPr>
      <w:r>
        <mc:AlternateContent>
          <mc:Choice Requires="wpg">
            <w:drawing>
              <wp:inline xmlns:wp="http://schemas.openxmlformats.org/drawingml/2006/wordprocessingDrawing" distT="0" distB="0" distL="0" distR="0">
                <wp:extent cx="3939540" cy="2743200"/>
                <wp:effectExtent l="0" t="0" r="0" b="0"/>
                <wp:docPr id="6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77"/>
                        <a:stretch/>
                      </pic:blipFill>
                      <pic:spPr bwMode="auto">
                        <a:xfrm>
                          <a:off x="0" y="0"/>
                          <a:ext cx="3939540" cy="27432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 o:spid="_x0000_s67" type="#_x0000_t75" style="mso-wrap-distance-left:0.0pt;mso-wrap-distance-top:0.0pt;mso-wrap-distance-right:0.0pt;mso-wrap-distance-bottom:0.0pt;width:310.2pt;height:216.0pt;" stroked="f">
                <v:path textboxrect="0,0,0,0"/>
                <v:imagedata r:id="rId77" o:title=""/>
              </v:shape>
            </w:pict>
          </mc:Fallback>
        </mc:AlternateContent>
      </w:r>
      <w:r/>
    </w:p>
    <w:p>
      <w:pPr>
        <w:pStyle w:val="983"/>
      </w:pPr>
      <w:r>
        <w:fldChar w:fldCharType="begin"/>
      </w:r>
      <w:r>
        <w:instrText xml:space="preserve"> SEQ Рисунок \* ARABIC </w:instrText>
      </w:r>
      <w:r>
        <w:fldChar w:fldCharType="separate"/>
      </w:r>
      <w:bookmarkStart w:id="309" w:name="_Ref387857513"/>
      <w:r/>
      <w:bookmarkStart w:id="310" w:name="_Toc88819398"/>
      <w:r>
        <w:t xml:space="preserve">13</w:t>
      </w:r>
      <w:bookmarkEnd w:id="309"/>
      <w:r>
        <w:fldChar w:fldCharType="end"/>
      </w:r>
      <w:r>
        <w:t xml:space="preserve">. </w:t>
      </w:r>
      <w:r>
        <w:t xml:space="preserve">Окно «Поиск…»</w:t>
      </w:r>
      <w:bookmarkEnd w:id="310"/>
      <w:r/>
      <w:r/>
    </w:p>
    <w:p>
      <w:pPr>
        <w:pStyle w:val="994"/>
      </w:pPr>
      <w:r>
        <w:t xml:space="preserve">После выбора типа документа откроется окно «Выбор </w:t>
      </w:r>
      <w:r>
        <w:t xml:space="preserve">родительского документа</w:t>
      </w:r>
      <w:r>
        <w:t xml:space="preserve">» </w:t>
      </w:r>
      <w:r>
        <w:t xml:space="preserve">(рис. </w:t>
      </w:r>
      <w:r>
        <w:fldChar w:fldCharType="begin"/>
      </w:r>
      <w:r>
        <w:instrText xml:space="preserve"> REF _Ref387857517 \h </w:instrText>
      </w:r>
      <w:r>
        <w:fldChar w:fldCharType="separate"/>
      </w:r>
      <w:r>
        <w:t xml:space="preserve">14</w:t>
      </w:r>
      <w:r>
        <w:fldChar w:fldCharType="end"/>
      </w:r>
      <w:r>
        <w:t xml:space="preserve">), в котором следует из перечня сформированных документов заданного т</w:t>
      </w:r>
      <w:r>
        <w:t xml:space="preserve">и</w:t>
      </w:r>
      <w:r>
        <w:t xml:space="preserve">па в</w:t>
      </w:r>
      <w:r>
        <w:t xml:space="preserve">ы</w:t>
      </w:r>
      <w:r>
        <w:t xml:space="preserve">брать ну</w:t>
      </w:r>
      <w:r>
        <w:t xml:space="preserve">ж</w:t>
      </w:r>
      <w:r>
        <w:t xml:space="preserve">ный документ.</w:t>
      </w:r>
      <w:r>
        <w:t xml:space="preserve"> </w:t>
      </w:r>
      <w:r/>
    </w:p>
    <w:p>
      <w:pPr>
        <w:pStyle w:val="982"/>
      </w:pPr>
      <w:r>
        <mc:AlternateContent>
          <mc:Choice Requires="wpg">
            <w:drawing>
              <wp:inline xmlns:wp="http://schemas.openxmlformats.org/drawingml/2006/wordprocessingDrawing" distT="0" distB="0" distL="0" distR="0">
                <wp:extent cx="6126480" cy="2743200"/>
                <wp:effectExtent l="0" t="0" r="0" b="0"/>
                <wp:docPr id="6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78"/>
                        <a:stretch/>
                      </pic:blipFill>
                      <pic:spPr bwMode="auto">
                        <a:xfrm>
                          <a:off x="0" y="0"/>
                          <a:ext cx="6126480" cy="27432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 o:spid="_x0000_s68" type="#_x0000_t75" style="mso-wrap-distance-left:0.0pt;mso-wrap-distance-top:0.0pt;mso-wrap-distance-right:0.0pt;mso-wrap-distance-bottom:0.0pt;width:482.4pt;height:216.0pt;" stroked="f">
                <v:path textboxrect="0,0,0,0"/>
                <v:imagedata r:id="rId78" o:title=""/>
              </v:shape>
            </w:pict>
          </mc:Fallback>
        </mc:AlternateContent>
      </w:r>
      <w:r/>
    </w:p>
    <w:p>
      <w:pPr>
        <w:pStyle w:val="983"/>
      </w:pPr>
      <w:r>
        <w:fldChar w:fldCharType="begin"/>
      </w:r>
      <w:r>
        <w:instrText xml:space="preserve"> SEQ Рисунок \* ARABIC </w:instrText>
      </w:r>
      <w:r>
        <w:fldChar w:fldCharType="separate"/>
      </w:r>
      <w:bookmarkStart w:id="311" w:name="_Ref387857517"/>
      <w:r/>
      <w:bookmarkStart w:id="312" w:name="_Toc88819399"/>
      <w:r>
        <w:t xml:space="preserve">14</w:t>
      </w:r>
      <w:bookmarkEnd w:id="311"/>
      <w:r>
        <w:fldChar w:fldCharType="end"/>
      </w:r>
      <w:r>
        <w:t xml:space="preserve">. </w:t>
      </w:r>
      <w:r>
        <w:t xml:space="preserve">Окно «Выбор </w:t>
      </w:r>
      <w:r>
        <w:t xml:space="preserve">родительского документа</w:t>
      </w:r>
      <w:r>
        <w:t xml:space="preserve">» для документов типа «</w:t>
      </w:r>
      <w:r>
        <w:t xml:space="preserve">Сведения </w:t>
      </w:r>
      <w:r>
        <w:t xml:space="preserve">о</w:t>
      </w:r>
      <w:r>
        <w:t xml:space="preserve"> соглашени</w:t>
      </w:r>
      <w:r>
        <w:t xml:space="preserve">и</w:t>
      </w:r>
      <w:r>
        <w:t xml:space="preserve">»</w:t>
      </w:r>
      <w:bookmarkEnd w:id="312"/>
      <w:r/>
      <w:r/>
    </w:p>
    <w:p>
      <w:pPr>
        <w:pStyle w:val="994"/>
      </w:pPr>
      <w:r>
        <w:t xml:space="preserve">В результате поля формы будут заполнены значениями соответствующих полей род</w:t>
      </w:r>
      <w:r>
        <w:t xml:space="preserve">и</w:t>
      </w:r>
      <w:r>
        <w:t xml:space="preserve">тельского документа.</w:t>
      </w:r>
      <w:r/>
    </w:p>
    <w:p>
      <w:pPr>
        <w:pStyle w:val="973"/>
      </w:pPr>
      <w:r>
        <w:t xml:space="preserve">Экранная форма документа</w:t>
      </w:r>
      <w:bookmarkEnd w:id="305"/>
      <w:r/>
      <w:bookmarkEnd w:id="306"/>
      <w:r/>
      <w:bookmarkEnd w:id="307"/>
      <w:r/>
      <w:bookmarkEnd w:id="308"/>
      <w:r/>
      <w:r/>
    </w:p>
    <w:p>
      <w:pPr>
        <w:pStyle w:val="994"/>
      </w:pPr>
      <w:r/>
      <w:bookmarkStart w:id="313" w:name="_Ref341883710"/>
      <w:r>
        <w:t xml:space="preserve">ЭФ документа «Заявка на кассовый расход» представлена на рисунках </w:t>
      </w:r>
      <w:r>
        <w:fldChar w:fldCharType="begin"/>
      </w:r>
      <w:r>
        <w:instrText xml:space="preserve"> REF _Ref230769977 \h  \* MERGEFORMAT </w:instrText>
      </w:r>
      <w:r>
        <w:fldChar w:fldCharType="separate"/>
      </w:r>
      <w:r>
        <w:t xml:space="preserve">15</w:t>
      </w:r>
      <w:r>
        <w:fldChar w:fldCharType="end"/>
      </w:r>
      <w:r>
        <w:t xml:space="preserve">, </w:t>
      </w:r>
      <w:r>
        <w:fldChar w:fldCharType="begin"/>
      </w:r>
      <w:r>
        <w:instrText xml:space="preserve"> REF _Ref230777838 \h  \* MERGEFORMAT </w:instrText>
      </w:r>
      <w:r>
        <w:fldChar w:fldCharType="separate"/>
      </w:r>
      <w:r>
        <w:t xml:space="preserve">17</w:t>
      </w:r>
      <w:r>
        <w:fldChar w:fldCharType="end"/>
      </w:r>
      <w:r>
        <w:t xml:space="preserve"> и </w:t>
      </w:r>
      <w:r>
        <w:fldChar w:fldCharType="begin"/>
      </w:r>
      <w:r>
        <w:instrText xml:space="preserve"> REF _Ref230781595 \h  \* MERGEFORMAT </w:instrText>
      </w:r>
      <w:r>
        <w:fldChar w:fldCharType="separate"/>
      </w:r>
      <w:r>
        <w:t xml:space="preserve">19</w:t>
      </w:r>
      <w:r>
        <w:fldChar w:fldCharType="end"/>
      </w:r>
      <w:r>
        <w:t xml:space="preserve">. </w:t>
      </w:r>
      <w:r>
        <w:t xml:space="preserve">Форма содержит следующие закладки</w:t>
      </w:r>
      <w:r>
        <w:t xml:space="preserve">:</w:t>
      </w:r>
      <w:r/>
    </w:p>
    <w:p>
      <w:pPr>
        <w:pStyle w:val="985"/>
      </w:pPr>
      <w:r>
        <w:t xml:space="preserve">«Заголовок, Раздел 1, 2 (1)»; </w:t>
      </w:r>
      <w:r/>
    </w:p>
    <w:p>
      <w:pPr>
        <w:pStyle w:val="985"/>
      </w:pPr>
      <w:r>
        <w:t xml:space="preserve">«Раздел 3, 4, 5 (2)»;</w:t>
      </w:r>
      <w:r/>
    </w:p>
    <w:p>
      <w:pPr>
        <w:pStyle w:val="985"/>
      </w:pPr>
      <w:r>
        <w:t xml:space="preserve">«Подписи (3)»;</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134100" cy="5113020"/>
                <wp:effectExtent l="0" t="0" r="0" b="0"/>
                <wp:docPr id="7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79"/>
                        <a:stretch/>
                      </pic:blipFill>
                      <pic:spPr bwMode="auto">
                        <a:xfrm>
                          <a:off x="0" y="0"/>
                          <a:ext cx="6134100" cy="51130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 o:spid="_x0000_s69" type="#_x0000_t75" style="mso-wrap-distance-left:0.0pt;mso-wrap-distance-top:0.0pt;mso-wrap-distance-right:0.0pt;mso-wrap-distance-bottom:0.0pt;width:483.0pt;height:402.6pt;" stroked="f">
                <v:path textboxrect="0,0,0,0"/>
                <v:imagedata r:id="rId79" o:title=""/>
              </v:shape>
            </w:pict>
          </mc:Fallback>
        </mc:AlternateContent>
      </w:r>
      <w:r/>
    </w:p>
    <w:p>
      <w:pPr>
        <w:pStyle w:val="983"/>
      </w:pPr>
      <w:r/>
      <w:bookmarkStart w:id="314" w:name="_Ref225232847"/>
      <w:r>
        <w:fldChar w:fldCharType="begin"/>
      </w:r>
      <w:r>
        <w:instrText xml:space="preserve"> SEQ Рисунок \* ARABIC </w:instrText>
      </w:r>
      <w:r>
        <w:fldChar w:fldCharType="separate"/>
      </w:r>
      <w:bookmarkStart w:id="315" w:name="_Ref230769977"/>
      <w:r/>
      <w:bookmarkStart w:id="316" w:name="_Toc88819400"/>
      <w:r>
        <w:t xml:space="preserve">15</w:t>
      </w:r>
      <w:bookmarkEnd w:id="315"/>
      <w:r>
        <w:fldChar w:fldCharType="end"/>
      </w:r>
      <w:r>
        <w:t xml:space="preserve">. ЭФ документа «Заявка на кассовый расход</w:t>
      </w:r>
      <w:r>
        <w:t xml:space="preserve">», закладки «</w:t>
      </w:r>
      <w:r>
        <w:t xml:space="preserve">Заголовок, Раздел 1, 2 (1)»</w:t>
      </w:r>
      <w:bookmarkEnd w:id="314"/>
      <w:r/>
      <w:bookmarkEnd w:id="316"/>
      <w:r/>
      <w:r/>
    </w:p>
    <w:p>
      <w:pPr>
        <w:pStyle w:val="994"/>
      </w:pPr>
      <w:r>
        <w:t xml:space="preserve">Для ручного ввода документа следует на ЭФ документа заполнить поля, доступные для редактирования</w:t>
      </w:r>
      <w:r>
        <w:t xml:space="preserve">. </w:t>
      </w:r>
      <w:r/>
    </w:p>
    <w:p>
      <w:pPr>
        <w:pStyle w:val="994"/>
      </w:pPr>
      <w:r>
        <w:t xml:space="preserve">Перечень </w:t>
      </w:r>
      <w:r>
        <w:t xml:space="preserve">документа «Заявка на кассовый расход», закладки «Заголовок, Раздел 1, 2 (1)»</w:t>
      </w:r>
      <w:r>
        <w:t xml:space="preserve"> </w:t>
      </w:r>
      <w:r>
        <w:t xml:space="preserve">приведен в таблице</w:t>
      </w:r>
      <w:r>
        <w:t xml:space="preserve"> </w:t>
      </w:r>
      <w:r>
        <w:fldChar w:fldCharType="begin"/>
      </w:r>
      <w:r>
        <w:instrText xml:space="preserve"> REF _Ref317611901 \h  \* MERGEFORMAT </w:instrText>
      </w:r>
      <w:r>
        <w:fldChar w:fldCharType="separate"/>
      </w:r>
      <w:r>
        <w:t xml:space="preserve">5</w:t>
      </w:r>
      <w:r>
        <w:fldChar w:fldCharType="end"/>
      </w:r>
      <w:r>
        <w:t xml:space="preserve">.</w:t>
      </w:r>
      <w:r/>
    </w:p>
    <w:p>
      <w:pPr>
        <w:pStyle w:val="993"/>
      </w:pPr>
      <w:r>
        <w:fldChar w:fldCharType="begin"/>
      </w:r>
      <w:r>
        <w:instrText xml:space="preserve"> SEQ Таблица \* ARABIC </w:instrText>
      </w:r>
      <w:r>
        <w:fldChar w:fldCharType="separate"/>
      </w:r>
      <w:bookmarkStart w:id="317" w:name="_Ref317611901"/>
      <w:r/>
      <w:bookmarkStart w:id="318" w:name="_Toc88819191"/>
      <w:r>
        <w:t xml:space="preserve">5</w:t>
      </w:r>
      <w:bookmarkEnd w:id="317"/>
      <w:r>
        <w:fldChar w:fldCharType="end"/>
      </w:r>
      <w:r>
        <w:t xml:space="preserve">. </w:t>
      </w:r>
      <w:r>
        <w:t xml:space="preserve">О</w:t>
      </w:r>
      <w:r>
        <w:t xml:space="preserve">писание полей </w:t>
      </w:r>
      <w:r>
        <w:t xml:space="preserve">документа «Заявка на кассовый расход», закладки «Заголовок, Раздел 1, 2 (1)»</w:t>
      </w:r>
      <w:bookmarkEnd w:id="318"/>
      <w:r/>
      <w:r/>
    </w:p>
    <w:tbl>
      <w:tblPr>
        <w:tblW w:w="5002"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33"/>
        <w:gridCol w:w="7523"/>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144" w:type="pct"/>
            <w:vAlign w:val="center"/>
            <w:textDirection w:val="lrTb"/>
            <w:noWrap w:val="false"/>
          </w:tcPr>
          <w:p>
            <w:pPr>
              <w:pStyle w:val="1006"/>
            </w:pPr>
            <w:r>
              <w:t xml:space="preserve">Наименование поля </w:t>
            </w:r>
            <w:r/>
          </w:p>
        </w:tc>
        <w:tc>
          <w:tcPr>
            <w:shd w:val="clear" w:fill="E6E6E6" w:color="auto"/>
            <w:tcBorders>
              <w:left w:val="single" w:sz="4" w:space="0" w:color="auto"/>
              <w:top w:val="single" w:sz="4" w:space="0" w:color="auto"/>
              <w:right w:val="single" w:sz="4" w:space="0" w:color="auto"/>
              <w:bottom w:val="single" w:sz="4" w:space="0" w:color="auto"/>
            </w:tcBorders>
            <w:tcW w:w="3856" w:type="pct"/>
            <w:vAlign w:val="center"/>
            <w:textDirection w:val="lrTb"/>
            <w:noWrap w:val="false"/>
          </w:tcPr>
          <w:p>
            <w:pPr>
              <w:pStyle w:val="1006"/>
            </w:pPr>
            <w:r>
              <w:t xml:space="preserve">Описание</w:t>
            </w:r>
            <w:r>
              <w:t xml:space="preserve"> поля</w:t>
            </w:r>
            <w:r/>
          </w:p>
        </w:tc>
      </w:tr>
      <w:tr>
        <w:trPr/>
        <w:tc>
          <w:tcPr>
            <w:shd w:val="clear" w:fill="auto" w:color="auto"/>
            <w:tcW w:w="1144" w:type="pct"/>
            <w:textDirection w:val="lrTb"/>
            <w:noWrap w:val="false"/>
          </w:tcPr>
          <w:p>
            <w:pPr>
              <w:pStyle w:val="1005"/>
              <w:ind w:left="57" w:right="57"/>
            </w:pPr>
            <w:r>
              <w:t xml:space="preserve">Номер заявки</w:t>
            </w:r>
            <w:r/>
          </w:p>
        </w:tc>
        <w:tc>
          <w:tcPr>
            <w:shd w:val="clear" w:fill="auto" w:color="auto"/>
            <w:tcW w:w="3856" w:type="pct"/>
            <w:textDirection w:val="lrTb"/>
            <w:noWrap w:val="false"/>
          </w:tcPr>
          <w:p>
            <w:pPr>
              <w:pStyle w:val="1005"/>
              <w:ind w:left="57" w:right="57"/>
            </w:pPr>
            <w:r>
              <w:t xml:space="preserve">Значение вводится вручную.</w:t>
            </w:r>
            <w:r/>
          </w:p>
        </w:tc>
      </w:tr>
      <w:tr>
        <w:trPr/>
        <w:tc>
          <w:tcPr>
            <w:shd w:val="clear" w:fill="auto" w:color="auto"/>
            <w:tcW w:w="1144" w:type="pct"/>
            <w:textDirection w:val="lrTb"/>
            <w:noWrap w:val="false"/>
          </w:tcPr>
          <w:p>
            <w:pPr>
              <w:pStyle w:val="1005"/>
              <w:ind w:left="57" w:right="57"/>
            </w:pPr>
            <w:r>
              <w:t xml:space="preserve">Дата заявки</w:t>
            </w:r>
            <w:r/>
          </w:p>
        </w:tc>
        <w:tc>
          <w:tcPr>
            <w:shd w:val="clear" w:fill="auto" w:color="auto"/>
            <w:tcW w:w="3856" w:type="pct"/>
            <w:textDirection w:val="lrTb"/>
            <w:noWrap w:val="false"/>
          </w:tcPr>
          <w:p>
            <w:pPr>
              <w:pStyle w:val="1005"/>
              <w:ind w:left="57" w:right="57"/>
            </w:pPr>
            <w:r>
              <w:t xml:space="preserve">Значение по умолчанию текущая дата. Может быть изменено пользоват</w:t>
            </w:r>
            <w:r>
              <w:t xml:space="preserve">е</w:t>
            </w:r>
            <w:r>
              <w:t xml:space="preserve">лем вручную или выбором из системного календаря.</w:t>
            </w:r>
            <w:r/>
          </w:p>
        </w:tc>
      </w:tr>
      <w:tr>
        <w:trPr/>
        <w:tc>
          <w:tcPr>
            <w:shd w:val="clear" w:fill="auto" w:color="auto"/>
            <w:tcW w:w="1144" w:type="pct"/>
            <w:textDirection w:val="lrTb"/>
            <w:noWrap w:val="false"/>
          </w:tcPr>
          <w:p>
            <w:pPr>
              <w:pStyle w:val="1005"/>
              <w:ind w:left="57" w:right="57"/>
            </w:pPr>
            <w:r>
              <w:t xml:space="preserve">Статус</w:t>
            </w:r>
            <w:r/>
          </w:p>
        </w:tc>
        <w:tc>
          <w:tcPr>
            <w:shd w:val="clear" w:fill="auto" w:color="auto"/>
            <w:tcW w:w="3856" w:type="pct"/>
            <w:textDirection w:val="lrTb"/>
            <w:noWrap w:val="false"/>
          </w:tcPr>
          <w:p>
            <w:pPr>
              <w:pStyle w:val="1005"/>
              <w:ind w:left="57" w:right="57"/>
            </w:pPr>
            <w:r>
              <w:t xml:space="preserve">Код Бизнес статуса документа.</w:t>
            </w:r>
            <w:r/>
          </w:p>
          <w:p>
            <w:pPr>
              <w:pStyle w:val="1005"/>
              <w:ind w:left="57" w:right="57"/>
            </w:pPr>
            <w:r>
              <w:t xml:space="preserve">Значение заполняется автоматически или передается из OEBS.</w:t>
            </w:r>
            <w:r/>
          </w:p>
        </w:tc>
      </w:tr>
      <w:tr>
        <w:trPr/>
        <w:tc>
          <w:tcPr>
            <w:shd w:val="clear" w:fill="auto" w:color="auto"/>
            <w:tcW w:w="1144" w:type="pct"/>
            <w:textDirection w:val="lrTb"/>
            <w:noWrap w:val="false"/>
          </w:tcPr>
          <w:p>
            <w:pPr>
              <w:pStyle w:val="1005"/>
              <w:ind w:left="57" w:right="57"/>
            </w:pPr>
            <w:r>
              <w:t xml:space="preserve">Отклонение: в вал.</w:t>
            </w:r>
            <w:r/>
          </w:p>
        </w:tc>
        <w:tc>
          <w:tcPr>
            <w:shd w:val="clear" w:fill="auto" w:color="auto"/>
            <w:tcW w:w="3856" w:type="pct"/>
            <w:textDirection w:val="lrTb"/>
            <w:noWrap w:val="false"/>
          </w:tcPr>
          <w:p>
            <w:pPr>
              <w:pStyle w:val="1005"/>
              <w:ind w:left="57" w:right="57"/>
            </w:pPr>
            <w:r>
              <w:t xml:space="preserve">Значение рассчитывается автоматически.</w:t>
            </w:r>
            <w:r/>
          </w:p>
          <w:p>
            <w:pPr>
              <w:pStyle w:val="1005"/>
              <w:ind w:left="57" w:right="57"/>
            </w:pPr>
            <w:r>
              <w:t xml:space="preserve">Значение выводится по модулю.</w:t>
            </w:r>
            <w:r/>
          </w:p>
        </w:tc>
      </w:tr>
      <w:tr>
        <w:trPr/>
        <w:tc>
          <w:tcPr>
            <w:shd w:val="clear" w:fill="auto" w:color="auto"/>
            <w:tcW w:w="1144" w:type="pct"/>
            <w:textDirection w:val="lrTb"/>
            <w:noWrap w:val="false"/>
          </w:tcPr>
          <w:p>
            <w:pPr>
              <w:pStyle w:val="1005"/>
              <w:ind w:left="57" w:right="57"/>
            </w:pPr>
            <w:r>
              <w:t xml:space="preserve">Отклонение: в руб.</w:t>
            </w:r>
            <w:r/>
          </w:p>
        </w:tc>
        <w:tc>
          <w:tcPr>
            <w:shd w:val="clear" w:fill="auto" w:color="auto"/>
            <w:tcW w:w="3856" w:type="pct"/>
            <w:textDirection w:val="lrTb"/>
            <w:noWrap w:val="false"/>
          </w:tcPr>
          <w:p>
            <w:pPr>
              <w:pStyle w:val="1005"/>
              <w:ind w:left="57" w:right="57"/>
            </w:pPr>
            <w:r>
              <w:t xml:space="preserve">Значение рассчитывается автоматически.</w:t>
            </w:r>
            <w:r/>
          </w:p>
          <w:p>
            <w:pPr>
              <w:pStyle w:val="1005"/>
              <w:ind w:left="57" w:right="57"/>
            </w:pPr>
            <w:r>
              <w:t xml:space="preserve">Значение выводится по модулю.</w:t>
            </w:r>
            <w:r/>
          </w:p>
        </w:tc>
      </w:tr>
      <w:tr>
        <w:trPr/>
        <w:tc>
          <w:tcPr>
            <w:shd w:val="clear" w:fill="auto" w:color="auto"/>
            <w:tcW w:w="1144" w:type="pct"/>
            <w:textDirection w:val="lrTb"/>
            <w:noWrap w:val="false"/>
          </w:tcPr>
          <w:p>
            <w:pPr>
              <w:pStyle w:val="1005"/>
              <w:ind w:left="57" w:right="57"/>
            </w:pPr>
            <w:r>
              <w:t xml:space="preserve">Уровень конфиденциальности</w:t>
            </w:r>
            <w:r/>
          </w:p>
        </w:tc>
        <w:tc>
          <w:tcPr>
            <w:shd w:val="clear" w:fill="auto" w:color="auto"/>
            <w:tcW w:w="3856" w:type="pct"/>
            <w:textDirection w:val="lrTb"/>
            <w:noWrap w:val="false"/>
          </w:tcPr>
          <w:p>
            <w:pPr>
              <w:pStyle w:val="1005"/>
              <w:ind w:left="57" w:right="57"/>
            </w:pPr>
            <w:r>
              <w:t xml:space="preserve">Заполняется вручную. По умолчанию не заполнено.</w:t>
            </w:r>
            <w:r/>
          </w:p>
          <w:p>
            <w:pPr>
              <w:pStyle w:val="1005"/>
              <w:ind w:left="57" w:right="57"/>
            </w:pPr>
            <w:r>
              <w:t xml:space="preserve">Заполняется клиентом значением «1» (</w:t>
            </w:r>
            <w:r>
              <w:t xml:space="preserve">ДСП</w:t>
            </w:r>
            <w:r>
              <w:t xml:space="preserve">) или «0» (не секретно).</w:t>
            </w:r>
            <w:r/>
          </w:p>
        </w:tc>
      </w:tr>
      <w:tr>
        <w:trPr/>
        <w:tc>
          <w:tcPr>
            <w:shd w:val="clear" w:fill="auto" w:color="auto"/>
            <w:tcW w:w="1144" w:type="pct"/>
            <w:textDirection w:val="lrTb"/>
            <w:noWrap w:val="false"/>
          </w:tcPr>
          <w:p>
            <w:pPr>
              <w:pStyle w:val="1005"/>
              <w:ind w:left="57" w:right="57"/>
            </w:pPr>
            <w:r>
              <w:t xml:space="preserve">Формировать уведомление</w:t>
            </w:r>
            <w:r/>
          </w:p>
        </w:tc>
        <w:tc>
          <w:tcPr>
            <w:shd w:val="clear" w:fill="auto" w:color="auto"/>
            <w:tcW w:w="3856" w:type="pct"/>
            <w:textDirection w:val="lrTb"/>
            <w:noWrap w:val="false"/>
          </w:tcPr>
          <w:p>
            <w:pPr>
              <w:pStyle w:val="1005"/>
              <w:ind w:left="57" w:right="57"/>
            </w:pPr>
            <w:r>
              <w:t xml:space="preserve">Предназначено для формирования уведомлений в мобильном приложении ФК о результатах обработки документа.</w:t>
            </w:r>
            <w:r/>
          </w:p>
        </w:tc>
      </w:tr>
      <w:tr>
        <w:trPr/>
        <w:tc>
          <w:tcPr>
            <w:shd w:val="clear" w:fill="auto" w:color="auto"/>
            <w:tcW w:w="1144" w:type="pct"/>
            <w:textDirection w:val="lrTb"/>
            <w:noWrap w:val="false"/>
          </w:tcPr>
          <w:p>
            <w:pPr>
              <w:pStyle w:val="1005"/>
              <w:ind w:left="57" w:right="57"/>
            </w:pPr>
            <w:r>
              <w:t xml:space="preserve">Признак ЭДО</w:t>
            </w:r>
            <w:r/>
          </w:p>
        </w:tc>
        <w:tc>
          <w:tcPr>
            <w:shd w:val="clear" w:fill="auto" w:color="auto"/>
            <w:tcW w:w="3856" w:type="pct"/>
            <w:textDirection w:val="lrTb"/>
            <w:noWrap w:val="false"/>
          </w:tcPr>
          <w:p>
            <w:pPr>
              <w:pStyle w:val="1005"/>
              <w:ind w:left="57" w:right="57"/>
            </w:pPr>
            <w:r>
              <w:t xml:space="preserve">Заполняется пользователем вручную.</w:t>
            </w:r>
            <w:r/>
          </w:p>
          <w:p>
            <w:pPr>
              <w:pStyle w:val="1005"/>
              <w:ind w:left="57" w:right="57"/>
            </w:pPr>
            <w:r>
              <w:t xml:space="preserve">Поле доступно для редактирования и просмотра только по настроенной системной константе.</w:t>
            </w:r>
            <w:r/>
          </w:p>
        </w:tc>
      </w:tr>
      <w:tr>
        <w:trPr/>
        <w:tc>
          <w:tcPr>
            <w:gridSpan w:val="2"/>
            <w:shd w:val="clear" w:fill="auto" w:color="auto"/>
            <w:tcW w:w="5000" w:type="pct"/>
            <w:textDirection w:val="lrTb"/>
            <w:noWrap w:val="false"/>
          </w:tcPr>
          <w:p>
            <w:pPr>
              <w:pStyle w:val="1005"/>
              <w:ind w:left="57" w:right="57"/>
            </w:pPr>
            <w:r>
              <w:t xml:space="preserve">Закладка «Заголовок, Раздел 1, 2 (1)»</w:t>
            </w:r>
            <w:r/>
          </w:p>
        </w:tc>
      </w:tr>
      <w:tr>
        <w:trPr/>
        <w:tc>
          <w:tcPr>
            <w:shd w:val="clear" w:fill="auto" w:color="auto"/>
            <w:tcW w:w="1144" w:type="pct"/>
            <w:textDirection w:val="lrTb"/>
            <w:noWrap w:val="false"/>
          </w:tcPr>
          <w:p>
            <w:pPr>
              <w:pStyle w:val="1005"/>
              <w:ind w:left="57" w:right="57"/>
            </w:pPr>
            <w:r>
              <w:t xml:space="preserve">Бюджет</w:t>
            </w:r>
            <w:r/>
          </w:p>
        </w:tc>
        <w:tc>
          <w:tcPr>
            <w:shd w:val="clear" w:fill="auto" w:color="auto"/>
            <w:tcW w:w="3856" w:type="pct"/>
            <w:textDirection w:val="lrTb"/>
            <w:noWrap w:val="false"/>
          </w:tcPr>
          <w:p>
            <w:pPr>
              <w:pStyle w:val="1005"/>
              <w:ind w:left="57" w:right="57"/>
            </w:pPr>
            <w:r>
              <w:t xml:space="preserve">Наименование бюджета.</w:t>
            </w:r>
            <w:r/>
          </w:p>
          <w:p>
            <w:pPr>
              <w:pStyle w:val="1005"/>
              <w:ind w:left="57" w:right="57"/>
            </w:pPr>
            <w:r>
              <w:t xml:space="preserve">Заполняется автоматически полным наименованием актуальной записи спр. «Бюджеты», найденной по коду бюджета = </w:t>
            </w:r>
            <w:r>
              <w:t xml:space="preserve">«</w:t>
            </w:r>
            <w:r>
              <w:t xml:space="preserve">Код бюджета</w:t>
            </w:r>
            <w:r>
              <w:t xml:space="preserve">»</w:t>
            </w:r>
            <w:r>
              <w:t xml:space="preserve">.</w:t>
            </w:r>
            <w:r/>
          </w:p>
          <w:p>
            <w:pPr>
              <w:pStyle w:val="1005"/>
              <w:ind w:left="57" w:right="57"/>
            </w:pPr>
            <w:r>
              <w:t xml:space="preserve">Может быть отредактировано вручную/из справочника бюджетов или подтягивается автоматически при выборе родительского документа. </w:t>
            </w:r>
            <w:r/>
          </w:p>
        </w:tc>
      </w:tr>
      <w:tr>
        <w:trPr/>
        <w:tc>
          <w:tcPr>
            <w:shd w:val="clear" w:fill="auto" w:color="auto"/>
            <w:tcW w:w="1144" w:type="pct"/>
            <w:textDirection w:val="lrTb"/>
            <w:noWrap w:val="false"/>
          </w:tcPr>
          <w:p>
            <w:pPr>
              <w:pStyle w:val="1005"/>
              <w:ind w:left="57" w:right="57"/>
            </w:pPr>
            <w:r>
              <w:t xml:space="preserve">Финансовый орган</w:t>
            </w:r>
            <w:r/>
          </w:p>
        </w:tc>
        <w:tc>
          <w:tcPr>
            <w:shd w:val="clear" w:fill="auto" w:color="auto"/>
            <w:tcW w:w="3856" w:type="pct"/>
            <w:textDirection w:val="lrTb"/>
            <w:noWrap w:val="false"/>
          </w:tcPr>
          <w:p>
            <w:pPr>
              <w:pStyle w:val="1005"/>
              <w:ind w:left="57" w:right="57"/>
            </w:pPr>
            <w:r>
              <w:t xml:space="preserve">Наименование финансового органа.</w:t>
            </w:r>
            <w:r/>
          </w:p>
          <w:p>
            <w:pPr>
              <w:pStyle w:val="1005"/>
              <w:ind w:left="57" w:right="57"/>
            </w:pPr>
            <w:r>
              <w:t xml:space="preserve">Заполняется автоматически полным наименованием по коду финоргана. Может быть отредактировано вручную/из </w:t>
            </w:r>
            <w:r>
              <w:t xml:space="preserve">справочника «Финансовые органы»</w:t>
            </w:r>
            <w:r>
              <w:t xml:space="preserve"> или подтяг</w:t>
            </w:r>
            <w:r>
              <w:t xml:space="preserve">и</w:t>
            </w:r>
            <w:r>
              <w:t xml:space="preserve">вается автоматически при выборе родительского документа. </w:t>
            </w:r>
            <w:r/>
          </w:p>
          <w:p>
            <w:pPr>
              <w:pStyle w:val="1005"/>
              <w:ind w:left="57" w:right="57"/>
            </w:pPr>
            <w:r>
              <w:t xml:space="preserve">Для БУ, АУ (31 л/с) не заполняется.</w:t>
            </w:r>
            <w:r/>
          </w:p>
          <w:p>
            <w:pPr>
              <w:pStyle w:val="1005"/>
              <w:ind w:left="57" w:right="57"/>
            </w:pPr>
            <w:r>
              <w:t xml:space="preserve">Для УБП ТГВБФ и ГВБФ поле не заполняется.</w:t>
            </w:r>
            <w:r/>
          </w:p>
        </w:tc>
      </w:tr>
      <w:tr>
        <w:trPr/>
        <w:tc>
          <w:tcPr>
            <w:shd w:val="clear" w:fill="auto" w:color="auto"/>
            <w:tcW w:w="1144" w:type="pct"/>
            <w:textDirection w:val="lrTb"/>
            <w:noWrap w:val="false"/>
          </w:tcPr>
          <w:p>
            <w:pPr>
              <w:pStyle w:val="1005"/>
              <w:ind w:left="57" w:right="57"/>
            </w:pPr>
            <w:r>
              <w:t xml:space="preserve">П</w:t>
            </w:r>
            <w:r>
              <w:t xml:space="preserve">о ОКПО</w:t>
            </w:r>
            <w:r/>
          </w:p>
        </w:tc>
        <w:tc>
          <w:tcPr>
            <w:shd w:val="clear" w:fill="auto" w:color="auto"/>
            <w:tcW w:w="3856" w:type="pct"/>
            <w:textDirection w:val="lrTb"/>
            <w:noWrap w:val="false"/>
          </w:tcPr>
          <w:p>
            <w:pPr>
              <w:pStyle w:val="1005"/>
              <w:ind w:left="57" w:right="57"/>
            </w:pPr>
            <w:r>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t xml:space="preserve">справочника «Финансовые органы»</w:t>
            </w:r>
            <w:r>
              <w:t xml:space="preserve">. </w:t>
            </w:r>
            <w:r/>
          </w:p>
          <w:p>
            <w:pPr>
              <w:pStyle w:val="1005"/>
              <w:ind w:left="57" w:right="57"/>
            </w:pPr>
            <w:r>
              <w:t xml:space="preserve">Не заполняется, если не заполнено поле «Наименование финансового орг</w:t>
            </w:r>
            <w:r>
              <w:t xml:space="preserve">а</w:t>
            </w:r>
            <w:r>
              <w:t xml:space="preserve">на». Не заполняется для 41 типа ЛС.</w:t>
            </w:r>
            <w:r/>
          </w:p>
        </w:tc>
      </w:tr>
      <w:tr>
        <w:trPr/>
        <w:tc>
          <w:tcPr>
            <w:shd w:val="clear" w:fill="auto" w:color="auto"/>
            <w:tcW w:w="1144" w:type="pct"/>
            <w:textDirection w:val="lrTb"/>
            <w:noWrap w:val="false"/>
          </w:tcPr>
          <w:p>
            <w:pPr>
              <w:pStyle w:val="1005"/>
              <w:ind w:left="57" w:right="57"/>
            </w:pPr>
            <w:r>
              <w:t xml:space="preserve">ГРБС/ГАИФ</w:t>
            </w:r>
            <w:r/>
          </w:p>
        </w:tc>
        <w:tc>
          <w:tcPr>
            <w:shd w:val="clear" w:fill="auto" w:color="auto"/>
            <w:tcW w:w="3856" w:type="pct"/>
            <w:textDirection w:val="lrTb"/>
            <w:noWrap w:val="false"/>
          </w:tcPr>
          <w:p>
            <w:pPr>
              <w:pStyle w:val="1005"/>
              <w:ind w:left="57" w:right="57"/>
            </w:pPr>
            <w:r>
              <w:t xml:space="preserve">При заполнении на АРМ ФО значение поля подтягивается по</w:t>
            </w:r>
            <w:r>
              <w:t xml:space="preserve"> полю</w:t>
            </w:r>
            <w:r>
              <w:t xml:space="preserve"> «Глава по БК» из </w:t>
            </w:r>
            <w:r>
              <w:t xml:space="preserve">справочника «Ведомства»</w:t>
            </w:r>
            <w:r>
              <w:t xml:space="preserve">,</w:t>
            </w:r>
            <w:r>
              <w:t xml:space="preserve"> из поля «Полное наименование» (в рамках ук</w:t>
            </w:r>
            <w:r>
              <w:t xml:space="preserve">а</w:t>
            </w:r>
            <w:r>
              <w:t xml:space="preserve">занного бюджета).</w:t>
            </w:r>
            <w:r/>
          </w:p>
          <w:p>
            <w:pPr>
              <w:pStyle w:val="1005"/>
              <w:ind w:left="57" w:right="57"/>
            </w:pPr>
            <w:r>
              <w:t xml:space="preserve">При выборе пользователем родительского документа значение заполняе</w:t>
            </w:r>
            <w:r>
              <w:t xml:space="preserve">т</w:t>
            </w:r>
            <w:r>
              <w:t xml:space="preserve">ся автоматически из указанного бюджетного обязательства. </w:t>
            </w:r>
            <w:r/>
          </w:p>
          <w:p>
            <w:pPr>
              <w:pStyle w:val="1005"/>
              <w:ind w:left="57" w:right="57"/>
            </w:pPr>
            <w:r>
              <w:t xml:space="preserve">Может быть отредактировано вручную.</w:t>
            </w:r>
            <w:r/>
          </w:p>
          <w:p>
            <w:pPr>
              <w:pStyle w:val="1005"/>
              <w:ind w:left="57" w:right="57"/>
            </w:pPr>
            <w:r>
              <w:t xml:space="preserve">Для БУ, АУ (31 л/с) указывается наименование органа, осуществляющего функции и полномочия учредителя в отношении клиента.</w:t>
            </w:r>
            <w:r/>
          </w:p>
          <w:p>
            <w:pPr>
              <w:pStyle w:val="1005"/>
              <w:ind w:left="57" w:right="57"/>
            </w:pPr>
            <w:r>
              <w:t xml:space="preserve">Поле может не заполняться в соответствии с отдельными указаниями ФК в целях обеспечения режима секретности</w:t>
            </w:r>
            <w:r>
              <w:t xml:space="preserve">.</w:t>
            </w:r>
            <w:r/>
          </w:p>
        </w:tc>
      </w:tr>
      <w:tr>
        <w:trPr/>
        <w:tc>
          <w:tcPr>
            <w:shd w:val="clear" w:fill="auto" w:color="auto"/>
            <w:tcW w:w="1144" w:type="pct"/>
            <w:textDirection w:val="lrTb"/>
            <w:noWrap w:val="false"/>
          </w:tcPr>
          <w:p>
            <w:pPr>
              <w:pStyle w:val="1005"/>
              <w:ind w:left="57" w:right="57"/>
            </w:pPr>
            <w:r>
              <w:t xml:space="preserve">Глава по БК</w:t>
            </w:r>
            <w:r/>
          </w:p>
        </w:tc>
        <w:tc>
          <w:tcPr>
            <w:shd w:val="clear" w:fill="auto" w:color="auto"/>
            <w:tcW w:w="3856" w:type="pct"/>
            <w:textDirection w:val="lrTb"/>
            <w:noWrap w:val="false"/>
          </w:tcPr>
          <w:p>
            <w:pPr>
              <w:pStyle w:val="1005"/>
              <w:ind w:left="57" w:right="57"/>
            </w:pPr>
            <w:r>
              <w:t xml:space="preserve">Значение заполняется автоматически из системной константы </w:t>
            </w:r>
            <w:r>
              <w:t xml:space="preserve">«</w:t>
            </w:r>
            <w:r>
              <w:t xml:space="preserve">Собственный код ведомства</w:t>
            </w:r>
            <w:r>
              <w:t xml:space="preserve">»</w:t>
            </w:r>
            <w:r>
              <w:t xml:space="preserve">.</w:t>
            </w:r>
            <w:r/>
          </w:p>
          <w:p>
            <w:pPr>
              <w:pStyle w:val="1005"/>
              <w:ind w:left="57" w:right="57"/>
            </w:pPr>
            <w:r>
              <w:t xml:space="preserve">При выборе пользователем родительского документа значение заполняется автоматически из указанного бюджетного обязательства.</w:t>
            </w:r>
            <w:r/>
          </w:p>
          <w:p>
            <w:pPr>
              <w:pStyle w:val="1005"/>
              <w:ind w:left="57" w:right="57"/>
            </w:pPr>
            <w:r>
              <w:t xml:space="preserve">Может быть отредактировано вручную, либо выбором из справочника «Ведомства» (с учетом бюджета).</w:t>
            </w:r>
            <w:r/>
          </w:p>
          <w:p>
            <w:pPr>
              <w:pStyle w:val="1005"/>
              <w:ind w:left="57" w:right="57"/>
            </w:pPr>
            <w:r>
              <w:t xml:space="preserve">Поле может не заполняться в соответствии с отдельными указаниями ФК в целях обеспечения режима секретности.</w:t>
            </w:r>
            <w:r/>
          </w:p>
        </w:tc>
      </w:tr>
      <w:tr>
        <w:trPr/>
        <w:tc>
          <w:tcPr>
            <w:shd w:val="clear" w:fill="auto" w:color="auto"/>
            <w:tcW w:w="1144" w:type="pct"/>
            <w:textDirection w:val="lrTb"/>
            <w:noWrap w:val="false"/>
          </w:tcPr>
          <w:p>
            <w:pPr>
              <w:pStyle w:val="1005"/>
              <w:ind w:left="57" w:right="57"/>
            </w:pPr>
            <w:r>
              <w:t xml:space="preserve">П</w:t>
            </w:r>
            <w:r>
              <w:t xml:space="preserve">о Сводному реестру</w:t>
            </w:r>
            <w:r/>
          </w:p>
        </w:tc>
        <w:tc>
          <w:tcPr>
            <w:shd w:val="clear" w:fill="auto" w:color="auto"/>
            <w:tcW w:w="3856" w:type="pct"/>
            <w:textDirection w:val="lrTb"/>
            <w:noWrap w:val="false"/>
          </w:tcPr>
          <w:p>
            <w:pPr>
              <w:pStyle w:val="1005"/>
              <w:ind w:left="57" w:right="57"/>
            </w:pPr>
            <w:r>
              <w:t xml:space="preserve">Может быть изменено пользователем вручную или выбором из справочника СРРПБС:</w:t>
            </w:r>
            <w:r/>
          </w:p>
          <w:p>
            <w:pPr>
              <w:pStyle w:val="1007"/>
            </w:pPr>
            <w:r>
              <w:t xml:space="preserve">кнопка доступна, если значение поля «Признак перехода на СР» = 0;</w:t>
            </w:r>
            <w:r/>
          </w:p>
          <w:p>
            <w:pPr>
              <w:pStyle w:val="1007"/>
            </w:pPr>
            <w:r>
              <w:t xml:space="preserve">кнопка доступна, если значение поля «Признак перехода на СР» = 1; значение поля «по Сводному реестру» в документе заполняется из поля справо</w:t>
            </w:r>
            <w:r>
              <w:t xml:space="preserve">чника = «Код организации по СР»</w:t>
            </w:r>
            <w:r>
              <w:t xml:space="preserve">.</w:t>
            </w:r>
            <w:r/>
          </w:p>
          <w:p>
            <w:pPr>
              <w:pStyle w:val="1005"/>
              <w:ind w:left="57" w:right="57"/>
            </w:pPr>
            <w:r>
              <w:t xml:space="preserve">При выборе пользователем родительского документа значение заполняется автоматически из указанного бюджетного обязательства.</w:t>
            </w:r>
            <w:r/>
          </w:p>
          <w:p>
            <w:pPr>
              <w:pStyle w:val="1005"/>
              <w:ind w:left="57" w:right="57"/>
            </w:pPr>
            <w:r>
              <w:t xml:space="preserve">Может быть изменено вручную.</w:t>
            </w:r>
            <w:r/>
          </w:p>
        </w:tc>
      </w:tr>
      <w:tr>
        <w:trPr/>
        <w:tc>
          <w:tcPr>
            <w:shd w:val="clear" w:fill="auto" w:color="auto"/>
            <w:tcW w:w="1144" w:type="pct"/>
            <w:textDirection w:val="lrTb"/>
            <w:noWrap w:val="false"/>
          </w:tcPr>
          <w:p>
            <w:pPr>
              <w:pStyle w:val="1005"/>
              <w:ind w:left="57" w:right="57"/>
            </w:pPr>
            <w:r>
              <w:t xml:space="preserve">Наименование клиента</w:t>
            </w:r>
            <w:r/>
          </w:p>
        </w:tc>
        <w:tc>
          <w:tcPr>
            <w:shd w:val="clear" w:fill="auto" w:color="auto"/>
            <w:tcW w:w="3856" w:type="pct"/>
            <w:textDirection w:val="lrTb"/>
            <w:noWrap w:val="false"/>
          </w:tcPr>
          <w:p>
            <w:pPr>
              <w:pStyle w:val="1005"/>
              <w:ind w:left="57" w:right="57"/>
            </w:pPr>
            <w:r>
              <w:t xml:space="preserve">При выборе пользователем родительского документа значение заполняется автоматически из указанного бюджетного обязательства.</w:t>
            </w:r>
            <w:r/>
          </w:p>
          <w:p>
            <w:pPr>
              <w:pStyle w:val="1005"/>
              <w:ind w:left="57" w:right="57"/>
            </w:pPr>
            <w:r>
              <w:t xml:space="preserve">Может быть изменено пользователем вручную.</w:t>
            </w:r>
            <w:r/>
          </w:p>
        </w:tc>
      </w:tr>
      <w:tr>
        <w:trPr/>
        <w:tc>
          <w:tcPr>
            <w:shd w:val="clear" w:fill="auto" w:color="auto"/>
            <w:tcW w:w="1144" w:type="pct"/>
            <w:textDirection w:val="lrTb"/>
            <w:noWrap w:val="false"/>
          </w:tcPr>
          <w:p>
            <w:pPr>
              <w:pStyle w:val="1005"/>
              <w:ind w:left="57" w:right="57"/>
            </w:pPr>
            <w:r>
              <w:t xml:space="preserve">Номер лицевого сч</w:t>
            </w:r>
            <w:r>
              <w:t xml:space="preserve">ё</w:t>
            </w:r>
            <w:r>
              <w:t xml:space="preserve">та</w:t>
            </w:r>
            <w:r/>
          </w:p>
        </w:tc>
        <w:tc>
          <w:tcPr>
            <w:shd w:val="clear" w:fill="auto" w:color="auto"/>
            <w:tcW w:w="3856" w:type="pct"/>
            <w:textDirection w:val="lrTb"/>
            <w:noWrap w:val="false"/>
          </w:tcPr>
          <w:p>
            <w:pPr>
              <w:pStyle w:val="1005"/>
              <w:ind w:left="57" w:right="57"/>
            </w:pPr>
            <w:r>
              <w:t xml:space="preserve">На АРМ ФО заполняется вручную, либо выбором значения из </w:t>
            </w:r>
            <w:r>
              <w:t xml:space="preserve">справочника «Информация о ЛС»</w:t>
            </w:r>
            <w:r>
              <w:t xml:space="preserve">.</w:t>
            </w:r>
            <w:r/>
          </w:p>
          <w:p>
            <w:pPr>
              <w:pStyle w:val="1005"/>
              <w:ind w:left="57" w:right="57"/>
            </w:pPr>
            <w:r>
              <w:t xml:space="preserve">При выборе пользователем родительского документа значение заполняется автоматически из указанного бюджетного обязательства</w:t>
            </w:r>
            <w:r>
              <w:t xml:space="preserve">.</w:t>
            </w:r>
            <w:r/>
          </w:p>
          <w:p>
            <w:pPr>
              <w:pStyle w:val="1005"/>
              <w:ind w:left="57" w:right="57"/>
            </w:pPr>
            <w:r>
              <w:t xml:space="preserve">При указании пользователем ссылки на регистрационный номер и дату рег</w:t>
            </w:r>
            <w:r>
              <w:t xml:space="preserve">и</w:t>
            </w:r>
            <w:r>
              <w:t xml:space="preserve">страции значение заполняется автоматически из указанного бюджетного об</w:t>
            </w:r>
            <w:r>
              <w:t xml:space="preserve">я</w:t>
            </w:r>
            <w:r>
              <w:t xml:space="preserve">зательства.</w:t>
            </w:r>
            <w:r/>
          </w:p>
          <w:p>
            <w:pPr>
              <w:pStyle w:val="1005"/>
              <w:ind w:left="57" w:right="57"/>
            </w:pPr>
            <w:r>
              <w:t xml:space="preserve">При указании в поле </w:t>
            </w:r>
            <w:r>
              <w:t xml:space="preserve">«</w:t>
            </w:r>
            <w:r>
              <w:t xml:space="preserve">Лицевой счет</w:t>
            </w:r>
            <w:r>
              <w:t xml:space="preserve">»</w:t>
            </w:r>
            <w:r>
              <w:t xml:space="preserve"> 14 </w:t>
            </w:r>
            <w:r>
              <w:t xml:space="preserve">и 05 типов </w:t>
            </w:r>
            <w:r>
              <w:t xml:space="preserve">ЛС (для 05 ЛС в записи справочника ЛС должн</w:t>
            </w:r>
            <w:r>
              <w:t xml:space="preserve">ы</w:t>
            </w:r>
            <w:r>
              <w:t xml:space="preserve">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t xml:space="preserve">перезаполн</w:t>
            </w:r>
            <w:r>
              <w:t xml:space="preserve">яются</w:t>
            </w:r>
            <w:r>
              <w:t xml:space="preserve"> сл</w:t>
            </w:r>
            <w:r>
              <w:t xml:space="preserve">едующие</w:t>
            </w:r>
            <w:r>
              <w:t xml:space="preserve"> п</w:t>
            </w:r>
            <w:r>
              <w:t xml:space="preserve">о</w:t>
            </w:r>
            <w:r>
              <w:t xml:space="preserve">ля документа:</w:t>
            </w:r>
            <w:r/>
          </w:p>
          <w:p>
            <w:pPr>
              <w:pStyle w:val="1007"/>
            </w:pPr>
            <w:r>
              <w:t xml:space="preserve">код бюджета (код бюджета из </w:t>
            </w:r>
            <w:r>
              <w:t xml:space="preserve">справочника «Информация о ЛС»</w:t>
            </w:r>
            <w:r>
              <w:t xml:space="preserve">);</w:t>
            </w:r>
            <w:r/>
          </w:p>
          <w:p>
            <w:pPr>
              <w:pStyle w:val="1007"/>
            </w:pPr>
            <w:r>
              <w:t xml:space="preserve">бюджет (наименование по коду из </w:t>
            </w:r>
            <w:r>
              <w:t xml:space="preserve">справочника «Бюджеты»</w:t>
            </w:r>
            <w:r>
              <w:t xml:space="preserve">);</w:t>
            </w:r>
            <w:r/>
          </w:p>
          <w:p>
            <w:pPr>
              <w:pStyle w:val="1007"/>
            </w:pPr>
            <w:r>
              <w:t xml:space="preserve">финорган (код) (по коду бюджета из справочника финорганов);</w:t>
            </w:r>
            <w:r/>
          </w:p>
          <w:p>
            <w:pPr>
              <w:pStyle w:val="1007"/>
            </w:pPr>
            <w:r>
              <w:t xml:space="preserve">финорган (наименование) (из справочника финорганов);</w:t>
            </w:r>
            <w:r/>
          </w:p>
          <w:p>
            <w:pPr>
              <w:pStyle w:val="1007"/>
            </w:pPr>
            <w:r>
              <w:t xml:space="preserve">наименование клиента (полное наименование владельца ЛС из </w:t>
            </w:r>
            <w:r>
              <w:t xml:space="preserve">справочн</w:t>
            </w:r>
            <w:r>
              <w:t xml:space="preserve">и</w:t>
            </w:r>
            <w:r>
              <w:t xml:space="preserve">ка «Информация о ЛС»</w:t>
            </w:r>
            <w:r>
              <w:t xml:space="preserve">);</w:t>
            </w:r>
            <w:r/>
          </w:p>
          <w:p>
            <w:pPr>
              <w:pStyle w:val="1007"/>
            </w:pPr>
            <w:r>
              <w:t xml:space="preserve">код по сводному реестру (заполняется только в случае указания федерал</w:t>
            </w:r>
            <w:r>
              <w:t xml:space="preserve">ь</w:t>
            </w:r>
            <w:r>
              <w:t xml:space="preserve">ного бюджета – из </w:t>
            </w:r>
            <w:r>
              <w:t xml:space="preserve">справочника «Информация о ЛС»</w:t>
            </w:r>
            <w:r>
              <w:t xml:space="preserve">);</w:t>
            </w:r>
            <w:r/>
          </w:p>
          <w:p>
            <w:pPr>
              <w:pStyle w:val="1007"/>
            </w:pPr>
            <w:r>
              <w:t xml:space="preserve">глава по БК (ведомство из </w:t>
            </w:r>
            <w:r>
              <w:t xml:space="preserve">справочника «Информация о ЛС»</w:t>
            </w:r>
            <w:r>
              <w:t xml:space="preserve">);</w:t>
            </w:r>
            <w:r/>
          </w:p>
          <w:p>
            <w:pPr>
              <w:pStyle w:val="1007"/>
            </w:pPr>
            <w:r>
              <w:t xml:space="preserve">ГРБС/ГАИФ (наименование из </w:t>
            </w:r>
            <w:r>
              <w:t xml:space="preserve">справочника «Ведомства»</w:t>
            </w:r>
            <w:r>
              <w:t xml:space="preserve">).</w:t>
            </w:r>
            <w:r/>
          </w:p>
        </w:tc>
      </w:tr>
      <w:tr>
        <w:trPr/>
        <w:tc>
          <w:tcPr>
            <w:shd w:val="clear" w:fill="auto" w:color="auto"/>
            <w:tcW w:w="1144" w:type="pct"/>
            <w:textDirection w:val="lrTb"/>
            <w:noWrap w:val="false"/>
          </w:tcPr>
          <w:p>
            <w:pPr>
              <w:pStyle w:val="1005"/>
              <w:ind w:left="57" w:right="57"/>
            </w:pPr>
            <w:r>
              <w:t xml:space="preserve">По КОФК</w:t>
            </w:r>
            <w:r/>
          </w:p>
        </w:tc>
        <w:tc>
          <w:tcPr>
            <w:shd w:val="clear" w:fill="auto" w:color="auto"/>
            <w:tcW w:w="3856" w:type="pct"/>
            <w:textDirection w:val="lrTb"/>
            <w:noWrap w:val="false"/>
          </w:tcPr>
          <w:p>
            <w:pPr>
              <w:pStyle w:val="1005"/>
              <w:ind w:left="57" w:right="57"/>
            </w:pPr>
            <w:r>
              <w:t xml:space="preserve">На</w:t>
            </w:r>
            <w:r>
              <w:t xml:space="preserve"> АРМ </w:t>
            </w:r>
            <w:r>
              <w:t xml:space="preserve">ФО</w:t>
            </w:r>
            <w:r>
              <w:t xml:space="preserve">: проверяется значение константы</w:t>
            </w:r>
            <w:r>
              <w:t xml:space="preserve"> «Код собственного ТОФК»</w:t>
            </w:r>
            <w:r>
              <w:t xml:space="preserve">. Если оно равно ххуу, то по умолчанию проставл</w:t>
            </w:r>
            <w:r>
              <w:t xml:space="preserve">я</w:t>
            </w:r>
            <w:r>
              <w:t xml:space="preserve">ется значение константы код вышестоящего ТОФК равный хх00; если равна хх00, то по умолчанию проставляется значение </w:t>
            </w:r>
            <w:r>
              <w:t xml:space="preserve">«Код собственного ТОФК».</w:t>
            </w:r>
            <w:r/>
          </w:p>
          <w:p>
            <w:pPr>
              <w:pStyle w:val="1005"/>
              <w:ind w:left="57" w:right="57"/>
            </w:pPr>
            <w:r>
              <w:t xml:space="preserve">Может быть изменено пользователем вручную или выбором из справочника КОФК (Органы ФК).</w:t>
            </w:r>
            <w:r/>
          </w:p>
          <w:p>
            <w:pPr>
              <w:pStyle w:val="1005"/>
              <w:ind w:left="57" w:right="57"/>
            </w:pPr>
            <w:r>
              <w:t xml:space="preserve">Значение подтягивается автоматически при выборе родительского документа</w:t>
            </w:r>
            <w:r>
              <w:t xml:space="preserve">.</w:t>
            </w:r>
            <w:r/>
          </w:p>
        </w:tc>
      </w:tr>
      <w:tr>
        <w:trPr/>
        <w:tc>
          <w:tcPr>
            <w:shd w:val="clear" w:fill="auto" w:color="auto"/>
            <w:tcW w:w="1144" w:type="pct"/>
            <w:textDirection w:val="lrTb"/>
            <w:noWrap w:val="false"/>
          </w:tcPr>
          <w:p>
            <w:pPr>
              <w:pStyle w:val="1005"/>
              <w:ind w:left="57" w:right="57"/>
            </w:pPr>
            <w:r>
              <w:t xml:space="preserve">ФК, орган ФК</w:t>
            </w:r>
            <w:r/>
          </w:p>
        </w:tc>
        <w:tc>
          <w:tcPr>
            <w:shd w:val="clear" w:fill="auto" w:color="auto"/>
            <w:tcW w:w="3856" w:type="pct"/>
            <w:textDirection w:val="lrTb"/>
            <w:noWrap w:val="false"/>
          </w:tcPr>
          <w:p>
            <w:pPr>
              <w:pStyle w:val="1005"/>
              <w:ind w:left="57" w:right="57"/>
            </w:pPr>
            <w:r>
              <w:t xml:space="preserve">Значение поля подтягивается по полю «по КОФК» из справочника орг</w:t>
            </w:r>
            <w:r>
              <w:t xml:space="preserve">а</w:t>
            </w:r>
            <w:r>
              <w:t xml:space="preserve">нов ФК из поля «Полное наименование». </w:t>
            </w:r>
            <w:r/>
          </w:p>
          <w:p>
            <w:pPr>
              <w:pStyle w:val="1005"/>
              <w:ind w:left="57" w:right="57"/>
            </w:pPr>
            <w:r>
              <w:t xml:space="preserve">Может быть изменено пользователем вручную.</w:t>
            </w:r>
            <w:r/>
          </w:p>
          <w:p>
            <w:pPr>
              <w:pStyle w:val="1005"/>
              <w:ind w:left="57" w:right="57"/>
            </w:pPr>
            <w:r>
              <w:t xml:space="preserve">Значение подтягивается автоматически при выборе родительского докуме</w:t>
            </w:r>
            <w:r>
              <w:t xml:space="preserve">н</w:t>
            </w:r>
            <w:r>
              <w:t xml:space="preserve">та.</w:t>
            </w:r>
            <w:r/>
          </w:p>
        </w:tc>
      </w:tr>
      <w:tr>
        <w:trPr/>
        <w:tc>
          <w:tcPr>
            <w:shd w:val="clear" w:fill="auto" w:color="auto"/>
            <w:tcW w:w="1144" w:type="pct"/>
            <w:textDirection w:val="lrTb"/>
            <w:noWrap w:val="false"/>
          </w:tcPr>
          <w:p>
            <w:pPr>
              <w:pStyle w:val="1005"/>
              <w:ind w:left="57" w:right="57"/>
            </w:pPr>
            <w:r>
              <w:t xml:space="preserve">Пред. </w:t>
            </w:r>
            <w:r>
              <w:t xml:space="preserve">Д</w:t>
            </w:r>
            <w:r>
              <w:t xml:space="preserve">ата</w:t>
            </w:r>
            <w:r/>
          </w:p>
        </w:tc>
        <w:tc>
          <w:tcPr>
            <w:shd w:val="clear" w:fill="auto" w:color="auto"/>
            <w:tcW w:w="3856" w:type="pct"/>
            <w:textDirection w:val="lrTb"/>
            <w:noWrap w:val="false"/>
          </w:tcPr>
          <w:p>
            <w:pPr>
              <w:pStyle w:val="1005"/>
              <w:ind w:left="57" w:right="57"/>
            </w:pPr>
            <w:r>
              <w:t xml:space="preserve">Может быть изменено пользователем вручную или выбором из системн</w:t>
            </w:r>
            <w:r>
              <w:t xml:space="preserve">о</w:t>
            </w:r>
            <w:r>
              <w:t xml:space="preserve">го календаря.</w:t>
            </w:r>
            <w:r/>
          </w:p>
          <w:p>
            <w:pPr>
              <w:pStyle w:val="1005"/>
              <w:ind w:left="57" w:right="57"/>
            </w:pPr>
            <w:r>
              <w:t xml:space="preserve">Для БУ, АУ (по 31 л/с) не заполняется.</w:t>
            </w:r>
            <w:r/>
          </w:p>
          <w:p>
            <w:pPr>
              <w:pStyle w:val="1005"/>
              <w:ind w:left="57" w:right="57"/>
            </w:pPr>
            <w:r>
              <w:t xml:space="preserve">Для УБП ТГВБФ и ГВБФ поле не заполняется.</w:t>
            </w:r>
            <w:r/>
          </w:p>
        </w:tc>
      </w:tr>
      <w:tr>
        <w:trPr/>
        <w:tc>
          <w:tcPr>
            <w:shd w:val="clear" w:fill="auto" w:color="auto"/>
            <w:tcW w:w="1144" w:type="pct"/>
            <w:textDirection w:val="lrTb"/>
            <w:noWrap w:val="false"/>
          </w:tcPr>
          <w:p>
            <w:pPr>
              <w:pStyle w:val="1005"/>
              <w:ind w:left="57" w:right="57"/>
            </w:pPr>
            <w:r>
              <w:t xml:space="preserve">Код объекта по ФАИП</w:t>
            </w:r>
            <w:r/>
          </w:p>
        </w:tc>
        <w:tc>
          <w:tcPr>
            <w:shd w:val="clear" w:fill="auto" w:color="auto"/>
            <w:tcW w:w="3856" w:type="pct"/>
            <w:textDirection w:val="lrTb"/>
            <w:noWrap w:val="false"/>
          </w:tcPr>
          <w:p>
            <w:pPr>
              <w:pStyle w:val="1005"/>
              <w:ind w:left="57" w:right="57"/>
            </w:pPr>
            <w:r>
              <w:t xml:space="preserve">Заполняется вручную/из справочника ФАИП. </w:t>
            </w:r>
            <w:r/>
          </w:p>
          <w:p>
            <w:pPr>
              <w:pStyle w:val="1005"/>
              <w:ind w:left="57" w:right="57"/>
            </w:pPr>
            <w:r>
              <w:t xml:space="preserve">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r/>
          </w:p>
          <w:p>
            <w:pPr>
              <w:pStyle w:val="1005"/>
              <w:ind w:left="57" w:right="57"/>
            </w:pPr>
            <w:r>
              <w:t xml:space="preserve">Для всех документов, за исключением документов по л/с с кодом 20, 21, 22, 30, 31, 32, 41, возможен</w:t>
            </w:r>
            <w:r>
              <w:t xml:space="preserve"> </w:t>
            </w:r>
            <w:r>
              <w:t xml:space="preserve">выбор значений из справочника «Перечень кодов мероприятий по информатизации».</w:t>
            </w:r>
            <w:r/>
          </w:p>
        </w:tc>
      </w:tr>
      <w:tr>
        <w:trPr/>
        <w:tc>
          <w:tcPr>
            <w:shd w:val="clear" w:fill="auto" w:color="auto"/>
            <w:tcW w:w="1144" w:type="pct"/>
            <w:textDirection w:val="lrTb"/>
            <w:noWrap w:val="false"/>
          </w:tcPr>
          <w:p>
            <w:pPr>
              <w:pStyle w:val="1005"/>
              <w:ind w:left="57" w:right="57"/>
            </w:pPr>
            <w:r>
              <w:t xml:space="preserve">Учетный номер обязательства</w:t>
            </w:r>
            <w:r/>
          </w:p>
        </w:tc>
        <w:tc>
          <w:tcPr>
            <w:shd w:val="clear" w:fill="auto" w:color="auto"/>
            <w:tcW w:w="3856" w:type="pct"/>
            <w:textDirection w:val="lrTb"/>
            <w:noWrap w:val="false"/>
          </w:tcPr>
          <w:p>
            <w:pPr>
              <w:pStyle w:val="1005"/>
              <w:ind w:left="57" w:right="57"/>
            </w:pPr>
            <w:r>
              <w:t xml:space="preserve">Значение может вводиться </w:t>
            </w:r>
            <w:r>
              <w:t xml:space="preserve">вручную или заполнятся автоматически при выборе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r/>
          </w:p>
          <w:p>
            <w:pPr>
              <w:pStyle w:val="1005"/>
              <w:ind w:left="57" w:right="57"/>
            </w:pPr>
            <w:r>
              <w:t xml:space="preserve">В список входят документы следующих типов:</w:t>
            </w:r>
            <w:r/>
          </w:p>
          <w:p>
            <w:pPr>
              <w:pStyle w:val="1007"/>
            </w:pPr>
            <w:r>
              <w:t xml:space="preserve">«Сведения об обязательстве»; </w:t>
            </w:r>
            <w:r/>
          </w:p>
          <w:p>
            <w:pPr>
              <w:pStyle w:val="1007"/>
            </w:pPr>
            <w:r>
              <w:t xml:space="preserve">«Заявка на внесение изменений в обязательство»; </w:t>
            </w:r>
            <w:r/>
          </w:p>
          <w:p>
            <w:pPr>
              <w:pStyle w:val="1007"/>
            </w:pPr>
            <w:r>
              <w:t xml:space="preserve">«Заявка на перерегистрацию БО в очередном финансовом году».</w:t>
            </w:r>
            <w:r/>
          </w:p>
          <w:p>
            <w:pPr>
              <w:pStyle w:val="1005"/>
              <w:ind w:left="57" w:right="57"/>
            </w:pPr>
            <w:r>
              <w:t xml:space="preserve">Для БУ, АУ (31 л/с) не заполняется.</w:t>
            </w:r>
            <w:r/>
          </w:p>
          <w:p>
            <w:pPr>
              <w:pStyle w:val="1005"/>
              <w:ind w:left="57" w:right="57"/>
            </w:pPr>
            <w:r>
              <w:t xml:space="preserve">Значение передается из </w:t>
            </w:r>
            <w:r>
              <w:t xml:space="preserve">OEBS</w:t>
            </w:r>
            <w:r>
              <w:t xml:space="preserve">.</w:t>
            </w:r>
            <w:r/>
          </w:p>
        </w:tc>
      </w:tr>
      <w:tr>
        <w:trPr/>
        <w:tc>
          <w:tcPr>
            <w:shd w:val="clear" w:fill="auto" w:color="auto"/>
            <w:tcW w:w="1144" w:type="pct"/>
            <w:textDirection w:val="lrTb"/>
            <w:noWrap w:val="false"/>
          </w:tcPr>
          <w:p>
            <w:pPr>
              <w:pStyle w:val="1005"/>
              <w:ind w:left="57" w:right="57"/>
            </w:pPr>
            <w:r>
              <w:t xml:space="preserve">Приоритет исполнения (наименование)</w:t>
            </w:r>
            <w:r/>
          </w:p>
        </w:tc>
        <w:tc>
          <w:tcPr>
            <w:shd w:val="clear" w:fill="auto" w:color="auto"/>
            <w:tcW w:w="3856" w:type="pct"/>
            <w:textDirection w:val="lrTb"/>
            <w:noWrap w:val="false"/>
          </w:tcPr>
          <w:p>
            <w:pPr>
              <w:pStyle w:val="1005"/>
              <w:ind w:left="57" w:right="57"/>
            </w:pPr>
            <w:r>
              <w:t xml:space="preserve">Значение вводится вручную.</w:t>
            </w:r>
            <w:r/>
          </w:p>
        </w:tc>
      </w:tr>
      <w:tr>
        <w:trPr/>
        <w:tc>
          <w:tcPr>
            <w:shd w:val="clear" w:fill="auto" w:color="auto"/>
            <w:tcW w:w="1144" w:type="pct"/>
            <w:textDirection w:val="lrTb"/>
            <w:noWrap w:val="false"/>
          </w:tcPr>
          <w:p>
            <w:pPr>
              <w:pStyle w:val="1005"/>
              <w:ind w:left="57" w:right="57"/>
            </w:pPr>
            <w:r>
              <w:t xml:space="preserve">Приоритет заявки</w:t>
            </w:r>
            <w:r/>
          </w:p>
        </w:tc>
        <w:tc>
          <w:tcPr>
            <w:shd w:val="clear" w:fill="auto" w:color="auto"/>
            <w:tcW w:w="3856" w:type="pct"/>
            <w:textDirection w:val="lrTb"/>
            <w:noWrap w:val="false"/>
          </w:tcPr>
          <w:p>
            <w:pPr>
              <w:pStyle w:val="1005"/>
              <w:ind w:left="57" w:right="57"/>
            </w:pPr>
            <w:r>
              <w:t xml:space="preserve">Значение вводится вручную.</w:t>
            </w:r>
            <w:r/>
          </w:p>
        </w:tc>
      </w:tr>
      <w:tr>
        <w:trPr/>
        <w:tc>
          <w:tcPr>
            <w:shd w:val="clear" w:fill="auto" w:color="auto"/>
            <w:tcW w:w="1144" w:type="pct"/>
            <w:textDirection w:val="lrTb"/>
            <w:noWrap w:val="false"/>
          </w:tcPr>
          <w:p>
            <w:pPr>
              <w:pStyle w:val="1005"/>
              <w:ind w:left="57" w:right="57"/>
            </w:pPr>
            <w:r>
              <w:t xml:space="preserve">GUID документа БО</w:t>
            </w:r>
            <w:r/>
          </w:p>
        </w:tc>
        <w:tc>
          <w:tcPr>
            <w:shd w:val="clear" w:fill="auto" w:color="auto"/>
            <w:tcW w:w="3856" w:type="pct"/>
            <w:textDirection w:val="lrTb"/>
            <w:noWrap w:val="false"/>
          </w:tcPr>
          <w:p>
            <w:pPr>
              <w:pStyle w:val="1005"/>
              <w:ind w:left="57" w:right="57"/>
            </w:pPr>
            <w:r>
              <w:t xml:space="preserve">Заполняется при выборе родительского документа «Сведения о БО» гуидом родительского документа, при условии, что в родительском документе не заполнено поле «Учетный номер БО».</w:t>
            </w:r>
            <w:r/>
          </w:p>
          <w:p>
            <w:pPr>
              <w:pStyle w:val="1005"/>
              <w:ind w:left="57" w:right="57"/>
            </w:pPr>
            <w:r>
              <w:t xml:space="preserve">Для БУ, АУ (31 л/с) не заполняется.</w:t>
            </w:r>
            <w:r/>
          </w:p>
        </w:tc>
      </w:tr>
      <w:tr>
        <w:trPr/>
        <w:tc>
          <w:tcPr>
            <w:gridSpan w:val="2"/>
            <w:shd w:val="clear" w:fill="auto" w:color="auto"/>
            <w:tcW w:w="5000" w:type="pct"/>
            <w:textDirection w:val="lrTb"/>
            <w:noWrap w:val="false"/>
          </w:tcPr>
          <w:p>
            <w:pPr>
              <w:pStyle w:val="1005"/>
              <w:ind w:left="57" w:right="57"/>
            </w:pPr>
            <w:r>
              <w:t xml:space="preserve">Группа полей «Раздел 1. Реквизиты документа»</w:t>
            </w:r>
            <w:r/>
          </w:p>
        </w:tc>
      </w:tr>
      <w:tr>
        <w:trPr/>
        <w:tc>
          <w:tcPr>
            <w:shd w:val="clear" w:fill="auto" w:color="auto"/>
            <w:tcW w:w="1144" w:type="pct"/>
            <w:textDirection w:val="lrTb"/>
            <w:noWrap w:val="false"/>
          </w:tcPr>
          <w:p>
            <w:pPr>
              <w:pStyle w:val="1005"/>
              <w:ind w:left="57" w:right="57"/>
            </w:pPr>
            <w:r>
              <w:t xml:space="preserve">Сумма в валюте выплаты</w:t>
            </w:r>
            <w:r/>
          </w:p>
        </w:tc>
        <w:tc>
          <w:tcPr>
            <w:shd w:val="clear" w:fill="auto" w:color="auto"/>
            <w:tcW w:w="3856" w:type="pct"/>
            <w:textDirection w:val="lrTb"/>
            <w:noWrap w:val="false"/>
          </w:tcPr>
          <w:p>
            <w:pPr>
              <w:pStyle w:val="1005"/>
              <w:ind w:left="57" w:right="57"/>
            </w:pPr>
            <w:r>
              <w:t xml:space="preserve">Значение вводится вручную.</w:t>
            </w:r>
            <w:r/>
          </w:p>
        </w:tc>
      </w:tr>
      <w:tr>
        <w:trPr/>
        <w:tc>
          <w:tcPr>
            <w:shd w:val="clear" w:fill="auto" w:color="auto"/>
            <w:tcW w:w="1144" w:type="pct"/>
            <w:textDirection w:val="lrTb"/>
            <w:noWrap w:val="false"/>
          </w:tcPr>
          <w:p>
            <w:pPr>
              <w:pStyle w:val="1005"/>
              <w:ind w:left="57" w:right="57"/>
            </w:pPr>
            <w:r>
              <w:t xml:space="preserve">Код вал. </w:t>
            </w:r>
            <w:r>
              <w:t xml:space="preserve">П</w:t>
            </w:r>
            <w:r>
              <w:t xml:space="preserve">о ОКВ</w:t>
            </w:r>
            <w:r/>
          </w:p>
        </w:tc>
        <w:tc>
          <w:tcPr>
            <w:shd w:val="clear" w:fill="auto" w:color="auto"/>
            <w:tcW w:w="3856" w:type="pct"/>
            <w:textDirection w:val="lrTb"/>
            <w:noWrap w:val="false"/>
          </w:tcPr>
          <w:p>
            <w:pPr>
              <w:pStyle w:val="1005"/>
              <w:ind w:left="57" w:right="57"/>
            </w:pPr>
            <w:r>
              <w:t xml:space="preserve">Код валюты.</w:t>
            </w:r>
            <w:r/>
          </w:p>
          <w:p>
            <w:pPr>
              <w:pStyle w:val="1005"/>
              <w:ind w:left="57" w:right="57"/>
            </w:pPr>
            <w:r>
              <w:t xml:space="preserve">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r/>
          </w:p>
        </w:tc>
      </w:tr>
      <w:tr>
        <w:trPr/>
        <w:tc>
          <w:tcPr>
            <w:shd w:val="clear" w:fill="auto" w:color="auto"/>
            <w:tcW w:w="1144" w:type="pct"/>
            <w:textDirection w:val="lrTb"/>
            <w:noWrap w:val="false"/>
          </w:tcPr>
          <w:p>
            <w:pPr>
              <w:pStyle w:val="1005"/>
              <w:ind w:left="57" w:right="57"/>
            </w:pPr>
            <w:r>
              <w:t xml:space="preserve">Аванс</w:t>
            </w:r>
            <w:r/>
          </w:p>
        </w:tc>
        <w:tc>
          <w:tcPr>
            <w:shd w:val="clear" w:fill="auto" w:color="auto"/>
            <w:tcW w:w="3856" w:type="pct"/>
            <w:textDirection w:val="lrTb"/>
            <w:noWrap w:val="false"/>
          </w:tcPr>
          <w:p>
            <w:pPr>
              <w:pStyle w:val="1005"/>
              <w:ind w:left="57" w:right="57"/>
            </w:pPr>
            <w:r>
              <w:t xml:space="preserve">Чекбокс.</w:t>
            </w:r>
            <w:r/>
          </w:p>
        </w:tc>
      </w:tr>
      <w:tr>
        <w:trPr/>
        <w:tc>
          <w:tcPr>
            <w:shd w:val="clear" w:fill="auto" w:color="auto"/>
            <w:tcW w:w="1144" w:type="pct"/>
            <w:textDirection w:val="lrTb"/>
            <w:noWrap w:val="false"/>
          </w:tcPr>
          <w:p>
            <w:pPr>
              <w:pStyle w:val="1005"/>
              <w:ind w:left="57" w:right="57"/>
            </w:pPr>
            <w:r>
              <w:t xml:space="preserve">Сумма в рублевом э</w:t>
            </w:r>
            <w:r>
              <w:t xml:space="preserve">к</w:t>
            </w:r>
            <w:r>
              <w:t xml:space="preserve">виваленте</w:t>
            </w:r>
            <w:r/>
          </w:p>
        </w:tc>
        <w:tc>
          <w:tcPr>
            <w:shd w:val="clear" w:fill="auto" w:color="auto"/>
            <w:tcW w:w="3856" w:type="pct"/>
            <w:textDirection w:val="lrTb"/>
            <w:noWrap w:val="false"/>
          </w:tcPr>
          <w:p>
            <w:pPr>
              <w:pStyle w:val="1005"/>
              <w:ind w:left="57" w:right="57"/>
            </w:pPr>
            <w:r>
              <w:t xml:space="preserve">Значение вводится вручную.</w:t>
            </w:r>
            <w:r/>
          </w:p>
          <w:p>
            <w:pPr>
              <w:pStyle w:val="1005"/>
              <w:ind w:left="57" w:right="57"/>
            </w:pPr>
            <w:r>
              <w:t xml:space="preserve">По умолчанию проставляется 0.00.</w:t>
            </w:r>
            <w:r/>
          </w:p>
        </w:tc>
      </w:tr>
      <w:tr>
        <w:trPr/>
        <w:tc>
          <w:tcPr>
            <w:shd w:val="clear" w:fill="auto" w:color="auto"/>
            <w:tcW w:w="1144" w:type="pct"/>
            <w:textDirection w:val="lrTb"/>
            <w:noWrap w:val="false"/>
          </w:tcPr>
          <w:p>
            <w:pPr>
              <w:pStyle w:val="1005"/>
              <w:ind w:left="57" w:right="57"/>
            </w:pPr>
            <w:r>
              <w:t xml:space="preserve">Сумма НДС</w:t>
            </w:r>
            <w:r/>
          </w:p>
        </w:tc>
        <w:tc>
          <w:tcPr>
            <w:shd w:val="clear" w:fill="auto" w:color="auto"/>
            <w:tcW w:w="3856" w:type="pct"/>
            <w:textDirection w:val="lrTb"/>
            <w:noWrap w:val="false"/>
          </w:tcPr>
          <w:p>
            <w:pPr>
              <w:pStyle w:val="1005"/>
              <w:ind w:left="57" w:right="57"/>
            </w:pPr>
            <w:r>
              <w:t xml:space="preserve">Значение вводится вручную.</w:t>
            </w:r>
            <w:r/>
          </w:p>
          <w:p>
            <w:pPr>
              <w:pStyle w:val="1005"/>
              <w:ind w:left="57" w:right="57"/>
            </w:pPr>
            <w:r>
              <w:t xml:space="preserve">По умолчанию должно проставляться значение 0.00.</w:t>
            </w:r>
            <w:r/>
          </w:p>
        </w:tc>
      </w:tr>
      <w:tr>
        <w:trPr/>
        <w:tc>
          <w:tcPr>
            <w:shd w:val="clear" w:fill="auto" w:color="auto"/>
            <w:tcW w:w="1144" w:type="pct"/>
            <w:textDirection w:val="lrTb"/>
            <w:noWrap w:val="false"/>
          </w:tcPr>
          <w:p>
            <w:pPr>
              <w:pStyle w:val="1005"/>
              <w:ind w:left="57" w:right="57"/>
            </w:pPr>
            <w:r>
              <w:t xml:space="preserve">Очередность платежа</w:t>
            </w:r>
            <w:r/>
          </w:p>
        </w:tc>
        <w:tc>
          <w:tcPr>
            <w:shd w:val="clear" w:fill="auto" w:color="auto"/>
            <w:tcW w:w="3856" w:type="pct"/>
            <w:textDirection w:val="lrTb"/>
            <w:noWrap w:val="false"/>
          </w:tcPr>
          <w:p>
            <w:pPr>
              <w:pStyle w:val="1005"/>
              <w:ind w:left="57" w:right="57"/>
            </w:pPr>
            <w:r>
              <w:t xml:space="preserve">Очередность платежа.</w:t>
            </w:r>
            <w:r/>
          </w:p>
          <w:p>
            <w:pPr>
              <w:pStyle w:val="1005"/>
              <w:ind w:left="57" w:right="57"/>
            </w:pPr>
            <w:r>
              <w:t xml:space="preserve">З</w:t>
            </w:r>
            <w:r>
              <w:t xml:space="preserve">начение по умолчанию «5». </w:t>
            </w:r>
            <w:r/>
          </w:p>
          <w:p>
            <w:pPr>
              <w:pStyle w:val="1005"/>
              <w:ind w:left="57" w:right="57"/>
            </w:pPr>
            <w:r>
              <w:t xml:space="preserve">Может быть изменено пользователем выбором из выпадающего сп</w:t>
            </w:r>
            <w:r>
              <w:t xml:space="preserve">и</w:t>
            </w:r>
            <w:r>
              <w:t xml:space="preserve">ска: 1, 2, 3, 4, 5.</w:t>
            </w:r>
            <w:r/>
          </w:p>
        </w:tc>
      </w:tr>
      <w:tr>
        <w:trPr/>
        <w:tc>
          <w:tcPr>
            <w:shd w:val="clear" w:fill="auto" w:color="auto"/>
            <w:tcW w:w="1144" w:type="pct"/>
            <w:textDirection w:val="lrTb"/>
            <w:noWrap w:val="false"/>
          </w:tcPr>
          <w:p>
            <w:pPr>
              <w:pStyle w:val="1005"/>
              <w:ind w:left="57" w:right="57"/>
            </w:pPr>
            <w:r>
              <w:t xml:space="preserve">Вид платежа</w:t>
            </w:r>
            <w:r/>
          </w:p>
        </w:tc>
        <w:tc>
          <w:tcPr>
            <w:shd w:val="clear" w:fill="auto" w:color="auto"/>
            <w:tcW w:w="3856" w:type="pct"/>
            <w:textDirection w:val="lrTb"/>
            <w:noWrap w:val="false"/>
          </w:tcPr>
          <w:p>
            <w:pPr>
              <w:pStyle w:val="1005"/>
              <w:ind w:left="57" w:right="57"/>
            </w:pPr>
            <w:r>
              <w:t xml:space="preserve">Вид платежа. </w:t>
            </w:r>
            <w:r/>
          </w:p>
          <w:p>
            <w:pPr>
              <w:pStyle w:val="1005"/>
              <w:ind w:left="57" w:right="57"/>
            </w:pPr>
            <w:r>
              <w:t xml:space="preserve">Для пользователя на статусе «Черновик» доступны значения «»,</w:t>
            </w:r>
            <w:r/>
          </w:p>
          <w:p>
            <w:pPr>
              <w:pStyle w:val="1005"/>
              <w:ind w:left="57" w:right="57"/>
            </w:pPr>
            <w:r>
              <w:t xml:space="preserve">«срочно».</w:t>
            </w:r>
            <w:r/>
          </w:p>
          <w:p>
            <w:pPr>
              <w:pStyle w:val="1005"/>
              <w:ind w:left="57" w:right="57"/>
            </w:pPr>
            <w:r>
              <w:t xml:space="preserve">По умолчанию проставляется пустое значение «».</w:t>
            </w:r>
            <w:r/>
          </w:p>
        </w:tc>
      </w:tr>
      <w:tr>
        <w:trPr/>
        <w:tc>
          <w:tcPr>
            <w:shd w:val="clear" w:fill="auto" w:color="auto"/>
            <w:tcW w:w="1144" w:type="pct"/>
            <w:textDirection w:val="lrTb"/>
            <w:noWrap w:val="false"/>
          </w:tcPr>
          <w:p>
            <w:pPr>
              <w:pStyle w:val="1005"/>
              <w:ind w:left="57" w:right="57"/>
            </w:pPr>
            <w:r>
              <w:t xml:space="preserve">ИПД</w:t>
            </w:r>
            <w:r/>
          </w:p>
        </w:tc>
        <w:tc>
          <w:tcPr>
            <w:shd w:val="clear" w:fill="auto" w:color="auto"/>
            <w:tcW w:w="3856" w:type="pct"/>
            <w:textDirection w:val="lrTb"/>
            <w:noWrap w:val="false"/>
          </w:tcPr>
          <w:p>
            <w:pPr>
              <w:pStyle w:val="1005"/>
              <w:ind w:left="57" w:right="57"/>
            </w:pPr>
            <w:r>
              <w:t xml:space="preserve">Значение вводится вручную.</w:t>
            </w:r>
            <w:r/>
          </w:p>
        </w:tc>
      </w:tr>
      <w:tr>
        <w:trPr/>
        <w:tc>
          <w:tcPr>
            <w:shd w:val="clear" w:fill="auto" w:color="auto"/>
            <w:tcW w:w="1144" w:type="pct"/>
            <w:textDirection w:val="lrTb"/>
            <w:noWrap w:val="false"/>
          </w:tcPr>
          <w:p>
            <w:pPr>
              <w:pStyle w:val="1005"/>
              <w:ind w:left="57" w:right="57"/>
            </w:pPr>
            <w:r>
              <w:t xml:space="preserve">ПРД</w:t>
            </w:r>
            <w:r/>
          </w:p>
        </w:tc>
        <w:tc>
          <w:tcPr>
            <w:shd w:val="clear" w:fill="auto" w:color="auto"/>
            <w:tcW w:w="3856" w:type="pct"/>
            <w:textDirection w:val="lrTb"/>
            <w:noWrap w:val="false"/>
          </w:tcPr>
          <w:p>
            <w:pPr>
              <w:pStyle w:val="1005"/>
              <w:ind w:left="57" w:right="57"/>
            </w:pPr>
            <w:r>
              <w:t xml:space="preserve">Значение вводится вручную.</w:t>
            </w:r>
            <w:r/>
          </w:p>
          <w:p>
            <w:pPr>
              <w:pStyle w:val="1005"/>
              <w:ind w:left="57" w:right="57"/>
            </w:pPr>
            <w:r>
              <w:t xml:space="preserve">Поле обязательно к заполнению, если заполнены поля «ЕЛС» или «ЖКУ».</w:t>
            </w:r>
            <w:r/>
          </w:p>
        </w:tc>
      </w:tr>
      <w:tr>
        <w:trPr/>
        <w:tc>
          <w:tcPr>
            <w:shd w:val="clear" w:fill="auto" w:color="auto"/>
            <w:tcW w:w="1144" w:type="pct"/>
            <w:textDirection w:val="lrTb"/>
            <w:noWrap w:val="false"/>
          </w:tcPr>
          <w:p>
            <w:pPr>
              <w:pStyle w:val="1005"/>
              <w:ind w:left="57" w:right="57"/>
            </w:pPr>
            <w:r>
              <w:t xml:space="preserve">ЕЛС</w:t>
            </w:r>
            <w:r/>
          </w:p>
        </w:tc>
        <w:tc>
          <w:tcPr>
            <w:shd w:val="clear" w:fill="auto" w:color="auto"/>
            <w:tcW w:w="3856" w:type="pct"/>
            <w:textDirection w:val="lrTb"/>
            <w:noWrap w:val="false"/>
          </w:tcPr>
          <w:p>
            <w:pPr>
              <w:pStyle w:val="1005"/>
              <w:ind w:left="57" w:right="57"/>
            </w:pPr>
            <w:r>
              <w:t xml:space="preserve">Значение вводится вручную.</w:t>
            </w:r>
            <w:r/>
          </w:p>
          <w:p>
            <w:pPr>
              <w:pStyle w:val="1005"/>
              <w:ind w:left="57" w:right="57"/>
            </w:pPr>
            <w:r>
              <w:t xml:space="preserve">Поле обязательно для заполнения, если заполнено поле «ПРД» и не заполнено поле «ЖКУ».</w:t>
            </w:r>
            <w:r/>
          </w:p>
        </w:tc>
      </w:tr>
      <w:tr>
        <w:trPr/>
        <w:tc>
          <w:tcPr>
            <w:shd w:val="clear" w:fill="auto" w:color="auto"/>
            <w:tcW w:w="1144" w:type="pct"/>
            <w:textDirection w:val="lrTb"/>
            <w:noWrap w:val="false"/>
          </w:tcPr>
          <w:p>
            <w:pPr>
              <w:pStyle w:val="1005"/>
              <w:ind w:left="57" w:right="57"/>
            </w:pPr>
            <w:r>
              <w:t xml:space="preserve">ЖКУ</w:t>
            </w:r>
            <w:r/>
          </w:p>
        </w:tc>
        <w:tc>
          <w:tcPr>
            <w:shd w:val="clear" w:fill="auto" w:color="auto"/>
            <w:tcW w:w="3856" w:type="pct"/>
            <w:textDirection w:val="lrTb"/>
            <w:noWrap w:val="false"/>
          </w:tcPr>
          <w:p>
            <w:pPr>
              <w:pStyle w:val="1005"/>
              <w:ind w:left="57" w:right="57"/>
            </w:pPr>
            <w:r>
              <w:t xml:space="preserve">Значение вводится вручную.</w:t>
            </w:r>
            <w:r/>
          </w:p>
          <w:p>
            <w:pPr>
              <w:pStyle w:val="1005"/>
              <w:ind w:left="57" w:right="57"/>
            </w:pPr>
            <w:r>
              <w:t xml:space="preserve">Поле обязательно для заполнения, если заполнено поле «ПРД» и не заполнено поле «ЕЛС».</w:t>
            </w:r>
            <w:r/>
          </w:p>
        </w:tc>
      </w:tr>
      <w:tr>
        <w:trPr/>
        <w:tc>
          <w:tcPr>
            <w:shd w:val="clear" w:fill="auto" w:color="auto"/>
            <w:tcW w:w="1144" w:type="pct"/>
            <w:textDirection w:val="lrTb"/>
            <w:noWrap w:val="false"/>
          </w:tcPr>
          <w:p>
            <w:pPr>
              <w:pStyle w:val="1005"/>
              <w:ind w:left="57" w:right="57"/>
            </w:pPr>
            <w:r>
              <w:t xml:space="preserve">Вид дохода </w:t>
            </w:r>
            <w:r/>
          </w:p>
        </w:tc>
        <w:tc>
          <w:tcPr>
            <w:shd w:val="clear" w:fill="auto" w:color="auto"/>
            <w:tcW w:w="3856" w:type="pct"/>
            <w:textDirection w:val="lrTb"/>
            <w:noWrap w:val="false"/>
          </w:tcPr>
          <w:p>
            <w:pPr>
              <w:pStyle w:val="1005"/>
              <w:ind w:left="57" w:right="57"/>
            </w:pPr>
            <w:r>
              <w:t xml:space="preserve">Заполняется автоматически при импорте документа.</w:t>
            </w:r>
            <w:r/>
          </w:p>
          <w:p>
            <w:pPr>
              <w:pStyle w:val="1005"/>
              <w:ind w:left="57" w:right="57"/>
            </w:pPr>
            <w:r>
              <w:t xml:space="preserve">При ручном вводе документа заполняется пользователем путем выбора из списка значений: 1, 2, 3.</w:t>
            </w:r>
            <w:r/>
          </w:p>
        </w:tc>
      </w:tr>
      <w:tr>
        <w:trPr/>
        <w:tc>
          <w:tcPr>
            <w:shd w:val="clear" w:fill="auto" w:color="auto"/>
            <w:tcW w:w="1144" w:type="pct"/>
            <w:textDirection w:val="lrTb"/>
            <w:noWrap w:val="false"/>
          </w:tcPr>
          <w:p>
            <w:pPr>
              <w:pStyle w:val="1005"/>
              <w:ind w:left="57" w:right="57"/>
            </w:pPr>
            <w:r>
              <w:t xml:space="preserve">Назначение платежа</w:t>
            </w:r>
            <w:r/>
          </w:p>
          <w:p>
            <w:pPr>
              <w:pStyle w:val="1005"/>
              <w:ind w:left="57" w:right="57"/>
            </w:pPr>
            <w:r>
              <w:t xml:space="preserve">(Примечание)</w:t>
            </w:r>
            <w:r/>
          </w:p>
        </w:tc>
        <w:tc>
          <w:tcPr>
            <w:shd w:val="clear" w:fill="auto" w:color="auto"/>
            <w:tcW w:w="3856" w:type="pct"/>
            <w:textDirection w:val="lrTb"/>
            <w:noWrap w:val="false"/>
          </w:tcPr>
          <w:p>
            <w:pPr>
              <w:pStyle w:val="1005"/>
              <w:ind w:left="57" w:right="57"/>
            </w:pPr>
            <w:r>
              <w:t xml:space="preserve">Значение вводится вручную или заполняется по шаблону назначений платежа.</w:t>
            </w:r>
            <w:r/>
          </w:p>
          <w:p>
            <w:pPr>
              <w:pStyle w:val="1005"/>
              <w:ind w:left="57" w:right="57"/>
            </w:pPr>
            <w:r>
              <w:t xml:space="preserve">Также возможен выбор назначения платежа из справочника «Справочник соответствия кодов видов расходов основным типовым направлениям выплат». Выбранное значение из справочника добавляется к введенному значению поля «Назначение платежа». </w:t>
            </w:r>
            <w:r/>
          </w:p>
          <w:p>
            <w:pPr>
              <w:pStyle w:val="1005"/>
              <w:ind w:left="57" w:right="57"/>
            </w:pPr>
            <w:r>
              <w:t xml:space="preserve">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r/>
          </w:p>
        </w:tc>
      </w:tr>
      <w:tr>
        <w:trPr/>
        <w:tc>
          <w:tcPr>
            <w:shd w:val="clear" w:fill="auto" w:color="auto"/>
            <w:tcW w:w="1144" w:type="pct"/>
            <w:textDirection w:val="lrTb"/>
            <w:noWrap w:val="false"/>
          </w:tcPr>
          <w:p>
            <w:pPr>
              <w:pStyle w:val="1005"/>
              <w:ind w:left="57" w:right="57"/>
            </w:pPr>
            <w:r>
              <w:t xml:space="preserve">Номер реестровой записи</w:t>
            </w:r>
            <w:r/>
          </w:p>
        </w:tc>
        <w:tc>
          <w:tcPr>
            <w:shd w:val="clear" w:fill="auto" w:color="auto"/>
            <w:tcW w:w="3856" w:type="pct"/>
            <w:textDirection w:val="lrTb"/>
            <w:noWrap w:val="false"/>
          </w:tcPr>
          <w:p>
            <w:pPr>
              <w:pStyle w:val="1005"/>
              <w:ind w:left="57" w:right="57"/>
            </w:pPr>
            <w:r>
              <w:t xml:space="preserve">Заполняется автоматически при импорте документа или вручную.</w:t>
            </w:r>
            <w:r/>
          </w:p>
        </w:tc>
      </w:tr>
      <w:tr>
        <w:trPr/>
        <w:tc>
          <w:tcPr>
            <w:shd w:val="clear" w:fill="auto" w:color="auto"/>
            <w:tcW w:w="1144" w:type="pct"/>
            <w:textDirection w:val="lrTb"/>
            <w:noWrap w:val="false"/>
          </w:tcPr>
          <w:p>
            <w:pPr>
              <w:pStyle w:val="1005"/>
              <w:ind w:left="57" w:right="57"/>
            </w:pPr>
            <w:r>
              <w:t xml:space="preserve">Идентификатор документа о приемке/этапа</w:t>
            </w:r>
            <w:r/>
          </w:p>
        </w:tc>
        <w:tc>
          <w:tcPr>
            <w:shd w:val="clear" w:fill="auto" w:color="auto"/>
            <w:tcW w:w="3856" w:type="pct"/>
            <w:textDirection w:val="lrTb"/>
            <w:noWrap w:val="false"/>
          </w:tcPr>
          <w:p>
            <w:pPr>
              <w:pStyle w:val="1005"/>
              <w:ind w:left="57" w:right="57"/>
            </w:pPr>
            <w:r>
              <w:t xml:space="preserve">Заполняется автоматически при импорте документа или вручную.</w:t>
            </w:r>
            <w:r/>
          </w:p>
        </w:tc>
      </w:tr>
      <w:tr>
        <w:trPr/>
        <w:tc>
          <w:tcPr>
            <w:shd w:val="clear" w:fill="auto" w:color="auto"/>
            <w:tcW w:w="1144" w:type="pct"/>
            <w:textDirection w:val="lrTb"/>
            <w:noWrap w:val="false"/>
          </w:tcPr>
          <w:p>
            <w:pPr>
              <w:pStyle w:val="1005"/>
              <w:ind w:left="57" w:right="57"/>
            </w:pPr>
            <w:r>
              <w:t xml:space="preserve">Вид реестра</w:t>
            </w:r>
            <w:r/>
          </w:p>
        </w:tc>
        <w:tc>
          <w:tcPr>
            <w:shd w:val="clear" w:fill="auto" w:color="auto"/>
            <w:tcW w:w="3856" w:type="pct"/>
            <w:textDirection w:val="lrTb"/>
            <w:noWrap w:val="false"/>
          </w:tcPr>
          <w:p>
            <w:pPr>
              <w:pStyle w:val="1005"/>
              <w:ind w:left="57" w:right="57"/>
            </w:pPr>
            <w:r>
              <w:t xml:space="preserve">При ручном вводе документа заполняется пользователем путем выбора из списка значений:</w:t>
            </w:r>
            <w:r/>
          </w:p>
          <w:p>
            <w:pPr>
              <w:pStyle w:val="1007"/>
            </w:pPr>
            <w:r>
              <w:t xml:space="preserve">01 </w:t>
            </w:r>
            <w:r>
              <w:t xml:space="preserve">–</w:t>
            </w:r>
            <w:r>
              <w:t xml:space="preserve"> Реестр соглашений;</w:t>
            </w:r>
            <w:r/>
          </w:p>
          <w:p>
            <w:pPr>
              <w:pStyle w:val="1007"/>
            </w:pPr>
            <w:r>
              <w:t xml:space="preserve">02 </w:t>
            </w:r>
            <w:r>
              <w:t xml:space="preserve">–</w:t>
            </w:r>
            <w:r>
              <w:t xml:space="preserve"> Реестр контрактов (открытый); </w:t>
            </w:r>
            <w:r/>
          </w:p>
          <w:p>
            <w:pPr>
              <w:pStyle w:val="1007"/>
            </w:pPr>
            <w:r>
              <w:t xml:space="preserve">03 </w:t>
            </w:r>
            <w:r>
              <w:t xml:space="preserve">–</w:t>
            </w:r>
            <w:r>
              <w:t xml:space="preserve"> Реестр контрактов (закрытый).</w:t>
            </w:r>
            <w:r/>
          </w:p>
        </w:tc>
      </w:tr>
      <w:tr>
        <w:trPr/>
        <w:tc>
          <w:tcPr>
            <w:gridSpan w:val="2"/>
            <w:shd w:val="clear" w:fill="auto" w:color="auto"/>
            <w:tcW w:w="5000" w:type="pct"/>
            <w:textDirection w:val="lrTb"/>
            <w:noWrap w:val="false"/>
          </w:tcPr>
          <w:p>
            <w:pPr>
              <w:pStyle w:val="1005"/>
              <w:ind w:left="57" w:right="57"/>
            </w:pPr>
            <w:r>
              <w:t xml:space="preserve">Группа полей «Раздел 2. Реквизиты документа-основания (табличное поле)»</w:t>
            </w:r>
            <w:r/>
          </w:p>
        </w:tc>
      </w:tr>
      <w:tr>
        <w:trPr/>
        <w:tc>
          <w:tcPr>
            <w:shd w:val="clear" w:fill="auto" w:color="auto"/>
            <w:tcW w:w="1144" w:type="pct"/>
            <w:textDirection w:val="lrTb"/>
            <w:noWrap w:val="false"/>
          </w:tcPr>
          <w:p>
            <w:pPr>
              <w:pStyle w:val="1005"/>
              <w:ind w:left="57" w:right="57"/>
            </w:pPr>
            <w:r>
              <w:t xml:space="preserve">Вид</w:t>
            </w:r>
            <w:r/>
          </w:p>
        </w:tc>
        <w:tc>
          <w:tcPr>
            <w:shd w:val="clear" w:fill="auto" w:color="auto"/>
            <w:tcW w:w="3856" w:type="pct"/>
            <w:textDirection w:val="lrTb"/>
            <w:noWrap w:val="false"/>
          </w:tcPr>
          <w:p>
            <w:pPr>
              <w:pStyle w:val="1005"/>
              <w:ind w:left="57" w:right="57"/>
            </w:pPr>
            <w:r>
              <w:t xml:space="preserve">Значение вводится вручную.</w:t>
            </w:r>
            <w:r/>
          </w:p>
        </w:tc>
      </w:tr>
      <w:tr>
        <w:trPr/>
        <w:tc>
          <w:tcPr>
            <w:shd w:val="clear" w:fill="auto" w:color="auto"/>
            <w:tcW w:w="1144" w:type="pct"/>
            <w:textDirection w:val="lrTb"/>
            <w:noWrap w:val="false"/>
          </w:tcPr>
          <w:p>
            <w:pPr>
              <w:pStyle w:val="1005"/>
              <w:ind w:left="57" w:right="57"/>
            </w:pPr>
            <w:r>
              <w:t xml:space="preserve">Номер</w:t>
            </w:r>
            <w:r/>
          </w:p>
        </w:tc>
        <w:tc>
          <w:tcPr>
            <w:shd w:val="clear" w:fill="auto" w:color="auto"/>
            <w:tcW w:w="3856" w:type="pct"/>
            <w:textDirection w:val="lrTb"/>
            <w:noWrap w:val="false"/>
          </w:tcPr>
          <w:p>
            <w:pPr>
              <w:pStyle w:val="1005"/>
              <w:ind w:left="57" w:right="57"/>
            </w:pPr>
            <w:r>
              <w:t xml:space="preserve">Значение вводится вручную.</w:t>
            </w:r>
            <w:r/>
          </w:p>
        </w:tc>
      </w:tr>
      <w:tr>
        <w:trPr/>
        <w:tc>
          <w:tcPr>
            <w:shd w:val="clear" w:fill="auto" w:color="auto"/>
            <w:tcW w:w="1144" w:type="pct"/>
            <w:textDirection w:val="lrTb"/>
            <w:noWrap w:val="false"/>
          </w:tcPr>
          <w:p>
            <w:pPr>
              <w:pStyle w:val="1005"/>
              <w:ind w:left="57" w:right="57"/>
            </w:pPr>
            <w:r>
              <w:t xml:space="preserve">Дата</w:t>
            </w:r>
            <w:r/>
          </w:p>
        </w:tc>
        <w:tc>
          <w:tcPr>
            <w:shd w:val="clear" w:fill="auto" w:color="auto"/>
            <w:tcW w:w="3856" w:type="pct"/>
            <w:textDirection w:val="lrTb"/>
            <w:noWrap w:val="false"/>
          </w:tcPr>
          <w:p>
            <w:pPr>
              <w:pStyle w:val="1005"/>
              <w:ind w:left="57" w:right="57"/>
            </w:pPr>
            <w:r>
              <w:t xml:space="preserve">Значение вводится вручную или выбирается из системного календаря.</w:t>
            </w:r>
            <w:r/>
          </w:p>
        </w:tc>
      </w:tr>
      <w:tr>
        <w:trPr/>
        <w:tc>
          <w:tcPr>
            <w:shd w:val="clear" w:fill="auto" w:color="auto"/>
            <w:tcW w:w="1144" w:type="pct"/>
            <w:textDirection w:val="lrTb"/>
            <w:noWrap w:val="false"/>
          </w:tcPr>
          <w:p>
            <w:pPr>
              <w:pStyle w:val="1005"/>
              <w:ind w:left="57" w:right="57"/>
            </w:pPr>
            <w:r>
              <w:t xml:space="preserve">Предмет</w:t>
            </w:r>
            <w:r/>
          </w:p>
        </w:tc>
        <w:tc>
          <w:tcPr>
            <w:shd w:val="clear" w:fill="auto" w:color="auto"/>
            <w:tcW w:w="3856" w:type="pct"/>
            <w:textDirection w:val="lrTb"/>
            <w:noWrap w:val="false"/>
          </w:tcPr>
          <w:p>
            <w:pPr>
              <w:pStyle w:val="1005"/>
              <w:ind w:left="57" w:right="57"/>
            </w:pPr>
            <w:r>
              <w:t xml:space="preserve">Значение вводится вручную.</w:t>
            </w:r>
            <w:r/>
          </w:p>
        </w:tc>
      </w:tr>
    </w:tbl>
    <w:p>
      <w:pPr>
        <w:pStyle w:val="994"/>
      </w:pPr>
      <w:r>
        <w:t xml:space="preserve">Табличный блок «Раздел 2. Реквизиты документа основания» закладк</w:t>
      </w:r>
      <w:r>
        <w:t xml:space="preserve">и «Заголовок, Раздел 1, 2» (см.</w:t>
      </w:r>
      <w:r>
        <w:t xml:space="preserve"> </w:t>
      </w:r>
      <w:r>
        <w:t xml:space="preserve">рис. </w:t>
      </w:r>
      <w:r>
        <w:fldChar w:fldCharType="begin"/>
      </w:r>
      <w:r>
        <w:instrText xml:space="preserve"> REF _Ref230769977 \h  \* MERGEFORMAT </w:instrText>
      </w:r>
      <w:r>
        <w:fldChar w:fldCharType="separate"/>
      </w:r>
      <w:r>
        <w:t xml:space="preserve">15</w:t>
      </w:r>
      <w:r>
        <w:fldChar w:fldCharType="end"/>
      </w:r>
      <w:r>
        <w:t xml:space="preserve">) содержит строки реквизитов документа-основания, приведенные в таблице </w:t>
      </w:r>
      <w:r>
        <w:fldChar w:fldCharType="begin"/>
      </w:r>
      <w:r>
        <w:instrText xml:space="preserve"> REF _Ref317611901 \h  \* MERGEFORMAT </w:instrText>
      </w:r>
      <w:r>
        <w:fldChar w:fldCharType="separate"/>
      </w:r>
      <w:r>
        <w:t xml:space="preserve">5</w:t>
      </w:r>
      <w:r>
        <w:fldChar w:fldCharType="end"/>
      </w:r>
      <w:r>
        <w:t xml:space="preserve">. Для заполнения полей и добавления записи в таблицу Раздела 2 следует нажать на кнопку </w:t>
      </w:r>
      <w:r>
        <mc:AlternateContent>
          <mc:Choice Requires="wpg">
            <w:drawing>
              <wp:inline xmlns:wp="http://schemas.openxmlformats.org/drawingml/2006/wordprocessingDrawing" distT="0" distB="0" distL="0" distR="0">
                <wp:extent cx="274320" cy="274320"/>
                <wp:effectExtent l="0" t="0" r="0" b="0"/>
                <wp:docPr id="7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 o:spid="_x0000_s70" type="#_x0000_t75" style="mso-wrap-distance-left:0.0pt;mso-wrap-distance-top:0.0pt;mso-wrap-distance-right:0.0pt;mso-wrap-distance-bottom:0.0pt;width:21.6pt;height:21.6pt;" stroked="f">
                <v:path textboxrect="0,0,0,0"/>
                <v:imagedata r:id="rId80" o:title=""/>
              </v:shape>
            </w:pict>
          </mc:Fallback>
        </mc:AlternateContent>
      </w:r>
      <w:r>
        <w:t xml:space="preserve"> </w:t>
      </w:r>
      <w:r>
        <w:t xml:space="preserve">(Добавить новую строку)</w:t>
      </w:r>
      <w:r>
        <w:t xml:space="preserve">. Открое</w:t>
      </w:r>
      <w:r>
        <w:t xml:space="preserve">тся форма «Добавление записи»</w:t>
      </w:r>
      <w:r>
        <w:t xml:space="preserve"> (рис. </w:t>
      </w:r>
      <w:r>
        <w:fldChar w:fldCharType="begin"/>
      </w:r>
      <w:r>
        <w:instrText xml:space="preserve"> REF _Ref249173566 \h  \* MERGEFORMAT </w:instrText>
      </w:r>
      <w:r>
        <w:fldChar w:fldCharType="separate"/>
      </w:r>
      <w:r>
        <w:t xml:space="preserve">16</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1463040"/>
                <wp:effectExtent l="0" t="0" r="0" b="0"/>
                <wp:docPr id="7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1"/>
                        <a:stretch/>
                      </pic:blipFill>
                      <pic:spPr bwMode="auto">
                        <a:xfrm>
                          <a:off x="0" y="0"/>
                          <a:ext cx="6126480" cy="14630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 o:spid="_x0000_s71" type="#_x0000_t75" style="mso-wrap-distance-left:0.0pt;mso-wrap-distance-top:0.0pt;mso-wrap-distance-right:0.0pt;mso-wrap-distance-bottom:0.0pt;width:482.4pt;height:115.2pt;" stroked="f">
                <v:path textboxrect="0,0,0,0"/>
                <v:imagedata r:id="rId81" o:title=""/>
              </v:shape>
            </w:pict>
          </mc:Fallback>
        </mc:AlternateContent>
      </w:r>
      <w:r/>
    </w:p>
    <w:p>
      <w:pPr>
        <w:pStyle w:val="983"/>
      </w:pPr>
      <w:r>
        <w:fldChar w:fldCharType="begin"/>
      </w:r>
      <w:r>
        <w:instrText xml:space="preserve"> SEQ Рисунок \* ARABIC </w:instrText>
      </w:r>
      <w:r>
        <w:fldChar w:fldCharType="separate"/>
      </w:r>
      <w:bookmarkStart w:id="319" w:name="_Ref249173566"/>
      <w:r/>
      <w:bookmarkStart w:id="320" w:name="_Toc88819401"/>
      <w:r>
        <w:t xml:space="preserve">16</w:t>
      </w:r>
      <w:bookmarkEnd w:id="319"/>
      <w:r>
        <w:fldChar w:fldCharType="end"/>
      </w:r>
      <w:r>
        <w:t xml:space="preserve">. </w:t>
      </w:r>
      <w:r>
        <w:t xml:space="preserve">Форма «Добавление записи»</w:t>
      </w:r>
      <w:bookmarkEnd w:id="320"/>
      <w:r/>
      <w:r/>
    </w:p>
    <w:p>
      <w:pPr>
        <w:pStyle w:val="994"/>
      </w:pPr>
      <w:r>
        <w:t xml:space="preserve">На форме «Добавление записи» вручную заполняются следующие поля:</w:t>
      </w:r>
      <w:r/>
    </w:p>
    <w:p>
      <w:pPr>
        <w:pStyle w:val="985"/>
      </w:pPr>
      <w:r>
        <w:t xml:space="preserve">«Вид» – вид</w:t>
      </w:r>
      <w:r>
        <w:t xml:space="preserve"> документа-основания (договора);</w:t>
      </w:r>
      <w:r/>
    </w:p>
    <w:p>
      <w:pPr>
        <w:pStyle w:val="985"/>
      </w:pPr>
      <w:r>
        <w:t xml:space="preserve">«Ном</w:t>
      </w:r>
      <w:r>
        <w:t xml:space="preserve">ер» – номер документа-основания;</w:t>
      </w:r>
      <w:r/>
    </w:p>
    <w:p>
      <w:pPr>
        <w:pStyle w:val="985"/>
      </w:pPr>
      <w:r>
        <w:t xml:space="preserve">«Дата» – дата документа-основания</w:t>
      </w:r>
      <w:r>
        <w:t xml:space="preserve">; в</w:t>
      </w:r>
      <w:r>
        <w:t xml:space="preserve">озможен выбор</w:t>
      </w:r>
      <w:r>
        <w:t xml:space="preserve"> значения из системного к</w:t>
      </w:r>
      <w:r>
        <w:t xml:space="preserve">а</w:t>
      </w:r>
      <w:r>
        <w:t xml:space="preserve">лендаря;</w:t>
      </w:r>
      <w:r/>
    </w:p>
    <w:p>
      <w:pPr>
        <w:pStyle w:val="985"/>
      </w:pPr>
      <w:r>
        <w:t xml:space="preserve">«Предмет» – предмет договора.</w:t>
      </w:r>
      <w:r/>
    </w:p>
    <w:p>
      <w:pPr>
        <w:pStyle w:val="994"/>
      </w:pPr>
      <w:r>
        <w:t xml:space="preserve">ЭФ документа «Заявка на кассовый расход», закладки «Раздел 3, 4, 5 (2)»</w:t>
      </w:r>
      <w:r>
        <w:t xml:space="preserve"> представлена н</w:t>
      </w:r>
      <w:r>
        <w:t xml:space="preserve">а рисунке</w:t>
      </w:r>
      <w:r>
        <w:t xml:space="preserve"> </w:t>
      </w:r>
      <w:r>
        <w:fldChar w:fldCharType="begin"/>
      </w:r>
      <w:r>
        <w:instrText xml:space="preserve"> REF _Ref230777838 \h  \* MERGEFORMAT </w:instrText>
      </w:r>
      <w:r>
        <w:fldChar w:fldCharType="separate"/>
      </w:r>
      <w:r>
        <w:t xml:space="preserve">17</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383280"/>
                <wp:effectExtent l="0" t="0" r="0" b="0"/>
                <wp:docPr id="7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2"/>
                        <a:stretch/>
                      </pic:blipFill>
                      <pic:spPr bwMode="auto">
                        <a:xfrm>
                          <a:off x="0" y="0"/>
                          <a:ext cx="6126480" cy="33832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 o:spid="_x0000_s72" type="#_x0000_t75" style="mso-wrap-distance-left:0.0pt;mso-wrap-distance-top:0.0pt;mso-wrap-distance-right:0.0pt;mso-wrap-distance-bottom:0.0pt;width:482.4pt;height:266.4pt;" stroked="f">
                <v:path textboxrect="0,0,0,0"/>
                <v:imagedata r:id="rId82" o:title=""/>
              </v:shape>
            </w:pict>
          </mc:Fallback>
        </mc:AlternateContent>
      </w:r>
      <w:r/>
    </w:p>
    <w:p>
      <w:pPr>
        <w:pStyle w:val="983"/>
      </w:pPr>
      <w:r>
        <w:fldChar w:fldCharType="begin"/>
      </w:r>
      <w:r>
        <w:instrText xml:space="preserve"> SEQ Рисунок \* ARABIC </w:instrText>
      </w:r>
      <w:r>
        <w:fldChar w:fldCharType="separate"/>
      </w:r>
      <w:bookmarkStart w:id="321" w:name="_Ref230777838"/>
      <w:r/>
      <w:bookmarkStart w:id="322" w:name="_Toc88819402"/>
      <w:r>
        <w:t xml:space="preserve">17</w:t>
      </w:r>
      <w:bookmarkEnd w:id="321"/>
      <w:r>
        <w:fldChar w:fldCharType="end"/>
      </w:r>
      <w:r>
        <w:t xml:space="preserve">. ЭФ документа «Заявка на кассовый расход</w:t>
      </w:r>
      <w:r>
        <w:t xml:space="preserve">», закладки «</w:t>
      </w:r>
      <w:r>
        <w:t xml:space="preserve">Раздел 3, 4, 5 (2)»</w:t>
      </w:r>
      <w:bookmarkEnd w:id="322"/>
      <w:r/>
      <w:r/>
    </w:p>
    <w:p>
      <w:pPr>
        <w:pStyle w:val="994"/>
      </w:pPr>
      <w:r>
        <w:t xml:space="preserve">Перечень </w:t>
      </w:r>
      <w:r>
        <w:t xml:space="preserve">полей заклад</w:t>
      </w:r>
      <w:r>
        <w:t xml:space="preserve"> документа «Заявка на кассовый расход», закладки «Раздел 3, 4, 5 (2)»</w:t>
      </w:r>
      <w:r>
        <w:t xml:space="preserve"> приведен </w:t>
      </w:r>
      <w:r>
        <w:t xml:space="preserve">в таблице</w:t>
      </w:r>
      <w:r>
        <w:t xml:space="preserve"> </w:t>
      </w:r>
      <w:r>
        <w:fldChar w:fldCharType="begin"/>
      </w:r>
      <w:r>
        <w:instrText xml:space="preserve"> REF _Ref319496057 \h  \* MERGEFORMAT </w:instrText>
      </w:r>
      <w:r>
        <w:fldChar w:fldCharType="separate"/>
      </w:r>
      <w:r>
        <w:t xml:space="preserve">6</w:t>
      </w:r>
      <w:r>
        <w:fldChar w:fldCharType="end"/>
      </w:r>
      <w:r>
        <w:t xml:space="preserve">.</w:t>
      </w:r>
      <w:r/>
    </w:p>
    <w:p>
      <w:pPr>
        <w:pStyle w:val="993"/>
      </w:pPr>
      <w:r>
        <w:fldChar w:fldCharType="begin"/>
      </w:r>
      <w:r>
        <w:instrText xml:space="preserve"> SEQ Таблица \* ARABIC </w:instrText>
      </w:r>
      <w:r>
        <w:fldChar w:fldCharType="separate"/>
      </w:r>
      <w:bookmarkStart w:id="323" w:name="_Ref319496057"/>
      <w:r/>
      <w:bookmarkStart w:id="324" w:name="_Toc88819192"/>
      <w:r>
        <w:t xml:space="preserve">6</w:t>
      </w:r>
      <w:bookmarkEnd w:id="323"/>
      <w:r>
        <w:fldChar w:fldCharType="end"/>
      </w:r>
      <w:r>
        <w:t xml:space="preserve">. </w:t>
      </w:r>
      <w:r>
        <w:t xml:space="preserve">О</w:t>
      </w:r>
      <w:r>
        <w:t xml:space="preserve">писание полей </w:t>
      </w:r>
      <w:r>
        <w:t xml:space="preserve">документа «Заявка на кассовый расход», закладки «Раздел 3, 4, 5 (2)»</w:t>
      </w:r>
      <w:bookmarkEnd w:id="324"/>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588"/>
        <w:gridCol w:w="7164"/>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268"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32"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rPr>
                <w:rStyle w:val="1001"/>
              </w:rPr>
            </w:pPr>
            <w:r>
              <w:t xml:space="preserve">Группа полей </w:t>
            </w:r>
            <w:r>
              <w:t xml:space="preserve">«</w:t>
            </w:r>
            <w:r>
              <w:t xml:space="preserve">Раздел 3. Реквизиты контрагента</w:t>
            </w:r>
            <w:r>
              <w:t xml:space="preserve">»</w:t>
            </w:r>
            <w:r/>
          </w:p>
        </w:tc>
      </w:tr>
      <w:tr>
        <w:trPr/>
        <w:tc>
          <w:tcPr>
            <w:shd w:val="clear" w:fill="auto" w:color="auto"/>
            <w:tcW w:w="1268" w:type="pct"/>
            <w:textDirection w:val="lrTb"/>
            <w:noWrap w:val="false"/>
          </w:tcPr>
          <w:p>
            <w:pPr>
              <w:pStyle w:val="1005"/>
              <w:ind w:left="57" w:right="57"/>
            </w:pPr>
            <w:r>
              <w:t xml:space="preserve">Наименование</w:t>
            </w:r>
            <w:r/>
          </w:p>
        </w:tc>
        <w:tc>
          <w:tcPr>
            <w:shd w:val="clear" w:fill="auto" w:color="auto"/>
            <w:tcW w:w="3732" w:type="pct"/>
            <w:textDirection w:val="lrTb"/>
            <w:noWrap w:val="false"/>
          </w:tcPr>
          <w:p>
            <w:pPr>
              <w:pStyle w:val="1005"/>
              <w:ind w:left="57" w:right="57"/>
            </w:pPr>
            <w:r>
              <w:t xml:space="preserve">Значение вводится вручную или выбирается из справочника поставщ</w:t>
            </w:r>
            <w:r>
              <w:t xml:space="preserve">иков.</w:t>
            </w:r>
            <w:r/>
          </w:p>
          <w:p>
            <w:pPr>
              <w:pStyle w:val="1005"/>
              <w:ind w:left="57" w:right="57"/>
            </w:pPr>
            <w:r>
              <w:t xml:space="preserve">При выборе пользователем родительского документа, значение подтяг</w:t>
            </w:r>
            <w:r>
              <w:t xml:space="preserve">и</w:t>
            </w:r>
            <w:r>
              <w:t xml:space="preserve">в</w:t>
            </w:r>
            <w:r>
              <w:t xml:space="preserve">а</w:t>
            </w:r>
            <w:r>
              <w:t xml:space="preserve">ется автоматически из указанного бюджетного обязательства.</w:t>
            </w:r>
            <w:r/>
          </w:p>
        </w:tc>
      </w:tr>
      <w:tr>
        <w:trPr/>
        <w:tc>
          <w:tcPr>
            <w:shd w:val="clear" w:fill="auto" w:color="auto"/>
            <w:tcW w:w="1268" w:type="pct"/>
            <w:textDirection w:val="lrTb"/>
            <w:noWrap w:val="false"/>
          </w:tcPr>
          <w:p>
            <w:pPr>
              <w:pStyle w:val="1005"/>
              <w:ind w:left="57" w:right="57"/>
            </w:pPr>
            <w:r>
              <w:t xml:space="preserve">ИНН</w:t>
            </w:r>
            <w:r/>
          </w:p>
        </w:tc>
        <w:tc>
          <w:tcPr>
            <w:shd w:val="clear" w:fill="auto" w:color="auto"/>
            <w:tcW w:w="3732" w:type="pct"/>
            <w:textDirection w:val="lrTb"/>
            <w:noWrap w:val="false"/>
          </w:tcPr>
          <w:p>
            <w:pPr>
              <w:pStyle w:val="1005"/>
              <w:ind w:left="57" w:right="57"/>
            </w:pPr>
            <w:r>
              <w:t xml:space="preserve">Значение заполняется автоматически после заполнения поля </w:t>
            </w:r>
            <w:r>
              <w:t xml:space="preserve">«</w:t>
            </w:r>
            <w:r>
              <w:t xml:space="preserve">Наименов</w:t>
            </w:r>
            <w:r>
              <w:t xml:space="preserve">а</w:t>
            </w:r>
            <w:r>
              <w:t xml:space="preserve">ние контрагента</w:t>
            </w:r>
            <w:r>
              <w:t xml:space="preserve">»</w:t>
            </w:r>
            <w:r>
              <w:t xml:space="preserve">.</w:t>
            </w:r>
            <w:r/>
          </w:p>
          <w:p>
            <w:pPr>
              <w:pStyle w:val="1005"/>
              <w:ind w:left="57" w:right="57"/>
            </w:pPr>
            <w:r>
              <w:t xml:space="preserve">После автозаполнения поле доступно для редактирования.</w:t>
            </w:r>
            <w:r/>
          </w:p>
          <w:p>
            <w:pPr>
              <w:pStyle w:val="1005"/>
              <w:ind w:left="57" w:right="57"/>
            </w:pPr>
            <w:r>
              <w:t xml:space="preserve">При выборе пользователем родительского документа, значение подтяг</w:t>
            </w:r>
            <w:r>
              <w:t xml:space="preserve">ив</w:t>
            </w:r>
            <w:r>
              <w:t xml:space="preserve">а</w:t>
            </w:r>
            <w:r>
              <w:t xml:space="preserve">ется автоматически из указанного бюджетного обязательства.</w:t>
            </w:r>
            <w:r/>
          </w:p>
        </w:tc>
      </w:tr>
      <w:tr>
        <w:trPr/>
        <w:tc>
          <w:tcPr>
            <w:shd w:val="clear" w:fill="auto" w:color="auto"/>
            <w:tcW w:w="1268" w:type="pct"/>
            <w:textDirection w:val="lrTb"/>
            <w:noWrap w:val="false"/>
          </w:tcPr>
          <w:p>
            <w:pPr>
              <w:pStyle w:val="1005"/>
              <w:ind w:left="57" w:right="57"/>
            </w:pPr>
            <w:r>
              <w:t xml:space="preserve">КПП</w:t>
            </w:r>
            <w:r/>
          </w:p>
        </w:tc>
        <w:tc>
          <w:tcPr>
            <w:shd w:val="clear" w:fill="auto" w:color="auto"/>
            <w:tcW w:w="3732" w:type="pct"/>
            <w:textDirection w:val="lrTb"/>
            <w:noWrap w:val="false"/>
          </w:tcPr>
          <w:p>
            <w:pPr>
              <w:pStyle w:val="1005"/>
              <w:ind w:left="57" w:right="57"/>
            </w:pPr>
            <w:r>
              <w:t xml:space="preserve">Значение заполняется автоматически после заполнения поля </w:t>
            </w:r>
            <w:r>
              <w:t xml:space="preserve">«</w:t>
            </w:r>
            <w:r>
              <w:t xml:space="preserve">Наименов</w:t>
            </w:r>
            <w:r>
              <w:t xml:space="preserve">а</w:t>
            </w:r>
            <w:r>
              <w:t xml:space="preserve">ние контрагента</w:t>
            </w:r>
            <w:r>
              <w:t xml:space="preserve">»</w:t>
            </w:r>
            <w:r>
              <w:t xml:space="preserve">.</w:t>
            </w:r>
            <w:r/>
          </w:p>
          <w:p>
            <w:pPr>
              <w:pStyle w:val="1005"/>
              <w:ind w:left="57" w:right="57"/>
            </w:pPr>
            <w:r>
              <w:t xml:space="preserve">После автозаполнения поле доступно для редактирования.</w:t>
            </w:r>
            <w:r/>
          </w:p>
          <w:p>
            <w:pPr>
              <w:pStyle w:val="1005"/>
              <w:ind w:left="57" w:right="57"/>
            </w:pPr>
            <w:r>
              <w:t xml:space="preserve">При выборе пользователем родительского документа, значение подтяг</w:t>
            </w:r>
            <w:r>
              <w:t xml:space="preserve">ив</w:t>
            </w:r>
            <w:r>
              <w:t xml:space="preserve">а</w:t>
            </w:r>
            <w:r>
              <w:t xml:space="preserve">ется автоматически из указанного бюджетного обязательства.</w:t>
            </w:r>
            <w:r/>
          </w:p>
        </w:tc>
      </w:tr>
      <w:tr>
        <w:trPr/>
        <w:tc>
          <w:tcPr>
            <w:shd w:val="clear" w:fill="auto" w:color="auto"/>
            <w:tcW w:w="1268" w:type="pct"/>
            <w:textDirection w:val="lrTb"/>
            <w:noWrap w:val="false"/>
          </w:tcPr>
          <w:p>
            <w:pPr>
              <w:pStyle w:val="1005"/>
              <w:ind w:left="57" w:right="57"/>
            </w:pPr>
            <w:r>
              <w:t xml:space="preserve">Код поставщика</w:t>
            </w:r>
            <w:r/>
          </w:p>
        </w:tc>
        <w:tc>
          <w:tcPr>
            <w:shd w:val="clear" w:fill="auto" w:color="auto"/>
            <w:tcW w:w="3732" w:type="pct"/>
            <w:textDirection w:val="lrTb"/>
            <w:noWrap w:val="false"/>
          </w:tcPr>
          <w:p>
            <w:pPr>
              <w:pStyle w:val="1005"/>
              <w:ind w:left="57" w:right="57"/>
            </w:pPr>
            <w:r>
              <w:t xml:space="preserve">Значение заполняется автоматически после заполнения поля </w:t>
            </w:r>
            <w:r>
              <w:t xml:space="preserve">«</w:t>
            </w:r>
            <w:r>
              <w:t xml:space="preserve">Наименов</w:t>
            </w:r>
            <w:r>
              <w:t xml:space="preserve">а</w:t>
            </w:r>
            <w:r>
              <w:t xml:space="preserve">ние (получателя платежа)</w:t>
            </w:r>
            <w:r>
              <w:t xml:space="preserve">»</w:t>
            </w:r>
            <w:r>
              <w:t xml:space="preserve">. </w:t>
            </w:r>
            <w:r/>
          </w:p>
          <w:p>
            <w:pPr>
              <w:pStyle w:val="1005"/>
              <w:ind w:left="57" w:right="57"/>
            </w:pPr>
            <w:r>
              <w:t xml:space="preserve">Поле не обязательно для заполнения.</w:t>
            </w:r>
            <w:r/>
          </w:p>
          <w:p>
            <w:pPr>
              <w:pStyle w:val="1005"/>
              <w:ind w:left="57" w:right="57"/>
            </w:pPr>
            <w:r>
              <w:t xml:space="preserve">Поле скрыто для просмотра пользователям.</w:t>
            </w:r>
            <w:r/>
          </w:p>
        </w:tc>
      </w:tr>
      <w:tr>
        <w:trPr/>
        <w:tc>
          <w:tcPr>
            <w:shd w:val="clear" w:fill="auto" w:color="auto"/>
            <w:tcW w:w="1268" w:type="pct"/>
            <w:textDirection w:val="lrTb"/>
            <w:noWrap w:val="false"/>
          </w:tcPr>
          <w:p>
            <w:pPr>
              <w:pStyle w:val="1005"/>
              <w:ind w:left="57" w:right="57"/>
            </w:pPr>
            <w:r>
              <w:t xml:space="preserve">Лиц. С</w:t>
            </w:r>
            <w:r>
              <w:t xml:space="preserve">чёт</w:t>
            </w:r>
            <w:r/>
          </w:p>
        </w:tc>
        <w:tc>
          <w:tcPr>
            <w:shd w:val="clear" w:fill="auto" w:color="auto"/>
            <w:tcW w:w="3732" w:type="pct"/>
            <w:textDirection w:val="lrTb"/>
            <w:noWrap w:val="false"/>
          </w:tcPr>
          <w:p>
            <w:pPr>
              <w:pStyle w:val="1005"/>
              <w:ind w:left="57" w:right="57"/>
            </w:pPr>
            <w:r>
              <w:t xml:space="preserve">Значение заполняется автоматически после заполнения поля </w:t>
            </w:r>
            <w:r>
              <w:t xml:space="preserve">«</w:t>
            </w:r>
            <w:r>
              <w:t xml:space="preserve">Наименов</w:t>
            </w:r>
            <w:r>
              <w:t xml:space="preserve">а</w:t>
            </w:r>
            <w:r>
              <w:t xml:space="preserve">ние</w:t>
            </w:r>
            <w:r>
              <w:t xml:space="preserve">»</w:t>
            </w:r>
            <w:r>
              <w:t xml:space="preserve">.</w:t>
            </w:r>
            <w:r/>
          </w:p>
          <w:p>
            <w:pPr>
              <w:pStyle w:val="1005"/>
              <w:ind w:left="57" w:right="57"/>
            </w:pPr>
            <w:r>
              <w:t xml:space="preserve">Может быть отредактировано вручную, либо выбором из </w:t>
            </w:r>
            <w:r>
              <w:t xml:space="preserve">справочника «Информация о ЛС»</w:t>
            </w:r>
            <w:r>
              <w:t xml:space="preserve">.</w:t>
            </w:r>
            <w:r/>
          </w:p>
        </w:tc>
      </w:tr>
      <w:tr>
        <w:trPr/>
        <w:tc>
          <w:tcPr>
            <w:shd w:val="clear" w:fill="auto" w:color="auto"/>
            <w:tcW w:w="1268" w:type="pct"/>
            <w:textDirection w:val="lrTb"/>
            <w:noWrap w:val="false"/>
          </w:tcPr>
          <w:p>
            <w:pPr>
              <w:pStyle w:val="1005"/>
              <w:ind w:left="57" w:right="57"/>
            </w:pPr>
            <w:r>
              <w:t xml:space="preserve">Банк. </w:t>
            </w:r>
            <w:r>
              <w:t xml:space="preserve">Счет</w:t>
            </w:r>
            <w:r/>
          </w:p>
        </w:tc>
        <w:tc>
          <w:tcPr>
            <w:shd w:val="clear" w:fill="auto" w:color="auto"/>
            <w:tcW w:w="3732" w:type="pct"/>
            <w:textDirection w:val="lrTb"/>
            <w:noWrap w:val="false"/>
          </w:tcPr>
          <w:p>
            <w:pPr>
              <w:pStyle w:val="1005"/>
              <w:ind w:left="57" w:right="57"/>
            </w:pPr>
            <w:r>
              <w:t xml:space="preserve">Номер банковского счета получателя платежа.</w:t>
            </w:r>
            <w:r/>
          </w:p>
          <w:p>
            <w:pPr>
              <w:pStyle w:val="1005"/>
              <w:ind w:left="57" w:right="57"/>
            </w:pPr>
            <w:r>
              <w:t xml:space="preserve">Значение подставляется автоматически, в случае если для указанного пол</w:t>
            </w:r>
            <w:r>
              <w:t xml:space="preserve">ь</w:t>
            </w:r>
            <w:r>
              <w:t xml:space="preserve">з</w:t>
            </w:r>
            <w:r>
              <w:t xml:space="preserve">о</w:t>
            </w:r>
            <w:r>
              <w:t xml:space="preserve">вателем получателя платежа в справочнике </w:t>
            </w:r>
            <w:r>
              <w:t xml:space="preserve">«</w:t>
            </w:r>
            <w:r>
              <w:t xml:space="preserve">Банковские счета п</w:t>
            </w:r>
            <w:r>
              <w:t xml:space="preserve">оставщ</w:t>
            </w:r>
            <w:r>
              <w:t xml:space="preserve">и</w:t>
            </w:r>
            <w:r>
              <w:t xml:space="preserve">ков</w:t>
            </w:r>
            <w:r>
              <w:t xml:space="preserve">»</w:t>
            </w:r>
            <w:r>
              <w:t xml:space="preserve">, найден один единственный счет (</w:t>
            </w:r>
            <w:r>
              <w:t xml:space="preserve">в</w:t>
            </w:r>
            <w:r>
              <w:t xml:space="preserve"> справочнике </w:t>
            </w:r>
            <w:r>
              <w:t xml:space="preserve">«</w:t>
            </w:r>
            <w:r>
              <w:t xml:space="preserve">Поставщиков</w:t>
            </w:r>
            <w:r>
              <w:t xml:space="preserve">»</w:t>
            </w:r>
            <w:r>
              <w:t xml:space="preserve">, для выбра</w:t>
            </w:r>
            <w:r>
              <w:t xml:space="preserve">н</w:t>
            </w:r>
            <w:r>
              <w:t xml:space="preserve">ной организации находит</w:t>
            </w:r>
            <w:r>
              <w:t xml:space="preserve">ся код</w:t>
            </w:r>
            <w:r>
              <w:t xml:space="preserve">,</w:t>
            </w:r>
            <w:r>
              <w:t xml:space="preserve"> по </w:t>
            </w:r>
            <w:r>
              <w:t xml:space="preserve">которому </w:t>
            </w:r>
            <w:r>
              <w:t xml:space="preserve">делается выборка из справочн</w:t>
            </w:r>
            <w:r>
              <w:t xml:space="preserve">и</w:t>
            </w:r>
            <w:r>
              <w:t xml:space="preserve">ка </w:t>
            </w:r>
            <w:r>
              <w:t xml:space="preserve">«</w:t>
            </w:r>
            <w:r>
              <w:t xml:space="preserve">Банковские счета поставщиков</w:t>
            </w:r>
            <w:r>
              <w:t xml:space="preserve">»</w:t>
            </w:r>
            <w:r>
              <w:t xml:space="preserve">: поле </w:t>
            </w:r>
            <w:r>
              <w:t xml:space="preserve">«</w:t>
            </w:r>
            <w:r>
              <w:t xml:space="preserve">Открыт для</w:t>
            </w:r>
            <w:r>
              <w:t xml:space="preserve">»</w:t>
            </w:r>
            <w:r>
              <w:t xml:space="preserve"> должно быть равно коду поставщика</w:t>
            </w:r>
            <w:r>
              <w:t xml:space="preserve">)</w:t>
            </w:r>
            <w:r>
              <w:t xml:space="preserve">.</w:t>
            </w:r>
            <w:r/>
          </w:p>
          <w:p>
            <w:pPr>
              <w:pStyle w:val="1005"/>
              <w:ind w:left="57" w:right="57"/>
            </w:pPr>
            <w:r>
              <w:t xml:space="preserve">В случае если </w:t>
            </w:r>
            <w:r>
              <w:t xml:space="preserve">для организации найдено более одного банковского сч</w:t>
            </w:r>
            <w:r>
              <w:t xml:space="preserve">ета, поле не заполняется и пользователю предоставляется возможность выбрать знач</w:t>
            </w:r>
            <w:r>
              <w:t xml:space="preserve">е</w:t>
            </w:r>
            <w:r>
              <w:t xml:space="preserve">ние из справочника </w:t>
            </w:r>
            <w:r>
              <w:t xml:space="preserve">«</w:t>
            </w:r>
            <w:r>
              <w:t xml:space="preserve">Банковские счета поставщиков</w:t>
            </w:r>
            <w:r>
              <w:t xml:space="preserve">»</w:t>
            </w:r>
            <w:r>
              <w:t xml:space="preserve"> или ввести вручную.</w:t>
            </w:r>
            <w:r/>
          </w:p>
          <w:p>
            <w:pPr>
              <w:pStyle w:val="1005"/>
              <w:ind w:left="57" w:right="57"/>
            </w:pPr>
            <w:r>
              <w:t xml:space="preserve">При выборе пользователем родительского документа, значение подтяг</w:t>
            </w:r>
            <w:r>
              <w:t xml:space="preserve">ив</w:t>
            </w:r>
            <w:r>
              <w:t xml:space="preserve">а</w:t>
            </w:r>
            <w:r>
              <w:t xml:space="preserve">ется автоматически из указанного бюджетного обязательства.</w:t>
            </w:r>
            <w:r/>
          </w:p>
          <w:p>
            <w:pPr>
              <w:pStyle w:val="1005"/>
              <w:ind w:left="57" w:right="57"/>
            </w:pPr>
            <w:r>
              <w:t xml:space="preserve">При вводе банковского счета вручную, осуществляется проверка на кл</w:t>
            </w:r>
            <w:r>
              <w:t xml:space="preserve">юч</w:t>
            </w:r>
            <w:r>
              <w:t xml:space="preserve">е</w:t>
            </w:r>
            <w:r>
              <w:t xml:space="preserve">в</w:t>
            </w:r>
            <w:r>
              <w:t xml:space="preserve">а</w:t>
            </w:r>
            <w:r>
              <w:t xml:space="preserve">ние.</w:t>
            </w:r>
            <w:r/>
          </w:p>
        </w:tc>
      </w:tr>
      <w:tr>
        <w:trPr/>
        <w:tc>
          <w:tcPr>
            <w:shd w:val="clear" w:fill="auto" w:color="auto"/>
            <w:tcW w:w="1268" w:type="pct"/>
            <w:textDirection w:val="lrTb"/>
            <w:noWrap w:val="false"/>
          </w:tcPr>
          <w:p>
            <w:pPr>
              <w:pStyle w:val="1005"/>
              <w:ind w:left="57" w:right="57"/>
            </w:pPr>
            <w:r>
              <w:t xml:space="preserve">Наим. Банка</w:t>
            </w:r>
            <w:r/>
          </w:p>
        </w:tc>
        <w:tc>
          <w:tcPr>
            <w:shd w:val="clear" w:fill="auto" w:color="auto"/>
            <w:tcW w:w="3732" w:type="pct"/>
            <w:textDirection w:val="lrTb"/>
            <w:noWrap w:val="false"/>
          </w:tcPr>
          <w:p>
            <w:pPr>
              <w:pStyle w:val="1005"/>
              <w:ind w:left="57" w:right="57"/>
            </w:pPr>
            <w:r>
              <w:t xml:space="preserve">Наименование банка.</w:t>
            </w:r>
            <w:r/>
          </w:p>
          <w:p>
            <w:pPr>
              <w:pStyle w:val="1005"/>
              <w:ind w:left="57" w:right="57"/>
            </w:pPr>
            <w:r>
              <w:t xml:space="preserve">Значение подтягивается автоматически после заполнения поля </w:t>
            </w:r>
            <w:r>
              <w:t xml:space="preserve">«</w:t>
            </w:r>
            <w:r>
              <w:t xml:space="preserve">БИК /SWIFT</w:t>
            </w:r>
            <w:r>
              <w:t xml:space="preserve">»</w:t>
            </w:r>
            <w:r>
              <w:t xml:space="preserve"> из справочника </w:t>
            </w:r>
            <w:r>
              <w:t xml:space="preserve">«Справочник банков»</w:t>
            </w:r>
            <w:r>
              <w:t xml:space="preserve"> из поля </w:t>
            </w:r>
            <w:r>
              <w:t xml:space="preserve">«</w:t>
            </w:r>
            <w:r>
              <w:t xml:space="preserve">Платежное наименование ба</w:t>
            </w:r>
            <w:r>
              <w:t xml:space="preserve">нка </w:t>
            </w:r>
            <w:r>
              <w:t xml:space="preserve">составное</w:t>
            </w:r>
            <w:r>
              <w:t xml:space="preserve">»</w:t>
            </w:r>
            <w:r>
              <w:t xml:space="preserve">.</w:t>
            </w:r>
            <w:r/>
          </w:p>
          <w:p>
            <w:pPr>
              <w:pStyle w:val="1005"/>
              <w:ind w:left="57" w:right="57"/>
            </w:pPr>
            <w:r>
              <w:t xml:space="preserve">При выборе пользователем родительского документа, значение подтяг</w:t>
            </w:r>
            <w:r>
              <w:t xml:space="preserve">ив</w:t>
            </w:r>
            <w:r>
              <w:t xml:space="preserve">а</w:t>
            </w:r>
            <w:r>
              <w:t xml:space="preserve">ется автоматически из указанного бюджетного обязательства.</w:t>
            </w:r>
            <w:r/>
          </w:p>
          <w:p>
            <w:pPr>
              <w:pStyle w:val="1005"/>
              <w:ind w:left="57" w:right="57"/>
            </w:pPr>
            <w:r>
              <w:t xml:space="preserve">Поле открыто на редактирование.</w:t>
            </w:r>
            <w:r/>
          </w:p>
        </w:tc>
      </w:tr>
      <w:tr>
        <w:trPr/>
        <w:tc>
          <w:tcPr>
            <w:shd w:val="clear" w:fill="auto" w:color="auto"/>
            <w:tcW w:w="1268" w:type="pct"/>
            <w:textDirection w:val="lrTb"/>
            <w:noWrap w:val="false"/>
          </w:tcPr>
          <w:p>
            <w:pPr>
              <w:pStyle w:val="1005"/>
              <w:ind w:left="57" w:right="57"/>
            </w:pPr>
            <w:r>
              <w:t xml:space="preserve">БИК/SWIFT</w:t>
            </w:r>
            <w:r/>
          </w:p>
        </w:tc>
        <w:tc>
          <w:tcPr>
            <w:shd w:val="clear" w:fill="auto" w:color="auto"/>
            <w:tcW w:w="3732" w:type="pct"/>
            <w:textDirection w:val="lrTb"/>
            <w:noWrap w:val="false"/>
          </w:tcPr>
          <w:p>
            <w:pPr>
              <w:pStyle w:val="1005"/>
              <w:ind w:left="57" w:right="57"/>
            </w:pPr>
            <w:r>
              <w:t xml:space="preserve">Значение заполняется вручную или выбирается из справочника Банков.</w:t>
            </w:r>
            <w:r/>
          </w:p>
          <w:p>
            <w:pPr>
              <w:pStyle w:val="1005"/>
              <w:ind w:left="57" w:right="57"/>
            </w:pPr>
            <w:r>
              <w:t xml:space="preserve">При выборе пользователем родительского документа, значение подтяг</w:t>
            </w:r>
            <w:r>
              <w:t xml:space="preserve">ив</w:t>
            </w:r>
            <w:r>
              <w:t xml:space="preserve">а</w:t>
            </w:r>
            <w:r>
              <w:t xml:space="preserve">ется автоматически из указанного бюджетного обязательства.</w:t>
            </w:r>
            <w:r/>
          </w:p>
          <w:p>
            <w:pPr>
              <w:pStyle w:val="1005"/>
              <w:ind w:left="57" w:right="57"/>
            </w:pPr>
            <w:r>
              <w:t xml:space="preserve">Может подтягиваться автоматически после заполнения поля </w:t>
            </w:r>
            <w:r>
              <w:t xml:space="preserve">«</w:t>
            </w:r>
            <w:r>
              <w:t xml:space="preserve">Банко</w:t>
            </w:r>
            <w:r>
              <w:t xml:space="preserve">вский счет</w:t>
            </w:r>
            <w:r>
              <w:t xml:space="preserve">»</w:t>
            </w:r>
            <w:r>
              <w:t xml:space="preserve"> из справочника </w:t>
            </w:r>
            <w:r>
              <w:t xml:space="preserve">«</w:t>
            </w:r>
            <w:r>
              <w:t xml:space="preserve">Банковские счета поставщиков</w:t>
            </w:r>
            <w:r>
              <w:t xml:space="preserve">»</w:t>
            </w:r>
            <w:r>
              <w:t xml:space="preserve"> (поле </w:t>
            </w:r>
            <w:r>
              <w:t xml:space="preserve">«</w:t>
            </w:r>
            <w:r>
              <w:t xml:space="preserve">где о</w:t>
            </w:r>
            <w:r>
              <w:t xml:space="preserve">т</w:t>
            </w:r>
            <w:r>
              <w:t xml:space="preserve">крыт</w:t>
            </w:r>
            <w:r>
              <w:t xml:space="preserve">»</w:t>
            </w:r>
            <w:r>
              <w:t xml:space="preserve">).</w:t>
            </w:r>
            <w:r/>
          </w:p>
        </w:tc>
      </w:tr>
      <w:tr>
        <w:trPr/>
        <w:tc>
          <w:tcPr>
            <w:shd w:val="clear" w:fill="auto" w:color="auto"/>
            <w:tcW w:w="1268" w:type="pct"/>
            <w:textDirection w:val="lrTb"/>
            <w:noWrap w:val="false"/>
          </w:tcPr>
          <w:p>
            <w:pPr>
              <w:pStyle w:val="1005"/>
              <w:ind w:left="57" w:right="57"/>
            </w:pPr>
            <w:r>
              <w:t xml:space="preserve">Корсчет</w:t>
            </w:r>
            <w:r/>
          </w:p>
        </w:tc>
        <w:tc>
          <w:tcPr>
            <w:shd w:val="clear" w:fill="auto" w:color="auto"/>
            <w:tcW w:w="3732" w:type="pct"/>
            <w:textDirection w:val="lrTb"/>
            <w:noWrap w:val="false"/>
          </w:tcPr>
          <w:p>
            <w:pPr>
              <w:pStyle w:val="1005"/>
              <w:ind w:left="57" w:right="57"/>
            </w:pPr>
            <w:r>
              <w:t xml:space="preserve">Корреспондентский счет банка.</w:t>
            </w:r>
            <w:r/>
          </w:p>
          <w:p>
            <w:pPr>
              <w:pStyle w:val="1005"/>
              <w:ind w:left="57" w:right="57"/>
            </w:pPr>
            <w:r>
              <w:t xml:space="preserve">В случае если в поле «Банк.счет» указан Казнач</w:t>
            </w:r>
            <w:r>
              <w:t xml:space="preserve">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r/>
          </w:p>
          <w:p>
            <w:pPr>
              <w:pStyle w:val="1005"/>
              <w:ind w:left="57" w:right="57"/>
            </w:pPr>
            <w:r>
              <w:t xml:space="preserve">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t xml:space="preserve"> </w:t>
            </w:r>
            <w:r/>
          </w:p>
          <w:p>
            <w:pPr>
              <w:pStyle w:val="1005"/>
              <w:ind w:left="57" w:right="57"/>
            </w:pPr>
            <w:r>
              <w:t xml:space="preserve">При выборе пользователем родительского документа, значение подтяг</w:t>
            </w:r>
            <w:r>
              <w:t xml:space="preserve">ив</w:t>
            </w:r>
            <w:r>
              <w:t xml:space="preserve">а</w:t>
            </w:r>
            <w:r>
              <w:t xml:space="preserve">ется автоматически из указанного бюджетного обязательства.</w:t>
            </w:r>
            <w:r/>
          </w:p>
          <w:p>
            <w:pPr>
              <w:pStyle w:val="1005"/>
              <w:ind w:left="57" w:right="57"/>
            </w:pPr>
            <w:r>
              <w:t xml:space="preserve">Поле открыто на редактирование.</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w:t>
            </w:r>
            <w:r>
              <w:t xml:space="preserve">Раздел 4. Реквизиты налоговых платежей</w:t>
            </w:r>
            <w:r>
              <w:t xml:space="preserve">»</w:t>
            </w:r>
            <w:r/>
          </w:p>
        </w:tc>
      </w:tr>
      <w:tr>
        <w:trPr/>
        <w:tc>
          <w:tcPr>
            <w:shd w:val="clear" w:fill="auto" w:color="auto"/>
            <w:tcW w:w="1268" w:type="pct"/>
            <w:textDirection w:val="lrTb"/>
            <w:noWrap w:val="false"/>
          </w:tcPr>
          <w:p>
            <w:pPr>
              <w:pStyle w:val="1005"/>
              <w:ind w:left="57" w:right="57"/>
            </w:pPr>
            <w:r>
              <w:t xml:space="preserve">Статус</w:t>
            </w:r>
            <w:r/>
          </w:p>
        </w:tc>
        <w:tc>
          <w:tcPr>
            <w:shd w:val="clear" w:fill="auto" w:color="auto"/>
            <w:tcW w:w="3732" w:type="pct"/>
            <w:textDirection w:val="lrTb"/>
            <w:noWrap w:val="false"/>
          </w:tcPr>
          <w:p>
            <w:pPr>
              <w:pStyle w:val="1005"/>
              <w:ind w:left="57" w:right="57"/>
            </w:pPr>
            <w:r>
              <w:t xml:space="preserve">Статус юридического</w:t>
            </w:r>
            <w:r>
              <w:t xml:space="preserve"> лица</w:t>
            </w:r>
            <w:r>
              <w:t xml:space="preserve">.</w:t>
            </w:r>
            <w:r/>
          </w:p>
          <w:p>
            <w:pPr>
              <w:pStyle w:val="1005"/>
              <w:ind w:left="57" w:right="57"/>
            </w:pPr>
            <w:r>
              <w:t xml:space="preserve">Значение вводится вручную или выбирается пользователем из справочн</w:t>
            </w:r>
            <w:r>
              <w:t xml:space="preserve">ика </w:t>
            </w:r>
            <w:r>
              <w:t xml:space="preserve">«</w:t>
            </w:r>
            <w:r>
              <w:t xml:space="preserve">Показатели статуса юр. Лица, оформившего документ</w:t>
            </w:r>
            <w:r>
              <w:t xml:space="preserve">»</w:t>
            </w:r>
            <w:r>
              <w:t xml:space="preserve">.</w:t>
            </w:r>
            <w:r/>
          </w:p>
        </w:tc>
      </w:tr>
      <w:tr>
        <w:trPr/>
        <w:tc>
          <w:tcPr>
            <w:shd w:val="clear" w:fill="auto" w:color="auto"/>
            <w:tcW w:w="1268" w:type="pct"/>
            <w:textDirection w:val="lrTb"/>
            <w:noWrap w:val="false"/>
          </w:tcPr>
          <w:p>
            <w:pPr>
              <w:pStyle w:val="1005"/>
              <w:ind w:left="57" w:right="57"/>
            </w:pPr>
            <w:r>
              <w:t xml:space="preserve">Код по БК</w:t>
            </w:r>
            <w:r/>
          </w:p>
        </w:tc>
        <w:tc>
          <w:tcPr>
            <w:shd w:val="clear" w:fill="auto" w:color="auto"/>
            <w:tcW w:w="3732" w:type="pct"/>
            <w:textDirection w:val="lrTb"/>
            <w:noWrap w:val="false"/>
          </w:tcPr>
          <w:p>
            <w:pPr>
              <w:pStyle w:val="1005"/>
              <w:ind w:left="57" w:right="57"/>
            </w:pPr>
            <w:r>
              <w:t xml:space="preserve">Значение вводится вручную или заполняется из справочника КБК (20-ти си</w:t>
            </w:r>
            <w:r>
              <w:t xml:space="preserve">м</w:t>
            </w:r>
            <w:r>
              <w:t xml:space="preserve">вольный). </w:t>
            </w:r>
            <w:r/>
          </w:p>
        </w:tc>
      </w:tr>
      <w:tr>
        <w:trPr/>
        <w:tc>
          <w:tcPr>
            <w:shd w:val="clear" w:fill="auto" w:color="auto"/>
            <w:tcW w:w="1268" w:type="pct"/>
            <w:textDirection w:val="lrTb"/>
            <w:noWrap w:val="false"/>
          </w:tcPr>
          <w:p>
            <w:pPr>
              <w:pStyle w:val="1005"/>
              <w:ind w:left="57" w:right="57"/>
            </w:pPr>
            <w:r>
              <w:t xml:space="preserve">Код по ОКТМО</w:t>
            </w:r>
            <w:r/>
          </w:p>
        </w:tc>
        <w:tc>
          <w:tcPr>
            <w:shd w:val="clear" w:fill="auto" w:color="auto"/>
            <w:tcW w:w="3732" w:type="pct"/>
            <w:textDirection w:val="lrTb"/>
            <w:noWrap w:val="false"/>
          </w:tcPr>
          <w:p>
            <w:pPr>
              <w:pStyle w:val="1005"/>
              <w:ind w:left="57" w:right="57"/>
            </w:pPr>
            <w:r>
              <w:t xml:space="preserve">Код по ОКТМО. </w:t>
            </w:r>
            <w:r/>
          </w:p>
          <w:p>
            <w:pPr>
              <w:pStyle w:val="1005"/>
              <w:ind w:left="57" w:right="57"/>
            </w:pPr>
            <w:r>
              <w:t xml:space="preserve">Значение вводится вручную или заполняется из справочника ОКАТО.</w:t>
            </w:r>
            <w:r/>
          </w:p>
        </w:tc>
      </w:tr>
      <w:tr>
        <w:trPr/>
        <w:tc>
          <w:tcPr>
            <w:shd w:val="clear" w:fill="auto" w:color="auto"/>
            <w:tcW w:w="1268" w:type="pct"/>
            <w:textDirection w:val="lrTb"/>
            <w:noWrap w:val="false"/>
          </w:tcPr>
          <w:p>
            <w:pPr>
              <w:pStyle w:val="1005"/>
              <w:ind w:left="57" w:right="57"/>
            </w:pPr>
            <w:r>
              <w:t xml:space="preserve">Основание платежа</w:t>
            </w:r>
            <w:r/>
          </w:p>
        </w:tc>
        <w:tc>
          <w:tcPr>
            <w:shd w:val="clear" w:fill="auto" w:color="auto"/>
            <w:tcW w:w="3732" w:type="pct"/>
            <w:textDirection w:val="lrTb"/>
            <w:noWrap w:val="false"/>
          </w:tcPr>
          <w:p>
            <w:pPr>
              <w:pStyle w:val="1005"/>
              <w:ind w:left="57" w:right="57"/>
            </w:pPr>
            <w:r>
              <w:t xml:space="preserve">Значение может вводиться вручную.</w:t>
            </w:r>
            <w:r/>
          </w:p>
        </w:tc>
      </w:tr>
      <w:tr>
        <w:trPr/>
        <w:tc>
          <w:tcPr>
            <w:shd w:val="clear" w:fill="auto" w:color="auto"/>
            <w:tcW w:w="1268" w:type="pct"/>
            <w:textDirection w:val="lrTb"/>
            <w:noWrap w:val="false"/>
          </w:tcPr>
          <w:p>
            <w:pPr>
              <w:pStyle w:val="1005"/>
              <w:ind w:left="57" w:right="57"/>
            </w:pPr>
            <w:r>
              <w:t xml:space="preserve">Налоговый период</w:t>
            </w:r>
            <w:r/>
          </w:p>
        </w:tc>
        <w:tc>
          <w:tcPr>
            <w:shd w:val="clear" w:fill="auto" w:color="auto"/>
            <w:tcW w:w="3732" w:type="pct"/>
            <w:textDirection w:val="lrTb"/>
            <w:noWrap w:val="false"/>
          </w:tcPr>
          <w:p>
            <w:pPr>
              <w:pStyle w:val="1005"/>
              <w:ind w:left="57" w:right="57"/>
            </w:pPr>
            <w:r>
              <w:t xml:space="preserve">Значение может вводиться вручную.</w:t>
            </w:r>
            <w:r/>
          </w:p>
        </w:tc>
      </w:tr>
      <w:tr>
        <w:trPr/>
        <w:tc>
          <w:tcPr>
            <w:shd w:val="clear" w:fill="auto" w:color="auto"/>
            <w:tcW w:w="1268" w:type="pct"/>
            <w:textDirection w:val="lrTb"/>
            <w:noWrap w:val="false"/>
          </w:tcPr>
          <w:p>
            <w:pPr>
              <w:pStyle w:val="1005"/>
              <w:ind w:left="57" w:right="57"/>
            </w:pPr>
            <w:r>
              <w:t xml:space="preserve">Номер документа</w:t>
            </w:r>
            <w:r/>
          </w:p>
        </w:tc>
        <w:tc>
          <w:tcPr>
            <w:shd w:val="clear" w:fill="auto" w:color="auto"/>
            <w:tcW w:w="3732" w:type="pct"/>
            <w:textDirection w:val="lrTb"/>
            <w:noWrap w:val="false"/>
          </w:tcPr>
          <w:p>
            <w:pPr>
              <w:pStyle w:val="1005"/>
              <w:ind w:left="57" w:right="57"/>
            </w:pPr>
            <w:r>
              <w:t xml:space="preserve">Значение вводится вручную.</w:t>
            </w:r>
            <w:r/>
          </w:p>
        </w:tc>
      </w:tr>
      <w:tr>
        <w:trPr/>
        <w:tc>
          <w:tcPr>
            <w:shd w:val="clear" w:fill="auto" w:color="auto"/>
            <w:tcW w:w="1268" w:type="pct"/>
            <w:textDirection w:val="lrTb"/>
            <w:noWrap w:val="false"/>
          </w:tcPr>
          <w:p>
            <w:pPr>
              <w:pStyle w:val="1005"/>
              <w:ind w:left="57" w:right="57"/>
            </w:pPr>
            <w:r>
              <w:t xml:space="preserve">Дата документа</w:t>
            </w:r>
            <w:r/>
          </w:p>
        </w:tc>
        <w:tc>
          <w:tcPr>
            <w:shd w:val="clear" w:fill="auto" w:color="auto"/>
            <w:tcW w:w="3732" w:type="pct"/>
            <w:textDirection w:val="lrTb"/>
            <w:noWrap w:val="false"/>
          </w:tcPr>
          <w:p>
            <w:pPr>
              <w:pStyle w:val="1005"/>
              <w:ind w:left="57" w:right="57"/>
            </w:pPr>
            <w:r>
              <w:t xml:space="preserve">Значение вводится вручную.</w:t>
            </w:r>
            <w:r/>
          </w:p>
        </w:tc>
      </w:tr>
      <w:tr>
        <w:trPr/>
        <w:tc>
          <w:tcPr>
            <w:shd w:val="clear" w:fill="auto" w:color="auto"/>
            <w:tcW w:w="1268" w:type="pct"/>
            <w:textDirection w:val="lrTb"/>
            <w:noWrap w:val="false"/>
          </w:tcPr>
          <w:p>
            <w:pPr>
              <w:pStyle w:val="1005"/>
              <w:ind w:left="57" w:right="57"/>
            </w:pPr>
            <w:r>
              <w:t xml:space="preserve">Тип платежа</w:t>
            </w:r>
            <w:r/>
          </w:p>
        </w:tc>
        <w:tc>
          <w:tcPr>
            <w:shd w:val="clear" w:fill="auto" w:color="auto"/>
            <w:tcW w:w="3732" w:type="pct"/>
            <w:textDirection w:val="lrTb"/>
            <w:noWrap w:val="false"/>
          </w:tcPr>
          <w:p>
            <w:pPr>
              <w:pStyle w:val="1005"/>
              <w:ind w:left="57" w:right="57"/>
            </w:pPr>
            <w:r>
              <w:t xml:space="preserve">Значение вводится вручную.</w:t>
            </w:r>
            <w:r/>
          </w:p>
        </w:tc>
      </w:tr>
      <w:tr>
        <w:trPr/>
        <w:tc>
          <w:tcPr>
            <w:gridSpan w:val="2"/>
            <w:shd w:val="clear" w:fill="auto" w:color="auto"/>
            <w:tcW w:w="5000" w:type="pct"/>
            <w:textDirection w:val="lrTb"/>
            <w:noWrap w:val="false"/>
          </w:tcPr>
          <w:p>
            <w:pPr>
              <w:pStyle w:val="1005"/>
              <w:ind w:left="57" w:right="57"/>
              <w:rPr>
                <w:rStyle w:val="1001"/>
              </w:rPr>
            </w:pPr>
            <w:r>
              <w:t xml:space="preserve">Группа полей </w:t>
            </w:r>
            <w:r>
              <w:t xml:space="preserve">«</w:t>
            </w:r>
            <w:r>
              <w:t xml:space="preserve">Раздел 5. Расшифровка заявки на кассовый расход</w:t>
            </w:r>
            <w:r>
              <w:t xml:space="preserve">»</w:t>
            </w:r>
            <w:r/>
          </w:p>
        </w:tc>
      </w:tr>
      <w:tr>
        <w:trPr/>
        <w:tc>
          <w:tcPr>
            <w:shd w:val="clear" w:fill="auto" w:color="auto"/>
            <w:tcW w:w="1268" w:type="pct"/>
            <w:textDirection w:val="lrTb"/>
            <w:noWrap w:val="false"/>
          </w:tcPr>
          <w:p>
            <w:pPr>
              <w:pStyle w:val="1005"/>
              <w:ind w:left="57" w:right="57"/>
            </w:pPr>
            <w:r>
              <w:t xml:space="preserve">№</w:t>
            </w:r>
            <w:r/>
          </w:p>
        </w:tc>
        <w:tc>
          <w:tcPr>
            <w:shd w:val="clear" w:fill="auto" w:color="auto"/>
            <w:tcW w:w="3732" w:type="pct"/>
            <w:textDirection w:val="lrTb"/>
            <w:noWrap w:val="false"/>
          </w:tcPr>
          <w:p>
            <w:pPr>
              <w:pStyle w:val="1005"/>
              <w:ind w:left="57" w:right="57"/>
            </w:pPr>
            <w:r>
              <w:t xml:space="preserve">Номер позиции.</w:t>
            </w:r>
            <w:r/>
          </w:p>
          <w:p>
            <w:pPr>
              <w:pStyle w:val="1005"/>
              <w:ind w:left="57" w:right="57"/>
            </w:pPr>
            <w:r>
              <w:t xml:space="preserve">Заполняется автоматически.</w:t>
            </w:r>
            <w:r/>
          </w:p>
        </w:tc>
      </w:tr>
      <w:tr>
        <w:trPr/>
        <w:tc>
          <w:tcPr>
            <w:shd w:val="clear" w:fill="auto" w:color="auto"/>
            <w:tcW w:w="1268" w:type="pct"/>
            <w:textDirection w:val="lrTb"/>
            <w:noWrap w:val="false"/>
          </w:tcPr>
          <w:p>
            <w:pPr>
              <w:pStyle w:val="1005"/>
              <w:ind w:left="57" w:right="57"/>
            </w:pPr>
            <w:r>
              <w:t xml:space="preserve">Наименование вида средств</w:t>
            </w:r>
            <w:r/>
          </w:p>
        </w:tc>
        <w:tc>
          <w:tcPr>
            <w:shd w:val="clear" w:fill="auto" w:color="auto"/>
            <w:tcW w:w="3732" w:type="pct"/>
            <w:textDirection w:val="lrTb"/>
            <w:noWrap w:val="false"/>
          </w:tcPr>
          <w:p>
            <w:pPr>
              <w:pStyle w:val="1005"/>
              <w:ind w:left="57" w:right="57"/>
            </w:pPr>
            <w:r>
              <w:t xml:space="preserve">Подтягивается автоматически по коду из справочника </w:t>
            </w:r>
            <w:r>
              <w:t xml:space="preserve">«</w:t>
            </w:r>
            <w:r>
              <w:t xml:space="preserve">Источники фина</w:t>
            </w:r>
            <w:r>
              <w:t xml:space="preserve">н</w:t>
            </w:r>
            <w:r>
              <w:t xml:space="preserve">с</w:t>
            </w:r>
            <w:r>
              <w:t xml:space="preserve">и</w:t>
            </w:r>
            <w:r>
              <w:t xml:space="preserve">рования</w:t>
            </w:r>
            <w:r>
              <w:t xml:space="preserve">»</w:t>
            </w:r>
            <w:r>
              <w:t xml:space="preserve">.</w:t>
            </w:r>
            <w:r/>
          </w:p>
          <w:p>
            <w:pPr>
              <w:pStyle w:val="1005"/>
              <w:ind w:left="57" w:right="57"/>
            </w:pPr>
            <w:r>
              <w:t xml:space="preserve">Может быть изменено пользователем вручную.</w:t>
            </w:r>
            <w:r/>
          </w:p>
        </w:tc>
      </w:tr>
      <w:tr>
        <w:trPr/>
        <w:tc>
          <w:tcPr>
            <w:shd w:val="clear" w:fill="auto" w:color="auto"/>
            <w:tcW w:w="1268" w:type="pct"/>
            <w:textDirection w:val="lrTb"/>
            <w:noWrap w:val="false"/>
          </w:tcPr>
          <w:p>
            <w:pPr>
              <w:pStyle w:val="1005"/>
              <w:ind w:left="57" w:right="57"/>
            </w:pPr>
            <w:r>
              <w:t xml:space="preserve">Код по БК плател</w:t>
            </w:r>
            <w:r>
              <w:t xml:space="preserve">ь</w:t>
            </w:r>
            <w:r>
              <w:t xml:space="preserve">щ</w:t>
            </w:r>
            <w:r>
              <w:t xml:space="preserve">ика</w:t>
            </w:r>
            <w:r/>
          </w:p>
        </w:tc>
        <w:tc>
          <w:tcPr>
            <w:shd w:val="clear" w:fill="auto" w:color="auto"/>
            <w:tcW w:w="3732" w:type="pct"/>
            <w:textDirection w:val="lrTb"/>
            <w:noWrap w:val="false"/>
          </w:tcPr>
          <w:p>
            <w:pPr>
              <w:pStyle w:val="1005"/>
              <w:ind w:left="57" w:right="57"/>
            </w:pPr>
            <w:r>
              <w:t xml:space="preserve">Значение вводится вручную или выбирается из справочника КБК. </w:t>
            </w:r>
            <w:r/>
          </w:p>
          <w:p>
            <w:pPr>
              <w:pStyle w:val="1005"/>
              <w:ind w:left="57" w:right="57"/>
            </w:pPr>
            <w:r>
              <w:t xml:space="preserve">Значение </w:t>
            </w:r>
            <w:r>
              <w:t xml:space="preserve">устанавливается</w:t>
            </w:r>
            <w:r>
              <w:t xml:space="preserve"> автоматически</w:t>
            </w:r>
            <w:r>
              <w:t xml:space="preserve"> </w:t>
            </w:r>
            <w:r>
              <w:t xml:space="preserve">из заполненных значений по се</w:t>
            </w:r>
            <w:r>
              <w:t xml:space="preserve">г</w:t>
            </w:r>
            <w:r>
              <w:t xml:space="preserve">ментам по следующим алгоритмам: </w:t>
            </w:r>
            <w:r/>
          </w:p>
          <w:p>
            <w:pPr>
              <w:pStyle w:val="1007"/>
            </w:pPr>
            <w:r>
              <w:t xml:space="preserve">к</w:t>
            </w:r>
            <w:r>
              <w:t xml:space="preserve">од главы + ФКР+КЦСР+КВР/Код поступлений/источников.</w:t>
            </w:r>
            <w:r/>
          </w:p>
          <w:p>
            <w:pPr>
              <w:pStyle w:val="1005"/>
              <w:ind w:left="57" w:right="57"/>
            </w:pPr>
            <w:r>
              <w:t xml:space="preserve">При выборе пользователем родительского документа, значение подтяг</w:t>
            </w:r>
            <w:r>
              <w:t xml:space="preserve">ив</w:t>
            </w:r>
            <w:r>
              <w:t xml:space="preserve">а</w:t>
            </w:r>
            <w:r>
              <w:t xml:space="preserve">ется автоматически из указанного бюджетного обязательства.</w:t>
            </w:r>
            <w:r/>
          </w:p>
          <w:p>
            <w:pPr>
              <w:pStyle w:val="1005"/>
              <w:ind w:left="57" w:right="57"/>
            </w:pPr>
            <w:r>
              <w:t xml:space="preserve">Поле не обязательно для заполнения, если тип лс = «05»</w:t>
            </w:r>
            <w:r>
              <w:t xml:space="preserve">.</w:t>
            </w:r>
            <w:r/>
          </w:p>
        </w:tc>
      </w:tr>
      <w:tr>
        <w:trPr/>
        <w:tc>
          <w:tcPr>
            <w:shd w:val="clear" w:fill="auto" w:color="auto"/>
            <w:tcW w:w="1268" w:type="pct"/>
            <w:textDirection w:val="lrTb"/>
            <w:noWrap w:val="false"/>
          </w:tcPr>
          <w:p>
            <w:pPr>
              <w:pStyle w:val="1005"/>
              <w:ind w:left="57" w:right="57"/>
            </w:pPr>
            <w:r>
              <w:t xml:space="preserve">Код по БК получат</w:t>
            </w:r>
            <w:r>
              <w:t xml:space="preserve">е</w:t>
            </w:r>
            <w:r>
              <w:t xml:space="preserve">ля</w:t>
            </w:r>
            <w:r/>
          </w:p>
        </w:tc>
        <w:tc>
          <w:tcPr>
            <w:shd w:val="clear" w:fill="auto" w:color="auto"/>
            <w:tcW w:w="3732" w:type="pct"/>
            <w:textDirection w:val="lrTb"/>
            <w:noWrap w:val="false"/>
          </w:tcPr>
          <w:p>
            <w:pPr>
              <w:pStyle w:val="1005"/>
              <w:ind w:left="57" w:right="57"/>
            </w:pPr>
            <w:r>
              <w:t xml:space="preserve">Значение вводится вручную или выбирается из справочника КБК.</w:t>
            </w:r>
            <w:r/>
          </w:p>
          <w:p>
            <w:pPr>
              <w:pStyle w:val="1005"/>
              <w:ind w:left="57" w:right="57"/>
            </w:pPr>
            <w:r>
              <w:t xml:space="preserve">Значение </w:t>
            </w:r>
            <w:r>
              <w:t xml:space="preserve">устанавливается</w:t>
            </w:r>
            <w:r>
              <w:t xml:space="preserve"> автоматически</w:t>
            </w:r>
            <w:r>
              <w:t xml:space="preserve"> </w:t>
            </w:r>
            <w:r>
              <w:t xml:space="preserve">из заполненных значений по се</w:t>
            </w:r>
            <w:r>
              <w:t xml:space="preserve">г</w:t>
            </w:r>
            <w:r>
              <w:t xml:space="preserve">ментам по следующим алгоритмам: </w:t>
            </w:r>
            <w:r/>
          </w:p>
          <w:p>
            <w:pPr>
              <w:pStyle w:val="1007"/>
            </w:pPr>
            <w:r>
              <w:t xml:space="preserve">к</w:t>
            </w:r>
            <w:r>
              <w:t xml:space="preserve">од главы + ФКР+КЦСР+КВР/Код поступлений/источников</w:t>
            </w:r>
            <w:r>
              <w:t xml:space="preserve">.</w:t>
            </w:r>
            <w:r/>
          </w:p>
        </w:tc>
      </w:tr>
      <w:tr>
        <w:trPr/>
        <w:tc>
          <w:tcPr>
            <w:shd w:val="clear" w:fill="auto" w:color="auto"/>
            <w:tcW w:w="1268" w:type="pct"/>
            <w:textDirection w:val="lrTb"/>
            <w:noWrap w:val="false"/>
          </w:tcPr>
          <w:p>
            <w:pPr>
              <w:pStyle w:val="1005"/>
              <w:ind w:left="57" w:right="57"/>
            </w:pPr>
            <w:r>
              <w:t xml:space="preserve">Сумма в вал. </w:t>
            </w:r>
            <w:r>
              <w:t xml:space="preserve">З</w:t>
            </w:r>
            <w:r>
              <w:t xml:space="preserve">аявки</w:t>
            </w:r>
            <w:r/>
          </w:p>
        </w:tc>
        <w:tc>
          <w:tcPr>
            <w:shd w:val="clear" w:fill="auto" w:color="auto"/>
            <w:tcW w:w="3732" w:type="pct"/>
            <w:textDirection w:val="lrTb"/>
            <w:noWrap w:val="false"/>
          </w:tcPr>
          <w:p>
            <w:pPr>
              <w:pStyle w:val="1005"/>
              <w:ind w:left="57" w:right="57"/>
            </w:pPr>
            <w:r>
              <w:t xml:space="preserve">Сумма по строке заявки на кассовый расход в рублях.</w:t>
            </w:r>
            <w:r/>
          </w:p>
          <w:p>
            <w:pPr>
              <w:pStyle w:val="1005"/>
              <w:ind w:left="57" w:right="57"/>
            </w:pPr>
            <w:r>
              <w:t xml:space="preserve">Значение вводится вручную.</w:t>
            </w:r>
            <w:r/>
          </w:p>
        </w:tc>
      </w:tr>
      <w:tr>
        <w:trPr/>
        <w:tc>
          <w:tcPr>
            <w:shd w:val="clear" w:fill="auto" w:color="auto"/>
            <w:tcW w:w="1268" w:type="pct"/>
            <w:textDirection w:val="lrTb"/>
            <w:noWrap w:val="false"/>
          </w:tcPr>
          <w:p>
            <w:pPr>
              <w:pStyle w:val="1005"/>
              <w:ind w:left="57" w:right="57"/>
            </w:pPr>
            <w:r>
              <w:t xml:space="preserve">Сумма в рублях</w:t>
            </w:r>
            <w:r/>
          </w:p>
        </w:tc>
        <w:tc>
          <w:tcPr>
            <w:shd w:val="clear" w:fill="auto" w:color="auto"/>
            <w:tcW w:w="3732" w:type="pct"/>
            <w:textDirection w:val="lrTb"/>
            <w:noWrap w:val="false"/>
          </w:tcPr>
          <w:p>
            <w:pPr>
              <w:pStyle w:val="1005"/>
              <w:ind w:left="57" w:right="57"/>
            </w:pPr>
            <w:r>
              <w:t xml:space="preserve">Значение вводится вручную.</w:t>
            </w:r>
            <w:r/>
          </w:p>
          <w:p>
            <w:pPr>
              <w:pStyle w:val="1005"/>
              <w:ind w:left="57" w:right="57"/>
            </w:pPr>
            <w:r>
              <w:t xml:space="preserve">По умолчанию проставляется значение 0.00.</w:t>
            </w:r>
            <w:r/>
          </w:p>
        </w:tc>
      </w:tr>
      <w:tr>
        <w:trPr/>
        <w:tc>
          <w:tcPr>
            <w:shd w:val="clear" w:fill="auto" w:color="auto"/>
            <w:tcW w:w="1268" w:type="pct"/>
            <w:textDirection w:val="lrTb"/>
            <w:noWrap w:val="false"/>
          </w:tcPr>
          <w:p>
            <w:pPr>
              <w:pStyle w:val="1005"/>
              <w:ind w:left="57" w:right="57"/>
            </w:pPr>
            <w:r>
              <w:t xml:space="preserve">Назначение платежа</w:t>
            </w:r>
            <w:r/>
          </w:p>
        </w:tc>
        <w:tc>
          <w:tcPr>
            <w:shd w:val="clear" w:fill="auto" w:color="auto"/>
            <w:tcW w:w="3732" w:type="pct"/>
            <w:textDirection w:val="lrTb"/>
            <w:noWrap w:val="false"/>
          </w:tcPr>
          <w:p>
            <w:pPr>
              <w:pStyle w:val="1005"/>
              <w:ind w:left="57" w:right="57"/>
            </w:pPr>
            <w:r>
              <w:t xml:space="preserve">При установке курсора на соответствующую строку расшифровки отражается значение, введенное в поле «Назначение платежа» для данной строки.</w:t>
            </w:r>
            <w:r/>
          </w:p>
        </w:tc>
      </w:tr>
      <w:tr>
        <w:trPr/>
        <w:tc>
          <w:tcPr>
            <w:shd w:val="clear" w:fill="auto" w:color="auto"/>
            <w:tcW w:w="1268" w:type="pct"/>
            <w:textDirection w:val="lrTb"/>
            <w:noWrap w:val="false"/>
          </w:tcPr>
          <w:p>
            <w:pPr>
              <w:pStyle w:val="1005"/>
              <w:ind w:left="57" w:right="57"/>
            </w:pPr>
            <w:r>
              <w:t xml:space="preserve">Примечание</w:t>
            </w:r>
            <w:r/>
          </w:p>
        </w:tc>
        <w:tc>
          <w:tcPr>
            <w:shd w:val="clear" w:fill="auto" w:color="auto"/>
            <w:tcW w:w="3732" w:type="pct"/>
            <w:textDirection w:val="lrTb"/>
            <w:noWrap w:val="false"/>
          </w:tcPr>
          <w:p>
            <w:pPr>
              <w:pStyle w:val="1005"/>
              <w:ind w:left="57" w:right="57"/>
            </w:pPr>
            <w:r>
              <w:t xml:space="preserve">Поле недоступно для редактирования.</w:t>
            </w:r>
            <w:r/>
          </w:p>
          <w:p>
            <w:pPr>
              <w:pStyle w:val="1005"/>
              <w:ind w:left="57" w:right="57"/>
            </w:pPr>
            <w:r>
              <w:t xml:space="preserve">При установке курсора на соответствующую строку расшифровки отражается значение, введенное в поле «Примечание» для данной строки.</w:t>
            </w:r>
            <w:r/>
          </w:p>
        </w:tc>
      </w:tr>
      <w:tr>
        <w:trPr/>
        <w:tc>
          <w:tcPr>
            <w:shd w:val="clear" w:fill="auto" w:color="auto"/>
            <w:tcW w:w="1268" w:type="pct"/>
            <w:textDirection w:val="lrTb"/>
            <w:noWrap w:val="false"/>
          </w:tcPr>
          <w:p>
            <w:pPr>
              <w:pStyle w:val="1005"/>
              <w:ind w:left="57" w:right="57"/>
            </w:pPr>
            <w:r>
              <w:t xml:space="preserve">КЦ</w:t>
            </w:r>
            <w:r>
              <w:t xml:space="preserve"> (аналитический код)</w:t>
            </w:r>
            <w:r/>
          </w:p>
        </w:tc>
        <w:tc>
          <w:tcPr>
            <w:shd w:val="clear" w:fill="auto" w:color="auto"/>
            <w:tcW w:w="3732" w:type="pct"/>
            <w:textDirection w:val="lrTb"/>
            <w:noWrap w:val="false"/>
          </w:tcPr>
          <w:p>
            <w:pPr>
              <w:pStyle w:val="1005"/>
              <w:ind w:left="57" w:right="57"/>
            </w:pPr>
            <w:r>
              <w:t xml:space="preserve">Код целей субсидий/субвенций</w:t>
            </w:r>
            <w:r>
              <w:t xml:space="preserve">.</w:t>
            </w:r>
            <w:r/>
          </w:p>
          <w:p>
            <w:pPr>
              <w:pStyle w:val="1005"/>
              <w:ind w:left="57" w:right="57"/>
            </w:pPr>
            <w:r>
              <w:t xml:space="preserve">Значение </w:t>
            </w:r>
            <w:r>
              <w:t xml:space="preserve">вводит</w:t>
            </w:r>
            <w:r>
              <w:t xml:space="preserve">ся вручную или </w:t>
            </w:r>
            <w:r>
              <w:t xml:space="preserve">выбирается </w:t>
            </w:r>
            <w:r>
              <w:t xml:space="preserve">из </w:t>
            </w:r>
            <w:r>
              <w:t xml:space="preserve">с</w:t>
            </w:r>
            <w:r>
              <w:t xml:space="preserve">правочника </w:t>
            </w:r>
            <w:r>
              <w:t xml:space="preserve">«</w:t>
            </w:r>
            <w:r>
              <w:t xml:space="preserve">К</w:t>
            </w:r>
            <w:r>
              <w:t xml:space="preserve">од</w:t>
            </w:r>
            <w:r>
              <w:t xml:space="preserve">ы</w:t>
            </w:r>
            <w:r>
              <w:t xml:space="preserve"> целей су</w:t>
            </w:r>
            <w:r>
              <w:t xml:space="preserve">б</w:t>
            </w:r>
            <w:r>
              <w:t xml:space="preserve">с</w:t>
            </w:r>
            <w:r>
              <w:t xml:space="preserve">и</w:t>
            </w:r>
            <w:r>
              <w:t xml:space="preserve">дий/субвенций</w:t>
            </w:r>
            <w:r>
              <w:t xml:space="preserve">»</w:t>
            </w:r>
            <w:r>
              <w:t xml:space="preserve">.</w:t>
            </w:r>
            <w:r/>
          </w:p>
          <w:p>
            <w:pPr>
              <w:pStyle w:val="1005"/>
              <w:ind w:left="57" w:right="57"/>
            </w:pPr>
            <w:r>
              <w:t xml:space="preserve">Значение подтягивается автоматически при выборе родительского док</w:t>
            </w:r>
            <w:r>
              <w:t xml:space="preserve">у</w:t>
            </w:r>
            <w:r>
              <w:t xml:space="preserve">мента.</w:t>
            </w:r>
            <w:r>
              <w:t xml:space="preserve"> </w:t>
            </w:r>
            <w:r>
              <w:t xml:space="preserve">При указании в документе 21 или 31 типа ЛС значение вводится вру</w:t>
            </w:r>
            <w:r>
              <w:t xml:space="preserve">ч</w:t>
            </w:r>
            <w:r>
              <w:t xml:space="preserve">ную или предоставл</w:t>
            </w:r>
            <w:r>
              <w:t xml:space="preserve">яется</w:t>
            </w:r>
            <w:r>
              <w:t xml:space="preserve"> выбор значения из списка справочников: </w:t>
            </w:r>
            <w:r>
              <w:t xml:space="preserve">«</w:t>
            </w:r>
            <w:r>
              <w:t xml:space="preserve">Коды целей субсидий/субвенций</w:t>
            </w:r>
            <w:r>
              <w:t xml:space="preserve">»</w:t>
            </w:r>
            <w:r>
              <w:t xml:space="preserve">, </w:t>
            </w:r>
            <w:r>
              <w:t xml:space="preserve">«</w:t>
            </w:r>
            <w:r>
              <w:t xml:space="preserve">Коды субсидий НУБП</w:t>
            </w:r>
            <w:r>
              <w:t xml:space="preserve">»</w:t>
            </w:r>
            <w:r>
              <w:t xml:space="preserve">. </w:t>
            </w:r>
            <w:r/>
          </w:p>
          <w:p>
            <w:pPr>
              <w:pStyle w:val="1005"/>
              <w:ind w:left="57" w:right="57"/>
            </w:pPr>
            <w:r>
              <w:t xml:space="preserve">При указании 41 типа ЛС значение </w:t>
            </w:r>
            <w:r>
              <w:t xml:space="preserve">вводит</w:t>
            </w:r>
            <w:r>
              <w:t xml:space="preserve">ся вручную или предоставл</w:t>
            </w:r>
            <w:r>
              <w:t xml:space="preserve">яется</w:t>
            </w:r>
            <w:r>
              <w:t xml:space="preserve"> выбор значения из списка справочника: </w:t>
            </w:r>
            <w:r>
              <w:t xml:space="preserve">«</w:t>
            </w:r>
            <w:r>
              <w:t xml:space="preserve">Коды субсидий НУБП</w:t>
            </w:r>
            <w:r>
              <w:t xml:space="preserve">»</w:t>
            </w:r>
            <w:r>
              <w:t xml:space="preserve">.</w:t>
            </w:r>
            <w:r/>
          </w:p>
        </w:tc>
      </w:tr>
      <w:tr>
        <w:trPr/>
        <w:tc>
          <w:tcPr>
            <w:shd w:val="clear" w:fill="auto" w:color="auto"/>
            <w:tcW w:w="1268" w:type="pct"/>
            <w:textDirection w:val="lrTb"/>
            <w:noWrap w:val="false"/>
          </w:tcPr>
          <w:p>
            <w:pPr>
              <w:pStyle w:val="1005"/>
              <w:ind w:left="57" w:right="57"/>
            </w:pPr>
            <w:r>
              <w:t xml:space="preserve">Код цели получателя</w:t>
            </w:r>
            <w:r/>
          </w:p>
        </w:tc>
        <w:tc>
          <w:tcPr>
            <w:shd w:val="clear" w:fill="auto" w:color="auto"/>
            <w:tcW w:w="3732" w:type="pct"/>
            <w:textDirection w:val="lrTb"/>
            <w:noWrap w:val="false"/>
          </w:tcPr>
          <w:p>
            <w:pPr>
              <w:pStyle w:val="1005"/>
              <w:ind w:left="57" w:right="57"/>
            </w:pPr>
            <w:r>
              <w:t xml:space="preserve">Код целей субсидий/субвенций.</w:t>
            </w:r>
            <w:r/>
          </w:p>
          <w:p>
            <w:pPr>
              <w:pStyle w:val="1005"/>
              <w:ind w:left="57" w:right="57"/>
            </w:pPr>
            <w:r>
              <w:t xml:space="preserve">Значение может вводиться вручную или из Справочника кодов целей су</w:t>
            </w:r>
            <w:r>
              <w:t xml:space="preserve">б</w:t>
            </w:r>
            <w:r>
              <w:t xml:space="preserve">с</w:t>
            </w:r>
            <w:r>
              <w:t xml:space="preserve">и</w:t>
            </w:r>
            <w:r>
              <w:t xml:space="preserve">дий/субвенций.</w:t>
            </w:r>
            <w:r/>
          </w:p>
          <w:p>
            <w:pPr>
              <w:pStyle w:val="1005"/>
              <w:ind w:left="57" w:right="57"/>
            </w:pPr>
            <w:r>
              <w:t xml:space="preserve">При указании в поле ЛС Раздела 3. «Реквизиты контрагента» 21 и 31 т</w:t>
            </w:r>
            <w:r>
              <w:t xml:space="preserve">ипа ЛС значение </w:t>
            </w:r>
            <w:r>
              <w:t xml:space="preserve">вводит</w:t>
            </w:r>
            <w:r>
              <w:t xml:space="preserve">ся вручную или предо</w:t>
            </w:r>
            <w:r>
              <w:t xml:space="preserve">с</w:t>
            </w:r>
            <w:r>
              <w:t xml:space="preserve">тавл</w:t>
            </w:r>
            <w:r>
              <w:t xml:space="preserve">яется</w:t>
            </w:r>
            <w:r>
              <w:t xml:space="preserve"> выбор значения из списка справочников: </w:t>
            </w:r>
            <w:r>
              <w:t xml:space="preserve">«</w:t>
            </w:r>
            <w:r>
              <w:t xml:space="preserve">Коды целей субс</w:t>
            </w:r>
            <w:r>
              <w:t xml:space="preserve">и</w:t>
            </w:r>
            <w:r>
              <w:t xml:space="preserve">дий/субвенций</w:t>
            </w:r>
            <w:r>
              <w:t xml:space="preserve">»</w:t>
            </w:r>
            <w:r>
              <w:t xml:space="preserve">, </w:t>
            </w:r>
            <w:r>
              <w:t xml:space="preserve">«</w:t>
            </w:r>
            <w:r>
              <w:t xml:space="preserve">Коды субсидий НУБП</w:t>
            </w:r>
            <w:r>
              <w:t xml:space="preserve">».</w:t>
            </w:r>
            <w:r/>
          </w:p>
        </w:tc>
      </w:tr>
      <w:tr>
        <w:trPr/>
        <w:tc>
          <w:tcPr>
            <w:shd w:val="clear" w:fill="auto" w:color="auto"/>
            <w:tcW w:w="1268" w:type="pct"/>
            <w:textDirection w:val="lrTb"/>
            <w:noWrap w:val="false"/>
          </w:tcPr>
          <w:p>
            <w:pPr>
              <w:pStyle w:val="1005"/>
              <w:ind w:left="57" w:right="57"/>
            </w:pPr>
            <w:r>
              <w:t xml:space="preserve">Вид средств </w:t>
            </w:r>
            <w:r/>
          </w:p>
        </w:tc>
        <w:tc>
          <w:tcPr>
            <w:shd w:val="clear" w:fill="auto" w:color="auto"/>
            <w:tcW w:w="3732" w:type="pct"/>
            <w:textDirection w:val="lrTb"/>
            <w:noWrap w:val="false"/>
          </w:tcPr>
          <w:p>
            <w:pPr>
              <w:pStyle w:val="1005"/>
              <w:ind w:left="57" w:right="57"/>
            </w:pPr>
            <w:r>
              <w:t xml:space="preserve">Код и наименование вида средств.</w:t>
            </w:r>
            <w:r/>
          </w:p>
          <w:p>
            <w:pPr>
              <w:pStyle w:val="1005"/>
              <w:ind w:left="57" w:right="57"/>
            </w:pPr>
            <w:r>
              <w:t xml:space="preserve">По умолчанию указывается значение – </w:t>
            </w:r>
            <w:r>
              <w:t xml:space="preserve">«</w:t>
            </w:r>
            <w:r>
              <w:t xml:space="preserve">10</w:t>
            </w:r>
            <w:r>
              <w:t xml:space="preserve">»</w:t>
            </w:r>
            <w:r>
              <w:t xml:space="preserve">. </w:t>
            </w:r>
            <w:r/>
          </w:p>
          <w:p>
            <w:pPr>
              <w:pStyle w:val="1005"/>
              <w:ind w:left="57" w:right="57"/>
            </w:pPr>
            <w:r>
              <w:t xml:space="preserve">Значение заполняется автоматически из родительского документа. М</w:t>
            </w:r>
            <w:r>
              <w:t xml:space="preserve">ожет быть изменено пользователем вручную или выбором из справочника </w:t>
            </w:r>
            <w:r>
              <w:t xml:space="preserve">«</w:t>
            </w:r>
            <w:r>
              <w:t xml:space="preserve">И</w:t>
            </w:r>
            <w:r>
              <w:t xml:space="preserve">с</w:t>
            </w:r>
            <w:r>
              <w:t xml:space="preserve">то</w:t>
            </w:r>
            <w:r>
              <w:t xml:space="preserve">ч</w:t>
            </w:r>
            <w:r>
              <w:t xml:space="preserve">ники финансирования</w:t>
            </w:r>
            <w:r>
              <w:t xml:space="preserve">»</w:t>
            </w:r>
            <w:r>
              <w:t xml:space="preserve">. </w:t>
            </w:r>
            <w:r/>
          </w:p>
          <w:p>
            <w:pPr>
              <w:pStyle w:val="1005"/>
              <w:ind w:left="57" w:right="57"/>
            </w:pPr>
            <w:r>
              <w:t xml:space="preserve">Список значений, доступных для выбора пользователем ограничен сл</w:t>
            </w:r>
            <w:r>
              <w:t xml:space="preserve">ед</w:t>
            </w:r>
            <w:r>
              <w:t xml:space="preserve">у</w:t>
            </w:r>
            <w:r>
              <w:t xml:space="preserve">ю</w:t>
            </w:r>
            <w:r>
              <w:t xml:space="preserve">щими кодами: 10, 20, 14, 30, 40, 70, 80, 90.</w:t>
            </w:r>
            <w:r/>
          </w:p>
          <w:p>
            <w:pPr>
              <w:pStyle w:val="1005"/>
              <w:ind w:left="57" w:right="57"/>
            </w:pPr>
            <w:r>
              <w:t xml:space="preserve">Для ОФК off-line заполняется вручную</w:t>
            </w:r>
            <w:r>
              <w:t xml:space="preserve">, а при вводе документа от БУ зн</w:t>
            </w:r>
            <w:r>
              <w:t xml:space="preserve">а</w:t>
            </w:r>
            <w:r>
              <w:t xml:space="preserve">ч</w:t>
            </w:r>
            <w:r>
              <w:t xml:space="preserve">е</w:t>
            </w:r>
            <w:r>
              <w:t xml:space="preserve">ние проставляется автоматически: 20 типу ЛС соответствует код 80, а 21 типу ЛС соответствует код 90, 22 типу ЛС соответствует код 70.</w:t>
            </w:r>
            <w:r/>
          </w:p>
          <w:p>
            <w:pPr>
              <w:pStyle w:val="1005"/>
              <w:ind w:left="57" w:right="57"/>
            </w:pPr>
            <w:r>
              <w:t xml:space="preserve">31</w:t>
            </w:r>
            <w:r>
              <w:t xml:space="preserve">, 41 типам ЛС соответствует код 40, если в записи справочника НУБП соо</w:t>
            </w:r>
            <w:r>
              <w:t xml:space="preserve">т</w:t>
            </w:r>
            <w:r>
              <w:t xml:space="preserve">ветствующей коду из системной константы </w:t>
            </w:r>
            <w:r>
              <w:t xml:space="preserve">«</w:t>
            </w:r>
            <w:r>
              <w:t xml:space="preserve">Код собственного БУ</w:t>
            </w:r>
            <w:r>
              <w:t xml:space="preserve">»</w:t>
            </w:r>
            <w:r>
              <w:t xml:space="preserve">, в п</w:t>
            </w:r>
            <w:r>
              <w:t xml:space="preserve">о</w:t>
            </w:r>
            <w:r>
              <w:t xml:space="preserve">ле </w:t>
            </w:r>
            <w:r>
              <w:t xml:space="preserve">«</w:t>
            </w:r>
            <w:r>
              <w:t xml:space="preserve">Тип клиента</w:t>
            </w:r>
            <w:r>
              <w:t xml:space="preserve">»</w:t>
            </w:r>
            <w:r>
              <w:t xml:space="preserve"> указано </w:t>
            </w:r>
            <w:r>
              <w:t xml:space="preserve">«</w:t>
            </w:r>
            <w:r>
              <w:t xml:space="preserve">НУБП</w:t>
            </w:r>
            <w:r>
              <w:t xml:space="preserve">»</w:t>
            </w:r>
            <w:r>
              <w:t xml:space="preserve">, либо код 90, если тип – </w:t>
            </w:r>
            <w:r>
              <w:t xml:space="preserve">«</w:t>
            </w:r>
            <w:r>
              <w:t xml:space="preserve">АУ</w:t>
            </w:r>
            <w:r>
              <w:t xml:space="preserve">»</w:t>
            </w:r>
            <w:r>
              <w:t xml:space="preserve">.</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w:t>
            </w:r>
            <w:r>
              <w:t xml:space="preserve">Код по БК плательщика</w:t>
            </w:r>
            <w:r>
              <w:t xml:space="preserve">»</w:t>
            </w:r>
            <w:r/>
          </w:p>
        </w:tc>
      </w:tr>
      <w:tr>
        <w:trPr/>
        <w:tc>
          <w:tcPr>
            <w:shd w:val="clear" w:fill="auto" w:color="auto"/>
            <w:tcW w:w="1268" w:type="pct"/>
            <w:textDirection w:val="lrTb"/>
            <w:noWrap w:val="false"/>
          </w:tcPr>
          <w:p>
            <w:pPr>
              <w:pStyle w:val="1005"/>
              <w:ind w:left="57" w:right="57"/>
            </w:pPr>
            <w:r>
              <w:t xml:space="preserve">КБК </w:t>
            </w:r>
            <w:r/>
          </w:p>
        </w:tc>
        <w:tc>
          <w:tcPr>
            <w:shd w:val="clear" w:fill="auto" w:color="auto"/>
            <w:tcW w:w="3732" w:type="pct"/>
            <w:textDirection w:val="lrTb"/>
            <w:noWrap w:val="false"/>
          </w:tcPr>
          <w:p>
            <w:pPr>
              <w:pStyle w:val="1005"/>
              <w:ind w:left="57" w:right="57"/>
            </w:pPr>
            <w:r>
              <w:t xml:space="preserve">Вводится вручную, либо формируется автоматически по заполненным значениям нижестоящих полей: «Код главы» + «ФКР» + «КЦСР» + «КВР/Код поступлений/источников».</w:t>
            </w:r>
            <w:r/>
          </w:p>
          <w:p>
            <w:pPr>
              <w:pStyle w:val="1005"/>
              <w:ind w:left="57" w:right="57"/>
            </w:pPr>
            <w:r>
              <w:t xml:space="preserve">Для ОФК off-line заполняется вручную.</w:t>
            </w:r>
            <w:r/>
          </w:p>
          <w:p>
            <w:pPr>
              <w:pStyle w:val="1005"/>
              <w:ind w:left="57" w:right="57"/>
            </w:pPr>
            <w:r>
              <w:t xml:space="preserve">Поле не обязательно для заполнения, если тип лс = «05».</w:t>
            </w:r>
            <w:r/>
          </w:p>
        </w:tc>
      </w:tr>
      <w:tr>
        <w:trPr/>
        <w:tc>
          <w:tcPr>
            <w:shd w:val="clear" w:fill="auto" w:color="auto"/>
            <w:tcW w:w="1268" w:type="pct"/>
            <w:textDirection w:val="lrTb"/>
            <w:noWrap w:val="false"/>
          </w:tcPr>
          <w:p>
            <w:pPr>
              <w:pStyle w:val="1005"/>
              <w:ind w:left="57" w:right="57"/>
            </w:pPr>
            <w:r>
              <w:t xml:space="preserve">Код главы</w:t>
            </w:r>
            <w:r/>
          </w:p>
        </w:tc>
        <w:tc>
          <w:tcPr>
            <w:shd w:val="clear" w:fill="auto" w:color="auto"/>
            <w:tcW w:w="3732" w:type="pct"/>
            <w:textDirection w:val="lrTb"/>
            <w:noWrap w:val="false"/>
          </w:tcPr>
          <w:p>
            <w:pPr>
              <w:pStyle w:val="1005"/>
              <w:ind w:left="57" w:right="57"/>
            </w:pPr>
            <w:r>
              <w:t xml:space="preserve">Код ведомственной структуры.</w:t>
            </w:r>
            <w:r/>
          </w:p>
          <w:p>
            <w:pPr>
              <w:pStyle w:val="1005"/>
              <w:ind w:left="57" w:right="57"/>
            </w:pPr>
            <w:r>
              <w:t xml:space="preserve">Значение вводится вручную</w:t>
            </w:r>
            <w:r>
              <w:t xml:space="preserve"> или и</w:t>
            </w:r>
            <w:r>
              <w:t xml:space="preserve">з </w:t>
            </w:r>
            <w:r>
              <w:t xml:space="preserve">спр</w:t>
            </w:r>
            <w:r>
              <w:t xml:space="preserve">а</w:t>
            </w:r>
            <w:r>
              <w:t xml:space="preserve">вочника «Ведомства».</w:t>
            </w:r>
            <w:r/>
          </w:p>
          <w:p>
            <w:pPr>
              <w:pStyle w:val="1005"/>
              <w:ind w:left="57" w:right="57"/>
            </w:pPr>
            <w:r>
              <w:t xml:space="preserve">Может</w:t>
            </w:r>
            <w:r>
              <w:t xml:space="preserve"> подтягиваться автоматически при указании польз</w:t>
            </w:r>
            <w:r>
              <w:t xml:space="preserve">о</w:t>
            </w:r>
            <w:r>
              <w:t xml:space="preserve">вателем родительского документа (поле остается доступным для р</w:t>
            </w:r>
            <w:r>
              <w:t xml:space="preserve">е</w:t>
            </w:r>
            <w:r>
              <w:t xml:space="preserve">дактирова</w:t>
            </w:r>
            <w:r>
              <w:t xml:space="preserve">ния</w:t>
            </w:r>
            <w:r>
              <w:t xml:space="preserve">). При этом пользователь может удалить часть строк, подтянутых а</w:t>
            </w:r>
            <w:r>
              <w:t xml:space="preserve">в</w:t>
            </w:r>
            <w:r>
              <w:t xml:space="preserve">томатически при выборе родительского документа. </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w:t>
            </w:r>
            <w:r>
              <w:t xml:space="preserve">Расходы</w:t>
            </w:r>
            <w:r>
              <w:t xml:space="preserve">»</w:t>
            </w:r>
            <w:r/>
          </w:p>
        </w:tc>
      </w:tr>
      <w:tr>
        <w:trPr/>
        <w:tc>
          <w:tcPr>
            <w:shd w:val="clear" w:fill="auto" w:color="auto"/>
            <w:tcW w:w="1268" w:type="pct"/>
            <w:textDirection w:val="lrTb"/>
            <w:noWrap w:val="false"/>
          </w:tcPr>
          <w:p>
            <w:pPr>
              <w:pStyle w:val="1005"/>
              <w:ind w:left="57" w:right="57"/>
            </w:pPr>
            <w:r>
              <w:t xml:space="preserve">ФКР</w:t>
            </w:r>
            <w:r/>
          </w:p>
        </w:tc>
        <w:tc>
          <w:tcPr>
            <w:shd w:val="clear" w:fill="auto" w:color="auto"/>
            <w:tcW w:w="3732" w:type="pct"/>
            <w:textDirection w:val="lrTb"/>
            <w:noWrap w:val="false"/>
          </w:tcPr>
          <w:p>
            <w:pPr>
              <w:pStyle w:val="1005"/>
              <w:ind w:left="57" w:right="57"/>
            </w:pPr>
            <w:r>
              <w:t xml:space="preserve">Код функциональной классификации расходов.</w:t>
            </w:r>
            <w:r/>
          </w:p>
          <w:p>
            <w:pPr>
              <w:pStyle w:val="1005"/>
              <w:ind w:left="57" w:right="57"/>
            </w:pPr>
            <w:r>
              <w:t xml:space="preserve">Значение заполняется вручную или выбирается из справочника </w:t>
            </w:r>
            <w:r>
              <w:t xml:space="preserve">«</w:t>
            </w:r>
            <w:r>
              <w:t xml:space="preserve">Справочник </w:t>
            </w:r>
            <w:r>
              <w:t xml:space="preserve">разд</w:t>
            </w:r>
            <w:r>
              <w:t xml:space="preserve">е</w:t>
            </w:r>
            <w:r>
              <w:t xml:space="preserve">лов/подразделов</w:t>
            </w:r>
            <w:r>
              <w:t xml:space="preserve">»</w:t>
            </w:r>
            <w:r>
              <w:t xml:space="preserve">,</w:t>
            </w:r>
            <w:r>
              <w:t xml:space="preserve"> или подтягива</w:t>
            </w:r>
            <w:r>
              <w:t xml:space="preserve">е</w:t>
            </w:r>
            <w:r>
              <w:t xml:space="preserve">тся автоматически при указании пользов</w:t>
            </w:r>
            <w:r>
              <w:t xml:space="preserve">а</w:t>
            </w:r>
            <w:r>
              <w:t xml:space="preserve">т</w:t>
            </w:r>
            <w:r>
              <w:t xml:space="preserve">е</w:t>
            </w:r>
            <w:r>
              <w:t xml:space="preserve">лем родительского документа (поле остается доступным для редактир</w:t>
            </w:r>
            <w:r>
              <w:t xml:space="preserve">о</w:t>
            </w:r>
            <w:r>
              <w:t xml:space="preserve">вания пользователю). При этом пользователь может удалить часть строк</w:t>
            </w:r>
            <w:r>
              <w:t xml:space="preserve"> подтянутых автоматически:</w:t>
            </w:r>
            <w:r/>
          </w:p>
          <w:p>
            <w:pPr>
              <w:pStyle w:val="1007"/>
            </w:pPr>
            <w:r>
              <w:t xml:space="preserve">при </w:t>
            </w:r>
            <w:r>
              <w:t xml:space="preserve">выборе родительского документа;</w:t>
            </w:r>
            <w:r/>
          </w:p>
          <w:p>
            <w:pPr>
              <w:pStyle w:val="1007"/>
            </w:pPr>
            <w:r>
              <w:t xml:space="preserve">при указании ссылки на бюджетное обязательство.</w:t>
            </w:r>
            <w:r/>
          </w:p>
        </w:tc>
      </w:tr>
      <w:tr>
        <w:trPr/>
        <w:tc>
          <w:tcPr>
            <w:shd w:val="clear" w:fill="auto" w:color="auto"/>
            <w:tcW w:w="1268" w:type="pct"/>
            <w:textDirection w:val="lrTb"/>
            <w:noWrap w:val="false"/>
          </w:tcPr>
          <w:p>
            <w:pPr>
              <w:pStyle w:val="1005"/>
              <w:ind w:left="57" w:right="57"/>
            </w:pPr>
            <w:r>
              <w:t xml:space="preserve">КЦСР</w:t>
            </w:r>
            <w:r/>
          </w:p>
        </w:tc>
        <w:tc>
          <w:tcPr>
            <w:shd w:val="clear" w:fill="auto" w:color="auto"/>
            <w:tcW w:w="3732" w:type="pct"/>
            <w:textDirection w:val="lrTb"/>
            <w:noWrap w:val="false"/>
          </w:tcPr>
          <w:p>
            <w:pPr>
              <w:pStyle w:val="1005"/>
              <w:ind w:left="57" w:right="57"/>
            </w:pPr>
            <w:r>
              <w:t xml:space="preserve">Значение заполняется вручную или выбирается из справочника </w:t>
            </w:r>
            <w:r>
              <w:t xml:space="preserve">«Справочник </w:t>
            </w:r>
            <w:r>
              <w:t xml:space="preserve">цел</w:t>
            </w:r>
            <w:r>
              <w:t xml:space="preserve">евых ст</w:t>
            </w:r>
            <w:r>
              <w:t xml:space="preserve">а</w:t>
            </w:r>
            <w:r>
              <w:t xml:space="preserve">тей</w:t>
            </w:r>
            <w:r>
              <w:t xml:space="preserve">»</w:t>
            </w:r>
            <w:r>
              <w:t xml:space="preserve">,</w:t>
            </w:r>
            <w:r>
              <w:t xml:space="preserve"> или подтягива</w:t>
            </w:r>
            <w:r>
              <w:t xml:space="preserve">е</w:t>
            </w:r>
            <w:r>
              <w:t xml:space="preserve">тся автоматически при указании пользователем р</w:t>
            </w:r>
            <w:r>
              <w:t xml:space="preserve">о</w:t>
            </w:r>
            <w:r>
              <w:t xml:space="preserve">дител</w:t>
            </w:r>
            <w:r>
              <w:t xml:space="preserve">ь</w:t>
            </w:r>
            <w:r>
              <w:t xml:space="preserve">ского документа (поле остается доступным для редактирования пользоват</w:t>
            </w:r>
            <w:r>
              <w:t xml:space="preserve">е</w:t>
            </w:r>
            <w:r>
              <w:t xml:space="preserve">лю). </w:t>
            </w:r>
            <w:r>
              <w:t xml:space="preserve">При этом пользователь может удалить часть строк подтянутых автоматически:</w:t>
            </w:r>
            <w:r/>
          </w:p>
          <w:p>
            <w:pPr>
              <w:pStyle w:val="1007"/>
            </w:pPr>
            <w:r>
              <w:t xml:space="preserve">при выборе родительского документа;</w:t>
            </w:r>
            <w:r/>
          </w:p>
          <w:p>
            <w:pPr>
              <w:pStyle w:val="1007"/>
            </w:pPr>
            <w:r>
              <w:t xml:space="preserve">при указании ссылки на бюджетное обязательство.</w:t>
            </w:r>
            <w:r/>
          </w:p>
        </w:tc>
      </w:tr>
      <w:tr>
        <w:trPr/>
        <w:tc>
          <w:tcPr>
            <w:shd w:val="clear" w:fill="auto" w:color="auto"/>
            <w:tcW w:w="1268" w:type="pct"/>
            <w:textDirection w:val="lrTb"/>
            <w:noWrap w:val="false"/>
          </w:tcPr>
          <w:p>
            <w:pPr>
              <w:pStyle w:val="1005"/>
              <w:ind w:left="57" w:right="57"/>
            </w:pPr>
            <w:r>
              <w:t xml:space="preserve">КВР</w:t>
            </w:r>
            <w:r>
              <w:t xml:space="preserve">/Код поступл</w:t>
            </w:r>
            <w:r>
              <w:t xml:space="preserve">е</w:t>
            </w:r>
            <w:r>
              <w:t xml:space="preserve">ний/источников</w:t>
            </w:r>
            <w:r/>
          </w:p>
        </w:tc>
        <w:tc>
          <w:tcPr>
            <w:shd w:val="clear" w:fill="auto" w:color="auto"/>
            <w:tcW w:w="3732" w:type="pct"/>
            <w:textDirection w:val="lrTb"/>
            <w:noWrap w:val="false"/>
          </w:tcPr>
          <w:p>
            <w:pPr>
              <w:pStyle w:val="1005"/>
              <w:ind w:left="57" w:right="57"/>
            </w:pPr>
            <w:r>
              <w:t xml:space="preserve">Значение заполняется вручную или подтягива</w:t>
            </w:r>
            <w:r>
              <w:t xml:space="preserve">е</w:t>
            </w:r>
            <w:r>
              <w:t xml:space="preserve">тся автоматически при ук</w:t>
            </w:r>
            <w:r>
              <w:t xml:space="preserve">а</w:t>
            </w:r>
            <w:r>
              <w:t xml:space="preserve">зании пользователем родительского документа (поле остается доступным для редактирования пользователю). </w:t>
            </w:r>
            <w:r>
              <w:t xml:space="preserve">При этом пользователь может удалить часть строк подтянутых автоматически:</w:t>
            </w:r>
            <w:r/>
          </w:p>
          <w:p>
            <w:pPr>
              <w:pStyle w:val="1007"/>
            </w:pPr>
            <w:r>
              <w:t xml:space="preserve">при выборе родительского документа;</w:t>
            </w:r>
            <w:r/>
          </w:p>
          <w:p>
            <w:pPr>
              <w:pStyle w:val="1007"/>
            </w:pPr>
            <w:r>
              <w:t xml:space="preserve">при указании ссылки на бюджетное обязательство.</w:t>
            </w:r>
            <w:r/>
          </w:p>
          <w:p>
            <w:pPr>
              <w:pStyle w:val="1005"/>
              <w:ind w:left="57" w:right="57"/>
            </w:pPr>
            <w:r>
              <w:t xml:space="preserve">П</w:t>
            </w:r>
            <w:r>
              <w:t xml:space="preserve">ри ручном вводе или редактировании</w:t>
            </w:r>
            <w:r>
              <w:t xml:space="preserve">,</w:t>
            </w:r>
            <w:r>
              <w:t xml:space="preserve"> возмож</w:t>
            </w:r>
            <w:r>
              <w:t xml:space="preserve">ен</w:t>
            </w:r>
            <w:r>
              <w:t xml:space="preserve"> выбор записей из спр</w:t>
            </w:r>
            <w:r>
              <w:t xml:space="preserve">а</w:t>
            </w:r>
            <w:r>
              <w:t xml:space="preserve">вочника «Справочник аналитических кодов поступлений и источников (АУ/БУ/НУБП)»</w:t>
            </w:r>
            <w:r>
              <w:t xml:space="preserve">.</w:t>
            </w:r>
            <w:r/>
          </w:p>
        </w:tc>
      </w:tr>
      <w:tr>
        <w:trPr/>
        <w:tc>
          <w:tcPr>
            <w:shd w:val="clear" w:fill="auto" w:color="auto"/>
            <w:tcW w:w="1268" w:type="pct"/>
            <w:textDirection w:val="lrTb"/>
            <w:noWrap w:val="false"/>
          </w:tcPr>
          <w:p>
            <w:pPr>
              <w:pStyle w:val="1005"/>
              <w:ind w:left="57" w:right="57"/>
            </w:pPr>
            <w:r>
              <w:t xml:space="preserve">Код цели (</w:t>
            </w:r>
            <w:r>
              <w:t xml:space="preserve">аналитический код</w:t>
            </w:r>
            <w:r>
              <w:t xml:space="preserve">)</w:t>
            </w:r>
            <w:r/>
          </w:p>
        </w:tc>
        <w:tc>
          <w:tcPr>
            <w:shd w:val="clear" w:fill="auto" w:color="auto"/>
            <w:tcW w:w="3732" w:type="pct"/>
            <w:textDirection w:val="lrTb"/>
            <w:noWrap w:val="false"/>
          </w:tcPr>
          <w:p>
            <w:pPr>
              <w:pStyle w:val="1005"/>
              <w:ind w:left="57" w:right="57"/>
            </w:pPr>
            <w:r>
              <w:t xml:space="preserve">К</w:t>
            </w:r>
            <w:r>
              <w:t xml:space="preserve">од и наименование цели субсидий/субвенций</w:t>
            </w:r>
            <w:r>
              <w:t xml:space="preserve">.</w:t>
            </w:r>
            <w:r/>
          </w:p>
          <w:p>
            <w:pPr>
              <w:pStyle w:val="1005"/>
              <w:ind w:left="57" w:right="57"/>
            </w:pPr>
            <w:r>
              <w:t xml:space="preserve">Зн</w:t>
            </w:r>
            <w:r>
              <w:t xml:space="preserve">ачение вводится вручную или из с</w:t>
            </w:r>
            <w:r>
              <w:t xml:space="preserve">правочника </w:t>
            </w:r>
            <w:r>
              <w:t xml:space="preserve">«Коды целей субсидий/субвенций»</w:t>
            </w:r>
            <w:r>
              <w:t xml:space="preserve">.</w:t>
            </w:r>
            <w:r>
              <w:t xml:space="preserve"> При указании в документе 21 или 31, или 41 типа ЛС значение вводится вручную или предоставл</w:t>
            </w:r>
            <w:r>
              <w:t xml:space="preserve">яется</w:t>
            </w:r>
            <w:r>
              <w:t xml:space="preserve"> выбор значения из списка справочников: «Коды целей субсидий/субвенций», «Коды субсидий НУБП».</w:t>
            </w:r>
            <w:r/>
          </w:p>
        </w:tc>
      </w:tr>
      <w:tr>
        <w:trPr/>
        <w:tc>
          <w:tcPr>
            <w:gridSpan w:val="2"/>
            <w:shd w:val="clear" w:fill="auto" w:color="auto"/>
            <w:tcW w:w="5000" w:type="pct"/>
            <w:textDirection w:val="lrTb"/>
            <w:noWrap w:val="false"/>
          </w:tcPr>
          <w:p>
            <w:pPr>
              <w:pStyle w:val="1005"/>
              <w:ind w:left="57" w:right="57"/>
            </w:pPr>
            <w:r>
              <w:t xml:space="preserve">Группа полей «Код по БК получателя» заполняется аналогично группе полей «</w:t>
            </w:r>
            <w:r>
              <w:t xml:space="preserve">Код по </w:t>
            </w:r>
            <w:r>
              <w:t xml:space="preserve">БК плательщика» и содержит аналогичные реквизиты получателя, кроме поля</w:t>
            </w:r>
            <w:r>
              <w:t xml:space="preserve"> </w:t>
            </w:r>
            <w:r>
              <w:t xml:space="preserve">«</w:t>
            </w:r>
            <w:r>
              <w:t xml:space="preserve">Код цели получателя</w:t>
            </w:r>
            <w:r>
              <w:t xml:space="preserve">»</w:t>
            </w:r>
            <w:r/>
          </w:p>
        </w:tc>
      </w:tr>
      <w:tr>
        <w:trPr/>
        <w:tc>
          <w:tcPr>
            <w:shd w:val="clear" w:fill="auto" w:color="auto"/>
            <w:tcW w:w="1268" w:type="pct"/>
            <w:textDirection w:val="lrTb"/>
            <w:noWrap w:val="false"/>
          </w:tcPr>
          <w:p>
            <w:pPr>
              <w:pStyle w:val="1005"/>
              <w:ind w:left="57" w:right="57"/>
            </w:pPr>
            <w:r>
              <w:t xml:space="preserve">Код цели получателя (наименование)</w:t>
            </w:r>
            <w:r/>
          </w:p>
        </w:tc>
        <w:tc>
          <w:tcPr>
            <w:shd w:val="clear" w:fill="auto" w:color="auto"/>
            <w:tcW w:w="3732" w:type="pct"/>
            <w:textDirection w:val="lrTb"/>
            <w:noWrap w:val="false"/>
          </w:tcPr>
          <w:p>
            <w:pPr>
              <w:pStyle w:val="1005"/>
              <w:ind w:left="57" w:right="57"/>
            </w:pPr>
            <w:r>
              <w:t xml:space="preserve">К</w:t>
            </w:r>
            <w:r>
              <w:t xml:space="preserve">од и наименование цели субсидий/субвенций</w:t>
            </w:r>
            <w:r>
              <w:t xml:space="preserve">.</w:t>
            </w:r>
            <w:r/>
          </w:p>
          <w:p>
            <w:pPr>
              <w:pStyle w:val="1005"/>
              <w:ind w:left="57" w:right="57"/>
            </w:pPr>
            <w:r>
              <w:t xml:space="preserve">Значение вводится вручную или</w:t>
            </w:r>
            <w:r>
              <w:t xml:space="preserve"> выбирается</w:t>
            </w:r>
            <w:r>
              <w:t xml:space="preserve"> из </w:t>
            </w:r>
            <w:r>
              <w:t xml:space="preserve">с</w:t>
            </w:r>
            <w:r>
              <w:t xml:space="preserve">правочника «</w:t>
            </w:r>
            <w:r>
              <w:t xml:space="preserve">Коды</w:t>
            </w:r>
            <w:r>
              <w:t xml:space="preserve"> целей субсидий/субвенций». При указании в поле ЛС Раздела 3. «Реквизиты контрагента» 21 и 31 типа ЛС значение вводится вручную или предоставл</w:t>
            </w:r>
            <w:r>
              <w:t xml:space="preserve">яется</w:t>
            </w:r>
            <w:r>
              <w:t xml:space="preserve"> выбор значения из списка справочников: «Коды целей субсидий/субвенций», «Коды субсидий НУБП».</w:t>
            </w:r>
            <w:r>
              <w:t xml:space="preserve"> </w:t>
            </w:r>
            <w:r>
              <w:t xml:space="preserve">При указании 41 типа ЛС значение </w:t>
            </w:r>
            <w:r>
              <w:t xml:space="preserve">вводит</w:t>
            </w:r>
            <w:r>
              <w:t xml:space="preserve">ся вручную или предоставл</w:t>
            </w:r>
            <w:r>
              <w:t xml:space="preserve">яется</w:t>
            </w:r>
            <w:r>
              <w:t xml:space="preserve"> выбор значения из списка справочника: «Коды субсидий НУБП».</w:t>
            </w:r>
            <w:r>
              <w:t xml:space="preserve"> </w:t>
            </w:r>
            <w:r/>
          </w:p>
        </w:tc>
      </w:tr>
      <w:tr>
        <w:trPr/>
        <w:tc>
          <w:tcPr>
            <w:gridSpan w:val="2"/>
            <w:shd w:val="clear" w:fill="auto" w:color="auto"/>
            <w:tcW w:w="5000" w:type="pct"/>
            <w:textDirection w:val="lrTb"/>
            <w:noWrap w:val="false"/>
          </w:tcPr>
          <w:p>
            <w:pPr>
              <w:pStyle w:val="1005"/>
              <w:ind w:left="57" w:right="57"/>
            </w:pPr>
            <w:r>
              <w:t xml:space="preserve">Поля без группы</w:t>
            </w:r>
            <w:r/>
          </w:p>
        </w:tc>
      </w:tr>
      <w:tr>
        <w:trPr/>
        <w:tc>
          <w:tcPr>
            <w:shd w:val="clear" w:fill="auto" w:color="auto"/>
            <w:tcW w:w="1268" w:type="pct"/>
            <w:textDirection w:val="lrTb"/>
            <w:noWrap w:val="false"/>
          </w:tcPr>
          <w:p>
            <w:pPr>
              <w:pStyle w:val="1005"/>
              <w:ind w:left="57" w:right="57"/>
            </w:pPr>
            <w:r>
              <w:t xml:space="preserve">Сумма в вал.</w:t>
            </w:r>
            <w:r/>
          </w:p>
        </w:tc>
        <w:tc>
          <w:tcPr>
            <w:shd w:val="clear" w:fill="auto" w:color="auto"/>
            <w:tcW w:w="3732" w:type="pct"/>
            <w:textDirection w:val="lrTb"/>
            <w:noWrap w:val="false"/>
          </w:tcPr>
          <w:p>
            <w:pPr>
              <w:pStyle w:val="1005"/>
              <w:ind w:left="57" w:right="57"/>
            </w:pPr>
            <w:r>
              <w:t xml:space="preserve">Сумма по строке заявки на кассовый расход в рублях.</w:t>
            </w:r>
            <w:r/>
          </w:p>
          <w:p>
            <w:pPr>
              <w:pStyle w:val="1005"/>
              <w:ind w:left="57" w:right="57"/>
            </w:pPr>
            <w:r>
              <w:t xml:space="preserve">Значение вводится вручную.</w:t>
            </w:r>
            <w:r/>
          </w:p>
        </w:tc>
      </w:tr>
      <w:tr>
        <w:trPr/>
        <w:tc>
          <w:tcPr>
            <w:shd w:val="clear" w:fill="auto" w:color="auto"/>
            <w:tcW w:w="1268" w:type="pct"/>
            <w:textDirection w:val="lrTb"/>
            <w:noWrap w:val="false"/>
          </w:tcPr>
          <w:p>
            <w:pPr>
              <w:pStyle w:val="1005"/>
              <w:ind w:left="57" w:right="57"/>
            </w:pPr>
            <w:r>
              <w:t xml:space="preserve">Сумма в рублях</w:t>
            </w:r>
            <w:r/>
          </w:p>
        </w:tc>
        <w:tc>
          <w:tcPr>
            <w:shd w:val="clear" w:fill="auto" w:color="auto"/>
            <w:tcW w:w="3732" w:type="pct"/>
            <w:textDirection w:val="lrTb"/>
            <w:noWrap w:val="false"/>
          </w:tcPr>
          <w:p>
            <w:pPr>
              <w:pStyle w:val="1005"/>
              <w:ind w:left="57" w:right="57"/>
            </w:pPr>
            <w:r>
              <w:t xml:space="preserve">Значение вводится вручную.</w:t>
            </w:r>
            <w:r/>
          </w:p>
          <w:p>
            <w:pPr>
              <w:pStyle w:val="1005"/>
              <w:ind w:left="57" w:right="57"/>
            </w:pPr>
            <w:r>
              <w:t xml:space="preserve">По умолчанию проставляется значение 0.00.</w:t>
            </w:r>
            <w:r/>
          </w:p>
        </w:tc>
      </w:tr>
      <w:tr>
        <w:trPr/>
        <w:tc>
          <w:tcPr>
            <w:shd w:val="clear" w:fill="auto" w:color="auto"/>
            <w:tcW w:w="1268" w:type="pct"/>
            <w:textDirection w:val="lrTb"/>
            <w:noWrap w:val="false"/>
          </w:tcPr>
          <w:p>
            <w:pPr>
              <w:pStyle w:val="1005"/>
              <w:ind w:left="57" w:right="57"/>
            </w:pPr>
            <w:r>
              <w:t xml:space="preserve">Назначение платежа</w:t>
            </w:r>
            <w:r/>
          </w:p>
        </w:tc>
        <w:tc>
          <w:tcPr>
            <w:shd w:val="clear" w:fill="auto" w:color="auto"/>
            <w:tcW w:w="3732" w:type="pct"/>
            <w:textDirection w:val="lrTb"/>
            <w:noWrap w:val="false"/>
          </w:tcPr>
          <w:p>
            <w:pPr>
              <w:pStyle w:val="1005"/>
              <w:ind w:left="57" w:right="57"/>
            </w:pPr>
            <w:r>
              <w:t xml:space="preserve">Значение вводится вручную.</w:t>
            </w:r>
            <w:r/>
          </w:p>
          <w:p>
            <w:pPr>
              <w:pStyle w:val="1005"/>
              <w:ind w:left="57" w:right="57"/>
            </w:pPr>
            <w:r/>
            <w:r/>
          </w:p>
        </w:tc>
      </w:tr>
      <w:tr>
        <w:trPr/>
        <w:tc>
          <w:tcPr>
            <w:shd w:val="clear" w:fill="auto" w:color="auto"/>
            <w:tcW w:w="1268" w:type="pct"/>
            <w:textDirection w:val="lrTb"/>
            <w:noWrap w:val="false"/>
          </w:tcPr>
          <w:p>
            <w:pPr>
              <w:pStyle w:val="1005"/>
              <w:ind w:left="57" w:right="57"/>
            </w:pPr>
            <w:r>
              <w:t xml:space="preserve">Примечание</w:t>
            </w:r>
            <w:r/>
          </w:p>
        </w:tc>
        <w:tc>
          <w:tcPr>
            <w:shd w:val="clear" w:fill="auto" w:color="auto"/>
            <w:tcW w:w="3732" w:type="pct"/>
            <w:textDirection w:val="lrTb"/>
            <w:noWrap w:val="false"/>
          </w:tcPr>
          <w:p>
            <w:pPr>
              <w:pStyle w:val="1005"/>
              <w:ind w:left="57" w:right="57"/>
            </w:pPr>
            <w:r>
              <w:t xml:space="preserve">Значение вводится вручную.</w:t>
            </w:r>
            <w:r/>
          </w:p>
        </w:tc>
      </w:tr>
    </w:tbl>
    <w:p>
      <w:pPr>
        <w:pStyle w:val="994"/>
      </w:pPr>
      <w:r>
        <w:t xml:space="preserve">Табличное поле </w:t>
      </w:r>
      <w:r>
        <w:t xml:space="preserve">«</w:t>
      </w:r>
      <w:r>
        <w:t xml:space="preserve">Раздел 5. Расшифровка заявки на кассовый расход</w:t>
      </w:r>
      <w:r>
        <w:t xml:space="preserve">» (см.</w:t>
      </w:r>
      <w:r>
        <w:t xml:space="preserve"> </w:t>
      </w:r>
      <w:r>
        <w:t xml:space="preserve">рис. </w:t>
      </w:r>
      <w:r>
        <w:fldChar w:fldCharType="begin"/>
      </w:r>
      <w:r>
        <w:instrText xml:space="preserve"> REF _Ref230777838 \h  \* MERGEFORMAT </w:instrText>
      </w:r>
      <w:r>
        <w:fldChar w:fldCharType="separate"/>
      </w:r>
      <w:r>
        <w:t xml:space="preserve">17</w:t>
      </w:r>
      <w:r>
        <w:fldChar w:fldCharType="end"/>
      </w:r>
      <w:r>
        <w:t xml:space="preserve">) з</w:t>
      </w:r>
      <w:r>
        <w:t xml:space="preserve">а</w:t>
      </w:r>
      <w:r>
        <w:t xml:space="preserve">кладки </w:t>
      </w:r>
      <w:r>
        <w:t xml:space="preserve">«</w:t>
      </w:r>
      <w:r>
        <w:t xml:space="preserve">Раздел 3,4,5</w:t>
      </w:r>
      <w:r>
        <w:t xml:space="preserve">»</w:t>
      </w:r>
      <w:r>
        <w:t xml:space="preserve"> содержит строки расшифровки суммы заявки по КБК, приведенные в </w:t>
      </w:r>
      <w:r>
        <w:t xml:space="preserve">таблице </w:t>
      </w:r>
      <w:r>
        <w:fldChar w:fldCharType="begin"/>
      </w:r>
      <w:r>
        <w:instrText xml:space="preserve"> REF _Ref319496057 \h </w:instrText>
      </w:r>
      <w:r>
        <w:fldChar w:fldCharType="separate"/>
      </w:r>
      <w:r>
        <w:t xml:space="preserve">6</w:t>
      </w:r>
      <w:r>
        <w:fldChar w:fldCharType="end"/>
      </w:r>
      <w:r>
        <w:t xml:space="preserve">.</w:t>
      </w:r>
      <w:r/>
    </w:p>
    <w:p>
      <w:pPr>
        <w:pStyle w:val="994"/>
      </w:pPr>
      <w:r>
        <w:t xml:space="preserve">Для заполнения полей и добавления записи в таблицы </w:t>
      </w:r>
      <w:r>
        <w:t xml:space="preserve">«Раздел 5» следует нажать на кнопку </w:t>
      </w:r>
      <w:r>
        <mc:AlternateContent>
          <mc:Choice Requires="wpg">
            <w:drawing>
              <wp:inline xmlns:wp="http://schemas.openxmlformats.org/drawingml/2006/wordprocessingDrawing" distT="0" distB="0" distL="0" distR="0">
                <wp:extent cx="182880" cy="182880"/>
                <wp:effectExtent l="0" t="0" r="0" b="0"/>
                <wp:docPr id="7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 o:spid="_x0000_s73" type="#_x0000_t75" style="mso-wrap-distance-left:0.0pt;mso-wrap-distance-top:0.0pt;mso-wrap-distance-right:0.0pt;mso-wrap-distance-bottom:0.0pt;width:14.4pt;height:14.4pt;" stroked="f">
                <v:path textboxrect="0,0,0,0"/>
                <v:imagedata r:id="rId80" o:title=""/>
              </v:shape>
            </w:pict>
          </mc:Fallback>
        </mc:AlternateContent>
      </w:r>
      <w:r>
        <w:t xml:space="preserve"> (Добавить новую строку). Откроется форма «Добавление записи» (рис. </w:t>
      </w:r>
      <w:r>
        <w:fldChar w:fldCharType="begin"/>
      </w:r>
      <w:r>
        <w:instrText xml:space="preserve"> REF _Ref230778012 \h  \* MERGEFORMAT </w:instrText>
      </w:r>
      <w:r>
        <w:fldChar w:fldCharType="separate"/>
      </w:r>
      <w:r>
        <w:t xml:space="preserve">18</w:t>
      </w:r>
      <w:r>
        <w:fldChar w:fldCharType="end"/>
      </w:r>
      <w:r>
        <w:t xml:space="preserve">).</w:t>
      </w:r>
      <w:r/>
    </w:p>
    <w:p>
      <w:pPr>
        <w:pStyle w:val="994"/>
      </w:pPr>
      <w:r>
        <w:t xml:space="preserve">На форме </w:t>
      </w:r>
      <w:r>
        <w:t xml:space="preserve">«</w:t>
      </w:r>
      <w:r>
        <w:t xml:space="preserve">Добавление записи</w:t>
      </w:r>
      <w:r>
        <w:t xml:space="preserve">»</w:t>
      </w:r>
      <w:r>
        <w:t xml:space="preserve"> </w:t>
      </w:r>
      <w:r>
        <w:t xml:space="preserve">заполняются</w:t>
      </w:r>
      <w:r>
        <w:t xml:space="preserve"> </w:t>
      </w:r>
      <w:r>
        <w:t xml:space="preserve">поля, приведенные в таблице </w:t>
      </w:r>
      <w:r>
        <w:fldChar w:fldCharType="begin"/>
      </w:r>
      <w:r>
        <w:instrText xml:space="preserve"> REF _Ref319496057 \h </w:instrText>
      </w:r>
      <w:r>
        <w:fldChar w:fldCharType="separate"/>
      </w:r>
      <w:r>
        <w:t xml:space="preserve">6</w:t>
      </w:r>
      <w:r>
        <w:fldChar w:fldCharType="end"/>
      </w:r>
      <w:r>
        <w:t xml:space="preserve">. </w:t>
      </w:r>
      <w:r>
        <w:t xml:space="preserve">Для с</w:t>
      </w:r>
      <w:r>
        <w:t xml:space="preserve">о</w:t>
      </w:r>
      <w:r>
        <w:t xml:space="preserve">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 xml:space="preserve">»</w:t>
      </w:r>
      <w:r>
        <w:t xml:space="preserve">.</w:t>
      </w:r>
      <w:r/>
    </w:p>
    <w:p>
      <w:pPr>
        <w:pStyle w:val="994"/>
      </w:pPr>
      <w:r/>
      <w:r/>
    </w:p>
    <w:p>
      <w:pPr>
        <w:pStyle w:val="982"/>
      </w:pPr>
      <w:r>
        <mc:AlternateContent>
          <mc:Choice Requires="wpg">
            <w:drawing>
              <wp:inline xmlns:wp="http://schemas.openxmlformats.org/drawingml/2006/wordprocessingDrawing" distT="0" distB="0" distL="0" distR="0">
                <wp:extent cx="6035040" cy="4754880"/>
                <wp:effectExtent l="0" t="0" r="0" b="0"/>
                <wp:docPr id="7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3"/>
                        <a:stretch/>
                      </pic:blipFill>
                      <pic:spPr bwMode="auto">
                        <a:xfrm>
                          <a:off x="0" y="0"/>
                          <a:ext cx="6035039" cy="4754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 o:spid="_x0000_s74" type="#_x0000_t75" style="mso-wrap-distance-left:0.0pt;mso-wrap-distance-top:0.0pt;mso-wrap-distance-right:0.0pt;mso-wrap-distance-bottom:0.0pt;width:475.2pt;height:374.4pt;" stroked="f">
                <v:path textboxrect="0,0,0,0"/>
                <v:imagedata r:id="rId83" o:title=""/>
              </v:shape>
            </w:pict>
          </mc:Fallback>
        </mc:AlternateContent>
      </w:r>
      <w:r/>
    </w:p>
    <w:p>
      <w:pPr>
        <w:pStyle w:val="983"/>
      </w:pPr>
      <w:r>
        <w:fldChar w:fldCharType="begin"/>
      </w:r>
      <w:r>
        <w:instrText xml:space="preserve"> SEQ Рисунок \* ARABIC </w:instrText>
      </w:r>
      <w:r>
        <w:fldChar w:fldCharType="separate"/>
      </w:r>
      <w:bookmarkStart w:id="325" w:name="_Ref230778012"/>
      <w:r/>
      <w:bookmarkStart w:id="326" w:name="_Toc88819403"/>
      <w:r>
        <w:t xml:space="preserve">18</w:t>
      </w:r>
      <w:bookmarkEnd w:id="325"/>
      <w:r>
        <w:fldChar w:fldCharType="end"/>
      </w:r>
      <w:r>
        <w:t xml:space="preserve">. Форма «Добавление записи»</w:t>
      </w:r>
      <w:bookmarkEnd w:id="326"/>
      <w:r/>
      <w:r/>
    </w:p>
    <w:p>
      <w:pPr>
        <w:pStyle w:val="994"/>
      </w:pPr>
      <w:r>
        <w:t xml:space="preserve">В полях </w:t>
      </w:r>
      <w:r>
        <w:t xml:space="preserve">«</w:t>
      </w:r>
      <w:r>
        <w:t xml:space="preserve">Назначение платежа</w:t>
      </w:r>
      <w:r>
        <w:t xml:space="preserve">»</w:t>
      </w:r>
      <w:r>
        <w:t xml:space="preserve"> и </w:t>
      </w:r>
      <w:r>
        <w:t xml:space="preserve">«</w:t>
      </w:r>
      <w:r>
        <w:t xml:space="preserve">Примечание</w:t>
      </w:r>
      <w:r>
        <w:t xml:space="preserve">»</w:t>
      </w:r>
      <w:r>
        <w:t xml:space="preserve">, размещенных в нижней части блока, отображаются значения соответствующих полей текущей строки блока.</w:t>
      </w:r>
      <w:r/>
    </w:p>
    <w:p>
      <w:pPr>
        <w:pStyle w:val="994"/>
      </w:pPr>
      <w:r>
        <w:t xml:space="preserve">ЭФ документа «Заявка на кассовый расход», закладки «Подписи (3)»</w:t>
      </w:r>
      <w:r>
        <w:t xml:space="preserve"> представлена н</w:t>
      </w:r>
      <w:r>
        <w:t xml:space="preserve">а рисунке</w:t>
      </w:r>
      <w:r>
        <w:t xml:space="preserve"> </w:t>
      </w:r>
      <w:r>
        <w:fldChar w:fldCharType="begin"/>
      </w:r>
      <w:r>
        <w:instrText xml:space="preserve"> REF _Ref230781595 \h  \* MERGEFORMAT </w:instrText>
      </w:r>
      <w:r>
        <w:fldChar w:fldCharType="separate"/>
      </w:r>
      <w:r>
        <w:t xml:space="preserve">19</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1737360"/>
                <wp:effectExtent l="0" t="0" r="0" b="0"/>
                <wp:docPr id="7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4"/>
                        <a:stretch/>
                      </pic:blipFill>
                      <pic:spPr bwMode="auto">
                        <a:xfrm>
                          <a:off x="0" y="0"/>
                          <a:ext cx="6035039" cy="17373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 o:spid="_x0000_s75" type="#_x0000_t75" style="mso-wrap-distance-left:0.0pt;mso-wrap-distance-top:0.0pt;mso-wrap-distance-right:0.0pt;mso-wrap-distance-bottom:0.0pt;width:475.2pt;height:136.8pt;" stroked="f">
                <v:path textboxrect="0,0,0,0"/>
                <v:imagedata r:id="rId84" o:title=""/>
              </v:shape>
            </w:pict>
          </mc:Fallback>
        </mc:AlternateContent>
      </w:r>
      <w:r/>
    </w:p>
    <w:p>
      <w:pPr>
        <w:pStyle w:val="982"/>
      </w:pPr>
      <w:r/>
      <w:r/>
    </w:p>
    <w:p>
      <w:pPr>
        <w:pStyle w:val="983"/>
      </w:pPr>
      <w:r/>
      <w:bookmarkStart w:id="327" w:name="_Ref225236122"/>
      <w:r>
        <w:fldChar w:fldCharType="begin"/>
      </w:r>
      <w:r>
        <w:instrText xml:space="preserve"> SEQ Рисунок \* ARABIC </w:instrText>
      </w:r>
      <w:r>
        <w:fldChar w:fldCharType="separate"/>
      </w:r>
      <w:bookmarkStart w:id="328" w:name="_Ref230781595"/>
      <w:r/>
      <w:bookmarkStart w:id="329" w:name="_Toc88819404"/>
      <w:r>
        <w:t xml:space="preserve">19</w:t>
      </w:r>
      <w:bookmarkEnd w:id="328"/>
      <w:r>
        <w:fldChar w:fldCharType="end"/>
      </w:r>
      <w:r>
        <w:t xml:space="preserve">. ЭФ</w:t>
      </w:r>
      <w:r>
        <w:t xml:space="preserve"> документа</w:t>
      </w:r>
      <w:r>
        <w:t xml:space="preserve"> «Заявка на кассовый расход</w:t>
      </w:r>
      <w:r>
        <w:t xml:space="preserve">», закладки «</w:t>
      </w:r>
      <w:r>
        <w:t xml:space="preserve">Подписи (3)»</w:t>
      </w:r>
      <w:bookmarkEnd w:id="327"/>
      <w:r/>
      <w:bookmarkEnd w:id="329"/>
      <w:r/>
      <w:r/>
    </w:p>
    <w:p>
      <w:pPr>
        <w:pStyle w:val="994"/>
      </w:pPr>
      <w:r>
        <w:t xml:space="preserve">Перечень полей </w:t>
      </w:r>
      <w:r>
        <w:t xml:space="preserve">документа «Заявка на кассовый расход», закладки «Подписи (3)»</w:t>
      </w:r>
      <w:r>
        <w:t xml:space="preserve"> </w:t>
      </w:r>
      <w:r>
        <w:t xml:space="preserve">приведен </w:t>
      </w:r>
      <w:r>
        <w:t xml:space="preserve">в таблице</w:t>
      </w:r>
      <w:r>
        <w:t xml:space="preserve"> </w:t>
      </w:r>
      <w:r>
        <w:fldChar w:fldCharType="begin"/>
      </w:r>
      <w:r>
        <w:instrText xml:space="preserve"> REF _Ref319496266 \h  \* MERGEFORMAT </w:instrText>
      </w:r>
      <w:r>
        <w:fldChar w:fldCharType="separate"/>
      </w:r>
      <w:r>
        <w:t xml:space="preserve">7</w:t>
      </w:r>
      <w:r>
        <w:fldChar w:fldCharType="end"/>
      </w:r>
      <w:r>
        <w:t xml:space="preserve">.</w:t>
      </w:r>
      <w:r/>
    </w:p>
    <w:p>
      <w:pPr>
        <w:pStyle w:val="993"/>
      </w:pPr>
      <w:r>
        <w:fldChar w:fldCharType="begin"/>
      </w:r>
      <w:r>
        <w:instrText xml:space="preserve"> SEQ Таблица \* ARABIC </w:instrText>
      </w:r>
      <w:r>
        <w:fldChar w:fldCharType="separate"/>
      </w:r>
      <w:bookmarkStart w:id="330" w:name="_Ref319496266"/>
      <w:r/>
      <w:bookmarkStart w:id="331" w:name="_Toc88819193"/>
      <w:r>
        <w:t xml:space="preserve">7</w:t>
      </w:r>
      <w:bookmarkEnd w:id="330"/>
      <w:r>
        <w:fldChar w:fldCharType="end"/>
      </w:r>
      <w:r>
        <w:t xml:space="preserve">. </w:t>
      </w:r>
      <w:r>
        <w:t xml:space="preserve">О</w:t>
      </w:r>
      <w:r>
        <w:t xml:space="preserve">писание полей </w:t>
      </w:r>
      <w:r>
        <w:t xml:space="preserve">документа «Заявка на кассовый расход», закладки «Подписи (3)»</w:t>
      </w:r>
      <w:bookmarkEnd w:id="331"/>
      <w:r/>
      <w:r/>
    </w:p>
    <w:tbl>
      <w:tblPr>
        <w:tblW w:w="4971"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459"/>
        <w:gridCol w:w="6236"/>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78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216" w:type="pct"/>
            <w:vAlign w:val="center"/>
            <w:textDirection w:val="lrTb"/>
            <w:noWrap w:val="false"/>
          </w:tcPr>
          <w:p>
            <w:pPr>
              <w:pStyle w:val="1006"/>
            </w:pPr>
            <w:r>
              <w:t xml:space="preserve">Описание</w:t>
            </w:r>
            <w:r>
              <w:t xml:space="preserve"> поя</w:t>
            </w:r>
            <w:r/>
          </w:p>
        </w:tc>
      </w:tr>
      <w:tr>
        <w:trPr/>
        <w:tc>
          <w:tcPr>
            <w:gridSpan w:val="2"/>
            <w:shd w:val="clear" w:fill="auto" w:color="auto"/>
            <w:tcW w:w="5000" w:type="pct"/>
            <w:textDirection w:val="lrTb"/>
            <w:noWrap w:val="false"/>
          </w:tcPr>
          <w:p>
            <w:pPr>
              <w:pStyle w:val="1005"/>
              <w:ind w:left="57" w:right="57"/>
            </w:pPr>
            <w:r>
              <w:t xml:space="preserve">Группа полей «Подписи»</w:t>
            </w:r>
            <w:r/>
          </w:p>
        </w:tc>
      </w:tr>
      <w:tr>
        <w:trPr/>
        <w:tc>
          <w:tcPr>
            <w:shd w:val="clear" w:fill="auto" w:color="auto"/>
            <w:tcW w:w="1784" w:type="pct"/>
            <w:textDirection w:val="lrTb"/>
            <w:noWrap w:val="false"/>
          </w:tcPr>
          <w:p>
            <w:pPr>
              <w:pStyle w:val="1005"/>
              <w:ind w:left="57" w:right="57"/>
            </w:pPr>
            <w:r>
              <w:t xml:space="preserve">Руководитель (уполномоченное им лицо). Дол</w:t>
            </w:r>
            <w:r>
              <w:t xml:space="preserve">ж</w:t>
            </w:r>
            <w:r>
              <w:t xml:space="preserve">ность</w:t>
            </w:r>
            <w:r/>
          </w:p>
        </w:tc>
        <w:tc>
          <w:tcPr>
            <w:shd w:val="clear" w:fill="auto" w:color="auto"/>
            <w:tcW w:w="3216" w:type="pct"/>
            <w:textDirection w:val="lrTb"/>
            <w:noWrap w:val="false"/>
          </w:tcPr>
          <w:p>
            <w:pPr>
              <w:pStyle w:val="1005"/>
              <w:ind w:left="57" w:right="57"/>
            </w:pPr>
            <w:r>
              <w:t xml:space="preserve">Выбирается из списка сотрудников, либо вводится вручную.</w:t>
            </w:r>
            <w:r/>
          </w:p>
        </w:tc>
      </w:tr>
      <w:tr>
        <w:trPr/>
        <w:tc>
          <w:tcPr>
            <w:shd w:val="clear" w:fill="auto" w:color="auto"/>
            <w:tcW w:w="1784" w:type="pct"/>
            <w:textDirection w:val="lrTb"/>
            <w:noWrap w:val="false"/>
          </w:tcPr>
          <w:p>
            <w:pPr>
              <w:pStyle w:val="1005"/>
              <w:ind w:left="57" w:right="57"/>
            </w:pPr>
            <w:r>
              <w:t xml:space="preserve">Руководитель (уполномоченное им лицо). Расши</w:t>
            </w:r>
            <w:r>
              <w:t xml:space="preserve">ф</w:t>
            </w:r>
            <w:r>
              <w:t xml:space="preserve">ровка подписи</w:t>
            </w:r>
            <w:r/>
          </w:p>
        </w:tc>
        <w:tc>
          <w:tcPr>
            <w:shd w:val="clear" w:fill="auto" w:color="auto"/>
            <w:tcW w:w="3216" w:type="pct"/>
            <w:textDirection w:val="lrTb"/>
            <w:noWrap w:val="false"/>
          </w:tcPr>
          <w:p>
            <w:pPr>
              <w:pStyle w:val="1005"/>
              <w:ind w:left="57" w:right="57"/>
            </w:pPr>
            <w:r>
              <w:t xml:space="preserve">Выбирается из списка сотрудников, либо вводится вручную.</w:t>
            </w:r>
            <w:r/>
          </w:p>
        </w:tc>
      </w:tr>
      <w:tr>
        <w:trPr/>
        <w:tc>
          <w:tcPr>
            <w:shd w:val="clear" w:fill="auto" w:color="auto"/>
            <w:tcW w:w="1784" w:type="pct"/>
            <w:textDirection w:val="lrTb"/>
            <w:noWrap w:val="false"/>
          </w:tcPr>
          <w:p>
            <w:pPr>
              <w:pStyle w:val="1005"/>
              <w:ind w:left="57" w:right="57"/>
            </w:pPr>
            <w:r>
              <w:t xml:space="preserve">Главный бухгалтер (уполномоченное лицо). Должность</w:t>
            </w:r>
            <w:r/>
          </w:p>
        </w:tc>
        <w:tc>
          <w:tcPr>
            <w:shd w:val="clear" w:fill="auto" w:color="auto"/>
            <w:tcW w:w="3216" w:type="pct"/>
            <w:textDirection w:val="lrTb"/>
            <w:noWrap w:val="false"/>
          </w:tcPr>
          <w:p>
            <w:pPr>
              <w:pStyle w:val="1005"/>
              <w:ind w:left="57" w:right="57"/>
            </w:pPr>
            <w:r>
              <w:t xml:space="preserve">Выбирается из списка сотрудников, либо вводится вручную.</w:t>
            </w:r>
            <w:r/>
          </w:p>
        </w:tc>
      </w:tr>
      <w:tr>
        <w:trPr/>
        <w:tc>
          <w:tcPr>
            <w:shd w:val="clear" w:fill="auto" w:color="auto"/>
            <w:tcW w:w="1784" w:type="pct"/>
            <w:textDirection w:val="lrTb"/>
            <w:noWrap w:val="false"/>
          </w:tcPr>
          <w:p>
            <w:pPr>
              <w:pStyle w:val="1005"/>
              <w:ind w:left="57" w:right="57"/>
            </w:pPr>
            <w:r>
              <w:t xml:space="preserve">Главный бухгалтер (уполномоченное лицо). Расшифровка по</w:t>
            </w:r>
            <w:r>
              <w:t xml:space="preserve">д</w:t>
            </w:r>
            <w:r>
              <w:t xml:space="preserve">писи</w:t>
            </w:r>
            <w:r/>
          </w:p>
        </w:tc>
        <w:tc>
          <w:tcPr>
            <w:shd w:val="clear" w:fill="auto" w:color="auto"/>
            <w:tcW w:w="3216" w:type="pct"/>
            <w:textDirection w:val="lrTb"/>
            <w:noWrap w:val="false"/>
          </w:tcPr>
          <w:p>
            <w:pPr>
              <w:pStyle w:val="1005"/>
              <w:ind w:left="57" w:right="57"/>
            </w:pPr>
            <w:r>
              <w:t xml:space="preserve">Выбирается из списка сотрудников, либо вводится вручную.</w:t>
            </w:r>
            <w:r/>
          </w:p>
        </w:tc>
      </w:tr>
      <w:tr>
        <w:trPr/>
        <w:tc>
          <w:tcPr>
            <w:shd w:val="clear" w:fill="auto" w:color="auto"/>
            <w:tcW w:w="1784" w:type="pct"/>
            <w:textDirection w:val="lrTb"/>
            <w:noWrap w:val="false"/>
          </w:tcPr>
          <w:p>
            <w:pPr>
              <w:pStyle w:val="1005"/>
              <w:ind w:left="57" w:right="57"/>
            </w:pPr>
            <w:r>
              <w:t xml:space="preserve">Главный бухгалтер (уполномоченное лицо). Дата подписания</w:t>
            </w:r>
            <w:r/>
          </w:p>
        </w:tc>
        <w:tc>
          <w:tcPr>
            <w:shd w:val="clear" w:fill="auto" w:color="auto"/>
            <w:tcW w:w="3216" w:type="pct"/>
            <w:textDirection w:val="lrTb"/>
            <w:noWrap w:val="false"/>
          </w:tcPr>
          <w:p>
            <w:pPr>
              <w:pStyle w:val="1005"/>
              <w:ind w:left="57" w:right="57"/>
            </w:pPr>
            <w:r>
              <w:t xml:space="preserve">Значение вводится вручную или выбирается из системного календ</w:t>
            </w:r>
            <w:r>
              <w:t xml:space="preserve">а</w:t>
            </w:r>
            <w:r>
              <w:t xml:space="preserve">ря.</w:t>
            </w:r>
            <w:r/>
          </w:p>
        </w:tc>
      </w:tr>
      <w:tr>
        <w:trPr/>
        <w:tc>
          <w:tcPr>
            <w:shd w:val="clear" w:fill="auto" w:color="auto"/>
            <w:tcW w:w="1784" w:type="pct"/>
            <w:textDirection w:val="lrTb"/>
            <w:noWrap w:val="false"/>
          </w:tcPr>
          <w:p>
            <w:pPr>
              <w:pStyle w:val="1005"/>
              <w:ind w:left="57" w:right="57"/>
            </w:pPr>
            <w:r>
              <w:t xml:space="preserve">ФИО ответственного за конфиденциальность данных</w:t>
            </w:r>
            <w:r/>
          </w:p>
        </w:tc>
        <w:tc>
          <w:tcPr>
            <w:shd w:val="clear" w:fill="auto" w:color="auto"/>
            <w:tcW w:w="3216" w:type="pct"/>
            <w:textDirection w:val="lrTb"/>
            <w:noWrap w:val="false"/>
          </w:tcPr>
          <w:p>
            <w:pPr>
              <w:pStyle w:val="1005"/>
              <w:ind w:left="57" w:right="57"/>
            </w:pPr>
            <w:r>
              <w:t xml:space="preserve">Заполняется автоматически при подписании. Поле заполняется при заполненном поле «Уровень конфиденциальности» значением «1» или «0».</w:t>
            </w:r>
            <w:r/>
          </w:p>
        </w:tc>
      </w:tr>
      <w:tr>
        <w:trPr/>
        <w:tc>
          <w:tcPr>
            <w:gridSpan w:val="2"/>
            <w:shd w:val="clear" w:fill="auto" w:color="auto"/>
            <w:tcW w:w="5000" w:type="pct"/>
            <w:textDirection w:val="lrTb"/>
            <w:noWrap w:val="false"/>
          </w:tcPr>
          <w:p>
            <w:pPr>
              <w:pStyle w:val="1005"/>
              <w:ind w:left="57" w:right="57"/>
            </w:pPr>
            <w:r>
              <w:t xml:space="preserve">Группа полей «Отметка органа Федерального казначейства о регистрации Заявки на кассовый расход»</w:t>
            </w:r>
            <w:r/>
          </w:p>
        </w:tc>
      </w:tr>
      <w:tr>
        <w:trPr/>
        <w:tc>
          <w:tcPr>
            <w:shd w:val="clear" w:fill="auto" w:color="auto"/>
            <w:tcW w:w="1784" w:type="pct"/>
            <w:textDirection w:val="lrTb"/>
            <w:noWrap w:val="false"/>
          </w:tcPr>
          <w:p>
            <w:pPr>
              <w:pStyle w:val="1005"/>
              <w:ind w:left="57" w:right="57"/>
            </w:pPr>
            <w:r>
              <w:t xml:space="preserve">Номер заявки</w:t>
            </w:r>
            <w:r/>
          </w:p>
        </w:tc>
        <w:tc>
          <w:tcPr>
            <w:shd w:val="clear" w:fill="auto" w:color="auto"/>
            <w:tcW w:w="3216"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OEBS.</w:t>
            </w:r>
            <w:r/>
          </w:p>
        </w:tc>
      </w:tr>
      <w:tr>
        <w:trPr/>
        <w:tc>
          <w:tcPr>
            <w:shd w:val="clear" w:fill="auto" w:color="auto"/>
            <w:tcW w:w="1784" w:type="pct"/>
            <w:textDirection w:val="lrTb"/>
            <w:noWrap w:val="false"/>
          </w:tcPr>
          <w:p>
            <w:pPr>
              <w:pStyle w:val="1005"/>
              <w:ind w:left="57" w:right="57"/>
            </w:pPr>
            <w:r>
              <w:t xml:space="preserve">Дата регистрации</w:t>
            </w:r>
            <w:r/>
          </w:p>
        </w:tc>
        <w:tc>
          <w:tcPr>
            <w:shd w:val="clear" w:fill="auto" w:color="auto"/>
            <w:tcW w:w="3216"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OEBS.</w:t>
            </w:r>
            <w:r/>
          </w:p>
        </w:tc>
      </w:tr>
      <w:tr>
        <w:trPr/>
        <w:tc>
          <w:tcPr>
            <w:shd w:val="clear" w:fill="auto" w:color="auto"/>
            <w:tcW w:w="1784" w:type="pct"/>
            <w:textDirection w:val="lrTb"/>
            <w:noWrap w:val="false"/>
          </w:tcPr>
          <w:p>
            <w:pPr>
              <w:pStyle w:val="1005"/>
              <w:ind w:left="57" w:right="57"/>
            </w:pPr>
            <w:r>
              <w:t xml:space="preserve">Ответственный исполнитель. Должность</w:t>
            </w:r>
            <w:r/>
          </w:p>
        </w:tc>
        <w:tc>
          <w:tcPr>
            <w:shd w:val="clear" w:fill="auto" w:color="auto"/>
            <w:tcW w:w="3216"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OEBS.</w:t>
            </w:r>
            <w:r/>
          </w:p>
        </w:tc>
      </w:tr>
      <w:tr>
        <w:trPr/>
        <w:tc>
          <w:tcPr>
            <w:shd w:val="clear" w:fill="auto" w:color="auto"/>
            <w:tcW w:w="1784" w:type="pct"/>
            <w:textDirection w:val="lrTb"/>
            <w:noWrap w:val="false"/>
          </w:tcPr>
          <w:p>
            <w:pPr>
              <w:pStyle w:val="1005"/>
              <w:ind w:left="57" w:right="57"/>
            </w:pPr>
            <w:r>
              <w:t xml:space="preserve">Ответственный исполнитель. Расшифровка подп</w:t>
            </w:r>
            <w:r>
              <w:t xml:space="preserve">и</w:t>
            </w:r>
            <w:r>
              <w:t xml:space="preserve">си</w:t>
            </w:r>
            <w:r/>
          </w:p>
        </w:tc>
        <w:tc>
          <w:tcPr>
            <w:shd w:val="clear" w:fill="auto" w:color="auto"/>
            <w:tcW w:w="3216"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OEBS.</w:t>
            </w:r>
            <w:r/>
          </w:p>
        </w:tc>
      </w:tr>
      <w:tr>
        <w:trPr/>
        <w:tc>
          <w:tcPr>
            <w:shd w:val="clear" w:fill="auto" w:color="auto"/>
            <w:tcW w:w="1784" w:type="pct"/>
            <w:textDirection w:val="lrTb"/>
            <w:noWrap w:val="false"/>
          </w:tcPr>
          <w:p>
            <w:pPr>
              <w:pStyle w:val="1005"/>
              <w:ind w:left="57" w:right="57"/>
            </w:pPr>
            <w:r>
              <w:t xml:space="preserve">Ответственный исполнитель. Телефон</w:t>
            </w:r>
            <w:r/>
          </w:p>
        </w:tc>
        <w:tc>
          <w:tcPr>
            <w:shd w:val="clear" w:fill="auto" w:color="auto"/>
            <w:tcW w:w="3216"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OEBS.</w:t>
            </w:r>
            <w:r/>
          </w:p>
        </w:tc>
      </w:tr>
    </w:tbl>
    <w:p>
      <w:pPr>
        <w:pStyle w:val="972"/>
      </w:pPr>
      <w:r/>
      <w:bookmarkStart w:id="332" w:name="_Toc393363876"/>
      <w:r/>
      <w:bookmarkStart w:id="333" w:name="_Ref359521322"/>
      <w:r/>
      <w:bookmarkStart w:id="334" w:name="_Toc422496701"/>
      <w:r/>
      <w:bookmarkStart w:id="335" w:name="_Toc88819098"/>
      <w:r/>
      <w:bookmarkEnd w:id="332"/>
      <w:r>
        <w:t xml:space="preserve">Заявка на кассовый расход (сокращенная)</w:t>
      </w:r>
      <w:bookmarkEnd w:id="297"/>
      <w:r/>
      <w:bookmarkEnd w:id="298"/>
      <w:r/>
      <w:bookmarkEnd w:id="299"/>
      <w:r/>
      <w:bookmarkEnd w:id="313"/>
      <w:r/>
      <w:bookmarkEnd w:id="333"/>
      <w:r/>
      <w:bookmarkEnd w:id="334"/>
      <w:r/>
      <w:bookmarkEnd w:id="335"/>
      <w:r/>
      <w:r/>
    </w:p>
    <w:p>
      <w:pPr>
        <w:pStyle w:val="994"/>
      </w:pPr>
      <w:r>
        <w:t xml:space="preserve">ЭД «Заявка на кассовый расход (сокращенная)» предоставляется клиентом в ОрФК и используется для оплаты денежного обязательства при выполнении следующих условий:</w:t>
      </w:r>
      <w:r/>
    </w:p>
    <w:p>
      <w:pPr>
        <w:pStyle w:val="985"/>
      </w:pPr>
      <w:r>
        <w:t xml:space="preserve">оплата денежного обязательства осуществляется по бюджетному обязательству в валюте Российской Федерации;</w:t>
      </w:r>
      <w:r/>
    </w:p>
    <w:p>
      <w:pPr>
        <w:pStyle w:val="985"/>
      </w:pPr>
      <w:r>
        <w:t xml:space="preserve">оплата денежного обязательства осуществляется по одному коду бюджетной классификации Российской Федерации;</w:t>
      </w:r>
      <w:r/>
    </w:p>
    <w:p>
      <w:pPr>
        <w:pStyle w:val="985"/>
      </w:pPr>
      <w:r>
        <w:t xml:space="preserve">возникновение денежного обязательства подтверждается не более чем одним документом-основанием.</w:t>
      </w:r>
      <w:r/>
    </w:p>
    <w:p>
      <w:pPr>
        <w:pStyle w:val="994"/>
      </w:pPr>
      <w:r>
        <w:t xml:space="preserve">ЭД «Заявка на кассовый расход (сокращенная)»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r/>
    </w:p>
    <w:p>
      <w:pPr>
        <w:pStyle w:val="994"/>
      </w:pPr>
      <w:r>
        <w:t xml:space="preserve">Для визуализации связи между документом «Заявка на кассовый расход (сокращенная)» и документами «Заявка на кассовый расход», «Заявка на получение наличных денег», «</w:t>
      </w:r>
      <w:r>
        <w:t xml:space="preserve">Заявка на получение денежных средств, перечисляемых на карту</w:t>
      </w:r>
      <w:r>
        <w:t xml:space="preserve">»,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t xml:space="preserve">ППО СУФД АСФК</w:t>
      </w:r>
      <w:r>
        <w:t xml:space="preserve"> на ЭФ списка документов «Заявка на кассовый расход (сокращенная)» (рис. </w:t>
      </w:r>
      <w:r>
        <w:fldChar w:fldCharType="begin"/>
      </w:r>
      <w:r>
        <w:instrText xml:space="preserve"> REF _Ref261614728 \h  \* MERGEFORMAT </w:instrText>
      </w:r>
      <w:r>
        <w:fldChar w:fldCharType="separate"/>
      </w:r>
      <w:r>
        <w:t xml:space="preserve">20</w:t>
      </w:r>
      <w:r>
        <w:fldChar w:fldCharType="end"/>
      </w:r>
      <w:r>
        <w:t xml:space="preserve">)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w:t>
      </w:r>
      <w:r>
        <w:t xml:space="preserve">о</w:t>
      </w:r>
      <w:r>
        <w:t xml:space="preserve">кументов:</w:t>
      </w:r>
      <w:r/>
    </w:p>
    <w:p>
      <w:pPr>
        <w:pStyle w:val="985"/>
      </w:pPr>
      <w:r>
        <w:t xml:space="preserve">Тип документа;</w:t>
      </w:r>
      <w:r/>
    </w:p>
    <w:p>
      <w:pPr>
        <w:pStyle w:val="985"/>
      </w:pPr>
      <w:r>
        <w:t xml:space="preserve">Номер;</w:t>
      </w:r>
      <w:r/>
    </w:p>
    <w:p>
      <w:pPr>
        <w:pStyle w:val="985"/>
      </w:pPr>
      <w:r>
        <w:t xml:space="preserve">От (дата);</w:t>
      </w:r>
      <w:r/>
    </w:p>
    <w:p>
      <w:pPr>
        <w:pStyle w:val="985"/>
      </w:pPr>
      <w:r>
        <w:t xml:space="preserve">Глава по БК;</w:t>
      </w:r>
      <w:r/>
    </w:p>
    <w:p>
      <w:pPr>
        <w:pStyle w:val="985"/>
      </w:pPr>
      <w:r>
        <w:t xml:space="preserve">Сумма в валюте БО;</w:t>
      </w:r>
      <w:r/>
    </w:p>
    <w:p>
      <w:pPr>
        <w:pStyle w:val="985"/>
      </w:pPr>
      <w:r>
        <w:t xml:space="preserve">Наименование контрагента;</w:t>
      </w:r>
      <w:r/>
    </w:p>
    <w:p>
      <w:pPr>
        <w:pStyle w:val="985"/>
      </w:pPr>
      <w:r>
        <w:t xml:space="preserve">Статус.</w:t>
      </w:r>
      <w:r/>
    </w:p>
    <w:p>
      <w:pPr>
        <w:pStyle w:val="994"/>
      </w:pPr>
      <w:r>
        <w:t xml:space="preserve">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(сокращенная)» к ЭФ связанного документа.</w:t>
      </w:r>
      <w:r/>
    </w:p>
    <w:p>
      <w:pPr>
        <w:pStyle w:val="994"/>
      </w:pPr>
      <w:r>
        <w:t xml:space="preserve">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кассовый расход (сокращенная)». Операции «Санкциониро</w:t>
      </w:r>
      <w:r>
        <w:t xml:space="preserve">вать» и «Отказать» описаны в п.</w:t>
      </w:r>
      <w:r>
        <w:t xml:space="preserve"> </w:t>
      </w:r>
      <w:r>
        <w:fldChar w:fldCharType="begin"/>
      </w:r>
      <w:r>
        <w:instrText xml:space="preserve"> REF _Ref370315052 \r \h  \* MERGEFORMAT </w:instrText>
      </w:r>
      <w:r>
        <w:fldChar w:fldCharType="separate"/>
      </w:r>
      <w:r>
        <w:t xml:space="preserve">3.3.1</w:t>
      </w:r>
      <w:r>
        <w:fldChar w:fldCharType="end"/>
      </w:r>
      <w:r>
        <w:t xml:space="preserve">.</w:t>
      </w:r>
      <w:r/>
    </w:p>
    <w:p>
      <w:pPr>
        <w:pStyle w:val="994"/>
      </w:pPr>
      <w:r>
        <w:t xml:space="preserve">Для ра</w:t>
      </w:r>
      <w:r>
        <w:t xml:space="preserve">боты с документами «Заявка на кассовый расход (сокращенная)» следует перейти в пункт меню «Документы – Регистрация и учет обязательств – Заявки на платеж – Заявка на кассовый расход (сокращенная)». Откроется ЭФ списка документов, представленная на рисунке </w:t>
      </w:r>
      <w:r>
        <w:fldChar w:fldCharType="begin"/>
      </w:r>
      <w:r>
        <w:instrText xml:space="preserve"> REF _Ref261614728 \h  \* MERGEFORMAT </w:instrText>
      </w:r>
      <w:r>
        <w:fldChar w:fldCharType="separate"/>
      </w:r>
      <w:r>
        <w:t xml:space="preserve">20</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3383280"/>
                <wp:effectExtent l="0" t="0" r="0" b="0"/>
                <wp:docPr id="7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5"/>
                        <a:stretch/>
                      </pic:blipFill>
                      <pic:spPr bwMode="auto">
                        <a:xfrm>
                          <a:off x="0" y="0"/>
                          <a:ext cx="6134100" cy="33832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 o:spid="_x0000_s76" type="#_x0000_t75" style="mso-wrap-distance-left:0.0pt;mso-wrap-distance-top:0.0pt;mso-wrap-distance-right:0.0pt;mso-wrap-distance-bottom:0.0pt;width:483.0pt;height:266.4pt;" stroked="f">
                <v:path textboxrect="0,0,0,0"/>
                <v:imagedata r:id="rId85" o:title=""/>
              </v:shape>
            </w:pict>
          </mc:Fallback>
        </mc:AlternateContent>
      </w:r>
      <w:r/>
    </w:p>
    <w:p>
      <w:pPr>
        <w:pStyle w:val="983"/>
      </w:pPr>
      <w:r>
        <w:fldChar w:fldCharType="begin"/>
      </w:r>
      <w:r>
        <w:instrText xml:space="preserve"> SEQ Рисунок \* ARABIC </w:instrText>
      </w:r>
      <w:r>
        <w:fldChar w:fldCharType="separate"/>
      </w:r>
      <w:bookmarkStart w:id="336" w:name="_Ref261614728"/>
      <w:r/>
      <w:bookmarkStart w:id="337" w:name="_Toc88819405"/>
      <w:r>
        <w:t xml:space="preserve">20</w:t>
      </w:r>
      <w:bookmarkEnd w:id="336"/>
      <w:r>
        <w:fldChar w:fldCharType="end"/>
      </w:r>
      <w:r>
        <w:t xml:space="preserve">. ЭФ списка документов «Заявка на кассовый расход (сокращенная)»</w:t>
      </w:r>
      <w:bookmarkEnd w:id="337"/>
      <w:r/>
      <w:r/>
    </w:p>
    <w:p>
      <w:pPr>
        <w:pStyle w:val="973"/>
      </w:pPr>
      <w:r/>
      <w:bookmarkStart w:id="338" w:name="_Ref420320311"/>
      <w:r>
        <w:t xml:space="preserve">Доступные операции</w:t>
      </w:r>
      <w:bookmarkEnd w:id="338"/>
      <w:r/>
      <w:r/>
    </w:p>
    <w:p>
      <w:pPr>
        <w:pStyle w:val="994"/>
      </w:pPr>
      <w:r>
        <w:t xml:space="preserve">На АРМ ФО </w:t>
      </w:r>
      <w:r>
        <w:t xml:space="preserve">доступны следующие операции над документом</w:t>
      </w:r>
      <w:r>
        <w:t xml:space="preserve">:</w:t>
      </w:r>
      <w:r/>
    </w:p>
    <w:p>
      <w:pPr>
        <w:pStyle w:val="985"/>
      </w:pPr>
      <w:r/>
      <w:bookmarkStart w:id="339" w:name="_Ref325910234"/>
      <w:r>
        <w:t xml:space="preserve">Для исходящих документов:</w:t>
      </w:r>
      <w:r/>
    </w:p>
    <w:p>
      <w:pPr>
        <w:pStyle w:val="986"/>
      </w:pPr>
      <w:r>
        <w:t xml:space="preserve">ввод вручную;</w:t>
      </w:r>
      <w:r/>
    </w:p>
    <w:p>
      <w:pPr>
        <w:pStyle w:val="986"/>
      </w:pPr>
      <w:r>
        <w:t xml:space="preserve">создание на основе родительского документа;</w:t>
      </w:r>
      <w:r/>
    </w:p>
    <w:p>
      <w:pPr>
        <w:pStyle w:val="986"/>
      </w:pPr>
      <w:r>
        <w:t xml:space="preserve">импорт из внешней системы;</w:t>
      </w:r>
      <w:r/>
    </w:p>
    <w:p>
      <w:pPr>
        <w:pStyle w:val="986"/>
      </w:pPr>
      <w:r>
        <w:t xml:space="preserve">экспорт во внешнюю систему;</w:t>
      </w:r>
      <w:r/>
    </w:p>
    <w:p>
      <w:pPr>
        <w:pStyle w:val="986"/>
      </w:pPr>
      <w:r>
        <w:t xml:space="preserve">подписание</w:t>
      </w:r>
      <w:r>
        <w:t xml:space="preserve">, просмотр и удаление ЭП</w:t>
      </w:r>
      <w:r>
        <w:t xml:space="preserve">;</w:t>
      </w:r>
      <w:r/>
    </w:p>
    <w:p>
      <w:pPr>
        <w:pStyle w:val="986"/>
      </w:pPr>
      <w:r>
        <w:t xml:space="preserve">просмотр и редактирование;</w:t>
      </w:r>
      <w:r/>
    </w:p>
    <w:p>
      <w:pPr>
        <w:pStyle w:val="986"/>
      </w:pPr>
      <w:r>
        <w:t xml:space="preserve">копирование и </w:t>
      </w:r>
      <w:r>
        <w:t xml:space="preserve">удаление;</w:t>
      </w:r>
      <w:r/>
    </w:p>
    <w:p>
      <w:pPr>
        <w:pStyle w:val="986"/>
      </w:pPr>
      <w:r>
        <w:t xml:space="preserve">печать;</w:t>
      </w:r>
      <w:r/>
    </w:p>
    <w:p>
      <w:pPr>
        <w:pStyle w:val="986"/>
      </w:pPr>
      <w:r>
        <w:t xml:space="preserve">отправка в УФК.</w:t>
      </w:r>
      <w:r/>
    </w:p>
    <w:p>
      <w:pPr>
        <w:pStyle w:val="985"/>
      </w:pPr>
      <w:r>
        <w:t xml:space="preserve">Для транзитных документов:</w:t>
      </w:r>
      <w:r/>
    </w:p>
    <w:p>
      <w:pPr>
        <w:pStyle w:val="986"/>
      </w:pPr>
      <w:r>
        <w:t xml:space="preserve">просмотр;</w:t>
      </w:r>
      <w:r/>
    </w:p>
    <w:p>
      <w:pPr>
        <w:pStyle w:val="986"/>
      </w:pPr>
      <w:r>
        <w:t xml:space="preserve">печать;</w:t>
      </w:r>
      <w:r/>
    </w:p>
    <w:p>
      <w:pPr>
        <w:pStyle w:val="986"/>
      </w:pPr>
      <w:r>
        <w:t xml:space="preserve">проверка </w:t>
      </w:r>
      <w:r>
        <w:t xml:space="preserve">ЭП</w:t>
      </w:r>
      <w:r>
        <w:t xml:space="preserve">;</w:t>
      </w:r>
      <w:r/>
    </w:p>
    <w:p>
      <w:pPr>
        <w:pStyle w:val="986"/>
      </w:pPr>
      <w:r>
        <w:t xml:space="preserve">отказ.</w:t>
      </w:r>
      <w:r/>
    </w:p>
    <w:p>
      <w:pPr>
        <w:pStyle w:val="973"/>
      </w:pPr>
      <w:r>
        <w:t xml:space="preserve">Экранная форма документа</w:t>
      </w:r>
      <w:bookmarkEnd w:id="339"/>
      <w:r/>
      <w:r/>
    </w:p>
    <w:p>
      <w:pPr>
        <w:pStyle w:val="994"/>
      </w:pPr>
      <w:r/>
      <w:bookmarkStart w:id="340" w:name="_Toc225934607"/>
      <w:r/>
      <w:bookmarkStart w:id="341" w:name="_Toc232827357"/>
      <w:r/>
      <w:bookmarkStart w:id="342" w:name="_Ref247542610"/>
      <w:r/>
      <w:bookmarkStart w:id="343" w:name="_Ref297812082"/>
      <w:r/>
      <w:bookmarkStart w:id="344" w:name="_Ref306286896"/>
      <w:r/>
      <w:bookmarkStart w:id="345" w:name="_Ref312837332"/>
      <w:r/>
      <w:bookmarkStart w:id="346" w:name="_Ref315958140"/>
      <w:r/>
      <w:bookmarkStart w:id="347" w:name="_Ref319569892"/>
      <w:r/>
      <w:bookmarkStart w:id="348" w:name="_Ref320617204"/>
      <w:r/>
      <w:bookmarkStart w:id="349" w:name="_Ref341874449"/>
      <w:r>
        <w:t xml:space="preserve">ЭФ документа «Заявка на кассовый расход (сокращенная)» представлена на рисунках </w:t>
      </w:r>
      <w:r>
        <w:fldChar w:fldCharType="begin"/>
      </w:r>
      <w:r>
        <w:instrText xml:space="preserve"> REF _Ref261614730 \h  \* MERGEFORMAT </w:instrText>
      </w:r>
      <w:r>
        <w:fldChar w:fldCharType="separate"/>
      </w:r>
      <w:r>
        <w:t xml:space="preserve">21</w:t>
      </w:r>
      <w:r>
        <w:fldChar w:fldCharType="end"/>
      </w:r>
      <w:r>
        <w:t xml:space="preserve">, </w:t>
      </w:r>
      <w:r>
        <w:fldChar w:fldCharType="begin"/>
      </w:r>
      <w:r>
        <w:instrText xml:space="preserve"> REF _Ref261614731 \h  \* MERGEFORMAT </w:instrText>
      </w:r>
      <w:r>
        <w:fldChar w:fldCharType="separate"/>
      </w:r>
      <w:r>
        <w:t xml:space="preserve">22</w:t>
      </w:r>
      <w:r>
        <w:fldChar w:fldCharType="end"/>
      </w:r>
      <w:r>
        <w:t xml:space="preserve"> и </w:t>
      </w:r>
      <w:r>
        <w:fldChar w:fldCharType="begin"/>
      </w:r>
      <w:r>
        <w:instrText xml:space="preserve"> REF _Ref261614733 \h  \* MERGEFORMAT </w:instrText>
      </w:r>
      <w:r>
        <w:fldChar w:fldCharType="separate"/>
      </w:r>
      <w:r>
        <w:t xml:space="preserve">23</w:t>
      </w:r>
      <w:r>
        <w:fldChar w:fldCharType="end"/>
      </w:r>
      <w:r>
        <w:t xml:space="preserve">. </w:t>
      </w:r>
      <w:r>
        <w:t xml:space="preserve">Форма содержит следующие закладки</w:t>
      </w:r>
      <w:r>
        <w:t xml:space="preserve">:</w:t>
      </w:r>
      <w:r/>
    </w:p>
    <w:p>
      <w:pPr>
        <w:pStyle w:val="985"/>
      </w:pPr>
      <w:r>
        <w:t xml:space="preserve">«Заголовок, Раздел 1, (1)»; </w:t>
      </w:r>
      <w:r/>
    </w:p>
    <w:p>
      <w:pPr>
        <w:pStyle w:val="985"/>
      </w:pPr>
      <w:r>
        <w:t xml:space="preserve">«Раздел 2, 3 (2)»;</w:t>
      </w:r>
      <w:r/>
    </w:p>
    <w:p>
      <w:pPr>
        <w:pStyle w:val="985"/>
      </w:pPr>
      <w:r>
        <w:t xml:space="preserve">«Подписи (3)»;</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210300" cy="4114800"/>
                <wp:effectExtent l="0" t="0" r="0" b="0"/>
                <wp:docPr id="7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6"/>
                        <a:stretch/>
                      </pic:blipFill>
                      <pic:spPr bwMode="auto">
                        <a:xfrm>
                          <a:off x="0" y="0"/>
                          <a:ext cx="6210300" cy="4114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 o:spid="_x0000_s77" type="#_x0000_t75" style="mso-wrap-distance-left:0.0pt;mso-wrap-distance-top:0.0pt;mso-wrap-distance-right:0.0pt;mso-wrap-distance-bottom:0.0pt;width:489.0pt;height:324.0pt;" stroked="f">
                <v:path textboxrect="0,0,0,0"/>
                <v:imagedata r:id="rId86" o:title=""/>
              </v:shape>
            </w:pict>
          </mc:Fallback>
        </mc:AlternateContent>
      </w:r>
      <w:r/>
    </w:p>
    <w:p>
      <w:pPr>
        <w:pStyle w:val="983"/>
      </w:pPr>
      <w:r>
        <w:fldChar w:fldCharType="begin"/>
      </w:r>
      <w:r>
        <w:instrText xml:space="preserve"> SEQ Рисунок \* ARABIC </w:instrText>
      </w:r>
      <w:r>
        <w:fldChar w:fldCharType="separate"/>
      </w:r>
      <w:bookmarkStart w:id="350" w:name="_Ref261614730"/>
      <w:r/>
      <w:bookmarkStart w:id="351" w:name="_Toc88819406"/>
      <w:r>
        <w:t xml:space="preserve">21</w:t>
      </w:r>
      <w:bookmarkEnd w:id="350"/>
      <w:r>
        <w:fldChar w:fldCharType="end"/>
      </w:r>
      <w:r>
        <w:t xml:space="preserve">. ЭФ </w:t>
      </w:r>
      <w:r>
        <w:t xml:space="preserve">документа </w:t>
      </w:r>
      <w:r>
        <w:t xml:space="preserve">«Заявка на кассовый расход (сокращенная)</w:t>
      </w:r>
      <w:r>
        <w:t xml:space="preserve">», закладки «</w:t>
      </w:r>
      <w:r>
        <w:t xml:space="preserve">Заголовок, Раздел 1, (1)»</w:t>
      </w:r>
      <w:bookmarkEnd w:id="351"/>
      <w:r/>
      <w:r/>
    </w:p>
    <w:p>
      <w:pPr>
        <w:pStyle w:val="994"/>
        <w:rPr>
          <w:rStyle w:val="1001"/>
        </w:rPr>
      </w:pPr>
      <w:r>
        <w:t xml:space="preserve">При импорте документа из внешней системы поля формы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t xml:space="preserve"> </w:t>
      </w:r>
      <w:r>
        <w:t xml:space="preserve">Для ручного ввода документа следует на ЭФ документа заполнить поля, доступные для редактирования</w:t>
      </w:r>
      <w:r>
        <w:t xml:space="preserve">.</w:t>
      </w:r>
      <w:r/>
    </w:p>
    <w:p>
      <w:pPr>
        <w:pStyle w:val="994"/>
      </w:pPr>
      <w:r>
        <w:t xml:space="preserve">Перечень полей </w:t>
      </w:r>
      <w:r>
        <w:t xml:space="preserve">документа «Заявка на кассовый расход (сокращенная)», закладки «Заголовок, Раздел 1, (1)»</w:t>
      </w:r>
      <w:r>
        <w:t xml:space="preserve"> </w:t>
      </w:r>
      <w:r>
        <w:t xml:space="preserve">приведен в таблице</w:t>
      </w:r>
      <w:r>
        <w:t xml:space="preserve"> </w:t>
      </w:r>
      <w:r>
        <w:fldChar w:fldCharType="begin"/>
      </w:r>
      <w:r>
        <w:instrText xml:space="preserve"> REF _Ref318713123 \h  \* MERGEFORMAT </w:instrText>
      </w:r>
      <w:r>
        <w:fldChar w:fldCharType="separate"/>
      </w:r>
      <w:r>
        <w:t xml:space="preserve">8</w:t>
      </w:r>
      <w:r>
        <w:fldChar w:fldCharType="end"/>
      </w:r>
      <w:r>
        <w:t xml:space="preserve">.</w:t>
      </w:r>
      <w:r/>
    </w:p>
    <w:p>
      <w:pPr>
        <w:pStyle w:val="993"/>
      </w:pPr>
      <w:r>
        <w:fldChar w:fldCharType="begin"/>
      </w:r>
      <w:r>
        <w:instrText xml:space="preserve"> SEQ Таблица \* ARABIC </w:instrText>
      </w:r>
      <w:r>
        <w:fldChar w:fldCharType="separate"/>
      </w:r>
      <w:bookmarkStart w:id="352" w:name="_Ref318713123"/>
      <w:r/>
      <w:bookmarkStart w:id="353" w:name="_Ref317612011"/>
      <w:r/>
      <w:bookmarkStart w:id="354" w:name="_Toc88819194"/>
      <w:r>
        <w:t xml:space="preserve">8</w:t>
      </w:r>
      <w:bookmarkEnd w:id="352"/>
      <w:r/>
      <w:bookmarkEnd w:id="353"/>
      <w:r>
        <w:fldChar w:fldCharType="end"/>
      </w:r>
      <w:r>
        <w:t xml:space="preserve">. Описание полей </w:t>
      </w:r>
      <w:r>
        <w:t xml:space="preserve">документа «Заявка на кассовый расход (сокращенная)», закладки «Заголовок, Раздел 1, (1)»</w:t>
      </w:r>
      <w:bookmarkEnd w:id="354"/>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33"/>
        <w:gridCol w:w="7519"/>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14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60" w:type="pct"/>
            <w:vAlign w:val="center"/>
            <w:textDirection w:val="lrTb"/>
            <w:noWrap w:val="false"/>
          </w:tcPr>
          <w:p>
            <w:pPr>
              <w:pStyle w:val="1006"/>
            </w:pPr>
            <w:r>
              <w:t xml:space="preserve">Описание поля</w:t>
            </w:r>
            <w:r/>
          </w:p>
        </w:tc>
      </w:tr>
      <w:tr>
        <w:trPr/>
        <w:tc>
          <w:tcPr>
            <w:shd w:val="clear" w:fill="auto" w:color="auto"/>
            <w:tcW w:w="1140" w:type="pct"/>
            <w:textDirection w:val="lrTb"/>
            <w:noWrap w:val="false"/>
          </w:tcPr>
          <w:p>
            <w:pPr>
              <w:pStyle w:val="1005"/>
              <w:ind w:left="57" w:right="57"/>
            </w:pPr>
            <w:r>
              <w:t xml:space="preserve">Номер заявки</w:t>
            </w:r>
            <w:r/>
          </w:p>
        </w:tc>
        <w:tc>
          <w:tcPr>
            <w:shd w:val="clear" w:fill="auto" w:color="auto"/>
            <w:tcW w:w="3860" w:type="pct"/>
            <w:textDirection w:val="lrTb"/>
            <w:noWrap w:val="false"/>
          </w:tcPr>
          <w:p>
            <w:pPr>
              <w:pStyle w:val="1005"/>
              <w:ind w:left="57" w:right="57"/>
            </w:pPr>
            <w:r>
              <w:t xml:space="preserve">Номер документа.</w:t>
            </w:r>
            <w:r/>
          </w:p>
        </w:tc>
      </w:tr>
      <w:tr>
        <w:trPr/>
        <w:tc>
          <w:tcPr>
            <w:shd w:val="clear" w:fill="auto" w:color="auto"/>
            <w:tcW w:w="1140" w:type="pct"/>
            <w:textDirection w:val="lrTb"/>
            <w:noWrap w:val="false"/>
          </w:tcPr>
          <w:p>
            <w:pPr>
              <w:pStyle w:val="1005"/>
              <w:ind w:left="57" w:right="57"/>
            </w:pPr>
            <w:r>
              <w:t xml:space="preserve">Дата заявки</w:t>
            </w:r>
            <w:r/>
          </w:p>
        </w:tc>
        <w:tc>
          <w:tcPr>
            <w:shd w:val="clear" w:fill="auto" w:color="auto"/>
            <w:tcW w:w="3860" w:type="pct"/>
            <w:textDirection w:val="lrTb"/>
            <w:noWrap w:val="false"/>
          </w:tcPr>
          <w:p>
            <w:pPr>
              <w:pStyle w:val="1005"/>
              <w:ind w:left="57" w:right="57"/>
            </w:pPr>
            <w:r>
              <w:t xml:space="preserve">Дата документа. Значение даты может быть выбрано с помощью систе</w:t>
            </w:r>
            <w:r>
              <w:t xml:space="preserve">м</w:t>
            </w:r>
            <w:r>
              <w:t xml:space="preserve">ного календаря.</w:t>
            </w:r>
            <w:r/>
          </w:p>
        </w:tc>
      </w:tr>
      <w:tr>
        <w:trPr/>
        <w:tc>
          <w:tcPr>
            <w:shd w:val="clear" w:fill="auto" w:color="auto"/>
            <w:tcW w:w="1140" w:type="pct"/>
            <w:textDirection w:val="lrTb"/>
            <w:noWrap w:val="false"/>
          </w:tcPr>
          <w:p>
            <w:pPr>
              <w:pStyle w:val="1005"/>
              <w:ind w:left="57" w:right="57"/>
            </w:pPr>
            <w:r>
              <w:t xml:space="preserve">Сумма</w:t>
            </w:r>
            <w:r/>
          </w:p>
        </w:tc>
        <w:tc>
          <w:tcPr>
            <w:shd w:val="clear" w:fill="auto" w:color="auto"/>
            <w:tcW w:w="3860" w:type="pct"/>
            <w:textDirection w:val="lrTb"/>
            <w:noWrap w:val="false"/>
          </w:tcPr>
          <w:p>
            <w:pPr>
              <w:pStyle w:val="1005"/>
              <w:ind w:left="57" w:right="57"/>
            </w:pPr>
            <w:r>
              <w:t xml:space="preserve">Сумма расхода по заявке на кассовый расход. Значение подтягивается автоматически после заполнения поля «Сумма» в группе полей «Раздел 1. Реквизиты документа».</w:t>
            </w:r>
            <w:r/>
          </w:p>
        </w:tc>
      </w:tr>
      <w:tr>
        <w:trPr/>
        <w:tc>
          <w:tcPr>
            <w:shd w:val="clear" w:fill="auto" w:color="auto"/>
            <w:tcW w:w="1140" w:type="pct"/>
            <w:textDirection w:val="lrTb"/>
            <w:noWrap w:val="false"/>
          </w:tcPr>
          <w:p>
            <w:pPr>
              <w:pStyle w:val="1005"/>
              <w:ind w:left="57" w:right="57"/>
            </w:pPr>
            <w:r>
              <w:t xml:space="preserve">Статус</w:t>
            </w:r>
            <w:r/>
          </w:p>
        </w:tc>
        <w:tc>
          <w:tcPr>
            <w:shd w:val="clear" w:fill="auto" w:color="auto"/>
            <w:tcW w:w="3860" w:type="pct"/>
            <w:textDirection w:val="lrTb"/>
            <w:noWrap w:val="false"/>
          </w:tcPr>
          <w:p>
            <w:pPr>
              <w:pStyle w:val="1005"/>
              <w:ind w:left="57" w:right="57"/>
            </w:pPr>
            <w:r>
              <w:t xml:space="preserve">Код статуса документа. Заполняется автоматически в результате обработки документа или присылается из учетной системы (в случае обработки документа в учетной системе).</w:t>
            </w:r>
            <w:r/>
          </w:p>
        </w:tc>
      </w:tr>
      <w:tr>
        <w:trPr/>
        <w:tc>
          <w:tcPr>
            <w:shd w:val="clear" w:fill="auto" w:color="auto"/>
            <w:tcW w:w="1140" w:type="pct"/>
            <w:textDirection w:val="lrTb"/>
            <w:noWrap w:val="false"/>
          </w:tcPr>
          <w:p>
            <w:pPr>
              <w:pStyle w:val="1005"/>
              <w:ind w:left="57" w:right="57"/>
            </w:pPr>
            <w:r>
              <w:t xml:space="preserve">Формировать уведомление</w:t>
            </w:r>
            <w:r/>
          </w:p>
        </w:tc>
        <w:tc>
          <w:tcPr>
            <w:shd w:val="clear" w:fill="auto" w:color="auto"/>
            <w:tcW w:w="3860" w:type="pct"/>
            <w:textDirection w:val="lrTb"/>
            <w:noWrap w:val="false"/>
          </w:tcPr>
          <w:p>
            <w:pPr>
              <w:pStyle w:val="1005"/>
              <w:ind w:left="57" w:right="57"/>
            </w:pPr>
            <w:r>
              <w:t xml:space="preserve">Предназначено для формирования уведомлений в мобильном приложении ФК о результатах обработки документа.</w:t>
            </w:r>
            <w:r/>
          </w:p>
        </w:tc>
      </w:tr>
      <w:tr>
        <w:trPr/>
        <w:tc>
          <w:tcPr>
            <w:shd w:val="clear" w:fill="auto" w:color="auto"/>
            <w:tcW w:w="1140" w:type="pct"/>
            <w:textDirection w:val="lrTb"/>
            <w:noWrap w:val="false"/>
          </w:tcPr>
          <w:p>
            <w:pPr>
              <w:pStyle w:val="1005"/>
              <w:ind w:left="57" w:right="57"/>
            </w:pPr>
            <w:r>
              <w:t xml:space="preserve">Уровень конфиденциальности</w:t>
            </w:r>
            <w:r/>
          </w:p>
        </w:tc>
        <w:tc>
          <w:tcPr>
            <w:shd w:val="clear" w:fill="auto" w:color="auto"/>
            <w:tcW w:w="3860" w:type="pct"/>
            <w:textDirection w:val="lrTb"/>
            <w:noWrap w:val="false"/>
          </w:tcPr>
          <w:p>
            <w:pPr>
              <w:pStyle w:val="1005"/>
              <w:ind w:left="57" w:right="57"/>
            </w:pPr>
            <w:r>
              <w:t xml:space="preserve">Заполняется вручную. По умолчанию не заполнено.</w:t>
            </w:r>
            <w:r/>
          </w:p>
          <w:p>
            <w:pPr>
              <w:pStyle w:val="1005"/>
              <w:ind w:left="57" w:right="57"/>
            </w:pPr>
            <w:r>
              <w:t xml:space="preserve">Заполняется клиентом значением «1» (</w:t>
            </w:r>
            <w:r>
              <w:t xml:space="preserve">ДСП</w:t>
            </w:r>
            <w:r>
              <w:t xml:space="preserve">) или «0» (не секретно).</w:t>
            </w:r>
            <w:r/>
          </w:p>
        </w:tc>
      </w:tr>
      <w:tr>
        <w:trPr/>
        <w:tc>
          <w:tcPr>
            <w:shd w:val="clear" w:fill="auto" w:color="auto"/>
            <w:tcW w:w="1140" w:type="pct"/>
            <w:textDirection w:val="lrTb"/>
            <w:noWrap w:val="false"/>
          </w:tcPr>
          <w:p>
            <w:pPr>
              <w:pStyle w:val="1005"/>
              <w:ind w:left="57" w:right="57"/>
            </w:pPr>
            <w:r>
              <w:t xml:space="preserve">GUID документа БО</w:t>
            </w:r>
            <w:r/>
          </w:p>
        </w:tc>
        <w:tc>
          <w:tcPr>
            <w:shd w:val="clear" w:fill="auto" w:color="auto"/>
            <w:tcW w:w="3860" w:type="pct"/>
            <w:textDirection w:val="lrTb"/>
            <w:noWrap w:val="false"/>
          </w:tcPr>
          <w:p>
            <w:pPr>
              <w:pStyle w:val="1005"/>
              <w:ind w:left="57" w:right="57"/>
            </w:pPr>
            <w:r>
              <w:t xml:space="preserve">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r/>
          </w:p>
        </w:tc>
      </w:tr>
      <w:tr>
        <w:trPr/>
        <w:tc>
          <w:tcPr>
            <w:gridSpan w:val="2"/>
            <w:shd w:val="clear" w:fill="auto" w:color="auto"/>
            <w:tcW w:w="5000" w:type="pct"/>
            <w:textDirection w:val="lrTb"/>
            <w:noWrap w:val="false"/>
          </w:tcPr>
          <w:p>
            <w:pPr>
              <w:pStyle w:val="1005"/>
              <w:ind w:left="57" w:right="57"/>
            </w:pPr>
            <w:r>
              <w:t xml:space="preserve">Закладка «Заголовок, Раздел 1, (1)»</w:t>
            </w:r>
            <w:r/>
          </w:p>
        </w:tc>
      </w:tr>
      <w:tr>
        <w:trPr/>
        <w:tc>
          <w:tcPr>
            <w:shd w:val="clear" w:fill="auto" w:color="auto"/>
            <w:tcW w:w="1140" w:type="pct"/>
            <w:textDirection w:val="lrTb"/>
            <w:noWrap w:val="false"/>
          </w:tcPr>
          <w:p>
            <w:pPr>
              <w:pStyle w:val="1005"/>
              <w:ind w:left="57" w:right="57"/>
            </w:pPr>
            <w:r>
              <w:t xml:space="preserve">Клиент</w:t>
            </w:r>
            <w:r/>
          </w:p>
        </w:tc>
        <w:tc>
          <w:tcPr>
            <w:shd w:val="clear" w:fill="auto" w:color="auto"/>
            <w:tcW w:w="3860" w:type="pct"/>
            <w:textDirection w:val="lrTb"/>
            <w:noWrap w:val="false"/>
          </w:tcPr>
          <w:p>
            <w:pPr>
              <w:pStyle w:val="1005"/>
              <w:ind w:left="57" w:right="57"/>
            </w:pPr>
            <w:r>
              <w:t xml:space="preserve">Возможно заполнение из родительского документа.</w:t>
            </w:r>
            <w:r/>
          </w:p>
          <w:p>
            <w:pPr>
              <w:pStyle w:val="1005"/>
              <w:ind w:left="57" w:right="57"/>
            </w:pPr>
            <w:r>
              <w:t xml:space="preserve">Может быть изменено пользователем вручную.</w:t>
            </w:r>
            <w:r/>
          </w:p>
        </w:tc>
      </w:tr>
      <w:tr>
        <w:trPr/>
        <w:tc>
          <w:tcPr>
            <w:shd w:val="clear" w:fill="auto" w:color="auto"/>
            <w:tcW w:w="1140" w:type="pct"/>
            <w:textDirection w:val="lrTb"/>
            <w:noWrap w:val="false"/>
          </w:tcPr>
          <w:p>
            <w:pPr>
              <w:pStyle w:val="1005"/>
              <w:ind w:left="57" w:right="57"/>
            </w:pPr>
            <w:r>
              <w:t xml:space="preserve">П</w:t>
            </w:r>
            <w:r>
              <w:t xml:space="preserve">о Сводному реестру</w:t>
            </w:r>
            <w:r/>
          </w:p>
        </w:tc>
        <w:tc>
          <w:tcPr>
            <w:shd w:val="clear" w:fill="auto" w:color="auto"/>
            <w:tcW w:w="3860" w:type="pct"/>
            <w:textDirection w:val="lrTb"/>
            <w:noWrap w:val="false"/>
          </w:tcPr>
          <w:p>
            <w:pPr>
              <w:pStyle w:val="1005"/>
              <w:ind w:left="57" w:right="57"/>
            </w:pPr>
            <w:r>
              <w:t xml:space="preserve">Значение заполняется автоматически. </w:t>
            </w:r>
            <w:r>
              <w:t xml:space="preserve">Возможно заполнение из родительского документа.</w:t>
            </w:r>
            <w:r/>
          </w:p>
          <w:p>
            <w:pPr>
              <w:pStyle w:val="1007"/>
              <w:numPr>
                <w:ilvl w:val="0"/>
                <w:numId w:val="0"/>
              </w:numPr>
            </w:pPr>
            <w:r>
              <w:t xml:space="preserve">Н</w:t>
            </w:r>
            <w:r>
              <w:t xml:space="preserve">а АРМ ФО </w:t>
            </w:r>
            <w:r>
              <w:t xml:space="preserve">–</w:t>
            </w:r>
            <w:r>
              <w:t xml:space="preserve"> не заполняется.</w:t>
            </w:r>
            <w:r/>
          </w:p>
        </w:tc>
      </w:tr>
      <w:tr>
        <w:trPr/>
        <w:tc>
          <w:tcPr>
            <w:shd w:val="clear" w:fill="auto" w:color="auto"/>
            <w:tcW w:w="1140" w:type="pct"/>
            <w:textDirection w:val="lrTb"/>
            <w:noWrap w:val="false"/>
          </w:tcPr>
          <w:p>
            <w:pPr>
              <w:pStyle w:val="1005"/>
              <w:ind w:left="57" w:right="57"/>
            </w:pPr>
            <w:r>
              <w:t xml:space="preserve">Номер лицевого счета</w:t>
            </w:r>
            <w:r/>
          </w:p>
        </w:tc>
        <w:tc>
          <w:tcPr>
            <w:shd w:val="clear" w:fill="auto" w:color="auto"/>
            <w:tcW w:w="3860" w:type="pct"/>
            <w:textDirection w:val="lrTb"/>
            <w:noWrap w:val="false"/>
          </w:tcPr>
          <w:p>
            <w:pPr>
              <w:pStyle w:val="1005"/>
              <w:ind w:left="57" w:right="57"/>
            </w:pPr>
            <w:r>
              <w:t xml:space="preserve">На АРМ ФО заполняется вручную, либо выбором значения из </w:t>
            </w:r>
            <w:r>
              <w:t xml:space="preserve">справочника «Информация о ЛС»</w:t>
            </w:r>
            <w:r>
              <w:t xml:space="preserve">.</w:t>
            </w:r>
            <w:r/>
          </w:p>
          <w:p>
            <w:pPr>
              <w:pStyle w:val="1005"/>
              <w:ind w:left="57" w:right="57"/>
            </w:pPr>
            <w:r>
              <w:t xml:space="preserve">Значение может быть изменено пользователем вручную или выбором из </w:t>
            </w:r>
            <w:r>
              <w:t xml:space="preserve">справочника «Информация о ЛС»</w:t>
            </w:r>
            <w:r>
              <w:t xml:space="preserve">.</w:t>
            </w:r>
            <w:r/>
          </w:p>
          <w:p>
            <w:pPr>
              <w:pStyle w:val="1005"/>
              <w:ind w:left="57" w:right="57"/>
            </w:pPr>
            <w:r>
              <w:t xml:space="preserve">Для 41 ЛС выбор ограничен значениями только с признаком УП</w:t>
            </w:r>
            <w:r>
              <w:t xml:space="preserve">»</w:t>
            </w:r>
            <w:r>
              <w:t xml:space="preserve"> в поле </w:t>
            </w:r>
            <w:r>
              <w:t xml:space="preserve">«</w:t>
            </w:r>
            <w:r>
              <w:t xml:space="preserve">Тип клиента (наименование)</w:t>
            </w:r>
            <w:r>
              <w:t xml:space="preserve">»</w:t>
            </w:r>
            <w:r>
              <w:t xml:space="preserve">.</w:t>
            </w:r>
            <w:r>
              <w:t xml:space="preserve"> </w:t>
            </w:r>
            <w:r>
              <w:t xml:space="preserve">Также выбор ограничен ЛС, первые 2 цифры значения поля </w:t>
            </w:r>
            <w:r>
              <w:t xml:space="preserve">«</w:t>
            </w:r>
            <w:r>
              <w:t xml:space="preserve">ТОФК</w:t>
            </w:r>
            <w:r>
              <w:t xml:space="preserve">»</w:t>
            </w:r>
            <w:r>
              <w:t xml:space="preserve"> записи справочника </w:t>
            </w:r>
            <w:r>
              <w:t xml:space="preserve">«</w:t>
            </w:r>
            <w:r>
              <w:t xml:space="preserve">Информация о ЛС</w:t>
            </w:r>
            <w:r>
              <w:t xml:space="preserve">»,</w:t>
            </w:r>
            <w:r>
              <w:t xml:space="preserve"> которых равны первым двум цифрам значения константы </w:t>
            </w:r>
            <w:r>
              <w:t xml:space="preserve">«Код собственного ТОФК».</w:t>
            </w:r>
            <w:r/>
          </w:p>
          <w:p>
            <w:pPr>
              <w:pStyle w:val="1005"/>
              <w:ind w:left="57" w:right="57"/>
            </w:pPr>
            <w:r>
              <w:t xml:space="preserve">При указании в поле </w:t>
            </w:r>
            <w:r>
              <w:t xml:space="preserve">«</w:t>
            </w:r>
            <w:r>
              <w:t xml:space="preserve">Лицевой счет</w:t>
            </w:r>
            <w:r>
              <w:t xml:space="preserve">»</w:t>
            </w:r>
            <w:r>
              <w:t xml:space="preserve"> 14 и</w:t>
            </w:r>
            <w:r>
              <w:t xml:space="preserve"> </w:t>
            </w:r>
            <w:r>
              <w:t xml:space="preserve">05</w:t>
            </w:r>
            <w:r>
              <w:t xml:space="preserve"> </w:t>
            </w:r>
            <w:r>
              <w:t xml:space="preserve">тип</w:t>
            </w:r>
            <w:r>
              <w:t xml:space="preserve">ов</w:t>
            </w:r>
            <w:r>
              <w:t xml:space="preserve"> ЛС (для 05 ЛС в записи справочника ЛС должн</w:t>
            </w:r>
            <w:r>
              <w:t xml:space="preserve">ы</w:t>
            </w:r>
            <w:r>
              <w:t xml:space="preserve"> быть в заполнены поля раздела </w:t>
            </w:r>
            <w:r>
              <w:t xml:space="preserve">«</w:t>
            </w:r>
            <w:r>
              <w:t xml:space="preserve">Дополнительные реквизиты ЛС по переданным полномочиям</w:t>
            </w:r>
            <w:r>
              <w:t xml:space="preserve">»</w:t>
            </w:r>
            <w:r>
              <w:t xml:space="preserve"> и отмечен чекбокс НУБП на вкладке </w:t>
            </w:r>
            <w:r>
              <w:t xml:space="preserve">«</w:t>
            </w:r>
            <w:r>
              <w:t xml:space="preserve">Дополнительные реквизиты (5)</w:t>
            </w:r>
            <w:r>
              <w:t xml:space="preserve">»</w:t>
            </w:r>
            <w:r>
              <w:t xml:space="preserve">)</w:t>
            </w:r>
            <w:r>
              <w:t xml:space="preserve"> </w:t>
            </w:r>
            <w:r>
              <w:t xml:space="preserve">перезаполн</w:t>
            </w:r>
            <w:r>
              <w:t xml:space="preserve">яются</w:t>
            </w:r>
            <w:r>
              <w:t xml:space="preserve"> сл</w:t>
            </w:r>
            <w:r>
              <w:t xml:space="preserve">е</w:t>
            </w:r>
            <w:r>
              <w:t xml:space="preserve">дующие</w:t>
            </w:r>
            <w:r>
              <w:t xml:space="preserve"> поля документа:</w:t>
            </w:r>
            <w:r/>
          </w:p>
          <w:p>
            <w:pPr>
              <w:pStyle w:val="1007"/>
            </w:pPr>
            <w:r>
              <w:t xml:space="preserve">код бюджета (код бюджета из </w:t>
            </w:r>
            <w:r>
              <w:t xml:space="preserve">справочника «Информация о ЛС»</w:t>
            </w:r>
            <w:r>
              <w:t xml:space="preserve">);</w:t>
            </w:r>
            <w:r/>
          </w:p>
          <w:p>
            <w:pPr>
              <w:pStyle w:val="1007"/>
            </w:pPr>
            <w:r>
              <w:t xml:space="preserve">бюджет (наименование бюджета из </w:t>
            </w:r>
            <w:r>
              <w:t xml:space="preserve">справочника «Бюджеты»</w:t>
            </w:r>
            <w:r>
              <w:t xml:space="preserve">);</w:t>
            </w:r>
            <w:r/>
          </w:p>
          <w:p>
            <w:pPr>
              <w:pStyle w:val="1007"/>
            </w:pPr>
            <w:r>
              <w:t xml:space="preserve">клиент (полное наименование владельца ЛС из </w:t>
            </w:r>
            <w:r>
              <w:t xml:space="preserve">справочника «Информация о ЛС»</w:t>
            </w:r>
            <w:r>
              <w:t xml:space="preserve">);</w:t>
            </w:r>
            <w:r/>
          </w:p>
          <w:p>
            <w:pPr>
              <w:pStyle w:val="1007"/>
            </w:pPr>
            <w:r>
              <w:t xml:space="preserve">код по сводному реестру (заполняется только в случае указания федерального бюджета – из </w:t>
            </w:r>
            <w:r>
              <w:t xml:space="preserve">справочника «Информация о ЛС»</w:t>
            </w:r>
            <w:r>
              <w:t xml:space="preserve">);</w:t>
            </w:r>
            <w:r/>
          </w:p>
          <w:p>
            <w:pPr>
              <w:pStyle w:val="1007"/>
            </w:pPr>
            <w:r>
              <w:t xml:space="preserve">глава по БК (ведомство из </w:t>
            </w:r>
            <w:r>
              <w:t xml:space="preserve">справочника «Информация о ЛС»</w:t>
            </w:r>
            <w:r>
              <w:t xml:space="preserve">).</w:t>
            </w:r>
            <w:r/>
          </w:p>
          <w:p>
            <w:pPr>
              <w:pStyle w:val="1005"/>
              <w:ind w:left="57" w:right="57"/>
            </w:pPr>
            <w:r>
              <w:t xml:space="preserve">Возможно заполнение из родительского документа.</w:t>
            </w:r>
            <w:r/>
          </w:p>
        </w:tc>
      </w:tr>
      <w:tr>
        <w:trPr/>
        <w:tc>
          <w:tcPr>
            <w:shd w:val="clear" w:fill="auto" w:color="auto"/>
            <w:tcW w:w="1140" w:type="pct"/>
            <w:textDirection w:val="lrTb"/>
            <w:noWrap w:val="false"/>
          </w:tcPr>
          <w:p>
            <w:pPr>
              <w:pStyle w:val="1005"/>
              <w:ind w:left="57" w:right="57"/>
            </w:pPr>
            <w:r>
              <w:t xml:space="preserve">Глава по БК</w:t>
            </w:r>
            <w:r/>
          </w:p>
        </w:tc>
        <w:tc>
          <w:tcPr>
            <w:shd w:val="clear" w:fill="auto" w:color="auto"/>
            <w:tcW w:w="3860" w:type="pct"/>
            <w:textDirection w:val="lrTb"/>
            <w:noWrap w:val="false"/>
          </w:tcPr>
          <w:p>
            <w:pPr>
              <w:pStyle w:val="1005"/>
              <w:ind w:left="57" w:right="57"/>
            </w:pPr>
            <w:r>
              <w:t xml:space="preserve">Значение заполняется автоматически из системной константы </w:t>
            </w:r>
            <w:r>
              <w:t xml:space="preserve">«Код ППП»</w:t>
            </w:r>
            <w:r>
              <w:t xml:space="preserve">.</w:t>
            </w:r>
            <w:r/>
          </w:p>
          <w:p>
            <w:pPr>
              <w:pStyle w:val="1005"/>
              <w:ind w:left="57" w:right="57"/>
            </w:pPr>
            <w:r>
              <w:t xml:space="preserve">Может быть отредактировано вручную, либо выбором из </w:t>
            </w:r>
            <w:r>
              <w:t xml:space="preserve">справочника «Ведомства»</w:t>
            </w:r>
            <w:r>
              <w:t xml:space="preserve">.</w:t>
            </w:r>
            <w:r/>
          </w:p>
          <w:p>
            <w:pPr>
              <w:pStyle w:val="1005"/>
              <w:ind w:left="57" w:right="57"/>
            </w:pPr>
            <w:r>
              <w:t xml:space="preserve">Для БУ, АУ не заполняется.</w:t>
            </w:r>
            <w:r/>
          </w:p>
          <w:p>
            <w:pPr>
              <w:pStyle w:val="1005"/>
              <w:ind w:left="57" w:right="57"/>
            </w:pPr>
            <w:r>
              <w:t xml:space="preserve">Поле может не заполняться в соответствии с отдельными указаниями ФК в целях обеспечения режима секретности</w:t>
            </w:r>
            <w:r>
              <w:t xml:space="preserve">.</w:t>
            </w:r>
            <w:r/>
          </w:p>
          <w:p>
            <w:pPr>
              <w:pStyle w:val="1005"/>
              <w:ind w:left="57" w:right="57"/>
            </w:pPr>
            <w:r>
              <w:t xml:space="preserve">Возможно заполнение из родительского документа</w:t>
            </w:r>
            <w:r>
              <w:t xml:space="preserve">.</w:t>
            </w:r>
            <w:r/>
          </w:p>
        </w:tc>
      </w:tr>
      <w:tr>
        <w:trPr/>
        <w:tc>
          <w:tcPr>
            <w:shd w:val="clear" w:fill="auto" w:color="auto"/>
            <w:tcW w:w="1140" w:type="pct"/>
            <w:textDirection w:val="lrTb"/>
            <w:noWrap w:val="false"/>
          </w:tcPr>
          <w:p>
            <w:pPr>
              <w:pStyle w:val="1005"/>
              <w:ind w:left="57" w:right="57"/>
            </w:pPr>
            <w:r>
              <w:t xml:space="preserve">Бюджет</w:t>
            </w:r>
            <w:r/>
          </w:p>
        </w:tc>
        <w:tc>
          <w:tcPr>
            <w:shd w:val="clear" w:fill="auto" w:color="auto"/>
            <w:tcW w:w="3860" w:type="pct"/>
            <w:textDirection w:val="lrTb"/>
            <w:noWrap w:val="false"/>
          </w:tcPr>
          <w:p>
            <w:pPr>
              <w:pStyle w:val="1005"/>
              <w:ind w:left="57" w:right="57"/>
            </w:pPr>
            <w:r>
              <w:t xml:space="preserve">Заполняется автоматически по коду бюджета (полное наименование).</w:t>
            </w:r>
            <w:r/>
          </w:p>
          <w:p>
            <w:pPr>
              <w:pStyle w:val="1005"/>
              <w:ind w:left="57" w:right="57"/>
            </w:pPr>
            <w:r>
              <w:t xml:space="preserve">Может быть отредактировано вручную/из </w:t>
            </w:r>
            <w:r>
              <w:t xml:space="preserve">справочника «Бюджеты»</w:t>
            </w:r>
            <w:r>
              <w:t xml:space="preserve">. </w:t>
            </w:r>
            <w:r/>
          </w:p>
          <w:p>
            <w:pPr>
              <w:pStyle w:val="1005"/>
              <w:ind w:left="57" w:right="57"/>
            </w:pPr>
            <w:r>
              <w:t xml:space="preserve">Возможно заполнение из родительского документа.</w:t>
            </w:r>
            <w:r/>
          </w:p>
        </w:tc>
      </w:tr>
      <w:tr>
        <w:trPr/>
        <w:tc>
          <w:tcPr>
            <w:shd w:val="clear" w:fill="auto" w:color="auto"/>
            <w:tcW w:w="1140" w:type="pct"/>
            <w:textDirection w:val="lrTb"/>
            <w:noWrap w:val="false"/>
          </w:tcPr>
          <w:p>
            <w:pPr>
              <w:pStyle w:val="1005"/>
              <w:ind w:left="57" w:right="57"/>
            </w:pPr>
            <w:r>
              <w:t xml:space="preserve">ИНН</w:t>
            </w:r>
            <w:r/>
          </w:p>
        </w:tc>
        <w:tc>
          <w:tcPr>
            <w:shd w:val="clear" w:fill="auto" w:color="auto"/>
            <w:tcW w:w="3860" w:type="pct"/>
            <w:textDirection w:val="lrTb"/>
            <w:noWrap w:val="false"/>
          </w:tcPr>
          <w:p>
            <w:pPr>
              <w:pStyle w:val="1005"/>
              <w:ind w:left="57" w:right="57"/>
            </w:pPr>
            <w:r>
              <w:t xml:space="preserve">Значение вводится вручную</w:t>
            </w:r>
            <w:r>
              <w:t xml:space="preserve">. </w:t>
            </w:r>
            <w:r/>
          </w:p>
          <w:p>
            <w:pPr>
              <w:pStyle w:val="1005"/>
              <w:ind w:left="57" w:right="57"/>
            </w:pPr>
            <w:r>
              <w:t xml:space="preserve">Поле заполняется в случае необходимости ук</w:t>
            </w:r>
            <w:r>
              <w:t xml:space="preserve">а</w:t>
            </w:r>
            <w:r>
              <w:t xml:space="preserve">зания в платежном поручении ИНН, отличного от ИНН получателя бюджетных средств, указанного в Заявлении на открытие (переоформление) лицевого счета.</w:t>
            </w:r>
            <w:r/>
          </w:p>
        </w:tc>
      </w:tr>
      <w:tr>
        <w:trPr/>
        <w:tc>
          <w:tcPr>
            <w:shd w:val="clear" w:fill="auto" w:color="auto"/>
            <w:tcW w:w="1140" w:type="pct"/>
            <w:textDirection w:val="lrTb"/>
            <w:noWrap w:val="false"/>
          </w:tcPr>
          <w:p>
            <w:pPr>
              <w:pStyle w:val="1005"/>
              <w:ind w:left="57" w:right="57"/>
            </w:pPr>
            <w:r>
              <w:t xml:space="preserve">КПП</w:t>
            </w:r>
            <w:r/>
          </w:p>
        </w:tc>
        <w:tc>
          <w:tcPr>
            <w:shd w:val="clear" w:fill="auto" w:color="auto"/>
            <w:tcW w:w="3860" w:type="pct"/>
            <w:textDirection w:val="lrTb"/>
            <w:noWrap w:val="false"/>
          </w:tcPr>
          <w:p>
            <w:pPr>
              <w:pStyle w:val="1005"/>
              <w:ind w:left="57" w:right="57"/>
            </w:pPr>
            <w:r>
              <w:t xml:space="preserve">Значение вводится вручную</w:t>
            </w:r>
            <w:r>
              <w:t xml:space="preserve">. </w:t>
            </w:r>
            <w:r/>
          </w:p>
          <w:p>
            <w:pPr>
              <w:pStyle w:val="1005"/>
              <w:ind w:left="57" w:right="57"/>
            </w:pPr>
            <w:r>
              <w:t xml:space="preserve">Поле заполняется в случае необходимости ук</w:t>
            </w:r>
            <w:r>
              <w:t xml:space="preserve">а</w:t>
            </w:r>
            <w:r>
              <w:t xml:space="preserve">зания в платежном поручении КПП, отличного от КПП получателя бюджетных средств, указанного в Заявлении на открытие (переоформление) лицевого счета.</w:t>
            </w:r>
            <w:r/>
          </w:p>
        </w:tc>
      </w:tr>
      <w:tr>
        <w:trPr/>
        <w:tc>
          <w:tcPr>
            <w:shd w:val="clear" w:fill="auto" w:color="auto"/>
            <w:tcW w:w="1140" w:type="pct"/>
            <w:textDirection w:val="lrTb"/>
            <w:noWrap w:val="false"/>
          </w:tcPr>
          <w:p>
            <w:pPr>
              <w:pStyle w:val="1005"/>
              <w:ind w:left="57" w:right="57"/>
            </w:pPr>
            <w:r>
              <w:t xml:space="preserve">ФК, Орган ФК</w:t>
            </w:r>
            <w:r/>
          </w:p>
        </w:tc>
        <w:tc>
          <w:tcPr>
            <w:shd w:val="clear" w:fill="auto" w:color="auto"/>
            <w:tcW w:w="3860" w:type="pct"/>
            <w:textDirection w:val="lrTb"/>
            <w:noWrap w:val="false"/>
          </w:tcPr>
          <w:p>
            <w:pPr>
              <w:pStyle w:val="1005"/>
              <w:ind w:left="57" w:right="57"/>
            </w:pPr>
            <w:r>
              <w:t xml:space="preserve">Наименование ОрФК, обслуживающего клиента. </w:t>
            </w:r>
            <w:r/>
          </w:p>
          <w:p>
            <w:pPr>
              <w:pStyle w:val="1005"/>
              <w:ind w:left="57" w:right="57"/>
            </w:pPr>
            <w:r>
              <w:t xml:space="preserve">Значение поля подтягивается по полю «по КОФК» из справочника орг</w:t>
            </w:r>
            <w:r>
              <w:t xml:space="preserve">а</w:t>
            </w:r>
            <w:r>
              <w:t xml:space="preserve">нов ФК</w:t>
            </w:r>
            <w:r>
              <w:t xml:space="preserve">,</w:t>
            </w:r>
            <w:r>
              <w:t xml:space="preserve"> из поля «Полное наименование». </w:t>
            </w:r>
            <w:r/>
          </w:p>
          <w:p>
            <w:pPr>
              <w:pStyle w:val="1005"/>
              <w:ind w:left="57" w:right="57"/>
            </w:pPr>
            <w:r>
              <w:t xml:space="preserve">Может быть изменено вручную.</w:t>
            </w:r>
            <w:r/>
          </w:p>
          <w:p>
            <w:pPr>
              <w:pStyle w:val="1005"/>
              <w:ind w:left="57" w:right="57"/>
            </w:pPr>
            <w:r>
              <w:t xml:space="preserve">Возможно заполнение из родительского документа.</w:t>
            </w:r>
            <w:r/>
          </w:p>
        </w:tc>
      </w:tr>
      <w:tr>
        <w:trPr/>
        <w:tc>
          <w:tcPr>
            <w:shd w:val="clear" w:fill="auto" w:color="auto"/>
            <w:tcW w:w="1140" w:type="pct"/>
            <w:textDirection w:val="lrTb"/>
            <w:noWrap w:val="false"/>
          </w:tcPr>
          <w:p>
            <w:pPr>
              <w:pStyle w:val="1005"/>
              <w:ind w:left="57" w:right="57"/>
            </w:pPr>
            <w:r>
              <w:t xml:space="preserve">По КОФК</w:t>
            </w:r>
            <w:r/>
          </w:p>
        </w:tc>
        <w:tc>
          <w:tcPr>
            <w:shd w:val="clear" w:fill="auto" w:color="auto"/>
            <w:tcW w:w="3860" w:type="pct"/>
            <w:textDirection w:val="lrTb"/>
            <w:noWrap w:val="false"/>
          </w:tcPr>
          <w:p>
            <w:pPr>
              <w:pStyle w:val="1005"/>
              <w:ind w:left="57" w:right="57"/>
            </w:pPr>
            <w:r>
              <w:t xml:space="preserve">Код по КОФК ОрФК, обслуживающего клиента.</w:t>
            </w:r>
            <w:r/>
          </w:p>
          <w:p>
            <w:pPr>
              <w:pStyle w:val="1005"/>
              <w:ind w:left="57" w:right="57"/>
            </w:pPr>
            <w:r>
              <w:t xml:space="preserve">На АРМ ФО</w:t>
            </w:r>
            <w:r>
              <w:t xml:space="preserve">: проверяется значение константы </w:t>
            </w:r>
            <w:r>
              <w:t xml:space="preserve">«Код со</w:t>
            </w:r>
            <w:r>
              <w:t xml:space="preserve">б</w:t>
            </w:r>
            <w:r>
              <w:t xml:space="preserve">ственного ТОФК»:</w:t>
            </w:r>
            <w:r/>
          </w:p>
          <w:p>
            <w:pPr>
              <w:pStyle w:val="1007"/>
            </w:pPr>
            <w:r>
              <w:t xml:space="preserve">е</w:t>
            </w:r>
            <w:r>
              <w:t xml:space="preserve">сли оно равно ххуу, то по умолчанию проставляется значение константы код вышестоящего ТОФК равный хх00; </w:t>
            </w:r>
            <w:r/>
          </w:p>
          <w:p>
            <w:pPr>
              <w:pStyle w:val="1007"/>
            </w:pPr>
            <w:r>
              <w:t xml:space="preserve">если </w:t>
            </w:r>
            <w:r>
              <w:t xml:space="preserve">равно</w:t>
            </w:r>
            <w:r>
              <w:t xml:space="preserve"> хх00, то по умолчанию проставляется значение </w:t>
            </w:r>
            <w:r>
              <w:t xml:space="preserve">«Код собственного ТОФК»</w:t>
            </w:r>
            <w:r>
              <w:t xml:space="preserve">. </w:t>
            </w:r>
            <w:r/>
          </w:p>
          <w:p>
            <w:pPr>
              <w:pStyle w:val="1005"/>
              <w:ind w:left="57" w:right="57"/>
            </w:pPr>
            <w:r>
              <w:t xml:space="preserve">Может быть изменено вручную или выбором из справочника органов ФК.</w:t>
            </w:r>
            <w:r/>
          </w:p>
          <w:p>
            <w:pPr>
              <w:pStyle w:val="1005"/>
              <w:ind w:left="57" w:right="57"/>
            </w:pPr>
            <w:r>
              <w:t xml:space="preserve">Возможно заполнение из родительского документа.</w:t>
            </w:r>
            <w:r/>
          </w:p>
        </w:tc>
      </w:tr>
      <w:tr>
        <w:trPr/>
        <w:tc>
          <w:tcPr>
            <w:shd w:val="clear" w:fill="auto" w:color="auto"/>
            <w:tcW w:w="1140" w:type="pct"/>
            <w:textDirection w:val="lrTb"/>
            <w:noWrap w:val="false"/>
          </w:tcPr>
          <w:p>
            <w:pPr>
              <w:pStyle w:val="1005"/>
              <w:ind w:left="57" w:right="57"/>
            </w:pPr>
            <w:r>
              <w:t xml:space="preserve">Пред. </w:t>
            </w:r>
            <w:r>
              <w:t xml:space="preserve">Д</w:t>
            </w:r>
            <w:r>
              <w:t xml:space="preserve">ата</w:t>
            </w:r>
            <w:r/>
          </w:p>
        </w:tc>
        <w:tc>
          <w:tcPr>
            <w:shd w:val="clear" w:fill="auto" w:color="auto"/>
            <w:tcW w:w="3860" w:type="pct"/>
            <w:textDirection w:val="lrTb"/>
            <w:noWrap w:val="false"/>
          </w:tcPr>
          <w:p>
            <w:pPr>
              <w:pStyle w:val="1005"/>
              <w:ind w:left="57" w:right="57"/>
            </w:pPr>
            <w:r>
              <w:t xml:space="preserve">Может быть изменено вручную или выбором из системн</w:t>
            </w:r>
            <w:r>
              <w:t xml:space="preserve">о</w:t>
            </w:r>
            <w:r>
              <w:t xml:space="preserve">го календаря.</w:t>
            </w:r>
            <w:r/>
          </w:p>
          <w:p>
            <w:pPr>
              <w:pStyle w:val="1005"/>
              <w:ind w:left="57" w:right="57"/>
            </w:pPr>
            <w:r>
              <w:t xml:space="preserve">Для БУ, АУ не заполняется.</w:t>
            </w:r>
            <w:r/>
          </w:p>
          <w:p>
            <w:pPr>
              <w:pStyle w:val="1005"/>
              <w:ind w:left="57" w:right="57"/>
            </w:pPr>
            <w:r>
              <w:t xml:space="preserve">Для УБП ТГВБФ и ГВБФ не заполняется.</w:t>
            </w:r>
            <w:r/>
          </w:p>
        </w:tc>
      </w:tr>
      <w:tr>
        <w:trPr/>
        <w:tc>
          <w:tcPr>
            <w:gridSpan w:val="2"/>
            <w:shd w:val="clear" w:fill="auto" w:color="auto"/>
            <w:tcW w:w="5000" w:type="pct"/>
            <w:textDirection w:val="lrTb"/>
            <w:noWrap w:val="false"/>
          </w:tcPr>
          <w:p>
            <w:pPr>
              <w:pStyle w:val="1005"/>
              <w:ind w:left="57" w:right="57"/>
            </w:pPr>
            <w:r>
              <w:t xml:space="preserve">Закладка «Заголовок, Раздел 1, (1)</w:t>
            </w:r>
            <w:r>
              <w:t xml:space="preserve">», группа полей «</w:t>
            </w:r>
            <w:r>
              <w:t xml:space="preserve">Раздел 1. Реквизиты документа»</w:t>
            </w:r>
            <w:r/>
          </w:p>
        </w:tc>
      </w:tr>
      <w:tr>
        <w:trPr/>
        <w:tc>
          <w:tcPr>
            <w:shd w:val="clear" w:fill="auto" w:color="auto"/>
            <w:tcW w:w="1140" w:type="pct"/>
            <w:textDirection w:val="lrTb"/>
            <w:noWrap w:val="false"/>
          </w:tcPr>
          <w:p>
            <w:pPr>
              <w:pStyle w:val="1005"/>
              <w:ind w:left="57" w:right="57"/>
            </w:pPr>
            <w:r>
              <w:t xml:space="preserve">Основание платежа</w:t>
            </w:r>
            <w:r/>
          </w:p>
        </w:tc>
        <w:tc>
          <w:tcPr>
            <w:shd w:val="clear" w:fill="auto" w:color="auto"/>
            <w:tcW w:w="3860" w:type="pct"/>
            <w:textDirection w:val="lrTb"/>
            <w:noWrap w:val="false"/>
          </w:tcPr>
          <w:p>
            <w:pPr>
              <w:pStyle w:val="1005"/>
              <w:ind w:left="57" w:right="57"/>
            </w:pPr>
            <w:r>
              <w:t xml:space="preserve">Вид документа-основания платежа (договора). </w:t>
            </w:r>
            <w:r/>
          </w:p>
          <w:p>
            <w:pPr>
              <w:pStyle w:val="1005"/>
              <w:ind w:left="57" w:right="57"/>
            </w:pPr>
            <w:r>
              <w:t xml:space="preserve">Возможные значения: «договор», «контракт».</w:t>
            </w:r>
            <w:r/>
          </w:p>
          <w:p>
            <w:pPr>
              <w:pStyle w:val="1005"/>
              <w:ind w:left="57" w:right="57"/>
            </w:pPr>
            <w:r>
              <w:t xml:space="preserve">Возможно заполнение из родительского документа.</w:t>
            </w:r>
            <w:r/>
          </w:p>
        </w:tc>
      </w:tr>
      <w:tr>
        <w:trPr/>
        <w:tc>
          <w:tcPr>
            <w:shd w:val="clear" w:fill="auto" w:color="auto"/>
            <w:tcW w:w="1140" w:type="pct"/>
            <w:textDirection w:val="lrTb"/>
            <w:noWrap w:val="false"/>
          </w:tcPr>
          <w:p>
            <w:pPr>
              <w:pStyle w:val="1005"/>
              <w:ind w:left="57" w:right="57"/>
            </w:pPr>
            <w:r>
              <w:t xml:space="preserve">Номер</w:t>
            </w:r>
            <w:r/>
          </w:p>
        </w:tc>
        <w:tc>
          <w:tcPr>
            <w:shd w:val="clear" w:fill="auto" w:color="auto"/>
            <w:tcW w:w="3860" w:type="pct"/>
            <w:textDirection w:val="lrTb"/>
            <w:noWrap w:val="false"/>
          </w:tcPr>
          <w:p>
            <w:pPr>
              <w:pStyle w:val="1005"/>
              <w:ind w:left="57" w:right="57"/>
            </w:pPr>
            <w:r>
              <w:t xml:space="preserve">Номер документа-основания платежа.</w:t>
            </w:r>
            <w:r/>
          </w:p>
          <w:p>
            <w:pPr>
              <w:pStyle w:val="1005"/>
              <w:ind w:left="57" w:right="57"/>
            </w:pPr>
            <w:r>
              <w:t xml:space="preserve">Возможно заполнение из родительского документа.</w:t>
            </w:r>
            <w:r/>
          </w:p>
        </w:tc>
      </w:tr>
      <w:tr>
        <w:trPr/>
        <w:tc>
          <w:tcPr>
            <w:shd w:val="clear" w:fill="auto" w:color="auto"/>
            <w:tcW w:w="1140" w:type="pct"/>
            <w:textDirection w:val="lrTb"/>
            <w:noWrap w:val="false"/>
          </w:tcPr>
          <w:p>
            <w:pPr>
              <w:pStyle w:val="1005"/>
              <w:ind w:left="57" w:right="57"/>
            </w:pPr>
            <w:r>
              <w:t xml:space="preserve">Дата</w:t>
            </w:r>
            <w:r/>
          </w:p>
        </w:tc>
        <w:tc>
          <w:tcPr>
            <w:shd w:val="clear" w:fill="auto" w:color="auto"/>
            <w:tcW w:w="3860" w:type="pct"/>
            <w:textDirection w:val="lrTb"/>
            <w:noWrap w:val="false"/>
          </w:tcPr>
          <w:p>
            <w:pPr>
              <w:pStyle w:val="1005"/>
              <w:ind w:left="57" w:right="57"/>
            </w:pPr>
            <w:r>
              <w:t xml:space="preserve">Дата документа-основания платежа. </w:t>
            </w:r>
            <w:r/>
          </w:p>
          <w:p>
            <w:pPr>
              <w:pStyle w:val="1005"/>
              <w:ind w:left="57" w:right="57"/>
            </w:pPr>
            <w:r>
              <w:t xml:space="preserve">Значение даты может быть выбрано с помощью системного календ</w:t>
            </w:r>
            <w:r>
              <w:t xml:space="preserve">а</w:t>
            </w:r>
            <w:r>
              <w:t xml:space="preserve">ря.</w:t>
            </w:r>
            <w:r/>
          </w:p>
          <w:p>
            <w:pPr>
              <w:pStyle w:val="1005"/>
              <w:ind w:left="57" w:right="57"/>
            </w:pPr>
            <w:r>
              <w:t xml:space="preserve">Возможно заполнение из родительского документа.</w:t>
            </w:r>
            <w:r/>
          </w:p>
        </w:tc>
      </w:tr>
      <w:tr>
        <w:trPr/>
        <w:tc>
          <w:tcPr>
            <w:shd w:val="clear" w:fill="auto" w:color="auto"/>
            <w:tcW w:w="1140" w:type="pct"/>
            <w:textDirection w:val="lrTb"/>
            <w:noWrap w:val="false"/>
          </w:tcPr>
          <w:p>
            <w:pPr>
              <w:pStyle w:val="1005"/>
              <w:ind w:left="57" w:right="57"/>
            </w:pPr>
            <w:r>
              <w:t xml:space="preserve">Документ-основание</w:t>
            </w:r>
            <w:r/>
          </w:p>
        </w:tc>
        <w:tc>
          <w:tcPr>
            <w:shd w:val="clear" w:fill="auto" w:color="auto"/>
            <w:tcW w:w="3860" w:type="pct"/>
            <w:textDirection w:val="lrTb"/>
            <w:noWrap w:val="false"/>
          </w:tcPr>
          <w:p>
            <w:pPr>
              <w:pStyle w:val="1005"/>
              <w:ind w:left="57" w:right="57"/>
            </w:pPr>
            <w:r>
              <w:t xml:space="preserve">Наименование документа-основания (счет, счет-фактура и т.п.).</w:t>
            </w:r>
            <w:r/>
          </w:p>
        </w:tc>
      </w:tr>
      <w:tr>
        <w:trPr/>
        <w:tc>
          <w:tcPr>
            <w:shd w:val="clear" w:fill="auto" w:color="auto"/>
            <w:tcW w:w="1140" w:type="pct"/>
            <w:textDirection w:val="lrTb"/>
            <w:noWrap w:val="false"/>
          </w:tcPr>
          <w:p>
            <w:pPr>
              <w:pStyle w:val="1005"/>
              <w:ind w:left="57" w:right="57"/>
            </w:pPr>
            <w:r>
              <w:t xml:space="preserve">Номер</w:t>
            </w:r>
            <w:r/>
          </w:p>
        </w:tc>
        <w:tc>
          <w:tcPr>
            <w:shd w:val="clear" w:fill="auto" w:color="auto"/>
            <w:tcW w:w="3860" w:type="pct"/>
            <w:textDirection w:val="lrTb"/>
            <w:noWrap w:val="false"/>
          </w:tcPr>
          <w:p>
            <w:pPr>
              <w:pStyle w:val="1005"/>
              <w:ind w:left="57" w:right="57"/>
            </w:pPr>
            <w:r>
              <w:t xml:space="preserve">Номер документа-основания.</w:t>
            </w:r>
            <w:r/>
          </w:p>
        </w:tc>
      </w:tr>
      <w:tr>
        <w:trPr/>
        <w:tc>
          <w:tcPr>
            <w:shd w:val="clear" w:fill="auto" w:color="auto"/>
            <w:tcW w:w="1140" w:type="pct"/>
            <w:textDirection w:val="lrTb"/>
            <w:noWrap w:val="false"/>
          </w:tcPr>
          <w:p>
            <w:pPr>
              <w:pStyle w:val="1005"/>
              <w:ind w:left="57" w:right="57"/>
            </w:pPr>
            <w:r>
              <w:t xml:space="preserve">Дата</w:t>
            </w:r>
            <w:r/>
          </w:p>
        </w:tc>
        <w:tc>
          <w:tcPr>
            <w:shd w:val="clear" w:fill="auto" w:color="auto"/>
            <w:tcW w:w="3860" w:type="pct"/>
            <w:textDirection w:val="lrTb"/>
            <w:noWrap w:val="false"/>
          </w:tcPr>
          <w:p>
            <w:pPr>
              <w:pStyle w:val="1005"/>
              <w:ind w:left="57" w:right="57"/>
            </w:pPr>
            <w:r>
              <w:t xml:space="preserve">Дата документа-основания. </w:t>
            </w:r>
            <w:r/>
          </w:p>
          <w:p>
            <w:pPr>
              <w:pStyle w:val="1005"/>
              <w:ind w:left="57" w:right="57"/>
            </w:pPr>
            <w:r>
              <w:t xml:space="preserve">Значение даты может быть выбрано с помощью системного календ</w:t>
            </w:r>
            <w:r>
              <w:t xml:space="preserve">а</w:t>
            </w:r>
            <w:r>
              <w:t xml:space="preserve">ря.</w:t>
            </w:r>
            <w:r/>
          </w:p>
        </w:tc>
      </w:tr>
      <w:tr>
        <w:trPr/>
        <w:tc>
          <w:tcPr>
            <w:shd w:val="clear" w:fill="auto" w:color="auto"/>
            <w:tcW w:w="1140" w:type="pct"/>
            <w:textDirection w:val="lrTb"/>
            <w:noWrap w:val="false"/>
          </w:tcPr>
          <w:p>
            <w:pPr>
              <w:pStyle w:val="1005"/>
              <w:ind w:left="57" w:right="57"/>
            </w:pPr>
            <w:r>
              <w:t xml:space="preserve">ИПД</w:t>
            </w:r>
            <w:r/>
          </w:p>
        </w:tc>
        <w:tc>
          <w:tcPr>
            <w:shd w:val="clear" w:fill="auto" w:color="auto"/>
            <w:tcW w:w="3860" w:type="pct"/>
            <w:textDirection w:val="lrTb"/>
            <w:noWrap w:val="false"/>
          </w:tcPr>
          <w:p>
            <w:pPr>
              <w:pStyle w:val="1005"/>
              <w:ind w:left="57" w:right="57"/>
            </w:pPr>
            <w:r>
              <w:t xml:space="preserve">Значение вводится вручную.</w:t>
            </w:r>
            <w:r/>
          </w:p>
        </w:tc>
      </w:tr>
      <w:tr>
        <w:trPr/>
        <w:tc>
          <w:tcPr>
            <w:shd w:val="clear" w:fill="auto" w:color="auto"/>
            <w:tcW w:w="1140" w:type="pct"/>
            <w:textDirection w:val="lrTb"/>
            <w:noWrap w:val="false"/>
          </w:tcPr>
          <w:p>
            <w:pPr>
              <w:pStyle w:val="1005"/>
              <w:ind w:left="57" w:right="57"/>
            </w:pPr>
            <w:r>
              <w:t xml:space="preserve">ПРД</w:t>
            </w:r>
            <w:r/>
          </w:p>
        </w:tc>
        <w:tc>
          <w:tcPr>
            <w:shd w:val="clear" w:fill="auto" w:color="auto"/>
            <w:tcW w:w="3860" w:type="pct"/>
            <w:textDirection w:val="lrTb"/>
            <w:noWrap w:val="false"/>
          </w:tcPr>
          <w:p>
            <w:pPr>
              <w:pStyle w:val="1005"/>
              <w:ind w:left="57" w:right="57"/>
            </w:pPr>
            <w:r>
              <w:t xml:space="preserve">Значение вводится вручную.</w:t>
            </w:r>
            <w:r/>
          </w:p>
          <w:p>
            <w:pPr>
              <w:pStyle w:val="1005"/>
              <w:ind w:left="57" w:right="57"/>
            </w:pPr>
            <w:r>
              <w:t xml:space="preserve">Поле обязательно к заполнению, если заполнены поля «ЕЛС» или «ЖКУ».</w:t>
            </w:r>
            <w:r/>
          </w:p>
        </w:tc>
      </w:tr>
      <w:tr>
        <w:trPr/>
        <w:tc>
          <w:tcPr>
            <w:shd w:val="clear" w:fill="auto" w:color="auto"/>
            <w:tcW w:w="1140" w:type="pct"/>
            <w:textDirection w:val="lrTb"/>
            <w:noWrap w:val="false"/>
          </w:tcPr>
          <w:p>
            <w:pPr>
              <w:pStyle w:val="1005"/>
              <w:ind w:left="57" w:right="57"/>
            </w:pPr>
            <w:r>
              <w:t xml:space="preserve">ЕЛС</w:t>
            </w:r>
            <w:r/>
          </w:p>
        </w:tc>
        <w:tc>
          <w:tcPr>
            <w:shd w:val="clear" w:fill="auto" w:color="auto"/>
            <w:tcW w:w="3860" w:type="pct"/>
            <w:textDirection w:val="lrTb"/>
            <w:noWrap w:val="false"/>
          </w:tcPr>
          <w:p>
            <w:pPr>
              <w:pStyle w:val="1005"/>
              <w:ind w:left="57" w:right="57"/>
            </w:pPr>
            <w:r>
              <w:t xml:space="preserve">Значение вводится вручную.</w:t>
            </w:r>
            <w:r/>
          </w:p>
          <w:p>
            <w:pPr>
              <w:pStyle w:val="1005"/>
              <w:ind w:left="57" w:right="57"/>
            </w:pPr>
            <w:r>
              <w:t xml:space="preserve">Поле обязательно для заполнения, если заполнено поле «ПРД» и не заполнено поле «ЖКУ».</w:t>
            </w:r>
            <w:r/>
          </w:p>
        </w:tc>
      </w:tr>
      <w:tr>
        <w:trPr/>
        <w:tc>
          <w:tcPr>
            <w:shd w:val="clear" w:fill="auto" w:color="auto"/>
            <w:tcW w:w="1140" w:type="pct"/>
            <w:textDirection w:val="lrTb"/>
            <w:noWrap w:val="false"/>
          </w:tcPr>
          <w:p>
            <w:pPr>
              <w:pStyle w:val="1005"/>
              <w:ind w:left="57" w:right="57"/>
            </w:pPr>
            <w:r>
              <w:t xml:space="preserve">ЖКУ</w:t>
            </w:r>
            <w:r/>
          </w:p>
        </w:tc>
        <w:tc>
          <w:tcPr>
            <w:shd w:val="clear" w:fill="auto" w:color="auto"/>
            <w:tcW w:w="3860" w:type="pct"/>
            <w:textDirection w:val="lrTb"/>
            <w:noWrap w:val="false"/>
          </w:tcPr>
          <w:p>
            <w:pPr>
              <w:pStyle w:val="1005"/>
              <w:ind w:left="57" w:right="57"/>
            </w:pPr>
            <w:r>
              <w:t xml:space="preserve">Значение вводится вручную.</w:t>
            </w:r>
            <w:r/>
          </w:p>
          <w:p>
            <w:pPr>
              <w:pStyle w:val="1005"/>
              <w:ind w:left="57" w:right="57"/>
            </w:pPr>
            <w:r>
              <w:t xml:space="preserve">Поле обязательно для заполнения, если заполнено поле «ПРД» и не заполнено поле «ЕЛС».</w:t>
            </w:r>
            <w:r/>
          </w:p>
        </w:tc>
      </w:tr>
      <w:tr>
        <w:trPr/>
        <w:tc>
          <w:tcPr>
            <w:shd w:val="clear" w:fill="auto" w:color="auto"/>
            <w:tcW w:w="1140" w:type="pct"/>
            <w:textDirection w:val="lrTb"/>
            <w:noWrap w:val="false"/>
          </w:tcPr>
          <w:p>
            <w:pPr>
              <w:pStyle w:val="1005"/>
              <w:ind w:left="57" w:right="57"/>
            </w:pPr>
            <w:r>
              <w:t xml:space="preserve">Вид дохода</w:t>
            </w:r>
            <w:r/>
          </w:p>
        </w:tc>
        <w:tc>
          <w:tcPr>
            <w:shd w:val="clear" w:fill="auto" w:color="auto"/>
            <w:tcW w:w="3860" w:type="pct"/>
            <w:textDirection w:val="lrTb"/>
            <w:noWrap w:val="false"/>
          </w:tcPr>
          <w:p>
            <w:pPr>
              <w:pStyle w:val="1005"/>
              <w:ind w:left="57" w:right="57"/>
            </w:pPr>
            <w:r>
              <w:t xml:space="preserve">Значение вводится вручную.</w:t>
            </w:r>
            <w:r/>
          </w:p>
          <w:p>
            <w:pPr>
              <w:pStyle w:val="1005"/>
              <w:ind w:left="57" w:right="57"/>
            </w:pPr>
            <w:r>
              <w:t xml:space="preserve">Поле обязательно для заполнения, если заполнено поле «ПРД» и не заполнено поле «ЕЛС».</w:t>
            </w:r>
            <w:r/>
          </w:p>
        </w:tc>
      </w:tr>
      <w:tr>
        <w:trPr/>
        <w:tc>
          <w:tcPr>
            <w:shd w:val="clear" w:fill="auto" w:color="auto"/>
            <w:tcW w:w="1140" w:type="pct"/>
            <w:textDirection w:val="lrTb"/>
            <w:noWrap w:val="false"/>
          </w:tcPr>
          <w:p>
            <w:pPr>
              <w:pStyle w:val="1005"/>
              <w:ind w:left="57" w:right="57"/>
            </w:pPr>
            <w:r>
              <w:t xml:space="preserve">Назначение пл. (Примеч.)</w:t>
            </w:r>
            <w:r/>
          </w:p>
        </w:tc>
        <w:tc>
          <w:tcPr>
            <w:shd w:val="clear" w:fill="auto" w:color="auto"/>
            <w:tcW w:w="3860" w:type="pct"/>
            <w:textDirection w:val="lrTb"/>
            <w:noWrap w:val="false"/>
          </w:tcPr>
          <w:p>
            <w:pPr>
              <w:pStyle w:val="1005"/>
              <w:ind w:left="57" w:right="57"/>
            </w:pPr>
            <w:r>
              <w:t xml:space="preserve">Назначение платежа (примечание).</w:t>
            </w:r>
            <w:r/>
          </w:p>
          <w:p>
            <w:pPr>
              <w:pStyle w:val="1005"/>
              <w:ind w:left="57" w:right="57"/>
            </w:pPr>
            <w:r>
              <w:t xml:space="preserve">Значение вводится вручную или заполняется по шаблону назначений пл</w:t>
            </w:r>
            <w:r>
              <w:t xml:space="preserve">а</w:t>
            </w:r>
            <w:r>
              <w:t xml:space="preserve">тежа.</w:t>
            </w:r>
            <w:r/>
          </w:p>
        </w:tc>
      </w:tr>
      <w:tr>
        <w:trPr/>
        <w:tc>
          <w:tcPr>
            <w:shd w:val="clear" w:fill="auto" w:color="auto"/>
            <w:tcW w:w="1140" w:type="pct"/>
            <w:textDirection w:val="lrTb"/>
            <w:noWrap w:val="false"/>
          </w:tcPr>
          <w:p>
            <w:pPr>
              <w:pStyle w:val="1005"/>
              <w:ind w:left="57" w:right="57"/>
            </w:pPr>
            <w:r>
              <w:t xml:space="preserve">Вид средств</w:t>
            </w:r>
            <w:r/>
          </w:p>
        </w:tc>
        <w:tc>
          <w:tcPr>
            <w:shd w:val="clear" w:fill="auto" w:color="auto"/>
            <w:tcW w:w="3860" w:type="pct"/>
            <w:textDirection w:val="lrTb"/>
            <w:noWrap w:val="false"/>
          </w:tcPr>
          <w:p>
            <w:pPr>
              <w:pStyle w:val="1005"/>
              <w:ind w:left="57" w:right="57"/>
            </w:pPr>
            <w:r>
              <w:t xml:space="preserve">Значение вводится вручную или выбором из справочника «Источники финансирования».</w:t>
            </w:r>
            <w:r/>
          </w:p>
          <w:p>
            <w:pPr>
              <w:pStyle w:val="1005"/>
              <w:ind w:left="57" w:right="57"/>
            </w:pPr>
            <w:r>
              <w:t xml:space="preserve">Возможно заполнение из родительского документа.</w:t>
            </w:r>
            <w:r/>
          </w:p>
          <w:p>
            <w:pPr>
              <w:pStyle w:val="1008"/>
              <w:numPr>
                <w:ilvl w:val="0"/>
                <w:numId w:val="57"/>
              </w:numPr>
            </w:pPr>
            <w:r>
              <w:t xml:space="preserve">Поле «Переход на СР» = 0:</w:t>
            </w:r>
            <w:r/>
          </w:p>
          <w:p>
            <w:pPr>
              <w:pStyle w:val="1005"/>
              <w:ind w:left="57" w:right="57"/>
            </w:pPr>
            <w:r>
              <w:t xml:space="preserve">При вводе документа от БУ значение проставляется автоматически: 31, 41 типу ЛС соответству</w:t>
            </w:r>
            <w:r>
              <w:t xml:space="preserve">ет код 40 – 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для 31 ЛС и «УП» для 41 ЛС, либо код 90 – Средства юридических лиц, если тип – «АУ».</w:t>
            </w:r>
            <w:r/>
          </w:p>
          <w:p>
            <w:pPr>
              <w:pStyle w:val="1008"/>
            </w:pPr>
            <w:r>
              <w:t xml:space="preserve">Поле «Переход на СР» = 1:</w:t>
            </w:r>
            <w:r/>
          </w:p>
          <w:p>
            <w:pPr>
              <w:pStyle w:val="1005"/>
              <w:ind w:left="57" w:right="57"/>
            </w:pPr>
            <w:r>
              <w:t xml:space="preserve">При вводе документа от БУ значение проставляется автоматически: 31, 41 типу ЛС соответствует код 40 </w:t>
            </w:r>
            <w:r>
              <w:t xml:space="preserve">–</w:t>
            </w:r>
            <w:r>
              <w:t xml:space="preserve"> Средства юридических лиц, если в записи справочника</w:t>
            </w:r>
            <w:r>
              <w:t xml:space="preserve"> </w:t>
            </w:r>
            <w:r>
              <w:t xml:space="preserve">СР соответствующей коду из системной константы «Код собственного БУ», в поле тип организации 09 или 20 для 31 ЛС и 05 для 41 ЛС, либо код 90 </w:t>
            </w:r>
            <w:r>
              <w:t xml:space="preserve">–</w:t>
            </w:r>
            <w:r>
              <w:t xml:space="preserve"> Средства юридических лиц, если тип</w:t>
            </w:r>
            <w:r>
              <w:t xml:space="preserve"> </w:t>
            </w:r>
            <w:r>
              <w:t xml:space="preserve">- «АУ» (тип организации 03 и тип </w:t>
            </w:r>
            <w:r>
              <w:t xml:space="preserve">учреждения 03).</w:t>
            </w:r>
            <w:r/>
          </w:p>
        </w:tc>
      </w:tr>
      <w:tr>
        <w:trPr/>
        <w:tc>
          <w:tcPr>
            <w:shd w:val="clear" w:fill="auto" w:color="auto"/>
            <w:tcW w:w="1140" w:type="pct"/>
            <w:textDirection w:val="lrTb"/>
            <w:noWrap w:val="false"/>
          </w:tcPr>
          <w:p>
            <w:pPr>
              <w:pStyle w:val="1005"/>
              <w:ind w:left="57" w:right="57"/>
            </w:pPr>
            <w:r>
              <w:t xml:space="preserve">Код по БК</w:t>
            </w:r>
            <w:r/>
          </w:p>
        </w:tc>
        <w:tc>
          <w:tcPr>
            <w:shd w:val="clear" w:fill="auto" w:color="auto"/>
            <w:tcW w:w="3860" w:type="pct"/>
            <w:textDirection w:val="lrTb"/>
            <w:noWrap w:val="false"/>
          </w:tcPr>
          <w:p>
            <w:pPr>
              <w:pStyle w:val="1005"/>
              <w:ind w:left="57" w:right="57"/>
            </w:pPr>
            <w:r>
              <w:t xml:space="preserve">Код бюджетной классификации расходов. </w:t>
            </w:r>
            <w:r/>
          </w:p>
          <w:p>
            <w:pPr>
              <w:pStyle w:val="1005"/>
              <w:ind w:left="57" w:right="57"/>
            </w:pPr>
            <w:r>
              <w:t xml:space="preserve">Значение вводится вру</w:t>
            </w:r>
            <w:r>
              <w:t xml:space="preserve">ч</w:t>
            </w:r>
            <w:r>
              <w:t xml:space="preserve">ную или выбором из справочника КБК.</w:t>
            </w:r>
            <w:r/>
          </w:p>
          <w:p>
            <w:pPr>
              <w:pStyle w:val="1005"/>
              <w:ind w:left="57" w:right="57"/>
            </w:pPr>
            <w:r>
              <w:t xml:space="preserve">Возможно заполнение из родительского документа.</w:t>
            </w:r>
            <w:r/>
          </w:p>
        </w:tc>
      </w:tr>
      <w:tr>
        <w:trPr/>
        <w:tc>
          <w:tcPr>
            <w:shd w:val="clear" w:fill="auto" w:color="auto"/>
            <w:tcW w:w="1140" w:type="pct"/>
            <w:textDirection w:val="lrTb"/>
            <w:noWrap w:val="false"/>
          </w:tcPr>
          <w:p>
            <w:pPr>
              <w:pStyle w:val="1005"/>
              <w:ind w:left="57" w:right="57"/>
            </w:pPr>
            <w:r>
              <w:t xml:space="preserve">КЦ (аналитический код)</w:t>
            </w:r>
            <w:r/>
          </w:p>
        </w:tc>
        <w:tc>
          <w:tcPr>
            <w:shd w:val="clear" w:fill="auto" w:color="auto"/>
            <w:tcW w:w="3860" w:type="pct"/>
            <w:textDirection w:val="lrTb"/>
            <w:noWrap w:val="false"/>
          </w:tcPr>
          <w:p>
            <w:pPr>
              <w:pStyle w:val="1005"/>
              <w:ind w:left="57" w:right="57"/>
            </w:pPr>
            <w:r>
              <w:t xml:space="preserve">Значение вводится вручную или выбором из справочника кодов целей субсидий/субвенций.</w:t>
            </w:r>
            <w:r/>
          </w:p>
          <w:p>
            <w:pPr>
              <w:pStyle w:val="1005"/>
              <w:ind w:left="57" w:right="57"/>
            </w:pPr>
            <w:r>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w:t>
            </w:r>
            <w:r>
              <w:t xml:space="preserve">и</w:t>
            </w:r>
            <w:r>
              <w:t xml:space="preserve">дий НУБП».</w:t>
            </w:r>
            <w:r/>
          </w:p>
          <w:p>
            <w:pPr>
              <w:pStyle w:val="1005"/>
              <w:ind w:left="57" w:right="57"/>
            </w:pPr>
            <w:r>
              <w:t xml:space="preserve">При указании 41 типа ЛС значение может вводиться вручную или пользователю должен быть предоставлен выбор значения из списка справочника: «Коды субсидий НУБП».</w:t>
            </w:r>
            <w:r>
              <w:t xml:space="preserve"> </w:t>
            </w:r>
            <w:r/>
          </w:p>
          <w:p>
            <w:pPr>
              <w:pStyle w:val="1005"/>
              <w:ind w:left="57" w:right="57"/>
            </w:pPr>
            <w:r>
              <w:t xml:space="preserve">Возможно заполнение из родительского документа.</w:t>
            </w:r>
            <w:r/>
          </w:p>
        </w:tc>
      </w:tr>
      <w:tr>
        <w:trPr/>
        <w:tc>
          <w:tcPr>
            <w:shd w:val="clear" w:fill="auto" w:color="auto"/>
            <w:tcW w:w="1140" w:type="pct"/>
            <w:textDirection w:val="lrTb"/>
            <w:noWrap w:val="false"/>
          </w:tcPr>
          <w:p>
            <w:pPr>
              <w:pStyle w:val="1005"/>
              <w:ind w:left="57" w:right="57"/>
            </w:pPr>
            <w:r>
              <w:t xml:space="preserve">Сумма</w:t>
            </w:r>
            <w:r/>
          </w:p>
        </w:tc>
        <w:tc>
          <w:tcPr>
            <w:shd w:val="clear" w:fill="auto" w:color="auto"/>
            <w:tcW w:w="3860" w:type="pct"/>
            <w:textDirection w:val="lrTb"/>
            <w:noWrap w:val="false"/>
          </w:tcPr>
          <w:p>
            <w:pPr>
              <w:pStyle w:val="1005"/>
              <w:ind w:left="57" w:right="57"/>
            </w:pPr>
            <w:r>
              <w:t xml:space="preserve">Сумма расхода по заявке.</w:t>
            </w:r>
            <w:r/>
          </w:p>
        </w:tc>
      </w:tr>
      <w:tr>
        <w:trPr/>
        <w:tc>
          <w:tcPr>
            <w:shd w:val="clear" w:fill="auto" w:color="auto"/>
            <w:tcW w:w="1140" w:type="pct"/>
            <w:textDirection w:val="lrTb"/>
            <w:noWrap w:val="false"/>
          </w:tcPr>
          <w:p>
            <w:pPr>
              <w:pStyle w:val="1005"/>
              <w:ind w:left="57" w:right="57"/>
            </w:pPr>
            <w:r>
              <w:t xml:space="preserve">Учетный номер БО</w:t>
            </w:r>
            <w:r/>
          </w:p>
        </w:tc>
        <w:tc>
          <w:tcPr>
            <w:shd w:val="clear" w:fill="auto" w:color="auto"/>
            <w:tcW w:w="3860" w:type="pct"/>
            <w:textDirection w:val="lrTb"/>
            <w:noWrap w:val="false"/>
          </w:tcPr>
          <w:p>
            <w:pPr>
              <w:pStyle w:val="1005"/>
              <w:ind w:left="57" w:right="57"/>
            </w:pPr>
            <w:r>
              <w:t xml:space="preserve">Значение </w:t>
            </w:r>
            <w:r>
              <w:t xml:space="preserve">вводится вручную, либо передается </w:t>
            </w:r>
            <w:r>
              <w:t xml:space="preserve">из </w:t>
            </w:r>
            <w:r>
              <w:t xml:space="preserve">OEBS</w:t>
            </w:r>
            <w:r>
              <w:t xml:space="preserve">.</w:t>
            </w:r>
            <w:r/>
          </w:p>
          <w:p>
            <w:pPr>
              <w:pStyle w:val="1005"/>
              <w:ind w:left="57" w:right="57"/>
            </w:pPr>
            <w:r>
              <w:t xml:space="preserve">Для БУ, АУ не заполняется.</w:t>
            </w:r>
            <w:r/>
          </w:p>
          <w:p>
            <w:pPr>
              <w:pStyle w:val="1005"/>
              <w:ind w:left="57" w:right="57"/>
            </w:pPr>
            <w:r>
              <w:t xml:space="preserve">Возможно заполнение из родительского документа.</w:t>
            </w:r>
            <w:r/>
          </w:p>
        </w:tc>
      </w:tr>
      <w:tr>
        <w:trPr/>
        <w:tc>
          <w:tcPr>
            <w:shd w:val="clear" w:fill="auto" w:color="auto"/>
            <w:tcW w:w="1140" w:type="pct"/>
            <w:textDirection w:val="lrTb"/>
            <w:noWrap w:val="false"/>
          </w:tcPr>
          <w:p>
            <w:pPr>
              <w:pStyle w:val="1005"/>
              <w:ind w:left="57" w:right="57"/>
            </w:pPr>
            <w:r>
              <w:t xml:space="preserve">Код объекта по ФАИП</w:t>
            </w:r>
            <w:r/>
          </w:p>
        </w:tc>
        <w:tc>
          <w:tcPr>
            <w:shd w:val="clear" w:fill="auto" w:color="auto"/>
            <w:tcW w:w="3860" w:type="pct"/>
            <w:textDirection w:val="lrTb"/>
            <w:noWrap w:val="false"/>
          </w:tcPr>
          <w:p>
            <w:pPr>
              <w:pStyle w:val="1005"/>
              <w:ind w:left="57" w:right="57"/>
            </w:pPr>
            <w:r>
              <w:t xml:space="preserve">Заполняется вручную/из справочника ФАИП. </w:t>
            </w:r>
            <w:r/>
          </w:p>
          <w:p>
            <w:pPr>
              <w:pStyle w:val="1005"/>
              <w:ind w:left="57" w:right="57"/>
            </w:pPr>
            <w:r>
              <w:t xml:space="preserve">Для выбора из справочника доступны все записи, у которых: признак актуальности указан «Да» и значение поля «Дата с» </w:t>
            </w:r>
            <w:r>
              <w:t xml:space="preserve">меньше или равна</w:t>
            </w:r>
            <w:r>
              <w:t xml:space="preserve"> дате документа (т.е. значение поля «Дата по» не учитывается – выводятся все записи прошлых лет).</w:t>
            </w:r>
            <w:r/>
          </w:p>
          <w:p>
            <w:pPr>
              <w:pStyle w:val="1005"/>
              <w:ind w:left="57" w:right="57"/>
            </w:pPr>
            <w:r>
              <w:t xml:space="preserve">Для всех документов, за исключением документов по л/с </w:t>
            </w:r>
            <w:r>
              <w:rPr>
                <w:rStyle w:val="1400"/>
                <w:lang w:val="ru-RU"/>
              </w:rPr>
              <w:t xml:space="preserve">с</w:t>
            </w:r>
            <w:r>
              <w:t xml:space="preserve"> кодом 20, 21, 22, 30, 31, 32, 41, возможен</w:t>
            </w:r>
            <w:r>
              <w:t xml:space="preserve"> </w:t>
            </w:r>
            <w:r>
              <w:t xml:space="preserve">выбор значений из справочника «Перечень кодов мероприятий по информатизации».</w:t>
            </w:r>
            <w:r/>
          </w:p>
        </w:tc>
      </w:tr>
      <w:tr>
        <w:trPr/>
        <w:tc>
          <w:tcPr>
            <w:shd w:val="clear" w:fill="auto" w:color="auto"/>
            <w:tcW w:w="1140" w:type="pct"/>
            <w:textDirection w:val="lrTb"/>
            <w:noWrap w:val="false"/>
          </w:tcPr>
          <w:p>
            <w:pPr>
              <w:pStyle w:val="1005"/>
              <w:ind w:left="57" w:right="57"/>
            </w:pPr>
            <w:r>
              <w:t xml:space="preserve">Аванс</w:t>
            </w:r>
            <w:r/>
          </w:p>
        </w:tc>
        <w:tc>
          <w:tcPr>
            <w:shd w:val="clear" w:fill="auto" w:color="auto"/>
            <w:tcW w:w="3860" w:type="pct"/>
            <w:textDirection w:val="lrTb"/>
            <w:noWrap w:val="false"/>
          </w:tcPr>
          <w:p>
            <w:pPr>
              <w:pStyle w:val="1005"/>
              <w:ind w:left="57" w:right="57"/>
            </w:pPr>
            <w:r>
              <w:t xml:space="preserve">Аванс.</w:t>
            </w:r>
            <w:r/>
          </w:p>
          <w:p>
            <w:pPr>
              <w:pStyle w:val="1005"/>
              <w:ind w:left="57" w:right="57"/>
            </w:pPr>
            <w:r>
              <w:t xml:space="preserve">Устанавливается маркер в поле, если сумма по заявке является авансом (чекбокс).</w:t>
            </w:r>
            <w:r/>
          </w:p>
        </w:tc>
      </w:tr>
      <w:tr>
        <w:trPr/>
        <w:tc>
          <w:tcPr>
            <w:shd w:val="clear" w:fill="auto" w:color="auto"/>
            <w:tcW w:w="1140" w:type="pct"/>
            <w:textDirection w:val="lrTb"/>
            <w:noWrap w:val="false"/>
          </w:tcPr>
          <w:p>
            <w:pPr>
              <w:pStyle w:val="1005"/>
              <w:ind w:left="57" w:right="57"/>
            </w:pPr>
            <w:r>
              <w:t xml:space="preserve">Очередность</w:t>
            </w:r>
            <w:r/>
          </w:p>
        </w:tc>
        <w:tc>
          <w:tcPr>
            <w:shd w:val="clear" w:fill="auto" w:color="auto"/>
            <w:tcW w:w="3860" w:type="pct"/>
            <w:textDirection w:val="lrTb"/>
            <w:noWrap w:val="false"/>
          </w:tcPr>
          <w:p>
            <w:pPr>
              <w:pStyle w:val="1005"/>
              <w:ind w:left="57" w:right="57"/>
            </w:pPr>
            <w:r>
              <w:t xml:space="preserve">Очередность платежа.</w:t>
            </w:r>
            <w:r/>
          </w:p>
          <w:p>
            <w:pPr>
              <w:pStyle w:val="1005"/>
              <w:ind w:left="57" w:right="57"/>
            </w:pPr>
            <w:r>
              <w:t xml:space="preserve">З</w:t>
            </w:r>
            <w:r>
              <w:t xml:space="preserve">начение по умолчанию «5». </w:t>
            </w:r>
            <w:r/>
          </w:p>
          <w:p>
            <w:pPr>
              <w:pStyle w:val="1005"/>
              <w:ind w:left="57" w:right="57"/>
            </w:pPr>
            <w:r>
              <w:t xml:space="preserve">Может быть изменено пользователем выбором из выпадающего сп</w:t>
            </w:r>
            <w:r>
              <w:t xml:space="preserve">и</w:t>
            </w:r>
            <w:r>
              <w:t xml:space="preserve">ска: 1, 2, 3, 4, 5.</w:t>
            </w:r>
            <w:r/>
          </w:p>
        </w:tc>
      </w:tr>
      <w:tr>
        <w:trPr/>
        <w:tc>
          <w:tcPr>
            <w:shd w:val="clear" w:fill="auto" w:color="auto"/>
            <w:tcW w:w="1140" w:type="pct"/>
            <w:textDirection w:val="lrTb"/>
            <w:noWrap w:val="false"/>
          </w:tcPr>
          <w:p>
            <w:pPr>
              <w:pStyle w:val="1005"/>
              <w:ind w:left="57" w:right="57"/>
            </w:pPr>
            <w:r>
              <w:t xml:space="preserve">Вид платежа</w:t>
            </w:r>
            <w:r/>
          </w:p>
        </w:tc>
        <w:tc>
          <w:tcPr>
            <w:shd w:val="clear" w:fill="auto" w:color="auto"/>
            <w:tcW w:w="3860" w:type="pct"/>
            <w:textDirection w:val="lrTb"/>
            <w:noWrap w:val="false"/>
          </w:tcPr>
          <w:p>
            <w:pPr>
              <w:pStyle w:val="1005"/>
              <w:ind w:left="57" w:right="57"/>
            </w:pPr>
            <w:r>
              <w:t xml:space="preserve">Вид платежа. </w:t>
            </w:r>
            <w:r/>
          </w:p>
          <w:p>
            <w:pPr>
              <w:pStyle w:val="1005"/>
              <w:ind w:left="57" w:right="57"/>
            </w:pPr>
            <w:r>
              <w:t xml:space="preserve">Для пользователя на статусе «Черновик» доступны значения «»,</w:t>
            </w:r>
            <w:r/>
          </w:p>
          <w:p>
            <w:pPr>
              <w:pStyle w:val="1005"/>
              <w:ind w:left="57" w:right="57"/>
            </w:pPr>
            <w:r>
              <w:t xml:space="preserve">«срочно».</w:t>
            </w:r>
            <w:r/>
          </w:p>
          <w:p>
            <w:pPr>
              <w:pStyle w:val="1005"/>
              <w:ind w:left="57" w:right="57"/>
            </w:pPr>
            <w:r>
              <w:t xml:space="preserve">По умолчанию проставляется пустое значение «».</w:t>
            </w:r>
            <w:r/>
          </w:p>
        </w:tc>
      </w:tr>
      <w:tr>
        <w:trPr/>
        <w:tc>
          <w:tcPr>
            <w:shd w:val="clear" w:fill="auto" w:color="auto"/>
            <w:tcW w:w="1140" w:type="pct"/>
            <w:textDirection w:val="lrTb"/>
            <w:noWrap w:val="false"/>
          </w:tcPr>
          <w:p>
            <w:pPr>
              <w:pStyle w:val="1005"/>
              <w:ind w:left="57" w:right="57"/>
            </w:pPr>
            <w:r>
              <w:t xml:space="preserve">Сумма НДС</w:t>
            </w:r>
            <w:r/>
          </w:p>
        </w:tc>
        <w:tc>
          <w:tcPr>
            <w:shd w:val="clear" w:fill="auto" w:color="auto"/>
            <w:tcW w:w="3860" w:type="pct"/>
            <w:textDirection w:val="lrTb"/>
            <w:noWrap w:val="false"/>
          </w:tcPr>
          <w:p>
            <w:pPr>
              <w:pStyle w:val="1005"/>
              <w:ind w:left="57" w:right="57"/>
            </w:pPr>
            <w:r>
              <w:t xml:space="preserve">Значение вводится вручную.</w:t>
            </w:r>
            <w:r/>
          </w:p>
          <w:p>
            <w:pPr>
              <w:pStyle w:val="1005"/>
              <w:ind w:left="57" w:right="57"/>
            </w:pPr>
            <w:r>
              <w:t xml:space="preserve">По умолчанию проставляется значение О.00.</w:t>
            </w:r>
            <w:r/>
          </w:p>
        </w:tc>
      </w:tr>
      <w:tr>
        <w:trPr/>
        <w:tc>
          <w:tcPr>
            <w:shd w:val="clear" w:fill="auto" w:color="auto"/>
            <w:tcW w:w="1140" w:type="pct"/>
            <w:textDirection w:val="lrTb"/>
            <w:noWrap w:val="false"/>
          </w:tcPr>
          <w:p>
            <w:pPr>
              <w:pStyle w:val="1005"/>
              <w:ind w:left="57" w:right="57"/>
            </w:pPr>
            <w:r>
              <w:t xml:space="preserve">GUID документа БО</w:t>
            </w:r>
            <w:r/>
          </w:p>
        </w:tc>
        <w:tc>
          <w:tcPr>
            <w:shd w:val="clear" w:fill="auto" w:color="auto"/>
            <w:tcW w:w="3860" w:type="pct"/>
            <w:textDirection w:val="lrTb"/>
            <w:noWrap w:val="false"/>
          </w:tcPr>
          <w:p>
            <w:pPr>
              <w:pStyle w:val="1005"/>
              <w:ind w:left="57" w:right="57"/>
            </w:pPr>
            <w:r>
              <w:t xml:space="preserve">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r/>
          </w:p>
        </w:tc>
      </w:tr>
    </w:tbl>
    <w:p>
      <w:pPr>
        <w:pStyle w:val="994"/>
      </w:pPr>
      <w:r>
        <w:t xml:space="preserve">ЭФ документа «Заявка на кассовый расход (сокращенная)</w:t>
      </w:r>
      <w:r>
        <w:t xml:space="preserve">», закладки «</w:t>
      </w:r>
      <w:r>
        <w:t xml:space="preserve">Раздел 2, 3 (2)»</w:t>
      </w:r>
      <w:r>
        <w:t xml:space="preserve"> </w:t>
      </w:r>
      <w:r>
        <w:t xml:space="preserve">представлена </w:t>
      </w:r>
      <w:r>
        <w:t xml:space="preserve">н</w:t>
      </w:r>
      <w:r>
        <w:t xml:space="preserve">а рис</w:t>
      </w:r>
      <w:r>
        <w:t xml:space="preserve">унке</w:t>
      </w:r>
      <w:r>
        <w:t xml:space="preserve"> </w:t>
      </w:r>
      <w:r>
        <w:fldChar w:fldCharType="begin"/>
      </w:r>
      <w:r>
        <w:instrText xml:space="preserve"> REF _Ref261614731 \h  \* MERGEFORMAT </w:instrText>
      </w:r>
      <w:r>
        <w:fldChar w:fldCharType="separate"/>
      </w:r>
      <w:r>
        <w:t xml:space="preserve">22</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1729740"/>
                <wp:effectExtent l="0" t="0" r="0" b="0"/>
                <wp:docPr id="7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7"/>
                        <a:stretch/>
                      </pic:blipFill>
                      <pic:spPr bwMode="auto">
                        <a:xfrm>
                          <a:off x="0" y="0"/>
                          <a:ext cx="6126480" cy="17297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 o:spid="_x0000_s78" type="#_x0000_t75" style="mso-wrap-distance-left:0.0pt;mso-wrap-distance-top:0.0pt;mso-wrap-distance-right:0.0pt;mso-wrap-distance-bottom:0.0pt;width:482.4pt;height:136.2pt;" stroked="f">
                <v:path textboxrect="0,0,0,0"/>
                <v:imagedata r:id="rId87" o:title=""/>
              </v:shape>
            </w:pict>
          </mc:Fallback>
        </mc:AlternateContent>
      </w:r>
      <w:r/>
    </w:p>
    <w:p>
      <w:pPr>
        <w:pStyle w:val="983"/>
      </w:pPr>
      <w:r>
        <w:fldChar w:fldCharType="begin"/>
      </w:r>
      <w:r>
        <w:instrText xml:space="preserve"> SEQ Рисунок \* ARABIC </w:instrText>
      </w:r>
      <w:r>
        <w:fldChar w:fldCharType="separate"/>
      </w:r>
      <w:bookmarkStart w:id="355" w:name="_Ref261614731"/>
      <w:r/>
      <w:bookmarkStart w:id="356" w:name="_Toc88819407"/>
      <w:r>
        <w:t xml:space="preserve">22</w:t>
      </w:r>
      <w:bookmarkEnd w:id="355"/>
      <w:r>
        <w:fldChar w:fldCharType="end"/>
      </w:r>
      <w:r>
        <w:t xml:space="preserve">. ЭФ документа «Заявка на кассовый расход (сокращенная)</w:t>
      </w:r>
      <w:r>
        <w:t xml:space="preserve">», закладки «</w:t>
      </w:r>
      <w:r>
        <w:t xml:space="preserve">Раздел 2, 3 (2)»</w:t>
      </w:r>
      <w:bookmarkEnd w:id="356"/>
      <w:r/>
      <w:r/>
    </w:p>
    <w:p>
      <w:pPr>
        <w:pStyle w:val="994"/>
      </w:pPr>
      <w:r>
        <w:t xml:space="preserve">Перечень полей ЭФ документа «Заявка на кассовый расход (сокращенная)</w:t>
      </w:r>
      <w:r>
        <w:t xml:space="preserve">», закладки «</w:t>
      </w:r>
      <w:r>
        <w:t xml:space="preserve">Раздел 2, 3 (2)» приведен в таблице</w:t>
      </w:r>
      <w:r>
        <w:t xml:space="preserve"> </w:t>
      </w:r>
      <w:r>
        <w:fldChar w:fldCharType="begin"/>
      </w:r>
      <w:r>
        <w:instrText xml:space="preserve"> REF _Ref360715493 \h </w:instrText>
      </w:r>
      <w:r>
        <w:instrText xml:space="preserve"> \* MERGEFORMAT </w:instrText>
      </w:r>
      <w:r>
        <w:fldChar w:fldCharType="separate"/>
      </w:r>
      <w:r>
        <w:t xml:space="preserve">9</w:t>
      </w:r>
      <w:r>
        <w:fldChar w:fldCharType="end"/>
      </w:r>
      <w:r>
        <w:t xml:space="preserve">.</w:t>
      </w:r>
      <w:r/>
    </w:p>
    <w:p>
      <w:pPr>
        <w:pStyle w:val="993"/>
      </w:pPr>
      <w:r>
        <w:fldChar w:fldCharType="begin"/>
      </w:r>
      <w:r>
        <w:instrText xml:space="preserve"> SEQ Таблица \* ARABIC </w:instrText>
      </w:r>
      <w:r>
        <w:fldChar w:fldCharType="separate"/>
      </w:r>
      <w:bookmarkStart w:id="357" w:name="_Ref360715493"/>
      <w:r/>
      <w:bookmarkStart w:id="358" w:name="_Toc88819195"/>
      <w:r>
        <w:t xml:space="preserve">9</w:t>
      </w:r>
      <w:bookmarkEnd w:id="357"/>
      <w:r>
        <w:fldChar w:fldCharType="end"/>
      </w:r>
      <w:r>
        <w:t xml:space="preserve">. Описание полей документа «Заявка на кассовый расход (сокращенная)</w:t>
      </w:r>
      <w:r>
        <w:t xml:space="preserve">», закладки «</w:t>
      </w:r>
      <w:r>
        <w:t xml:space="preserve">Раздел 2, 3 (2)»</w:t>
      </w:r>
      <w:bookmarkEnd w:id="35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25"/>
        <w:gridCol w:w="7427"/>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192"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08"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«Раздел 2. Реквизиты контрагента»</w:t>
            </w:r>
            <w:r/>
          </w:p>
        </w:tc>
      </w:tr>
      <w:tr>
        <w:trPr/>
        <w:tc>
          <w:tcPr>
            <w:shd w:val="clear" w:fill="auto" w:color="auto"/>
            <w:tcW w:w="1192" w:type="pct"/>
            <w:textDirection w:val="lrTb"/>
            <w:noWrap w:val="false"/>
          </w:tcPr>
          <w:p>
            <w:pPr>
              <w:pStyle w:val="1005"/>
              <w:ind w:left="57" w:right="57"/>
            </w:pPr>
            <w:r>
              <w:t xml:space="preserve">Наименование контрагента</w:t>
            </w:r>
            <w:r/>
          </w:p>
        </w:tc>
        <w:tc>
          <w:tcPr>
            <w:shd w:val="clear" w:fill="auto" w:color="auto"/>
            <w:tcW w:w="3808" w:type="pct"/>
            <w:textDirection w:val="lrTb"/>
            <w:noWrap w:val="false"/>
          </w:tcPr>
          <w:p>
            <w:pPr>
              <w:pStyle w:val="1005"/>
              <w:ind w:left="57" w:right="57"/>
            </w:pPr>
            <w:r>
              <w:t xml:space="preserve">Наименование контрагента-получателя платежа (ФИО – для физического л</w:t>
            </w:r>
            <w:r>
              <w:t xml:space="preserve">и</w:t>
            </w:r>
            <w:r>
              <w:t xml:space="preserve">ца).</w:t>
            </w:r>
            <w:r/>
          </w:p>
          <w:p>
            <w:pPr>
              <w:pStyle w:val="1005"/>
              <w:ind w:left="57" w:right="57"/>
            </w:pPr>
            <w:r>
              <w:t xml:space="preserve">Значение вводится вручную или выбирается из справочника поста</w:t>
            </w:r>
            <w:r>
              <w:t xml:space="preserve">в</w:t>
            </w:r>
            <w:r>
              <w:t xml:space="preserve">щиков.</w:t>
            </w:r>
            <w:r/>
          </w:p>
          <w:p>
            <w:pPr>
              <w:pStyle w:val="1005"/>
              <w:ind w:left="57" w:right="57"/>
            </w:pPr>
            <w:r>
              <w:t xml:space="preserve">Возможно заполнение из родительского документа.</w:t>
            </w:r>
            <w:r/>
          </w:p>
        </w:tc>
      </w:tr>
      <w:tr>
        <w:trPr/>
        <w:tc>
          <w:tcPr>
            <w:shd w:val="clear" w:fill="auto" w:color="auto"/>
            <w:tcW w:w="1192" w:type="pct"/>
            <w:textDirection w:val="lrTb"/>
            <w:noWrap w:val="false"/>
          </w:tcPr>
          <w:p>
            <w:pPr>
              <w:pStyle w:val="1005"/>
              <w:ind w:left="57" w:right="57"/>
            </w:pPr>
            <w:r>
              <w:t xml:space="preserve">ИНН</w:t>
            </w:r>
            <w:r/>
          </w:p>
        </w:tc>
        <w:tc>
          <w:tcPr>
            <w:shd w:val="clear" w:fill="auto" w:color="auto"/>
            <w:tcW w:w="3808" w:type="pct"/>
            <w:textDirection w:val="lrTb"/>
            <w:noWrap w:val="false"/>
          </w:tcPr>
          <w:p>
            <w:pPr>
              <w:pStyle w:val="1005"/>
              <w:ind w:left="57" w:right="57"/>
            </w:pPr>
            <w:r>
              <w:t xml:space="preserve">ИНН получателя платежа. </w:t>
            </w:r>
            <w:r/>
          </w:p>
          <w:p>
            <w:pPr>
              <w:pStyle w:val="1005"/>
              <w:ind w:left="57" w:right="57"/>
            </w:pPr>
            <w:r>
              <w:t xml:space="preserve">Значение заполняется автоматически после заполнения поля «Наименов</w:t>
            </w:r>
            <w:r>
              <w:t xml:space="preserve">а</w:t>
            </w:r>
            <w:r>
              <w:t xml:space="preserve">ние контрагента».</w:t>
            </w:r>
            <w:r/>
          </w:p>
          <w:p>
            <w:pPr>
              <w:pStyle w:val="1005"/>
              <w:ind w:left="57" w:right="57"/>
            </w:pPr>
            <w:r>
              <w:t xml:space="preserve">После автозаполнения поле доступно для редактирования.</w:t>
            </w:r>
            <w:r/>
          </w:p>
          <w:p>
            <w:pPr>
              <w:pStyle w:val="1005"/>
              <w:ind w:left="57" w:right="57"/>
            </w:pPr>
            <w:r>
              <w:t xml:space="preserve">Возможно заполнение из родительского документа.</w:t>
            </w:r>
            <w:r/>
          </w:p>
        </w:tc>
      </w:tr>
      <w:tr>
        <w:trPr/>
        <w:tc>
          <w:tcPr>
            <w:shd w:val="clear" w:fill="auto" w:color="auto"/>
            <w:tcW w:w="1192" w:type="pct"/>
            <w:textDirection w:val="lrTb"/>
            <w:noWrap w:val="false"/>
          </w:tcPr>
          <w:p>
            <w:pPr>
              <w:pStyle w:val="1005"/>
              <w:ind w:left="57" w:right="57"/>
            </w:pPr>
            <w:r>
              <w:t xml:space="preserve">КПП</w:t>
            </w:r>
            <w:r/>
          </w:p>
        </w:tc>
        <w:tc>
          <w:tcPr>
            <w:shd w:val="clear" w:fill="auto" w:color="auto"/>
            <w:tcW w:w="3808" w:type="pct"/>
            <w:textDirection w:val="lrTb"/>
            <w:noWrap w:val="false"/>
          </w:tcPr>
          <w:p>
            <w:pPr>
              <w:pStyle w:val="1005"/>
              <w:ind w:left="57" w:right="57"/>
            </w:pPr>
            <w:r>
              <w:t xml:space="preserve">КПП получателя платежа.</w:t>
            </w:r>
            <w:r/>
          </w:p>
          <w:p>
            <w:pPr>
              <w:pStyle w:val="1005"/>
              <w:ind w:left="57" w:right="57"/>
            </w:pPr>
            <w:r>
              <w:t xml:space="preserve">Значение заполняется автоматически после заполнения поля «Наименов</w:t>
            </w:r>
            <w:r>
              <w:t xml:space="preserve">а</w:t>
            </w:r>
            <w:r>
              <w:t xml:space="preserve">ние контрагента».</w:t>
            </w:r>
            <w:r/>
          </w:p>
          <w:p>
            <w:pPr>
              <w:pStyle w:val="1005"/>
              <w:ind w:left="57" w:right="57"/>
            </w:pPr>
            <w:r>
              <w:t xml:space="preserve">После автозаполнения поле доступно для редактирования.</w:t>
            </w:r>
            <w:r/>
          </w:p>
          <w:p>
            <w:pPr>
              <w:pStyle w:val="1005"/>
              <w:ind w:left="57" w:right="57"/>
            </w:pPr>
            <w:r>
              <w:t xml:space="preserve">Возможно заполнение из родительского документа.</w:t>
            </w:r>
            <w:r/>
          </w:p>
        </w:tc>
      </w:tr>
      <w:tr>
        <w:trPr/>
        <w:tc>
          <w:tcPr>
            <w:shd w:val="clear" w:fill="auto" w:color="auto"/>
            <w:tcW w:w="1192" w:type="pct"/>
            <w:textDirection w:val="lrTb"/>
            <w:noWrap w:val="false"/>
          </w:tcPr>
          <w:p>
            <w:pPr>
              <w:pStyle w:val="1005"/>
              <w:ind w:left="57" w:right="57"/>
            </w:pPr>
            <w:r>
              <w:t xml:space="preserve">Банк. счет</w:t>
            </w:r>
            <w:r/>
          </w:p>
        </w:tc>
        <w:tc>
          <w:tcPr>
            <w:shd w:val="clear" w:fill="auto" w:color="auto"/>
            <w:tcW w:w="3808" w:type="pct"/>
            <w:textDirection w:val="lrTb"/>
            <w:noWrap w:val="false"/>
          </w:tcPr>
          <w:p>
            <w:pPr>
              <w:pStyle w:val="1005"/>
              <w:ind w:left="57" w:right="57"/>
            </w:pPr>
            <w:r>
              <w:t xml:space="preserve">Номер банковского счета получателя платежа (при вводе банковского счета вручную, осуществляется проверка на ключевание). </w:t>
            </w:r>
            <w:r/>
          </w:p>
          <w:p>
            <w:pPr>
              <w:pStyle w:val="1005"/>
              <w:ind w:left="57" w:right="57"/>
            </w:pPr>
            <w:r>
              <w:t xml:space="preserve">Значение подставляется автоматически, в случае если для указанного пользователем получателя платежа в справо</w:t>
            </w:r>
            <w:r>
              <w:t xml:space="preserve">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w:t>
            </w:r>
            <w:r>
              <w:t xml:space="preserve">о</w:t>
            </w:r>
            <w:r>
              <w:t xml:space="preserve">ставщика).</w:t>
            </w:r>
            <w:r/>
          </w:p>
          <w:p>
            <w:pPr>
              <w:pStyle w:val="1005"/>
              <w:ind w:left="57" w:right="57"/>
            </w:pPr>
            <w:r>
              <w:t xml:space="preserve">В случае если </w:t>
            </w:r>
            <w:r>
              <w:t xml:space="preserve">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r/>
          </w:p>
          <w:p>
            <w:pPr>
              <w:pStyle w:val="1005"/>
              <w:ind w:left="57" w:right="57"/>
            </w:pPr>
            <w:r>
              <w:t xml:space="preserve">Возможно заполнение из родительского документа.</w:t>
            </w:r>
            <w:r/>
          </w:p>
        </w:tc>
      </w:tr>
      <w:tr>
        <w:trPr/>
        <w:tc>
          <w:tcPr>
            <w:shd w:val="clear" w:fill="auto" w:color="auto"/>
            <w:tcW w:w="1192" w:type="pct"/>
            <w:textDirection w:val="lrTb"/>
            <w:noWrap w:val="false"/>
          </w:tcPr>
          <w:p>
            <w:pPr>
              <w:pStyle w:val="1005"/>
              <w:ind w:left="57" w:right="57"/>
            </w:pPr>
            <w:r>
              <w:t xml:space="preserve">БИК</w:t>
            </w:r>
            <w:r/>
          </w:p>
        </w:tc>
        <w:tc>
          <w:tcPr>
            <w:shd w:val="clear" w:fill="auto" w:color="auto"/>
            <w:tcW w:w="3808" w:type="pct"/>
            <w:textDirection w:val="lrTb"/>
            <w:noWrap w:val="false"/>
          </w:tcPr>
          <w:p>
            <w:pPr>
              <w:pStyle w:val="1005"/>
              <w:ind w:left="57" w:right="57"/>
            </w:pPr>
            <w:r>
              <w:t xml:space="preserve">Код БИК банка получателя платежа. </w:t>
            </w:r>
            <w:r/>
          </w:p>
          <w:p>
            <w:pPr>
              <w:pStyle w:val="1005"/>
              <w:ind w:left="57" w:right="57"/>
            </w:pPr>
            <w:r>
              <w:t xml:space="preserve">Значение подтягивается автоматически после заполнения поля «Банковский счет» из справочника «Банковские счета поставщиков» (поле «где о</w:t>
            </w:r>
            <w:r>
              <w:t xml:space="preserve">т</w:t>
            </w:r>
            <w:r>
              <w:t xml:space="preserve">крыт»).</w:t>
            </w:r>
            <w:r/>
          </w:p>
          <w:p>
            <w:pPr>
              <w:pStyle w:val="1005"/>
              <w:ind w:left="57" w:right="57"/>
            </w:pPr>
            <w:r>
              <w:t xml:space="preserve">Может быть отредактировано вручную или выбором из справочника ба</w:t>
            </w:r>
            <w:r>
              <w:t xml:space="preserve">н</w:t>
            </w:r>
            <w:r>
              <w:t xml:space="preserve">ков.</w:t>
            </w:r>
            <w:r/>
          </w:p>
          <w:p>
            <w:pPr>
              <w:pStyle w:val="1005"/>
              <w:ind w:left="57" w:right="57"/>
            </w:pPr>
            <w:r>
              <w:t xml:space="preserve">Возможно заполнение из родительского документа.</w:t>
            </w:r>
            <w:r/>
          </w:p>
        </w:tc>
      </w:tr>
      <w:tr>
        <w:trPr/>
        <w:tc>
          <w:tcPr>
            <w:shd w:val="clear" w:fill="auto" w:color="auto"/>
            <w:tcW w:w="1192" w:type="pct"/>
            <w:textDirection w:val="lrTb"/>
            <w:noWrap w:val="false"/>
          </w:tcPr>
          <w:p>
            <w:pPr>
              <w:pStyle w:val="1005"/>
              <w:ind w:left="57" w:right="57"/>
            </w:pPr>
            <w:r>
              <w:t xml:space="preserve">Корсчет</w:t>
            </w:r>
            <w:r/>
          </w:p>
        </w:tc>
        <w:tc>
          <w:tcPr>
            <w:shd w:val="clear" w:fill="auto" w:color="auto"/>
            <w:tcW w:w="3808" w:type="pct"/>
            <w:textDirection w:val="lrTb"/>
            <w:noWrap w:val="false"/>
          </w:tcPr>
          <w:p>
            <w:pPr>
              <w:pStyle w:val="1005"/>
              <w:ind w:left="57" w:right="57"/>
            </w:pPr>
            <w:r>
              <w:t xml:space="preserve">Номер корреспондентского счета банка получателя платежа. </w:t>
            </w:r>
            <w:r/>
          </w:p>
          <w:p>
            <w:pPr>
              <w:pStyle w:val="1005"/>
              <w:ind w:left="57" w:right="57"/>
            </w:pPr>
            <w:r>
              <w:t xml:space="preserve">В случае если в поле «Банк.счет» указан Казначейский счет (знач</w:t>
            </w:r>
            <w:r>
              <w:t xml:space="preserve">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r/>
          </w:p>
          <w:p>
            <w:pPr>
              <w:pStyle w:val="1005"/>
              <w:ind w:left="57" w:right="57"/>
            </w:pPr>
            <w:r>
              <w:t xml:space="preserve">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p>
          <w:p>
            <w:pPr>
              <w:pStyle w:val="1005"/>
              <w:ind w:left="57" w:right="57"/>
            </w:pPr>
            <w:r>
              <w:t xml:space="preserve">Поле доступно для редактирования.</w:t>
            </w:r>
            <w:r/>
          </w:p>
          <w:p>
            <w:pPr>
              <w:pStyle w:val="1005"/>
              <w:ind w:left="57" w:right="57"/>
            </w:pPr>
            <w:r>
              <w:t xml:space="preserve">Возможно заполнение из родительского документа.</w:t>
            </w:r>
            <w:r/>
          </w:p>
        </w:tc>
      </w:tr>
      <w:tr>
        <w:trPr/>
        <w:tc>
          <w:tcPr>
            <w:shd w:val="clear" w:fill="auto" w:color="auto"/>
            <w:tcW w:w="1192" w:type="pct"/>
            <w:textDirection w:val="lrTb"/>
            <w:noWrap w:val="false"/>
          </w:tcPr>
          <w:p>
            <w:pPr>
              <w:pStyle w:val="1005"/>
              <w:ind w:left="57" w:right="57"/>
            </w:pPr>
            <w:r>
              <w:t xml:space="preserve">Наим. </w:t>
            </w:r>
            <w:r>
              <w:t xml:space="preserve">Б</w:t>
            </w:r>
            <w:r>
              <w:t xml:space="preserve">анка</w:t>
            </w:r>
            <w:r/>
          </w:p>
        </w:tc>
        <w:tc>
          <w:tcPr>
            <w:shd w:val="clear" w:fill="auto" w:color="auto"/>
            <w:tcW w:w="3808" w:type="pct"/>
            <w:textDirection w:val="lrTb"/>
            <w:noWrap w:val="false"/>
          </w:tcPr>
          <w:p>
            <w:pPr>
              <w:pStyle w:val="1005"/>
              <w:ind w:left="57" w:right="57"/>
            </w:pPr>
            <w:r>
              <w:t xml:space="preserve">Наименование банка получателя платежа. </w:t>
            </w:r>
            <w:r/>
          </w:p>
          <w:p>
            <w:pPr>
              <w:pStyle w:val="1005"/>
              <w:ind w:left="57" w:right="57"/>
            </w:pPr>
            <w:r>
              <w:t xml:space="preserve">Значение подтягивается автоматически после заполнения поля «БИК/SWIFT» из справочника </w:t>
            </w:r>
            <w:r>
              <w:t xml:space="preserve">«Справочник </w:t>
            </w:r>
            <w:r>
              <w:t xml:space="preserve">банков</w:t>
            </w:r>
            <w:r>
              <w:t xml:space="preserve">»</w:t>
            </w:r>
            <w:r>
              <w:t xml:space="preserve"> из поля «Платежное наимен</w:t>
            </w:r>
            <w:r>
              <w:t xml:space="preserve">о</w:t>
            </w:r>
            <w:r>
              <w:t xml:space="preserve">вание банка </w:t>
            </w:r>
            <w:r>
              <w:t xml:space="preserve">составное</w:t>
            </w:r>
            <w:r>
              <w:t xml:space="preserve">».</w:t>
            </w:r>
            <w:r/>
          </w:p>
          <w:p>
            <w:pPr>
              <w:pStyle w:val="1005"/>
              <w:ind w:left="57" w:right="57"/>
            </w:pPr>
            <w:r>
              <w:t xml:space="preserve">Поле доступно для редактирования.</w:t>
            </w:r>
            <w:r/>
          </w:p>
          <w:p>
            <w:pPr>
              <w:pStyle w:val="1005"/>
              <w:ind w:left="57" w:right="57"/>
            </w:pPr>
            <w:r>
              <w:t xml:space="preserve">Возможно заполнение из родительского документа.</w:t>
            </w:r>
            <w:r/>
          </w:p>
        </w:tc>
      </w:tr>
      <w:tr>
        <w:trPr/>
        <w:tc>
          <w:tcPr>
            <w:gridSpan w:val="2"/>
            <w:shd w:val="clear" w:fill="auto" w:color="auto"/>
            <w:tcW w:w="5000" w:type="pct"/>
            <w:textDirection w:val="lrTb"/>
            <w:noWrap w:val="false"/>
          </w:tcPr>
          <w:p>
            <w:pPr>
              <w:pStyle w:val="1005"/>
              <w:ind w:left="57" w:right="57"/>
            </w:pPr>
            <w:r>
              <w:t xml:space="preserve">Группа полей «Раздел 3. Реквизиты налоговых платежей»</w:t>
            </w:r>
            <w:r/>
          </w:p>
        </w:tc>
      </w:tr>
      <w:tr>
        <w:trPr/>
        <w:tc>
          <w:tcPr>
            <w:shd w:val="clear" w:fill="auto" w:color="auto"/>
            <w:tcW w:w="1192" w:type="pct"/>
            <w:textDirection w:val="lrTb"/>
            <w:noWrap w:val="false"/>
          </w:tcPr>
          <w:p>
            <w:pPr>
              <w:pStyle w:val="1005"/>
              <w:ind w:left="57" w:right="57"/>
            </w:pPr>
            <w:r>
              <w:t xml:space="preserve">Статус</w:t>
            </w:r>
            <w:r/>
          </w:p>
        </w:tc>
        <w:tc>
          <w:tcPr>
            <w:shd w:val="clear" w:fill="auto" w:color="auto"/>
            <w:tcW w:w="3808" w:type="pct"/>
            <w:textDirection w:val="lrTb"/>
            <w:noWrap w:val="false"/>
          </w:tcPr>
          <w:p>
            <w:pPr>
              <w:pStyle w:val="1005"/>
              <w:ind w:left="57" w:right="57"/>
            </w:pPr>
            <w:r>
              <w:t xml:space="preserve">Статус юридического лица. </w:t>
            </w:r>
            <w:r/>
          </w:p>
          <w:p>
            <w:pPr>
              <w:pStyle w:val="1005"/>
              <w:ind w:left="57" w:right="57"/>
            </w:pPr>
            <w:r>
              <w:t xml:space="preserve">Значение вводится вручную или выбирается пользователем из справочника </w:t>
            </w:r>
            <w:r>
              <w:t xml:space="preserve">«Показатели статуса юр. </w:t>
            </w:r>
            <w:r>
              <w:t xml:space="preserve">Л</w:t>
            </w:r>
            <w:r>
              <w:t xml:space="preserve">ица, оформившего док</w:t>
            </w:r>
            <w:r>
              <w:t xml:space="preserve">у</w:t>
            </w:r>
            <w:r>
              <w:t xml:space="preserve">мент».</w:t>
            </w:r>
            <w:r/>
          </w:p>
        </w:tc>
      </w:tr>
      <w:tr>
        <w:trPr/>
        <w:tc>
          <w:tcPr>
            <w:shd w:val="clear" w:fill="auto" w:color="auto"/>
            <w:tcW w:w="1192" w:type="pct"/>
            <w:textDirection w:val="lrTb"/>
            <w:noWrap w:val="false"/>
          </w:tcPr>
          <w:p>
            <w:pPr>
              <w:pStyle w:val="1005"/>
              <w:ind w:left="57" w:right="57"/>
            </w:pPr>
            <w:r>
              <w:t xml:space="preserve">КБК доходов</w:t>
            </w:r>
            <w:r/>
          </w:p>
        </w:tc>
        <w:tc>
          <w:tcPr>
            <w:shd w:val="clear" w:fill="auto" w:color="auto"/>
            <w:tcW w:w="3808" w:type="pct"/>
            <w:textDirection w:val="lrTb"/>
            <w:noWrap w:val="false"/>
          </w:tcPr>
          <w:p>
            <w:pPr>
              <w:pStyle w:val="1005"/>
              <w:ind w:left="57" w:right="57"/>
            </w:pPr>
            <w:r>
              <w:t xml:space="preserve">Значение вводится вру</w:t>
            </w:r>
            <w:r>
              <w:t xml:space="preserve">ч</w:t>
            </w:r>
            <w:r>
              <w:t xml:space="preserve">ную или заполняется из справочника КБК.</w:t>
            </w:r>
            <w:r/>
          </w:p>
        </w:tc>
      </w:tr>
      <w:tr>
        <w:trPr/>
        <w:tc>
          <w:tcPr>
            <w:shd w:val="clear" w:fill="auto" w:color="auto"/>
            <w:tcW w:w="1192" w:type="pct"/>
            <w:textDirection w:val="lrTb"/>
            <w:noWrap w:val="false"/>
          </w:tcPr>
          <w:p>
            <w:pPr>
              <w:pStyle w:val="1005"/>
              <w:ind w:left="57" w:right="57"/>
            </w:pPr>
            <w:r>
              <w:t xml:space="preserve">ОКТМО</w:t>
            </w:r>
            <w:r/>
          </w:p>
        </w:tc>
        <w:tc>
          <w:tcPr>
            <w:shd w:val="clear" w:fill="auto" w:color="auto"/>
            <w:tcW w:w="3808" w:type="pct"/>
            <w:textDirection w:val="lrTb"/>
            <w:noWrap w:val="false"/>
          </w:tcPr>
          <w:p>
            <w:pPr>
              <w:pStyle w:val="1005"/>
              <w:ind w:left="57" w:right="57"/>
            </w:pPr>
            <w:r>
              <w:t xml:space="preserve">Значение вводится вручную или заполняется из справочника ОКАТО.</w:t>
            </w:r>
            <w:r/>
          </w:p>
        </w:tc>
      </w:tr>
      <w:tr>
        <w:trPr/>
        <w:tc>
          <w:tcPr>
            <w:shd w:val="clear" w:fill="auto" w:color="auto"/>
            <w:tcW w:w="1192" w:type="pct"/>
            <w:textDirection w:val="lrTb"/>
            <w:noWrap w:val="false"/>
          </w:tcPr>
          <w:p>
            <w:pPr>
              <w:pStyle w:val="1005"/>
              <w:ind w:left="57" w:right="57"/>
            </w:pPr>
            <w:r>
              <w:t xml:space="preserve">Основание платежа</w:t>
            </w:r>
            <w:r/>
          </w:p>
        </w:tc>
        <w:tc>
          <w:tcPr>
            <w:shd w:val="clear" w:fill="auto" w:color="auto"/>
            <w:tcW w:w="3808" w:type="pct"/>
            <w:textDirection w:val="lrTb"/>
            <w:noWrap w:val="false"/>
          </w:tcPr>
          <w:p>
            <w:pPr>
              <w:pStyle w:val="1005"/>
              <w:ind w:left="57" w:right="57"/>
            </w:pPr>
            <w:r>
              <w:t xml:space="preserve">Возможные значения: 0, ТР, PC, ОТ, РТ, ВУ, ПР,</w:t>
            </w:r>
            <w:r>
              <w:t xml:space="preserve"> </w:t>
            </w:r>
            <w:r>
              <w:t xml:space="preserve">ТП, ЗД, БФ, АП, АР, ДЕ, ПО, КВ, КТ, ИД, ИП, ТУ, БД, ИН, КП.</w:t>
            </w:r>
            <w:r/>
          </w:p>
        </w:tc>
      </w:tr>
      <w:tr>
        <w:trPr/>
        <w:tc>
          <w:tcPr>
            <w:shd w:val="clear" w:fill="auto" w:color="auto"/>
            <w:tcW w:w="1192" w:type="pct"/>
            <w:textDirection w:val="lrTb"/>
            <w:noWrap w:val="false"/>
          </w:tcPr>
          <w:p>
            <w:pPr>
              <w:pStyle w:val="1005"/>
              <w:ind w:left="57" w:right="57"/>
            </w:pPr>
            <w:r>
              <w:t xml:space="preserve">Налоговый период</w:t>
            </w:r>
            <w:r/>
          </w:p>
        </w:tc>
        <w:tc>
          <w:tcPr>
            <w:shd w:val="clear" w:fill="auto" w:color="auto"/>
            <w:tcW w:w="3808" w:type="pct"/>
            <w:textDirection w:val="lrTb"/>
            <w:noWrap w:val="false"/>
          </w:tcPr>
          <w:p>
            <w:pPr>
              <w:pStyle w:val="1005"/>
              <w:ind w:left="57" w:right="57"/>
            </w:pPr>
            <w:r>
              <w:t xml:space="preserve">Ввод по маске «xx.yy.zzzz». </w:t>
            </w:r>
            <w:r/>
          </w:p>
          <w:p>
            <w:pPr>
              <w:pStyle w:val="1005"/>
              <w:ind w:left="57" w:right="57"/>
            </w:pPr>
            <w:r>
              <w:t xml:space="preserve">Возможные значения: «01», «02»,…, «20».</w:t>
            </w:r>
            <w:r/>
          </w:p>
        </w:tc>
      </w:tr>
      <w:tr>
        <w:trPr/>
        <w:tc>
          <w:tcPr>
            <w:shd w:val="clear" w:fill="auto" w:color="auto"/>
            <w:tcW w:w="1192" w:type="pct"/>
            <w:textDirection w:val="lrTb"/>
            <w:noWrap w:val="false"/>
          </w:tcPr>
          <w:p>
            <w:pPr>
              <w:pStyle w:val="1005"/>
              <w:ind w:left="57" w:right="57"/>
            </w:pPr>
            <w:r>
              <w:t xml:space="preserve">Номер документа</w:t>
            </w:r>
            <w:r/>
          </w:p>
        </w:tc>
        <w:tc>
          <w:tcPr>
            <w:shd w:val="clear" w:fill="auto" w:color="auto"/>
            <w:tcW w:w="3808" w:type="pct"/>
            <w:textDirection w:val="lrTb"/>
            <w:noWrap w:val="false"/>
          </w:tcPr>
          <w:p>
            <w:pPr>
              <w:pStyle w:val="1005"/>
              <w:ind w:left="57" w:right="57"/>
            </w:pPr>
            <w:r>
              <w:t xml:space="preserve">Номер платежа.</w:t>
            </w:r>
            <w:r/>
          </w:p>
        </w:tc>
      </w:tr>
      <w:tr>
        <w:trPr/>
        <w:tc>
          <w:tcPr>
            <w:shd w:val="clear" w:fill="auto" w:color="auto"/>
            <w:tcW w:w="1192" w:type="pct"/>
            <w:textDirection w:val="lrTb"/>
            <w:noWrap w:val="false"/>
          </w:tcPr>
          <w:p>
            <w:pPr>
              <w:pStyle w:val="1005"/>
              <w:ind w:left="57" w:right="57"/>
            </w:pPr>
            <w:r>
              <w:t xml:space="preserve">Дата документа</w:t>
            </w:r>
            <w:r/>
          </w:p>
        </w:tc>
        <w:tc>
          <w:tcPr>
            <w:shd w:val="clear" w:fill="auto" w:color="auto"/>
            <w:tcW w:w="3808" w:type="pct"/>
            <w:textDirection w:val="lrTb"/>
            <w:noWrap w:val="false"/>
          </w:tcPr>
          <w:p>
            <w:pPr>
              <w:pStyle w:val="1005"/>
              <w:ind w:left="57" w:right="57"/>
            </w:pPr>
            <w:r>
              <w:t xml:space="preserve">Дата платежа. </w:t>
            </w:r>
            <w:r/>
          </w:p>
          <w:p>
            <w:pPr>
              <w:pStyle w:val="1005"/>
              <w:ind w:left="57" w:right="57"/>
            </w:pPr>
            <w:r>
              <w:t xml:space="preserve">Возможные значения: «0», либо пусто, либо значение даты в формате «ДД.ММ.ГГГГ».</w:t>
            </w:r>
            <w:r/>
          </w:p>
        </w:tc>
      </w:tr>
      <w:tr>
        <w:trPr/>
        <w:tc>
          <w:tcPr>
            <w:shd w:val="clear" w:fill="auto" w:color="auto"/>
            <w:tcW w:w="1192" w:type="pct"/>
            <w:textDirection w:val="lrTb"/>
            <w:noWrap w:val="false"/>
          </w:tcPr>
          <w:p>
            <w:pPr>
              <w:pStyle w:val="1005"/>
              <w:ind w:left="57" w:right="57"/>
            </w:pPr>
            <w:r>
              <w:t xml:space="preserve">Тип платежа</w:t>
            </w:r>
            <w:r/>
          </w:p>
        </w:tc>
        <w:tc>
          <w:tcPr>
            <w:shd w:val="clear" w:fill="auto" w:color="auto"/>
            <w:tcW w:w="3808" w:type="pct"/>
            <w:textDirection w:val="lrTb"/>
            <w:noWrap w:val="false"/>
          </w:tcPr>
          <w:p>
            <w:pPr>
              <w:pStyle w:val="1005"/>
              <w:ind w:left="57" w:right="57"/>
            </w:pPr>
            <w:r>
              <w:t xml:space="preserve">Возможные значения: 0, НС, ПЛ, ГП, ВЗ, АВ, ПЕ, ПЦ, СА, АШ, ИШ, ШТ, ЗД, ТП.</w:t>
            </w:r>
            <w:r/>
          </w:p>
        </w:tc>
      </w:tr>
    </w:tbl>
    <w:p>
      <w:pPr>
        <w:pStyle w:val="994"/>
      </w:pPr>
      <w:r>
        <w:t xml:space="preserve">ЭФ документа «Заявка на кассовый расход (сокращенная)</w:t>
      </w:r>
      <w:r>
        <w:t xml:space="preserve">», закладки «</w:t>
      </w:r>
      <w:r>
        <w:t xml:space="preserve">Подписи (3)»</w:t>
      </w:r>
      <w:r>
        <w:t xml:space="preserve"> </w:t>
      </w:r>
      <w:r>
        <w:t xml:space="preserve">представлена </w:t>
      </w:r>
      <w:r>
        <w:t xml:space="preserve">н</w:t>
      </w:r>
      <w:r>
        <w:t xml:space="preserve">а рис</w:t>
      </w:r>
      <w:r>
        <w:t xml:space="preserve">унке</w:t>
      </w:r>
      <w:r>
        <w:t xml:space="preserve"> </w:t>
      </w:r>
      <w:r>
        <w:fldChar w:fldCharType="begin"/>
      </w:r>
      <w:r>
        <w:instrText xml:space="preserve"> REF _Ref261614733 \h  \* MERGEFORMAT </w:instrText>
      </w:r>
      <w:r>
        <w:fldChar w:fldCharType="separate"/>
      </w:r>
      <w:r>
        <w:t xml:space="preserve">23</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1828800"/>
                <wp:effectExtent l="0" t="0" r="0" b="0"/>
                <wp:docPr id="8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8"/>
                        <a:stretch/>
                      </pic:blipFill>
                      <pic:spPr bwMode="auto">
                        <a:xfrm>
                          <a:off x="0" y="0"/>
                          <a:ext cx="6035039" cy="1828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 o:spid="_x0000_s79" type="#_x0000_t75" style="mso-wrap-distance-left:0.0pt;mso-wrap-distance-top:0.0pt;mso-wrap-distance-right:0.0pt;mso-wrap-distance-bottom:0.0pt;width:475.2pt;height:144.0pt;" stroked="f">
                <v:path textboxrect="0,0,0,0"/>
                <v:imagedata r:id="rId88" o:title=""/>
              </v:shape>
            </w:pict>
          </mc:Fallback>
        </mc:AlternateContent>
      </w:r>
      <w:r/>
    </w:p>
    <w:p>
      <w:pPr>
        <w:pStyle w:val="983"/>
      </w:pPr>
      <w:r>
        <w:fldChar w:fldCharType="begin"/>
      </w:r>
      <w:r>
        <w:instrText xml:space="preserve"> SEQ Рисунок \* ARABIC </w:instrText>
      </w:r>
      <w:r>
        <w:fldChar w:fldCharType="separate"/>
      </w:r>
      <w:bookmarkStart w:id="359" w:name="_Ref261614733"/>
      <w:r/>
      <w:bookmarkStart w:id="360" w:name="_Toc88819408"/>
      <w:r>
        <w:t xml:space="preserve">23</w:t>
      </w:r>
      <w:bookmarkEnd w:id="359"/>
      <w:r>
        <w:fldChar w:fldCharType="end"/>
      </w:r>
      <w:r>
        <w:t xml:space="preserve">. ЭФ документа «Заявка на кассовый расход (сокращенная)</w:t>
      </w:r>
      <w:r>
        <w:t xml:space="preserve">», закладки «</w:t>
      </w:r>
      <w:r>
        <w:t xml:space="preserve">Подписи (3)»</w:t>
      </w:r>
      <w:bookmarkEnd w:id="360"/>
      <w:r/>
      <w:r/>
    </w:p>
    <w:p>
      <w:pPr>
        <w:pStyle w:val="994"/>
      </w:pPr>
      <w:r>
        <w:t xml:space="preserve">Перечень полей документа «Заявка на кассовый расход (сокращенная)</w:t>
      </w:r>
      <w:r>
        <w:t xml:space="preserve">», закладки «</w:t>
      </w:r>
      <w:r>
        <w:t xml:space="preserve">Подписи (3)» приведен в таблице</w:t>
      </w:r>
      <w:r>
        <w:t xml:space="preserve"> </w:t>
      </w:r>
      <w:r>
        <w:fldChar w:fldCharType="begin"/>
      </w:r>
      <w:r>
        <w:instrText xml:space="preserve"> REF _Ref360715616 \h </w:instrText>
      </w:r>
      <w:r>
        <w:instrText xml:space="preserve"> \* MERGEFORMAT </w:instrText>
      </w:r>
      <w:r>
        <w:fldChar w:fldCharType="separate"/>
      </w:r>
      <w:r>
        <w:t xml:space="preserve">10</w:t>
      </w:r>
      <w:r>
        <w:fldChar w:fldCharType="end"/>
      </w:r>
      <w:r>
        <w:t xml:space="preserve">.</w:t>
      </w:r>
      <w:r/>
    </w:p>
    <w:p>
      <w:pPr>
        <w:pStyle w:val="993"/>
      </w:pPr>
      <w:r>
        <w:fldChar w:fldCharType="begin"/>
      </w:r>
      <w:r>
        <w:instrText xml:space="preserve"> SEQ Таблица \* ARABIC </w:instrText>
      </w:r>
      <w:r>
        <w:fldChar w:fldCharType="separate"/>
      </w:r>
      <w:bookmarkStart w:id="361" w:name="_Ref360715616"/>
      <w:r/>
      <w:bookmarkStart w:id="362" w:name="_Toc88819196"/>
      <w:r>
        <w:t xml:space="preserve">10</w:t>
      </w:r>
      <w:bookmarkEnd w:id="361"/>
      <w:r>
        <w:fldChar w:fldCharType="end"/>
      </w:r>
      <w:r>
        <w:t xml:space="preserve">. Описание полей документа «Заявка на кассовый расход (сокращенная)</w:t>
      </w:r>
      <w:r>
        <w:t xml:space="preserve">», закладки «</w:t>
      </w:r>
      <w:r>
        <w:t xml:space="preserve">Подписи (3)»</w:t>
      </w:r>
      <w:bookmarkEnd w:id="362"/>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318"/>
        <w:gridCol w:w="6434"/>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701"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299" w:type="pct"/>
            <w:vAlign w:val="center"/>
            <w:textDirection w:val="lrTb"/>
            <w:noWrap w:val="false"/>
          </w:tcPr>
          <w:p>
            <w:pPr>
              <w:pStyle w:val="1006"/>
            </w:pPr>
            <w:r>
              <w:t xml:space="preserve">Описание поля</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«Подписи»</w:t>
            </w:r>
            <w:r/>
          </w:p>
        </w:tc>
      </w:tr>
      <w:tr>
        <w:trPr>
          <w:trHeight w:val="77"/>
        </w:trPr>
        <w:tc>
          <w:tcPr>
            <w:shd w:val="clear" w:fill="auto" w:color="auto"/>
            <w:tcW w:w="1701" w:type="pct"/>
            <w:textDirection w:val="lrTb"/>
            <w:noWrap w:val="false"/>
          </w:tcPr>
          <w:p>
            <w:pPr>
              <w:pStyle w:val="1005"/>
              <w:ind w:left="57" w:right="57"/>
            </w:pPr>
            <w:r>
              <w:t xml:space="preserve">Руководитель (уполномоченное им лицо). Расши</w:t>
            </w:r>
            <w:r>
              <w:t xml:space="preserve">ф</w:t>
            </w:r>
            <w:r>
              <w:t xml:space="preserve">ровка подписи</w:t>
            </w:r>
            <w:r/>
          </w:p>
        </w:tc>
        <w:tc>
          <w:tcPr>
            <w:shd w:val="clear" w:fill="auto" w:color="auto"/>
            <w:tcW w:w="3299" w:type="pct"/>
            <w:textDirection w:val="lrTb"/>
            <w:noWrap w:val="false"/>
          </w:tcPr>
          <w:p>
            <w:pPr>
              <w:pStyle w:val="1005"/>
              <w:ind w:left="57" w:right="57"/>
            </w:pPr>
            <w:r>
              <w:t xml:space="preserve">ФИО руководителя.</w:t>
            </w:r>
            <w:r/>
          </w:p>
        </w:tc>
      </w:tr>
      <w:tr>
        <w:trPr>
          <w:trHeight w:val="77"/>
        </w:trPr>
        <w:tc>
          <w:tcPr>
            <w:shd w:val="clear" w:fill="auto" w:color="auto"/>
            <w:tcW w:w="1701" w:type="pct"/>
            <w:textDirection w:val="lrTb"/>
            <w:noWrap w:val="false"/>
          </w:tcPr>
          <w:p>
            <w:pPr>
              <w:pStyle w:val="1005"/>
              <w:ind w:left="57" w:right="57"/>
            </w:pPr>
            <w:r>
              <w:t xml:space="preserve">Главный бухгалтер (уполномоченное лицо). Расшифровка подписи</w:t>
            </w:r>
            <w:r/>
          </w:p>
        </w:tc>
        <w:tc>
          <w:tcPr>
            <w:shd w:val="clear" w:fill="auto" w:color="auto"/>
            <w:tcW w:w="3299" w:type="pct"/>
            <w:textDirection w:val="lrTb"/>
            <w:noWrap w:val="false"/>
          </w:tcPr>
          <w:p>
            <w:pPr>
              <w:pStyle w:val="1005"/>
              <w:ind w:left="57" w:right="57"/>
            </w:pPr>
            <w:r>
              <w:t xml:space="preserve">ФИО главного бухгалтера.</w:t>
            </w:r>
            <w:r/>
          </w:p>
        </w:tc>
      </w:tr>
      <w:tr>
        <w:trPr>
          <w:trHeight w:val="77"/>
        </w:trPr>
        <w:tc>
          <w:tcPr>
            <w:shd w:val="clear" w:fill="auto" w:color="auto"/>
            <w:tcW w:w="1701" w:type="pct"/>
            <w:textDirection w:val="lrTb"/>
            <w:noWrap w:val="false"/>
          </w:tcPr>
          <w:p>
            <w:pPr>
              <w:pStyle w:val="1005"/>
              <w:ind w:left="57" w:right="57"/>
            </w:pPr>
            <w:r>
              <w:t xml:space="preserve">Дата подписания</w:t>
            </w:r>
            <w:r/>
          </w:p>
        </w:tc>
        <w:tc>
          <w:tcPr>
            <w:shd w:val="clear" w:fill="auto" w:color="auto"/>
            <w:tcW w:w="3299" w:type="pct"/>
            <w:textDirection w:val="lrTb"/>
            <w:noWrap w:val="false"/>
          </w:tcPr>
          <w:p>
            <w:pPr>
              <w:pStyle w:val="1005"/>
              <w:ind w:left="57" w:right="57"/>
            </w:pPr>
            <w:r>
              <w:t xml:space="preserve">Дата подписания документа главным бухгалтером.</w:t>
            </w:r>
            <w:r/>
          </w:p>
        </w:tc>
      </w:tr>
      <w:tr>
        <w:trPr>
          <w:trHeight w:val="77"/>
        </w:trPr>
        <w:tc>
          <w:tcPr>
            <w:shd w:val="clear" w:fill="auto" w:color="auto"/>
            <w:tcW w:w="1701" w:type="pct"/>
            <w:textDirection w:val="lrTb"/>
            <w:noWrap w:val="false"/>
          </w:tcPr>
          <w:p>
            <w:pPr>
              <w:pStyle w:val="1005"/>
              <w:ind w:left="57" w:right="57"/>
            </w:pPr>
            <w:r>
              <w:t xml:space="preserve">ФИО ответственного за конфиденциальность данных</w:t>
            </w:r>
            <w:r/>
          </w:p>
        </w:tc>
        <w:tc>
          <w:tcPr>
            <w:shd w:val="clear" w:fill="auto" w:color="auto"/>
            <w:tcW w:w="3299" w:type="pct"/>
            <w:textDirection w:val="lrTb"/>
            <w:noWrap w:val="false"/>
          </w:tcPr>
          <w:p>
            <w:pPr>
              <w:pStyle w:val="1005"/>
              <w:ind w:left="57" w:right="57"/>
            </w:pPr>
            <w:r>
              <w:t xml:space="preserve">Заполняется автоматически при подписании. Поле заполняется при заполненном поле «Уровень конфиденциальности» значением «1» или «0».</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«Отметка органа Федерального казначейства о регистрации настоящей заявки»</w:t>
            </w:r>
            <w:r/>
          </w:p>
        </w:tc>
      </w:tr>
      <w:tr>
        <w:trPr>
          <w:trHeight w:val="77"/>
        </w:trPr>
        <w:tc>
          <w:tcPr>
            <w:shd w:val="clear" w:fill="auto" w:color="auto"/>
            <w:tcW w:w="1701" w:type="pct"/>
            <w:textDirection w:val="lrTb"/>
            <w:noWrap w:val="false"/>
          </w:tcPr>
          <w:p>
            <w:pPr>
              <w:pStyle w:val="1005"/>
              <w:ind w:left="57" w:right="57"/>
            </w:pPr>
            <w:r>
              <w:t xml:space="preserve">Номер заявки</w:t>
            </w:r>
            <w:r/>
          </w:p>
        </w:tc>
        <w:tc>
          <w:tcPr>
            <w:shd w:val="clear" w:fill="auto" w:color="auto"/>
            <w:tcW w:w="3299" w:type="pct"/>
            <w:textDirection w:val="lrTb"/>
            <w:noWrap w:val="false"/>
          </w:tcPr>
          <w:p>
            <w:pPr>
              <w:pStyle w:val="1005"/>
              <w:ind w:left="57" w:right="57"/>
            </w:pPr>
            <w:r>
              <w:t xml:space="preserve">Регистрационный номер заявки в УФК. </w:t>
            </w:r>
            <w:r/>
          </w:p>
          <w:p>
            <w:pPr>
              <w:pStyle w:val="1005"/>
              <w:ind w:left="57" w:right="57"/>
            </w:pPr>
            <w:r>
              <w:t xml:space="preserve">Значение доставляется из учетной системы УФК после регистрации заявки в УФК.</w:t>
            </w:r>
            <w:r/>
          </w:p>
        </w:tc>
      </w:tr>
      <w:tr>
        <w:trPr>
          <w:trHeight w:val="77"/>
        </w:trPr>
        <w:tc>
          <w:tcPr>
            <w:shd w:val="clear" w:fill="auto" w:color="auto"/>
            <w:tcW w:w="1701" w:type="pct"/>
            <w:textDirection w:val="lrTb"/>
            <w:noWrap w:val="false"/>
          </w:tcPr>
          <w:p>
            <w:pPr>
              <w:pStyle w:val="1005"/>
              <w:ind w:left="57" w:right="57"/>
            </w:pPr>
            <w:r>
              <w:t xml:space="preserve">Дата регистрации</w:t>
            </w:r>
            <w:r/>
          </w:p>
        </w:tc>
        <w:tc>
          <w:tcPr>
            <w:shd w:val="clear" w:fill="auto" w:color="auto"/>
            <w:tcW w:w="3299" w:type="pct"/>
            <w:textDirection w:val="lrTb"/>
            <w:noWrap w:val="false"/>
          </w:tcPr>
          <w:p>
            <w:pPr>
              <w:pStyle w:val="1005"/>
              <w:ind w:left="57" w:right="57"/>
            </w:pPr>
            <w:r>
              <w:t xml:space="preserve">Дата регистрации документа в УФК. </w:t>
            </w:r>
            <w:r/>
          </w:p>
          <w:p>
            <w:pPr>
              <w:pStyle w:val="1005"/>
              <w:ind w:left="57" w:right="57"/>
            </w:pPr>
            <w:r>
              <w:t xml:space="preserve">Значение доставляется из учетной системы УФК после регистрации заявки в УФК.</w:t>
            </w:r>
            <w:r/>
          </w:p>
        </w:tc>
      </w:tr>
      <w:tr>
        <w:trPr>
          <w:trHeight w:val="77"/>
        </w:trPr>
        <w:tc>
          <w:tcPr>
            <w:shd w:val="clear" w:fill="auto" w:color="auto"/>
            <w:tcW w:w="1701" w:type="pct"/>
            <w:textDirection w:val="lrTb"/>
            <w:noWrap w:val="false"/>
          </w:tcPr>
          <w:p>
            <w:pPr>
              <w:pStyle w:val="1005"/>
              <w:ind w:left="57" w:right="57"/>
            </w:pPr>
            <w:r>
              <w:t xml:space="preserve">Ответственный исполнитель. Должность</w:t>
            </w:r>
            <w:r/>
          </w:p>
        </w:tc>
        <w:tc>
          <w:tcPr>
            <w:shd w:val="clear" w:fill="auto" w:color="auto"/>
            <w:tcW w:w="3299" w:type="pct"/>
            <w:textDirection w:val="lrTb"/>
            <w:noWrap w:val="false"/>
          </w:tcPr>
          <w:p>
            <w:pPr>
              <w:pStyle w:val="1005"/>
              <w:ind w:left="57" w:right="57"/>
            </w:pPr>
            <w:r>
              <w:t xml:space="preserve">Наименование должности ответственного исполнителя в ТОФК. </w:t>
            </w:r>
            <w:r/>
          </w:p>
          <w:p>
            <w:pPr>
              <w:pStyle w:val="1005"/>
              <w:ind w:left="57" w:right="57"/>
            </w:pPr>
            <w:r>
              <w:t xml:space="preserve">Значение доставляется из учетной системы УФК после регистрации з</w:t>
            </w:r>
            <w:r>
              <w:t xml:space="preserve">а</w:t>
            </w:r>
            <w:r>
              <w:t xml:space="preserve">явки в УФК.</w:t>
            </w:r>
            <w:r/>
          </w:p>
        </w:tc>
      </w:tr>
      <w:tr>
        <w:trPr>
          <w:trHeight w:val="77"/>
        </w:trPr>
        <w:tc>
          <w:tcPr>
            <w:shd w:val="clear" w:fill="auto" w:color="auto"/>
            <w:tcW w:w="1701" w:type="pct"/>
            <w:textDirection w:val="lrTb"/>
            <w:noWrap w:val="false"/>
          </w:tcPr>
          <w:p>
            <w:pPr>
              <w:pStyle w:val="1005"/>
              <w:ind w:left="57" w:right="57"/>
            </w:pPr>
            <w:r>
              <w:t xml:space="preserve">Ответственный исполнитель. Расшифровка подписи</w:t>
            </w:r>
            <w:r/>
          </w:p>
        </w:tc>
        <w:tc>
          <w:tcPr>
            <w:shd w:val="clear" w:fill="auto" w:color="auto"/>
            <w:tcW w:w="3299" w:type="pct"/>
            <w:textDirection w:val="lrTb"/>
            <w:noWrap w:val="false"/>
          </w:tcPr>
          <w:p>
            <w:pPr>
              <w:pStyle w:val="1005"/>
              <w:ind w:left="57" w:right="57"/>
            </w:pPr>
            <w:r>
              <w:t xml:space="preserve">ФИО ответственного исполнителя в ТОФК. </w:t>
            </w:r>
            <w:r/>
          </w:p>
          <w:p>
            <w:pPr>
              <w:pStyle w:val="1005"/>
              <w:ind w:left="57" w:right="57"/>
            </w:pPr>
            <w:r>
              <w:t xml:space="preserve">Значение доставляется из учетной системы УФК после регистрации заявки в УФК.</w:t>
            </w:r>
            <w:r/>
          </w:p>
        </w:tc>
      </w:tr>
      <w:tr>
        <w:trPr>
          <w:trHeight w:val="638"/>
        </w:trPr>
        <w:tc>
          <w:tcPr>
            <w:shd w:val="clear" w:fill="auto" w:color="auto"/>
            <w:tcW w:w="1701" w:type="pct"/>
            <w:textDirection w:val="lrTb"/>
            <w:noWrap w:val="false"/>
          </w:tcPr>
          <w:p>
            <w:pPr>
              <w:pStyle w:val="1005"/>
              <w:ind w:left="57" w:right="57"/>
            </w:pPr>
            <w:r>
              <w:t xml:space="preserve">Телефон</w:t>
            </w:r>
            <w:r/>
          </w:p>
        </w:tc>
        <w:tc>
          <w:tcPr>
            <w:shd w:val="clear" w:fill="auto" w:color="auto"/>
            <w:tcW w:w="3299" w:type="pct"/>
            <w:textDirection w:val="lrTb"/>
            <w:noWrap w:val="false"/>
          </w:tcPr>
          <w:p>
            <w:pPr>
              <w:pStyle w:val="1005"/>
              <w:ind w:left="57" w:right="57"/>
            </w:pPr>
            <w:r>
              <w:t xml:space="preserve">Номер телефона ответственного исполнителя в ТОФК. </w:t>
            </w:r>
            <w:r/>
          </w:p>
          <w:p>
            <w:pPr>
              <w:pStyle w:val="1005"/>
              <w:ind w:left="57" w:right="57"/>
            </w:pPr>
            <w:r>
              <w:t xml:space="preserve">Значение доставляется из учетной системы УФК после регистрации заявки в УФК.</w:t>
            </w:r>
            <w:r/>
          </w:p>
        </w:tc>
      </w:tr>
    </w:tbl>
    <w:p>
      <w:pPr>
        <w:pStyle w:val="972"/>
      </w:pPr>
      <w:r/>
      <w:bookmarkStart w:id="363" w:name="_Toc393363878"/>
      <w:r/>
      <w:bookmarkStart w:id="364" w:name="_Ref365452935"/>
      <w:r/>
      <w:bookmarkStart w:id="365" w:name="_Toc422496702"/>
      <w:r/>
      <w:bookmarkStart w:id="366" w:name="_Toc88819099"/>
      <w:r/>
      <w:bookmarkEnd w:id="363"/>
      <w:r>
        <w:t xml:space="preserve">Заявка на получение наличных денег</w:t>
      </w:r>
      <w:bookmarkEnd w:id="340"/>
      <w:r/>
      <w:bookmarkEnd w:id="341"/>
      <w:r/>
      <w:bookmarkEnd w:id="342"/>
      <w:r/>
      <w:bookmarkEnd w:id="343"/>
      <w:r/>
      <w:bookmarkEnd w:id="344"/>
      <w:r/>
      <w:bookmarkEnd w:id="345"/>
      <w:r/>
      <w:bookmarkEnd w:id="346"/>
      <w:r/>
      <w:bookmarkEnd w:id="347"/>
      <w:r/>
      <w:bookmarkEnd w:id="348"/>
      <w:r/>
      <w:bookmarkEnd w:id="349"/>
      <w:r/>
      <w:bookmarkEnd w:id="364"/>
      <w:r/>
      <w:bookmarkEnd w:id="365"/>
      <w:r/>
      <w:bookmarkEnd w:id="366"/>
      <w:r/>
      <w:r/>
    </w:p>
    <w:p>
      <w:pPr>
        <w:pStyle w:val="994"/>
      </w:pPr>
      <w:r>
        <w:t xml:space="preserve">Документ «Заявка на получение наличных денег» используется для доведения от ПБС до ТОФК информации о необходимости перечисления денежных средств на банковский счет органа ФК, для выдачи наличных денежных средств.</w:t>
      </w:r>
      <w:r/>
    </w:p>
    <w:p>
      <w:pPr>
        <w:pStyle w:val="994"/>
      </w:pPr>
      <w:r>
        <w:t xml:space="preserve">ЭД «Заявка на получение наличных денег»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w:t>
      </w:r>
      <w:r/>
    </w:p>
    <w:p>
      <w:pPr>
        <w:pStyle w:val="994"/>
      </w:pPr>
      <w:r>
        <w:t xml:space="preserve">Для визуализации связи между документом «Заявка на получение наличных денег» и документами «Заявка на кассовый расход», «Заявка на кассовый расход (сокращенная)», «</w:t>
      </w:r>
      <w:r>
        <w:t xml:space="preserve">Заявка на получение денежных средств, перечисляемых на карту</w:t>
      </w:r>
      <w:r>
        <w:t xml:space="preserve">», «Сведения о принятом бюджетном обязательстве», «Заявка на внесение изменений в обязательство» и «Зая</w:t>
      </w:r>
      <w:r>
        <w:t xml:space="preserve">в</w:t>
      </w:r>
      <w:r>
        <w:t xml:space="preserve">ка на перерегистрацию бюджетного обязательства» в </w:t>
      </w:r>
      <w:r>
        <w:t xml:space="preserve">ППО СУФД АСФК</w:t>
      </w:r>
      <w:r>
        <w:t xml:space="preserve"> на ЭФ списка документов «Заявка на получение наличных денег» (рис. </w:t>
      </w:r>
      <w:r>
        <w:fldChar w:fldCharType="begin"/>
      </w:r>
      <w:r>
        <w:instrText xml:space="preserve"> REF _Ref225243416 \h  \* MERGEFORMAT </w:instrText>
      </w:r>
      <w:r>
        <w:fldChar w:fldCharType="separate"/>
      </w:r>
      <w:r>
        <w:t xml:space="preserve">24</w:t>
      </w:r>
      <w:r>
        <w:fldChar w:fldCharType="end"/>
      </w:r>
      <w:r>
        <w:t xml:space="preserve">)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r/>
    </w:p>
    <w:p>
      <w:pPr>
        <w:pStyle w:val="985"/>
      </w:pPr>
      <w:r>
        <w:t xml:space="preserve">Тип документа;</w:t>
      </w:r>
      <w:r/>
    </w:p>
    <w:p>
      <w:pPr>
        <w:pStyle w:val="985"/>
      </w:pPr>
      <w:r>
        <w:t xml:space="preserve">Номер;</w:t>
      </w:r>
      <w:r/>
    </w:p>
    <w:p>
      <w:pPr>
        <w:pStyle w:val="985"/>
      </w:pPr>
      <w:r>
        <w:t xml:space="preserve">От (дата);</w:t>
      </w:r>
      <w:r/>
    </w:p>
    <w:p>
      <w:pPr>
        <w:pStyle w:val="985"/>
      </w:pPr>
      <w:r>
        <w:t xml:space="preserve">Глава по БК;</w:t>
      </w:r>
      <w:r/>
    </w:p>
    <w:p>
      <w:pPr>
        <w:pStyle w:val="985"/>
      </w:pPr>
      <w:r>
        <w:t xml:space="preserve">Сумма в валюте БО;</w:t>
      </w:r>
      <w:r/>
    </w:p>
    <w:p>
      <w:pPr>
        <w:pStyle w:val="985"/>
      </w:pPr>
      <w:r>
        <w:t xml:space="preserve">Наименование контрагента;</w:t>
      </w:r>
      <w:r/>
    </w:p>
    <w:p>
      <w:pPr>
        <w:pStyle w:val="985"/>
      </w:pPr>
      <w:r>
        <w:t xml:space="preserve">Статус.</w:t>
      </w:r>
      <w:r/>
    </w:p>
    <w:p>
      <w:pPr>
        <w:pStyle w:val="994"/>
      </w:pPr>
      <w:r>
        <w:t xml:space="preserve">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получение наличных денег» к ЭФ связанного документа.</w:t>
      </w:r>
      <w:r/>
    </w:p>
    <w:p>
      <w:pPr>
        <w:pStyle w:val="994"/>
      </w:pPr>
      <w:r>
        <w:t xml:space="preserve">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получение наличных денег». Операции «Санкционировать» и «Отка</w:t>
      </w:r>
      <w:r>
        <w:t xml:space="preserve">зать» описаны в п.</w:t>
      </w:r>
      <w:r>
        <w:t xml:space="preserve"> </w:t>
      </w:r>
      <w:r>
        <w:fldChar w:fldCharType="begin"/>
      </w:r>
      <w:r>
        <w:instrText xml:space="preserve"> REF _Ref370315101 \r \h  \* MERGEFORMAT </w:instrText>
      </w:r>
      <w:r>
        <w:fldChar w:fldCharType="separate"/>
      </w:r>
      <w:r>
        <w:t xml:space="preserve">3.3.1</w:t>
      </w:r>
      <w:r>
        <w:fldChar w:fldCharType="end"/>
      </w:r>
      <w:r>
        <w:t xml:space="preserve">.</w:t>
      </w:r>
      <w:r/>
    </w:p>
    <w:p>
      <w:pPr>
        <w:pStyle w:val="994"/>
      </w:pPr>
      <w:r>
        <w:t xml:space="preserve">Для работы с документами «Заявка на получение наличных денег» следует перейти в пункт меню «Документы – Регистрация и учет обязательств – Заявки на платеж – Заявка на получение наличных денег». Откроется ЭФ списка документов, представленная на рисунке </w:t>
      </w:r>
      <w:r>
        <w:fldChar w:fldCharType="begin"/>
      </w:r>
      <w:r>
        <w:instrText xml:space="preserve"> REF _Ref225243416 \h  \* MERGEFORMAT </w:instrText>
      </w:r>
      <w:r>
        <w:fldChar w:fldCharType="separate"/>
      </w:r>
      <w:r>
        <w:t xml:space="preserve">24</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200400"/>
                <wp:effectExtent l="0" t="0" r="0" b="0"/>
                <wp:docPr id="8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9"/>
                        <a:stretch/>
                      </pic:blipFill>
                      <pic:spPr bwMode="auto">
                        <a:xfrm>
                          <a:off x="0" y="0"/>
                          <a:ext cx="6126480" cy="32004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 o:spid="_x0000_s80" type="#_x0000_t75" style="mso-wrap-distance-left:0.0pt;mso-wrap-distance-top:0.0pt;mso-wrap-distance-right:0.0pt;mso-wrap-distance-bottom:0.0pt;width:482.4pt;height:252.0pt;" stroked="f">
                <v:path textboxrect="0,0,0,0"/>
                <v:imagedata r:id="rId89" o:title=""/>
              </v:shape>
            </w:pict>
          </mc:Fallback>
        </mc:AlternateContent>
      </w:r>
      <w:r/>
    </w:p>
    <w:p>
      <w:pPr>
        <w:pStyle w:val="983"/>
      </w:pPr>
      <w:r>
        <w:fldChar w:fldCharType="begin"/>
      </w:r>
      <w:r>
        <w:instrText xml:space="preserve"> SEQ Рисунок \* ARABIC </w:instrText>
      </w:r>
      <w:r>
        <w:fldChar w:fldCharType="separate"/>
      </w:r>
      <w:bookmarkStart w:id="367" w:name="_Ref225243416"/>
      <w:r/>
      <w:bookmarkStart w:id="368" w:name="_Toc88819409"/>
      <w:r>
        <w:t xml:space="preserve">24</w:t>
      </w:r>
      <w:bookmarkEnd w:id="367"/>
      <w:r>
        <w:fldChar w:fldCharType="end"/>
      </w:r>
      <w:r>
        <w:t xml:space="preserve">. ЭФ списка документов «Заявка на получение наличных денег»</w:t>
      </w:r>
      <w:bookmarkEnd w:id="368"/>
      <w:r/>
      <w:r/>
    </w:p>
    <w:p>
      <w:pPr>
        <w:pStyle w:val="973"/>
      </w:pPr>
      <w:r>
        <w:t xml:space="preserve">Доступные операции</w:t>
      </w:r>
      <w:r/>
    </w:p>
    <w:p>
      <w:pPr>
        <w:pStyle w:val="994"/>
      </w:pPr>
      <w:r>
        <w:t xml:space="preserve">На АРМ ФО доступны следующие опер</w:t>
      </w:r>
      <w:r>
        <w:t xml:space="preserve">а</w:t>
      </w:r>
      <w:r>
        <w:t xml:space="preserve">ции</w:t>
      </w:r>
      <w:r>
        <w:t xml:space="preserve"> над документом</w:t>
      </w:r>
      <w:r>
        <w:t xml:space="preserve">: </w:t>
      </w:r>
      <w:r/>
    </w:p>
    <w:p>
      <w:pPr>
        <w:pStyle w:val="985"/>
      </w:pPr>
      <w:r>
        <w:t xml:space="preserve">ввод вручную;</w:t>
      </w:r>
      <w:r/>
    </w:p>
    <w:p>
      <w:pPr>
        <w:pStyle w:val="985"/>
      </w:pPr>
      <w:r>
        <w:t xml:space="preserve">создание на основе родительского документа;</w:t>
      </w:r>
      <w:r/>
    </w:p>
    <w:p>
      <w:pPr>
        <w:pStyle w:val="985"/>
      </w:pPr>
      <w:r>
        <w:t xml:space="preserve">импорт из внешней системы;</w:t>
      </w:r>
      <w:r/>
    </w:p>
    <w:p>
      <w:pPr>
        <w:pStyle w:val="985"/>
      </w:pPr>
      <w:r>
        <w:t xml:space="preserve">документарный контроль;</w:t>
      </w:r>
      <w:r/>
    </w:p>
    <w:p>
      <w:pPr>
        <w:pStyle w:val="985"/>
      </w:pPr>
      <w:r>
        <w:t xml:space="preserve">просмотр и редактирование;</w:t>
      </w:r>
      <w:r/>
    </w:p>
    <w:p>
      <w:pPr>
        <w:pStyle w:val="985"/>
      </w:pPr>
      <w:r>
        <w:t xml:space="preserve">удаление;</w:t>
      </w:r>
      <w:r/>
    </w:p>
    <w:p>
      <w:pPr>
        <w:pStyle w:val="985"/>
      </w:pPr>
      <w:r>
        <w:t xml:space="preserve">подписание, просмотр и снятие ЭП;</w:t>
      </w:r>
      <w:r/>
    </w:p>
    <w:p>
      <w:pPr>
        <w:pStyle w:val="985"/>
      </w:pPr>
      <w:r>
        <w:t xml:space="preserve">печать;</w:t>
      </w:r>
      <w:r/>
    </w:p>
    <w:p>
      <w:pPr>
        <w:pStyle w:val="985"/>
      </w:pPr>
      <w:r>
        <w:t xml:space="preserve">экспорт во внешнюю систему;</w:t>
      </w:r>
      <w:r/>
    </w:p>
    <w:p>
      <w:pPr>
        <w:pStyle w:val="985"/>
      </w:pPr>
      <w:r>
        <w:t xml:space="preserve">отправка в ОФК (УФК, ЦАФК).</w:t>
      </w:r>
      <w:r/>
    </w:p>
    <w:p>
      <w:pPr>
        <w:pStyle w:val="974"/>
      </w:pPr>
      <w:r>
        <w:t xml:space="preserve">Создание документа на основе родительского документа</w:t>
      </w:r>
      <w:r/>
    </w:p>
    <w:p>
      <w:pPr>
        <w:pStyle w:val="994"/>
      </w:pPr>
      <w:r>
        <w:t xml:space="preserve">Документ может создаваться на основе ЭД «Сведения об обязательстве».</w:t>
      </w:r>
      <w:r/>
    </w:p>
    <w:p>
      <w:pPr>
        <w:pStyle w:val="994"/>
      </w:pPr>
      <w:r>
        <w:t xml:space="preserve">Для выбора родительского документа следует на ЭФ документа «Заявка на получе</w:t>
      </w:r>
      <w:r>
        <w:t xml:space="preserve">ние наличных денег» (см.</w:t>
      </w:r>
      <w:r>
        <w:t xml:space="preserve"> </w:t>
      </w:r>
      <w:r>
        <w:t xml:space="preserve">рис.</w:t>
      </w:r>
      <w:r>
        <w:t xml:space="preserve"> </w:t>
      </w:r>
      <w:r>
        <w:fldChar w:fldCharType="begin"/>
      </w:r>
      <w:r>
        <w:instrText xml:space="preserve"> REF _Ref225240294 \h  \* MERGEFORMAT </w:instrText>
      </w:r>
      <w:r>
        <w:fldChar w:fldCharType="separate"/>
      </w:r>
      <w:r>
        <w:t xml:space="preserve">27</w:t>
      </w:r>
      <w:r>
        <w:fldChar w:fldCharType="end"/>
      </w:r>
      <w:r>
        <w:t xml:space="preserve">) нажать на кнопку </w:t>
      </w:r>
      <w:r>
        <mc:AlternateContent>
          <mc:Choice Requires="wpg">
            <w:drawing>
              <wp:inline xmlns:wp="http://schemas.openxmlformats.org/drawingml/2006/wordprocessingDrawing" distT="0" distB="0" distL="0" distR="0">
                <wp:extent cx="182880" cy="182880"/>
                <wp:effectExtent l="0" t="0" r="0" b="0"/>
                <wp:docPr id="8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76"/>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 o:spid="_x0000_s81" type="#_x0000_t75" style="mso-wrap-distance-left:0.0pt;mso-wrap-distance-top:0.0pt;mso-wrap-distance-right:0.0pt;mso-wrap-distance-bottom:0.0pt;width:14.4pt;height:14.4pt;" stroked="f">
                <v:path textboxrect="0,0,0,0"/>
                <v:imagedata r:id="rId76" o:title=""/>
              </v:shape>
            </w:pict>
          </mc:Fallback>
        </mc:AlternateContent>
      </w:r>
      <w:r>
        <w:t xml:space="preserve"> (Выбрать родительский документ). При этом откроется окно выбо</w:t>
      </w:r>
      <w:r>
        <w:t xml:space="preserve">ра типа документа «Поиск» (рис.</w:t>
      </w:r>
      <w:r>
        <w:t xml:space="preserve"> </w:t>
      </w:r>
      <w:r>
        <w:fldChar w:fldCharType="begin"/>
      </w:r>
      <w:r>
        <w:instrText xml:space="preserve"> REF _Ref370745097 \h  \* MERGEFORMAT </w:instrText>
      </w:r>
      <w:r>
        <w:fldChar w:fldCharType="separate"/>
      </w:r>
      <w:r>
        <w:t xml:space="preserve">25</w:t>
      </w:r>
      <w:r>
        <w:fldChar w:fldCharType="end"/>
      </w:r>
      <w:r>
        <w:t xml:space="preserve">).</w:t>
      </w:r>
      <w:r/>
    </w:p>
    <w:p>
      <w:pPr>
        <w:pStyle w:val="982"/>
      </w:pPr>
      <w:r>
        <mc:AlternateContent>
          <mc:Choice Requires="wpg">
            <w:drawing>
              <wp:inline xmlns:wp="http://schemas.openxmlformats.org/drawingml/2006/wordprocessingDrawing" distT="0" distB="0" distL="0" distR="0">
                <wp:extent cx="3931920" cy="3299460"/>
                <wp:effectExtent l="0" t="0" r="0" b="0"/>
                <wp:docPr id="8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90"/>
                        <a:stretch/>
                      </pic:blipFill>
                      <pic:spPr bwMode="auto">
                        <a:xfrm>
                          <a:off x="0" y="0"/>
                          <a:ext cx="3931920" cy="32994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 o:spid="_x0000_s82" type="#_x0000_t75" style="mso-wrap-distance-left:0.0pt;mso-wrap-distance-top:0.0pt;mso-wrap-distance-right:0.0pt;mso-wrap-distance-bottom:0.0pt;width:309.6pt;height:259.8pt;" stroked="f">
                <v:path textboxrect="0,0,0,0"/>
                <v:imagedata r:id="rId90" o:title=""/>
              </v:shape>
            </w:pict>
          </mc:Fallback>
        </mc:AlternateContent>
      </w:r>
      <w:r/>
    </w:p>
    <w:p>
      <w:pPr>
        <w:pStyle w:val="983"/>
      </w:pPr>
      <w:r>
        <w:fldChar w:fldCharType="begin"/>
      </w:r>
      <w:r>
        <w:instrText xml:space="preserve"> SEQ Рисунок \* ARABIC </w:instrText>
      </w:r>
      <w:r>
        <w:fldChar w:fldCharType="separate"/>
      </w:r>
      <w:bookmarkStart w:id="369" w:name="_Ref370745097"/>
      <w:r/>
      <w:bookmarkStart w:id="370" w:name="_Toc88819410"/>
      <w:r>
        <w:t xml:space="preserve">25</w:t>
      </w:r>
      <w:bookmarkEnd w:id="369"/>
      <w:r>
        <w:fldChar w:fldCharType="end"/>
      </w:r>
      <w:r>
        <w:t xml:space="preserve">. Окно «Поиск…»</w:t>
      </w:r>
      <w:bookmarkEnd w:id="370"/>
      <w:r/>
      <w:r/>
    </w:p>
    <w:p>
      <w:pPr>
        <w:pStyle w:val="994"/>
      </w:pPr>
      <w:r>
        <w:t xml:space="preserve">После выбора типа документа откроется окно «Выбор</w:t>
      </w:r>
      <w:r>
        <w:t xml:space="preserve"> родительского документа» (рис.</w:t>
      </w:r>
      <w:r>
        <w:t xml:space="preserve"> </w:t>
      </w:r>
      <w:r>
        <w:fldChar w:fldCharType="begin"/>
      </w:r>
      <w:r>
        <w:instrText xml:space="preserve"> REF _Ref370745123 \h  \* MERGEFORMAT </w:instrText>
      </w:r>
      <w:r>
        <w:fldChar w:fldCharType="separate"/>
      </w:r>
      <w:r>
        <w:t xml:space="preserve">26</w:t>
      </w:r>
      <w:r>
        <w:fldChar w:fldCharType="end"/>
      </w:r>
      <w:r>
        <w:t xml:space="preserve">), в котором следует из перечня сформированных документов заданного типа выбрать нужный документ.</w:t>
      </w:r>
      <w:r/>
    </w:p>
    <w:p>
      <w:pPr>
        <w:pStyle w:val="982"/>
      </w:pPr>
      <w:r>
        <mc:AlternateContent>
          <mc:Choice Requires="wpg">
            <w:drawing>
              <wp:inline xmlns:wp="http://schemas.openxmlformats.org/drawingml/2006/wordprocessingDrawing" distT="0" distB="0" distL="0" distR="0">
                <wp:extent cx="6126480" cy="2560320"/>
                <wp:effectExtent l="0" t="0" r="0" b="0"/>
                <wp:docPr id="8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91"/>
                        <a:stretch/>
                      </pic:blipFill>
                      <pic:spPr bwMode="auto">
                        <a:xfrm>
                          <a:off x="0" y="0"/>
                          <a:ext cx="6126480" cy="2560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 o:spid="_x0000_s83" type="#_x0000_t75" style="mso-wrap-distance-left:0.0pt;mso-wrap-distance-top:0.0pt;mso-wrap-distance-right:0.0pt;mso-wrap-distance-bottom:0.0pt;width:482.4pt;height:201.6pt;" stroked="f">
                <v:path textboxrect="0,0,0,0"/>
                <v:imagedata r:id="rId91" o:title=""/>
              </v:shape>
            </w:pict>
          </mc:Fallback>
        </mc:AlternateContent>
      </w:r>
      <w:r/>
    </w:p>
    <w:p>
      <w:pPr>
        <w:pStyle w:val="983"/>
      </w:pPr>
      <w:r>
        <w:fldChar w:fldCharType="begin"/>
      </w:r>
      <w:r>
        <w:instrText xml:space="preserve"> SEQ Рисунок \* ARABIC </w:instrText>
      </w:r>
      <w:r>
        <w:fldChar w:fldCharType="separate"/>
      </w:r>
      <w:bookmarkStart w:id="371" w:name="_Ref370745123"/>
      <w:r/>
      <w:bookmarkStart w:id="372" w:name="_Toc88819411"/>
      <w:r>
        <w:t xml:space="preserve">26</w:t>
      </w:r>
      <w:bookmarkEnd w:id="371"/>
      <w:r>
        <w:fldChar w:fldCharType="end"/>
      </w:r>
      <w:r>
        <w:t xml:space="preserve">. Окно «Выбор родительского документа» для документов типа «Сведения об обязательстве»</w:t>
      </w:r>
      <w:bookmarkEnd w:id="372"/>
      <w:r/>
      <w:r/>
    </w:p>
    <w:p>
      <w:pPr>
        <w:pStyle w:val="994"/>
      </w:pPr>
      <w:r>
        <w:t xml:space="preserve">В результате поля формы будут заполнены значениями соответствующих полей родительского документа.</w:t>
      </w:r>
      <w:r/>
    </w:p>
    <w:p>
      <w:pPr>
        <w:pStyle w:val="973"/>
      </w:pPr>
      <w:r/>
      <w:bookmarkStart w:id="373" w:name="_Экранная_форма_документа"/>
      <w:r/>
      <w:bookmarkStart w:id="374" w:name="_Ref318189449"/>
      <w:r/>
      <w:bookmarkEnd w:id="373"/>
      <w:r>
        <w:t xml:space="preserve">Экранная форма документа</w:t>
      </w:r>
      <w:bookmarkEnd w:id="374"/>
      <w:r/>
      <w:r/>
    </w:p>
    <w:p>
      <w:pPr>
        <w:pStyle w:val="994"/>
      </w:pPr>
      <w:r>
        <w:t xml:space="preserve">ЭФ документа «Заявка на получение наличных денег» представлена на рисунках </w:t>
      </w:r>
      <w:r>
        <w:fldChar w:fldCharType="begin"/>
      </w:r>
      <w:r>
        <w:instrText xml:space="preserve"> REF _Ref225240294 \h  \* MERGEFORMAT </w:instrText>
      </w:r>
      <w:r>
        <w:fldChar w:fldCharType="separate"/>
      </w:r>
      <w:r>
        <w:t xml:space="preserve">27</w:t>
      </w:r>
      <w:r>
        <w:fldChar w:fldCharType="end"/>
      </w:r>
      <w:r>
        <w:t xml:space="preserve"> и </w:t>
      </w:r>
      <w:r>
        <w:fldChar w:fldCharType="begin"/>
      </w:r>
      <w:r>
        <w:instrText xml:space="preserve"> REF _Ref225243439 \h  \* MERGEFORMAT </w:instrText>
      </w:r>
      <w:r>
        <w:fldChar w:fldCharType="separate"/>
      </w:r>
      <w:r>
        <w:t xml:space="preserve">30</w:t>
      </w:r>
      <w:r>
        <w:fldChar w:fldCharType="end"/>
      </w:r>
      <w:r>
        <w:t xml:space="preserve">. </w:t>
      </w:r>
      <w:r>
        <w:t xml:space="preserve">Форма содержит следующие закладки</w:t>
      </w:r>
      <w:r>
        <w:t xml:space="preserve">:</w:t>
      </w:r>
      <w:r/>
    </w:p>
    <w:p>
      <w:pPr>
        <w:pStyle w:val="985"/>
      </w:pPr>
      <w:r>
        <w:t xml:space="preserve">«Раздел 1,2 (1)»;</w:t>
      </w:r>
      <w:r/>
    </w:p>
    <w:p>
      <w:pPr>
        <w:pStyle w:val="985"/>
      </w:pPr>
      <w:r>
        <w:t xml:space="preserve">«Подписи(2)»;</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118860" cy="7772400"/>
                <wp:effectExtent l="0" t="0" r="0" b="0"/>
                <wp:docPr id="8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92"/>
                        <a:stretch/>
                      </pic:blipFill>
                      <pic:spPr bwMode="auto">
                        <a:xfrm>
                          <a:off x="0" y="0"/>
                          <a:ext cx="6118860" cy="77724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 o:spid="_x0000_s84" type="#_x0000_t75" style="mso-wrap-distance-left:0.0pt;mso-wrap-distance-top:0.0pt;mso-wrap-distance-right:0.0pt;mso-wrap-distance-bottom:0.0pt;width:481.8pt;height:612.0pt;" stroked="f">
                <v:path textboxrect="0,0,0,0"/>
                <v:imagedata r:id="rId92" o:title=""/>
              </v:shape>
            </w:pict>
          </mc:Fallback>
        </mc:AlternateContent>
      </w:r>
      <w:r/>
    </w:p>
    <w:p>
      <w:pPr>
        <w:pStyle w:val="983"/>
      </w:pPr>
      <w:r>
        <w:fldChar w:fldCharType="begin"/>
      </w:r>
      <w:r>
        <w:instrText xml:space="preserve"> SEQ Рисунок \* ARABIC </w:instrText>
      </w:r>
      <w:r>
        <w:fldChar w:fldCharType="separate"/>
      </w:r>
      <w:bookmarkStart w:id="375" w:name="_Ref225240294"/>
      <w:r/>
      <w:bookmarkStart w:id="376" w:name="_Toc88819412"/>
      <w:r>
        <w:t xml:space="preserve">27</w:t>
      </w:r>
      <w:bookmarkEnd w:id="375"/>
      <w:r>
        <w:fldChar w:fldCharType="end"/>
      </w:r>
      <w:r>
        <w:t xml:space="preserve">. ЭФ документа «Заявка на получение наличных денег</w:t>
      </w:r>
      <w:r>
        <w:t xml:space="preserve">», закладки «</w:t>
      </w:r>
      <w:r>
        <w:t xml:space="preserve">Раздел 1,2 (1)»</w:t>
      </w:r>
      <w:bookmarkEnd w:id="376"/>
      <w:r/>
      <w:r/>
    </w:p>
    <w:p>
      <w:pPr>
        <w:pStyle w:val="994"/>
      </w:pPr>
      <w:r>
        <w:t xml:space="preserve">При импорте документа из внешней системы поля формы заполняются автоматически в соответствии с данными загружаемого файла. При вводе документа поля заполняются вруч</w:t>
      </w:r>
      <w:r>
        <w:t xml:space="preserve">ную в соответствии с данными бумажного документа.</w:t>
      </w:r>
      <w:r>
        <w:t xml:space="preserve"> </w:t>
      </w:r>
      <w:r>
        <w:t xml:space="preserve">Для ручного ввода документа следует на ЭФ документа заполнить поля, доступные для редактирования</w:t>
      </w:r>
      <w:r>
        <w:t xml:space="preserve">. </w:t>
      </w:r>
      <w:r/>
    </w:p>
    <w:p>
      <w:pPr>
        <w:pStyle w:val="994"/>
      </w:pPr>
      <w:r>
        <w:t xml:space="preserve">Перечень полей </w:t>
      </w:r>
      <w:r>
        <w:t xml:space="preserve">документа «Заявка на получение наличных денег», закладки «Раздел 1,2 (1)»</w:t>
      </w:r>
      <w:r>
        <w:t xml:space="preserve"> </w:t>
      </w:r>
      <w:r>
        <w:t xml:space="preserve">приведен в таблице</w:t>
      </w:r>
      <w:r>
        <w:t xml:space="preserve"> </w:t>
      </w:r>
      <w:r>
        <w:fldChar w:fldCharType="begin"/>
      </w:r>
      <w:r>
        <w:instrText xml:space="preserve"> REF _Ref318713258 \h  \* MERGEFORMAT </w:instrText>
      </w:r>
      <w:r>
        <w:fldChar w:fldCharType="separate"/>
      </w:r>
      <w:r>
        <w:t xml:space="preserve">11</w:t>
      </w:r>
      <w:r>
        <w:fldChar w:fldCharType="end"/>
      </w:r>
      <w:r>
        <w:t xml:space="preserve">. </w:t>
      </w:r>
      <w:r/>
    </w:p>
    <w:p>
      <w:pPr>
        <w:pStyle w:val="993"/>
      </w:pPr>
      <w:r>
        <w:fldChar w:fldCharType="begin"/>
      </w:r>
      <w:r>
        <w:instrText xml:space="preserve"> SEQ Таблица \* ARABIC </w:instrText>
      </w:r>
      <w:r>
        <w:fldChar w:fldCharType="separate"/>
      </w:r>
      <w:bookmarkStart w:id="377" w:name="_Ref318713258"/>
      <w:r/>
      <w:bookmarkStart w:id="378" w:name="_Ref317612111"/>
      <w:r/>
      <w:bookmarkStart w:id="379" w:name="_Toc88819197"/>
      <w:r>
        <w:t xml:space="preserve">11</w:t>
      </w:r>
      <w:bookmarkEnd w:id="377"/>
      <w:r/>
      <w:bookmarkEnd w:id="378"/>
      <w:r>
        <w:fldChar w:fldCharType="end"/>
      </w:r>
      <w:r>
        <w:t xml:space="preserve">. Описание полей </w:t>
      </w:r>
      <w:r>
        <w:t xml:space="preserve">документа «Заявка на получение наличных денег», закладки «Раздел 1,2 (1)»</w:t>
      </w:r>
      <w:bookmarkEnd w:id="379"/>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33"/>
        <w:gridCol w:w="7519"/>
      </w:tblGrid>
      <w:tr>
        <w:trPr>
          <w:trHeight w:val="315"/>
          <w:tblHeader/>
        </w:trPr>
        <w:tc>
          <w:tcPr>
            <w:shd w:val="clear" w:fill="E6E6E6" w:color="auto"/>
            <w:tcBorders>
              <w:left w:val="single" w:sz="4" w:space="0" w:color="auto"/>
              <w:top w:val="single" w:sz="4" w:space="0" w:color="auto"/>
              <w:right w:val="single" w:sz="4" w:space="0" w:color="auto"/>
              <w:bottom w:val="single" w:sz="4" w:space="0" w:color="auto"/>
            </w:tcBorders>
            <w:tcW w:w="114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60" w:type="pct"/>
            <w:vAlign w:val="center"/>
            <w:textDirection w:val="lrTb"/>
            <w:noWrap w:val="false"/>
          </w:tcPr>
          <w:p>
            <w:pPr>
              <w:pStyle w:val="1006"/>
            </w:pPr>
            <w:r>
              <w:t xml:space="preserve">Описание</w:t>
            </w:r>
            <w:r>
              <w:t xml:space="preserve"> поля</w:t>
            </w:r>
            <w:r/>
          </w:p>
        </w:tc>
      </w:tr>
      <w:tr>
        <w:trPr/>
        <w:tc>
          <w:tcPr>
            <w:shd w:val="clear" w:fill="auto" w:color="auto"/>
            <w:tcW w:w="1140" w:type="pct"/>
            <w:textDirection w:val="lrTb"/>
            <w:noWrap w:val="false"/>
          </w:tcPr>
          <w:p>
            <w:pPr>
              <w:pStyle w:val="1005"/>
              <w:ind w:left="57" w:right="57"/>
            </w:pPr>
            <w:r>
              <w:t xml:space="preserve">Номер заявки</w:t>
            </w:r>
            <w:r/>
          </w:p>
        </w:tc>
        <w:tc>
          <w:tcPr>
            <w:shd w:val="clear" w:fill="auto" w:color="auto"/>
            <w:tcW w:w="3860" w:type="pct"/>
            <w:textDirection w:val="lrTb"/>
            <w:noWrap w:val="false"/>
          </w:tcPr>
          <w:p>
            <w:pPr>
              <w:pStyle w:val="1005"/>
              <w:ind w:left="57" w:right="57"/>
            </w:pPr>
            <w:r>
              <w:t xml:space="preserve">Номер, присвоенный клиентом, оформляющим документ.</w:t>
            </w:r>
            <w:r/>
          </w:p>
          <w:p>
            <w:pPr>
              <w:pStyle w:val="1005"/>
              <w:ind w:left="57" w:right="57"/>
            </w:pPr>
            <w:r>
              <w:t xml:space="preserve">Заполняется номером документа в системе клиента или вручную по вну</w:t>
            </w:r>
            <w:r>
              <w:t xml:space="preserve">т</w:t>
            </w:r>
            <w:r>
              <w:t xml:space="preserve">ренним правилам. Номер уникален в пределах даты, за которую сформир</w:t>
            </w:r>
            <w:r>
              <w:t xml:space="preserve">о</w:t>
            </w:r>
            <w:r>
              <w:t xml:space="preserve">ван документ.</w:t>
            </w:r>
            <w:r/>
          </w:p>
        </w:tc>
      </w:tr>
      <w:tr>
        <w:trPr>
          <w:trHeight w:val="762"/>
        </w:trPr>
        <w:tc>
          <w:tcPr>
            <w:shd w:val="clear" w:fill="auto" w:color="auto"/>
            <w:tcW w:w="1140" w:type="pct"/>
            <w:textDirection w:val="lrTb"/>
            <w:noWrap w:val="false"/>
          </w:tcPr>
          <w:p>
            <w:pPr>
              <w:pStyle w:val="1005"/>
              <w:ind w:left="57" w:right="57"/>
            </w:pPr>
            <w:r>
              <w:t xml:space="preserve">Дата заявки</w:t>
            </w:r>
            <w:r/>
          </w:p>
        </w:tc>
        <w:tc>
          <w:tcPr>
            <w:shd w:val="clear" w:fill="auto" w:color="auto"/>
            <w:tcW w:w="3860" w:type="pct"/>
            <w:textDirection w:val="lrTb"/>
            <w:noWrap w:val="false"/>
          </w:tcPr>
          <w:p>
            <w:pPr>
              <w:pStyle w:val="1005"/>
              <w:ind w:left="57" w:right="57"/>
            </w:pPr>
            <w:r>
              <w:t xml:space="preserve">Значение по умолчанию текущая дата. </w:t>
            </w:r>
            <w:r/>
          </w:p>
          <w:p>
            <w:pPr>
              <w:pStyle w:val="1005"/>
              <w:ind w:left="57" w:right="57"/>
            </w:pPr>
            <w:r>
              <w:t xml:space="preserve">Может быть выбрана пользователем из системного календаря.</w:t>
            </w:r>
            <w:r/>
          </w:p>
        </w:tc>
      </w:tr>
      <w:tr>
        <w:trPr/>
        <w:tc>
          <w:tcPr>
            <w:shd w:val="clear" w:fill="auto" w:color="auto"/>
            <w:tcW w:w="1140" w:type="pct"/>
            <w:textDirection w:val="lrTb"/>
            <w:noWrap w:val="false"/>
          </w:tcPr>
          <w:p>
            <w:pPr>
              <w:pStyle w:val="1005"/>
              <w:ind w:left="57" w:right="57"/>
            </w:pPr>
            <w:r>
              <w:t xml:space="preserve">Статус</w:t>
            </w:r>
            <w:r/>
          </w:p>
        </w:tc>
        <w:tc>
          <w:tcPr>
            <w:shd w:val="clear" w:fill="auto" w:color="auto"/>
            <w:tcW w:w="3860" w:type="pct"/>
            <w:textDirection w:val="lrTb"/>
            <w:noWrap w:val="false"/>
          </w:tcPr>
          <w:p>
            <w:pPr>
              <w:pStyle w:val="1005"/>
              <w:ind w:left="57" w:right="57"/>
            </w:pPr>
            <w:r>
              <w:t xml:space="preserve">Код бизнес-статуса документа. </w:t>
            </w:r>
            <w:r/>
          </w:p>
          <w:p>
            <w:pPr>
              <w:pStyle w:val="1005"/>
              <w:ind w:left="57" w:right="57"/>
            </w:pPr>
            <w:r>
              <w:t xml:space="preserve">Значение заполняется автоматически или передается из </w:t>
            </w:r>
            <w:r>
              <w:t xml:space="preserve">OEBS</w:t>
            </w:r>
            <w:r>
              <w:t xml:space="preserve">.</w:t>
            </w:r>
            <w:r/>
          </w:p>
        </w:tc>
      </w:tr>
      <w:tr>
        <w:trPr/>
        <w:tc>
          <w:tcPr>
            <w:shd w:val="clear" w:fill="auto" w:color="auto"/>
            <w:tcW w:w="1140" w:type="pct"/>
            <w:textDirection w:val="lrTb"/>
            <w:noWrap w:val="false"/>
          </w:tcPr>
          <w:p>
            <w:pPr>
              <w:pStyle w:val="1005"/>
              <w:ind w:left="57" w:right="57"/>
            </w:pPr>
            <w:r>
              <w:t xml:space="preserve">Отклонение по стр</w:t>
            </w:r>
            <w:r>
              <w:t xml:space="preserve">о</w:t>
            </w:r>
            <w:r>
              <w:t xml:space="preserve">кам</w:t>
            </w:r>
            <w:r/>
          </w:p>
        </w:tc>
        <w:tc>
          <w:tcPr>
            <w:shd w:val="clear" w:fill="auto" w:color="auto"/>
            <w:tcW w:w="3860" w:type="pct"/>
            <w:textDirection w:val="lrTb"/>
            <w:noWrap w:val="false"/>
          </w:tcPr>
          <w:p>
            <w:pPr>
              <w:pStyle w:val="1005"/>
              <w:ind w:left="57" w:right="57"/>
            </w:pPr>
            <w:r>
              <w:t xml:space="preserve">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наличных денег.</w:t>
            </w:r>
            <w:r/>
          </w:p>
          <w:p>
            <w:pPr>
              <w:pStyle w:val="1005"/>
              <w:ind w:left="57" w:right="57"/>
            </w:pPr>
            <w:r>
              <w:t xml:space="preserve">Значение выводится по модулю.</w:t>
            </w:r>
            <w:r/>
          </w:p>
        </w:tc>
      </w:tr>
      <w:tr>
        <w:trPr/>
        <w:tc>
          <w:tcPr>
            <w:shd w:val="clear" w:fill="auto" w:color="auto"/>
            <w:tcW w:w="1140" w:type="pct"/>
            <w:textDirection w:val="lrTb"/>
            <w:noWrap w:val="false"/>
          </w:tcPr>
          <w:p>
            <w:pPr>
              <w:pStyle w:val="1005"/>
              <w:ind w:left="57" w:right="57"/>
            </w:pPr>
            <w:r>
              <w:t xml:space="preserve">Уровень конфиденциальности</w:t>
            </w:r>
            <w:r/>
          </w:p>
        </w:tc>
        <w:tc>
          <w:tcPr>
            <w:shd w:val="clear" w:fill="auto" w:color="auto"/>
            <w:tcW w:w="3860" w:type="pct"/>
            <w:textDirection w:val="lrTb"/>
            <w:noWrap w:val="false"/>
          </w:tcPr>
          <w:p>
            <w:pPr>
              <w:pStyle w:val="1005"/>
              <w:ind w:left="57" w:right="57"/>
            </w:pPr>
            <w:r>
              <w:t xml:space="preserve">Заполняется вручную. По умолчанию не заполнено.</w:t>
            </w:r>
            <w:r/>
          </w:p>
          <w:p>
            <w:pPr>
              <w:pStyle w:val="1005"/>
              <w:ind w:left="57" w:right="57"/>
            </w:pPr>
            <w:r>
              <w:t xml:space="preserve">Поле заполняется значением «1» (</w:t>
            </w:r>
            <w:r>
              <w:t xml:space="preserve">ДСП</w:t>
            </w:r>
            <w:r>
              <w:t xml:space="preserve">) или «0» (не секретно)</w:t>
            </w:r>
            <w:r>
              <w:t xml:space="preserve">.</w:t>
            </w:r>
            <w:r/>
          </w:p>
        </w:tc>
      </w:tr>
      <w:tr>
        <w:trPr/>
        <w:tc>
          <w:tcPr>
            <w:gridSpan w:val="2"/>
            <w:shd w:val="clear" w:fill="auto" w:color="auto"/>
            <w:tcW w:w="5000" w:type="pct"/>
            <w:textDirection w:val="lrTb"/>
            <w:noWrap w:val="false"/>
          </w:tcPr>
          <w:p>
            <w:pPr>
              <w:pStyle w:val="1005"/>
              <w:ind w:left="57" w:right="57"/>
            </w:pPr>
            <w:r>
              <w:t xml:space="preserve">Закладка «Раздел 1,2 (1)»</w:t>
            </w:r>
            <w:r/>
          </w:p>
        </w:tc>
      </w:tr>
      <w:tr>
        <w:trPr/>
        <w:tc>
          <w:tcPr>
            <w:shd w:val="clear" w:fill="auto" w:color="auto"/>
            <w:tcW w:w="1140" w:type="pct"/>
            <w:textDirection w:val="lrTb"/>
            <w:noWrap w:val="false"/>
          </w:tcPr>
          <w:p>
            <w:pPr>
              <w:pStyle w:val="1005"/>
              <w:ind w:left="57" w:right="57"/>
            </w:pPr>
            <w:r>
              <w:t xml:space="preserve">Бюджет (наименов</w:t>
            </w:r>
            <w:r>
              <w:t xml:space="preserve">а</w:t>
            </w:r>
            <w:r>
              <w:t xml:space="preserve">ние)</w:t>
            </w:r>
            <w:r/>
          </w:p>
        </w:tc>
        <w:tc>
          <w:tcPr>
            <w:shd w:val="clear" w:fill="auto" w:color="auto"/>
            <w:tcW w:w="3860" w:type="pct"/>
            <w:textDirection w:val="lrTb"/>
            <w:noWrap w:val="false"/>
          </w:tcPr>
          <w:p>
            <w:pPr>
              <w:pStyle w:val="1005"/>
              <w:ind w:left="57" w:right="57"/>
            </w:pPr>
            <w:r>
              <w:t xml:space="preserve">Заполняется автоматически по коду бюджета (полное наименование).</w:t>
            </w:r>
            <w:r/>
          </w:p>
          <w:p>
            <w:pPr>
              <w:pStyle w:val="1005"/>
              <w:ind w:left="57" w:right="57"/>
            </w:pPr>
            <w:r>
              <w:t xml:space="preserve">Может быть отредактировано вручную/из </w:t>
            </w:r>
            <w:r>
              <w:t xml:space="preserve">справочника «Бюджеты»</w:t>
            </w:r>
            <w:r>
              <w:t xml:space="preserve"> или по</w:t>
            </w:r>
            <w:r>
              <w:t xml:space="preserve">д</w:t>
            </w:r>
            <w:r>
              <w:t xml:space="preserve">тягивается автоматически при выборе родительского документа. </w:t>
            </w:r>
            <w:r/>
          </w:p>
        </w:tc>
      </w:tr>
      <w:tr>
        <w:trPr/>
        <w:tc>
          <w:tcPr>
            <w:shd w:val="clear" w:fill="auto" w:color="auto"/>
            <w:tcW w:w="1140" w:type="pct"/>
            <w:textDirection w:val="lrTb"/>
            <w:noWrap w:val="false"/>
          </w:tcPr>
          <w:p>
            <w:pPr>
              <w:pStyle w:val="1005"/>
              <w:ind w:left="57" w:right="57"/>
            </w:pPr>
            <w:r>
              <w:t xml:space="preserve">Финансовый орган (наименование)</w:t>
            </w:r>
            <w:r/>
          </w:p>
        </w:tc>
        <w:tc>
          <w:tcPr>
            <w:shd w:val="clear" w:fill="auto" w:color="auto"/>
            <w:tcW w:w="3860" w:type="pct"/>
            <w:textDirection w:val="lrTb"/>
            <w:noWrap w:val="false"/>
          </w:tcPr>
          <w:p>
            <w:pPr>
              <w:pStyle w:val="1005"/>
              <w:ind w:left="57" w:right="57"/>
            </w:pPr>
            <w:r>
              <w:t xml:space="preserve">Заполняется автоматически полным наименованием по коду финоргана. Может быть отредактировано вручную/из справочника финорганов или по</w:t>
            </w:r>
            <w:r>
              <w:t xml:space="preserve">д</w:t>
            </w:r>
            <w:r>
              <w:t xml:space="preserve">тягивается автоматически при выборе родительского документа. </w:t>
            </w:r>
            <w:r/>
          </w:p>
        </w:tc>
      </w:tr>
      <w:tr>
        <w:trPr/>
        <w:tc>
          <w:tcPr>
            <w:shd w:val="clear" w:fill="auto" w:color="auto"/>
            <w:tcW w:w="1140" w:type="pct"/>
            <w:textDirection w:val="lrTb"/>
            <w:noWrap w:val="false"/>
          </w:tcPr>
          <w:p>
            <w:pPr>
              <w:pStyle w:val="1005"/>
              <w:ind w:left="57" w:right="57"/>
            </w:pPr>
            <w:r>
              <w:t xml:space="preserve">П</w:t>
            </w:r>
            <w:r>
              <w:t xml:space="preserve">о ОКПО</w:t>
            </w:r>
            <w:r/>
          </w:p>
        </w:tc>
        <w:tc>
          <w:tcPr>
            <w:shd w:val="clear" w:fill="auto" w:color="auto"/>
            <w:tcW w:w="3860" w:type="pct"/>
            <w:textDirection w:val="lrTb"/>
            <w:noWrap w:val="false"/>
          </w:tcPr>
          <w:p>
            <w:pPr>
              <w:pStyle w:val="1005"/>
              <w:ind w:left="57" w:right="57"/>
            </w:pPr>
            <w:r>
              <w:t xml:space="preserve">Заполняется автоматически ОКПО соответствующего актуального ФО (п</w:t>
            </w:r>
            <w:r>
              <w:t xml:space="preserve">о</w:t>
            </w:r>
            <w:r>
              <w:t xml:space="preserve">иск по коду ФО) из справочника Финансовые органы. </w:t>
            </w:r>
            <w:r/>
          </w:p>
          <w:p>
            <w:pPr>
              <w:pStyle w:val="1005"/>
              <w:ind w:left="57" w:right="57"/>
            </w:pPr>
            <w:r>
              <w:t xml:space="preserve">Может быть отредактировано вручную/из справочника финорганов. </w:t>
            </w:r>
            <w:r/>
          </w:p>
        </w:tc>
      </w:tr>
      <w:tr>
        <w:trPr/>
        <w:tc>
          <w:tcPr>
            <w:shd w:val="clear" w:fill="auto" w:color="auto"/>
            <w:tcW w:w="1140" w:type="pct"/>
            <w:textDirection w:val="lrTb"/>
            <w:noWrap w:val="false"/>
          </w:tcPr>
          <w:p>
            <w:pPr>
              <w:pStyle w:val="1005"/>
              <w:ind w:left="57" w:right="57"/>
            </w:pPr>
            <w:r>
              <w:t xml:space="preserve">ГРБС</w:t>
            </w:r>
            <w:r/>
          </w:p>
        </w:tc>
        <w:tc>
          <w:tcPr>
            <w:shd w:val="clear" w:fill="auto" w:color="auto"/>
            <w:tcW w:w="3860" w:type="pct"/>
            <w:textDirection w:val="lrTb"/>
            <w:noWrap w:val="false"/>
          </w:tcPr>
          <w:p>
            <w:pPr>
              <w:pStyle w:val="1005"/>
              <w:ind w:left="57" w:right="57"/>
            </w:pPr>
            <w:r>
              <w:t xml:space="preserve">Значение поля подтягивается по «Глава по БК»</w:t>
            </w:r>
            <w:r>
              <w:t xml:space="preserve"> и бюджету</w:t>
            </w:r>
            <w:r>
              <w:t xml:space="preserve"> из </w:t>
            </w:r>
            <w:r>
              <w:t xml:space="preserve">справочника «Ведомства»</w:t>
            </w:r>
            <w:r>
              <w:t xml:space="preserve"> из поля «Полное наименование». </w:t>
            </w:r>
            <w:r/>
          </w:p>
          <w:p>
            <w:pPr>
              <w:pStyle w:val="1005"/>
              <w:ind w:left="57" w:right="57"/>
            </w:pPr>
            <w:r>
              <w:t xml:space="preserve">При выборе пользователем родительского документа значение заполняется автоматически из указанного бюджетного обязательства. </w:t>
            </w:r>
            <w:r/>
          </w:p>
          <w:p>
            <w:pPr>
              <w:pStyle w:val="1005"/>
              <w:ind w:left="57" w:right="57"/>
            </w:pPr>
            <w:r>
              <w:t xml:space="preserve">Может быть отредактировано вручную.</w:t>
            </w:r>
            <w:r/>
          </w:p>
        </w:tc>
      </w:tr>
      <w:tr>
        <w:trPr/>
        <w:tc>
          <w:tcPr>
            <w:shd w:val="clear" w:fill="auto" w:color="auto"/>
            <w:tcW w:w="1140" w:type="pct"/>
            <w:textDirection w:val="lrTb"/>
            <w:noWrap w:val="false"/>
          </w:tcPr>
          <w:p>
            <w:pPr>
              <w:pStyle w:val="1005"/>
              <w:ind w:left="57" w:right="57"/>
            </w:pPr>
            <w:r>
              <w:t xml:space="preserve">Глава по БК</w:t>
            </w:r>
            <w:r/>
          </w:p>
        </w:tc>
        <w:tc>
          <w:tcPr>
            <w:shd w:val="clear" w:fill="auto" w:color="auto"/>
            <w:tcW w:w="3860" w:type="pct"/>
            <w:textDirection w:val="lrTb"/>
            <w:noWrap w:val="false"/>
          </w:tcPr>
          <w:p>
            <w:pPr>
              <w:pStyle w:val="1005"/>
              <w:ind w:left="57" w:right="57"/>
            </w:pPr>
            <w:r>
              <w:t xml:space="preserve">Значение заполняется автоматически из системной константы.</w:t>
            </w:r>
            <w:r/>
          </w:p>
          <w:p>
            <w:pPr>
              <w:pStyle w:val="1005"/>
              <w:ind w:left="57" w:right="57"/>
            </w:pPr>
            <w:r>
              <w:t xml:space="preserve">При выборе пользователем родительского документа значение заполняется автоматически из указанного бюджетного обязательства.</w:t>
            </w:r>
            <w:r/>
          </w:p>
          <w:p>
            <w:pPr>
              <w:pStyle w:val="1005"/>
              <w:ind w:left="57" w:right="57"/>
            </w:pPr>
            <w:r>
              <w:t xml:space="preserve">Может быть отредактировано вручную, либо выбором из </w:t>
            </w:r>
            <w:r>
              <w:t xml:space="preserve">справочника «В</w:t>
            </w:r>
            <w:r>
              <w:t xml:space="preserve">е</w:t>
            </w:r>
            <w:r>
              <w:t xml:space="preserve">домства»</w:t>
            </w:r>
            <w:r>
              <w:t xml:space="preserve">.</w:t>
            </w:r>
            <w:r/>
          </w:p>
        </w:tc>
      </w:tr>
      <w:tr>
        <w:trPr/>
        <w:tc>
          <w:tcPr>
            <w:shd w:val="clear" w:fill="auto" w:color="auto"/>
            <w:tcW w:w="1140" w:type="pct"/>
            <w:textDirection w:val="lrTb"/>
            <w:noWrap w:val="false"/>
          </w:tcPr>
          <w:p>
            <w:pPr>
              <w:pStyle w:val="1005"/>
              <w:ind w:left="57" w:right="57"/>
            </w:pPr>
            <w:r>
              <w:t xml:space="preserve">По сводному реестру</w:t>
            </w:r>
            <w:r/>
          </w:p>
        </w:tc>
        <w:tc>
          <w:tcPr>
            <w:shd w:val="clear" w:fill="auto" w:color="auto"/>
            <w:tcW w:w="3860" w:type="pct"/>
            <w:textDirection w:val="lrTb"/>
            <w:noWrap w:val="false"/>
          </w:tcPr>
          <w:p>
            <w:pPr>
              <w:pStyle w:val="1005"/>
              <w:ind w:left="57" w:right="57"/>
            </w:pPr>
            <w:r>
              <w:t xml:space="preserve">Может быть изменено вручную или выбором из справочника СРРПБС (кнопка должна быть доступна, если значение поля «Признак перехода на СР» = 0).</w:t>
            </w:r>
            <w:r/>
          </w:p>
          <w:p>
            <w:pPr>
              <w:pStyle w:val="1005"/>
              <w:ind w:left="57" w:right="57"/>
            </w:pPr>
            <w:r>
              <w:t xml:space="preserve">Выбор из справочника «Реестр участников бюджетного процесса, а также юридических лиц, не являющихся участниками бюджетного процесса» (кнопка доступна, если значение пол</w:t>
            </w:r>
            <w:r>
              <w:t xml:space="preserve">я «Признак перехода на СР» = 1)</w:t>
            </w:r>
            <w:r>
              <w:t xml:space="preserve">.</w:t>
            </w:r>
            <w:r/>
          </w:p>
          <w:p>
            <w:pPr>
              <w:pStyle w:val="1005"/>
              <w:ind w:left="57" w:right="57"/>
            </w:pPr>
            <w:r>
              <w:t xml:space="preserve">Иначе:</w:t>
            </w:r>
            <w:r/>
          </w:p>
          <w:p>
            <w:pPr>
              <w:pStyle w:val="1005"/>
              <w:ind w:left="57" w:right="57"/>
            </w:pPr>
            <w:r>
              <w:t xml:space="preserve">Заполняется значением </w:t>
            </w:r>
            <w:r>
              <w:t xml:space="preserve">системной константы «Код по СР»</w:t>
            </w:r>
            <w:r>
              <w:t xml:space="preserve">. Может быть изменено вручную или выбором из справочника СР (значение поля «по Сводному реестру» в документе заполняется из поля справо</w:t>
            </w:r>
            <w:r>
              <w:t xml:space="preserve">чника = «Код организации по СР»</w:t>
            </w:r>
            <w:r>
              <w:t xml:space="preserve">).</w:t>
            </w:r>
            <w:r/>
          </w:p>
          <w:p>
            <w:pPr>
              <w:pStyle w:val="1005"/>
              <w:ind w:left="57" w:right="57"/>
            </w:pPr>
            <w:r>
              <w:t xml:space="preserve">При выборе родительского документа значение заполняется автоматически из указанного бюджетного обязательства.</w:t>
            </w:r>
            <w:r/>
          </w:p>
          <w:p>
            <w:pPr>
              <w:pStyle w:val="1005"/>
              <w:ind w:left="57" w:right="57"/>
            </w:pPr>
            <w:r>
              <w:t xml:space="preserve">Может быть изменено вручную.</w:t>
            </w:r>
            <w:r/>
          </w:p>
        </w:tc>
      </w:tr>
      <w:tr>
        <w:trPr/>
        <w:tc>
          <w:tcPr>
            <w:shd w:val="clear" w:fill="auto" w:color="auto"/>
            <w:tcW w:w="1140" w:type="pct"/>
            <w:textDirection w:val="lrTb"/>
            <w:noWrap w:val="false"/>
          </w:tcPr>
          <w:p>
            <w:pPr>
              <w:pStyle w:val="1005"/>
              <w:ind w:left="57" w:right="57"/>
            </w:pPr>
            <w:r>
              <w:t xml:space="preserve">Наименование клиента</w:t>
            </w:r>
            <w:r/>
          </w:p>
        </w:tc>
        <w:tc>
          <w:tcPr>
            <w:shd w:val="clear" w:fill="auto" w:color="auto"/>
            <w:tcW w:w="3860" w:type="pct"/>
            <w:textDirection w:val="lrTb"/>
            <w:noWrap w:val="false"/>
          </w:tcPr>
          <w:p>
            <w:pPr>
              <w:pStyle w:val="1008"/>
              <w:numPr>
                <w:ilvl w:val="0"/>
                <w:numId w:val="135"/>
              </w:numPr>
            </w:pPr>
            <w:r>
              <w:t xml:space="preserve">Если </w:t>
            </w:r>
            <w:r>
              <w:t xml:space="preserve">«</w:t>
            </w:r>
            <w:r>
              <w:t xml:space="preserve">Код по СР</w:t>
            </w:r>
            <w:r>
              <w:t xml:space="preserve">»</w:t>
            </w:r>
            <w:r>
              <w:t xml:space="preserve"> заполнено, то поле заполняется из полного наименования записи СР, найденной по коду = </w:t>
            </w:r>
            <w:r>
              <w:t xml:space="preserve">«</w:t>
            </w:r>
            <w:r>
              <w:t xml:space="preserve">Код по СР</w:t>
            </w:r>
            <w:r>
              <w:t xml:space="preserve">»</w:t>
            </w:r>
            <w:r>
              <w:t xml:space="preserve">. </w:t>
            </w:r>
            <w:r/>
          </w:p>
          <w:p>
            <w:pPr>
              <w:pStyle w:val="1008"/>
            </w:pPr>
            <w:r>
              <w:t xml:space="preserve">Иначе поле заполняется полным наименованием из справочника РУБП/ПУБП/НУБП по константам </w:t>
            </w:r>
            <w:r>
              <w:t xml:space="preserve">«Код собственного БУ»</w:t>
            </w:r>
            <w:r>
              <w:t xml:space="preserve"> и </w:t>
            </w:r>
            <w:r>
              <w:t xml:space="preserve">«Код бюджета»</w:t>
            </w:r>
            <w:r>
              <w:t xml:space="preserve">.</w:t>
            </w:r>
            <w:r/>
          </w:p>
          <w:p>
            <w:pPr>
              <w:pStyle w:val="1005"/>
              <w:ind w:left="57" w:right="57"/>
            </w:pPr>
            <w:r>
              <w:t xml:space="preserve">При выборе родительского документа значение заполняется автоматически из указанного бюджетного обязательства.</w:t>
            </w:r>
            <w:r/>
          </w:p>
          <w:p>
            <w:pPr>
              <w:pStyle w:val="1005"/>
              <w:ind w:left="57" w:right="57"/>
            </w:pPr>
            <w:r>
              <w:t xml:space="preserve">Может быть изменено вручную.</w:t>
            </w:r>
            <w:r/>
          </w:p>
        </w:tc>
      </w:tr>
      <w:tr>
        <w:trPr/>
        <w:tc>
          <w:tcPr>
            <w:shd w:val="clear" w:fill="auto" w:color="auto"/>
            <w:tcW w:w="1140" w:type="pct"/>
            <w:textDirection w:val="lrTb"/>
            <w:noWrap w:val="false"/>
          </w:tcPr>
          <w:p>
            <w:pPr>
              <w:pStyle w:val="1005"/>
              <w:ind w:left="57" w:right="57"/>
            </w:pPr>
            <w:r>
              <w:t xml:space="preserve">Номер лицевого счета</w:t>
            </w:r>
            <w:r/>
          </w:p>
        </w:tc>
        <w:tc>
          <w:tcPr>
            <w:shd w:val="clear" w:fill="auto" w:color="auto"/>
            <w:tcW w:w="3860" w:type="pct"/>
            <w:textDirection w:val="lrTb"/>
            <w:noWrap w:val="false"/>
          </w:tcPr>
          <w:p>
            <w:pPr>
              <w:pStyle w:val="1005"/>
              <w:ind w:left="57" w:right="57"/>
            </w:pPr>
            <w:r>
              <w:t xml:space="preserve">На АРМ ФО заполняется вручную, либо выбором значения из справочника ИЛС.</w:t>
            </w:r>
            <w:r/>
          </w:p>
          <w:p>
            <w:pPr>
              <w:pStyle w:val="1005"/>
              <w:ind w:left="57" w:right="57"/>
            </w:pPr>
            <w:r>
              <w:t xml:space="preserve">Значение может быть изменено пользователем вручную или выбором из справочника ИЛС.</w:t>
            </w:r>
            <w:r/>
          </w:p>
          <w:p>
            <w:pPr>
              <w:pStyle w:val="1005"/>
              <w:ind w:left="57" w:right="57"/>
            </w:pPr>
            <w:r>
              <w:t xml:space="preserve">При указании пользователем ссылки на регистрационный номер и дату рег</w:t>
            </w:r>
            <w:r>
              <w:t xml:space="preserve">и</w:t>
            </w:r>
            <w:r>
              <w:t xml:space="preserve">страции значение заполняется автоматически из указанного бюджетного обязательства</w:t>
            </w:r>
            <w:r>
              <w:t xml:space="preserve">. </w:t>
            </w:r>
            <w:r/>
          </w:p>
          <w:p>
            <w:pPr>
              <w:pStyle w:val="1005"/>
              <w:ind w:left="57" w:right="57"/>
            </w:pPr>
            <w:r>
              <w:t xml:space="preserve">При указании в</w:t>
            </w:r>
            <w:r>
              <w:t xml:space="preserve"> поле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w:t>
            </w:r>
            <w:r>
              <w:t xml:space="preserve">сл</w:t>
            </w:r>
            <w:r>
              <w:t xml:space="preserve">е</w:t>
            </w:r>
            <w:r>
              <w:t xml:space="preserve">дующие</w:t>
            </w:r>
            <w:r>
              <w:t xml:space="preserve"> поля документа:</w:t>
            </w:r>
            <w:r/>
          </w:p>
          <w:p>
            <w:pPr>
              <w:pStyle w:val="1007"/>
            </w:pPr>
            <w:r>
              <w:t xml:space="preserve">код бюджета (код бюджета из </w:t>
            </w:r>
            <w:r>
              <w:t xml:space="preserve">справочника «Информация о ЛС»</w:t>
            </w:r>
            <w:r>
              <w:t xml:space="preserve">);</w:t>
            </w:r>
            <w:r/>
          </w:p>
          <w:p>
            <w:pPr>
              <w:pStyle w:val="1007"/>
            </w:pPr>
            <w:r>
              <w:t xml:space="preserve">бюджет (наименование по коду из </w:t>
            </w:r>
            <w:r>
              <w:t xml:space="preserve">справочника «Бюджеты»</w:t>
            </w:r>
            <w:r>
              <w:t xml:space="preserve">);</w:t>
            </w:r>
            <w:r/>
          </w:p>
          <w:p>
            <w:pPr>
              <w:pStyle w:val="1007"/>
            </w:pPr>
            <w:r>
              <w:t xml:space="preserve">финорган (код) (по коду бюджета из справочника финорганов);</w:t>
            </w:r>
            <w:r/>
          </w:p>
          <w:p>
            <w:pPr>
              <w:pStyle w:val="1007"/>
            </w:pPr>
            <w:r>
              <w:t xml:space="preserve">финорган (наименование) (из справочника финорганов);</w:t>
            </w:r>
            <w:r/>
          </w:p>
          <w:p>
            <w:pPr>
              <w:pStyle w:val="1007"/>
            </w:pPr>
            <w:r>
              <w:t xml:space="preserve">наименование клиента (полное наименование владельца ЛС из </w:t>
            </w:r>
            <w:r>
              <w:t xml:space="preserve">справо</w:t>
            </w:r>
            <w:r>
              <w:t xml:space="preserve">ч</w:t>
            </w:r>
            <w:r>
              <w:t xml:space="preserve">ника «Информация о ЛС»</w:t>
            </w:r>
            <w:r>
              <w:t xml:space="preserve">);</w:t>
            </w:r>
            <w:r/>
          </w:p>
          <w:p>
            <w:pPr>
              <w:pStyle w:val="1007"/>
            </w:pPr>
            <w:r>
              <w:t xml:space="preserve">код по сводному реестру (заполняется только в случае указания фед</w:t>
            </w:r>
            <w:r>
              <w:t xml:space="preserve">е</w:t>
            </w:r>
            <w:r>
              <w:t xml:space="preserve">рального бюджета – из </w:t>
            </w:r>
            <w:r>
              <w:t xml:space="preserve">справочника «Информация о ЛС»</w:t>
            </w:r>
            <w:r>
              <w:t xml:space="preserve">);</w:t>
            </w:r>
            <w:r/>
          </w:p>
          <w:p>
            <w:pPr>
              <w:pStyle w:val="1007"/>
            </w:pPr>
            <w:r>
              <w:t xml:space="preserve">глава по БК (ведомство из </w:t>
            </w:r>
            <w:r>
              <w:t xml:space="preserve">справочника «Информация о ЛС»</w:t>
            </w:r>
            <w:r>
              <w:t xml:space="preserve">);</w:t>
            </w:r>
            <w:r/>
          </w:p>
          <w:p>
            <w:pPr>
              <w:pStyle w:val="1007"/>
            </w:pPr>
            <w:r>
              <w:t xml:space="preserve">ГРБС/ГАИФ (наименование из </w:t>
            </w:r>
            <w:r>
              <w:t xml:space="preserve">справочника «Ведомства»</w:t>
            </w:r>
            <w:r>
              <w:t xml:space="preserve">).</w:t>
            </w:r>
            <w:r/>
          </w:p>
          <w:p>
            <w:pPr>
              <w:pStyle w:val="1005"/>
              <w:ind w:left="57" w:right="57"/>
            </w:pPr>
            <w:r>
              <w:t xml:space="preserve">На АРМ УП не заполняется</w:t>
            </w:r>
            <w:r>
              <w:t xml:space="preserve">.</w:t>
            </w:r>
            <w:r/>
          </w:p>
        </w:tc>
      </w:tr>
      <w:tr>
        <w:trPr/>
        <w:tc>
          <w:tcPr>
            <w:shd w:val="clear" w:fill="auto" w:color="auto"/>
            <w:tcW w:w="1140" w:type="pct"/>
            <w:textDirection w:val="lrTb"/>
            <w:noWrap w:val="false"/>
          </w:tcPr>
          <w:p>
            <w:pPr>
              <w:pStyle w:val="1005"/>
              <w:ind w:left="57" w:right="57"/>
            </w:pPr>
            <w:r>
              <w:t xml:space="preserve">По КОФК</w:t>
            </w:r>
            <w:r/>
          </w:p>
        </w:tc>
        <w:tc>
          <w:tcPr>
            <w:shd w:val="clear" w:fill="auto" w:color="auto"/>
            <w:tcW w:w="3860" w:type="pct"/>
            <w:textDirection w:val="lrTb"/>
            <w:noWrap w:val="false"/>
          </w:tcPr>
          <w:p>
            <w:pPr>
              <w:pStyle w:val="1005"/>
              <w:ind w:left="57" w:right="57"/>
            </w:pPr>
            <w:r>
              <w:t xml:space="preserve">На</w:t>
            </w:r>
            <w:r>
              <w:t xml:space="preserve"> ФО: проверяется значение константы</w:t>
            </w:r>
            <w:r>
              <w:t xml:space="preserve"> </w:t>
            </w:r>
            <w:r>
              <w:t xml:space="preserve">код собственного ТОФК. Если оно равно ххуу, то по умолчанию проставл</w:t>
            </w:r>
            <w:r>
              <w:t xml:space="preserve">я</w:t>
            </w:r>
            <w:r>
              <w:t xml:space="preserve">ется значение константы код вышестоящего ТОФК равный хх00; если равна хх00, то по умолчанию проставляется значение код собственного ТОФК. </w:t>
            </w:r>
            <w:r/>
          </w:p>
          <w:p>
            <w:pPr>
              <w:pStyle w:val="1005"/>
              <w:ind w:left="57" w:right="57"/>
            </w:pPr>
            <w:r>
              <w:t xml:space="preserve">Значение подтягивается автоматически при выборе родительского докуме</w:t>
            </w:r>
            <w:r>
              <w:t xml:space="preserve">н</w:t>
            </w:r>
            <w:r>
              <w:t xml:space="preserve">та. </w:t>
            </w:r>
            <w:r/>
          </w:p>
          <w:p>
            <w:pPr>
              <w:pStyle w:val="1005"/>
              <w:ind w:left="57" w:right="57"/>
            </w:pPr>
            <w:r>
              <w:t xml:space="preserve">Может быть изменено пользователем вручную или выбором из справочника КОФК (Органы ФК)</w:t>
            </w:r>
            <w:r>
              <w:t xml:space="preserve">.</w:t>
            </w:r>
            <w:r/>
          </w:p>
        </w:tc>
      </w:tr>
      <w:tr>
        <w:trPr/>
        <w:tc>
          <w:tcPr>
            <w:shd w:val="clear" w:fill="auto" w:color="auto"/>
            <w:tcW w:w="1140" w:type="pct"/>
            <w:textDirection w:val="lrTb"/>
            <w:noWrap w:val="false"/>
          </w:tcPr>
          <w:p>
            <w:pPr>
              <w:pStyle w:val="1005"/>
              <w:ind w:left="57" w:right="57"/>
            </w:pPr>
            <w:r>
              <w:t xml:space="preserve">Орган ФК</w:t>
            </w:r>
            <w:r/>
          </w:p>
        </w:tc>
        <w:tc>
          <w:tcPr>
            <w:shd w:val="clear" w:fill="auto" w:color="auto"/>
            <w:tcW w:w="3860" w:type="pct"/>
            <w:textDirection w:val="lrTb"/>
            <w:noWrap w:val="false"/>
          </w:tcPr>
          <w:p>
            <w:pPr>
              <w:pStyle w:val="1005"/>
              <w:ind w:left="57" w:right="57"/>
            </w:pPr>
            <w:r>
              <w:t xml:space="preserve">Значение поля подтягивается по полю «по КОФК» из справочника органов ФК из поля «Полное наименование». </w:t>
            </w:r>
            <w:r/>
          </w:p>
          <w:p>
            <w:pPr>
              <w:pStyle w:val="1005"/>
              <w:ind w:left="57" w:right="57"/>
            </w:pPr>
            <w:r>
              <w:t xml:space="preserve">Может быть изменено пользователем вручную. </w:t>
            </w:r>
            <w:r/>
          </w:p>
        </w:tc>
      </w:tr>
      <w:tr>
        <w:trPr/>
        <w:tc>
          <w:tcPr>
            <w:shd w:val="clear" w:fill="auto" w:color="auto"/>
            <w:tcW w:w="1140" w:type="pct"/>
            <w:textDirection w:val="lrTb"/>
            <w:noWrap w:val="false"/>
          </w:tcPr>
          <w:p>
            <w:pPr>
              <w:pStyle w:val="1005"/>
              <w:ind w:left="57" w:right="57"/>
            </w:pPr>
            <w:r>
              <w:t xml:space="preserve">Пред. </w:t>
            </w:r>
            <w:r>
              <w:t xml:space="preserve">Д</w:t>
            </w:r>
            <w:r>
              <w:t xml:space="preserve">ата</w:t>
            </w:r>
            <w:r/>
          </w:p>
        </w:tc>
        <w:tc>
          <w:tcPr>
            <w:shd w:val="clear" w:fill="auto" w:color="auto"/>
            <w:tcW w:w="3860" w:type="pct"/>
            <w:textDirection w:val="lrTb"/>
            <w:noWrap w:val="false"/>
          </w:tcPr>
          <w:p>
            <w:pPr>
              <w:pStyle w:val="1005"/>
              <w:ind w:left="57" w:right="57"/>
            </w:pPr>
            <w:r>
              <w:t xml:space="preserve">Предельная дата оплаты.</w:t>
            </w:r>
            <w:r/>
          </w:p>
          <w:p>
            <w:pPr>
              <w:pStyle w:val="1005"/>
              <w:ind w:left="57" w:right="57"/>
            </w:pPr>
            <w:r>
              <w:t xml:space="preserve">Может быть изменена пользователем вручную, либо выбором из системного календаря.</w:t>
            </w:r>
            <w:r/>
          </w:p>
        </w:tc>
      </w:tr>
      <w:tr>
        <w:trPr/>
        <w:tc>
          <w:tcPr>
            <w:shd w:val="clear" w:fill="auto" w:color="auto"/>
            <w:tcW w:w="1140" w:type="pct"/>
            <w:textDirection w:val="lrTb"/>
            <w:noWrap w:val="false"/>
          </w:tcPr>
          <w:p>
            <w:pPr>
              <w:pStyle w:val="1005"/>
              <w:ind w:left="57" w:right="57"/>
            </w:pPr>
            <w:r>
              <w:t xml:space="preserve">Учетный номер обяз</w:t>
            </w:r>
            <w:r>
              <w:t xml:space="preserve">а</w:t>
            </w:r>
            <w:r>
              <w:t xml:space="preserve">тельства</w:t>
            </w:r>
            <w:r/>
          </w:p>
        </w:tc>
        <w:tc>
          <w:tcPr>
            <w:shd w:val="clear" w:fill="auto" w:color="auto"/>
            <w:tcW w:w="3860" w:type="pct"/>
            <w:textDirection w:val="lrTb"/>
            <w:noWrap w:val="false"/>
          </w:tcPr>
          <w:p>
            <w:pPr>
              <w:pStyle w:val="1005"/>
              <w:ind w:left="57" w:right="57"/>
            </w:pPr>
            <w:r>
              <w:t xml:space="preserve">Значение может вводиться вручную или заполнятся автоматически при в</w:t>
            </w:r>
            <w:r>
              <w:t xml:space="preserve">ы</w:t>
            </w:r>
            <w:r>
              <w:t xml:space="preserve">боре родительского документа из списка документов «Бюджетное обязател</w:t>
            </w:r>
            <w:r>
              <w:t xml:space="preserve">ь</w:t>
            </w:r>
            <w:r>
              <w:t xml:space="preserve">ство», если расход осуществляется по бюджетному обязательству.</w:t>
            </w:r>
            <w:r/>
          </w:p>
          <w:p>
            <w:pPr>
              <w:pStyle w:val="1005"/>
              <w:ind w:left="57" w:right="57"/>
            </w:pPr>
            <w:r>
              <w:t xml:space="preserve">В список входят документы следующих типов:</w:t>
            </w:r>
            <w:r/>
          </w:p>
          <w:p>
            <w:pPr>
              <w:pStyle w:val="1007"/>
            </w:pPr>
            <w:r>
              <w:t xml:space="preserve">«Сведения об обязательстве»; </w:t>
            </w:r>
            <w:r/>
          </w:p>
          <w:p>
            <w:pPr>
              <w:pStyle w:val="1007"/>
            </w:pPr>
            <w:r>
              <w:t xml:space="preserve">«Заявка на внесение изменений в обязательство»;</w:t>
            </w:r>
            <w:r/>
          </w:p>
          <w:p>
            <w:pPr>
              <w:pStyle w:val="1007"/>
            </w:pPr>
            <w:r>
              <w:t xml:space="preserve">«Заявка на перерегистрацию бюджетного обязательства». </w:t>
            </w:r>
            <w:r/>
          </w:p>
          <w:p>
            <w:pPr>
              <w:pStyle w:val="1005"/>
              <w:ind w:left="57" w:right="57"/>
            </w:pPr>
            <w:r>
              <w:t xml:space="preserve">Значение передается из </w:t>
            </w:r>
            <w:r>
              <w:t xml:space="preserve">OEBS</w:t>
            </w:r>
            <w:r>
              <w:t xml:space="preserve">.</w:t>
            </w:r>
            <w:r/>
          </w:p>
        </w:tc>
      </w:tr>
      <w:tr>
        <w:trPr/>
        <w:tc>
          <w:tcPr>
            <w:shd w:val="clear" w:fill="auto" w:color="auto"/>
            <w:tcW w:w="1140" w:type="pct"/>
            <w:textDirection w:val="lrTb"/>
            <w:noWrap w:val="false"/>
          </w:tcPr>
          <w:p>
            <w:pPr>
              <w:pStyle w:val="1005"/>
              <w:ind w:left="57" w:right="57"/>
            </w:pPr>
            <w:r>
              <w:t xml:space="preserve">ИГК</w:t>
            </w:r>
            <w:r/>
          </w:p>
        </w:tc>
        <w:tc>
          <w:tcPr>
            <w:shd w:val="clear" w:fill="auto" w:color="auto"/>
            <w:tcW w:w="3860" w:type="pct"/>
            <w:textDirection w:val="lrTb"/>
            <w:noWrap w:val="false"/>
          </w:tcPr>
          <w:p>
            <w:pPr>
              <w:pStyle w:val="1005"/>
              <w:ind w:left="57" w:right="57"/>
            </w:pPr>
            <w:r>
              <w:t xml:space="preserve">Значение вводится вручную или из OEBS.</w:t>
            </w:r>
            <w:r/>
          </w:p>
          <w:p>
            <w:pPr>
              <w:pStyle w:val="1005"/>
              <w:ind w:left="57" w:right="57"/>
            </w:pPr>
            <w:r>
              <w:t xml:space="preserve">На АРМ ФО недоступно для ручного ввода.</w:t>
            </w:r>
            <w:r/>
          </w:p>
        </w:tc>
      </w:tr>
      <w:tr>
        <w:trPr/>
        <w:tc>
          <w:tcPr>
            <w:gridSpan w:val="2"/>
            <w:shd w:val="clear" w:fill="auto" w:color="auto"/>
            <w:tcW w:w="5000" w:type="pct"/>
            <w:textDirection w:val="lrTb"/>
            <w:noWrap w:val="false"/>
          </w:tcPr>
          <w:p>
            <w:pPr>
              <w:pStyle w:val="1005"/>
              <w:ind w:left="57" w:right="57"/>
            </w:pPr>
            <w:r>
              <w:t xml:space="preserve">Закладка «Раздел 1,2 (1)», г</w:t>
            </w:r>
            <w:r>
              <w:t xml:space="preserve">руппа полей «Раздел 1. Реквизиты чека»</w:t>
            </w:r>
            <w:r/>
          </w:p>
        </w:tc>
      </w:tr>
      <w:tr>
        <w:trPr/>
        <w:tc>
          <w:tcPr>
            <w:shd w:val="clear" w:fill="auto" w:color="auto"/>
            <w:tcW w:w="1140" w:type="pct"/>
            <w:textDirection w:val="lrTb"/>
            <w:noWrap w:val="false"/>
          </w:tcPr>
          <w:p>
            <w:pPr>
              <w:pStyle w:val="1005"/>
              <w:ind w:left="57" w:right="57"/>
            </w:pPr>
            <w:r>
              <w:t xml:space="preserve">№</w:t>
            </w:r>
            <w:r/>
          </w:p>
        </w:tc>
        <w:tc>
          <w:tcPr>
            <w:shd w:val="clear" w:fill="auto" w:color="auto"/>
            <w:tcW w:w="3860" w:type="pct"/>
            <w:textDirection w:val="lrTb"/>
            <w:noWrap w:val="false"/>
          </w:tcPr>
          <w:p>
            <w:pPr>
              <w:pStyle w:val="1005"/>
              <w:ind w:left="57" w:right="57"/>
            </w:pPr>
            <w:r>
              <w:t xml:space="preserve">Номер данных о чеке.</w:t>
            </w:r>
            <w:r/>
          </w:p>
          <w:p>
            <w:pPr>
              <w:pStyle w:val="1005"/>
              <w:ind w:left="57" w:right="57"/>
            </w:pPr>
            <w:r>
              <w:t xml:space="preserve">Заполняется автоматически.</w:t>
            </w:r>
            <w:r/>
          </w:p>
        </w:tc>
      </w:tr>
      <w:tr>
        <w:trPr/>
        <w:tc>
          <w:tcPr>
            <w:shd w:val="clear" w:fill="auto" w:color="auto"/>
            <w:tcW w:w="1140" w:type="pct"/>
            <w:textDirection w:val="lrTb"/>
            <w:noWrap w:val="false"/>
          </w:tcPr>
          <w:p>
            <w:pPr>
              <w:pStyle w:val="1005"/>
              <w:ind w:left="57" w:right="57"/>
            </w:pPr>
            <w:r>
              <w:t xml:space="preserve">Сумма</w:t>
            </w:r>
            <w:r/>
          </w:p>
        </w:tc>
        <w:tc>
          <w:tcPr>
            <w:shd w:val="clear" w:fill="auto" w:color="auto"/>
            <w:tcW w:w="3860" w:type="pct"/>
            <w:textDirection w:val="lrTb"/>
            <w:noWrap w:val="false"/>
          </w:tcPr>
          <w:p>
            <w:pPr>
              <w:pStyle w:val="1005"/>
              <w:ind w:left="57" w:right="57"/>
            </w:pPr>
            <w:r>
              <w:t xml:space="preserve">Значение вводится вручную.</w:t>
            </w:r>
            <w:r/>
          </w:p>
        </w:tc>
      </w:tr>
      <w:tr>
        <w:trPr/>
        <w:tc>
          <w:tcPr>
            <w:shd w:val="clear" w:fill="auto" w:color="auto"/>
            <w:tcW w:w="1140" w:type="pct"/>
            <w:textDirection w:val="lrTb"/>
            <w:noWrap w:val="false"/>
          </w:tcPr>
          <w:p>
            <w:pPr>
              <w:pStyle w:val="1005"/>
              <w:ind w:left="57" w:right="57"/>
            </w:pPr>
            <w:r>
              <w:t xml:space="preserve">Номер чека</w:t>
            </w:r>
            <w:r/>
          </w:p>
        </w:tc>
        <w:tc>
          <w:tcPr>
            <w:shd w:val="clear" w:fill="auto" w:color="auto"/>
            <w:tcW w:w="3860" w:type="pct"/>
            <w:textDirection w:val="lrTb"/>
            <w:noWrap w:val="false"/>
          </w:tcPr>
          <w:p>
            <w:pPr>
              <w:pStyle w:val="1005"/>
              <w:ind w:left="57" w:right="57"/>
            </w:pPr>
            <w:r>
              <w:t xml:space="preserve">Значение вводится вручную.</w:t>
            </w:r>
            <w:r/>
          </w:p>
        </w:tc>
      </w:tr>
      <w:tr>
        <w:trPr/>
        <w:tc>
          <w:tcPr>
            <w:shd w:val="clear" w:fill="auto" w:color="auto"/>
            <w:tcW w:w="1140" w:type="pct"/>
            <w:textDirection w:val="lrTb"/>
            <w:noWrap w:val="false"/>
          </w:tcPr>
          <w:p>
            <w:pPr>
              <w:pStyle w:val="1005"/>
              <w:ind w:left="57" w:right="57"/>
            </w:pPr>
            <w:r>
              <w:t xml:space="preserve">Серия чека</w:t>
            </w:r>
            <w:r/>
          </w:p>
        </w:tc>
        <w:tc>
          <w:tcPr>
            <w:shd w:val="clear" w:fill="auto" w:color="auto"/>
            <w:tcW w:w="3860" w:type="pct"/>
            <w:textDirection w:val="lrTb"/>
            <w:noWrap w:val="false"/>
          </w:tcPr>
          <w:p>
            <w:pPr>
              <w:pStyle w:val="1005"/>
              <w:ind w:left="57" w:right="57"/>
            </w:pPr>
            <w:r>
              <w:t xml:space="preserve">Значение вводится вручную.</w:t>
            </w:r>
            <w:r/>
          </w:p>
        </w:tc>
      </w:tr>
      <w:tr>
        <w:trPr/>
        <w:tc>
          <w:tcPr>
            <w:shd w:val="clear" w:fill="auto" w:color="auto"/>
            <w:tcW w:w="1140" w:type="pct"/>
            <w:textDirection w:val="lrTb"/>
            <w:noWrap w:val="false"/>
          </w:tcPr>
          <w:p>
            <w:pPr>
              <w:pStyle w:val="1005"/>
              <w:ind w:left="57" w:right="57"/>
            </w:pPr>
            <w:r>
              <w:t xml:space="preserve">Дата чека</w:t>
            </w:r>
            <w:r/>
          </w:p>
        </w:tc>
        <w:tc>
          <w:tcPr>
            <w:shd w:val="clear" w:fill="auto" w:color="auto"/>
            <w:tcW w:w="3860" w:type="pct"/>
            <w:textDirection w:val="lrTb"/>
            <w:noWrap w:val="false"/>
          </w:tcPr>
          <w:p>
            <w:pPr>
              <w:pStyle w:val="1005"/>
              <w:ind w:left="57" w:right="57"/>
            </w:pPr>
            <w:r>
              <w:t xml:space="preserve">Значение вводится вручную, либо выбирается из системного календаря.</w:t>
            </w:r>
            <w:r/>
          </w:p>
        </w:tc>
      </w:tr>
      <w:tr>
        <w:trPr/>
        <w:tc>
          <w:tcPr>
            <w:shd w:val="clear" w:fill="auto" w:color="auto"/>
            <w:tcW w:w="1140" w:type="pct"/>
            <w:textDirection w:val="lrTb"/>
            <w:noWrap w:val="false"/>
          </w:tcPr>
          <w:p>
            <w:pPr>
              <w:pStyle w:val="1005"/>
              <w:ind w:left="57" w:right="57"/>
            </w:pPr>
            <w:r>
              <w:t xml:space="preserve">Срок действия чека</w:t>
            </w:r>
            <w:r/>
          </w:p>
        </w:tc>
        <w:tc>
          <w:tcPr>
            <w:shd w:val="clear" w:fill="auto" w:color="auto"/>
            <w:tcW w:w="3860" w:type="pct"/>
            <w:textDirection w:val="lrTb"/>
            <w:noWrap w:val="false"/>
          </w:tcPr>
          <w:p>
            <w:pPr>
              <w:pStyle w:val="1005"/>
              <w:ind w:left="57" w:right="57"/>
            </w:pPr>
            <w:r>
              <w:t xml:space="preserve">Значение вводится вручную, либо выбирается из системного календаря.</w:t>
            </w:r>
            <w:r/>
          </w:p>
        </w:tc>
      </w:tr>
      <w:tr>
        <w:trPr/>
        <w:tc>
          <w:tcPr>
            <w:shd w:val="clear" w:fill="auto" w:color="auto"/>
            <w:tcW w:w="1140" w:type="pct"/>
            <w:textDirection w:val="lrTb"/>
            <w:noWrap w:val="false"/>
          </w:tcPr>
          <w:p>
            <w:pPr>
              <w:pStyle w:val="1005"/>
              <w:ind w:left="57" w:right="57"/>
            </w:pPr>
            <w:r>
              <w:t xml:space="preserve">Символ кассового пл</w:t>
            </w:r>
            <w:r>
              <w:t xml:space="preserve">а</w:t>
            </w:r>
            <w:r>
              <w:t xml:space="preserve">на</w:t>
            </w:r>
            <w:r/>
          </w:p>
        </w:tc>
        <w:tc>
          <w:tcPr>
            <w:shd w:val="clear" w:fill="auto" w:color="auto"/>
            <w:tcW w:w="3860" w:type="pct"/>
            <w:textDirection w:val="lrTb"/>
            <w:noWrap w:val="false"/>
          </w:tcPr>
          <w:p>
            <w:pPr>
              <w:pStyle w:val="1005"/>
              <w:ind w:left="57" w:right="57"/>
            </w:pPr>
            <w:r>
              <w:t xml:space="preserve">Значение вводится вручную или выбирается из справочника символов касс</w:t>
            </w:r>
            <w:r>
              <w:t xml:space="preserve">о</w:t>
            </w:r>
            <w:r>
              <w:t xml:space="preserve">вого плана.</w:t>
            </w:r>
            <w:r/>
          </w:p>
        </w:tc>
      </w:tr>
      <w:tr>
        <w:trPr/>
        <w:tc>
          <w:tcPr>
            <w:shd w:val="clear" w:fill="auto" w:color="auto"/>
            <w:tcW w:w="1140" w:type="pct"/>
            <w:textDirection w:val="lrTb"/>
            <w:noWrap w:val="false"/>
          </w:tcPr>
          <w:p>
            <w:pPr>
              <w:pStyle w:val="1005"/>
              <w:ind w:left="57" w:right="57"/>
            </w:pPr>
            <w:r>
              <w:t xml:space="preserve">ИТОГО</w:t>
            </w:r>
            <w:r/>
          </w:p>
        </w:tc>
        <w:tc>
          <w:tcPr>
            <w:shd w:val="clear" w:fill="auto" w:color="auto"/>
            <w:tcW w:w="3860" w:type="pct"/>
            <w:textDirection w:val="lrTb"/>
            <w:noWrap w:val="false"/>
          </w:tcPr>
          <w:p>
            <w:pPr>
              <w:pStyle w:val="1005"/>
              <w:ind w:left="57" w:right="57"/>
            </w:pPr>
            <w:r>
              <w:t xml:space="preserve">Рассчитывается автоматически как сумма по всем строкам Раздела 1 «Рекв</w:t>
            </w:r>
            <w:r>
              <w:t xml:space="preserve">и</w:t>
            </w:r>
            <w:r>
              <w:t xml:space="preserve">зиты чека».</w:t>
            </w:r>
            <w:r/>
          </w:p>
        </w:tc>
      </w:tr>
      <w:tr>
        <w:trPr/>
        <w:tc>
          <w:tcPr>
            <w:gridSpan w:val="2"/>
            <w:shd w:val="clear" w:fill="auto" w:color="auto"/>
            <w:tcW w:w="5000" w:type="pct"/>
            <w:textDirection w:val="lrTb"/>
            <w:noWrap w:val="false"/>
          </w:tcPr>
          <w:p>
            <w:pPr>
              <w:pStyle w:val="1005"/>
              <w:ind w:left="57" w:right="57"/>
            </w:pPr>
            <w:r>
              <w:t xml:space="preserve">Закладка «Раздел 1,2 (1)</w:t>
            </w:r>
            <w:r>
              <w:t xml:space="preserve">», группа полей «</w:t>
            </w:r>
            <w:r>
              <w:t xml:space="preserve">Раздел 2. Расшифровка заявки на получение наличных д</w:t>
            </w:r>
            <w:r>
              <w:t xml:space="preserve">е</w:t>
            </w:r>
            <w:r>
              <w:t xml:space="preserve">нег»</w:t>
            </w:r>
            <w:r/>
          </w:p>
        </w:tc>
      </w:tr>
      <w:tr>
        <w:trPr/>
        <w:tc>
          <w:tcPr>
            <w:shd w:val="clear" w:fill="auto" w:color="auto"/>
            <w:tcW w:w="1140" w:type="pct"/>
            <w:textDirection w:val="lrTb"/>
            <w:noWrap w:val="false"/>
          </w:tcPr>
          <w:p>
            <w:pPr>
              <w:pStyle w:val="1005"/>
              <w:ind w:left="57" w:right="57"/>
            </w:pPr>
            <w:r>
              <w:t xml:space="preserve">№</w:t>
            </w:r>
            <w:r/>
          </w:p>
        </w:tc>
        <w:tc>
          <w:tcPr>
            <w:shd w:val="clear" w:fill="auto" w:color="auto"/>
            <w:tcW w:w="3860" w:type="pct"/>
            <w:textDirection w:val="lrTb"/>
            <w:noWrap w:val="false"/>
          </w:tcPr>
          <w:p>
            <w:pPr>
              <w:pStyle w:val="1005"/>
              <w:ind w:left="57" w:right="57"/>
            </w:pPr>
            <w:r>
              <w:t xml:space="preserve">Номер позиции.</w:t>
            </w:r>
            <w:r/>
          </w:p>
          <w:p>
            <w:pPr>
              <w:pStyle w:val="1005"/>
              <w:ind w:left="57" w:right="57"/>
            </w:pPr>
            <w:r>
              <w:t xml:space="preserve">Заполняется автоматически.</w:t>
            </w:r>
            <w:r/>
          </w:p>
        </w:tc>
      </w:tr>
      <w:tr>
        <w:trPr/>
        <w:tc>
          <w:tcPr>
            <w:shd w:val="clear" w:fill="auto" w:color="auto"/>
            <w:tcW w:w="1140" w:type="pct"/>
            <w:textDirection w:val="lrTb"/>
            <w:noWrap w:val="false"/>
          </w:tcPr>
          <w:p>
            <w:pPr>
              <w:pStyle w:val="1005"/>
              <w:ind w:left="57" w:right="57"/>
            </w:pPr>
            <w:r>
              <w:t xml:space="preserve">Вид средств</w:t>
            </w:r>
            <w:r/>
          </w:p>
        </w:tc>
        <w:tc>
          <w:tcPr>
            <w:shd w:val="clear" w:fill="auto" w:color="auto"/>
            <w:tcW w:w="3860" w:type="pct"/>
            <w:textDirection w:val="lrTb"/>
            <w:noWrap w:val="false"/>
          </w:tcPr>
          <w:p>
            <w:pPr>
              <w:pStyle w:val="1005"/>
              <w:ind w:left="57" w:right="57"/>
            </w:pPr>
            <w:r>
              <w:t xml:space="preserve">Вид средств (код).</w:t>
            </w:r>
            <w:r/>
          </w:p>
          <w:p>
            <w:pPr>
              <w:pStyle w:val="1005"/>
              <w:ind w:left="57" w:right="57"/>
            </w:pPr>
            <w:r>
              <w:t xml:space="preserve">По умолчанию указывается значение – «10».</w:t>
            </w:r>
            <w:r/>
          </w:p>
          <w:p>
            <w:pPr>
              <w:pStyle w:val="1005"/>
              <w:ind w:left="57" w:right="57"/>
            </w:pPr>
            <w:r>
              <w:t xml:space="preserve">Значение заполняется автоматически из родительского документа. Может быть изменено пользователем вручную или выбором из справочника «И</w:t>
            </w:r>
            <w:r>
              <w:t xml:space="preserve">с</w:t>
            </w:r>
            <w:r>
              <w:t xml:space="preserve">точники финансирования». </w:t>
            </w:r>
            <w:r/>
          </w:p>
          <w:p>
            <w:pPr>
              <w:pStyle w:val="1005"/>
              <w:ind w:left="57" w:right="57"/>
            </w:pPr>
            <w:r>
              <w:t xml:space="preserve">Список значений, доступных для выбора пользователем ограничен следу</w:t>
            </w:r>
            <w:r>
              <w:t xml:space="preserve">ю</w:t>
            </w:r>
            <w:r>
              <w:t xml:space="preserve">щими кодами: 10, 20, 14, 30, 40, 70, 80, 90.</w:t>
            </w:r>
            <w:r/>
          </w:p>
        </w:tc>
      </w:tr>
      <w:tr>
        <w:trPr/>
        <w:tc>
          <w:tcPr>
            <w:shd w:val="clear" w:fill="auto" w:color="auto"/>
            <w:tcW w:w="1140" w:type="pct"/>
            <w:textDirection w:val="lrTb"/>
            <w:noWrap w:val="false"/>
          </w:tcPr>
          <w:p>
            <w:pPr>
              <w:pStyle w:val="1005"/>
              <w:ind w:left="57" w:right="57"/>
            </w:pPr>
            <w:r>
              <w:t xml:space="preserve">Наименование вида средств</w:t>
            </w:r>
            <w:r/>
          </w:p>
        </w:tc>
        <w:tc>
          <w:tcPr>
            <w:shd w:val="clear" w:fill="auto" w:color="auto"/>
            <w:tcW w:w="3860" w:type="pct"/>
            <w:textDirection w:val="lrTb"/>
            <w:noWrap w:val="false"/>
          </w:tcPr>
          <w:p>
            <w:pPr>
              <w:pStyle w:val="1005"/>
              <w:ind w:left="57" w:right="57"/>
            </w:pPr>
            <w:r>
              <w:t xml:space="preserve">Подтягивается автоматически по коду из справочника «Источники финанс</w:t>
            </w:r>
            <w:r>
              <w:t xml:space="preserve">и</w:t>
            </w:r>
            <w:r>
              <w:t xml:space="preserve">рования».</w:t>
            </w:r>
            <w:r/>
          </w:p>
          <w:p>
            <w:pPr>
              <w:pStyle w:val="1005"/>
              <w:ind w:left="57" w:right="57"/>
            </w:pPr>
            <w:r>
              <w:t xml:space="preserve">Может быть изменено пользователем вручную.</w:t>
            </w:r>
            <w:r/>
          </w:p>
        </w:tc>
      </w:tr>
      <w:tr>
        <w:trPr/>
        <w:tc>
          <w:tcPr>
            <w:shd w:val="clear" w:fill="auto" w:color="auto"/>
            <w:tcW w:w="1140" w:type="pct"/>
            <w:textDirection w:val="lrTb"/>
            <w:noWrap w:val="false"/>
          </w:tcPr>
          <w:p>
            <w:pPr>
              <w:pStyle w:val="1005"/>
              <w:ind w:left="57" w:right="57"/>
            </w:pPr>
            <w:r>
              <w:t xml:space="preserve">Код по БК </w:t>
            </w:r>
            <w:r/>
          </w:p>
        </w:tc>
        <w:tc>
          <w:tcPr>
            <w:shd w:val="clear" w:fill="auto" w:color="auto"/>
            <w:tcW w:w="3860" w:type="pct"/>
            <w:textDirection w:val="lrTb"/>
            <w:noWrap w:val="false"/>
          </w:tcPr>
          <w:p>
            <w:pPr>
              <w:pStyle w:val="1005"/>
              <w:ind w:left="57" w:right="57"/>
            </w:pPr>
            <w:r>
              <w:t xml:space="preserve">Значение:</w:t>
            </w:r>
            <w:r/>
          </w:p>
          <w:p>
            <w:pPr>
              <w:pStyle w:val="1007"/>
            </w:pPr>
            <w:r>
              <w:t xml:space="preserve">вводится вручную или выбирается из справочника КБК; </w:t>
            </w:r>
            <w:r/>
          </w:p>
          <w:p>
            <w:pPr>
              <w:pStyle w:val="1007"/>
            </w:pPr>
            <w:r>
              <w:t xml:space="preserve">генерируется автоматически из заполненных значений по сегментам по следующим алгоритмам: Код главы + ФКР</w:t>
            </w:r>
            <w:r>
              <w:t xml:space="preserve"> </w:t>
            </w:r>
            <w:r>
              <w:t xml:space="preserve">+</w:t>
            </w:r>
            <w:r>
              <w:t xml:space="preserve"> </w:t>
            </w:r>
            <w:r>
              <w:t xml:space="preserve">КЦСР</w:t>
            </w:r>
            <w:r>
              <w:t xml:space="preserve"> </w:t>
            </w:r>
            <w:r>
              <w:t xml:space="preserve">+</w:t>
            </w:r>
            <w:r>
              <w:t xml:space="preserve"> </w:t>
            </w:r>
            <w:r>
              <w:t xml:space="preserve">КВР</w:t>
            </w:r>
            <w:r>
              <w:t xml:space="preserve">/</w:t>
            </w:r>
            <w:r>
              <w:t xml:space="preserve">поступлений/источников</w:t>
            </w:r>
            <w:r>
              <w:t xml:space="preserve">.</w:t>
            </w:r>
            <w:r/>
          </w:p>
          <w:p>
            <w:pPr>
              <w:pStyle w:val="1005"/>
              <w:ind w:left="57" w:right="57"/>
            </w:pPr>
            <w:r>
              <w:t xml:space="preserve">При выборе пользователем родительского документа, значение подтягивае</w:t>
            </w:r>
            <w:r>
              <w:t xml:space="preserve">т</w:t>
            </w:r>
            <w:r>
              <w:t xml:space="preserve">ся автоматически из указанного бюджетного обязательства.</w:t>
            </w:r>
            <w:r/>
          </w:p>
        </w:tc>
      </w:tr>
      <w:tr>
        <w:trPr/>
        <w:tc>
          <w:tcPr>
            <w:shd w:val="clear" w:fill="auto" w:color="auto"/>
            <w:tcW w:w="1140" w:type="pct"/>
            <w:textDirection w:val="lrTb"/>
            <w:noWrap w:val="false"/>
          </w:tcPr>
          <w:p>
            <w:pPr>
              <w:pStyle w:val="1005"/>
              <w:ind w:left="57" w:right="57"/>
            </w:pPr>
            <w:r>
              <w:t xml:space="preserve">Сумма </w:t>
            </w:r>
            <w:r/>
          </w:p>
        </w:tc>
        <w:tc>
          <w:tcPr>
            <w:shd w:val="clear" w:fill="auto" w:color="auto"/>
            <w:tcW w:w="3860" w:type="pct"/>
            <w:textDirection w:val="lrTb"/>
            <w:noWrap w:val="false"/>
          </w:tcPr>
          <w:p>
            <w:pPr>
              <w:pStyle w:val="1005"/>
              <w:ind w:left="57" w:right="57"/>
            </w:pPr>
            <w:r>
              <w:t xml:space="preserve">Значение вводится вручную.</w:t>
            </w:r>
            <w:r/>
          </w:p>
        </w:tc>
      </w:tr>
      <w:tr>
        <w:trPr/>
        <w:tc>
          <w:tcPr>
            <w:shd w:val="clear" w:fill="auto" w:color="auto"/>
            <w:tcW w:w="1140" w:type="pct"/>
            <w:textDirection w:val="lrTb"/>
            <w:noWrap w:val="false"/>
          </w:tcPr>
          <w:p>
            <w:pPr>
              <w:pStyle w:val="1005"/>
              <w:ind w:left="57" w:right="57"/>
            </w:pPr>
            <w:r>
              <w:t xml:space="preserve">Назначение платежа</w:t>
            </w:r>
            <w:r/>
          </w:p>
        </w:tc>
        <w:tc>
          <w:tcPr>
            <w:shd w:val="clear" w:fill="auto" w:color="auto"/>
            <w:tcW w:w="3860" w:type="pct"/>
            <w:textDirection w:val="lrTb"/>
            <w:noWrap w:val="false"/>
          </w:tcPr>
          <w:p>
            <w:pPr>
              <w:pStyle w:val="1005"/>
              <w:ind w:left="57" w:right="57"/>
            </w:pPr>
            <w:r>
              <w:t xml:space="preserve">Значение вводится вручную или подтягива</w:t>
            </w:r>
            <w:r>
              <w:t xml:space="preserve">е</w:t>
            </w:r>
            <w:r>
              <w:t xml:space="preserve">тся автоматически при указании пользователем родительского документа (поле остается доступным для р</w:t>
            </w:r>
            <w:r>
              <w:t xml:space="preserve">е</w:t>
            </w:r>
            <w:r>
              <w:t xml:space="preserve">дактирования пользователю). При этом пользователь может удалить часть строк, подтянутых автоматически при выборе родительского документа.</w:t>
            </w:r>
            <w:r/>
          </w:p>
        </w:tc>
      </w:tr>
      <w:tr>
        <w:trPr/>
        <w:tc>
          <w:tcPr>
            <w:shd w:val="clear" w:fill="auto" w:color="auto"/>
            <w:tcW w:w="1140" w:type="pct"/>
            <w:textDirection w:val="lrTb"/>
            <w:noWrap w:val="false"/>
          </w:tcPr>
          <w:p>
            <w:pPr>
              <w:pStyle w:val="1005"/>
              <w:ind w:left="57" w:right="57"/>
            </w:pPr>
            <w:r>
              <w:t xml:space="preserve">КЦ (аналитический код)</w:t>
            </w:r>
            <w:r/>
          </w:p>
        </w:tc>
        <w:tc>
          <w:tcPr>
            <w:shd w:val="clear" w:fill="auto" w:color="auto"/>
            <w:tcW w:w="3860" w:type="pct"/>
            <w:textDirection w:val="lrTb"/>
            <w:noWrap w:val="false"/>
          </w:tcPr>
          <w:p>
            <w:pPr>
              <w:pStyle w:val="1005"/>
              <w:ind w:left="57" w:right="57"/>
            </w:pPr>
            <w:r>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r/>
          </w:p>
          <w:p>
            <w:pPr>
              <w:pStyle w:val="1005"/>
              <w:ind w:left="57" w:right="57"/>
            </w:pPr>
            <w:r>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r/>
          </w:p>
          <w:p>
            <w:pPr>
              <w:pStyle w:val="1005"/>
              <w:ind w:left="57" w:right="57"/>
            </w:pPr>
            <w:r>
              <w:t xml:space="preserve">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r/>
          </w:p>
          <w:p>
            <w:pPr>
              <w:pStyle w:val="1005"/>
              <w:ind w:left="57" w:right="57"/>
            </w:pPr>
            <w:r>
              <w:t xml:space="preserve">При указании в документе 41 типа ЛС, и если есть на л/с допустимый показатель «СМТ_АВ», то значение вводится</w:t>
            </w:r>
            <w:r>
              <w:t xml:space="preserve"> </w:t>
            </w:r>
            <w:r>
              <w:t xml:space="preserve">вручную или выбирается из справочника «Перечень направлений расходования ЦС».</w:t>
            </w:r>
            <w:r/>
          </w:p>
        </w:tc>
      </w:tr>
      <w:tr>
        <w:trPr/>
        <w:tc>
          <w:tcPr>
            <w:shd w:val="clear" w:fill="auto" w:color="auto"/>
            <w:tcW w:w="1140" w:type="pct"/>
            <w:textDirection w:val="lrTb"/>
            <w:noWrap w:val="false"/>
          </w:tcPr>
          <w:p>
            <w:pPr>
              <w:pStyle w:val="1005"/>
              <w:ind w:left="57" w:right="57"/>
            </w:pPr>
            <w:r>
              <w:t xml:space="preserve">Примечание</w:t>
            </w:r>
            <w:r/>
          </w:p>
        </w:tc>
        <w:tc>
          <w:tcPr>
            <w:shd w:val="clear" w:fill="auto" w:color="auto"/>
            <w:tcW w:w="3860" w:type="pct"/>
            <w:textDirection w:val="lrTb"/>
            <w:noWrap w:val="false"/>
          </w:tcPr>
          <w:p>
            <w:pPr>
              <w:pStyle w:val="1005"/>
              <w:ind w:left="57" w:right="57"/>
            </w:pPr>
            <w:r>
              <w:t xml:space="preserve">Значение вводится вручную или подтягиваться автоматически при указании пользователем родительского документа (поле остается доступным для р</w:t>
            </w:r>
            <w:r>
              <w:t xml:space="preserve">е</w:t>
            </w:r>
            <w:r>
              <w:t xml:space="preserve">дактирования пользователю). При этом пользователь может удалить часть строк, подтянутых автоматически при </w:t>
            </w:r>
            <w:r>
              <w:t xml:space="preserve">выборе родительского документа </w:t>
            </w:r>
            <w:r>
              <w:t xml:space="preserve">(во вложенной таблице расшифровки).</w:t>
            </w:r>
            <w:r/>
          </w:p>
          <w:p>
            <w:pPr>
              <w:pStyle w:val="1005"/>
              <w:ind w:left="57" w:right="57"/>
            </w:pPr>
            <w:r>
              <w:t xml:space="preserve">А при отображении на визуальной форме в Разделе 2 данное поле недосту</w:t>
            </w:r>
            <w:r>
              <w:t xml:space="preserve">п</w:t>
            </w:r>
            <w:r>
              <w:t xml:space="preserve">но для редактирования</w:t>
            </w:r>
            <w:r>
              <w:t xml:space="preserve">.</w:t>
            </w:r>
            <w:r/>
          </w:p>
          <w:p>
            <w:pPr>
              <w:pStyle w:val="1005"/>
              <w:ind w:left="57" w:right="57"/>
            </w:pPr>
            <w:r>
              <w:t xml:space="preserve">При установке курсора на соответствующую строку расшифровки отражае</w:t>
            </w:r>
            <w:r>
              <w:t xml:space="preserve">т</w:t>
            </w:r>
            <w:r>
              <w:t xml:space="preserve">ся значение, введенное в поле «Примечание» для данной строки.</w:t>
            </w:r>
            <w:r/>
          </w:p>
        </w:tc>
      </w:tr>
    </w:tbl>
    <w:p>
      <w:pPr>
        <w:pStyle w:val="994"/>
      </w:pPr>
      <w:r>
        <w:t xml:space="preserve">В табличном блоке «Раздел 1. Реквизиты чека» закладки «Раздел 1,2 (1)» содержится список чеков в разрезе символов кассового плана. </w:t>
      </w:r>
      <w:r>
        <w:t xml:space="preserve">Поля табличного блока приведены в таблице</w:t>
      </w:r>
      <w:r>
        <w:t xml:space="preserve"> </w:t>
      </w:r>
      <w:r>
        <w:fldChar w:fldCharType="begin"/>
      </w:r>
      <w:r>
        <w:instrText xml:space="preserve"> REF _Ref317612111 \h  \* MERGEFORMAT </w:instrText>
      </w:r>
      <w:r>
        <w:fldChar w:fldCharType="separate"/>
      </w:r>
      <w:r>
        <w:t xml:space="preserve">11</w:t>
      </w:r>
      <w:r>
        <w:fldChar w:fldCharType="end"/>
      </w:r>
      <w:r>
        <w:t xml:space="preserve">. Для добавления записи в список следует нажать на кнопку </w:t>
      </w:r>
      <w:r>
        <mc:AlternateContent>
          <mc:Choice Requires="wpg">
            <w:drawing>
              <wp:inline xmlns:wp="http://schemas.openxmlformats.org/drawingml/2006/wordprocessingDrawing" distT="0" distB="0" distL="0" distR="0">
                <wp:extent cx="274320" cy="274320"/>
                <wp:effectExtent l="0" t="0" r="0" b="0"/>
                <wp:docPr id="8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 o:spid="_x0000_s85" type="#_x0000_t75" style="mso-wrap-distance-left:0.0pt;mso-wrap-distance-top:0.0pt;mso-wrap-distance-right:0.0pt;mso-wrap-distance-bottom:0.0pt;width:21.6pt;height:21.6pt;" stroked="f">
                <v:path textboxrect="0,0,0,0"/>
                <v:imagedata r:id="rId80" o:title=""/>
              </v:shape>
            </w:pict>
          </mc:Fallback>
        </mc:AlternateContent>
      </w:r>
      <w:r>
        <w:t xml:space="preserve"> </w:t>
      </w:r>
      <w:r>
        <w:t xml:space="preserve">(Добавить новую строку)</w:t>
      </w:r>
      <w:r>
        <w:t xml:space="preserve">. Открое</w:t>
      </w:r>
      <w:r>
        <w:t xml:space="preserve">тся форма «Добавление записи»</w:t>
      </w:r>
      <w:r>
        <w:t xml:space="preserve"> (рис. </w:t>
      </w:r>
      <w:r>
        <w:fldChar w:fldCharType="begin"/>
      </w:r>
      <w:r>
        <w:instrText xml:space="preserve"> REF _Ref230785047 \h  \* MERGEFORMAT </w:instrText>
      </w:r>
      <w:r>
        <w:fldChar w:fldCharType="separate"/>
      </w:r>
      <w:r>
        <w:t xml:space="preserve">28</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2468880"/>
                <wp:effectExtent l="0" t="0" r="0" b="0"/>
                <wp:docPr id="8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93"/>
                        <a:stretch/>
                      </pic:blipFill>
                      <pic:spPr bwMode="auto">
                        <a:xfrm>
                          <a:off x="0" y="0"/>
                          <a:ext cx="6035039" cy="2468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 o:spid="_x0000_s86" type="#_x0000_t75" style="mso-wrap-distance-left:0.0pt;mso-wrap-distance-top:0.0pt;mso-wrap-distance-right:0.0pt;mso-wrap-distance-bottom:0.0pt;width:475.2pt;height:194.4pt;" stroked="f">
                <v:path textboxrect="0,0,0,0"/>
                <v:imagedata r:id="rId93" o:title=""/>
              </v:shape>
            </w:pict>
          </mc:Fallback>
        </mc:AlternateContent>
      </w:r>
      <w:r/>
    </w:p>
    <w:p>
      <w:pPr>
        <w:pStyle w:val="983"/>
      </w:pPr>
      <w:r>
        <w:fldChar w:fldCharType="begin"/>
      </w:r>
      <w:r>
        <w:instrText xml:space="preserve"> SEQ Рисунок \* ARABIC </w:instrText>
      </w:r>
      <w:r>
        <w:fldChar w:fldCharType="separate"/>
      </w:r>
      <w:bookmarkStart w:id="380" w:name="_Ref230785047"/>
      <w:r/>
      <w:bookmarkStart w:id="381" w:name="_Toc88819413"/>
      <w:r>
        <w:t xml:space="preserve">28</w:t>
      </w:r>
      <w:bookmarkEnd w:id="380"/>
      <w:r>
        <w:fldChar w:fldCharType="end"/>
      </w:r>
      <w:r>
        <w:t xml:space="preserve">. </w:t>
      </w:r>
      <w:r>
        <w:t xml:space="preserve">Форма «Добавление записи»</w:t>
      </w:r>
      <w:bookmarkEnd w:id="381"/>
      <w:r/>
      <w:r/>
    </w:p>
    <w:p>
      <w:pPr>
        <w:pStyle w:val="994"/>
      </w:pPr>
      <w:r>
        <w:t xml:space="preserve">На форме «Добавление записи» заполняются следующие поля:</w:t>
      </w:r>
      <w:r/>
    </w:p>
    <w:p>
      <w:pPr>
        <w:pStyle w:val="985"/>
      </w:pPr>
      <w:r>
        <w:t xml:space="preserve">«Номер данных о чеке»</w:t>
      </w:r>
      <w:r>
        <w:t xml:space="preserve"> –</w:t>
      </w:r>
      <w:r>
        <w:t xml:space="preserve"> </w:t>
      </w:r>
      <w:r>
        <w:t xml:space="preserve">поле заполняется автоматически;</w:t>
      </w:r>
      <w:r/>
    </w:p>
    <w:p>
      <w:pPr>
        <w:pStyle w:val="985"/>
      </w:pPr>
      <w:r>
        <w:t xml:space="preserve">«Сумма» –</w:t>
      </w:r>
      <w:r>
        <w:t xml:space="preserve"> сумма по чеку в рублях;</w:t>
      </w:r>
      <w:r/>
    </w:p>
    <w:p>
      <w:pPr>
        <w:pStyle w:val="985"/>
      </w:pPr>
      <w:r>
        <w:t xml:space="preserve">«Номер чека»;</w:t>
      </w:r>
      <w:r/>
    </w:p>
    <w:p>
      <w:pPr>
        <w:pStyle w:val="985"/>
      </w:pPr>
      <w:r>
        <w:t xml:space="preserve">«Серия чека»;</w:t>
      </w:r>
      <w:r/>
    </w:p>
    <w:p>
      <w:pPr>
        <w:pStyle w:val="985"/>
      </w:pPr>
      <w:r>
        <w:t xml:space="preserve">«Дата чека» –</w:t>
      </w:r>
      <w:r>
        <w:t xml:space="preserve"> з</w:t>
      </w:r>
      <w:r>
        <w:t xml:space="preserve">начение даты может быть выбрано</w:t>
      </w:r>
      <w:r>
        <w:t xml:space="preserve"> с помощью системного календ</w:t>
      </w:r>
      <w:r>
        <w:t xml:space="preserve">а</w:t>
      </w:r>
      <w:r>
        <w:t xml:space="preserve">ря;</w:t>
      </w:r>
      <w:r/>
    </w:p>
    <w:p>
      <w:pPr>
        <w:pStyle w:val="985"/>
      </w:pPr>
      <w:r>
        <w:t xml:space="preserve">«Срок действия чека» –</w:t>
      </w:r>
      <w:r>
        <w:t xml:space="preserve"> з</w:t>
      </w:r>
      <w:r>
        <w:t xml:space="preserve">начение даты может быть выбрано</w:t>
      </w:r>
      <w:r>
        <w:t xml:space="preserve"> с помощью системного календаря;</w:t>
      </w:r>
      <w:r/>
    </w:p>
    <w:p>
      <w:pPr>
        <w:pStyle w:val="985"/>
      </w:pPr>
      <w:r>
        <w:t xml:space="preserve">«Символ кассового плана» –</w:t>
      </w:r>
      <w:r>
        <w:t xml:space="preserve"> з</w:t>
      </w:r>
      <w:r>
        <w:t xml:space="preserve">начение водится вручную в соответствии перечнем возможных значений в справочнике символов кассового плана.</w:t>
      </w:r>
      <w:r/>
    </w:p>
    <w:p>
      <w:pPr>
        <w:pStyle w:val="994"/>
      </w:pPr>
      <w:r>
        <w:t xml:space="preserve">Нажать на </w:t>
      </w:r>
      <w:r>
        <w:t xml:space="preserve">кнопку «Ok»</w:t>
      </w:r>
      <w:r>
        <w:t xml:space="preserve"> для сохранения заполненной строки и выхода из формы. В табличном блоке «Раздел 1. Реквизиты чека» появится добавленная строка.</w:t>
      </w:r>
      <w:r/>
    </w:p>
    <w:p>
      <w:pPr>
        <w:pStyle w:val="994"/>
      </w:pPr>
      <w:r>
        <w:t xml:space="preserve">Табличный блок «Раздел 2. Расшифровка заявки на получение наличных денег»</w:t>
      </w:r>
      <w:r>
        <w:t xml:space="preserve"> (см.</w:t>
      </w:r>
      <w:r>
        <w:t xml:space="preserve"> </w:t>
      </w:r>
      <w:r>
        <w:t xml:space="preserve">рис. </w:t>
      </w:r>
      <w:r>
        <w:fldChar w:fldCharType="begin"/>
      </w:r>
      <w:r>
        <w:instrText xml:space="preserve"> REF _Ref225240294 \h  \* MERGEFORMAT </w:instrText>
      </w:r>
      <w:r>
        <w:fldChar w:fldCharType="separate"/>
      </w:r>
      <w:r>
        <w:t xml:space="preserve">27</w:t>
      </w:r>
      <w:r>
        <w:fldChar w:fldCharType="end"/>
      </w:r>
      <w:r>
        <w:t xml:space="preserve">) закладки «Раздел 1,2 (1)» содержит строки расшифровки суммы заявки по КБК. </w:t>
      </w:r>
      <w:r>
        <w:t xml:space="preserve">Поля табличного блока приведены в таблице </w:t>
      </w:r>
      <w:r>
        <w:fldChar w:fldCharType="begin"/>
      </w:r>
      <w:r>
        <w:instrText xml:space="preserve"> REF _Ref317612111 \h  \* MERGEFORMAT </w:instrText>
      </w:r>
      <w:r>
        <w:fldChar w:fldCharType="separate"/>
      </w:r>
      <w:r>
        <w:t xml:space="preserve">11</w:t>
      </w:r>
      <w:r>
        <w:fldChar w:fldCharType="end"/>
      </w:r>
      <w:r>
        <w:t xml:space="preserve">.</w:t>
      </w:r>
      <w:r/>
    </w:p>
    <w:p>
      <w:pPr>
        <w:pStyle w:val="994"/>
      </w:pPr>
      <w:r>
        <w:t xml:space="preserve">Для добавления записи в таблицу следует нажать на кнопку </w:t>
      </w:r>
      <w:r>
        <mc:AlternateContent>
          <mc:Choice Requires="wpg">
            <w:drawing>
              <wp:inline xmlns:wp="http://schemas.openxmlformats.org/drawingml/2006/wordprocessingDrawing" distT="0" distB="0" distL="0" distR="0">
                <wp:extent cx="274320" cy="274320"/>
                <wp:effectExtent l="0" t="0" r="0" b="0"/>
                <wp:docPr id="8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 o:spid="_x0000_s87" type="#_x0000_t75" style="mso-wrap-distance-left:0.0pt;mso-wrap-distance-top:0.0pt;mso-wrap-distance-right:0.0pt;mso-wrap-distance-bottom:0.0pt;width:21.6pt;height:21.6pt;" stroked="f">
                <v:path textboxrect="0,0,0,0"/>
                <v:imagedata r:id="rId80" o:title=""/>
              </v:shape>
            </w:pict>
          </mc:Fallback>
        </mc:AlternateContent>
      </w:r>
      <w:r>
        <w:t xml:space="preserve"> </w:t>
      </w:r>
      <w:r>
        <w:t xml:space="preserve">(Добавить новую строку)</w:t>
      </w:r>
      <w:r>
        <w:t xml:space="preserve">. Открое</w:t>
      </w:r>
      <w:r>
        <w:t xml:space="preserve">тся форма «Добавление записи»</w:t>
      </w:r>
      <w:r>
        <w:t xml:space="preserve"> (рис. </w:t>
      </w:r>
      <w:r>
        <w:fldChar w:fldCharType="begin"/>
      </w:r>
      <w:r>
        <w:instrText xml:space="preserve"> REF _Ref230786165 \h  \* MERGEFORMAT </w:instrText>
      </w:r>
      <w:r>
        <w:fldChar w:fldCharType="separate"/>
      </w:r>
      <w:r>
        <w:t xml:space="preserve">29</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4389120"/>
                <wp:effectExtent l="0" t="0" r="0" b="0"/>
                <wp:docPr id="8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94"/>
                        <a:stretch/>
                      </pic:blipFill>
                      <pic:spPr bwMode="auto">
                        <a:xfrm>
                          <a:off x="0" y="0"/>
                          <a:ext cx="6118860" cy="43891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 o:spid="_x0000_s88" type="#_x0000_t75" style="mso-wrap-distance-left:0.0pt;mso-wrap-distance-top:0.0pt;mso-wrap-distance-right:0.0pt;mso-wrap-distance-bottom:0.0pt;width:481.8pt;height:345.6pt;" stroked="f">
                <v:path textboxrect="0,0,0,0"/>
                <v:imagedata r:id="rId94" o:title=""/>
              </v:shape>
            </w:pict>
          </mc:Fallback>
        </mc:AlternateContent>
      </w:r>
      <w:r/>
    </w:p>
    <w:p>
      <w:pPr>
        <w:pStyle w:val="983"/>
      </w:pPr>
      <w:r>
        <w:fldChar w:fldCharType="begin"/>
      </w:r>
      <w:r>
        <w:instrText xml:space="preserve"> SEQ Рисунок \* ARABIC </w:instrText>
      </w:r>
      <w:r>
        <w:fldChar w:fldCharType="separate"/>
      </w:r>
      <w:bookmarkStart w:id="382" w:name="_Ref230786165"/>
      <w:r/>
      <w:bookmarkStart w:id="383" w:name="_Toc88819414"/>
      <w:r>
        <w:t xml:space="preserve">29</w:t>
      </w:r>
      <w:bookmarkEnd w:id="382"/>
      <w:r>
        <w:fldChar w:fldCharType="end"/>
      </w:r>
      <w:r>
        <w:t xml:space="preserve">. </w:t>
      </w:r>
      <w:r>
        <w:t xml:space="preserve">Форма «Добавление записи»</w:t>
      </w:r>
      <w:bookmarkEnd w:id="383"/>
      <w:r/>
      <w:r/>
    </w:p>
    <w:p>
      <w:pPr>
        <w:pStyle w:val="994"/>
      </w:pPr>
      <w:r>
        <w:t xml:space="preserve">На форме «Добавление записи» заполняются следующие поля:</w:t>
      </w:r>
      <w:r/>
    </w:p>
    <w:p>
      <w:pPr>
        <w:pStyle w:val="985"/>
      </w:pPr>
      <w:r>
        <w:t xml:space="preserve">«Номер позиции». Поле заполняется автоматически.</w:t>
      </w:r>
      <w:r/>
    </w:p>
    <w:p>
      <w:pPr>
        <w:pStyle w:val="985"/>
      </w:pPr>
      <w:r>
        <w:t xml:space="preserve">«Вид средств» – код и наименование вида средств. Значение заполняет</w:t>
      </w:r>
      <w:r>
        <w:t xml:space="preserve">ся автоматически из родительского документа. Может быть изменено пользователем вручную или выбором из справочника «Источники финансирования». Допустимые значения для кода: «10», «11», «20», «14», «30», «40», «70», «80», «90». Значение по умолчанию – «10». </w:t>
      </w:r>
      <w:r/>
    </w:p>
    <w:p>
      <w:pPr>
        <w:pStyle w:val="985"/>
      </w:pPr>
      <w:r>
        <w:t xml:space="preserve">Группа полей «КБК»:</w:t>
      </w:r>
      <w:r/>
    </w:p>
    <w:p>
      <w:pPr>
        <w:pStyle w:val="986"/>
      </w:pPr>
      <w:r>
        <w:t xml:space="preserve">«Код по БК» – код по БК плательщика. Вводится вручную или формируется автоматически по заполненным значениям нижестоящих полей: «Код главы» + «ФКР»+ «КЦСР» + «КВР/КОСГУ». Для АУ поле не заполняется.</w:t>
      </w:r>
      <w:r/>
    </w:p>
    <w:p>
      <w:pPr>
        <w:pStyle w:val="986"/>
      </w:pPr>
      <w:r>
        <w:t xml:space="preserve">«КЦ (аналитический код)» – код цели субсидий/субвенций.</w:t>
      </w:r>
      <w:r/>
    </w:p>
    <w:p>
      <w:pPr>
        <w:pStyle w:val="986"/>
      </w:pPr>
      <w:r>
        <w:t xml:space="preserve">«Код главы» – код ведомственной структуры. Вводится вручную, или выбирается пользователем из справочника «Ведомственная структура», или подтягивается автоматически при указании родительского документа.</w:t>
      </w:r>
      <w:r/>
    </w:p>
    <w:p>
      <w:pPr>
        <w:pStyle w:val="986"/>
      </w:pPr>
      <w:r>
        <w:t xml:space="preserve">Блок полей «Расходы»: «ФКР», «КЦСР», «КВР/</w:t>
      </w:r>
      <w:r>
        <w:t xml:space="preserve">Код поступлений/источников</w:t>
      </w:r>
      <w:r>
        <w:t xml:space="preserve">».</w:t>
      </w:r>
      <w:r/>
    </w:p>
    <w:p>
      <w:pPr>
        <w:pStyle w:val="987"/>
      </w:pPr>
      <w:r>
        <w:t xml:space="preserve">«ФКР» – код функциональной классификации расходов. Вводится вручную, или выбирается из справочника разделов/подразделов, или подтягивается автоматически при указании родительского документа.</w:t>
      </w:r>
      <w:r/>
    </w:p>
    <w:p>
      <w:pPr>
        <w:pStyle w:val="987"/>
      </w:pPr>
      <w:r>
        <w:t xml:space="preserve">«КЦСР» – код целевой статьи расходов. Вводится вручную, или выбирается из справочника целевых статей, или подтягивается автоматически при указании родительского документа</w:t>
      </w:r>
      <w:r>
        <w:t xml:space="preserve">.</w:t>
      </w:r>
      <w:r/>
    </w:p>
    <w:p>
      <w:pPr>
        <w:pStyle w:val="987"/>
      </w:pPr>
      <w:r>
        <w:t xml:space="preserve">«КВР/К</w:t>
      </w:r>
      <w:r>
        <w:t xml:space="preserve">од поступлений источников</w:t>
      </w:r>
      <w:r>
        <w:t xml:space="preserve">» – код вида расходов. Вводится вручную, или выбирается из справочник</w:t>
      </w:r>
      <w:r>
        <w:t xml:space="preserve">ов:</w:t>
      </w:r>
      <w:r>
        <w:t xml:space="preserve"> </w:t>
      </w:r>
      <w:r>
        <w:t xml:space="preserve">«В</w:t>
      </w:r>
      <w:r>
        <w:t xml:space="preserve">ид</w:t>
      </w:r>
      <w:r>
        <w:t xml:space="preserve">ы</w:t>
      </w:r>
      <w:r>
        <w:t xml:space="preserve"> расходов</w:t>
      </w:r>
      <w:r>
        <w:t xml:space="preserve"> ФКР», «Справочник анали</w:t>
      </w:r>
      <w:r>
        <w:t xml:space="preserve">тических кодов поступлений и источников (АУ/БУ/НУБП)» </w:t>
      </w:r>
      <w:r>
        <w:t xml:space="preserve">и</w:t>
      </w:r>
      <w:r>
        <w:t xml:space="preserve"> </w:t>
      </w:r>
      <w:r>
        <w:t xml:space="preserve">подтягивается автоматически при указании родительского документа</w:t>
      </w:r>
      <w:r>
        <w:t xml:space="preserve">.</w:t>
      </w:r>
      <w:r>
        <w:t xml:space="preserve"> </w:t>
      </w:r>
      <w:r/>
    </w:p>
    <w:p>
      <w:pPr>
        <w:pStyle w:val="986"/>
      </w:pPr>
      <w:r>
        <w:t xml:space="preserve">«Сумма в рублях» – сумма в рублях по КБК. Вводится вручную. Для АУ поле не заполняется.</w:t>
      </w:r>
      <w:r/>
    </w:p>
    <w:p>
      <w:pPr>
        <w:pStyle w:val="986"/>
      </w:pPr>
      <w:r>
        <w:t xml:space="preserve">«Назначение платежа». Вводится вручную. Для АУ поле не заполняется.</w:t>
      </w:r>
      <w:r/>
    </w:p>
    <w:p>
      <w:pPr>
        <w:pStyle w:val="986"/>
      </w:pPr>
      <w:r>
        <w:t xml:space="preserve">«Примечание». Вводится вручную.</w:t>
      </w:r>
      <w:r/>
    </w:p>
    <w:p>
      <w:pPr>
        <w:pStyle w:val="994"/>
      </w:pPr>
      <w:r>
        <w:t xml:space="preserve">Нажать на </w:t>
      </w:r>
      <w:r>
        <w:t xml:space="preserve">кнопку «Ok»</w:t>
      </w:r>
      <w:r>
        <w:t xml:space="preserve"> для сохранения заполненной строки и выхода из формы. В табличном блоке «Раздел 2. Расшифровка заявки на получение наличных денег» появится добавленная строка.</w:t>
      </w:r>
      <w:r>
        <w:t xml:space="preserve"> </w:t>
      </w:r>
      <w:r>
        <w:t xml:space="preserve">В поле «Примечание», размещенном в нижней части блока, отображается значение соответствующего поля текущей строки блока.</w:t>
      </w:r>
      <w:r/>
    </w:p>
    <w:p>
      <w:pPr>
        <w:pStyle w:val="994"/>
      </w:pPr>
      <w:r>
        <w:t xml:space="preserve">ЭФ документа «Заявка на</w:t>
      </w:r>
      <w:r>
        <w:rPr>
          <w:rStyle w:val="1001"/>
        </w:rPr>
        <w:t xml:space="preserve"> </w:t>
      </w:r>
      <w:r>
        <w:t xml:space="preserve">получение наличных денег</w:t>
      </w:r>
      <w:r>
        <w:t xml:space="preserve">», закладки «</w:t>
      </w:r>
      <w:r>
        <w:t xml:space="preserve">Подписи(2)» представлена на рисунке</w:t>
      </w:r>
      <w:r>
        <w:t xml:space="preserve"> </w:t>
      </w:r>
      <w:r>
        <w:fldChar w:fldCharType="begin"/>
      </w:r>
      <w:r>
        <w:instrText xml:space="preserve"> REF _Ref225243439 \h  \* MERGEFORMAT </w:instrText>
      </w:r>
      <w:r>
        <w:fldChar w:fldCharType="separate"/>
      </w:r>
      <w:r>
        <w:t xml:space="preserve">30</w:t>
      </w:r>
      <w:r>
        <w:fldChar w:fldCharType="end"/>
      </w:r>
      <w:r>
        <w:t xml:space="preserve">.</w:t>
      </w:r>
      <w:r/>
    </w:p>
    <w:p>
      <w:pPr>
        <w:pStyle w:val="982"/>
      </w:pPr>
      <w:r>
        <mc:AlternateContent>
          <mc:Choice Requires="wpg">
            <w:drawing>
              <wp:inline xmlns:wp="http://schemas.openxmlformats.org/drawingml/2006/wordprocessingDrawing" distT="0" distB="0" distL="0" distR="0">
                <wp:extent cx="5943600" cy="2910840"/>
                <wp:effectExtent l="0" t="0" r="0" b="0"/>
                <wp:docPr id="9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95"/>
                        <a:stretch/>
                      </pic:blipFill>
                      <pic:spPr bwMode="auto">
                        <a:xfrm>
                          <a:off x="0" y="0"/>
                          <a:ext cx="5943600" cy="29108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 o:spid="_x0000_s89" type="#_x0000_t75" style="mso-wrap-distance-left:0.0pt;mso-wrap-distance-top:0.0pt;mso-wrap-distance-right:0.0pt;mso-wrap-distance-bottom:0.0pt;width:468.0pt;height:229.2pt;" stroked="f">
                <v:path textboxrect="0,0,0,0"/>
                <v:imagedata r:id="rId95" o:title=""/>
              </v:shape>
            </w:pict>
          </mc:Fallback>
        </mc:AlternateContent>
      </w:r>
      <w:r/>
    </w:p>
    <w:p>
      <w:pPr>
        <w:pStyle w:val="983"/>
      </w:pPr>
      <w:r>
        <w:fldChar w:fldCharType="begin"/>
      </w:r>
      <w:r>
        <w:instrText xml:space="preserve"> SEQ Рисунок \* ARABIC </w:instrText>
      </w:r>
      <w:r>
        <w:fldChar w:fldCharType="separate"/>
      </w:r>
      <w:bookmarkStart w:id="384" w:name="_Ref225243439"/>
      <w:r/>
      <w:bookmarkStart w:id="385" w:name="_Toc88819415"/>
      <w:r>
        <w:t xml:space="preserve">30</w:t>
      </w:r>
      <w:bookmarkEnd w:id="384"/>
      <w:r>
        <w:fldChar w:fldCharType="end"/>
      </w:r>
      <w:r>
        <w:t xml:space="preserve">. ЭФ </w:t>
      </w:r>
      <w:r>
        <w:t xml:space="preserve">документа </w:t>
      </w:r>
      <w:r>
        <w:t xml:space="preserve">«Заявка на получение наличных денег</w:t>
      </w:r>
      <w:r>
        <w:t xml:space="preserve">», закладки «</w:t>
      </w:r>
      <w:r>
        <w:t xml:space="preserve">Подписи(2)»</w:t>
      </w:r>
      <w:bookmarkEnd w:id="385"/>
      <w:r/>
      <w:r/>
    </w:p>
    <w:p>
      <w:pPr>
        <w:pStyle w:val="994"/>
      </w:pPr>
      <w:r>
        <w:t xml:space="preserve">Перечень полей документа «Заявка на получение наличных денег</w:t>
      </w:r>
      <w:r>
        <w:t xml:space="preserve">», закладки «</w:t>
      </w:r>
      <w:r>
        <w:t xml:space="preserve">Подписи(2)» приведен в таблице</w:t>
      </w:r>
      <w:r>
        <w:t xml:space="preserve"> </w:t>
      </w:r>
      <w:r>
        <w:fldChar w:fldCharType="begin"/>
      </w:r>
      <w:r>
        <w:instrText xml:space="preserve"> REF _Ref360721258 \h  \* MERGEFORMAT </w:instrText>
      </w:r>
      <w:r>
        <w:fldChar w:fldCharType="separate"/>
      </w:r>
      <w:r>
        <w:t xml:space="preserve">12</w:t>
      </w:r>
      <w:r>
        <w:fldChar w:fldCharType="end"/>
      </w:r>
      <w:r>
        <w:t xml:space="preserve">.</w:t>
      </w:r>
      <w:r/>
    </w:p>
    <w:p>
      <w:pPr>
        <w:pStyle w:val="993"/>
      </w:pPr>
      <w:r>
        <w:fldChar w:fldCharType="begin"/>
      </w:r>
      <w:r>
        <w:instrText xml:space="preserve"> SEQ Таблица \* ARABIC </w:instrText>
      </w:r>
      <w:r>
        <w:fldChar w:fldCharType="separate"/>
      </w:r>
      <w:bookmarkStart w:id="386" w:name="_Ref360721258"/>
      <w:r/>
      <w:bookmarkStart w:id="387" w:name="_Toc88819198"/>
      <w:r>
        <w:t xml:space="preserve">12</w:t>
      </w:r>
      <w:bookmarkEnd w:id="386"/>
      <w:r>
        <w:fldChar w:fldCharType="end"/>
      </w:r>
      <w:r>
        <w:t xml:space="preserve">. Описание полей документа «Заявка на получение наличных денег</w:t>
      </w:r>
      <w:r>
        <w:t xml:space="preserve">», закладки «</w:t>
      </w:r>
      <w:r>
        <w:t xml:space="preserve">По</w:t>
      </w:r>
      <w:r>
        <w:t xml:space="preserve">д</w:t>
      </w:r>
      <w:r>
        <w:t xml:space="preserve">писи(2)»</w:t>
      </w:r>
      <w:bookmarkEnd w:id="387"/>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318"/>
        <w:gridCol w:w="6434"/>
      </w:tblGrid>
      <w:tr>
        <w:trPr>
          <w:trHeight w:val="315"/>
          <w:tblHeader/>
        </w:trPr>
        <w:tc>
          <w:tcPr>
            <w:shd w:val="clear" w:fill="E6E6E6" w:color="auto"/>
            <w:tcBorders>
              <w:left w:val="single" w:sz="4" w:space="0" w:color="auto"/>
              <w:top w:val="single" w:sz="4" w:space="0" w:color="auto"/>
              <w:right w:val="single" w:sz="4" w:space="0" w:color="auto"/>
              <w:bottom w:val="single" w:sz="4" w:space="0" w:color="auto"/>
            </w:tcBorders>
            <w:tcW w:w="1701"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299"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Доверенное лицо</w:t>
            </w:r>
            <w:r>
              <w:t xml:space="preserve">»</w:t>
            </w:r>
            <w:r/>
          </w:p>
        </w:tc>
      </w:tr>
      <w:tr>
        <w:trPr/>
        <w:tc>
          <w:tcPr>
            <w:shd w:val="clear" w:fill="auto" w:color="auto"/>
            <w:tcW w:w="1701" w:type="pct"/>
            <w:textDirection w:val="lrTb"/>
            <w:noWrap w:val="false"/>
          </w:tcPr>
          <w:p>
            <w:pPr>
              <w:pStyle w:val="1005"/>
              <w:ind w:left="57" w:right="57"/>
            </w:pPr>
            <w:r>
              <w:t xml:space="preserve">Доверенное лицо. Дол</w:t>
            </w:r>
            <w:r>
              <w:t xml:space="preserve">жность</w:t>
            </w:r>
            <w:r/>
          </w:p>
        </w:tc>
        <w:tc>
          <w:tcPr>
            <w:shd w:val="clear" w:fill="auto" w:color="auto"/>
            <w:tcW w:w="3299" w:type="pct"/>
            <w:textDirection w:val="lrTb"/>
            <w:noWrap w:val="false"/>
          </w:tcPr>
          <w:p>
            <w:pPr>
              <w:pStyle w:val="1005"/>
              <w:ind w:left="57" w:right="57"/>
            </w:pPr>
            <w:r>
              <w:t xml:space="preserve">Выбирается из списка сотрудников, либо вводится вручную.</w:t>
            </w:r>
            <w:r/>
          </w:p>
        </w:tc>
      </w:tr>
      <w:tr>
        <w:trPr/>
        <w:tc>
          <w:tcPr>
            <w:shd w:val="clear" w:fill="auto" w:color="auto"/>
            <w:tcW w:w="1701" w:type="pct"/>
            <w:textDirection w:val="lrTb"/>
            <w:noWrap w:val="false"/>
          </w:tcPr>
          <w:p>
            <w:pPr>
              <w:pStyle w:val="1005"/>
              <w:ind w:left="57" w:right="57"/>
            </w:pPr>
            <w:r>
              <w:t xml:space="preserve">Фамилия, Имя, Отчество</w:t>
            </w:r>
            <w:r/>
          </w:p>
        </w:tc>
        <w:tc>
          <w:tcPr>
            <w:shd w:val="clear" w:fill="auto" w:color="auto"/>
            <w:tcW w:w="3299" w:type="pct"/>
            <w:textDirection w:val="lrTb"/>
            <w:noWrap w:val="false"/>
          </w:tcPr>
          <w:p>
            <w:pPr>
              <w:pStyle w:val="1005"/>
              <w:ind w:left="57" w:right="57"/>
            </w:pPr>
            <w:r>
              <w:t xml:space="preserve">Выбирается из списка сотрудников, либо вводится вручную.</w:t>
            </w:r>
            <w:r/>
          </w:p>
        </w:tc>
      </w:tr>
      <w:tr>
        <w:trPr/>
        <w:tc>
          <w:tcPr>
            <w:shd w:val="clear" w:fill="auto" w:color="auto"/>
            <w:tcW w:w="1701" w:type="pct"/>
            <w:textDirection w:val="lrTb"/>
            <w:noWrap w:val="false"/>
          </w:tcPr>
          <w:p>
            <w:pPr>
              <w:pStyle w:val="1005"/>
              <w:ind w:left="57" w:right="57"/>
            </w:pPr>
            <w:r>
              <w:t xml:space="preserve">Документ, удост. </w:t>
            </w:r>
            <w:r>
              <w:t xml:space="preserve">Л</w:t>
            </w:r>
            <w:r>
              <w:t xml:space="preserve">ичность</w:t>
            </w:r>
            <w:r/>
          </w:p>
        </w:tc>
        <w:tc>
          <w:tcPr>
            <w:shd w:val="clear" w:fill="auto" w:color="auto"/>
            <w:tcW w:w="3299" w:type="pct"/>
            <w:textDirection w:val="lrTb"/>
            <w:noWrap w:val="false"/>
          </w:tcPr>
          <w:p>
            <w:pPr>
              <w:pStyle w:val="1005"/>
              <w:ind w:left="57" w:right="57"/>
            </w:pPr>
            <w:r>
              <w:t xml:space="preserve">Значение вводится вручную</w:t>
            </w:r>
            <w:r>
              <w:t xml:space="preserve">.</w:t>
            </w:r>
            <w:r/>
          </w:p>
        </w:tc>
      </w:tr>
      <w:tr>
        <w:trPr/>
        <w:tc>
          <w:tcPr>
            <w:shd w:val="clear" w:fill="auto" w:color="auto"/>
            <w:tcW w:w="1701" w:type="pct"/>
            <w:textDirection w:val="lrTb"/>
            <w:noWrap w:val="false"/>
          </w:tcPr>
          <w:p>
            <w:pPr>
              <w:pStyle w:val="1005"/>
              <w:ind w:left="57" w:right="57"/>
            </w:pPr>
            <w:r>
              <w:t xml:space="preserve">Номер</w:t>
            </w:r>
            <w:r/>
          </w:p>
        </w:tc>
        <w:tc>
          <w:tcPr>
            <w:shd w:val="clear" w:fill="auto" w:color="auto"/>
            <w:tcW w:w="3299" w:type="pct"/>
            <w:textDirection w:val="lrTb"/>
            <w:noWrap w:val="false"/>
          </w:tcPr>
          <w:p>
            <w:pPr>
              <w:pStyle w:val="1005"/>
              <w:ind w:left="57" w:right="57"/>
            </w:pPr>
            <w:r>
              <w:t xml:space="preserve">Значение вводится вручную</w:t>
            </w:r>
            <w:r>
              <w:t xml:space="preserve">.</w:t>
            </w:r>
            <w:r/>
          </w:p>
        </w:tc>
      </w:tr>
      <w:tr>
        <w:trPr>
          <w:trHeight w:val="128"/>
        </w:trPr>
        <w:tc>
          <w:tcPr>
            <w:shd w:val="clear" w:fill="auto" w:color="auto"/>
            <w:tcW w:w="1701" w:type="pct"/>
            <w:textDirection w:val="lrTb"/>
            <w:noWrap w:val="false"/>
          </w:tcPr>
          <w:p>
            <w:pPr>
              <w:pStyle w:val="1005"/>
              <w:ind w:left="57" w:right="57"/>
            </w:pPr>
            <w:r>
              <w:t xml:space="preserve">Выдан</w:t>
            </w:r>
            <w:r/>
          </w:p>
        </w:tc>
        <w:tc>
          <w:tcPr>
            <w:shd w:val="clear" w:fill="auto" w:color="auto"/>
            <w:tcW w:w="3299" w:type="pct"/>
            <w:textDirection w:val="lrTb"/>
            <w:noWrap w:val="false"/>
          </w:tcPr>
          <w:p>
            <w:pPr>
              <w:pStyle w:val="1005"/>
              <w:ind w:left="57" w:right="57"/>
            </w:pPr>
            <w:r>
              <w:t xml:space="preserve">Значение вводится вручную</w:t>
            </w:r>
            <w:r>
              <w:t xml:space="preserve">.</w:t>
            </w:r>
            <w:r/>
          </w:p>
        </w:tc>
      </w:tr>
      <w:tr>
        <w:trPr/>
        <w:tc>
          <w:tcPr>
            <w:shd w:val="clear" w:fill="auto" w:color="auto"/>
            <w:tcW w:w="1701" w:type="pct"/>
            <w:textDirection w:val="lrTb"/>
            <w:noWrap w:val="false"/>
          </w:tcPr>
          <w:p>
            <w:pPr>
              <w:pStyle w:val="1005"/>
              <w:ind w:left="57" w:right="57"/>
            </w:pPr>
            <w:r>
              <w:t xml:space="preserve">Дата выдачи</w:t>
            </w:r>
            <w:r/>
          </w:p>
        </w:tc>
        <w:tc>
          <w:tcPr>
            <w:shd w:val="clear" w:fill="auto" w:color="auto"/>
            <w:tcW w:w="3299" w:type="pct"/>
            <w:textDirection w:val="lrTb"/>
            <w:noWrap w:val="false"/>
          </w:tcPr>
          <w:p>
            <w:pPr>
              <w:pStyle w:val="1005"/>
              <w:ind w:left="57" w:right="57"/>
            </w:pPr>
            <w:r>
              <w:t xml:space="preserve">Значение вводится вручную или выбирается из системного к</w:t>
            </w:r>
            <w:r>
              <w:t xml:space="preserve">алендаря.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Подписи»</w:t>
            </w:r>
            <w:r/>
          </w:p>
        </w:tc>
      </w:tr>
      <w:tr>
        <w:trPr/>
        <w:tc>
          <w:tcPr>
            <w:shd w:val="clear" w:fill="auto" w:color="auto"/>
            <w:tcW w:w="1701" w:type="pct"/>
            <w:textDirection w:val="lrTb"/>
            <w:noWrap w:val="false"/>
          </w:tcPr>
          <w:p>
            <w:pPr>
              <w:pStyle w:val="1005"/>
              <w:ind w:left="57" w:right="57"/>
            </w:pPr>
            <w:r>
              <w:t xml:space="preserve">Руководитель (уполномоченное им лицо). Должность</w:t>
            </w:r>
            <w:r/>
          </w:p>
        </w:tc>
        <w:tc>
          <w:tcPr>
            <w:shd w:val="clear" w:fill="auto" w:color="auto"/>
            <w:tcW w:w="3299" w:type="pct"/>
            <w:textDirection w:val="lrTb"/>
            <w:noWrap w:val="false"/>
          </w:tcPr>
          <w:p>
            <w:pPr>
              <w:pStyle w:val="1005"/>
              <w:ind w:left="57" w:right="57"/>
            </w:pPr>
            <w:r>
              <w:t xml:space="preserve">Для АРМ. Заполняется автоматически при подписании ЭП данными подписанта.</w:t>
            </w:r>
            <w:r/>
          </w:p>
        </w:tc>
      </w:tr>
      <w:tr>
        <w:trPr/>
        <w:tc>
          <w:tcPr>
            <w:shd w:val="clear" w:fill="auto" w:color="auto"/>
            <w:tcW w:w="1701" w:type="pct"/>
            <w:textDirection w:val="lrTb"/>
            <w:noWrap w:val="false"/>
          </w:tcPr>
          <w:p>
            <w:pPr>
              <w:pStyle w:val="1005"/>
              <w:ind w:left="57" w:right="57"/>
            </w:pPr>
            <w:r>
              <w:t xml:space="preserve">Руководитель (уполномоченное им лицо). Расшифровка подписи</w:t>
            </w:r>
            <w:r/>
          </w:p>
        </w:tc>
        <w:tc>
          <w:tcPr>
            <w:shd w:val="clear" w:fill="auto" w:color="auto"/>
            <w:tcW w:w="3299" w:type="pct"/>
            <w:textDirection w:val="lrTb"/>
            <w:noWrap w:val="false"/>
          </w:tcPr>
          <w:p>
            <w:pPr>
              <w:pStyle w:val="1005"/>
              <w:ind w:left="57" w:right="57"/>
            </w:pPr>
            <w:r>
              <w:t xml:space="preserve">Для АРМ. Заполняется автоматически при подписании ЭП данными подписанта.</w:t>
            </w:r>
            <w:r/>
          </w:p>
        </w:tc>
      </w:tr>
      <w:tr>
        <w:trPr/>
        <w:tc>
          <w:tcPr>
            <w:shd w:val="clear" w:fill="auto" w:color="auto"/>
            <w:tcW w:w="1701" w:type="pct"/>
            <w:textDirection w:val="lrTb"/>
            <w:noWrap w:val="false"/>
          </w:tcPr>
          <w:p>
            <w:pPr>
              <w:pStyle w:val="1005"/>
              <w:ind w:left="57" w:right="57"/>
            </w:pPr>
            <w:r>
              <w:t xml:space="preserve">Гл. бухгалтер (уполномоченное лицо). Должность</w:t>
            </w:r>
            <w:r/>
          </w:p>
        </w:tc>
        <w:tc>
          <w:tcPr>
            <w:shd w:val="clear" w:fill="auto" w:color="auto"/>
            <w:tcW w:w="3299" w:type="pct"/>
            <w:textDirection w:val="lrTb"/>
            <w:noWrap w:val="false"/>
          </w:tcPr>
          <w:p>
            <w:pPr>
              <w:pStyle w:val="1005"/>
              <w:ind w:left="57" w:right="57"/>
            </w:pPr>
            <w:r>
              <w:t xml:space="preserve">Для АРМ. Заполняется автоматически при подписании ЭП данными подписанта.</w:t>
            </w:r>
            <w:r/>
          </w:p>
        </w:tc>
      </w:tr>
      <w:tr>
        <w:trPr/>
        <w:tc>
          <w:tcPr>
            <w:shd w:val="clear" w:fill="auto" w:color="auto"/>
            <w:tcW w:w="1701" w:type="pct"/>
            <w:textDirection w:val="lrTb"/>
            <w:noWrap w:val="false"/>
          </w:tcPr>
          <w:p>
            <w:pPr>
              <w:pStyle w:val="1005"/>
              <w:ind w:left="57" w:right="57"/>
            </w:pPr>
            <w:r>
              <w:t xml:space="preserve">Гл. бухгалтер (уполномоченное лицо). Расшифровка подписи</w:t>
            </w:r>
            <w:r/>
          </w:p>
        </w:tc>
        <w:tc>
          <w:tcPr>
            <w:shd w:val="clear" w:fill="auto" w:color="auto"/>
            <w:tcW w:w="3299" w:type="pct"/>
            <w:textDirection w:val="lrTb"/>
            <w:noWrap w:val="false"/>
          </w:tcPr>
          <w:p>
            <w:pPr>
              <w:pStyle w:val="1005"/>
              <w:ind w:left="57" w:right="57"/>
            </w:pPr>
            <w:r>
              <w:t xml:space="preserve">Для АРМ. Заполняется автоматически при подписании ЭП данными подписанта.</w:t>
            </w:r>
            <w:r/>
          </w:p>
        </w:tc>
      </w:tr>
      <w:tr>
        <w:trPr/>
        <w:tc>
          <w:tcPr>
            <w:shd w:val="clear" w:fill="auto" w:color="auto"/>
            <w:tcW w:w="1701" w:type="pct"/>
            <w:textDirection w:val="lrTb"/>
            <w:noWrap w:val="false"/>
          </w:tcPr>
          <w:p>
            <w:pPr>
              <w:pStyle w:val="1005"/>
              <w:ind w:left="57" w:right="57"/>
            </w:pPr>
            <w:r>
              <w:t xml:space="preserve">Гл. бухгалтер (уполномоченное лицо). Дата подписания</w:t>
            </w:r>
            <w:r/>
          </w:p>
        </w:tc>
        <w:tc>
          <w:tcPr>
            <w:shd w:val="clear" w:fill="auto" w:color="auto"/>
            <w:tcW w:w="3299" w:type="pct"/>
            <w:textDirection w:val="lrTb"/>
            <w:noWrap w:val="false"/>
          </w:tcPr>
          <w:p>
            <w:pPr>
              <w:pStyle w:val="1005"/>
              <w:ind w:left="57" w:right="57"/>
            </w:pPr>
            <w:r>
              <w:t xml:space="preserve">Для АРМ. Заполняется автоматически при подписании ЭП данными подписанта.</w:t>
            </w:r>
            <w:r/>
          </w:p>
        </w:tc>
      </w:tr>
      <w:tr>
        <w:trPr/>
        <w:tc>
          <w:tcPr>
            <w:shd w:val="clear" w:fill="auto" w:color="auto"/>
            <w:tcW w:w="1701" w:type="pct"/>
            <w:textDirection w:val="lrTb"/>
            <w:noWrap w:val="false"/>
          </w:tcPr>
          <w:p>
            <w:pPr>
              <w:pStyle w:val="1005"/>
              <w:ind w:left="57" w:right="57"/>
            </w:pPr>
            <w:r>
              <w:t xml:space="preserve">ФИО ответственного за конфиденциальность данных</w:t>
            </w:r>
            <w:r/>
          </w:p>
        </w:tc>
        <w:tc>
          <w:tcPr>
            <w:shd w:val="clear" w:fill="auto" w:color="auto"/>
            <w:tcW w:w="3299" w:type="pct"/>
            <w:textDirection w:val="lrTb"/>
            <w:noWrap w:val="false"/>
          </w:tcPr>
          <w:p>
            <w:pPr>
              <w:pStyle w:val="1005"/>
              <w:ind w:left="57" w:right="57"/>
            </w:pPr>
            <w:r>
              <w:t xml:space="preserve">Заполняется автоматически при подписании. Поле заполняется, если в поле «Уровень конфиденциальности» указано значение «1» или «0»</w:t>
            </w:r>
            <w:r>
              <w:t xml:space="preserve">.</w:t>
            </w:r>
            <w:r>
              <w:t xml:space="preserve"> </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«Отметка органа Федерального казначейства о регистрации Заявки на получение наличных денег»</w:t>
            </w:r>
            <w:r/>
          </w:p>
        </w:tc>
      </w:tr>
      <w:tr>
        <w:trPr/>
        <w:tc>
          <w:tcPr>
            <w:shd w:val="clear" w:fill="auto" w:color="auto"/>
            <w:tcW w:w="1701" w:type="pct"/>
            <w:textDirection w:val="lrTb"/>
            <w:noWrap w:val="false"/>
          </w:tcPr>
          <w:p>
            <w:pPr>
              <w:pStyle w:val="1005"/>
              <w:ind w:left="57" w:right="57"/>
            </w:pPr>
            <w:r>
              <w:t xml:space="preserve">Номер заявки</w:t>
            </w:r>
            <w:r/>
          </w:p>
        </w:tc>
        <w:tc>
          <w:tcPr>
            <w:shd w:val="clear" w:fill="auto" w:color="auto"/>
            <w:tcW w:w="3299"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w:t>
            </w:r>
            <w:r>
              <w:t xml:space="preserve">OEBS.</w:t>
            </w:r>
            <w:r/>
          </w:p>
        </w:tc>
      </w:tr>
      <w:tr>
        <w:trPr/>
        <w:tc>
          <w:tcPr>
            <w:shd w:val="clear" w:fill="auto" w:color="auto"/>
            <w:tcW w:w="1701" w:type="pct"/>
            <w:textDirection w:val="lrTb"/>
            <w:noWrap w:val="false"/>
          </w:tcPr>
          <w:p>
            <w:pPr>
              <w:pStyle w:val="1005"/>
              <w:ind w:left="57" w:right="57"/>
            </w:pPr>
            <w:r>
              <w:t xml:space="preserve">Дата регистрации</w:t>
            </w:r>
            <w:r/>
          </w:p>
        </w:tc>
        <w:tc>
          <w:tcPr>
            <w:shd w:val="clear" w:fill="auto" w:color="auto"/>
            <w:tcW w:w="3299"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w:t>
            </w:r>
            <w:r>
              <w:t xml:space="preserve">OEBS.</w:t>
            </w:r>
            <w:r/>
          </w:p>
        </w:tc>
      </w:tr>
      <w:tr>
        <w:trPr/>
        <w:tc>
          <w:tcPr>
            <w:shd w:val="clear" w:fill="auto" w:color="auto"/>
            <w:tcW w:w="1701" w:type="pct"/>
            <w:textDirection w:val="lrTb"/>
            <w:noWrap w:val="false"/>
          </w:tcPr>
          <w:p>
            <w:pPr>
              <w:pStyle w:val="1005"/>
              <w:ind w:left="57" w:right="57"/>
            </w:pPr>
            <w:r>
              <w:t xml:space="preserve">Ответственный исполнитель. Должность</w:t>
            </w:r>
            <w:r/>
          </w:p>
        </w:tc>
        <w:tc>
          <w:tcPr>
            <w:shd w:val="clear" w:fill="auto" w:color="auto"/>
            <w:tcW w:w="3299"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w:t>
            </w:r>
            <w:r>
              <w:t xml:space="preserve">OEBS.</w:t>
            </w:r>
            <w:r/>
          </w:p>
        </w:tc>
      </w:tr>
      <w:tr>
        <w:trPr/>
        <w:tc>
          <w:tcPr>
            <w:shd w:val="clear" w:fill="auto" w:color="auto"/>
            <w:tcW w:w="1701" w:type="pct"/>
            <w:textDirection w:val="lrTb"/>
            <w:noWrap w:val="false"/>
          </w:tcPr>
          <w:p>
            <w:pPr>
              <w:pStyle w:val="1005"/>
              <w:ind w:left="57" w:right="57"/>
            </w:pPr>
            <w:r>
              <w:t xml:space="preserve">Ответственный исполнитель. Расшифровка подп</w:t>
            </w:r>
            <w:r>
              <w:t xml:space="preserve">иси</w:t>
            </w:r>
            <w:r/>
          </w:p>
        </w:tc>
        <w:tc>
          <w:tcPr>
            <w:shd w:val="clear" w:fill="auto" w:color="auto"/>
            <w:tcW w:w="3299"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w:t>
            </w:r>
            <w:r>
              <w:t xml:space="preserve">OEBS.</w:t>
            </w:r>
            <w:r/>
          </w:p>
        </w:tc>
      </w:tr>
      <w:tr>
        <w:trPr/>
        <w:tc>
          <w:tcPr>
            <w:shd w:val="clear" w:fill="auto" w:color="auto"/>
            <w:tcW w:w="1701" w:type="pct"/>
            <w:textDirection w:val="lrTb"/>
            <w:noWrap w:val="false"/>
          </w:tcPr>
          <w:p>
            <w:pPr>
              <w:pStyle w:val="1005"/>
              <w:ind w:left="57" w:right="57"/>
            </w:pPr>
            <w:r>
              <w:t xml:space="preserve">Ответственный исполнитель. Т</w:t>
            </w:r>
            <w:r>
              <w:t xml:space="preserve">елефон</w:t>
            </w:r>
            <w:r/>
          </w:p>
        </w:tc>
        <w:tc>
          <w:tcPr>
            <w:shd w:val="clear" w:fill="auto" w:color="auto"/>
            <w:tcW w:w="3299"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w:t>
            </w:r>
            <w:r>
              <w:t xml:space="preserve">OEBS.</w:t>
            </w:r>
            <w:r/>
          </w:p>
        </w:tc>
      </w:tr>
    </w:tbl>
    <w:p>
      <w:pPr>
        <w:pStyle w:val="972"/>
      </w:pPr>
      <w:r/>
      <w:bookmarkStart w:id="388" w:name="_Toc262120415"/>
      <w:r/>
      <w:bookmarkStart w:id="389" w:name="_Toc262126704"/>
      <w:r/>
      <w:bookmarkStart w:id="390" w:name="_Ref312675845"/>
      <w:r/>
      <w:bookmarkStart w:id="391" w:name="_Ref312675870"/>
      <w:r/>
      <w:bookmarkStart w:id="392" w:name="_Ref314654032"/>
      <w:r/>
      <w:bookmarkStart w:id="393" w:name="_Ref315434933"/>
      <w:r/>
      <w:bookmarkStart w:id="394" w:name="_Ref325638041"/>
      <w:r/>
      <w:bookmarkStart w:id="395" w:name="_Ref341870321"/>
      <w:r/>
      <w:bookmarkStart w:id="396" w:name="_Ref342306549"/>
      <w:r/>
      <w:bookmarkStart w:id="397" w:name="_Ref365478209"/>
      <w:r/>
      <w:bookmarkStart w:id="398" w:name="_Ref367727404"/>
      <w:r/>
      <w:bookmarkStart w:id="399" w:name="_Ref368676772"/>
      <w:r/>
      <w:bookmarkStart w:id="400" w:name="_Ref370315872"/>
      <w:r/>
      <w:bookmarkStart w:id="401" w:name="_Ref373261116"/>
      <w:r/>
      <w:bookmarkStart w:id="402" w:name="_Ref373261140"/>
      <w:r/>
      <w:bookmarkStart w:id="403" w:name="_Ref377489457"/>
      <w:r/>
      <w:bookmarkStart w:id="404" w:name="_Ref378353036"/>
      <w:r/>
      <w:bookmarkStart w:id="405" w:name="_Ref378861186"/>
      <w:r/>
      <w:bookmarkStart w:id="406" w:name="_Ref406497604"/>
      <w:r/>
      <w:bookmarkStart w:id="407" w:name="_Ref420320422"/>
      <w:r/>
      <w:bookmarkStart w:id="408" w:name="_Ref420666055"/>
      <w:r/>
      <w:bookmarkStart w:id="409" w:name="_Toc422496703"/>
      <w:r/>
      <w:bookmarkStart w:id="410" w:name="_Ref438542245"/>
      <w:r/>
      <w:bookmarkStart w:id="411" w:name="_Ref471913417"/>
      <w:r/>
      <w:bookmarkStart w:id="412" w:name="_Ref474421876"/>
      <w:r/>
      <w:bookmarkStart w:id="413" w:name="_Ref505161625"/>
      <w:r/>
      <w:bookmarkStart w:id="414" w:name="_Ref511903965"/>
      <w:r/>
      <w:bookmarkStart w:id="415" w:name="_Ref531085616"/>
      <w:r/>
      <w:bookmarkStart w:id="416" w:name="_Ref4424441"/>
      <w:r/>
      <w:bookmarkStart w:id="417" w:name="_Ref48548020"/>
      <w:r/>
      <w:bookmarkStart w:id="418" w:name="_Ref68619274"/>
      <w:r/>
      <w:bookmarkStart w:id="419" w:name="_Toc88819100"/>
      <w:r>
        <w:t xml:space="preserve">Заявка на получение денежных средств, перечисляемых на карту</w:t>
      </w:r>
      <w:bookmarkEnd w:id="388"/>
      <w:r/>
      <w:bookmarkEnd w:id="389"/>
      <w:r/>
      <w:bookmarkEnd w:id="390"/>
      <w:r/>
      <w:bookmarkEnd w:id="391"/>
      <w:r/>
      <w:bookmarkEnd w:id="392"/>
      <w:r/>
      <w:bookmarkEnd w:id="393"/>
      <w:r/>
      <w:bookmarkEnd w:id="394"/>
      <w:r/>
      <w:bookmarkEnd w:id="395"/>
      <w:r/>
      <w:bookmarkEnd w:id="396"/>
      <w:r/>
      <w:bookmarkEnd w:id="397"/>
      <w:r/>
      <w:bookmarkEnd w:id="398"/>
      <w:r/>
      <w:bookmarkEnd w:id="399"/>
      <w:r/>
      <w:bookmarkEnd w:id="400"/>
      <w:r/>
      <w:bookmarkEnd w:id="401"/>
      <w:r/>
      <w:bookmarkEnd w:id="402"/>
      <w:r/>
      <w:bookmarkEnd w:id="403"/>
      <w:r/>
      <w:bookmarkEnd w:id="404"/>
      <w:r/>
      <w:bookmarkEnd w:id="405"/>
      <w:r/>
      <w:bookmarkEnd w:id="406"/>
      <w:r/>
      <w:bookmarkEnd w:id="407"/>
      <w:r/>
      <w:bookmarkEnd w:id="408"/>
      <w:r/>
      <w:bookmarkEnd w:id="409"/>
      <w:r/>
      <w:bookmarkEnd w:id="410"/>
      <w:r/>
      <w:bookmarkEnd w:id="411"/>
      <w:r/>
      <w:bookmarkEnd w:id="412"/>
      <w:r/>
      <w:bookmarkEnd w:id="413"/>
      <w:r/>
      <w:bookmarkEnd w:id="414"/>
      <w:r/>
      <w:bookmarkEnd w:id="415"/>
      <w:r/>
      <w:bookmarkEnd w:id="416"/>
      <w:r/>
      <w:bookmarkEnd w:id="417"/>
      <w:r/>
      <w:bookmarkEnd w:id="418"/>
      <w:r/>
      <w:bookmarkEnd w:id="419"/>
      <w:r/>
      <w:r/>
    </w:p>
    <w:p>
      <w:pPr>
        <w:pStyle w:val="994"/>
      </w:pPr>
      <w:r>
        <w:t xml:space="preserve">ЭД «Заявка на получение денежных средств, перечисляемых на карту» формируется получателями денежных средств для получения наличных средств с использованием банковских карт.</w:t>
      </w:r>
      <w:r/>
    </w:p>
    <w:p>
      <w:pPr>
        <w:pStyle w:val="994"/>
      </w:pPr>
      <w:r>
        <w:t xml:space="preserve">ЭД «Заявка на получение денежных средств, перечисляемых на карту» поступает в ФО от клиентов (ПБС, АИФДБ, АУ, БУ) проходит санкционирование и направляется в ОрФК, где открыт лицевой счет кл</w:t>
      </w:r>
      <w:r>
        <w:t xml:space="preserve">и</w:t>
      </w:r>
      <w:r>
        <w:t xml:space="preserve">ента ФО. В случае отказа ФО документ не проходит процедуру санкционирования.</w:t>
      </w:r>
      <w:r/>
    </w:p>
    <w:p>
      <w:pPr>
        <w:pStyle w:val="994"/>
      </w:pPr>
      <w:r>
        <w:t xml:space="preserve">На АРМ ФО документ может формироваться на основе родительского документа типа «Заявка на перерегистрацию БО» (ОБФ).</w:t>
      </w:r>
      <w:r/>
    </w:p>
    <w:p>
      <w:pPr>
        <w:pStyle w:val="994"/>
      </w:pPr>
      <w:r>
        <w:t xml:space="preserve">Для визуализации связи между документом «</w:t>
      </w:r>
      <w:r>
        <w:t xml:space="preserve">Заявка на получение денежных средств, перечисляемых на карту</w:t>
      </w:r>
      <w:r>
        <w:t xml:space="preserve">» и документами «Заяв</w:t>
      </w:r>
      <w:r>
        <w:t xml:space="preserve">ка на кассовый расход», «Заявка на кассовый расход (сокращенная)», «Заявка на получение наличных денег»,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t xml:space="preserve">ППО СУФД АСФК</w:t>
      </w:r>
      <w:r>
        <w:t xml:space="preserve"> на ЭФ списка документов «</w:t>
      </w:r>
      <w:r>
        <w:t xml:space="preserve">Заявка на получение денежных средств, перечисляемых на карту</w:t>
      </w:r>
      <w:r>
        <w:t xml:space="preserve">» (рис. </w:t>
      </w:r>
      <w:r>
        <w:fldChar w:fldCharType="begin"/>
      </w:r>
      <w:r>
        <w:instrText xml:space="preserve"> REF _Ref262118783 \h  \* MERGEFORMAT </w:instrText>
      </w:r>
      <w:r>
        <w:fldChar w:fldCharType="separate"/>
      </w:r>
      <w:r>
        <w:t xml:space="preserve">31</w:t>
      </w:r>
      <w:r>
        <w:fldChar w:fldCharType="end"/>
      </w:r>
      <w:r>
        <w:t xml:space="preserve">) расположена отдельная вкладка «Связанные документы», в которой отражен список связанных докумен</w:t>
      </w:r>
      <w:r>
        <w:t xml:space="preserve">тов. Табличное поле, отображающее этот список, содержит следующие реквизиты связанных документов:</w:t>
      </w:r>
      <w:r/>
    </w:p>
    <w:p>
      <w:pPr>
        <w:pStyle w:val="985"/>
      </w:pPr>
      <w:r>
        <w:t xml:space="preserve">Тип документа;</w:t>
      </w:r>
      <w:r/>
    </w:p>
    <w:p>
      <w:pPr>
        <w:pStyle w:val="985"/>
      </w:pPr>
      <w:r>
        <w:t xml:space="preserve">Номер;</w:t>
      </w:r>
      <w:r/>
    </w:p>
    <w:p>
      <w:pPr>
        <w:pStyle w:val="985"/>
      </w:pPr>
      <w:r>
        <w:t xml:space="preserve">От (дата);</w:t>
      </w:r>
      <w:r/>
    </w:p>
    <w:p>
      <w:pPr>
        <w:pStyle w:val="985"/>
      </w:pPr>
      <w:r>
        <w:t xml:space="preserve">Глава по БК;</w:t>
      </w:r>
      <w:r/>
    </w:p>
    <w:p>
      <w:pPr>
        <w:pStyle w:val="985"/>
      </w:pPr>
      <w:r>
        <w:t xml:space="preserve">Сумма в валюте БО;</w:t>
      </w:r>
      <w:r/>
    </w:p>
    <w:p>
      <w:pPr>
        <w:pStyle w:val="985"/>
      </w:pPr>
      <w:r>
        <w:t xml:space="preserve">Наименование контрагента;</w:t>
      </w:r>
      <w:r/>
    </w:p>
    <w:p>
      <w:pPr>
        <w:pStyle w:val="985"/>
      </w:pPr>
      <w:r>
        <w:t xml:space="preserve">Статус.</w:t>
      </w:r>
      <w:r/>
    </w:p>
    <w:p>
      <w:pPr>
        <w:pStyle w:val="994"/>
      </w:pPr>
      <w:r>
        <w:t xml:space="preserve">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w:t>
      </w:r>
      <w:r>
        <w:t xml:space="preserve">Заявка на получение денежных средств, перечисляемых на карту</w:t>
      </w:r>
      <w:r>
        <w:t xml:space="preserve">» к ЭФ связанного документа.</w:t>
      </w:r>
      <w:r/>
    </w:p>
    <w:p>
      <w:pPr>
        <w:pStyle w:val="994"/>
      </w:pPr>
      <w:r>
        <w:t xml:space="preserve">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w:t>
      </w:r>
      <w:r>
        <w:t xml:space="preserve">Заявка на получение денежных средств, перечисляемых на карту</w:t>
      </w:r>
      <w:r>
        <w:t xml:space="preserve">». Операции «Санкциониро</w:t>
      </w:r>
      <w:r>
        <w:t xml:space="preserve">вать» и «Отказать» описаны в п.</w:t>
      </w:r>
      <w:r>
        <w:t xml:space="preserve"> </w:t>
      </w:r>
      <w:r>
        <w:fldChar w:fldCharType="begin"/>
      </w:r>
      <w:r>
        <w:instrText xml:space="preserve"> REF _Ref370315137 \r \h  \* MERGEFORMAT </w:instrText>
      </w:r>
      <w:r>
        <w:fldChar w:fldCharType="separate"/>
      </w:r>
      <w:r>
        <w:t xml:space="preserve">3.3.1</w:t>
      </w:r>
      <w:r>
        <w:fldChar w:fldCharType="end"/>
      </w:r>
      <w:r>
        <w:t xml:space="preserve">.</w:t>
      </w:r>
      <w:r/>
    </w:p>
    <w:p>
      <w:pPr>
        <w:pStyle w:val="994"/>
      </w:pPr>
      <w:r>
        <w:t xml:space="preserve">Для работы </w:t>
      </w:r>
      <w:r>
        <w:t xml:space="preserve">с документами «Заявка на получение денежных средств, перечисляемых на карту» следует перейти в пункт меню «Документы – Регистрация и учет обязательств – Заявки на платеж – Заявка на получение денежных средств, перечисляемых на карту». Откроется ЭФ списка д</w:t>
      </w:r>
      <w:r>
        <w:t xml:space="preserve">о</w:t>
      </w:r>
      <w:r>
        <w:t xml:space="preserve">кументов, представленная на рисунке </w:t>
      </w:r>
      <w:r>
        <w:fldChar w:fldCharType="begin"/>
      </w:r>
      <w:r>
        <w:instrText xml:space="preserve"> REF _Ref262118783 \h  \* MERGEFORMAT </w:instrText>
      </w:r>
      <w:r>
        <w:fldChar w:fldCharType="separate"/>
      </w:r>
      <w:r>
        <w:t xml:space="preserve">31</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3200400"/>
                <wp:effectExtent l="0" t="0" r="0" b="0"/>
                <wp:docPr id="9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96"/>
                        <a:stretch/>
                      </pic:blipFill>
                      <pic:spPr bwMode="auto">
                        <a:xfrm>
                          <a:off x="0" y="0"/>
                          <a:ext cx="6035039" cy="32004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 o:spid="_x0000_s90" type="#_x0000_t75" style="mso-wrap-distance-left:0.0pt;mso-wrap-distance-top:0.0pt;mso-wrap-distance-right:0.0pt;mso-wrap-distance-bottom:0.0pt;width:475.2pt;height:252.0pt;" stroked="f">
                <v:path textboxrect="0,0,0,0"/>
                <v:imagedata r:id="rId96" o:title=""/>
              </v:shape>
            </w:pict>
          </mc:Fallback>
        </mc:AlternateContent>
      </w:r>
      <w:r/>
    </w:p>
    <w:p>
      <w:pPr>
        <w:pStyle w:val="983"/>
      </w:pPr>
      <w:r>
        <w:fldChar w:fldCharType="begin"/>
      </w:r>
      <w:r>
        <w:instrText xml:space="preserve"> SEQ Рисунок \* ARABIC </w:instrText>
      </w:r>
      <w:r>
        <w:fldChar w:fldCharType="separate"/>
      </w:r>
      <w:bookmarkStart w:id="420" w:name="_Ref262118783"/>
      <w:r/>
      <w:bookmarkStart w:id="421" w:name="_Toc88819416"/>
      <w:r>
        <w:t xml:space="preserve">31</w:t>
      </w:r>
      <w:bookmarkEnd w:id="420"/>
      <w:r>
        <w:fldChar w:fldCharType="end"/>
      </w:r>
      <w:r>
        <w:t xml:space="preserve">. ЭФ списка документов «Заявка на получение денежных средств, перечисляемых на карту»</w:t>
      </w:r>
      <w:bookmarkEnd w:id="421"/>
      <w:r/>
      <w:r/>
    </w:p>
    <w:p>
      <w:pPr>
        <w:pStyle w:val="973"/>
      </w:pPr>
      <w:r>
        <w:t xml:space="preserve">Доступные операции</w:t>
      </w:r>
      <w:r/>
    </w:p>
    <w:p>
      <w:pPr>
        <w:pStyle w:val="994"/>
      </w:pPr>
      <w:r>
        <w:t xml:space="preserve">На АРМ ФО </w:t>
      </w:r>
      <w:r>
        <w:t xml:space="preserve">доступны следующие операции над документом</w:t>
      </w:r>
      <w:r>
        <w:t xml:space="preserve">:</w:t>
      </w:r>
      <w:r/>
    </w:p>
    <w:p>
      <w:pPr>
        <w:pStyle w:val="985"/>
      </w:pPr>
      <w:r>
        <w:t xml:space="preserve">Для исходящих документов:</w:t>
      </w:r>
      <w:r/>
    </w:p>
    <w:p>
      <w:pPr>
        <w:pStyle w:val="986"/>
      </w:pPr>
      <w:r>
        <w:t xml:space="preserve">ввод вручную;</w:t>
      </w:r>
      <w:r/>
    </w:p>
    <w:p>
      <w:pPr>
        <w:pStyle w:val="986"/>
      </w:pPr>
      <w:r>
        <w:t xml:space="preserve">импорт из внешней системы;</w:t>
      </w:r>
      <w:r/>
    </w:p>
    <w:p>
      <w:pPr>
        <w:pStyle w:val="986"/>
      </w:pPr>
      <w:r>
        <w:t xml:space="preserve">создание на основе родительского документа;</w:t>
      </w:r>
      <w:r/>
    </w:p>
    <w:p>
      <w:pPr>
        <w:pStyle w:val="986"/>
      </w:pPr>
      <w:r>
        <w:t xml:space="preserve">документарный контроль;</w:t>
      </w:r>
      <w:r/>
    </w:p>
    <w:p>
      <w:pPr>
        <w:pStyle w:val="986"/>
      </w:pPr>
      <w:r>
        <w:t xml:space="preserve">просмотр и редактирование;</w:t>
      </w:r>
      <w:r/>
    </w:p>
    <w:p>
      <w:pPr>
        <w:pStyle w:val="986"/>
      </w:pPr>
      <w:r>
        <w:t xml:space="preserve">удаление;</w:t>
      </w:r>
      <w:r/>
    </w:p>
    <w:p>
      <w:pPr>
        <w:pStyle w:val="986"/>
      </w:pPr>
      <w:r>
        <w:t xml:space="preserve">подписание, просмотр и снятие </w:t>
      </w:r>
      <w:r>
        <w:t xml:space="preserve">ЭП</w:t>
      </w:r>
      <w:r>
        <w:t xml:space="preserve">;</w:t>
      </w:r>
      <w:r/>
    </w:p>
    <w:p>
      <w:pPr>
        <w:pStyle w:val="986"/>
      </w:pPr>
      <w:r>
        <w:t xml:space="preserve">печать;</w:t>
      </w:r>
      <w:r/>
    </w:p>
    <w:p>
      <w:pPr>
        <w:pStyle w:val="986"/>
      </w:pPr>
      <w:r>
        <w:t xml:space="preserve">экспорт в </w:t>
      </w:r>
      <w:r>
        <w:t xml:space="preserve">OEBS</w:t>
      </w:r>
      <w:r>
        <w:t xml:space="preserve"> и внешнюю систему</w:t>
      </w:r>
      <w:r>
        <w:t xml:space="preserve">;</w:t>
      </w:r>
      <w:r/>
    </w:p>
    <w:p>
      <w:pPr>
        <w:pStyle w:val="986"/>
      </w:pPr>
      <w:r>
        <w:t xml:space="preserve">отправка в УФК, ЦАФК.</w:t>
      </w:r>
      <w:r/>
    </w:p>
    <w:p>
      <w:pPr>
        <w:pStyle w:val="985"/>
      </w:pPr>
      <w:r>
        <w:t xml:space="preserve">Для транзитных документов:</w:t>
      </w:r>
      <w:r/>
    </w:p>
    <w:p>
      <w:pPr>
        <w:pStyle w:val="986"/>
      </w:pPr>
      <w:r>
        <w:t xml:space="preserve">отказ</w:t>
      </w:r>
      <w:r>
        <w:t xml:space="preserve">;</w:t>
      </w:r>
      <w:r/>
    </w:p>
    <w:p>
      <w:pPr>
        <w:pStyle w:val="986"/>
      </w:pPr>
      <w:r>
        <w:t xml:space="preserve">санкционирование</w:t>
      </w:r>
      <w:r>
        <w:t xml:space="preserve">.</w:t>
      </w:r>
      <w:r/>
    </w:p>
    <w:p>
      <w:pPr>
        <w:pStyle w:val="974"/>
      </w:pPr>
      <w:r>
        <w:t xml:space="preserve">Создание документа на основе родительского документа </w:t>
      </w:r>
      <w:r/>
    </w:p>
    <w:p>
      <w:pPr>
        <w:pStyle w:val="994"/>
      </w:pPr>
      <w:r>
        <w:t xml:space="preserve">Документ может создаваться на основе ЭД «Сведения об обязательстве».</w:t>
      </w:r>
      <w:r/>
    </w:p>
    <w:p>
      <w:pPr>
        <w:pStyle w:val="994"/>
      </w:pPr>
      <w:r>
        <w:t xml:space="preserve">Для выбора родительского документа следует на ЭФ документа «Заявка на получение денежных средств, пе</w:t>
      </w:r>
      <w:r>
        <w:t xml:space="preserve">речисляемых на карту» (см.</w:t>
      </w:r>
      <w:r>
        <w:t xml:space="preserve"> </w:t>
      </w:r>
      <w:r>
        <w:t xml:space="preserve">рис.</w:t>
      </w:r>
      <w:r>
        <w:t xml:space="preserve"> </w:t>
      </w:r>
      <w:r>
        <w:fldChar w:fldCharType="begin"/>
      </w:r>
      <w:r>
        <w:instrText xml:space="preserve"> REF _Ref262118807 \h  \* MERGEFORMAT </w:instrText>
      </w:r>
      <w:r>
        <w:fldChar w:fldCharType="separate"/>
      </w:r>
      <w:r>
        <w:t xml:space="preserve">34</w:t>
      </w:r>
      <w:r>
        <w:fldChar w:fldCharType="end"/>
      </w:r>
      <w:r>
        <w:t xml:space="preserve">) нажать на кнопку </w:t>
      </w:r>
      <w:r>
        <mc:AlternateContent>
          <mc:Choice Requires="wpg">
            <w:drawing>
              <wp:inline xmlns:wp="http://schemas.openxmlformats.org/drawingml/2006/wordprocessingDrawing" distT="0" distB="0" distL="0" distR="0">
                <wp:extent cx="182880" cy="182880"/>
                <wp:effectExtent l="0" t="0" r="0" b="0"/>
                <wp:docPr id="9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76"/>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 o:spid="_x0000_s91" type="#_x0000_t75" style="mso-wrap-distance-left:0.0pt;mso-wrap-distance-top:0.0pt;mso-wrap-distance-right:0.0pt;mso-wrap-distance-bottom:0.0pt;width:14.4pt;height:14.4pt;" stroked="f">
                <v:path textboxrect="0,0,0,0"/>
                <v:imagedata r:id="rId76" o:title=""/>
              </v:shape>
            </w:pict>
          </mc:Fallback>
        </mc:AlternateContent>
      </w:r>
      <w:r>
        <w:t xml:space="preserve"> (Выбрать родительский документ). При этом откроется окно выбо</w:t>
      </w:r>
      <w:r>
        <w:t xml:space="preserve">ра типа документа «Поиск» (рис.</w:t>
      </w:r>
      <w:r>
        <w:t xml:space="preserve"> </w:t>
      </w:r>
      <w:r>
        <w:fldChar w:fldCharType="begin"/>
      </w:r>
      <w:r>
        <w:instrText xml:space="preserve"> REF _Ref373259773 \h  \* MERGEFORMAT </w:instrText>
      </w:r>
      <w:r>
        <w:fldChar w:fldCharType="separate"/>
      </w:r>
      <w:r>
        <w:t xml:space="preserve">32</w:t>
      </w:r>
      <w:r>
        <w:fldChar w:fldCharType="end"/>
      </w:r>
      <w:r>
        <w:t xml:space="preserve">).</w:t>
      </w:r>
      <w:r/>
    </w:p>
    <w:p>
      <w:pPr>
        <w:pStyle w:val="982"/>
      </w:pPr>
      <w:r>
        <mc:AlternateContent>
          <mc:Choice Requires="wpg">
            <w:drawing>
              <wp:inline xmlns:wp="http://schemas.openxmlformats.org/drawingml/2006/wordprocessingDrawing" distT="0" distB="0" distL="0" distR="0">
                <wp:extent cx="3931920" cy="3299460"/>
                <wp:effectExtent l="0" t="0" r="0" b="0"/>
                <wp:docPr id="9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97"/>
                        <a:stretch/>
                      </pic:blipFill>
                      <pic:spPr bwMode="auto">
                        <a:xfrm>
                          <a:off x="0" y="0"/>
                          <a:ext cx="3931920" cy="32994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 o:spid="_x0000_s92" type="#_x0000_t75" style="mso-wrap-distance-left:0.0pt;mso-wrap-distance-top:0.0pt;mso-wrap-distance-right:0.0pt;mso-wrap-distance-bottom:0.0pt;width:309.6pt;height:259.8pt;" stroked="f">
                <v:path textboxrect="0,0,0,0"/>
                <v:imagedata r:id="rId97" o:title=""/>
              </v:shape>
            </w:pict>
          </mc:Fallback>
        </mc:AlternateContent>
      </w:r>
      <w:r/>
    </w:p>
    <w:p>
      <w:pPr>
        <w:pStyle w:val="983"/>
      </w:pPr>
      <w:r>
        <w:fldChar w:fldCharType="begin"/>
      </w:r>
      <w:r>
        <w:instrText xml:space="preserve"> SEQ Рисунок \* ARABIC </w:instrText>
      </w:r>
      <w:r>
        <w:fldChar w:fldCharType="separate"/>
      </w:r>
      <w:bookmarkStart w:id="422" w:name="_Ref373259773"/>
      <w:r/>
      <w:bookmarkStart w:id="423" w:name="_Toc88819417"/>
      <w:r>
        <w:t xml:space="preserve">32</w:t>
      </w:r>
      <w:bookmarkEnd w:id="422"/>
      <w:r>
        <w:fldChar w:fldCharType="end"/>
      </w:r>
      <w:r>
        <w:t xml:space="preserve">. Окно «Поиск…»</w:t>
      </w:r>
      <w:bookmarkEnd w:id="423"/>
      <w:r/>
      <w:r/>
    </w:p>
    <w:p>
      <w:pPr>
        <w:pStyle w:val="994"/>
      </w:pPr>
      <w:r>
        <w:t xml:space="preserve">После выбора типа документа откроется окно «Выбор</w:t>
      </w:r>
      <w:r>
        <w:t xml:space="preserve"> родительского документа» (рис.</w:t>
      </w:r>
      <w:r>
        <w:t xml:space="preserve"> </w:t>
      </w:r>
      <w:r>
        <w:fldChar w:fldCharType="begin"/>
      </w:r>
      <w:r>
        <w:instrText xml:space="preserve"> REF _Ref373259855 \h  \* MERGEFORMAT </w:instrText>
      </w:r>
      <w:r>
        <w:fldChar w:fldCharType="separate"/>
      </w:r>
      <w:r>
        <w:t xml:space="preserve">33</w:t>
      </w:r>
      <w:r>
        <w:fldChar w:fldCharType="end"/>
      </w:r>
      <w:r>
        <w:t xml:space="preserve">), в котором следует из перечня сформированных документов заданного типа выбрать нужный документ.</w:t>
      </w:r>
      <w:r/>
    </w:p>
    <w:p>
      <w:pPr>
        <w:pStyle w:val="982"/>
      </w:pPr>
      <w:r>
        <mc:AlternateContent>
          <mc:Choice Requires="wpg">
            <w:drawing>
              <wp:inline xmlns:wp="http://schemas.openxmlformats.org/drawingml/2006/wordprocessingDrawing" distT="0" distB="0" distL="0" distR="0">
                <wp:extent cx="6118860" cy="2468880"/>
                <wp:effectExtent l="0" t="0" r="0" b="0"/>
                <wp:docPr id="9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98"/>
                        <a:stretch/>
                      </pic:blipFill>
                      <pic:spPr bwMode="auto">
                        <a:xfrm>
                          <a:off x="0" y="0"/>
                          <a:ext cx="6118860" cy="2468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 o:spid="_x0000_s93" type="#_x0000_t75" style="mso-wrap-distance-left:0.0pt;mso-wrap-distance-top:0.0pt;mso-wrap-distance-right:0.0pt;mso-wrap-distance-bottom:0.0pt;width:481.8pt;height:194.4pt;" stroked="f">
                <v:path textboxrect="0,0,0,0"/>
                <v:imagedata r:id="rId98" o:title=""/>
              </v:shape>
            </w:pict>
          </mc:Fallback>
        </mc:AlternateContent>
      </w:r>
      <w:r/>
    </w:p>
    <w:p>
      <w:pPr>
        <w:pStyle w:val="983"/>
      </w:pPr>
      <w:r>
        <w:fldChar w:fldCharType="begin"/>
      </w:r>
      <w:r>
        <w:instrText xml:space="preserve"> SEQ Рисунок \* ARABIC </w:instrText>
      </w:r>
      <w:r>
        <w:fldChar w:fldCharType="separate"/>
      </w:r>
      <w:bookmarkStart w:id="424" w:name="_Ref373259855"/>
      <w:r/>
      <w:bookmarkStart w:id="425" w:name="_Toc88819418"/>
      <w:r>
        <w:t xml:space="preserve">33</w:t>
      </w:r>
      <w:bookmarkEnd w:id="424"/>
      <w:r>
        <w:fldChar w:fldCharType="end"/>
      </w:r>
      <w:r>
        <w:t xml:space="preserve">. Окно «Выбор родительского документа» для документов типа «Сведения об обязательстве»</w:t>
      </w:r>
      <w:bookmarkEnd w:id="425"/>
      <w:r/>
      <w:r/>
    </w:p>
    <w:p>
      <w:pPr>
        <w:pStyle w:val="994"/>
      </w:pPr>
      <w:r>
        <w:t xml:space="preserve">В результате поля формы будут заполнены значениями соответствующих полей родительского документа.</w:t>
      </w:r>
      <w:r/>
    </w:p>
    <w:p>
      <w:pPr>
        <w:pStyle w:val="973"/>
      </w:pPr>
      <w:r/>
      <w:bookmarkStart w:id="426" w:name="_Ref396211156"/>
      <w:r>
        <w:t xml:space="preserve">Экранная форма документа</w:t>
      </w:r>
      <w:bookmarkEnd w:id="426"/>
      <w:r/>
      <w:r/>
    </w:p>
    <w:p>
      <w:pPr>
        <w:pStyle w:val="994"/>
      </w:pPr>
      <w:r>
        <w:t xml:space="preserve">ЭФ документа «Заявка на получение денежных средств, перечисляемых на карту» представлена на рисунках </w:t>
      </w:r>
      <w:r>
        <w:fldChar w:fldCharType="begin"/>
      </w:r>
      <w:r>
        <w:instrText xml:space="preserve"> REF _Ref262118807 \h  \* MERGEFORMAT </w:instrText>
      </w:r>
      <w:r>
        <w:fldChar w:fldCharType="separate"/>
      </w:r>
      <w:r>
        <w:t xml:space="preserve">34</w:t>
      </w:r>
      <w:r>
        <w:fldChar w:fldCharType="end"/>
      </w:r>
      <w:r>
        <w:t xml:space="preserve"> и </w:t>
      </w:r>
      <w:r>
        <w:fldChar w:fldCharType="begin"/>
      </w:r>
      <w:r>
        <w:instrText xml:space="preserve"> REF _Ref262118812 \h  \* MERGEFORMAT </w:instrText>
      </w:r>
      <w:r>
        <w:fldChar w:fldCharType="separate"/>
      </w:r>
      <w:r>
        <w:t xml:space="preserve">36</w:t>
      </w:r>
      <w:r>
        <w:fldChar w:fldCharType="end"/>
      </w:r>
      <w:r>
        <w:t xml:space="preserve">. </w:t>
      </w:r>
      <w:r>
        <w:t xml:space="preserve">Форма содержит следующие закладки</w:t>
      </w:r>
      <w:r>
        <w:t xml:space="preserve">:</w:t>
      </w:r>
      <w:r/>
    </w:p>
    <w:p>
      <w:pPr>
        <w:pStyle w:val="985"/>
      </w:pPr>
      <w:r>
        <w:t xml:space="preserve">«Заголовок (1)»;</w:t>
      </w:r>
      <w:r/>
    </w:p>
    <w:p>
      <w:pPr>
        <w:pStyle w:val="985"/>
      </w:pPr>
      <w:r>
        <w:t xml:space="preserve">«Подписи(2)»;</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035040" cy="5577840"/>
                <wp:effectExtent l="0" t="0" r="0" b="0"/>
                <wp:docPr id="9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99"/>
                        <a:stretch/>
                      </pic:blipFill>
                      <pic:spPr bwMode="auto">
                        <a:xfrm>
                          <a:off x="0" y="0"/>
                          <a:ext cx="6035039" cy="55778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 o:spid="_x0000_s94" type="#_x0000_t75" style="mso-wrap-distance-left:0.0pt;mso-wrap-distance-top:0.0pt;mso-wrap-distance-right:0.0pt;mso-wrap-distance-bottom:0.0pt;width:475.2pt;height:439.2pt;" stroked="f">
                <v:path textboxrect="0,0,0,0"/>
                <v:imagedata r:id="rId99" o:title=""/>
              </v:shape>
            </w:pict>
          </mc:Fallback>
        </mc:AlternateContent>
      </w:r>
      <w:r/>
    </w:p>
    <w:p>
      <w:pPr>
        <w:pStyle w:val="983"/>
      </w:pPr>
      <w:r>
        <w:fldChar w:fldCharType="begin"/>
      </w:r>
      <w:r>
        <w:instrText xml:space="preserve"> SEQ Рисунок \* ARABIC </w:instrText>
      </w:r>
      <w:r>
        <w:fldChar w:fldCharType="separate"/>
      </w:r>
      <w:bookmarkStart w:id="427" w:name="_Ref262118807"/>
      <w:r/>
      <w:bookmarkStart w:id="428" w:name="_Toc88819419"/>
      <w:r>
        <w:t xml:space="preserve">34</w:t>
      </w:r>
      <w:bookmarkEnd w:id="427"/>
      <w:r>
        <w:fldChar w:fldCharType="end"/>
      </w:r>
      <w:r>
        <w:t xml:space="preserve">. ЭФ документа «Заявка на получение денежных средств, перечисляемых на карту</w:t>
      </w:r>
      <w:r>
        <w:t xml:space="preserve">», закладки «</w:t>
      </w:r>
      <w:r>
        <w:t xml:space="preserve">Заголовок (1)»</w:t>
      </w:r>
      <w:bookmarkEnd w:id="428"/>
      <w:r/>
      <w:r/>
    </w:p>
    <w:p>
      <w:pPr>
        <w:pStyle w:val="994"/>
      </w:pPr>
      <w:r>
        <w:t xml:space="preserve">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w:t>
      </w:r>
      <w:r/>
    </w:p>
    <w:p>
      <w:pPr>
        <w:pStyle w:val="994"/>
      </w:pPr>
      <w:r>
        <w:t xml:space="preserve">Перечень полей </w:t>
      </w:r>
      <w:r>
        <w:t xml:space="preserve">документа «Заявка на получение денежных средств, перечисляемых на карту», закладки «Заголовок (1)»</w:t>
      </w:r>
      <w:r>
        <w:t xml:space="preserve"> </w:t>
      </w:r>
      <w:r>
        <w:t xml:space="preserve">приведен в таблице</w:t>
      </w:r>
      <w:r>
        <w:t xml:space="preserve"> </w:t>
      </w:r>
      <w:r>
        <w:fldChar w:fldCharType="begin"/>
      </w:r>
      <w:r>
        <w:instrText xml:space="preserve"> REF _Ref318713351 \h  \* MERGEFORMAT </w:instrText>
      </w:r>
      <w:r>
        <w:fldChar w:fldCharType="separate"/>
      </w:r>
      <w:r>
        <w:t xml:space="preserve">13</w:t>
      </w:r>
      <w:r>
        <w:fldChar w:fldCharType="end"/>
      </w:r>
      <w:r>
        <w:t xml:space="preserve">.</w:t>
      </w:r>
      <w:r/>
    </w:p>
    <w:p>
      <w:pPr>
        <w:pStyle w:val="993"/>
      </w:pPr>
      <w:r>
        <w:fldChar w:fldCharType="begin"/>
      </w:r>
      <w:r>
        <w:instrText xml:space="preserve"> SEQ Таблица \* ARABIC </w:instrText>
      </w:r>
      <w:r>
        <w:fldChar w:fldCharType="separate"/>
      </w:r>
      <w:bookmarkStart w:id="429" w:name="_Ref318713351"/>
      <w:r/>
      <w:bookmarkStart w:id="430" w:name="_Ref317670189"/>
      <w:r/>
      <w:bookmarkStart w:id="431" w:name="_Toc88819199"/>
      <w:r>
        <w:t xml:space="preserve">13</w:t>
      </w:r>
      <w:bookmarkEnd w:id="429"/>
      <w:r/>
      <w:bookmarkEnd w:id="430"/>
      <w:r>
        <w:fldChar w:fldCharType="end"/>
      </w:r>
      <w:r>
        <w:t xml:space="preserve">. Описание полей </w:t>
      </w:r>
      <w:r>
        <w:t xml:space="preserve">документа «Заявка на получение денежных средств, перечисляемых на карту», закладки «Заголовок (1)»</w:t>
      </w:r>
      <w:bookmarkEnd w:id="431"/>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33"/>
        <w:gridCol w:w="7519"/>
      </w:tblGrid>
      <w:tr>
        <w:trPr>
          <w:trHeight w:val="315"/>
          <w:tblHeader/>
        </w:trPr>
        <w:tc>
          <w:tcPr>
            <w:shd w:val="clear" w:fill="E6E6E6" w:color="auto"/>
            <w:tcBorders>
              <w:left w:val="single" w:sz="4" w:space="0" w:color="auto"/>
              <w:top w:val="single" w:sz="4" w:space="0" w:color="auto"/>
              <w:right w:val="single" w:sz="4" w:space="0" w:color="auto"/>
              <w:bottom w:val="single" w:sz="4" w:space="0" w:color="auto"/>
            </w:tcBorders>
            <w:tcW w:w="114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60" w:type="pct"/>
            <w:vAlign w:val="center"/>
            <w:textDirection w:val="lrTb"/>
            <w:noWrap w:val="false"/>
          </w:tcPr>
          <w:p>
            <w:pPr>
              <w:pStyle w:val="1006"/>
            </w:pPr>
            <w:r>
              <w:t xml:space="preserve">Описание</w:t>
            </w:r>
            <w:r>
              <w:t xml:space="preserve"> поля</w:t>
            </w:r>
            <w:r/>
          </w:p>
        </w:tc>
      </w:tr>
      <w:tr>
        <w:trPr/>
        <w:tc>
          <w:tcPr>
            <w:shd w:val="clear" w:fill="auto" w:color="auto"/>
            <w:tcW w:w="1140" w:type="pct"/>
            <w:textDirection w:val="lrTb"/>
            <w:noWrap w:val="false"/>
          </w:tcPr>
          <w:p>
            <w:pPr>
              <w:pStyle w:val="1005"/>
              <w:ind w:left="57" w:right="57"/>
            </w:pPr>
            <w:r>
              <w:t xml:space="preserve">Номер заявки</w:t>
            </w:r>
            <w:r/>
          </w:p>
        </w:tc>
        <w:tc>
          <w:tcPr>
            <w:shd w:val="clear" w:fill="auto" w:color="auto"/>
            <w:tcW w:w="3860" w:type="pct"/>
            <w:textDirection w:val="lrTb"/>
            <w:noWrap w:val="false"/>
          </w:tcPr>
          <w:p>
            <w:pPr>
              <w:pStyle w:val="1005"/>
              <w:ind w:left="57" w:right="57"/>
            </w:pPr>
            <w:r>
              <w:t xml:space="preserve">Значение вводится вручную.</w:t>
            </w:r>
            <w:r/>
          </w:p>
        </w:tc>
      </w:tr>
      <w:tr>
        <w:trPr/>
        <w:tc>
          <w:tcPr>
            <w:shd w:val="clear" w:fill="auto" w:color="auto"/>
            <w:tcW w:w="1140" w:type="pct"/>
            <w:textDirection w:val="lrTb"/>
            <w:noWrap w:val="false"/>
          </w:tcPr>
          <w:p>
            <w:pPr>
              <w:pStyle w:val="1005"/>
              <w:ind w:left="57" w:right="57"/>
            </w:pPr>
            <w:r>
              <w:t xml:space="preserve">Дата заявки</w:t>
            </w:r>
            <w:r/>
          </w:p>
        </w:tc>
        <w:tc>
          <w:tcPr>
            <w:shd w:val="clear" w:fill="auto" w:color="auto"/>
            <w:tcW w:w="3860" w:type="pct"/>
            <w:textDirection w:val="lrTb"/>
            <w:noWrap w:val="false"/>
          </w:tcPr>
          <w:p>
            <w:pPr>
              <w:pStyle w:val="1005"/>
              <w:ind w:left="57" w:right="57"/>
            </w:pPr>
            <w:r>
              <w:t xml:space="preserve">Значение по умолчанию текущая дата. </w:t>
            </w:r>
            <w:r/>
          </w:p>
          <w:p>
            <w:pPr>
              <w:pStyle w:val="1005"/>
              <w:ind w:left="57" w:right="57"/>
            </w:pPr>
            <w:r>
              <w:t xml:space="preserve">Может быть выбрана пользователем из системного календ</w:t>
            </w:r>
            <w:r>
              <w:t xml:space="preserve">а</w:t>
            </w:r>
            <w:r>
              <w:t xml:space="preserve">ря.</w:t>
            </w:r>
            <w:r/>
          </w:p>
          <w:p>
            <w:pPr>
              <w:pStyle w:val="1005"/>
              <w:ind w:left="57" w:right="57"/>
            </w:pPr>
            <w:r>
              <w:t xml:space="preserve">Используется для выбора шаблона печати.</w:t>
            </w:r>
            <w:r/>
          </w:p>
        </w:tc>
      </w:tr>
      <w:tr>
        <w:trPr/>
        <w:tc>
          <w:tcPr>
            <w:shd w:val="clear" w:fill="auto" w:color="auto"/>
            <w:tcW w:w="1140" w:type="pct"/>
            <w:textDirection w:val="lrTb"/>
            <w:noWrap w:val="false"/>
          </w:tcPr>
          <w:p>
            <w:pPr>
              <w:pStyle w:val="1005"/>
              <w:ind w:left="57" w:right="57"/>
            </w:pPr>
            <w:r>
              <w:t xml:space="preserve">Статус</w:t>
            </w:r>
            <w:r/>
          </w:p>
        </w:tc>
        <w:tc>
          <w:tcPr>
            <w:shd w:val="clear" w:fill="auto" w:color="auto"/>
            <w:tcW w:w="3860" w:type="pct"/>
            <w:textDirection w:val="lrTb"/>
            <w:noWrap w:val="false"/>
          </w:tcPr>
          <w:p>
            <w:pPr>
              <w:pStyle w:val="1005"/>
              <w:ind w:left="57" w:right="57"/>
            </w:pPr>
            <w:r>
              <w:t xml:space="preserve">Код бизнес-статуса документа.</w:t>
            </w:r>
            <w:r/>
          </w:p>
          <w:p>
            <w:pPr>
              <w:pStyle w:val="1005"/>
              <w:ind w:left="57" w:right="57"/>
            </w:pPr>
            <w:r>
              <w:t xml:space="preserve">Значение заполняется автоматически или передается из OEBS.</w:t>
            </w:r>
            <w:r/>
          </w:p>
        </w:tc>
      </w:tr>
      <w:tr>
        <w:trPr/>
        <w:tc>
          <w:tcPr>
            <w:shd w:val="clear" w:fill="auto" w:color="auto"/>
            <w:tcW w:w="1140" w:type="pct"/>
            <w:textDirection w:val="lrTb"/>
            <w:noWrap w:val="false"/>
          </w:tcPr>
          <w:p>
            <w:pPr>
              <w:pStyle w:val="1005"/>
              <w:ind w:left="57" w:right="57"/>
            </w:pPr>
            <w:r>
              <w:t xml:space="preserve">Сумма</w:t>
            </w:r>
            <w:r/>
          </w:p>
        </w:tc>
        <w:tc>
          <w:tcPr>
            <w:shd w:val="clear" w:fill="auto" w:color="auto"/>
            <w:tcW w:w="3860" w:type="pct"/>
            <w:textDirection w:val="lrTb"/>
            <w:noWrap w:val="false"/>
          </w:tcPr>
          <w:p>
            <w:pPr>
              <w:pStyle w:val="1005"/>
              <w:ind w:left="57" w:right="57"/>
            </w:pPr>
            <w:r>
              <w:t xml:space="preserve">Значение вводится вручную.</w:t>
            </w:r>
            <w:r/>
          </w:p>
        </w:tc>
      </w:tr>
      <w:tr>
        <w:trPr/>
        <w:tc>
          <w:tcPr>
            <w:shd w:val="clear" w:fill="auto" w:color="auto"/>
            <w:tcW w:w="1140" w:type="pct"/>
            <w:textDirection w:val="lrTb"/>
            <w:noWrap w:val="false"/>
          </w:tcPr>
          <w:p>
            <w:pPr>
              <w:pStyle w:val="1005"/>
              <w:ind w:left="57" w:right="57"/>
            </w:pPr>
            <w:r>
              <w:t xml:space="preserve">Отклонение по строкам</w:t>
            </w:r>
            <w:r/>
          </w:p>
        </w:tc>
        <w:tc>
          <w:tcPr>
            <w:shd w:val="clear" w:fill="auto" w:color="auto"/>
            <w:tcW w:w="3860" w:type="pct"/>
            <w:textDirection w:val="lrTb"/>
            <w:noWrap w:val="false"/>
          </w:tcPr>
          <w:p>
            <w:pPr>
              <w:pStyle w:val="1005"/>
              <w:ind w:left="57" w:right="57"/>
            </w:pPr>
            <w:r>
              <w:t xml:space="preserve">Выводится сумма расхождения между значением поля «Сумма» и суммарным значением строчных сумм из Ра</w:t>
            </w:r>
            <w:r>
              <w:t xml:space="preserve">з</w:t>
            </w:r>
            <w:r>
              <w:t xml:space="preserve">дела Расшифровка заявки.</w:t>
            </w:r>
            <w:r/>
          </w:p>
          <w:p>
            <w:pPr>
              <w:pStyle w:val="1005"/>
              <w:ind w:left="57" w:right="57"/>
            </w:pPr>
            <w:r>
              <w:t xml:space="preserve">Значение выводится по модулю.</w:t>
            </w:r>
            <w:r/>
          </w:p>
          <w:p>
            <w:pPr>
              <w:pStyle w:val="1005"/>
              <w:ind w:left="57" w:right="57"/>
            </w:pPr>
            <w:r>
              <w:t xml:space="preserve">Отклонение рассчитывается для всех значений поля «Источник финансирования», за исключением значения «30» – средства во временном распоряж</w:t>
            </w:r>
            <w:r>
              <w:t xml:space="preserve">е</w:t>
            </w:r>
            <w:r>
              <w:t xml:space="preserve">нии.</w:t>
            </w:r>
            <w:r/>
          </w:p>
        </w:tc>
      </w:tr>
      <w:tr>
        <w:trPr/>
        <w:tc>
          <w:tcPr>
            <w:shd w:val="clear" w:fill="auto" w:color="auto"/>
            <w:tcW w:w="1140" w:type="pct"/>
            <w:textDirection w:val="lrTb"/>
            <w:noWrap w:val="false"/>
          </w:tcPr>
          <w:p>
            <w:pPr>
              <w:pStyle w:val="1005"/>
              <w:ind w:left="57" w:right="57"/>
            </w:pPr>
            <w:r>
              <w:t xml:space="preserve">Уровень конфиденциальности</w:t>
            </w:r>
            <w:r/>
          </w:p>
        </w:tc>
        <w:tc>
          <w:tcPr>
            <w:shd w:val="clear" w:fill="auto" w:color="auto"/>
            <w:tcW w:w="3860" w:type="pct"/>
            <w:textDirection w:val="lrTb"/>
            <w:noWrap w:val="false"/>
          </w:tcPr>
          <w:p>
            <w:pPr>
              <w:pStyle w:val="1005"/>
              <w:ind w:left="57" w:right="57"/>
            </w:pPr>
            <w:r>
              <w:t xml:space="preserve">Заполняется вручную. По умолчанию не заполнено.</w:t>
            </w:r>
            <w:r/>
          </w:p>
          <w:p>
            <w:pPr>
              <w:pStyle w:val="1005"/>
              <w:ind w:left="57" w:right="57"/>
            </w:pPr>
            <w:r>
              <w:t xml:space="preserve">Поле заполняется значением «1» (</w:t>
            </w:r>
            <w:r>
              <w:t xml:space="preserve">ДСП</w:t>
            </w:r>
            <w:r>
              <w:t xml:space="preserve">) или «0» (не секретно).</w:t>
            </w:r>
            <w:r/>
          </w:p>
        </w:tc>
      </w:tr>
      <w:tr>
        <w:trPr/>
        <w:tc>
          <w:tcPr>
            <w:gridSpan w:val="2"/>
            <w:shd w:val="clear" w:fill="auto" w:color="auto"/>
            <w:tcW w:w="5000" w:type="pct"/>
            <w:textDirection w:val="lrTb"/>
            <w:noWrap w:val="false"/>
          </w:tcPr>
          <w:p>
            <w:pPr>
              <w:pStyle w:val="1005"/>
              <w:ind w:left="57" w:right="57"/>
            </w:pPr>
            <w:r>
              <w:t xml:space="preserve">Закладка «Заголовок (1)»</w:t>
            </w:r>
            <w:r/>
          </w:p>
        </w:tc>
      </w:tr>
      <w:tr>
        <w:trPr/>
        <w:tc>
          <w:tcPr>
            <w:shd w:val="clear" w:fill="auto" w:color="auto"/>
            <w:tcW w:w="1140" w:type="pct"/>
            <w:textDirection w:val="lrTb"/>
            <w:noWrap w:val="false"/>
          </w:tcPr>
          <w:p>
            <w:pPr>
              <w:pStyle w:val="1005"/>
              <w:ind w:left="57" w:right="57"/>
            </w:pPr>
            <w:r>
              <w:t xml:space="preserve">Клиент</w:t>
            </w:r>
            <w:r/>
          </w:p>
        </w:tc>
        <w:tc>
          <w:tcPr>
            <w:shd w:val="clear" w:fill="auto" w:color="auto"/>
            <w:tcW w:w="3860" w:type="pct"/>
            <w:textDirection w:val="lrTb"/>
            <w:noWrap w:val="false"/>
          </w:tcPr>
          <w:p>
            <w:pPr>
              <w:pStyle w:val="1005"/>
              <w:ind w:left="57" w:right="57"/>
            </w:pPr>
            <w:r>
              <w:t xml:space="preserve">Заполняется автоматически при указании родительского документа.</w:t>
            </w:r>
            <w:r/>
          </w:p>
          <w:p>
            <w:pPr>
              <w:pStyle w:val="1005"/>
              <w:ind w:left="57" w:right="57"/>
            </w:pPr>
            <w:r>
              <w:t xml:space="preserve">Может быть изменено вручную.</w:t>
            </w:r>
            <w:r/>
          </w:p>
        </w:tc>
      </w:tr>
      <w:tr>
        <w:trPr/>
        <w:tc>
          <w:tcPr>
            <w:shd w:val="clear" w:fill="auto" w:color="auto"/>
            <w:tcW w:w="1140" w:type="pct"/>
            <w:textDirection w:val="lrTb"/>
            <w:noWrap w:val="false"/>
          </w:tcPr>
          <w:p>
            <w:pPr>
              <w:pStyle w:val="1005"/>
              <w:ind w:left="57" w:right="57"/>
            </w:pPr>
            <w:r>
              <w:t xml:space="preserve">П</w:t>
            </w:r>
            <w:r>
              <w:t xml:space="preserve">о Сводному реестру</w:t>
            </w:r>
            <w:r/>
          </w:p>
        </w:tc>
        <w:tc>
          <w:tcPr>
            <w:shd w:val="clear" w:fill="auto" w:color="auto"/>
            <w:tcW w:w="3860" w:type="pct"/>
            <w:textDirection w:val="lrTb"/>
            <w:noWrap w:val="false"/>
          </w:tcPr>
          <w:p>
            <w:pPr>
              <w:pStyle w:val="1005"/>
              <w:ind w:left="57" w:right="57"/>
            </w:pPr>
            <w:r>
              <w:t xml:space="preserve">Заполняется автоматически при указании родительского документа.</w:t>
            </w:r>
            <w:r/>
          </w:p>
          <w:p>
            <w:pPr>
              <w:pStyle w:val="1005"/>
              <w:ind w:left="57" w:right="57"/>
            </w:pPr>
            <w:r>
              <w:t xml:space="preserve">Может быть изменено пользователем вручную.</w:t>
            </w:r>
            <w:r/>
          </w:p>
        </w:tc>
      </w:tr>
      <w:tr>
        <w:trPr/>
        <w:tc>
          <w:tcPr>
            <w:shd w:val="clear" w:fill="auto" w:color="auto"/>
            <w:tcW w:w="1140" w:type="pct"/>
            <w:textDirection w:val="lrTb"/>
            <w:noWrap w:val="false"/>
          </w:tcPr>
          <w:p>
            <w:pPr>
              <w:pStyle w:val="1005"/>
              <w:ind w:left="57" w:right="57"/>
            </w:pPr>
            <w:r>
              <w:t xml:space="preserve">Номер лицевого счета</w:t>
            </w:r>
            <w:r/>
          </w:p>
        </w:tc>
        <w:tc>
          <w:tcPr>
            <w:shd w:val="clear" w:fill="auto" w:color="auto"/>
            <w:tcW w:w="3860" w:type="pct"/>
            <w:textDirection w:val="lrTb"/>
            <w:noWrap w:val="false"/>
          </w:tcPr>
          <w:p>
            <w:pPr>
              <w:pStyle w:val="1005"/>
              <w:ind w:left="57" w:right="57"/>
            </w:pPr>
            <w:r>
              <w:t xml:space="preserve">Заполняется автоматически при указании пользователем родительского документа.</w:t>
            </w:r>
            <w:r/>
          </w:p>
          <w:p>
            <w:pPr>
              <w:pStyle w:val="1005"/>
              <w:ind w:left="57" w:right="57"/>
            </w:pPr>
            <w:r>
              <w:t xml:space="preserve">Заполняется вручную, либо выбором значения из </w:t>
            </w:r>
            <w:r>
              <w:t xml:space="preserve">справочника «Информация о </w:t>
            </w:r>
            <w:r>
              <w:t xml:space="preserve">ЛС» (выбор записей ограничен ЛС, для которых: первые 2 цифры значения поля «ТОФК» = первым двум цифрам значения константы «Код собственн</w:t>
            </w:r>
            <w:r>
              <w:t xml:space="preserve">о</w:t>
            </w:r>
            <w:r>
              <w:t xml:space="preserve">го ТОФК»).</w:t>
            </w:r>
            <w:r/>
          </w:p>
          <w:p>
            <w:pPr>
              <w:pStyle w:val="1005"/>
              <w:ind w:left="57" w:right="57"/>
            </w:pPr>
            <w:r>
              <w:t xml:space="preserve">При указании в поле «Номер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w:t>
            </w:r>
            <w:r>
              <w:t xml:space="preserve">перезаполн</w:t>
            </w:r>
            <w:r>
              <w:t xml:space="preserve">яются</w:t>
            </w:r>
            <w:r>
              <w:t xml:space="preserve"> </w:t>
            </w:r>
            <w:r>
              <w:t xml:space="preserve">следующие поля документа:</w:t>
            </w:r>
            <w:r/>
          </w:p>
          <w:p>
            <w:pPr>
              <w:pStyle w:val="1008"/>
              <w:numPr>
                <w:ilvl w:val="0"/>
                <w:numId w:val="73"/>
              </w:numPr>
            </w:pPr>
            <w:r>
              <w:t xml:space="preserve">Код бюджета (код бюджета из справочника «Информация о ЛС»).</w:t>
            </w:r>
            <w:r/>
          </w:p>
          <w:p>
            <w:pPr>
              <w:pStyle w:val="1008"/>
            </w:pPr>
            <w:r>
              <w:t xml:space="preserve">Клиент (полное наименование владельца ЛС из справочника «Информация о ЛС»);</w:t>
            </w:r>
            <w:r/>
          </w:p>
          <w:p>
            <w:pPr>
              <w:pStyle w:val="1008"/>
            </w:pPr>
            <w:r>
              <w:t xml:space="preserve">Код по сводному реестру.</w:t>
            </w:r>
            <w:r/>
          </w:p>
          <w:p>
            <w:pPr>
              <w:pStyle w:val="1008"/>
            </w:pPr>
            <w:r>
              <w:t xml:space="preserve">Код главы (ведомство из справочника «Информация о ЛС»).</w:t>
            </w:r>
            <w:r/>
          </w:p>
          <w:p>
            <w:pPr>
              <w:pStyle w:val="1008"/>
            </w:pPr>
            <w:r>
              <w:t xml:space="preserve">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r/>
          </w:p>
          <w:p>
            <w:pPr>
              <w:pStyle w:val="1008"/>
            </w:pPr>
            <w:r>
              <w:t xml:space="preserve">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r/>
          </w:p>
        </w:tc>
      </w:tr>
      <w:tr>
        <w:trPr/>
        <w:tc>
          <w:tcPr>
            <w:shd w:val="clear" w:fill="auto" w:color="auto"/>
            <w:tcW w:w="1140" w:type="pct"/>
            <w:textDirection w:val="lrTb"/>
            <w:noWrap w:val="false"/>
          </w:tcPr>
          <w:p>
            <w:pPr>
              <w:pStyle w:val="1005"/>
              <w:ind w:left="57" w:right="57"/>
            </w:pPr>
            <w:r>
              <w:t xml:space="preserve">ИНН</w:t>
            </w:r>
            <w:r/>
          </w:p>
        </w:tc>
        <w:tc>
          <w:tcPr>
            <w:shd w:val="clear" w:fill="auto" w:color="auto"/>
            <w:tcW w:w="3860" w:type="pct"/>
            <w:textDirection w:val="lrTb"/>
            <w:noWrap w:val="false"/>
          </w:tcPr>
          <w:p>
            <w:pPr>
              <w:pStyle w:val="1005"/>
              <w:ind w:left="57" w:right="57"/>
            </w:pPr>
            <w:r>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w:t>
            </w:r>
            <w:r>
              <w:t xml:space="preserve">«</w:t>
            </w:r>
            <w:r>
              <w:t xml:space="preserve">Код бюджета</w:t>
            </w:r>
            <w:r>
              <w:t xml:space="preserve">»</w:t>
            </w:r>
            <w:r>
              <w:t xml:space="preserve"> и поле документа «по Сводному реестру» = «Код организации по СР»).</w:t>
            </w:r>
            <w:r>
              <w:t xml:space="preserve"> </w:t>
            </w:r>
            <w:r/>
          </w:p>
          <w:p>
            <w:pPr>
              <w:pStyle w:val="1005"/>
              <w:ind w:left="57" w:right="57"/>
            </w:pPr>
            <w:r>
              <w:t xml:space="preserve">Может быть изменено пользователем вручную.</w:t>
            </w:r>
            <w:r/>
          </w:p>
        </w:tc>
      </w:tr>
      <w:tr>
        <w:trPr/>
        <w:tc>
          <w:tcPr>
            <w:shd w:val="clear" w:fill="auto" w:color="auto"/>
            <w:tcW w:w="1140" w:type="pct"/>
            <w:textDirection w:val="lrTb"/>
            <w:noWrap w:val="false"/>
          </w:tcPr>
          <w:p>
            <w:pPr>
              <w:pStyle w:val="1005"/>
              <w:ind w:left="57" w:right="57"/>
            </w:pPr>
            <w:r>
              <w:t xml:space="preserve">КПП</w:t>
            </w:r>
            <w:r/>
          </w:p>
        </w:tc>
        <w:tc>
          <w:tcPr>
            <w:shd w:val="clear" w:fill="auto" w:color="auto"/>
            <w:tcW w:w="3860" w:type="pct"/>
            <w:textDirection w:val="lrTb"/>
            <w:noWrap w:val="false"/>
          </w:tcPr>
          <w:p>
            <w:pPr>
              <w:pStyle w:val="1005"/>
              <w:ind w:left="57" w:right="57"/>
            </w:pPr>
            <w:r>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w:t>
            </w:r>
            <w:r>
              <w:t xml:space="preserve">«</w:t>
            </w:r>
            <w:r>
              <w:t xml:space="preserve">Код бюджета</w:t>
            </w:r>
            <w:r>
              <w:t xml:space="preserve">»</w:t>
            </w:r>
            <w:r>
              <w:t xml:space="preserve"> и поле документа «по Сводному реестру» = «Код организации по СР»).</w:t>
            </w:r>
            <w:r>
              <w:t xml:space="preserve"> </w:t>
            </w:r>
            <w:r/>
          </w:p>
          <w:p>
            <w:pPr>
              <w:pStyle w:val="1005"/>
              <w:ind w:left="57" w:right="57"/>
            </w:pPr>
            <w:r>
              <w:t xml:space="preserve">Может быть изменено пользователем вручную.</w:t>
            </w:r>
            <w:r/>
          </w:p>
        </w:tc>
      </w:tr>
      <w:tr>
        <w:trPr/>
        <w:tc>
          <w:tcPr>
            <w:shd w:val="clear" w:fill="auto" w:color="auto"/>
            <w:tcW w:w="1140" w:type="pct"/>
            <w:textDirection w:val="lrTb"/>
            <w:noWrap w:val="false"/>
          </w:tcPr>
          <w:p>
            <w:pPr>
              <w:pStyle w:val="1005"/>
              <w:ind w:left="57" w:right="57"/>
            </w:pPr>
            <w:r>
              <w:t xml:space="preserve">ФК, орган ФК</w:t>
            </w:r>
            <w:r/>
          </w:p>
        </w:tc>
        <w:tc>
          <w:tcPr>
            <w:shd w:val="clear" w:fill="auto" w:color="auto"/>
            <w:tcW w:w="3860" w:type="pct"/>
            <w:textDirection w:val="lrTb"/>
            <w:noWrap w:val="false"/>
          </w:tcPr>
          <w:p>
            <w:pPr>
              <w:pStyle w:val="1005"/>
              <w:ind w:left="57" w:right="57"/>
            </w:pPr>
            <w:r>
              <w:t xml:space="preserve">Заполняется автоматически при указании пользователем родительского документа.</w:t>
            </w:r>
            <w:r/>
          </w:p>
          <w:p>
            <w:pPr>
              <w:pStyle w:val="1005"/>
              <w:ind w:left="57" w:right="57"/>
            </w:pPr>
            <w:r>
              <w:t xml:space="preserve">Значение поля подтягивается по полю </w:t>
            </w:r>
            <w:r>
              <w:t xml:space="preserve">«</w:t>
            </w:r>
            <w:r>
              <w:t xml:space="preserve">по КОФК</w:t>
            </w:r>
            <w:r>
              <w:t xml:space="preserve">»</w:t>
            </w:r>
            <w:r>
              <w:t xml:space="preserve"> из справочника органов ФК из поля </w:t>
            </w:r>
            <w:r>
              <w:t xml:space="preserve">«</w:t>
            </w:r>
            <w:r>
              <w:t xml:space="preserve">Полное наименование</w:t>
            </w:r>
            <w:r>
              <w:t xml:space="preserve">»</w:t>
            </w:r>
            <w:r>
              <w:t xml:space="preserve">.</w:t>
            </w:r>
            <w:r/>
          </w:p>
          <w:p>
            <w:pPr>
              <w:pStyle w:val="1005"/>
              <w:ind w:left="57" w:right="57"/>
            </w:pPr>
            <w:r>
              <w:t xml:space="preserve">Может быть изменено пользователем вручную</w:t>
            </w:r>
            <w:r>
              <w:t xml:space="preserve">.</w:t>
            </w:r>
            <w:r/>
          </w:p>
        </w:tc>
      </w:tr>
      <w:tr>
        <w:trPr/>
        <w:tc>
          <w:tcPr>
            <w:shd w:val="clear" w:fill="auto" w:color="auto"/>
            <w:tcW w:w="1140" w:type="pct"/>
            <w:textDirection w:val="lrTb"/>
            <w:noWrap w:val="false"/>
          </w:tcPr>
          <w:p>
            <w:pPr>
              <w:pStyle w:val="1005"/>
              <w:ind w:left="57" w:right="57"/>
            </w:pPr>
            <w:r>
              <w:t xml:space="preserve">По КОФК</w:t>
            </w:r>
            <w:r/>
          </w:p>
        </w:tc>
        <w:tc>
          <w:tcPr>
            <w:shd w:val="clear" w:fill="auto" w:color="auto"/>
            <w:tcW w:w="3860" w:type="pct"/>
            <w:textDirection w:val="lrTb"/>
            <w:noWrap w:val="false"/>
          </w:tcPr>
          <w:p>
            <w:pPr>
              <w:pStyle w:val="1005"/>
              <w:ind w:left="57" w:right="57"/>
            </w:pPr>
            <w:r>
              <w:t xml:space="preserve">Заполняется автоматически при указании пользователем родительского документа.</w:t>
            </w:r>
            <w:r/>
          </w:p>
          <w:p>
            <w:pPr>
              <w:pStyle w:val="1005"/>
              <w:ind w:left="57" w:right="57"/>
            </w:pPr>
            <w:r>
              <w:t xml:space="preserve">Проверяется значение константы </w:t>
            </w:r>
            <w:r>
              <w:t xml:space="preserve">«Код собственного ТОФК»</w:t>
            </w:r>
            <w:r>
              <w:t xml:space="preserve">.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w:t>
            </w:r>
            <w:r>
              <w:t xml:space="preserve">«Код собственного ТОФК»</w:t>
            </w:r>
            <w:r>
              <w:t xml:space="preserve">.</w:t>
            </w:r>
            <w:r/>
          </w:p>
          <w:p>
            <w:pPr>
              <w:pStyle w:val="1005"/>
              <w:ind w:left="57" w:right="57"/>
            </w:pPr>
            <w:r>
              <w:t xml:space="preserve">Может быть изменено пользователем вручную или выбором из </w:t>
            </w:r>
            <w:r>
              <w:t xml:space="preserve">справочника «Органы ФК»</w:t>
            </w:r>
            <w:r>
              <w:t xml:space="preserve">.</w:t>
            </w:r>
            <w:r/>
          </w:p>
        </w:tc>
      </w:tr>
      <w:tr>
        <w:trPr/>
        <w:tc>
          <w:tcPr>
            <w:shd w:val="clear" w:fill="auto" w:color="auto"/>
            <w:tcW w:w="1140" w:type="pct"/>
            <w:textDirection w:val="lrTb"/>
            <w:noWrap w:val="false"/>
          </w:tcPr>
          <w:p>
            <w:pPr>
              <w:pStyle w:val="1005"/>
              <w:ind w:left="57" w:right="57"/>
            </w:pPr>
            <w:r>
              <w:t xml:space="preserve">Вид средств</w:t>
            </w:r>
            <w:r/>
          </w:p>
        </w:tc>
        <w:tc>
          <w:tcPr>
            <w:shd w:val="clear" w:fill="auto" w:color="auto"/>
            <w:tcW w:w="3860" w:type="pct"/>
            <w:textDirection w:val="lrTb"/>
            <w:noWrap w:val="false"/>
          </w:tcPr>
          <w:p>
            <w:pPr>
              <w:pStyle w:val="1005"/>
              <w:ind w:left="57" w:right="57"/>
            </w:pPr>
            <w:r>
              <w:t xml:space="preserve">Заполняется автоматически при указании пользователем родительского документа.</w:t>
            </w:r>
            <w:r/>
          </w:p>
          <w:p>
            <w:pPr>
              <w:pStyle w:val="1005"/>
              <w:ind w:left="57" w:right="57"/>
            </w:pPr>
            <w:r>
              <w:t xml:space="preserve">Может быть изменено пользователем вручную или выбором из справо</w:t>
            </w:r>
            <w:r>
              <w:t xml:space="preserve">ч</w:t>
            </w:r>
            <w:r>
              <w:t xml:space="preserve">ника «Источники финансирования». </w:t>
            </w:r>
            <w:r/>
          </w:p>
          <w:p>
            <w:pPr>
              <w:pStyle w:val="1005"/>
              <w:ind w:left="57" w:right="57"/>
            </w:pPr>
            <w:r>
              <w:t xml:space="preserve">При вводе документа от БУ значение проставляется автоматически: 31 типу ЛС соответствует код 40</w:t>
            </w:r>
            <w:r>
              <w:t xml:space="preserve"> – </w:t>
            </w:r>
            <w:r>
              <w:t xml:space="preserve">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либо код 90</w:t>
            </w:r>
            <w:r>
              <w:t xml:space="preserve"> – </w:t>
            </w:r>
            <w:r>
              <w:t xml:space="preserve">Средства юридических лиц, если тип</w:t>
            </w:r>
            <w:r>
              <w:t xml:space="preserve"> – </w:t>
            </w:r>
            <w:r>
              <w:t xml:space="preserve">«АУ».</w:t>
            </w:r>
            <w:r/>
          </w:p>
        </w:tc>
      </w:tr>
      <w:tr>
        <w:trPr/>
        <w:tc>
          <w:tcPr>
            <w:shd w:val="clear" w:fill="auto" w:color="auto"/>
            <w:tcW w:w="1140" w:type="pct"/>
            <w:textDirection w:val="lrTb"/>
            <w:noWrap w:val="false"/>
          </w:tcPr>
          <w:p>
            <w:pPr>
              <w:pStyle w:val="1005"/>
              <w:ind w:left="57" w:right="57"/>
            </w:pPr>
            <w:r>
              <w:t xml:space="preserve">Код валюты по ОКВ</w:t>
            </w:r>
            <w:r/>
          </w:p>
        </w:tc>
        <w:tc>
          <w:tcPr>
            <w:shd w:val="clear" w:fill="auto" w:color="auto"/>
            <w:tcW w:w="3860" w:type="pct"/>
            <w:textDirection w:val="lrTb"/>
            <w:noWrap w:val="false"/>
          </w:tcPr>
          <w:p>
            <w:pPr>
              <w:pStyle w:val="1005"/>
              <w:ind w:left="57" w:right="57"/>
            </w:pPr>
            <w:r>
              <w:t xml:space="preserve">Заполняется автоматически при импорте документа.</w:t>
            </w:r>
            <w:r/>
          </w:p>
          <w:p>
            <w:pPr>
              <w:pStyle w:val="1005"/>
              <w:ind w:left="57" w:right="57"/>
            </w:pPr>
            <w:r>
              <w:t xml:space="preserve">При ручном вводе документа заполняется по правилам:</w:t>
            </w:r>
            <w:r/>
          </w:p>
          <w:p>
            <w:pPr>
              <w:pStyle w:val="1007"/>
            </w:pPr>
            <w:r>
              <w:t xml:space="preserve">в</w:t>
            </w:r>
            <w:r>
              <w:t xml:space="preserve"> справочнике «Банковские карты» для карты, указанной в документе, определяются реквизиты счета </w:t>
            </w:r>
            <w:r>
              <w:t xml:space="preserve">№ 40116, к которому выпущена кар</w:t>
            </w:r>
            <w:r>
              <w:t xml:space="preserve">та.</w:t>
            </w:r>
            <w:r>
              <w:t xml:space="preserve"> </w:t>
            </w:r>
            <w:r>
              <w:t xml:space="preserve">Если значение символов 6 – 8 номера счета № 40116 равно «810», то заполняется значением «643».</w:t>
            </w:r>
            <w:r/>
          </w:p>
        </w:tc>
      </w:tr>
      <w:tr>
        <w:trPr/>
        <w:tc>
          <w:tcPr>
            <w:shd w:val="clear" w:fill="auto" w:color="auto"/>
            <w:tcW w:w="1140" w:type="pct"/>
            <w:textDirection w:val="lrTb"/>
            <w:noWrap w:val="false"/>
          </w:tcPr>
          <w:p>
            <w:pPr>
              <w:pStyle w:val="1005"/>
              <w:ind w:left="57" w:right="57"/>
            </w:pPr>
            <w:r>
              <w:t xml:space="preserve">Учетный номер обязательства</w:t>
            </w:r>
            <w:r/>
          </w:p>
        </w:tc>
        <w:tc>
          <w:tcPr>
            <w:shd w:val="clear" w:fill="auto" w:color="auto"/>
            <w:tcW w:w="3860" w:type="pct"/>
            <w:textDirection w:val="lrTb"/>
            <w:noWrap w:val="false"/>
          </w:tcPr>
          <w:p>
            <w:pPr>
              <w:pStyle w:val="1005"/>
              <w:ind w:left="57" w:right="57"/>
            </w:pPr>
            <w:r>
              <w:t xml:space="preserve">Значение может вводиться вручную или заполнятся автоматически при выборе родительского документа. </w:t>
            </w:r>
            <w:r/>
          </w:p>
          <w:p>
            <w:pPr>
              <w:pStyle w:val="1005"/>
              <w:ind w:left="57" w:right="57"/>
            </w:pPr>
            <w:r>
              <w:t xml:space="preserve">Значение передается из </w:t>
            </w:r>
            <w:r>
              <w:t xml:space="preserve">OEBS</w:t>
            </w:r>
            <w:r>
              <w:t xml:space="preserve">.</w:t>
            </w:r>
            <w:r/>
          </w:p>
        </w:tc>
      </w:tr>
      <w:tr>
        <w:trPr/>
        <w:tc>
          <w:tcPr>
            <w:shd w:val="clear" w:fill="auto" w:color="auto"/>
            <w:tcW w:w="1140" w:type="pct"/>
            <w:textDirection w:val="lrTb"/>
            <w:noWrap w:val="false"/>
          </w:tcPr>
          <w:p>
            <w:pPr>
              <w:pStyle w:val="1005"/>
              <w:ind w:left="57" w:right="57"/>
            </w:pPr>
            <w:r>
              <w:t xml:space="preserve">Код объекта ФАИП</w:t>
            </w:r>
            <w:r/>
          </w:p>
        </w:tc>
        <w:tc>
          <w:tcPr>
            <w:shd w:val="clear" w:fill="auto" w:color="auto"/>
            <w:tcW w:w="3860" w:type="pct"/>
            <w:textDirection w:val="lrTb"/>
            <w:noWrap w:val="false"/>
          </w:tcPr>
          <w:p>
            <w:pPr>
              <w:pStyle w:val="1005"/>
              <w:ind w:left="57" w:right="57"/>
            </w:pPr>
            <w:r>
              <w:t xml:space="preserve">Заполняется в соответствии со справочником «ФАИП», по которому должна быть произведена кассовая выплата в целях реализации ФАИП.</w:t>
            </w:r>
            <w:r/>
          </w:p>
          <w:p>
            <w:pPr>
              <w:pStyle w:val="1005"/>
              <w:ind w:left="57" w:right="57"/>
            </w:pPr>
            <w:r>
              <w:t xml:space="preserve">Для выбора из справочника ФАИП доступны все записи, у которых признак актуальности указан «Да», и значение поля «Дата с» </w:t>
            </w:r>
            <w:r>
              <w:t xml:space="preserve">меньше или равна</w:t>
            </w:r>
            <w:r>
              <w:t xml:space="preserve"> дате док</w:t>
            </w:r>
            <w:r>
              <w:t xml:space="preserve">у</w:t>
            </w:r>
            <w:r>
              <w:t xml:space="preserve">мента (т.е. значение поля «Дата по» не учитывается </w:t>
            </w:r>
            <w:r>
              <w:t xml:space="preserve">–</w:t>
            </w:r>
            <w:r>
              <w:t xml:space="preserve"> выводятся все записи прошлых лет).</w:t>
            </w:r>
            <w:r/>
          </w:p>
          <w:p>
            <w:pPr>
              <w:pStyle w:val="1005"/>
              <w:ind w:left="57" w:right="57"/>
            </w:pPr>
            <w:r>
              <w:t xml:space="preserve">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r/>
          </w:p>
        </w:tc>
      </w:tr>
      <w:tr>
        <w:trPr/>
        <w:tc>
          <w:tcPr>
            <w:shd w:val="clear" w:fill="auto" w:color="auto"/>
            <w:tcW w:w="1140" w:type="pct"/>
            <w:textDirection w:val="lrTb"/>
            <w:noWrap w:val="false"/>
          </w:tcPr>
          <w:p>
            <w:pPr>
              <w:pStyle w:val="1005"/>
              <w:ind w:left="57" w:right="57"/>
            </w:pPr>
            <w:r>
              <w:t xml:space="preserve">ИГК</w:t>
            </w:r>
            <w:r/>
          </w:p>
        </w:tc>
        <w:tc>
          <w:tcPr>
            <w:shd w:val="clear" w:fill="auto" w:color="auto"/>
            <w:tcW w:w="3860" w:type="pct"/>
            <w:textDirection w:val="lrTb"/>
            <w:noWrap w:val="false"/>
          </w:tcPr>
          <w:p>
            <w:pPr>
              <w:pStyle w:val="1005"/>
              <w:ind w:left="57" w:right="57"/>
            </w:pPr>
            <w:r>
              <w:t xml:space="preserve">На АРМ ФО недоступно для ввода и редактирования.</w:t>
            </w:r>
            <w:r/>
          </w:p>
        </w:tc>
      </w:tr>
      <w:tr>
        <w:trPr/>
        <w:tc>
          <w:tcPr>
            <w:gridSpan w:val="2"/>
            <w:shd w:val="clear" w:fill="auto" w:color="auto"/>
            <w:tcW w:w="5000" w:type="pct"/>
            <w:textDirection w:val="lrTb"/>
            <w:noWrap w:val="false"/>
          </w:tcPr>
          <w:p>
            <w:pPr>
              <w:pStyle w:val="1005"/>
              <w:ind w:left="57" w:right="57"/>
            </w:pPr>
            <w:r>
              <w:t xml:space="preserve">Закладка «Заголовок (1)</w:t>
            </w:r>
            <w:r>
              <w:t xml:space="preserve">», группа полей «</w:t>
            </w:r>
            <w:r>
              <w:t xml:space="preserve">Реквизиты карты банка»</w:t>
            </w:r>
            <w:r/>
          </w:p>
        </w:tc>
      </w:tr>
      <w:tr>
        <w:trPr/>
        <w:tc>
          <w:tcPr>
            <w:shd w:val="clear" w:fill="auto" w:color="auto"/>
            <w:tcW w:w="1140" w:type="pct"/>
            <w:textDirection w:val="lrTb"/>
            <w:noWrap w:val="false"/>
          </w:tcPr>
          <w:p>
            <w:pPr>
              <w:pStyle w:val="1005"/>
              <w:ind w:left="57" w:right="57"/>
            </w:pPr>
            <w:r>
              <w:t xml:space="preserve">Номер</w:t>
            </w:r>
            <w:r/>
          </w:p>
        </w:tc>
        <w:tc>
          <w:tcPr>
            <w:shd w:val="clear" w:fill="auto" w:color="auto"/>
            <w:tcW w:w="3860" w:type="pct"/>
            <w:textDirection w:val="lrTb"/>
            <w:noWrap w:val="false"/>
          </w:tcPr>
          <w:p>
            <w:pPr>
              <w:pStyle w:val="1005"/>
              <w:ind w:left="57" w:right="57"/>
            </w:pPr>
            <w:r>
              <w:t xml:space="preserve">Выбирается из справочника банковских карт.</w:t>
            </w:r>
            <w:r/>
          </w:p>
          <w:p>
            <w:pPr>
              <w:pStyle w:val="1005"/>
              <w:ind w:left="57" w:right="57"/>
            </w:pPr>
            <w:r>
              <w:t xml:space="preserve">Может быть отредактировано вручную.</w:t>
            </w:r>
            <w:r/>
          </w:p>
        </w:tc>
      </w:tr>
      <w:tr>
        <w:trPr/>
        <w:tc>
          <w:tcPr>
            <w:shd w:val="clear" w:fill="auto" w:color="auto"/>
            <w:tcW w:w="1140" w:type="pct"/>
            <w:textDirection w:val="lrTb"/>
            <w:noWrap w:val="false"/>
          </w:tcPr>
          <w:p>
            <w:pPr>
              <w:pStyle w:val="1005"/>
              <w:ind w:left="57" w:right="57"/>
            </w:pPr>
            <w:r>
              <w:t xml:space="preserve">Владелец: Долж</w:t>
            </w:r>
            <w:r>
              <w:t xml:space="preserve">ность</w:t>
            </w:r>
            <w:r/>
          </w:p>
        </w:tc>
        <w:tc>
          <w:tcPr>
            <w:shd w:val="clear" w:fill="auto" w:color="auto"/>
            <w:tcW w:w="3860" w:type="pct"/>
            <w:textDirection w:val="lrTb"/>
            <w:noWrap w:val="false"/>
          </w:tcPr>
          <w:p>
            <w:pPr>
              <w:pStyle w:val="1005"/>
              <w:ind w:left="57" w:right="57"/>
            </w:pPr>
            <w:r>
              <w:t xml:space="preserve">Заполняется вручную или автоматически из справочника банковских карт в </w:t>
            </w:r>
            <w:r>
              <w:t xml:space="preserve">соответствии с выбранной банковской картой, номер которой указан в поле «Номер карты».</w:t>
            </w:r>
            <w:r/>
          </w:p>
        </w:tc>
      </w:tr>
      <w:tr>
        <w:trPr/>
        <w:tc>
          <w:tcPr>
            <w:shd w:val="clear" w:fill="auto" w:color="auto"/>
            <w:tcW w:w="1140" w:type="pct"/>
            <w:textDirection w:val="lrTb"/>
            <w:noWrap w:val="false"/>
          </w:tcPr>
          <w:p>
            <w:pPr>
              <w:pStyle w:val="1005"/>
              <w:ind w:left="57" w:right="57"/>
            </w:pPr>
            <w:r>
              <w:t xml:space="preserve">Фамилия</w:t>
            </w:r>
            <w:r/>
          </w:p>
        </w:tc>
        <w:tc>
          <w:tcPr>
            <w:shd w:val="clear" w:fill="auto" w:color="auto"/>
            <w:tcW w:w="3860" w:type="pct"/>
            <w:textDirection w:val="lrTb"/>
            <w:noWrap w:val="false"/>
          </w:tcPr>
          <w:p>
            <w:pPr>
              <w:pStyle w:val="1005"/>
              <w:ind w:left="57" w:right="57"/>
            </w:pPr>
            <w:r>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r/>
          </w:p>
        </w:tc>
      </w:tr>
      <w:tr>
        <w:trPr/>
        <w:tc>
          <w:tcPr>
            <w:shd w:val="clear" w:fill="auto" w:color="auto"/>
            <w:tcW w:w="1140" w:type="pct"/>
            <w:textDirection w:val="lrTb"/>
            <w:noWrap w:val="false"/>
          </w:tcPr>
          <w:p>
            <w:pPr>
              <w:pStyle w:val="1005"/>
              <w:ind w:left="57" w:right="57"/>
            </w:pPr>
            <w:r>
              <w:t xml:space="preserve">Имя</w:t>
            </w:r>
            <w:r/>
          </w:p>
        </w:tc>
        <w:tc>
          <w:tcPr>
            <w:shd w:val="clear" w:fill="auto" w:color="auto"/>
            <w:tcW w:w="3860" w:type="pct"/>
            <w:textDirection w:val="lrTb"/>
            <w:noWrap w:val="false"/>
          </w:tcPr>
          <w:p>
            <w:pPr>
              <w:pStyle w:val="1005"/>
              <w:ind w:left="57" w:right="57"/>
            </w:pPr>
            <w:r>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r/>
          </w:p>
        </w:tc>
      </w:tr>
      <w:tr>
        <w:trPr/>
        <w:tc>
          <w:tcPr>
            <w:shd w:val="clear" w:fill="auto" w:color="auto"/>
            <w:tcW w:w="1140" w:type="pct"/>
            <w:textDirection w:val="lrTb"/>
            <w:noWrap w:val="false"/>
          </w:tcPr>
          <w:p>
            <w:pPr>
              <w:pStyle w:val="1005"/>
              <w:ind w:left="57" w:right="57"/>
            </w:pPr>
            <w:r>
              <w:t xml:space="preserve">Отчество</w:t>
            </w:r>
            <w:r/>
          </w:p>
        </w:tc>
        <w:tc>
          <w:tcPr>
            <w:shd w:val="clear" w:fill="auto" w:color="auto"/>
            <w:tcW w:w="3860" w:type="pct"/>
            <w:textDirection w:val="lrTb"/>
            <w:noWrap w:val="false"/>
          </w:tcPr>
          <w:p>
            <w:pPr>
              <w:pStyle w:val="1005"/>
              <w:ind w:left="57" w:right="57"/>
            </w:pPr>
            <w:r>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«Номер карты».</w:t>
            </w:r>
            <w:r/>
          </w:p>
        </w:tc>
      </w:tr>
      <w:tr>
        <w:trPr/>
        <w:tc>
          <w:tcPr>
            <w:gridSpan w:val="2"/>
            <w:shd w:val="clear" w:fill="auto" w:color="auto"/>
            <w:tcW w:w="5000" w:type="pct"/>
            <w:textDirection w:val="lrTb"/>
            <w:noWrap w:val="false"/>
          </w:tcPr>
          <w:p>
            <w:pPr>
              <w:pStyle w:val="1005"/>
              <w:ind w:left="57" w:right="57"/>
            </w:pPr>
            <w:r>
              <w:t xml:space="preserve">Закладка </w:t>
            </w:r>
            <w:r>
              <w:t xml:space="preserve">«Заголовок (1)», группа полей </w:t>
            </w:r>
            <w:r>
              <w:t xml:space="preserve">«Расшифровка заявки»</w:t>
            </w:r>
            <w:r/>
          </w:p>
        </w:tc>
      </w:tr>
      <w:tr>
        <w:trPr/>
        <w:tc>
          <w:tcPr>
            <w:shd w:val="clear" w:fill="auto" w:color="auto"/>
            <w:tcW w:w="1140" w:type="pct"/>
            <w:textDirection w:val="lrTb"/>
            <w:noWrap w:val="false"/>
          </w:tcPr>
          <w:p>
            <w:pPr>
              <w:pStyle w:val="1005"/>
              <w:ind w:left="57" w:right="57"/>
            </w:pPr>
            <w:r>
              <w:t xml:space="preserve">№</w:t>
            </w:r>
            <w:r/>
          </w:p>
        </w:tc>
        <w:tc>
          <w:tcPr>
            <w:shd w:val="clear" w:fill="auto" w:color="auto"/>
            <w:tcW w:w="3860" w:type="pct"/>
            <w:textDirection w:val="lrTb"/>
            <w:noWrap w:val="false"/>
          </w:tcPr>
          <w:p>
            <w:pPr>
              <w:pStyle w:val="1005"/>
              <w:ind w:left="57" w:right="57"/>
            </w:pPr>
            <w:r>
              <w:t xml:space="preserve">Номер позиции.</w:t>
            </w:r>
            <w:r/>
          </w:p>
          <w:p>
            <w:pPr>
              <w:pStyle w:val="1005"/>
              <w:ind w:left="57" w:right="57"/>
            </w:pPr>
            <w:r>
              <w:t xml:space="preserve">Заполняется автоматически.</w:t>
            </w:r>
            <w:r/>
          </w:p>
        </w:tc>
      </w:tr>
      <w:tr>
        <w:trPr/>
        <w:tc>
          <w:tcPr>
            <w:shd w:val="clear" w:fill="auto" w:color="auto"/>
            <w:tcW w:w="1140" w:type="pct"/>
            <w:textDirection w:val="lrTb"/>
            <w:noWrap w:val="false"/>
          </w:tcPr>
          <w:p>
            <w:pPr>
              <w:pStyle w:val="1005"/>
              <w:ind w:left="57" w:right="57"/>
            </w:pPr>
            <w:r>
              <w:t xml:space="preserve">КБК</w:t>
            </w:r>
            <w:r/>
          </w:p>
        </w:tc>
        <w:tc>
          <w:tcPr>
            <w:shd w:val="clear" w:fill="auto" w:color="auto"/>
            <w:tcW w:w="3860" w:type="pct"/>
            <w:textDirection w:val="lrTb"/>
            <w:noWrap w:val="false"/>
          </w:tcPr>
          <w:p>
            <w:pPr>
              <w:pStyle w:val="1005"/>
              <w:ind w:left="57" w:right="57"/>
            </w:pPr>
            <w:r>
              <w:t xml:space="preserve">Заполняется автоматически при указании пользователем родительского документа.</w:t>
            </w:r>
            <w:r/>
          </w:p>
          <w:p>
            <w:pPr>
              <w:pStyle w:val="1005"/>
              <w:ind w:left="57" w:right="57"/>
            </w:pPr>
            <w:r>
              <w:t xml:space="preserve">Значение вводится вручную или выбирается из справочн</w:t>
            </w:r>
            <w:r>
              <w:t xml:space="preserve">и</w:t>
            </w:r>
            <w:r>
              <w:t xml:space="preserve">ка КБК.</w:t>
            </w:r>
            <w:r/>
          </w:p>
        </w:tc>
      </w:tr>
      <w:tr>
        <w:trPr/>
        <w:tc>
          <w:tcPr>
            <w:shd w:val="clear" w:fill="auto" w:color="auto"/>
            <w:tcW w:w="1140" w:type="pct"/>
            <w:textDirection w:val="lrTb"/>
            <w:noWrap w:val="false"/>
          </w:tcPr>
          <w:p>
            <w:pPr>
              <w:pStyle w:val="1005"/>
              <w:ind w:left="57" w:right="57"/>
            </w:pPr>
            <w:r>
              <w:t xml:space="preserve">КЦ (аналитический код)</w:t>
            </w:r>
            <w:r/>
          </w:p>
        </w:tc>
        <w:tc>
          <w:tcPr>
            <w:shd w:val="clear" w:fill="auto" w:color="auto"/>
            <w:tcW w:w="3860" w:type="pct"/>
            <w:textDirection w:val="lrTb"/>
            <w:noWrap w:val="false"/>
          </w:tcPr>
          <w:p>
            <w:pPr>
              <w:pStyle w:val="1005"/>
              <w:ind w:left="57" w:right="57"/>
            </w:pPr>
            <w:r>
              <w:t xml:space="preserve">Значение вводится</w:t>
            </w:r>
            <w:r>
              <w:t xml:space="preserve"> </w:t>
            </w:r>
            <w:r>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r/>
          </w:p>
          <w:p>
            <w:pPr>
              <w:pStyle w:val="1005"/>
              <w:ind w:left="57" w:right="57"/>
            </w:pPr>
            <w:r>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r/>
          </w:p>
          <w:p>
            <w:pPr>
              <w:pStyle w:val="1005"/>
              <w:ind w:left="57" w:right="57"/>
            </w:pPr>
            <w:r>
              <w:t xml:space="preserve">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r/>
          </w:p>
          <w:p>
            <w:pPr>
              <w:pStyle w:val="1005"/>
              <w:ind w:left="57" w:right="57"/>
            </w:pPr>
            <w:r>
              <w:t xml:space="preserve">При указании в документе 41 типа ЛС, и если есть на л/с допустимый показатель «СМТ_АВ», то значение вводится</w:t>
            </w:r>
            <w:r>
              <w:t xml:space="preserve"> </w:t>
            </w:r>
            <w:r>
              <w:t xml:space="preserve">вручную или выбирается из справочника «Перечень направлений расходования ЦС».</w:t>
            </w:r>
            <w:r/>
          </w:p>
        </w:tc>
      </w:tr>
      <w:tr>
        <w:trPr/>
        <w:tc>
          <w:tcPr>
            <w:shd w:val="clear" w:fill="auto" w:color="auto"/>
            <w:tcW w:w="1140" w:type="pct"/>
            <w:textDirection w:val="lrTb"/>
            <w:noWrap w:val="false"/>
          </w:tcPr>
          <w:p>
            <w:pPr>
              <w:pStyle w:val="1005"/>
              <w:ind w:left="57" w:right="57"/>
            </w:pPr>
            <w:r>
              <w:t xml:space="preserve">Сумма</w:t>
            </w:r>
            <w:r/>
          </w:p>
        </w:tc>
        <w:tc>
          <w:tcPr>
            <w:shd w:val="clear" w:fill="auto" w:color="auto"/>
            <w:tcW w:w="3860" w:type="pct"/>
            <w:textDirection w:val="lrTb"/>
            <w:noWrap w:val="false"/>
          </w:tcPr>
          <w:p>
            <w:pPr>
              <w:pStyle w:val="1005"/>
              <w:ind w:left="57" w:right="57"/>
            </w:pPr>
            <w:r>
              <w:t xml:space="preserve">Значение вводится вручную.</w:t>
            </w:r>
            <w:r/>
          </w:p>
        </w:tc>
      </w:tr>
      <w:tr>
        <w:trPr/>
        <w:tc>
          <w:tcPr>
            <w:shd w:val="clear" w:fill="auto" w:color="auto"/>
            <w:tcW w:w="1140" w:type="pct"/>
            <w:textDirection w:val="lrTb"/>
            <w:noWrap w:val="false"/>
          </w:tcPr>
          <w:p>
            <w:pPr>
              <w:pStyle w:val="1005"/>
              <w:ind w:left="57" w:right="57"/>
            </w:pPr>
            <w:r>
              <w:t xml:space="preserve">Назначение</w:t>
            </w:r>
            <w:r>
              <w:t xml:space="preserve"> платежа</w:t>
            </w:r>
            <w:r/>
          </w:p>
        </w:tc>
        <w:tc>
          <w:tcPr>
            <w:shd w:val="clear" w:fill="auto" w:color="auto"/>
            <w:tcW w:w="3860" w:type="pct"/>
            <w:textDirection w:val="lrTb"/>
            <w:noWrap w:val="false"/>
          </w:tcPr>
          <w:p>
            <w:pPr>
              <w:pStyle w:val="1005"/>
              <w:ind w:left="57" w:right="57"/>
            </w:pPr>
            <w:r>
              <w:t xml:space="preserve">Значение вводится</w:t>
            </w:r>
            <w:r>
              <w:t xml:space="preserve">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w:t>
            </w:r>
            <w:r>
              <w:t xml:space="preserve">н</w:t>
            </w:r>
            <w:r>
              <w:t xml:space="preserve">та.</w:t>
            </w:r>
            <w:r/>
          </w:p>
          <w:p>
            <w:pPr>
              <w:pStyle w:val="1005"/>
              <w:ind w:left="57" w:right="57"/>
            </w:pPr>
            <w:r>
              <w:t xml:space="preserve">Не заполняется для АУ.</w:t>
            </w:r>
            <w:r/>
          </w:p>
        </w:tc>
      </w:tr>
      <w:tr>
        <w:trPr/>
        <w:tc>
          <w:tcPr>
            <w:shd w:val="clear" w:fill="auto" w:color="auto"/>
            <w:tcW w:w="1140" w:type="pct"/>
            <w:textDirection w:val="lrTb"/>
            <w:noWrap w:val="false"/>
          </w:tcPr>
          <w:p>
            <w:pPr>
              <w:pStyle w:val="1005"/>
              <w:ind w:left="57" w:right="57"/>
            </w:pPr>
            <w:r>
              <w:t xml:space="preserve">Символ</w:t>
            </w:r>
            <w:r/>
          </w:p>
        </w:tc>
        <w:tc>
          <w:tcPr>
            <w:shd w:val="clear" w:fill="auto" w:color="auto"/>
            <w:tcW w:w="3860" w:type="pct"/>
            <w:textDirection w:val="lrTb"/>
            <w:noWrap w:val="false"/>
          </w:tcPr>
          <w:p>
            <w:pPr>
              <w:pStyle w:val="1005"/>
              <w:ind w:left="57" w:right="57"/>
            </w:pPr>
            <w:r>
              <w:t xml:space="preserve">Заполняется при импорте из внешних систем или при ручном вводе.</w:t>
            </w:r>
            <w:r/>
          </w:p>
          <w:p>
            <w:pPr>
              <w:pStyle w:val="1005"/>
              <w:ind w:left="57" w:right="57"/>
            </w:pPr>
            <w:r>
              <w:t xml:space="preserve">При ручном вводе значение вводится или выбирается из справочника «Символы кассового планирования».</w:t>
            </w:r>
            <w:r/>
          </w:p>
        </w:tc>
      </w:tr>
      <w:tr>
        <w:trPr/>
        <w:tc>
          <w:tcPr>
            <w:shd w:val="clear" w:fill="auto" w:color="auto"/>
            <w:tcW w:w="1140" w:type="pct"/>
            <w:textDirection w:val="lrTb"/>
            <w:noWrap w:val="false"/>
          </w:tcPr>
          <w:p>
            <w:pPr>
              <w:pStyle w:val="1005"/>
              <w:ind w:left="57" w:right="57"/>
            </w:pPr>
            <w:r>
              <w:t xml:space="preserve">Примечание</w:t>
            </w:r>
            <w:r/>
          </w:p>
        </w:tc>
        <w:tc>
          <w:tcPr>
            <w:shd w:val="clear" w:fill="auto" w:color="auto"/>
            <w:tcW w:w="3860" w:type="pct"/>
            <w:textDirection w:val="lrTb"/>
            <w:noWrap w:val="false"/>
          </w:tcPr>
          <w:p>
            <w:pPr>
              <w:pStyle w:val="1005"/>
              <w:ind w:left="57" w:right="57"/>
            </w:pPr>
            <w:r>
              <w:t xml:space="preserve">Значение вводится</w:t>
            </w:r>
            <w:r>
              <w:t xml:space="preserve">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w:t>
            </w:r>
            <w:r>
              <w:t xml:space="preserve">н</w:t>
            </w:r>
            <w:r>
              <w:t xml:space="preserve">та.</w:t>
            </w:r>
            <w:r/>
          </w:p>
        </w:tc>
      </w:tr>
      <w:tr>
        <w:trPr/>
        <w:tc>
          <w:tcPr>
            <w:shd w:val="clear" w:fill="auto" w:color="auto"/>
            <w:tcW w:w="1140" w:type="pct"/>
            <w:textDirection w:val="lrTb"/>
            <w:noWrap w:val="false"/>
          </w:tcPr>
          <w:p>
            <w:pPr>
              <w:pStyle w:val="1005"/>
              <w:ind w:left="57" w:right="57"/>
            </w:pPr>
            <w:r>
              <w:t xml:space="preserve">Итого</w:t>
            </w:r>
            <w:r/>
          </w:p>
        </w:tc>
        <w:tc>
          <w:tcPr>
            <w:shd w:val="clear" w:fill="auto" w:color="auto"/>
            <w:tcW w:w="3860" w:type="pct"/>
            <w:textDirection w:val="lrTb"/>
            <w:noWrap w:val="false"/>
          </w:tcPr>
          <w:p>
            <w:pPr>
              <w:pStyle w:val="1005"/>
              <w:ind w:left="57" w:right="57"/>
            </w:pPr>
            <w:r>
              <w:t xml:space="preserve">Заполняется автоматически как сумма по строкам. Недоступно для редактирования.</w:t>
            </w:r>
            <w:r/>
          </w:p>
        </w:tc>
      </w:tr>
    </w:tbl>
    <w:p>
      <w:pPr>
        <w:pStyle w:val="994"/>
      </w:pPr>
      <w:r>
        <w:t xml:space="preserve">В табличном поле «Расшифровка заявки» закладки «Заголовок (1)» содержится список чеков в разрезе символов кассового плана. </w:t>
      </w:r>
      <w:r>
        <w:t xml:space="preserve">Поля табличного блока приведены в таблице</w:t>
      </w:r>
      <w:r>
        <w:t xml:space="preserve"> </w:t>
      </w:r>
      <w:r>
        <w:fldChar w:fldCharType="begin"/>
      </w:r>
      <w:r>
        <w:instrText xml:space="preserve"> REF _Ref317670189 \h  \* MERGEFORMAT </w:instrText>
      </w:r>
      <w:r>
        <w:fldChar w:fldCharType="separate"/>
      </w:r>
      <w:r>
        <w:t xml:space="preserve">13</w:t>
      </w:r>
      <w:r>
        <w:fldChar w:fldCharType="end"/>
      </w:r>
      <w:r>
        <w:t xml:space="preserve">. </w:t>
      </w:r>
      <w:r>
        <w:t xml:space="preserve">Для добавления записи в список следует нажать на кнопку </w:t>
      </w:r>
      <w:r>
        <mc:AlternateContent>
          <mc:Choice Requires="wpg">
            <w:drawing>
              <wp:inline xmlns:wp="http://schemas.openxmlformats.org/drawingml/2006/wordprocessingDrawing" distT="0" distB="0" distL="0" distR="0">
                <wp:extent cx="274320" cy="274320"/>
                <wp:effectExtent l="0" t="0" r="0" b="0"/>
                <wp:docPr id="9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 o:spid="_x0000_s95" type="#_x0000_t75" style="mso-wrap-distance-left:0.0pt;mso-wrap-distance-top:0.0pt;mso-wrap-distance-right:0.0pt;mso-wrap-distance-bottom:0.0pt;width:21.6pt;height:21.6pt;" stroked="f">
                <v:path textboxrect="0,0,0,0"/>
                <v:imagedata r:id="rId80" o:title=""/>
              </v:shape>
            </w:pict>
          </mc:Fallback>
        </mc:AlternateContent>
      </w:r>
      <w:r>
        <w:t xml:space="preserve"> </w:t>
      </w:r>
      <w:r>
        <w:t xml:space="preserve">(Добавить новую строку)</w:t>
      </w:r>
      <w:r>
        <w:t xml:space="preserve">. Открое</w:t>
      </w:r>
      <w:r>
        <w:t xml:space="preserve">тся форма «Добавление записи»</w:t>
      </w:r>
      <w:r>
        <w:t xml:space="preserve"> (рис. </w:t>
      </w:r>
      <w:r>
        <w:fldChar w:fldCharType="begin"/>
      </w:r>
      <w:r>
        <w:instrText xml:space="preserve"> REF _Ref262118809 \h  \* MERGEFORMAT </w:instrText>
      </w:r>
      <w:r>
        <w:fldChar w:fldCharType="separate"/>
      </w:r>
      <w:r>
        <w:t xml:space="preserve">35</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186940"/>
                <wp:effectExtent l="0" t="0" r="0" b="0"/>
                <wp:docPr id="9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00"/>
                        <a:stretch/>
                      </pic:blipFill>
                      <pic:spPr bwMode="auto">
                        <a:xfrm>
                          <a:off x="0" y="0"/>
                          <a:ext cx="6126480" cy="21869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 o:spid="_x0000_s96" type="#_x0000_t75" style="mso-wrap-distance-left:0.0pt;mso-wrap-distance-top:0.0pt;mso-wrap-distance-right:0.0pt;mso-wrap-distance-bottom:0.0pt;width:482.4pt;height:172.2pt;" stroked="f">
                <v:path textboxrect="0,0,0,0"/>
                <v:imagedata r:id="rId100" o:title=""/>
              </v:shape>
            </w:pict>
          </mc:Fallback>
        </mc:AlternateContent>
      </w:r>
      <w:r/>
    </w:p>
    <w:p>
      <w:pPr>
        <w:pStyle w:val="983"/>
      </w:pPr>
      <w:r>
        <w:fldChar w:fldCharType="begin"/>
      </w:r>
      <w:r>
        <w:instrText xml:space="preserve"> SEQ Рисунок \* ARABIC </w:instrText>
      </w:r>
      <w:r>
        <w:fldChar w:fldCharType="separate"/>
      </w:r>
      <w:bookmarkStart w:id="432" w:name="_Ref262118809"/>
      <w:r/>
      <w:bookmarkStart w:id="433" w:name="_Toc88819420"/>
      <w:r>
        <w:t xml:space="preserve">35</w:t>
      </w:r>
      <w:bookmarkEnd w:id="432"/>
      <w:r>
        <w:fldChar w:fldCharType="end"/>
      </w:r>
      <w:r>
        <w:t xml:space="preserve">. </w:t>
      </w:r>
      <w:r>
        <w:t xml:space="preserve">Форма «Добавление записи»</w:t>
      </w:r>
      <w:bookmarkEnd w:id="433"/>
      <w:r/>
      <w:r/>
    </w:p>
    <w:p>
      <w:pPr>
        <w:pStyle w:val="994"/>
      </w:pPr>
      <w:r>
        <w:t xml:space="preserve">На форме «Добавление записи» заполняются следующие поля:</w:t>
      </w:r>
      <w:r/>
    </w:p>
    <w:p>
      <w:pPr>
        <w:pStyle w:val="985"/>
      </w:pPr>
      <w:r>
        <w:t xml:space="preserve">«Номер строки» – номер строки в табличном блоке по порядку</w:t>
      </w:r>
      <w:r>
        <w:t xml:space="preserve">; поле заполняется автоматически;</w:t>
      </w:r>
      <w:r/>
    </w:p>
    <w:p>
      <w:pPr>
        <w:pStyle w:val="985"/>
      </w:pPr>
      <w:r>
        <w:t xml:space="preserve">«КБК» – код бюджетной классификации</w:t>
      </w:r>
      <w:r>
        <w:t xml:space="preserve">; п</w:t>
      </w:r>
      <w:r>
        <w:t xml:space="preserve">ри вводе документа от АУ поле не запол</w:t>
      </w:r>
      <w:r>
        <w:t xml:space="preserve">няется;</w:t>
      </w:r>
      <w:r/>
    </w:p>
    <w:p>
      <w:pPr>
        <w:pStyle w:val="985"/>
      </w:pPr>
      <w:r>
        <w:t xml:space="preserve">«</w:t>
      </w:r>
      <w:r>
        <w:t xml:space="preserve">КЦ (аналитический код)</w:t>
      </w:r>
      <w:r>
        <w:t xml:space="preserve">» – код и наименование цели субсидий/субвенций;</w:t>
      </w:r>
      <w:r/>
    </w:p>
    <w:p>
      <w:pPr>
        <w:pStyle w:val="985"/>
      </w:pPr>
      <w:r>
        <w:t xml:space="preserve">«Примечание»;</w:t>
      </w:r>
      <w:r/>
    </w:p>
    <w:p>
      <w:pPr>
        <w:pStyle w:val="985"/>
      </w:pPr>
      <w:r>
        <w:t xml:space="preserve">«Сумма» – сумма в рублях</w:t>
      </w:r>
      <w:r>
        <w:t xml:space="preserve">; п</w:t>
      </w:r>
      <w:r>
        <w:t xml:space="preserve">ри вводе доку</w:t>
      </w:r>
      <w:r>
        <w:t xml:space="preserve">мента от АУ поле не заполняется;</w:t>
      </w:r>
      <w:r/>
    </w:p>
    <w:p>
      <w:pPr>
        <w:pStyle w:val="985"/>
      </w:pPr>
      <w:r>
        <w:t xml:space="preserve">«Назначение» – назначение платежа</w:t>
      </w:r>
      <w:r>
        <w:t xml:space="preserve">; п</w:t>
      </w:r>
      <w:r>
        <w:t xml:space="preserve">ри вводе документа от АУ поле не заполняется.</w:t>
      </w:r>
      <w:r/>
    </w:p>
    <w:p>
      <w:pPr>
        <w:pStyle w:val="994"/>
      </w:pPr>
      <w:r>
        <w:t xml:space="preserve">Нажать на </w:t>
      </w:r>
      <w:r>
        <w:t xml:space="preserve">кнопку «Ok»</w:t>
      </w:r>
      <w:r>
        <w:t xml:space="preserve"> для сохранения заполненной строки и выхода из формы. В табличном блоке «Расшифровка заявки» появится добавленная строка.</w:t>
      </w:r>
      <w:r/>
    </w:p>
    <w:p>
      <w:pPr>
        <w:pStyle w:val="994"/>
      </w:pPr>
      <w:r>
        <w:t xml:space="preserve">ЭФ </w:t>
      </w:r>
      <w:r>
        <w:t xml:space="preserve">документа «Заявка на получение денежных средств, перечисляемых на карту», закладки «Подписи (2)»</w:t>
      </w:r>
      <w:r>
        <w:t xml:space="preserve"> представлена н</w:t>
      </w:r>
      <w:r>
        <w:t xml:space="preserve">а рисунке</w:t>
      </w:r>
      <w:r>
        <w:t xml:space="preserve"> </w:t>
      </w:r>
      <w:r>
        <w:fldChar w:fldCharType="begin"/>
      </w:r>
      <w:r>
        <w:instrText xml:space="preserve"> REF _Ref262118812 \h  \* MERGEFORMAT </w:instrText>
      </w:r>
      <w:r>
        <w:fldChar w:fldCharType="separate"/>
      </w:r>
      <w:r>
        <w:t xml:space="preserve">36</w:t>
      </w:r>
      <w:r>
        <w:fldChar w:fldCharType="end"/>
      </w:r>
      <w:r>
        <w:t xml:space="preserve">.</w:t>
      </w:r>
      <w:r/>
    </w:p>
    <w:p>
      <w:pPr>
        <w:pStyle w:val="982"/>
      </w:pPr>
      <w:r>
        <mc:AlternateContent>
          <mc:Choice Requires="wpg">
            <w:drawing>
              <wp:inline xmlns:wp="http://schemas.openxmlformats.org/drawingml/2006/wordprocessingDrawing" distT="0" distB="0" distL="0" distR="0">
                <wp:extent cx="5943600" cy="2468880"/>
                <wp:effectExtent l="0" t="0" r="0" b="0"/>
                <wp:docPr id="9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01"/>
                        <a:stretch/>
                      </pic:blipFill>
                      <pic:spPr bwMode="auto">
                        <a:xfrm>
                          <a:off x="0" y="0"/>
                          <a:ext cx="5943600" cy="2468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 o:spid="_x0000_s97" type="#_x0000_t75" style="mso-wrap-distance-left:0.0pt;mso-wrap-distance-top:0.0pt;mso-wrap-distance-right:0.0pt;mso-wrap-distance-bottom:0.0pt;width:468.0pt;height:194.4pt;" stroked="f">
                <v:path textboxrect="0,0,0,0"/>
                <v:imagedata r:id="rId101" o:title=""/>
              </v:shape>
            </w:pict>
          </mc:Fallback>
        </mc:AlternateContent>
      </w:r>
      <w:r/>
    </w:p>
    <w:p>
      <w:pPr>
        <w:pStyle w:val="983"/>
      </w:pPr>
      <w:r>
        <w:fldChar w:fldCharType="begin"/>
      </w:r>
      <w:r>
        <w:instrText xml:space="preserve"> SEQ Рисунок \* ARABIC </w:instrText>
      </w:r>
      <w:r>
        <w:fldChar w:fldCharType="separate"/>
      </w:r>
      <w:bookmarkStart w:id="434" w:name="_Ref262118812"/>
      <w:r/>
      <w:bookmarkStart w:id="435" w:name="_Toc88819421"/>
      <w:r>
        <w:t xml:space="preserve">36</w:t>
      </w:r>
      <w:bookmarkEnd w:id="434"/>
      <w:r>
        <w:fldChar w:fldCharType="end"/>
      </w:r>
      <w:r>
        <w:t xml:space="preserve">. ЭФ </w:t>
      </w:r>
      <w:r>
        <w:t xml:space="preserve">документа </w:t>
      </w:r>
      <w:r>
        <w:t xml:space="preserve">«Заявка на получение денежных средств, перечисляемых на карту</w:t>
      </w:r>
      <w:r>
        <w:t xml:space="preserve">», закладки «</w:t>
      </w:r>
      <w:r>
        <w:t xml:space="preserve">Подписи (2)»</w:t>
      </w:r>
      <w:bookmarkEnd w:id="435"/>
      <w:r/>
      <w:r/>
    </w:p>
    <w:p>
      <w:pPr>
        <w:pStyle w:val="994"/>
      </w:pPr>
      <w:r>
        <w:t xml:space="preserve">Перечень полей документа «Заявка на получение денежных средств, перечисляемых на карту</w:t>
      </w:r>
      <w:r>
        <w:t xml:space="preserve">», закладки «</w:t>
      </w:r>
      <w:r>
        <w:t xml:space="preserve">Подписи (2)» </w:t>
      </w:r>
      <w:r>
        <w:t xml:space="preserve">приведен в таблице</w:t>
      </w:r>
      <w:r>
        <w:t xml:space="preserve"> </w:t>
      </w:r>
      <w:r>
        <w:fldChar w:fldCharType="begin"/>
      </w:r>
      <w:r>
        <w:instrText xml:space="preserve"> REF _Ref317670266 \h </w:instrText>
      </w:r>
      <w:r>
        <w:instrText xml:space="preserve"> \* MERGEFORMAT </w:instrText>
      </w:r>
      <w:r>
        <w:fldChar w:fldCharType="separate"/>
      </w:r>
      <w:r>
        <w:t xml:space="preserve">14</w:t>
      </w:r>
      <w:r>
        <w:fldChar w:fldCharType="end"/>
      </w:r>
      <w:r>
        <w:t xml:space="preserve">.</w:t>
      </w:r>
      <w:r/>
    </w:p>
    <w:p>
      <w:pPr>
        <w:pStyle w:val="993"/>
      </w:pPr>
      <w:r>
        <w:fldChar w:fldCharType="begin"/>
      </w:r>
      <w:r>
        <w:instrText xml:space="preserve"> SEQ Таблица \* ARABIC </w:instrText>
      </w:r>
      <w:r>
        <w:fldChar w:fldCharType="separate"/>
      </w:r>
      <w:bookmarkStart w:id="436" w:name="_Ref318713391"/>
      <w:r/>
      <w:bookmarkStart w:id="437" w:name="_Ref317670266"/>
      <w:r/>
      <w:bookmarkStart w:id="438" w:name="_Toc88819200"/>
      <w:r>
        <w:t xml:space="preserve">14</w:t>
      </w:r>
      <w:bookmarkEnd w:id="436"/>
      <w:r/>
      <w:bookmarkEnd w:id="437"/>
      <w:r>
        <w:fldChar w:fldCharType="end"/>
      </w:r>
      <w:r>
        <w:t xml:space="preserve">. Описание полей документа «Заявка на получение денежных средств, перечисля</w:t>
      </w:r>
      <w:r>
        <w:t xml:space="preserve">е</w:t>
      </w:r>
      <w:r>
        <w:t xml:space="preserve">мых на карту</w:t>
      </w:r>
      <w:r>
        <w:t xml:space="preserve">», закладки «</w:t>
      </w:r>
      <w:r>
        <w:t xml:space="preserve">Подписи (2)»</w:t>
      </w:r>
      <w:bookmarkEnd w:id="438"/>
      <w:r/>
      <w:r/>
    </w:p>
    <w:tbl>
      <w:tblPr>
        <w:tblW w:w="4999"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247"/>
        <w:gridCol w:w="6503"/>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665"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335"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Группа полей «Подписи»</w:t>
            </w:r>
            <w:r/>
          </w:p>
        </w:tc>
      </w:tr>
      <w:tr>
        <w:trPr/>
        <w:tc>
          <w:tcPr>
            <w:shd w:val="clear" w:fill="auto" w:color="auto"/>
            <w:tcW w:w="1665" w:type="pct"/>
            <w:textDirection w:val="lrTb"/>
            <w:noWrap w:val="false"/>
          </w:tcPr>
          <w:p>
            <w:pPr>
              <w:pStyle w:val="1005"/>
              <w:ind w:left="57" w:right="57"/>
            </w:pPr>
            <w:r>
              <w:t xml:space="preserve">Руководитель (уполномоченное им л</w:t>
            </w:r>
            <w:r>
              <w:t xml:space="preserve">и</w:t>
            </w:r>
            <w:r>
              <w:t xml:space="preserve">цо). Должность</w:t>
            </w:r>
            <w:r/>
          </w:p>
        </w:tc>
        <w:tc>
          <w:tcPr>
            <w:shd w:val="clear" w:fill="auto" w:color="auto"/>
            <w:tcW w:w="3335" w:type="pct"/>
            <w:textDirection w:val="lrTb"/>
            <w:noWrap w:val="false"/>
          </w:tcPr>
          <w:p>
            <w:pPr>
              <w:pStyle w:val="1005"/>
              <w:ind w:left="57" w:right="57"/>
            </w:pPr>
            <w:r>
              <w:t xml:space="preserve">Для АРМ. Заполняется автоматически при подписании ЭП данными подписанта.</w:t>
            </w:r>
            <w:r/>
          </w:p>
        </w:tc>
      </w:tr>
      <w:tr>
        <w:trPr/>
        <w:tc>
          <w:tcPr>
            <w:shd w:val="clear" w:fill="auto" w:color="auto"/>
            <w:tcW w:w="1665" w:type="pct"/>
            <w:textDirection w:val="lrTb"/>
            <w:noWrap w:val="false"/>
          </w:tcPr>
          <w:p>
            <w:pPr>
              <w:pStyle w:val="1005"/>
              <w:ind w:left="57" w:right="57"/>
            </w:pPr>
            <w:r>
              <w:t xml:space="preserve">Руководитель (уполномоченное им л</w:t>
            </w:r>
            <w:r>
              <w:t xml:space="preserve">и</w:t>
            </w:r>
            <w:r>
              <w:t xml:space="preserve">цо). Расшифровка подписи</w:t>
            </w:r>
            <w:r/>
          </w:p>
        </w:tc>
        <w:tc>
          <w:tcPr>
            <w:shd w:val="clear" w:fill="auto" w:color="auto"/>
            <w:tcW w:w="3335" w:type="pct"/>
            <w:textDirection w:val="lrTb"/>
            <w:noWrap w:val="false"/>
          </w:tcPr>
          <w:p>
            <w:pPr>
              <w:pStyle w:val="1005"/>
              <w:ind w:left="57" w:right="57"/>
            </w:pPr>
            <w:r>
              <w:t xml:space="preserve">Для АРМ. Заполняется автоматически при подписании ЭП данными подписанта.</w:t>
            </w:r>
            <w:r/>
          </w:p>
        </w:tc>
      </w:tr>
      <w:tr>
        <w:trPr/>
        <w:tc>
          <w:tcPr>
            <w:shd w:val="clear" w:fill="auto" w:color="auto"/>
            <w:tcW w:w="1665" w:type="pct"/>
            <w:textDirection w:val="lrTb"/>
            <w:noWrap w:val="false"/>
          </w:tcPr>
          <w:p>
            <w:pPr>
              <w:pStyle w:val="1005"/>
              <w:ind w:left="57" w:right="57"/>
            </w:pPr>
            <w:r>
              <w:t xml:space="preserve">Дата подписи</w:t>
            </w:r>
            <w:r/>
          </w:p>
        </w:tc>
        <w:tc>
          <w:tcPr>
            <w:shd w:val="clear" w:fill="auto" w:color="auto"/>
            <w:tcW w:w="3335" w:type="pct"/>
            <w:textDirection w:val="lrTb"/>
            <w:noWrap w:val="false"/>
          </w:tcPr>
          <w:p>
            <w:pPr>
              <w:pStyle w:val="1005"/>
              <w:ind w:left="57" w:right="57"/>
            </w:pPr>
            <w:r>
              <w:t xml:space="preserve">Для АРМ. Заполняется автоматически при подписании ЭП данными подписанта.</w:t>
            </w:r>
            <w:r/>
          </w:p>
        </w:tc>
      </w:tr>
      <w:tr>
        <w:trPr/>
        <w:tc>
          <w:tcPr>
            <w:shd w:val="clear" w:fill="auto" w:color="auto"/>
            <w:tcW w:w="1665" w:type="pct"/>
            <w:textDirection w:val="lrTb"/>
            <w:noWrap w:val="false"/>
          </w:tcPr>
          <w:p>
            <w:pPr>
              <w:pStyle w:val="1005"/>
              <w:ind w:left="57" w:right="57"/>
            </w:pPr>
            <w:r>
              <w:t xml:space="preserve">Гл.бухгалтер (уполномоче</w:t>
            </w:r>
            <w:r>
              <w:t xml:space="preserve">н</w:t>
            </w:r>
            <w:r>
              <w:t xml:space="preserve">ное лицо). Должность</w:t>
            </w:r>
            <w:r/>
          </w:p>
        </w:tc>
        <w:tc>
          <w:tcPr>
            <w:shd w:val="clear" w:fill="auto" w:color="auto"/>
            <w:tcW w:w="3335" w:type="pct"/>
            <w:textDirection w:val="lrTb"/>
            <w:noWrap w:val="false"/>
          </w:tcPr>
          <w:p>
            <w:pPr>
              <w:pStyle w:val="1005"/>
              <w:ind w:left="57" w:right="57"/>
            </w:pPr>
            <w:r>
              <w:t xml:space="preserve">Для АРМ. Заполняется автоматически при подписании ЭП данными подписанта.</w:t>
            </w:r>
            <w:r/>
          </w:p>
        </w:tc>
      </w:tr>
      <w:tr>
        <w:trPr/>
        <w:tc>
          <w:tcPr>
            <w:shd w:val="clear" w:fill="auto" w:color="auto"/>
            <w:tcW w:w="1665" w:type="pct"/>
            <w:textDirection w:val="lrTb"/>
            <w:noWrap w:val="false"/>
          </w:tcPr>
          <w:p>
            <w:pPr>
              <w:pStyle w:val="1005"/>
              <w:ind w:left="57" w:right="57"/>
            </w:pPr>
            <w:r>
              <w:t xml:space="preserve">Гл.бухгалтер (уполномоченное лицо). Расшифровка по</w:t>
            </w:r>
            <w:r>
              <w:t xml:space="preserve">д</w:t>
            </w:r>
            <w:r>
              <w:t xml:space="preserve">писи</w:t>
            </w:r>
            <w:r/>
          </w:p>
        </w:tc>
        <w:tc>
          <w:tcPr>
            <w:shd w:val="clear" w:fill="auto" w:color="auto"/>
            <w:tcW w:w="3335" w:type="pct"/>
            <w:textDirection w:val="lrTb"/>
            <w:noWrap w:val="false"/>
          </w:tcPr>
          <w:p>
            <w:pPr>
              <w:pStyle w:val="1005"/>
              <w:ind w:left="57" w:right="57"/>
            </w:pPr>
            <w:r>
              <w:t xml:space="preserve">Для АРМ. Заполняется автоматически при подписании ЭП данными подписанта.</w:t>
            </w:r>
            <w:r/>
          </w:p>
        </w:tc>
      </w:tr>
      <w:tr>
        <w:trPr/>
        <w:tc>
          <w:tcPr>
            <w:shd w:val="clear" w:fill="auto" w:color="auto"/>
            <w:tcW w:w="1665" w:type="pct"/>
            <w:textDirection w:val="lrTb"/>
            <w:noWrap w:val="false"/>
          </w:tcPr>
          <w:p>
            <w:pPr>
              <w:pStyle w:val="1005"/>
              <w:ind w:left="57" w:right="57"/>
            </w:pPr>
            <w:r>
              <w:t xml:space="preserve">ФИО ответственного за конфиденциальность данных</w:t>
            </w:r>
            <w:r/>
          </w:p>
        </w:tc>
        <w:tc>
          <w:tcPr>
            <w:shd w:val="clear" w:fill="auto" w:color="auto"/>
            <w:tcW w:w="3335" w:type="pct"/>
            <w:textDirection w:val="lrTb"/>
            <w:noWrap w:val="false"/>
          </w:tcPr>
          <w:p>
            <w:pPr>
              <w:pStyle w:val="1005"/>
              <w:ind w:left="57" w:right="57"/>
            </w:pPr>
            <w:r>
              <w:t xml:space="preserve">Заполняется автоматически при подписании. Поле заполняется, если в поле «Уровень конфиденциальности» указано значение «1» или «0».</w:t>
            </w:r>
            <w:r/>
          </w:p>
        </w:tc>
      </w:tr>
      <w:tr>
        <w:trPr/>
        <w:tc>
          <w:tcPr>
            <w:gridSpan w:val="2"/>
            <w:shd w:val="clear" w:fill="auto" w:color="auto"/>
            <w:tcW w:w="5000" w:type="pct"/>
            <w:textDirection w:val="lrTb"/>
            <w:noWrap w:val="false"/>
          </w:tcPr>
          <w:p>
            <w:pPr>
              <w:pStyle w:val="1005"/>
              <w:ind w:left="57" w:right="57"/>
            </w:pPr>
            <w:r>
              <w:t xml:space="preserve">Группа полей «Отметка органа Федерального казначейства о регистрации Заявки на получение наличных на карту»</w:t>
            </w:r>
            <w:r/>
          </w:p>
        </w:tc>
      </w:tr>
      <w:tr>
        <w:trPr/>
        <w:tc>
          <w:tcPr>
            <w:shd w:val="clear" w:fill="auto" w:color="auto"/>
            <w:tcW w:w="1665" w:type="pct"/>
            <w:textDirection w:val="lrTb"/>
            <w:noWrap w:val="false"/>
          </w:tcPr>
          <w:p>
            <w:pPr>
              <w:pStyle w:val="1005"/>
              <w:ind w:left="57" w:right="57"/>
            </w:pPr>
            <w:r>
              <w:t xml:space="preserve">Номер заявки</w:t>
            </w:r>
            <w:r/>
          </w:p>
        </w:tc>
        <w:tc>
          <w:tcPr>
            <w:shd w:val="clear" w:fill="auto" w:color="auto"/>
            <w:tcW w:w="3335"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OEBS.</w:t>
            </w:r>
            <w:r/>
          </w:p>
        </w:tc>
      </w:tr>
      <w:tr>
        <w:trPr/>
        <w:tc>
          <w:tcPr>
            <w:shd w:val="clear" w:fill="auto" w:color="auto"/>
            <w:tcW w:w="1665" w:type="pct"/>
            <w:textDirection w:val="lrTb"/>
            <w:noWrap w:val="false"/>
          </w:tcPr>
          <w:p>
            <w:pPr>
              <w:pStyle w:val="1005"/>
              <w:ind w:left="57" w:right="57"/>
            </w:pPr>
            <w:r>
              <w:t xml:space="preserve">Дата регистрации</w:t>
            </w:r>
            <w:r/>
          </w:p>
        </w:tc>
        <w:tc>
          <w:tcPr>
            <w:shd w:val="clear" w:fill="auto" w:color="auto"/>
            <w:tcW w:w="3335"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OEBS.</w:t>
            </w:r>
            <w:r/>
          </w:p>
        </w:tc>
      </w:tr>
      <w:tr>
        <w:trPr/>
        <w:tc>
          <w:tcPr>
            <w:shd w:val="clear" w:fill="auto" w:color="auto"/>
            <w:tcW w:w="1665" w:type="pct"/>
            <w:textDirection w:val="lrTb"/>
            <w:noWrap w:val="false"/>
          </w:tcPr>
          <w:p>
            <w:pPr>
              <w:pStyle w:val="1005"/>
              <w:ind w:left="57" w:right="57"/>
            </w:pPr>
            <w:r>
              <w:t xml:space="preserve">Ответственный исполнитель. Должность</w:t>
            </w:r>
            <w:r/>
          </w:p>
        </w:tc>
        <w:tc>
          <w:tcPr>
            <w:shd w:val="clear" w:fill="auto" w:color="auto"/>
            <w:tcW w:w="3335"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OEBS.</w:t>
            </w:r>
            <w:r/>
          </w:p>
        </w:tc>
      </w:tr>
      <w:tr>
        <w:trPr/>
        <w:tc>
          <w:tcPr>
            <w:shd w:val="clear" w:fill="auto" w:color="auto"/>
            <w:tcW w:w="1665" w:type="pct"/>
            <w:textDirection w:val="lrTb"/>
            <w:noWrap w:val="false"/>
          </w:tcPr>
          <w:p>
            <w:pPr>
              <w:pStyle w:val="1005"/>
              <w:ind w:left="57" w:right="57"/>
            </w:pPr>
            <w:r>
              <w:t xml:space="preserve">Ответственный исполнитель. Расши</w:t>
            </w:r>
            <w:r>
              <w:t xml:space="preserve">ф</w:t>
            </w:r>
            <w:r>
              <w:t xml:space="preserve">ровка подписи</w:t>
            </w:r>
            <w:r/>
          </w:p>
        </w:tc>
        <w:tc>
          <w:tcPr>
            <w:shd w:val="clear" w:fill="auto" w:color="auto"/>
            <w:tcW w:w="3335"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OEBS.</w:t>
            </w:r>
            <w:r/>
          </w:p>
        </w:tc>
      </w:tr>
      <w:tr>
        <w:trPr/>
        <w:tc>
          <w:tcPr>
            <w:shd w:val="clear" w:fill="auto" w:color="auto"/>
            <w:tcW w:w="1665" w:type="pct"/>
            <w:textDirection w:val="lrTb"/>
            <w:noWrap w:val="false"/>
          </w:tcPr>
          <w:p>
            <w:pPr>
              <w:pStyle w:val="1005"/>
              <w:ind w:left="57" w:right="57"/>
            </w:pPr>
            <w:r>
              <w:t xml:space="preserve">Ответственный исполнитель. Т</w:t>
            </w:r>
            <w:r>
              <w:t xml:space="preserve">е</w:t>
            </w:r>
            <w:r>
              <w:t xml:space="preserve">лефон</w:t>
            </w:r>
            <w:r/>
          </w:p>
        </w:tc>
        <w:tc>
          <w:tcPr>
            <w:shd w:val="clear" w:fill="auto" w:color="auto"/>
            <w:tcW w:w="3335"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OEBS.</w:t>
            </w:r>
            <w:r/>
          </w:p>
        </w:tc>
      </w:tr>
    </w:tbl>
    <w:p>
      <w:pPr>
        <w:pStyle w:val="972"/>
      </w:pPr>
      <w:r/>
      <w:bookmarkStart w:id="439" w:name="_Toc267583382"/>
      <w:r/>
      <w:bookmarkStart w:id="440" w:name="_Ref312250528"/>
      <w:r/>
      <w:bookmarkStart w:id="441" w:name="_Ref312252847"/>
      <w:r/>
      <w:bookmarkStart w:id="442" w:name="_Ref312670290"/>
      <w:r/>
      <w:bookmarkStart w:id="443" w:name="_Ref314831199"/>
      <w:r/>
      <w:bookmarkStart w:id="444" w:name="_Ref319245371"/>
      <w:r/>
      <w:bookmarkStart w:id="445" w:name="_Ref341447804"/>
      <w:r/>
      <w:bookmarkStart w:id="446" w:name="_Ref420932749"/>
      <w:r/>
      <w:bookmarkStart w:id="447" w:name="_Toc422496704"/>
      <w:r/>
      <w:bookmarkStart w:id="448" w:name="_Ref438657195"/>
      <w:r/>
      <w:bookmarkStart w:id="449" w:name="_Ref471906065"/>
      <w:r/>
      <w:bookmarkStart w:id="450" w:name="_Ref474504962"/>
      <w:r/>
      <w:bookmarkStart w:id="451" w:name="_Ref502237917"/>
      <w:r/>
      <w:bookmarkStart w:id="452" w:name="_Ref505073330"/>
      <w:r/>
      <w:bookmarkStart w:id="453" w:name="_Ref506193192"/>
      <w:r/>
      <w:bookmarkStart w:id="454" w:name="_Ref522885187"/>
      <w:r/>
      <w:bookmarkStart w:id="455" w:name="_Ref531354815"/>
      <w:r/>
      <w:bookmarkStart w:id="456" w:name="_Ref4417310"/>
      <w:r/>
      <w:bookmarkStart w:id="457" w:name="_Ref48555522"/>
      <w:r/>
      <w:bookmarkStart w:id="458" w:name="_Ref68787995"/>
      <w:r/>
      <w:bookmarkStart w:id="459" w:name="_Toc88819101"/>
      <w:r>
        <w:t xml:space="preserve">Расшифровка сумм неиспользованных средств</w:t>
      </w:r>
      <w:bookmarkEnd w:id="439"/>
      <w:r/>
      <w:bookmarkEnd w:id="440"/>
      <w:r/>
      <w:bookmarkEnd w:id="441"/>
      <w:r/>
      <w:bookmarkEnd w:id="442"/>
      <w:r/>
      <w:bookmarkEnd w:id="443"/>
      <w:r/>
      <w:bookmarkEnd w:id="444"/>
      <w:r/>
      <w:bookmarkEnd w:id="445"/>
      <w:r/>
      <w:bookmarkEnd w:id="446"/>
      <w:r/>
      <w:bookmarkEnd w:id="447"/>
      <w:r/>
      <w:bookmarkEnd w:id="448"/>
      <w:r/>
      <w:bookmarkEnd w:id="449"/>
      <w:r/>
      <w:bookmarkEnd w:id="450"/>
      <w:r/>
      <w:bookmarkEnd w:id="451"/>
      <w:r/>
      <w:bookmarkEnd w:id="452"/>
      <w:r/>
      <w:bookmarkEnd w:id="453"/>
      <w:r/>
      <w:bookmarkEnd w:id="454"/>
      <w:r/>
      <w:bookmarkEnd w:id="455"/>
      <w:r/>
      <w:bookmarkEnd w:id="456"/>
      <w:r/>
      <w:bookmarkEnd w:id="457"/>
      <w:r/>
      <w:bookmarkEnd w:id="458"/>
      <w:r/>
      <w:bookmarkEnd w:id="459"/>
      <w:r/>
      <w:r/>
    </w:p>
    <w:p>
      <w:pPr>
        <w:pStyle w:val="994"/>
      </w:pPr>
      <w:r>
        <w:t xml:space="preserve">ЭД «Расшифровка сумм неиспользованн</w:t>
      </w:r>
      <w:r>
        <w:t xml:space="preserve">ых (внесенных через банкомат или пункт выдачи наличных денежных средств) средств» (далее – ЭД «Расшифровка сумм неиспользованных средств») формируется получателями денежных средств для зачисления внесенных или неиспользованных средств на свой лицевой счет.</w:t>
      </w:r>
      <w:r/>
    </w:p>
    <w:p>
      <w:pPr>
        <w:pStyle w:val="994"/>
      </w:pPr>
      <w:r>
        <w:t xml:space="preserve">Для работы</w:t>
      </w:r>
      <w:r>
        <w:t xml:space="preserve"> с документами «Расшифровка сумм неиспользованных средств» следует перейти в пункт меню «Документы – Регистрация и учет обязательств – Заявки на платеж – Расшифровка сумм неиспользованных средств». Откроется ЭФ списка документов, представленная на рисунке </w:t>
      </w:r>
      <w:r>
        <w:fldChar w:fldCharType="begin"/>
      </w:r>
      <w:r>
        <w:instrText xml:space="preserve"> REF _Ref263684914 \h  \* MERGEFORMAT </w:instrText>
      </w:r>
      <w:r>
        <w:fldChar w:fldCharType="separate"/>
      </w:r>
      <w:r>
        <w:t xml:space="preserve">37</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3192780"/>
                <wp:effectExtent l="0" t="0" r="0" b="0"/>
                <wp:docPr id="9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02"/>
                        <a:stretch/>
                      </pic:blipFill>
                      <pic:spPr bwMode="auto">
                        <a:xfrm>
                          <a:off x="0" y="0"/>
                          <a:ext cx="6035039" cy="31927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 o:spid="_x0000_s98" type="#_x0000_t75" style="mso-wrap-distance-left:0.0pt;mso-wrap-distance-top:0.0pt;mso-wrap-distance-right:0.0pt;mso-wrap-distance-bottom:0.0pt;width:475.2pt;height:251.4pt;" stroked="f">
                <v:path textboxrect="0,0,0,0"/>
                <v:imagedata r:id="rId102" o:title=""/>
              </v:shape>
            </w:pict>
          </mc:Fallback>
        </mc:AlternateContent>
      </w:r>
      <w:r/>
    </w:p>
    <w:p>
      <w:pPr>
        <w:pStyle w:val="983"/>
      </w:pPr>
      <w:r>
        <w:fldChar w:fldCharType="begin"/>
      </w:r>
      <w:r>
        <w:instrText xml:space="preserve"> SEQ Рисунок \* ARABIC </w:instrText>
      </w:r>
      <w:r>
        <w:fldChar w:fldCharType="separate"/>
      </w:r>
      <w:bookmarkStart w:id="460" w:name="_Ref263684914"/>
      <w:r/>
      <w:bookmarkStart w:id="461" w:name="_Toc88819422"/>
      <w:r>
        <w:t xml:space="preserve">37</w:t>
      </w:r>
      <w:bookmarkEnd w:id="460"/>
      <w:r>
        <w:fldChar w:fldCharType="end"/>
      </w:r>
      <w:r>
        <w:t xml:space="preserve">. ЭФ списка документов «Расшифровка сумм неиспользованных средств»</w:t>
      </w:r>
      <w:bookmarkEnd w:id="461"/>
      <w:r/>
      <w:r/>
    </w:p>
    <w:p>
      <w:pPr>
        <w:pStyle w:val="973"/>
      </w:pPr>
      <w:r>
        <w:t xml:space="preserve">Доступные операции</w:t>
      </w:r>
      <w:r/>
    </w:p>
    <w:p>
      <w:pPr>
        <w:pStyle w:val="994"/>
      </w:pPr>
      <w:r>
        <w:t xml:space="preserve">На АРМ ФО доступны следующие операции над документом:</w:t>
      </w:r>
      <w:r/>
    </w:p>
    <w:p>
      <w:pPr>
        <w:pStyle w:val="985"/>
      </w:pPr>
      <w:r>
        <w:t xml:space="preserve">ввод вручную;</w:t>
      </w:r>
      <w:r/>
    </w:p>
    <w:p>
      <w:pPr>
        <w:pStyle w:val="985"/>
      </w:pPr>
      <w:r>
        <w:t xml:space="preserve">импорт из внешней системы;</w:t>
      </w:r>
      <w:r/>
    </w:p>
    <w:p>
      <w:pPr>
        <w:pStyle w:val="985"/>
      </w:pPr>
      <w:r>
        <w:t xml:space="preserve">просмотр и редактирование;</w:t>
      </w:r>
      <w:r/>
    </w:p>
    <w:p>
      <w:pPr>
        <w:pStyle w:val="985"/>
      </w:pPr>
      <w:r>
        <w:t xml:space="preserve">удаление;</w:t>
      </w:r>
      <w:r/>
    </w:p>
    <w:p>
      <w:pPr>
        <w:pStyle w:val="985"/>
      </w:pPr>
      <w:r>
        <w:t xml:space="preserve">подписание </w:t>
      </w:r>
      <w:r>
        <w:t xml:space="preserve">ЭП</w:t>
      </w:r>
      <w:r>
        <w:t xml:space="preserve">;</w:t>
      </w:r>
      <w:r/>
    </w:p>
    <w:p>
      <w:pPr>
        <w:pStyle w:val="985"/>
      </w:pPr>
      <w:r>
        <w:t xml:space="preserve">печать;</w:t>
      </w:r>
      <w:r/>
    </w:p>
    <w:p>
      <w:pPr>
        <w:pStyle w:val="985"/>
      </w:pPr>
      <w:r>
        <w:t xml:space="preserve">экспорт во внешнюю систему;</w:t>
      </w:r>
      <w:r/>
    </w:p>
    <w:p>
      <w:pPr>
        <w:pStyle w:val="985"/>
      </w:pPr>
      <w:r>
        <w:t xml:space="preserve">отправка в ОФК (УФК, ЦАФК).</w:t>
      </w:r>
      <w:r/>
    </w:p>
    <w:p>
      <w:pPr>
        <w:pStyle w:val="973"/>
      </w:pPr>
      <w:r/>
      <w:bookmarkStart w:id="462" w:name="_Ref396228036"/>
      <w:r>
        <w:t xml:space="preserve">Экранная форма документа</w:t>
      </w:r>
      <w:bookmarkEnd w:id="462"/>
      <w:r/>
      <w:r/>
    </w:p>
    <w:p>
      <w:pPr>
        <w:pStyle w:val="994"/>
      </w:pPr>
      <w:r>
        <w:t xml:space="preserve">ЭФ «Расшифровка сумм неиспользованных средств» представлена на рисунках </w:t>
      </w:r>
      <w:r>
        <w:fldChar w:fldCharType="begin"/>
      </w:r>
      <w:r>
        <w:instrText xml:space="preserve"> REF _Ref263684916 \h  \* MERGEFORMAT </w:instrText>
      </w:r>
      <w:r>
        <w:fldChar w:fldCharType="separate"/>
      </w:r>
      <w:r>
        <w:t xml:space="preserve">38</w:t>
      </w:r>
      <w:r>
        <w:fldChar w:fldCharType="end"/>
      </w:r>
      <w:r>
        <w:t xml:space="preserve"> и </w:t>
      </w:r>
      <w:r>
        <w:fldChar w:fldCharType="begin"/>
      </w:r>
      <w:r>
        <w:instrText xml:space="preserve"> REF _Ref263684917 \h  \* MERGEFORMAT </w:instrText>
      </w:r>
      <w:r>
        <w:fldChar w:fldCharType="separate"/>
      </w:r>
      <w:r>
        <w:t xml:space="preserve">40</w:t>
      </w:r>
      <w:r>
        <w:fldChar w:fldCharType="end"/>
      </w:r>
      <w:r>
        <w:t xml:space="preserve">. </w:t>
      </w:r>
      <w:r>
        <w:t xml:space="preserve">Форма содержит следующие закладки</w:t>
      </w:r>
      <w:r>
        <w:t xml:space="preserve">:</w:t>
      </w:r>
      <w:r/>
    </w:p>
    <w:p>
      <w:pPr>
        <w:pStyle w:val="985"/>
      </w:pPr>
      <w:r>
        <w:t xml:space="preserve">«Заголовок»;</w:t>
      </w:r>
      <w:r/>
    </w:p>
    <w:p>
      <w:pPr>
        <w:pStyle w:val="985"/>
      </w:pPr>
      <w:r>
        <w:t xml:space="preserve">«Подписи»;</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035040" cy="4107180"/>
                <wp:effectExtent l="0" t="0" r="0" b="0"/>
                <wp:docPr id="10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03"/>
                        <a:stretch/>
                      </pic:blipFill>
                      <pic:spPr bwMode="auto">
                        <a:xfrm>
                          <a:off x="0" y="0"/>
                          <a:ext cx="6035039" cy="41071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 o:spid="_x0000_s99" type="#_x0000_t75" style="mso-wrap-distance-left:0.0pt;mso-wrap-distance-top:0.0pt;mso-wrap-distance-right:0.0pt;mso-wrap-distance-bottom:0.0pt;width:475.2pt;height:323.4pt;" stroked="f">
                <v:path textboxrect="0,0,0,0"/>
                <v:imagedata r:id="rId103" o:title=""/>
              </v:shape>
            </w:pict>
          </mc:Fallback>
        </mc:AlternateContent>
      </w:r>
      <w:r/>
    </w:p>
    <w:p>
      <w:pPr>
        <w:pStyle w:val="983"/>
      </w:pPr>
      <w:r>
        <w:fldChar w:fldCharType="begin"/>
      </w:r>
      <w:r>
        <w:instrText xml:space="preserve"> SEQ Рисунок \* ARABIC </w:instrText>
      </w:r>
      <w:r>
        <w:fldChar w:fldCharType="separate"/>
      </w:r>
      <w:bookmarkStart w:id="463" w:name="_Ref263684916"/>
      <w:r/>
      <w:bookmarkStart w:id="464" w:name="_Toc88819423"/>
      <w:r>
        <w:t xml:space="preserve">38</w:t>
      </w:r>
      <w:bookmarkEnd w:id="463"/>
      <w:r>
        <w:fldChar w:fldCharType="end"/>
      </w:r>
      <w:r>
        <w:t xml:space="preserve">. ЭФ </w:t>
      </w:r>
      <w:r>
        <w:t xml:space="preserve">документа </w:t>
      </w:r>
      <w:r>
        <w:t xml:space="preserve">«Расшифровка сумм неиспользованных средств</w:t>
      </w:r>
      <w:r>
        <w:t xml:space="preserve">», закладки «</w:t>
      </w:r>
      <w:r>
        <w:t xml:space="preserve">Заголовок»</w:t>
      </w:r>
      <w:bookmarkEnd w:id="464"/>
      <w:r/>
      <w:r/>
    </w:p>
    <w:p>
      <w:pPr>
        <w:pStyle w:val="994"/>
      </w:pPr>
      <w:r>
        <w:t xml:space="preserve">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r/>
    </w:p>
    <w:p>
      <w:pPr>
        <w:pStyle w:val="994"/>
      </w:pPr>
      <w:r>
        <w:t xml:space="preserve">Перечень полей </w:t>
      </w:r>
      <w:r>
        <w:t xml:space="preserve">документа «Расшифровка сумм неиспользованных средств», закладки «Заголовок»</w:t>
      </w:r>
      <w:r>
        <w:t xml:space="preserve"> </w:t>
      </w:r>
      <w:r>
        <w:t xml:space="preserve">приведен в таблице</w:t>
      </w:r>
      <w:r>
        <w:t xml:space="preserve"> </w:t>
      </w:r>
      <w:r>
        <w:fldChar w:fldCharType="begin"/>
      </w:r>
      <w:r>
        <w:instrText xml:space="preserve"> REF _Ref318387122 \h  \* MERGEFORMAT </w:instrText>
      </w:r>
      <w:r>
        <w:fldChar w:fldCharType="separate"/>
      </w:r>
      <w:r>
        <w:t xml:space="preserve">15</w:t>
      </w:r>
      <w:r>
        <w:fldChar w:fldCharType="end"/>
      </w:r>
      <w:r>
        <w:t xml:space="preserve">.</w:t>
      </w:r>
      <w:r/>
    </w:p>
    <w:p>
      <w:pPr>
        <w:pStyle w:val="993"/>
      </w:pPr>
      <w:r>
        <w:fldChar w:fldCharType="begin"/>
      </w:r>
      <w:r>
        <w:instrText xml:space="preserve"> SEQ Таблица \* ARABIC </w:instrText>
      </w:r>
      <w:r>
        <w:fldChar w:fldCharType="separate"/>
      </w:r>
      <w:bookmarkStart w:id="465" w:name="_Ref318387122"/>
      <w:r/>
      <w:bookmarkStart w:id="466" w:name="_Ref263686505"/>
      <w:r/>
      <w:bookmarkStart w:id="467" w:name="_Toc88819201"/>
      <w:r>
        <w:t xml:space="preserve">15</w:t>
      </w:r>
      <w:bookmarkEnd w:id="465"/>
      <w:r/>
      <w:bookmarkEnd w:id="466"/>
      <w:r>
        <w:fldChar w:fldCharType="end"/>
      </w:r>
      <w:r>
        <w:t xml:space="preserve">. Описание полей </w:t>
      </w:r>
      <w:r>
        <w:t xml:space="preserve">документа «Расшифровка сумм неиспользованных средств», закладки «Заголовок»</w:t>
      </w:r>
      <w:bookmarkEnd w:id="467"/>
      <w:r/>
      <w:r/>
    </w:p>
    <w:tbl>
      <w:tblPr>
        <w:tblW w:w="5002"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38"/>
        <w:gridCol w:w="7418"/>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198"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02" w:type="pct"/>
            <w:vAlign w:val="center"/>
            <w:textDirection w:val="lrTb"/>
            <w:noWrap w:val="false"/>
          </w:tcPr>
          <w:p>
            <w:pPr>
              <w:pStyle w:val="1006"/>
            </w:pPr>
            <w:r>
              <w:t xml:space="preserve">Описание</w:t>
            </w:r>
            <w:r>
              <w:t xml:space="preserve"> поля</w:t>
            </w:r>
            <w:r/>
          </w:p>
        </w:tc>
      </w:tr>
      <w:tr>
        <w:trPr/>
        <w:tc>
          <w:tcPr>
            <w:shd w:val="clear" w:fill="auto" w:color="auto"/>
            <w:tcW w:w="1198" w:type="pct"/>
            <w:textDirection w:val="lrTb"/>
            <w:noWrap w:val="false"/>
          </w:tcPr>
          <w:p>
            <w:pPr>
              <w:pStyle w:val="1005"/>
              <w:ind w:left="57" w:right="57"/>
            </w:pPr>
            <w:r>
              <w:t xml:space="preserve">Расшифровка_№</w:t>
            </w:r>
            <w:r/>
          </w:p>
        </w:tc>
        <w:tc>
          <w:tcPr>
            <w:shd w:val="clear" w:fill="auto" w:color="auto"/>
            <w:tcW w:w="3802" w:type="pct"/>
            <w:textDirection w:val="lrTb"/>
            <w:noWrap w:val="false"/>
          </w:tcPr>
          <w:p>
            <w:pPr>
              <w:pStyle w:val="1005"/>
              <w:ind w:left="57" w:right="57"/>
            </w:pPr>
            <w:r>
              <w:t xml:space="preserve">Значение вводится вручную.</w:t>
            </w:r>
            <w:r/>
          </w:p>
        </w:tc>
      </w:tr>
      <w:tr>
        <w:trPr/>
        <w:tc>
          <w:tcPr>
            <w:shd w:val="clear" w:fill="auto" w:color="auto"/>
            <w:tcW w:w="1198" w:type="pct"/>
            <w:textDirection w:val="lrTb"/>
            <w:noWrap w:val="false"/>
          </w:tcPr>
          <w:p>
            <w:pPr>
              <w:pStyle w:val="1005"/>
              <w:ind w:left="57" w:right="57"/>
            </w:pPr>
            <w:r>
              <w:t xml:space="preserve">Дата</w:t>
            </w:r>
            <w:r/>
          </w:p>
        </w:tc>
        <w:tc>
          <w:tcPr>
            <w:shd w:val="clear" w:fill="auto" w:color="auto"/>
            <w:tcW w:w="3802" w:type="pct"/>
            <w:textDirection w:val="lrTb"/>
            <w:noWrap w:val="false"/>
          </w:tcPr>
          <w:p>
            <w:pPr>
              <w:pStyle w:val="1005"/>
              <w:ind w:left="57" w:right="57"/>
            </w:pPr>
            <w:r>
              <w:t xml:space="preserve">Значение по умолчанию текущая дата. </w:t>
            </w:r>
            <w:r/>
          </w:p>
          <w:p>
            <w:pPr>
              <w:pStyle w:val="1005"/>
              <w:ind w:left="57" w:right="57"/>
            </w:pPr>
            <w:r>
              <w:t xml:space="preserve">Дата может быть выбрана пользователем из системного к</w:t>
            </w:r>
            <w:r>
              <w:t xml:space="preserve">а</w:t>
            </w:r>
            <w:r>
              <w:t xml:space="preserve">лендаря.</w:t>
            </w:r>
            <w:r/>
          </w:p>
          <w:p>
            <w:pPr>
              <w:pStyle w:val="1005"/>
              <w:ind w:left="57" w:right="57"/>
            </w:pPr>
            <w:r>
              <w:t xml:space="preserve">Используется для выбора шабло</w:t>
            </w:r>
            <w:r>
              <w:t xml:space="preserve">на печати.</w:t>
            </w:r>
            <w:r/>
          </w:p>
        </w:tc>
      </w:tr>
      <w:tr>
        <w:trPr/>
        <w:tc>
          <w:tcPr>
            <w:shd w:val="clear" w:fill="auto" w:color="auto"/>
            <w:tcW w:w="1198" w:type="pct"/>
            <w:textDirection w:val="lrTb"/>
            <w:noWrap w:val="false"/>
          </w:tcPr>
          <w:p>
            <w:pPr>
              <w:pStyle w:val="1005"/>
              <w:ind w:left="57" w:right="57"/>
            </w:pPr>
            <w:r>
              <w:t xml:space="preserve">Статус</w:t>
            </w:r>
            <w:r/>
          </w:p>
        </w:tc>
        <w:tc>
          <w:tcPr>
            <w:shd w:val="clear" w:fill="auto" w:color="auto"/>
            <w:tcW w:w="3802" w:type="pct"/>
            <w:textDirection w:val="lrTb"/>
            <w:noWrap w:val="false"/>
          </w:tcPr>
          <w:p>
            <w:pPr>
              <w:pStyle w:val="1005"/>
              <w:ind w:left="57" w:right="57"/>
            </w:pPr>
            <w:r>
              <w:t xml:space="preserve">Код бизнес-статуса документа.</w:t>
            </w:r>
            <w:r/>
          </w:p>
          <w:p>
            <w:pPr>
              <w:pStyle w:val="1005"/>
              <w:ind w:left="57" w:right="57"/>
            </w:pPr>
            <w:r>
              <w:t xml:space="preserve">Значение заполняется автоматически или передается из OEBS.</w:t>
            </w:r>
            <w:r/>
          </w:p>
        </w:tc>
      </w:tr>
      <w:tr>
        <w:trPr/>
        <w:tc>
          <w:tcPr>
            <w:shd w:val="clear" w:fill="auto" w:color="auto"/>
            <w:tcW w:w="1198" w:type="pct"/>
            <w:textDirection w:val="lrTb"/>
            <w:noWrap w:val="false"/>
          </w:tcPr>
          <w:p>
            <w:pPr>
              <w:pStyle w:val="1005"/>
              <w:ind w:left="57" w:right="57"/>
            </w:pPr>
            <w:r>
              <w:t xml:space="preserve">Уровень конфиденциальности</w:t>
            </w:r>
            <w:r/>
          </w:p>
        </w:tc>
        <w:tc>
          <w:tcPr>
            <w:shd w:val="clear" w:fill="auto" w:color="auto"/>
            <w:tcW w:w="3802" w:type="pct"/>
            <w:textDirection w:val="lrTb"/>
            <w:noWrap w:val="false"/>
          </w:tcPr>
          <w:p>
            <w:pPr>
              <w:pStyle w:val="1005"/>
              <w:ind w:left="57" w:right="57"/>
            </w:pPr>
            <w:r>
              <w:t xml:space="preserve">Заполняется вручную пользователем.</w:t>
            </w:r>
            <w:r>
              <w:t xml:space="preserve"> </w:t>
            </w:r>
            <w:r>
              <w:t xml:space="preserve">По умолчанию не заполнено.</w:t>
            </w:r>
            <w:r/>
          </w:p>
          <w:p>
            <w:pPr>
              <w:pStyle w:val="1005"/>
              <w:ind w:left="57" w:right="57"/>
            </w:pPr>
            <w:r>
              <w:t xml:space="preserve">Заполняется клиентом значением «1» (</w:t>
            </w:r>
            <w:r>
              <w:t xml:space="preserve">ДСП</w:t>
            </w:r>
            <w:r>
              <w:t xml:space="preserve">) или «0» (не секретно).</w:t>
            </w:r>
            <w:r/>
          </w:p>
        </w:tc>
      </w:tr>
      <w:tr>
        <w:trPr/>
        <w:tc>
          <w:tcPr>
            <w:gridSpan w:val="2"/>
            <w:shd w:val="clear" w:fill="auto" w:color="auto"/>
            <w:tcW w:w="5000" w:type="pct"/>
            <w:textDirection w:val="lrTb"/>
            <w:noWrap w:val="false"/>
          </w:tcPr>
          <w:p>
            <w:pPr>
              <w:pStyle w:val="1005"/>
              <w:ind w:left="57" w:right="57"/>
            </w:pPr>
            <w:r>
              <w:t xml:space="preserve">З</w:t>
            </w:r>
            <w:r>
              <w:t xml:space="preserve">акладк</w:t>
            </w:r>
            <w:r>
              <w:t xml:space="preserve">а</w:t>
            </w:r>
            <w:r>
              <w:t xml:space="preserve"> «Заголовок»</w:t>
            </w:r>
            <w:r/>
          </w:p>
        </w:tc>
      </w:tr>
      <w:tr>
        <w:trPr/>
        <w:tc>
          <w:tcPr>
            <w:shd w:val="clear" w:fill="auto" w:color="auto"/>
            <w:tcW w:w="1198" w:type="pct"/>
            <w:textDirection w:val="lrTb"/>
            <w:noWrap w:val="false"/>
          </w:tcPr>
          <w:p>
            <w:pPr>
              <w:pStyle w:val="1005"/>
              <w:ind w:left="57" w:right="57"/>
            </w:pPr>
            <w:r>
              <w:t xml:space="preserve">Наименование клиента</w:t>
            </w:r>
            <w:r/>
          </w:p>
        </w:tc>
        <w:tc>
          <w:tcPr>
            <w:shd w:val="clear" w:fill="auto" w:color="auto"/>
            <w:tcW w:w="3802" w:type="pct"/>
            <w:textDirection w:val="lrTb"/>
            <w:noWrap w:val="false"/>
          </w:tcPr>
          <w:p>
            <w:pPr>
              <w:pStyle w:val="1005"/>
              <w:ind w:left="57" w:right="57"/>
            </w:pPr>
            <w:r>
              <w:t xml:space="preserve">Если </w:t>
            </w:r>
            <w:r>
              <w:t xml:space="preserve">«</w:t>
            </w:r>
            <w:r>
              <w:t xml:space="preserve">Код по СР</w:t>
            </w:r>
            <w:r>
              <w:t xml:space="preserve">»</w:t>
            </w:r>
            <w:r>
              <w:t xml:space="preserve"> заполнено и Переход на СР </w:t>
            </w:r>
            <w:r>
              <w:t xml:space="preserve">равен</w:t>
            </w:r>
            <w:r>
              <w:t xml:space="preserve"> 1, то поле заполняется значением полного наименования актуальной записи справочника СР, найденной по коду </w:t>
            </w:r>
            <w:r>
              <w:t xml:space="preserve">равному</w:t>
            </w:r>
            <w:r>
              <w:t xml:space="preserve"> </w:t>
            </w:r>
            <w:r>
              <w:t xml:space="preserve">«</w:t>
            </w:r>
            <w:r>
              <w:t xml:space="preserve">Код по СР</w:t>
            </w:r>
            <w:r>
              <w:t xml:space="preserve">»</w:t>
            </w:r>
            <w:r>
              <w:t xml:space="preserve">.</w:t>
            </w:r>
            <w:r/>
          </w:p>
          <w:p>
            <w:pPr>
              <w:pStyle w:val="1005"/>
              <w:ind w:left="57" w:right="57"/>
            </w:pPr>
            <w:r>
              <w:t xml:space="preserve">Иначе, поле заполняется по-старому: полным наименованием актуальной </w:t>
            </w:r>
            <w:r>
              <w:t xml:space="preserve">записи РУБП/ПУБП/НУБП/УП, найденной по </w:t>
            </w:r>
            <w:r>
              <w:t xml:space="preserve">«</w:t>
            </w:r>
            <w:r>
              <w:t xml:space="preserve">Код собственного БУ</w:t>
            </w:r>
            <w:r>
              <w:t xml:space="preserve">»</w:t>
            </w:r>
            <w:r>
              <w:t xml:space="preserve"> и </w:t>
            </w:r>
            <w:r>
              <w:t xml:space="preserve">«</w:t>
            </w:r>
            <w:r>
              <w:t xml:space="preserve">Код бюджета</w:t>
            </w:r>
            <w:r>
              <w:t xml:space="preserve">»</w:t>
            </w:r>
            <w:r>
              <w:t xml:space="preserve">. </w:t>
            </w:r>
            <w:r/>
          </w:p>
          <w:p>
            <w:pPr>
              <w:pStyle w:val="1005"/>
              <w:ind w:left="57" w:right="57"/>
            </w:pPr>
            <w:r>
              <w:t xml:space="preserve">Может быть изменено вручную.</w:t>
            </w:r>
            <w:r/>
          </w:p>
        </w:tc>
      </w:tr>
      <w:tr>
        <w:trPr/>
        <w:tc>
          <w:tcPr>
            <w:shd w:val="clear" w:fill="auto" w:color="auto"/>
            <w:tcW w:w="1198" w:type="pct"/>
            <w:textDirection w:val="lrTb"/>
            <w:noWrap w:val="false"/>
          </w:tcPr>
          <w:p>
            <w:pPr>
              <w:pStyle w:val="1005"/>
              <w:ind w:left="57" w:right="57"/>
            </w:pPr>
            <w:r>
              <w:t xml:space="preserve">По сводному реестру</w:t>
            </w:r>
            <w:r/>
          </w:p>
        </w:tc>
        <w:tc>
          <w:tcPr>
            <w:shd w:val="clear" w:fill="auto" w:color="auto"/>
            <w:tcW w:w="3802" w:type="pct"/>
            <w:textDirection w:val="lrTb"/>
            <w:noWrap w:val="false"/>
          </w:tcPr>
          <w:p>
            <w:pPr>
              <w:pStyle w:val="1007"/>
              <w:numPr>
                <w:ilvl w:val="0"/>
                <w:numId w:val="0"/>
              </w:numPr>
              <w:ind w:left="340" w:hanging="227"/>
            </w:pPr>
            <w:r>
              <w:t xml:space="preserve">Н</w:t>
            </w:r>
            <w:r>
              <w:t xml:space="preserve">а АРМ ФО </w:t>
            </w:r>
            <w:r>
              <w:t xml:space="preserve">–</w:t>
            </w:r>
            <w:r>
              <w:t xml:space="preserve"> не заполняется.</w:t>
            </w:r>
            <w:r/>
          </w:p>
        </w:tc>
      </w:tr>
      <w:tr>
        <w:trPr/>
        <w:tc>
          <w:tcPr>
            <w:shd w:val="clear" w:fill="auto" w:color="auto"/>
            <w:tcW w:w="1198" w:type="pct"/>
            <w:textDirection w:val="lrTb"/>
            <w:noWrap w:val="false"/>
          </w:tcPr>
          <w:p>
            <w:pPr>
              <w:pStyle w:val="1005"/>
              <w:ind w:left="57" w:right="57"/>
            </w:pPr>
            <w:r>
              <w:t xml:space="preserve">ИНН</w:t>
            </w:r>
            <w:r/>
          </w:p>
        </w:tc>
        <w:tc>
          <w:tcPr>
            <w:shd w:val="clear" w:fill="auto" w:color="auto"/>
            <w:tcW w:w="3802" w:type="pct"/>
            <w:textDirection w:val="lrTb"/>
            <w:noWrap w:val="false"/>
          </w:tcPr>
          <w:p>
            <w:pPr>
              <w:pStyle w:val="1005"/>
              <w:ind w:left="57" w:right="57"/>
            </w:pPr>
            <w:r>
              <w:t xml:space="preserve">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r/>
          </w:p>
          <w:p>
            <w:pPr>
              <w:pStyle w:val="1005"/>
              <w:ind w:left="57" w:right="57"/>
            </w:pPr>
            <w:r>
              <w:t xml:space="preserve">Может быть изменено вручную.</w:t>
            </w:r>
            <w:r/>
          </w:p>
        </w:tc>
      </w:tr>
      <w:tr>
        <w:trPr/>
        <w:tc>
          <w:tcPr>
            <w:shd w:val="clear" w:fill="auto" w:color="auto"/>
            <w:tcW w:w="1198" w:type="pct"/>
            <w:textDirection w:val="lrTb"/>
            <w:noWrap w:val="false"/>
          </w:tcPr>
          <w:p>
            <w:pPr>
              <w:pStyle w:val="1005"/>
              <w:ind w:left="57" w:right="57"/>
            </w:pPr>
            <w:r>
              <w:t xml:space="preserve">КПП</w:t>
            </w:r>
            <w:r/>
          </w:p>
        </w:tc>
        <w:tc>
          <w:tcPr>
            <w:shd w:val="clear" w:fill="auto" w:color="auto"/>
            <w:tcW w:w="3802" w:type="pct"/>
            <w:textDirection w:val="lrTb"/>
            <w:noWrap w:val="false"/>
          </w:tcPr>
          <w:p>
            <w:pPr>
              <w:pStyle w:val="1005"/>
              <w:ind w:left="57" w:right="57"/>
            </w:pPr>
            <w:r>
              <w:t xml:space="preserve">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r>
              <w:t xml:space="preserve">.</w:t>
            </w:r>
            <w:r>
              <w:t xml:space="preserve"> </w:t>
            </w:r>
            <w:r/>
          </w:p>
          <w:p>
            <w:pPr>
              <w:pStyle w:val="1005"/>
              <w:ind w:left="57" w:right="57"/>
            </w:pPr>
            <w:r>
              <w:t xml:space="preserve">Может быть изменено вручную.</w:t>
            </w:r>
            <w:r/>
          </w:p>
        </w:tc>
      </w:tr>
      <w:tr>
        <w:trPr/>
        <w:tc>
          <w:tcPr>
            <w:shd w:val="clear" w:fill="auto" w:color="auto"/>
            <w:tcW w:w="1198" w:type="pct"/>
            <w:textDirection w:val="lrTb"/>
            <w:noWrap w:val="false"/>
          </w:tcPr>
          <w:p>
            <w:pPr>
              <w:pStyle w:val="1005"/>
              <w:ind w:left="57" w:right="57"/>
            </w:pPr>
            <w:r>
              <w:t xml:space="preserve">Наименование орг</w:t>
            </w:r>
            <w:r>
              <w:t xml:space="preserve">а</w:t>
            </w:r>
            <w:r>
              <w:t xml:space="preserve">на ФК</w:t>
            </w:r>
            <w:r/>
          </w:p>
        </w:tc>
        <w:tc>
          <w:tcPr>
            <w:shd w:val="clear" w:fill="auto" w:color="auto"/>
            <w:tcW w:w="3802" w:type="pct"/>
            <w:textDirection w:val="lrTb"/>
            <w:noWrap w:val="false"/>
          </w:tcPr>
          <w:p>
            <w:pPr>
              <w:pStyle w:val="1005"/>
              <w:ind w:left="57" w:right="57"/>
            </w:pPr>
            <w:r>
              <w:t xml:space="preserve">Значение поля подтягивается по полю «по КОФК» из справочника органов ФК из поля «Полное н</w:t>
            </w:r>
            <w:r>
              <w:t xml:space="preserve">а</w:t>
            </w:r>
            <w:r>
              <w:t xml:space="preserve">именование».</w:t>
            </w:r>
            <w:r/>
          </w:p>
          <w:p>
            <w:pPr>
              <w:pStyle w:val="1005"/>
              <w:ind w:left="57" w:right="57"/>
            </w:pPr>
            <w:r>
              <w:t xml:space="preserve">Может быть изменено вручную.</w:t>
            </w:r>
            <w:r/>
          </w:p>
        </w:tc>
      </w:tr>
      <w:tr>
        <w:trPr/>
        <w:tc>
          <w:tcPr>
            <w:shd w:val="clear" w:fill="auto" w:color="auto"/>
            <w:tcW w:w="1198" w:type="pct"/>
            <w:textDirection w:val="lrTb"/>
            <w:noWrap w:val="false"/>
          </w:tcPr>
          <w:p>
            <w:pPr>
              <w:pStyle w:val="1005"/>
              <w:ind w:left="57" w:right="57"/>
            </w:pPr>
            <w:r>
              <w:t xml:space="preserve">П</w:t>
            </w:r>
            <w:r>
              <w:t xml:space="preserve">о КОФК</w:t>
            </w:r>
            <w:r/>
          </w:p>
        </w:tc>
        <w:tc>
          <w:tcPr>
            <w:shd w:val="clear" w:fill="auto" w:color="auto"/>
            <w:tcW w:w="3802" w:type="pct"/>
            <w:textDirection w:val="lrTb"/>
            <w:noWrap w:val="false"/>
          </w:tcPr>
          <w:p>
            <w:pPr>
              <w:pStyle w:val="1005"/>
              <w:ind w:left="57" w:right="57"/>
            </w:pPr>
            <w:r>
              <w:t xml:space="preserve">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w:t>
            </w:r>
            <w:r>
              <w:t xml:space="preserve">е</w:t>
            </w:r>
            <w:r>
              <w:t xml:space="preserve">ние код собственного ТОФК.</w:t>
            </w:r>
            <w:r/>
          </w:p>
          <w:p>
            <w:pPr>
              <w:pStyle w:val="1005"/>
              <w:ind w:left="57" w:right="57"/>
            </w:pPr>
            <w:r>
              <w:t xml:space="preserve">Может быть изменено вручную или выбором из справочн</w:t>
            </w:r>
            <w:r>
              <w:t xml:space="preserve">и</w:t>
            </w:r>
            <w:r>
              <w:t xml:space="preserve">ка Органы ФК.</w:t>
            </w:r>
            <w:r/>
          </w:p>
        </w:tc>
      </w:tr>
      <w:tr>
        <w:trPr/>
        <w:tc>
          <w:tcPr>
            <w:shd w:val="clear" w:fill="auto" w:color="auto"/>
            <w:tcW w:w="1198" w:type="pct"/>
            <w:textDirection w:val="lrTb"/>
            <w:noWrap w:val="false"/>
          </w:tcPr>
          <w:p>
            <w:pPr>
              <w:pStyle w:val="1005"/>
              <w:ind w:left="57" w:right="57"/>
            </w:pPr>
            <w:r>
              <w:t xml:space="preserve">Денежные средства в су</w:t>
            </w:r>
            <w:r>
              <w:t xml:space="preserve">м</w:t>
            </w:r>
            <w:r>
              <w:t xml:space="preserve">ме</w:t>
            </w:r>
            <w:r/>
          </w:p>
        </w:tc>
        <w:tc>
          <w:tcPr>
            <w:shd w:val="clear" w:fill="auto" w:color="auto"/>
            <w:tcW w:w="3802" w:type="pct"/>
            <w:textDirection w:val="lrTb"/>
            <w:noWrap w:val="false"/>
          </w:tcPr>
          <w:p>
            <w:pPr>
              <w:pStyle w:val="1005"/>
              <w:ind w:left="57" w:right="57"/>
            </w:pPr>
            <w:r>
              <w:t xml:space="preserve">Значение вводится вручную.</w:t>
            </w:r>
            <w:r/>
          </w:p>
        </w:tc>
      </w:tr>
      <w:tr>
        <w:trPr/>
        <w:tc>
          <w:tcPr>
            <w:shd w:val="clear" w:fill="auto" w:color="auto"/>
            <w:tcW w:w="1198" w:type="pct"/>
            <w:textDirection w:val="lrTb"/>
            <w:noWrap w:val="false"/>
          </w:tcPr>
          <w:p>
            <w:pPr>
              <w:pStyle w:val="1005"/>
              <w:ind w:left="57" w:right="57"/>
            </w:pPr>
            <w:r>
              <w:t xml:space="preserve">Наименование опер</w:t>
            </w:r>
            <w:r>
              <w:t xml:space="preserve">а</w:t>
            </w:r>
            <w:r>
              <w:t xml:space="preserve">ции</w:t>
            </w:r>
            <w:r/>
          </w:p>
        </w:tc>
        <w:tc>
          <w:tcPr>
            <w:shd w:val="clear" w:fill="auto" w:color="auto"/>
            <w:tcW w:w="3802" w:type="pct"/>
            <w:textDirection w:val="lrTb"/>
            <w:noWrap w:val="false"/>
          </w:tcPr>
          <w:p>
            <w:pPr>
              <w:pStyle w:val="1005"/>
              <w:ind w:left="57" w:right="57"/>
            </w:pPr>
            <w:r>
              <w:t xml:space="preserve">Выводится наименования вида операции:</w:t>
            </w:r>
            <w:r/>
          </w:p>
          <w:p>
            <w:pPr>
              <w:pStyle w:val="1005"/>
              <w:ind w:left="57" w:right="57"/>
            </w:pPr>
            <w:r>
              <w:t xml:space="preserve">Может быть изменено пользователем выбором из списка:</w:t>
            </w:r>
            <w:r/>
          </w:p>
          <w:p>
            <w:pPr>
              <w:pStyle w:val="1007"/>
            </w:pPr>
            <w:r>
              <w:t xml:space="preserve">«Внесенные наличными»;</w:t>
            </w:r>
            <w:r/>
          </w:p>
          <w:p>
            <w:pPr>
              <w:pStyle w:val="1007"/>
            </w:pPr>
            <w:r>
              <w:t xml:space="preserve">«Неиспользованные по карте».</w:t>
            </w:r>
            <w:r/>
          </w:p>
        </w:tc>
      </w:tr>
      <w:tr>
        <w:trPr/>
        <w:tc>
          <w:tcPr>
            <w:shd w:val="clear" w:fill="auto" w:color="auto"/>
            <w:tcW w:w="1198" w:type="pct"/>
            <w:textDirection w:val="lrTb"/>
            <w:noWrap w:val="false"/>
          </w:tcPr>
          <w:p>
            <w:pPr>
              <w:pStyle w:val="1005"/>
              <w:ind w:left="57" w:right="57"/>
            </w:pPr>
            <w:r>
              <w:t xml:space="preserve">Код валюты по ОКВ</w:t>
            </w:r>
            <w:r/>
          </w:p>
        </w:tc>
        <w:tc>
          <w:tcPr>
            <w:shd w:val="clear" w:fill="auto" w:color="auto"/>
            <w:tcW w:w="3802" w:type="pct"/>
            <w:textDirection w:val="lrTb"/>
            <w:noWrap w:val="false"/>
          </w:tcPr>
          <w:p>
            <w:pPr>
              <w:pStyle w:val="1005"/>
              <w:ind w:left="57" w:right="57"/>
            </w:pPr>
            <w:r>
              <w:t xml:space="preserve">Заполняется автоматически при импорте документа.</w:t>
            </w:r>
            <w:r/>
          </w:p>
          <w:p>
            <w:pPr>
              <w:pStyle w:val="1005"/>
              <w:ind w:left="57" w:right="57"/>
            </w:pPr>
            <w:r>
              <w:t xml:space="preserve">При ручном вводе документа заполняется автоматически по правилам:</w:t>
            </w:r>
            <w:r/>
          </w:p>
          <w:p>
            <w:pPr>
              <w:pStyle w:val="1009"/>
              <w:numPr>
                <w:ilvl w:val="0"/>
                <w:numId w:val="125"/>
              </w:numPr>
            </w:pPr>
            <w:r>
              <w:t xml:space="preserve">В справочнике «Банковские карты» для карты, указанной в документе, определяются реквизиты счета № 40116, к которому выпущена карта.</w:t>
            </w:r>
            <w:r/>
          </w:p>
          <w:p>
            <w:pPr>
              <w:pStyle w:val="1009"/>
            </w:pPr>
            <w:r>
              <w:t xml:space="preserve">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r/>
          </w:p>
        </w:tc>
      </w:tr>
      <w:tr>
        <w:trPr/>
        <w:tc>
          <w:tcPr>
            <w:shd w:val="clear" w:fill="auto" w:color="auto"/>
            <w:tcW w:w="1198" w:type="pct"/>
            <w:textDirection w:val="lrTb"/>
            <w:noWrap w:val="false"/>
          </w:tcPr>
          <w:p>
            <w:pPr>
              <w:pStyle w:val="1005"/>
              <w:ind w:left="57" w:right="57"/>
            </w:pPr>
            <w:r>
              <w:t xml:space="preserve">Реквизиты карты (номер ка</w:t>
            </w:r>
            <w:r>
              <w:t xml:space="preserve">р</w:t>
            </w:r>
            <w:r>
              <w:t xml:space="preserve">ты)</w:t>
            </w:r>
            <w:r/>
          </w:p>
        </w:tc>
        <w:tc>
          <w:tcPr>
            <w:shd w:val="clear" w:fill="auto" w:color="auto"/>
            <w:tcW w:w="3802" w:type="pct"/>
            <w:textDirection w:val="lrTb"/>
            <w:noWrap w:val="false"/>
          </w:tcPr>
          <w:p>
            <w:pPr>
              <w:pStyle w:val="1005"/>
              <w:ind w:left="57" w:right="57"/>
            </w:pPr>
            <w:r>
              <w:t xml:space="preserve">Выбирается из справочника банковских карт.</w:t>
            </w:r>
            <w:r/>
          </w:p>
          <w:p>
            <w:pPr>
              <w:pStyle w:val="1005"/>
              <w:ind w:left="57" w:right="57"/>
            </w:pPr>
            <w:r>
              <w:t xml:space="preserve">Может быть отредактировано вручную.</w:t>
            </w:r>
            <w:r/>
          </w:p>
        </w:tc>
      </w:tr>
      <w:tr>
        <w:trPr/>
        <w:tc>
          <w:tcPr>
            <w:shd w:val="clear" w:fill="auto" w:color="auto"/>
            <w:tcW w:w="1198" w:type="pct"/>
            <w:textDirection w:val="lrTb"/>
            <w:noWrap w:val="false"/>
          </w:tcPr>
          <w:p>
            <w:pPr>
              <w:pStyle w:val="1005"/>
              <w:ind w:left="57" w:right="57"/>
            </w:pPr>
            <w:r>
              <w:t xml:space="preserve">Зачислить на лиц</w:t>
            </w:r>
            <w:r>
              <w:t xml:space="preserve">е</w:t>
            </w:r>
            <w:r>
              <w:t xml:space="preserve">вой счет клиента №</w:t>
            </w:r>
            <w:r/>
          </w:p>
        </w:tc>
        <w:tc>
          <w:tcPr>
            <w:shd w:val="clear" w:fill="auto" w:color="auto"/>
            <w:tcW w:w="3802" w:type="pct"/>
            <w:textDirection w:val="lrTb"/>
            <w:noWrap w:val="false"/>
          </w:tcPr>
          <w:p>
            <w:pPr>
              <w:pStyle w:val="1005"/>
              <w:ind w:left="57" w:right="57"/>
            </w:pPr>
            <w:r>
              <w:t xml:space="preserve">Заполняется вручную, либо выбором значения из </w:t>
            </w:r>
            <w:r>
              <w:t xml:space="preserve">справочника «Информ</w:t>
            </w:r>
            <w:r>
              <w:t xml:space="preserve">а</w:t>
            </w:r>
            <w:r>
              <w:t xml:space="preserve">ция о ЛС»</w:t>
            </w:r>
            <w:r>
              <w:t xml:space="preserve">.</w:t>
            </w:r>
            <w:r/>
          </w:p>
          <w:p>
            <w:pPr>
              <w:pStyle w:val="1005"/>
              <w:ind w:left="57" w:right="57"/>
            </w:pPr>
            <w:r>
              <w:t xml:space="preserve">При указании </w:t>
            </w:r>
            <w:r>
              <w:t xml:space="preserve">в поле «Зачислить на лицевой счет клиента №»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w:t>
            </w:r>
            <w:r>
              <w:t xml:space="preserve">е</w:t>
            </w:r>
            <w:r>
              <w:t xml:space="preserve">обходимо перез</w:t>
            </w:r>
            <w:r>
              <w:t xml:space="preserve">а</w:t>
            </w:r>
            <w:r>
              <w:t xml:space="preserve">полнить </w:t>
            </w:r>
            <w:r>
              <w:t xml:space="preserve">сл</w:t>
            </w:r>
            <w:r>
              <w:t xml:space="preserve">едующие </w:t>
            </w:r>
            <w:r>
              <w:t xml:space="preserve">поля документа</w:t>
            </w:r>
            <w:r>
              <w:t xml:space="preserve">:</w:t>
            </w:r>
            <w:r/>
          </w:p>
          <w:p>
            <w:pPr>
              <w:pStyle w:val="1007"/>
            </w:pPr>
            <w:r>
              <w:t xml:space="preserve">код бюджета (код бюджета из </w:t>
            </w:r>
            <w:r>
              <w:t xml:space="preserve">справочника «Информация о ЛС»</w:t>
            </w:r>
            <w:r>
              <w:t xml:space="preserve">);</w:t>
            </w:r>
            <w:r/>
          </w:p>
          <w:p>
            <w:pPr>
              <w:pStyle w:val="1007"/>
            </w:pPr>
            <w:r>
              <w:t xml:space="preserve">наименование клиента (полное наименование владельца ЛС из </w:t>
            </w:r>
            <w:r>
              <w:t xml:space="preserve">справоч</w:t>
            </w:r>
            <w:r>
              <w:t xml:space="preserve">ника «Информация о ЛС»</w:t>
            </w:r>
            <w:r>
              <w:t xml:space="preserve">);</w:t>
            </w:r>
            <w:r/>
          </w:p>
          <w:p>
            <w:pPr>
              <w:pStyle w:val="1007"/>
            </w:pPr>
            <w:r>
              <w:t xml:space="preserve">код по сводному реестру (заполняется только в случае указания федерального бюджета – из </w:t>
            </w:r>
            <w:r>
              <w:t xml:space="preserve">справочника «Информация о ЛС»</w:t>
            </w:r>
            <w:r>
              <w:t xml:space="preserve">);</w:t>
            </w:r>
            <w:r/>
          </w:p>
          <w:p>
            <w:pPr>
              <w:pStyle w:val="1007"/>
            </w:pPr>
            <w:r>
              <w:t xml:space="preserve">код главы (ведомство из </w:t>
            </w:r>
            <w:r>
              <w:t xml:space="preserve">справочника «Информация о ЛС»</w:t>
            </w:r>
            <w:r>
              <w:t xml:space="preserve">);</w:t>
            </w:r>
            <w:r/>
          </w:p>
          <w:p>
            <w:pPr>
              <w:pStyle w:val="1007"/>
            </w:pPr>
            <w:r>
              <w:t xml:space="preserve">ИНН;</w:t>
            </w:r>
            <w:r/>
          </w:p>
          <w:p>
            <w:pPr>
              <w:pStyle w:val="1007"/>
            </w:pPr>
            <w:r>
              <w:t xml:space="preserve">КПП.</w:t>
            </w:r>
            <w:r/>
          </w:p>
        </w:tc>
      </w:tr>
      <w:tr>
        <w:trPr/>
        <w:tc>
          <w:tcPr>
            <w:shd w:val="clear" w:fill="auto" w:color="auto"/>
            <w:tcW w:w="1198" w:type="pct"/>
            <w:textDirection w:val="lrTb"/>
            <w:noWrap w:val="false"/>
          </w:tcPr>
          <w:p>
            <w:pPr>
              <w:pStyle w:val="1005"/>
              <w:ind w:left="57" w:right="57"/>
            </w:pPr>
            <w:r>
              <w:t xml:space="preserve">Код объекта ФАИП</w:t>
            </w:r>
            <w:r/>
          </w:p>
        </w:tc>
        <w:tc>
          <w:tcPr>
            <w:shd w:val="clear" w:fill="auto" w:color="auto"/>
            <w:tcW w:w="3802" w:type="pct"/>
            <w:textDirection w:val="lrTb"/>
            <w:noWrap w:val="false"/>
          </w:tcPr>
          <w:p>
            <w:pPr>
              <w:pStyle w:val="1005"/>
              <w:ind w:left="57" w:right="57"/>
            </w:pPr>
            <w:r>
              <w:t xml:space="preserve">Заполняется в соответствии со справочником «ФАИП», по которому дол</w:t>
            </w:r>
            <w:r>
              <w:t xml:space="preserve">ж</w:t>
            </w:r>
            <w:r>
              <w:t xml:space="preserve">на быть произведена кассовая выплата в целях реализации ФАИП. Для в</w:t>
            </w:r>
            <w:r>
              <w:t xml:space="preserve">ы</w:t>
            </w:r>
            <w:r>
              <w:t xml:space="preserve">бора из справочника доступны все записи</w:t>
            </w:r>
            <w:r>
              <w:t xml:space="preserve">,</w:t>
            </w:r>
            <w:r>
              <w:t xml:space="preserve"> у которых признак актуальности ук</w:t>
            </w:r>
            <w:r>
              <w:t xml:space="preserve">а</w:t>
            </w:r>
            <w:r>
              <w:t xml:space="preserve">зан «Да»</w:t>
            </w:r>
            <w:r>
              <w:t xml:space="preserve">,</w:t>
            </w:r>
            <w:r>
              <w:t xml:space="preserve"> и значение поля «Дата с» меньше или равна</w:t>
            </w:r>
            <w:r>
              <w:t xml:space="preserve"> дате документа (т.е. значение поля «Дата по» не учитывае</w:t>
            </w:r>
            <w:r>
              <w:t xml:space="preserve">тся </w:t>
            </w:r>
            <w:r>
              <w:t xml:space="preserve">–</w:t>
            </w:r>
            <w:r>
              <w:t xml:space="preserve"> выводятся</w:t>
            </w:r>
            <w:r>
              <w:t xml:space="preserve"> все записи прошлых лет)</w:t>
            </w:r>
            <w:r>
              <w:t xml:space="preserve">.</w:t>
            </w:r>
            <w:r/>
          </w:p>
          <w:p>
            <w:pPr>
              <w:pStyle w:val="1005"/>
              <w:ind w:left="57" w:right="57"/>
            </w:pPr>
            <w:r>
              <w:t xml:space="preserve">Для всех документов, за исключением документов по л/с с кодом 20, 21, 22, 30, 31, 32, 41, </w:t>
            </w:r>
            <w:r>
              <w:t xml:space="preserve">возможен</w:t>
            </w:r>
            <w:r>
              <w:t xml:space="preserve"> </w:t>
            </w:r>
            <w:r>
              <w:t xml:space="preserve">выбор значений из справочника «Перечень кодов мероприятий по информатизации».</w:t>
            </w:r>
            <w:r/>
          </w:p>
        </w:tc>
      </w:tr>
      <w:tr>
        <w:trPr/>
        <w:tc>
          <w:tcPr>
            <w:shd w:val="clear" w:fill="auto" w:color="auto"/>
            <w:tcW w:w="1198" w:type="pct"/>
            <w:textDirection w:val="lrTb"/>
            <w:noWrap w:val="false"/>
          </w:tcPr>
          <w:p>
            <w:pPr>
              <w:pStyle w:val="1005"/>
              <w:ind w:left="57" w:right="57"/>
            </w:pPr>
            <w:r>
              <w:t xml:space="preserve">Учетный номер БО</w:t>
            </w:r>
            <w:r/>
          </w:p>
        </w:tc>
        <w:tc>
          <w:tcPr>
            <w:shd w:val="clear" w:fill="auto" w:color="auto"/>
            <w:tcW w:w="3802" w:type="pct"/>
            <w:textDirection w:val="lrTb"/>
            <w:noWrap w:val="false"/>
          </w:tcPr>
          <w:p>
            <w:pPr>
              <w:pStyle w:val="1005"/>
              <w:ind w:left="57" w:right="57"/>
            </w:pPr>
            <w:r>
              <w:t xml:space="preserve">Заполняется вручную.</w:t>
            </w:r>
            <w:r/>
          </w:p>
        </w:tc>
      </w:tr>
      <w:tr>
        <w:trPr/>
        <w:tc>
          <w:tcPr>
            <w:gridSpan w:val="2"/>
            <w:shd w:val="clear" w:fill="auto" w:color="auto"/>
            <w:tcW w:w="5000" w:type="pct"/>
            <w:textDirection w:val="lrTb"/>
            <w:noWrap w:val="false"/>
          </w:tcPr>
          <w:p>
            <w:pPr>
              <w:pStyle w:val="1005"/>
              <w:ind w:left="57" w:right="57"/>
            </w:pPr>
            <w:r>
              <w:t xml:space="preserve">Закладк</w:t>
            </w:r>
            <w:r>
              <w:t xml:space="preserve">а </w:t>
            </w:r>
            <w:r>
              <w:t xml:space="preserve">«Заголовок»</w:t>
            </w:r>
            <w:r>
              <w:t xml:space="preserve">, табличный блок</w:t>
            </w:r>
            <w:r/>
          </w:p>
        </w:tc>
      </w:tr>
      <w:tr>
        <w:trPr/>
        <w:tc>
          <w:tcPr>
            <w:shd w:val="clear" w:fill="auto" w:color="auto"/>
            <w:tcW w:w="1198" w:type="pct"/>
            <w:textDirection w:val="lrTb"/>
            <w:noWrap w:val="false"/>
          </w:tcPr>
          <w:p>
            <w:pPr>
              <w:pStyle w:val="1005"/>
              <w:ind w:left="57" w:right="57"/>
            </w:pPr>
            <w:r>
              <w:t xml:space="preserve">№</w:t>
            </w:r>
            <w:r/>
          </w:p>
        </w:tc>
        <w:tc>
          <w:tcPr>
            <w:shd w:val="clear" w:fill="auto" w:color="auto"/>
            <w:tcW w:w="3802" w:type="pct"/>
            <w:textDirection w:val="lrTb"/>
            <w:noWrap w:val="false"/>
          </w:tcPr>
          <w:p>
            <w:pPr>
              <w:pStyle w:val="1005"/>
              <w:ind w:left="57" w:right="57"/>
            </w:pPr>
            <w:r>
              <w:t xml:space="preserve">Номер позиции.</w:t>
            </w:r>
            <w:r/>
          </w:p>
          <w:p>
            <w:pPr>
              <w:pStyle w:val="1005"/>
              <w:ind w:left="57" w:right="57"/>
            </w:pPr>
            <w:r>
              <w:t xml:space="preserve">Заполняется автоматически.</w:t>
            </w:r>
            <w:r/>
          </w:p>
        </w:tc>
      </w:tr>
      <w:tr>
        <w:trPr/>
        <w:tc>
          <w:tcPr>
            <w:shd w:val="clear" w:fill="auto" w:color="auto"/>
            <w:tcW w:w="1198" w:type="pct"/>
            <w:textDirection w:val="lrTb"/>
            <w:noWrap w:val="false"/>
          </w:tcPr>
          <w:p>
            <w:pPr>
              <w:pStyle w:val="1005"/>
              <w:ind w:left="57" w:right="57"/>
            </w:pPr>
            <w:r>
              <w:t xml:space="preserve">Вид средств</w:t>
            </w:r>
            <w:r/>
          </w:p>
        </w:tc>
        <w:tc>
          <w:tcPr>
            <w:shd w:val="clear" w:fill="auto" w:color="auto"/>
            <w:tcW w:w="3802" w:type="pct"/>
            <w:textDirection w:val="lrTb"/>
            <w:noWrap w:val="false"/>
          </w:tcPr>
          <w:p>
            <w:pPr>
              <w:pStyle w:val="1005"/>
              <w:ind w:left="57" w:right="57"/>
            </w:pPr>
            <w:r>
              <w:t xml:space="preserve">Выводится наименование вида средств.</w:t>
            </w:r>
            <w:r/>
          </w:p>
          <w:p>
            <w:pPr>
              <w:pStyle w:val="1005"/>
              <w:ind w:left="57" w:right="57"/>
            </w:pPr>
            <w:r>
              <w:t xml:space="preserve">Может быть изменено пользователем вручную или выбором из справочн</w:t>
            </w:r>
            <w:r>
              <w:t xml:space="preserve">и</w:t>
            </w:r>
            <w:r>
              <w:t xml:space="preserve">ка «Источники финансирования». Список значений, доступных для выбора пользователем ограничен следующими код</w:t>
            </w:r>
            <w:r>
              <w:t xml:space="preserve">а</w:t>
            </w:r>
            <w:r>
              <w:t xml:space="preserve">ми: 10, 20, 14, 30, 40, 8</w:t>
            </w:r>
            <w:r>
              <w:t xml:space="preserve">0, 90, 70,</w:t>
            </w:r>
            <w:r>
              <w:t xml:space="preserve"> </w:t>
            </w:r>
            <w:r>
              <w:t xml:space="preserve">г</w:t>
            </w:r>
            <w:r>
              <w:t xml:space="preserve">де:</w:t>
            </w:r>
            <w:r/>
          </w:p>
          <w:p>
            <w:pPr>
              <w:pStyle w:val="1007"/>
            </w:pPr>
            <w:r>
              <w:t xml:space="preserve">10 – Средства бюджета;</w:t>
            </w:r>
            <w:r/>
          </w:p>
          <w:p>
            <w:pPr>
              <w:pStyle w:val="1007"/>
            </w:pPr>
            <w:r>
              <w:t xml:space="preserve">11 – Средства по дополнительному бюджетному финансированию за счет арендных платежей;</w:t>
            </w:r>
            <w:r/>
          </w:p>
          <w:p>
            <w:pPr>
              <w:pStyle w:val="1007"/>
            </w:pPr>
            <w:r>
              <w:t xml:space="preserve">20 – Средства от приносящей доход деятельности;</w:t>
            </w:r>
            <w:r/>
          </w:p>
          <w:p>
            <w:pPr>
              <w:pStyle w:val="1007"/>
            </w:pPr>
            <w:r>
              <w:t xml:space="preserve">14 – Средства для финансирования мероприятий по оп</w:t>
            </w:r>
            <w:r>
              <w:t xml:space="preserve">е</w:t>
            </w:r>
            <w:r>
              <w:t xml:space="preserve">ративно-розыскной деятельности;</w:t>
            </w:r>
            <w:r/>
          </w:p>
          <w:p>
            <w:pPr>
              <w:pStyle w:val="1007"/>
            </w:pPr>
            <w:r>
              <w:t xml:space="preserve">30 – Средства во временном распоряжении;</w:t>
            </w:r>
            <w:r/>
          </w:p>
          <w:p>
            <w:pPr>
              <w:pStyle w:val="1007"/>
            </w:pPr>
            <w:r>
              <w:t xml:space="preserve">40 – «Средства юридических лиц;</w:t>
            </w:r>
            <w:r/>
          </w:p>
          <w:p>
            <w:pPr>
              <w:pStyle w:val="1007"/>
            </w:pPr>
            <w:r>
              <w:t xml:space="preserve">70 – «средства юридических лиц»;</w:t>
            </w:r>
            <w:r/>
          </w:p>
          <w:p>
            <w:pPr>
              <w:pStyle w:val="1007"/>
            </w:pPr>
            <w:r>
              <w:t xml:space="preserve">80 – Средства юридических лиц;</w:t>
            </w:r>
            <w:r/>
          </w:p>
          <w:p>
            <w:pPr>
              <w:pStyle w:val="1007"/>
            </w:pPr>
            <w:r>
              <w:t xml:space="preserve">90 – Средства юридических лиц.</w:t>
            </w:r>
            <w:r/>
          </w:p>
        </w:tc>
      </w:tr>
      <w:tr>
        <w:trPr/>
        <w:tc>
          <w:tcPr>
            <w:shd w:val="clear" w:fill="auto" w:color="auto"/>
            <w:tcW w:w="1198" w:type="pct"/>
            <w:textDirection w:val="lrTb"/>
            <w:noWrap w:val="false"/>
          </w:tcPr>
          <w:p>
            <w:pPr>
              <w:pStyle w:val="1005"/>
              <w:ind w:left="57" w:right="57"/>
            </w:pPr>
            <w:r>
              <w:t xml:space="preserve">КБК</w:t>
            </w:r>
            <w:r/>
          </w:p>
        </w:tc>
        <w:tc>
          <w:tcPr>
            <w:shd w:val="clear" w:fill="auto" w:color="auto"/>
            <w:tcW w:w="3802" w:type="pct"/>
            <w:textDirection w:val="lrTb"/>
            <w:noWrap w:val="false"/>
          </w:tcPr>
          <w:p>
            <w:pPr>
              <w:pStyle w:val="1005"/>
              <w:ind w:left="57" w:right="57"/>
            </w:pPr>
            <w:r>
              <w:t xml:space="preserve">Значение вводится вручную или выбирается из справочн</w:t>
            </w:r>
            <w:r>
              <w:t xml:space="preserve">и</w:t>
            </w:r>
            <w:r>
              <w:t xml:space="preserve">ка КБК. </w:t>
            </w:r>
            <w:r/>
          </w:p>
          <w:p>
            <w:pPr>
              <w:pStyle w:val="1005"/>
              <w:ind w:left="57" w:right="57"/>
            </w:pPr>
            <w:r>
              <w:t xml:space="preserve">Поле необязательно для заполнения, если вид средств равен «Средства, поступающие во вр</w:t>
            </w:r>
            <w:r>
              <w:t xml:space="preserve">е</w:t>
            </w:r>
            <w:r>
              <w:t xml:space="preserve">менное распоряжение».</w:t>
            </w:r>
            <w:r/>
          </w:p>
          <w:p>
            <w:pPr>
              <w:pStyle w:val="1005"/>
              <w:ind w:left="57" w:right="57"/>
            </w:pPr>
            <w:r>
              <w:t xml:space="preserve">Если в поле «Вид средств» указано значение «Средства от привлечения осужденных к оплачиваемому труду», то в документе </w:t>
            </w:r>
            <w:r>
              <w:t xml:space="preserve">указывается</w:t>
            </w:r>
            <w:r>
              <w:t xml:space="preserve"> доходный КБК.</w:t>
            </w:r>
            <w:r/>
          </w:p>
          <w:p>
            <w:pPr>
              <w:pStyle w:val="1005"/>
              <w:ind w:left="57" w:right="57"/>
            </w:pPr>
            <w:r>
              <w:t xml:space="preserve">Если в поле «Вид средств» указано значение «Средства дополнительного бюджетного финансирования», то в документе </w:t>
            </w:r>
            <w:r>
              <w:t xml:space="preserve">указывается</w:t>
            </w:r>
            <w:r>
              <w:t xml:space="preserve"> расходный КБК.</w:t>
            </w:r>
            <w:r/>
          </w:p>
        </w:tc>
      </w:tr>
      <w:tr>
        <w:trPr/>
        <w:tc>
          <w:tcPr>
            <w:shd w:val="clear" w:fill="auto" w:color="auto"/>
            <w:tcW w:w="1198" w:type="pct"/>
            <w:textDirection w:val="lrTb"/>
            <w:noWrap w:val="false"/>
          </w:tcPr>
          <w:p>
            <w:pPr>
              <w:pStyle w:val="1005"/>
              <w:ind w:left="57" w:right="57"/>
            </w:pPr>
            <w:r>
              <w:t xml:space="preserve">Сумма</w:t>
            </w:r>
            <w:r/>
          </w:p>
        </w:tc>
        <w:tc>
          <w:tcPr>
            <w:shd w:val="clear" w:fill="auto" w:color="auto"/>
            <w:tcW w:w="3802" w:type="pct"/>
            <w:textDirection w:val="lrTb"/>
            <w:noWrap w:val="false"/>
          </w:tcPr>
          <w:p>
            <w:pPr>
              <w:pStyle w:val="1005"/>
              <w:ind w:left="57" w:right="57"/>
            </w:pPr>
            <w:r>
              <w:t xml:space="preserve">Значение вводится вручную.</w:t>
            </w:r>
            <w:r/>
          </w:p>
        </w:tc>
      </w:tr>
      <w:tr>
        <w:trPr/>
        <w:tc>
          <w:tcPr>
            <w:shd w:val="clear" w:fill="auto" w:color="auto"/>
            <w:tcW w:w="1198" w:type="pct"/>
            <w:textDirection w:val="lrTb"/>
            <w:noWrap w:val="false"/>
          </w:tcPr>
          <w:p>
            <w:pPr>
              <w:pStyle w:val="1005"/>
              <w:ind w:left="57" w:right="57"/>
            </w:pPr>
            <w:r>
              <w:t xml:space="preserve">Примечание</w:t>
            </w:r>
            <w:r/>
          </w:p>
        </w:tc>
        <w:tc>
          <w:tcPr>
            <w:shd w:val="clear" w:fill="auto" w:color="auto"/>
            <w:tcW w:w="3802" w:type="pct"/>
            <w:textDirection w:val="lrTb"/>
            <w:noWrap w:val="false"/>
          </w:tcPr>
          <w:p>
            <w:pPr>
              <w:pStyle w:val="1005"/>
              <w:ind w:left="57" w:right="57"/>
            </w:pPr>
            <w:r>
              <w:t xml:space="preserve">Значение вводится вручную.</w:t>
            </w:r>
            <w:r/>
          </w:p>
        </w:tc>
      </w:tr>
      <w:tr>
        <w:trPr/>
        <w:tc>
          <w:tcPr>
            <w:shd w:val="clear" w:fill="auto" w:color="auto"/>
            <w:tcW w:w="1198" w:type="pct"/>
            <w:textDirection w:val="lrTb"/>
            <w:noWrap w:val="false"/>
          </w:tcPr>
          <w:p>
            <w:pPr>
              <w:pStyle w:val="1005"/>
              <w:ind w:left="57" w:right="57"/>
            </w:pPr>
            <w:r>
              <w:t xml:space="preserve">Итого</w:t>
            </w:r>
            <w:r/>
          </w:p>
        </w:tc>
        <w:tc>
          <w:tcPr>
            <w:shd w:val="clear" w:fill="auto" w:color="auto"/>
            <w:tcW w:w="3802" w:type="pct"/>
            <w:textDirection w:val="lrTb"/>
            <w:noWrap w:val="false"/>
          </w:tcPr>
          <w:p>
            <w:pPr>
              <w:pStyle w:val="1005"/>
              <w:ind w:left="57" w:right="57"/>
            </w:pPr>
            <w:r>
              <w:t xml:space="preserve">Заполняется автоматически как сумма по строкам. Недоступно для редактирования.</w:t>
            </w:r>
            <w:r/>
          </w:p>
        </w:tc>
      </w:tr>
    </w:tbl>
    <w:p>
      <w:pPr>
        <w:pStyle w:val="994"/>
      </w:pPr>
      <w:r>
        <w:t xml:space="preserve">В табличном блоке на закладке «Заголовок» (</w:t>
      </w:r>
      <w:bookmarkStart w:id="468" w:name="_Hlk314838317"/>
      <w:r>
        <w:t xml:space="preserve">рис. </w:t>
      </w:r>
      <w:bookmarkEnd w:id="468"/>
      <w:r>
        <w:fldChar w:fldCharType="begin"/>
      </w:r>
      <w:r>
        <w:instrText xml:space="preserve"> REF _Ref263684916 \h  \* MERGEFORMAT </w:instrText>
      </w:r>
      <w:r>
        <w:fldChar w:fldCharType="separate"/>
      </w:r>
      <w:r>
        <w:t xml:space="preserve">38</w:t>
      </w:r>
      <w:r>
        <w:fldChar w:fldCharType="end"/>
      </w:r>
      <w:r>
        <w:t xml:space="preserve">) содержится перечень сумм неиспользованных денежных средств. </w:t>
      </w:r>
      <w:r>
        <w:t xml:space="preserve">Поля табличного блока приведены в таблице</w:t>
      </w:r>
      <w:r>
        <w:t xml:space="preserve"> </w:t>
      </w:r>
      <w:r>
        <w:fldChar w:fldCharType="begin"/>
      </w:r>
      <w:r>
        <w:instrText xml:space="preserve"> REF _Ref318387122 \h  \* MERGEFORMAT </w:instrText>
      </w:r>
      <w:r>
        <w:fldChar w:fldCharType="separate"/>
      </w:r>
      <w:r>
        <w:t xml:space="preserve">15</w:t>
      </w:r>
      <w:r>
        <w:fldChar w:fldCharType="end"/>
      </w:r>
      <w:r>
        <w:t xml:space="preserve">. Для добавления записи в список следует нажать на кнопку </w:t>
      </w:r>
      <w:r>
        <mc:AlternateContent>
          <mc:Choice Requires="wpg">
            <w:drawing>
              <wp:inline xmlns:wp="http://schemas.openxmlformats.org/drawingml/2006/wordprocessingDrawing" distT="0" distB="0" distL="0" distR="0">
                <wp:extent cx="274320" cy="274320"/>
                <wp:effectExtent l="0" t="0" r="0" b="0"/>
                <wp:docPr id="10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 o:spid="_x0000_s100" type="#_x0000_t75" style="mso-wrap-distance-left:0.0pt;mso-wrap-distance-top:0.0pt;mso-wrap-distance-right:0.0pt;mso-wrap-distance-bottom:0.0pt;width:21.6pt;height:21.6pt;" stroked="f">
                <v:path textboxrect="0,0,0,0"/>
                <v:imagedata r:id="rId80" o:title=""/>
              </v:shape>
            </w:pict>
          </mc:Fallback>
        </mc:AlternateContent>
      </w:r>
      <w:r>
        <w:t xml:space="preserve"> </w:t>
      </w:r>
      <w:r>
        <w:t xml:space="preserve">(Добавить новую строку)</w:t>
      </w:r>
      <w:r>
        <w:t xml:space="preserve">. Открое</w:t>
      </w:r>
      <w:r>
        <w:t xml:space="preserve">тся форма «Добавление записи»</w:t>
      </w:r>
      <w:r>
        <w:t xml:space="preserve"> (рис. </w:t>
      </w:r>
      <w:r>
        <w:fldChar w:fldCharType="begin"/>
      </w:r>
      <w:r>
        <w:instrText xml:space="preserve"> REF _Ref263686677 \h  \* MERGEFORMAT </w:instrText>
      </w:r>
      <w:r>
        <w:fldChar w:fldCharType="separate"/>
      </w:r>
      <w:r>
        <w:t xml:space="preserve">39</w:t>
      </w:r>
      <w:r>
        <w:fldChar w:fldCharType="end"/>
      </w:r>
      <w:r>
        <w:t xml:space="preserve">).</w:t>
      </w:r>
      <w:r/>
    </w:p>
    <w:p>
      <w:pPr>
        <w:pStyle w:val="982"/>
      </w:pPr>
      <w:r>
        <mc:AlternateContent>
          <mc:Choice Requires="wpg">
            <w:drawing>
              <wp:inline xmlns:wp="http://schemas.openxmlformats.org/drawingml/2006/wordprocessingDrawing" distT="0" distB="0" distL="0" distR="0">
                <wp:extent cx="5303520" cy="3840480"/>
                <wp:effectExtent l="0" t="0" r="0" b="0"/>
                <wp:docPr id="10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04"/>
                        <a:stretch/>
                      </pic:blipFill>
                      <pic:spPr bwMode="auto">
                        <a:xfrm>
                          <a:off x="0" y="0"/>
                          <a:ext cx="5303520" cy="38404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 o:spid="_x0000_s101" type="#_x0000_t75" style="mso-wrap-distance-left:0.0pt;mso-wrap-distance-top:0.0pt;mso-wrap-distance-right:0.0pt;mso-wrap-distance-bottom:0.0pt;width:417.6pt;height:302.4pt;" stroked="f">
                <v:path textboxrect="0,0,0,0"/>
                <v:imagedata r:id="rId104" o:title=""/>
              </v:shape>
            </w:pict>
          </mc:Fallback>
        </mc:AlternateContent>
      </w:r>
      <w:r/>
    </w:p>
    <w:p>
      <w:pPr>
        <w:pStyle w:val="983"/>
      </w:pPr>
      <w:r>
        <w:fldChar w:fldCharType="begin"/>
      </w:r>
      <w:r>
        <w:instrText xml:space="preserve"> SEQ Рисунок \* ARABIC </w:instrText>
      </w:r>
      <w:r>
        <w:fldChar w:fldCharType="separate"/>
      </w:r>
      <w:bookmarkStart w:id="469" w:name="_Ref263686677"/>
      <w:r/>
      <w:bookmarkStart w:id="470" w:name="_Toc88819424"/>
      <w:r>
        <w:t xml:space="preserve">39</w:t>
      </w:r>
      <w:bookmarkEnd w:id="469"/>
      <w:r>
        <w:fldChar w:fldCharType="end"/>
      </w:r>
      <w:r>
        <w:t xml:space="preserve">. </w:t>
      </w:r>
      <w:r>
        <w:t xml:space="preserve">Форма «Добавление записи»</w:t>
      </w:r>
      <w:bookmarkEnd w:id="470"/>
      <w:r/>
      <w:r/>
    </w:p>
    <w:p>
      <w:pPr>
        <w:pStyle w:val="994"/>
      </w:pPr>
      <w:r>
        <w:t xml:space="preserve">На форме «Добавление записи» заполняются следующие поля:</w:t>
      </w:r>
      <w:r/>
    </w:p>
    <w:p>
      <w:pPr>
        <w:pStyle w:val="985"/>
      </w:pPr>
      <w:r>
        <w:t xml:space="preserve">«Номер строки». Поле заполняется автоматически.</w:t>
      </w:r>
      <w:r/>
    </w:p>
    <w:p>
      <w:pPr>
        <w:pStyle w:val="985"/>
      </w:pPr>
      <w:r>
        <w:t xml:space="preserve">«Вид средств» – наименование вида сред</w:t>
      </w:r>
      <w:r>
        <w:t xml:space="preserve">ств. Значение может быть выбрано из справочника «Источники финансирования». Возможные значения: «Средства бюджета»; «Средства по дополнительному бюджетному финансированию за счет арендных платежей»; «Средства от приносящей доход деятельности»; «Средства дл</w:t>
      </w:r>
      <w:r>
        <w:t xml:space="preserve">я финансирования мероприятий для оперативно-розыскной деятельности»; «Средства во временном распоряжении»; «Средства юридических лиц»; «Средства бюджетного (автономного) учреждения» (с кодом 80); «Средства бюджетного (автономного) учреждения» (с кодом 90).</w:t>
      </w:r>
      <w:r/>
    </w:p>
    <w:p>
      <w:pPr>
        <w:pStyle w:val="985"/>
      </w:pPr>
      <w:r>
        <w:t xml:space="preserve">«КБК» – код бюджетной классификации. Значение может быть выбрано из справочника «Коды бюджетной классификации».</w:t>
      </w:r>
      <w:r/>
    </w:p>
    <w:p>
      <w:pPr>
        <w:pStyle w:val="985"/>
      </w:pPr>
      <w:r>
        <w:t xml:space="preserve">«КЦ (аналитический код)» – код и наименование цели субсидий/субвенций.</w:t>
      </w:r>
      <w:r/>
    </w:p>
    <w:p>
      <w:pPr>
        <w:pStyle w:val="1029"/>
      </w:pPr>
      <w:r>
        <w:t xml:space="preserve">Значение вводится вручную или выбирается из справочника «Коды целей субсидий/субвенций», если тип ЛС поля «Зачислить на лицевой счет клиента №» о</w:t>
      </w:r>
      <w:r>
        <w:t xml:space="preserve">т</w:t>
      </w:r>
      <w:r>
        <w:t xml:space="preserve">личен от 21, 31, 41. </w:t>
      </w:r>
      <w:r/>
    </w:p>
    <w:p>
      <w:pPr>
        <w:pStyle w:val="1029"/>
      </w:pPr>
      <w:r>
        <w:t xml:space="preserve">При указании в документе 21 или 31 типа ЛС значение вводится вручную или выб</w:t>
      </w:r>
      <w:r>
        <w:t xml:space="preserve">и</w:t>
      </w:r>
      <w:r>
        <w:t xml:space="preserve">рается из справочников: «Коды целей субсидий/субвенций», «Коды субсидий НУБП». </w:t>
      </w:r>
      <w:r/>
    </w:p>
    <w:p>
      <w:pPr>
        <w:pStyle w:val="1029"/>
      </w:pPr>
      <w:r>
        <w:t xml:space="preserve">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r/>
    </w:p>
    <w:p>
      <w:pPr>
        <w:pStyle w:val="1029"/>
      </w:pPr>
      <w:r>
        <w:t xml:space="preserve">Значение выводится вручную или выбирается из справочника </w:t>
      </w:r>
      <w:r>
        <w:t xml:space="preserve">«Перечень направлений расходования целевых средств» или из справочника «Перечень источников поступлений целевых средств», если на л/с показатели «СМТ_АВ» и «ЦЕЛ_СРЕД_П».</w:t>
      </w:r>
      <w:r/>
    </w:p>
    <w:p>
      <w:pPr>
        <w:pStyle w:val="985"/>
      </w:pPr>
      <w:r>
        <w:t xml:space="preserve"> </w:t>
      </w:r>
      <w:r>
        <w:t xml:space="preserve">«Сумма» – сумма в рублях.</w:t>
      </w:r>
      <w:r/>
    </w:p>
    <w:p>
      <w:pPr>
        <w:pStyle w:val="985"/>
      </w:pPr>
      <w:r>
        <w:t xml:space="preserve">«ОКТМО» </w:t>
      </w:r>
      <w:r>
        <w:t xml:space="preserve">–</w:t>
      </w:r>
      <w:r>
        <w:t xml:space="preserve"> код по ОКТМО. Заполняется при импорте из внешних систем или при ручном вводе. При ручном вводе значение вводится или выбирается из справочника ОКТМО.</w:t>
      </w:r>
      <w:r/>
    </w:p>
    <w:p>
      <w:pPr>
        <w:pStyle w:val="985"/>
      </w:pPr>
      <w:r>
        <w:t xml:space="preserve">«Символ кассовой отчетности» </w:t>
      </w:r>
      <w:r>
        <w:t xml:space="preserve">–</w:t>
      </w:r>
      <w:r>
        <w:t xml:space="preserve">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r/>
    </w:p>
    <w:p>
      <w:pPr>
        <w:pStyle w:val="985"/>
      </w:pPr>
      <w:r>
        <w:t xml:space="preserve">«Примечание».</w:t>
      </w:r>
      <w:r/>
    </w:p>
    <w:p>
      <w:pPr>
        <w:pStyle w:val="994"/>
      </w:pPr>
      <w:r>
        <w:t xml:space="preserve">Нажать на </w:t>
      </w:r>
      <w:r>
        <w:t xml:space="preserve">кнопку «Ok»</w:t>
      </w:r>
      <w:r>
        <w:t xml:space="preserve"> для сохранения заполненной строки и выхода из формы. В табличном блоке появится добавленная строка.</w:t>
      </w:r>
      <w:r/>
    </w:p>
    <w:p>
      <w:pPr>
        <w:pStyle w:val="994"/>
      </w:pPr>
      <w:r>
        <w:t xml:space="preserve">ЭФ документа </w:t>
      </w:r>
      <w:r>
        <w:t xml:space="preserve">«Расшифровка сумм неиспользованных средств</w:t>
      </w:r>
      <w:r>
        <w:t xml:space="preserve">», закладки «</w:t>
      </w:r>
      <w:r>
        <w:t xml:space="preserve">Подписи» представлена на рисунке</w:t>
      </w:r>
      <w:r>
        <w:t xml:space="preserve"> </w:t>
      </w:r>
      <w:r>
        <w:fldChar w:fldCharType="begin"/>
      </w:r>
      <w:r>
        <w:instrText xml:space="preserve"> REF _Ref263684917 \h  \* MERGEFORMAT </w:instrText>
      </w:r>
      <w:r>
        <w:fldChar w:fldCharType="separate"/>
      </w:r>
      <w:r>
        <w:t xml:space="preserve">40</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1280160"/>
                <wp:effectExtent l="0" t="0" r="0" b="0"/>
                <wp:docPr id="10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05"/>
                        <a:stretch/>
                      </pic:blipFill>
                      <pic:spPr bwMode="auto">
                        <a:xfrm>
                          <a:off x="0" y="0"/>
                          <a:ext cx="6126480" cy="12801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 o:spid="_x0000_s102" type="#_x0000_t75" style="mso-wrap-distance-left:0.0pt;mso-wrap-distance-top:0.0pt;mso-wrap-distance-right:0.0pt;mso-wrap-distance-bottom:0.0pt;width:482.4pt;height:100.8pt;" stroked="f">
                <v:path textboxrect="0,0,0,0"/>
                <v:imagedata r:id="rId105" o:title=""/>
              </v:shape>
            </w:pict>
          </mc:Fallback>
        </mc:AlternateContent>
      </w:r>
      <w:r/>
    </w:p>
    <w:p>
      <w:pPr>
        <w:pStyle w:val="983"/>
      </w:pPr>
      <w:r>
        <w:fldChar w:fldCharType="begin"/>
      </w:r>
      <w:r>
        <w:instrText xml:space="preserve"> SEQ Рисунок \* ARABIC </w:instrText>
      </w:r>
      <w:r>
        <w:fldChar w:fldCharType="separate"/>
      </w:r>
      <w:bookmarkStart w:id="471" w:name="_Ref263684917"/>
      <w:r/>
      <w:bookmarkStart w:id="472" w:name="_Toc88819425"/>
      <w:r>
        <w:t xml:space="preserve">40</w:t>
      </w:r>
      <w:bookmarkEnd w:id="471"/>
      <w:r>
        <w:fldChar w:fldCharType="end"/>
      </w:r>
      <w:r>
        <w:t xml:space="preserve">. ЭФ </w:t>
      </w:r>
      <w:r>
        <w:t xml:space="preserve">документа </w:t>
      </w:r>
      <w:r>
        <w:t xml:space="preserve">«Расшифровка сумм неиспользованных средств</w:t>
      </w:r>
      <w:r>
        <w:t xml:space="preserve">», закладки «</w:t>
      </w:r>
      <w:r>
        <w:t xml:space="preserve">Подписи»</w:t>
      </w:r>
      <w:bookmarkEnd w:id="472"/>
      <w:r/>
      <w:r/>
    </w:p>
    <w:p>
      <w:pPr>
        <w:pStyle w:val="994"/>
      </w:pPr>
      <w:r>
        <w:t xml:space="preserve">Перечень полей документа </w:t>
      </w:r>
      <w:r>
        <w:t xml:space="preserve">«</w:t>
      </w:r>
      <w:r>
        <w:t xml:space="preserve">Расшифровка сумм неиспользованных средств</w:t>
      </w:r>
      <w:r>
        <w:t xml:space="preserve">», закладки «</w:t>
      </w:r>
      <w:r>
        <w:t xml:space="preserve">Подписи</w:t>
      </w:r>
      <w:r>
        <w:t xml:space="preserve">»</w:t>
      </w:r>
      <w:r>
        <w:t xml:space="preserve"> приведен в таблице </w:t>
      </w:r>
      <w:r>
        <w:fldChar w:fldCharType="begin"/>
      </w:r>
      <w:r>
        <w:instrText xml:space="preserve"> REF _Ref382407073 \h  \* MERGEFORMAT </w:instrText>
      </w:r>
      <w:r>
        <w:fldChar w:fldCharType="separate"/>
      </w:r>
      <w:r>
        <w:t xml:space="preserve">16</w:t>
      </w:r>
      <w:r>
        <w:fldChar w:fldCharType="end"/>
      </w:r>
      <w:r>
        <w:t xml:space="preserve">.</w:t>
      </w:r>
      <w:r/>
    </w:p>
    <w:p>
      <w:pPr>
        <w:pStyle w:val="993"/>
      </w:pPr>
      <w:r>
        <w:fldChar w:fldCharType="begin"/>
      </w:r>
      <w:r>
        <w:instrText xml:space="preserve"> SEQ Таблица \* ARABIC </w:instrText>
      </w:r>
      <w:r>
        <w:fldChar w:fldCharType="separate"/>
      </w:r>
      <w:bookmarkStart w:id="473" w:name="_Ref382407073"/>
      <w:r/>
      <w:bookmarkStart w:id="474" w:name="_Toc88819202"/>
      <w:r>
        <w:t xml:space="preserve">16</w:t>
      </w:r>
      <w:bookmarkEnd w:id="473"/>
      <w:r>
        <w:fldChar w:fldCharType="end"/>
      </w:r>
      <w:r>
        <w:t xml:space="preserve">. Описание полей документа </w:t>
      </w:r>
      <w:r>
        <w:t xml:space="preserve">«</w:t>
      </w:r>
      <w:r>
        <w:t xml:space="preserve">Расшифровка сумм неиспользованных средств</w:t>
      </w:r>
      <w:r>
        <w:t xml:space="preserve">», закладки «</w:t>
      </w:r>
      <w:r>
        <w:t xml:space="preserve">Подписи</w:t>
      </w:r>
      <w:r>
        <w:t xml:space="preserve">»</w:t>
      </w:r>
      <w:bookmarkEnd w:id="474"/>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885"/>
        <w:gridCol w:w="5867"/>
      </w:tblGrid>
      <w:tr>
        <w:trPr>
          <w:trHeight w:val="315"/>
          <w:tblHeader/>
        </w:trPr>
        <w:tc>
          <w:tcPr>
            <w:shd w:val="clear" w:fill="E6E6E6" w:color="auto"/>
            <w:tcBorders>
              <w:left w:val="single" w:sz="4" w:space="0" w:color="auto"/>
              <w:top w:val="single" w:sz="4" w:space="0" w:color="auto"/>
              <w:right w:val="single" w:sz="4" w:space="0" w:color="auto"/>
              <w:bottom w:val="single" w:sz="4" w:space="0" w:color="auto"/>
            </w:tcBorders>
            <w:tcW w:w="1992"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008" w:type="pct"/>
            <w:vAlign w:val="center"/>
            <w:textDirection w:val="lrTb"/>
            <w:noWrap w:val="false"/>
          </w:tcPr>
          <w:p>
            <w:pPr>
              <w:pStyle w:val="1006"/>
            </w:pPr>
            <w:r>
              <w:t xml:space="preserve">Описание</w:t>
            </w:r>
            <w:r>
              <w:t xml:space="preserve"> поля</w:t>
            </w:r>
            <w:r/>
          </w:p>
        </w:tc>
      </w:tr>
      <w:tr>
        <w:trPr/>
        <w:tc>
          <w:tcPr>
            <w:shd w:val="clear" w:fill="auto" w:color="auto"/>
            <w:tcW w:w="1992" w:type="pct"/>
            <w:textDirection w:val="lrTb"/>
            <w:noWrap w:val="false"/>
          </w:tcPr>
          <w:p>
            <w:pPr>
              <w:pStyle w:val="1005"/>
              <w:ind w:left="57" w:right="57"/>
            </w:pPr>
            <w:r>
              <w:t xml:space="preserve">Регистрационный номер</w:t>
            </w:r>
            <w:r/>
          </w:p>
        </w:tc>
        <w:tc>
          <w:tcPr>
            <w:shd w:val="clear" w:fill="auto" w:color="auto"/>
            <w:tcW w:w="3008"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OEBS.</w:t>
            </w:r>
            <w:r/>
          </w:p>
        </w:tc>
      </w:tr>
      <w:tr>
        <w:trPr/>
        <w:tc>
          <w:tcPr>
            <w:shd w:val="clear" w:fill="auto" w:color="auto"/>
            <w:tcW w:w="1992" w:type="pct"/>
            <w:textDirection w:val="lrTb"/>
            <w:noWrap w:val="false"/>
          </w:tcPr>
          <w:p>
            <w:pPr>
              <w:pStyle w:val="1005"/>
              <w:ind w:left="57" w:right="57"/>
            </w:pPr>
            <w:r>
              <w:t xml:space="preserve">Дата регистрации</w:t>
            </w:r>
            <w:r/>
          </w:p>
        </w:tc>
        <w:tc>
          <w:tcPr>
            <w:shd w:val="clear" w:fill="auto" w:color="auto"/>
            <w:tcW w:w="3008"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OEBS.</w:t>
            </w:r>
            <w:r/>
          </w:p>
        </w:tc>
      </w:tr>
      <w:tr>
        <w:trPr/>
        <w:tc>
          <w:tcPr>
            <w:shd w:val="clear" w:fill="auto" w:color="auto"/>
            <w:tcW w:w="1992" w:type="pct"/>
            <w:textDirection w:val="lrTb"/>
            <w:noWrap w:val="false"/>
          </w:tcPr>
          <w:p>
            <w:pPr>
              <w:pStyle w:val="1005"/>
              <w:ind w:left="57" w:right="57"/>
            </w:pPr>
            <w:r>
              <w:t xml:space="preserve">Ответственный исполнитель. Дол</w:t>
            </w:r>
            <w:r>
              <w:t xml:space="preserve">ж</w:t>
            </w:r>
            <w:r>
              <w:t xml:space="preserve">ность</w:t>
            </w:r>
            <w:r/>
          </w:p>
        </w:tc>
        <w:tc>
          <w:tcPr>
            <w:shd w:val="clear" w:fill="auto" w:color="auto"/>
            <w:tcW w:w="3008"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OEBS.</w:t>
            </w:r>
            <w:r/>
          </w:p>
        </w:tc>
      </w:tr>
      <w:tr>
        <w:trPr/>
        <w:tc>
          <w:tcPr>
            <w:shd w:val="clear" w:fill="auto" w:color="auto"/>
            <w:tcW w:w="1992" w:type="pct"/>
            <w:textDirection w:val="lrTb"/>
            <w:noWrap w:val="false"/>
          </w:tcPr>
          <w:p>
            <w:pPr>
              <w:pStyle w:val="1005"/>
              <w:ind w:left="57" w:right="57"/>
            </w:pPr>
            <w:r>
              <w:t xml:space="preserve">Ответственный исполнитель. Расши</w:t>
            </w:r>
            <w:r>
              <w:t xml:space="preserve">ф</w:t>
            </w:r>
            <w:r>
              <w:t xml:space="preserve">ровка подписи</w:t>
            </w:r>
            <w:r/>
          </w:p>
        </w:tc>
        <w:tc>
          <w:tcPr>
            <w:shd w:val="clear" w:fill="auto" w:color="auto"/>
            <w:tcW w:w="3008"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OEBS.</w:t>
            </w:r>
            <w:r/>
          </w:p>
        </w:tc>
      </w:tr>
      <w:tr>
        <w:trPr/>
        <w:tc>
          <w:tcPr>
            <w:shd w:val="clear" w:fill="auto" w:color="auto"/>
            <w:tcW w:w="1992" w:type="pct"/>
            <w:textDirection w:val="lrTb"/>
            <w:noWrap w:val="false"/>
          </w:tcPr>
          <w:p>
            <w:pPr>
              <w:pStyle w:val="1005"/>
              <w:ind w:left="57" w:right="57"/>
            </w:pPr>
            <w:r>
              <w:t xml:space="preserve">Ответственный исполнитель. Тел</w:t>
            </w:r>
            <w:r>
              <w:t xml:space="preserve">е</w:t>
            </w:r>
            <w:r>
              <w:t xml:space="preserve">фон</w:t>
            </w:r>
            <w:r/>
          </w:p>
        </w:tc>
        <w:tc>
          <w:tcPr>
            <w:shd w:val="clear" w:fill="auto" w:color="auto"/>
            <w:tcW w:w="3008"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OEBS.</w:t>
            </w:r>
            <w:r/>
          </w:p>
        </w:tc>
      </w:tr>
      <w:tr>
        <w:trPr/>
        <w:tc>
          <w:tcPr>
            <w:shd w:val="clear" w:fill="auto" w:color="auto"/>
            <w:tcW w:w="1992" w:type="pct"/>
            <w:textDirection w:val="lrTb"/>
            <w:noWrap w:val="false"/>
          </w:tcPr>
          <w:p>
            <w:pPr>
              <w:pStyle w:val="1005"/>
              <w:ind w:left="57" w:right="57"/>
            </w:pPr>
            <w:r>
              <w:t xml:space="preserve">Руководитель (уполномоченное л</w:t>
            </w:r>
            <w:r>
              <w:t xml:space="preserve">и</w:t>
            </w:r>
            <w:r>
              <w:t xml:space="preserve">цо). Должность</w:t>
            </w:r>
            <w:r/>
          </w:p>
        </w:tc>
        <w:tc>
          <w:tcPr>
            <w:shd w:val="clear" w:fill="auto" w:color="auto"/>
            <w:tcW w:w="3008" w:type="pct"/>
            <w:textDirection w:val="lrTb"/>
            <w:noWrap w:val="false"/>
          </w:tcPr>
          <w:p>
            <w:pPr>
              <w:pStyle w:val="1005"/>
              <w:ind w:left="57" w:right="57"/>
            </w:pPr>
            <w:r>
              <w:t xml:space="preserve">Заполняется автоматически на основании ЭП документа.</w:t>
            </w:r>
            <w:r/>
          </w:p>
          <w:p>
            <w:pPr>
              <w:pStyle w:val="1005"/>
              <w:ind w:left="57" w:right="57"/>
            </w:pPr>
            <w:r>
              <w:t xml:space="preserve">Для ОФК off-line заполняется вручную.</w:t>
            </w:r>
            <w:r/>
          </w:p>
        </w:tc>
      </w:tr>
      <w:tr>
        <w:trPr/>
        <w:tc>
          <w:tcPr>
            <w:shd w:val="clear" w:fill="auto" w:color="auto"/>
            <w:tcW w:w="1992" w:type="pct"/>
            <w:textDirection w:val="lrTb"/>
            <w:noWrap w:val="false"/>
          </w:tcPr>
          <w:p>
            <w:pPr>
              <w:pStyle w:val="1005"/>
              <w:ind w:left="57" w:right="57"/>
            </w:pPr>
            <w:r>
              <w:t xml:space="preserve">Руководитель (уполномоченное л</w:t>
            </w:r>
            <w:r>
              <w:t xml:space="preserve">и</w:t>
            </w:r>
            <w:r>
              <w:t xml:space="preserve">цо). Расшифровка подписи</w:t>
            </w:r>
            <w:r/>
          </w:p>
        </w:tc>
        <w:tc>
          <w:tcPr>
            <w:shd w:val="clear" w:fill="auto" w:color="auto"/>
            <w:tcW w:w="3008" w:type="pct"/>
            <w:textDirection w:val="lrTb"/>
            <w:noWrap w:val="false"/>
          </w:tcPr>
          <w:p>
            <w:pPr>
              <w:pStyle w:val="1005"/>
              <w:ind w:left="57" w:right="57"/>
            </w:pPr>
            <w:r>
              <w:t xml:space="preserve">Заполняется автоматически на основании ЭП документа.</w:t>
            </w:r>
            <w:r/>
          </w:p>
          <w:p>
            <w:pPr>
              <w:pStyle w:val="1005"/>
              <w:ind w:left="57" w:right="57"/>
            </w:pPr>
            <w:r>
              <w:t xml:space="preserve">Для ОФК off-line заполняется вручную.</w:t>
            </w:r>
            <w:r/>
          </w:p>
        </w:tc>
      </w:tr>
      <w:tr>
        <w:trPr/>
        <w:tc>
          <w:tcPr>
            <w:shd w:val="clear" w:fill="auto" w:color="auto"/>
            <w:tcW w:w="1992" w:type="pct"/>
            <w:textDirection w:val="lrTb"/>
            <w:noWrap w:val="false"/>
          </w:tcPr>
          <w:p>
            <w:pPr>
              <w:pStyle w:val="1005"/>
              <w:ind w:left="57" w:right="57"/>
            </w:pPr>
            <w:r>
              <w:t xml:space="preserve">Главный бухгалтер (уполномоченное лицо). Дол</w:t>
            </w:r>
            <w:r>
              <w:t xml:space="preserve">ж</w:t>
            </w:r>
            <w:r>
              <w:t xml:space="preserve">ность</w:t>
            </w:r>
            <w:r/>
          </w:p>
        </w:tc>
        <w:tc>
          <w:tcPr>
            <w:shd w:val="clear" w:fill="auto" w:color="auto"/>
            <w:tcW w:w="3008" w:type="pct"/>
            <w:textDirection w:val="lrTb"/>
            <w:noWrap w:val="false"/>
          </w:tcPr>
          <w:p>
            <w:pPr>
              <w:pStyle w:val="1005"/>
              <w:ind w:left="57" w:right="57"/>
            </w:pPr>
            <w:r>
              <w:t xml:space="preserve">Заполняется автоматически на основании ЭП документа.</w:t>
            </w:r>
            <w:r/>
          </w:p>
          <w:p>
            <w:pPr>
              <w:pStyle w:val="1005"/>
              <w:ind w:left="57" w:right="57"/>
            </w:pPr>
            <w:r>
              <w:t xml:space="preserve">Для ОФК off-line заполняется вручную.</w:t>
            </w:r>
            <w:r/>
          </w:p>
        </w:tc>
      </w:tr>
      <w:tr>
        <w:trPr/>
        <w:tc>
          <w:tcPr>
            <w:shd w:val="clear" w:fill="auto" w:color="auto"/>
            <w:tcW w:w="1992" w:type="pct"/>
            <w:textDirection w:val="lrTb"/>
            <w:noWrap w:val="false"/>
          </w:tcPr>
          <w:p>
            <w:pPr>
              <w:pStyle w:val="1005"/>
              <w:ind w:left="57" w:right="57"/>
            </w:pPr>
            <w:r>
              <w:t xml:space="preserve">Главный бухгалтер (уполномоченное лицо). Расши</w:t>
            </w:r>
            <w:r>
              <w:t xml:space="preserve">ф</w:t>
            </w:r>
            <w:r>
              <w:t xml:space="preserve">ровка подписи</w:t>
            </w:r>
            <w:r/>
          </w:p>
        </w:tc>
        <w:tc>
          <w:tcPr>
            <w:shd w:val="clear" w:fill="auto" w:color="auto"/>
            <w:tcW w:w="3008" w:type="pct"/>
            <w:textDirection w:val="lrTb"/>
            <w:noWrap w:val="false"/>
          </w:tcPr>
          <w:p>
            <w:pPr>
              <w:pStyle w:val="1005"/>
              <w:ind w:left="57" w:right="57"/>
            </w:pPr>
            <w:r>
              <w:t xml:space="preserve">Заполняется автоматически на основании ЭП документа.</w:t>
            </w:r>
            <w:r/>
          </w:p>
          <w:p>
            <w:pPr>
              <w:pStyle w:val="1005"/>
              <w:ind w:left="57" w:right="57"/>
            </w:pPr>
            <w:r>
              <w:t xml:space="preserve">Для ОФК off-line заполняется вручную.</w:t>
            </w:r>
            <w:r/>
          </w:p>
        </w:tc>
      </w:tr>
      <w:tr>
        <w:trPr>
          <w:trHeight w:val="70"/>
        </w:trPr>
        <w:tc>
          <w:tcPr>
            <w:shd w:val="clear" w:fill="auto" w:color="auto"/>
            <w:tcW w:w="1992" w:type="pct"/>
            <w:textDirection w:val="lrTb"/>
            <w:noWrap w:val="false"/>
          </w:tcPr>
          <w:p>
            <w:pPr>
              <w:pStyle w:val="1005"/>
              <w:ind w:left="57" w:right="57"/>
            </w:pPr>
            <w:r>
              <w:t xml:space="preserve">Дата подписания</w:t>
            </w:r>
            <w:r/>
          </w:p>
        </w:tc>
        <w:tc>
          <w:tcPr>
            <w:shd w:val="clear" w:fill="auto" w:color="auto"/>
            <w:tcW w:w="3008" w:type="pct"/>
            <w:textDirection w:val="lrTb"/>
            <w:noWrap w:val="false"/>
          </w:tcPr>
          <w:p>
            <w:pPr>
              <w:pStyle w:val="1005"/>
              <w:ind w:left="57" w:right="57"/>
            </w:pPr>
            <w:r>
              <w:t xml:space="preserve">Заполняется автоматически на основании ЭП документа.</w:t>
            </w:r>
            <w:r/>
          </w:p>
          <w:p>
            <w:pPr>
              <w:pStyle w:val="1005"/>
              <w:ind w:left="57" w:right="57"/>
            </w:pPr>
            <w:r>
              <w:t xml:space="preserve">Для ОФК off-line значение вводится вручную или выбирается из системн</w:t>
            </w:r>
            <w:r>
              <w:t xml:space="preserve">о</w:t>
            </w:r>
            <w:r>
              <w:t xml:space="preserve">го календаря</w:t>
            </w:r>
            <w:r>
              <w:t xml:space="preserve">.</w:t>
            </w:r>
            <w:r/>
          </w:p>
        </w:tc>
      </w:tr>
      <w:tr>
        <w:trPr>
          <w:trHeight w:val="70"/>
        </w:trPr>
        <w:tc>
          <w:tcPr>
            <w:shd w:val="clear" w:fill="auto" w:color="auto"/>
            <w:tcW w:w="1992" w:type="pct"/>
            <w:textDirection w:val="lrTb"/>
            <w:noWrap w:val="false"/>
          </w:tcPr>
          <w:p>
            <w:pPr>
              <w:pStyle w:val="1005"/>
              <w:ind w:left="57" w:right="57"/>
            </w:pPr>
            <w:r>
              <w:t xml:space="preserve">ФИО ответственного за конфиденциальность данных</w:t>
            </w:r>
            <w:r/>
          </w:p>
        </w:tc>
        <w:tc>
          <w:tcPr>
            <w:shd w:val="clear" w:fill="auto" w:color="auto"/>
            <w:tcW w:w="3008" w:type="pct"/>
            <w:textDirection w:val="lrTb"/>
            <w:noWrap w:val="false"/>
          </w:tcPr>
          <w:p>
            <w:pPr>
              <w:pStyle w:val="1005"/>
              <w:ind w:left="57" w:right="57"/>
            </w:pPr>
            <w:r>
              <w:t xml:space="preserve">Заполняется автоматически при подписании. Поле заполняется, если в поле «Уровень конфиденциальности» указано значение «1» или «0».</w:t>
            </w:r>
            <w:r/>
          </w:p>
        </w:tc>
      </w:tr>
    </w:tbl>
    <w:p>
      <w:pPr>
        <w:pStyle w:val="972"/>
      </w:pPr>
      <w:r/>
      <w:bookmarkStart w:id="475" w:name="_Toc225934610"/>
      <w:r/>
      <w:bookmarkStart w:id="476" w:name="_Toc232827360"/>
      <w:r/>
      <w:bookmarkStart w:id="477" w:name="_Toc249273707"/>
      <w:r/>
      <w:bookmarkStart w:id="478" w:name="_Ref314182867"/>
      <w:r/>
      <w:bookmarkStart w:id="479" w:name="_Ref315184816"/>
      <w:r/>
      <w:bookmarkStart w:id="480" w:name="_Ref318373466"/>
      <w:r/>
      <w:bookmarkStart w:id="481" w:name="_Ref359411710"/>
      <w:r/>
      <w:bookmarkStart w:id="482" w:name="_Ref368676793"/>
      <w:r/>
      <w:bookmarkStart w:id="483" w:name="_Ref370315916"/>
      <w:r/>
      <w:bookmarkStart w:id="484" w:name="_Ref371070892"/>
      <w:r/>
      <w:bookmarkStart w:id="485" w:name="_Ref372292991"/>
      <w:r/>
      <w:bookmarkStart w:id="486" w:name="_Ref377742273"/>
      <w:r/>
      <w:bookmarkStart w:id="487" w:name="_Ref378265478"/>
      <w:r/>
      <w:bookmarkStart w:id="488" w:name="_Ref381265701"/>
      <w:r/>
      <w:bookmarkStart w:id="489" w:name="_Ref383800451"/>
      <w:r/>
      <w:bookmarkStart w:id="490" w:name="_Ref406576104"/>
      <w:r/>
      <w:bookmarkStart w:id="491" w:name="_Ref420656629"/>
      <w:r/>
      <w:bookmarkStart w:id="492" w:name="_Toc422496705"/>
      <w:r/>
      <w:bookmarkStart w:id="493" w:name="_Ref425507525"/>
      <w:r/>
      <w:bookmarkStart w:id="494" w:name="_Ref450204765"/>
      <w:r/>
      <w:bookmarkStart w:id="495" w:name="_Ref474747005"/>
      <w:r/>
      <w:bookmarkStart w:id="496" w:name="_Ref480755918"/>
      <w:r/>
      <w:bookmarkStart w:id="497" w:name="_Ref486323628"/>
      <w:r/>
      <w:bookmarkStart w:id="498" w:name="_Ref503774534"/>
      <w:r/>
      <w:bookmarkStart w:id="499" w:name="_Ref523387195"/>
      <w:r/>
      <w:bookmarkStart w:id="500" w:name="_Ref528055878"/>
      <w:r/>
      <w:bookmarkStart w:id="501" w:name="_Ref3155660"/>
      <w:r/>
      <w:bookmarkStart w:id="502" w:name="_Ref35418454"/>
      <w:r/>
      <w:bookmarkStart w:id="503" w:name="_Ref41398525"/>
      <w:r/>
      <w:bookmarkStart w:id="504" w:name="_Ref51162637"/>
      <w:r/>
      <w:bookmarkStart w:id="505" w:name="_Ref60047740"/>
      <w:r/>
      <w:bookmarkStart w:id="506" w:name="_Toc225934612"/>
      <w:r/>
      <w:bookmarkStart w:id="507" w:name="_Toc232827366"/>
      <w:r/>
      <w:bookmarkStart w:id="508" w:name="_Toc88819102"/>
      <w:r>
        <w:t xml:space="preserve">Платежное поручение</w:t>
      </w:r>
      <w:bookmarkEnd w:id="475"/>
      <w:r/>
      <w:bookmarkEnd w:id="476"/>
      <w:r/>
      <w:bookmarkEnd w:id="477"/>
      <w:r/>
      <w:bookmarkEnd w:id="478"/>
      <w:r/>
      <w:bookmarkEnd w:id="479"/>
      <w:r/>
      <w:bookmarkEnd w:id="480"/>
      <w:r/>
      <w:bookmarkEnd w:id="481"/>
      <w:r/>
      <w:bookmarkEnd w:id="482"/>
      <w:r/>
      <w:bookmarkEnd w:id="483"/>
      <w:r/>
      <w:bookmarkEnd w:id="484"/>
      <w:r/>
      <w:bookmarkEnd w:id="485"/>
      <w:r/>
      <w:bookmarkEnd w:id="486"/>
      <w:r/>
      <w:bookmarkEnd w:id="487"/>
      <w:r/>
      <w:bookmarkEnd w:id="488"/>
      <w:r/>
      <w:bookmarkEnd w:id="489"/>
      <w:r/>
      <w:bookmarkEnd w:id="490"/>
      <w:r/>
      <w:bookmarkEnd w:id="491"/>
      <w:r/>
      <w:bookmarkEnd w:id="492"/>
      <w:r/>
      <w:bookmarkEnd w:id="493"/>
      <w:r/>
      <w:bookmarkEnd w:id="494"/>
      <w:r/>
      <w:bookmarkEnd w:id="495"/>
      <w:r/>
      <w:bookmarkEnd w:id="496"/>
      <w:r/>
      <w:bookmarkEnd w:id="497"/>
      <w:r/>
      <w:bookmarkEnd w:id="498"/>
      <w:r/>
      <w:bookmarkEnd w:id="499"/>
      <w:r/>
      <w:bookmarkEnd w:id="500"/>
      <w:r/>
      <w:bookmarkEnd w:id="501"/>
      <w:r/>
      <w:bookmarkEnd w:id="502"/>
      <w:r/>
      <w:bookmarkEnd w:id="503"/>
      <w:r/>
      <w:bookmarkEnd w:id="504"/>
      <w:r/>
      <w:bookmarkEnd w:id="505"/>
      <w:r/>
      <w:bookmarkEnd w:id="508"/>
      <w:r/>
      <w:r/>
    </w:p>
    <w:p>
      <w:pPr>
        <w:pStyle w:val="994"/>
      </w:pPr>
      <w:r>
        <w:t xml:space="preserve">При необходимости проведения кассового расхода (оплате товаров, работ, услуг и исполнении обязательств по исполнительному листу) в случае, когда ПБС не имеет лицевого счета, открытого в органе ФК, финорган создает плат</w:t>
      </w:r>
      <w:r>
        <w:t xml:space="preserve">ежное поручение, которое содержит данные, необходимые для перевода денежных средств со счета плательщика на счет получателя. Информацией для ввода новых записей служат договора с поставщиками (госконтракты), и бюджетные обязательства, исполнительные листы.</w:t>
      </w:r>
      <w:r/>
    </w:p>
    <w:p>
      <w:pPr>
        <w:pStyle w:val="994"/>
      </w:pPr>
      <w:r>
        <w:t xml:space="preserve">ЭД «Плате</w:t>
      </w:r>
      <w:r>
        <w:t xml:space="preserve">жное поручение» поступает в ФО от клиентов (ПБС, АИФДБ, АУ, БУ) проходит санкционирование и направляется в ОрФК, где открыт лицевой счет клиента ФО. В случае отказа ФО документ не проходит процедуру санкционирования. Документ может быть отправлен и без сан</w:t>
      </w:r>
      <w:r>
        <w:t xml:space="preserve">к</w:t>
      </w:r>
      <w:r>
        <w:t xml:space="preserve">ционирования в зависимости от принятой схемы обслуживания бюджета.</w:t>
      </w:r>
      <w:r/>
    </w:p>
    <w:p>
      <w:pPr>
        <w:pStyle w:val="996"/>
      </w:pPr>
      <w:r>
        <w:rPr>
          <w:rStyle w:val="1001"/>
        </w:rPr>
        <w:t xml:space="preserve">Примечание.</w:t>
      </w:r>
      <w:r>
        <w:tab/>
        <w:t xml:space="preserve">В </w:t>
      </w:r>
      <w:r>
        <w:t xml:space="preserve">ППО СУФД АСФК</w:t>
      </w:r>
      <w:r>
        <w:t xml:space="preserve"> реализована возможность ручного ввода и импорта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r/>
    </w:p>
    <w:p>
      <w:pPr>
        <w:pStyle w:val="994"/>
      </w:pPr>
      <w:r>
        <w:t xml:space="preserve">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«Платежное поручение». Операции «Санкциониро</w:t>
      </w:r>
      <w:r>
        <w:t xml:space="preserve">вать» и «Отказать» описаны в п.</w:t>
      </w:r>
      <w:r>
        <w:t xml:space="preserve"> </w:t>
      </w:r>
      <w:r>
        <w:fldChar w:fldCharType="begin"/>
      </w:r>
      <w:r>
        <w:instrText xml:space="preserve"> REF _Ref370315202 \r \h </w:instrText>
      </w:r>
      <w:r>
        <w:instrText xml:space="preserve"> \* MERGEFORMAT </w:instrText>
      </w:r>
      <w:r>
        <w:fldChar w:fldCharType="separate"/>
      </w:r>
      <w:r>
        <w:t xml:space="preserve">3.3.1</w:t>
      </w:r>
      <w:r>
        <w:fldChar w:fldCharType="end"/>
      </w:r>
      <w:r>
        <w:t xml:space="preserve">.</w:t>
      </w:r>
      <w:r/>
    </w:p>
    <w:p>
      <w:pPr>
        <w:pStyle w:val="994"/>
      </w:pPr>
      <w:r>
        <w:t xml:space="preserve">Для работы с документами «Платежное поручение» следует перейти в пункт меню «Документы – Регистрация и учет обязательств – Заявки на платеж – Платежное поручение». Откроется ЭФ списка документов, представленная на рисунке </w:t>
      </w:r>
      <w:r>
        <w:fldChar w:fldCharType="begin"/>
      </w:r>
      <w:r>
        <w:instrText xml:space="preserve"> REF _Ref225248489 \h  \* MERGEFORMAT </w:instrText>
      </w:r>
      <w:r>
        <w:fldChar w:fldCharType="separate"/>
      </w:r>
      <w:r>
        <w:t xml:space="preserve">41</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2743200"/>
                <wp:effectExtent l="0" t="0" r="0" b="0"/>
                <wp:docPr id="10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06"/>
                        <a:stretch/>
                      </pic:blipFill>
                      <pic:spPr bwMode="auto">
                        <a:xfrm>
                          <a:off x="0" y="0"/>
                          <a:ext cx="6035039" cy="27432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 o:spid="_x0000_s103" type="#_x0000_t75" style="mso-wrap-distance-left:0.0pt;mso-wrap-distance-top:0.0pt;mso-wrap-distance-right:0.0pt;mso-wrap-distance-bottom:0.0pt;width:475.2pt;height:216.0pt;" stroked="f">
                <v:path textboxrect="0,0,0,0"/>
                <v:imagedata r:id="rId106" o:title=""/>
              </v:shape>
            </w:pict>
          </mc:Fallback>
        </mc:AlternateContent>
      </w:r>
      <w:r/>
    </w:p>
    <w:p>
      <w:pPr>
        <w:pStyle w:val="983"/>
      </w:pPr>
      <w:r>
        <w:fldChar w:fldCharType="begin"/>
      </w:r>
      <w:r>
        <w:instrText xml:space="preserve"> SEQ Рисунок \* ARABIC </w:instrText>
      </w:r>
      <w:r>
        <w:fldChar w:fldCharType="separate"/>
      </w:r>
      <w:bookmarkStart w:id="509" w:name="_Ref225248489"/>
      <w:r/>
      <w:bookmarkStart w:id="510" w:name="_Toc88819426"/>
      <w:r>
        <w:t xml:space="preserve">41</w:t>
      </w:r>
      <w:bookmarkEnd w:id="509"/>
      <w:r>
        <w:fldChar w:fldCharType="end"/>
      </w:r>
      <w:r>
        <w:t xml:space="preserve">. ЭФ списка документов «Платежное поручение»</w:t>
      </w:r>
      <w:bookmarkEnd w:id="510"/>
      <w:r/>
      <w:r/>
    </w:p>
    <w:p>
      <w:pPr>
        <w:pStyle w:val="973"/>
      </w:pPr>
      <w:r>
        <w:t xml:space="preserve">Доступные операции</w:t>
      </w:r>
      <w:r/>
    </w:p>
    <w:p>
      <w:pPr>
        <w:pStyle w:val="994"/>
      </w:pPr>
      <w:r>
        <w:t xml:space="preserve">На АРМ ФО доступны следующие операции над документ</w:t>
      </w:r>
      <w:r>
        <w:t xml:space="preserve">ом</w:t>
      </w:r>
      <w:r>
        <w:t xml:space="preserve">:</w:t>
      </w:r>
      <w:r/>
    </w:p>
    <w:p>
      <w:pPr>
        <w:pStyle w:val="985"/>
      </w:pPr>
      <w:r>
        <w:t xml:space="preserve">Для исходящих документов:</w:t>
      </w:r>
      <w:r/>
    </w:p>
    <w:p>
      <w:pPr>
        <w:pStyle w:val="986"/>
      </w:pPr>
      <w:r>
        <w:t xml:space="preserve">ввод вручную;</w:t>
      </w:r>
      <w:r/>
    </w:p>
    <w:p>
      <w:pPr>
        <w:pStyle w:val="986"/>
      </w:pPr>
      <w:r>
        <w:t xml:space="preserve">импорт из внешней системы;</w:t>
      </w:r>
      <w:r/>
    </w:p>
    <w:p>
      <w:pPr>
        <w:pStyle w:val="986"/>
      </w:pPr>
      <w:r>
        <w:t xml:space="preserve">документарный контроль;</w:t>
      </w:r>
      <w:r/>
    </w:p>
    <w:p>
      <w:pPr>
        <w:pStyle w:val="986"/>
      </w:pPr>
      <w:r>
        <w:t xml:space="preserve">просмотр и редактирование;</w:t>
      </w:r>
      <w:r/>
    </w:p>
    <w:p>
      <w:pPr>
        <w:pStyle w:val="986"/>
      </w:pPr>
      <w:r>
        <w:t xml:space="preserve">удаление;</w:t>
      </w:r>
      <w:r/>
    </w:p>
    <w:p>
      <w:pPr>
        <w:pStyle w:val="986"/>
      </w:pPr>
      <w:r>
        <w:t xml:space="preserve">экспорт во внешнюю систему</w:t>
      </w:r>
      <w:r>
        <w:t xml:space="preserve">;</w:t>
      </w:r>
      <w:r/>
    </w:p>
    <w:p>
      <w:pPr>
        <w:pStyle w:val="986"/>
      </w:pPr>
      <w:r>
        <w:t xml:space="preserve">подписание, просмотр и снятие </w:t>
      </w:r>
      <w:r>
        <w:t xml:space="preserve">ЭП</w:t>
      </w:r>
      <w:r>
        <w:t xml:space="preserve">;</w:t>
      </w:r>
      <w:r/>
    </w:p>
    <w:p>
      <w:pPr>
        <w:pStyle w:val="986"/>
      </w:pPr>
      <w:r>
        <w:t xml:space="preserve">печать;</w:t>
      </w:r>
      <w:r/>
    </w:p>
    <w:p>
      <w:pPr>
        <w:pStyle w:val="986"/>
      </w:pPr>
      <w:r>
        <w:t xml:space="preserve">отправка в УФК.</w:t>
      </w:r>
      <w:r/>
    </w:p>
    <w:p>
      <w:pPr>
        <w:pStyle w:val="985"/>
      </w:pPr>
      <w:r>
        <w:t xml:space="preserve">Для транзитных документов:</w:t>
      </w:r>
      <w:r/>
    </w:p>
    <w:p>
      <w:pPr>
        <w:pStyle w:val="986"/>
      </w:pPr>
      <w:r>
        <w:t xml:space="preserve">отказ;</w:t>
      </w:r>
      <w:r/>
    </w:p>
    <w:p>
      <w:pPr>
        <w:pStyle w:val="986"/>
      </w:pPr>
      <w:r>
        <w:t xml:space="preserve">санкционирование.</w:t>
      </w:r>
      <w:r/>
    </w:p>
    <w:p>
      <w:pPr>
        <w:pStyle w:val="973"/>
      </w:pPr>
      <w:r>
        <w:t xml:space="preserve">Экранная форма документа</w:t>
      </w:r>
      <w:r/>
    </w:p>
    <w:p>
      <w:pPr>
        <w:pStyle w:val="994"/>
      </w:pPr>
      <w:r/>
      <w:bookmarkStart w:id="511" w:name="_Hlk315186592"/>
      <w:r>
        <w:t xml:space="preserve">ЭФ документа «Платежное поручение» представлена на рисунках </w:t>
      </w:r>
      <w:r>
        <w:fldChar w:fldCharType="begin"/>
      </w:r>
      <w:r>
        <w:instrText xml:space="preserve"> REF _Ref225248952 \h  \* MERGEFORMAT </w:instrText>
      </w:r>
      <w:r>
        <w:fldChar w:fldCharType="separate"/>
      </w:r>
      <w:r>
        <w:t xml:space="preserve">42</w:t>
      </w:r>
      <w:r>
        <w:fldChar w:fldCharType="end"/>
      </w:r>
      <w:r>
        <w:t xml:space="preserve"> и </w:t>
      </w:r>
      <w:r>
        <w:fldChar w:fldCharType="begin"/>
      </w:r>
      <w:r>
        <w:instrText xml:space="preserve"> REF _Ref231029456 \h  \* MERGEFORMAT </w:instrText>
      </w:r>
      <w:r>
        <w:fldChar w:fldCharType="separate"/>
      </w:r>
      <w:r>
        <w:t xml:space="preserve">43</w:t>
      </w:r>
      <w:r>
        <w:fldChar w:fldCharType="end"/>
      </w:r>
      <w:r>
        <w:t xml:space="preserve">. </w:t>
      </w:r>
      <w:r>
        <w:t xml:space="preserve">Форма содержит следующие закладки</w:t>
      </w:r>
      <w:r>
        <w:t xml:space="preserve">:</w:t>
      </w:r>
      <w:r/>
    </w:p>
    <w:p>
      <w:pPr>
        <w:pStyle w:val="985"/>
      </w:pPr>
      <w:r>
        <w:t xml:space="preserve">«Основные атрибуты»;</w:t>
      </w:r>
      <w:r/>
    </w:p>
    <w:p>
      <w:pPr>
        <w:pStyle w:val="985"/>
      </w:pPr>
      <w:r>
        <w:t xml:space="preserve">«Расшифровка, подписи»;</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035040" cy="5494020"/>
                <wp:effectExtent l="0" t="0" r="0" b="0"/>
                <wp:docPr id="10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07"/>
                        <a:stretch/>
                      </pic:blipFill>
                      <pic:spPr bwMode="auto">
                        <a:xfrm>
                          <a:off x="0" y="0"/>
                          <a:ext cx="6035039" cy="54940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 o:spid="_x0000_s104" type="#_x0000_t75" style="mso-wrap-distance-left:0.0pt;mso-wrap-distance-top:0.0pt;mso-wrap-distance-right:0.0pt;mso-wrap-distance-bottom:0.0pt;width:475.2pt;height:432.6pt;" stroked="f">
                <v:path textboxrect="0,0,0,0"/>
                <v:imagedata r:id="rId107" o:title=""/>
              </v:shape>
            </w:pict>
          </mc:Fallback>
        </mc:AlternateContent>
      </w:r>
      <w:r/>
    </w:p>
    <w:p>
      <w:pPr>
        <w:pStyle w:val="983"/>
      </w:pPr>
      <w:r>
        <w:fldChar w:fldCharType="begin"/>
      </w:r>
      <w:r>
        <w:instrText xml:space="preserve"> SEQ Рисунок \* ARABIC </w:instrText>
      </w:r>
      <w:r>
        <w:fldChar w:fldCharType="separate"/>
      </w:r>
      <w:bookmarkStart w:id="512" w:name="_Ref225248952"/>
      <w:r/>
      <w:bookmarkStart w:id="513" w:name="_Toc88819427"/>
      <w:r>
        <w:t xml:space="preserve">42</w:t>
      </w:r>
      <w:bookmarkEnd w:id="512"/>
      <w:r>
        <w:fldChar w:fldCharType="end"/>
      </w:r>
      <w:r>
        <w:t xml:space="preserve">. ЭФ документа «Платежное поручение</w:t>
      </w:r>
      <w:r>
        <w:t xml:space="preserve">», закладки «</w:t>
      </w:r>
      <w:r>
        <w:t xml:space="preserve">Основные атр</w:t>
      </w:r>
      <w:r>
        <w:t xml:space="preserve">и</w:t>
      </w:r>
      <w:r>
        <w:t xml:space="preserve">буты»</w:t>
      </w:r>
      <w:bookmarkEnd w:id="513"/>
      <w:r/>
      <w:r/>
    </w:p>
    <w:p>
      <w:pPr>
        <w:pStyle w:val="994"/>
      </w:pPr>
      <w:r>
        <w:t xml:space="preserve">При импорте документа из внешней системы поля документа автоматическ</w:t>
      </w:r>
      <w:r>
        <w:t xml:space="preserve">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r/>
    </w:p>
    <w:p>
      <w:pPr>
        <w:pStyle w:val="994"/>
      </w:pPr>
      <w:r>
        <w:t xml:space="preserve">Перечень полей </w:t>
      </w:r>
      <w:r>
        <w:t xml:space="preserve">документа «Платежное поручение», закладки «Основные атрибуты»</w:t>
      </w:r>
      <w:r>
        <w:t xml:space="preserve"> </w:t>
      </w:r>
      <w:r>
        <w:t xml:space="preserve">приведен в таблице</w:t>
      </w:r>
      <w:r>
        <w:t xml:space="preserve"> </w:t>
      </w:r>
      <w:r>
        <w:fldChar w:fldCharType="begin"/>
      </w:r>
      <w:r>
        <w:instrText xml:space="preserve"> REF _Ref318713769 \h  \* MERGEFORMAT </w:instrText>
      </w:r>
      <w:r>
        <w:fldChar w:fldCharType="separate"/>
      </w:r>
      <w:r>
        <w:t xml:space="preserve">17</w:t>
      </w:r>
      <w:r>
        <w:fldChar w:fldCharType="end"/>
      </w:r>
      <w:r>
        <w:t xml:space="preserve">.</w:t>
      </w:r>
      <w:r/>
    </w:p>
    <w:p>
      <w:pPr>
        <w:pStyle w:val="993"/>
      </w:pPr>
      <w:r>
        <w:fldChar w:fldCharType="begin"/>
      </w:r>
      <w:r>
        <w:instrText xml:space="preserve"> SEQ Таблица \* ARABIC </w:instrText>
      </w:r>
      <w:r>
        <w:fldChar w:fldCharType="separate"/>
      </w:r>
      <w:bookmarkStart w:id="514" w:name="_Ref318713769"/>
      <w:r/>
      <w:bookmarkStart w:id="515" w:name="_Ref317670430"/>
      <w:r/>
      <w:bookmarkStart w:id="516" w:name="_Toc88819203"/>
      <w:r>
        <w:t xml:space="preserve">17</w:t>
      </w:r>
      <w:bookmarkEnd w:id="514"/>
      <w:r/>
      <w:bookmarkEnd w:id="515"/>
      <w:r>
        <w:fldChar w:fldCharType="end"/>
      </w:r>
      <w:r>
        <w:t xml:space="preserve">. Описание полей </w:t>
      </w:r>
      <w:r>
        <w:t xml:space="preserve">документа «Платежное поручение», закладки «Основные атрибуты»</w:t>
      </w:r>
      <w:bookmarkEnd w:id="516"/>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25"/>
        <w:gridCol w:w="7427"/>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192"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08" w:type="pct"/>
            <w:vAlign w:val="center"/>
            <w:textDirection w:val="lrTb"/>
            <w:noWrap w:val="false"/>
          </w:tcPr>
          <w:p>
            <w:pPr>
              <w:pStyle w:val="1006"/>
            </w:pPr>
            <w:r>
              <w:t xml:space="preserve">Описание поля</w:t>
            </w:r>
            <w:r/>
          </w:p>
        </w:tc>
      </w:tr>
      <w:tr>
        <w:trPr/>
        <w:tc>
          <w:tcPr>
            <w:shd w:val="clear" w:fill="auto" w:color="auto"/>
            <w:tcW w:w="1192" w:type="pct"/>
            <w:textDirection w:val="lrTb"/>
            <w:noWrap w:val="false"/>
          </w:tcPr>
          <w:p>
            <w:pPr>
              <w:pStyle w:val="1005"/>
              <w:ind w:left="57" w:right="57"/>
            </w:pPr>
            <w:r>
              <w:t xml:space="preserve">Номер</w:t>
            </w:r>
            <w:r/>
          </w:p>
        </w:tc>
        <w:tc>
          <w:tcPr>
            <w:shd w:val="clear" w:fill="auto" w:color="auto"/>
            <w:tcW w:w="3808" w:type="pct"/>
            <w:textDirection w:val="lrTb"/>
            <w:noWrap w:val="false"/>
          </w:tcPr>
          <w:p>
            <w:pPr>
              <w:pStyle w:val="1005"/>
              <w:ind w:left="57" w:right="57"/>
            </w:pPr>
            <w:r>
              <w:t xml:space="preserve">Номер документа.</w:t>
            </w:r>
            <w:r/>
          </w:p>
          <w:p>
            <w:pPr>
              <w:pStyle w:val="1005"/>
              <w:ind w:left="57" w:right="57"/>
            </w:pPr>
            <w:r>
              <w:t xml:space="preserve">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w:t>
            </w:r>
            <w:r>
              <w:t xml:space="preserve">е</w:t>
            </w:r>
            <w:r>
              <w:t xml:space="preserve">но вручную.</w:t>
            </w:r>
            <w:r/>
          </w:p>
          <w:p>
            <w:pPr>
              <w:pStyle w:val="1005"/>
              <w:ind w:left="57" w:right="57"/>
            </w:pPr>
            <w:r>
              <w:t xml:space="preserve">В случае если </w:t>
            </w:r>
            <w:r>
              <w:t xml:space="preserve">значение было изменено вручную и не соответствует автоматически вычисленному значению, правильный порядковый номер может быть проставлен по н</w:t>
            </w:r>
            <w:r>
              <w:t xml:space="preserve">а</w:t>
            </w:r>
            <w:r>
              <w:t xml:space="preserve">жатию кнопки.</w:t>
            </w:r>
            <w:r/>
          </w:p>
        </w:tc>
      </w:tr>
      <w:tr>
        <w:trPr/>
        <w:tc>
          <w:tcPr>
            <w:shd w:val="clear" w:fill="auto" w:color="auto"/>
            <w:tcW w:w="1192" w:type="pct"/>
            <w:textDirection w:val="lrTb"/>
            <w:noWrap w:val="false"/>
          </w:tcPr>
          <w:p>
            <w:pPr>
              <w:pStyle w:val="1005"/>
              <w:ind w:left="57" w:right="57"/>
            </w:pPr>
            <w:r>
              <w:t xml:space="preserve">Дата</w:t>
            </w:r>
            <w:r/>
          </w:p>
        </w:tc>
        <w:tc>
          <w:tcPr>
            <w:shd w:val="clear" w:fill="auto" w:color="auto"/>
            <w:tcW w:w="3808" w:type="pct"/>
            <w:textDirection w:val="lrTb"/>
            <w:noWrap w:val="false"/>
          </w:tcPr>
          <w:p>
            <w:pPr>
              <w:pStyle w:val="1005"/>
              <w:ind w:left="57" w:right="57"/>
            </w:pPr>
            <w:r>
              <w:t xml:space="preserve">Дата документа. </w:t>
            </w:r>
            <w:r/>
          </w:p>
          <w:p>
            <w:pPr>
              <w:pStyle w:val="1005"/>
              <w:ind w:left="57" w:right="57"/>
            </w:pPr>
            <w:r>
              <w:t xml:space="preserve">Значение по умолчанию текущая дата. Может быть выбрана пользователем из системного календ</w:t>
            </w:r>
            <w:r>
              <w:t xml:space="preserve">а</w:t>
            </w:r>
            <w:r>
              <w:t xml:space="preserve">ря.</w:t>
            </w:r>
            <w:r/>
          </w:p>
        </w:tc>
      </w:tr>
      <w:tr>
        <w:trPr/>
        <w:tc>
          <w:tcPr>
            <w:shd w:val="clear" w:fill="auto" w:color="auto"/>
            <w:tcW w:w="1192" w:type="pct"/>
            <w:textDirection w:val="lrTb"/>
            <w:noWrap w:val="false"/>
          </w:tcPr>
          <w:p>
            <w:pPr>
              <w:pStyle w:val="1005"/>
              <w:ind w:left="57" w:right="57"/>
            </w:pPr>
            <w:r>
              <w:t xml:space="preserve">Отклонение</w:t>
            </w:r>
            <w:r/>
          </w:p>
        </w:tc>
        <w:tc>
          <w:tcPr>
            <w:shd w:val="clear" w:fill="auto" w:color="auto"/>
            <w:tcW w:w="3808" w:type="pct"/>
            <w:textDirection w:val="lrTb"/>
            <w:noWrap w:val="false"/>
          </w:tcPr>
          <w:p>
            <w:pPr>
              <w:pStyle w:val="1005"/>
              <w:ind w:left="57" w:right="57"/>
            </w:pPr>
            <w:r>
              <w:t xml:space="preserve">Значение рассчитывается автоматически. </w:t>
            </w:r>
            <w:r/>
          </w:p>
          <w:p>
            <w:pPr>
              <w:pStyle w:val="1005"/>
              <w:ind w:left="57" w:right="57"/>
            </w:pPr>
            <w:r>
              <w:t xml:space="preserve">Сравнивается значение, указанное в поле «Сумма» и сумма всех строк расшифровки платежного п</w:t>
            </w:r>
            <w:r>
              <w:t xml:space="preserve">о</w:t>
            </w:r>
            <w:r>
              <w:t xml:space="preserve">ручения. </w:t>
            </w:r>
            <w:r/>
          </w:p>
          <w:p>
            <w:pPr>
              <w:pStyle w:val="1005"/>
              <w:ind w:left="57" w:right="57"/>
            </w:pPr>
            <w:r>
              <w:t xml:space="preserve">Значение выводится по модулю.</w:t>
            </w:r>
            <w:r/>
          </w:p>
        </w:tc>
      </w:tr>
      <w:tr>
        <w:trPr/>
        <w:tc>
          <w:tcPr>
            <w:shd w:val="clear" w:fill="auto" w:color="auto"/>
            <w:tcW w:w="1192" w:type="pct"/>
            <w:textDirection w:val="lrTb"/>
            <w:noWrap w:val="false"/>
          </w:tcPr>
          <w:p>
            <w:pPr>
              <w:pStyle w:val="1005"/>
              <w:ind w:left="57" w:right="57"/>
            </w:pPr>
            <w:r>
              <w:t xml:space="preserve">Статус</w:t>
            </w:r>
            <w:r/>
          </w:p>
        </w:tc>
        <w:tc>
          <w:tcPr>
            <w:shd w:val="clear" w:fill="auto" w:color="auto"/>
            <w:tcW w:w="3808" w:type="pct"/>
            <w:textDirection w:val="lrTb"/>
            <w:noWrap w:val="false"/>
          </w:tcPr>
          <w:p>
            <w:pPr>
              <w:pStyle w:val="1005"/>
              <w:ind w:left="57" w:right="57"/>
            </w:pPr>
            <w:r>
              <w:t xml:space="preserve">Код бизнес-статуса документа.</w:t>
            </w:r>
            <w:r/>
          </w:p>
          <w:p>
            <w:pPr>
              <w:pStyle w:val="1005"/>
              <w:ind w:left="57" w:right="57"/>
            </w:pPr>
            <w:r>
              <w:t xml:space="preserve">Заполняется автоматически в результате обработки документа или присылается из учетной системы (в случае обработки документа в уче</w:t>
            </w:r>
            <w:r>
              <w:t xml:space="preserve">т</w:t>
            </w:r>
            <w:r>
              <w:t xml:space="preserve">ной системе).</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w:t>
            </w:r>
            <w:r>
              <w:t xml:space="preserve">», группа полей «</w:t>
            </w:r>
            <w:r>
              <w:t xml:space="preserve">Основные атрибуты»</w:t>
            </w:r>
            <w:r/>
          </w:p>
        </w:tc>
      </w:tr>
      <w:tr>
        <w:trPr/>
        <w:tc>
          <w:tcPr>
            <w:shd w:val="clear" w:fill="auto" w:color="auto"/>
            <w:tcW w:w="1192" w:type="pct"/>
            <w:textDirection w:val="lrTb"/>
            <w:noWrap w:val="false"/>
          </w:tcPr>
          <w:p>
            <w:pPr>
              <w:pStyle w:val="1005"/>
              <w:ind w:left="57" w:right="57"/>
            </w:pPr>
            <w:r>
              <w:t xml:space="preserve">Вид платежа</w:t>
            </w:r>
            <w:r/>
          </w:p>
        </w:tc>
        <w:tc>
          <w:tcPr>
            <w:shd w:val="clear" w:fill="auto" w:color="auto"/>
            <w:tcW w:w="3808" w:type="pct"/>
            <w:textDirection w:val="lrTb"/>
            <w:noWrap w:val="false"/>
          </w:tcPr>
          <w:p>
            <w:pPr>
              <w:pStyle w:val="1005"/>
              <w:ind w:left="57" w:right="57"/>
            </w:pPr>
            <w:r>
              <w:t xml:space="preserve">Для пользователя на статусе «Черновик» доступны значения «», «сро</w:t>
            </w:r>
            <w:r>
              <w:t xml:space="preserve">ч</w:t>
            </w:r>
            <w:r>
              <w:t xml:space="preserve">но».</w:t>
            </w:r>
            <w:r/>
          </w:p>
          <w:p>
            <w:pPr>
              <w:pStyle w:val="1005"/>
              <w:ind w:left="57" w:right="57"/>
            </w:pPr>
            <w:r>
              <w:t xml:space="preserve">По умолчанию проставляется пустое значение «».</w:t>
            </w:r>
            <w:r/>
          </w:p>
        </w:tc>
      </w:tr>
      <w:tr>
        <w:trPr/>
        <w:tc>
          <w:tcPr>
            <w:shd w:val="clear" w:fill="auto" w:color="auto"/>
            <w:tcW w:w="1192" w:type="pct"/>
            <w:textDirection w:val="lrTb"/>
            <w:noWrap w:val="false"/>
          </w:tcPr>
          <w:p>
            <w:pPr>
              <w:pStyle w:val="1005"/>
              <w:ind w:left="57" w:right="57"/>
            </w:pPr>
            <w:r>
              <w:t xml:space="preserve">Сумма</w:t>
            </w:r>
            <w:r/>
          </w:p>
        </w:tc>
        <w:tc>
          <w:tcPr>
            <w:shd w:val="clear" w:fill="auto" w:color="auto"/>
            <w:tcW w:w="3808" w:type="pct"/>
            <w:textDirection w:val="lrTb"/>
            <w:noWrap w:val="false"/>
          </w:tcPr>
          <w:p>
            <w:pPr>
              <w:pStyle w:val="1005"/>
              <w:ind w:left="57" w:right="57"/>
            </w:pPr>
            <w:r>
              <w:t xml:space="preserve">Общая сумма платежного поручения.</w:t>
            </w:r>
            <w:r/>
          </w:p>
          <w:p>
            <w:pPr>
              <w:pStyle w:val="1005"/>
              <w:ind w:left="57" w:right="57"/>
            </w:pPr>
            <w:r>
              <w:t xml:space="preserve">Значение вводится вручную.</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w:t>
            </w:r>
            <w:r>
              <w:t xml:space="preserve">», группа полей «</w:t>
            </w:r>
            <w:r>
              <w:t xml:space="preserve">Реквизиты плательщика»</w:t>
            </w:r>
            <w:r/>
          </w:p>
        </w:tc>
      </w:tr>
      <w:tr>
        <w:trPr/>
        <w:tc>
          <w:tcPr>
            <w:shd w:val="clear" w:fill="auto" w:color="auto"/>
            <w:tcW w:w="1192" w:type="pct"/>
            <w:textDirection w:val="lrTb"/>
            <w:noWrap w:val="false"/>
          </w:tcPr>
          <w:p>
            <w:pPr>
              <w:pStyle w:val="1005"/>
              <w:ind w:left="57" w:right="57"/>
            </w:pPr>
            <w:r>
              <w:t xml:space="preserve">Наименование</w:t>
            </w:r>
            <w:r/>
          </w:p>
        </w:tc>
        <w:tc>
          <w:tcPr>
            <w:shd w:val="clear" w:fill="auto" w:color="auto"/>
            <w:tcW w:w="3808" w:type="pct"/>
            <w:textDirection w:val="lrTb"/>
            <w:noWrap w:val="false"/>
          </w:tcPr>
          <w:p>
            <w:pPr>
              <w:pStyle w:val="1005"/>
              <w:ind w:left="57" w:right="57"/>
            </w:pPr>
            <w:r>
              <w:t xml:space="preserve">Наименование плательщика.</w:t>
            </w:r>
            <w:r/>
          </w:p>
          <w:p>
            <w:pPr>
              <w:pStyle w:val="1005"/>
              <w:ind w:left="57" w:right="57"/>
            </w:pPr>
            <w:r>
              <w:t xml:space="preserve">Значение вводится вручную.</w:t>
            </w:r>
            <w:r/>
          </w:p>
        </w:tc>
      </w:tr>
      <w:tr>
        <w:trPr/>
        <w:tc>
          <w:tcPr>
            <w:shd w:val="clear" w:fill="auto" w:color="auto"/>
            <w:tcW w:w="1192" w:type="pct"/>
            <w:textDirection w:val="lrTb"/>
            <w:noWrap w:val="false"/>
          </w:tcPr>
          <w:p>
            <w:pPr>
              <w:pStyle w:val="1005"/>
              <w:ind w:left="57" w:right="57"/>
            </w:pPr>
            <w:r>
              <w:t xml:space="preserve">ИНН</w:t>
            </w:r>
            <w:r/>
          </w:p>
        </w:tc>
        <w:tc>
          <w:tcPr>
            <w:shd w:val="clear" w:fill="auto" w:color="auto"/>
            <w:tcW w:w="3808" w:type="pct"/>
            <w:textDirection w:val="lrTb"/>
            <w:noWrap w:val="false"/>
          </w:tcPr>
          <w:p>
            <w:pPr>
              <w:pStyle w:val="1005"/>
              <w:ind w:left="57" w:right="57"/>
            </w:pPr>
            <w:r>
              <w:t xml:space="preserve">ИНН плательщика.</w:t>
            </w:r>
            <w:r/>
          </w:p>
          <w:p>
            <w:pPr>
              <w:pStyle w:val="1005"/>
              <w:ind w:left="57" w:right="57"/>
            </w:pPr>
            <w:r>
              <w:t xml:space="preserve">Значение подтягивается автоматически после заполнения</w:t>
            </w:r>
            <w:r>
              <w:t xml:space="preserve"> </w:t>
            </w:r>
            <w:r>
              <w:t xml:space="preserve">поля «Лиц. </w:t>
            </w:r>
            <w:r>
              <w:t xml:space="preserve">С</w:t>
            </w:r>
            <w:r>
              <w:t xml:space="preserve">чет». </w:t>
            </w:r>
            <w:r/>
          </w:p>
          <w:p>
            <w:pPr>
              <w:pStyle w:val="1005"/>
              <w:ind w:left="57" w:right="57"/>
            </w:pPr>
            <w:r>
              <w:t xml:space="preserve">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r/>
          </w:p>
          <w:p>
            <w:pPr>
              <w:pStyle w:val="1005"/>
              <w:ind w:left="57" w:right="57"/>
            </w:pPr>
            <w:r>
              <w:t xml:space="preserve">Может быть отредактировано вручную</w:t>
            </w:r>
            <w:r>
              <w:t xml:space="preserve">.</w:t>
            </w:r>
            <w:r/>
          </w:p>
        </w:tc>
      </w:tr>
      <w:tr>
        <w:trPr/>
        <w:tc>
          <w:tcPr>
            <w:shd w:val="clear" w:fill="auto" w:color="auto"/>
            <w:tcW w:w="1192" w:type="pct"/>
            <w:textDirection w:val="lrTb"/>
            <w:noWrap w:val="false"/>
          </w:tcPr>
          <w:p>
            <w:pPr>
              <w:pStyle w:val="1005"/>
              <w:ind w:left="57" w:right="57"/>
            </w:pPr>
            <w:r>
              <w:t xml:space="preserve">КПП</w:t>
            </w:r>
            <w:r/>
          </w:p>
        </w:tc>
        <w:tc>
          <w:tcPr>
            <w:shd w:val="clear" w:fill="auto" w:color="auto"/>
            <w:tcW w:w="3808" w:type="pct"/>
            <w:textDirection w:val="lrTb"/>
            <w:noWrap w:val="false"/>
          </w:tcPr>
          <w:p>
            <w:pPr>
              <w:pStyle w:val="1005"/>
              <w:ind w:left="57" w:right="57"/>
            </w:pPr>
            <w:r>
              <w:t xml:space="preserve">КПП плательщика.</w:t>
            </w:r>
            <w:r/>
          </w:p>
          <w:p>
            <w:pPr>
              <w:pStyle w:val="1005"/>
              <w:ind w:left="57" w:right="57"/>
            </w:pPr>
            <w:r>
              <w:t xml:space="preserve">Значение подтягивается автоматически после заполнения</w:t>
            </w:r>
            <w:r>
              <w:t xml:space="preserve"> </w:t>
            </w:r>
            <w:r>
              <w:t xml:space="preserve">поля «Лиц. </w:t>
            </w:r>
            <w:r>
              <w:t xml:space="preserve">С</w:t>
            </w:r>
            <w:r>
              <w:t xml:space="preserve">чет». </w:t>
            </w:r>
            <w:r/>
          </w:p>
          <w:p>
            <w:pPr>
              <w:pStyle w:val="1005"/>
              <w:ind w:left="57" w:right="57"/>
            </w:pPr>
            <w:r>
              <w:t xml:space="preserve">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r/>
          </w:p>
          <w:p>
            <w:pPr>
              <w:pStyle w:val="1005"/>
              <w:ind w:left="57" w:right="57"/>
            </w:pPr>
            <w:r>
              <w:t xml:space="preserve">Может быть отредактировано вручную</w:t>
            </w:r>
            <w:r>
              <w:t xml:space="preserve">.</w:t>
            </w:r>
            <w:r/>
          </w:p>
        </w:tc>
      </w:tr>
      <w:tr>
        <w:trPr/>
        <w:tc>
          <w:tcPr>
            <w:shd w:val="clear" w:fill="auto" w:color="auto"/>
            <w:tcW w:w="1192" w:type="pct"/>
            <w:textDirection w:val="lrTb"/>
            <w:noWrap w:val="false"/>
          </w:tcPr>
          <w:p>
            <w:pPr>
              <w:pStyle w:val="1005"/>
              <w:ind w:left="57" w:right="57"/>
            </w:pPr>
            <w:r>
              <w:t xml:space="preserve">Лиц. </w:t>
            </w:r>
            <w:r>
              <w:t xml:space="preserve">С</w:t>
            </w:r>
            <w:r>
              <w:t xml:space="preserve">чет</w:t>
            </w:r>
            <w:r/>
          </w:p>
        </w:tc>
        <w:tc>
          <w:tcPr>
            <w:shd w:val="clear" w:fill="auto" w:color="auto"/>
            <w:tcW w:w="3808" w:type="pct"/>
            <w:textDirection w:val="lrTb"/>
            <w:noWrap w:val="false"/>
          </w:tcPr>
          <w:p>
            <w:pPr>
              <w:pStyle w:val="1005"/>
              <w:ind w:left="57" w:right="57"/>
            </w:pPr>
            <w:r>
              <w:t xml:space="preserve">Лицевой счет плательщика. </w:t>
            </w:r>
            <w:r/>
          </w:p>
          <w:p>
            <w:pPr>
              <w:pStyle w:val="1005"/>
              <w:ind w:left="57" w:right="57"/>
            </w:pPr>
            <w:r>
              <w:t xml:space="preserve">Значение может быть введено вручную или выбрано из справочника «Лицевые счета».</w:t>
            </w:r>
            <w:r>
              <w:t xml:space="preserve"> </w:t>
            </w:r>
            <w:r>
              <w:t xml:space="preserve">Исключ</w:t>
            </w:r>
            <w:r>
              <w:t xml:space="preserve">ена</w:t>
            </w:r>
            <w:r>
              <w:t xml:space="preserve"> возможность ввода л/с с кодом 30, 32 открытые в ТОФК.</w:t>
            </w:r>
            <w:r/>
          </w:p>
        </w:tc>
      </w:tr>
      <w:tr>
        <w:trPr/>
        <w:tc>
          <w:tcPr>
            <w:shd w:val="clear" w:fill="auto" w:color="auto"/>
            <w:tcW w:w="1192" w:type="pct"/>
            <w:textDirection w:val="lrTb"/>
            <w:noWrap w:val="false"/>
          </w:tcPr>
          <w:p>
            <w:pPr>
              <w:pStyle w:val="1005"/>
              <w:ind w:left="57" w:right="57"/>
            </w:pPr>
            <w:r>
              <w:t xml:space="preserve">Банк.счет</w:t>
            </w:r>
            <w:r/>
          </w:p>
        </w:tc>
        <w:tc>
          <w:tcPr>
            <w:shd w:val="clear" w:fill="auto" w:color="auto"/>
            <w:tcW w:w="3808" w:type="pct"/>
            <w:textDirection w:val="lrTb"/>
            <w:noWrap w:val="false"/>
          </w:tcPr>
          <w:p>
            <w:pPr>
              <w:pStyle w:val="1005"/>
              <w:ind w:left="57" w:right="57"/>
            </w:pPr>
            <w:r>
              <w:t xml:space="preserve">Номер банковского счета. </w:t>
            </w:r>
            <w:r/>
          </w:p>
          <w:p>
            <w:pPr>
              <w:pStyle w:val="1005"/>
              <w:ind w:left="57" w:right="57"/>
            </w:pPr>
            <w:r>
              <w:t xml:space="preserve">Значение может быть выбрано из справочника «Банко</w:t>
            </w:r>
            <w:r>
              <w:t xml:space="preserve">в</w:t>
            </w:r>
            <w:r>
              <w:t xml:space="preserve">ские счета ФК».</w:t>
            </w:r>
            <w:r/>
          </w:p>
        </w:tc>
      </w:tr>
      <w:tr>
        <w:trPr/>
        <w:tc>
          <w:tcPr>
            <w:shd w:val="clear" w:fill="auto" w:color="auto"/>
            <w:tcW w:w="1192" w:type="pct"/>
            <w:textDirection w:val="lrTb"/>
            <w:noWrap w:val="false"/>
          </w:tcPr>
          <w:p>
            <w:pPr>
              <w:pStyle w:val="1005"/>
              <w:ind w:left="57" w:right="57"/>
            </w:pPr>
            <w:r>
              <w:t xml:space="preserve">БИК/SWIFT</w:t>
            </w:r>
            <w:r/>
          </w:p>
        </w:tc>
        <w:tc>
          <w:tcPr>
            <w:shd w:val="clear" w:fill="auto" w:color="auto"/>
            <w:tcW w:w="3808" w:type="pct"/>
            <w:textDirection w:val="lrTb"/>
            <w:noWrap w:val="false"/>
          </w:tcPr>
          <w:p>
            <w:pPr>
              <w:pStyle w:val="1005"/>
              <w:ind w:left="57" w:right="57"/>
            </w:pPr>
            <w:r>
              <w:t xml:space="preserve">Значение заполняется автоматически после з</w:t>
            </w:r>
            <w:r>
              <w:t xml:space="preserve">а</w:t>
            </w:r>
            <w:r>
              <w:t xml:space="preserve">полнения поля «Банк. </w:t>
            </w:r>
            <w:r>
              <w:t xml:space="preserve">С</w:t>
            </w:r>
            <w:r>
              <w:t xml:space="preserve">чет</w:t>
            </w:r>
            <w:r>
              <w:t xml:space="preserve">» из справочника «Банковские счета ФК» из поля «Где открыт».</w:t>
            </w:r>
            <w:r/>
          </w:p>
          <w:p>
            <w:pPr>
              <w:pStyle w:val="1005"/>
              <w:ind w:left="57" w:right="57"/>
            </w:pPr>
            <w:r>
              <w:t xml:space="preserve">Значение вводится вручную или выбирается из справочн</w:t>
            </w:r>
            <w:r>
              <w:t xml:space="preserve">и</w:t>
            </w:r>
            <w:r>
              <w:t xml:space="preserve">ка банков.</w:t>
            </w:r>
            <w:r/>
          </w:p>
        </w:tc>
      </w:tr>
      <w:tr>
        <w:trPr/>
        <w:tc>
          <w:tcPr>
            <w:shd w:val="clear" w:fill="auto" w:color="auto"/>
            <w:tcW w:w="1192" w:type="pct"/>
            <w:textDirection w:val="lrTb"/>
            <w:noWrap w:val="false"/>
          </w:tcPr>
          <w:p>
            <w:pPr>
              <w:pStyle w:val="1005"/>
              <w:ind w:left="57" w:right="57"/>
            </w:pPr>
            <w:r>
              <w:t xml:space="preserve">Корсчет</w:t>
            </w:r>
            <w:r/>
          </w:p>
        </w:tc>
        <w:tc>
          <w:tcPr>
            <w:shd w:val="clear" w:fill="auto" w:color="auto"/>
            <w:tcW w:w="3808" w:type="pct"/>
            <w:textDirection w:val="lrTb"/>
            <w:noWrap w:val="false"/>
          </w:tcPr>
          <w:p>
            <w:pPr>
              <w:pStyle w:val="1005"/>
              <w:ind w:left="57" w:right="57"/>
            </w:pPr>
            <w:r>
              <w:t xml:space="preserve">Номер корреспондирующего счета банка. </w:t>
            </w:r>
            <w:r/>
          </w:p>
          <w:p>
            <w:pPr>
              <w:pStyle w:val="1005"/>
              <w:ind w:left="57" w:right="57"/>
            </w:pPr>
            <w:r>
              <w:t xml:space="preserve">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w:t>
            </w:r>
            <w:r>
              <w:t xml:space="preserve">тов» по найденной записи Казначейского счета. При выборе БИК из справочника банков поле «Корсчет» не меняется.</w:t>
            </w:r>
            <w:r/>
          </w:p>
          <w:p>
            <w:pPr>
              <w:pStyle w:val="1005"/>
              <w:ind w:left="57" w:right="57"/>
            </w:pPr>
            <w:r>
              <w:t xml:space="preserve">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p>
          <w:p>
            <w:pPr>
              <w:pStyle w:val="1005"/>
              <w:ind w:left="57" w:right="57"/>
            </w:pPr>
            <w:r>
              <w:t xml:space="preserve">Значение может быть отредактировано вру</w:t>
            </w:r>
            <w:r>
              <w:t xml:space="preserve">ч</w:t>
            </w:r>
            <w:r>
              <w:t xml:space="preserve">ную.</w:t>
            </w:r>
            <w:r/>
          </w:p>
        </w:tc>
      </w:tr>
      <w:tr>
        <w:trPr/>
        <w:tc>
          <w:tcPr>
            <w:shd w:val="clear" w:fill="auto" w:color="auto"/>
            <w:tcW w:w="1192" w:type="pct"/>
            <w:textDirection w:val="lrTb"/>
            <w:noWrap w:val="false"/>
          </w:tcPr>
          <w:p>
            <w:pPr>
              <w:pStyle w:val="1005"/>
              <w:ind w:left="57" w:right="57"/>
              <w:rPr>
                <w:rStyle w:val="1400"/>
              </w:rPr>
            </w:pPr>
            <w:r>
              <w:rPr>
                <w:rStyle w:val="1400"/>
              </w:rPr>
              <w:t xml:space="preserve">Наим.</w:t>
            </w:r>
            <w:r>
              <w:rPr>
                <w:rStyle w:val="1400"/>
              </w:rPr>
              <w:t xml:space="preserve"> </w:t>
            </w:r>
            <w:r>
              <w:rPr>
                <w:rStyle w:val="1400"/>
                <w:lang w:val="ru-RU"/>
              </w:rPr>
              <w:t xml:space="preserve">Б</w:t>
            </w:r>
            <w:r>
              <w:rPr>
                <w:rStyle w:val="1400"/>
              </w:rPr>
              <w:t xml:space="preserve">анка</w:t>
            </w:r>
            <w:r/>
          </w:p>
        </w:tc>
        <w:tc>
          <w:tcPr>
            <w:shd w:val="clear" w:fill="auto" w:color="auto"/>
            <w:tcW w:w="3808" w:type="pct"/>
            <w:textDirection w:val="lrTb"/>
            <w:noWrap w:val="false"/>
          </w:tcPr>
          <w:p>
            <w:pPr>
              <w:pStyle w:val="1005"/>
              <w:ind w:left="57" w:right="57"/>
            </w:pPr>
            <w:r>
              <w:t xml:space="preserve">Значение подтягивается автоматически после заполнения поля «БИК/SWIFT» из справочника банков из поля «Платёжное наименование ба</w:t>
            </w:r>
            <w:r>
              <w:t xml:space="preserve">н</w:t>
            </w:r>
            <w:r>
              <w:t xml:space="preserve">ка составное»</w:t>
            </w:r>
            <w:r>
              <w:t xml:space="preserve">.</w:t>
            </w:r>
            <w:r/>
          </w:p>
          <w:p>
            <w:pPr>
              <w:pStyle w:val="1005"/>
              <w:ind w:left="57" w:right="57"/>
            </w:pPr>
            <w:r>
              <w:t xml:space="preserve">Значение может быть отредактировано вру</w:t>
            </w:r>
            <w:r>
              <w:t xml:space="preserve">ч</w:t>
            </w:r>
            <w:r>
              <w:t xml:space="preserve">ную.</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w:t>
            </w:r>
            <w:r>
              <w:t xml:space="preserve">», группа полей «</w:t>
            </w:r>
            <w:r>
              <w:t xml:space="preserve">Реквизиты получателя»</w:t>
            </w:r>
            <w:r/>
          </w:p>
        </w:tc>
      </w:tr>
      <w:tr>
        <w:trPr/>
        <w:tc>
          <w:tcPr>
            <w:shd w:val="clear" w:fill="auto" w:color="auto"/>
            <w:tcW w:w="1192" w:type="pct"/>
            <w:textDirection w:val="lrTb"/>
            <w:noWrap w:val="false"/>
          </w:tcPr>
          <w:p>
            <w:pPr>
              <w:pStyle w:val="1005"/>
              <w:ind w:left="57" w:right="57"/>
            </w:pPr>
            <w:r>
              <w:t xml:space="preserve">Наименование</w:t>
            </w:r>
            <w:r/>
          </w:p>
        </w:tc>
        <w:tc>
          <w:tcPr>
            <w:shd w:val="clear" w:fill="auto" w:color="auto"/>
            <w:tcW w:w="3808" w:type="pct"/>
            <w:textDirection w:val="lrTb"/>
            <w:noWrap w:val="false"/>
          </w:tcPr>
          <w:p>
            <w:pPr>
              <w:pStyle w:val="1005"/>
              <w:ind w:left="57" w:right="57"/>
            </w:pPr>
            <w:r>
              <w:t xml:space="preserve">Наименование получателя по СРРПБС. </w:t>
            </w:r>
            <w:r/>
          </w:p>
          <w:p>
            <w:pPr>
              <w:pStyle w:val="1005"/>
              <w:ind w:left="57" w:right="57"/>
            </w:pPr>
            <w:r>
              <w:t xml:space="preserve">Значение вводится вручную или может быть выбрано из справочника «Поставщики».</w:t>
            </w:r>
            <w:r/>
          </w:p>
        </w:tc>
      </w:tr>
      <w:tr>
        <w:trPr/>
        <w:tc>
          <w:tcPr>
            <w:shd w:val="clear" w:fill="auto" w:color="auto"/>
            <w:tcW w:w="1192" w:type="pct"/>
            <w:textDirection w:val="lrTb"/>
            <w:noWrap w:val="false"/>
          </w:tcPr>
          <w:p>
            <w:pPr>
              <w:pStyle w:val="1005"/>
              <w:ind w:left="57" w:right="57"/>
            </w:pPr>
            <w:r>
              <w:t xml:space="preserve">ИНН</w:t>
            </w:r>
            <w:r/>
          </w:p>
        </w:tc>
        <w:tc>
          <w:tcPr>
            <w:shd w:val="clear" w:fill="auto" w:color="auto"/>
            <w:tcW w:w="3808" w:type="pct"/>
            <w:textDirection w:val="lrTb"/>
            <w:noWrap w:val="false"/>
          </w:tcPr>
          <w:p>
            <w:pPr>
              <w:pStyle w:val="1005"/>
              <w:ind w:left="57" w:right="57"/>
            </w:pPr>
            <w:r>
              <w:t xml:space="preserve">ИНН получателя. </w:t>
            </w:r>
            <w:r/>
          </w:p>
          <w:p>
            <w:pPr>
              <w:pStyle w:val="1005"/>
              <w:ind w:left="57" w:right="57"/>
            </w:pPr>
            <w:r>
              <w:t xml:space="preserve">Значение заполняется автоматически после заполнения поля «Наимен</w:t>
            </w:r>
            <w:r>
              <w:t xml:space="preserve">о</w:t>
            </w:r>
            <w:r>
              <w:t xml:space="preserve">вание контрагента».</w:t>
            </w:r>
            <w:r/>
          </w:p>
          <w:p>
            <w:pPr>
              <w:pStyle w:val="1005"/>
              <w:ind w:left="57" w:right="57"/>
            </w:pPr>
            <w:r>
              <w:t xml:space="preserve">После автозаполнения поле доступно для р</w:t>
            </w:r>
            <w:r>
              <w:t xml:space="preserve">е</w:t>
            </w:r>
            <w:r>
              <w:t xml:space="preserve">дактирования.</w:t>
            </w:r>
            <w:r/>
          </w:p>
        </w:tc>
      </w:tr>
      <w:tr>
        <w:trPr/>
        <w:tc>
          <w:tcPr>
            <w:shd w:val="clear" w:fill="auto" w:color="auto"/>
            <w:tcW w:w="1192" w:type="pct"/>
            <w:textDirection w:val="lrTb"/>
            <w:noWrap w:val="false"/>
          </w:tcPr>
          <w:p>
            <w:pPr>
              <w:pStyle w:val="1005"/>
              <w:ind w:left="57" w:right="57"/>
            </w:pPr>
            <w:r>
              <w:t xml:space="preserve">КПП</w:t>
            </w:r>
            <w:r/>
          </w:p>
        </w:tc>
        <w:tc>
          <w:tcPr>
            <w:shd w:val="clear" w:fill="auto" w:color="auto"/>
            <w:tcW w:w="3808" w:type="pct"/>
            <w:textDirection w:val="lrTb"/>
            <w:noWrap w:val="false"/>
          </w:tcPr>
          <w:p>
            <w:pPr>
              <w:pStyle w:val="1005"/>
              <w:ind w:left="57" w:right="57"/>
            </w:pPr>
            <w:r>
              <w:t xml:space="preserve">КПП получателя. </w:t>
            </w:r>
            <w:r/>
          </w:p>
          <w:p>
            <w:pPr>
              <w:pStyle w:val="1005"/>
              <w:ind w:left="57" w:right="57"/>
            </w:pPr>
            <w:r>
              <w:t xml:space="preserve">Значение заполняется автоматически после заполнения поля «Наимен</w:t>
            </w:r>
            <w:r>
              <w:t xml:space="preserve">о</w:t>
            </w:r>
            <w:r>
              <w:t xml:space="preserve">вание контрагента».</w:t>
            </w:r>
            <w:r/>
          </w:p>
          <w:p>
            <w:pPr>
              <w:pStyle w:val="1005"/>
              <w:ind w:left="57" w:right="57"/>
            </w:pPr>
            <w:r>
              <w:t xml:space="preserve">После автозаполнения поле доступно для р</w:t>
            </w:r>
            <w:r>
              <w:t xml:space="preserve">е</w:t>
            </w:r>
            <w:r>
              <w:t xml:space="preserve">дактирования.</w:t>
            </w:r>
            <w:r/>
          </w:p>
        </w:tc>
      </w:tr>
      <w:tr>
        <w:trPr/>
        <w:tc>
          <w:tcPr>
            <w:shd w:val="clear" w:fill="auto" w:color="auto"/>
            <w:tcW w:w="1192" w:type="pct"/>
            <w:textDirection w:val="lrTb"/>
            <w:noWrap w:val="false"/>
          </w:tcPr>
          <w:p>
            <w:pPr>
              <w:pStyle w:val="1005"/>
              <w:ind w:left="57" w:right="57"/>
            </w:pPr>
            <w:r>
              <w:t xml:space="preserve">Лиц. </w:t>
            </w:r>
            <w:r>
              <w:t xml:space="preserve">С</w:t>
            </w:r>
            <w:r>
              <w:t xml:space="preserve">чет</w:t>
            </w:r>
            <w:r/>
          </w:p>
        </w:tc>
        <w:tc>
          <w:tcPr>
            <w:shd w:val="clear" w:fill="auto" w:color="auto"/>
            <w:tcW w:w="3808" w:type="pct"/>
            <w:textDirection w:val="lrTb"/>
            <w:noWrap w:val="false"/>
          </w:tcPr>
          <w:p>
            <w:pPr>
              <w:pStyle w:val="1005"/>
              <w:ind w:left="57" w:right="57"/>
            </w:pPr>
            <w:r>
              <w:t xml:space="preserve">Лицевой счет получателя.</w:t>
            </w:r>
            <w:r/>
          </w:p>
          <w:p>
            <w:pPr>
              <w:pStyle w:val="1005"/>
              <w:ind w:left="57" w:right="57"/>
            </w:pPr>
            <w:r>
              <w:t xml:space="preserve">Значение вводится вручную или выбирается из справочника «Лицевые счета».</w:t>
            </w:r>
            <w:r/>
          </w:p>
        </w:tc>
      </w:tr>
      <w:tr>
        <w:trPr/>
        <w:tc>
          <w:tcPr>
            <w:shd w:val="clear" w:fill="auto" w:color="auto"/>
            <w:tcW w:w="1192" w:type="pct"/>
            <w:textDirection w:val="lrTb"/>
            <w:noWrap w:val="false"/>
          </w:tcPr>
          <w:p>
            <w:pPr>
              <w:pStyle w:val="1005"/>
              <w:ind w:left="57" w:right="57"/>
            </w:pPr>
            <w:r>
              <w:t xml:space="preserve">Код</w:t>
            </w:r>
            <w:r/>
          </w:p>
        </w:tc>
        <w:tc>
          <w:tcPr>
            <w:shd w:val="clear" w:fill="auto" w:color="auto"/>
            <w:tcW w:w="3808" w:type="pct"/>
            <w:textDirection w:val="lrTb"/>
            <w:noWrap w:val="false"/>
          </w:tcPr>
          <w:p>
            <w:pPr>
              <w:pStyle w:val="1005"/>
              <w:ind w:left="57" w:right="57"/>
            </w:pPr>
            <w:r>
              <w:t xml:space="preserve">Значение заполняется автоматически после заполнения поля «Наимен</w:t>
            </w:r>
            <w:r>
              <w:t xml:space="preserve">о</w:t>
            </w:r>
            <w:r>
              <w:t xml:space="preserve">вание (получателя платежа)». </w:t>
            </w:r>
            <w:r/>
          </w:p>
          <w:p>
            <w:pPr>
              <w:pStyle w:val="1005"/>
              <w:ind w:left="57" w:right="57"/>
            </w:pPr>
            <w:r>
              <w:t xml:space="preserve">Поле не обязательно для заполнения.</w:t>
            </w:r>
            <w:r/>
          </w:p>
          <w:p>
            <w:pPr>
              <w:pStyle w:val="1005"/>
              <w:ind w:left="57" w:right="57"/>
            </w:pPr>
            <w:r>
              <w:t xml:space="preserve">Поле скрыто для просмотра пользователям.</w:t>
            </w:r>
            <w:r/>
          </w:p>
        </w:tc>
      </w:tr>
      <w:tr>
        <w:trPr/>
        <w:tc>
          <w:tcPr>
            <w:shd w:val="clear" w:fill="auto" w:color="auto"/>
            <w:tcW w:w="1192" w:type="pct"/>
            <w:textDirection w:val="lrTb"/>
            <w:noWrap w:val="false"/>
          </w:tcPr>
          <w:p>
            <w:pPr>
              <w:pStyle w:val="1005"/>
              <w:ind w:left="57" w:right="57"/>
            </w:pPr>
            <w:r>
              <w:t xml:space="preserve">Банк.счет</w:t>
            </w:r>
            <w:r/>
          </w:p>
        </w:tc>
        <w:tc>
          <w:tcPr>
            <w:shd w:val="clear" w:fill="auto" w:color="auto"/>
            <w:tcW w:w="3808" w:type="pct"/>
            <w:textDirection w:val="lrTb"/>
            <w:noWrap w:val="false"/>
          </w:tcPr>
          <w:p>
            <w:pPr>
              <w:pStyle w:val="1005"/>
              <w:ind w:left="57" w:right="57"/>
            </w:pPr>
            <w:r>
              <w:t xml:space="preserve">Номер банковского счета получателя. </w:t>
            </w:r>
            <w:r/>
          </w:p>
          <w:p>
            <w:pPr>
              <w:pStyle w:val="1005"/>
              <w:ind w:left="57" w:right="57"/>
            </w:pPr>
            <w:r>
              <w:t xml:space="preserve">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w:t>
            </w:r>
            <w:r>
              <w:t xml:space="preserve">т</w:t>
            </w:r>
            <w:r>
              <w:t xml:space="preserve">венный счет.</w:t>
            </w:r>
            <w:r/>
          </w:p>
          <w:p>
            <w:pPr>
              <w:pStyle w:val="1005"/>
              <w:ind w:left="57" w:right="57"/>
            </w:pPr>
            <w:r>
              <w:t xml:space="preserve">В случае если </w:t>
            </w:r>
            <w:r>
              <w:t xml:space="preserve">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r/>
          </w:p>
          <w:p>
            <w:pPr>
              <w:pStyle w:val="1005"/>
              <w:ind w:left="57" w:right="57"/>
            </w:pPr>
            <w:r>
              <w:t xml:space="preserve">При вводе банковского счета вручную, осуществляется проверка на ключевание.</w:t>
            </w:r>
            <w:r/>
          </w:p>
        </w:tc>
      </w:tr>
      <w:tr>
        <w:trPr/>
        <w:tc>
          <w:tcPr>
            <w:shd w:val="clear" w:fill="auto" w:color="auto"/>
            <w:tcW w:w="1192" w:type="pct"/>
            <w:textDirection w:val="lrTb"/>
            <w:noWrap w:val="false"/>
          </w:tcPr>
          <w:p>
            <w:pPr>
              <w:pStyle w:val="1005"/>
              <w:ind w:left="57" w:right="57"/>
            </w:pPr>
            <w:r>
              <w:t xml:space="preserve">БИК/SWIFT</w:t>
            </w:r>
            <w:r/>
          </w:p>
        </w:tc>
        <w:tc>
          <w:tcPr>
            <w:shd w:val="clear" w:fill="auto" w:color="auto"/>
            <w:tcW w:w="3808" w:type="pct"/>
            <w:textDirection w:val="lrTb"/>
            <w:noWrap w:val="false"/>
          </w:tcPr>
          <w:p>
            <w:pPr>
              <w:pStyle w:val="1005"/>
              <w:ind w:left="57" w:right="57"/>
            </w:pPr>
            <w:r>
              <w:t xml:space="preserve">Код БИК/SWIFT банка, где открыт счет ОрФК. </w:t>
            </w:r>
            <w:r/>
          </w:p>
          <w:p>
            <w:pPr>
              <w:pStyle w:val="1005"/>
              <w:ind w:left="57" w:right="57"/>
            </w:pPr>
            <w:r>
              <w:t xml:space="preserve">Значение заполняется вручную или выбирается из спр</w:t>
            </w:r>
            <w:r>
              <w:t xml:space="preserve">а</w:t>
            </w:r>
            <w:r>
              <w:t xml:space="preserve">вочника Банков.</w:t>
            </w:r>
            <w:r/>
          </w:p>
          <w:p>
            <w:pPr>
              <w:pStyle w:val="1005"/>
              <w:ind w:left="57" w:right="57"/>
            </w:pPr>
            <w:r>
              <w:t xml:space="preserve">Может подтягиваться автоматически после заполнения поля «Банковский счет» из справочника «Банковские счета поставщиков» (поле «где о</w:t>
            </w:r>
            <w:r>
              <w:t xml:space="preserve">т</w:t>
            </w:r>
            <w:r>
              <w:t xml:space="preserve">крыт»).</w:t>
            </w:r>
            <w:r/>
          </w:p>
        </w:tc>
      </w:tr>
      <w:tr>
        <w:trPr/>
        <w:tc>
          <w:tcPr>
            <w:shd w:val="clear" w:fill="auto" w:color="auto"/>
            <w:tcW w:w="1192" w:type="pct"/>
            <w:textDirection w:val="lrTb"/>
            <w:noWrap w:val="false"/>
          </w:tcPr>
          <w:p>
            <w:pPr>
              <w:pStyle w:val="1005"/>
              <w:ind w:left="57" w:right="57"/>
            </w:pPr>
            <w:r>
              <w:t xml:space="preserve">Корсчет</w:t>
            </w:r>
            <w:r/>
          </w:p>
        </w:tc>
        <w:tc>
          <w:tcPr>
            <w:shd w:val="clear" w:fill="auto" w:color="auto"/>
            <w:tcW w:w="3808" w:type="pct"/>
            <w:textDirection w:val="lrTb"/>
            <w:noWrap w:val="false"/>
          </w:tcPr>
          <w:p>
            <w:pPr>
              <w:pStyle w:val="1005"/>
              <w:ind w:left="57" w:right="57"/>
            </w:pPr>
            <w:r>
              <w:t xml:space="preserve">Номер корреспондирующего счета банка. </w:t>
            </w:r>
            <w:r/>
          </w:p>
          <w:p>
            <w:pPr>
              <w:pStyle w:val="1005"/>
              <w:ind w:left="57" w:right="57"/>
            </w:pPr>
            <w:r>
              <w:t xml:space="preserve">В случае если в поле «Банк.счет» указан Казначейский счет (знач</w:t>
            </w:r>
            <w:r>
              <w:t xml:space="preserve">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r/>
          </w:p>
          <w:p>
            <w:pPr>
              <w:pStyle w:val="1005"/>
              <w:ind w:left="57" w:right="57"/>
            </w:pPr>
            <w:r>
              <w:t xml:space="preserve">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p>
          <w:p>
            <w:pPr>
              <w:pStyle w:val="1005"/>
              <w:ind w:left="57" w:right="57"/>
            </w:pPr>
            <w:r>
              <w:t xml:space="preserve">Поле открыто на редактирование.</w:t>
            </w:r>
            <w:r/>
          </w:p>
        </w:tc>
      </w:tr>
      <w:tr>
        <w:trPr/>
        <w:tc>
          <w:tcPr>
            <w:shd w:val="clear" w:fill="auto" w:color="auto"/>
            <w:tcW w:w="1192" w:type="pct"/>
            <w:textDirection w:val="lrTb"/>
            <w:noWrap w:val="false"/>
          </w:tcPr>
          <w:p>
            <w:pPr>
              <w:pStyle w:val="1005"/>
              <w:ind w:left="57" w:right="57"/>
            </w:pPr>
            <w:r>
              <w:t xml:space="preserve">Вид дохода</w:t>
            </w:r>
            <w:r/>
          </w:p>
        </w:tc>
        <w:tc>
          <w:tcPr>
            <w:shd w:val="clear" w:fill="auto" w:color="auto"/>
            <w:tcW w:w="3808" w:type="pct"/>
            <w:textDirection w:val="lrTb"/>
            <w:noWrap w:val="false"/>
          </w:tcPr>
          <w:p>
            <w:pPr>
              <w:pStyle w:val="1005"/>
              <w:ind w:left="57" w:right="57"/>
            </w:pPr>
            <w:r>
              <w:t xml:space="preserve">Код вида дохода заполняется автоматически при импорте документа.</w:t>
            </w:r>
            <w:r/>
          </w:p>
          <w:p>
            <w:pPr>
              <w:pStyle w:val="1005"/>
              <w:ind w:left="57" w:right="57"/>
            </w:pPr>
            <w:r>
              <w:t xml:space="preserve">При ручном вводе документа заполняется пользователем путем выбора из списка значений: 1, 2, 3.</w:t>
            </w:r>
            <w:r/>
          </w:p>
        </w:tc>
      </w:tr>
      <w:tr>
        <w:trPr/>
        <w:tc>
          <w:tcPr>
            <w:shd w:val="clear" w:fill="auto" w:color="auto"/>
            <w:tcW w:w="1192" w:type="pct"/>
            <w:textDirection w:val="lrTb"/>
            <w:noWrap w:val="false"/>
          </w:tcPr>
          <w:p>
            <w:pPr>
              <w:pStyle w:val="1005"/>
              <w:ind w:left="57" w:right="57"/>
            </w:pPr>
            <w:r>
              <w:t xml:space="preserve">Наим.</w:t>
            </w:r>
            <w:r>
              <w:t xml:space="preserve"> </w:t>
            </w:r>
            <w:r>
              <w:t xml:space="preserve">Б</w:t>
            </w:r>
            <w:r>
              <w:t xml:space="preserve">анка</w:t>
            </w:r>
            <w:r/>
          </w:p>
        </w:tc>
        <w:tc>
          <w:tcPr>
            <w:shd w:val="clear" w:fill="auto" w:color="auto"/>
            <w:tcW w:w="3808" w:type="pct"/>
            <w:textDirection w:val="lrTb"/>
            <w:noWrap w:val="false"/>
          </w:tcPr>
          <w:p>
            <w:pPr>
              <w:pStyle w:val="1005"/>
              <w:ind w:left="57" w:right="57"/>
            </w:pPr>
            <w:r>
              <w:t xml:space="preserve">Наименование банка получателя. </w:t>
            </w:r>
            <w:r/>
          </w:p>
          <w:p>
            <w:pPr>
              <w:pStyle w:val="1005"/>
              <w:ind w:left="57" w:right="57"/>
            </w:pPr>
            <w:r>
              <w:t xml:space="preserve">Значение подтягивается автоматически после заполнения поля «БИК/SWIFT» из справочника банков из поля Платёжное наименование банка составное.</w:t>
            </w:r>
            <w:r/>
          </w:p>
          <w:p>
            <w:pPr>
              <w:pStyle w:val="1005"/>
              <w:ind w:left="57" w:right="57"/>
            </w:pPr>
            <w:r>
              <w:t xml:space="preserve">Поле открыто на редактирование.</w:t>
            </w:r>
            <w:r/>
          </w:p>
        </w:tc>
      </w:tr>
      <w:tr>
        <w:trPr/>
        <w:tc>
          <w:tcPr>
            <w:shd w:val="clear" w:fill="auto" w:color="auto"/>
            <w:tcW w:w="1192" w:type="pct"/>
            <w:textDirection w:val="lrTb"/>
            <w:noWrap w:val="false"/>
          </w:tcPr>
          <w:p>
            <w:pPr>
              <w:pStyle w:val="1005"/>
              <w:ind w:left="57" w:right="57"/>
            </w:pPr>
            <w:r>
              <w:t xml:space="preserve">Оч.</w:t>
            </w:r>
            <w:r/>
          </w:p>
        </w:tc>
        <w:tc>
          <w:tcPr>
            <w:shd w:val="clear" w:fill="auto" w:color="auto"/>
            <w:tcW w:w="3808" w:type="pct"/>
            <w:textDirection w:val="lrTb"/>
            <w:noWrap w:val="false"/>
          </w:tcPr>
          <w:p>
            <w:pPr>
              <w:pStyle w:val="1005"/>
              <w:ind w:left="57" w:right="57"/>
            </w:pPr>
            <w:r>
              <w:t xml:space="preserve">Очередность платежа.</w:t>
            </w:r>
            <w:r/>
          </w:p>
          <w:p>
            <w:pPr>
              <w:pStyle w:val="1005"/>
              <w:ind w:left="57" w:right="57"/>
            </w:pPr>
            <w:r>
              <w:t xml:space="preserve">З</w:t>
            </w:r>
            <w:r>
              <w:t xml:space="preserve">начение по умолчанию «5». </w:t>
            </w:r>
            <w:r/>
          </w:p>
          <w:p>
            <w:pPr>
              <w:pStyle w:val="1005"/>
              <w:ind w:left="57" w:right="57"/>
            </w:pPr>
            <w:r>
              <w:t xml:space="preserve">Может быть изменено пользователем выбором из вып</w:t>
            </w:r>
            <w:r>
              <w:t xml:space="preserve">а</w:t>
            </w:r>
            <w:r>
              <w:t xml:space="preserve">дающего списка: 1, 2, 3, 4, 5.</w:t>
            </w:r>
            <w:r/>
          </w:p>
        </w:tc>
      </w:tr>
      <w:tr>
        <w:trPr/>
        <w:tc>
          <w:tcPr>
            <w:shd w:val="clear" w:fill="auto" w:color="auto"/>
            <w:tcW w:w="1192" w:type="pct"/>
            <w:textDirection w:val="lrTb"/>
            <w:noWrap w:val="false"/>
          </w:tcPr>
          <w:p>
            <w:pPr>
              <w:pStyle w:val="1005"/>
              <w:ind w:left="57" w:right="57"/>
            </w:pPr>
            <w:r>
              <w:t xml:space="preserve">Вид операции</w:t>
            </w:r>
            <w:r/>
          </w:p>
        </w:tc>
        <w:tc>
          <w:tcPr>
            <w:shd w:val="clear" w:fill="auto" w:color="auto"/>
            <w:tcW w:w="3808" w:type="pct"/>
            <w:textDirection w:val="lrTb"/>
            <w:noWrap w:val="false"/>
          </w:tcPr>
          <w:p>
            <w:pPr>
              <w:pStyle w:val="1005"/>
              <w:ind w:left="57" w:right="57"/>
            </w:pPr>
            <w:r>
              <w:t xml:space="preserve">Значение вводится вручную.</w:t>
            </w:r>
            <w:r/>
          </w:p>
        </w:tc>
      </w:tr>
      <w:tr>
        <w:trPr/>
        <w:tc>
          <w:tcPr>
            <w:shd w:val="clear" w:fill="auto" w:color="auto"/>
            <w:tcW w:w="1192" w:type="pct"/>
            <w:textDirection w:val="lrTb"/>
            <w:noWrap w:val="false"/>
          </w:tcPr>
          <w:p>
            <w:pPr>
              <w:pStyle w:val="1005"/>
              <w:ind w:left="57" w:right="57"/>
            </w:pPr>
            <w:r>
              <w:t xml:space="preserve">Срок платежа</w:t>
            </w:r>
            <w:r/>
          </w:p>
        </w:tc>
        <w:tc>
          <w:tcPr>
            <w:shd w:val="clear" w:fill="auto" w:color="auto"/>
            <w:tcW w:w="3808" w:type="pct"/>
            <w:textDirection w:val="lrTb"/>
            <w:noWrap w:val="false"/>
          </w:tcPr>
          <w:p>
            <w:pPr>
              <w:pStyle w:val="1005"/>
              <w:ind w:left="57" w:right="57"/>
            </w:pPr>
            <w:r>
              <w:t xml:space="preserve">Срок платежа.</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w:t>
            </w:r>
            <w:r>
              <w:t xml:space="preserve">», группа полей «</w:t>
            </w:r>
            <w:r>
              <w:t xml:space="preserve">Реквизиты налоговых платежей»</w:t>
            </w:r>
            <w:r/>
          </w:p>
        </w:tc>
      </w:tr>
      <w:tr>
        <w:trPr/>
        <w:tc>
          <w:tcPr>
            <w:shd w:val="clear" w:fill="auto" w:color="auto"/>
            <w:tcW w:w="1192" w:type="pct"/>
            <w:textDirection w:val="lrTb"/>
            <w:noWrap w:val="false"/>
          </w:tcPr>
          <w:p>
            <w:pPr>
              <w:pStyle w:val="1005"/>
              <w:ind w:left="57" w:right="57"/>
            </w:pPr>
            <w:r>
              <w:t xml:space="preserve">Статус</w:t>
            </w:r>
            <w:r/>
          </w:p>
        </w:tc>
        <w:tc>
          <w:tcPr>
            <w:shd w:val="clear" w:fill="auto" w:color="auto"/>
            <w:tcW w:w="3808" w:type="pct"/>
            <w:textDirection w:val="lrTb"/>
            <w:noWrap w:val="false"/>
          </w:tcPr>
          <w:p>
            <w:pPr>
              <w:pStyle w:val="1005"/>
              <w:ind w:left="57" w:right="57"/>
            </w:pPr>
            <w:r>
              <w:t xml:space="preserve">Статус юридического лица.</w:t>
            </w:r>
            <w:r/>
          </w:p>
          <w:p>
            <w:pPr>
              <w:pStyle w:val="1005"/>
              <w:ind w:left="57" w:right="57"/>
            </w:pPr>
            <w:r>
              <w:t xml:space="preserve">Значение вводится вручную или выбирается пользователем из справочника «Статусы нал</w:t>
            </w:r>
            <w:r>
              <w:t xml:space="preserve">о</w:t>
            </w:r>
            <w:r>
              <w:t xml:space="preserve">гоплательщика».</w:t>
            </w:r>
            <w:r/>
          </w:p>
        </w:tc>
      </w:tr>
      <w:tr>
        <w:trPr/>
        <w:tc>
          <w:tcPr>
            <w:shd w:val="clear" w:fill="auto" w:color="auto"/>
            <w:tcW w:w="1192" w:type="pct"/>
            <w:textDirection w:val="lrTb"/>
            <w:noWrap w:val="false"/>
          </w:tcPr>
          <w:p>
            <w:pPr>
              <w:pStyle w:val="1005"/>
              <w:ind w:left="57" w:right="57"/>
            </w:pPr>
            <w:r>
              <w:t xml:space="preserve">КБК</w:t>
            </w:r>
            <w:r/>
          </w:p>
        </w:tc>
        <w:tc>
          <w:tcPr>
            <w:shd w:val="clear" w:fill="auto" w:color="auto"/>
            <w:tcW w:w="3808" w:type="pct"/>
            <w:textDirection w:val="lrTb"/>
            <w:noWrap w:val="false"/>
          </w:tcPr>
          <w:p>
            <w:pPr>
              <w:pStyle w:val="1005"/>
              <w:ind w:left="57" w:right="57"/>
            </w:pPr>
            <w:r>
              <w:t xml:space="preserve">Код бюджетной классификации доходов (20 символов). </w:t>
            </w:r>
            <w:r/>
          </w:p>
          <w:p>
            <w:pPr>
              <w:pStyle w:val="1005"/>
              <w:ind w:left="57" w:right="57"/>
            </w:pPr>
            <w:r>
              <w:t xml:space="preserve">Значение вводится вручную или заполняется из справо</w:t>
            </w:r>
            <w:r>
              <w:t xml:space="preserve">ч</w:t>
            </w:r>
            <w:r>
              <w:t xml:space="preserve">ника КБК.</w:t>
            </w:r>
            <w:r/>
          </w:p>
        </w:tc>
      </w:tr>
      <w:tr>
        <w:trPr/>
        <w:tc>
          <w:tcPr>
            <w:shd w:val="clear" w:fill="auto" w:color="auto"/>
            <w:tcW w:w="1192" w:type="pct"/>
            <w:textDirection w:val="lrTb"/>
            <w:noWrap w:val="false"/>
          </w:tcPr>
          <w:p>
            <w:pPr>
              <w:pStyle w:val="1005"/>
              <w:ind w:left="57" w:right="57"/>
            </w:pPr>
            <w:r>
              <w:t xml:space="preserve">Код по ОКТМО</w:t>
            </w:r>
            <w:r/>
          </w:p>
        </w:tc>
        <w:tc>
          <w:tcPr>
            <w:shd w:val="clear" w:fill="auto" w:color="auto"/>
            <w:tcW w:w="3808" w:type="pct"/>
            <w:textDirection w:val="lrTb"/>
            <w:noWrap w:val="false"/>
          </w:tcPr>
          <w:p>
            <w:pPr>
              <w:pStyle w:val="1005"/>
              <w:ind w:left="57" w:right="57"/>
            </w:pPr>
            <w:r>
              <w:t xml:space="preserve">Значение вводится вручную или заполняется из справо</w:t>
            </w:r>
            <w:r>
              <w:t xml:space="preserve">ч</w:t>
            </w:r>
            <w:r>
              <w:t xml:space="preserve">ника ОКТМО.</w:t>
            </w:r>
            <w:r/>
          </w:p>
          <w:p>
            <w:pPr>
              <w:pStyle w:val="1005"/>
              <w:ind w:left="57" w:right="57"/>
            </w:pPr>
            <w:r>
              <w:t xml:space="preserve">При заполнении из справочника предлагаются на выбор только актуальные записи на дату док</w:t>
            </w:r>
            <w:r>
              <w:t xml:space="preserve">у</w:t>
            </w:r>
            <w:r>
              <w:t xml:space="preserve">мента.</w:t>
            </w:r>
            <w:r/>
          </w:p>
        </w:tc>
      </w:tr>
      <w:tr>
        <w:trPr/>
        <w:tc>
          <w:tcPr>
            <w:shd w:val="clear" w:fill="auto" w:color="auto"/>
            <w:tcW w:w="1192" w:type="pct"/>
            <w:textDirection w:val="lrTb"/>
            <w:noWrap w:val="false"/>
          </w:tcPr>
          <w:p>
            <w:pPr>
              <w:pStyle w:val="1005"/>
              <w:ind w:left="57" w:right="57"/>
            </w:pPr>
            <w:r>
              <w:t xml:space="preserve">Основание платежа</w:t>
            </w:r>
            <w:r/>
          </w:p>
        </w:tc>
        <w:tc>
          <w:tcPr>
            <w:shd w:val="clear" w:fill="auto" w:color="auto"/>
            <w:tcW w:w="3808" w:type="pct"/>
            <w:textDirection w:val="lrTb"/>
            <w:noWrap w:val="false"/>
          </w:tcPr>
          <w:p>
            <w:pPr>
              <w:pStyle w:val="1005"/>
              <w:ind w:left="57" w:right="57"/>
            </w:pPr>
            <w:r>
              <w:t xml:space="preserve">Значение вводится вручную.</w:t>
            </w:r>
            <w:r/>
          </w:p>
        </w:tc>
      </w:tr>
      <w:tr>
        <w:trPr/>
        <w:tc>
          <w:tcPr>
            <w:shd w:val="clear" w:fill="auto" w:color="auto"/>
            <w:tcW w:w="1192" w:type="pct"/>
            <w:textDirection w:val="lrTb"/>
            <w:noWrap w:val="false"/>
          </w:tcPr>
          <w:p>
            <w:pPr>
              <w:pStyle w:val="1005"/>
              <w:ind w:left="57" w:right="57"/>
            </w:pPr>
            <w:r>
              <w:t xml:space="preserve">Налоговый период</w:t>
            </w:r>
            <w:r/>
          </w:p>
        </w:tc>
        <w:tc>
          <w:tcPr>
            <w:shd w:val="clear" w:fill="auto" w:color="auto"/>
            <w:tcW w:w="3808" w:type="pct"/>
            <w:textDirection w:val="lrTb"/>
            <w:noWrap w:val="false"/>
          </w:tcPr>
          <w:p>
            <w:pPr>
              <w:pStyle w:val="1005"/>
              <w:ind w:left="57" w:right="57"/>
            </w:pPr>
            <w:r>
              <w:t xml:space="preserve">Налоговый период, за который осуществляется платеж. </w:t>
            </w:r>
            <w:r/>
          </w:p>
          <w:p>
            <w:pPr>
              <w:pStyle w:val="1005"/>
              <w:ind w:left="57" w:right="57"/>
            </w:pPr>
            <w:r>
              <w:t xml:space="preserve">Значение вводится вручную.</w:t>
            </w:r>
            <w:r/>
          </w:p>
        </w:tc>
      </w:tr>
      <w:tr>
        <w:trPr/>
        <w:tc>
          <w:tcPr>
            <w:shd w:val="clear" w:fill="auto" w:color="auto"/>
            <w:tcW w:w="1192" w:type="pct"/>
            <w:textDirection w:val="lrTb"/>
            <w:noWrap w:val="false"/>
          </w:tcPr>
          <w:p>
            <w:pPr>
              <w:pStyle w:val="1005"/>
              <w:ind w:left="57" w:right="57"/>
            </w:pPr>
            <w:r>
              <w:t xml:space="preserve">Номер документа</w:t>
            </w:r>
            <w:r/>
          </w:p>
        </w:tc>
        <w:tc>
          <w:tcPr>
            <w:shd w:val="clear" w:fill="auto" w:color="auto"/>
            <w:tcW w:w="3808" w:type="pct"/>
            <w:textDirection w:val="lrTb"/>
            <w:noWrap w:val="false"/>
          </w:tcPr>
          <w:p>
            <w:pPr>
              <w:pStyle w:val="1005"/>
              <w:ind w:left="57" w:right="57"/>
            </w:pPr>
            <w:r>
              <w:t xml:space="preserve">Значение вводится вручную.</w:t>
            </w:r>
            <w:r/>
          </w:p>
        </w:tc>
      </w:tr>
      <w:tr>
        <w:trPr/>
        <w:tc>
          <w:tcPr>
            <w:shd w:val="clear" w:fill="auto" w:color="auto"/>
            <w:tcW w:w="1192" w:type="pct"/>
            <w:textDirection w:val="lrTb"/>
            <w:noWrap w:val="false"/>
          </w:tcPr>
          <w:p>
            <w:pPr>
              <w:pStyle w:val="1005"/>
              <w:ind w:left="57" w:right="57"/>
            </w:pPr>
            <w:r>
              <w:t xml:space="preserve">Дата документа</w:t>
            </w:r>
            <w:r/>
          </w:p>
        </w:tc>
        <w:tc>
          <w:tcPr>
            <w:shd w:val="clear" w:fill="auto" w:color="auto"/>
            <w:tcW w:w="3808" w:type="pct"/>
            <w:textDirection w:val="lrTb"/>
            <w:noWrap w:val="false"/>
          </w:tcPr>
          <w:p>
            <w:pPr>
              <w:pStyle w:val="1005"/>
              <w:ind w:left="57" w:right="57"/>
            </w:pPr>
            <w:r>
              <w:t xml:space="preserve">Значение вводится вручную.</w:t>
            </w:r>
            <w:r/>
          </w:p>
        </w:tc>
      </w:tr>
      <w:tr>
        <w:trPr/>
        <w:tc>
          <w:tcPr>
            <w:shd w:val="clear" w:fill="auto" w:color="auto"/>
            <w:tcW w:w="1192" w:type="pct"/>
            <w:textDirection w:val="lrTb"/>
            <w:noWrap w:val="false"/>
          </w:tcPr>
          <w:p>
            <w:pPr>
              <w:pStyle w:val="1005"/>
              <w:ind w:left="57" w:right="57"/>
            </w:pPr>
            <w:r>
              <w:t xml:space="preserve">Тип платежа</w:t>
            </w:r>
            <w:r/>
          </w:p>
        </w:tc>
        <w:tc>
          <w:tcPr>
            <w:shd w:val="clear" w:fill="auto" w:color="auto"/>
            <w:tcW w:w="3808" w:type="pct"/>
            <w:textDirection w:val="lrTb"/>
            <w:noWrap w:val="false"/>
          </w:tcPr>
          <w:p>
            <w:pPr>
              <w:pStyle w:val="1005"/>
              <w:ind w:left="57" w:right="57"/>
            </w:pPr>
            <w:r>
              <w:t xml:space="preserve">Значение вводится вручную.</w:t>
            </w:r>
            <w:r/>
          </w:p>
        </w:tc>
      </w:tr>
      <w:tr>
        <w:trPr/>
        <w:tc>
          <w:tcPr>
            <w:shd w:val="clear" w:fill="auto" w:color="auto"/>
            <w:tcW w:w="1192" w:type="pct"/>
            <w:textDirection w:val="lrTb"/>
            <w:noWrap w:val="false"/>
          </w:tcPr>
          <w:p>
            <w:pPr>
              <w:pStyle w:val="1005"/>
              <w:ind w:left="57" w:right="57"/>
            </w:pPr>
            <w:r>
              <w:t xml:space="preserve">Код</w:t>
            </w:r>
            <w:r/>
          </w:p>
        </w:tc>
        <w:tc>
          <w:tcPr>
            <w:shd w:val="clear" w:fill="auto" w:color="auto"/>
            <w:tcW w:w="3808" w:type="pct"/>
            <w:textDirection w:val="lrTb"/>
            <w:noWrap w:val="false"/>
          </w:tcPr>
          <w:p>
            <w:pPr>
              <w:pStyle w:val="1005"/>
              <w:ind w:left="57" w:right="57"/>
            </w:pPr>
            <w:r>
              <w:t xml:space="preserve">Значение вводится вручную.</w:t>
            </w:r>
            <w:r/>
          </w:p>
        </w:tc>
      </w:tr>
      <w:tr>
        <w:trPr/>
        <w:tc>
          <w:tcPr>
            <w:shd w:val="clear" w:fill="auto" w:color="auto"/>
            <w:tcW w:w="1192" w:type="pct"/>
            <w:textDirection w:val="lrTb"/>
            <w:noWrap w:val="false"/>
          </w:tcPr>
          <w:p>
            <w:pPr>
              <w:pStyle w:val="1005"/>
              <w:ind w:left="57" w:right="57"/>
            </w:pPr>
            <w:r>
              <w:t xml:space="preserve">ИГК</w:t>
            </w:r>
            <w:r/>
          </w:p>
        </w:tc>
        <w:tc>
          <w:tcPr>
            <w:shd w:val="clear" w:fill="auto" w:color="auto"/>
            <w:tcW w:w="3808" w:type="pct"/>
            <w:textDirection w:val="lrTb"/>
            <w:noWrap w:val="false"/>
          </w:tcPr>
          <w:p>
            <w:pPr>
              <w:pStyle w:val="1005"/>
              <w:ind w:left="57" w:right="57"/>
            </w:pPr>
            <w:r>
              <w:t xml:space="preserve">Идентификатор контракта</w:t>
            </w:r>
            <w:r>
              <w:t xml:space="preserve">.</w:t>
            </w:r>
            <w:r/>
          </w:p>
          <w:p>
            <w:pPr>
              <w:pStyle w:val="1005"/>
              <w:ind w:left="57" w:right="57"/>
            </w:pPr>
            <w:r>
              <w:t xml:space="preserve">Доступно для ручного ввода.</w:t>
            </w:r>
            <w:r/>
          </w:p>
        </w:tc>
      </w:tr>
      <w:tr>
        <w:trPr/>
        <w:tc>
          <w:tcPr>
            <w:shd w:val="clear" w:fill="auto" w:color="auto"/>
            <w:tcW w:w="1192" w:type="pct"/>
            <w:textDirection w:val="lrTb"/>
            <w:noWrap w:val="false"/>
          </w:tcPr>
          <w:p>
            <w:pPr>
              <w:pStyle w:val="1005"/>
              <w:ind w:left="57" w:right="57"/>
            </w:pPr>
            <w:r>
              <w:t xml:space="preserve">Номер </w:t>
            </w:r>
            <w:r>
              <w:t xml:space="preserve">КОО</w:t>
            </w:r>
            <w:r/>
          </w:p>
        </w:tc>
        <w:tc>
          <w:tcPr>
            <w:shd w:val="clear" w:fill="auto" w:color="auto"/>
            <w:tcW w:w="3808" w:type="pct"/>
            <w:textDirection w:val="lrTb"/>
            <w:noWrap w:val="false"/>
          </w:tcPr>
          <w:p>
            <w:pPr>
              <w:pStyle w:val="1005"/>
              <w:ind w:left="57" w:right="57"/>
            </w:pPr>
            <w:r>
              <w:t xml:space="preserve">Доступно для ручного ввода.</w:t>
            </w:r>
            <w:r/>
          </w:p>
        </w:tc>
      </w:tr>
      <w:tr>
        <w:trPr/>
        <w:tc>
          <w:tcPr>
            <w:shd w:val="clear" w:fill="auto" w:color="auto"/>
            <w:tcW w:w="1192" w:type="pct"/>
            <w:textDirection w:val="lrTb"/>
            <w:noWrap w:val="false"/>
          </w:tcPr>
          <w:p>
            <w:pPr>
              <w:pStyle w:val="1005"/>
              <w:ind w:left="57" w:right="57"/>
            </w:pPr>
            <w:r>
              <w:t xml:space="preserve">ИПД</w:t>
            </w:r>
            <w:r/>
          </w:p>
        </w:tc>
        <w:tc>
          <w:tcPr>
            <w:shd w:val="clear" w:fill="auto" w:color="auto"/>
            <w:tcW w:w="3808" w:type="pct"/>
            <w:textDirection w:val="lrTb"/>
            <w:noWrap w:val="false"/>
          </w:tcPr>
          <w:p>
            <w:pPr>
              <w:pStyle w:val="1005"/>
              <w:ind w:left="57" w:right="57"/>
            </w:pPr>
            <w:r>
              <w:t xml:space="preserve">Значение вводится вручную.</w:t>
            </w:r>
            <w:r/>
          </w:p>
        </w:tc>
      </w:tr>
      <w:tr>
        <w:trPr/>
        <w:tc>
          <w:tcPr>
            <w:shd w:val="clear" w:fill="auto" w:color="auto"/>
            <w:tcW w:w="1192" w:type="pct"/>
            <w:textDirection w:val="lrTb"/>
            <w:noWrap w:val="false"/>
          </w:tcPr>
          <w:p>
            <w:pPr>
              <w:pStyle w:val="1005"/>
              <w:ind w:left="57" w:right="57"/>
            </w:pPr>
            <w:r>
              <w:t xml:space="preserve">ПРД</w:t>
            </w:r>
            <w:r/>
          </w:p>
        </w:tc>
        <w:tc>
          <w:tcPr>
            <w:shd w:val="clear" w:fill="auto" w:color="auto"/>
            <w:tcW w:w="3808" w:type="pct"/>
            <w:textDirection w:val="lrTb"/>
            <w:noWrap w:val="false"/>
          </w:tcPr>
          <w:p>
            <w:pPr>
              <w:pStyle w:val="1005"/>
              <w:ind w:left="57" w:right="57"/>
            </w:pPr>
            <w:r>
              <w:t xml:space="preserve">Значение вводится вручную.</w:t>
            </w:r>
            <w:r/>
          </w:p>
          <w:p>
            <w:pPr>
              <w:pStyle w:val="1005"/>
              <w:ind w:left="57" w:right="57"/>
            </w:pPr>
            <w:r>
              <w:t xml:space="preserve">Поле обязательно к заполнению, если заполнены поля «ЕЛС» или «ЖКУ».</w:t>
            </w:r>
            <w:r/>
          </w:p>
        </w:tc>
      </w:tr>
      <w:tr>
        <w:trPr/>
        <w:tc>
          <w:tcPr>
            <w:shd w:val="clear" w:fill="auto" w:color="auto"/>
            <w:tcW w:w="1192" w:type="pct"/>
            <w:textDirection w:val="lrTb"/>
            <w:noWrap w:val="false"/>
          </w:tcPr>
          <w:p>
            <w:pPr>
              <w:pStyle w:val="1005"/>
              <w:ind w:left="57" w:right="57"/>
            </w:pPr>
            <w:r>
              <w:t xml:space="preserve">ЕЛС</w:t>
            </w:r>
            <w:r/>
          </w:p>
        </w:tc>
        <w:tc>
          <w:tcPr>
            <w:shd w:val="clear" w:fill="auto" w:color="auto"/>
            <w:tcW w:w="3808" w:type="pct"/>
            <w:textDirection w:val="lrTb"/>
            <w:noWrap w:val="false"/>
          </w:tcPr>
          <w:p>
            <w:pPr>
              <w:pStyle w:val="1005"/>
              <w:ind w:left="57" w:right="57"/>
            </w:pPr>
            <w:r>
              <w:t xml:space="preserve">Значение вводится вручную.</w:t>
            </w:r>
            <w:r/>
          </w:p>
          <w:p>
            <w:pPr>
              <w:pStyle w:val="1005"/>
              <w:ind w:left="57" w:right="57"/>
            </w:pPr>
            <w:r>
              <w:t xml:space="preserve">Поле обязательно для заполнения, если заполнено поле «ПРД» и не заполнено поле «ЖКУ».</w:t>
            </w:r>
            <w:r/>
          </w:p>
        </w:tc>
      </w:tr>
      <w:tr>
        <w:trPr/>
        <w:tc>
          <w:tcPr>
            <w:shd w:val="clear" w:fill="auto" w:color="auto"/>
            <w:tcW w:w="1192" w:type="pct"/>
            <w:textDirection w:val="lrTb"/>
            <w:noWrap w:val="false"/>
          </w:tcPr>
          <w:p>
            <w:pPr>
              <w:pStyle w:val="1005"/>
              <w:ind w:left="57" w:right="57"/>
            </w:pPr>
            <w:r>
              <w:t xml:space="preserve">ЖКУ</w:t>
            </w:r>
            <w:r/>
          </w:p>
        </w:tc>
        <w:tc>
          <w:tcPr>
            <w:shd w:val="clear" w:fill="auto" w:color="auto"/>
            <w:tcW w:w="3808" w:type="pct"/>
            <w:textDirection w:val="lrTb"/>
            <w:noWrap w:val="false"/>
          </w:tcPr>
          <w:p>
            <w:pPr>
              <w:pStyle w:val="1005"/>
              <w:ind w:left="57" w:right="57"/>
            </w:pPr>
            <w:r>
              <w:t xml:space="preserve">Значение вводится вручную.</w:t>
            </w:r>
            <w:r/>
          </w:p>
          <w:p>
            <w:pPr>
              <w:pStyle w:val="1005"/>
              <w:ind w:left="57" w:right="57"/>
            </w:pPr>
            <w:r>
              <w:t xml:space="preserve">Поле обязательно для заполнения, если заполнено поле «ПРД» и не заполнено поле «ЕЛС».</w:t>
            </w:r>
            <w:r/>
          </w:p>
        </w:tc>
      </w:tr>
      <w:tr>
        <w:trPr/>
        <w:tc>
          <w:tcPr>
            <w:shd w:val="clear" w:fill="auto" w:color="auto"/>
            <w:tcW w:w="1192" w:type="pct"/>
            <w:textDirection w:val="lrTb"/>
            <w:noWrap w:val="false"/>
          </w:tcPr>
          <w:p>
            <w:pPr>
              <w:pStyle w:val="1005"/>
              <w:ind w:left="57" w:right="57"/>
            </w:pPr>
            <w:r>
              <w:t xml:space="preserve">Назначение платежа</w:t>
            </w:r>
            <w:r/>
          </w:p>
        </w:tc>
        <w:tc>
          <w:tcPr>
            <w:shd w:val="clear" w:fill="auto" w:color="auto"/>
            <w:tcW w:w="3808" w:type="pct"/>
            <w:textDirection w:val="lrTb"/>
            <w:noWrap w:val="false"/>
          </w:tcPr>
          <w:p>
            <w:pPr>
              <w:pStyle w:val="1005"/>
              <w:ind w:left="57" w:right="57"/>
            </w:pPr>
            <w:r>
              <w:t xml:space="preserve">Значение вводится вручную</w:t>
            </w:r>
            <w:r>
              <w:t xml:space="preserve">.</w:t>
            </w:r>
            <w:r/>
          </w:p>
        </w:tc>
      </w:tr>
    </w:tbl>
    <w:p>
      <w:pPr>
        <w:pStyle w:val="994"/>
      </w:pPr>
      <w:r>
        <w:t xml:space="preserve">ЭФ документа «Платежное поручение</w:t>
      </w:r>
      <w:r>
        <w:t xml:space="preserve">», закладки «</w:t>
      </w:r>
      <w:r>
        <w:t xml:space="preserve">Расшифровка, подписи» представлена на рисунке</w:t>
      </w:r>
      <w:r>
        <w:t xml:space="preserve"> </w:t>
      </w:r>
      <w:r>
        <w:fldChar w:fldCharType="begin"/>
      </w:r>
      <w:r>
        <w:instrText xml:space="preserve"> REF _Ref231029456 \h </w:instrText>
      </w:r>
      <w:r>
        <w:instrText xml:space="preserve"> \* MERGEFORMAT </w:instrText>
      </w:r>
      <w:r>
        <w:fldChar w:fldCharType="separate"/>
      </w:r>
      <w:r>
        <w:t xml:space="preserve">43</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2842260"/>
                <wp:effectExtent l="0" t="0" r="0" b="0"/>
                <wp:docPr id="10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08"/>
                        <a:stretch/>
                      </pic:blipFill>
                      <pic:spPr bwMode="auto">
                        <a:xfrm>
                          <a:off x="0" y="0"/>
                          <a:ext cx="6134100" cy="28422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 o:spid="_x0000_s105" type="#_x0000_t75" style="mso-wrap-distance-left:0.0pt;mso-wrap-distance-top:0.0pt;mso-wrap-distance-right:0.0pt;mso-wrap-distance-bottom:0.0pt;width:483.0pt;height:223.8pt;" stroked="f">
                <v:path textboxrect="0,0,0,0"/>
                <v:imagedata r:id="rId108" o:title=""/>
              </v:shape>
            </w:pict>
          </mc:Fallback>
        </mc:AlternateContent>
      </w:r>
      <w:r/>
    </w:p>
    <w:p>
      <w:pPr>
        <w:pStyle w:val="983"/>
      </w:pPr>
      <w:r>
        <w:fldChar w:fldCharType="begin"/>
      </w:r>
      <w:r>
        <w:instrText xml:space="preserve"> SEQ Рисунок \* ARABIC </w:instrText>
      </w:r>
      <w:r>
        <w:fldChar w:fldCharType="separate"/>
      </w:r>
      <w:bookmarkStart w:id="517" w:name="_Ref231029456"/>
      <w:r/>
      <w:bookmarkStart w:id="518" w:name="_Toc88819428"/>
      <w:r>
        <w:t xml:space="preserve">43</w:t>
      </w:r>
      <w:bookmarkEnd w:id="517"/>
      <w:r>
        <w:fldChar w:fldCharType="end"/>
      </w:r>
      <w:r>
        <w:t xml:space="preserve">. ЭФ документа «Платежное поручение</w:t>
      </w:r>
      <w:r>
        <w:t xml:space="preserve">», закладки «</w:t>
      </w:r>
      <w:r>
        <w:t xml:space="preserve">Расшифровка, подписи»</w:t>
      </w:r>
      <w:bookmarkEnd w:id="518"/>
      <w:r/>
      <w:r/>
    </w:p>
    <w:p>
      <w:pPr>
        <w:pStyle w:val="994"/>
      </w:pPr>
      <w:r/>
      <w:bookmarkStart w:id="519" w:name="_Toc393363883"/>
      <w:r/>
      <w:bookmarkStart w:id="520" w:name="_Toc249273708"/>
      <w:r/>
      <w:bookmarkStart w:id="521" w:name="_Ref295326980"/>
      <w:r/>
      <w:bookmarkStart w:id="522" w:name="_Ref314182869"/>
      <w:r/>
      <w:bookmarkStart w:id="523" w:name="_Ref317686530"/>
      <w:r/>
      <w:bookmarkStart w:id="524" w:name="_Ref318829384"/>
      <w:r/>
      <w:bookmarkStart w:id="525" w:name="_Ref354062636"/>
      <w:r/>
      <w:bookmarkStart w:id="526" w:name="_Ref359411742"/>
      <w:r/>
      <w:bookmarkStart w:id="527" w:name="_Ref371070912"/>
      <w:r/>
      <w:bookmarkStart w:id="528" w:name="_Ref372293007"/>
      <w:r/>
      <w:bookmarkStart w:id="529" w:name="_Ref374379748"/>
      <w:r/>
      <w:bookmarkStart w:id="530" w:name="_Ref377752526"/>
      <w:r/>
      <w:bookmarkStart w:id="531" w:name="_Ref378258917"/>
      <w:r/>
      <w:bookmarkStart w:id="532" w:name="_Ref381265719"/>
      <w:r/>
      <w:bookmarkStart w:id="533" w:name="_Ref383800464"/>
      <w:r/>
      <w:bookmarkStart w:id="534" w:name="_Toc422496706"/>
      <w:r/>
      <w:bookmarkStart w:id="535" w:name="_Ref438551313"/>
      <w:r/>
      <w:bookmarkStart w:id="536" w:name="_Toc225934611"/>
      <w:r/>
      <w:bookmarkStart w:id="537" w:name="_Toc232827363"/>
      <w:r/>
      <w:bookmarkEnd w:id="511"/>
      <w:r/>
      <w:bookmarkEnd w:id="519"/>
      <w:r>
        <w:t xml:space="preserve">Перечень полей документа «Платежное поручение», закладки «Расшифровка, подписи» приведен в таблице </w:t>
      </w:r>
      <w:r>
        <w:fldChar w:fldCharType="begin"/>
      </w:r>
      <w:r>
        <w:instrText xml:space="preserve"> REF _Ref370987143 \h  \* MERGEFORMAT </w:instrText>
      </w:r>
      <w:r>
        <w:fldChar w:fldCharType="separate"/>
      </w:r>
      <w:r>
        <w:t xml:space="preserve">18</w:t>
      </w:r>
      <w:r>
        <w:fldChar w:fldCharType="end"/>
      </w:r>
      <w:r>
        <w:t xml:space="preserve">.</w:t>
      </w:r>
      <w:r/>
    </w:p>
    <w:p>
      <w:pPr>
        <w:pStyle w:val="993"/>
      </w:pPr>
      <w:r>
        <w:fldChar w:fldCharType="begin"/>
      </w:r>
      <w:r>
        <w:instrText xml:space="preserve"> SEQ Таблица \* ARABIC </w:instrText>
      </w:r>
      <w:r>
        <w:fldChar w:fldCharType="separate"/>
      </w:r>
      <w:bookmarkStart w:id="538" w:name="_Ref370987143"/>
      <w:r/>
      <w:bookmarkStart w:id="539" w:name="_Toc88819204"/>
      <w:r>
        <w:t xml:space="preserve">18</w:t>
      </w:r>
      <w:bookmarkEnd w:id="538"/>
      <w:r>
        <w:fldChar w:fldCharType="end"/>
      </w:r>
      <w:r>
        <w:t xml:space="preserve">. Описание полей документа «Платежное поручение», закладки «Расшифровка, подписи»</w:t>
      </w:r>
      <w:bookmarkEnd w:id="539"/>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2577"/>
        <w:gridCol w:w="7175"/>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2577" w:type="dxa"/>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7175" w:type="dxa"/>
            <w:vAlign w:val="center"/>
            <w:textDirection w:val="lrTb"/>
            <w:noWrap w:val="false"/>
          </w:tcPr>
          <w:p>
            <w:pPr>
              <w:pStyle w:val="1006"/>
            </w:pPr>
            <w:r>
              <w:t xml:space="preserve">Описание поля</w:t>
            </w:r>
            <w:r/>
          </w:p>
        </w:tc>
      </w:tr>
      <w:tr>
        <w:trPr/>
        <w:tc>
          <w:tcPr>
            <w:gridSpan w:val="2"/>
            <w:shd w:val="clear" w:fill="auto" w:color="auto"/>
            <w:tcW w:w="9752" w:type="dxa"/>
            <w:textDirection w:val="lrTb"/>
            <w:noWrap w:val="false"/>
          </w:tcPr>
          <w:p>
            <w:pPr>
              <w:pStyle w:val="1005"/>
              <w:ind w:left="57" w:right="57"/>
            </w:pPr>
            <w:r>
              <w:t xml:space="preserve">Группа полей «Расшифровка платежного поручения» </w:t>
            </w:r>
            <w:r/>
          </w:p>
        </w:tc>
      </w:tr>
      <w:tr>
        <w:trPr/>
        <w:tc>
          <w:tcPr>
            <w:shd w:val="clear" w:fill="auto" w:color="auto"/>
            <w:tcW w:w="2577" w:type="dxa"/>
            <w:textDirection w:val="lrTb"/>
            <w:noWrap w:val="false"/>
          </w:tcPr>
          <w:p>
            <w:pPr>
              <w:pStyle w:val="1005"/>
              <w:ind w:left="57" w:right="57"/>
            </w:pPr>
            <w:r>
              <w:t xml:space="preserve">№</w:t>
            </w:r>
            <w:r/>
          </w:p>
        </w:tc>
        <w:tc>
          <w:tcPr>
            <w:shd w:val="clear" w:fill="auto" w:color="auto"/>
            <w:tcW w:w="7175" w:type="dxa"/>
            <w:textDirection w:val="lrTb"/>
            <w:noWrap w:val="false"/>
          </w:tcPr>
          <w:p>
            <w:pPr>
              <w:pStyle w:val="1005"/>
              <w:ind w:left="57" w:right="57"/>
            </w:pPr>
            <w:r>
              <w:t xml:space="preserve">Номер позиции.</w:t>
            </w:r>
            <w:r/>
          </w:p>
          <w:p>
            <w:pPr>
              <w:pStyle w:val="1005"/>
              <w:ind w:left="57" w:right="57"/>
            </w:pPr>
            <w:r>
              <w:t xml:space="preserve">Заполняется автоматически.</w:t>
            </w:r>
            <w:r/>
          </w:p>
        </w:tc>
      </w:tr>
      <w:tr>
        <w:trPr/>
        <w:tc>
          <w:tcPr>
            <w:shd w:val="clear" w:fill="auto" w:color="auto"/>
            <w:tcW w:w="2577" w:type="dxa"/>
            <w:textDirection w:val="lrTb"/>
            <w:noWrap w:val="false"/>
          </w:tcPr>
          <w:p>
            <w:pPr>
              <w:pStyle w:val="1005"/>
              <w:ind w:left="57" w:right="57"/>
            </w:pPr>
            <w:r>
              <w:t xml:space="preserve">КБК</w:t>
            </w:r>
            <w:r/>
          </w:p>
        </w:tc>
        <w:tc>
          <w:tcPr>
            <w:shd w:val="clear" w:fill="auto" w:color="auto"/>
            <w:tcW w:w="7175" w:type="dxa"/>
            <w:textDirection w:val="lrTb"/>
            <w:noWrap w:val="false"/>
          </w:tcPr>
          <w:p>
            <w:pPr>
              <w:pStyle w:val="1005"/>
              <w:ind w:left="57" w:right="57"/>
            </w:pPr>
            <w:r>
              <w:t xml:space="preserve">Код бюджетной классификации плательщика.</w:t>
            </w:r>
            <w:r/>
          </w:p>
          <w:p>
            <w:pPr>
              <w:pStyle w:val="1005"/>
              <w:ind w:left="57" w:right="57"/>
            </w:pPr>
            <w:r>
              <w:t xml:space="preserve">Значение вводится вручную или выбирается из справочника КБК, либо значение генерируется автоматически из заполненных значений по сегментам по следующим алгоритмам: </w:t>
            </w:r>
            <w:r/>
          </w:p>
          <w:p>
            <w:pPr>
              <w:pStyle w:val="1007"/>
            </w:pPr>
            <w:r>
              <w:t xml:space="preserve">ППП + ФКР + КЦСР + КВР;</w:t>
            </w:r>
            <w:r/>
          </w:p>
          <w:p>
            <w:pPr>
              <w:pStyle w:val="1007"/>
            </w:pPr>
            <w:r>
              <w:t xml:space="preserve">ППП + Вид источника.</w:t>
            </w:r>
            <w:r/>
          </w:p>
          <w:p>
            <w:pPr>
              <w:pStyle w:val="1005"/>
              <w:ind w:left="57" w:right="57"/>
            </w:pPr>
            <w:r>
              <w:t xml:space="preserve">Для АУ поле не заполняется. </w:t>
            </w:r>
            <w:r/>
          </w:p>
        </w:tc>
      </w:tr>
      <w:tr>
        <w:trPr/>
        <w:tc>
          <w:tcPr>
            <w:shd w:val="clear" w:fill="auto" w:color="auto"/>
            <w:tcW w:w="2577" w:type="dxa"/>
            <w:textDirection w:val="lrTb"/>
            <w:noWrap w:val="false"/>
          </w:tcPr>
          <w:p>
            <w:pPr>
              <w:pStyle w:val="1005"/>
              <w:ind w:left="57" w:right="57"/>
            </w:pPr>
            <w:r>
              <w:t xml:space="preserve">Код главы</w:t>
            </w:r>
            <w:r/>
          </w:p>
        </w:tc>
        <w:tc>
          <w:tcPr>
            <w:shd w:val="clear" w:fill="auto" w:color="auto"/>
            <w:tcW w:w="7175" w:type="dxa"/>
            <w:textDirection w:val="lrTb"/>
            <w:noWrap w:val="false"/>
          </w:tcPr>
          <w:p>
            <w:pPr>
              <w:pStyle w:val="1005"/>
              <w:ind w:left="57" w:right="57"/>
            </w:pPr>
            <w:r>
              <w:t xml:space="preserve">Код ведомственной структуры. </w:t>
            </w:r>
            <w:r/>
          </w:p>
          <w:p>
            <w:pPr>
              <w:pStyle w:val="1005"/>
              <w:ind w:left="57" w:right="57"/>
            </w:pPr>
            <w:r>
              <w:t xml:space="preserve">Значение вводится вручную или выбирается из справочника «Ведомства».</w:t>
            </w:r>
            <w:r/>
          </w:p>
        </w:tc>
      </w:tr>
      <w:tr>
        <w:trPr/>
        <w:tc>
          <w:tcPr>
            <w:shd w:val="clear" w:fill="auto" w:color="auto"/>
            <w:tcW w:w="2577" w:type="dxa"/>
            <w:textDirection w:val="lrTb"/>
            <w:noWrap w:val="false"/>
          </w:tcPr>
          <w:p>
            <w:pPr>
              <w:pStyle w:val="1005"/>
              <w:ind w:left="57" w:right="57"/>
            </w:pPr>
            <w:r>
              <w:t xml:space="preserve">ФКР</w:t>
            </w:r>
            <w:r/>
          </w:p>
        </w:tc>
        <w:tc>
          <w:tcPr>
            <w:shd w:val="clear" w:fill="auto" w:color="auto"/>
            <w:tcW w:w="7175" w:type="dxa"/>
            <w:textDirection w:val="lrTb"/>
            <w:noWrap w:val="false"/>
          </w:tcPr>
          <w:p>
            <w:pPr>
              <w:pStyle w:val="1005"/>
              <w:ind w:left="57" w:right="57"/>
            </w:pPr>
            <w:r>
              <w:t xml:space="preserve">Код функциональной классификации расходов. </w:t>
            </w:r>
            <w:r/>
          </w:p>
          <w:p>
            <w:pPr>
              <w:pStyle w:val="1005"/>
              <w:ind w:left="57" w:right="57"/>
            </w:pPr>
            <w:r>
              <w:t xml:space="preserve">Значение вводится вручную или выбирается из справочника разделов/подразделов (не заполняется, если заполнено поле «Вид источника»).</w:t>
            </w:r>
            <w:r/>
          </w:p>
        </w:tc>
      </w:tr>
      <w:tr>
        <w:trPr/>
        <w:tc>
          <w:tcPr>
            <w:shd w:val="clear" w:fill="auto" w:color="auto"/>
            <w:tcW w:w="2577" w:type="dxa"/>
            <w:textDirection w:val="lrTb"/>
            <w:noWrap w:val="false"/>
          </w:tcPr>
          <w:p>
            <w:pPr>
              <w:pStyle w:val="1005"/>
              <w:ind w:left="57" w:right="57"/>
            </w:pPr>
            <w:r>
              <w:t xml:space="preserve">КЦСР</w:t>
            </w:r>
            <w:r/>
          </w:p>
        </w:tc>
        <w:tc>
          <w:tcPr>
            <w:shd w:val="clear" w:fill="auto" w:color="auto"/>
            <w:tcW w:w="7175" w:type="dxa"/>
            <w:textDirection w:val="lrTb"/>
            <w:noWrap w:val="false"/>
          </w:tcPr>
          <w:p>
            <w:pPr>
              <w:pStyle w:val="1005"/>
              <w:ind w:left="57" w:right="57"/>
            </w:pPr>
            <w:r>
              <w:t xml:space="preserve">Значение вводится вручную или выбирается из справочника целевых статей (не заполняется, если заполнено поле «Вид источника»).</w:t>
            </w:r>
            <w:r/>
          </w:p>
        </w:tc>
      </w:tr>
      <w:tr>
        <w:trPr/>
        <w:tc>
          <w:tcPr>
            <w:shd w:val="clear" w:fill="auto" w:color="auto"/>
            <w:tcW w:w="2577" w:type="dxa"/>
            <w:textDirection w:val="lrTb"/>
            <w:noWrap w:val="false"/>
          </w:tcPr>
          <w:p>
            <w:pPr>
              <w:pStyle w:val="1005"/>
              <w:ind w:left="57" w:right="57"/>
            </w:pPr>
            <w:r>
              <w:t xml:space="preserve">КВР/К</w:t>
            </w:r>
            <w:r>
              <w:t xml:space="preserve">од поступлений/источников</w:t>
            </w:r>
            <w:r/>
          </w:p>
        </w:tc>
        <w:tc>
          <w:tcPr>
            <w:shd w:val="clear" w:fill="auto" w:color="auto"/>
            <w:tcW w:w="7175" w:type="dxa"/>
            <w:textDirection w:val="lrTb"/>
            <w:noWrap w:val="false"/>
          </w:tcPr>
          <w:p>
            <w:pPr>
              <w:pStyle w:val="1005"/>
              <w:ind w:left="57" w:right="57"/>
            </w:pPr>
            <w:r>
              <w:t xml:space="preserve">Значение заполняется вручную (не заполняется, если заполнено поле «Вид источника»).</w:t>
            </w:r>
            <w:r/>
          </w:p>
        </w:tc>
      </w:tr>
      <w:tr>
        <w:trPr/>
        <w:tc>
          <w:tcPr>
            <w:shd w:val="clear" w:fill="auto" w:color="auto"/>
            <w:tcW w:w="2577" w:type="dxa"/>
            <w:textDirection w:val="lrTb"/>
            <w:noWrap w:val="false"/>
          </w:tcPr>
          <w:p>
            <w:pPr>
              <w:pStyle w:val="1005"/>
              <w:ind w:left="57" w:right="57"/>
            </w:pPr>
            <w:r>
              <w:t xml:space="preserve">Вид источника</w:t>
            </w:r>
            <w:r/>
          </w:p>
        </w:tc>
        <w:tc>
          <w:tcPr>
            <w:shd w:val="clear" w:fill="auto" w:color="auto"/>
            <w:tcW w:w="7175" w:type="dxa"/>
            <w:textDirection w:val="lrTb"/>
            <w:noWrap w:val="false"/>
          </w:tcPr>
          <w:p>
            <w:pPr>
              <w:pStyle w:val="1005"/>
              <w:ind w:left="57" w:right="57"/>
            </w:pPr>
            <w:r>
              <w:t xml:space="preserve">Код бюджетной классификации источников финансирования дефицита бюджета. </w:t>
            </w:r>
            <w:r/>
          </w:p>
          <w:p>
            <w:pPr>
              <w:pStyle w:val="1005"/>
              <w:ind w:left="57" w:right="57"/>
            </w:pPr>
            <w:r>
              <w:t xml:space="preserve">Значение вводится вручную или выбирается из справочника КБК источников финансирования дефицита бюджета (не заполняется, если заполнено хотя бы одно из полей: «ФКР», «КЦСР», «КВР», «К</w:t>
            </w:r>
            <w:r>
              <w:t xml:space="preserve">од поступлений/источников</w:t>
            </w:r>
            <w:r>
              <w:t xml:space="preserve">», «Код дохода»).</w:t>
            </w:r>
            <w:r/>
          </w:p>
        </w:tc>
      </w:tr>
      <w:tr>
        <w:trPr/>
        <w:tc>
          <w:tcPr>
            <w:shd w:val="clear" w:fill="auto" w:color="auto"/>
            <w:tcW w:w="2577" w:type="dxa"/>
            <w:textDirection w:val="lrTb"/>
            <w:noWrap w:val="false"/>
          </w:tcPr>
          <w:p>
            <w:pPr>
              <w:pStyle w:val="1005"/>
              <w:ind w:left="57" w:right="57"/>
            </w:pPr>
            <w:r>
              <w:t xml:space="preserve">Код цели плательщика</w:t>
            </w:r>
            <w:r/>
          </w:p>
        </w:tc>
        <w:tc>
          <w:tcPr>
            <w:shd w:val="clear" w:fill="auto" w:color="auto"/>
            <w:tcW w:w="7175" w:type="dxa"/>
            <w:textDirection w:val="lrTb"/>
            <w:noWrap w:val="false"/>
          </w:tcPr>
          <w:p>
            <w:pPr>
              <w:pStyle w:val="1005"/>
              <w:ind w:left="57" w:right="57"/>
            </w:pPr>
            <w:r>
              <w:t xml:space="preserve">Значение кода цели может вводиться вручную или выбираться по кнопке из справочников: «Справочник кодов целей субсидий/субвенций», или из «Коды субсидий НУБП», или из «Перечень направлений расходования целевых средств» в зависимости от условий:</w:t>
            </w:r>
            <w:r/>
          </w:p>
          <w:p>
            <w:pPr>
              <w:pStyle w:val="1007"/>
            </w:pPr>
            <w:r>
              <w:t xml:space="preserve">при указании в документе л/с с кодом 41 (при наличии в допустимых показателях значения «СМТ_АВ») значение может вводиться вручную, или выбором значения из списка справочника «Перечень направлений расходования целевых средств»;</w:t>
            </w:r>
            <w:r/>
          </w:p>
          <w:p>
            <w:pPr>
              <w:pStyle w:val="1007"/>
            </w:pPr>
            <w:r>
              <w:t xml:space="preserve">при указании в документе л/с </w:t>
            </w:r>
            <w:r>
              <w:rPr>
                <w:rStyle w:val="1400"/>
                <w:lang w:val="ru-RU"/>
              </w:rPr>
              <w:t xml:space="preserve">с</w:t>
            </w:r>
            <w:r>
              <w:t xml:space="preserve"> кодом 41 (при наличии в допустимых показателях значения люб</w:t>
            </w:r>
            <w:r>
              <w:t xml:space="preserve">ого другого «СМТ», отличного от </w:t>
            </w:r>
            <w:r>
              <w:t xml:space="preserve">«СМТ_АВ») значение может вводиться вручную, или выбором значения из списка справочника «Коды субсидий НУБП»;</w:t>
            </w:r>
            <w:r/>
          </w:p>
          <w:p>
            <w:pPr>
              <w:pStyle w:val="1007"/>
            </w:pPr>
            <w:r>
              <w:t xml:space="preserve">при указании в документе л/с с кодом 41 (при наличии в допустимых показателях значения «ЦЕЛ_СРЕД_В» и отсутствия показателя «СМТ» и/или «СМТ_АВ») значение может вводиться вручную, или выбором значения из списка справочника «Коды субсидий НУБП»;</w:t>
            </w:r>
            <w:r/>
          </w:p>
          <w:p>
            <w:pPr>
              <w:pStyle w:val="1007"/>
            </w:pPr>
            <w:r>
              <w:t xml:space="preserve">в случае отсу</w:t>
            </w:r>
            <w:r>
              <w:t xml:space="preserve">тствия показателя «СМТ» и/или «СМТ_АВ» и/или «ЦЕЛ_СРЕД_В» в справочнике «Лицевые счета» по л/с с кодом 41, 30 предоставляется выбор кода цели как из справочника «Коды субсидий НУБП», так и из справочника «Перечень направлений расходования целевых средств».</w:t>
            </w:r>
            <w:r/>
          </w:p>
          <w:p>
            <w:pPr>
              <w:pStyle w:val="1005"/>
              <w:ind w:left="57" w:right="57"/>
            </w:pPr>
            <w:r>
              <w:t xml:space="preserve">Для л/с с кодом 30: код цели и наименование кода цели при необходимости выбирается из справочника «Коды субсидий НУБП».</w:t>
            </w:r>
            <w:r/>
          </w:p>
          <w:p>
            <w:pPr>
              <w:pStyle w:val="1005"/>
              <w:ind w:left="57" w:right="57"/>
            </w:pPr>
            <w:r>
              <w:t xml:space="preserve">Для л/с с кодом 02: код цели и наименование кода цели при необходимости выбирается из справочника «Справочник кодов целей субсидий/субвенций».</w:t>
            </w:r>
            <w:r/>
          </w:p>
          <w:p>
            <w:pPr>
              <w:pStyle w:val="1005"/>
              <w:ind w:left="57" w:right="57"/>
            </w:pPr>
            <w:r>
              <w:t xml:space="preserve">Для ОФК off-line заполняется вручную.</w:t>
            </w:r>
            <w:r/>
          </w:p>
        </w:tc>
      </w:tr>
      <w:tr>
        <w:trPr/>
        <w:tc>
          <w:tcPr>
            <w:shd w:val="clear" w:fill="auto" w:color="auto"/>
            <w:tcW w:w="2577" w:type="dxa"/>
            <w:textDirection w:val="lrTb"/>
            <w:noWrap w:val="false"/>
          </w:tcPr>
          <w:p>
            <w:pPr>
              <w:pStyle w:val="1005"/>
              <w:ind w:left="57" w:right="57"/>
            </w:pPr>
            <w:r>
              <w:t xml:space="preserve">Наименование</w:t>
            </w:r>
            <w:r>
              <w:t xml:space="preserve"> кода</w:t>
            </w:r>
            <w:r>
              <w:t xml:space="preserve"> цели плательщика</w:t>
            </w:r>
            <w:r/>
          </w:p>
        </w:tc>
        <w:tc>
          <w:tcPr>
            <w:shd w:val="clear" w:fill="auto" w:color="auto"/>
            <w:tcW w:w="7175" w:type="dxa"/>
            <w:textDirection w:val="lrTb"/>
            <w:noWrap w:val="false"/>
          </w:tcPr>
          <w:p>
            <w:pPr>
              <w:pStyle w:val="1005"/>
              <w:ind w:left="57" w:right="57"/>
            </w:pPr>
            <w:r>
              <w:t xml:space="preserve">Автозаполнение</w:t>
            </w:r>
            <w:r>
              <w:t xml:space="preserve"> наименования</w:t>
            </w:r>
            <w:r>
              <w:t xml:space="preserve"> для 41</w:t>
            </w:r>
            <w:r>
              <w:t xml:space="preserve">л/с</w:t>
            </w:r>
            <w:r>
              <w:t xml:space="preserve">:</w:t>
            </w:r>
            <w:r/>
          </w:p>
          <w:p>
            <w:pPr>
              <w:pStyle w:val="1007"/>
            </w:pPr>
            <w:r>
              <w:t xml:space="preserve">е</w:t>
            </w:r>
            <w:r>
              <w:t xml:space="preserve">сли на л/с с кодом 41 открыт актуальный допустимый показатель «СМТ_АВ», то при наличии кода цели выбирается наименование кода </w:t>
            </w:r>
            <w:r>
              <w:t xml:space="preserve">цели из справочника «Перечень направлений расходован</w:t>
            </w:r>
            <w:r>
              <w:t xml:space="preserve">ия ЦС»;</w:t>
            </w:r>
            <w:r/>
          </w:p>
          <w:p>
            <w:pPr>
              <w:pStyle w:val="1007"/>
            </w:pPr>
            <w:r>
              <w:t xml:space="preserve">е</w:t>
            </w:r>
            <w:r>
              <w:t xml:space="preserve">сли л/с с кодом</w:t>
            </w:r>
            <w:r>
              <w:t xml:space="preserve"> </w:t>
            </w:r>
            <w:r>
              <w:t xml:space="preserve">41 и при наличии в допустимых показателях значе</w:t>
            </w:r>
            <w:r>
              <w:t xml:space="preserve">ния любого другого «СМТ», отличного от «СМТ_АВ», или при наличии в допустимых показателях значения «ЦЕЛ_СРЕД_В» и отсутствия показателя «СМТ» и/или «СМТ_АВ»), то наименование кода цели (при наличии кода цели) выбирается из справочника «Коды субсидий НУБП».</w:t>
            </w:r>
            <w:r/>
          </w:p>
          <w:p>
            <w:pPr>
              <w:pStyle w:val="1005"/>
              <w:ind w:left="57" w:right="57"/>
            </w:pPr>
            <w:r>
              <w:t xml:space="preserve">Ручной ввод:</w:t>
            </w:r>
            <w:r/>
          </w:p>
          <w:p>
            <w:pPr>
              <w:pStyle w:val="1007"/>
            </w:pPr>
            <w:r>
              <w:t xml:space="preserve">для л/с с кодом 30 наименование кода цели выбирается из справочника «Коды субсидий НУБП»;</w:t>
            </w:r>
            <w:r/>
          </w:p>
          <w:p>
            <w:pPr>
              <w:pStyle w:val="1007"/>
            </w:pPr>
            <w:r>
              <w:t xml:space="preserve">для л/с с кодом 02 наименование кода цели выбирается из справочника «Справочника кодов целей субсидий/субвенций».</w:t>
            </w:r>
            <w:r/>
          </w:p>
        </w:tc>
      </w:tr>
      <w:tr>
        <w:trPr/>
        <w:tc>
          <w:tcPr>
            <w:shd w:val="clear" w:fill="auto" w:color="auto"/>
            <w:tcW w:w="2577" w:type="dxa"/>
            <w:textDirection w:val="lrTb"/>
            <w:noWrap w:val="false"/>
          </w:tcPr>
          <w:p>
            <w:pPr>
              <w:pStyle w:val="1005"/>
              <w:ind w:left="57" w:right="57"/>
            </w:pPr>
            <w:r>
              <w:t xml:space="preserve">Код цели получателя</w:t>
            </w:r>
            <w:r/>
          </w:p>
        </w:tc>
        <w:tc>
          <w:tcPr>
            <w:shd w:val="clear" w:fill="auto" w:color="auto"/>
            <w:tcW w:w="7175" w:type="dxa"/>
            <w:textDirection w:val="lrTb"/>
            <w:noWrap w:val="false"/>
          </w:tcPr>
          <w:p>
            <w:pPr>
              <w:pStyle w:val="1005"/>
              <w:ind w:left="57" w:right="57"/>
            </w:pPr>
            <w:r>
              <w:t xml:space="preserve">Значение кода цели может вводиться вручную или выбираться по кнопке </w:t>
            </w:r>
            <w:r>
              <w:t xml:space="preserve">из </w:t>
            </w:r>
            <w:r>
              <w:t xml:space="preserve">справочников</w:t>
            </w:r>
            <w:r>
              <w:t xml:space="preserve">:</w:t>
            </w:r>
            <w:r>
              <w:t xml:space="preserve"> «Справочник кодов целей субси</w:t>
            </w:r>
            <w:r>
              <w:t xml:space="preserve">дий/субвенций», или из </w:t>
            </w:r>
            <w:r>
              <w:t xml:space="preserve">«Коды субсидий НУБП»</w:t>
            </w:r>
            <w:r>
              <w:t xml:space="preserve">, </w:t>
            </w:r>
            <w:r>
              <w:t xml:space="preserve">или из «Перечень направлений расходования целевых средств»</w:t>
            </w:r>
            <w:r>
              <w:t xml:space="preserve">, или из </w:t>
            </w:r>
            <w:r>
              <w:t xml:space="preserve">«Перечень источников поступлений целевых средств»</w:t>
            </w:r>
            <w:r>
              <w:t xml:space="preserve"> в зависимости от усл</w:t>
            </w:r>
            <w:r>
              <w:t xml:space="preserve">о</w:t>
            </w:r>
            <w:r>
              <w:t xml:space="preserve">вий:</w:t>
            </w:r>
            <w:r/>
          </w:p>
          <w:p>
            <w:pPr>
              <w:pStyle w:val="1007"/>
            </w:pPr>
            <w:r>
              <w:t xml:space="preserve">п</w:t>
            </w:r>
            <w:r>
              <w:t xml:space="preserve">ри указании в документе л/с с кодом 41 (при наличии в д</w:t>
            </w:r>
            <w:r>
              <w:t xml:space="preserve">о</w:t>
            </w:r>
            <w:r>
              <w:t xml:space="preserve">пустимых показателях значения «СМТ_АВ»)</w:t>
            </w:r>
            <w:r>
              <w:t xml:space="preserve"> </w:t>
            </w:r>
            <w:r>
              <w:t xml:space="preserve">значение может вводиться вру</w:t>
            </w:r>
            <w:r>
              <w:t xml:space="preserve">ч</w:t>
            </w:r>
            <w:r>
              <w:t xml:space="preserve">ную</w:t>
            </w:r>
            <w:r>
              <w:t xml:space="preserve">,</w:t>
            </w:r>
            <w:r>
              <w:t xml:space="preserve"> или выбор</w:t>
            </w:r>
            <w:r>
              <w:t xml:space="preserve">ом</w:t>
            </w:r>
            <w:r>
              <w:t xml:space="preserve"> значения из списка справочник</w:t>
            </w:r>
            <w:r>
              <w:t xml:space="preserve">ов: </w:t>
            </w:r>
            <w:r>
              <w:t xml:space="preserve">«Перечень направлений расхо</w:t>
            </w:r>
            <w:r>
              <w:t xml:space="preserve">дования целевых средств», или «Коды субсидий НУБП», или «</w:t>
            </w:r>
            <w:r>
              <w:t xml:space="preserve">Перечень источников поступлений целевых средств</w:t>
            </w:r>
            <w:r>
              <w:t xml:space="preserve">»;</w:t>
            </w:r>
            <w:r/>
          </w:p>
          <w:p>
            <w:pPr>
              <w:pStyle w:val="1007"/>
            </w:pPr>
            <w:r>
              <w:t xml:space="preserve">п</w:t>
            </w:r>
            <w:r>
              <w:t xml:space="preserve">ри указании в документе л/с с кодом 41 (при наличии в д</w:t>
            </w:r>
            <w:r>
              <w:t xml:space="preserve">о</w:t>
            </w:r>
            <w:r>
              <w:t xml:space="preserve">пустимых показателях значения любого другого «СМТ», отличного от «СМТ_АВ»)</w:t>
            </w:r>
            <w:r>
              <w:t xml:space="preserve"> </w:t>
            </w:r>
            <w:r>
              <w:t xml:space="preserve">значение может вводиться вручную</w:t>
            </w:r>
            <w:r>
              <w:t xml:space="preserve">,</w:t>
            </w:r>
            <w:r>
              <w:t xml:space="preserve"> или выбор</w:t>
            </w:r>
            <w:r>
              <w:t xml:space="preserve">ом</w:t>
            </w:r>
            <w:r>
              <w:t xml:space="preserve"> знач</w:t>
            </w:r>
            <w:r>
              <w:t xml:space="preserve">е</w:t>
            </w:r>
            <w:r>
              <w:t xml:space="preserve">ния из списка справоч</w:t>
            </w:r>
            <w:r>
              <w:t xml:space="preserve">ника «Коды субсидий НУБП»;</w:t>
            </w:r>
            <w:r/>
          </w:p>
          <w:p>
            <w:pPr>
              <w:pStyle w:val="1007"/>
            </w:pPr>
            <w:r>
              <w:t xml:space="preserve">п</w:t>
            </w:r>
            <w:r>
              <w:t xml:space="preserve">ри указании в документе л/с с кодом 41 (при наличии в д</w:t>
            </w:r>
            <w:r>
              <w:t xml:space="preserve">о</w:t>
            </w:r>
            <w:r>
              <w:t xml:space="preserve">пустимых показателях значения «ЦЕЛ_СРЕД_В» и отсутствия показателя «СМТ» и/или «СМТ_АВ») значени</w:t>
            </w:r>
            <w:r>
              <w:t xml:space="preserve">е может вводиться вручную, или </w:t>
            </w:r>
            <w:r>
              <w:t xml:space="preserve">выбор</w:t>
            </w:r>
            <w:r>
              <w:t xml:space="preserve">ом</w:t>
            </w:r>
            <w:r>
              <w:t xml:space="preserve"> значения из списка сп</w:t>
            </w:r>
            <w:r>
              <w:t xml:space="preserve">равочника «Коды субсидий НУБП»;</w:t>
            </w:r>
            <w:r/>
          </w:p>
          <w:p>
            <w:pPr>
              <w:pStyle w:val="1007"/>
            </w:pPr>
            <w:r>
              <w:t xml:space="preserve">в случае отсутствия </w:t>
            </w:r>
            <w:r>
              <w:t xml:space="preserve">л/с</w:t>
            </w:r>
            <w:r>
              <w:t xml:space="preserve"> получателя</w:t>
            </w:r>
            <w:r>
              <w:t xml:space="preserve">, предоставляется выбор кода цели</w:t>
            </w:r>
            <w:r>
              <w:t xml:space="preserve"> и</w:t>
            </w:r>
            <w:r>
              <w:t xml:space="preserve">з справочник</w:t>
            </w:r>
            <w:r>
              <w:t xml:space="preserve">ов:</w:t>
            </w:r>
            <w:r>
              <w:t xml:space="preserve"> «Коды субсидий НУБП», «Перечень направлений расходования целевых средств»</w:t>
            </w:r>
            <w:r>
              <w:t xml:space="preserve">, </w:t>
            </w:r>
            <w:r>
              <w:t xml:space="preserve">«Справочник кодов целей субс</w:t>
            </w:r>
            <w:r>
              <w:t xml:space="preserve">и</w:t>
            </w:r>
            <w:r>
              <w:t xml:space="preserve">дий/субвенций» и </w:t>
            </w:r>
            <w:r>
              <w:t xml:space="preserve">«Перечень источников поступлений целевых средств»</w:t>
            </w:r>
            <w:r>
              <w:t xml:space="preserve">.</w:t>
            </w:r>
            <w:r/>
          </w:p>
          <w:p>
            <w:pPr>
              <w:pStyle w:val="1005"/>
              <w:ind w:left="57" w:right="57"/>
            </w:pPr>
            <w:r>
              <w:t xml:space="preserve">Для л/с с кодом 30</w:t>
            </w:r>
            <w:r>
              <w:t xml:space="preserve">:</w:t>
            </w:r>
            <w:r>
              <w:t xml:space="preserve"> код цели и наименование кода цели при необходим</w:t>
            </w:r>
            <w:r>
              <w:t xml:space="preserve">о</w:t>
            </w:r>
            <w:r>
              <w:t xml:space="preserve">сти выбирается из справочника «Коды су</w:t>
            </w:r>
            <w:r>
              <w:t xml:space="preserve">б</w:t>
            </w:r>
            <w:r>
              <w:t xml:space="preserve">сидий НУБП».</w:t>
            </w:r>
            <w:r/>
          </w:p>
          <w:p>
            <w:pPr>
              <w:pStyle w:val="1005"/>
              <w:ind w:left="57" w:right="57"/>
            </w:pPr>
            <w:r>
              <w:t xml:space="preserve">Д</w:t>
            </w:r>
            <w:r>
              <w:t xml:space="preserve">ля л/с с кодом 02</w:t>
            </w:r>
            <w:r>
              <w:t xml:space="preserve">:</w:t>
            </w:r>
            <w:r>
              <w:t xml:space="preserve"> код цели и наименование кода цели при необходим</w:t>
            </w:r>
            <w:r>
              <w:t xml:space="preserve">о</w:t>
            </w:r>
            <w:r>
              <w:t xml:space="preserve">сти выбирается из справочника «Справочник кодов целей субс</w:t>
            </w:r>
            <w:r>
              <w:t xml:space="preserve">и</w:t>
            </w:r>
            <w:r>
              <w:t xml:space="preserve">дий/субвенций».</w:t>
            </w:r>
            <w:r/>
          </w:p>
          <w:p>
            <w:pPr>
              <w:pStyle w:val="1005"/>
              <w:ind w:left="57" w:right="57"/>
            </w:pPr>
            <w:r>
              <w:t xml:space="preserve">Д</w:t>
            </w:r>
            <w:r>
              <w:t xml:space="preserve">ля ОФК off-line заполняется вручную.</w:t>
            </w:r>
            <w:r/>
          </w:p>
        </w:tc>
      </w:tr>
      <w:tr>
        <w:trPr/>
        <w:tc>
          <w:tcPr>
            <w:shd w:val="clear" w:fill="auto" w:color="auto"/>
            <w:tcW w:w="2577" w:type="dxa"/>
            <w:textDirection w:val="lrTb"/>
            <w:noWrap w:val="false"/>
          </w:tcPr>
          <w:p>
            <w:pPr>
              <w:pStyle w:val="1005"/>
              <w:ind w:left="57" w:right="57"/>
            </w:pPr>
            <w:r>
              <w:t xml:space="preserve">Наименование кода</w:t>
            </w:r>
            <w:r>
              <w:t xml:space="preserve"> цели получателя</w:t>
            </w:r>
            <w:r/>
          </w:p>
        </w:tc>
        <w:tc>
          <w:tcPr>
            <w:shd w:val="clear" w:fill="auto" w:color="auto"/>
            <w:tcW w:w="7175" w:type="dxa"/>
            <w:textDirection w:val="lrTb"/>
            <w:noWrap w:val="false"/>
          </w:tcPr>
          <w:p>
            <w:pPr>
              <w:pStyle w:val="1005"/>
              <w:ind w:left="57" w:right="57"/>
            </w:pPr>
            <w:r>
              <w:t xml:space="preserve">Автозаполнение </w:t>
            </w:r>
            <w:r>
              <w:t xml:space="preserve">наименования </w:t>
            </w:r>
            <w:r>
              <w:t xml:space="preserve">для 41</w:t>
            </w:r>
            <w:r>
              <w:t xml:space="preserve">л/с</w:t>
            </w:r>
            <w:r>
              <w:t xml:space="preserve">:</w:t>
            </w:r>
            <w:r/>
          </w:p>
          <w:p>
            <w:pPr>
              <w:pStyle w:val="1007"/>
            </w:pPr>
            <w:r>
              <w:t xml:space="preserve">е</w:t>
            </w:r>
            <w:r>
              <w:t xml:space="preserve">сли на л/с с кодом 41 открыт актуальный допустимый показатель «СМТ_АВ», то при наличии кода цели выбирается наименование кода цели из справочника «Перече</w:t>
            </w:r>
            <w:r>
              <w:t xml:space="preserve">нь направлений расходования ЦС»;</w:t>
            </w:r>
            <w:r/>
          </w:p>
          <w:p>
            <w:pPr>
              <w:pStyle w:val="1007"/>
            </w:pPr>
            <w:r>
              <w:t xml:space="preserve">е</w:t>
            </w:r>
            <w:r>
              <w:t xml:space="preserve">сли л/с с кодом</w:t>
            </w:r>
            <w:r>
              <w:t xml:space="preserve"> </w:t>
            </w:r>
            <w:r>
              <w:t xml:space="preserve">41 и при наличии в допустимых показ</w:t>
            </w:r>
            <w:r>
              <w:t xml:space="preserve">ателях значения любого другого «СМТ», отличного от «СМТ_АВ», или при наличии в допустимых показателях значения «ЦЕЛ_СРЕД_В» и отсутствия показателя «СМТ» и/или «СМТ_АВ»), то наименование кода цели (при наличии кода цели) выбирается из справочника «Коды суб</w:t>
            </w:r>
            <w:r>
              <w:t xml:space="preserve">сидий НУБП».</w:t>
            </w:r>
            <w:r/>
          </w:p>
          <w:p>
            <w:pPr>
              <w:pStyle w:val="1005"/>
              <w:ind w:left="57" w:right="57"/>
            </w:pPr>
            <w:r>
              <w:t xml:space="preserve">Ручной ввод:</w:t>
            </w:r>
            <w:r/>
          </w:p>
          <w:p>
            <w:pPr>
              <w:pStyle w:val="1007"/>
            </w:pPr>
            <w:r>
              <w:t xml:space="preserve">для л/с с кодом 30 наименование кода цели выбирается из справочника «Коды субсидий НУБП»;</w:t>
            </w:r>
            <w:r/>
          </w:p>
          <w:p>
            <w:pPr>
              <w:pStyle w:val="1007"/>
            </w:pPr>
            <w:r>
              <w:t xml:space="preserve">для л/с с кодом 02 наименование кода цели выбирается из справочника «Справочника кодов целей субсидий/субвенций».</w:t>
            </w:r>
            <w:r/>
          </w:p>
        </w:tc>
      </w:tr>
      <w:tr>
        <w:trPr/>
        <w:tc>
          <w:tcPr>
            <w:shd w:val="clear" w:fill="auto" w:color="auto"/>
            <w:tcW w:w="2577" w:type="dxa"/>
            <w:textDirection w:val="lrTb"/>
            <w:noWrap w:val="false"/>
          </w:tcPr>
          <w:p>
            <w:pPr>
              <w:pStyle w:val="1005"/>
              <w:ind w:left="57" w:right="57"/>
            </w:pPr>
            <w:r>
              <w:t xml:space="preserve">Сумма НДС</w:t>
            </w:r>
            <w:r/>
          </w:p>
        </w:tc>
        <w:tc>
          <w:tcPr>
            <w:shd w:val="clear" w:fill="auto" w:color="auto"/>
            <w:tcW w:w="7175" w:type="dxa"/>
            <w:textDirection w:val="lrTb"/>
            <w:noWrap w:val="false"/>
          </w:tcPr>
          <w:p>
            <w:pPr>
              <w:pStyle w:val="1005"/>
              <w:ind w:left="57" w:right="57"/>
            </w:pPr>
            <w:r>
              <w:t xml:space="preserve">Доступно для ручного ввода.</w:t>
            </w:r>
            <w:r/>
          </w:p>
        </w:tc>
      </w:tr>
      <w:tr>
        <w:trPr/>
        <w:tc>
          <w:tcPr>
            <w:shd w:val="clear" w:fill="auto" w:color="auto"/>
            <w:tcW w:w="2577" w:type="dxa"/>
            <w:textDirection w:val="lrTb"/>
            <w:noWrap w:val="false"/>
          </w:tcPr>
          <w:p>
            <w:pPr>
              <w:pStyle w:val="1005"/>
              <w:ind w:left="57" w:right="57"/>
            </w:pPr>
            <w:r>
              <w:t xml:space="preserve">Сумма</w:t>
            </w:r>
            <w:r/>
          </w:p>
        </w:tc>
        <w:tc>
          <w:tcPr>
            <w:shd w:val="clear" w:fill="auto" w:color="auto"/>
            <w:tcW w:w="7175" w:type="dxa"/>
            <w:textDirection w:val="lrTb"/>
            <w:noWrap w:val="false"/>
          </w:tcPr>
          <w:p>
            <w:pPr>
              <w:pStyle w:val="1005"/>
              <w:ind w:left="57" w:right="57"/>
            </w:pPr>
            <w:r>
              <w:t xml:space="preserve">Сумма по строке платежного поручения.</w:t>
            </w:r>
            <w:r/>
          </w:p>
          <w:p>
            <w:pPr>
              <w:pStyle w:val="1005"/>
              <w:ind w:left="57" w:right="57"/>
            </w:pPr>
            <w:r>
              <w:t xml:space="preserve">Значение вводится вручную.</w:t>
            </w:r>
            <w:r/>
          </w:p>
        </w:tc>
      </w:tr>
      <w:tr>
        <w:trPr/>
        <w:tc>
          <w:tcPr>
            <w:shd w:val="clear" w:fill="auto" w:color="auto"/>
            <w:tcW w:w="2577" w:type="dxa"/>
            <w:textDirection w:val="lrTb"/>
            <w:noWrap w:val="false"/>
          </w:tcPr>
          <w:p>
            <w:pPr>
              <w:pStyle w:val="1005"/>
              <w:ind w:left="57" w:right="57"/>
            </w:pPr>
            <w:r>
              <w:t xml:space="preserve">Итого</w:t>
            </w:r>
            <w:r/>
          </w:p>
        </w:tc>
        <w:tc>
          <w:tcPr>
            <w:shd w:val="clear" w:fill="auto" w:color="auto"/>
            <w:tcW w:w="7175" w:type="dxa"/>
            <w:textDirection w:val="lrTb"/>
            <w:noWrap w:val="false"/>
          </w:tcPr>
          <w:p>
            <w:pPr>
              <w:pStyle w:val="1005"/>
              <w:ind w:left="57" w:right="57"/>
            </w:pPr>
            <w:r>
              <w:t xml:space="preserve">Общая сумма по строкам, которая при правильном заполнении документа должна совпадать с суммой платежного поручения, указанной в поле «Сумма» на закладке «Основные атрибуты».</w:t>
            </w:r>
            <w:r/>
          </w:p>
          <w:p>
            <w:pPr>
              <w:pStyle w:val="1005"/>
              <w:ind w:left="57" w:right="57"/>
            </w:pPr>
            <w:r>
              <w:t xml:space="preserve">Значение рассчитывается автоматически как сумма всех строк.</w:t>
            </w:r>
            <w:r/>
          </w:p>
        </w:tc>
      </w:tr>
      <w:tr>
        <w:trPr/>
        <w:tc>
          <w:tcPr>
            <w:shd w:val="clear" w:fill="auto" w:color="auto"/>
            <w:tcW w:w="2577" w:type="dxa"/>
            <w:textDirection w:val="lrTb"/>
            <w:noWrap w:val="false"/>
          </w:tcPr>
          <w:p>
            <w:pPr>
              <w:pStyle w:val="1005"/>
              <w:ind w:left="57" w:right="57"/>
            </w:pPr>
            <w:r>
              <w:t xml:space="preserve">Сумма НДС, итого</w:t>
            </w:r>
            <w:r/>
          </w:p>
        </w:tc>
        <w:tc>
          <w:tcPr>
            <w:shd w:val="clear" w:fill="auto" w:color="auto"/>
            <w:tcW w:w="7175" w:type="dxa"/>
            <w:textDirection w:val="lrTb"/>
            <w:noWrap w:val="false"/>
          </w:tcPr>
          <w:p>
            <w:pPr>
              <w:pStyle w:val="1005"/>
              <w:ind w:left="57" w:right="57"/>
            </w:pPr>
            <w:r>
              <w:t xml:space="preserve">Доступно для ручного ввода.</w:t>
            </w:r>
            <w:r/>
          </w:p>
        </w:tc>
      </w:tr>
      <w:tr>
        <w:trPr/>
        <w:tc>
          <w:tcPr>
            <w:gridSpan w:val="2"/>
            <w:shd w:val="clear" w:fill="auto" w:color="auto"/>
            <w:tcW w:w="9752" w:type="dxa"/>
            <w:textDirection w:val="lrTb"/>
            <w:noWrap w:val="false"/>
          </w:tcPr>
          <w:p>
            <w:pPr>
              <w:pStyle w:val="1005"/>
              <w:ind w:left="57" w:right="57"/>
            </w:pPr>
            <w:r>
              <w:t xml:space="preserve">Группа полей «Подписи»</w:t>
            </w:r>
            <w:r/>
          </w:p>
        </w:tc>
      </w:tr>
      <w:tr>
        <w:trPr/>
        <w:tc>
          <w:tcPr>
            <w:shd w:val="clear" w:fill="auto" w:color="auto"/>
            <w:tcW w:w="2577" w:type="dxa"/>
            <w:textDirection w:val="lrTb"/>
            <w:noWrap w:val="false"/>
          </w:tcPr>
          <w:p>
            <w:pPr>
              <w:pStyle w:val="1005"/>
              <w:ind w:left="57" w:right="57"/>
            </w:pPr>
            <w:r>
              <w:t xml:space="preserve">Руководитель (уполномоченное лицо). Должность</w:t>
            </w:r>
            <w:r/>
          </w:p>
        </w:tc>
        <w:tc>
          <w:tcPr>
            <w:shd w:val="clear" w:fill="auto" w:color="auto"/>
            <w:tcW w:w="7175" w:type="dxa"/>
            <w:textDirection w:val="lrTb"/>
            <w:noWrap w:val="false"/>
          </w:tcPr>
          <w:p>
            <w:pPr>
              <w:pStyle w:val="1005"/>
              <w:ind w:left="57" w:right="57"/>
            </w:pPr>
            <w:r>
              <w:t xml:space="preserve">Наименование должности.</w:t>
            </w:r>
            <w:r/>
          </w:p>
          <w:p>
            <w:pPr>
              <w:pStyle w:val="1005"/>
              <w:ind w:left="57" w:right="57"/>
            </w:pPr>
            <w:r>
              <w:t xml:space="preserve">Выбирается из списка сотрудников, либо вводится вручную.</w:t>
            </w:r>
            <w:r/>
          </w:p>
        </w:tc>
      </w:tr>
      <w:tr>
        <w:trPr/>
        <w:tc>
          <w:tcPr>
            <w:shd w:val="clear" w:fill="auto" w:color="auto"/>
            <w:tcW w:w="2577" w:type="dxa"/>
            <w:textDirection w:val="lrTb"/>
            <w:noWrap w:val="false"/>
          </w:tcPr>
          <w:p>
            <w:pPr>
              <w:pStyle w:val="1005"/>
              <w:ind w:left="57" w:right="57"/>
            </w:pPr>
            <w:r>
              <w:t xml:space="preserve">Руководитель (уполномоченное лицо). Расшифровка подписи</w:t>
            </w:r>
            <w:r/>
          </w:p>
        </w:tc>
        <w:tc>
          <w:tcPr>
            <w:shd w:val="clear" w:fill="auto" w:color="auto"/>
            <w:tcW w:w="7175" w:type="dxa"/>
            <w:textDirection w:val="lrTb"/>
            <w:noWrap w:val="false"/>
          </w:tcPr>
          <w:p>
            <w:pPr>
              <w:pStyle w:val="1005"/>
              <w:ind w:left="57" w:right="57"/>
            </w:pPr>
            <w:r>
              <w:t xml:space="preserve">ФИО Руководителя. </w:t>
            </w:r>
            <w:r/>
          </w:p>
          <w:p>
            <w:pPr>
              <w:pStyle w:val="1005"/>
              <w:ind w:left="57" w:right="57"/>
            </w:pPr>
            <w:r>
              <w:t xml:space="preserve">Выбирается из списка сотрудников, либо вводится вручную.</w:t>
            </w:r>
            <w:r/>
          </w:p>
        </w:tc>
      </w:tr>
      <w:tr>
        <w:trPr/>
        <w:tc>
          <w:tcPr>
            <w:shd w:val="clear" w:fill="auto" w:color="auto"/>
            <w:tcW w:w="2577" w:type="dxa"/>
            <w:textDirection w:val="lrTb"/>
            <w:noWrap w:val="false"/>
          </w:tcPr>
          <w:p>
            <w:pPr>
              <w:pStyle w:val="1005"/>
              <w:ind w:left="57" w:right="57"/>
            </w:pPr>
            <w:r>
              <w:t xml:space="preserve">Главный бухгалтер (уполномоченное лицо). Должность</w:t>
            </w:r>
            <w:r/>
          </w:p>
        </w:tc>
        <w:tc>
          <w:tcPr>
            <w:shd w:val="clear" w:fill="auto" w:color="auto"/>
            <w:tcW w:w="7175" w:type="dxa"/>
            <w:textDirection w:val="lrTb"/>
            <w:noWrap w:val="false"/>
          </w:tcPr>
          <w:p>
            <w:pPr>
              <w:pStyle w:val="1005"/>
              <w:ind w:left="57" w:right="57"/>
            </w:pPr>
            <w:r>
              <w:t xml:space="preserve">Наименование должности главного бухгалтера. </w:t>
            </w:r>
            <w:r/>
          </w:p>
          <w:p>
            <w:pPr>
              <w:pStyle w:val="1005"/>
              <w:ind w:left="57" w:right="57"/>
            </w:pPr>
            <w:r>
              <w:t xml:space="preserve">Выбирается из списка сотрудников, либо вводится вручную.</w:t>
            </w:r>
            <w:r/>
          </w:p>
        </w:tc>
      </w:tr>
      <w:tr>
        <w:trPr/>
        <w:tc>
          <w:tcPr>
            <w:shd w:val="clear" w:fill="auto" w:color="auto"/>
            <w:tcW w:w="2577" w:type="dxa"/>
            <w:textDirection w:val="lrTb"/>
            <w:noWrap w:val="false"/>
          </w:tcPr>
          <w:p>
            <w:pPr>
              <w:pStyle w:val="1005"/>
              <w:ind w:left="57" w:right="57"/>
            </w:pPr>
            <w:r>
              <w:t xml:space="preserve">Главный бухгалтер (уполномоченное лицо). Расшифровка подписи</w:t>
            </w:r>
            <w:r/>
          </w:p>
        </w:tc>
        <w:tc>
          <w:tcPr>
            <w:shd w:val="clear" w:fill="auto" w:color="auto"/>
            <w:tcW w:w="7175" w:type="dxa"/>
            <w:textDirection w:val="lrTb"/>
            <w:noWrap w:val="false"/>
          </w:tcPr>
          <w:p>
            <w:pPr>
              <w:pStyle w:val="1005"/>
              <w:ind w:left="57" w:right="57"/>
            </w:pPr>
            <w:r>
              <w:t xml:space="preserve">ФИО главного бухгалтера. </w:t>
            </w:r>
            <w:r/>
          </w:p>
          <w:p>
            <w:pPr>
              <w:pStyle w:val="1005"/>
              <w:ind w:left="57" w:right="57"/>
            </w:pPr>
            <w:r>
              <w:t xml:space="preserve">Выбирается из списка сотрудников, либо вводится вручную.</w:t>
            </w:r>
            <w:r/>
          </w:p>
        </w:tc>
      </w:tr>
      <w:tr>
        <w:trPr/>
        <w:tc>
          <w:tcPr>
            <w:shd w:val="clear" w:fill="auto" w:color="auto"/>
            <w:tcW w:w="2577" w:type="dxa"/>
            <w:textDirection w:val="lrTb"/>
            <w:noWrap w:val="false"/>
          </w:tcPr>
          <w:p>
            <w:pPr>
              <w:pStyle w:val="1005"/>
              <w:ind w:left="57" w:right="57"/>
            </w:pPr>
            <w:r>
              <w:t xml:space="preserve">Дата подписания</w:t>
            </w:r>
            <w:r/>
          </w:p>
        </w:tc>
        <w:tc>
          <w:tcPr>
            <w:shd w:val="clear" w:fill="auto" w:color="auto"/>
            <w:tcW w:w="7175" w:type="dxa"/>
            <w:textDirection w:val="lrTb"/>
            <w:noWrap w:val="false"/>
          </w:tcPr>
          <w:p>
            <w:pPr>
              <w:pStyle w:val="1005"/>
              <w:ind w:left="57" w:right="57"/>
            </w:pPr>
            <w:r>
              <w:t xml:space="preserve">Дата подписания документа главным бухгалтером. </w:t>
            </w:r>
            <w:r/>
          </w:p>
          <w:p>
            <w:pPr>
              <w:pStyle w:val="1005"/>
              <w:ind w:left="57" w:right="57"/>
            </w:pPr>
            <w:r>
              <w:t xml:space="preserve">Значение вводится вручную или выбирается из системного календаря.</w:t>
            </w:r>
            <w:r/>
          </w:p>
        </w:tc>
      </w:tr>
      <w:tr>
        <w:trPr/>
        <w:tc>
          <w:tcPr>
            <w:shd w:val="clear" w:fill="auto" w:color="auto"/>
            <w:tcW w:w="2577" w:type="dxa"/>
            <w:textDirection w:val="lrTb"/>
            <w:noWrap w:val="false"/>
          </w:tcPr>
          <w:p>
            <w:pPr>
              <w:pStyle w:val="1005"/>
              <w:ind w:left="57" w:right="57"/>
            </w:pPr>
            <w:r>
              <w:t xml:space="preserve">Ответственный исполнитель. Должность</w:t>
            </w:r>
            <w:r/>
          </w:p>
        </w:tc>
        <w:tc>
          <w:tcPr>
            <w:shd w:val="clear" w:fill="auto" w:color="auto"/>
            <w:tcW w:w="7175" w:type="dxa"/>
            <w:textDirection w:val="lrTb"/>
            <w:noWrap w:val="false"/>
          </w:tcPr>
          <w:p>
            <w:pPr>
              <w:pStyle w:val="1005"/>
              <w:ind w:left="57" w:right="57"/>
            </w:pPr>
            <w:r>
              <w:t xml:space="preserve">Наименование должности ответственного исполнителя.</w:t>
            </w:r>
            <w:r/>
          </w:p>
          <w:p>
            <w:pPr>
              <w:pStyle w:val="1005"/>
              <w:ind w:left="57" w:right="57"/>
            </w:pPr>
            <w:r>
              <w:t xml:space="preserve">Поле закрыто на ввод и редактирование.</w:t>
            </w:r>
            <w:r/>
          </w:p>
        </w:tc>
      </w:tr>
      <w:tr>
        <w:trPr/>
        <w:tc>
          <w:tcPr>
            <w:shd w:val="clear" w:fill="auto" w:color="auto"/>
            <w:tcW w:w="2577" w:type="dxa"/>
            <w:textDirection w:val="lrTb"/>
            <w:noWrap w:val="false"/>
          </w:tcPr>
          <w:p>
            <w:pPr>
              <w:pStyle w:val="1005"/>
              <w:ind w:left="57" w:right="57"/>
            </w:pPr>
            <w:r>
              <w:t xml:space="preserve">Ответственный исполнитель. Расшифровка подписи</w:t>
            </w:r>
            <w:r/>
          </w:p>
        </w:tc>
        <w:tc>
          <w:tcPr>
            <w:shd w:val="clear" w:fill="auto" w:color="auto"/>
            <w:tcW w:w="7175" w:type="dxa"/>
            <w:textDirection w:val="lrTb"/>
            <w:noWrap w:val="false"/>
          </w:tcPr>
          <w:p>
            <w:pPr>
              <w:pStyle w:val="1005"/>
              <w:ind w:left="57" w:right="57"/>
            </w:pPr>
            <w:r>
              <w:t xml:space="preserve">ФИО ответственного исполнителя. </w:t>
            </w:r>
            <w:r/>
          </w:p>
          <w:p>
            <w:pPr>
              <w:pStyle w:val="1005"/>
              <w:ind w:left="57" w:right="57"/>
            </w:pPr>
            <w:r>
              <w:t xml:space="preserve">Поле закрыто на ввод и редактирование.</w:t>
            </w:r>
            <w:r/>
          </w:p>
        </w:tc>
      </w:tr>
      <w:tr>
        <w:trPr/>
        <w:tc>
          <w:tcPr>
            <w:shd w:val="clear" w:fill="auto" w:color="auto"/>
            <w:tcW w:w="2577" w:type="dxa"/>
            <w:textDirection w:val="lrTb"/>
            <w:noWrap w:val="false"/>
          </w:tcPr>
          <w:p>
            <w:pPr>
              <w:pStyle w:val="1005"/>
              <w:ind w:left="57" w:right="57"/>
            </w:pPr>
            <w:r>
              <w:t xml:space="preserve">Телефон</w:t>
            </w:r>
            <w:r/>
          </w:p>
        </w:tc>
        <w:tc>
          <w:tcPr>
            <w:shd w:val="clear" w:fill="auto" w:color="auto"/>
            <w:tcW w:w="7175" w:type="dxa"/>
            <w:textDirection w:val="lrTb"/>
            <w:noWrap w:val="false"/>
          </w:tcPr>
          <w:p>
            <w:pPr>
              <w:pStyle w:val="1005"/>
              <w:ind w:left="57" w:right="57"/>
            </w:pPr>
            <w:r>
              <w:t xml:space="preserve">Номер телефона ответственного исполнителя. </w:t>
            </w:r>
            <w:r/>
          </w:p>
          <w:p>
            <w:pPr>
              <w:pStyle w:val="1005"/>
              <w:ind w:left="57" w:right="57"/>
            </w:pPr>
            <w:r>
              <w:t xml:space="preserve">Поле закрыто на ввод и редактирование.</w:t>
            </w:r>
            <w:r/>
          </w:p>
        </w:tc>
      </w:tr>
    </w:tbl>
    <w:p>
      <w:pPr>
        <w:pStyle w:val="994"/>
      </w:pPr>
      <w:r>
        <w:t xml:space="preserve">На закладке «Расшифровка, подписи», в табличном блоке «Расшифровка платежного поручения» вводятся строки расшифровки суммы платежного поручения по БК. Для добавления строки расшифровки по БК следует нажать на кнопку </w:t>
      </w:r>
      <w:r>
        <mc:AlternateContent>
          <mc:Choice Requires="wpg">
            <w:drawing>
              <wp:inline xmlns:wp="http://schemas.openxmlformats.org/drawingml/2006/wordprocessingDrawing" distT="0" distB="0" distL="0" distR="0">
                <wp:extent cx="274320" cy="274320"/>
                <wp:effectExtent l="0" t="0" r="0" b="0"/>
                <wp:docPr id="10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 o:spid="_x0000_s106" type="#_x0000_t75" style="mso-wrap-distance-left:0.0pt;mso-wrap-distance-top:0.0pt;mso-wrap-distance-right:0.0pt;mso-wrap-distance-bottom:0.0pt;width:21.6pt;height:21.6pt;" stroked="f">
                <v:path textboxrect="0,0,0,0"/>
                <v:imagedata r:id="rId80" o:title=""/>
              </v:shape>
            </w:pict>
          </mc:Fallback>
        </mc:AlternateContent>
      </w:r>
      <w:r>
        <w:t xml:space="preserve"> (Добавить новую строку), откроется форма «Добавление записи».</w:t>
      </w:r>
      <w:r/>
    </w:p>
    <w:p>
      <w:pPr>
        <w:pStyle w:val="982"/>
      </w:pPr>
      <w:r>
        <mc:AlternateContent>
          <mc:Choice Requires="wpg">
            <w:drawing>
              <wp:inline xmlns:wp="http://schemas.openxmlformats.org/drawingml/2006/wordprocessingDrawing" distT="0" distB="0" distL="0" distR="0">
                <wp:extent cx="6134100" cy="3299460"/>
                <wp:effectExtent l="0" t="0" r="0" b="0"/>
                <wp:docPr id="10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09"/>
                        <a:stretch/>
                      </pic:blipFill>
                      <pic:spPr bwMode="auto">
                        <a:xfrm>
                          <a:off x="0" y="0"/>
                          <a:ext cx="6134100" cy="32994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 o:spid="_x0000_s107" type="#_x0000_t75" style="mso-wrap-distance-left:0.0pt;mso-wrap-distance-top:0.0pt;mso-wrap-distance-right:0.0pt;mso-wrap-distance-bottom:0.0pt;width:483.0pt;height:259.8pt;" stroked="f">
                <v:path textboxrect="0,0,0,0"/>
                <v:imagedata r:id="rId109" o:title=""/>
              </v:shape>
            </w:pict>
          </mc:Fallback>
        </mc:AlternateContent>
      </w:r>
      <w:r/>
    </w:p>
    <w:p>
      <w:pPr>
        <w:pStyle w:val="983"/>
      </w:pPr>
      <w:r>
        <w:fldChar w:fldCharType="begin"/>
      </w:r>
      <w:r>
        <w:instrText xml:space="preserve"> SEQ Рисунок \* ARABIC </w:instrText>
      </w:r>
      <w:r>
        <w:fldChar w:fldCharType="separate"/>
      </w:r>
      <w:bookmarkStart w:id="540" w:name="_Ref239190617"/>
      <w:r/>
      <w:bookmarkStart w:id="541" w:name="_Toc88819429"/>
      <w:r>
        <w:t xml:space="preserve">44</w:t>
      </w:r>
      <w:bookmarkEnd w:id="540"/>
      <w:r>
        <w:fldChar w:fldCharType="end"/>
      </w:r>
      <w:r>
        <w:t xml:space="preserve">. Форма «Добавление записи»</w:t>
      </w:r>
      <w:bookmarkEnd w:id="541"/>
      <w:r/>
      <w:r/>
    </w:p>
    <w:p>
      <w:pPr>
        <w:pStyle w:val="994"/>
      </w:pPr>
      <w:r>
        <w:t xml:space="preserve">На форме «Добавление записи» заполняются поля, приведенные в таблице </w:t>
      </w:r>
      <w:r>
        <w:fldChar w:fldCharType="begin"/>
      </w:r>
      <w:r>
        <w:instrText xml:space="preserve"> REF _Ref370987143 \h  \* MERGEFORMAT </w:instrText>
      </w:r>
      <w:r>
        <w:fldChar w:fldCharType="separate"/>
      </w:r>
      <w:r>
        <w:t xml:space="preserve">18</w:t>
      </w:r>
      <w:r>
        <w:fldChar w:fldCharType="end"/>
      </w:r>
      <w:r>
        <w:t xml:space="preserve">.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p>
    <w:p>
      <w:pPr>
        <w:pStyle w:val="972"/>
      </w:pPr>
      <w:r/>
      <w:bookmarkStart w:id="542" w:name="_Ref482629311"/>
      <w:r/>
      <w:bookmarkStart w:id="543" w:name="_Ref482629405"/>
      <w:r/>
      <w:bookmarkStart w:id="544" w:name="_Toc88819103"/>
      <w:r>
        <w:t xml:space="preserve">Пакет платежных поручений</w:t>
      </w:r>
      <w:bookmarkEnd w:id="520"/>
      <w:r/>
      <w:bookmarkEnd w:id="521"/>
      <w:r/>
      <w:bookmarkEnd w:id="522"/>
      <w:r/>
      <w:bookmarkEnd w:id="523"/>
      <w:r/>
      <w:bookmarkEnd w:id="524"/>
      <w:r/>
      <w:bookmarkEnd w:id="525"/>
      <w:r/>
      <w:bookmarkEnd w:id="526"/>
      <w:r/>
      <w:bookmarkEnd w:id="527"/>
      <w:r/>
      <w:bookmarkEnd w:id="528"/>
      <w:r/>
      <w:bookmarkEnd w:id="529"/>
      <w:r/>
      <w:bookmarkEnd w:id="530"/>
      <w:r/>
      <w:bookmarkEnd w:id="531"/>
      <w:r/>
      <w:bookmarkEnd w:id="532"/>
      <w:r/>
      <w:bookmarkEnd w:id="533"/>
      <w:r/>
      <w:bookmarkEnd w:id="534"/>
      <w:r/>
      <w:bookmarkEnd w:id="535"/>
      <w:r/>
      <w:bookmarkEnd w:id="542"/>
      <w:r/>
      <w:bookmarkEnd w:id="543"/>
      <w:r/>
      <w:bookmarkEnd w:id="544"/>
      <w:r/>
      <w:r/>
    </w:p>
    <w:p>
      <w:pPr>
        <w:pStyle w:val="994"/>
      </w:pPr>
      <w:r>
        <w:t xml:space="preserve">В местных бюджетах и бюджетах субъектов при схеме с открытием лицевых счетов УБП в ФО финансовый орган присылает в орган ФК пакет платежных поручений (платежное поручение).</w:t>
      </w:r>
      <w:r/>
    </w:p>
    <w:p>
      <w:pPr>
        <w:pStyle w:val="994"/>
      </w:pPr>
      <w:r>
        <w:t xml:space="preserve">Пакет платежных поручений представляет собой набор платежных поручений, который передается от ФО в УФК, где открыт лицевой счет ФО.</w:t>
      </w:r>
      <w:r/>
    </w:p>
    <w:p>
      <w:pPr>
        <w:pStyle w:val="996"/>
      </w:pPr>
      <w:r>
        <w:rPr>
          <w:rStyle w:val="1001"/>
        </w:rPr>
        <w:t xml:space="preserve">Примечание.</w:t>
      </w:r>
      <w:r>
        <w:tab/>
        <w:t xml:space="preserve">В </w:t>
      </w:r>
      <w:r>
        <w:t xml:space="preserve">ППО СУФД АСФК</w:t>
      </w:r>
      <w:r>
        <w:t xml:space="preserve"> реализована возможность ручного ввода и импорта пакетов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r/>
    </w:p>
    <w:p>
      <w:pPr>
        <w:pStyle w:val="994"/>
      </w:pPr>
      <w:r>
        <w:t xml:space="preserve">Ввод документа может осуществляться на АРМ ФО и доставляться на АРМ ОФК и в оперзале ОФК (на АРМ ОФК вручную с бумажного документа).</w:t>
      </w:r>
      <w:r/>
    </w:p>
    <w:p>
      <w:pPr>
        <w:pStyle w:val="994"/>
      </w:pPr>
      <w:r>
        <w:t xml:space="preserve">Возможен просмотр и печать отдельных ЭД «Платежное поручение» (ЗПП) в составе пакета ПП (ПФО). Операция создания ЗПП из ПФО отрабатывается после проведения операции «Документарный контроль» (Бизнес статус 001</w:t>
      </w:r>
      <w:r>
        <w:t xml:space="preserve"> – </w:t>
      </w:r>
      <w:r>
        <w:t xml:space="preserve">Введено). Информация в ЗПП подтягивается из строк с ПП из родительского пакета ПП. При этом, в создаваемых ЗПП необходимо дозаполн</w:t>
      </w:r>
      <w:r>
        <w:t xml:space="preserve">и</w:t>
      </w:r>
      <w:r>
        <w:t xml:space="preserve">ть некоторые поля из родительского пакета.</w:t>
      </w:r>
      <w:r/>
    </w:p>
    <w:p>
      <w:pPr>
        <w:pStyle w:val="994"/>
      </w:pPr>
      <w:r>
        <w:t xml:space="preserve">Для работы с документами «Пакет платежных поручений» следует перейти в пункт меню «Документы – Регистрация и учет обязательств – Заявки на платеж – Пакет плате</w:t>
      </w:r>
      <w:r>
        <w:t xml:space="preserve">ж</w:t>
      </w:r>
      <w:r>
        <w:t xml:space="preserve">ных поручений». Откроется ЭФ списка документов, представленная на рисунке </w:t>
      </w:r>
      <w:r>
        <w:fldChar w:fldCharType="begin"/>
      </w:r>
      <w:r>
        <w:instrText xml:space="preserve"> REF _Ref239181443 \h  \* MERGEFORMAT </w:instrText>
      </w:r>
      <w:r>
        <w:fldChar w:fldCharType="separate"/>
      </w:r>
      <w:r>
        <w:t xml:space="preserve">45</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926080"/>
                <wp:effectExtent l="0" t="0" r="0" b="0"/>
                <wp:docPr id="10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10"/>
                        <a:stretch/>
                      </pic:blipFill>
                      <pic:spPr bwMode="auto">
                        <a:xfrm>
                          <a:off x="0" y="0"/>
                          <a:ext cx="6126480" cy="29260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 o:spid="_x0000_s108" type="#_x0000_t75" style="mso-wrap-distance-left:0.0pt;mso-wrap-distance-top:0.0pt;mso-wrap-distance-right:0.0pt;mso-wrap-distance-bottom:0.0pt;width:482.4pt;height:230.4pt;" stroked="f">
                <v:path textboxrect="0,0,0,0"/>
                <v:imagedata r:id="rId110" o:title=""/>
              </v:shape>
            </w:pict>
          </mc:Fallback>
        </mc:AlternateContent>
      </w:r>
      <w:r/>
    </w:p>
    <w:p>
      <w:pPr>
        <w:pStyle w:val="983"/>
      </w:pPr>
      <w:r>
        <w:fldChar w:fldCharType="begin"/>
      </w:r>
      <w:r>
        <w:instrText xml:space="preserve"> SEQ Рисунок \* ARABIC </w:instrText>
      </w:r>
      <w:r>
        <w:fldChar w:fldCharType="separate"/>
      </w:r>
      <w:bookmarkStart w:id="545" w:name="_Ref239181443"/>
      <w:r/>
      <w:bookmarkStart w:id="546" w:name="_Toc88819430"/>
      <w:r>
        <w:t xml:space="preserve">45</w:t>
      </w:r>
      <w:bookmarkEnd w:id="545"/>
      <w:r>
        <w:fldChar w:fldCharType="end"/>
      </w:r>
      <w:r>
        <w:t xml:space="preserve">. ЭФ списка документов «Пакет платежных поручений»</w:t>
      </w:r>
      <w:bookmarkEnd w:id="546"/>
      <w:r/>
      <w:r/>
    </w:p>
    <w:p>
      <w:pPr>
        <w:pStyle w:val="973"/>
      </w:pPr>
      <w:r>
        <w:t xml:space="preserve">Доступные операции</w:t>
      </w:r>
      <w:r/>
    </w:p>
    <w:p>
      <w:pPr>
        <w:pStyle w:val="994"/>
      </w:pPr>
      <w:r>
        <w:t xml:space="preserve">На АРМ ФО доступны следующие операции над документом:</w:t>
      </w:r>
      <w:r/>
    </w:p>
    <w:p>
      <w:pPr>
        <w:pStyle w:val="985"/>
      </w:pPr>
      <w:r>
        <w:t xml:space="preserve">ввод вручную;</w:t>
      </w:r>
      <w:r/>
    </w:p>
    <w:p>
      <w:pPr>
        <w:pStyle w:val="985"/>
      </w:pPr>
      <w:r>
        <w:t xml:space="preserve">импорт из внешней системы;</w:t>
      </w:r>
      <w:r/>
    </w:p>
    <w:p>
      <w:pPr>
        <w:pStyle w:val="985"/>
      </w:pPr>
      <w:r>
        <w:t xml:space="preserve">документарный контроль;</w:t>
      </w:r>
      <w:r/>
    </w:p>
    <w:p>
      <w:pPr>
        <w:pStyle w:val="985"/>
      </w:pPr>
      <w:r>
        <w:t xml:space="preserve">просмотр и редактирование;</w:t>
      </w:r>
      <w:r/>
    </w:p>
    <w:p>
      <w:pPr>
        <w:pStyle w:val="985"/>
      </w:pPr>
      <w:r>
        <w:t xml:space="preserve">удаление;</w:t>
      </w:r>
      <w:r/>
    </w:p>
    <w:p>
      <w:pPr>
        <w:pStyle w:val="985"/>
      </w:pPr>
      <w:r>
        <w:t xml:space="preserve">подписание</w:t>
      </w:r>
      <w:r>
        <w:t xml:space="preserve">, просмотр и снятие</w:t>
      </w:r>
      <w:r>
        <w:t xml:space="preserve"> </w:t>
      </w:r>
      <w:r>
        <w:t xml:space="preserve">ЭП</w:t>
      </w:r>
      <w:r>
        <w:t xml:space="preserve">;</w:t>
      </w:r>
      <w:r/>
    </w:p>
    <w:p>
      <w:pPr>
        <w:pStyle w:val="985"/>
      </w:pPr>
      <w:r>
        <w:t xml:space="preserve">печать;</w:t>
      </w:r>
      <w:r/>
    </w:p>
    <w:p>
      <w:pPr>
        <w:pStyle w:val="985"/>
      </w:pPr>
      <w:r>
        <w:t xml:space="preserve">отправка в УФК.</w:t>
      </w:r>
      <w:r/>
    </w:p>
    <w:p>
      <w:pPr>
        <w:pStyle w:val="973"/>
      </w:pPr>
      <w:r/>
      <w:bookmarkStart w:id="547" w:name="_Экранная_форма_документа_6"/>
      <w:r/>
      <w:bookmarkEnd w:id="547"/>
      <w:r>
        <w:t xml:space="preserve">Экранная форма документа</w:t>
      </w:r>
      <w:r/>
    </w:p>
    <w:p>
      <w:pPr>
        <w:pStyle w:val="994"/>
      </w:pPr>
      <w:r/>
      <w:bookmarkStart w:id="548" w:name="_Toc249273709"/>
      <w:r>
        <w:t xml:space="preserve">ЭФ документа «Пакет платежных поручений» представлены на рисунках </w:t>
      </w:r>
      <w:r>
        <w:fldChar w:fldCharType="begin"/>
      </w:r>
      <w:r>
        <w:instrText xml:space="preserve"> REF _Ref239181836 \h  \* MERGEFORMAT </w:instrText>
      </w:r>
      <w:r>
        <w:fldChar w:fldCharType="separate"/>
      </w:r>
      <w:r>
        <w:t xml:space="preserve">46</w:t>
      </w:r>
      <w:r>
        <w:fldChar w:fldCharType="end"/>
      </w:r>
      <w:r>
        <w:t xml:space="preserve">, </w:t>
      </w:r>
      <w:r>
        <w:fldChar w:fldCharType="begin"/>
      </w:r>
      <w:r>
        <w:instrText xml:space="preserve"> REF _Ref239188737 \h </w:instrText>
      </w:r>
      <w:r>
        <w:instrText xml:space="preserve"> \* MERGEFORMAT </w:instrText>
      </w:r>
      <w:r>
        <w:fldChar w:fldCharType="separate"/>
      </w:r>
      <w:r>
        <w:t xml:space="preserve">47</w:t>
      </w:r>
      <w:r>
        <w:fldChar w:fldCharType="end"/>
      </w:r>
      <w:r>
        <w:t xml:space="preserve"> и </w:t>
      </w:r>
      <w:r>
        <w:fldChar w:fldCharType="begin"/>
      </w:r>
      <w:r>
        <w:instrText xml:space="preserve"> REF _Ref239190157 \h </w:instrText>
      </w:r>
      <w:r>
        <w:instrText xml:space="preserve"> \* MERGEFORMAT </w:instrText>
      </w:r>
      <w:r>
        <w:fldChar w:fldCharType="separate"/>
      </w:r>
      <w:r>
        <w:t xml:space="preserve">49</w:t>
      </w:r>
      <w:r>
        <w:fldChar w:fldCharType="end"/>
      </w:r>
      <w:r>
        <w:t xml:space="preserve">. </w:t>
      </w:r>
      <w:r>
        <w:t xml:space="preserve">Форма</w:t>
      </w:r>
      <w:r>
        <w:t xml:space="preserve"> содержит следующие закладки:</w:t>
      </w:r>
      <w:r/>
    </w:p>
    <w:p>
      <w:pPr>
        <w:pStyle w:val="985"/>
      </w:pPr>
      <w:r>
        <w:t xml:space="preserve">«Документ (1)»:</w:t>
      </w:r>
      <w:r/>
    </w:p>
    <w:p>
      <w:pPr>
        <w:pStyle w:val="986"/>
      </w:pPr>
      <w:r>
        <w:t xml:space="preserve">«Основные атрибуты»;</w:t>
      </w:r>
      <w:r/>
    </w:p>
    <w:p>
      <w:pPr>
        <w:pStyle w:val="986"/>
      </w:pPr>
      <w:r>
        <w:t xml:space="preserve">«БК и налоговые показатели»;</w:t>
      </w:r>
      <w:r/>
    </w:p>
    <w:p>
      <w:pPr>
        <w:pStyle w:val="985"/>
      </w:pPr>
      <w:r>
        <w:t xml:space="preserve">«Дополнительные атрибуты (2)»;</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5669280" cy="6766560"/>
                <wp:effectExtent l="0" t="0" r="0" b="0"/>
                <wp:docPr id="11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11"/>
                        <a:stretch/>
                      </pic:blipFill>
                      <pic:spPr bwMode="auto">
                        <a:xfrm>
                          <a:off x="0" y="0"/>
                          <a:ext cx="5669280" cy="67665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 o:spid="_x0000_s109" type="#_x0000_t75" style="mso-wrap-distance-left:0.0pt;mso-wrap-distance-top:0.0pt;mso-wrap-distance-right:0.0pt;mso-wrap-distance-bottom:0.0pt;width:446.4pt;height:532.8pt;" stroked="f">
                <v:path textboxrect="0,0,0,0"/>
                <v:imagedata r:id="rId111" o:title=""/>
              </v:shape>
            </w:pict>
          </mc:Fallback>
        </mc:AlternateContent>
      </w:r>
      <w:r/>
    </w:p>
    <w:p>
      <w:pPr>
        <w:pStyle w:val="983"/>
      </w:pPr>
      <w:r>
        <w:fldChar w:fldCharType="begin"/>
      </w:r>
      <w:r>
        <w:instrText xml:space="preserve"> SEQ Рисунок \* ARABIC </w:instrText>
      </w:r>
      <w:r>
        <w:fldChar w:fldCharType="separate"/>
      </w:r>
      <w:bookmarkStart w:id="549" w:name="_Ref239181836"/>
      <w:r/>
      <w:bookmarkStart w:id="550" w:name="_Toc88819431"/>
      <w:r>
        <w:t xml:space="preserve">46</w:t>
      </w:r>
      <w:bookmarkEnd w:id="549"/>
      <w:r>
        <w:fldChar w:fldCharType="end"/>
      </w:r>
      <w:r>
        <w:t xml:space="preserve">. ЭФ документа «Пакет платежных поручений</w:t>
      </w:r>
      <w:r>
        <w:t xml:space="preserve">», закладки «</w:t>
      </w:r>
      <w:r>
        <w:t xml:space="preserve">Документ (1)», вкладки «Основные атрибуты»</w:t>
      </w:r>
      <w:bookmarkEnd w:id="550"/>
      <w:r/>
      <w:r/>
    </w:p>
    <w:p>
      <w:pPr>
        <w:pStyle w:val="994"/>
      </w:pPr>
      <w:r>
        <w:t xml:space="preserve">При импорте документа из внешней системы поля документа автоматическ</w:t>
      </w:r>
      <w:r>
        <w:t xml:space="preserve">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r/>
    </w:p>
    <w:p>
      <w:pPr>
        <w:pStyle w:val="994"/>
      </w:pPr>
      <w:r>
        <w:t xml:space="preserve">Перечень полей </w:t>
      </w:r>
      <w:r>
        <w:t xml:space="preserve">документа «Пакет платежных поручений», закладки «</w:t>
      </w:r>
      <w:r>
        <w:t xml:space="preserve">Документ (1)», вкладки «Основные атрибуты»</w:t>
      </w:r>
      <w:r>
        <w:t xml:space="preserve"> </w:t>
      </w:r>
      <w:r>
        <w:t xml:space="preserve">приведен в</w:t>
      </w:r>
      <w:r>
        <w:t xml:space="preserve"> </w:t>
      </w:r>
      <w:r>
        <w:t xml:space="preserve">таблице </w:t>
      </w:r>
      <w:r>
        <w:fldChar w:fldCharType="begin"/>
      </w:r>
      <w:r>
        <w:instrText xml:space="preserve"> REF _Ref317670550 \h  \* MERGEFORMAT </w:instrText>
      </w:r>
      <w:r>
        <w:fldChar w:fldCharType="separate"/>
      </w:r>
      <w:r>
        <w:t xml:space="preserve">19</w:t>
      </w:r>
      <w:r>
        <w:fldChar w:fldCharType="end"/>
      </w:r>
      <w:r>
        <w:t xml:space="preserve">.</w:t>
      </w:r>
      <w:r/>
    </w:p>
    <w:p>
      <w:pPr>
        <w:pStyle w:val="993"/>
      </w:pPr>
      <w:r>
        <w:fldChar w:fldCharType="begin"/>
      </w:r>
      <w:r>
        <w:instrText xml:space="preserve"> SEQ Таблица \* ARABIC </w:instrText>
      </w:r>
      <w:r>
        <w:fldChar w:fldCharType="separate"/>
      </w:r>
      <w:bookmarkStart w:id="551" w:name="_Ref317670550"/>
      <w:r/>
      <w:bookmarkStart w:id="552" w:name="_Toc88819205"/>
      <w:r>
        <w:t xml:space="preserve">19</w:t>
      </w:r>
      <w:bookmarkEnd w:id="551"/>
      <w:r>
        <w:fldChar w:fldCharType="end"/>
      </w:r>
      <w:r>
        <w:t xml:space="preserve">. Описание полей документа </w:t>
      </w:r>
      <w:r>
        <w:t xml:space="preserve">«</w:t>
      </w:r>
      <w:r>
        <w:t xml:space="preserve">Пакет платежных поручений</w:t>
      </w:r>
      <w:r>
        <w:t xml:space="preserve">», закладки «</w:t>
      </w:r>
      <w:r>
        <w:t xml:space="preserve">Документ (1)</w:t>
      </w:r>
      <w:r>
        <w:t xml:space="preserve">», вкладки «</w:t>
      </w:r>
      <w:r>
        <w:t xml:space="preserve">Основные атрибуты»</w:t>
      </w:r>
      <w:bookmarkEnd w:id="552"/>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18"/>
        <w:gridCol w:w="7534"/>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137" w:type="pct"/>
            <w:vAlign w:val="center"/>
            <w:textDirection w:val="lrTb"/>
            <w:noWrap w:val="false"/>
          </w:tcPr>
          <w:p>
            <w:pPr>
              <w:pStyle w:val="1006"/>
            </w:pPr>
            <w:r>
              <w:t xml:space="preserve">Наименование </w:t>
            </w:r>
            <w:r>
              <w:t xml:space="preserve">поля</w:t>
            </w:r>
            <w:r/>
          </w:p>
        </w:tc>
        <w:tc>
          <w:tcPr>
            <w:shd w:val="clear" w:fill="E6E6E6" w:color="auto"/>
            <w:tcBorders>
              <w:left w:val="single" w:sz="4" w:space="0" w:color="auto"/>
              <w:top w:val="single" w:sz="4" w:space="0" w:color="auto"/>
              <w:right w:val="single" w:sz="4" w:space="0" w:color="auto"/>
              <w:bottom w:val="single" w:sz="4" w:space="0" w:color="auto"/>
            </w:tcBorders>
            <w:tcW w:w="3863"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З</w:t>
            </w:r>
            <w:r>
              <w:t xml:space="preserve">а</w:t>
            </w:r>
            <w:r>
              <w:t xml:space="preserve">кладка </w:t>
            </w:r>
            <w:r>
              <w:t xml:space="preserve">«</w:t>
            </w:r>
            <w:r>
              <w:t xml:space="preserve">Документ (1)</w:t>
            </w:r>
            <w:r>
              <w:t xml:space="preserve">»</w:t>
            </w:r>
            <w:r/>
          </w:p>
        </w:tc>
      </w:tr>
      <w:tr>
        <w:trPr/>
        <w:tc>
          <w:tcPr>
            <w:shd w:val="clear" w:fill="auto" w:color="auto"/>
            <w:tcW w:w="1137" w:type="pct"/>
            <w:textDirection w:val="lrTb"/>
            <w:noWrap w:val="false"/>
          </w:tcPr>
          <w:p>
            <w:pPr>
              <w:pStyle w:val="1005"/>
              <w:ind w:left="57" w:right="57"/>
            </w:pPr>
            <w:r>
              <w:t xml:space="preserve">Дата</w:t>
            </w:r>
            <w:r/>
          </w:p>
        </w:tc>
        <w:tc>
          <w:tcPr>
            <w:shd w:val="clear" w:fill="auto" w:color="auto"/>
            <w:tcW w:w="3863" w:type="pct"/>
            <w:textDirection w:val="lrTb"/>
            <w:noWrap w:val="false"/>
          </w:tcPr>
          <w:p>
            <w:pPr>
              <w:pStyle w:val="1005"/>
              <w:ind w:left="57" w:right="57"/>
            </w:pPr>
            <w:r>
              <w:t xml:space="preserve">Значение по умолчанию текущая дата.</w:t>
            </w:r>
            <w:r/>
          </w:p>
          <w:p>
            <w:pPr>
              <w:pStyle w:val="1005"/>
              <w:ind w:left="57" w:right="57"/>
            </w:pPr>
            <w:r>
              <w:t xml:space="preserve">Поле заполняется вручную или выбором из системного к</w:t>
            </w:r>
            <w:r>
              <w:t xml:space="preserve">алендаря.</w:t>
            </w:r>
            <w:r/>
          </w:p>
        </w:tc>
      </w:tr>
      <w:tr>
        <w:trPr>
          <w:trHeight w:val="375"/>
        </w:trPr>
        <w:tc>
          <w:tcPr>
            <w:shd w:val="clear" w:fill="auto" w:color="auto"/>
            <w:tcW w:w="1137" w:type="pct"/>
            <w:textDirection w:val="lrTb"/>
            <w:noWrap w:val="false"/>
          </w:tcPr>
          <w:p>
            <w:pPr>
              <w:pStyle w:val="1005"/>
              <w:ind w:left="57" w:right="57"/>
            </w:pPr>
            <w:r>
              <w:t xml:space="preserve">л/с</w:t>
            </w:r>
            <w:r/>
          </w:p>
        </w:tc>
        <w:tc>
          <w:tcPr>
            <w:shd w:val="clear" w:fill="auto" w:color="auto"/>
            <w:tcW w:w="3863" w:type="pct"/>
            <w:textDirection w:val="lrTb"/>
            <w:noWrap w:val="false"/>
          </w:tcPr>
          <w:p>
            <w:pPr>
              <w:pStyle w:val="1005"/>
              <w:ind w:left="57" w:right="57"/>
            </w:pPr>
            <w:r>
              <w:t xml:space="preserve">Значение вводится вручную или выбирается из справочника </w:t>
            </w:r>
            <w:r>
              <w:t xml:space="preserve">«</w:t>
            </w:r>
            <w:r>
              <w:t xml:space="preserve">Лицевые сч</w:t>
            </w:r>
            <w:r>
              <w:t xml:space="preserve">е</w:t>
            </w:r>
            <w:r>
              <w:t xml:space="preserve">та</w:t>
            </w:r>
            <w:r>
              <w:t xml:space="preserve">»</w:t>
            </w:r>
            <w:r>
              <w:t xml:space="preserve">. </w:t>
            </w:r>
            <w:r/>
          </w:p>
          <w:p>
            <w:pPr>
              <w:pStyle w:val="1005"/>
              <w:ind w:left="57" w:right="57"/>
            </w:pPr>
            <w:r>
              <w:t xml:space="preserve">Ввод ограничен 11 символами.</w:t>
            </w:r>
            <w:r/>
          </w:p>
        </w:tc>
      </w:tr>
      <w:tr>
        <w:trPr/>
        <w:tc>
          <w:tcPr>
            <w:shd w:val="clear" w:fill="auto" w:color="auto"/>
            <w:tcW w:w="1137" w:type="pct"/>
            <w:textDirection w:val="lrTb"/>
            <w:noWrap w:val="false"/>
          </w:tcPr>
          <w:p>
            <w:pPr>
              <w:pStyle w:val="1005"/>
              <w:ind w:left="57" w:right="57"/>
            </w:pPr>
            <w:r>
              <w:t xml:space="preserve">Кол-во докуме</w:t>
            </w:r>
            <w:r>
              <w:t xml:space="preserve">нтов</w:t>
            </w:r>
            <w:r/>
          </w:p>
        </w:tc>
        <w:tc>
          <w:tcPr>
            <w:shd w:val="clear" w:fill="auto" w:color="auto"/>
            <w:tcW w:w="3863" w:type="pct"/>
            <w:textDirection w:val="lrTb"/>
            <w:noWrap w:val="false"/>
          </w:tcPr>
          <w:p>
            <w:pPr>
              <w:pStyle w:val="1005"/>
              <w:ind w:left="57" w:right="57"/>
            </w:pPr>
            <w:r>
              <w:t xml:space="preserve">Указывается количество документов по </w:t>
            </w:r>
            <w:r>
              <w:t xml:space="preserve">таблице </w:t>
            </w:r>
            <w:r>
              <w:t xml:space="preserve">«</w:t>
            </w:r>
            <w:r>
              <w:t xml:space="preserve">Платежные поручения</w:t>
            </w:r>
            <w:r>
              <w:t xml:space="preserve">»</w:t>
            </w:r>
            <w:r>
              <w:t xml:space="preserve">. </w:t>
            </w:r>
            <w:r/>
          </w:p>
          <w:p>
            <w:pPr>
              <w:pStyle w:val="1005"/>
              <w:ind w:left="57" w:right="57"/>
            </w:pPr>
            <w:r>
              <w:t xml:space="preserve">При загрузке ТФФ после документарного контроля значение автоматич</w:t>
            </w:r>
            <w:r>
              <w:t xml:space="preserve">е</w:t>
            </w:r>
            <w:r>
              <w:t xml:space="preserve">ски уменьшается на количество некорректных платежных поручений (к</w:t>
            </w:r>
            <w:r>
              <w:t xml:space="preserve">о</w:t>
            </w:r>
            <w:r>
              <w:t xml:space="preserve">личество документов по ТФФ минус количество некорректных п/п из та</w:t>
            </w:r>
            <w:r>
              <w:t xml:space="preserve">б</w:t>
            </w:r>
            <w:r>
              <w:t xml:space="preserve">лицы </w:t>
            </w:r>
            <w:r>
              <w:t xml:space="preserve">«</w:t>
            </w:r>
            <w:r>
              <w:t xml:space="preserve">Пл</w:t>
            </w:r>
            <w:r>
              <w:t xml:space="preserve">а</w:t>
            </w:r>
            <w:r>
              <w:t xml:space="preserve">тежные поручения</w:t>
            </w:r>
            <w:r>
              <w:t xml:space="preserve">»</w:t>
            </w:r>
            <w:r>
              <w:t xml:space="preserve">).</w:t>
            </w:r>
            <w:r/>
          </w:p>
        </w:tc>
      </w:tr>
      <w:tr>
        <w:trPr/>
        <w:tc>
          <w:tcPr>
            <w:shd w:val="clear" w:fill="auto" w:color="auto"/>
            <w:tcW w:w="1137" w:type="pct"/>
            <w:textDirection w:val="lrTb"/>
            <w:noWrap w:val="false"/>
          </w:tcPr>
          <w:p>
            <w:pPr>
              <w:pStyle w:val="1005"/>
              <w:ind w:left="57" w:right="57"/>
            </w:pPr>
            <w:r>
              <w:t xml:space="preserve">Сумма</w:t>
            </w:r>
            <w:r/>
          </w:p>
        </w:tc>
        <w:tc>
          <w:tcPr>
            <w:shd w:val="clear" w:fill="auto" w:color="auto"/>
            <w:tcW w:w="3863" w:type="pct"/>
            <w:textDirection w:val="lrTb"/>
            <w:noWrap w:val="false"/>
          </w:tcPr>
          <w:p>
            <w:pPr>
              <w:pStyle w:val="1005"/>
              <w:ind w:left="57" w:right="57"/>
            </w:pPr>
            <w:r>
              <w:t xml:space="preserve">Указывается сумма строк таблицы </w:t>
            </w:r>
            <w:r>
              <w:t xml:space="preserve">«</w:t>
            </w:r>
            <w:r>
              <w:t xml:space="preserve">Платежные поручения</w:t>
            </w:r>
            <w:r>
              <w:t xml:space="preserve">»</w:t>
            </w:r>
            <w:r>
              <w:t xml:space="preserve"> по графе </w:t>
            </w:r>
            <w:r>
              <w:t xml:space="preserve">«</w:t>
            </w:r>
            <w:r>
              <w:t xml:space="preserve">Су</w:t>
            </w:r>
            <w:r>
              <w:t xml:space="preserve">м</w:t>
            </w:r>
            <w:r>
              <w:t xml:space="preserve">ма</w:t>
            </w:r>
            <w:r>
              <w:t xml:space="preserve">»</w:t>
            </w:r>
            <w:r>
              <w:t xml:space="preserve">.</w:t>
            </w:r>
            <w:r/>
          </w:p>
          <w:p>
            <w:pPr>
              <w:pStyle w:val="1005"/>
              <w:ind w:left="57" w:right="57"/>
            </w:pPr>
            <w:r>
              <w:t xml:space="preserve">При загрузке ТФФ после документарного контроля значение автоматич</w:t>
            </w:r>
            <w:r>
              <w:t xml:space="preserve">е</w:t>
            </w:r>
            <w:r>
              <w:t xml:space="preserve">ски уменьшается на сумму некорректных платежных поручений (</w:t>
            </w:r>
            <w:r>
              <w:t xml:space="preserve">сумма</w:t>
            </w:r>
            <w:r>
              <w:t xml:space="preserve"> по ТФФ минус сумма некорректных п/п из таблицы </w:t>
            </w:r>
            <w:r>
              <w:t xml:space="preserve">«</w:t>
            </w:r>
            <w:r>
              <w:t xml:space="preserve">Платежные поруч</w:t>
            </w:r>
            <w:r>
              <w:t xml:space="preserve">е</w:t>
            </w:r>
            <w:r>
              <w:t xml:space="preserve">ния</w:t>
            </w:r>
            <w:r>
              <w:t xml:space="preserve">»</w:t>
            </w:r>
            <w:r>
              <w:t xml:space="preserve">).</w:t>
            </w:r>
            <w:r/>
          </w:p>
        </w:tc>
      </w:tr>
      <w:tr>
        <w:trPr/>
        <w:tc>
          <w:tcPr>
            <w:shd w:val="clear" w:fill="auto" w:color="auto"/>
            <w:tcW w:w="1137" w:type="pct"/>
            <w:textDirection w:val="lrTb"/>
            <w:noWrap w:val="false"/>
          </w:tcPr>
          <w:p>
            <w:pPr>
              <w:pStyle w:val="1005"/>
              <w:ind w:left="57" w:right="57"/>
            </w:pPr>
            <w:r>
              <w:t xml:space="preserve">Статус</w:t>
            </w:r>
            <w:r/>
          </w:p>
        </w:tc>
        <w:tc>
          <w:tcPr>
            <w:shd w:val="clear" w:fill="auto" w:color="auto"/>
            <w:tcW w:w="3863" w:type="pct"/>
            <w:textDirection w:val="lrTb"/>
            <w:noWrap w:val="false"/>
          </w:tcPr>
          <w:p>
            <w:pPr>
              <w:pStyle w:val="1005"/>
              <w:ind w:left="57" w:right="57"/>
            </w:pPr>
            <w:r>
              <w:t xml:space="preserve">Код Бизнес-статуса документа.</w:t>
            </w:r>
            <w:r/>
          </w:p>
          <w:p>
            <w:pPr>
              <w:pStyle w:val="1005"/>
              <w:ind w:left="57" w:right="57"/>
            </w:pPr>
            <w:r>
              <w:t xml:space="preserve">Значение заполняется автоматически или передается из </w:t>
            </w:r>
            <w:r>
              <w:t xml:space="preserve">OEBS</w:t>
            </w:r>
            <w:r>
              <w:t xml:space="preserve">.</w:t>
            </w:r>
            <w:r/>
          </w:p>
        </w:tc>
      </w:tr>
      <w:tr>
        <w:trPr/>
        <w:tc>
          <w:tcPr>
            <w:shd w:val="clear" w:fill="auto" w:color="auto"/>
            <w:tcW w:w="1137" w:type="pct"/>
            <w:textDirection w:val="lrTb"/>
            <w:noWrap w:val="false"/>
          </w:tcPr>
          <w:p>
            <w:pPr>
              <w:pStyle w:val="1005"/>
              <w:ind w:left="57" w:right="57"/>
            </w:pPr>
            <w:r>
              <w:t xml:space="preserve">Бюджет</w:t>
            </w:r>
            <w:r/>
          </w:p>
        </w:tc>
        <w:tc>
          <w:tcPr>
            <w:shd w:val="clear" w:fill="auto" w:color="auto"/>
            <w:tcW w:w="3863" w:type="pct"/>
            <w:textDirection w:val="lrTb"/>
            <w:noWrap w:val="false"/>
          </w:tcPr>
          <w:p>
            <w:pPr>
              <w:pStyle w:val="1005"/>
              <w:ind w:left="57" w:right="57"/>
            </w:pPr>
            <w:r>
              <w:t xml:space="preserve">Может быть изменено вручную или выбором из справочника </w:t>
            </w:r>
            <w:r>
              <w:t xml:space="preserve">«</w:t>
            </w:r>
            <w:r>
              <w:t xml:space="preserve">Бюдж</w:t>
            </w:r>
            <w:r>
              <w:t xml:space="preserve">еты</w:t>
            </w:r>
            <w:r>
              <w:t xml:space="preserve">»</w:t>
            </w:r>
            <w:r>
              <w:t xml:space="preserve">.</w:t>
            </w:r>
            <w:r/>
          </w:p>
          <w:p>
            <w:pPr>
              <w:pStyle w:val="1005"/>
              <w:ind w:left="57" w:right="57"/>
            </w:pPr>
            <w:r>
              <w:t xml:space="preserve">Закрыто на редактирование.</w:t>
            </w:r>
            <w:r/>
          </w:p>
        </w:tc>
      </w:tr>
      <w:tr>
        <w:trPr/>
        <w:tc>
          <w:tcPr>
            <w:shd w:val="clear" w:fill="auto" w:color="auto"/>
            <w:tcW w:w="1137" w:type="pct"/>
            <w:textDirection w:val="lrTb"/>
            <w:noWrap w:val="false"/>
          </w:tcPr>
          <w:p>
            <w:pPr>
              <w:pStyle w:val="1005"/>
              <w:ind w:left="57" w:right="57"/>
            </w:pPr>
            <w:r>
              <w:t xml:space="preserve">Фин. </w:t>
            </w:r>
            <w:r>
              <w:t xml:space="preserve">О</w:t>
            </w:r>
            <w:r>
              <w:t xml:space="preserve">рган</w:t>
            </w:r>
            <w:r/>
          </w:p>
        </w:tc>
        <w:tc>
          <w:tcPr>
            <w:shd w:val="clear" w:fill="auto" w:color="auto"/>
            <w:tcW w:w="3863" w:type="pct"/>
            <w:textDirection w:val="lrTb"/>
            <w:noWrap w:val="false"/>
          </w:tcPr>
          <w:p>
            <w:pPr>
              <w:pStyle w:val="1005"/>
              <w:ind w:left="57" w:right="57"/>
            </w:pPr>
            <w:r>
              <w:t xml:space="preserve">На АРМ ФО для всех бюджетов, кроме б</w:t>
            </w:r>
            <w:r>
              <w:t xml:space="preserve">юджетов ГВФ РФ (код уровня бюджета «4»), заполняется автоматически значением актуального финансового органа для указанного бюджета в реквизите «Бюджет» на основании актуальной записи справочника «Финансовые органы». Может быть изменено вручную или выбором </w:t>
            </w:r>
            <w:r>
              <w:t xml:space="preserve">из справочника «Финансовые орга</w:t>
            </w:r>
            <w:r>
              <w:t xml:space="preserve">ны». Значения справочника для выбора ограничены значением поля «Бюджет».</w:t>
            </w:r>
            <w:r/>
          </w:p>
          <w:p>
            <w:pPr>
              <w:pStyle w:val="1005"/>
              <w:ind w:left="57" w:right="57"/>
            </w:pPr>
            <w:r>
              <w:t xml:space="preserve">На АРМ ФО для бюд</w:t>
            </w:r>
            <w:r>
              <w:t xml:space="preserve">жетов ГВФ РФ (код уровня бюджета «4») заполняется автоматически значением актуального финансового органа для указанного бюджета в реквизите «Бюджет» на основании актуальной записи справочника «Финансовые органы» с учетом следующего дополнительного условия:</w:t>
            </w:r>
            <w:r/>
          </w:p>
          <w:p>
            <w:pPr>
              <w:pStyle w:val="1007"/>
            </w:pPr>
            <w:r>
              <w:t xml:space="preserve">код по сводному реестру организации, являющейся финансовым органом, должен соответствовать коду владельца АРМ ФО, на уровне которого выполняется создание документа.</w:t>
            </w:r>
            <w:r/>
          </w:p>
          <w:p>
            <w:pPr>
              <w:pStyle w:val="1005"/>
              <w:ind w:left="57" w:right="57"/>
            </w:pPr>
            <w:r>
              <w:t xml:space="preserve">Код владельца АРМ ФО определяется по системной константе «Код собственного БУ»</w:t>
            </w:r>
            <w:r>
              <w:t xml:space="preserve">.</w:t>
            </w:r>
            <w:r/>
          </w:p>
        </w:tc>
      </w:tr>
      <w:tr>
        <w:trPr/>
        <w:tc>
          <w:tcPr>
            <w:shd w:val="clear" w:fill="auto" w:color="auto"/>
            <w:tcW w:w="1137" w:type="pct"/>
            <w:textDirection w:val="lrTb"/>
            <w:noWrap w:val="false"/>
          </w:tcPr>
          <w:p>
            <w:pPr>
              <w:pStyle w:val="1005"/>
              <w:ind w:left="57" w:right="57"/>
            </w:pPr>
            <w:r>
              <w:t xml:space="preserve">Орган ФК</w:t>
            </w:r>
            <w:r/>
          </w:p>
        </w:tc>
        <w:tc>
          <w:tcPr>
            <w:shd w:val="clear" w:fill="auto" w:color="auto"/>
            <w:tcW w:w="3863" w:type="pct"/>
            <w:textDirection w:val="lrTb"/>
            <w:noWrap w:val="false"/>
          </w:tcPr>
          <w:p>
            <w:pPr>
              <w:pStyle w:val="1005"/>
              <w:ind w:left="57" w:right="57"/>
            </w:pPr>
            <w:r>
              <w:t xml:space="preserve">Заполняется значением из справочника </w:t>
            </w:r>
            <w:r>
              <w:t xml:space="preserve">«</w:t>
            </w:r>
            <w:r>
              <w:t xml:space="preserve">Органы ФК</w:t>
            </w:r>
            <w:r>
              <w:t xml:space="preserve">»</w:t>
            </w:r>
            <w:r>
              <w:t xml:space="preserve"> на основании зн</w:t>
            </w:r>
            <w:r>
              <w:t xml:space="preserve">ач</w:t>
            </w:r>
            <w:r>
              <w:t xml:space="preserve">е</w:t>
            </w:r>
            <w:r>
              <w:t xml:space="preserve">ния кода, указанного в поле </w:t>
            </w:r>
            <w:r>
              <w:t xml:space="preserve">«</w:t>
            </w:r>
            <w:r>
              <w:t xml:space="preserve">КОФК</w:t>
            </w:r>
            <w:r>
              <w:t xml:space="preserve">»</w:t>
            </w:r>
            <w:r>
              <w:t xml:space="preserve">.</w:t>
            </w:r>
            <w:r/>
          </w:p>
        </w:tc>
      </w:tr>
      <w:tr>
        <w:trPr/>
        <w:tc>
          <w:tcPr>
            <w:shd w:val="clear" w:fill="auto" w:color="auto"/>
            <w:tcW w:w="1137" w:type="pct"/>
            <w:textDirection w:val="lrTb"/>
            <w:noWrap w:val="false"/>
          </w:tcPr>
          <w:p>
            <w:pPr>
              <w:pStyle w:val="1005"/>
              <w:ind w:left="57" w:right="57"/>
            </w:pPr>
            <w:r>
              <w:t xml:space="preserve">КОФК</w:t>
            </w:r>
            <w:r/>
          </w:p>
        </w:tc>
        <w:tc>
          <w:tcPr>
            <w:shd w:val="clear" w:fill="auto" w:color="auto"/>
            <w:tcW w:w="3863" w:type="pct"/>
            <w:textDirection w:val="lrTb"/>
            <w:noWrap w:val="false"/>
          </w:tcPr>
          <w:p>
            <w:pPr>
              <w:pStyle w:val="1005"/>
              <w:ind w:left="57" w:right="57"/>
            </w:pPr>
            <w:r>
              <w:t xml:space="preserve">Если она равно ххуу, то по умолчанию проставляется значение конста</w:t>
            </w:r>
            <w:r>
              <w:t xml:space="preserve">нты </w:t>
            </w:r>
            <w:r>
              <w:t xml:space="preserve">«</w:t>
            </w:r>
            <w:r>
              <w:t xml:space="preserve">код вышестоящего ТОФК</w:t>
            </w:r>
            <w:r>
              <w:t xml:space="preserve">»</w:t>
            </w:r>
            <w:r>
              <w:t xml:space="preserve">, равное хх00. </w:t>
            </w:r>
            <w:r/>
          </w:p>
          <w:p>
            <w:pPr>
              <w:pStyle w:val="1005"/>
              <w:ind w:left="57" w:right="57"/>
            </w:pPr>
            <w:r>
              <w:t xml:space="preserve">Если равна хх00, то по умолчанию проставляется значение </w:t>
            </w:r>
            <w:r>
              <w:t xml:space="preserve">«</w:t>
            </w:r>
            <w:r>
              <w:t xml:space="preserve">Код собс</w:t>
            </w:r>
            <w:r>
              <w:t xml:space="preserve">т</w:t>
            </w:r>
            <w:r>
              <w:t xml:space="preserve">венн</w:t>
            </w:r>
            <w:r>
              <w:t xml:space="preserve">о</w:t>
            </w:r>
            <w:r>
              <w:t xml:space="preserve">го ТОФК</w:t>
            </w:r>
            <w:r>
              <w:t xml:space="preserve">»</w:t>
            </w:r>
            <w:r>
              <w:t xml:space="preserve">.</w:t>
            </w:r>
            <w:r/>
          </w:p>
          <w:p>
            <w:pPr>
              <w:pStyle w:val="1005"/>
              <w:ind w:left="57" w:right="57"/>
            </w:pPr>
            <w:r>
              <w:t xml:space="preserve">Может быть изменено вручную или выбором из справочн</w:t>
            </w:r>
            <w:r>
              <w:t xml:space="preserve">ика органов ФК.</w:t>
            </w:r>
            <w:r/>
          </w:p>
        </w:tc>
      </w:tr>
      <w:tr>
        <w:trPr/>
        <w:tc>
          <w:tcPr>
            <w:gridSpan w:val="2"/>
            <w:shd w:val="clear" w:fill="auto" w:color="auto"/>
            <w:tcW w:w="5000" w:type="pct"/>
            <w:textDirection w:val="lrTb"/>
            <w:noWrap w:val="false"/>
          </w:tcPr>
          <w:p>
            <w:pPr>
              <w:pStyle w:val="1005"/>
              <w:ind w:left="57" w:right="57"/>
            </w:pPr>
            <w:r>
              <w:t xml:space="preserve">З</w:t>
            </w:r>
            <w:r>
              <w:t xml:space="preserve">а</w:t>
            </w:r>
            <w:r>
              <w:t xml:space="preserve">кладка </w:t>
            </w:r>
            <w:r>
              <w:t xml:space="preserve">«</w:t>
            </w:r>
            <w:r>
              <w:t xml:space="preserve">Документ (1)</w:t>
            </w:r>
            <w:r>
              <w:t xml:space="preserve">», группа полей «</w:t>
            </w:r>
            <w:r>
              <w:t xml:space="preserve">Платежные поручения</w:t>
            </w:r>
            <w:r>
              <w:t xml:space="preserve">»</w:t>
            </w:r>
            <w:r>
              <w:t xml:space="preserve"> </w:t>
            </w:r>
            <w:r>
              <w:t xml:space="preserve">(</w:t>
            </w:r>
            <w:r>
              <w:t xml:space="preserve">отражает данные, введенные на з</w:t>
            </w:r>
            <w:r>
              <w:t xml:space="preserve">а</w:t>
            </w:r>
            <w:r>
              <w:t xml:space="preserve">кладках </w:t>
            </w:r>
            <w:r>
              <w:t xml:space="preserve">«</w:t>
            </w:r>
            <w:r>
              <w:t xml:space="preserve">Основные а</w:t>
            </w:r>
            <w:r>
              <w:t xml:space="preserve">тр</w:t>
            </w:r>
            <w:r>
              <w:t xml:space="preserve">и</w:t>
            </w:r>
            <w:r>
              <w:t xml:space="preserve">б</w:t>
            </w:r>
            <w:r>
              <w:t xml:space="preserve">у</w:t>
            </w:r>
            <w:r>
              <w:t xml:space="preserve">ты</w:t>
            </w:r>
            <w:r>
              <w:t xml:space="preserve">»</w:t>
            </w:r>
            <w:r>
              <w:t xml:space="preserve"> и </w:t>
            </w:r>
            <w:r>
              <w:t xml:space="preserve">«</w:t>
            </w:r>
            <w:r>
              <w:t xml:space="preserve">БК и налоговые показатели</w:t>
            </w:r>
            <w:r>
              <w:t xml:space="preserve">»</w:t>
            </w:r>
            <w:r>
              <w:t xml:space="preserve">)</w:t>
            </w:r>
            <w:r/>
          </w:p>
        </w:tc>
      </w:tr>
      <w:tr>
        <w:trPr/>
        <w:tc>
          <w:tcPr>
            <w:shd w:val="clear" w:fill="auto" w:color="auto"/>
            <w:tcW w:w="1137" w:type="pct"/>
            <w:textDirection w:val="lrTb"/>
            <w:noWrap w:val="false"/>
          </w:tcPr>
          <w:p>
            <w:pPr>
              <w:pStyle w:val="1005"/>
              <w:ind w:left="57" w:right="57"/>
            </w:pPr>
            <w:r>
              <w:t xml:space="preserve">Номер</w:t>
            </w:r>
            <w:r/>
          </w:p>
        </w:tc>
        <w:tc>
          <w:tcPr>
            <w:shd w:val="clear" w:fill="auto" w:color="auto"/>
            <w:tcW w:w="3863" w:type="pct"/>
            <w:textDirection w:val="lrTb"/>
            <w:noWrap w:val="false"/>
          </w:tcPr>
          <w:p>
            <w:pPr>
              <w:pStyle w:val="1005"/>
              <w:ind w:left="57" w:right="57"/>
            </w:pPr>
            <w:r>
              <w:t xml:space="preserve">Соответствует значению поля </w:t>
            </w:r>
            <w:r>
              <w:t xml:space="preserve">«</w:t>
            </w:r>
            <w:r>
              <w:t xml:space="preserve">Номер</w:t>
            </w:r>
            <w:r>
              <w:t xml:space="preserve">»</w:t>
            </w:r>
            <w:r>
              <w:t xml:space="preserve"> закладки </w:t>
            </w:r>
            <w:r>
              <w:t xml:space="preserve">«</w:t>
            </w:r>
            <w:r>
              <w:t xml:space="preserve">Основные атриб</w:t>
            </w:r>
            <w:r>
              <w:t xml:space="preserve">уты</w:t>
            </w:r>
            <w:r>
              <w:t xml:space="preserve">»</w:t>
            </w:r>
            <w:r>
              <w:t xml:space="preserve">.</w:t>
            </w:r>
            <w:r/>
          </w:p>
        </w:tc>
      </w:tr>
      <w:tr>
        <w:trPr/>
        <w:tc>
          <w:tcPr>
            <w:shd w:val="clear" w:fill="auto" w:color="auto"/>
            <w:tcW w:w="1137" w:type="pct"/>
            <w:textDirection w:val="lrTb"/>
            <w:noWrap w:val="false"/>
          </w:tcPr>
          <w:p>
            <w:pPr>
              <w:pStyle w:val="1005"/>
              <w:ind w:left="57" w:right="57"/>
            </w:pPr>
            <w:r>
              <w:t xml:space="preserve">Дата</w:t>
            </w:r>
            <w:r/>
          </w:p>
        </w:tc>
        <w:tc>
          <w:tcPr>
            <w:shd w:val="clear" w:fill="auto" w:color="auto"/>
            <w:tcW w:w="3863" w:type="pct"/>
            <w:textDirection w:val="lrTb"/>
            <w:noWrap w:val="false"/>
          </w:tcPr>
          <w:p>
            <w:pPr>
              <w:pStyle w:val="1005"/>
              <w:ind w:left="57" w:right="57"/>
            </w:pPr>
            <w:r>
              <w:t xml:space="preserve">Соответствует значению поля </w:t>
            </w:r>
            <w:r>
              <w:t xml:space="preserve">«</w:t>
            </w:r>
            <w:r>
              <w:t xml:space="preserve">Дата</w:t>
            </w:r>
            <w:r>
              <w:t xml:space="preserve">»</w:t>
            </w:r>
            <w:r>
              <w:t xml:space="preserve"> закладки </w:t>
            </w:r>
            <w:r>
              <w:t xml:space="preserve">«</w:t>
            </w:r>
            <w:r>
              <w:t xml:space="preserve">Основные атрибуты</w:t>
            </w:r>
            <w:r>
              <w:t xml:space="preserve">»</w:t>
            </w:r>
            <w:r>
              <w:t xml:space="preserve">.</w:t>
            </w:r>
            <w:r/>
          </w:p>
        </w:tc>
      </w:tr>
      <w:tr>
        <w:trPr/>
        <w:tc>
          <w:tcPr>
            <w:shd w:val="clear" w:fill="auto" w:color="auto"/>
            <w:tcW w:w="1137" w:type="pct"/>
            <w:textDirection w:val="lrTb"/>
            <w:noWrap w:val="false"/>
          </w:tcPr>
          <w:p>
            <w:pPr>
              <w:pStyle w:val="1005"/>
              <w:ind w:left="57" w:right="57"/>
            </w:pPr>
            <w:r>
              <w:t xml:space="preserve">Сумма</w:t>
            </w:r>
            <w:r/>
          </w:p>
        </w:tc>
        <w:tc>
          <w:tcPr>
            <w:shd w:val="clear" w:fill="auto" w:color="auto"/>
            <w:tcW w:w="3863" w:type="pct"/>
            <w:textDirection w:val="lrTb"/>
            <w:noWrap w:val="false"/>
          </w:tcPr>
          <w:p>
            <w:pPr>
              <w:pStyle w:val="1005"/>
              <w:ind w:left="57" w:right="57"/>
            </w:pPr>
            <w:r>
              <w:t xml:space="preserve">Соответствует значению поля </w:t>
            </w:r>
            <w:r>
              <w:t xml:space="preserve">«</w:t>
            </w:r>
            <w:r>
              <w:t xml:space="preserve">Сумма</w:t>
            </w:r>
            <w:r>
              <w:t xml:space="preserve">»</w:t>
            </w:r>
            <w:r>
              <w:t xml:space="preserve"> закладки </w:t>
            </w:r>
            <w:r>
              <w:t xml:space="preserve">«</w:t>
            </w:r>
            <w:r>
              <w:t xml:space="preserve">Основные атриб</w:t>
            </w:r>
            <w:r>
              <w:t xml:space="preserve">уты</w:t>
            </w:r>
            <w:r>
              <w:t xml:space="preserve">»</w:t>
            </w:r>
            <w:r>
              <w:t xml:space="preserve">.</w:t>
            </w:r>
            <w:r/>
          </w:p>
        </w:tc>
      </w:tr>
      <w:tr>
        <w:trPr/>
        <w:tc>
          <w:tcPr>
            <w:shd w:val="clear" w:fill="auto" w:color="auto"/>
            <w:tcW w:w="1137" w:type="pct"/>
            <w:textDirection w:val="lrTb"/>
            <w:noWrap w:val="false"/>
          </w:tcPr>
          <w:p>
            <w:pPr>
              <w:pStyle w:val="1005"/>
              <w:ind w:left="57" w:right="57"/>
            </w:pPr>
            <w:r>
              <w:t xml:space="preserve">Плательщик</w:t>
            </w:r>
            <w:r/>
          </w:p>
        </w:tc>
        <w:tc>
          <w:tcPr>
            <w:shd w:val="clear" w:fill="auto" w:color="auto"/>
            <w:tcW w:w="3863" w:type="pct"/>
            <w:textDirection w:val="lrTb"/>
            <w:noWrap w:val="false"/>
          </w:tcPr>
          <w:p>
            <w:pPr>
              <w:pStyle w:val="1005"/>
              <w:ind w:left="57" w:right="57"/>
            </w:pPr>
            <w:r>
              <w:t xml:space="preserve">Соответствует значению поля </w:t>
            </w:r>
            <w:r>
              <w:t xml:space="preserve">«</w:t>
            </w:r>
            <w:r>
              <w:t xml:space="preserve">Наименование</w:t>
            </w:r>
            <w:r>
              <w:t xml:space="preserve">»</w:t>
            </w:r>
            <w:r>
              <w:t xml:space="preserve"> группы полей </w:t>
            </w:r>
            <w:r>
              <w:t xml:space="preserve">«</w:t>
            </w:r>
            <w:r>
              <w:t xml:space="preserve">Реквиз</w:t>
            </w:r>
            <w:r>
              <w:t xml:space="preserve">иты плательщика</w:t>
            </w:r>
            <w:r>
              <w:t xml:space="preserve">»</w:t>
            </w:r>
            <w:r>
              <w:t xml:space="preserve"> закладки </w:t>
            </w:r>
            <w:r>
              <w:t xml:space="preserve">«</w:t>
            </w:r>
            <w:r>
              <w:t xml:space="preserve">Основные атрибуты</w:t>
            </w:r>
            <w:r>
              <w:t xml:space="preserve">»</w:t>
            </w:r>
            <w:r>
              <w:t xml:space="preserve">.</w:t>
            </w:r>
            <w:r/>
          </w:p>
        </w:tc>
      </w:tr>
      <w:tr>
        <w:trPr/>
        <w:tc>
          <w:tcPr>
            <w:shd w:val="clear" w:fill="auto" w:color="auto"/>
            <w:tcW w:w="1137" w:type="pct"/>
            <w:textDirection w:val="lrTb"/>
            <w:noWrap w:val="false"/>
          </w:tcPr>
          <w:p>
            <w:pPr>
              <w:pStyle w:val="1005"/>
              <w:ind w:left="57" w:right="57"/>
            </w:pPr>
            <w:r>
              <w:t xml:space="preserve">Получатель</w:t>
            </w:r>
            <w:r/>
          </w:p>
        </w:tc>
        <w:tc>
          <w:tcPr>
            <w:shd w:val="clear" w:fill="auto" w:color="auto"/>
            <w:tcW w:w="3863" w:type="pct"/>
            <w:textDirection w:val="lrTb"/>
            <w:noWrap w:val="false"/>
          </w:tcPr>
          <w:p>
            <w:pPr>
              <w:pStyle w:val="1005"/>
              <w:ind w:left="57" w:right="57"/>
            </w:pPr>
            <w:r>
              <w:t xml:space="preserve">Соответствует значению поля </w:t>
            </w:r>
            <w:r>
              <w:t xml:space="preserve">«</w:t>
            </w:r>
            <w:r>
              <w:t xml:space="preserve">Наименование</w:t>
            </w:r>
            <w:r>
              <w:t xml:space="preserve">»</w:t>
            </w:r>
            <w:r>
              <w:t xml:space="preserve"> группы полей </w:t>
            </w:r>
            <w:r>
              <w:t xml:space="preserve">«</w:t>
            </w:r>
            <w:r>
              <w:t xml:space="preserve">Реквиз</w:t>
            </w:r>
            <w:r>
              <w:t xml:space="preserve">иты п</w:t>
            </w:r>
            <w:r>
              <w:t xml:space="preserve">о</w:t>
            </w:r>
            <w:r>
              <w:t xml:space="preserve">лучателя</w:t>
            </w:r>
            <w:r>
              <w:t xml:space="preserve">»</w:t>
            </w:r>
            <w:r>
              <w:t xml:space="preserve"> закладки </w:t>
            </w:r>
            <w:r>
              <w:t xml:space="preserve">«</w:t>
            </w:r>
            <w:r>
              <w:t xml:space="preserve">Основные атрибуты</w:t>
            </w:r>
            <w:r>
              <w:t xml:space="preserve">»</w:t>
            </w:r>
            <w:r>
              <w:t xml:space="preserve">.</w:t>
            </w:r>
            <w:r/>
          </w:p>
        </w:tc>
      </w:tr>
      <w:tr>
        <w:trPr/>
        <w:tc>
          <w:tcPr>
            <w:shd w:val="clear" w:fill="auto" w:color="auto"/>
            <w:tcW w:w="1137" w:type="pct"/>
            <w:textDirection w:val="lrTb"/>
            <w:noWrap w:val="false"/>
          </w:tcPr>
          <w:p>
            <w:pPr>
              <w:pStyle w:val="1005"/>
              <w:ind w:left="57" w:right="57"/>
            </w:pPr>
            <w:r>
              <w:t xml:space="preserve">Статус</w:t>
            </w:r>
            <w:r/>
          </w:p>
        </w:tc>
        <w:tc>
          <w:tcPr>
            <w:shd w:val="clear" w:fill="auto" w:color="auto"/>
            <w:tcW w:w="3863" w:type="pct"/>
            <w:textDirection w:val="lrTb"/>
            <w:noWrap w:val="false"/>
          </w:tcPr>
          <w:p>
            <w:pPr>
              <w:pStyle w:val="1005"/>
              <w:ind w:left="57" w:right="57"/>
            </w:pPr>
            <w:r>
              <w:t xml:space="preserve">Значение кода бизнес-статуса ПП в составе пакета.</w:t>
            </w:r>
            <w:r/>
          </w:p>
        </w:tc>
      </w:tr>
      <w:tr>
        <w:trPr/>
        <w:tc>
          <w:tcPr>
            <w:shd w:val="clear" w:fill="auto" w:color="auto"/>
            <w:tcW w:w="1137" w:type="pct"/>
            <w:textDirection w:val="lrTb"/>
            <w:noWrap w:val="false"/>
          </w:tcPr>
          <w:p>
            <w:pPr>
              <w:pStyle w:val="1005"/>
              <w:ind w:left="57" w:right="57"/>
            </w:pPr>
            <w:r>
              <w:t xml:space="preserve">Наименование стат</w:t>
            </w:r>
            <w:r>
              <w:t xml:space="preserve">у</w:t>
            </w:r>
            <w:r>
              <w:t xml:space="preserve">са</w:t>
            </w:r>
            <w:r/>
          </w:p>
        </w:tc>
        <w:tc>
          <w:tcPr>
            <w:shd w:val="clear" w:fill="auto" w:color="auto"/>
            <w:tcW w:w="3863" w:type="pct"/>
            <w:textDirection w:val="lrTb"/>
            <w:noWrap w:val="false"/>
          </w:tcPr>
          <w:p>
            <w:pPr>
              <w:pStyle w:val="1005"/>
              <w:ind w:left="57" w:right="57"/>
            </w:pPr>
            <w:r>
              <w:t xml:space="preserve">Заполняется на основании кода бизнес-статуса.</w:t>
            </w:r>
            <w:r/>
          </w:p>
        </w:tc>
      </w:tr>
      <w:tr>
        <w:trPr/>
        <w:tc>
          <w:tcPr>
            <w:gridSpan w:val="2"/>
            <w:shd w:val="clear" w:fill="auto" w:color="auto"/>
            <w:tcW w:w="5000" w:type="pct"/>
            <w:textDirection w:val="lrTb"/>
            <w:noWrap w:val="false"/>
          </w:tcPr>
          <w:p>
            <w:pPr>
              <w:pStyle w:val="1005"/>
              <w:ind w:left="57" w:right="57"/>
            </w:pPr>
            <w:r>
              <w:t xml:space="preserve">З</w:t>
            </w:r>
            <w:r>
              <w:t xml:space="preserve">а</w:t>
            </w:r>
            <w:r>
              <w:t xml:space="preserve">кладка </w:t>
            </w:r>
            <w:r>
              <w:t xml:space="preserve">«</w:t>
            </w:r>
            <w:r>
              <w:t xml:space="preserve">Документ (1)</w:t>
            </w:r>
            <w:r>
              <w:t xml:space="preserve">», вкладк</w:t>
            </w:r>
            <w:r>
              <w:t xml:space="preserve">а</w:t>
            </w:r>
            <w:r>
              <w:t xml:space="preserve"> «</w:t>
            </w:r>
            <w:r>
              <w:t xml:space="preserve">Основные атрибуты»</w:t>
            </w:r>
            <w:r/>
          </w:p>
        </w:tc>
      </w:tr>
      <w:tr>
        <w:trPr/>
        <w:tc>
          <w:tcPr>
            <w:shd w:val="clear" w:fill="auto" w:color="auto"/>
            <w:tcW w:w="1137" w:type="pct"/>
            <w:textDirection w:val="lrTb"/>
            <w:noWrap w:val="false"/>
          </w:tcPr>
          <w:p>
            <w:pPr>
              <w:pStyle w:val="1005"/>
              <w:ind w:left="57" w:right="57"/>
            </w:pPr>
            <w:r>
              <w:t xml:space="preserve">Номер</w:t>
            </w:r>
            <w:r>
              <w:t xml:space="preserve"> ПП</w:t>
            </w:r>
            <w:r/>
          </w:p>
        </w:tc>
        <w:tc>
          <w:tcPr>
            <w:shd w:val="clear" w:fill="auto" w:color="auto"/>
            <w:tcW w:w="3863" w:type="pct"/>
            <w:textDirection w:val="lrTb"/>
            <w:noWrap w:val="false"/>
          </w:tcPr>
          <w:p>
            <w:pPr>
              <w:pStyle w:val="1005"/>
              <w:ind w:left="57" w:right="57"/>
            </w:pPr>
            <w:r>
              <w:t xml:space="preserve">Номер платежного поручения</w:t>
            </w:r>
            <w:r>
              <w:t xml:space="preserve">.</w:t>
            </w:r>
            <w:r/>
          </w:p>
        </w:tc>
      </w:tr>
      <w:tr>
        <w:trPr/>
        <w:tc>
          <w:tcPr>
            <w:shd w:val="clear" w:fill="auto" w:color="auto"/>
            <w:tcW w:w="1137" w:type="pct"/>
            <w:textDirection w:val="lrTb"/>
            <w:noWrap w:val="false"/>
          </w:tcPr>
          <w:p>
            <w:pPr>
              <w:pStyle w:val="1005"/>
              <w:ind w:left="57" w:right="57"/>
            </w:pPr>
            <w:r>
              <w:t xml:space="preserve">Номер</w:t>
            </w:r>
            <w:r/>
          </w:p>
        </w:tc>
        <w:tc>
          <w:tcPr>
            <w:shd w:val="clear" w:fill="auto" w:color="auto"/>
            <w:tcW w:w="3863" w:type="pct"/>
            <w:textDirection w:val="lrTb"/>
            <w:noWrap w:val="false"/>
          </w:tcPr>
          <w:p>
            <w:pPr>
              <w:pStyle w:val="1005"/>
              <w:ind w:left="57" w:right="57"/>
            </w:pPr>
            <w:r>
              <w:t xml:space="preserve">Значение вводится вручную.</w:t>
            </w:r>
            <w:r/>
          </w:p>
        </w:tc>
      </w:tr>
      <w:tr>
        <w:trPr/>
        <w:tc>
          <w:tcPr>
            <w:shd w:val="clear" w:fill="auto" w:color="auto"/>
            <w:tcW w:w="1137" w:type="pct"/>
            <w:textDirection w:val="lrTb"/>
            <w:noWrap w:val="false"/>
          </w:tcPr>
          <w:p>
            <w:pPr>
              <w:pStyle w:val="1005"/>
              <w:ind w:left="57" w:right="57"/>
            </w:pPr>
            <w:r>
              <w:t xml:space="preserve">Дата</w:t>
            </w:r>
            <w:r/>
          </w:p>
        </w:tc>
        <w:tc>
          <w:tcPr>
            <w:shd w:val="clear" w:fill="auto" w:color="auto"/>
            <w:tcW w:w="3863" w:type="pct"/>
            <w:textDirection w:val="lrTb"/>
            <w:noWrap w:val="false"/>
          </w:tcPr>
          <w:p>
            <w:pPr>
              <w:pStyle w:val="1005"/>
              <w:ind w:left="57" w:right="57"/>
            </w:pPr>
            <w:r>
              <w:t xml:space="preserve">Значение вводится вручную или выбирается из системного календ</w:t>
            </w:r>
            <w:r>
              <w:t xml:space="preserve">аря.</w:t>
            </w:r>
            <w:r/>
          </w:p>
        </w:tc>
      </w:tr>
      <w:tr>
        <w:trPr/>
        <w:tc>
          <w:tcPr>
            <w:shd w:val="clear" w:fill="auto" w:color="auto"/>
            <w:tcW w:w="1137" w:type="pct"/>
            <w:textDirection w:val="lrTb"/>
            <w:noWrap w:val="false"/>
          </w:tcPr>
          <w:p>
            <w:pPr>
              <w:pStyle w:val="1005"/>
              <w:ind w:left="57" w:right="57"/>
            </w:pPr>
            <w:r>
              <w:t xml:space="preserve">Вид платежа</w:t>
            </w:r>
            <w:r/>
          </w:p>
        </w:tc>
        <w:tc>
          <w:tcPr>
            <w:shd w:val="clear" w:fill="auto" w:color="auto"/>
            <w:tcW w:w="3863" w:type="pct"/>
            <w:textDirection w:val="lrTb"/>
            <w:noWrap w:val="false"/>
          </w:tcPr>
          <w:p>
            <w:pPr>
              <w:pStyle w:val="1005"/>
              <w:ind w:left="57" w:right="57"/>
            </w:pPr>
            <w:r>
              <w:t xml:space="preserve">Вид платежа. </w:t>
            </w:r>
            <w:r/>
          </w:p>
          <w:p>
            <w:pPr>
              <w:pStyle w:val="1005"/>
              <w:ind w:left="57" w:right="57"/>
            </w:pPr>
            <w:r>
              <w:t xml:space="preserve">Для ЭД на статусе «Черновик»</w:t>
            </w:r>
            <w:r>
              <w:t xml:space="preserve"> доступны значения</w:t>
            </w:r>
            <w:r>
              <w:t xml:space="preserve">:</w:t>
            </w:r>
            <w:r>
              <w:t xml:space="preserve"> </w:t>
            </w:r>
            <w:r>
              <w:t xml:space="preserve">«»</w:t>
            </w:r>
            <w:r>
              <w:t xml:space="preserve">, </w:t>
            </w:r>
            <w:r>
              <w:t xml:space="preserve">«</w:t>
            </w:r>
            <w:r>
              <w:t xml:space="preserve">срочно</w:t>
            </w:r>
            <w:r>
              <w:t xml:space="preserve">»</w:t>
            </w:r>
            <w:r>
              <w:t xml:space="preserve">.</w:t>
            </w:r>
            <w:r/>
          </w:p>
          <w:p>
            <w:pPr>
              <w:pStyle w:val="1005"/>
              <w:ind w:left="57" w:right="57"/>
            </w:pPr>
            <w:r>
              <w:t xml:space="preserve">По умолчанию проставляется пустое значение </w:t>
            </w:r>
            <w:r>
              <w:t xml:space="preserve">«»</w:t>
            </w:r>
            <w:r>
              <w:t xml:space="preserve">.</w:t>
            </w:r>
            <w:r/>
          </w:p>
        </w:tc>
      </w:tr>
      <w:tr>
        <w:trPr/>
        <w:tc>
          <w:tcPr>
            <w:shd w:val="clear" w:fill="auto" w:color="auto"/>
            <w:tcW w:w="1137" w:type="pct"/>
            <w:textDirection w:val="lrTb"/>
            <w:noWrap w:val="false"/>
          </w:tcPr>
          <w:p>
            <w:pPr>
              <w:pStyle w:val="1005"/>
              <w:ind w:left="57" w:right="57"/>
            </w:pPr>
            <w:r>
              <w:t xml:space="preserve">Сумма</w:t>
            </w:r>
            <w:r/>
          </w:p>
        </w:tc>
        <w:tc>
          <w:tcPr>
            <w:shd w:val="clear" w:fill="auto" w:color="auto"/>
            <w:tcW w:w="3863" w:type="pct"/>
            <w:textDirection w:val="lrTb"/>
            <w:noWrap w:val="false"/>
          </w:tcPr>
          <w:p>
            <w:pPr>
              <w:pStyle w:val="1005"/>
              <w:ind w:left="57" w:right="57"/>
            </w:pPr>
            <w:r>
              <w:t xml:space="preserve">Значение вводится вручную.</w:t>
            </w:r>
            <w:r/>
          </w:p>
        </w:tc>
      </w:tr>
      <w:tr>
        <w:trPr/>
        <w:tc>
          <w:tcPr>
            <w:shd w:val="clear" w:fill="auto" w:color="auto"/>
            <w:tcW w:w="1137" w:type="pct"/>
            <w:textDirection w:val="lrTb"/>
            <w:noWrap w:val="false"/>
          </w:tcPr>
          <w:p>
            <w:pPr>
              <w:pStyle w:val="1005"/>
              <w:ind w:left="57" w:right="57"/>
            </w:pPr>
            <w:r>
              <w:t xml:space="preserve">Сумма прописью</w:t>
            </w:r>
            <w:r/>
          </w:p>
        </w:tc>
        <w:tc>
          <w:tcPr>
            <w:shd w:val="clear" w:fill="auto" w:color="auto"/>
            <w:tcW w:w="3863" w:type="pct"/>
            <w:textDirection w:val="lrTb"/>
            <w:noWrap w:val="false"/>
          </w:tcPr>
          <w:p>
            <w:pPr>
              <w:pStyle w:val="1005"/>
              <w:ind w:left="57" w:right="57"/>
            </w:pPr>
            <w:r>
              <w:t xml:space="preserve">Заполняется автоматически на основании введенного в поле </w:t>
            </w:r>
            <w:r>
              <w:t xml:space="preserve">«</w:t>
            </w:r>
            <w:r>
              <w:t xml:space="preserve">Сумма</w:t>
            </w:r>
            <w:r>
              <w:t xml:space="preserve">»</w:t>
            </w:r>
            <w:r>
              <w:t xml:space="preserve"> знач</w:t>
            </w:r>
            <w:r>
              <w:t xml:space="preserve">е</w:t>
            </w:r>
            <w:r>
              <w:t xml:space="preserve">ния.</w:t>
            </w:r>
            <w:r/>
          </w:p>
        </w:tc>
      </w:tr>
      <w:tr>
        <w:trPr>
          <w:trHeight w:val="375"/>
        </w:trPr>
        <w:tc>
          <w:tcPr>
            <w:gridSpan w:val="2"/>
            <w:shd w:val="clear" w:fill="auto" w:color="auto"/>
            <w:tcW w:w="5000" w:type="pct"/>
            <w:textDirection w:val="lrTb"/>
            <w:noWrap w:val="false"/>
          </w:tcPr>
          <w:p>
            <w:pPr>
              <w:pStyle w:val="1005"/>
              <w:ind w:left="57" w:right="57"/>
            </w:pPr>
            <w:r>
              <w:t xml:space="preserve">З</w:t>
            </w:r>
            <w:r>
              <w:t xml:space="preserve">а</w:t>
            </w:r>
            <w:r>
              <w:t xml:space="preserve">кладка </w:t>
            </w:r>
            <w:r>
              <w:t xml:space="preserve">«</w:t>
            </w:r>
            <w:r>
              <w:t xml:space="preserve">Документ (1)</w:t>
            </w:r>
            <w:r>
              <w:t xml:space="preserve">», вкладк</w:t>
            </w:r>
            <w:r>
              <w:t xml:space="preserve">а</w:t>
            </w:r>
            <w:r>
              <w:t xml:space="preserve"> «</w:t>
            </w:r>
            <w:r>
              <w:t xml:space="preserve">Основные атрибуты</w:t>
            </w:r>
            <w:r>
              <w:t xml:space="preserve">», группа полей «</w:t>
            </w:r>
            <w:r>
              <w:t xml:space="preserve">Реквизиты плательщика</w:t>
            </w:r>
            <w:r>
              <w:t xml:space="preserve">»</w:t>
            </w:r>
            <w:r/>
          </w:p>
        </w:tc>
      </w:tr>
      <w:tr>
        <w:trPr>
          <w:trHeight w:val="375"/>
        </w:trPr>
        <w:tc>
          <w:tcPr>
            <w:shd w:val="clear" w:fill="auto" w:color="auto"/>
            <w:tcW w:w="1137" w:type="pct"/>
            <w:textDirection w:val="lrTb"/>
            <w:noWrap w:val="false"/>
          </w:tcPr>
          <w:p>
            <w:pPr>
              <w:pStyle w:val="1005"/>
              <w:ind w:left="57" w:right="57"/>
            </w:pPr>
            <w:r>
              <w:t xml:space="preserve">Наименование</w:t>
            </w:r>
            <w:r/>
          </w:p>
        </w:tc>
        <w:tc>
          <w:tcPr>
            <w:shd w:val="clear" w:fill="auto" w:color="auto"/>
            <w:tcW w:w="3863" w:type="pct"/>
            <w:textDirection w:val="lrTb"/>
            <w:noWrap w:val="false"/>
          </w:tcPr>
          <w:p>
            <w:pPr>
              <w:pStyle w:val="1005"/>
              <w:ind w:left="57" w:right="57"/>
            </w:pPr>
            <w:r>
              <w:t xml:space="preserve">Значение вводится вручную.</w:t>
            </w:r>
            <w:r/>
          </w:p>
        </w:tc>
      </w:tr>
      <w:tr>
        <w:trPr>
          <w:trHeight w:val="375"/>
        </w:trPr>
        <w:tc>
          <w:tcPr>
            <w:shd w:val="clear" w:fill="auto" w:color="auto"/>
            <w:tcW w:w="1137" w:type="pct"/>
            <w:textDirection w:val="lrTb"/>
            <w:noWrap w:val="false"/>
          </w:tcPr>
          <w:p>
            <w:pPr>
              <w:pStyle w:val="1005"/>
              <w:ind w:left="57" w:right="57"/>
            </w:pPr>
            <w:r>
              <w:t xml:space="preserve">ИНН</w:t>
            </w:r>
            <w:r/>
          </w:p>
        </w:tc>
        <w:tc>
          <w:tcPr>
            <w:shd w:val="clear" w:fill="auto" w:color="auto"/>
            <w:tcW w:w="3863" w:type="pct"/>
            <w:textDirection w:val="lrTb"/>
            <w:noWrap w:val="false"/>
          </w:tcPr>
          <w:p>
            <w:pPr>
              <w:pStyle w:val="1005"/>
              <w:ind w:left="57" w:right="57"/>
            </w:pPr>
            <w:r>
              <w:t xml:space="preserve">Значение подтягивается автоматически после заполнения поля </w:t>
            </w:r>
            <w:r>
              <w:t xml:space="preserve">«</w:t>
            </w:r>
            <w:r>
              <w:t xml:space="preserve">л/с</w:t>
            </w:r>
            <w:r>
              <w:t xml:space="preserve">»</w:t>
            </w:r>
            <w:r>
              <w:t xml:space="preserve"> из спр</w:t>
            </w:r>
            <w:r>
              <w:t xml:space="preserve">а</w:t>
            </w:r>
            <w:r>
              <w:t xml:space="preserve">вочника </w:t>
            </w:r>
            <w:r>
              <w:t xml:space="preserve">«</w:t>
            </w:r>
            <w:r>
              <w:t xml:space="preserve">Лицевые счета</w:t>
            </w:r>
            <w:r>
              <w:t xml:space="preserve">»</w:t>
            </w:r>
            <w:r>
              <w:t xml:space="preserve"> (блок </w:t>
            </w:r>
            <w:r>
              <w:t xml:space="preserve">«</w:t>
            </w:r>
            <w:r>
              <w:t xml:space="preserve">Информация о владельце сч</w:t>
            </w:r>
            <w:r>
              <w:t xml:space="preserve">е</w:t>
            </w:r>
            <w:r>
              <w:t xml:space="preserve">та</w:t>
            </w:r>
            <w:r>
              <w:t xml:space="preserve">»</w:t>
            </w:r>
            <w:r>
              <w:t xml:space="preserve">).</w:t>
            </w:r>
            <w:r/>
          </w:p>
          <w:p>
            <w:pPr>
              <w:pStyle w:val="1005"/>
              <w:ind w:left="57" w:right="57"/>
            </w:pPr>
            <w:r>
              <w:t xml:space="preserve">Е</w:t>
            </w:r>
            <w:r>
              <w:t xml:space="preserve">сли значение поля </w:t>
            </w:r>
            <w:r>
              <w:t xml:space="preserve">«</w:t>
            </w:r>
            <w:r>
              <w:t xml:space="preserve">Переход на СР</w:t>
            </w:r>
            <w:r>
              <w:t xml:space="preserve">» </w:t>
            </w:r>
            <w:r>
              <w:t xml:space="preserve">=</w:t>
            </w:r>
            <w:r>
              <w:t xml:space="preserve"> </w:t>
            </w:r>
            <w:r>
              <w:t xml:space="preserve">1, то автозаполнение осуществля</w:t>
            </w:r>
            <w:r>
              <w:t xml:space="preserve">е</w:t>
            </w:r>
            <w:r>
              <w:t xml:space="preserve">т</w:t>
            </w:r>
            <w:r>
              <w:t xml:space="preserve">ся</w:t>
            </w:r>
            <w:r>
              <w:t xml:space="preserve"> по справочнику </w:t>
            </w:r>
            <w:r>
              <w:t xml:space="preserve">«</w:t>
            </w:r>
            <w:r>
              <w:t xml:space="preserve">Реестр участников бюджетного процесса, а также юридич</w:t>
            </w:r>
            <w:r>
              <w:t xml:space="preserve">е</w:t>
            </w:r>
            <w:r>
              <w:t xml:space="preserve">ских лиц, не являющихся участниками бюджетного проце</w:t>
            </w:r>
            <w:r>
              <w:t xml:space="preserve">с</w:t>
            </w:r>
            <w:r>
              <w:t xml:space="preserve">са</w:t>
            </w:r>
            <w:r>
              <w:t xml:space="preserve">».</w:t>
            </w:r>
            <w:r/>
          </w:p>
          <w:p>
            <w:pPr>
              <w:pStyle w:val="1005"/>
              <w:ind w:left="57" w:right="57"/>
            </w:pPr>
            <w:r>
              <w:t xml:space="preserve">Может быть отредактировано вручную</w:t>
            </w:r>
            <w:r>
              <w:t xml:space="preserve">.</w:t>
            </w:r>
            <w:r/>
          </w:p>
        </w:tc>
      </w:tr>
      <w:tr>
        <w:trPr>
          <w:trHeight w:val="375"/>
        </w:trPr>
        <w:tc>
          <w:tcPr>
            <w:shd w:val="clear" w:fill="auto" w:color="auto"/>
            <w:tcW w:w="1137" w:type="pct"/>
            <w:textDirection w:val="lrTb"/>
            <w:noWrap w:val="false"/>
          </w:tcPr>
          <w:p>
            <w:pPr>
              <w:pStyle w:val="1005"/>
              <w:ind w:left="57" w:right="57"/>
            </w:pPr>
            <w:r>
              <w:t xml:space="preserve">КПП</w:t>
            </w:r>
            <w:r/>
          </w:p>
        </w:tc>
        <w:tc>
          <w:tcPr>
            <w:shd w:val="clear" w:fill="auto" w:color="auto"/>
            <w:tcW w:w="3863" w:type="pct"/>
            <w:textDirection w:val="lrTb"/>
            <w:noWrap w:val="false"/>
          </w:tcPr>
          <w:p>
            <w:pPr>
              <w:pStyle w:val="1005"/>
              <w:ind w:left="57" w:right="57"/>
            </w:pPr>
            <w:r>
              <w:t xml:space="preserve">Значение подтягивается автоматически после заполнения поля </w:t>
            </w:r>
            <w:r>
              <w:t xml:space="preserve">«</w:t>
            </w:r>
            <w:r>
              <w:t xml:space="preserve">л/с</w:t>
            </w:r>
            <w:r>
              <w:t xml:space="preserve">»</w:t>
            </w:r>
            <w:r>
              <w:t xml:space="preserve"> из спр</w:t>
            </w:r>
            <w:r>
              <w:t xml:space="preserve">а</w:t>
            </w:r>
            <w:r>
              <w:t xml:space="preserve">вочника </w:t>
            </w:r>
            <w:r>
              <w:t xml:space="preserve">«</w:t>
            </w:r>
            <w:r>
              <w:t xml:space="preserve">Лицевые счета</w:t>
            </w:r>
            <w:r>
              <w:t xml:space="preserve">»</w:t>
            </w:r>
            <w:r>
              <w:t xml:space="preserve"> (блок </w:t>
            </w:r>
            <w:r>
              <w:t xml:space="preserve">«</w:t>
            </w:r>
            <w:r>
              <w:t xml:space="preserve">Информация о владельце сч</w:t>
            </w:r>
            <w:r>
              <w:t xml:space="preserve">е</w:t>
            </w:r>
            <w:r>
              <w:t xml:space="preserve">та</w:t>
            </w:r>
            <w:r>
              <w:t xml:space="preserve">»</w:t>
            </w:r>
            <w:r>
              <w:t xml:space="preserve">).</w:t>
            </w:r>
            <w:r/>
          </w:p>
          <w:p>
            <w:pPr>
              <w:pStyle w:val="1005"/>
              <w:ind w:left="57" w:right="57"/>
            </w:pPr>
            <w:r>
              <w:t xml:space="preserve">Е</w:t>
            </w:r>
            <w:r>
              <w:t xml:space="preserve">сли значение поля </w:t>
            </w:r>
            <w:r>
              <w:t xml:space="preserve">«</w:t>
            </w:r>
            <w:r>
              <w:t xml:space="preserve">Переход на СР</w:t>
            </w:r>
            <w:r>
              <w:t xml:space="preserve">» </w:t>
            </w:r>
            <w:r>
              <w:t xml:space="preserve">=</w:t>
            </w:r>
            <w:r>
              <w:t xml:space="preserve"> </w:t>
            </w:r>
            <w:r>
              <w:t xml:space="preserve">1, то автозаполнение осуществля</w:t>
            </w:r>
            <w:r>
              <w:t xml:space="preserve">е</w:t>
            </w:r>
            <w:r>
              <w:t xml:space="preserve">т</w:t>
            </w:r>
            <w:r>
              <w:t xml:space="preserve">ся</w:t>
            </w:r>
            <w:r>
              <w:t xml:space="preserve"> по справочнику </w:t>
            </w:r>
            <w:r>
              <w:t xml:space="preserve">«</w:t>
            </w:r>
            <w:r>
              <w:t xml:space="preserve">Реестр участников бюджетного процесса, а также юридич</w:t>
            </w:r>
            <w:r>
              <w:t xml:space="preserve">е</w:t>
            </w:r>
            <w:r>
              <w:t xml:space="preserve">ских лиц, не являющихся участниками бюджетного проце</w:t>
            </w:r>
            <w:r>
              <w:t xml:space="preserve">с</w:t>
            </w:r>
            <w:r>
              <w:t xml:space="preserve">са</w:t>
            </w:r>
            <w:r>
              <w:t xml:space="preserve">».</w:t>
            </w:r>
            <w:r/>
          </w:p>
          <w:p>
            <w:pPr>
              <w:pStyle w:val="1005"/>
              <w:ind w:left="57" w:right="57"/>
            </w:pPr>
            <w:r>
              <w:t xml:space="preserve">Может быть отредактировано вручную</w:t>
            </w:r>
            <w:r>
              <w:t xml:space="preserve">.</w:t>
            </w:r>
            <w:r/>
          </w:p>
        </w:tc>
      </w:tr>
      <w:tr>
        <w:trPr>
          <w:trHeight w:val="375"/>
        </w:trPr>
        <w:tc>
          <w:tcPr>
            <w:shd w:val="clear" w:fill="auto" w:color="auto"/>
            <w:tcW w:w="1137" w:type="pct"/>
            <w:textDirection w:val="lrTb"/>
            <w:noWrap w:val="false"/>
          </w:tcPr>
          <w:p>
            <w:pPr>
              <w:pStyle w:val="1005"/>
              <w:ind w:left="57" w:right="57"/>
            </w:pPr>
            <w:r>
              <w:t xml:space="preserve">Банк. </w:t>
            </w:r>
            <w:r>
              <w:t xml:space="preserve">С</w:t>
            </w:r>
            <w:r>
              <w:t xml:space="preserve">чет</w:t>
            </w:r>
            <w:r/>
          </w:p>
        </w:tc>
        <w:tc>
          <w:tcPr>
            <w:shd w:val="clear" w:fill="auto" w:color="auto"/>
            <w:tcW w:w="3863" w:type="pct"/>
            <w:textDirection w:val="lrTb"/>
            <w:noWrap w:val="false"/>
          </w:tcPr>
          <w:p>
            <w:pPr>
              <w:pStyle w:val="1005"/>
              <w:ind w:left="57" w:right="57"/>
            </w:pPr>
            <w:r>
              <w:t xml:space="preserve">Значение вводится вручную или выбирается из справочника </w:t>
            </w:r>
            <w:r>
              <w:t xml:space="preserve">«</w:t>
            </w:r>
            <w:r>
              <w:t xml:space="preserve">Банковские сч</w:t>
            </w:r>
            <w:r>
              <w:t xml:space="preserve">е</w:t>
            </w:r>
            <w:r>
              <w:t xml:space="preserve">та ФК</w:t>
            </w:r>
            <w:r>
              <w:t xml:space="preserve">»</w:t>
            </w:r>
            <w:r>
              <w:t xml:space="preserve">.</w:t>
            </w:r>
            <w:r/>
          </w:p>
        </w:tc>
      </w:tr>
      <w:tr>
        <w:trPr>
          <w:trHeight w:val="375"/>
        </w:trPr>
        <w:tc>
          <w:tcPr>
            <w:shd w:val="clear" w:fill="auto" w:color="auto"/>
            <w:tcW w:w="1137" w:type="pct"/>
            <w:textDirection w:val="lrTb"/>
            <w:noWrap w:val="false"/>
          </w:tcPr>
          <w:p>
            <w:pPr>
              <w:pStyle w:val="1005"/>
              <w:ind w:left="57" w:right="57"/>
            </w:pPr>
            <w:r>
              <w:t xml:space="preserve">БИК/SWIFT</w:t>
            </w:r>
            <w:r/>
          </w:p>
        </w:tc>
        <w:tc>
          <w:tcPr>
            <w:shd w:val="clear" w:fill="auto" w:color="auto"/>
            <w:tcW w:w="3863" w:type="pct"/>
            <w:textDirection w:val="lrTb"/>
            <w:noWrap w:val="false"/>
          </w:tcPr>
          <w:p>
            <w:pPr>
              <w:pStyle w:val="1005"/>
              <w:ind w:left="57" w:right="57"/>
            </w:pPr>
            <w:r>
              <w:t xml:space="preserve">Значение подтягивается автоматически после заполнения поля </w:t>
            </w:r>
            <w:r>
              <w:t xml:space="preserve">«</w:t>
            </w:r>
            <w:r>
              <w:t xml:space="preserve">Банк. </w:t>
            </w:r>
            <w:r>
              <w:t xml:space="preserve">С</w:t>
            </w:r>
            <w:r>
              <w:t xml:space="preserve">чет</w:t>
            </w:r>
            <w:r>
              <w:t xml:space="preserve">»</w:t>
            </w:r>
            <w:r>
              <w:t xml:space="preserve"> из справочника </w:t>
            </w:r>
            <w:r>
              <w:t xml:space="preserve">«</w:t>
            </w:r>
            <w:r>
              <w:t xml:space="preserve">Банковские счета ФК</w:t>
            </w:r>
            <w:r>
              <w:t xml:space="preserve">»</w:t>
            </w:r>
            <w:r>
              <w:t xml:space="preserve"> из поля </w:t>
            </w:r>
            <w:r>
              <w:t xml:space="preserve">«</w:t>
            </w:r>
            <w:r>
              <w:t xml:space="preserve">БИК</w:t>
            </w:r>
            <w:r>
              <w:t xml:space="preserve">»</w:t>
            </w:r>
            <w:r>
              <w:t xml:space="preserve">.</w:t>
            </w:r>
            <w:r/>
          </w:p>
          <w:p>
            <w:pPr>
              <w:pStyle w:val="1005"/>
              <w:ind w:left="57" w:right="57"/>
            </w:pPr>
            <w:r>
              <w:t xml:space="preserve">Значение вводится вручную или выбирается из справо</w:t>
            </w:r>
            <w:r>
              <w:t xml:space="preserve">чника банков.</w:t>
            </w:r>
            <w:r/>
          </w:p>
        </w:tc>
      </w:tr>
      <w:tr>
        <w:trPr>
          <w:trHeight w:val="375"/>
        </w:trPr>
        <w:tc>
          <w:tcPr>
            <w:shd w:val="clear" w:fill="auto" w:color="auto"/>
            <w:tcW w:w="1137" w:type="pct"/>
            <w:textDirection w:val="lrTb"/>
            <w:noWrap w:val="false"/>
          </w:tcPr>
          <w:p>
            <w:pPr>
              <w:pStyle w:val="1005"/>
              <w:ind w:left="57" w:right="57"/>
            </w:pPr>
            <w:r>
              <w:t xml:space="preserve">Кор.счет</w:t>
            </w:r>
            <w:r/>
          </w:p>
        </w:tc>
        <w:tc>
          <w:tcPr>
            <w:shd w:val="clear" w:fill="auto" w:color="auto"/>
            <w:tcW w:w="3863" w:type="pct"/>
            <w:textDirection w:val="lrTb"/>
            <w:noWrap w:val="false"/>
          </w:tcPr>
          <w:p>
            <w:pPr>
              <w:pStyle w:val="1005"/>
              <w:ind w:left="57" w:right="57"/>
            </w:pPr>
            <w:r>
              <w:t xml:space="preserve">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w:t>
            </w:r>
            <w:r>
              <w:t xml:space="preserve">найденной записи Казначейского счета. При выборе БИК из справочника банков поле «Корсчет» не меняется.</w:t>
            </w:r>
            <w:r/>
          </w:p>
          <w:p>
            <w:pPr>
              <w:pStyle w:val="1005"/>
              <w:ind w:left="57" w:right="57"/>
            </w:pPr>
            <w:r>
              <w:t xml:space="preserve">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t xml:space="preserve"> </w:t>
            </w:r>
            <w:r/>
          </w:p>
          <w:p>
            <w:pPr>
              <w:pStyle w:val="1005"/>
              <w:ind w:left="57" w:right="57"/>
            </w:pPr>
            <w:r>
              <w:t xml:space="preserve">Значение может быть отредактир</w:t>
            </w:r>
            <w:r>
              <w:t xml:space="preserve">овано вручную.</w:t>
            </w:r>
            <w:r/>
          </w:p>
        </w:tc>
      </w:tr>
      <w:tr>
        <w:trPr>
          <w:trHeight w:val="375"/>
        </w:trPr>
        <w:tc>
          <w:tcPr>
            <w:shd w:val="clear" w:fill="auto" w:color="auto"/>
            <w:tcW w:w="1137" w:type="pct"/>
            <w:textDirection w:val="lrTb"/>
            <w:noWrap w:val="false"/>
          </w:tcPr>
          <w:p>
            <w:pPr>
              <w:pStyle w:val="1005"/>
              <w:ind w:left="57" w:right="57"/>
            </w:pPr>
            <w:r>
              <w:t xml:space="preserve">Банк</w:t>
            </w:r>
            <w:r/>
          </w:p>
        </w:tc>
        <w:tc>
          <w:tcPr>
            <w:shd w:val="clear" w:fill="auto" w:color="auto"/>
            <w:tcW w:w="3863" w:type="pct"/>
            <w:textDirection w:val="lrTb"/>
            <w:noWrap w:val="false"/>
          </w:tcPr>
          <w:p>
            <w:pPr>
              <w:pStyle w:val="1005"/>
              <w:ind w:left="57" w:right="57"/>
            </w:pPr>
            <w:r>
              <w:t xml:space="preserve">Значение подтягивается автоматически после заполнения поля </w:t>
            </w:r>
            <w:r>
              <w:t xml:space="preserve">«</w:t>
            </w:r>
            <w:r>
              <w:t xml:space="preserve">БИК/SWIFT</w:t>
            </w:r>
            <w:r>
              <w:t xml:space="preserve">»</w:t>
            </w:r>
            <w:r>
              <w:t xml:space="preserve"> из справочника банков из поля </w:t>
            </w:r>
            <w:r>
              <w:t xml:space="preserve">«</w:t>
            </w:r>
            <w:r>
              <w:t xml:space="preserve">Платежное наименование банка составное</w:t>
            </w:r>
            <w:r>
              <w:t xml:space="preserve">»</w:t>
            </w:r>
            <w:r>
              <w:t xml:space="preserve">. Зн</w:t>
            </w:r>
            <w:r>
              <w:t xml:space="preserve">а</w:t>
            </w:r>
            <w:r>
              <w:t xml:space="preserve">ч</w:t>
            </w:r>
            <w:r>
              <w:t xml:space="preserve">е</w:t>
            </w:r>
            <w:r>
              <w:t xml:space="preserve">ние может быть отредактировано вручную.</w:t>
            </w:r>
            <w:r/>
          </w:p>
        </w:tc>
      </w:tr>
      <w:tr>
        <w:trPr>
          <w:trHeight w:val="375"/>
        </w:trPr>
        <w:tc>
          <w:tcPr>
            <w:gridSpan w:val="2"/>
            <w:shd w:val="clear" w:fill="auto" w:color="auto"/>
            <w:tcW w:w="5000" w:type="pct"/>
            <w:textDirection w:val="lrTb"/>
            <w:noWrap w:val="false"/>
          </w:tcPr>
          <w:p>
            <w:pPr>
              <w:pStyle w:val="1005"/>
              <w:ind w:left="57" w:right="57"/>
            </w:pPr>
            <w:r>
              <w:t xml:space="preserve">З</w:t>
            </w:r>
            <w:r>
              <w:t xml:space="preserve">а</w:t>
            </w:r>
            <w:r>
              <w:t xml:space="preserve">кладка </w:t>
            </w:r>
            <w:r>
              <w:t xml:space="preserve">«</w:t>
            </w:r>
            <w:r>
              <w:t xml:space="preserve">Документ (1)</w:t>
            </w:r>
            <w:r>
              <w:t xml:space="preserve">», вкладка</w:t>
            </w:r>
            <w:r>
              <w:t xml:space="preserve"> «</w:t>
            </w:r>
            <w:r>
              <w:t xml:space="preserve">Основные атрибуты</w:t>
            </w:r>
            <w:r>
              <w:t xml:space="preserve">», группа полей «</w:t>
            </w:r>
            <w:r>
              <w:t xml:space="preserve">Реквизиты получателя</w:t>
            </w:r>
            <w:r>
              <w:t xml:space="preserve">»</w:t>
            </w:r>
            <w:r/>
          </w:p>
        </w:tc>
      </w:tr>
      <w:tr>
        <w:trPr>
          <w:trHeight w:val="375"/>
        </w:trPr>
        <w:tc>
          <w:tcPr>
            <w:shd w:val="clear" w:fill="auto" w:color="auto"/>
            <w:tcW w:w="1137" w:type="pct"/>
            <w:textDirection w:val="lrTb"/>
            <w:noWrap w:val="false"/>
          </w:tcPr>
          <w:p>
            <w:pPr>
              <w:pStyle w:val="1005"/>
              <w:ind w:left="57" w:right="57"/>
            </w:pPr>
            <w:r>
              <w:t xml:space="preserve">Наименование </w:t>
            </w:r>
            <w:r/>
          </w:p>
        </w:tc>
        <w:tc>
          <w:tcPr>
            <w:shd w:val="clear" w:fill="auto" w:color="auto"/>
            <w:tcW w:w="3863" w:type="pct"/>
            <w:textDirection w:val="lrTb"/>
            <w:noWrap w:val="false"/>
          </w:tcPr>
          <w:p>
            <w:pPr>
              <w:pStyle w:val="1005"/>
              <w:ind w:left="57" w:right="57"/>
            </w:pPr>
            <w:r>
              <w:t xml:space="preserve">Значение вводится вручную или выбирается из справочника поставщ</w:t>
            </w:r>
            <w:r>
              <w:t xml:space="preserve">иков. </w:t>
            </w:r>
            <w:r/>
          </w:p>
          <w:p>
            <w:pPr>
              <w:pStyle w:val="1005"/>
              <w:ind w:left="57" w:right="57"/>
            </w:pPr>
            <w:r/>
            <w:r/>
          </w:p>
        </w:tc>
      </w:tr>
      <w:tr>
        <w:trPr>
          <w:trHeight w:val="375"/>
        </w:trPr>
        <w:tc>
          <w:tcPr>
            <w:shd w:val="clear" w:fill="auto" w:color="auto"/>
            <w:tcW w:w="1137" w:type="pct"/>
            <w:textDirection w:val="lrTb"/>
            <w:noWrap w:val="false"/>
          </w:tcPr>
          <w:p>
            <w:pPr>
              <w:pStyle w:val="1005"/>
              <w:ind w:left="57" w:right="57"/>
            </w:pPr>
            <w:r>
              <w:t xml:space="preserve">ИНН</w:t>
            </w:r>
            <w:r/>
          </w:p>
        </w:tc>
        <w:tc>
          <w:tcPr>
            <w:shd w:val="clear" w:fill="auto" w:color="auto"/>
            <w:tcW w:w="3863" w:type="pct"/>
            <w:textDirection w:val="lrTb"/>
            <w:noWrap w:val="false"/>
          </w:tcPr>
          <w:p>
            <w:pPr>
              <w:pStyle w:val="1005"/>
              <w:ind w:left="57" w:right="57"/>
            </w:pPr>
            <w:r>
              <w:t xml:space="preserve">Значение заполняется автоматически после заполнения поля </w:t>
            </w:r>
            <w:r>
              <w:t xml:space="preserve">«</w:t>
            </w:r>
            <w:r>
              <w:t xml:space="preserve">Наименов</w:t>
            </w:r>
            <w:r>
              <w:t xml:space="preserve">ание</w:t>
            </w:r>
            <w:r>
              <w:t xml:space="preserve">»</w:t>
            </w:r>
            <w:r>
              <w:t xml:space="preserve">.</w:t>
            </w:r>
            <w:r/>
          </w:p>
          <w:p>
            <w:pPr>
              <w:pStyle w:val="1005"/>
              <w:ind w:left="57" w:right="57"/>
            </w:pPr>
            <w:r>
              <w:t xml:space="preserve">Значение может быть отредактировано вручную.</w:t>
            </w:r>
            <w:r>
              <w:t xml:space="preserve"> </w:t>
            </w:r>
            <w:r/>
          </w:p>
        </w:tc>
      </w:tr>
      <w:tr>
        <w:trPr>
          <w:trHeight w:val="375"/>
        </w:trPr>
        <w:tc>
          <w:tcPr>
            <w:shd w:val="clear" w:fill="auto" w:color="auto"/>
            <w:tcW w:w="1137" w:type="pct"/>
            <w:textDirection w:val="lrTb"/>
            <w:noWrap w:val="false"/>
          </w:tcPr>
          <w:p>
            <w:pPr>
              <w:pStyle w:val="1005"/>
              <w:ind w:left="57" w:right="57"/>
            </w:pPr>
            <w:r>
              <w:t xml:space="preserve">КПП</w:t>
            </w:r>
            <w:r/>
          </w:p>
        </w:tc>
        <w:tc>
          <w:tcPr>
            <w:shd w:val="clear" w:fill="auto" w:color="auto"/>
            <w:tcW w:w="3863" w:type="pct"/>
            <w:textDirection w:val="lrTb"/>
            <w:noWrap w:val="false"/>
          </w:tcPr>
          <w:p>
            <w:pPr>
              <w:pStyle w:val="1005"/>
              <w:ind w:left="57" w:right="57"/>
            </w:pPr>
            <w:r>
              <w:t xml:space="preserve">Значение заполняется автоматически после заполнения поля </w:t>
            </w:r>
            <w:r>
              <w:t xml:space="preserve">«</w:t>
            </w:r>
            <w:r>
              <w:t xml:space="preserve">Наименов</w:t>
            </w:r>
            <w:r>
              <w:t xml:space="preserve">ание</w:t>
            </w:r>
            <w:r>
              <w:t xml:space="preserve">»</w:t>
            </w:r>
            <w:r>
              <w:t xml:space="preserve">.</w:t>
            </w:r>
            <w:r/>
          </w:p>
          <w:p>
            <w:pPr>
              <w:pStyle w:val="1005"/>
              <w:ind w:left="57" w:right="57"/>
            </w:pPr>
            <w:r>
              <w:t xml:space="preserve">Значение может быть отредактировано вручную.</w:t>
            </w:r>
            <w:r/>
          </w:p>
        </w:tc>
      </w:tr>
      <w:tr>
        <w:trPr>
          <w:trHeight w:val="375"/>
        </w:trPr>
        <w:tc>
          <w:tcPr>
            <w:shd w:val="clear" w:fill="auto" w:color="auto"/>
            <w:tcW w:w="1137" w:type="pct"/>
            <w:textDirection w:val="lrTb"/>
            <w:noWrap w:val="false"/>
          </w:tcPr>
          <w:p>
            <w:pPr>
              <w:pStyle w:val="1005"/>
              <w:ind w:left="57" w:right="57"/>
            </w:pPr>
            <w:r>
              <w:t xml:space="preserve">Лиц. </w:t>
            </w:r>
            <w:r>
              <w:t xml:space="preserve">С</w:t>
            </w:r>
            <w:r>
              <w:t xml:space="preserve">чет</w:t>
            </w:r>
            <w:r/>
          </w:p>
        </w:tc>
        <w:tc>
          <w:tcPr>
            <w:shd w:val="clear" w:fill="auto" w:color="auto"/>
            <w:tcW w:w="3863" w:type="pct"/>
            <w:textDirection w:val="lrTb"/>
            <w:noWrap w:val="false"/>
          </w:tcPr>
          <w:p>
            <w:pPr>
              <w:pStyle w:val="1005"/>
              <w:ind w:left="57" w:right="57"/>
            </w:pPr>
            <w:r>
              <w:t xml:space="preserve">Значение вводится вручную или выбирается из справочника </w:t>
            </w:r>
            <w:r>
              <w:t xml:space="preserve">«</w:t>
            </w:r>
            <w:r>
              <w:t xml:space="preserve">Лицевые сч</w:t>
            </w:r>
            <w:r>
              <w:t xml:space="preserve">ета</w:t>
            </w:r>
            <w:r>
              <w:t xml:space="preserve">»</w:t>
            </w:r>
            <w:r>
              <w:t xml:space="preserve">.</w:t>
            </w:r>
            <w:r/>
          </w:p>
          <w:p>
            <w:pPr>
              <w:pStyle w:val="1005"/>
              <w:ind w:left="57" w:right="57"/>
            </w:pPr>
            <w:r>
              <w:t xml:space="preserve">Исключена возможность ввода л/с с кодом 30, 32 открытые в ТОФК.</w:t>
            </w:r>
            <w:r/>
          </w:p>
        </w:tc>
      </w:tr>
      <w:tr>
        <w:trPr>
          <w:trHeight w:val="375"/>
        </w:trPr>
        <w:tc>
          <w:tcPr>
            <w:shd w:val="clear" w:fill="auto" w:color="auto"/>
            <w:tcW w:w="1137" w:type="pct"/>
            <w:textDirection w:val="lrTb"/>
            <w:noWrap w:val="false"/>
          </w:tcPr>
          <w:p>
            <w:pPr>
              <w:pStyle w:val="1005"/>
              <w:ind w:left="57" w:right="57"/>
            </w:pPr>
            <w:r>
              <w:t xml:space="preserve">Банк. </w:t>
            </w:r>
            <w:r>
              <w:t xml:space="preserve">С</w:t>
            </w:r>
            <w:r>
              <w:t xml:space="preserve">чет</w:t>
            </w:r>
            <w:r/>
          </w:p>
        </w:tc>
        <w:tc>
          <w:tcPr>
            <w:shd w:val="clear" w:fill="auto" w:color="auto"/>
            <w:tcW w:w="3863" w:type="pct"/>
            <w:textDirection w:val="lrTb"/>
            <w:noWrap w:val="false"/>
          </w:tcPr>
          <w:p>
            <w:pPr>
              <w:pStyle w:val="1005"/>
              <w:ind w:left="57" w:right="57"/>
            </w:pPr>
            <w:r>
              <w:t xml:space="preserve">Значение подставляется автоматически, в случае если для указанного польз</w:t>
            </w:r>
            <w:r>
              <w:t xml:space="preserve">о</w:t>
            </w:r>
            <w:r>
              <w:t xml:space="preserve">в</w:t>
            </w:r>
            <w:r>
              <w:t xml:space="preserve">а</w:t>
            </w:r>
            <w:r>
              <w:t xml:space="preserve">телем получателя платежа в справочнике </w:t>
            </w:r>
            <w:r>
              <w:t xml:space="preserve">«</w:t>
            </w:r>
            <w:r>
              <w:t xml:space="preserve">Банковские счета поставщиков, на</w:t>
            </w:r>
            <w:r>
              <w:t xml:space="preserve">й</w:t>
            </w:r>
            <w:r>
              <w:t xml:space="preserve">ден один единственный счет</w:t>
            </w:r>
            <w:r>
              <w:t xml:space="preserve"> (в</w:t>
            </w:r>
            <w:r>
              <w:t xml:space="preserve"> справочнике </w:t>
            </w:r>
            <w:r>
              <w:t xml:space="preserve">«</w:t>
            </w:r>
            <w:r>
              <w:t xml:space="preserve">Поставщиков</w:t>
            </w:r>
            <w:r>
              <w:t xml:space="preserve">»</w:t>
            </w:r>
            <w:r>
              <w:t xml:space="preserve">, для в</w:t>
            </w:r>
            <w:r>
              <w:t xml:space="preserve">ы</w:t>
            </w:r>
            <w:r>
              <w:t xml:space="preserve">бранной организации находится код и по нему делается выборка из справо</w:t>
            </w:r>
            <w:r>
              <w:t xml:space="preserve">ч</w:t>
            </w:r>
            <w:r>
              <w:t xml:space="preserve">ника </w:t>
            </w:r>
            <w:r>
              <w:t xml:space="preserve">«</w:t>
            </w:r>
            <w:r>
              <w:t xml:space="preserve">Банко</w:t>
            </w:r>
            <w:r>
              <w:t xml:space="preserve">в</w:t>
            </w:r>
            <w:r>
              <w:t xml:space="preserve">ские счета поставщиков</w:t>
            </w:r>
            <w:r>
              <w:t xml:space="preserve">»</w:t>
            </w:r>
            <w:r>
              <w:t xml:space="preserve">: поле </w:t>
            </w:r>
            <w:r>
              <w:t xml:space="preserve">«</w:t>
            </w:r>
            <w:r>
              <w:t xml:space="preserve">Открыт для</w:t>
            </w:r>
            <w:r>
              <w:t xml:space="preserve">»</w:t>
            </w:r>
            <w:r>
              <w:t xml:space="preserve"> должно быть ра</w:t>
            </w:r>
            <w:r>
              <w:t xml:space="preserve">в</w:t>
            </w:r>
            <w:r>
              <w:t xml:space="preserve">но коду поставщ</w:t>
            </w:r>
            <w:r>
              <w:t xml:space="preserve">и</w:t>
            </w:r>
            <w:r>
              <w:t xml:space="preserve">ка</w:t>
            </w:r>
            <w:r>
              <w:t xml:space="preserve">)</w:t>
            </w:r>
            <w:r>
              <w:t xml:space="preserve">.</w:t>
            </w:r>
            <w:r/>
          </w:p>
          <w:p>
            <w:pPr>
              <w:pStyle w:val="1005"/>
              <w:ind w:left="57" w:right="57"/>
            </w:pPr>
            <w:r>
              <w:t xml:space="preserve">В случае если </w:t>
            </w:r>
            <w:r>
              <w:t xml:space="preserve">для организации найдено более одного банковского сч</w:t>
            </w:r>
            <w:r>
              <w:t xml:space="preserve">ета, поле не заполняется и пользователю предоставляется возможность выбрать знач</w:t>
            </w:r>
            <w:r>
              <w:t xml:space="preserve">е</w:t>
            </w:r>
            <w:r>
              <w:t xml:space="preserve">ние из справочника </w:t>
            </w:r>
            <w:r>
              <w:t xml:space="preserve">«</w:t>
            </w:r>
            <w:r>
              <w:t xml:space="preserve">Банковские счета поставщиков</w:t>
            </w:r>
            <w:r>
              <w:t xml:space="preserve">»</w:t>
            </w:r>
            <w:r>
              <w:t xml:space="preserve"> или ввести вручную.</w:t>
            </w:r>
            <w:r/>
          </w:p>
        </w:tc>
      </w:tr>
      <w:tr>
        <w:trPr>
          <w:trHeight w:val="375"/>
        </w:trPr>
        <w:tc>
          <w:tcPr>
            <w:shd w:val="clear" w:fill="auto" w:color="auto"/>
            <w:tcW w:w="1137" w:type="pct"/>
            <w:textDirection w:val="lrTb"/>
            <w:noWrap w:val="false"/>
          </w:tcPr>
          <w:p>
            <w:pPr>
              <w:pStyle w:val="1005"/>
              <w:ind w:left="57" w:right="57"/>
            </w:pPr>
            <w:r>
              <w:t xml:space="preserve">БИК/SWIFT</w:t>
            </w:r>
            <w:r/>
          </w:p>
        </w:tc>
        <w:tc>
          <w:tcPr>
            <w:shd w:val="clear" w:fill="auto" w:color="auto"/>
            <w:tcW w:w="3863" w:type="pct"/>
            <w:textDirection w:val="lrTb"/>
            <w:noWrap w:val="false"/>
          </w:tcPr>
          <w:p>
            <w:pPr>
              <w:pStyle w:val="1005"/>
              <w:ind w:left="57" w:right="57"/>
            </w:pPr>
            <w:r>
              <w:t xml:space="preserve">Значение заполняется вручную или выбирается из справочника Ба</w:t>
            </w:r>
            <w:r>
              <w:t xml:space="preserve">нков.</w:t>
            </w:r>
            <w:r/>
          </w:p>
          <w:p>
            <w:pPr>
              <w:pStyle w:val="1005"/>
              <w:ind w:left="57" w:right="57"/>
            </w:pPr>
            <w:r>
              <w:t xml:space="preserve">Может подтягиваться автоматически после заполнения поля </w:t>
            </w:r>
            <w:r>
              <w:t xml:space="preserve">«</w:t>
            </w:r>
            <w:r>
              <w:t xml:space="preserve">Банковский счет</w:t>
            </w:r>
            <w:r>
              <w:t xml:space="preserve">»</w:t>
            </w:r>
            <w:r>
              <w:t xml:space="preserve"> из справочника </w:t>
            </w:r>
            <w:r>
              <w:t xml:space="preserve">«</w:t>
            </w:r>
            <w:r>
              <w:t xml:space="preserve">Банковские счета поставщиков</w:t>
            </w:r>
            <w:r>
              <w:t xml:space="preserve">»</w:t>
            </w:r>
            <w:r>
              <w:t xml:space="preserve"> (поле </w:t>
            </w:r>
            <w:r>
              <w:t xml:space="preserve">«</w:t>
            </w:r>
            <w:r>
              <w:t xml:space="preserve">где о</w:t>
            </w:r>
            <w:r>
              <w:t xml:space="preserve">ткрыт</w:t>
            </w:r>
            <w:r>
              <w:t xml:space="preserve">»</w:t>
            </w:r>
            <w:r>
              <w:t xml:space="preserve">).</w:t>
            </w:r>
            <w:r/>
          </w:p>
        </w:tc>
      </w:tr>
      <w:tr>
        <w:trPr>
          <w:trHeight w:val="375"/>
        </w:trPr>
        <w:tc>
          <w:tcPr>
            <w:shd w:val="clear" w:fill="auto" w:color="auto"/>
            <w:tcW w:w="1137" w:type="pct"/>
            <w:textDirection w:val="lrTb"/>
            <w:noWrap w:val="false"/>
          </w:tcPr>
          <w:p>
            <w:pPr>
              <w:pStyle w:val="1005"/>
              <w:ind w:left="57" w:right="57"/>
            </w:pPr>
            <w:r>
              <w:t xml:space="preserve">Кор. </w:t>
            </w:r>
            <w:r>
              <w:t xml:space="preserve">С</w:t>
            </w:r>
            <w:r>
              <w:t xml:space="preserve">чет</w:t>
            </w:r>
            <w:r/>
          </w:p>
        </w:tc>
        <w:tc>
          <w:tcPr>
            <w:shd w:val="clear" w:fill="auto" w:color="auto"/>
            <w:tcW w:w="3863" w:type="pct"/>
            <w:textDirection w:val="lrTb"/>
            <w:noWrap w:val="false"/>
          </w:tcPr>
          <w:p>
            <w:pPr>
              <w:pStyle w:val="1005"/>
              <w:ind w:left="57" w:right="57"/>
            </w:pPr>
            <w:r>
              <w:t xml:space="preserve">В случае если в поле «Банк.счет» указан Казначейский счет (знач</w:t>
            </w:r>
            <w:r>
              <w:t xml:space="preserve">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r/>
          </w:p>
          <w:p>
            <w:pPr>
              <w:pStyle w:val="1005"/>
              <w:ind w:left="57" w:right="57"/>
            </w:pPr>
            <w:r>
              <w:t xml:space="preserve">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t xml:space="preserve"> </w:t>
            </w:r>
            <w:r/>
          </w:p>
        </w:tc>
      </w:tr>
      <w:tr>
        <w:trPr>
          <w:trHeight w:val="375"/>
        </w:trPr>
        <w:tc>
          <w:tcPr>
            <w:shd w:val="clear" w:fill="auto" w:color="auto"/>
            <w:tcW w:w="1137" w:type="pct"/>
            <w:textDirection w:val="lrTb"/>
            <w:noWrap w:val="false"/>
          </w:tcPr>
          <w:p>
            <w:pPr>
              <w:pStyle w:val="1005"/>
              <w:ind w:left="57" w:right="57"/>
            </w:pPr>
            <w:r>
              <w:t xml:space="preserve">Банк</w:t>
            </w:r>
            <w:r/>
          </w:p>
        </w:tc>
        <w:tc>
          <w:tcPr>
            <w:shd w:val="clear" w:fill="auto" w:color="auto"/>
            <w:tcW w:w="3863" w:type="pct"/>
            <w:textDirection w:val="lrTb"/>
            <w:noWrap w:val="false"/>
          </w:tcPr>
          <w:p>
            <w:pPr>
              <w:pStyle w:val="1005"/>
              <w:ind w:left="57" w:right="57"/>
            </w:pPr>
            <w:r>
              <w:t xml:space="preserve">Значение подтягивается автоматически после заполнения поля </w:t>
            </w:r>
            <w:r>
              <w:t xml:space="preserve">«</w:t>
            </w:r>
            <w:r>
              <w:t xml:space="preserve">БИК/SWIFT</w:t>
            </w:r>
            <w:r>
              <w:t xml:space="preserve">»</w:t>
            </w:r>
            <w:r>
              <w:t xml:space="preserve"> из справочника Банков из поля </w:t>
            </w:r>
            <w:r>
              <w:t xml:space="preserve">«</w:t>
            </w:r>
            <w:r>
              <w:t xml:space="preserve">Платёжное наименов</w:t>
            </w:r>
            <w:r>
              <w:t xml:space="preserve">ание банка составное</w:t>
            </w:r>
            <w:r>
              <w:t xml:space="preserve">»</w:t>
            </w:r>
            <w:r>
              <w:t xml:space="preserve">.</w:t>
            </w:r>
            <w:r/>
          </w:p>
        </w:tc>
      </w:tr>
      <w:tr>
        <w:trPr/>
        <w:tc>
          <w:tcPr>
            <w:shd w:val="clear" w:fill="auto" w:color="auto"/>
            <w:tcW w:w="1137" w:type="pct"/>
            <w:textDirection w:val="lrTb"/>
            <w:noWrap w:val="false"/>
          </w:tcPr>
          <w:p>
            <w:pPr>
              <w:pStyle w:val="1005"/>
              <w:ind w:left="57" w:right="57"/>
            </w:pPr>
            <w:r>
              <w:t xml:space="preserve">Вид операции</w:t>
            </w:r>
            <w:r/>
          </w:p>
        </w:tc>
        <w:tc>
          <w:tcPr>
            <w:shd w:val="clear" w:fill="auto" w:color="auto"/>
            <w:tcW w:w="3863" w:type="pct"/>
            <w:textDirection w:val="lrTb"/>
            <w:noWrap w:val="false"/>
          </w:tcPr>
          <w:p>
            <w:pPr>
              <w:pStyle w:val="1005"/>
              <w:ind w:left="57" w:right="57"/>
            </w:pPr>
            <w:r>
              <w:t xml:space="preserve">Значение вводится вручную.</w:t>
            </w:r>
            <w:r/>
          </w:p>
        </w:tc>
      </w:tr>
      <w:tr>
        <w:trPr/>
        <w:tc>
          <w:tcPr>
            <w:shd w:val="clear" w:fill="auto" w:color="auto"/>
            <w:tcW w:w="1137" w:type="pct"/>
            <w:textDirection w:val="lrTb"/>
            <w:noWrap w:val="false"/>
          </w:tcPr>
          <w:p>
            <w:pPr>
              <w:pStyle w:val="1005"/>
              <w:ind w:left="57" w:right="57"/>
            </w:pPr>
            <w:r>
              <w:t xml:space="preserve">Вид дохода</w:t>
            </w:r>
            <w:r/>
          </w:p>
        </w:tc>
        <w:tc>
          <w:tcPr>
            <w:shd w:val="clear" w:fill="auto" w:color="auto"/>
            <w:tcW w:w="3863" w:type="pct"/>
            <w:textDirection w:val="lrTb"/>
            <w:noWrap w:val="false"/>
          </w:tcPr>
          <w:p>
            <w:pPr>
              <w:pStyle w:val="1005"/>
              <w:ind w:left="57" w:right="57"/>
            </w:pPr>
            <w:r>
              <w:t xml:space="preserve">Код вида дохода заполняется автоматически при импорте документа.</w:t>
            </w:r>
            <w:r/>
          </w:p>
          <w:p>
            <w:pPr>
              <w:pStyle w:val="1005"/>
              <w:ind w:left="57" w:right="57"/>
            </w:pPr>
            <w:r>
              <w:t xml:space="preserve">При ручном вводе документа заполняется пользователем путем выбора из списка значений: 1, 2, 3.</w:t>
            </w:r>
            <w:r/>
          </w:p>
        </w:tc>
      </w:tr>
      <w:tr>
        <w:trPr/>
        <w:tc>
          <w:tcPr>
            <w:shd w:val="clear" w:fill="auto" w:color="auto"/>
            <w:tcW w:w="1137" w:type="pct"/>
            <w:textDirection w:val="lrTb"/>
            <w:noWrap w:val="false"/>
          </w:tcPr>
          <w:p>
            <w:pPr>
              <w:pStyle w:val="1005"/>
              <w:ind w:left="57" w:right="57"/>
            </w:pPr>
            <w:r>
              <w:t xml:space="preserve">Очередность пл</w:t>
            </w:r>
            <w:r>
              <w:t xml:space="preserve">а</w:t>
            </w:r>
            <w:r>
              <w:t xml:space="preserve">т</w:t>
            </w:r>
            <w:r>
              <w:t xml:space="preserve">е</w:t>
            </w:r>
            <w:r>
              <w:t xml:space="preserve">жа</w:t>
            </w:r>
            <w:r/>
          </w:p>
        </w:tc>
        <w:tc>
          <w:tcPr>
            <w:shd w:val="clear" w:fill="auto" w:color="auto"/>
            <w:tcW w:w="3863" w:type="pct"/>
            <w:textDirection w:val="lrTb"/>
            <w:noWrap w:val="false"/>
          </w:tcPr>
          <w:p>
            <w:pPr>
              <w:pStyle w:val="1005"/>
              <w:ind w:left="57" w:right="57"/>
            </w:pPr>
            <w:r>
              <w:t xml:space="preserve">Очередность платежа.</w:t>
            </w:r>
            <w:r/>
          </w:p>
          <w:p>
            <w:pPr>
              <w:pStyle w:val="1005"/>
              <w:ind w:left="57" w:right="57"/>
            </w:pPr>
            <w:r>
              <w:t xml:space="preserve">З</w:t>
            </w:r>
            <w:r>
              <w:t xml:space="preserve">начение по умолчанию </w:t>
            </w:r>
            <w:r>
              <w:t xml:space="preserve">«</w:t>
            </w:r>
            <w:r>
              <w:t xml:space="preserve">5</w:t>
            </w:r>
            <w:r>
              <w:t xml:space="preserve">»</w:t>
            </w:r>
            <w:r>
              <w:t xml:space="preserve">. </w:t>
            </w:r>
            <w:r/>
          </w:p>
          <w:p>
            <w:pPr>
              <w:pStyle w:val="1005"/>
              <w:ind w:left="57" w:right="57"/>
            </w:pPr>
            <w:r>
              <w:t xml:space="preserve">Может быть изменено пользователем выбором из выпадающего сп</w:t>
            </w:r>
            <w:r>
              <w:t xml:space="preserve">иска: 1, 2, 3, 4, 5.</w:t>
            </w:r>
            <w:r/>
          </w:p>
        </w:tc>
      </w:tr>
      <w:tr>
        <w:trPr>
          <w:trHeight w:val="375"/>
        </w:trPr>
        <w:tc>
          <w:tcPr>
            <w:shd w:val="clear" w:fill="auto" w:color="auto"/>
            <w:tcW w:w="1137" w:type="pct"/>
            <w:textDirection w:val="lrTb"/>
            <w:noWrap w:val="false"/>
          </w:tcPr>
          <w:p>
            <w:pPr>
              <w:pStyle w:val="1005"/>
              <w:ind w:left="57" w:right="57"/>
            </w:pPr>
            <w:r>
              <w:t xml:space="preserve">ИПД</w:t>
            </w:r>
            <w:r/>
          </w:p>
        </w:tc>
        <w:tc>
          <w:tcPr>
            <w:shd w:val="clear" w:fill="auto" w:color="auto"/>
            <w:tcW w:w="3863" w:type="pct"/>
            <w:textDirection w:val="lrTb"/>
            <w:noWrap w:val="false"/>
          </w:tcPr>
          <w:p>
            <w:pPr>
              <w:pStyle w:val="1005"/>
              <w:ind w:left="57" w:right="57"/>
            </w:pPr>
            <w:r>
              <w:t xml:space="preserve">Значение вводится вручную.</w:t>
            </w:r>
            <w:r/>
          </w:p>
        </w:tc>
      </w:tr>
      <w:tr>
        <w:trPr>
          <w:trHeight w:val="375"/>
        </w:trPr>
        <w:tc>
          <w:tcPr>
            <w:shd w:val="clear" w:fill="auto" w:color="auto"/>
            <w:tcW w:w="1137" w:type="pct"/>
            <w:textDirection w:val="lrTb"/>
            <w:noWrap w:val="false"/>
          </w:tcPr>
          <w:p>
            <w:pPr>
              <w:pStyle w:val="1005"/>
              <w:ind w:left="57" w:right="57"/>
            </w:pPr>
            <w:r>
              <w:t xml:space="preserve">ПРД</w:t>
            </w:r>
            <w:r/>
          </w:p>
        </w:tc>
        <w:tc>
          <w:tcPr>
            <w:shd w:val="clear" w:fill="auto" w:color="auto"/>
            <w:tcW w:w="3863" w:type="pct"/>
            <w:textDirection w:val="lrTb"/>
            <w:noWrap w:val="false"/>
          </w:tcPr>
          <w:p>
            <w:pPr>
              <w:pStyle w:val="1005"/>
              <w:ind w:left="57" w:right="57"/>
            </w:pPr>
            <w:r>
              <w:t xml:space="preserve">Значение вводится вручную.</w:t>
            </w:r>
            <w:r/>
          </w:p>
          <w:p>
            <w:pPr>
              <w:pStyle w:val="1005"/>
              <w:ind w:left="57" w:right="57"/>
            </w:pPr>
            <w:r>
              <w:t xml:space="preserve">Поле обязательно к заполнению, если заполнены поля «ЕЛС» или «ЖКУ».</w:t>
            </w:r>
            <w:r/>
          </w:p>
        </w:tc>
      </w:tr>
      <w:tr>
        <w:trPr>
          <w:trHeight w:val="375"/>
        </w:trPr>
        <w:tc>
          <w:tcPr>
            <w:shd w:val="clear" w:fill="auto" w:color="auto"/>
            <w:tcW w:w="1137" w:type="pct"/>
            <w:textDirection w:val="lrTb"/>
            <w:noWrap w:val="false"/>
          </w:tcPr>
          <w:p>
            <w:pPr>
              <w:pStyle w:val="1005"/>
              <w:ind w:left="57" w:right="57"/>
            </w:pPr>
            <w:r>
              <w:t xml:space="preserve">ЕЛС</w:t>
            </w:r>
            <w:r/>
          </w:p>
        </w:tc>
        <w:tc>
          <w:tcPr>
            <w:shd w:val="clear" w:fill="auto" w:color="auto"/>
            <w:tcW w:w="3863" w:type="pct"/>
            <w:textDirection w:val="lrTb"/>
            <w:noWrap w:val="false"/>
          </w:tcPr>
          <w:p>
            <w:pPr>
              <w:pStyle w:val="1005"/>
              <w:ind w:left="57" w:right="57"/>
            </w:pPr>
            <w:r>
              <w:t xml:space="preserve">Значение вводится вручную.</w:t>
            </w:r>
            <w:r/>
          </w:p>
          <w:p>
            <w:pPr>
              <w:pStyle w:val="1005"/>
              <w:ind w:left="57" w:right="57"/>
            </w:pPr>
            <w:r>
              <w:t xml:space="preserve">Поле обязательно для заполнения, если заполнено поле «ПРД» и не заполнено поле «ЖКУ».</w:t>
            </w:r>
            <w:r/>
          </w:p>
        </w:tc>
      </w:tr>
      <w:tr>
        <w:trPr>
          <w:trHeight w:val="375"/>
        </w:trPr>
        <w:tc>
          <w:tcPr>
            <w:shd w:val="clear" w:fill="auto" w:color="auto"/>
            <w:tcW w:w="1137" w:type="pct"/>
            <w:textDirection w:val="lrTb"/>
            <w:noWrap w:val="false"/>
          </w:tcPr>
          <w:p>
            <w:pPr>
              <w:pStyle w:val="1005"/>
              <w:ind w:left="57" w:right="57"/>
            </w:pPr>
            <w:r>
              <w:t xml:space="preserve">ЖКУ</w:t>
            </w:r>
            <w:r/>
          </w:p>
        </w:tc>
        <w:tc>
          <w:tcPr>
            <w:shd w:val="clear" w:fill="auto" w:color="auto"/>
            <w:tcW w:w="3863" w:type="pct"/>
            <w:textDirection w:val="lrTb"/>
            <w:noWrap w:val="false"/>
          </w:tcPr>
          <w:p>
            <w:pPr>
              <w:pStyle w:val="1005"/>
              <w:ind w:left="57" w:right="57"/>
            </w:pPr>
            <w:r>
              <w:t xml:space="preserve">Значение вводится вручную.</w:t>
            </w:r>
            <w:r/>
          </w:p>
          <w:p>
            <w:pPr>
              <w:pStyle w:val="1005"/>
              <w:ind w:left="57" w:right="57"/>
            </w:pPr>
            <w:r>
              <w:t xml:space="preserve">Поле обязательно для заполнения, если заполнено поле «ПРД» и не заполнено поле «ЕЛС».</w:t>
            </w:r>
            <w:r/>
          </w:p>
        </w:tc>
      </w:tr>
      <w:tr>
        <w:trPr/>
        <w:tc>
          <w:tcPr>
            <w:shd w:val="clear" w:fill="auto" w:color="auto"/>
            <w:tcW w:w="1137" w:type="pct"/>
            <w:textDirection w:val="lrTb"/>
            <w:noWrap w:val="false"/>
          </w:tcPr>
          <w:p>
            <w:pPr>
              <w:pStyle w:val="1005"/>
              <w:ind w:left="57" w:right="57"/>
            </w:pPr>
            <w:r>
              <w:t xml:space="preserve">Назначение пл</w:t>
            </w:r>
            <w:r>
              <w:t xml:space="preserve">а</w:t>
            </w:r>
            <w:r>
              <w:t xml:space="preserve">т</w:t>
            </w:r>
            <w:r>
              <w:t xml:space="preserve">е</w:t>
            </w:r>
            <w:r>
              <w:t xml:space="preserve">жа</w:t>
            </w:r>
            <w:r/>
          </w:p>
        </w:tc>
        <w:tc>
          <w:tcPr>
            <w:shd w:val="clear" w:fill="auto" w:color="auto"/>
            <w:tcW w:w="3863" w:type="pct"/>
            <w:textDirection w:val="lrTb"/>
            <w:noWrap w:val="false"/>
          </w:tcPr>
          <w:p>
            <w:pPr>
              <w:pStyle w:val="1005"/>
              <w:ind w:left="57" w:right="57"/>
            </w:pPr>
            <w:r>
              <w:t xml:space="preserve">Значение вводится вручную.</w:t>
            </w:r>
            <w:r/>
          </w:p>
        </w:tc>
      </w:tr>
    </w:tbl>
    <w:p>
      <w:pPr>
        <w:pStyle w:val="994"/>
      </w:pPr>
      <w:r>
        <w:t xml:space="preserve">В табличное поле </w:t>
      </w:r>
      <w:r>
        <w:t xml:space="preserve">«Платежные поручения» (рис. </w:t>
      </w:r>
      <w:r>
        <w:fldChar w:fldCharType="begin"/>
      </w:r>
      <w:r>
        <w:instrText xml:space="preserve"> REF _Ref239181836 \h  \* MERGEFORMAT </w:instrText>
      </w:r>
      <w:r>
        <w:fldChar w:fldCharType="separate"/>
      </w:r>
      <w:r>
        <w:t xml:space="preserve">46</w:t>
      </w:r>
      <w:r>
        <w:fldChar w:fldCharType="end"/>
      </w:r>
      <w:r>
        <w:t xml:space="preserve">) добавляются строки с данными платежных поручений, включенных в пакет. После нажатия на кнопку </w:t>
      </w:r>
      <w:r>
        <mc:AlternateContent>
          <mc:Choice Requires="wpg">
            <w:drawing>
              <wp:inline xmlns:wp="http://schemas.openxmlformats.org/drawingml/2006/wordprocessingDrawing" distT="0" distB="0" distL="0" distR="0">
                <wp:extent cx="274320" cy="274320"/>
                <wp:effectExtent l="0" t="0" r="0" b="0"/>
                <wp:docPr id="11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 o:spid="_x0000_s110" type="#_x0000_t75" style="mso-wrap-distance-left:0.0pt;mso-wrap-distance-top:0.0pt;mso-wrap-distance-right:0.0pt;mso-wrap-distance-bottom:0.0pt;width:21.6pt;height:21.6pt;" stroked="f">
                <v:path textboxrect="0,0,0,0"/>
                <v:imagedata r:id="rId80" o:title=""/>
              </v:shape>
            </w:pict>
          </mc:Fallback>
        </mc:AlternateContent>
      </w:r>
      <w:r>
        <w:t xml:space="preserve"> (Добавить новую строку) становятся активными вкладки «Основные атрибуты» и «БК и налоговые показатели» для ввода данных платежного поручения (рис. </w:t>
      </w:r>
      <w:r>
        <w:fldChar w:fldCharType="begin"/>
      </w:r>
      <w:r>
        <w:instrText xml:space="preserve"> REF _Ref239188737 \h  \* MERGEFORMAT </w:instrText>
      </w:r>
      <w:r>
        <w:fldChar w:fldCharType="separate"/>
      </w:r>
      <w:r>
        <w:t xml:space="preserve">47</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657600"/>
                <wp:effectExtent l="0" t="0" r="0" b="0"/>
                <wp:docPr id="11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12"/>
                        <a:stretch/>
                      </pic:blipFill>
                      <pic:spPr bwMode="auto">
                        <a:xfrm>
                          <a:off x="0" y="0"/>
                          <a:ext cx="6126480" cy="3657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 o:spid="_x0000_s111" type="#_x0000_t75" style="mso-wrap-distance-left:0.0pt;mso-wrap-distance-top:0.0pt;mso-wrap-distance-right:0.0pt;mso-wrap-distance-bottom:0.0pt;width:482.4pt;height:288.0pt;" stroked="f">
                <v:path textboxrect="0,0,0,0"/>
                <v:imagedata r:id="rId112" o:title=""/>
              </v:shape>
            </w:pict>
          </mc:Fallback>
        </mc:AlternateContent>
      </w:r>
      <w:r/>
    </w:p>
    <w:p>
      <w:pPr>
        <w:pStyle w:val="983"/>
      </w:pPr>
      <w:r>
        <w:fldChar w:fldCharType="begin"/>
      </w:r>
      <w:r>
        <w:instrText xml:space="preserve"> SEQ Рисунок \* ARABIC </w:instrText>
      </w:r>
      <w:r>
        <w:fldChar w:fldCharType="separate"/>
      </w:r>
      <w:bookmarkStart w:id="553" w:name="_Ref239188737"/>
      <w:r/>
      <w:bookmarkStart w:id="554" w:name="_Toc88819432"/>
      <w:r>
        <w:t xml:space="preserve">47</w:t>
      </w:r>
      <w:bookmarkEnd w:id="553"/>
      <w:r>
        <w:fldChar w:fldCharType="end"/>
      </w:r>
      <w:r>
        <w:t xml:space="preserve">. ЭФ документа «Пакет платежных поручений</w:t>
      </w:r>
      <w:r>
        <w:t xml:space="preserve">», закладки «</w:t>
      </w:r>
      <w:r>
        <w:t xml:space="preserve">Документ (1)</w:t>
      </w:r>
      <w:r>
        <w:t xml:space="preserve">», вкладки «</w:t>
      </w:r>
      <w:r>
        <w:t xml:space="preserve">БК и налоговые показатели»</w:t>
      </w:r>
      <w:bookmarkEnd w:id="554"/>
      <w:r>
        <w:t xml:space="preserve"> </w:t>
      </w:r>
      <w:r/>
    </w:p>
    <w:p>
      <w:pPr>
        <w:pStyle w:val="994"/>
      </w:pPr>
      <w:r/>
      <w:bookmarkStart w:id="555" w:name="_Toc393363885"/>
      <w:r/>
      <w:bookmarkStart w:id="556" w:name="_Ref379909038"/>
      <w:r/>
      <w:bookmarkStart w:id="557" w:name="_Toc422496707"/>
      <w:r/>
      <w:bookmarkEnd w:id="555"/>
      <w:r>
        <w:t xml:space="preserve">Перечень полей документа </w:t>
      </w:r>
      <w:r>
        <w:t xml:space="preserve">«Пакет платежных поручений</w:t>
      </w:r>
      <w:r>
        <w:t xml:space="preserve">», закладки «</w:t>
      </w:r>
      <w:r>
        <w:t xml:space="preserve">Документ (1)</w:t>
      </w:r>
      <w:r>
        <w:t xml:space="preserve">», вкладки «</w:t>
      </w:r>
      <w:r>
        <w:t xml:space="preserve">БК и налоговые показатели» </w:t>
      </w:r>
      <w:r>
        <w:t xml:space="preserve">приведен</w:t>
      </w:r>
      <w:r>
        <w:t xml:space="preserve"> в таблице </w:t>
      </w:r>
      <w:r>
        <w:fldChar w:fldCharType="begin"/>
      </w:r>
      <w:r>
        <w:instrText xml:space="preserve"> REF _Ref370998031 \h  \* MERGEFORMAT </w:instrText>
      </w:r>
      <w:r>
        <w:fldChar w:fldCharType="separate"/>
      </w:r>
      <w:r>
        <w:t xml:space="preserve">20</w:t>
      </w:r>
      <w:r>
        <w:fldChar w:fldCharType="end"/>
      </w:r>
      <w:r>
        <w:t xml:space="preserve">.</w:t>
      </w:r>
      <w:r/>
    </w:p>
    <w:p>
      <w:pPr>
        <w:pStyle w:val="993"/>
      </w:pPr>
      <w:r>
        <w:fldChar w:fldCharType="begin"/>
      </w:r>
      <w:r>
        <w:instrText xml:space="preserve"> SEQ Таблица \* ARABIC </w:instrText>
      </w:r>
      <w:r>
        <w:fldChar w:fldCharType="separate"/>
      </w:r>
      <w:bookmarkStart w:id="558" w:name="_Ref370998031"/>
      <w:r/>
      <w:bookmarkStart w:id="559" w:name="_Toc88819206"/>
      <w:r>
        <w:t xml:space="preserve">20</w:t>
      </w:r>
      <w:bookmarkEnd w:id="558"/>
      <w:r>
        <w:fldChar w:fldCharType="end"/>
      </w:r>
      <w:r>
        <w:t xml:space="preserve">. </w:t>
      </w:r>
      <w:r>
        <w:t xml:space="preserve">О</w:t>
      </w:r>
      <w:r>
        <w:t xml:space="preserve">писание полей документа «Пакет платежных поручений</w:t>
      </w:r>
      <w:r>
        <w:t xml:space="preserve">», закладки «</w:t>
      </w:r>
      <w:r>
        <w:t xml:space="preserve">Документ (1)</w:t>
      </w:r>
      <w:r>
        <w:t xml:space="preserve">», вкладки «</w:t>
      </w:r>
      <w:r>
        <w:t xml:space="preserve">БК и налоговые показатели»</w:t>
      </w:r>
      <w:bookmarkEnd w:id="559"/>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588"/>
        <w:gridCol w:w="7164"/>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120" w:type="pct"/>
            <w:vAlign w:val="center"/>
            <w:textDirection w:val="lrTb"/>
            <w:noWrap w:val="false"/>
          </w:tcPr>
          <w:p>
            <w:pPr>
              <w:pStyle w:val="1006"/>
            </w:pPr>
            <w:r>
              <w:t xml:space="preserve">Наименование</w:t>
            </w:r>
            <w:r>
              <w:t xml:space="preserve"> поля</w:t>
            </w:r>
            <w:r/>
          </w:p>
        </w:tc>
        <w:tc>
          <w:tcPr>
            <w:shd w:val="clear" w:fill="E6E6E6" w:color="auto"/>
            <w:tcBorders>
              <w:left w:val="single" w:sz="4" w:space="0" w:color="auto"/>
              <w:top w:val="single" w:sz="4" w:space="0" w:color="auto"/>
              <w:right w:val="single" w:sz="4" w:space="0" w:color="auto"/>
              <w:bottom w:val="single" w:sz="4" w:space="0" w:color="auto"/>
            </w:tcBorders>
            <w:tcW w:w="3880" w:type="pct"/>
            <w:vAlign w:val="center"/>
            <w:textDirection w:val="lrTb"/>
            <w:noWrap w:val="false"/>
          </w:tcPr>
          <w:p>
            <w:pPr>
              <w:pStyle w:val="1006"/>
            </w:pPr>
            <w:r>
              <w:t xml:space="preserve">Описание</w:t>
            </w:r>
            <w:r>
              <w:t xml:space="preserve"> поля</w:t>
            </w:r>
            <w:r/>
          </w:p>
        </w:tc>
      </w:tr>
      <w:tr>
        <w:trPr>
          <w:trHeight w:val="375"/>
        </w:trPr>
        <w:tc>
          <w:tcPr>
            <w:shd w:val="clear" w:fill="auto" w:color="auto"/>
            <w:tcW w:w="1120" w:type="pct"/>
            <w:textDirection w:val="lrTb"/>
            <w:noWrap w:val="false"/>
          </w:tcPr>
          <w:p>
            <w:pPr>
              <w:pStyle w:val="1005"/>
              <w:ind w:left="57" w:right="57"/>
            </w:pPr>
            <w:r>
              <w:t xml:space="preserve">Статус</w:t>
            </w:r>
            <w:r/>
          </w:p>
        </w:tc>
        <w:tc>
          <w:tcPr>
            <w:shd w:val="clear" w:fill="auto" w:color="auto"/>
            <w:tcW w:w="3880" w:type="pct"/>
            <w:textDirection w:val="lrTb"/>
            <w:noWrap w:val="false"/>
          </w:tcPr>
          <w:p>
            <w:pPr>
              <w:pStyle w:val="1005"/>
              <w:ind w:left="57" w:right="57"/>
            </w:pPr>
            <w:r>
              <w:t xml:space="preserve">Статус юридического лица.</w:t>
            </w:r>
            <w:r/>
          </w:p>
          <w:p>
            <w:pPr>
              <w:pStyle w:val="1005"/>
              <w:ind w:left="57" w:right="57"/>
            </w:pPr>
            <w:r>
              <w:t xml:space="preserve">Значение вводится вручную или выбирается пользователем из справочн</w:t>
            </w:r>
            <w:r>
              <w:t xml:space="preserve">ика </w:t>
            </w:r>
            <w:r>
              <w:t xml:space="preserve">«</w:t>
            </w:r>
            <w:r>
              <w:t xml:space="preserve">Статусы налогоплательщика</w:t>
            </w:r>
            <w:r>
              <w:t xml:space="preserve">»</w:t>
            </w:r>
            <w:r>
              <w:t xml:space="preserve">.</w:t>
            </w:r>
            <w:r/>
          </w:p>
        </w:tc>
      </w:tr>
      <w:tr>
        <w:trPr>
          <w:trHeight w:val="375"/>
        </w:trPr>
        <w:tc>
          <w:tcPr>
            <w:shd w:val="clear" w:fill="auto" w:color="auto"/>
            <w:tcW w:w="1120" w:type="pct"/>
            <w:textDirection w:val="lrTb"/>
            <w:noWrap w:val="false"/>
          </w:tcPr>
          <w:p>
            <w:pPr>
              <w:pStyle w:val="1005"/>
              <w:ind w:left="57" w:right="57"/>
            </w:pPr>
            <w:r>
              <w:t xml:space="preserve">КБК</w:t>
            </w:r>
            <w:r/>
          </w:p>
        </w:tc>
        <w:tc>
          <w:tcPr>
            <w:shd w:val="clear" w:fill="auto" w:color="auto"/>
            <w:tcW w:w="3880" w:type="pct"/>
            <w:textDirection w:val="lrTb"/>
            <w:noWrap w:val="false"/>
          </w:tcPr>
          <w:p>
            <w:pPr>
              <w:pStyle w:val="1005"/>
              <w:ind w:left="57" w:right="57"/>
            </w:pPr>
            <w:r>
              <w:t xml:space="preserve">Код бюджетной классификации доходов</w:t>
            </w:r>
            <w:r>
              <w:t xml:space="preserve"> </w:t>
            </w:r>
            <w:r>
              <w:t xml:space="preserve">(20-символьный).</w:t>
            </w:r>
            <w:r/>
          </w:p>
          <w:p>
            <w:pPr>
              <w:pStyle w:val="1005"/>
              <w:ind w:left="57" w:right="57"/>
            </w:pPr>
            <w:r>
              <w:t xml:space="preserve">Значение вводится вручную или заполняется из справочника КБК</w:t>
            </w:r>
            <w:r>
              <w:t xml:space="preserve">.</w:t>
            </w:r>
            <w:r>
              <w:t xml:space="preserve"> </w:t>
            </w:r>
            <w:r/>
          </w:p>
        </w:tc>
      </w:tr>
      <w:tr>
        <w:trPr>
          <w:trHeight w:val="375"/>
        </w:trPr>
        <w:tc>
          <w:tcPr>
            <w:shd w:val="clear" w:fill="auto" w:color="auto"/>
            <w:tcW w:w="1120" w:type="pct"/>
            <w:textDirection w:val="lrTb"/>
            <w:noWrap w:val="false"/>
          </w:tcPr>
          <w:p>
            <w:pPr>
              <w:pStyle w:val="1005"/>
              <w:ind w:left="57" w:right="57"/>
            </w:pPr>
            <w:r>
              <w:t xml:space="preserve">Код по ОКТМО</w:t>
            </w:r>
            <w:r/>
          </w:p>
        </w:tc>
        <w:tc>
          <w:tcPr>
            <w:shd w:val="clear" w:fill="auto" w:color="auto"/>
            <w:tcW w:w="3880" w:type="pct"/>
            <w:textDirection w:val="lrTb"/>
            <w:noWrap w:val="false"/>
          </w:tcPr>
          <w:p>
            <w:pPr>
              <w:pStyle w:val="1005"/>
              <w:ind w:left="57" w:right="57"/>
            </w:pPr>
            <w:r>
              <w:t xml:space="preserve">Значение вводится вручную или заполняется из справочника ОКТМО.</w:t>
            </w:r>
            <w:r/>
          </w:p>
          <w:p>
            <w:pPr>
              <w:pStyle w:val="1005"/>
              <w:ind w:left="57" w:right="57"/>
            </w:pPr>
            <w:r>
              <w:t xml:space="preserve">При выборе из справочника предлагаются все записи справочника, в пер</w:t>
            </w:r>
            <w:r>
              <w:t xml:space="preserve">иод действия которых попадает дата, указанная в поле </w:t>
            </w:r>
            <w:r>
              <w:t xml:space="preserve">«</w:t>
            </w:r>
            <w:r>
              <w:t xml:space="preserve">Дата документа</w:t>
            </w:r>
            <w:r>
              <w:t xml:space="preserve">»</w:t>
            </w:r>
            <w:r>
              <w:t xml:space="preserve">.</w:t>
            </w:r>
            <w:r/>
          </w:p>
        </w:tc>
      </w:tr>
      <w:tr>
        <w:trPr>
          <w:trHeight w:val="375"/>
        </w:trPr>
        <w:tc>
          <w:tcPr>
            <w:shd w:val="clear" w:fill="auto" w:color="auto"/>
            <w:tcW w:w="1120" w:type="pct"/>
            <w:textDirection w:val="lrTb"/>
            <w:noWrap w:val="false"/>
          </w:tcPr>
          <w:p>
            <w:pPr>
              <w:pStyle w:val="1005"/>
              <w:ind w:left="57" w:right="57"/>
            </w:pPr>
            <w:r>
              <w:t xml:space="preserve">Основание пл</w:t>
            </w:r>
            <w:r>
              <w:t xml:space="preserve">атежа</w:t>
            </w:r>
            <w:r/>
          </w:p>
        </w:tc>
        <w:tc>
          <w:tcPr>
            <w:shd w:val="clear" w:fill="auto" w:color="auto"/>
            <w:tcW w:w="3880" w:type="pct"/>
            <w:textDirection w:val="lrTb"/>
            <w:noWrap w:val="false"/>
          </w:tcPr>
          <w:p>
            <w:pPr>
              <w:pStyle w:val="1005"/>
              <w:ind w:left="57" w:right="57"/>
            </w:pPr>
            <w:r>
              <w:t xml:space="preserve">Значение вводится вручную или выбирается из справочника </w:t>
            </w:r>
            <w:r>
              <w:t xml:space="preserve">«</w:t>
            </w:r>
            <w:r>
              <w:t xml:space="preserve">Показатели о</w:t>
            </w:r>
            <w:r>
              <w:t xml:space="preserve">с</w:t>
            </w:r>
            <w:r>
              <w:t xml:space="preserve">нования платежа</w:t>
            </w:r>
            <w:r>
              <w:t xml:space="preserve">»</w:t>
            </w:r>
            <w:r>
              <w:t xml:space="preserve">. </w:t>
            </w:r>
            <w:r/>
          </w:p>
        </w:tc>
      </w:tr>
      <w:tr>
        <w:trPr>
          <w:trHeight w:val="375"/>
        </w:trPr>
        <w:tc>
          <w:tcPr>
            <w:shd w:val="clear" w:fill="auto" w:color="auto"/>
            <w:tcW w:w="1120" w:type="pct"/>
            <w:textDirection w:val="lrTb"/>
            <w:noWrap w:val="false"/>
          </w:tcPr>
          <w:p>
            <w:pPr>
              <w:pStyle w:val="1005"/>
              <w:ind w:left="57" w:right="57"/>
            </w:pPr>
            <w:r>
              <w:t xml:space="preserve">Налоговый п</w:t>
            </w:r>
            <w:r>
              <w:t xml:space="preserve">ериод</w:t>
            </w:r>
            <w:r/>
          </w:p>
        </w:tc>
        <w:tc>
          <w:tcPr>
            <w:shd w:val="clear" w:fill="auto" w:color="auto"/>
            <w:tcW w:w="3880" w:type="pct"/>
            <w:textDirection w:val="lrTb"/>
            <w:noWrap w:val="false"/>
          </w:tcPr>
          <w:p>
            <w:pPr>
              <w:pStyle w:val="1005"/>
              <w:ind w:left="57" w:right="57"/>
            </w:pPr>
            <w:r>
              <w:t xml:space="preserve">Значение может вводиться вручную.</w:t>
            </w:r>
            <w:r/>
          </w:p>
        </w:tc>
      </w:tr>
      <w:tr>
        <w:trPr>
          <w:trHeight w:val="375"/>
        </w:trPr>
        <w:tc>
          <w:tcPr>
            <w:shd w:val="clear" w:fill="auto" w:color="auto"/>
            <w:tcW w:w="1120" w:type="pct"/>
            <w:textDirection w:val="lrTb"/>
            <w:noWrap w:val="false"/>
          </w:tcPr>
          <w:p>
            <w:pPr>
              <w:pStyle w:val="1005"/>
              <w:ind w:left="57" w:right="57"/>
            </w:pPr>
            <w:r>
              <w:t xml:space="preserve">Номер док.</w:t>
            </w:r>
            <w:r/>
          </w:p>
        </w:tc>
        <w:tc>
          <w:tcPr>
            <w:shd w:val="clear" w:fill="auto" w:color="auto"/>
            <w:tcW w:w="3880" w:type="pct"/>
            <w:textDirection w:val="lrTb"/>
            <w:noWrap w:val="false"/>
          </w:tcPr>
          <w:p>
            <w:pPr>
              <w:pStyle w:val="1005"/>
              <w:ind w:left="57" w:right="57"/>
            </w:pPr>
            <w:r>
              <w:t xml:space="preserve">Значение вводится вручную.</w:t>
            </w:r>
            <w:r/>
          </w:p>
        </w:tc>
      </w:tr>
      <w:tr>
        <w:trPr>
          <w:trHeight w:val="375"/>
        </w:trPr>
        <w:tc>
          <w:tcPr>
            <w:shd w:val="clear" w:fill="auto" w:color="auto"/>
            <w:tcW w:w="1120" w:type="pct"/>
            <w:textDirection w:val="lrTb"/>
            <w:noWrap w:val="false"/>
          </w:tcPr>
          <w:p>
            <w:pPr>
              <w:pStyle w:val="1005"/>
              <w:ind w:left="57" w:right="57"/>
            </w:pPr>
            <w:r>
              <w:t xml:space="preserve">Дата док.</w:t>
            </w:r>
            <w:r/>
          </w:p>
        </w:tc>
        <w:tc>
          <w:tcPr>
            <w:shd w:val="clear" w:fill="auto" w:color="auto"/>
            <w:tcW w:w="3880" w:type="pct"/>
            <w:textDirection w:val="lrTb"/>
            <w:noWrap w:val="false"/>
          </w:tcPr>
          <w:p>
            <w:pPr>
              <w:pStyle w:val="1005"/>
              <w:ind w:left="57" w:right="57"/>
            </w:pPr>
            <w:r>
              <w:t xml:space="preserve">Значение вводится вручную.</w:t>
            </w:r>
            <w:r/>
          </w:p>
        </w:tc>
      </w:tr>
      <w:tr>
        <w:trPr>
          <w:trHeight w:val="375"/>
        </w:trPr>
        <w:tc>
          <w:tcPr>
            <w:shd w:val="clear" w:fill="auto" w:color="auto"/>
            <w:tcW w:w="1120" w:type="pct"/>
            <w:textDirection w:val="lrTb"/>
            <w:noWrap w:val="false"/>
          </w:tcPr>
          <w:p>
            <w:pPr>
              <w:pStyle w:val="1005"/>
              <w:ind w:left="57" w:right="57"/>
            </w:pPr>
            <w:r>
              <w:t xml:space="preserve">Тип платежа</w:t>
            </w:r>
            <w:r/>
          </w:p>
        </w:tc>
        <w:tc>
          <w:tcPr>
            <w:shd w:val="clear" w:fill="auto" w:color="auto"/>
            <w:tcW w:w="3880" w:type="pct"/>
            <w:textDirection w:val="lrTb"/>
            <w:noWrap w:val="false"/>
          </w:tcPr>
          <w:p>
            <w:pPr>
              <w:pStyle w:val="1005"/>
              <w:ind w:left="57" w:right="57"/>
            </w:pPr>
            <w:r>
              <w:t xml:space="preserve">Значение вводится вручную.</w:t>
            </w:r>
            <w:r/>
          </w:p>
        </w:tc>
      </w:tr>
      <w:tr>
        <w:trPr>
          <w:trHeight w:val="375"/>
        </w:trPr>
        <w:tc>
          <w:tcPr>
            <w:shd w:val="clear" w:fill="auto" w:color="auto"/>
            <w:tcW w:w="1120" w:type="pct"/>
            <w:textDirection w:val="lrTb"/>
            <w:noWrap w:val="false"/>
          </w:tcPr>
          <w:p>
            <w:pPr>
              <w:pStyle w:val="1005"/>
              <w:ind w:left="57" w:right="57"/>
            </w:pPr>
            <w:r>
              <w:t xml:space="preserve">Код</w:t>
            </w:r>
            <w:r/>
          </w:p>
        </w:tc>
        <w:tc>
          <w:tcPr>
            <w:shd w:val="clear" w:fill="auto" w:color="auto"/>
            <w:tcW w:w="3880" w:type="pct"/>
            <w:textDirection w:val="lrTb"/>
            <w:noWrap w:val="false"/>
          </w:tcPr>
          <w:p>
            <w:pPr>
              <w:pStyle w:val="1005"/>
              <w:ind w:left="57" w:right="57"/>
            </w:pPr>
            <w:r>
              <w:t xml:space="preserve">Значение вводится вручную.</w:t>
            </w:r>
            <w:r/>
          </w:p>
        </w:tc>
      </w:tr>
      <w:tr>
        <w:trPr/>
        <w:tc>
          <w:tcPr>
            <w:gridSpan w:val="2"/>
            <w:shd w:val="clear" w:fill="auto" w:color="auto"/>
            <w:tcW w:w="5000" w:type="pct"/>
            <w:textDirection w:val="lrTb"/>
            <w:noWrap w:val="false"/>
          </w:tcPr>
          <w:p>
            <w:pPr>
              <w:pStyle w:val="1005"/>
              <w:ind w:left="57" w:right="57"/>
            </w:pPr>
            <w:r>
              <w:t xml:space="preserve">Группа</w:t>
            </w:r>
            <w:r>
              <w:t xml:space="preserve"> полей «</w:t>
            </w:r>
            <w:r>
              <w:t xml:space="preserve">Расшифровка платежного поручения</w:t>
            </w:r>
            <w:r>
              <w:t xml:space="preserve">»</w:t>
            </w:r>
            <w:r>
              <w:t xml:space="preserve"> </w:t>
            </w:r>
            <w:r>
              <w:t xml:space="preserve">являе</w:t>
            </w:r>
            <w:r>
              <w:t xml:space="preserve">т</w:t>
            </w:r>
            <w:r>
              <w:t xml:space="preserve">ся вложенной таблицей для табличного поля </w:t>
            </w:r>
            <w:r>
              <w:t xml:space="preserve">«</w:t>
            </w:r>
            <w:r>
              <w:t xml:space="preserve">Платежные поручения</w:t>
            </w:r>
            <w:r>
              <w:t xml:space="preserve">»</w:t>
            </w:r>
            <w:r/>
          </w:p>
        </w:tc>
      </w:tr>
      <w:tr>
        <w:trPr/>
        <w:tc>
          <w:tcPr>
            <w:shd w:val="clear" w:fill="auto" w:color="auto"/>
            <w:tcW w:w="1120" w:type="pct"/>
            <w:textDirection w:val="lrTb"/>
            <w:noWrap w:val="false"/>
          </w:tcPr>
          <w:p>
            <w:pPr>
              <w:pStyle w:val="1005"/>
              <w:ind w:left="57" w:right="57"/>
            </w:pPr>
            <w:r>
              <w:t xml:space="preserve">№</w:t>
            </w:r>
            <w:r/>
          </w:p>
        </w:tc>
        <w:tc>
          <w:tcPr>
            <w:shd w:val="clear" w:fill="auto" w:color="auto"/>
            <w:tcW w:w="3880" w:type="pct"/>
            <w:textDirection w:val="lrTb"/>
            <w:noWrap w:val="false"/>
          </w:tcPr>
          <w:p>
            <w:pPr>
              <w:pStyle w:val="1005"/>
              <w:ind w:left="57" w:right="57"/>
            </w:pPr>
            <w:r>
              <w:t xml:space="preserve">Номер строки по порядку. </w:t>
            </w:r>
            <w:r/>
          </w:p>
          <w:p>
            <w:pPr>
              <w:pStyle w:val="1005"/>
              <w:ind w:left="57" w:right="57"/>
            </w:pPr>
            <w:r>
              <w:t xml:space="preserve">Заполняется автоматически.</w:t>
            </w:r>
            <w:r/>
          </w:p>
        </w:tc>
      </w:tr>
      <w:tr>
        <w:trPr/>
        <w:tc>
          <w:tcPr>
            <w:shd w:val="clear" w:fill="auto" w:color="auto"/>
            <w:tcW w:w="1120" w:type="pct"/>
            <w:textDirection w:val="lrTb"/>
            <w:noWrap w:val="false"/>
          </w:tcPr>
          <w:p>
            <w:pPr>
              <w:pStyle w:val="1005"/>
              <w:ind w:left="57" w:right="57"/>
            </w:pPr>
            <w:r>
              <w:t xml:space="preserve">КБК</w:t>
            </w:r>
            <w:r/>
          </w:p>
        </w:tc>
        <w:tc>
          <w:tcPr>
            <w:shd w:val="clear" w:fill="auto" w:color="auto"/>
            <w:tcW w:w="3880" w:type="pct"/>
            <w:textDirection w:val="lrTb"/>
            <w:noWrap w:val="false"/>
          </w:tcPr>
          <w:p>
            <w:pPr>
              <w:pStyle w:val="1005"/>
              <w:ind w:left="57" w:right="57"/>
            </w:pPr>
            <w:r>
              <w:t xml:space="preserve">Значение вводится вручную или выбирается из справочника КБК.</w:t>
            </w:r>
            <w:r/>
          </w:p>
        </w:tc>
      </w:tr>
      <w:tr>
        <w:trPr/>
        <w:tc>
          <w:tcPr>
            <w:shd w:val="clear" w:fill="auto" w:color="auto"/>
            <w:tcW w:w="1120" w:type="pct"/>
            <w:textDirection w:val="lrTb"/>
            <w:noWrap w:val="false"/>
          </w:tcPr>
          <w:p>
            <w:pPr>
              <w:pStyle w:val="1005"/>
              <w:ind w:left="57" w:right="57"/>
            </w:pPr>
            <w:r>
              <w:t xml:space="preserve">Код главы</w:t>
            </w:r>
            <w:r/>
          </w:p>
        </w:tc>
        <w:tc>
          <w:tcPr>
            <w:shd w:val="clear" w:fill="auto" w:color="auto"/>
            <w:tcW w:w="3880" w:type="pct"/>
            <w:textDirection w:val="lrTb"/>
            <w:noWrap w:val="false"/>
          </w:tcPr>
          <w:p>
            <w:pPr>
              <w:pStyle w:val="1005"/>
              <w:ind w:left="57" w:right="57"/>
            </w:pPr>
            <w:r>
              <w:t xml:space="preserve">Значение заполняется вручную или выбирается из справочника </w:t>
            </w:r>
            <w:r>
              <w:t xml:space="preserve">«</w:t>
            </w:r>
            <w:r>
              <w:t xml:space="preserve">Ведо</w:t>
            </w:r>
            <w:r>
              <w:t xml:space="preserve">мс</w:t>
            </w:r>
            <w:r>
              <w:t xml:space="preserve">т</w:t>
            </w:r>
            <w:r>
              <w:t xml:space="preserve">ва</w:t>
            </w:r>
            <w:r>
              <w:t xml:space="preserve">»</w:t>
            </w:r>
            <w:r>
              <w:t xml:space="preserve">. </w:t>
            </w:r>
            <w:r/>
          </w:p>
        </w:tc>
      </w:tr>
      <w:tr>
        <w:trPr/>
        <w:tc>
          <w:tcPr>
            <w:shd w:val="clear" w:fill="auto" w:color="auto"/>
            <w:tcW w:w="1120" w:type="pct"/>
            <w:textDirection w:val="lrTb"/>
            <w:noWrap w:val="false"/>
          </w:tcPr>
          <w:p>
            <w:pPr>
              <w:pStyle w:val="1005"/>
              <w:ind w:left="57" w:right="57"/>
            </w:pPr>
            <w:r>
              <w:t xml:space="preserve">ФКР</w:t>
            </w:r>
            <w:r/>
          </w:p>
        </w:tc>
        <w:tc>
          <w:tcPr>
            <w:shd w:val="clear" w:fill="auto" w:color="auto"/>
            <w:tcW w:w="3880" w:type="pct"/>
            <w:textDirection w:val="lrTb"/>
            <w:noWrap w:val="false"/>
          </w:tcPr>
          <w:p>
            <w:pPr>
              <w:pStyle w:val="1005"/>
              <w:ind w:left="57" w:right="57"/>
            </w:pPr>
            <w:r>
              <w:t xml:space="preserve">Значение заполняется вручную или выбирается из справочника разд</w:t>
            </w:r>
            <w:r>
              <w:t xml:space="preserve">е</w:t>
            </w:r>
            <w:r>
              <w:t xml:space="preserve">лов/подразделов. </w:t>
            </w:r>
            <w:r/>
          </w:p>
          <w:p>
            <w:pPr>
              <w:pStyle w:val="1005"/>
              <w:ind w:left="57" w:right="57"/>
            </w:pPr>
            <w:r>
              <w:t xml:space="preserve">Поле </w:t>
            </w:r>
            <w:r>
              <w:t xml:space="preserve">не доступно для ввода, если заполнены поля </w:t>
            </w:r>
            <w:r>
              <w:t xml:space="preserve">«</w:t>
            </w:r>
            <w:r>
              <w:t xml:space="preserve">Вид источника</w:t>
            </w:r>
            <w:r>
              <w:t xml:space="preserve">»</w:t>
            </w:r>
            <w:r>
              <w:t xml:space="preserve"> или </w:t>
            </w:r>
            <w:r>
              <w:t xml:space="preserve">«</w:t>
            </w:r>
            <w:r>
              <w:t xml:space="preserve">Код дохода</w:t>
            </w:r>
            <w:r>
              <w:t xml:space="preserve">»</w:t>
            </w:r>
            <w:r>
              <w:t xml:space="preserve">. </w:t>
            </w:r>
            <w:r/>
          </w:p>
        </w:tc>
      </w:tr>
      <w:tr>
        <w:trPr/>
        <w:tc>
          <w:tcPr>
            <w:shd w:val="clear" w:fill="auto" w:color="auto"/>
            <w:tcW w:w="1120" w:type="pct"/>
            <w:textDirection w:val="lrTb"/>
            <w:noWrap w:val="false"/>
          </w:tcPr>
          <w:p>
            <w:pPr>
              <w:pStyle w:val="1005"/>
              <w:ind w:left="57" w:right="57"/>
            </w:pPr>
            <w:r>
              <w:t xml:space="preserve">КЦСР</w:t>
            </w:r>
            <w:r/>
          </w:p>
        </w:tc>
        <w:tc>
          <w:tcPr>
            <w:shd w:val="clear" w:fill="auto" w:color="auto"/>
            <w:tcW w:w="3880" w:type="pct"/>
            <w:textDirection w:val="lrTb"/>
            <w:noWrap w:val="false"/>
          </w:tcPr>
          <w:p>
            <w:pPr>
              <w:pStyle w:val="1005"/>
              <w:ind w:left="57" w:right="57"/>
            </w:pPr>
            <w:r>
              <w:t xml:space="preserve">Значение заполняется вручную или выбирается из справочника целевых ст</w:t>
            </w:r>
            <w:r>
              <w:t xml:space="preserve">а</w:t>
            </w:r>
            <w:r>
              <w:t xml:space="preserve">тей.</w:t>
            </w:r>
            <w:r/>
          </w:p>
          <w:p>
            <w:pPr>
              <w:pStyle w:val="1005"/>
              <w:ind w:left="57" w:right="57"/>
            </w:pPr>
            <w:r>
              <w:t xml:space="preserve">Поле </w:t>
            </w:r>
            <w:r>
              <w:t xml:space="preserve">не доступно для ввода, если заполнены поля </w:t>
            </w:r>
            <w:r>
              <w:t xml:space="preserve">«</w:t>
            </w:r>
            <w:r>
              <w:t xml:space="preserve">Вид источника</w:t>
            </w:r>
            <w:r>
              <w:t xml:space="preserve">»</w:t>
            </w:r>
            <w:r>
              <w:t xml:space="preserve"> или </w:t>
            </w:r>
            <w:r>
              <w:t xml:space="preserve">«</w:t>
            </w:r>
            <w:r>
              <w:t xml:space="preserve">Код дохода</w:t>
            </w:r>
            <w:r>
              <w:t xml:space="preserve">»</w:t>
            </w:r>
            <w:r>
              <w:t xml:space="preserve">. </w:t>
            </w:r>
            <w:r/>
          </w:p>
        </w:tc>
      </w:tr>
      <w:tr>
        <w:trPr/>
        <w:tc>
          <w:tcPr>
            <w:shd w:val="clear" w:fill="auto" w:color="auto"/>
            <w:tcW w:w="1120" w:type="pct"/>
            <w:textDirection w:val="lrTb"/>
            <w:noWrap w:val="false"/>
          </w:tcPr>
          <w:p>
            <w:pPr>
              <w:pStyle w:val="1005"/>
              <w:ind w:left="57" w:right="57"/>
            </w:pPr>
            <w:r>
              <w:t xml:space="preserve">КВР</w:t>
            </w:r>
            <w:r>
              <w:t xml:space="preserve">/</w:t>
            </w:r>
            <w:r>
              <w:t xml:space="preserve">К</w:t>
            </w:r>
            <w:r>
              <w:t xml:space="preserve">од поступлений/источников</w:t>
            </w:r>
            <w:r/>
          </w:p>
        </w:tc>
        <w:tc>
          <w:tcPr>
            <w:shd w:val="clear" w:fill="auto" w:color="auto"/>
            <w:tcW w:w="3880" w:type="pct"/>
            <w:textDirection w:val="lrTb"/>
            <w:noWrap w:val="false"/>
          </w:tcPr>
          <w:p>
            <w:pPr>
              <w:pStyle w:val="1005"/>
              <w:ind w:left="57" w:right="57"/>
            </w:pPr>
            <w:r>
              <w:t xml:space="preserve">Значение заполняется вручную или выбирается из справочника видов расх</w:t>
            </w:r>
            <w:r>
              <w:t xml:space="preserve">о</w:t>
            </w:r>
            <w:r>
              <w:t xml:space="preserve">дов. </w:t>
            </w:r>
            <w:r/>
          </w:p>
          <w:p>
            <w:pPr>
              <w:pStyle w:val="1005"/>
              <w:ind w:left="57" w:right="57"/>
            </w:pPr>
            <w:r>
              <w:t xml:space="preserve">Поле </w:t>
            </w:r>
            <w:r>
              <w:t xml:space="preserve">не доступно для ввода, если заполнены поля </w:t>
            </w:r>
            <w:r>
              <w:t xml:space="preserve">«</w:t>
            </w:r>
            <w:r>
              <w:t xml:space="preserve">Вид источника</w:t>
            </w:r>
            <w:r>
              <w:t xml:space="preserve">»</w:t>
            </w:r>
            <w:r>
              <w:t xml:space="preserve"> или </w:t>
            </w:r>
            <w:r>
              <w:t xml:space="preserve">«</w:t>
            </w:r>
            <w:r>
              <w:t xml:space="preserve">Код дохода</w:t>
            </w:r>
            <w:r>
              <w:t xml:space="preserve">»</w:t>
            </w:r>
            <w:r>
              <w:t xml:space="preserve">. </w:t>
            </w:r>
            <w:r/>
          </w:p>
        </w:tc>
      </w:tr>
      <w:tr>
        <w:trPr/>
        <w:tc>
          <w:tcPr>
            <w:shd w:val="clear" w:fill="auto" w:color="auto"/>
            <w:tcW w:w="1120" w:type="pct"/>
            <w:textDirection w:val="lrTb"/>
            <w:noWrap w:val="false"/>
          </w:tcPr>
          <w:p>
            <w:pPr>
              <w:pStyle w:val="1005"/>
              <w:ind w:left="57" w:right="57"/>
            </w:pPr>
            <w:r>
              <w:t xml:space="preserve">ФКР</w:t>
            </w:r>
            <w:r/>
          </w:p>
        </w:tc>
        <w:tc>
          <w:tcPr>
            <w:shd w:val="clear" w:fill="auto" w:color="auto"/>
            <w:tcW w:w="3880" w:type="pct"/>
            <w:textDirection w:val="lrTb"/>
            <w:noWrap w:val="false"/>
          </w:tcPr>
          <w:p>
            <w:pPr>
              <w:pStyle w:val="1005"/>
              <w:ind w:left="57" w:right="57"/>
            </w:pPr>
            <w:r>
              <w:t xml:space="preserve">Значение заполняется вручную или выбирается из справочника разд</w:t>
            </w:r>
            <w:r>
              <w:t xml:space="preserve">е</w:t>
            </w:r>
            <w:r>
              <w:t xml:space="preserve">лов/подразделов. </w:t>
            </w:r>
            <w:r/>
          </w:p>
          <w:p>
            <w:pPr>
              <w:pStyle w:val="1005"/>
              <w:ind w:left="57" w:right="57"/>
            </w:pPr>
            <w:r>
              <w:t xml:space="preserve">Поле </w:t>
            </w:r>
            <w:r>
              <w:t xml:space="preserve">не доступно для ввода, если заполнены поля </w:t>
            </w:r>
            <w:r>
              <w:t xml:space="preserve">«</w:t>
            </w:r>
            <w:r>
              <w:t xml:space="preserve">Вид источника</w:t>
            </w:r>
            <w:r>
              <w:t xml:space="preserve">»</w:t>
            </w:r>
            <w:r>
              <w:t xml:space="preserve"> или </w:t>
            </w:r>
            <w:r>
              <w:t xml:space="preserve">«</w:t>
            </w:r>
            <w:r>
              <w:t xml:space="preserve">Код дохода</w:t>
            </w:r>
            <w:r>
              <w:t xml:space="preserve">»</w:t>
            </w:r>
            <w:r>
              <w:t xml:space="preserve">. </w:t>
            </w:r>
            <w:r/>
          </w:p>
        </w:tc>
      </w:tr>
      <w:tr>
        <w:trPr/>
        <w:tc>
          <w:tcPr>
            <w:shd w:val="clear" w:fill="auto" w:color="auto"/>
            <w:tcW w:w="1120" w:type="pct"/>
            <w:textDirection w:val="lrTb"/>
            <w:noWrap w:val="false"/>
          </w:tcPr>
          <w:p>
            <w:pPr>
              <w:pStyle w:val="1005"/>
              <w:ind w:left="57" w:right="57"/>
            </w:pPr>
            <w:r>
              <w:t xml:space="preserve">Вид источника</w:t>
            </w:r>
            <w:r/>
          </w:p>
        </w:tc>
        <w:tc>
          <w:tcPr>
            <w:shd w:val="clear" w:fill="auto" w:color="auto"/>
            <w:tcW w:w="3880" w:type="pct"/>
            <w:textDirection w:val="lrTb"/>
            <w:noWrap w:val="false"/>
          </w:tcPr>
          <w:p>
            <w:pPr>
              <w:pStyle w:val="1005"/>
              <w:ind w:left="57" w:right="57"/>
            </w:pPr>
            <w:r>
              <w:t xml:space="preserve">Значение заполняется вручную или выбирается из справочника КБК источн</w:t>
            </w:r>
            <w:r>
              <w:t xml:space="preserve">и</w:t>
            </w:r>
            <w:r>
              <w:t xml:space="preserve">ков финансирования дефицита бюджета. </w:t>
            </w:r>
            <w:r/>
          </w:p>
          <w:p>
            <w:pPr>
              <w:pStyle w:val="1005"/>
              <w:ind w:left="57" w:right="57"/>
            </w:pPr>
            <w:r>
              <w:t xml:space="preserve">Поле не заполняется, если заполнено хотя бы одно из полей: </w:t>
            </w:r>
            <w:r>
              <w:t xml:space="preserve">«</w:t>
            </w:r>
            <w:r>
              <w:t xml:space="preserve">ФКР</w:t>
            </w:r>
            <w:r>
              <w:t xml:space="preserve">»</w:t>
            </w:r>
            <w:r>
              <w:t xml:space="preserve">, </w:t>
            </w:r>
            <w:r>
              <w:t xml:space="preserve">«</w:t>
            </w:r>
            <w:r>
              <w:t xml:space="preserve">КЦСР</w:t>
            </w:r>
            <w:r>
              <w:t xml:space="preserve">»</w:t>
            </w:r>
            <w:r>
              <w:t xml:space="preserve">, </w:t>
            </w:r>
            <w:r>
              <w:t xml:space="preserve">«</w:t>
            </w:r>
            <w:r>
              <w:t xml:space="preserve">КВР</w:t>
            </w:r>
            <w:r>
              <w:t xml:space="preserve">»</w:t>
            </w:r>
            <w:r>
              <w:t xml:space="preserve">, </w:t>
            </w:r>
            <w:r>
              <w:t xml:space="preserve">«</w:t>
            </w:r>
            <w:r>
              <w:t xml:space="preserve">К</w:t>
            </w:r>
            <w:r>
              <w:t xml:space="preserve">од поступлений/источников</w:t>
            </w:r>
            <w:r>
              <w:t xml:space="preserve">»</w:t>
            </w:r>
            <w:r>
              <w:t xml:space="preserve">, </w:t>
            </w:r>
            <w:r>
              <w:t xml:space="preserve">«</w:t>
            </w:r>
            <w:r>
              <w:t xml:space="preserve">Код дохода</w:t>
            </w:r>
            <w:r>
              <w:t xml:space="preserve">»</w:t>
            </w:r>
            <w:r>
              <w:t xml:space="preserve">. </w:t>
            </w:r>
            <w:r/>
          </w:p>
        </w:tc>
      </w:tr>
      <w:tr>
        <w:trPr/>
        <w:tc>
          <w:tcPr>
            <w:shd w:val="clear" w:fill="auto" w:color="auto"/>
            <w:tcW w:w="1120" w:type="pct"/>
            <w:textDirection w:val="lrTb"/>
            <w:noWrap w:val="false"/>
          </w:tcPr>
          <w:p>
            <w:pPr>
              <w:pStyle w:val="1005"/>
              <w:ind w:left="57" w:right="57"/>
            </w:pPr>
            <w:r>
              <w:t xml:space="preserve">Код дохода</w:t>
            </w:r>
            <w:r/>
          </w:p>
        </w:tc>
        <w:tc>
          <w:tcPr>
            <w:shd w:val="clear" w:fill="auto" w:color="auto"/>
            <w:tcW w:w="3880" w:type="pct"/>
            <w:textDirection w:val="lrTb"/>
            <w:noWrap w:val="false"/>
          </w:tcPr>
          <w:p>
            <w:pPr>
              <w:pStyle w:val="1005"/>
              <w:ind w:left="57" w:right="57"/>
            </w:pPr>
            <w:r>
              <w:t xml:space="preserve">Значение заполняется вручную или выбирается из справочника Кодов дох</w:t>
            </w:r>
            <w:r>
              <w:t xml:space="preserve">о</w:t>
            </w:r>
            <w:r>
              <w:t xml:space="preserve">дов. </w:t>
            </w:r>
            <w:r/>
          </w:p>
          <w:p>
            <w:pPr>
              <w:pStyle w:val="1005"/>
              <w:ind w:left="57" w:right="57"/>
            </w:pPr>
            <w:r>
              <w:t xml:space="preserve">Поле не заполняется, если заполнено хотя бы одно из полей: </w:t>
            </w:r>
            <w:r>
              <w:t xml:space="preserve">«</w:t>
            </w:r>
            <w:r>
              <w:t xml:space="preserve">ФКР</w:t>
            </w:r>
            <w:r>
              <w:t xml:space="preserve">»</w:t>
            </w:r>
            <w:r>
              <w:t xml:space="preserve">, </w:t>
            </w:r>
            <w:r>
              <w:t xml:space="preserve">«</w:t>
            </w:r>
            <w:r>
              <w:t xml:space="preserve">КЦСР</w:t>
            </w:r>
            <w:r>
              <w:t xml:space="preserve">»</w:t>
            </w:r>
            <w:r>
              <w:t xml:space="preserve">, </w:t>
            </w:r>
            <w:r>
              <w:t xml:space="preserve">«</w:t>
            </w:r>
            <w:r>
              <w:t xml:space="preserve">КВР</w:t>
            </w:r>
            <w:r>
              <w:t xml:space="preserve">»</w:t>
            </w:r>
            <w:r>
              <w:t xml:space="preserve">, </w:t>
            </w:r>
            <w:r>
              <w:t xml:space="preserve">«</w:t>
            </w:r>
            <w:r>
              <w:t xml:space="preserve">К</w:t>
            </w:r>
            <w:r>
              <w:t xml:space="preserve">од поступлений/источников</w:t>
            </w:r>
            <w:r>
              <w:t xml:space="preserve">»</w:t>
            </w:r>
            <w:r>
              <w:t xml:space="preserve">, </w:t>
            </w:r>
            <w:r>
              <w:t xml:space="preserve">«</w:t>
            </w:r>
            <w:r>
              <w:t xml:space="preserve">Вид источника</w:t>
            </w:r>
            <w:r>
              <w:t xml:space="preserve">»</w:t>
            </w:r>
            <w:r>
              <w:t xml:space="preserve">. </w:t>
            </w:r>
            <w:r/>
          </w:p>
        </w:tc>
      </w:tr>
      <w:tr>
        <w:trPr/>
        <w:tc>
          <w:tcPr>
            <w:shd w:val="clear" w:fill="auto" w:color="auto"/>
            <w:tcW w:w="1120" w:type="pct"/>
            <w:textDirection w:val="lrTb"/>
            <w:noWrap w:val="false"/>
          </w:tcPr>
          <w:p>
            <w:pPr>
              <w:pStyle w:val="1005"/>
              <w:ind w:left="57" w:right="57"/>
            </w:pPr>
            <w:r>
              <w:t xml:space="preserve">Код цели</w:t>
            </w:r>
            <w:r/>
          </w:p>
        </w:tc>
        <w:tc>
          <w:tcPr>
            <w:shd w:val="clear" w:fill="auto" w:color="auto"/>
            <w:tcW w:w="3880" w:type="pct"/>
            <w:textDirection w:val="lrTb"/>
            <w:noWrap w:val="false"/>
          </w:tcPr>
          <w:p>
            <w:pPr>
              <w:pStyle w:val="1005"/>
              <w:ind w:left="57" w:right="57"/>
            </w:pPr>
            <w:r>
              <w:t xml:space="preserve">Значение заполняется вручную или выбором из справочника кодов целей су</w:t>
            </w:r>
            <w:r>
              <w:t xml:space="preserve">б</w:t>
            </w:r>
            <w:r>
              <w:t xml:space="preserve">сидий/субвенций.</w:t>
            </w:r>
            <w:r/>
          </w:p>
        </w:tc>
      </w:tr>
      <w:tr>
        <w:trPr/>
        <w:tc>
          <w:tcPr>
            <w:shd w:val="clear" w:fill="auto" w:color="auto"/>
            <w:tcW w:w="1120" w:type="pct"/>
            <w:textDirection w:val="lrTb"/>
            <w:noWrap w:val="false"/>
          </w:tcPr>
          <w:p>
            <w:pPr>
              <w:pStyle w:val="1005"/>
              <w:ind w:left="57" w:right="57"/>
            </w:pPr>
            <w:r>
              <w:t xml:space="preserve">Код цели получат</w:t>
            </w:r>
            <w:r>
              <w:t xml:space="preserve">еля</w:t>
            </w:r>
            <w:r/>
          </w:p>
        </w:tc>
        <w:tc>
          <w:tcPr>
            <w:shd w:val="clear" w:fill="auto" w:color="auto"/>
            <w:tcW w:w="3880" w:type="pct"/>
            <w:textDirection w:val="lrTb"/>
            <w:noWrap w:val="false"/>
          </w:tcPr>
          <w:p>
            <w:pPr>
              <w:pStyle w:val="1005"/>
              <w:ind w:left="57" w:right="57"/>
            </w:pPr>
            <w:r>
              <w:t xml:space="preserve">Значение может вводиться вручную или из Справочника кодов целей субс</w:t>
            </w:r>
            <w:r>
              <w:t xml:space="preserve">и</w:t>
            </w:r>
            <w:r>
              <w:t xml:space="preserve">дий/субвенций.</w:t>
            </w:r>
            <w:r/>
          </w:p>
        </w:tc>
      </w:tr>
      <w:tr>
        <w:trPr/>
        <w:tc>
          <w:tcPr>
            <w:shd w:val="clear" w:fill="auto" w:color="auto"/>
            <w:tcW w:w="1120" w:type="pct"/>
            <w:textDirection w:val="lrTb"/>
            <w:noWrap w:val="false"/>
          </w:tcPr>
          <w:p>
            <w:pPr>
              <w:pStyle w:val="1005"/>
              <w:ind w:left="57" w:right="57"/>
            </w:pPr>
            <w:r>
              <w:t xml:space="preserve">Сумма</w:t>
            </w:r>
            <w:r/>
          </w:p>
        </w:tc>
        <w:tc>
          <w:tcPr>
            <w:shd w:val="clear" w:fill="auto" w:color="auto"/>
            <w:tcW w:w="3880" w:type="pct"/>
            <w:textDirection w:val="lrTb"/>
            <w:noWrap w:val="false"/>
          </w:tcPr>
          <w:p>
            <w:pPr>
              <w:pStyle w:val="1005"/>
              <w:ind w:left="57" w:right="57"/>
            </w:pPr>
            <w:r>
              <w:t xml:space="preserve">Значение заполняется вручную.</w:t>
            </w:r>
            <w:r/>
          </w:p>
        </w:tc>
      </w:tr>
      <w:tr>
        <w:trPr/>
        <w:tc>
          <w:tcPr>
            <w:shd w:val="clear" w:fill="auto" w:color="auto"/>
            <w:tcW w:w="1120" w:type="pct"/>
            <w:textDirection w:val="lrTb"/>
            <w:noWrap w:val="false"/>
          </w:tcPr>
          <w:p>
            <w:pPr>
              <w:pStyle w:val="1005"/>
              <w:ind w:left="57" w:right="57"/>
            </w:pPr>
            <w:r>
              <w:t xml:space="preserve">Итого</w:t>
            </w:r>
            <w:r/>
          </w:p>
        </w:tc>
        <w:tc>
          <w:tcPr>
            <w:shd w:val="clear" w:fill="auto" w:color="auto"/>
            <w:tcW w:w="3880" w:type="pct"/>
            <w:textDirection w:val="lrTb"/>
            <w:noWrap w:val="false"/>
          </w:tcPr>
          <w:p>
            <w:pPr>
              <w:pStyle w:val="1005"/>
              <w:ind w:left="57" w:right="57"/>
            </w:pPr>
            <w:r>
              <w:t xml:space="preserve">Значение рассчитывается автоматически как сумма всех веденных строк (в</w:t>
            </w:r>
            <w:r>
              <w:t xml:space="preserve">ы</w:t>
            </w:r>
            <w:r>
              <w:t xml:space="preserve">деленная строка табличного поля).</w:t>
            </w:r>
            <w:r/>
          </w:p>
        </w:tc>
      </w:tr>
    </w:tbl>
    <w:p>
      <w:pPr>
        <w:pStyle w:val="994"/>
      </w:pPr>
      <w:r>
        <w:t xml:space="preserve">Для добавления записи в</w:t>
      </w:r>
      <w:r>
        <w:t xml:space="preserve">о вкладку «Б</w:t>
      </w:r>
      <w:r>
        <w:t xml:space="preserve">К и налоговые показатели» (рис.</w:t>
      </w:r>
      <w:r>
        <w:t xml:space="preserve"> </w:t>
      </w:r>
      <w:r>
        <w:fldChar w:fldCharType="begin"/>
      </w:r>
      <w:r>
        <w:instrText xml:space="preserve"> REF _Ref239188737 \h  \* MERGEFORMAT </w:instrText>
      </w:r>
      <w:r>
        <w:fldChar w:fldCharType="separate"/>
      </w:r>
      <w:r>
        <w:t xml:space="preserve">47</w:t>
      </w:r>
      <w:r>
        <w:fldChar w:fldCharType="end"/>
      </w:r>
      <w:r>
        <w:t xml:space="preserve">) следует нажать кнопку </w:t>
      </w:r>
      <w:r>
        <mc:AlternateContent>
          <mc:Choice Requires="wpg">
            <w:drawing>
              <wp:inline xmlns:wp="http://schemas.openxmlformats.org/drawingml/2006/wordprocessingDrawing" distT="0" distB="0" distL="0" distR="0">
                <wp:extent cx="274320" cy="274320"/>
                <wp:effectExtent l="0" t="0" r="0" b="0"/>
                <wp:docPr id="11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 o:spid="_x0000_s112" type="#_x0000_t75" style="mso-wrap-distance-left:0.0pt;mso-wrap-distance-top:0.0pt;mso-wrap-distance-right:0.0pt;mso-wrap-distance-bottom:0.0pt;width:21.6pt;height:21.6pt;" stroked="f">
                <v:path textboxrect="0,0,0,0"/>
                <v:imagedata r:id="rId80" o:title=""/>
              </v:shape>
            </w:pict>
          </mc:Fallback>
        </mc:AlternateContent>
      </w:r>
      <w:r>
        <w:t xml:space="preserve"> </w:t>
      </w:r>
      <w:r>
        <w:t xml:space="preserve">(Добавить новую строку). Открое</w:t>
      </w:r>
      <w:r>
        <w:t xml:space="preserve">тся форма «Добавление записи»</w:t>
      </w:r>
      <w:r>
        <w:t xml:space="preserve"> (рис. </w:t>
      </w:r>
      <w:r>
        <w:fldChar w:fldCharType="begin"/>
      </w:r>
      <w:r>
        <w:instrText xml:space="preserve"> REF _Ref353970958 \h  \* MERGEFORMAT </w:instrText>
      </w:r>
      <w:r>
        <w:fldChar w:fldCharType="separate"/>
      </w:r>
      <w:r>
        <w:t xml:space="preserve">48</w:t>
      </w:r>
      <w:r>
        <w:fldChar w:fldCharType="end"/>
      </w:r>
      <w:r>
        <w:t xml:space="preserve">). </w:t>
      </w:r>
      <w:r/>
    </w:p>
    <w:p>
      <w:pPr>
        <w:pStyle w:val="982"/>
      </w:pPr>
      <w:r>
        <mc:AlternateContent>
          <mc:Choice Requires="wpg">
            <w:drawing>
              <wp:inline xmlns:wp="http://schemas.openxmlformats.org/drawingml/2006/wordprocessingDrawing" distT="0" distB="0" distL="0" distR="0">
                <wp:extent cx="6027420" cy="3208020"/>
                <wp:effectExtent l="0" t="0" r="0" b="0"/>
                <wp:docPr id="11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13"/>
                        <a:stretch/>
                      </pic:blipFill>
                      <pic:spPr bwMode="auto">
                        <a:xfrm>
                          <a:off x="0" y="0"/>
                          <a:ext cx="6027420" cy="32080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 o:spid="_x0000_s113" type="#_x0000_t75" style="mso-wrap-distance-left:0.0pt;mso-wrap-distance-top:0.0pt;mso-wrap-distance-right:0.0pt;mso-wrap-distance-bottom:0.0pt;width:474.6pt;height:252.6pt;" stroked="f">
                <v:path textboxrect="0,0,0,0"/>
                <v:imagedata r:id="rId113" o:title=""/>
              </v:shape>
            </w:pict>
          </mc:Fallback>
        </mc:AlternateContent>
      </w:r>
      <w:r/>
    </w:p>
    <w:p>
      <w:pPr>
        <w:pStyle w:val="983"/>
      </w:pPr>
      <w:r>
        <w:fldChar w:fldCharType="begin"/>
      </w:r>
      <w:r>
        <w:instrText xml:space="preserve"> SEQ Рисунок \* ARABIC </w:instrText>
      </w:r>
      <w:r>
        <w:fldChar w:fldCharType="separate"/>
      </w:r>
      <w:bookmarkStart w:id="560" w:name="_Ref353970958"/>
      <w:r/>
      <w:bookmarkStart w:id="561" w:name="_Toc88819433"/>
      <w:r>
        <w:t xml:space="preserve">48</w:t>
      </w:r>
      <w:bookmarkEnd w:id="560"/>
      <w:r>
        <w:fldChar w:fldCharType="end"/>
      </w:r>
      <w:r>
        <w:t xml:space="preserve">. </w:t>
      </w:r>
      <w:r>
        <w:t xml:space="preserve">Форма «Добавление записи»</w:t>
      </w:r>
      <w:bookmarkEnd w:id="561"/>
      <w:r/>
      <w:r/>
    </w:p>
    <w:p>
      <w:pPr>
        <w:pStyle w:val="994"/>
      </w:pPr>
      <w:r>
        <w:t xml:space="preserve">На форме </w:t>
      </w:r>
      <w:r>
        <w:t xml:space="preserve">«</w:t>
      </w:r>
      <w:r>
        <w:t xml:space="preserve">Добавление записи</w:t>
      </w:r>
      <w:r>
        <w:t xml:space="preserve">»</w:t>
      </w:r>
      <w:r>
        <w:t xml:space="preserve"> заполн</w:t>
      </w:r>
      <w:r>
        <w:t xml:space="preserve">ить</w:t>
      </w:r>
      <w:r>
        <w:t xml:space="preserve"> поля.</w:t>
      </w:r>
      <w:r>
        <w:t xml:space="preserve"> Д</w:t>
      </w:r>
      <w:r>
        <w:t xml:space="preserve">ля сохранения заполненной строки и выхода из формы</w:t>
      </w:r>
      <w:r>
        <w:t xml:space="preserve"> н</w:t>
      </w:r>
      <w:r>
        <w:t xml:space="preserve">ажать на </w:t>
      </w:r>
      <w:r>
        <w:t xml:space="preserve">кнопку «Ok».</w:t>
      </w:r>
      <w:r/>
    </w:p>
    <w:p>
      <w:pPr>
        <w:pStyle w:val="994"/>
      </w:pPr>
      <w:r>
        <w:t xml:space="preserve">ЭФ документа «Пакет платежных поручений», закладки «Дополнительные атрибуты (2)»</w:t>
      </w:r>
      <w:r>
        <w:t xml:space="preserve"> представлена н</w:t>
      </w:r>
      <w:r>
        <w:t xml:space="preserve">а </w:t>
      </w:r>
      <w:r>
        <w:t xml:space="preserve">рисунке </w:t>
      </w:r>
      <w:r>
        <w:fldChar w:fldCharType="begin"/>
      </w:r>
      <w:r>
        <w:instrText xml:space="preserve"> REF _Ref239190157 \h  \* MERGEFORMAT </w:instrText>
      </w:r>
      <w:r>
        <w:fldChar w:fldCharType="separate"/>
      </w:r>
      <w:r>
        <w:t xml:space="preserve">49</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1546860"/>
                <wp:effectExtent l="0" t="0" r="0" b="0"/>
                <wp:docPr id="11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14"/>
                        <a:stretch/>
                      </pic:blipFill>
                      <pic:spPr bwMode="auto">
                        <a:xfrm>
                          <a:off x="0" y="0"/>
                          <a:ext cx="6126480" cy="15468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 o:spid="_x0000_s114" type="#_x0000_t75" style="mso-wrap-distance-left:0.0pt;mso-wrap-distance-top:0.0pt;mso-wrap-distance-right:0.0pt;mso-wrap-distance-bottom:0.0pt;width:482.4pt;height:121.8pt;" stroked="f">
                <v:path textboxrect="0,0,0,0"/>
                <v:imagedata r:id="rId114" o:title=""/>
              </v:shape>
            </w:pict>
          </mc:Fallback>
        </mc:AlternateContent>
      </w:r>
      <w:r/>
    </w:p>
    <w:p>
      <w:pPr>
        <w:pStyle w:val="983"/>
      </w:pPr>
      <w:r>
        <w:fldChar w:fldCharType="begin"/>
      </w:r>
      <w:r>
        <w:instrText xml:space="preserve"> SEQ Рисунок \* ARABIC </w:instrText>
      </w:r>
      <w:r>
        <w:fldChar w:fldCharType="separate"/>
      </w:r>
      <w:bookmarkStart w:id="562" w:name="_Ref239190157"/>
      <w:r/>
      <w:bookmarkStart w:id="563" w:name="_Toc88819434"/>
      <w:r>
        <w:t xml:space="preserve">49</w:t>
      </w:r>
      <w:bookmarkEnd w:id="562"/>
      <w:r>
        <w:fldChar w:fldCharType="end"/>
      </w:r>
      <w:r>
        <w:t xml:space="preserve">. ЭФ документа «Пакет платежных поручений</w:t>
      </w:r>
      <w:r>
        <w:t xml:space="preserve">», закладки «</w:t>
      </w:r>
      <w:r>
        <w:t xml:space="preserve">Дополнительные атрибуты (2)»</w:t>
      </w:r>
      <w:bookmarkEnd w:id="563"/>
      <w:r/>
      <w:r/>
    </w:p>
    <w:p>
      <w:pPr>
        <w:pStyle w:val="994"/>
      </w:pPr>
      <w:r>
        <w:t xml:space="preserve">Перечень полей </w:t>
      </w:r>
      <w:r>
        <w:t xml:space="preserve">документа «Пакет платежных поручений», закладки «Дополнительные атрибуты (2)»</w:t>
      </w:r>
      <w:r>
        <w:t xml:space="preserve"> </w:t>
      </w:r>
      <w:r>
        <w:t xml:space="preserve">приведен в таблице</w:t>
      </w:r>
      <w:r>
        <w:t xml:space="preserve"> </w:t>
      </w:r>
      <w:r>
        <w:fldChar w:fldCharType="begin"/>
      </w:r>
      <w:r>
        <w:instrText xml:space="preserve"> REF _Ref318714400 \h  \* MERGEFORMAT </w:instrText>
      </w:r>
      <w:r>
        <w:fldChar w:fldCharType="separate"/>
      </w:r>
      <w:r>
        <w:t xml:space="preserve">21</w:t>
      </w:r>
      <w:r>
        <w:fldChar w:fldCharType="end"/>
      </w:r>
      <w:r>
        <w:t xml:space="preserve">.</w:t>
      </w:r>
      <w:r/>
    </w:p>
    <w:p>
      <w:pPr>
        <w:pStyle w:val="993"/>
      </w:pPr>
      <w:r>
        <w:fldChar w:fldCharType="begin"/>
      </w:r>
      <w:r>
        <w:instrText xml:space="preserve"> SEQ Таблица \* ARABIC </w:instrText>
      </w:r>
      <w:r>
        <w:fldChar w:fldCharType="separate"/>
      </w:r>
      <w:bookmarkStart w:id="564" w:name="_Ref318714400"/>
      <w:r/>
      <w:bookmarkStart w:id="565" w:name="_Toc88819207"/>
      <w:r>
        <w:t xml:space="preserve">21</w:t>
      </w:r>
      <w:bookmarkEnd w:id="564"/>
      <w:r>
        <w:fldChar w:fldCharType="end"/>
      </w:r>
      <w:r>
        <w:t xml:space="preserve">. Описание полей документа </w:t>
      </w:r>
      <w:r>
        <w:t xml:space="preserve">«</w:t>
      </w:r>
      <w:r>
        <w:t xml:space="preserve">Пакет платежных поручений</w:t>
      </w:r>
      <w:r>
        <w:t xml:space="preserve">», закладки «</w:t>
      </w:r>
      <w:r>
        <w:t xml:space="preserve">Дополнительные атрибуты (2)</w:t>
      </w:r>
      <w:r>
        <w:t xml:space="preserve">»</w:t>
      </w:r>
      <w:bookmarkEnd w:id="565"/>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816"/>
        <w:gridCol w:w="6936"/>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444" w:type="pct"/>
            <w:vAlign w:val="center"/>
            <w:textDirection w:val="lrTb"/>
            <w:noWrap w:val="false"/>
          </w:tcPr>
          <w:p>
            <w:pPr>
              <w:pStyle w:val="1006"/>
            </w:pPr>
            <w:r>
              <w:t xml:space="preserve">Наименование</w:t>
            </w:r>
            <w:r>
              <w:t xml:space="preserve"> поля</w:t>
            </w:r>
            <w:r/>
          </w:p>
        </w:tc>
        <w:tc>
          <w:tcPr>
            <w:shd w:val="clear" w:fill="E6E6E6" w:color="auto"/>
            <w:tcBorders>
              <w:left w:val="single" w:sz="4" w:space="0" w:color="auto"/>
              <w:top w:val="single" w:sz="4" w:space="0" w:color="auto"/>
              <w:right w:val="single" w:sz="4" w:space="0" w:color="auto"/>
              <w:bottom w:val="single" w:sz="4" w:space="0" w:color="auto"/>
            </w:tcBorders>
            <w:tcW w:w="3556" w:type="pct"/>
            <w:vAlign w:val="center"/>
            <w:textDirection w:val="lrTb"/>
            <w:noWrap w:val="false"/>
          </w:tcPr>
          <w:p>
            <w:pPr>
              <w:pStyle w:val="1006"/>
            </w:pPr>
            <w:r>
              <w:t xml:space="preserve">Описание</w:t>
            </w:r>
            <w:r>
              <w:t xml:space="preserve"> поля</w:t>
            </w:r>
            <w:r/>
          </w:p>
        </w:tc>
      </w:tr>
      <w:tr>
        <w:trPr/>
        <w:tc>
          <w:tcPr>
            <w:shd w:val="clear" w:fill="auto" w:color="auto"/>
            <w:tcW w:w="1444" w:type="pct"/>
            <w:textDirection w:val="lrTb"/>
            <w:noWrap w:val="false"/>
          </w:tcPr>
          <w:p>
            <w:pPr>
              <w:pStyle w:val="1005"/>
              <w:ind w:left="57" w:right="57"/>
            </w:pPr>
            <w:r>
              <w:t xml:space="preserve">Руководитель (уполн</w:t>
            </w:r>
            <w:r>
              <w:t xml:space="preserve">ом</w:t>
            </w:r>
            <w:r>
              <w:t xml:space="preserve">о</w:t>
            </w:r>
            <w:r>
              <w:t xml:space="preserve">ченное им лицо). Должность</w:t>
            </w:r>
            <w:r/>
          </w:p>
        </w:tc>
        <w:tc>
          <w:tcPr>
            <w:shd w:val="clear" w:fill="auto" w:color="auto"/>
            <w:tcW w:w="3556" w:type="pct"/>
            <w:textDirection w:val="lrTb"/>
            <w:noWrap w:val="false"/>
          </w:tcPr>
          <w:p>
            <w:pPr>
              <w:pStyle w:val="1005"/>
              <w:ind w:left="57" w:right="57"/>
            </w:pPr>
            <w:r>
              <w:t xml:space="preserve">Значение вводится вручную, либо выбирается из справочника </w:t>
            </w:r>
            <w:r>
              <w:t xml:space="preserve">«</w:t>
            </w:r>
            <w:r>
              <w:t xml:space="preserve">Сп</w:t>
            </w:r>
            <w:r>
              <w:t xml:space="preserve">и</w:t>
            </w:r>
            <w:r>
              <w:t xml:space="preserve">сок сотрудников</w:t>
            </w:r>
            <w:r>
              <w:t xml:space="preserve">»</w:t>
            </w:r>
            <w:r>
              <w:t xml:space="preserve">.</w:t>
            </w:r>
            <w:r/>
          </w:p>
        </w:tc>
      </w:tr>
      <w:tr>
        <w:trPr>
          <w:trHeight w:val="70"/>
        </w:trPr>
        <w:tc>
          <w:tcPr>
            <w:shd w:val="clear" w:fill="auto" w:color="auto"/>
            <w:tcW w:w="1444" w:type="pct"/>
            <w:textDirection w:val="lrTb"/>
            <w:noWrap w:val="false"/>
          </w:tcPr>
          <w:p>
            <w:pPr>
              <w:pStyle w:val="1005"/>
              <w:ind w:left="57" w:right="57"/>
            </w:pPr>
            <w:r>
              <w:t xml:space="preserve">Руководитель (уполн</w:t>
            </w:r>
            <w:r>
              <w:t xml:space="preserve">ом</w:t>
            </w:r>
            <w:r>
              <w:t xml:space="preserve">о</w:t>
            </w:r>
            <w:r>
              <w:t xml:space="preserve">ченное им лицо). Расши</w:t>
            </w:r>
            <w:r>
              <w:t xml:space="preserve">ф</w:t>
            </w:r>
            <w:r>
              <w:t xml:space="preserve">ровка подписи</w:t>
            </w:r>
            <w:r/>
          </w:p>
        </w:tc>
        <w:tc>
          <w:tcPr>
            <w:shd w:val="clear" w:fill="auto" w:color="auto"/>
            <w:tcW w:w="3556" w:type="pct"/>
            <w:textDirection w:val="lrTb"/>
            <w:noWrap w:val="false"/>
          </w:tcPr>
          <w:p>
            <w:pPr>
              <w:pStyle w:val="1005"/>
              <w:ind w:left="57" w:right="57"/>
            </w:pPr>
            <w:r>
              <w:t xml:space="preserve">Значение вводится вручную, либо выбирается из справочника </w:t>
            </w:r>
            <w:r>
              <w:t xml:space="preserve">«</w:t>
            </w:r>
            <w:r>
              <w:t xml:space="preserve">Сп</w:t>
            </w:r>
            <w:r>
              <w:t xml:space="preserve">и</w:t>
            </w:r>
            <w:r>
              <w:t xml:space="preserve">сок сотрудников</w:t>
            </w:r>
            <w:r>
              <w:t xml:space="preserve">»</w:t>
            </w:r>
            <w:r>
              <w:t xml:space="preserve">.</w:t>
            </w:r>
            <w:r/>
          </w:p>
        </w:tc>
      </w:tr>
      <w:tr>
        <w:trPr/>
        <w:tc>
          <w:tcPr>
            <w:shd w:val="clear" w:fill="auto" w:color="auto"/>
            <w:tcW w:w="1444" w:type="pct"/>
            <w:textDirection w:val="lrTb"/>
            <w:noWrap w:val="false"/>
          </w:tcPr>
          <w:p>
            <w:pPr>
              <w:pStyle w:val="1005"/>
              <w:ind w:left="57" w:right="57"/>
            </w:pPr>
            <w:r>
              <w:t xml:space="preserve">Главный бухгалтер (упо</w:t>
            </w:r>
            <w:r>
              <w:t xml:space="preserve">л</w:t>
            </w:r>
            <w:r>
              <w:t xml:space="preserve">ном</w:t>
            </w:r>
            <w:r>
              <w:t xml:space="preserve">о</w:t>
            </w:r>
            <w:r>
              <w:t xml:space="preserve">ченное им лицо). Должность</w:t>
            </w:r>
            <w:r/>
          </w:p>
        </w:tc>
        <w:tc>
          <w:tcPr>
            <w:shd w:val="clear" w:fill="auto" w:color="auto"/>
            <w:tcW w:w="3556" w:type="pct"/>
            <w:textDirection w:val="lrTb"/>
            <w:noWrap w:val="false"/>
          </w:tcPr>
          <w:p>
            <w:pPr>
              <w:pStyle w:val="1005"/>
              <w:ind w:left="57" w:right="57"/>
            </w:pPr>
            <w:r>
              <w:t xml:space="preserve">Значение вводится вручную, либо выбирается из справочника </w:t>
            </w:r>
            <w:r>
              <w:t xml:space="preserve">«</w:t>
            </w:r>
            <w:r>
              <w:t xml:space="preserve">Сп</w:t>
            </w:r>
            <w:r>
              <w:t xml:space="preserve">и</w:t>
            </w:r>
            <w:r>
              <w:t xml:space="preserve">сок сотрудников</w:t>
            </w:r>
            <w:r>
              <w:t xml:space="preserve">»</w:t>
            </w:r>
            <w:r>
              <w:t xml:space="preserve">.</w:t>
            </w:r>
            <w:r/>
          </w:p>
        </w:tc>
      </w:tr>
      <w:tr>
        <w:trPr/>
        <w:tc>
          <w:tcPr>
            <w:shd w:val="clear" w:fill="auto" w:color="auto"/>
            <w:tcW w:w="1444" w:type="pct"/>
            <w:textDirection w:val="lrTb"/>
            <w:noWrap w:val="false"/>
          </w:tcPr>
          <w:p>
            <w:pPr>
              <w:pStyle w:val="1005"/>
              <w:ind w:left="57" w:right="57"/>
            </w:pPr>
            <w:r>
              <w:t xml:space="preserve">Главный бухгалтер (упо</w:t>
            </w:r>
            <w:r>
              <w:t xml:space="preserve">л</w:t>
            </w:r>
            <w:r>
              <w:t xml:space="preserve">ном</w:t>
            </w:r>
            <w:r>
              <w:t xml:space="preserve">о</w:t>
            </w:r>
            <w:r>
              <w:t xml:space="preserve">ченное им лицо). Ра</w:t>
            </w:r>
            <w:r>
              <w:t xml:space="preserve">с</w:t>
            </w:r>
            <w:r>
              <w:t xml:space="preserve">ши</w:t>
            </w:r>
            <w:r>
              <w:t xml:space="preserve">ф</w:t>
            </w:r>
            <w:r>
              <w:t xml:space="preserve">ровка подписи</w:t>
            </w:r>
            <w:r/>
          </w:p>
        </w:tc>
        <w:tc>
          <w:tcPr>
            <w:shd w:val="clear" w:fill="auto" w:color="auto"/>
            <w:tcW w:w="3556" w:type="pct"/>
            <w:textDirection w:val="lrTb"/>
            <w:noWrap w:val="false"/>
          </w:tcPr>
          <w:p>
            <w:pPr>
              <w:pStyle w:val="1005"/>
              <w:ind w:left="57" w:right="57"/>
            </w:pPr>
            <w:r>
              <w:t xml:space="preserve">Значение вводится вручную, либо выбирается из справочника </w:t>
            </w:r>
            <w:r>
              <w:t xml:space="preserve">«</w:t>
            </w:r>
            <w:r>
              <w:t xml:space="preserve">Сп</w:t>
            </w:r>
            <w:r>
              <w:t xml:space="preserve">и</w:t>
            </w:r>
            <w:r>
              <w:t xml:space="preserve">сок сотрудников</w:t>
            </w:r>
            <w:r>
              <w:t xml:space="preserve">»</w:t>
            </w:r>
            <w:r>
              <w:t xml:space="preserve">.</w:t>
            </w:r>
            <w:r/>
          </w:p>
        </w:tc>
      </w:tr>
      <w:tr>
        <w:trPr>
          <w:trHeight w:val="70"/>
        </w:trPr>
        <w:tc>
          <w:tcPr>
            <w:shd w:val="clear" w:fill="auto" w:color="auto"/>
            <w:tcW w:w="1444" w:type="pct"/>
            <w:textDirection w:val="lrTb"/>
            <w:noWrap w:val="false"/>
          </w:tcPr>
          <w:p>
            <w:pPr>
              <w:pStyle w:val="1005"/>
              <w:ind w:left="57" w:right="57"/>
            </w:pPr>
            <w:r>
              <w:t xml:space="preserve">Дата подписания</w:t>
            </w:r>
            <w:r/>
          </w:p>
        </w:tc>
        <w:tc>
          <w:tcPr>
            <w:shd w:val="clear" w:fill="auto" w:color="auto"/>
            <w:tcW w:w="3556" w:type="pct"/>
            <w:textDirection w:val="lrTb"/>
            <w:noWrap w:val="false"/>
          </w:tcPr>
          <w:p>
            <w:pPr>
              <w:pStyle w:val="1005"/>
              <w:ind w:left="57" w:right="57"/>
            </w:pPr>
            <w:r>
              <w:t xml:space="preserve">Значение вводится вручную или выбирается из системного к</w:t>
            </w:r>
            <w:r>
              <w:t xml:space="preserve">але</w:t>
            </w:r>
            <w:r>
              <w:t xml:space="preserve">н</w:t>
            </w:r>
            <w:r>
              <w:t xml:space="preserve">даря.</w:t>
            </w:r>
            <w:r/>
          </w:p>
        </w:tc>
      </w:tr>
      <w:tr>
        <w:trPr/>
        <w:tc>
          <w:tcPr>
            <w:shd w:val="clear" w:fill="auto" w:color="auto"/>
            <w:tcW w:w="1444" w:type="pct"/>
            <w:textDirection w:val="lrTb"/>
            <w:noWrap w:val="false"/>
          </w:tcPr>
          <w:p>
            <w:pPr>
              <w:pStyle w:val="1005"/>
              <w:ind w:left="57" w:right="57"/>
            </w:pPr>
            <w:r>
              <w:t xml:space="preserve">Ответственный испо</w:t>
            </w:r>
            <w:r>
              <w:t xml:space="preserve">лн</w:t>
            </w:r>
            <w:r>
              <w:t xml:space="preserve">и</w:t>
            </w:r>
            <w:r>
              <w:t xml:space="preserve">тель. Должность</w:t>
            </w:r>
            <w:r/>
          </w:p>
        </w:tc>
        <w:tc>
          <w:tcPr>
            <w:shd w:val="clear" w:fill="auto" w:color="auto"/>
            <w:tcW w:w="3556" w:type="pct"/>
            <w:textDirection w:val="lrTb"/>
            <w:noWrap w:val="false"/>
          </w:tcPr>
          <w:p>
            <w:pPr>
              <w:pStyle w:val="1005"/>
              <w:ind w:left="57" w:right="57"/>
            </w:pPr>
            <w:r>
              <w:t xml:space="preserve">Наименование должности ответственного исполнит</w:t>
            </w:r>
            <w:r>
              <w:t xml:space="preserve">еля.</w:t>
            </w:r>
            <w:r/>
          </w:p>
          <w:p>
            <w:pPr>
              <w:pStyle w:val="1005"/>
              <w:ind w:left="57" w:right="57"/>
            </w:pPr>
            <w:r>
              <w:t xml:space="preserve">Поле закрыто на ввод и редактирование.</w:t>
            </w:r>
            <w:r/>
          </w:p>
        </w:tc>
      </w:tr>
      <w:tr>
        <w:trPr/>
        <w:tc>
          <w:tcPr>
            <w:shd w:val="clear" w:fill="auto" w:color="auto"/>
            <w:tcW w:w="1444" w:type="pct"/>
            <w:textDirection w:val="lrTb"/>
            <w:noWrap w:val="false"/>
          </w:tcPr>
          <w:p>
            <w:pPr>
              <w:pStyle w:val="1005"/>
              <w:ind w:left="57" w:right="57"/>
            </w:pPr>
            <w:r>
              <w:t xml:space="preserve">Ответственный испо</w:t>
            </w:r>
            <w:r>
              <w:t xml:space="preserve">лн</w:t>
            </w:r>
            <w:r>
              <w:t xml:space="preserve">и</w:t>
            </w:r>
            <w:r>
              <w:t xml:space="preserve">тель. Расшифровка подписи</w:t>
            </w:r>
            <w:r/>
          </w:p>
        </w:tc>
        <w:tc>
          <w:tcPr>
            <w:shd w:val="clear" w:fill="auto" w:color="auto"/>
            <w:tcW w:w="3556" w:type="pct"/>
            <w:textDirection w:val="lrTb"/>
            <w:noWrap w:val="false"/>
          </w:tcPr>
          <w:p>
            <w:pPr>
              <w:pStyle w:val="1005"/>
              <w:ind w:left="57" w:right="57"/>
            </w:pPr>
            <w:r>
              <w:t xml:space="preserve">ФИО ответственного исполнителя. </w:t>
            </w:r>
            <w:r/>
          </w:p>
          <w:p>
            <w:pPr>
              <w:pStyle w:val="1005"/>
              <w:ind w:left="57" w:right="57"/>
            </w:pPr>
            <w:r>
              <w:t xml:space="preserve">Поле закрыто на ввод и редактирование.</w:t>
            </w:r>
            <w:r/>
          </w:p>
        </w:tc>
      </w:tr>
      <w:tr>
        <w:trPr/>
        <w:tc>
          <w:tcPr>
            <w:shd w:val="clear" w:fill="auto" w:color="auto"/>
            <w:tcW w:w="1444" w:type="pct"/>
            <w:textDirection w:val="lrTb"/>
            <w:noWrap w:val="false"/>
          </w:tcPr>
          <w:p>
            <w:pPr>
              <w:pStyle w:val="1005"/>
              <w:ind w:left="57" w:right="57"/>
            </w:pPr>
            <w:r>
              <w:t xml:space="preserve">Телефон</w:t>
            </w:r>
            <w:r/>
          </w:p>
        </w:tc>
        <w:tc>
          <w:tcPr>
            <w:shd w:val="clear" w:fill="auto" w:color="auto"/>
            <w:tcW w:w="3556" w:type="pct"/>
            <w:textDirection w:val="lrTb"/>
            <w:noWrap w:val="false"/>
          </w:tcPr>
          <w:p>
            <w:pPr>
              <w:pStyle w:val="1005"/>
              <w:ind w:left="57" w:right="57"/>
            </w:pPr>
            <w:r>
              <w:t xml:space="preserve">Номер телефона ответственного исполнителя. </w:t>
            </w:r>
            <w:r/>
          </w:p>
          <w:p>
            <w:pPr>
              <w:pStyle w:val="1005"/>
              <w:ind w:left="57" w:right="57"/>
            </w:pPr>
            <w:r>
              <w:t xml:space="preserve">Поле закрыто на ввод и редактирование.</w:t>
            </w:r>
            <w:r/>
          </w:p>
        </w:tc>
      </w:tr>
    </w:tbl>
    <w:p>
      <w:pPr>
        <w:pStyle w:val="972"/>
      </w:pPr>
      <w:r/>
      <w:bookmarkStart w:id="566" w:name="_Ref51937061"/>
      <w:r/>
      <w:bookmarkStart w:id="567" w:name="_Toc88819104"/>
      <w:r/>
      <w:bookmarkEnd w:id="536"/>
      <w:r/>
      <w:bookmarkEnd w:id="537"/>
      <w:r/>
      <w:bookmarkEnd w:id="548"/>
      <w:r/>
      <w:bookmarkEnd w:id="556"/>
      <w:r/>
      <w:bookmarkEnd w:id="557"/>
      <w:r>
        <w:t xml:space="preserve">Распоряжение финансового органа с расшифровкой</w:t>
      </w:r>
      <w:bookmarkEnd w:id="566"/>
      <w:r/>
      <w:bookmarkEnd w:id="567"/>
      <w:r/>
      <w:r/>
    </w:p>
    <w:p>
      <w:pPr>
        <w:pStyle w:val="994"/>
      </w:pPr>
      <w:r>
        <w:t xml:space="preserve">Формирование документа «</w:t>
      </w:r>
      <w:r>
        <w:t xml:space="preserve">Распоряжение финансового органа с расшифровкой</w:t>
      </w:r>
      <w:r>
        <w:t xml:space="preserve">» осуществляется финансовым органом субъекта РФ или муниципального образования. Документ передается от ФО в орган ОрФК, где открыт лицевой счет ФО.</w:t>
      </w:r>
      <w:r/>
    </w:p>
    <w:p>
      <w:pPr>
        <w:pStyle w:val="994"/>
      </w:pPr>
      <w:r>
        <w:t xml:space="preserve">Для работы с документами «</w:t>
      </w:r>
      <w:r>
        <w:t xml:space="preserve">Распоряжение финансового органа с расшифровкой</w:t>
      </w:r>
      <w:r>
        <w:t xml:space="preserve">» следует перейти в пункт меню «Документы – Регистрация и учет обязательств – Заявки на платеж – </w:t>
      </w:r>
      <w:r>
        <w:t xml:space="preserve">Распоряжение финансового органа с расшифровкой</w:t>
      </w:r>
      <w:r>
        <w:t xml:space="preserve">». Откроется ЭФ списка документов, представленная на рисунке </w:t>
      </w:r>
      <w:r>
        <w:fldChar w:fldCharType="begin"/>
      </w:r>
      <w:r>
        <w:instrText xml:space="preserve"> REF _Ref225579780 \h  \* MERGEFORMAT </w:instrText>
      </w:r>
      <w:r>
        <w:fldChar w:fldCharType="separate"/>
      </w:r>
      <w:r>
        <w:t xml:space="preserve">50</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3383280"/>
                <wp:effectExtent l="0" t="0" r="0" b="0"/>
                <wp:docPr id="11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15"/>
                        <a:stretch/>
                      </pic:blipFill>
                      <pic:spPr bwMode="auto">
                        <a:xfrm>
                          <a:off x="0" y="0"/>
                          <a:ext cx="6134100" cy="33832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 o:spid="_x0000_s115" type="#_x0000_t75" style="mso-wrap-distance-left:0.0pt;mso-wrap-distance-top:0.0pt;mso-wrap-distance-right:0.0pt;mso-wrap-distance-bottom:0.0pt;width:483.0pt;height:266.4pt;" stroked="f">
                <v:path textboxrect="0,0,0,0"/>
                <v:imagedata r:id="rId115" o:title=""/>
              </v:shape>
            </w:pict>
          </mc:Fallback>
        </mc:AlternateContent>
      </w:r>
      <w:r/>
    </w:p>
    <w:p>
      <w:pPr>
        <w:pStyle w:val="983"/>
      </w:pPr>
      <w:r>
        <w:fldChar w:fldCharType="begin"/>
      </w:r>
      <w:r>
        <w:instrText xml:space="preserve"> SEQ Рисунок \* ARABIC </w:instrText>
      </w:r>
      <w:r>
        <w:fldChar w:fldCharType="separate"/>
      </w:r>
      <w:bookmarkStart w:id="568" w:name="_Ref225579780"/>
      <w:r/>
      <w:bookmarkStart w:id="569" w:name="_Toc88819435"/>
      <w:r>
        <w:t xml:space="preserve">50</w:t>
      </w:r>
      <w:bookmarkEnd w:id="568"/>
      <w:r>
        <w:fldChar w:fldCharType="end"/>
      </w:r>
      <w:r>
        <w:t xml:space="preserve">. ЭФ списка документов «</w:t>
      </w:r>
      <w:r>
        <w:t xml:space="preserve">Распоряжение финансового органа с расшифровкой</w:t>
      </w:r>
      <w:r>
        <w:t xml:space="preserve">»</w:t>
      </w:r>
      <w:bookmarkEnd w:id="569"/>
      <w:r/>
      <w:r/>
    </w:p>
    <w:p>
      <w:pPr>
        <w:pStyle w:val="973"/>
      </w:pPr>
      <w:r>
        <w:t xml:space="preserve">Доступные операции</w:t>
      </w:r>
      <w:r/>
    </w:p>
    <w:p>
      <w:pPr>
        <w:pStyle w:val="994"/>
      </w:pPr>
      <w:r>
        <w:t xml:space="preserve">На АРМ ФО доступны следующие операции над документом:</w:t>
      </w:r>
      <w:r/>
    </w:p>
    <w:p>
      <w:pPr>
        <w:pStyle w:val="985"/>
      </w:pPr>
      <w:r>
        <w:t xml:space="preserve">ввод вручную;</w:t>
      </w:r>
      <w:r/>
    </w:p>
    <w:p>
      <w:pPr>
        <w:pStyle w:val="985"/>
      </w:pPr>
      <w:r>
        <w:t xml:space="preserve">импорт из внешней системы;</w:t>
      </w:r>
      <w:r/>
    </w:p>
    <w:p>
      <w:pPr>
        <w:pStyle w:val="985"/>
      </w:pPr>
      <w:r>
        <w:t xml:space="preserve">документарный контроль;</w:t>
      </w:r>
      <w:r/>
    </w:p>
    <w:p>
      <w:pPr>
        <w:pStyle w:val="985"/>
      </w:pPr>
      <w:r>
        <w:t xml:space="preserve">просмотр и редактирование;</w:t>
      </w:r>
      <w:r/>
    </w:p>
    <w:p>
      <w:pPr>
        <w:pStyle w:val="985"/>
      </w:pPr>
      <w:r>
        <w:t xml:space="preserve">удаление;</w:t>
      </w:r>
      <w:r/>
    </w:p>
    <w:p>
      <w:pPr>
        <w:pStyle w:val="985"/>
      </w:pPr>
      <w:r>
        <w:t xml:space="preserve">подписание </w:t>
      </w:r>
      <w:r>
        <w:t xml:space="preserve">ЭП</w:t>
      </w:r>
      <w:r>
        <w:t xml:space="preserve">;</w:t>
      </w:r>
      <w:r/>
    </w:p>
    <w:p>
      <w:pPr>
        <w:pStyle w:val="985"/>
      </w:pPr>
      <w:r>
        <w:t xml:space="preserve">печать;</w:t>
      </w:r>
      <w:r/>
    </w:p>
    <w:p>
      <w:pPr>
        <w:pStyle w:val="985"/>
      </w:pPr>
      <w:r>
        <w:t xml:space="preserve">отправка в ОФК (УФК).</w:t>
      </w:r>
      <w:r/>
    </w:p>
    <w:p>
      <w:pPr>
        <w:pStyle w:val="973"/>
      </w:pPr>
      <w:r>
        <w:t xml:space="preserve">Экранная форма документа</w:t>
      </w:r>
      <w:r/>
    </w:p>
    <w:p>
      <w:pPr>
        <w:pStyle w:val="994"/>
      </w:pPr>
      <w:r>
        <w:t xml:space="preserve">ЭФ документа «</w:t>
      </w:r>
      <w:r>
        <w:t xml:space="preserve">Распоряжение финансового органа с расшифровкой</w:t>
      </w:r>
      <w:r>
        <w:t xml:space="preserve">» представлена на рисунк</w:t>
      </w:r>
      <w:r>
        <w:t xml:space="preserve">ах</w:t>
      </w:r>
      <w:r>
        <w:t xml:space="preserve"> </w:t>
      </w:r>
      <w:r>
        <w:fldChar w:fldCharType="begin"/>
      </w:r>
      <w:r>
        <w:instrText xml:space="preserve"> REF _Ref225580013 \h  \* MERGEFORMAT </w:instrText>
      </w:r>
      <w:r>
        <w:fldChar w:fldCharType="separate"/>
      </w:r>
      <w:r>
        <w:t xml:space="preserve">51</w:t>
      </w:r>
      <w:r>
        <w:fldChar w:fldCharType="end"/>
      </w:r>
      <w:r>
        <w:t xml:space="preserve">-</w:t>
      </w:r>
      <w:r>
        <w:fldChar w:fldCharType="begin"/>
      </w:r>
      <w:r>
        <w:instrText xml:space="preserve"> REF _Ref246506344 \h </w:instrText>
      </w:r>
      <w:r>
        <w:fldChar w:fldCharType="separate"/>
      </w:r>
      <w:r>
        <w:t xml:space="preserve">53</w:t>
      </w:r>
      <w:r>
        <w:fldChar w:fldCharType="end"/>
      </w:r>
      <w:r>
        <w:t xml:space="preserve">. </w:t>
      </w:r>
      <w:r>
        <w:t xml:space="preserve">Форма содержит следующие закладки</w:t>
      </w:r>
      <w:r>
        <w:t xml:space="preserve">:</w:t>
      </w:r>
      <w:r/>
    </w:p>
    <w:p>
      <w:pPr>
        <w:pStyle w:val="985"/>
      </w:pPr>
      <w:r>
        <w:t xml:space="preserve">«Основные атрибуты»;</w:t>
      </w:r>
      <w:r/>
    </w:p>
    <w:p>
      <w:pPr>
        <w:pStyle w:val="985"/>
      </w:pPr>
      <w:r>
        <w:t xml:space="preserve">«Подписи»;</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126480" cy="6027420"/>
                <wp:effectExtent l="0" t="0" r="0" b="0"/>
                <wp:docPr id="11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16"/>
                        <a:stretch/>
                      </pic:blipFill>
                      <pic:spPr bwMode="auto">
                        <a:xfrm>
                          <a:off x="0" y="0"/>
                          <a:ext cx="6126480" cy="60274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 o:spid="_x0000_s116" type="#_x0000_t75" style="mso-wrap-distance-left:0.0pt;mso-wrap-distance-top:0.0pt;mso-wrap-distance-right:0.0pt;mso-wrap-distance-bottom:0.0pt;width:482.4pt;height:474.6pt;" stroked="f">
                <v:path textboxrect="0,0,0,0"/>
                <v:imagedata r:id="rId116" o:title=""/>
              </v:shape>
            </w:pict>
          </mc:Fallback>
        </mc:AlternateContent>
      </w:r>
      <w:r/>
    </w:p>
    <w:p>
      <w:pPr>
        <w:pStyle w:val="983"/>
      </w:pPr>
      <w:r>
        <w:fldChar w:fldCharType="begin"/>
      </w:r>
      <w:r>
        <w:instrText xml:space="preserve"> SEQ Рисунок \* ARABIC </w:instrText>
      </w:r>
      <w:r>
        <w:fldChar w:fldCharType="separate"/>
      </w:r>
      <w:bookmarkStart w:id="570" w:name="_Ref225580013"/>
      <w:r/>
      <w:bookmarkStart w:id="571" w:name="_Toc88819436"/>
      <w:r>
        <w:t xml:space="preserve">51</w:t>
      </w:r>
      <w:bookmarkEnd w:id="570"/>
      <w:r>
        <w:fldChar w:fldCharType="end"/>
      </w:r>
      <w:r>
        <w:t xml:space="preserve">. ЭФ документа «</w:t>
      </w:r>
      <w:r>
        <w:t xml:space="preserve">Распоряжение финансового органа с расшифровкой</w:t>
      </w:r>
      <w:r>
        <w:t xml:space="preserve">», закладки «</w:t>
      </w:r>
      <w:r>
        <w:t xml:space="preserve">Основные атр</w:t>
      </w:r>
      <w:r>
        <w:t xml:space="preserve">и</w:t>
      </w:r>
      <w:r>
        <w:t xml:space="preserve">буты»</w:t>
      </w:r>
      <w:bookmarkEnd w:id="571"/>
      <w:r/>
      <w:r/>
    </w:p>
    <w:p>
      <w:pPr>
        <w:pStyle w:val="994"/>
      </w:pPr>
      <w:r>
        <w:t xml:space="preserve">При импорте документа из внешней системы поля документа автоматическ</w:t>
      </w:r>
      <w:r>
        <w:t xml:space="preserve">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r/>
    </w:p>
    <w:p>
      <w:pPr>
        <w:pStyle w:val="994"/>
      </w:pPr>
      <w:r>
        <w:t xml:space="preserve">Перечень полей </w:t>
      </w:r>
      <w:r>
        <w:t xml:space="preserve">документа «</w:t>
      </w:r>
      <w:r>
        <w:t xml:space="preserve">Распоряжение финансового органа с расшифровкой</w:t>
      </w:r>
      <w:r>
        <w:t xml:space="preserve">», закладки «Основные атрибуты»</w:t>
      </w:r>
      <w:r>
        <w:t xml:space="preserve"> </w:t>
      </w:r>
      <w:r>
        <w:t xml:space="preserve">приведен в таблице</w:t>
      </w:r>
      <w:r>
        <w:t xml:space="preserve"> </w:t>
      </w:r>
      <w:r>
        <w:fldChar w:fldCharType="begin"/>
      </w:r>
      <w:r>
        <w:instrText xml:space="preserve"> REF _Ref317671343 \h </w:instrText>
      </w:r>
      <w:r>
        <w:instrText xml:space="preserve"> \* MERGEFORMAT </w:instrText>
      </w:r>
      <w:r>
        <w:fldChar w:fldCharType="separate"/>
      </w:r>
      <w:r>
        <w:t xml:space="preserve">22</w:t>
      </w:r>
      <w:r>
        <w:fldChar w:fldCharType="end"/>
      </w:r>
      <w:r>
        <w:t xml:space="preserve">.</w:t>
      </w:r>
      <w:r/>
    </w:p>
    <w:p>
      <w:pPr>
        <w:pStyle w:val="993"/>
      </w:pPr>
      <w:r>
        <w:fldChar w:fldCharType="begin"/>
      </w:r>
      <w:r>
        <w:instrText xml:space="preserve"> SEQ Таблица \* ARABIC </w:instrText>
      </w:r>
      <w:r>
        <w:fldChar w:fldCharType="separate"/>
      </w:r>
      <w:bookmarkStart w:id="572" w:name="_Ref317671343"/>
      <w:r/>
      <w:bookmarkStart w:id="573" w:name="_Toc88819208"/>
      <w:r>
        <w:t xml:space="preserve">22</w:t>
      </w:r>
      <w:bookmarkEnd w:id="572"/>
      <w:r>
        <w:fldChar w:fldCharType="end"/>
      </w:r>
      <w:r>
        <w:t xml:space="preserve">. Описание полей документа «</w:t>
      </w:r>
      <w:r>
        <w:t xml:space="preserve">Распоряжение финансового органа с расшифровкой</w:t>
      </w:r>
      <w:r>
        <w:t xml:space="preserve">», закладки «</w:t>
      </w:r>
      <w:r>
        <w:t xml:space="preserve">О</w:t>
      </w:r>
      <w:r>
        <w:t xml:space="preserve">с</w:t>
      </w:r>
      <w:r>
        <w:t xml:space="preserve">новные атрибуты»</w:t>
      </w:r>
      <w:bookmarkEnd w:id="573"/>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80"/>
        <w:gridCol w:w="7472"/>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169"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31" w:type="pct"/>
            <w:vAlign w:val="center"/>
            <w:textDirection w:val="lrTb"/>
            <w:noWrap w:val="false"/>
          </w:tcPr>
          <w:p>
            <w:pPr>
              <w:pStyle w:val="1006"/>
            </w:pPr>
            <w:r>
              <w:t xml:space="preserve">Описание поля</w:t>
            </w:r>
            <w:r/>
          </w:p>
        </w:tc>
      </w:tr>
      <w:tr>
        <w:trPr/>
        <w:tc>
          <w:tcPr>
            <w:shd w:val="clear" w:fill="auto" w:color="auto"/>
            <w:tcW w:w="1169" w:type="pct"/>
            <w:textDirection w:val="lrTb"/>
            <w:noWrap w:val="false"/>
          </w:tcPr>
          <w:p>
            <w:pPr>
              <w:pStyle w:val="1005"/>
              <w:ind w:left="57" w:right="57"/>
            </w:pPr>
            <w:r>
              <w:t xml:space="preserve">Номер расчетного документа</w:t>
            </w:r>
            <w:r/>
          </w:p>
        </w:tc>
        <w:tc>
          <w:tcPr>
            <w:shd w:val="clear" w:fill="auto" w:color="auto"/>
            <w:tcW w:w="3831" w:type="pct"/>
            <w:textDirection w:val="lrTb"/>
            <w:noWrap w:val="false"/>
          </w:tcPr>
          <w:p>
            <w:pPr>
              <w:pStyle w:val="1005"/>
              <w:ind w:left="57" w:right="57"/>
            </w:pPr>
            <w:r>
              <w:t xml:space="preserve">Значение рассчитывается автоматически на основании настроек для т</w:t>
            </w:r>
            <w:r>
              <w:t xml:space="preserve">е</w:t>
            </w:r>
            <w:r>
              <w:t xml:space="preserve">кущего типа документа в справочнике «Параметры автонумерации документов».</w:t>
            </w:r>
            <w:r>
              <w:t xml:space="preserve"> </w:t>
            </w:r>
            <w:r>
              <w:t xml:space="preserve">Может быть заполнено вручную.</w:t>
            </w:r>
            <w:r/>
          </w:p>
          <w:p>
            <w:pPr>
              <w:pStyle w:val="1005"/>
              <w:ind w:left="57" w:right="57"/>
            </w:pPr>
            <w:r>
              <w:t xml:space="preserve">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r/>
          </w:p>
        </w:tc>
      </w:tr>
      <w:tr>
        <w:trPr/>
        <w:tc>
          <w:tcPr>
            <w:shd w:val="clear" w:fill="auto" w:color="auto"/>
            <w:tcW w:w="1169" w:type="pct"/>
            <w:textDirection w:val="lrTb"/>
            <w:noWrap w:val="false"/>
          </w:tcPr>
          <w:p>
            <w:pPr>
              <w:pStyle w:val="1005"/>
              <w:ind w:left="57" w:right="57"/>
            </w:pPr>
            <w:r>
              <w:t xml:space="preserve">Дата</w:t>
            </w:r>
            <w:r/>
          </w:p>
        </w:tc>
        <w:tc>
          <w:tcPr>
            <w:shd w:val="clear" w:fill="auto" w:color="auto"/>
            <w:tcW w:w="3831" w:type="pct"/>
            <w:textDirection w:val="lrTb"/>
            <w:noWrap w:val="false"/>
          </w:tcPr>
          <w:p>
            <w:pPr>
              <w:pStyle w:val="1005"/>
              <w:ind w:left="57" w:right="57"/>
            </w:pPr>
            <w:r>
              <w:t xml:space="preserve">Значение по умолчанию </w:t>
            </w:r>
            <w:r>
              <w:t xml:space="preserve">–</w:t>
            </w:r>
            <w:r>
              <w:t xml:space="preserve"> текущая дата. Может быть выбрано пользов</w:t>
            </w:r>
            <w:r>
              <w:t xml:space="preserve">а</w:t>
            </w:r>
            <w:r>
              <w:t xml:space="preserve">телем из системного календаря.</w:t>
            </w:r>
            <w:r/>
          </w:p>
        </w:tc>
      </w:tr>
      <w:tr>
        <w:trPr/>
        <w:tc>
          <w:tcPr>
            <w:shd w:val="clear" w:fill="auto" w:color="auto"/>
            <w:tcW w:w="1169" w:type="pct"/>
            <w:textDirection w:val="lrTb"/>
            <w:noWrap w:val="false"/>
          </w:tcPr>
          <w:p>
            <w:pPr>
              <w:pStyle w:val="1005"/>
              <w:ind w:left="57" w:right="57"/>
            </w:pPr>
            <w:r>
              <w:t xml:space="preserve">Статус</w:t>
            </w:r>
            <w:r/>
          </w:p>
        </w:tc>
        <w:tc>
          <w:tcPr>
            <w:shd w:val="clear" w:fill="auto" w:color="auto"/>
            <w:tcW w:w="3831" w:type="pct"/>
            <w:textDirection w:val="lrTb"/>
            <w:noWrap w:val="false"/>
          </w:tcPr>
          <w:p>
            <w:pPr>
              <w:pStyle w:val="1005"/>
              <w:ind w:left="57" w:right="57"/>
            </w:pPr>
            <w:r>
              <w:t xml:space="preserve">Код статуса документа.</w:t>
            </w:r>
            <w:r/>
          </w:p>
          <w:p>
            <w:pPr>
              <w:pStyle w:val="1005"/>
              <w:ind w:left="57" w:right="57"/>
            </w:pPr>
            <w:r>
              <w:t xml:space="preserve">Значение заполняется автоматически или передается из OEBS.</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w:t>
            </w:r>
            <w:r>
              <w:t xml:space="preserve">»</w:t>
            </w:r>
            <w:r/>
          </w:p>
        </w:tc>
      </w:tr>
      <w:tr>
        <w:trPr/>
        <w:tc>
          <w:tcPr>
            <w:shd w:val="clear" w:fill="auto" w:color="auto"/>
            <w:tcW w:w="1169" w:type="pct"/>
            <w:textDirection w:val="lrTb"/>
            <w:noWrap w:val="false"/>
          </w:tcPr>
          <w:p>
            <w:pPr>
              <w:pStyle w:val="1005"/>
              <w:ind w:left="57" w:right="57"/>
            </w:pPr>
            <w:r>
              <w:t xml:space="preserve">Наименование бюджета</w:t>
            </w:r>
            <w:r/>
          </w:p>
        </w:tc>
        <w:tc>
          <w:tcPr>
            <w:shd w:val="clear" w:fill="auto" w:color="auto"/>
            <w:tcW w:w="3831" w:type="pct"/>
            <w:textDirection w:val="lrTb"/>
            <w:noWrap w:val="false"/>
          </w:tcPr>
          <w:p>
            <w:pPr>
              <w:pStyle w:val="1005"/>
              <w:ind w:left="57" w:right="57"/>
            </w:pPr>
            <w:r>
              <w:t xml:space="preserve">Наименование бюджета, в который поступили платежи.</w:t>
            </w:r>
            <w:r/>
          </w:p>
          <w:p>
            <w:pPr>
              <w:pStyle w:val="1005"/>
              <w:ind w:left="57" w:right="57"/>
            </w:pPr>
            <w:r>
              <w:t xml:space="preserve">Заполняется автоматически по коду бюджета (полное наименование).</w:t>
            </w:r>
            <w:r/>
          </w:p>
          <w:p>
            <w:pPr>
              <w:pStyle w:val="1005"/>
              <w:ind w:left="57" w:right="57"/>
            </w:pPr>
            <w:r>
              <w:t xml:space="preserve">Может быть отредактировано вручную/из справочника бюджетов.</w:t>
            </w:r>
            <w:r/>
          </w:p>
        </w:tc>
      </w:tr>
      <w:tr>
        <w:trPr/>
        <w:tc>
          <w:tcPr>
            <w:shd w:val="clear" w:fill="auto" w:color="auto"/>
            <w:tcW w:w="1169" w:type="pct"/>
            <w:textDirection w:val="lrTb"/>
            <w:noWrap w:val="false"/>
          </w:tcPr>
          <w:p>
            <w:pPr>
              <w:pStyle w:val="1005"/>
              <w:ind w:left="57" w:right="57"/>
            </w:pPr>
            <w:r>
              <w:t xml:space="preserve">Финансовый орган</w:t>
            </w:r>
            <w:r/>
          </w:p>
        </w:tc>
        <w:tc>
          <w:tcPr>
            <w:shd w:val="clear" w:fill="auto" w:color="auto"/>
            <w:tcW w:w="3831" w:type="pct"/>
            <w:textDirection w:val="lrTb"/>
            <w:noWrap w:val="false"/>
          </w:tcPr>
          <w:p>
            <w:pPr>
              <w:pStyle w:val="1005"/>
              <w:ind w:left="57" w:right="57"/>
            </w:pPr>
            <w:r>
              <w:t xml:space="preserve">Наименование ФО, организующего исполнение бюджета.</w:t>
            </w:r>
            <w:r/>
          </w:p>
          <w:p>
            <w:pPr>
              <w:pStyle w:val="1005"/>
              <w:ind w:left="57" w:right="57"/>
            </w:pPr>
            <w:r>
              <w:t xml:space="preserve">Заполняется автоматически полным наименованием по коду финоргана из справочника финансовых органов, кроме бюджета ГВБФ.</w:t>
            </w:r>
            <w:r/>
          </w:p>
          <w:p>
            <w:pPr>
              <w:pStyle w:val="1005"/>
              <w:ind w:left="57" w:right="57"/>
            </w:pPr>
            <w:r>
              <w:t xml:space="preserve">Может быть изменено пользователем вручную или выбором из справочника финансовых органов.</w:t>
            </w:r>
            <w:r/>
          </w:p>
        </w:tc>
      </w:tr>
      <w:tr>
        <w:trPr/>
        <w:tc>
          <w:tcPr>
            <w:shd w:val="clear" w:fill="auto" w:color="auto"/>
            <w:tcW w:w="1169" w:type="pct"/>
            <w:textDirection w:val="lrTb"/>
            <w:noWrap w:val="false"/>
          </w:tcPr>
          <w:p>
            <w:pPr>
              <w:pStyle w:val="1005"/>
              <w:ind w:left="57" w:right="57"/>
            </w:pPr>
            <w:r>
              <w:t xml:space="preserve">Орган ФК</w:t>
            </w:r>
            <w:r/>
          </w:p>
        </w:tc>
        <w:tc>
          <w:tcPr>
            <w:shd w:val="clear" w:fill="auto" w:color="auto"/>
            <w:tcW w:w="3831" w:type="pct"/>
            <w:textDirection w:val="lrTb"/>
            <w:noWrap w:val="false"/>
          </w:tcPr>
          <w:p>
            <w:pPr>
              <w:pStyle w:val="1005"/>
              <w:ind w:left="57" w:right="57"/>
            </w:pPr>
            <w:r>
              <w:t xml:space="preserve">Наименование вышестоящего ТОФК.</w:t>
            </w:r>
            <w:r/>
          </w:p>
          <w:p>
            <w:pPr>
              <w:pStyle w:val="1005"/>
              <w:ind w:left="57" w:right="57"/>
            </w:pPr>
            <w:r>
              <w:t xml:space="preserve">Значение подтягивается автоматически после заполнения поля «по КОФК». Может быть изменено пользователем вручную.</w:t>
            </w:r>
            <w:r/>
          </w:p>
        </w:tc>
      </w:tr>
      <w:tr>
        <w:trPr/>
        <w:tc>
          <w:tcPr>
            <w:shd w:val="clear" w:fill="auto" w:color="auto"/>
            <w:tcW w:w="1169" w:type="pct"/>
            <w:textDirection w:val="lrTb"/>
            <w:noWrap w:val="false"/>
          </w:tcPr>
          <w:p>
            <w:pPr>
              <w:pStyle w:val="1005"/>
              <w:ind w:left="57" w:right="57"/>
            </w:pPr>
            <w:r>
              <w:t xml:space="preserve">П</w:t>
            </w:r>
            <w:r>
              <w:t xml:space="preserve">о КОФК</w:t>
            </w:r>
            <w:r/>
          </w:p>
        </w:tc>
        <w:tc>
          <w:tcPr>
            <w:shd w:val="clear" w:fill="auto" w:color="auto"/>
            <w:tcW w:w="3831" w:type="pct"/>
            <w:textDirection w:val="lrTb"/>
            <w:noWrap w:val="false"/>
          </w:tcPr>
          <w:p>
            <w:pPr>
              <w:pStyle w:val="1005"/>
              <w:ind w:left="57" w:right="57"/>
            </w:pPr>
            <w:r>
              <w:t xml:space="preserve">Код вышестоящего ТОФК по КОФК.</w:t>
            </w:r>
            <w:r/>
          </w:p>
          <w:p>
            <w:pPr>
              <w:pStyle w:val="1005"/>
              <w:ind w:left="57" w:right="57"/>
            </w:pPr>
            <w:r>
              <w:t xml:space="preserve">Проверяется значение константы</w:t>
            </w:r>
            <w:r>
              <w:t xml:space="preserve"> </w:t>
            </w:r>
            <w:r>
              <w:t xml:space="preserve">код собственного ТОФК:</w:t>
            </w:r>
            <w:r/>
          </w:p>
          <w:p>
            <w:pPr>
              <w:pStyle w:val="1007"/>
            </w:pPr>
            <w:r>
              <w:t xml:space="preserve">если оно равно ххуу, то по умолчанию проставляется значение константы код вышестоящего ТОФК, равный хх00; </w:t>
            </w:r>
            <w:r/>
          </w:p>
          <w:p>
            <w:pPr>
              <w:pStyle w:val="1007"/>
            </w:pPr>
            <w:r>
              <w:t xml:space="preserve">если равно хх00, то по умолчанию проставляется значение код собственного ТОФК. </w:t>
            </w:r>
            <w:r/>
          </w:p>
          <w:p>
            <w:pPr>
              <w:pStyle w:val="1005"/>
              <w:ind w:left="57" w:right="57"/>
            </w:pPr>
            <w:r>
              <w:t xml:space="preserve">Может быть изменено пользователем вручную или выбором из справо</w:t>
            </w:r>
            <w:r>
              <w:t xml:space="preserve">ч</w:t>
            </w:r>
            <w:r>
              <w:t xml:space="preserve">ника КОФК (Органы ФК).</w:t>
            </w:r>
            <w:r/>
          </w:p>
        </w:tc>
      </w:tr>
      <w:tr>
        <w:trPr/>
        <w:tc>
          <w:tcPr>
            <w:shd w:val="clear" w:fill="auto" w:color="auto"/>
            <w:tcW w:w="1169" w:type="pct"/>
            <w:textDirection w:val="lrTb"/>
            <w:noWrap w:val="false"/>
          </w:tcPr>
          <w:p>
            <w:pPr>
              <w:pStyle w:val="1005"/>
              <w:ind w:left="57" w:right="57"/>
            </w:pPr>
            <w:r>
              <w:t xml:space="preserve">Финансовый орган</w:t>
            </w:r>
            <w:r/>
          </w:p>
        </w:tc>
        <w:tc>
          <w:tcPr>
            <w:shd w:val="clear" w:fill="auto" w:color="auto"/>
            <w:tcW w:w="3831" w:type="pct"/>
            <w:textDirection w:val="lrTb"/>
            <w:noWrap w:val="false"/>
          </w:tcPr>
          <w:p>
            <w:pPr>
              <w:pStyle w:val="1005"/>
              <w:ind w:left="57" w:right="57"/>
            </w:pPr>
            <w:r>
              <w:t xml:space="preserve">Наименование ФО, представившего платежное поручение.</w:t>
            </w:r>
            <w:r/>
          </w:p>
          <w:p>
            <w:pPr>
              <w:pStyle w:val="1005"/>
              <w:ind w:left="57" w:right="57"/>
            </w:pPr>
            <w:r>
              <w:t xml:space="preserve">Заполняется полным наименованием из справочника СРРПБС/АД/АИ если значение поля «Переход на СР» = 1, то автозаполнение </w:t>
            </w:r>
            <w:r>
              <w:t xml:space="preserve">осуществляется</w:t>
            </w:r>
            <w:r>
              <w:t xml:space="preserve"> по справочнику «Реестр участников бюджетного процесса, а также юридических лиц, не являющихся участниками бюджетного пр</w:t>
            </w:r>
            <w:r>
              <w:t xml:space="preserve">о</w:t>
            </w:r>
            <w:r>
              <w:t xml:space="preserve">цесса»</w:t>
            </w:r>
            <w:r>
              <w:t xml:space="preserve"> </w:t>
            </w:r>
            <w:r>
              <w:t xml:space="preserve">на</w:t>
            </w:r>
            <w:r>
              <w:t xml:space="preserve"> </w:t>
            </w:r>
            <w:r>
              <w:t xml:space="preserve">основании кода из системной константы «Код собственного БУ» (с учетом Бюджета и кода Главы по БК).</w:t>
            </w:r>
            <w:r/>
          </w:p>
          <w:p>
            <w:pPr>
              <w:pStyle w:val="1005"/>
              <w:ind w:left="57" w:right="57"/>
            </w:pPr>
            <w:r>
              <w:t xml:space="preserve">Может быть отредактировано вручную, либо выборо</w:t>
            </w:r>
            <w:r>
              <w:t xml:space="preserve">м из справочника СРРПБС/АД/АИФ.</w:t>
            </w:r>
            <w:r/>
          </w:p>
        </w:tc>
      </w:tr>
      <w:tr>
        <w:trPr/>
        <w:tc>
          <w:tcPr>
            <w:shd w:val="clear" w:fill="auto" w:color="auto"/>
            <w:tcW w:w="1169" w:type="pct"/>
            <w:textDirection w:val="lrTb"/>
            <w:noWrap w:val="false"/>
          </w:tcPr>
          <w:p>
            <w:pPr>
              <w:pStyle w:val="1005"/>
              <w:ind w:left="57" w:right="57"/>
            </w:pPr>
            <w:r>
              <w:t xml:space="preserve">Номер лицевого счета</w:t>
            </w:r>
            <w:r/>
          </w:p>
        </w:tc>
        <w:tc>
          <w:tcPr>
            <w:shd w:val="clear" w:fill="auto" w:color="auto"/>
            <w:tcW w:w="3831" w:type="pct"/>
            <w:textDirection w:val="lrTb"/>
            <w:noWrap w:val="false"/>
          </w:tcPr>
          <w:p>
            <w:pPr>
              <w:pStyle w:val="1005"/>
              <w:ind w:left="57" w:right="57"/>
            </w:pPr>
            <w:r>
              <w:t xml:space="preserve">Поле заполняется вручную или из справочника лицевых счетов.</w:t>
            </w:r>
            <w:r/>
          </w:p>
          <w:p>
            <w:pPr>
              <w:pStyle w:val="1005"/>
              <w:ind w:left="57" w:right="57"/>
            </w:pPr>
            <w:r>
              <w:t xml:space="preserve">Если бюджет ГВБФ, то может быть указан только лицевой счет с типом 02 или лицевой счет с типом 12.</w:t>
            </w:r>
            <w:r/>
          </w:p>
        </w:tc>
      </w:tr>
      <w:tr>
        <w:trPr/>
        <w:tc>
          <w:tcPr>
            <w:shd w:val="clear" w:fill="auto" w:color="auto"/>
            <w:tcW w:w="1169" w:type="pct"/>
            <w:textDirection w:val="lrTb"/>
            <w:noWrap w:val="false"/>
          </w:tcPr>
          <w:p>
            <w:pPr>
              <w:pStyle w:val="1005"/>
              <w:ind w:left="57" w:right="57"/>
            </w:pPr>
            <w:r>
              <w:t xml:space="preserve">Наименование банка</w:t>
            </w:r>
            <w:r/>
          </w:p>
        </w:tc>
        <w:tc>
          <w:tcPr>
            <w:shd w:val="clear" w:fill="auto" w:color="auto"/>
            <w:tcW w:w="3831" w:type="pct"/>
            <w:textDirection w:val="lrTb"/>
            <w:noWrap w:val="false"/>
          </w:tcPr>
          <w:p>
            <w:pPr>
              <w:pStyle w:val="1005"/>
              <w:ind w:left="57" w:right="57"/>
            </w:pPr>
            <w:r>
              <w:t xml:space="preserve">Наименование банка, в котором открыт счет ФК.</w:t>
            </w:r>
            <w:r/>
          </w:p>
          <w:p>
            <w:pPr>
              <w:pStyle w:val="1005"/>
              <w:ind w:left="57" w:right="57"/>
            </w:pPr>
            <w:r>
              <w:t xml:space="preserve">Значение подтягивается автоматически после заполнения поля «БИК ба</w:t>
            </w:r>
            <w:r>
              <w:t xml:space="preserve">н</w:t>
            </w:r>
            <w:r>
              <w:t xml:space="preserve">ка» из поля «Платёжное наименование банка составное» из справочника Банков. </w:t>
            </w:r>
            <w:r/>
          </w:p>
          <w:p>
            <w:pPr>
              <w:pStyle w:val="1005"/>
              <w:ind w:left="57" w:right="57"/>
            </w:pPr>
            <w:r>
              <w:t xml:space="preserve">Поле открыто на редактирование.</w:t>
            </w:r>
            <w:r/>
          </w:p>
        </w:tc>
      </w:tr>
      <w:tr>
        <w:trPr/>
        <w:tc>
          <w:tcPr>
            <w:shd w:val="clear" w:fill="auto" w:color="auto"/>
            <w:tcW w:w="1169" w:type="pct"/>
            <w:textDirection w:val="lrTb"/>
            <w:noWrap w:val="false"/>
          </w:tcPr>
          <w:p>
            <w:pPr>
              <w:pStyle w:val="1005"/>
              <w:ind w:left="57" w:right="57"/>
            </w:pPr>
            <w:r>
              <w:t xml:space="preserve">Номер банковского счета</w:t>
            </w:r>
            <w:r/>
          </w:p>
        </w:tc>
        <w:tc>
          <w:tcPr>
            <w:shd w:val="clear" w:fill="auto" w:color="auto"/>
            <w:tcW w:w="3831" w:type="pct"/>
            <w:textDirection w:val="lrTb"/>
            <w:noWrap w:val="false"/>
          </w:tcPr>
          <w:p>
            <w:pPr>
              <w:pStyle w:val="1005"/>
              <w:ind w:left="57" w:right="57"/>
            </w:pPr>
            <w:r>
              <w:t xml:space="preserve">Номер банковского счета ФК.</w:t>
            </w:r>
            <w:r/>
          </w:p>
          <w:p>
            <w:pPr>
              <w:pStyle w:val="1005"/>
              <w:ind w:left="57" w:right="57"/>
            </w:pPr>
            <w:r>
              <w:t xml:space="preserve">Значение вводится вручную или выбирается из справочника «Банковские </w:t>
            </w:r>
            <w:r>
              <w:t xml:space="preserve">счета ФК».</w:t>
            </w:r>
            <w:r/>
          </w:p>
        </w:tc>
      </w:tr>
      <w:tr>
        <w:trPr/>
        <w:tc>
          <w:tcPr>
            <w:shd w:val="clear" w:fill="auto" w:color="auto"/>
            <w:tcW w:w="1169" w:type="pct"/>
            <w:textDirection w:val="lrTb"/>
            <w:noWrap w:val="false"/>
          </w:tcPr>
          <w:p>
            <w:pPr>
              <w:pStyle w:val="1005"/>
              <w:ind w:left="57" w:right="57"/>
            </w:pPr>
            <w:r>
              <w:t xml:space="preserve">БИК банка</w:t>
            </w:r>
            <w:r/>
          </w:p>
        </w:tc>
        <w:tc>
          <w:tcPr>
            <w:shd w:val="clear" w:fill="auto" w:color="auto"/>
            <w:tcW w:w="3831" w:type="pct"/>
            <w:textDirection w:val="lrTb"/>
            <w:noWrap w:val="false"/>
          </w:tcPr>
          <w:p>
            <w:pPr>
              <w:pStyle w:val="1005"/>
              <w:ind w:left="57" w:right="57"/>
            </w:pPr>
            <w:r>
              <w:t xml:space="preserve">Код БИК банка ФК.</w:t>
            </w:r>
            <w:r/>
          </w:p>
          <w:p>
            <w:pPr>
              <w:pStyle w:val="1005"/>
              <w:ind w:left="57" w:right="57"/>
            </w:pPr>
            <w:r>
              <w:t xml:space="preserve">Значение подтягивается автоматически после заполнения поля «Банк. Счет» из справочника «Банковские счета ФК» из поля «Где открыт».</w:t>
            </w:r>
            <w:r/>
          </w:p>
          <w:p>
            <w:pPr>
              <w:pStyle w:val="1005"/>
              <w:ind w:left="57" w:right="57"/>
            </w:pPr>
            <w:r>
              <w:t xml:space="preserve">Значение вводится вручную или выбирается из справочника банков.</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 та</w:t>
            </w:r>
            <w:r>
              <w:t xml:space="preserve">бличное поле</w:t>
            </w:r>
            <w:r/>
          </w:p>
        </w:tc>
      </w:tr>
      <w:tr>
        <w:trPr/>
        <w:tc>
          <w:tcPr>
            <w:shd w:val="clear" w:fill="auto" w:color="auto"/>
            <w:tcW w:w="1169" w:type="pct"/>
            <w:textDirection w:val="lrTb"/>
            <w:noWrap w:val="false"/>
          </w:tcPr>
          <w:p>
            <w:pPr>
              <w:pStyle w:val="1005"/>
              <w:ind w:left="57" w:right="57"/>
            </w:pPr>
            <w:r>
              <w:t xml:space="preserve">№</w:t>
            </w:r>
            <w:r/>
          </w:p>
        </w:tc>
        <w:tc>
          <w:tcPr>
            <w:shd w:val="clear" w:fill="auto" w:color="auto"/>
            <w:tcW w:w="3831" w:type="pct"/>
            <w:textDirection w:val="lrTb"/>
            <w:noWrap w:val="false"/>
          </w:tcPr>
          <w:p>
            <w:pPr>
              <w:pStyle w:val="1005"/>
              <w:ind w:left="57" w:right="57"/>
            </w:pPr>
            <w:r>
              <w:t xml:space="preserve">Номер по порядку. </w:t>
            </w:r>
            <w:r/>
          </w:p>
          <w:p>
            <w:pPr>
              <w:pStyle w:val="1005"/>
              <w:ind w:left="57" w:right="57"/>
            </w:pPr>
            <w:r>
              <w:t xml:space="preserve">Заполняется автоматически.</w:t>
            </w:r>
            <w:r/>
          </w:p>
        </w:tc>
      </w:tr>
      <w:tr>
        <w:trPr/>
        <w:tc>
          <w:tcPr>
            <w:shd w:val="clear" w:fill="auto" w:color="auto"/>
            <w:tcW w:w="1169" w:type="pct"/>
            <w:textDirection w:val="lrTb"/>
            <w:noWrap w:val="false"/>
          </w:tcPr>
          <w:p>
            <w:pPr>
              <w:pStyle w:val="1005"/>
              <w:ind w:left="57" w:right="57"/>
            </w:pPr>
            <w:r>
              <w:t xml:space="preserve">Код по БК</w:t>
            </w:r>
            <w:r/>
          </w:p>
        </w:tc>
        <w:tc>
          <w:tcPr>
            <w:shd w:val="clear" w:fill="auto" w:color="auto"/>
            <w:tcW w:w="3831" w:type="pct"/>
            <w:textDirection w:val="lrTb"/>
            <w:noWrap w:val="false"/>
          </w:tcPr>
          <w:p>
            <w:pPr>
              <w:pStyle w:val="1005"/>
              <w:ind w:left="57" w:right="57"/>
            </w:pPr>
            <w:r>
              <w:t xml:space="preserve">Код бюджетной классификации.</w:t>
            </w:r>
            <w:r/>
          </w:p>
          <w:p>
            <w:pPr>
              <w:pStyle w:val="1008"/>
              <w:numPr>
                <w:ilvl w:val="0"/>
                <w:numId w:val="53"/>
              </w:numPr>
            </w:pPr>
            <w:r>
              <w:t xml:space="preserve">Значение вводится вручную или выбирается из справочника КБК. Список значений, доступных для выбора пользователю, должен быть ограничен кодом типа равным «10», «11», «12», «31», «32».</w:t>
            </w:r>
            <w:r/>
          </w:p>
          <w:p>
            <w:pPr>
              <w:pStyle w:val="1008"/>
            </w:pPr>
            <w:r>
              <w:t xml:space="preserve">Значение генерируется </w:t>
            </w:r>
            <w:r>
              <w:t xml:space="preserve">автоматически из заполненных значений по сегментам по следующему алгоритму: Код главы + ФКР + КЦСР + КВР + К</w:t>
            </w:r>
            <w:r>
              <w:t xml:space="preserve">од поступлений/источников</w:t>
            </w:r>
            <w:r>
              <w:t xml:space="preserve">.</w:t>
            </w:r>
            <w:r/>
          </w:p>
        </w:tc>
      </w:tr>
      <w:tr>
        <w:trPr/>
        <w:tc>
          <w:tcPr>
            <w:shd w:val="clear" w:fill="auto" w:color="auto"/>
            <w:tcW w:w="1169" w:type="pct"/>
            <w:textDirection w:val="lrTb"/>
            <w:noWrap w:val="false"/>
          </w:tcPr>
          <w:p>
            <w:pPr>
              <w:pStyle w:val="1005"/>
              <w:ind w:left="57" w:right="57"/>
            </w:pPr>
            <w:r>
              <w:t xml:space="preserve">Сумма</w:t>
            </w:r>
            <w:r/>
          </w:p>
        </w:tc>
        <w:tc>
          <w:tcPr>
            <w:shd w:val="clear" w:fill="auto" w:color="auto"/>
            <w:tcW w:w="3831" w:type="pct"/>
            <w:textDirection w:val="lrTb"/>
            <w:noWrap w:val="false"/>
          </w:tcPr>
          <w:p>
            <w:pPr>
              <w:pStyle w:val="1005"/>
              <w:ind w:left="57" w:right="57"/>
            </w:pPr>
            <w:r>
              <w:t xml:space="preserve">Значение вводится вручную.</w:t>
            </w:r>
            <w:r/>
          </w:p>
        </w:tc>
      </w:tr>
      <w:tr>
        <w:trPr/>
        <w:tc>
          <w:tcPr>
            <w:shd w:val="clear" w:fill="auto" w:color="auto"/>
            <w:tcW w:w="1169" w:type="pct"/>
            <w:textDirection w:val="lrTb"/>
            <w:noWrap w:val="false"/>
          </w:tcPr>
          <w:p>
            <w:pPr>
              <w:pStyle w:val="1005"/>
              <w:ind w:left="57" w:right="57"/>
            </w:pPr>
            <w:r>
              <w:t xml:space="preserve">Итого</w:t>
            </w:r>
            <w:r/>
          </w:p>
        </w:tc>
        <w:tc>
          <w:tcPr>
            <w:shd w:val="clear" w:fill="auto" w:color="auto"/>
            <w:tcW w:w="3831" w:type="pct"/>
            <w:textDirection w:val="lrTb"/>
            <w:noWrap w:val="false"/>
          </w:tcPr>
          <w:p>
            <w:pPr>
              <w:pStyle w:val="1005"/>
              <w:ind w:left="57" w:right="57"/>
            </w:pPr>
            <w:r>
              <w:t xml:space="preserve">Общая сумма по строкам, которая должна совпадать с суммой платежн</w:t>
            </w:r>
            <w:r>
              <w:t xml:space="preserve">о</w:t>
            </w:r>
            <w:r>
              <w:t xml:space="preserve">го поручения, по которому предоставляется расшифровка.</w:t>
            </w:r>
            <w:r/>
          </w:p>
          <w:p>
            <w:pPr>
              <w:pStyle w:val="1005"/>
              <w:ind w:left="57" w:right="57"/>
            </w:pPr>
            <w:r>
              <w:t xml:space="preserve">Значение рассчитывается автоматически как сумма всех строк.</w:t>
            </w:r>
            <w:r/>
          </w:p>
        </w:tc>
      </w:tr>
    </w:tbl>
    <w:p>
      <w:pPr>
        <w:pStyle w:val="994"/>
      </w:pPr>
      <w:r>
        <w:t xml:space="preserve">На закладке «Основные атрибуты» в табличном блоке вводятся строки расшифровки суммы платежного поручения по БК. Для добавления строки расшифровки по БК следует нажать на кнопку </w:t>
      </w:r>
      <w:r>
        <mc:AlternateContent>
          <mc:Choice Requires="wpg">
            <w:drawing>
              <wp:inline xmlns:wp="http://schemas.openxmlformats.org/drawingml/2006/wordprocessingDrawing" distT="0" distB="0" distL="0" distR="0">
                <wp:extent cx="274320" cy="274320"/>
                <wp:effectExtent l="0" t="0" r="0" b="0"/>
                <wp:docPr id="11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 o:spid="_x0000_s117" type="#_x0000_t75" style="mso-wrap-distance-left:0.0pt;mso-wrap-distance-top:0.0pt;mso-wrap-distance-right:0.0pt;mso-wrap-distance-bottom:0.0pt;width:21.6pt;height:21.6pt;" stroked="f">
                <v:path textboxrect="0,0,0,0"/>
                <v:imagedata r:id="rId80" o:title=""/>
              </v:shape>
            </w:pict>
          </mc:Fallback>
        </mc:AlternateContent>
      </w:r>
      <w:r>
        <w:t xml:space="preserve"> </w:t>
      </w:r>
      <w:r>
        <w:t xml:space="preserve">(Добавить новую строку)</w:t>
      </w:r>
      <w:r>
        <w:t xml:space="preserve">. Открое</w:t>
      </w:r>
      <w:r>
        <w:t xml:space="preserve">тся форма «Добавление записи»</w:t>
      </w:r>
      <w:r>
        <w:t xml:space="preserve"> (рис. </w:t>
      </w:r>
      <w:r>
        <w:fldChar w:fldCharType="begin"/>
      </w:r>
      <w:r>
        <w:instrText xml:space="preserve"> REF _Ref246246056 \h  \* MERGEFORMAT </w:instrText>
      </w:r>
      <w:r>
        <w:fldChar w:fldCharType="separate"/>
      </w:r>
      <w:r>
        <w:t xml:space="preserve">52</w:t>
      </w:r>
      <w:r>
        <w:fldChar w:fldCharType="end"/>
      </w:r>
      <w:r>
        <w:t xml:space="preserve">), в которой вручную вводятся следующие реквизиты:</w:t>
      </w:r>
      <w:r/>
    </w:p>
    <w:p>
      <w:pPr>
        <w:pStyle w:val="985"/>
      </w:pPr>
      <w:r>
        <w:t xml:space="preserve">«Код по БК»;</w:t>
      </w:r>
      <w:r/>
    </w:p>
    <w:p>
      <w:pPr>
        <w:pStyle w:val="985"/>
      </w:pPr>
      <w:r>
        <w:t xml:space="preserve">«Код главы»;</w:t>
      </w:r>
      <w:r/>
    </w:p>
    <w:p>
      <w:pPr>
        <w:pStyle w:val="985"/>
      </w:pPr>
      <w:r>
        <w:t xml:space="preserve">«ФКР»;</w:t>
      </w:r>
      <w:r/>
    </w:p>
    <w:p>
      <w:pPr>
        <w:pStyle w:val="985"/>
      </w:pPr>
      <w:r>
        <w:t xml:space="preserve">«КЦСР»;</w:t>
      </w:r>
      <w:r/>
    </w:p>
    <w:p>
      <w:pPr>
        <w:pStyle w:val="985"/>
      </w:pPr>
      <w:r>
        <w:t xml:space="preserve">«КВР»;</w:t>
      </w:r>
      <w:r/>
    </w:p>
    <w:p>
      <w:pPr>
        <w:pStyle w:val="985"/>
      </w:pPr>
      <w:r>
        <w:t xml:space="preserve">«КОСГУ»;</w:t>
      </w:r>
      <w:r/>
    </w:p>
    <w:p>
      <w:pPr>
        <w:pStyle w:val="985"/>
      </w:pPr>
      <w:r>
        <w:t xml:space="preserve">«Сумма».</w:t>
      </w:r>
      <w:r/>
    </w:p>
    <w:p>
      <w:pPr>
        <w:pStyle w:val="982"/>
      </w:pPr>
      <w:r>
        <mc:AlternateContent>
          <mc:Choice Requires="wpg">
            <w:drawing>
              <wp:inline xmlns:wp="http://schemas.openxmlformats.org/drawingml/2006/wordprocessingDrawing" distT="0" distB="0" distL="0" distR="0">
                <wp:extent cx="6035040" cy="2743200"/>
                <wp:effectExtent l="0" t="0" r="0" b="0"/>
                <wp:docPr id="11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17"/>
                        <a:stretch/>
                      </pic:blipFill>
                      <pic:spPr bwMode="auto">
                        <a:xfrm>
                          <a:off x="0" y="0"/>
                          <a:ext cx="6035039" cy="27432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 o:spid="_x0000_s118" type="#_x0000_t75" style="mso-wrap-distance-left:0.0pt;mso-wrap-distance-top:0.0pt;mso-wrap-distance-right:0.0pt;mso-wrap-distance-bottom:0.0pt;width:475.2pt;height:216.0pt;" stroked="f">
                <v:path textboxrect="0,0,0,0"/>
                <v:imagedata r:id="rId117" o:title=""/>
              </v:shape>
            </w:pict>
          </mc:Fallback>
        </mc:AlternateContent>
      </w:r>
      <w:r/>
    </w:p>
    <w:p>
      <w:pPr>
        <w:pStyle w:val="983"/>
      </w:pPr>
      <w:r>
        <w:fldChar w:fldCharType="begin"/>
      </w:r>
      <w:r>
        <w:instrText xml:space="preserve"> SEQ Рисунок \* ARABIC </w:instrText>
      </w:r>
      <w:r>
        <w:fldChar w:fldCharType="separate"/>
      </w:r>
      <w:bookmarkStart w:id="574" w:name="_Ref246246056"/>
      <w:r/>
      <w:bookmarkStart w:id="575" w:name="_Toc88819437"/>
      <w:r>
        <w:t xml:space="preserve">52</w:t>
      </w:r>
      <w:bookmarkEnd w:id="574"/>
      <w:r>
        <w:fldChar w:fldCharType="end"/>
      </w:r>
      <w:r>
        <w:t xml:space="preserve">. </w:t>
      </w:r>
      <w:r>
        <w:t xml:space="preserve">Форма «Добавление записи»</w:t>
      </w:r>
      <w:bookmarkEnd w:id="575"/>
      <w:r/>
      <w:r/>
    </w:p>
    <w:p>
      <w:pPr>
        <w:pStyle w:val="994"/>
      </w:pPr>
      <w:r>
        <w:t xml:space="preserve">Для сохранения заполненной строки следует нажать на </w:t>
      </w:r>
      <w:r>
        <w:t xml:space="preserve">кнопку «Ok»</w:t>
      </w:r>
      <w:r>
        <w:t xml:space="preserve"> – в списке появится созданная запись. При потоковом вводе строк вместо «ОК» нажимается кнопка «Сохранить и создать».</w:t>
      </w:r>
      <w:r/>
    </w:p>
    <w:p>
      <w:pPr>
        <w:pStyle w:val="994"/>
      </w:pPr>
      <w:r>
        <w:t xml:space="preserve">ЭФ документа «</w:t>
      </w:r>
      <w:r>
        <w:t xml:space="preserve">Распоряжение финансового органа с расшифровкой</w:t>
      </w:r>
      <w:r>
        <w:t xml:space="preserve">», закладки «Подписи»</w:t>
      </w:r>
      <w:r>
        <w:t xml:space="preserve"> представлена на рисунке</w:t>
      </w:r>
      <w:r>
        <w:t xml:space="preserve"> </w:t>
      </w:r>
      <w:r>
        <w:fldChar w:fldCharType="begin"/>
      </w:r>
      <w:r>
        <w:instrText xml:space="preserve"> REF _Ref246506344 \h </w:instrText>
      </w:r>
      <w:r>
        <w:fldChar w:fldCharType="separate"/>
      </w:r>
      <w:r>
        <w:t xml:space="preserve">53</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1737360"/>
                <wp:effectExtent l="0" t="0" r="0" b="0"/>
                <wp:docPr id="12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18"/>
                        <a:stretch/>
                      </pic:blipFill>
                      <pic:spPr bwMode="auto">
                        <a:xfrm>
                          <a:off x="0" y="0"/>
                          <a:ext cx="6126480" cy="17373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 o:spid="_x0000_s119" type="#_x0000_t75" style="mso-wrap-distance-left:0.0pt;mso-wrap-distance-top:0.0pt;mso-wrap-distance-right:0.0pt;mso-wrap-distance-bottom:0.0pt;width:482.4pt;height:136.8pt;" stroked="f">
                <v:path textboxrect="0,0,0,0"/>
                <v:imagedata r:id="rId118" o:title=""/>
              </v:shape>
            </w:pict>
          </mc:Fallback>
        </mc:AlternateContent>
      </w:r>
      <w:r/>
    </w:p>
    <w:p>
      <w:pPr>
        <w:pStyle w:val="983"/>
      </w:pPr>
      <w:r>
        <w:fldChar w:fldCharType="begin"/>
      </w:r>
      <w:r>
        <w:instrText xml:space="preserve"> SEQ Рисунок \* ARABIC </w:instrText>
      </w:r>
      <w:r>
        <w:fldChar w:fldCharType="separate"/>
      </w:r>
      <w:bookmarkStart w:id="576" w:name="_Ref246506344"/>
      <w:r/>
      <w:bookmarkStart w:id="577" w:name="_Toc88819438"/>
      <w:r>
        <w:t xml:space="preserve">53</w:t>
      </w:r>
      <w:bookmarkEnd w:id="576"/>
      <w:r>
        <w:fldChar w:fldCharType="end"/>
      </w:r>
      <w:r>
        <w:t xml:space="preserve">. ЭФ документа «</w:t>
      </w:r>
      <w:r>
        <w:t xml:space="preserve">Распоряжение финансового органа с расшифровкой</w:t>
      </w:r>
      <w:r>
        <w:t xml:space="preserve">», закладки «</w:t>
      </w:r>
      <w:r>
        <w:t xml:space="preserve">Подписи»</w:t>
      </w:r>
      <w:bookmarkEnd w:id="577"/>
      <w:r/>
      <w:r/>
    </w:p>
    <w:p>
      <w:pPr>
        <w:pStyle w:val="994"/>
      </w:pPr>
      <w:r>
        <w:t xml:space="preserve">Перечень полей документа «</w:t>
      </w:r>
      <w:r>
        <w:t xml:space="preserve">Распоряжение финансового органа с расшифровкой</w:t>
      </w:r>
      <w:r>
        <w:t xml:space="preserve">», закладки «</w:t>
      </w:r>
      <w:r>
        <w:t xml:space="preserve">Подписи» приведен в таблице</w:t>
      </w:r>
      <w:r>
        <w:t xml:space="preserve"> </w:t>
      </w:r>
      <w:r>
        <w:fldChar w:fldCharType="begin"/>
      </w:r>
      <w:r>
        <w:instrText xml:space="preserve"> REF _Ref379907767 \h  \* MERGEFORMAT </w:instrText>
      </w:r>
      <w:r>
        <w:fldChar w:fldCharType="separate"/>
      </w:r>
      <w:r>
        <w:t xml:space="preserve">23</w:t>
      </w:r>
      <w:r>
        <w:fldChar w:fldCharType="end"/>
      </w:r>
      <w:r>
        <w:t xml:space="preserve">.</w:t>
      </w:r>
      <w:r/>
    </w:p>
    <w:p>
      <w:pPr>
        <w:pStyle w:val="993"/>
      </w:pPr>
      <w:r>
        <w:fldChar w:fldCharType="begin"/>
      </w:r>
      <w:r>
        <w:instrText xml:space="preserve"> SEQ Таблица \* ARABIC </w:instrText>
      </w:r>
      <w:r>
        <w:fldChar w:fldCharType="separate"/>
      </w:r>
      <w:bookmarkStart w:id="578" w:name="_Ref379907767"/>
      <w:r/>
      <w:bookmarkStart w:id="579" w:name="_Toc88819209"/>
      <w:r>
        <w:t xml:space="preserve">23</w:t>
      </w:r>
      <w:bookmarkEnd w:id="578"/>
      <w:r>
        <w:fldChar w:fldCharType="end"/>
      </w:r>
      <w:r>
        <w:t xml:space="preserve">. Описание полей документа «</w:t>
      </w:r>
      <w:r>
        <w:t xml:space="preserve">Распоряжение финансового органа с расшифровкой</w:t>
      </w:r>
      <w:r>
        <w:t xml:space="preserve">», закладки «</w:t>
      </w:r>
      <w:r>
        <w:t xml:space="preserve">Подписи»</w:t>
      </w:r>
      <w:bookmarkEnd w:id="579"/>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177"/>
        <w:gridCol w:w="6575"/>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629"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371" w:type="pct"/>
            <w:vAlign w:val="center"/>
            <w:textDirection w:val="lrTb"/>
            <w:noWrap w:val="false"/>
          </w:tcPr>
          <w:p>
            <w:pPr>
              <w:pStyle w:val="1006"/>
            </w:pPr>
            <w:r>
              <w:t xml:space="preserve">Описание поля</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«Подписи»</w:t>
            </w:r>
            <w:r/>
          </w:p>
        </w:tc>
      </w:tr>
      <w:tr>
        <w:trPr>
          <w:trHeight w:val="77"/>
        </w:trPr>
        <w:tc>
          <w:tcPr>
            <w:shd w:val="clear" w:fill="auto" w:color="auto"/>
            <w:tcW w:w="1629" w:type="pct"/>
            <w:textDirection w:val="lrTb"/>
            <w:noWrap w:val="false"/>
          </w:tcPr>
          <w:p>
            <w:pPr>
              <w:pStyle w:val="1005"/>
              <w:ind w:left="57" w:right="57"/>
            </w:pPr>
            <w:r>
              <w:t xml:space="preserve">Руководитель (уполномоченное лицо). Должность</w:t>
            </w:r>
            <w:r/>
          </w:p>
        </w:tc>
        <w:tc>
          <w:tcPr>
            <w:shd w:val="clear" w:fill="auto" w:color="auto"/>
            <w:tcW w:w="3371" w:type="pct"/>
            <w:textDirection w:val="lrTb"/>
            <w:noWrap w:val="false"/>
          </w:tcPr>
          <w:p>
            <w:pPr>
              <w:pStyle w:val="1005"/>
              <w:ind w:left="57" w:right="57"/>
            </w:pPr>
            <w:r>
              <w:t xml:space="preserve">Для АРМ. Заполняется автоматически при подписании ЭП данными подписанта</w:t>
            </w:r>
            <w:r>
              <w:t xml:space="preserve">.</w:t>
            </w:r>
            <w:r/>
          </w:p>
        </w:tc>
      </w:tr>
      <w:tr>
        <w:trPr>
          <w:trHeight w:val="77"/>
        </w:trPr>
        <w:tc>
          <w:tcPr>
            <w:shd w:val="clear" w:fill="auto" w:color="auto"/>
            <w:tcW w:w="1629" w:type="pct"/>
            <w:textDirection w:val="lrTb"/>
            <w:noWrap w:val="false"/>
          </w:tcPr>
          <w:p>
            <w:pPr>
              <w:pStyle w:val="1005"/>
              <w:ind w:left="57" w:right="57"/>
            </w:pPr>
            <w:r>
              <w:t xml:space="preserve">Руководитель (уполномоченное лицо). Расшифровка подписи</w:t>
            </w:r>
            <w:r/>
          </w:p>
        </w:tc>
        <w:tc>
          <w:tcPr>
            <w:shd w:val="clear" w:fill="auto" w:color="auto"/>
            <w:tcW w:w="3371" w:type="pct"/>
            <w:textDirection w:val="lrTb"/>
            <w:noWrap w:val="false"/>
          </w:tcPr>
          <w:p>
            <w:pPr>
              <w:pStyle w:val="1005"/>
              <w:ind w:left="57" w:right="57"/>
            </w:pPr>
            <w:r>
              <w:t xml:space="preserve">Для АРМ. Заполняется автоматически при подписании ЭП данными подписанта</w:t>
            </w:r>
            <w:r>
              <w:t xml:space="preserve">.</w:t>
            </w:r>
            <w:r/>
          </w:p>
        </w:tc>
      </w:tr>
      <w:tr>
        <w:trPr>
          <w:trHeight w:val="77"/>
        </w:trPr>
        <w:tc>
          <w:tcPr>
            <w:shd w:val="clear" w:fill="auto" w:color="auto"/>
            <w:tcW w:w="1629" w:type="pct"/>
            <w:textDirection w:val="lrTb"/>
            <w:noWrap w:val="false"/>
          </w:tcPr>
          <w:p>
            <w:pPr>
              <w:pStyle w:val="1005"/>
              <w:ind w:left="57" w:right="57"/>
            </w:pPr>
            <w:r>
              <w:t xml:space="preserve">Гл. бухгалтер (уполномоченное лицо). Должность</w:t>
            </w:r>
            <w:r/>
          </w:p>
        </w:tc>
        <w:tc>
          <w:tcPr>
            <w:shd w:val="clear" w:fill="auto" w:color="auto"/>
            <w:tcW w:w="3371" w:type="pct"/>
            <w:textDirection w:val="lrTb"/>
            <w:noWrap w:val="false"/>
          </w:tcPr>
          <w:p>
            <w:pPr>
              <w:pStyle w:val="1005"/>
              <w:ind w:left="57" w:right="57"/>
            </w:pPr>
            <w:r>
              <w:t xml:space="preserve">Для АРМ. Заполняется автоматически при подписании ЭП данными подписанта</w:t>
            </w:r>
            <w:r>
              <w:t xml:space="preserve">.</w:t>
            </w:r>
            <w:r/>
          </w:p>
        </w:tc>
      </w:tr>
      <w:tr>
        <w:trPr>
          <w:trHeight w:val="77"/>
        </w:trPr>
        <w:tc>
          <w:tcPr>
            <w:shd w:val="clear" w:fill="auto" w:color="auto"/>
            <w:tcW w:w="1629" w:type="pct"/>
            <w:textDirection w:val="lrTb"/>
            <w:noWrap w:val="false"/>
          </w:tcPr>
          <w:p>
            <w:pPr>
              <w:pStyle w:val="1005"/>
              <w:ind w:left="57" w:right="57"/>
            </w:pPr>
            <w:r>
              <w:t xml:space="preserve">Гл. бухгалтер (уполномоченное лицо). Расшифровка подписи</w:t>
            </w:r>
            <w:r/>
          </w:p>
        </w:tc>
        <w:tc>
          <w:tcPr>
            <w:shd w:val="clear" w:fill="auto" w:color="auto"/>
            <w:tcW w:w="3371" w:type="pct"/>
            <w:textDirection w:val="lrTb"/>
            <w:noWrap w:val="false"/>
          </w:tcPr>
          <w:p>
            <w:pPr>
              <w:pStyle w:val="1005"/>
              <w:ind w:left="57" w:right="57"/>
            </w:pPr>
            <w:r>
              <w:t xml:space="preserve">Для АРМ. Заполняется автоматически при подписании ЭП данными подписанта</w:t>
            </w:r>
            <w:r>
              <w:t xml:space="preserve">.</w:t>
            </w:r>
            <w:r/>
          </w:p>
        </w:tc>
      </w:tr>
      <w:tr>
        <w:trPr>
          <w:trHeight w:val="77"/>
        </w:trPr>
        <w:tc>
          <w:tcPr>
            <w:shd w:val="clear" w:fill="auto" w:color="auto"/>
            <w:tcW w:w="1629" w:type="pct"/>
            <w:textDirection w:val="lrTb"/>
            <w:noWrap w:val="false"/>
          </w:tcPr>
          <w:p>
            <w:pPr>
              <w:pStyle w:val="1005"/>
              <w:ind w:left="57" w:right="57"/>
            </w:pPr>
            <w:r>
              <w:t xml:space="preserve">Дата подписания</w:t>
            </w:r>
            <w:r/>
          </w:p>
        </w:tc>
        <w:tc>
          <w:tcPr>
            <w:shd w:val="clear" w:fill="auto" w:color="auto"/>
            <w:tcW w:w="3371" w:type="pct"/>
            <w:textDirection w:val="lrTb"/>
            <w:noWrap w:val="false"/>
          </w:tcPr>
          <w:p>
            <w:pPr>
              <w:pStyle w:val="1005"/>
              <w:ind w:left="57" w:right="57"/>
            </w:pPr>
            <w:r>
              <w:t xml:space="preserve">Дата подписания главным бухгалтером.</w:t>
            </w:r>
            <w:r/>
          </w:p>
          <w:p>
            <w:pPr>
              <w:pStyle w:val="1005"/>
              <w:ind w:left="57" w:right="57"/>
            </w:pPr>
            <w:r>
              <w:t xml:space="preserve">Для АРМ. Заполняется автоматически при подписании ЭП данными подписанта</w:t>
            </w:r>
            <w:r>
              <w:t xml:space="preserve">.</w:t>
            </w:r>
            <w:r/>
          </w:p>
        </w:tc>
      </w:tr>
      <w:tr>
        <w:trPr>
          <w:trHeight w:val="77"/>
        </w:trPr>
        <w:tc>
          <w:tcPr>
            <w:shd w:val="clear" w:fill="auto" w:color="auto"/>
            <w:tcW w:w="1629" w:type="pct"/>
            <w:textDirection w:val="lrTb"/>
            <w:noWrap w:val="false"/>
          </w:tcPr>
          <w:p>
            <w:pPr>
              <w:pStyle w:val="1005"/>
              <w:ind w:left="57" w:right="57"/>
            </w:pPr>
            <w:r>
              <w:t xml:space="preserve">Ответственный исполнитель. Должность</w:t>
            </w:r>
            <w:r/>
          </w:p>
        </w:tc>
        <w:tc>
          <w:tcPr>
            <w:shd w:val="clear" w:fill="auto" w:color="auto"/>
            <w:tcW w:w="3371" w:type="pct"/>
            <w:textDirection w:val="lrTb"/>
            <w:noWrap w:val="false"/>
          </w:tcPr>
          <w:p>
            <w:pPr>
              <w:pStyle w:val="1005"/>
              <w:ind w:left="57" w:right="57"/>
            </w:pPr>
            <w:r>
              <w:t xml:space="preserve">Наименование должности ответственного исполнителя в ТОФК.</w:t>
            </w:r>
            <w:r/>
          </w:p>
          <w:p>
            <w:pPr>
              <w:pStyle w:val="1005"/>
              <w:ind w:left="57" w:right="57"/>
            </w:pPr>
            <w:r>
              <w:t xml:space="preserve">Выбирается из списка сотрудников, либо вводится вручную.</w:t>
            </w:r>
            <w:r/>
          </w:p>
        </w:tc>
      </w:tr>
      <w:tr>
        <w:trPr>
          <w:trHeight w:val="77"/>
        </w:trPr>
        <w:tc>
          <w:tcPr>
            <w:shd w:val="clear" w:fill="auto" w:color="auto"/>
            <w:tcW w:w="1629" w:type="pct"/>
            <w:textDirection w:val="lrTb"/>
            <w:noWrap w:val="false"/>
          </w:tcPr>
          <w:p>
            <w:pPr>
              <w:pStyle w:val="1005"/>
              <w:ind w:left="57" w:right="57"/>
            </w:pPr>
            <w:r>
              <w:t xml:space="preserve">Ответственный исполнитель. Расшифровка подписи</w:t>
            </w:r>
            <w:r/>
          </w:p>
        </w:tc>
        <w:tc>
          <w:tcPr>
            <w:shd w:val="clear" w:fill="auto" w:color="auto"/>
            <w:tcW w:w="3371" w:type="pct"/>
            <w:textDirection w:val="lrTb"/>
            <w:noWrap w:val="false"/>
          </w:tcPr>
          <w:p>
            <w:pPr>
              <w:pStyle w:val="1005"/>
              <w:ind w:left="57" w:right="57"/>
            </w:pPr>
            <w:r>
              <w:t xml:space="preserve">ФИО ответственного исполнителя в ТОФК.</w:t>
            </w:r>
            <w:r/>
          </w:p>
          <w:p>
            <w:pPr>
              <w:pStyle w:val="1005"/>
              <w:ind w:left="57" w:right="57"/>
            </w:pPr>
            <w:r>
              <w:t xml:space="preserve">Значение подтягивается автоматически из справочника сотрудников после заполнения поля «Ответственный исполнитель. Должность», либо вводится вручную.</w:t>
            </w:r>
            <w:r/>
          </w:p>
        </w:tc>
      </w:tr>
      <w:tr>
        <w:trPr>
          <w:trHeight w:val="77"/>
        </w:trPr>
        <w:tc>
          <w:tcPr>
            <w:shd w:val="clear" w:fill="auto" w:color="auto"/>
            <w:tcW w:w="1629" w:type="pct"/>
            <w:textDirection w:val="lrTb"/>
            <w:noWrap w:val="false"/>
          </w:tcPr>
          <w:p>
            <w:pPr>
              <w:pStyle w:val="1005"/>
              <w:ind w:left="57" w:right="57"/>
            </w:pPr>
            <w:r>
              <w:t xml:space="preserve">Телефон</w:t>
            </w:r>
            <w:r/>
          </w:p>
        </w:tc>
        <w:tc>
          <w:tcPr>
            <w:shd w:val="clear" w:fill="auto" w:color="auto"/>
            <w:tcW w:w="3371" w:type="pct"/>
            <w:textDirection w:val="lrTb"/>
            <w:noWrap w:val="false"/>
          </w:tcPr>
          <w:p>
            <w:pPr>
              <w:pStyle w:val="1005"/>
              <w:ind w:left="57" w:right="57"/>
            </w:pPr>
            <w:r>
              <w:t xml:space="preserve">Номер телефона ответственного исполнителя.</w:t>
            </w:r>
            <w:r/>
          </w:p>
          <w:p>
            <w:pPr>
              <w:pStyle w:val="1005"/>
              <w:ind w:left="57" w:right="57"/>
            </w:pPr>
            <w:r>
              <w:t xml:space="preserve">Значение подтягивается автоматически из справочника сотрудников после заполнения поля «Ответственный исполнитель. Должность», либо вводится вручную.</w:t>
            </w:r>
            <w:r/>
          </w:p>
        </w:tc>
      </w:tr>
    </w:tbl>
    <w:p>
      <w:pPr>
        <w:pStyle w:val="972"/>
      </w:pPr>
      <w:r/>
      <w:bookmarkStart w:id="580" w:name="_Toc422496708"/>
      <w:r/>
      <w:bookmarkStart w:id="581" w:name="_Toc88819105"/>
      <w:r>
        <w:t xml:space="preserve">Данные об аннулированных чеках</w:t>
      </w:r>
      <w:bookmarkEnd w:id="506"/>
      <w:r/>
      <w:bookmarkEnd w:id="507"/>
      <w:r/>
      <w:bookmarkEnd w:id="580"/>
      <w:r/>
      <w:bookmarkEnd w:id="581"/>
      <w:r/>
      <w:r/>
    </w:p>
    <w:p>
      <w:pPr>
        <w:pStyle w:val="994"/>
      </w:pPr>
      <w:r>
        <w:t xml:space="preserve">Документ «Данны</w:t>
      </w:r>
      <w:r>
        <w:t xml:space="preserve">е об аннулированных чеках» – технический, формируется на АРМ ФО, обслуживающихся в ОФК, а затем передается от ФО на АРМ ОФК или АРМ УФК в зависимости от места обслуживания ФО, где документ проходит необходимые проверки и пересылается в учетную систему УФК.</w:t>
      </w:r>
      <w:r/>
    </w:p>
    <w:p>
      <w:pPr>
        <w:pStyle w:val="994"/>
      </w:pPr>
      <w:r>
        <w:t xml:space="preserve">Для работы с документами «Данные об аннулированных чеках» следует перейти в пункт меню «Документы – Регистрация и учет обязательств – Заявки на платеж – Данные об аннулированных чеках». Откроется ЭФ списка документов, представленная на рисунке </w:t>
      </w:r>
      <w:r>
        <w:fldChar w:fldCharType="begin"/>
      </w:r>
      <w:r>
        <w:instrText xml:space="preserve"> REF _Ref231036649 \h  \* MERGEFORMAT </w:instrText>
      </w:r>
      <w:r>
        <w:fldChar w:fldCharType="separate"/>
      </w:r>
      <w:r>
        <w:t xml:space="preserve">54</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192780"/>
                <wp:effectExtent l="0" t="0" r="0" b="0"/>
                <wp:docPr id="12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19"/>
                        <a:stretch/>
                      </pic:blipFill>
                      <pic:spPr bwMode="auto">
                        <a:xfrm>
                          <a:off x="0" y="0"/>
                          <a:ext cx="6126480" cy="31927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 o:spid="_x0000_s120" type="#_x0000_t75" style="mso-wrap-distance-left:0.0pt;mso-wrap-distance-top:0.0pt;mso-wrap-distance-right:0.0pt;mso-wrap-distance-bottom:0.0pt;width:482.4pt;height:251.4pt;" stroked="f">
                <v:path textboxrect="0,0,0,0"/>
                <v:imagedata r:id="rId119" o:title=""/>
              </v:shape>
            </w:pict>
          </mc:Fallback>
        </mc:AlternateContent>
      </w:r>
      <w:r/>
    </w:p>
    <w:p>
      <w:pPr>
        <w:pStyle w:val="983"/>
      </w:pPr>
      <w:r>
        <w:fldChar w:fldCharType="begin"/>
      </w:r>
      <w:r>
        <w:instrText xml:space="preserve"> SEQ Рисунок \* ARABIC </w:instrText>
      </w:r>
      <w:r>
        <w:fldChar w:fldCharType="separate"/>
      </w:r>
      <w:bookmarkStart w:id="582" w:name="_Ref231036649"/>
      <w:r/>
      <w:bookmarkStart w:id="583" w:name="_Toc88819439"/>
      <w:r>
        <w:t xml:space="preserve">54</w:t>
      </w:r>
      <w:bookmarkEnd w:id="582"/>
      <w:r>
        <w:fldChar w:fldCharType="end"/>
      </w:r>
      <w:r>
        <w:t xml:space="preserve">. ЭФ списка документов «Данные об аннулированных чеках»</w:t>
      </w:r>
      <w:bookmarkEnd w:id="583"/>
      <w:r/>
      <w:r/>
    </w:p>
    <w:p>
      <w:pPr>
        <w:pStyle w:val="973"/>
      </w:pPr>
      <w:r>
        <w:t xml:space="preserve">Доступные операции</w:t>
      </w:r>
      <w:r/>
    </w:p>
    <w:p>
      <w:pPr>
        <w:pStyle w:val="994"/>
      </w:pPr>
      <w:r>
        <w:t xml:space="preserve">На АРМ ФО доступны следующие операции над документом:</w:t>
      </w:r>
      <w:r/>
    </w:p>
    <w:p>
      <w:pPr>
        <w:pStyle w:val="985"/>
      </w:pPr>
      <w:r>
        <w:t xml:space="preserve">ввод вручную;</w:t>
      </w:r>
      <w:r/>
    </w:p>
    <w:p>
      <w:pPr>
        <w:pStyle w:val="985"/>
      </w:pPr>
      <w:r>
        <w:t xml:space="preserve">импорт из внешней системы;</w:t>
      </w:r>
      <w:r/>
    </w:p>
    <w:p>
      <w:pPr>
        <w:pStyle w:val="985"/>
      </w:pPr>
      <w:r>
        <w:t xml:space="preserve">документарный контроль;</w:t>
      </w:r>
      <w:r/>
    </w:p>
    <w:p>
      <w:pPr>
        <w:pStyle w:val="985"/>
      </w:pPr>
      <w:r>
        <w:t xml:space="preserve">просмотр и редактирование;</w:t>
      </w:r>
      <w:r/>
    </w:p>
    <w:p>
      <w:pPr>
        <w:pStyle w:val="985"/>
      </w:pPr>
      <w:r>
        <w:t xml:space="preserve">удаление;</w:t>
      </w:r>
      <w:r/>
    </w:p>
    <w:p>
      <w:pPr>
        <w:pStyle w:val="985"/>
      </w:pPr>
      <w:r>
        <w:t xml:space="preserve">подписание </w:t>
      </w:r>
      <w:r>
        <w:t xml:space="preserve">ЭП</w:t>
      </w:r>
      <w:r>
        <w:t xml:space="preserve">;</w:t>
      </w:r>
      <w:r/>
    </w:p>
    <w:p>
      <w:pPr>
        <w:pStyle w:val="985"/>
      </w:pPr>
      <w:r>
        <w:t xml:space="preserve">отправка в ОФК (УФК).</w:t>
      </w:r>
      <w:r/>
    </w:p>
    <w:p>
      <w:pPr>
        <w:pStyle w:val="973"/>
      </w:pPr>
      <w:r>
        <w:t xml:space="preserve">Экранная форма документа</w:t>
      </w:r>
      <w:r/>
    </w:p>
    <w:p>
      <w:pPr>
        <w:pStyle w:val="994"/>
      </w:pPr>
      <w:r>
        <w:t xml:space="preserve">ЭФ «Данные об аннулированных чеках» представлена на рисунке </w:t>
      </w:r>
      <w:r>
        <w:fldChar w:fldCharType="begin"/>
      </w:r>
      <w:r>
        <w:instrText xml:space="preserve"> REF _Ref231037692 \h  \* MERGEFORMAT </w:instrText>
      </w:r>
      <w:r>
        <w:fldChar w:fldCharType="separate"/>
      </w:r>
      <w:r>
        <w:t xml:space="preserve">55</w:t>
      </w:r>
      <w:r>
        <w:fldChar w:fldCharType="end"/>
      </w:r>
      <w:r>
        <w:t xml:space="preserve">. Форма содержит следующие закладки:</w:t>
      </w:r>
      <w:r/>
    </w:p>
    <w:p>
      <w:pPr>
        <w:pStyle w:val="985"/>
      </w:pPr>
      <w:r>
        <w:t xml:space="preserve">«Документ»;</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126480" cy="3383280"/>
                <wp:effectExtent l="0" t="0" r="0" b="0"/>
                <wp:docPr id="12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20"/>
                        <a:stretch/>
                      </pic:blipFill>
                      <pic:spPr bwMode="auto">
                        <a:xfrm>
                          <a:off x="0" y="0"/>
                          <a:ext cx="6126480" cy="33832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 o:spid="_x0000_s121" type="#_x0000_t75" style="mso-wrap-distance-left:0.0pt;mso-wrap-distance-top:0.0pt;mso-wrap-distance-right:0.0pt;mso-wrap-distance-bottom:0.0pt;width:482.4pt;height:266.4pt;" stroked="f">
                <v:path textboxrect="0,0,0,0"/>
                <v:imagedata r:id="rId120" o:title=""/>
              </v:shape>
            </w:pict>
          </mc:Fallback>
        </mc:AlternateContent>
      </w:r>
      <w:r/>
    </w:p>
    <w:p>
      <w:pPr>
        <w:pStyle w:val="983"/>
      </w:pPr>
      <w:r>
        <w:fldChar w:fldCharType="begin"/>
      </w:r>
      <w:r>
        <w:instrText xml:space="preserve"> SEQ Рисунок \* ARABIC </w:instrText>
      </w:r>
      <w:r>
        <w:fldChar w:fldCharType="separate"/>
      </w:r>
      <w:bookmarkStart w:id="584" w:name="_Ref231037692"/>
      <w:r/>
      <w:bookmarkStart w:id="585" w:name="_Toc88819440"/>
      <w:r>
        <w:t xml:space="preserve">55</w:t>
      </w:r>
      <w:bookmarkEnd w:id="584"/>
      <w:r>
        <w:fldChar w:fldCharType="end"/>
      </w:r>
      <w:r>
        <w:t xml:space="preserve">. ЭФ «Данные об аннулированных чеках</w:t>
      </w:r>
      <w:r>
        <w:t xml:space="preserve">»</w:t>
      </w:r>
      <w:bookmarkEnd w:id="585"/>
      <w:r/>
      <w:r/>
    </w:p>
    <w:p>
      <w:pPr>
        <w:pStyle w:val="994"/>
      </w:pPr>
      <w:r>
        <w:t xml:space="preserve">Для ручного ввода документа следует на ЭФ </w:t>
      </w:r>
      <w:r>
        <w:t xml:space="preserve">документа</w:t>
      </w:r>
      <w:r>
        <w:t xml:space="preserve"> заполнить поля, доступные для редактирования. </w:t>
      </w:r>
      <w:r/>
    </w:p>
    <w:p>
      <w:pPr>
        <w:pStyle w:val="994"/>
      </w:pPr>
      <w:r>
        <w:t xml:space="preserve">Перечень полей </w:t>
      </w:r>
      <w:r>
        <w:t xml:space="preserve">документа «Данные об аннулированных чеках»</w:t>
      </w:r>
      <w:r>
        <w:t xml:space="preserve"> </w:t>
      </w:r>
      <w:r>
        <w:t xml:space="preserve">приведен в таблице</w:t>
      </w:r>
      <w:r>
        <w:t xml:space="preserve"> </w:t>
      </w:r>
      <w:r>
        <w:fldChar w:fldCharType="begin"/>
      </w:r>
      <w:r>
        <w:instrText xml:space="preserve"> REF _Ref318387556 \h  \* MERGEFORMAT </w:instrText>
      </w:r>
      <w:r>
        <w:fldChar w:fldCharType="separate"/>
      </w:r>
      <w:r>
        <w:t xml:space="preserve">24</w:t>
      </w:r>
      <w:r>
        <w:fldChar w:fldCharType="end"/>
      </w:r>
      <w:r>
        <w:t xml:space="preserve">.</w:t>
      </w:r>
      <w:r/>
    </w:p>
    <w:p>
      <w:pPr>
        <w:pStyle w:val="993"/>
      </w:pPr>
      <w:r>
        <w:fldChar w:fldCharType="begin"/>
      </w:r>
      <w:r>
        <w:instrText xml:space="preserve"> SEQ Таблица \* ARABIC </w:instrText>
      </w:r>
      <w:r>
        <w:fldChar w:fldCharType="separate"/>
      </w:r>
      <w:bookmarkStart w:id="586" w:name="_Ref318387556"/>
      <w:r/>
      <w:bookmarkStart w:id="587" w:name="_Ref317683485"/>
      <w:r/>
      <w:bookmarkStart w:id="588" w:name="_Ref247077652"/>
      <w:r/>
      <w:bookmarkStart w:id="589" w:name="_Toc88819210"/>
      <w:r>
        <w:t xml:space="preserve">24</w:t>
      </w:r>
      <w:bookmarkEnd w:id="586"/>
      <w:r/>
      <w:bookmarkEnd w:id="587"/>
      <w:r/>
      <w:bookmarkEnd w:id="588"/>
      <w:r>
        <w:fldChar w:fldCharType="end"/>
      </w:r>
      <w:r>
        <w:t xml:space="preserve">. Описание полей документа «Данные об аннулированных чеках»</w:t>
      </w:r>
      <w:bookmarkEnd w:id="589"/>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2873"/>
        <w:gridCol w:w="6879"/>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473"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527" w:type="pct"/>
            <w:vAlign w:val="center"/>
            <w:textDirection w:val="lrTb"/>
            <w:noWrap w:val="false"/>
          </w:tcPr>
          <w:p>
            <w:pPr>
              <w:pStyle w:val="1006"/>
            </w:pPr>
            <w:r>
              <w:t xml:space="preserve">Описание поля</w:t>
            </w:r>
            <w:r/>
          </w:p>
        </w:tc>
      </w:tr>
      <w:tr>
        <w:trPr/>
        <w:tc>
          <w:tcPr>
            <w:shd w:val="clear" w:fill="auto" w:color="auto"/>
            <w:tcW w:w="1473" w:type="pct"/>
            <w:textDirection w:val="lrTb"/>
            <w:noWrap w:val="false"/>
          </w:tcPr>
          <w:p>
            <w:pPr>
              <w:pStyle w:val="1005"/>
              <w:ind w:left="57" w:right="57"/>
            </w:pPr>
            <w:r>
              <w:t xml:space="preserve">Вид аннулирования</w:t>
            </w:r>
            <w:r/>
          </w:p>
        </w:tc>
        <w:tc>
          <w:tcPr>
            <w:shd w:val="clear" w:fill="auto" w:color="auto"/>
            <w:tcW w:w="3527" w:type="pct"/>
            <w:textDirection w:val="lrTb"/>
            <w:noWrap w:val="false"/>
          </w:tcPr>
          <w:p>
            <w:pPr>
              <w:pStyle w:val="1005"/>
              <w:ind w:left="57" w:right="57"/>
            </w:pPr>
            <w:r>
              <w:t xml:space="preserve">Вид аннулирования. </w:t>
            </w:r>
            <w:r/>
          </w:p>
          <w:p>
            <w:pPr>
              <w:pStyle w:val="1005"/>
              <w:ind w:left="57" w:right="57"/>
            </w:pPr>
            <w:r>
              <w:t xml:space="preserve">Возможные значения: «утеря», «замена».</w:t>
            </w:r>
            <w:r/>
          </w:p>
        </w:tc>
      </w:tr>
      <w:tr>
        <w:trPr/>
        <w:tc>
          <w:tcPr>
            <w:shd w:val="clear" w:fill="auto" w:color="auto"/>
            <w:tcW w:w="1473" w:type="pct"/>
            <w:textDirection w:val="lrTb"/>
            <w:noWrap w:val="false"/>
          </w:tcPr>
          <w:p>
            <w:pPr>
              <w:pStyle w:val="1005"/>
              <w:ind w:left="57" w:right="57"/>
            </w:pPr>
            <w:r>
              <w:t xml:space="preserve">Статус</w:t>
            </w:r>
            <w:r/>
          </w:p>
        </w:tc>
        <w:tc>
          <w:tcPr>
            <w:shd w:val="clear" w:fill="auto" w:color="auto"/>
            <w:tcW w:w="3527" w:type="pct"/>
            <w:textDirection w:val="lrTb"/>
            <w:noWrap w:val="false"/>
          </w:tcPr>
          <w:p>
            <w:pPr>
              <w:pStyle w:val="1005"/>
              <w:ind w:left="57" w:right="57"/>
            </w:pPr>
            <w:r>
              <w:t xml:space="preserve">Код статуса документа. </w:t>
            </w:r>
            <w:r/>
          </w:p>
          <w:p>
            <w:pPr>
              <w:pStyle w:val="1005"/>
              <w:ind w:left="57" w:right="57"/>
            </w:pPr>
            <w:r>
              <w:t xml:space="preserve">Заполняется автоматически в результате обработки документа или </w:t>
            </w:r>
            <w:r>
              <w:t xml:space="preserve">присылается из учетной системы (в случае обработки документа в учетной системе).</w:t>
            </w:r>
            <w:r/>
          </w:p>
        </w:tc>
      </w:tr>
      <w:tr>
        <w:trPr/>
        <w:tc>
          <w:tcPr>
            <w:shd w:val="clear" w:fill="auto" w:color="auto"/>
            <w:tcW w:w="1473" w:type="pct"/>
            <w:textDirection w:val="lrTb"/>
            <w:noWrap w:val="false"/>
          </w:tcPr>
          <w:p>
            <w:pPr>
              <w:pStyle w:val="1005"/>
              <w:ind w:left="57" w:right="57"/>
            </w:pPr>
            <w:r>
              <w:t xml:space="preserve">Дата ввода</w:t>
            </w:r>
            <w:r/>
          </w:p>
        </w:tc>
        <w:tc>
          <w:tcPr>
            <w:shd w:val="clear" w:fill="auto" w:color="auto"/>
            <w:tcW w:w="3527" w:type="pct"/>
            <w:textDirection w:val="lrTb"/>
            <w:noWrap w:val="false"/>
          </w:tcPr>
          <w:p>
            <w:pPr>
              <w:pStyle w:val="1005"/>
              <w:ind w:left="57" w:right="57"/>
            </w:pPr>
            <w:r>
              <w:t xml:space="preserve">Дата ввода документа. </w:t>
            </w:r>
            <w:r/>
          </w:p>
          <w:p>
            <w:pPr>
              <w:pStyle w:val="1005"/>
              <w:ind w:left="57" w:right="57"/>
            </w:pPr>
            <w:r>
              <w:t xml:space="preserve">Значение даты может быть выбрано с помощью системного к</w:t>
            </w:r>
            <w:r>
              <w:t xml:space="preserve">а</w:t>
            </w:r>
            <w:r>
              <w:t xml:space="preserve">лендаря.</w:t>
            </w:r>
            <w:r/>
          </w:p>
        </w:tc>
      </w:tr>
      <w:tr>
        <w:trPr/>
        <w:tc>
          <w:tcPr>
            <w:gridSpan w:val="2"/>
            <w:shd w:val="clear" w:fill="auto" w:color="auto"/>
            <w:tcW w:w="5000" w:type="pct"/>
            <w:textDirection w:val="lrTb"/>
            <w:noWrap w:val="false"/>
          </w:tcPr>
          <w:p>
            <w:pPr>
              <w:pStyle w:val="1005"/>
              <w:ind w:left="57" w:right="57"/>
            </w:pPr>
            <w:r>
              <w:t xml:space="preserve">Г</w:t>
            </w:r>
            <w:r>
              <w:t xml:space="preserve">руппа полей «Реквизиты аннулируемого чека»</w:t>
            </w:r>
            <w:r/>
          </w:p>
        </w:tc>
      </w:tr>
      <w:tr>
        <w:trPr/>
        <w:tc>
          <w:tcPr>
            <w:shd w:val="clear" w:fill="auto" w:color="auto"/>
            <w:tcW w:w="1473" w:type="pct"/>
            <w:textDirection w:val="lrTb"/>
            <w:noWrap w:val="false"/>
          </w:tcPr>
          <w:p>
            <w:pPr>
              <w:pStyle w:val="1005"/>
              <w:ind w:left="57" w:right="57"/>
            </w:pPr>
            <w:r>
              <w:t xml:space="preserve">№ аннулируемого чека</w:t>
            </w:r>
            <w:r/>
          </w:p>
        </w:tc>
        <w:tc>
          <w:tcPr>
            <w:shd w:val="clear" w:fill="auto" w:color="auto"/>
            <w:tcW w:w="3527" w:type="pct"/>
            <w:textDirection w:val="lrTb"/>
            <w:noWrap w:val="false"/>
          </w:tcPr>
          <w:p>
            <w:pPr>
              <w:pStyle w:val="1005"/>
              <w:ind w:left="57" w:right="57"/>
            </w:pPr>
            <w:r>
              <w:t xml:space="preserve">Номер аннулируемого чека.</w:t>
            </w:r>
            <w:r/>
          </w:p>
        </w:tc>
      </w:tr>
      <w:tr>
        <w:trPr/>
        <w:tc>
          <w:tcPr>
            <w:shd w:val="clear" w:fill="auto" w:color="auto"/>
            <w:tcW w:w="1473" w:type="pct"/>
            <w:textDirection w:val="lrTb"/>
            <w:noWrap w:val="false"/>
          </w:tcPr>
          <w:p>
            <w:pPr>
              <w:pStyle w:val="1005"/>
              <w:ind w:left="57" w:right="57"/>
            </w:pPr>
            <w:r>
              <w:t xml:space="preserve">Серия аннулируемого ч</w:t>
            </w:r>
            <w:r>
              <w:t xml:space="preserve">е</w:t>
            </w:r>
            <w:r>
              <w:t xml:space="preserve">ка</w:t>
            </w:r>
            <w:r/>
          </w:p>
        </w:tc>
        <w:tc>
          <w:tcPr>
            <w:shd w:val="clear" w:fill="auto" w:color="auto"/>
            <w:tcW w:w="3527" w:type="pct"/>
            <w:textDirection w:val="lrTb"/>
            <w:noWrap w:val="false"/>
          </w:tcPr>
          <w:p>
            <w:pPr>
              <w:pStyle w:val="1005"/>
              <w:ind w:left="57" w:right="57"/>
            </w:pPr>
            <w:r>
              <w:t xml:space="preserve">Серия аннулируемого чека.</w:t>
            </w:r>
            <w:r/>
          </w:p>
        </w:tc>
      </w:tr>
      <w:tr>
        <w:trPr/>
        <w:tc>
          <w:tcPr>
            <w:shd w:val="clear" w:fill="auto" w:color="auto"/>
            <w:tcW w:w="1473" w:type="pct"/>
            <w:textDirection w:val="lrTb"/>
            <w:noWrap w:val="false"/>
          </w:tcPr>
          <w:p>
            <w:pPr>
              <w:pStyle w:val="1005"/>
              <w:ind w:left="57" w:right="57"/>
            </w:pPr>
            <w:r>
              <w:t xml:space="preserve">Дата аннулируемого чека</w:t>
            </w:r>
            <w:r/>
          </w:p>
        </w:tc>
        <w:tc>
          <w:tcPr>
            <w:shd w:val="clear" w:fill="auto" w:color="auto"/>
            <w:tcW w:w="3527" w:type="pct"/>
            <w:textDirection w:val="lrTb"/>
            <w:noWrap w:val="false"/>
          </w:tcPr>
          <w:p>
            <w:pPr>
              <w:pStyle w:val="1005"/>
              <w:ind w:left="57" w:right="57"/>
            </w:pPr>
            <w:r>
              <w:t xml:space="preserve">Дата аннулируемого чека. </w:t>
            </w:r>
            <w:r/>
          </w:p>
          <w:p>
            <w:pPr>
              <w:pStyle w:val="1005"/>
              <w:ind w:left="57" w:right="57"/>
            </w:pPr>
            <w:r>
              <w:t xml:space="preserve">Значение даты может быть выбрано с помощью системного к</w:t>
            </w:r>
            <w:r>
              <w:t xml:space="preserve">а</w:t>
            </w:r>
            <w:r>
              <w:t xml:space="preserve">лендаря.</w:t>
            </w:r>
            <w:r/>
          </w:p>
        </w:tc>
      </w:tr>
      <w:tr>
        <w:trPr/>
        <w:tc>
          <w:tcPr>
            <w:shd w:val="clear" w:fill="auto" w:color="auto"/>
            <w:tcW w:w="1473" w:type="pct"/>
            <w:textDirection w:val="lrTb"/>
            <w:noWrap w:val="false"/>
          </w:tcPr>
          <w:p>
            <w:pPr>
              <w:pStyle w:val="1005"/>
              <w:ind w:left="57" w:right="57"/>
            </w:pPr>
            <w:r>
              <w:t xml:space="preserve">Сумма аннулируемого ч</w:t>
            </w:r>
            <w:r>
              <w:t xml:space="preserve">е</w:t>
            </w:r>
            <w:r>
              <w:t xml:space="preserve">ка</w:t>
            </w:r>
            <w:r/>
          </w:p>
        </w:tc>
        <w:tc>
          <w:tcPr>
            <w:shd w:val="clear" w:fill="auto" w:color="auto"/>
            <w:tcW w:w="3527" w:type="pct"/>
            <w:textDirection w:val="lrTb"/>
            <w:noWrap w:val="false"/>
          </w:tcPr>
          <w:p>
            <w:pPr>
              <w:pStyle w:val="1005"/>
              <w:ind w:left="57" w:right="57"/>
            </w:pPr>
            <w:r>
              <w:t xml:space="preserve">Сумма аннулируемого чека.</w:t>
            </w:r>
            <w:r/>
          </w:p>
        </w:tc>
      </w:tr>
      <w:tr>
        <w:trPr/>
        <w:tc>
          <w:tcPr>
            <w:gridSpan w:val="2"/>
            <w:shd w:val="clear" w:fill="auto" w:color="auto"/>
            <w:tcW w:w="5000" w:type="pct"/>
            <w:textDirection w:val="lrTb"/>
            <w:noWrap w:val="false"/>
          </w:tcPr>
          <w:p>
            <w:pPr>
              <w:pStyle w:val="1005"/>
              <w:ind w:left="57" w:right="57"/>
            </w:pPr>
            <w:r>
              <w:t xml:space="preserve">Г</w:t>
            </w:r>
            <w:r>
              <w:t xml:space="preserve">руппа полей «Реквизиты нового чека»</w:t>
            </w:r>
            <w:r/>
          </w:p>
        </w:tc>
      </w:tr>
      <w:tr>
        <w:trPr/>
        <w:tc>
          <w:tcPr>
            <w:shd w:val="clear" w:fill="auto" w:color="auto"/>
            <w:tcW w:w="1473" w:type="pct"/>
            <w:textDirection w:val="lrTb"/>
            <w:noWrap w:val="false"/>
          </w:tcPr>
          <w:p>
            <w:pPr>
              <w:pStyle w:val="1005"/>
              <w:ind w:left="57" w:right="57"/>
            </w:pPr>
            <w:r>
              <w:t xml:space="preserve">№ нового чека</w:t>
            </w:r>
            <w:r/>
          </w:p>
        </w:tc>
        <w:tc>
          <w:tcPr>
            <w:shd w:val="clear" w:fill="auto" w:color="auto"/>
            <w:tcW w:w="3527" w:type="pct"/>
            <w:textDirection w:val="lrTb"/>
            <w:noWrap w:val="false"/>
          </w:tcPr>
          <w:p>
            <w:pPr>
              <w:pStyle w:val="1005"/>
              <w:ind w:left="57" w:right="57"/>
            </w:pPr>
            <w:r>
              <w:t xml:space="preserve">Номер нового чека. </w:t>
            </w:r>
            <w:r/>
          </w:p>
          <w:p>
            <w:pPr>
              <w:pStyle w:val="1005"/>
              <w:ind w:left="57" w:right="57"/>
            </w:pPr>
            <w:r>
              <w:t xml:space="preserve">Поле становится доступным для редактирования, если в поле «Вид аннулирования» выбрано значение «з</w:t>
            </w:r>
            <w:r>
              <w:t xml:space="preserve">а</w:t>
            </w:r>
            <w:r>
              <w:t xml:space="preserve">мена».</w:t>
            </w:r>
            <w:r/>
          </w:p>
        </w:tc>
      </w:tr>
      <w:tr>
        <w:trPr/>
        <w:tc>
          <w:tcPr>
            <w:shd w:val="clear" w:fill="auto" w:color="auto"/>
            <w:tcW w:w="1473" w:type="pct"/>
            <w:textDirection w:val="lrTb"/>
            <w:noWrap w:val="false"/>
          </w:tcPr>
          <w:p>
            <w:pPr>
              <w:pStyle w:val="1005"/>
              <w:ind w:left="57" w:right="57"/>
            </w:pPr>
            <w:r>
              <w:t xml:space="preserve">Серия нового чека</w:t>
            </w:r>
            <w:r/>
          </w:p>
        </w:tc>
        <w:tc>
          <w:tcPr>
            <w:shd w:val="clear" w:fill="auto" w:color="auto"/>
            <w:tcW w:w="3527" w:type="pct"/>
            <w:textDirection w:val="lrTb"/>
            <w:noWrap w:val="false"/>
          </w:tcPr>
          <w:p>
            <w:pPr>
              <w:pStyle w:val="1005"/>
              <w:ind w:left="57" w:right="57"/>
            </w:pPr>
            <w:r>
              <w:t xml:space="preserve">Серия нового чека. </w:t>
            </w:r>
            <w:r/>
          </w:p>
          <w:p>
            <w:pPr>
              <w:pStyle w:val="1005"/>
              <w:ind w:left="57" w:right="57"/>
            </w:pPr>
            <w:r>
              <w:t xml:space="preserve">Поле становится доступным для редактирования, если в поле «Вид аннулирования» выбрано значение «з</w:t>
            </w:r>
            <w:r>
              <w:t xml:space="preserve">а</w:t>
            </w:r>
            <w:r>
              <w:t xml:space="preserve">мена».</w:t>
            </w:r>
            <w:r/>
          </w:p>
        </w:tc>
      </w:tr>
      <w:tr>
        <w:trPr/>
        <w:tc>
          <w:tcPr>
            <w:shd w:val="clear" w:fill="auto" w:color="auto"/>
            <w:tcW w:w="1473" w:type="pct"/>
            <w:textDirection w:val="lrTb"/>
            <w:noWrap w:val="false"/>
          </w:tcPr>
          <w:p>
            <w:pPr>
              <w:pStyle w:val="1005"/>
              <w:ind w:left="57" w:right="57"/>
            </w:pPr>
            <w:r>
              <w:t xml:space="preserve">Дата нового чека</w:t>
            </w:r>
            <w:r/>
          </w:p>
        </w:tc>
        <w:tc>
          <w:tcPr>
            <w:shd w:val="clear" w:fill="auto" w:color="auto"/>
            <w:tcW w:w="3527" w:type="pct"/>
            <w:textDirection w:val="lrTb"/>
            <w:noWrap w:val="false"/>
          </w:tcPr>
          <w:p>
            <w:pPr>
              <w:pStyle w:val="1005"/>
              <w:ind w:left="57" w:right="57"/>
            </w:pPr>
            <w:r>
              <w:t xml:space="preserve">Дата нового чека. </w:t>
            </w:r>
            <w:r/>
          </w:p>
          <w:p>
            <w:pPr>
              <w:pStyle w:val="1005"/>
              <w:ind w:left="57" w:right="57"/>
            </w:pPr>
            <w:r>
              <w:t xml:space="preserve">Поле становится доступным для редактирования, если в поле «Вид аннулирования» выбрано значение «замена». Значение д</w:t>
            </w:r>
            <w:r>
              <w:t xml:space="preserve">а</w:t>
            </w:r>
            <w:r>
              <w:t xml:space="preserve">ты может быть выбрано с пом</w:t>
            </w:r>
            <w:r>
              <w:t xml:space="preserve">о</w:t>
            </w:r>
            <w:r>
              <w:t xml:space="preserve">щью системного календаря.</w:t>
            </w:r>
            <w:r/>
          </w:p>
        </w:tc>
      </w:tr>
    </w:tbl>
    <w:p>
      <w:pPr>
        <w:pStyle w:val="972"/>
      </w:pPr>
      <w:r/>
      <w:bookmarkStart w:id="590" w:name="_Toc477861425"/>
      <w:r/>
      <w:bookmarkStart w:id="591" w:name="_Ref475978199"/>
      <w:r/>
      <w:bookmarkStart w:id="592" w:name="_Ref456795987"/>
      <w:r/>
      <w:bookmarkStart w:id="593" w:name="_Toc410283253"/>
      <w:r/>
      <w:bookmarkStart w:id="594" w:name="_Toc387859006"/>
      <w:r/>
      <w:bookmarkStart w:id="595" w:name="_Ref384312678"/>
      <w:r/>
      <w:bookmarkStart w:id="596" w:name="_Ref367448311"/>
      <w:r/>
      <w:bookmarkStart w:id="597" w:name="_Ref308771533"/>
      <w:r/>
      <w:bookmarkStart w:id="598" w:name="_Toc300216217"/>
      <w:r/>
      <w:bookmarkStart w:id="599" w:name="_Ref482284809"/>
      <w:r/>
      <w:bookmarkStart w:id="600" w:name="_Ref494982869"/>
      <w:r/>
      <w:bookmarkStart w:id="601" w:name="_Ref526154313"/>
      <w:r/>
      <w:bookmarkStart w:id="602" w:name="_Ref83298816"/>
      <w:r/>
      <w:bookmarkStart w:id="603" w:name="_Ref373061971"/>
      <w:r/>
      <w:bookmarkStart w:id="604" w:name="_Toc401660596"/>
      <w:r/>
      <w:bookmarkStart w:id="605" w:name="_Toc422496709"/>
      <w:r/>
      <w:bookmarkStart w:id="606" w:name="_Toc225934613"/>
      <w:r/>
      <w:bookmarkStart w:id="607" w:name="_Ref231061198"/>
      <w:r/>
      <w:bookmarkStart w:id="608" w:name="_Toc232827369"/>
      <w:r/>
      <w:bookmarkStart w:id="609" w:name="_Toc262126885"/>
      <w:r/>
      <w:bookmarkStart w:id="610" w:name="_Ref309948530"/>
      <w:r/>
      <w:bookmarkStart w:id="611" w:name="_Ref309948531"/>
      <w:r/>
      <w:bookmarkStart w:id="612" w:name="_Ref314655353"/>
      <w:r/>
      <w:bookmarkStart w:id="613" w:name="_Ref315698097"/>
      <w:r/>
      <w:bookmarkStart w:id="614" w:name="_Ref319675006"/>
      <w:r/>
      <w:bookmarkStart w:id="615" w:name="_Ref328579724"/>
      <w:r/>
      <w:bookmarkStart w:id="616" w:name="_Ref342316954"/>
      <w:r/>
      <w:bookmarkStart w:id="617" w:name="_Ref343179097"/>
      <w:r/>
      <w:bookmarkStart w:id="618" w:name="_Ref343179098"/>
      <w:r/>
      <w:bookmarkStart w:id="619" w:name="_Ref350255305"/>
      <w:r/>
      <w:bookmarkStart w:id="620" w:name="_Ref357679151"/>
      <w:r/>
      <w:bookmarkStart w:id="621" w:name="_Ref357683254"/>
      <w:r/>
      <w:bookmarkStart w:id="622" w:name="_Ref365478241"/>
      <w:r/>
      <w:bookmarkStart w:id="623" w:name="_Ref365898961"/>
      <w:r/>
      <w:bookmarkStart w:id="624" w:name="_Ref367475710"/>
      <w:r/>
      <w:bookmarkStart w:id="625" w:name="_Ref373344006"/>
      <w:r/>
      <w:bookmarkStart w:id="626" w:name="_Toc88819106"/>
      <w:r>
        <w:t xml:space="preserve">Заявление на проведение операций с иностранной валютой</w:t>
      </w:r>
      <w:bookmarkEnd w:id="590"/>
      <w:r/>
      <w:bookmarkEnd w:id="591"/>
      <w:r/>
      <w:bookmarkEnd w:id="592"/>
      <w:r/>
      <w:bookmarkEnd w:id="593"/>
      <w:r/>
      <w:bookmarkEnd w:id="594"/>
      <w:r/>
      <w:bookmarkEnd w:id="595"/>
      <w:r/>
      <w:bookmarkEnd w:id="596"/>
      <w:r/>
      <w:bookmarkEnd w:id="597"/>
      <w:r/>
      <w:bookmarkEnd w:id="598"/>
      <w:r/>
      <w:bookmarkEnd w:id="599"/>
      <w:r/>
      <w:bookmarkEnd w:id="600"/>
      <w:r/>
      <w:bookmarkEnd w:id="601"/>
      <w:r/>
      <w:bookmarkEnd w:id="602"/>
      <w:r/>
      <w:bookmarkEnd w:id="626"/>
      <w:r/>
      <w:r/>
    </w:p>
    <w:p>
      <w:pPr>
        <w:pStyle w:val="994"/>
      </w:pPr>
      <w:r>
        <w:t xml:space="preserve">Документ «Заявление на проведение операций с иностранной валютой» может формироваться на уровнях АРМ ГРБС</w:t>
      </w:r>
      <w:r>
        <w:t xml:space="preserve">,</w:t>
      </w:r>
      <w:r>
        <w:t xml:space="preserve"> АРМ ПБС </w:t>
      </w:r>
      <w:r>
        <w:t xml:space="preserve">и АРМ ФО </w:t>
      </w:r>
      <w:r>
        <w:t xml:space="preserve">и передаваться в ЦАФК, а также формироваться непосредственно в ЦАФК.</w:t>
      </w:r>
      <w:r/>
    </w:p>
    <w:p>
      <w:pPr>
        <w:pStyle w:val="994"/>
      </w:pPr>
      <w:r>
        <w:t xml:space="preserve">Документ создается вручную или в результате импорта файла документа «Заявление на перевод». Особенность формирования документа «Заявление на проведение операций с иностранной валютой» на АРМ ГРБС</w:t>
      </w:r>
      <w:r>
        <w:t xml:space="preserve">,</w:t>
      </w:r>
      <w:r>
        <w:t xml:space="preserve"> АРМ ПБС</w:t>
      </w:r>
      <w:r>
        <w:t xml:space="preserve"> и АРМ ФО</w:t>
      </w:r>
      <w:r>
        <w:t xml:space="preserve"> заключается в том, что часть, относящаяся к покупке-продаже, не заполняется. Доставленный документ проверяется и проходит процедуру регистрации. В случае успешного завершения процедуры регистрации (статус документа стал «003») на АРМ ГРБС, АРМ ПБС</w:t>
      </w:r>
      <w:r>
        <w:t xml:space="preserve"> и АРМ ФО</w:t>
      </w:r>
      <w:r>
        <w:t xml:space="preserve">, от которого был получен исходный документ, должна передаваться квитанция для актуализации статуса. В случае неуспешного завершения процедуры регистрации (статус документа стал «888») на АРМ ГРБС, АРМ ПБС</w:t>
      </w:r>
      <w:r>
        <w:t xml:space="preserve"> и АРМ ФО</w:t>
      </w:r>
      <w:r>
        <w:t xml:space="preserve">, от которого был получен исходный документ, должен передаваться «</w:t>
      </w:r>
      <w:r>
        <w:t xml:space="preserve">Уведомление (протокол)</w:t>
      </w:r>
      <w:r>
        <w:t xml:space="preserve">», содержащий причины отказа документа «Заявление на проведение операций с иностранной валютой».</w:t>
      </w:r>
      <w:r/>
    </w:p>
    <w:p>
      <w:pPr>
        <w:pStyle w:val="994"/>
      </w:pPr>
      <w:r>
        <w:t xml:space="preserve">Для работы с документами «Заявление </w:t>
      </w:r>
      <w:r>
        <w:t xml:space="preserve">на проведение операций с иностранной валютой» следует перейти в пункт меню «Документы – Регистрация и учет обязательств – Заявки на платеж – Заявление на проведение операций с иностранной валютой». Откроется ЭФ списка документов, представленная на рисунке </w:t>
      </w:r>
      <w:r>
        <w:fldChar w:fldCharType="begin"/>
      </w:r>
      <w:r>
        <w:instrText xml:space="preserve"> REF _Ref253649985 \h  \* MERGEFORMAT </w:instrText>
      </w:r>
      <w:r>
        <w:fldChar w:fldCharType="separate"/>
      </w:r>
      <w:r>
        <w:t xml:space="preserve">56</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192780"/>
                <wp:effectExtent l="0" t="0" r="0" b="0"/>
                <wp:docPr id="12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21"/>
                        <a:stretch/>
                      </pic:blipFill>
                      <pic:spPr bwMode="auto">
                        <a:xfrm>
                          <a:off x="0" y="0"/>
                          <a:ext cx="6126480" cy="31927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 o:spid="_x0000_s122" type="#_x0000_t75" style="mso-wrap-distance-left:0.0pt;mso-wrap-distance-top:0.0pt;mso-wrap-distance-right:0.0pt;mso-wrap-distance-bottom:0.0pt;width:482.4pt;height:251.4pt;" stroked="f">
                <v:path textboxrect="0,0,0,0"/>
                <v:imagedata r:id="rId121" o:title=""/>
              </v:shape>
            </w:pict>
          </mc:Fallback>
        </mc:AlternateContent>
      </w:r>
      <w:r/>
    </w:p>
    <w:p>
      <w:pPr>
        <w:pStyle w:val="983"/>
      </w:pPr>
      <w:r>
        <w:fldChar w:fldCharType="begin"/>
      </w:r>
      <w:r>
        <w:instrText xml:space="preserve"> SEQ Рисунок \* ARABIC </w:instrText>
      </w:r>
      <w:r>
        <w:fldChar w:fldCharType="separate"/>
      </w:r>
      <w:bookmarkStart w:id="627" w:name="_Ref253649985"/>
      <w:r/>
      <w:bookmarkStart w:id="628" w:name="_Toc88819441"/>
      <w:r>
        <w:t xml:space="preserve">56</w:t>
      </w:r>
      <w:bookmarkEnd w:id="627"/>
      <w:r>
        <w:fldChar w:fldCharType="end"/>
      </w:r>
      <w:r>
        <w:t xml:space="preserve">. ЭФ списка «Заявление на проведение операций с иностранной валютой»</w:t>
      </w:r>
      <w:bookmarkEnd w:id="628"/>
      <w:r/>
      <w:r/>
    </w:p>
    <w:p>
      <w:pPr>
        <w:pStyle w:val="973"/>
      </w:pPr>
      <w:r>
        <w:t xml:space="preserve">Доступные операции</w:t>
      </w:r>
      <w:r/>
    </w:p>
    <w:p>
      <w:pPr>
        <w:pStyle w:val="994"/>
      </w:pPr>
      <w:r>
        <w:t xml:space="preserve">На АРМ </w:t>
      </w:r>
      <w:r>
        <w:t xml:space="preserve">ФО</w:t>
      </w:r>
      <w:r>
        <w:t xml:space="preserve"> доступны следующие операции над документом:</w:t>
      </w:r>
      <w:r/>
    </w:p>
    <w:p>
      <w:pPr>
        <w:pStyle w:val="985"/>
      </w:pPr>
      <w:r>
        <w:t xml:space="preserve">импорт из внешней системы;</w:t>
      </w:r>
      <w:r/>
    </w:p>
    <w:p>
      <w:pPr>
        <w:pStyle w:val="985"/>
      </w:pPr>
      <w:r>
        <w:t xml:space="preserve">создание;</w:t>
      </w:r>
      <w:r/>
    </w:p>
    <w:p>
      <w:pPr>
        <w:pStyle w:val="985"/>
      </w:pPr>
      <w:r>
        <w:t xml:space="preserve">просмотр и редактирование;</w:t>
      </w:r>
      <w:r/>
    </w:p>
    <w:p>
      <w:pPr>
        <w:pStyle w:val="985"/>
      </w:pPr>
      <w:r>
        <w:t xml:space="preserve">копирование и удаление;</w:t>
      </w:r>
      <w:r/>
    </w:p>
    <w:p>
      <w:pPr>
        <w:pStyle w:val="985"/>
      </w:pPr>
      <w:r>
        <w:t xml:space="preserve">печать;</w:t>
      </w:r>
      <w:r/>
    </w:p>
    <w:p>
      <w:pPr>
        <w:pStyle w:val="985"/>
      </w:pPr>
      <w:r>
        <w:t xml:space="preserve">подписание и удаление ЭП;</w:t>
      </w:r>
      <w:r/>
    </w:p>
    <w:p>
      <w:pPr>
        <w:pStyle w:val="985"/>
      </w:pPr>
      <w:r>
        <w:t xml:space="preserve">просмотр изменений;</w:t>
      </w:r>
      <w:r/>
    </w:p>
    <w:p>
      <w:pPr>
        <w:pStyle w:val="985"/>
      </w:pPr>
      <w:r>
        <w:t xml:space="preserve">документарный контроль;</w:t>
      </w:r>
      <w:r/>
    </w:p>
    <w:p>
      <w:pPr>
        <w:pStyle w:val="985"/>
      </w:pPr>
      <w:r>
        <w:t xml:space="preserve">подготовка к отправке;</w:t>
      </w:r>
      <w:r/>
    </w:p>
    <w:p>
      <w:pPr>
        <w:pStyle w:val="985"/>
      </w:pPr>
      <w:r>
        <w:t xml:space="preserve">отправка и отмена отправки;</w:t>
      </w:r>
      <w:r/>
    </w:p>
    <w:p>
      <w:pPr>
        <w:pStyle w:val="985"/>
      </w:pPr>
      <w:r>
        <w:t xml:space="preserve">повтор поиска адресата;</w:t>
      </w:r>
      <w:r/>
    </w:p>
    <w:p>
      <w:pPr>
        <w:pStyle w:val="985"/>
      </w:pPr>
      <w:r>
        <w:t xml:space="preserve">поиск документа;</w:t>
      </w:r>
      <w:r/>
    </w:p>
    <w:p>
      <w:pPr>
        <w:pStyle w:val="985"/>
      </w:pPr>
      <w:r>
        <w:t xml:space="preserve">статистика.</w:t>
      </w:r>
      <w:r/>
    </w:p>
    <w:p>
      <w:pPr>
        <w:pStyle w:val="994"/>
      </w:pPr>
      <w:r>
        <w:t xml:space="preserve">Для </w:t>
      </w:r>
      <w:r>
        <w:t xml:space="preserve">создания </w:t>
      </w:r>
      <w:r>
        <w:t xml:space="preserve">ЭД </w:t>
      </w:r>
      <w:r>
        <w:t xml:space="preserve">«Заявление на проведение операций с иностранной валютой»</w:t>
      </w:r>
      <w:r>
        <w:t xml:space="preserve"> </w:t>
      </w:r>
      <w:r>
        <w:t xml:space="preserve">на о</w:t>
      </w:r>
      <w:r>
        <w:t xml:space="preserve">с</w:t>
      </w:r>
      <w:r>
        <w:t xml:space="preserve">нове </w:t>
      </w:r>
      <w:r>
        <w:t xml:space="preserve">родительского докуме</w:t>
      </w:r>
      <w:r>
        <w:t xml:space="preserve">н</w:t>
      </w:r>
      <w:r>
        <w:t xml:space="preserve">та</w:t>
      </w:r>
      <w:r>
        <w:t xml:space="preserve"> </w:t>
      </w:r>
      <w:r>
        <w:t xml:space="preserve">в форме д</w:t>
      </w:r>
      <w:r>
        <w:t xml:space="preserve">о</w:t>
      </w:r>
      <w:r>
        <w:t xml:space="preserve">кумента необходимо нажать на кнопку </w:t>
      </w:r>
      <w:r>
        <mc:AlternateContent>
          <mc:Choice Requires="wpg">
            <w:drawing>
              <wp:inline xmlns:wp="http://schemas.openxmlformats.org/drawingml/2006/wordprocessingDrawing" distT="0" distB="0" distL="0" distR="0">
                <wp:extent cx="182880" cy="182880"/>
                <wp:effectExtent l="0" t="0" r="0" b="0"/>
                <wp:docPr id="12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76"/>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 o:spid="_x0000_s123" type="#_x0000_t75" style="mso-wrap-distance-left:0.0pt;mso-wrap-distance-top:0.0pt;mso-wrap-distance-right:0.0pt;mso-wrap-distance-bottom:0.0pt;width:14.4pt;height:14.4pt;" stroked="f">
                <v:path textboxrect="0,0,0,0"/>
                <v:imagedata r:id="rId76" o:title=""/>
              </v:shape>
            </w:pict>
          </mc:Fallback>
        </mc:AlternateContent>
      </w:r>
      <w:r>
        <w:t xml:space="preserve"> </w:t>
      </w:r>
      <w:r>
        <w:t xml:space="preserve">(В</w:t>
      </w:r>
      <w:r>
        <w:t xml:space="preserve">ы</w:t>
      </w:r>
      <w:r>
        <w:t xml:space="preserve">брать родительский документ). </w:t>
      </w:r>
      <w:r>
        <w:t xml:space="preserve">При этом о</w:t>
      </w:r>
      <w:r>
        <w:t xml:space="preserve">т</w:t>
      </w:r>
      <w:r>
        <w:t xml:space="preserve">кроется окно в</w:t>
      </w:r>
      <w:r>
        <w:t xml:space="preserve">ы</w:t>
      </w:r>
      <w:r>
        <w:t xml:space="preserve">бора т</w:t>
      </w:r>
      <w:r>
        <w:t xml:space="preserve">и</w:t>
      </w:r>
      <w:r>
        <w:t xml:space="preserve">па документа «Поиск» </w:t>
      </w:r>
      <w:r>
        <w:t xml:space="preserve">(рис. </w:t>
      </w:r>
      <w:r>
        <w:fldChar w:fldCharType="begin"/>
      </w:r>
      <w:r>
        <w:instrText xml:space="preserve"> REF _Ref526154951 \h </w:instrText>
      </w:r>
      <w:r>
        <w:fldChar w:fldCharType="separate"/>
      </w:r>
      <w:r>
        <w:t xml:space="preserve">57</w:t>
      </w:r>
      <w:r>
        <w:fldChar w:fldCharType="end"/>
      </w:r>
      <w:r>
        <w:t xml:space="preserve">).</w:t>
      </w:r>
      <w:r/>
    </w:p>
    <w:p>
      <w:pPr>
        <w:pStyle w:val="982"/>
      </w:pPr>
      <w:r>
        <mc:AlternateContent>
          <mc:Choice Requires="wpg">
            <w:drawing>
              <wp:inline xmlns:wp="http://schemas.openxmlformats.org/drawingml/2006/wordprocessingDrawing" distT="0" distB="0" distL="0" distR="0">
                <wp:extent cx="4030980" cy="3375660"/>
                <wp:effectExtent l="0" t="0" r="0" b="0"/>
                <wp:docPr id="12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22"/>
                        <a:stretch/>
                      </pic:blipFill>
                      <pic:spPr bwMode="auto">
                        <a:xfrm>
                          <a:off x="0" y="0"/>
                          <a:ext cx="4030980" cy="33756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 o:spid="_x0000_s124" type="#_x0000_t75" style="mso-wrap-distance-left:0.0pt;mso-wrap-distance-top:0.0pt;mso-wrap-distance-right:0.0pt;mso-wrap-distance-bottom:0.0pt;width:317.4pt;height:265.8pt;" stroked="f">
                <v:path textboxrect="0,0,0,0"/>
                <v:imagedata r:id="rId122" o:title=""/>
              </v:shape>
            </w:pict>
          </mc:Fallback>
        </mc:AlternateContent>
      </w:r>
      <w:r/>
    </w:p>
    <w:p>
      <w:pPr>
        <w:pStyle w:val="983"/>
      </w:pPr>
      <w:r>
        <w:fldChar w:fldCharType="begin"/>
      </w:r>
      <w:r>
        <w:instrText xml:space="preserve"> SEQ Рисунок \* ARABIC </w:instrText>
      </w:r>
      <w:r>
        <w:fldChar w:fldCharType="separate"/>
      </w:r>
      <w:bookmarkStart w:id="629" w:name="_Ref526154951"/>
      <w:r/>
      <w:bookmarkStart w:id="630" w:name="_Toc88819442"/>
      <w:r>
        <w:t xml:space="preserve">57</w:t>
      </w:r>
      <w:bookmarkEnd w:id="629"/>
      <w:r>
        <w:fldChar w:fldCharType="end"/>
      </w:r>
      <w:r>
        <w:t xml:space="preserve">. </w:t>
      </w:r>
      <w:r>
        <w:t xml:space="preserve">Окно «Поиск…»</w:t>
      </w:r>
      <w:bookmarkEnd w:id="630"/>
      <w:r/>
      <w:r/>
    </w:p>
    <w:p>
      <w:pPr>
        <w:pStyle w:val="994"/>
      </w:pPr>
      <w:r>
        <w:t xml:space="preserve">После выбора типа документа откроется окно «Выбор </w:t>
      </w:r>
      <w:r>
        <w:t xml:space="preserve">родительского документа</w:t>
      </w:r>
      <w:r>
        <w:t xml:space="preserve">» </w:t>
      </w:r>
      <w:r>
        <w:t xml:space="preserve">(рис. </w:t>
      </w:r>
      <w:r>
        <w:fldChar w:fldCharType="begin"/>
      </w:r>
      <w:r>
        <w:instrText xml:space="preserve"> REF _Ref526154952 \h </w:instrText>
      </w:r>
      <w:r>
        <w:fldChar w:fldCharType="separate"/>
      </w:r>
      <w:r>
        <w:t xml:space="preserve">58</w:t>
      </w:r>
      <w:r>
        <w:fldChar w:fldCharType="end"/>
      </w:r>
      <w:r>
        <w:t xml:space="preserve">), в котором следует из перечня сформированных документов заданного т</w:t>
      </w:r>
      <w:r>
        <w:t xml:space="preserve">и</w:t>
      </w:r>
      <w:r>
        <w:t xml:space="preserve">па в</w:t>
      </w:r>
      <w:r>
        <w:t xml:space="preserve">ы</w:t>
      </w:r>
      <w:r>
        <w:t xml:space="preserve">брать ну</w:t>
      </w:r>
      <w:r>
        <w:t xml:space="preserve">ж</w:t>
      </w:r>
      <w:r>
        <w:t xml:space="preserve">ный документ.</w:t>
      </w:r>
      <w:r>
        <w:t xml:space="preserve"> </w:t>
      </w:r>
      <w:r/>
    </w:p>
    <w:p>
      <w:pPr>
        <w:pStyle w:val="982"/>
      </w:pPr>
      <w:r>
        <mc:AlternateContent>
          <mc:Choice Requires="wpg">
            <w:drawing>
              <wp:inline xmlns:wp="http://schemas.openxmlformats.org/drawingml/2006/wordprocessingDrawing" distT="0" distB="0" distL="0" distR="0">
                <wp:extent cx="6035040" cy="3291840"/>
                <wp:effectExtent l="0" t="0" r="0" b="0"/>
                <wp:docPr id="12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23"/>
                        <a:stretch/>
                      </pic:blipFill>
                      <pic:spPr bwMode="auto">
                        <a:xfrm>
                          <a:off x="0" y="0"/>
                          <a:ext cx="6035039" cy="32918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 o:spid="_x0000_s125" type="#_x0000_t75" style="mso-wrap-distance-left:0.0pt;mso-wrap-distance-top:0.0pt;mso-wrap-distance-right:0.0pt;mso-wrap-distance-bottom:0.0pt;width:475.2pt;height:259.2pt;" stroked="f">
                <v:path textboxrect="0,0,0,0"/>
                <v:imagedata r:id="rId123" o:title=""/>
              </v:shape>
            </w:pict>
          </mc:Fallback>
        </mc:AlternateContent>
      </w:r>
      <w:r/>
    </w:p>
    <w:p>
      <w:pPr>
        <w:pStyle w:val="983"/>
      </w:pPr>
      <w:r>
        <w:fldChar w:fldCharType="begin"/>
      </w:r>
      <w:r>
        <w:instrText xml:space="preserve"> SEQ Рисунок \* ARABIC </w:instrText>
      </w:r>
      <w:r>
        <w:fldChar w:fldCharType="separate"/>
      </w:r>
      <w:bookmarkStart w:id="631" w:name="_Ref526154952"/>
      <w:r/>
      <w:bookmarkStart w:id="632" w:name="_Toc88819443"/>
      <w:r>
        <w:t xml:space="preserve">58</w:t>
      </w:r>
      <w:bookmarkEnd w:id="631"/>
      <w:r>
        <w:fldChar w:fldCharType="end"/>
      </w:r>
      <w:r>
        <w:t xml:space="preserve">. </w:t>
      </w:r>
      <w:r>
        <w:t xml:space="preserve">Окно «Выбор </w:t>
      </w:r>
      <w:r>
        <w:t xml:space="preserve">родительского документа</w:t>
      </w:r>
      <w:r>
        <w:t xml:space="preserve">» для документов типа «</w:t>
      </w:r>
      <w:r>
        <w:t xml:space="preserve">Заявка на возврат</w:t>
      </w:r>
      <w:r>
        <w:t xml:space="preserve">»</w:t>
      </w:r>
      <w:bookmarkEnd w:id="632"/>
      <w:r/>
      <w:r/>
    </w:p>
    <w:p>
      <w:pPr>
        <w:pStyle w:val="994"/>
      </w:pPr>
      <w:r>
        <w:t xml:space="preserve">В результате поля формы будут заполнены значениями соответствующих полей род</w:t>
      </w:r>
      <w:r>
        <w:t xml:space="preserve">и</w:t>
      </w:r>
      <w:r>
        <w:t xml:space="preserve">тельского документа.</w:t>
      </w:r>
      <w:r/>
    </w:p>
    <w:p>
      <w:pPr>
        <w:pStyle w:val="973"/>
      </w:pPr>
      <w:r/>
      <w:bookmarkStart w:id="633" w:name="_Ref276040977"/>
      <w:r>
        <w:t xml:space="preserve">Экранная форма документа</w:t>
      </w:r>
      <w:bookmarkEnd w:id="633"/>
      <w:r/>
      <w:r/>
    </w:p>
    <w:p>
      <w:pPr>
        <w:pStyle w:val="994"/>
      </w:pPr>
      <w:r>
        <w:t xml:space="preserve">ЭФ документа «Заявление на проведение операций с иностранной валютой» представлена на рисунках </w:t>
      </w:r>
      <w:r>
        <w:fldChar w:fldCharType="begin"/>
      </w:r>
      <w:r>
        <w:instrText xml:space="preserve"> REF _Ref253649986 \h  \* MERGEFORMAT </w:instrText>
      </w:r>
      <w:r>
        <w:fldChar w:fldCharType="separate"/>
      </w:r>
      <w:r>
        <w:t xml:space="preserve">59</w:t>
      </w:r>
      <w:r>
        <w:fldChar w:fldCharType="end"/>
      </w:r>
      <w:r>
        <w:t xml:space="preserve">-</w:t>
      </w:r>
      <w:r>
        <w:fldChar w:fldCharType="begin"/>
      </w:r>
      <w:r>
        <w:instrText xml:space="preserve"> REF _Ref253649995 \h  \* MERGEFORMAT </w:instrText>
      </w:r>
      <w:r>
        <w:fldChar w:fldCharType="separate"/>
      </w:r>
      <w:r>
        <w:t xml:space="preserve">63</w:t>
      </w:r>
      <w:r>
        <w:fldChar w:fldCharType="end"/>
      </w:r>
      <w:r>
        <w:t xml:space="preserve">. Форма содержит следующие закладки:</w:t>
      </w:r>
      <w:r/>
    </w:p>
    <w:p>
      <w:pPr>
        <w:pStyle w:val="985"/>
      </w:pPr>
      <w:r>
        <w:t xml:space="preserve">«Документ»:</w:t>
      </w:r>
      <w:r/>
    </w:p>
    <w:p>
      <w:pPr>
        <w:pStyle w:val="986"/>
      </w:pPr>
      <w:r>
        <w:t xml:space="preserve">«Покупка-продажа(1)»;</w:t>
      </w:r>
      <w:r/>
    </w:p>
    <w:p>
      <w:pPr>
        <w:pStyle w:val="986"/>
      </w:pPr>
      <w:r>
        <w:t xml:space="preserve">«Перевод(2)»;</w:t>
      </w:r>
      <w:r/>
    </w:p>
    <w:p>
      <w:pPr>
        <w:pStyle w:val="986"/>
      </w:pPr>
      <w:r>
        <w:t xml:space="preserve">«Назначение платежа (КБК)(3)»;</w:t>
      </w:r>
      <w:r/>
    </w:p>
    <w:p>
      <w:pPr>
        <w:pStyle w:val="986"/>
      </w:pPr>
      <w:r>
        <w:t xml:space="preserve">«Банки (4)»;</w:t>
      </w:r>
      <w:r/>
    </w:p>
    <w:p>
      <w:pPr>
        <w:pStyle w:val="986"/>
      </w:pPr>
      <w:r>
        <w:t xml:space="preserve">«</w:t>
      </w:r>
      <w:r>
        <w:t xml:space="preserve">Подписи</w:t>
      </w:r>
      <w:r>
        <w:t xml:space="preserve">»;</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126480" cy="3116580"/>
                <wp:effectExtent l="0" t="0" r="0" b="0"/>
                <wp:docPr id="12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24"/>
                        <a:stretch/>
                      </pic:blipFill>
                      <pic:spPr bwMode="auto">
                        <a:xfrm>
                          <a:off x="0" y="0"/>
                          <a:ext cx="6126480" cy="31165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 o:spid="_x0000_s126" type="#_x0000_t75" style="mso-wrap-distance-left:0.0pt;mso-wrap-distance-top:0.0pt;mso-wrap-distance-right:0.0pt;mso-wrap-distance-bottom:0.0pt;width:482.4pt;height:245.4pt;" stroked="f">
                <v:path textboxrect="0,0,0,0"/>
                <v:imagedata r:id="rId124" o:title=""/>
              </v:shape>
            </w:pict>
          </mc:Fallback>
        </mc:AlternateContent>
      </w:r>
      <w:r/>
    </w:p>
    <w:p>
      <w:pPr>
        <w:pStyle w:val="983"/>
      </w:pPr>
      <w:r>
        <w:fldChar w:fldCharType="begin"/>
      </w:r>
      <w:r>
        <w:instrText xml:space="preserve"> SEQ Рисунок \* ARABIC </w:instrText>
      </w:r>
      <w:r>
        <w:fldChar w:fldCharType="separate"/>
      </w:r>
      <w:bookmarkStart w:id="634" w:name="_Ref253649986"/>
      <w:r/>
      <w:bookmarkStart w:id="635" w:name="_Toc88819444"/>
      <w:r>
        <w:t xml:space="preserve">59</w:t>
      </w:r>
      <w:bookmarkEnd w:id="634"/>
      <w:r>
        <w:fldChar w:fldCharType="end"/>
      </w:r>
      <w:r>
        <w:t xml:space="preserve">. ЭФ документа «Заявление на проведение операций с иностранной валютой», закладки «Покупка-продажа(1)»</w:t>
      </w:r>
      <w:bookmarkEnd w:id="635"/>
      <w:r/>
      <w:r/>
    </w:p>
    <w:p>
      <w:pPr>
        <w:pStyle w:val="994"/>
      </w:pPr>
      <w:r>
        <w:t xml:space="preserve">Для ручного ввода документа следует на ЭФ документа заполнить поля, доступные для редактирования. </w:t>
      </w:r>
      <w:r/>
    </w:p>
    <w:p>
      <w:pPr>
        <w:pStyle w:val="994"/>
      </w:pPr>
      <w:r>
        <w:t xml:space="preserve">Перечень полей документа «Заявление на проведение операций с иностранной валютой», закладки «Покупка-продажа(1)» приведен в таблице </w:t>
      </w:r>
      <w:r>
        <w:fldChar w:fldCharType="begin"/>
      </w:r>
      <w:r>
        <w:instrText xml:space="preserve"> REF _Ref381713783 \h </w:instrText>
      </w:r>
      <w:r>
        <w:fldChar w:fldCharType="separate"/>
      </w:r>
      <w:r>
        <w:t xml:space="preserve">25</w:t>
      </w:r>
      <w:r>
        <w:fldChar w:fldCharType="end"/>
      </w:r>
      <w:r>
        <w:t xml:space="preserve">.</w:t>
      </w:r>
      <w:r/>
    </w:p>
    <w:p>
      <w:pPr>
        <w:pStyle w:val="993"/>
      </w:pPr>
      <w:r>
        <w:fldChar w:fldCharType="begin"/>
      </w:r>
      <w:r>
        <w:instrText xml:space="preserve"> SEQ Таблица \* ARABIC </w:instrText>
      </w:r>
      <w:r>
        <w:fldChar w:fldCharType="separate"/>
      </w:r>
      <w:bookmarkStart w:id="636" w:name="_Ref381713783"/>
      <w:r/>
      <w:bookmarkStart w:id="637" w:name="_Toc88819211"/>
      <w:r>
        <w:t xml:space="preserve">25</w:t>
      </w:r>
      <w:bookmarkEnd w:id="636"/>
      <w:r>
        <w:fldChar w:fldCharType="end"/>
      </w:r>
      <w:r>
        <w:t xml:space="preserve">. Описание полей документа «Заявление на проведение операций с иностранной валютой», закладки «Покупка-продажа(1)»</w:t>
      </w:r>
      <w:bookmarkEnd w:id="637"/>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621"/>
        <w:gridCol w:w="7131"/>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34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656" w:type="pct"/>
            <w:vAlign w:val="center"/>
            <w:textDirection w:val="lrTb"/>
            <w:noWrap w:val="false"/>
          </w:tcPr>
          <w:p>
            <w:pPr>
              <w:pStyle w:val="1006"/>
            </w:pPr>
            <w:r>
              <w:t xml:space="preserve">Описание поля</w:t>
            </w:r>
            <w:r/>
          </w:p>
        </w:tc>
      </w:tr>
      <w:tr>
        <w:trPr>
          <w:trHeight w:val="77"/>
        </w:trPr>
        <w:tc>
          <w:tcPr>
            <w:shd w:val="clear" w:fill="auto" w:color="auto"/>
            <w:tcW w:w="1344" w:type="pct"/>
            <w:textDirection w:val="lrTb"/>
            <w:noWrap w:val="false"/>
          </w:tcPr>
          <w:p>
            <w:pPr>
              <w:pStyle w:val="1005"/>
              <w:ind w:left="57" w:right="57"/>
            </w:pPr>
            <w:r>
              <w:t xml:space="preserve">Тип заявления</w:t>
            </w:r>
            <w:r/>
          </w:p>
        </w:tc>
        <w:tc>
          <w:tcPr>
            <w:shd w:val="clear" w:fill="auto" w:color="auto"/>
            <w:tcW w:w="3656" w:type="pct"/>
            <w:textDirection w:val="lrTb"/>
            <w:noWrap w:val="false"/>
          </w:tcPr>
          <w:p>
            <w:pPr>
              <w:pStyle w:val="1005"/>
              <w:ind w:left="57" w:right="57"/>
            </w:pPr>
            <w:r>
              <w:t xml:space="preserve">При ручном вводе подтягивается значение трехбуквенного кода из списка возможных значений.</w:t>
            </w:r>
            <w:r/>
          </w:p>
          <w:p>
            <w:pPr>
              <w:pStyle w:val="1005"/>
              <w:ind w:left="57" w:right="57"/>
            </w:pPr>
            <w:r>
              <w:t xml:space="preserve">При открытии формы ввода для ручного добавления документа по умолчанию заполняется типом «ГРС».</w:t>
            </w:r>
            <w:r/>
          </w:p>
          <w:p>
            <w:pPr>
              <w:pStyle w:val="1005"/>
              <w:ind w:left="57" w:right="57"/>
            </w:pPr>
            <w:r>
              <w:t xml:space="preserve">Список возможных значений:</w:t>
            </w:r>
            <w:r/>
          </w:p>
          <w:p>
            <w:pPr>
              <w:pStyle w:val="1007"/>
            </w:pPr>
            <w:r>
              <w:t xml:space="preserve">ГРС – Заявле</w:t>
            </w:r>
            <w:r>
              <w:t xml:space="preserve">ние: перевод иностранной валюты;</w:t>
            </w:r>
            <w:r/>
          </w:p>
          <w:p>
            <w:pPr>
              <w:pStyle w:val="1007"/>
            </w:pPr>
            <w:r>
              <w:t xml:space="preserve">ППС – Заявление: покупка-продажа иностранной валюты.</w:t>
            </w:r>
            <w:r/>
          </w:p>
        </w:tc>
      </w:tr>
      <w:tr>
        <w:trPr>
          <w:trHeight w:val="77"/>
        </w:trPr>
        <w:tc>
          <w:tcPr>
            <w:shd w:val="clear" w:fill="auto" w:color="auto"/>
            <w:tcW w:w="1344" w:type="pct"/>
            <w:textDirection w:val="lrTb"/>
            <w:noWrap w:val="false"/>
          </w:tcPr>
          <w:p>
            <w:pPr>
              <w:pStyle w:val="1005"/>
              <w:ind w:left="57" w:right="57"/>
            </w:pPr>
            <w:r>
              <w:t xml:space="preserve">Дата заявления</w:t>
            </w:r>
            <w:r/>
          </w:p>
        </w:tc>
        <w:tc>
          <w:tcPr>
            <w:shd w:val="clear" w:fill="auto" w:color="auto"/>
            <w:tcW w:w="3656" w:type="pct"/>
            <w:textDirection w:val="lrTb"/>
            <w:noWrap w:val="false"/>
          </w:tcPr>
          <w:p>
            <w:pPr>
              <w:pStyle w:val="1005"/>
              <w:ind w:left="57" w:right="57"/>
            </w:pPr>
            <w:r>
              <w:t xml:space="preserve">Значение по умолчанию – текущая дата. </w:t>
            </w:r>
            <w:r/>
          </w:p>
          <w:p>
            <w:pPr>
              <w:pStyle w:val="1005"/>
              <w:ind w:left="57" w:right="57"/>
            </w:pPr>
            <w:r>
              <w:t xml:space="preserve">Может быть изменено вручную или выбором из системного календаря.</w:t>
            </w:r>
            <w:r/>
          </w:p>
        </w:tc>
      </w:tr>
      <w:tr>
        <w:trPr>
          <w:trHeight w:val="77"/>
        </w:trPr>
        <w:tc>
          <w:tcPr>
            <w:shd w:val="clear" w:fill="auto" w:color="auto"/>
            <w:tcW w:w="1344" w:type="pct"/>
            <w:textDirection w:val="lrTb"/>
            <w:noWrap w:val="false"/>
          </w:tcPr>
          <w:p>
            <w:pPr>
              <w:pStyle w:val="1005"/>
              <w:ind w:left="57" w:right="57"/>
            </w:pPr>
            <w:r>
              <w:t xml:space="preserve">Номер заявления</w:t>
            </w:r>
            <w:r/>
          </w:p>
        </w:tc>
        <w:tc>
          <w:tcPr>
            <w:shd w:val="clear" w:fill="auto" w:color="auto"/>
            <w:tcW w:w="3656" w:type="pct"/>
            <w:textDirection w:val="lrTb"/>
            <w:noWrap w:val="false"/>
          </w:tcPr>
          <w:p>
            <w:pPr>
              <w:pStyle w:val="1005"/>
              <w:ind w:left="57" w:right="57"/>
            </w:pPr>
            <w:r>
              <w:t xml:space="preserve">Значение рассчитывается автоматически на основании настроек для текущего типа документа в справочнике «Параметры автонумерации документов».</w:t>
            </w:r>
            <w:r>
              <w:t xml:space="preserve"> </w:t>
            </w:r>
            <w:r>
              <w:t xml:space="preserve">Может быть заполнено вручную.</w:t>
            </w:r>
            <w:r/>
          </w:p>
          <w:p>
            <w:pPr>
              <w:pStyle w:val="1005"/>
              <w:ind w:left="57" w:right="57"/>
            </w:pPr>
            <w:r>
              <w:t xml:space="preserve">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r/>
          </w:p>
        </w:tc>
      </w:tr>
      <w:tr>
        <w:trPr>
          <w:trHeight w:val="77"/>
        </w:trPr>
        <w:tc>
          <w:tcPr>
            <w:shd w:val="clear" w:fill="auto" w:color="auto"/>
            <w:tcW w:w="1344" w:type="pct"/>
            <w:textDirection w:val="lrTb"/>
            <w:noWrap w:val="false"/>
          </w:tcPr>
          <w:p>
            <w:pPr>
              <w:pStyle w:val="1005"/>
              <w:ind w:left="57" w:right="57"/>
            </w:pPr>
            <w:r>
              <w:t xml:space="preserve">Лицевой счет</w:t>
            </w:r>
            <w:r/>
          </w:p>
        </w:tc>
        <w:tc>
          <w:tcPr>
            <w:shd w:val="clear" w:fill="auto" w:color="auto"/>
            <w:tcW w:w="3656" w:type="pct"/>
            <w:textDirection w:val="lrTb"/>
            <w:noWrap w:val="false"/>
          </w:tcPr>
          <w:p>
            <w:pPr>
              <w:pStyle w:val="1005"/>
              <w:ind w:left="57" w:right="57"/>
            </w:pPr>
            <w:r>
              <w:t xml:space="preserve">Лицевой счет клиента.</w:t>
            </w:r>
            <w:r/>
          </w:p>
          <w:p>
            <w:pPr>
              <w:pStyle w:val="1005"/>
              <w:ind w:left="57" w:right="57"/>
            </w:pPr>
            <w:r>
              <w:t xml:space="preserve">Заполняется вручную или выбором из справочника «Информация о ЛС».</w:t>
            </w:r>
            <w:r/>
          </w:p>
          <w:p>
            <w:pPr>
              <w:pStyle w:val="1005"/>
              <w:ind w:left="57" w:right="57"/>
            </w:pPr>
            <w:r>
              <w:t xml:space="preserve">При значении поля «Тип» = 3 значение лицевого счета не указывается.</w:t>
            </w:r>
            <w:r/>
          </w:p>
        </w:tc>
      </w:tr>
      <w:tr>
        <w:trPr>
          <w:trHeight w:val="77"/>
        </w:trPr>
        <w:tc>
          <w:tcPr>
            <w:shd w:val="clear" w:fill="auto" w:color="auto"/>
            <w:tcW w:w="1344" w:type="pct"/>
            <w:textDirection w:val="lrTb"/>
            <w:noWrap w:val="false"/>
          </w:tcPr>
          <w:p>
            <w:pPr>
              <w:pStyle w:val="1005"/>
              <w:ind w:left="57" w:right="57"/>
            </w:pPr>
            <w:r>
              <w:t xml:space="preserve">Статус</w:t>
            </w:r>
            <w:r/>
          </w:p>
        </w:tc>
        <w:tc>
          <w:tcPr>
            <w:shd w:val="clear" w:fill="auto" w:color="auto"/>
            <w:tcW w:w="3656" w:type="pct"/>
            <w:textDirection w:val="lrTb"/>
            <w:noWrap w:val="false"/>
          </w:tcPr>
          <w:p>
            <w:pPr>
              <w:pStyle w:val="1005"/>
              <w:ind w:left="57" w:right="57"/>
            </w:pPr>
            <w:r>
              <w:t xml:space="preserve">Заполняется </w:t>
            </w:r>
            <w:r>
              <w:t xml:space="preserve">кодом бизнес-статуса документа.</w:t>
            </w:r>
            <w:r/>
          </w:p>
        </w:tc>
      </w:tr>
      <w:tr>
        <w:trPr>
          <w:trHeight w:val="77"/>
        </w:trPr>
        <w:tc>
          <w:tcPr>
            <w:shd w:val="clear" w:fill="auto" w:color="auto"/>
            <w:tcW w:w="1344" w:type="pct"/>
            <w:textDirection w:val="lrTb"/>
            <w:noWrap w:val="false"/>
          </w:tcPr>
          <w:p>
            <w:pPr>
              <w:pStyle w:val="1005"/>
              <w:ind w:left="57" w:right="57"/>
            </w:pPr>
            <w:r>
              <w:t xml:space="preserve">Клиент</w:t>
            </w:r>
            <w:r/>
          </w:p>
        </w:tc>
        <w:tc>
          <w:tcPr>
            <w:shd w:val="clear" w:fill="auto" w:color="auto"/>
            <w:tcW w:w="3656" w:type="pct"/>
            <w:textDirection w:val="lrTb"/>
            <w:noWrap w:val="false"/>
          </w:tcPr>
          <w:p>
            <w:pPr>
              <w:pStyle w:val="1005"/>
              <w:ind w:left="57" w:right="57"/>
            </w:pPr>
            <w:r>
              <w:t xml:space="preserve">Наименование клиента и ИНН</w:t>
            </w:r>
            <w:r>
              <w:t xml:space="preserve">, з</w:t>
            </w:r>
            <w:r>
              <w:t xml:space="preserve">аполняется латинскими буквами</w:t>
            </w:r>
            <w:r>
              <w:t xml:space="preserve">.</w:t>
            </w:r>
            <w:r/>
          </w:p>
        </w:tc>
      </w:tr>
      <w:tr>
        <w:trPr>
          <w:trHeight w:val="77"/>
        </w:trPr>
        <w:tc>
          <w:tcPr>
            <w:shd w:val="clear" w:fill="auto" w:color="auto"/>
            <w:tcW w:w="1344" w:type="pct"/>
            <w:textDirection w:val="lrTb"/>
            <w:noWrap w:val="false"/>
          </w:tcPr>
          <w:p>
            <w:pPr>
              <w:pStyle w:val="1005"/>
              <w:ind w:left="57" w:right="57"/>
            </w:pPr>
            <w:r>
              <w:t xml:space="preserve">Код клиента</w:t>
            </w:r>
            <w:r/>
          </w:p>
        </w:tc>
        <w:tc>
          <w:tcPr>
            <w:shd w:val="clear" w:fill="auto" w:color="auto"/>
            <w:tcW w:w="3656" w:type="pct"/>
            <w:textDirection w:val="lrTb"/>
            <w:noWrap w:val="false"/>
          </w:tcPr>
          <w:p>
            <w:pPr>
              <w:pStyle w:val="1005"/>
              <w:ind w:left="57" w:right="57"/>
            </w:pPr>
            <w:r>
              <w:t xml:space="preserve">Привязан справочник СРРПБС.</w:t>
            </w:r>
            <w:r/>
          </w:p>
          <w:p>
            <w:pPr>
              <w:pStyle w:val="1005"/>
              <w:ind w:left="57" w:right="57"/>
            </w:pPr>
            <w:r>
              <w:t xml:space="preserve">Для АРМ </w:t>
            </w:r>
            <w:r>
              <w:t xml:space="preserve">ФО</w:t>
            </w:r>
            <w:r>
              <w:t xml:space="preserve"> заполняется вручную.</w:t>
            </w:r>
            <w:r/>
          </w:p>
        </w:tc>
      </w:tr>
      <w:tr>
        <w:trPr>
          <w:trHeight w:val="77"/>
        </w:trPr>
        <w:tc>
          <w:tcPr>
            <w:shd w:val="clear" w:fill="auto" w:color="auto"/>
            <w:tcW w:w="1344" w:type="pct"/>
            <w:textDirection w:val="lrTb"/>
            <w:noWrap w:val="false"/>
          </w:tcPr>
          <w:p>
            <w:pPr>
              <w:pStyle w:val="1005"/>
              <w:ind w:left="57" w:right="57"/>
            </w:pPr>
            <w:r>
              <w:t xml:space="preserve">Адрес</w:t>
            </w:r>
            <w:r/>
          </w:p>
        </w:tc>
        <w:tc>
          <w:tcPr>
            <w:shd w:val="clear" w:fill="auto" w:color="auto"/>
            <w:tcW w:w="3656" w:type="pct"/>
            <w:textDirection w:val="lrTb"/>
            <w:noWrap w:val="false"/>
          </w:tcPr>
          <w:p>
            <w:pPr>
              <w:pStyle w:val="1005"/>
              <w:ind w:left="57" w:right="57"/>
            </w:pPr>
            <w:r>
              <w:t xml:space="preserve">Адрес клиента.</w:t>
            </w:r>
            <w:r/>
          </w:p>
          <w:p>
            <w:pPr>
              <w:pStyle w:val="1005"/>
              <w:ind w:left="57" w:right="57"/>
            </w:pPr>
            <w:r>
              <w:t xml:space="preserve">Заполняется латинскими буквами</w:t>
            </w:r>
            <w:r>
              <w:t xml:space="preserve">.</w:t>
            </w:r>
            <w:r/>
          </w:p>
        </w:tc>
      </w:tr>
      <w:tr>
        <w:trPr>
          <w:trHeight w:val="77"/>
        </w:trPr>
        <w:tc>
          <w:tcPr>
            <w:shd w:val="clear" w:fill="auto" w:color="auto"/>
            <w:tcW w:w="1344" w:type="pct"/>
            <w:textDirection w:val="lrTb"/>
            <w:noWrap w:val="false"/>
          </w:tcPr>
          <w:p>
            <w:pPr>
              <w:pStyle w:val="1005"/>
              <w:ind w:left="57" w:right="57"/>
            </w:pPr>
            <w:r>
              <w:t xml:space="preserve">Тип операции</w:t>
            </w:r>
            <w:r/>
          </w:p>
        </w:tc>
        <w:tc>
          <w:tcPr>
            <w:shd w:val="clear" w:fill="auto" w:color="auto"/>
            <w:tcW w:w="3656" w:type="pct"/>
            <w:textDirection w:val="lrTb"/>
            <w:noWrap w:val="false"/>
          </w:tcPr>
          <w:p>
            <w:pPr>
              <w:pStyle w:val="1005"/>
              <w:ind w:left="57" w:right="57"/>
            </w:pPr>
            <w:r>
              <w:t xml:space="preserve">При указании в реквизите «Тип заявления» значения «ППС», автоматически присваивается пустое значение. При этом реквизит недоступен для изменения. </w:t>
            </w:r>
            <w:r/>
          </w:p>
          <w:p>
            <w:pPr>
              <w:pStyle w:val="1005"/>
              <w:ind w:left="57" w:right="57"/>
            </w:pPr>
            <w:r>
              <w:t xml:space="preserve">При указании в реквизите «Тип заявления» значение «ГРС», автоматически присваивается пустое значение. При этом реквизит доступен для выбора из списка возможных значений:</w:t>
            </w:r>
            <w:r/>
          </w:p>
          <w:p>
            <w:pPr>
              <w:pStyle w:val="1007"/>
            </w:pPr>
            <w:r>
              <w:t xml:space="preserve">пустое значение;</w:t>
            </w:r>
            <w:r/>
          </w:p>
          <w:p>
            <w:pPr>
              <w:pStyle w:val="1007"/>
            </w:pPr>
            <w:r>
              <w:t xml:space="preserve">1 – перевод средств на счета в зарубежных банках;</w:t>
            </w:r>
            <w:r/>
          </w:p>
          <w:p>
            <w:pPr>
              <w:pStyle w:val="1007"/>
            </w:pPr>
            <w:r>
              <w:t xml:space="preserve">2 – перевод средств на счета Российских банков (Внешторгбанк);</w:t>
            </w:r>
            <w:r/>
          </w:p>
          <w:p>
            <w:pPr>
              <w:pStyle w:val="1007"/>
            </w:pPr>
            <w:r>
              <w:t xml:space="preserve">3 – перечисление средств в доход федерального бюджета.</w:t>
            </w:r>
            <w:r/>
          </w:p>
        </w:tc>
      </w:tr>
      <w:tr>
        <w:trPr>
          <w:trHeight w:val="638"/>
        </w:trPr>
        <w:tc>
          <w:tcPr>
            <w:shd w:val="clear" w:fill="auto" w:color="auto"/>
            <w:tcW w:w="1344" w:type="pct"/>
            <w:textDirection w:val="lrTb"/>
            <w:noWrap w:val="false"/>
          </w:tcPr>
          <w:p>
            <w:pPr>
              <w:pStyle w:val="1005"/>
              <w:ind w:left="57" w:right="57"/>
            </w:pPr>
            <w:r>
              <w:t xml:space="preserve">Признак конфиденциальности</w:t>
            </w:r>
            <w:r/>
          </w:p>
        </w:tc>
        <w:tc>
          <w:tcPr>
            <w:shd w:val="clear" w:fill="auto" w:color="auto"/>
            <w:tcW w:w="3656" w:type="pct"/>
            <w:textDirection w:val="lrTb"/>
            <w:noWrap w:val="false"/>
          </w:tcPr>
          <w:p>
            <w:pPr>
              <w:pStyle w:val="1005"/>
              <w:ind w:left="57" w:right="57"/>
            </w:pPr>
            <w:r>
              <w:t xml:space="preserve">Уровень </w:t>
            </w:r>
            <w:r>
              <w:t xml:space="preserve">конфиденциальности</w:t>
            </w:r>
            <w:r>
              <w:t xml:space="preserve">.</w:t>
            </w:r>
            <w:r/>
          </w:p>
          <w:p>
            <w:pPr>
              <w:pStyle w:val="1005"/>
              <w:ind w:left="57" w:right="57"/>
            </w:pPr>
            <w:r>
              <w:t xml:space="preserve">Значение выбирается из выпадающего списка:</w:t>
            </w:r>
            <w:r/>
          </w:p>
          <w:p>
            <w:pPr>
              <w:pStyle w:val="1007"/>
            </w:pPr>
            <w:r>
              <w:t xml:space="preserve">0 – не секретно;</w:t>
            </w:r>
            <w:r/>
          </w:p>
          <w:p>
            <w:pPr>
              <w:pStyle w:val="1007"/>
            </w:pPr>
            <w:r>
              <w:t xml:space="preserve">1 – ДСП.</w:t>
            </w:r>
            <w:r/>
          </w:p>
        </w:tc>
      </w:tr>
      <w:tr>
        <w:trPr>
          <w:trHeight w:val="259"/>
        </w:trPr>
        <w:tc>
          <w:tcPr>
            <w:gridSpan w:val="2"/>
            <w:shd w:val="clear" w:fill="auto" w:color="auto"/>
            <w:tcW w:w="5000" w:type="pct"/>
            <w:textDirection w:val="lrTb"/>
            <w:noWrap w:val="false"/>
          </w:tcPr>
          <w:p>
            <w:pPr>
              <w:pStyle w:val="1005"/>
              <w:ind w:left="57" w:right="57"/>
            </w:pPr>
            <w:r>
              <w:t xml:space="preserve">Закладка «Покупка-продажа(1)»</w:t>
            </w:r>
            <w:r/>
          </w:p>
        </w:tc>
      </w:tr>
      <w:tr>
        <w:trPr>
          <w:trHeight w:val="259"/>
        </w:trPr>
        <w:tc>
          <w:tcPr>
            <w:gridSpan w:val="2"/>
            <w:shd w:val="clear" w:fill="auto" w:color="auto"/>
            <w:tcW w:w="5000" w:type="pct"/>
            <w:textDirection w:val="lrTb"/>
            <w:noWrap w:val="false"/>
          </w:tcPr>
          <w:p>
            <w:pPr>
              <w:pStyle w:val="1005"/>
              <w:ind w:left="57" w:right="57"/>
            </w:pPr>
            <w:r>
              <w:t xml:space="preserve">Реквизиты раздела доступны для заполнения, если в реквизите «Тип заявления» указано значение «ППС», и недоступны для заполнения, если</w:t>
            </w:r>
            <w:r>
              <w:t xml:space="preserve"> </w:t>
            </w:r>
            <w:r>
              <w:t xml:space="preserve">в реквизите «Тип заявления» указано значение «ГРС».</w:t>
            </w:r>
            <w:r/>
          </w:p>
        </w:tc>
      </w:tr>
      <w:tr>
        <w:trPr>
          <w:trHeight w:val="407"/>
        </w:trPr>
        <w:tc>
          <w:tcPr>
            <w:shd w:val="clear" w:fill="auto" w:color="auto"/>
            <w:tcW w:w="1344" w:type="pct"/>
            <w:textDirection w:val="lrTb"/>
            <w:noWrap w:val="false"/>
          </w:tcPr>
          <w:p>
            <w:pPr>
              <w:pStyle w:val="1005"/>
              <w:ind w:left="57" w:right="57"/>
            </w:pPr>
            <w:r>
              <w:t xml:space="preserve">Дата валютирования</w:t>
            </w:r>
            <w:r/>
          </w:p>
        </w:tc>
        <w:tc>
          <w:tcPr>
            <w:shd w:val="clear" w:fill="auto" w:color="auto"/>
            <w:tcW w:w="3656" w:type="pct"/>
            <w:textDirection w:val="lrTb"/>
            <w:noWrap w:val="false"/>
          </w:tcPr>
          <w:p>
            <w:pPr>
              <w:pStyle w:val="1005"/>
              <w:ind w:left="57" w:right="57"/>
            </w:pPr>
            <w:r>
              <w:t xml:space="preserve">Значение должно указываться в формате: «ДД.ММ.ГГГГ» (день, месяц, год). Значение вводится вручную или выбирается из системного календаря.</w:t>
            </w:r>
            <w:r/>
          </w:p>
        </w:tc>
      </w:tr>
      <w:tr>
        <w:trPr>
          <w:trHeight w:val="407"/>
        </w:trPr>
        <w:tc>
          <w:tcPr>
            <w:gridSpan w:val="2"/>
            <w:shd w:val="clear" w:fill="auto" w:color="auto"/>
            <w:tcW w:w="5000" w:type="pct"/>
            <w:textDirection w:val="lrTb"/>
            <w:noWrap w:val="false"/>
          </w:tcPr>
          <w:p>
            <w:pPr>
              <w:pStyle w:val="1005"/>
              <w:ind w:left="57" w:right="57"/>
            </w:pPr>
            <w:r>
              <w:t xml:space="preserve">Группа полей «Покупка»</w:t>
            </w:r>
            <w:r/>
          </w:p>
        </w:tc>
      </w:tr>
      <w:tr>
        <w:trPr>
          <w:trHeight w:val="182"/>
        </w:trPr>
        <w:tc>
          <w:tcPr>
            <w:shd w:val="clear" w:fill="auto" w:color="auto"/>
            <w:tcW w:w="1344" w:type="pct"/>
            <w:textDirection w:val="lrTb"/>
            <w:noWrap w:val="false"/>
          </w:tcPr>
          <w:p>
            <w:pPr>
              <w:pStyle w:val="1005"/>
              <w:ind w:left="57" w:right="57"/>
            </w:pPr>
            <w:r>
              <w:t xml:space="preserve">Сумма</w:t>
            </w:r>
            <w:r/>
          </w:p>
        </w:tc>
        <w:tc>
          <w:tcPr>
            <w:shd w:val="clear" w:fill="auto" w:color="auto"/>
            <w:tcW w:w="3656" w:type="pct"/>
            <w:textDirection w:val="lrTb"/>
            <w:noWrap w:val="false"/>
          </w:tcPr>
          <w:p>
            <w:pPr>
              <w:pStyle w:val="1005"/>
              <w:ind w:left="57" w:right="57"/>
            </w:pPr>
            <w:r>
              <w:t xml:space="preserve">Сумма в рублёвом эквиваленте.</w:t>
            </w:r>
            <w:r/>
          </w:p>
          <w:p>
            <w:pPr>
              <w:pStyle w:val="1005"/>
              <w:ind w:left="57" w:right="57"/>
            </w:pPr>
            <w:r>
              <w:t xml:space="preserve">При ручном вводе указывается вручную</w:t>
            </w:r>
            <w:r>
              <w:t xml:space="preserve"> </w:t>
            </w:r>
            <w:r>
              <w:t xml:space="preserve">сумма покупаемой валюты, если необходима определенная сумма именно покупаемой валюты.</w:t>
            </w:r>
            <w:r/>
          </w:p>
        </w:tc>
      </w:tr>
      <w:tr>
        <w:trPr>
          <w:trHeight w:val="182"/>
        </w:trPr>
        <w:tc>
          <w:tcPr>
            <w:shd w:val="clear" w:fill="auto" w:color="auto"/>
            <w:tcW w:w="1344" w:type="pct"/>
            <w:textDirection w:val="lrTb"/>
            <w:noWrap w:val="false"/>
          </w:tcPr>
          <w:p>
            <w:pPr>
              <w:pStyle w:val="1005"/>
              <w:ind w:left="57" w:right="57"/>
            </w:pPr>
            <w:r>
              <w:t xml:space="preserve">Код</w:t>
            </w:r>
            <w:r/>
          </w:p>
        </w:tc>
        <w:tc>
          <w:tcPr>
            <w:shd w:val="clear" w:fill="auto" w:color="auto"/>
            <w:tcW w:w="3656" w:type="pct"/>
            <w:textDirection w:val="lrTb"/>
            <w:noWrap w:val="false"/>
          </w:tcPr>
          <w:p>
            <w:pPr>
              <w:pStyle w:val="1005"/>
              <w:ind w:left="57" w:right="57"/>
            </w:pPr>
            <w:r>
              <w:t xml:space="preserve">Реквизит доступен для редактирования.</w:t>
            </w:r>
            <w:r/>
          </w:p>
          <w:p>
            <w:pPr>
              <w:pStyle w:val="1005"/>
              <w:ind w:left="57" w:right="57"/>
            </w:pPr>
            <w:r>
              <w:t xml:space="preserve">Обязателен для заполнения, если заполняется раздел «Покупка-продажа».</w:t>
            </w:r>
            <w:r/>
          </w:p>
          <w:p>
            <w:pPr>
              <w:pStyle w:val="1005"/>
              <w:ind w:left="57" w:right="57"/>
            </w:pPr>
            <w:r>
              <w:t xml:space="preserve">При ручном вводе подтягивается значение из списка значений справочника «Валюты». Выполняется подтягивание цифрового значения кода валюты.</w:t>
            </w:r>
            <w:r/>
          </w:p>
          <w:p>
            <w:pPr>
              <w:pStyle w:val="1005"/>
              <w:ind w:left="57" w:right="57"/>
            </w:pPr>
            <w:r>
              <w:t xml:space="preserve">Ограничение допустимых значений по действующим (актуальным) валютам справочника «Валюты».</w:t>
            </w:r>
            <w:r/>
          </w:p>
        </w:tc>
      </w:tr>
      <w:tr>
        <w:trPr>
          <w:trHeight w:val="182"/>
        </w:trPr>
        <w:tc>
          <w:tcPr>
            <w:shd w:val="clear" w:fill="auto" w:color="auto"/>
            <w:tcW w:w="1344" w:type="pct"/>
            <w:textDirection w:val="lrTb"/>
            <w:noWrap w:val="false"/>
          </w:tcPr>
          <w:p>
            <w:pPr>
              <w:pStyle w:val="1005"/>
              <w:ind w:left="57" w:right="57"/>
            </w:pPr>
            <w:r>
              <w:t xml:space="preserve">Сумма прописью</w:t>
            </w:r>
            <w:r/>
          </w:p>
        </w:tc>
        <w:tc>
          <w:tcPr>
            <w:shd w:val="clear" w:fill="auto" w:color="auto"/>
            <w:tcW w:w="3656" w:type="pct"/>
            <w:textDirection w:val="lrTb"/>
            <w:noWrap w:val="false"/>
          </w:tcPr>
          <w:p>
            <w:pPr>
              <w:pStyle w:val="1005"/>
              <w:ind w:left="57" w:right="57"/>
            </w:pPr>
            <w:r>
              <w:t xml:space="preserve">Реквизит недоступен для редактирования.</w:t>
            </w:r>
            <w:r/>
          </w:p>
          <w:p>
            <w:pPr>
              <w:pStyle w:val="1005"/>
              <w:ind w:left="57" w:right="57"/>
            </w:pPr>
            <w:r>
              <w:t xml:space="preserve">Заполняется в соответствии со значением полей «Сумма» (блок «Покупка»)</w:t>
            </w:r>
            <w:r>
              <w:t xml:space="preserve"> </w:t>
            </w:r>
            <w:r>
              <w:t xml:space="preserve">и «Код валюты» (блок «Покупка») по формату:</w:t>
            </w:r>
            <w:r/>
          </w:p>
          <w:p>
            <w:pPr>
              <w:pStyle w:val="1007"/>
            </w:pPr>
            <w:r>
              <w:t xml:space="preserve">«Целая часть суммы прописью (с заглавной буквы) наименование валюты, дробная часть суммы цифрами (2 знака)/100».</w:t>
            </w:r>
            <w:r/>
          </w:p>
          <w:p>
            <w:pPr>
              <w:pStyle w:val="1005"/>
              <w:ind w:left="57" w:right="57"/>
            </w:pPr>
            <w:r>
              <w:t xml:space="preserve">Например: Шесть миллионов сто двадцать пять тысяч пятьсот восемьдесят три доллара США 97/100.</w:t>
            </w:r>
            <w:r/>
          </w:p>
          <w:p>
            <w:pPr>
              <w:pStyle w:val="1005"/>
              <w:ind w:left="57" w:right="57"/>
            </w:pPr>
            <w:r>
              <w:t xml:space="preserve">В случае, нулевой дробной части суммы, необходимо также выводить значение 00/100.</w:t>
            </w:r>
            <w:r/>
          </w:p>
          <w:p>
            <w:pPr>
              <w:pStyle w:val="1005"/>
              <w:ind w:left="57" w:right="57"/>
            </w:pPr>
            <w:r>
              <w:t xml:space="preserve">Если поле «Сумма» (блок «Покупка») пустое, то и сумма прописью должна быть пустая.</w:t>
            </w:r>
            <w:r/>
          </w:p>
        </w:tc>
      </w:tr>
      <w:tr>
        <w:trPr>
          <w:trHeight w:val="182"/>
        </w:trPr>
        <w:tc>
          <w:tcPr>
            <w:shd w:val="clear" w:fill="auto" w:color="auto"/>
            <w:tcW w:w="1344" w:type="pct"/>
            <w:textDirection w:val="lrTb"/>
            <w:noWrap w:val="false"/>
          </w:tcPr>
          <w:p>
            <w:pPr>
              <w:pStyle w:val="1005"/>
              <w:ind w:left="57" w:right="57"/>
            </w:pPr>
            <w:r>
              <w:t xml:space="preserve">Счет</w:t>
            </w:r>
            <w:r/>
          </w:p>
        </w:tc>
        <w:tc>
          <w:tcPr>
            <w:shd w:val="clear" w:fill="auto" w:color="auto"/>
            <w:tcW w:w="3656" w:type="pct"/>
            <w:textDirection w:val="lrTb"/>
            <w:noWrap w:val="false"/>
          </w:tcPr>
          <w:p>
            <w:pPr>
              <w:pStyle w:val="1005"/>
              <w:ind w:left="57" w:right="57"/>
            </w:pPr>
            <w:r>
              <w:t xml:space="preserve">Реквизит доступен для редактирования.</w:t>
            </w:r>
            <w:r/>
          </w:p>
          <w:p>
            <w:pPr>
              <w:pStyle w:val="1005"/>
              <w:ind w:left="57" w:right="57"/>
            </w:pPr>
            <w:r>
              <w:t xml:space="preserve">Обязателен для заполнения, если указан тип заявления «ППС».</w:t>
            </w:r>
            <w:r/>
          </w:p>
          <w:p>
            <w:pPr>
              <w:pStyle w:val="1005"/>
              <w:ind w:left="57" w:right="57"/>
            </w:pPr>
            <w:r>
              <w:t xml:space="preserve">Заполняется вручную.</w:t>
            </w:r>
            <w:r/>
          </w:p>
        </w:tc>
      </w:tr>
      <w:tr>
        <w:trPr>
          <w:trHeight w:val="182"/>
        </w:trPr>
        <w:tc>
          <w:tcPr>
            <w:gridSpan w:val="2"/>
            <w:shd w:val="clear" w:fill="auto" w:color="auto"/>
            <w:tcW w:w="5000" w:type="pct"/>
            <w:textDirection w:val="lrTb"/>
            <w:noWrap w:val="false"/>
          </w:tcPr>
          <w:p>
            <w:pPr>
              <w:pStyle w:val="1005"/>
              <w:ind w:left="57" w:right="57"/>
            </w:pPr>
            <w:r>
              <w:t xml:space="preserve">Группа полей «Продажа»</w:t>
            </w:r>
            <w:r/>
          </w:p>
        </w:tc>
      </w:tr>
      <w:tr>
        <w:trPr>
          <w:trHeight w:val="182"/>
        </w:trPr>
        <w:tc>
          <w:tcPr>
            <w:shd w:val="clear" w:fill="auto" w:color="auto"/>
            <w:tcW w:w="1344" w:type="pct"/>
            <w:textDirection w:val="lrTb"/>
            <w:noWrap w:val="false"/>
          </w:tcPr>
          <w:p>
            <w:pPr>
              <w:pStyle w:val="1005"/>
              <w:ind w:left="57" w:right="57"/>
            </w:pPr>
            <w:r>
              <w:t xml:space="preserve">Сумма</w:t>
            </w:r>
            <w:r/>
          </w:p>
        </w:tc>
        <w:tc>
          <w:tcPr>
            <w:shd w:val="clear" w:fill="auto" w:color="auto"/>
            <w:tcW w:w="3656" w:type="pct"/>
            <w:textDirection w:val="lrTb"/>
            <w:noWrap w:val="false"/>
          </w:tcPr>
          <w:p>
            <w:pPr>
              <w:pStyle w:val="1005"/>
              <w:ind w:left="57" w:right="57"/>
            </w:pPr>
            <w:r>
              <w:t xml:space="preserve">Сумма цифрами.</w:t>
            </w:r>
            <w:r/>
          </w:p>
          <w:p>
            <w:pPr>
              <w:pStyle w:val="1005"/>
              <w:ind w:left="57" w:right="57"/>
            </w:pPr>
            <w:r>
              <w:t xml:space="preserve">Реквизит доступен для редактирования.</w:t>
            </w:r>
            <w:r/>
          </w:p>
          <w:p>
            <w:pPr>
              <w:pStyle w:val="1005"/>
              <w:ind w:left="57" w:right="57"/>
            </w:pPr>
            <w:r>
              <w:t xml:space="preserve">При ручном вводе указывается вручную</w:t>
            </w:r>
            <w:r>
              <w:t xml:space="preserve"> </w:t>
            </w:r>
            <w:r>
              <w:t xml:space="preserve">сумма продаваемой валюты, если необходима определенная сумма именно продаваемой валюты.</w:t>
            </w:r>
            <w:r/>
          </w:p>
        </w:tc>
      </w:tr>
      <w:tr>
        <w:trPr>
          <w:trHeight w:val="182"/>
        </w:trPr>
        <w:tc>
          <w:tcPr>
            <w:shd w:val="clear" w:fill="auto" w:color="auto"/>
            <w:tcW w:w="1344" w:type="pct"/>
            <w:textDirection w:val="lrTb"/>
            <w:noWrap w:val="false"/>
          </w:tcPr>
          <w:p>
            <w:pPr>
              <w:pStyle w:val="1005"/>
              <w:ind w:left="57" w:right="57"/>
            </w:pPr>
            <w:r>
              <w:t xml:space="preserve">Код</w:t>
            </w:r>
            <w:r/>
          </w:p>
        </w:tc>
        <w:tc>
          <w:tcPr>
            <w:shd w:val="clear" w:fill="auto" w:color="auto"/>
            <w:tcW w:w="3656" w:type="pct"/>
            <w:textDirection w:val="lrTb"/>
            <w:noWrap w:val="false"/>
          </w:tcPr>
          <w:p>
            <w:pPr>
              <w:pStyle w:val="1005"/>
              <w:ind w:left="57" w:right="57"/>
            </w:pPr>
            <w:r>
              <w:t xml:space="preserve">Код валюты.</w:t>
            </w:r>
            <w:r/>
          </w:p>
          <w:p>
            <w:pPr>
              <w:pStyle w:val="1005"/>
              <w:ind w:left="57" w:right="57"/>
            </w:pPr>
            <w:r>
              <w:t xml:space="preserve">Реквизит доступен для редактирования.</w:t>
            </w:r>
            <w:r/>
          </w:p>
          <w:p>
            <w:pPr>
              <w:pStyle w:val="1005"/>
              <w:ind w:left="57" w:right="57"/>
            </w:pPr>
            <w:r>
              <w:t xml:space="preserve">Обязателен для заполнения, если заполняется раздел «Покупка-продажа».</w:t>
            </w:r>
            <w:r/>
          </w:p>
          <w:p>
            <w:pPr>
              <w:pStyle w:val="1005"/>
              <w:ind w:left="57" w:right="57"/>
            </w:pPr>
            <w:r>
              <w:t xml:space="preserve">При ручном вводе подтягивается значение из списка значений справочника «Валюты». Выполняется подтягивание цифрового значения кода валюты.</w:t>
            </w:r>
            <w:r/>
          </w:p>
          <w:p>
            <w:pPr>
              <w:pStyle w:val="1005"/>
              <w:ind w:left="57" w:right="57"/>
            </w:pPr>
            <w:r>
              <w:t xml:space="preserve">Ограничение допустимых значений по действующим (актуальным) валютам справочника «Валюты».</w:t>
            </w:r>
            <w:r/>
          </w:p>
        </w:tc>
      </w:tr>
      <w:tr>
        <w:trPr>
          <w:trHeight w:val="182"/>
        </w:trPr>
        <w:tc>
          <w:tcPr>
            <w:shd w:val="clear" w:fill="auto" w:color="auto"/>
            <w:tcW w:w="1344" w:type="pct"/>
            <w:textDirection w:val="lrTb"/>
            <w:noWrap w:val="false"/>
          </w:tcPr>
          <w:p>
            <w:pPr>
              <w:pStyle w:val="1005"/>
              <w:ind w:left="57" w:right="57"/>
            </w:pPr>
            <w:r>
              <w:t xml:space="preserve">Сумма прописью</w:t>
            </w:r>
            <w:r/>
          </w:p>
        </w:tc>
        <w:tc>
          <w:tcPr>
            <w:shd w:val="clear" w:fill="auto" w:color="auto"/>
            <w:tcW w:w="3656" w:type="pct"/>
            <w:textDirection w:val="lrTb"/>
            <w:noWrap w:val="false"/>
          </w:tcPr>
          <w:p>
            <w:pPr>
              <w:pStyle w:val="1005"/>
              <w:ind w:left="57" w:right="57"/>
            </w:pPr>
            <w:r>
              <w:t xml:space="preserve">Реквизит недоступен для редактирования.</w:t>
            </w:r>
            <w:r/>
          </w:p>
          <w:p>
            <w:pPr>
              <w:pStyle w:val="1005"/>
              <w:ind w:left="57" w:right="57"/>
            </w:pPr>
            <w:r>
              <w:t xml:space="preserve">Заполняется в соответствии со значением полей «Сумма» (блок «Продажа»)</w:t>
            </w:r>
            <w:r>
              <w:t xml:space="preserve"> </w:t>
            </w:r>
            <w:r>
              <w:t xml:space="preserve">и «Код валюты» (блок «Продажа») по формату:</w:t>
            </w:r>
            <w:r/>
          </w:p>
          <w:p>
            <w:pPr>
              <w:pStyle w:val="1007"/>
            </w:pPr>
            <w:r>
              <w:t xml:space="preserve">«Целая часть суммы прописью (с заглавной буквы) наименование валюты, дробная часть суммы цифрами (2 знака)/100».</w:t>
            </w:r>
            <w:r/>
          </w:p>
          <w:p>
            <w:pPr>
              <w:pStyle w:val="1005"/>
              <w:ind w:left="57" w:right="57"/>
            </w:pPr>
            <w:r>
              <w:t xml:space="preserve">Например: Шесть миллионов сто двадцать пять тысяч пятьсот восемьдесят три доллара США 97/100.</w:t>
            </w:r>
            <w:r/>
          </w:p>
          <w:p>
            <w:pPr>
              <w:pStyle w:val="1005"/>
              <w:ind w:left="57" w:right="57"/>
            </w:pPr>
            <w:r>
              <w:t xml:space="preserve">В случае, нулевой дробной части суммы, необходимо также выводить значение 00/100.</w:t>
            </w:r>
            <w:r/>
          </w:p>
          <w:p>
            <w:pPr>
              <w:pStyle w:val="1005"/>
              <w:ind w:left="57" w:right="57"/>
            </w:pPr>
            <w:r>
              <w:t xml:space="preserve">Если поле «Сумма» (блок «Продажа») пустое, то и сумма прописью должна быть пустая.</w:t>
            </w:r>
            <w:r/>
          </w:p>
        </w:tc>
      </w:tr>
      <w:tr>
        <w:trPr>
          <w:trHeight w:val="182"/>
        </w:trPr>
        <w:tc>
          <w:tcPr>
            <w:shd w:val="clear" w:fill="auto" w:color="auto"/>
            <w:tcW w:w="1344" w:type="pct"/>
            <w:textDirection w:val="lrTb"/>
            <w:noWrap w:val="false"/>
          </w:tcPr>
          <w:p>
            <w:pPr>
              <w:pStyle w:val="1005"/>
              <w:ind w:left="57" w:right="57"/>
            </w:pPr>
            <w:r>
              <w:t xml:space="preserve">Счет</w:t>
            </w:r>
            <w:r/>
          </w:p>
        </w:tc>
        <w:tc>
          <w:tcPr>
            <w:shd w:val="clear" w:fill="auto" w:color="auto"/>
            <w:tcW w:w="3656" w:type="pct"/>
            <w:textDirection w:val="lrTb"/>
            <w:noWrap w:val="false"/>
          </w:tcPr>
          <w:p>
            <w:pPr>
              <w:pStyle w:val="1005"/>
              <w:ind w:left="57" w:right="57"/>
            </w:pPr>
            <w:r>
              <w:t xml:space="preserve">Реквизит доступен для редактирования.</w:t>
            </w:r>
            <w:r/>
          </w:p>
          <w:p>
            <w:pPr>
              <w:pStyle w:val="1005"/>
              <w:ind w:left="57" w:right="57"/>
            </w:pPr>
            <w:r>
              <w:t xml:space="preserve">Обязателен для заполнения, если заполняется раздел «Покупка-</w:t>
            </w:r>
            <w:r>
              <w:t xml:space="preserve">продажа».</w:t>
            </w:r>
            <w:r/>
          </w:p>
          <w:p>
            <w:pPr>
              <w:pStyle w:val="1005"/>
              <w:ind w:left="57" w:right="57"/>
            </w:pPr>
            <w:r>
              <w:t xml:space="preserve">Заполняется вручную.</w:t>
            </w:r>
            <w:r/>
          </w:p>
        </w:tc>
      </w:tr>
      <w:tr>
        <w:trPr>
          <w:trHeight w:val="182"/>
        </w:trPr>
        <w:tc>
          <w:tcPr>
            <w:gridSpan w:val="2"/>
            <w:shd w:val="clear" w:fill="auto" w:color="auto"/>
            <w:tcW w:w="5000" w:type="pct"/>
            <w:textDirection w:val="lrTb"/>
            <w:noWrap w:val="false"/>
          </w:tcPr>
          <w:p>
            <w:pPr>
              <w:pStyle w:val="1005"/>
              <w:ind w:left="57" w:right="57"/>
            </w:pPr>
            <w:r>
              <w:t xml:space="preserve">Поля без группы</w:t>
            </w:r>
            <w:r/>
          </w:p>
        </w:tc>
      </w:tr>
      <w:tr>
        <w:trPr>
          <w:trHeight w:val="182"/>
        </w:trPr>
        <w:tc>
          <w:tcPr>
            <w:shd w:val="clear" w:fill="auto" w:color="auto"/>
            <w:tcW w:w="1344" w:type="pct"/>
            <w:textDirection w:val="lrTb"/>
            <w:noWrap w:val="false"/>
          </w:tcPr>
          <w:p>
            <w:pPr>
              <w:pStyle w:val="1005"/>
              <w:ind w:left="57" w:right="57"/>
            </w:pPr>
            <w:r>
              <w:t xml:space="preserve">Тип курса</w:t>
            </w:r>
            <w:r/>
          </w:p>
        </w:tc>
        <w:tc>
          <w:tcPr>
            <w:shd w:val="clear" w:fill="auto" w:color="auto"/>
            <w:tcW w:w="3656" w:type="pct"/>
            <w:textDirection w:val="lrTb"/>
            <w:noWrap w:val="false"/>
          </w:tcPr>
          <w:p>
            <w:pPr>
              <w:pStyle w:val="1005"/>
              <w:ind w:left="57" w:right="57"/>
            </w:pPr>
            <w:r>
              <w:t xml:space="preserve">Тип курса валюты.</w:t>
            </w:r>
            <w:r/>
          </w:p>
          <w:p>
            <w:pPr>
              <w:pStyle w:val="1005"/>
              <w:ind w:left="57" w:right="57"/>
            </w:pPr>
            <w:r>
              <w:t xml:space="preserve">Реквизит доступен для выбора из списка возможных значений.</w:t>
            </w:r>
            <w:r/>
          </w:p>
          <w:p>
            <w:pPr>
              <w:pStyle w:val="1005"/>
              <w:ind w:left="57" w:right="57"/>
            </w:pPr>
            <w:r>
              <w:t xml:space="preserve">Обязателен для заполнения, если заполняется раздел «Покупка-продажа».</w:t>
            </w:r>
            <w:r/>
          </w:p>
          <w:p>
            <w:pPr>
              <w:pStyle w:val="1005"/>
              <w:ind w:left="57" w:right="57"/>
            </w:pPr>
            <w:r>
              <w:t xml:space="preserve">При ручном вводе подтягивается значение из списка значений.</w:t>
            </w:r>
            <w:r/>
          </w:p>
          <w:p>
            <w:pPr>
              <w:pStyle w:val="1005"/>
              <w:ind w:left="57" w:right="57"/>
            </w:pPr>
            <w:r>
              <w:t xml:space="preserve">Список возможных значений должен содержать типы курсов:</w:t>
            </w:r>
            <w:r/>
          </w:p>
          <w:p>
            <w:pPr>
              <w:pStyle w:val="1007"/>
            </w:pPr>
            <w:r>
              <w:t xml:space="preserve">курс Банка России;</w:t>
            </w:r>
            <w:r/>
          </w:p>
          <w:p>
            <w:pPr>
              <w:pStyle w:val="1007"/>
            </w:pPr>
            <w:r>
              <w:t xml:space="preserve">рыночный;</w:t>
            </w:r>
            <w:r/>
          </w:p>
          <w:p>
            <w:pPr>
              <w:pStyle w:val="1007"/>
            </w:pPr>
            <w:r>
              <w:t xml:space="preserve">курс ПАО Сбербанк.</w:t>
            </w:r>
            <w:r/>
          </w:p>
          <w:p>
            <w:pPr>
              <w:pStyle w:val="1005"/>
              <w:ind w:left="57" w:right="57"/>
            </w:pPr>
            <w:r>
              <w:t xml:space="preserve">При указании в реквизите «Тип заявления» значения «ППС», автоматически по умолчанию присваивается значение «курс ПАО Сбербанк».</w:t>
            </w:r>
            <w:r/>
          </w:p>
        </w:tc>
      </w:tr>
      <w:tr>
        <w:trPr>
          <w:trHeight w:val="182"/>
        </w:trPr>
        <w:tc>
          <w:tcPr>
            <w:shd w:val="clear" w:fill="auto" w:color="auto"/>
            <w:tcW w:w="1344" w:type="pct"/>
            <w:textDirection w:val="lrTb"/>
            <w:noWrap w:val="false"/>
          </w:tcPr>
          <w:p>
            <w:pPr>
              <w:pStyle w:val="1005"/>
              <w:ind w:left="57" w:right="57"/>
            </w:pPr>
            <w:r>
              <w:t xml:space="preserve">Курс</w:t>
            </w:r>
            <w:r/>
          </w:p>
        </w:tc>
        <w:tc>
          <w:tcPr>
            <w:shd w:val="clear" w:fill="auto" w:color="auto"/>
            <w:tcW w:w="3656" w:type="pct"/>
            <w:textDirection w:val="lrTb"/>
            <w:noWrap w:val="false"/>
          </w:tcPr>
          <w:p>
            <w:pPr>
              <w:pStyle w:val="1005"/>
              <w:ind w:left="57" w:right="57"/>
            </w:pPr>
            <w:r>
              <w:t xml:space="preserve">Курс валюты.</w:t>
            </w:r>
            <w:r/>
          </w:p>
          <w:p>
            <w:pPr>
              <w:pStyle w:val="1005"/>
              <w:ind w:left="57" w:right="57"/>
            </w:pPr>
            <w:r>
              <w:t xml:space="preserve">Реквизит недоступен для редактирования.</w:t>
            </w:r>
            <w:r/>
          </w:p>
          <w:p>
            <w:pPr>
              <w:pStyle w:val="1005"/>
              <w:ind w:left="57" w:right="57"/>
            </w:pPr>
            <w:r>
              <w:t xml:space="preserve">Не заполняется.</w:t>
            </w:r>
            <w:r/>
          </w:p>
        </w:tc>
      </w:tr>
      <w:tr>
        <w:trPr>
          <w:trHeight w:val="182"/>
        </w:trPr>
        <w:tc>
          <w:tcPr>
            <w:shd w:val="clear" w:fill="auto" w:color="auto"/>
            <w:tcW w:w="1344" w:type="pct"/>
            <w:textDirection w:val="lrTb"/>
            <w:noWrap w:val="false"/>
          </w:tcPr>
          <w:p>
            <w:pPr>
              <w:pStyle w:val="1005"/>
              <w:ind w:left="57" w:right="57"/>
            </w:pPr>
            <w:r>
              <w:t xml:space="preserve">№ счета в Операционном департаменте Банка России для зачисления рублей РФ</w:t>
            </w:r>
            <w:r/>
          </w:p>
        </w:tc>
        <w:tc>
          <w:tcPr>
            <w:shd w:val="clear" w:fill="auto" w:color="auto"/>
            <w:tcW w:w="3656" w:type="pct"/>
            <w:textDirection w:val="lrTb"/>
            <w:noWrap w:val="false"/>
          </w:tcPr>
          <w:p>
            <w:pPr>
              <w:pStyle w:val="1005"/>
              <w:ind w:left="57" w:right="57"/>
            </w:pPr>
            <w:r>
              <w:t xml:space="preserve">Реквизит недоступен для редактирования.</w:t>
            </w:r>
            <w:r/>
          </w:p>
          <w:p>
            <w:pPr>
              <w:pStyle w:val="1005"/>
              <w:ind w:left="57" w:right="57"/>
            </w:pPr>
            <w:r>
              <w:t xml:space="preserve">Не заполняется.</w:t>
            </w:r>
            <w:r/>
          </w:p>
        </w:tc>
      </w:tr>
      <w:tr>
        <w:trPr>
          <w:trHeight w:val="182"/>
        </w:trPr>
        <w:tc>
          <w:tcPr>
            <w:shd w:val="clear" w:fill="auto" w:color="auto"/>
            <w:tcW w:w="1344" w:type="pct"/>
            <w:textDirection w:val="lrTb"/>
            <w:noWrap w:val="false"/>
          </w:tcPr>
          <w:p>
            <w:pPr>
              <w:pStyle w:val="1005"/>
              <w:ind w:left="57" w:right="57"/>
            </w:pPr>
            <w:r>
              <w:t xml:space="preserve">Руководитель (уполномоченное им лицо) (должность)</w:t>
            </w:r>
            <w:r/>
          </w:p>
        </w:tc>
        <w:tc>
          <w:tcPr>
            <w:shd w:val="clear" w:fill="auto" w:color="auto"/>
            <w:tcW w:w="3656" w:type="pct"/>
            <w:textDirection w:val="lrTb"/>
            <w:noWrap w:val="false"/>
          </w:tcPr>
          <w:p>
            <w:pPr>
              <w:pStyle w:val="1005"/>
              <w:ind w:left="57" w:right="57"/>
            </w:pPr>
            <w:r>
              <w:t xml:space="preserve">Наименование должности руководителя.</w:t>
            </w:r>
            <w:r/>
          </w:p>
          <w:p>
            <w:pPr>
              <w:pStyle w:val="1005"/>
              <w:ind w:left="57" w:right="57"/>
            </w:pPr>
            <w:r>
              <w:t xml:space="preserve">Заполняется вручную или выбором из справочника «Список сотрудников».</w:t>
            </w:r>
            <w:r/>
          </w:p>
        </w:tc>
      </w:tr>
      <w:tr>
        <w:trPr>
          <w:trHeight w:val="182"/>
        </w:trPr>
        <w:tc>
          <w:tcPr>
            <w:shd w:val="clear" w:fill="auto" w:color="auto"/>
            <w:tcW w:w="1344" w:type="pct"/>
            <w:textDirection w:val="lrTb"/>
            <w:noWrap w:val="false"/>
          </w:tcPr>
          <w:p>
            <w:pPr>
              <w:pStyle w:val="1005"/>
              <w:ind w:left="57" w:right="57"/>
            </w:pPr>
            <w:r>
              <w:t xml:space="preserve">Руководитель (уполномоченное им лицо) (расшифровка подписи)</w:t>
            </w:r>
            <w:r/>
          </w:p>
        </w:tc>
        <w:tc>
          <w:tcPr>
            <w:shd w:val="clear" w:fill="auto" w:color="auto"/>
            <w:tcW w:w="3656" w:type="pct"/>
            <w:textDirection w:val="lrTb"/>
            <w:noWrap w:val="false"/>
          </w:tcPr>
          <w:p>
            <w:pPr>
              <w:pStyle w:val="1005"/>
              <w:ind w:left="57" w:right="57"/>
            </w:pPr>
            <w:r>
              <w:t xml:space="preserve">ФИО руководителя.</w:t>
            </w:r>
            <w:r/>
          </w:p>
          <w:p>
            <w:pPr>
              <w:pStyle w:val="1005"/>
              <w:ind w:left="57" w:right="57"/>
            </w:pPr>
            <w:r>
              <w:t xml:space="preserve">Заполняется автоматически после выбора значения из справочника для поля «Руководитель (уполномоченное им лицо) (должность)».</w:t>
            </w:r>
            <w:r/>
          </w:p>
        </w:tc>
      </w:tr>
      <w:tr>
        <w:trPr>
          <w:trHeight w:val="182"/>
        </w:trPr>
        <w:tc>
          <w:tcPr>
            <w:shd w:val="clear" w:fill="auto" w:color="auto"/>
            <w:tcW w:w="1344" w:type="pct"/>
            <w:textDirection w:val="lrTb"/>
            <w:noWrap w:val="false"/>
          </w:tcPr>
          <w:p>
            <w:pPr>
              <w:pStyle w:val="1005"/>
              <w:ind w:left="57" w:right="57"/>
            </w:pPr>
            <w:r>
              <w:t xml:space="preserve">Исполнитель (должность)</w:t>
            </w:r>
            <w:r/>
          </w:p>
        </w:tc>
        <w:tc>
          <w:tcPr>
            <w:shd w:val="clear" w:fill="auto" w:color="auto"/>
            <w:tcW w:w="3656" w:type="pct"/>
            <w:textDirection w:val="lrTb"/>
            <w:noWrap w:val="false"/>
          </w:tcPr>
          <w:p>
            <w:pPr>
              <w:pStyle w:val="1005"/>
              <w:ind w:left="57" w:right="57"/>
            </w:pPr>
            <w:r>
              <w:t xml:space="preserve">Должность ответственного исполнителя.</w:t>
            </w:r>
            <w:r/>
          </w:p>
          <w:p>
            <w:pPr>
              <w:pStyle w:val="1005"/>
              <w:ind w:left="57" w:right="57"/>
            </w:pPr>
            <w:r>
              <w:t xml:space="preserve">Заполняется вручную или выбором из справочника «Список сотрудников».</w:t>
            </w:r>
            <w:r/>
          </w:p>
        </w:tc>
      </w:tr>
      <w:tr>
        <w:trPr>
          <w:trHeight w:val="182"/>
        </w:trPr>
        <w:tc>
          <w:tcPr>
            <w:shd w:val="clear" w:fill="auto" w:color="auto"/>
            <w:tcW w:w="1344" w:type="pct"/>
            <w:textDirection w:val="lrTb"/>
            <w:noWrap w:val="false"/>
          </w:tcPr>
          <w:p>
            <w:pPr>
              <w:pStyle w:val="1005"/>
              <w:ind w:left="57" w:right="57"/>
            </w:pPr>
            <w:r>
              <w:t xml:space="preserve">Исполнитель (расшифровка подписи)</w:t>
            </w:r>
            <w:r/>
          </w:p>
        </w:tc>
        <w:tc>
          <w:tcPr>
            <w:shd w:val="clear" w:fill="auto" w:color="auto"/>
            <w:tcW w:w="3656" w:type="pct"/>
            <w:textDirection w:val="lrTb"/>
            <w:noWrap w:val="false"/>
          </w:tcPr>
          <w:p>
            <w:pPr>
              <w:pStyle w:val="1005"/>
              <w:ind w:left="57" w:right="57"/>
            </w:pPr>
            <w:r>
              <w:t xml:space="preserve">ФИО ответственного исполнителя.</w:t>
            </w:r>
            <w:r/>
          </w:p>
          <w:p>
            <w:pPr>
              <w:pStyle w:val="1005"/>
              <w:ind w:left="57" w:right="57"/>
            </w:pPr>
            <w:r>
              <w:t xml:space="preserve">Заполняется автоматически после выбора значения из справочника для поля «Исполнитель (должность)».</w:t>
            </w:r>
            <w:r/>
          </w:p>
        </w:tc>
      </w:tr>
      <w:tr>
        <w:trPr>
          <w:trHeight w:val="182"/>
        </w:trPr>
        <w:tc>
          <w:tcPr>
            <w:shd w:val="clear" w:fill="auto" w:color="auto"/>
            <w:tcW w:w="1344" w:type="pct"/>
            <w:textDirection w:val="lrTb"/>
            <w:noWrap w:val="false"/>
          </w:tcPr>
          <w:p>
            <w:pPr>
              <w:pStyle w:val="1005"/>
              <w:ind w:left="57" w:right="57"/>
            </w:pPr>
            <w:r>
              <w:t xml:space="preserve">Исполнитель (телефон)</w:t>
            </w:r>
            <w:r/>
          </w:p>
        </w:tc>
        <w:tc>
          <w:tcPr>
            <w:shd w:val="clear" w:fill="auto" w:color="auto"/>
            <w:tcW w:w="3656" w:type="pct"/>
            <w:textDirection w:val="lrTb"/>
            <w:noWrap w:val="false"/>
          </w:tcPr>
          <w:p>
            <w:pPr>
              <w:pStyle w:val="1005"/>
              <w:ind w:left="57" w:right="57"/>
            </w:pPr>
            <w:r>
              <w:t xml:space="preserve">Номер телефона ответственного исполнителя.</w:t>
            </w:r>
            <w:r/>
          </w:p>
          <w:p>
            <w:pPr>
              <w:pStyle w:val="1005"/>
              <w:ind w:left="57" w:right="57"/>
            </w:pPr>
            <w:r>
              <w:t xml:space="preserve">Заполняется автоматически после выбора значения из справочника для поля «Исполнитель (должность).</w:t>
            </w:r>
            <w:r/>
          </w:p>
        </w:tc>
      </w:tr>
      <w:tr>
        <w:trPr>
          <w:trHeight w:val="182"/>
        </w:trPr>
        <w:tc>
          <w:tcPr>
            <w:shd w:val="clear" w:fill="auto" w:color="auto"/>
            <w:tcW w:w="1344" w:type="pct"/>
            <w:textDirection w:val="lrTb"/>
            <w:noWrap w:val="false"/>
          </w:tcPr>
          <w:p>
            <w:pPr>
              <w:pStyle w:val="1005"/>
              <w:ind w:left="57" w:right="57"/>
            </w:pPr>
            <w:r>
              <w:t xml:space="preserve">Специалист ЦАФК (должность)</w:t>
            </w:r>
            <w:r/>
          </w:p>
        </w:tc>
        <w:tc>
          <w:tcPr>
            <w:shd w:val="clear" w:fill="auto" w:color="auto"/>
            <w:tcW w:w="3656" w:type="pct"/>
            <w:textDirection w:val="lrTb"/>
            <w:noWrap w:val="false"/>
          </w:tcPr>
          <w:p>
            <w:pPr>
              <w:pStyle w:val="1005"/>
              <w:ind w:left="57" w:right="57"/>
            </w:pPr>
            <w:r>
              <w:t xml:space="preserve">Должность специалиста ЦАФК. </w:t>
            </w:r>
            <w:r/>
          </w:p>
          <w:p>
            <w:pPr>
              <w:pStyle w:val="1005"/>
              <w:ind w:left="57" w:right="57"/>
            </w:pPr>
            <w:r>
              <w:t xml:space="preserve">Значение передается из OEBS.</w:t>
            </w:r>
            <w:r/>
          </w:p>
        </w:tc>
      </w:tr>
      <w:tr>
        <w:trPr>
          <w:trHeight w:val="182"/>
        </w:trPr>
        <w:tc>
          <w:tcPr>
            <w:shd w:val="clear" w:fill="auto" w:color="auto"/>
            <w:tcW w:w="1344" w:type="pct"/>
            <w:textDirection w:val="lrTb"/>
            <w:noWrap w:val="false"/>
          </w:tcPr>
          <w:p>
            <w:pPr>
              <w:pStyle w:val="1005"/>
              <w:ind w:left="57" w:right="57"/>
            </w:pPr>
            <w:r>
              <w:t xml:space="preserve">Специалист ЦАФК (расшифровка подписи)</w:t>
            </w:r>
            <w:r/>
          </w:p>
        </w:tc>
        <w:tc>
          <w:tcPr>
            <w:shd w:val="clear" w:fill="auto" w:color="auto"/>
            <w:tcW w:w="3656" w:type="pct"/>
            <w:textDirection w:val="lrTb"/>
            <w:noWrap w:val="false"/>
          </w:tcPr>
          <w:p>
            <w:pPr>
              <w:pStyle w:val="1005"/>
              <w:ind w:left="57" w:right="57"/>
            </w:pPr>
            <w:r>
              <w:t xml:space="preserve">ФИО специалиста ЦАФК.</w:t>
            </w:r>
            <w:r/>
          </w:p>
          <w:p>
            <w:pPr>
              <w:pStyle w:val="1005"/>
              <w:ind w:left="57" w:right="57"/>
            </w:pPr>
            <w:r>
              <w:t xml:space="preserve">Значение передается из OEBS.</w:t>
            </w:r>
            <w:r/>
          </w:p>
        </w:tc>
      </w:tr>
      <w:tr>
        <w:trPr>
          <w:trHeight w:val="182"/>
        </w:trPr>
        <w:tc>
          <w:tcPr>
            <w:shd w:val="clear" w:fill="auto" w:color="auto"/>
            <w:tcW w:w="1344" w:type="pct"/>
            <w:textDirection w:val="lrTb"/>
            <w:noWrap w:val="false"/>
          </w:tcPr>
          <w:p>
            <w:pPr>
              <w:pStyle w:val="1005"/>
              <w:ind w:left="57" w:right="57"/>
            </w:pPr>
            <w:r>
              <w:t xml:space="preserve">Дата утверждения</w:t>
            </w:r>
            <w:r/>
          </w:p>
        </w:tc>
        <w:tc>
          <w:tcPr>
            <w:shd w:val="clear" w:fill="auto" w:color="auto"/>
            <w:tcW w:w="3656" w:type="pct"/>
            <w:textDirection w:val="lrTb"/>
            <w:noWrap w:val="false"/>
          </w:tcPr>
          <w:p>
            <w:pPr>
              <w:pStyle w:val="1005"/>
              <w:ind w:left="57" w:right="57"/>
            </w:pPr>
            <w:r>
              <w:t xml:space="preserve">Дата утверждения документа.</w:t>
            </w:r>
            <w:r/>
          </w:p>
          <w:p>
            <w:pPr>
              <w:pStyle w:val="1005"/>
              <w:ind w:left="57" w:right="57"/>
            </w:pPr>
            <w:r>
              <w:t xml:space="preserve">Заполняется вручную или выбором из справочника «Список сотрудников».</w:t>
            </w:r>
            <w:r/>
          </w:p>
        </w:tc>
      </w:tr>
      <w:tr>
        <w:trPr>
          <w:trHeight w:val="182"/>
        </w:trPr>
        <w:tc>
          <w:tcPr>
            <w:shd w:val="clear" w:fill="auto" w:color="auto"/>
            <w:tcW w:w="1344" w:type="pct"/>
            <w:textDirection w:val="lrTb"/>
            <w:noWrap w:val="false"/>
          </w:tcPr>
          <w:p>
            <w:pPr>
              <w:pStyle w:val="1005"/>
              <w:ind w:left="57" w:right="57"/>
            </w:pPr>
            <w:r>
              <w:t xml:space="preserve">Дата подписи</w:t>
            </w:r>
            <w:r/>
          </w:p>
        </w:tc>
        <w:tc>
          <w:tcPr>
            <w:shd w:val="clear" w:fill="auto" w:color="auto"/>
            <w:tcW w:w="3656" w:type="pct"/>
            <w:textDirection w:val="lrTb"/>
            <w:noWrap w:val="false"/>
          </w:tcPr>
          <w:p>
            <w:pPr>
              <w:pStyle w:val="1005"/>
              <w:ind w:left="57" w:right="57"/>
            </w:pPr>
            <w:r>
              <w:t xml:space="preserve">Дата подписания документа.</w:t>
            </w:r>
            <w:r/>
          </w:p>
          <w:p>
            <w:pPr>
              <w:pStyle w:val="1005"/>
              <w:ind w:left="57" w:right="57"/>
            </w:pPr>
            <w:r>
              <w:t xml:space="preserve">Значение передается из OEBS.</w:t>
            </w:r>
            <w:r/>
          </w:p>
        </w:tc>
      </w:tr>
    </w:tbl>
    <w:p>
      <w:pPr>
        <w:pStyle w:val="994"/>
      </w:pPr>
      <w:r>
        <w:t xml:space="preserve">ЭФ документа «Заявление на проведение операций с иностранной валютой», закладки «Перевод(2)» представлена на рисунке </w:t>
      </w:r>
      <w:r>
        <w:fldChar w:fldCharType="begin"/>
      </w:r>
      <w:r>
        <w:instrText xml:space="preserve"> REF _Ref275337702 \h </w:instrText>
      </w:r>
      <w:r>
        <w:fldChar w:fldCharType="separate"/>
      </w:r>
      <w:r>
        <w:t xml:space="preserve">60</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5318760"/>
                <wp:effectExtent l="0" t="0" r="0" b="0"/>
                <wp:docPr id="12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25"/>
                        <a:stretch/>
                      </pic:blipFill>
                      <pic:spPr bwMode="auto">
                        <a:xfrm>
                          <a:off x="0" y="0"/>
                          <a:ext cx="6134100" cy="5318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 o:spid="_x0000_s127" type="#_x0000_t75" style="mso-wrap-distance-left:0.0pt;mso-wrap-distance-top:0.0pt;mso-wrap-distance-right:0.0pt;mso-wrap-distance-bottom:0.0pt;width:483.0pt;height:418.8pt;" stroked="f">
                <v:path textboxrect="0,0,0,0"/>
                <v:imagedata r:id="rId125" o:title=""/>
              </v:shape>
            </w:pict>
          </mc:Fallback>
        </mc:AlternateContent>
      </w:r>
      <w:r/>
    </w:p>
    <w:p>
      <w:pPr>
        <w:pStyle w:val="983"/>
      </w:pPr>
      <w:r>
        <w:fldChar w:fldCharType="begin"/>
      </w:r>
      <w:r>
        <w:instrText xml:space="preserve"> SEQ Рисунок \* ARABIC </w:instrText>
      </w:r>
      <w:r>
        <w:fldChar w:fldCharType="separate"/>
      </w:r>
      <w:bookmarkStart w:id="638" w:name="_Ref275337702"/>
      <w:r/>
      <w:bookmarkStart w:id="639" w:name="_Toc88819445"/>
      <w:r>
        <w:t xml:space="preserve">60</w:t>
      </w:r>
      <w:bookmarkEnd w:id="638"/>
      <w:r>
        <w:fldChar w:fldCharType="end"/>
      </w:r>
      <w:r>
        <w:t xml:space="preserve">. ЭФ документа «Заявление на проведение операций с иностранной валютой», закладки «Перевод(2)»</w:t>
      </w:r>
      <w:bookmarkEnd w:id="639"/>
      <w:r/>
      <w:r/>
    </w:p>
    <w:p>
      <w:pPr>
        <w:pStyle w:val="994"/>
      </w:pPr>
      <w:r>
        <w:t xml:space="preserve">Перечень полей документа «Заявление на проведение операций с иностранной валютой», закладки «Перевод(2)» приведен в таблице </w:t>
      </w:r>
      <w:r>
        <w:fldChar w:fldCharType="begin"/>
      </w:r>
      <w:r>
        <w:instrText xml:space="preserve"> REF _Ref367441991 \h </w:instrText>
      </w:r>
      <w:r>
        <w:fldChar w:fldCharType="separate"/>
      </w:r>
      <w:r>
        <w:t xml:space="preserve">26</w:t>
      </w:r>
      <w:r>
        <w:fldChar w:fldCharType="end"/>
      </w:r>
      <w:r>
        <w:t xml:space="preserve">.</w:t>
      </w:r>
      <w:r/>
    </w:p>
    <w:p>
      <w:pPr>
        <w:pStyle w:val="993"/>
      </w:pPr>
      <w:r>
        <w:fldChar w:fldCharType="begin"/>
      </w:r>
      <w:r>
        <w:instrText xml:space="preserve"> SEQ Таблица \* ARABIC </w:instrText>
      </w:r>
      <w:r>
        <w:fldChar w:fldCharType="separate"/>
      </w:r>
      <w:bookmarkStart w:id="640" w:name="_Ref367441991"/>
      <w:r/>
      <w:bookmarkStart w:id="641" w:name="_Toc88819212"/>
      <w:r>
        <w:t xml:space="preserve">26</w:t>
      </w:r>
      <w:bookmarkEnd w:id="640"/>
      <w:r>
        <w:fldChar w:fldCharType="end"/>
      </w:r>
      <w:r>
        <w:t xml:space="preserve">. Описание полей документа «Заявление на проведение операций с иностранной валютой», закладки «Перевод(2)»</w:t>
      </w:r>
      <w:bookmarkEnd w:id="641"/>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37"/>
        <w:gridCol w:w="7415"/>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198"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02"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Реквизиты раздела доступны для заполнения, если в реквизите «Тип заявления» указано значение «ГРС», и недоступны для заполнения, если в реквизите «Тип заявления» указано значение «ППС»</w:t>
            </w:r>
            <w:r>
              <w:t xml:space="preserve">.</w:t>
            </w:r>
            <w:r/>
          </w:p>
        </w:tc>
      </w:tr>
      <w:tr>
        <w:trPr/>
        <w:tc>
          <w:tcPr>
            <w:shd w:val="clear" w:fill="auto" w:color="auto"/>
            <w:tcW w:w="1198" w:type="pct"/>
            <w:textDirection w:val="lrTb"/>
            <w:noWrap w:val="false"/>
          </w:tcPr>
          <w:p>
            <w:pPr>
              <w:pStyle w:val="1005"/>
              <w:ind w:left="57" w:right="57"/>
            </w:pPr>
            <w:r>
              <w:t xml:space="preserve">Сумма</w:t>
            </w:r>
            <w:r/>
          </w:p>
        </w:tc>
        <w:tc>
          <w:tcPr>
            <w:shd w:val="clear" w:fill="auto" w:color="auto"/>
            <w:tcW w:w="3802" w:type="pct"/>
            <w:textDirection w:val="lrTb"/>
            <w:noWrap w:val="false"/>
          </w:tcPr>
          <w:p>
            <w:pPr>
              <w:pStyle w:val="1005"/>
              <w:ind w:left="57" w:right="57"/>
            </w:pPr>
            <w:r>
              <w:t xml:space="preserve">Сумма должна отображаться полностью, количество десятичных знаков – два, в качестве разделителя должна использоваться запятая («,»).</w:t>
            </w:r>
            <w:r/>
          </w:p>
          <w:p>
            <w:pPr>
              <w:pStyle w:val="1005"/>
              <w:ind w:left="57" w:right="57"/>
            </w:pPr>
            <w:r>
              <w:t xml:space="preserve">Обязателен для заполнения, если заполняется раздел «Перевод».</w:t>
            </w:r>
            <w:r/>
          </w:p>
        </w:tc>
      </w:tr>
      <w:tr>
        <w:trPr/>
        <w:tc>
          <w:tcPr>
            <w:shd w:val="clear" w:fill="auto" w:color="auto"/>
            <w:tcW w:w="1198" w:type="pct"/>
            <w:textDirection w:val="lrTb"/>
            <w:noWrap w:val="false"/>
          </w:tcPr>
          <w:p>
            <w:pPr>
              <w:pStyle w:val="1005"/>
              <w:ind w:left="57" w:right="57"/>
            </w:pPr>
            <w:r>
              <w:t xml:space="preserve">Код</w:t>
            </w:r>
            <w:r/>
          </w:p>
        </w:tc>
        <w:tc>
          <w:tcPr>
            <w:shd w:val="clear" w:fill="auto" w:color="auto"/>
            <w:tcW w:w="3802" w:type="pct"/>
            <w:textDirection w:val="lrTb"/>
            <w:noWrap w:val="false"/>
          </w:tcPr>
          <w:p>
            <w:pPr>
              <w:pStyle w:val="1005"/>
              <w:ind w:left="57" w:right="57"/>
            </w:pPr>
            <w:r>
              <w:t xml:space="preserve">Трехзначный код валюты (буквенный, либо цифровой) в соответствии с Общероссийским классификатором валют.</w:t>
            </w:r>
            <w:r/>
          </w:p>
          <w:p>
            <w:pPr>
              <w:pStyle w:val="1005"/>
              <w:ind w:left="57" w:right="57"/>
            </w:pPr>
            <w:r>
              <w:t xml:space="preserve">Значение вводится вручную или выбирается из справочника валют.</w:t>
            </w:r>
            <w:r/>
          </w:p>
          <w:p>
            <w:pPr>
              <w:pStyle w:val="1005"/>
              <w:ind w:left="57" w:right="57"/>
            </w:pPr>
            <w:r>
              <w:t xml:space="preserve">Обязателен для заполнения, если заполняется раздел «Перевод».</w:t>
            </w:r>
            <w:r/>
          </w:p>
        </w:tc>
      </w:tr>
      <w:tr>
        <w:trPr/>
        <w:tc>
          <w:tcPr>
            <w:shd w:val="clear" w:fill="auto" w:color="auto"/>
            <w:tcW w:w="1198" w:type="pct"/>
            <w:textDirection w:val="lrTb"/>
            <w:noWrap w:val="false"/>
          </w:tcPr>
          <w:p>
            <w:pPr>
              <w:pStyle w:val="1005"/>
              <w:ind w:left="57" w:right="57"/>
            </w:pPr>
            <w:r>
              <w:t xml:space="preserve">Дата валютирования</w:t>
            </w:r>
            <w:r/>
          </w:p>
        </w:tc>
        <w:tc>
          <w:tcPr>
            <w:shd w:val="clear" w:fill="auto" w:color="auto"/>
            <w:tcW w:w="3802" w:type="pct"/>
            <w:textDirection w:val="lrTb"/>
            <w:noWrap w:val="false"/>
          </w:tcPr>
          <w:p>
            <w:pPr>
              <w:pStyle w:val="1005"/>
              <w:ind w:left="57" w:right="57"/>
            </w:pPr>
            <w:r>
              <w:t xml:space="preserve">Значение должно указываться в формате: «ДД.ММ.ГГГГ» (день, месяц, год). Значение вводится вручную или выбирается из системного календаря. Значение по умолчанию – текущая дата.</w:t>
            </w:r>
            <w:r/>
          </w:p>
          <w:p>
            <w:pPr>
              <w:pStyle w:val="1005"/>
              <w:ind w:left="57" w:right="57"/>
            </w:pPr>
            <w:r>
              <w:t xml:space="preserve">Обязателен для заполнения, если заполняется раздел «Перевод».</w:t>
            </w:r>
            <w:r/>
          </w:p>
        </w:tc>
      </w:tr>
      <w:tr>
        <w:trPr/>
        <w:tc>
          <w:tcPr>
            <w:shd w:val="clear" w:fill="auto" w:color="auto"/>
            <w:tcW w:w="1198" w:type="pct"/>
            <w:textDirection w:val="lrTb"/>
            <w:noWrap w:val="false"/>
          </w:tcPr>
          <w:p>
            <w:pPr>
              <w:pStyle w:val="1005"/>
              <w:ind w:left="57" w:right="57"/>
            </w:pPr>
            <w:r>
              <w:t xml:space="preserve">Сумма прописью</w:t>
            </w:r>
            <w:r/>
          </w:p>
        </w:tc>
        <w:tc>
          <w:tcPr>
            <w:shd w:val="clear" w:fill="auto" w:color="auto"/>
            <w:tcW w:w="3802" w:type="pct"/>
            <w:textDirection w:val="lrTb"/>
            <w:noWrap w:val="false"/>
          </w:tcPr>
          <w:p>
            <w:pPr>
              <w:pStyle w:val="1005"/>
              <w:ind w:left="57" w:right="57"/>
            </w:pPr>
            <w:r>
              <w:t xml:space="preserve">Сумма перевода прописью.</w:t>
            </w:r>
            <w:r/>
          </w:p>
          <w:p>
            <w:pPr>
              <w:pStyle w:val="1005"/>
              <w:ind w:left="57" w:right="57"/>
            </w:pPr>
            <w:r>
              <w:t xml:space="preserve">Заполняется автоматически в соответствии со значением полей «Сумма» (сумма перевода) и «Код» (буквенный код валюты перевода, либо цифровой код переведенный в буквенный) по формату:</w:t>
            </w:r>
            <w:r/>
          </w:p>
          <w:p>
            <w:pPr>
              <w:pStyle w:val="1005"/>
              <w:ind w:left="57" w:right="57"/>
            </w:pPr>
            <w:r>
              <w:t xml:space="preserve">«Целая часть суммы прописью (с заглавной буквы), наименование валюты, дробная часть суммы цифрами (2 знака)/100».</w:t>
            </w:r>
            <w:r/>
          </w:p>
          <w:p>
            <w:pPr>
              <w:pStyle w:val="1005"/>
              <w:ind w:left="57" w:right="57"/>
            </w:pPr>
            <w:r>
              <w:t xml:space="preserve">Например: Шесть миллионов сто двадцать пять тысяч пятьсот восемьдесят три доллара США 97/100.</w:t>
            </w:r>
            <w:r/>
          </w:p>
          <w:p>
            <w:pPr>
              <w:pStyle w:val="1005"/>
              <w:ind w:left="57" w:right="57"/>
            </w:pPr>
            <w:r>
              <w:t xml:space="preserve">В случае нулевой дробной части суммы так же выводится значение 00/100.</w:t>
            </w:r>
            <w:r/>
          </w:p>
        </w:tc>
      </w:tr>
      <w:tr>
        <w:trPr/>
        <w:tc>
          <w:tcPr>
            <w:gridSpan w:val="2"/>
            <w:shd w:val="clear" w:fill="auto" w:color="auto"/>
            <w:tcW w:w="5000" w:type="pct"/>
            <w:textDirection w:val="lrTb"/>
            <w:noWrap w:val="false"/>
          </w:tcPr>
          <w:p>
            <w:pPr>
              <w:pStyle w:val="1005"/>
              <w:ind w:left="57" w:right="57"/>
            </w:pPr>
            <w:r>
              <w:t xml:space="preserve">Группа полей «Перевододатель»</w:t>
            </w:r>
            <w:r/>
          </w:p>
        </w:tc>
      </w:tr>
      <w:tr>
        <w:trPr/>
        <w:tc>
          <w:tcPr>
            <w:shd w:val="clear" w:fill="auto" w:color="auto"/>
            <w:tcW w:w="1198" w:type="pct"/>
            <w:textDirection w:val="lrTb"/>
            <w:noWrap w:val="false"/>
          </w:tcPr>
          <w:p>
            <w:pPr>
              <w:pStyle w:val="1005"/>
              <w:ind w:left="57" w:right="57"/>
            </w:pPr>
            <w:r>
              <w:t xml:space="preserve">Счет</w:t>
            </w:r>
            <w:r/>
          </w:p>
        </w:tc>
        <w:tc>
          <w:tcPr>
            <w:shd w:val="clear" w:fill="auto" w:color="auto"/>
            <w:tcW w:w="3802" w:type="pct"/>
            <w:textDirection w:val="lrTb"/>
            <w:noWrap w:val="false"/>
          </w:tcPr>
          <w:p>
            <w:pPr>
              <w:pStyle w:val="1005"/>
              <w:ind w:left="57" w:right="57"/>
            </w:pPr>
            <w:r>
              <w:t xml:space="preserve">Номер счета клиента-перевододателя (не более 34 знаков).</w:t>
            </w:r>
            <w:r/>
          </w:p>
          <w:p>
            <w:pPr>
              <w:pStyle w:val="1005"/>
              <w:ind w:left="57" w:right="57"/>
            </w:pPr>
            <w:r>
              <w:t xml:space="preserve">Перед номером счет проставляется символ «/».</w:t>
            </w:r>
            <w:r/>
          </w:p>
        </w:tc>
      </w:tr>
      <w:tr>
        <w:trPr/>
        <w:tc>
          <w:tcPr>
            <w:gridSpan w:val="2"/>
            <w:shd w:val="clear" w:fill="auto" w:color="auto"/>
            <w:tcW w:w="5000" w:type="pct"/>
            <w:textDirection w:val="lrTb"/>
            <w:noWrap w:val="false"/>
          </w:tcPr>
          <w:p>
            <w:pPr>
              <w:pStyle w:val="1005"/>
              <w:ind w:left="57" w:right="57"/>
            </w:pPr>
            <w:r>
              <w:t xml:space="preserve">Группа полей «Получатель»</w:t>
            </w:r>
            <w:r/>
          </w:p>
        </w:tc>
      </w:tr>
      <w:tr>
        <w:trPr/>
        <w:tc>
          <w:tcPr>
            <w:shd w:val="clear" w:fill="auto" w:color="auto"/>
            <w:tcW w:w="1198" w:type="pct"/>
            <w:textDirection w:val="lrTb"/>
            <w:noWrap w:val="false"/>
          </w:tcPr>
          <w:p>
            <w:pPr>
              <w:pStyle w:val="1005"/>
              <w:ind w:left="57" w:right="57"/>
            </w:pPr>
            <w:r>
              <w:t xml:space="preserve">Счет</w:t>
            </w:r>
            <w:r/>
          </w:p>
        </w:tc>
        <w:tc>
          <w:tcPr>
            <w:shd w:val="clear" w:fill="auto" w:color="auto"/>
            <w:tcW w:w="3802" w:type="pct"/>
            <w:textDirection w:val="lrTb"/>
            <w:noWrap w:val="false"/>
          </w:tcPr>
          <w:p>
            <w:pPr>
              <w:pStyle w:val="1005"/>
              <w:ind w:left="57" w:right="57"/>
            </w:pPr>
            <w:r>
              <w:t xml:space="preserve">Номер счета должен иметь длину не более 34 знаков. В случае, если номер счета отсутствует:</w:t>
            </w:r>
            <w:r/>
          </w:p>
          <w:p>
            <w:pPr>
              <w:pStyle w:val="1007"/>
            </w:pPr>
            <w:r>
              <w:t xml:space="preserve">указывается условие перевода (вручную, длиной не более 34 знаков – заполняется латинскими буквами).</w:t>
            </w:r>
            <w:r/>
          </w:p>
          <w:p>
            <w:pPr>
              <w:pStyle w:val="1005"/>
              <w:ind w:left="57" w:right="57"/>
            </w:pPr>
            <w:r>
              <w:t xml:space="preserve">Обязателен для заполнения, если заполняется раздел «Перевод»,</w:t>
            </w:r>
            <w:r>
              <w:t xml:space="preserve"> </w:t>
            </w:r>
            <w:r>
              <w:t xml:space="preserve">и документ НЕ удовлетворяет обоим дополнительным условиям:</w:t>
            </w:r>
            <w:r/>
          </w:p>
          <w:p>
            <w:pPr>
              <w:pStyle w:val="1007"/>
            </w:pPr>
            <w:r>
              <w:t xml:space="preserve">в заголовочной части в реквизите «Лицевой счет» указано значение номера л/с уровня бюджета ГВФ РФ (значение «4» в разряде 5 11-разрядного номера);</w:t>
            </w:r>
            <w:r/>
          </w:p>
          <w:p>
            <w:pPr>
              <w:pStyle w:val="1007"/>
            </w:pPr>
            <w:r>
              <w:t xml:space="preserve">в разделе «Перевод» в блоке «Банк получателя» в реквизите «Адрес» указано значение, которое начинается с «IL%».</w:t>
            </w:r>
            <w:r/>
          </w:p>
        </w:tc>
      </w:tr>
      <w:tr>
        <w:trPr/>
        <w:tc>
          <w:tcPr>
            <w:shd w:val="clear" w:fill="auto" w:color="auto"/>
            <w:tcW w:w="1198" w:type="pct"/>
            <w:textDirection w:val="lrTb"/>
            <w:noWrap w:val="false"/>
          </w:tcPr>
          <w:p>
            <w:pPr>
              <w:pStyle w:val="1005"/>
              <w:ind w:left="57" w:right="57"/>
            </w:pPr>
            <w:r>
              <w:t xml:space="preserve">Наименование</w:t>
            </w:r>
            <w:r/>
          </w:p>
        </w:tc>
        <w:tc>
          <w:tcPr>
            <w:shd w:val="clear" w:fill="auto" w:color="auto"/>
            <w:tcW w:w="3802" w:type="pct"/>
            <w:textDirection w:val="lrTb"/>
            <w:noWrap w:val="false"/>
          </w:tcPr>
          <w:p>
            <w:pPr>
              <w:pStyle w:val="1005"/>
              <w:ind w:left="57" w:right="57"/>
            </w:pPr>
            <w:r>
              <w:t xml:space="preserve">Наименование получателя.</w:t>
            </w:r>
            <w:r/>
          </w:p>
          <w:p>
            <w:pPr>
              <w:pStyle w:val="1005"/>
              <w:ind w:left="57" w:right="57"/>
            </w:pPr>
            <w:r>
              <w:t xml:space="preserve">Заполняется латинскими буквами.</w:t>
            </w:r>
            <w:r/>
          </w:p>
          <w:p>
            <w:pPr>
              <w:pStyle w:val="1005"/>
              <w:ind w:left="57" w:right="57"/>
            </w:pPr>
            <w:r>
              <w:t xml:space="preserve">Обязателен для заполнения, если заполняется раздел </w:t>
            </w:r>
            <w:r>
              <w:t xml:space="preserve">«Перевод».</w:t>
            </w:r>
            <w:r/>
          </w:p>
        </w:tc>
      </w:tr>
      <w:tr>
        <w:trPr/>
        <w:tc>
          <w:tcPr>
            <w:shd w:val="clear" w:fill="auto" w:color="auto"/>
            <w:tcW w:w="1198" w:type="pct"/>
            <w:textDirection w:val="lrTb"/>
            <w:noWrap w:val="false"/>
          </w:tcPr>
          <w:p>
            <w:pPr>
              <w:pStyle w:val="1005"/>
              <w:ind w:left="57" w:right="57"/>
            </w:pPr>
            <w:r>
              <w:t xml:space="preserve">Адрес</w:t>
            </w:r>
            <w:r/>
          </w:p>
        </w:tc>
        <w:tc>
          <w:tcPr>
            <w:shd w:val="clear" w:fill="auto" w:color="auto"/>
            <w:tcW w:w="3802" w:type="pct"/>
            <w:textDirection w:val="lrTb"/>
            <w:noWrap w:val="false"/>
          </w:tcPr>
          <w:p>
            <w:pPr>
              <w:pStyle w:val="1005"/>
              <w:ind w:left="57" w:right="57"/>
            </w:pPr>
            <w:r>
              <w:t xml:space="preserve">Адрес получателя.</w:t>
            </w:r>
            <w:r/>
          </w:p>
          <w:p>
            <w:pPr>
              <w:pStyle w:val="1005"/>
              <w:ind w:left="57" w:right="57"/>
            </w:pPr>
            <w:r>
              <w:t xml:space="preserve">Заполняется латинскими буквами</w:t>
            </w:r>
            <w:r>
              <w:t xml:space="preserve">.</w:t>
            </w:r>
            <w:r/>
          </w:p>
        </w:tc>
      </w:tr>
      <w:tr>
        <w:trPr/>
        <w:tc>
          <w:tcPr>
            <w:gridSpan w:val="2"/>
            <w:shd w:val="clear" w:fill="auto" w:color="auto"/>
            <w:tcW w:w="5000" w:type="pct"/>
            <w:textDirection w:val="lrTb"/>
            <w:noWrap w:val="false"/>
          </w:tcPr>
          <w:p>
            <w:pPr>
              <w:pStyle w:val="1005"/>
              <w:ind w:left="57" w:right="57"/>
            </w:pPr>
            <w:r>
              <w:t xml:space="preserve">Группа полей «Назначение платежа»</w:t>
            </w:r>
            <w:r/>
          </w:p>
        </w:tc>
      </w:tr>
      <w:tr>
        <w:trPr/>
        <w:tc>
          <w:tcPr>
            <w:shd w:val="clear" w:fill="auto" w:color="auto"/>
            <w:tcW w:w="1198" w:type="pct"/>
            <w:textDirection w:val="lrTb"/>
            <w:noWrap w:val="false"/>
          </w:tcPr>
          <w:p>
            <w:pPr>
              <w:pStyle w:val="1005"/>
              <w:ind w:left="57" w:right="57"/>
            </w:pPr>
            <w:r>
              <w:t xml:space="preserve">Назначение платежа</w:t>
            </w:r>
            <w:r/>
          </w:p>
        </w:tc>
        <w:tc>
          <w:tcPr>
            <w:shd w:val="clear" w:fill="auto" w:color="auto"/>
            <w:tcW w:w="3802" w:type="pct"/>
            <w:textDirection w:val="lrTb"/>
            <w:noWrap w:val="false"/>
          </w:tcPr>
          <w:p>
            <w:pPr>
              <w:pStyle w:val="1005"/>
              <w:ind w:left="57" w:right="57"/>
            </w:pPr>
            <w:r>
              <w:t xml:space="preserve">Назначение платежа.</w:t>
            </w:r>
            <w:r/>
          </w:p>
          <w:p>
            <w:pPr>
              <w:pStyle w:val="1005"/>
              <w:ind w:left="57" w:right="57"/>
            </w:pPr>
            <w:r>
              <w:t xml:space="preserve">Заполняется латинскими буквами</w:t>
            </w:r>
            <w:r>
              <w:t xml:space="preserve">.</w:t>
            </w:r>
            <w:r/>
          </w:p>
        </w:tc>
      </w:tr>
      <w:tr>
        <w:trPr/>
        <w:tc>
          <w:tcPr>
            <w:gridSpan w:val="2"/>
            <w:shd w:val="clear" w:fill="auto" w:color="auto"/>
            <w:tcW w:w="5000" w:type="pct"/>
            <w:textDirection w:val="lrTb"/>
            <w:noWrap w:val="false"/>
          </w:tcPr>
          <w:p>
            <w:pPr>
              <w:pStyle w:val="1005"/>
              <w:ind w:left="57" w:right="57"/>
            </w:pPr>
            <w:r>
              <w:t xml:space="preserve">Группа полей «Информация отправителя получателю»</w:t>
            </w:r>
            <w:r/>
          </w:p>
        </w:tc>
      </w:tr>
      <w:tr>
        <w:trPr/>
        <w:tc>
          <w:tcPr>
            <w:shd w:val="clear" w:fill="auto" w:color="auto"/>
            <w:tcW w:w="1198" w:type="pct"/>
            <w:textDirection w:val="lrTb"/>
            <w:noWrap w:val="false"/>
          </w:tcPr>
          <w:p>
            <w:pPr>
              <w:pStyle w:val="1005"/>
              <w:ind w:left="57" w:right="57"/>
            </w:pPr>
            <w:r>
              <w:t xml:space="preserve">Информация отправителя получателю</w:t>
            </w:r>
            <w:r/>
          </w:p>
        </w:tc>
        <w:tc>
          <w:tcPr>
            <w:shd w:val="clear" w:fill="auto" w:color="auto"/>
            <w:tcW w:w="3802" w:type="pct"/>
            <w:textDirection w:val="lrTb"/>
            <w:noWrap w:val="false"/>
          </w:tcPr>
          <w:p>
            <w:pPr>
              <w:pStyle w:val="1005"/>
              <w:ind w:left="57" w:right="57"/>
            </w:pPr>
            <w:r>
              <w:t xml:space="preserve">При ручном вводе по умолчанию не заполняется, доступно для редактирования.</w:t>
            </w:r>
            <w:r/>
          </w:p>
          <w:p>
            <w:pPr>
              <w:pStyle w:val="1005"/>
              <w:ind w:left="57" w:right="57"/>
            </w:pPr>
            <w:r>
              <w:t xml:space="preserve">Ввод и редактирование выполняется вручную пользователем.</w:t>
            </w:r>
            <w:r/>
          </w:p>
          <w:p>
            <w:pPr>
              <w:pStyle w:val="1005"/>
              <w:ind w:left="57" w:right="57"/>
            </w:pPr>
            <w:r>
              <w:t xml:space="preserve">При импорте из внешних систем заполняется в соответствии со значением в импортируемом файле.</w:t>
            </w:r>
            <w:r/>
          </w:p>
        </w:tc>
      </w:tr>
      <w:tr>
        <w:trPr/>
        <w:tc>
          <w:tcPr>
            <w:gridSpan w:val="2"/>
            <w:shd w:val="clear" w:fill="auto" w:color="auto"/>
            <w:tcW w:w="5000" w:type="pct"/>
            <w:textDirection w:val="lrTb"/>
            <w:noWrap w:val="false"/>
          </w:tcPr>
          <w:p>
            <w:pPr>
              <w:pStyle w:val="1005"/>
              <w:ind w:left="57" w:right="57"/>
            </w:pPr>
            <w:r>
              <w:t xml:space="preserve">Поля без группы</w:t>
            </w:r>
            <w:r/>
          </w:p>
        </w:tc>
      </w:tr>
      <w:tr>
        <w:trPr/>
        <w:tc>
          <w:tcPr>
            <w:shd w:val="clear" w:fill="auto" w:color="auto"/>
            <w:tcW w:w="1198" w:type="pct"/>
            <w:textDirection w:val="lrTb"/>
            <w:noWrap w:val="false"/>
          </w:tcPr>
          <w:p>
            <w:pPr>
              <w:pStyle w:val="1005"/>
              <w:ind w:left="57" w:right="57"/>
            </w:pPr>
            <w:r>
              <w:t xml:space="preserve">Комиссия и расходы</w:t>
            </w:r>
            <w:r/>
          </w:p>
        </w:tc>
        <w:tc>
          <w:tcPr>
            <w:shd w:val="clear" w:fill="auto" w:color="auto"/>
            <w:tcW w:w="3802" w:type="pct"/>
            <w:textDirection w:val="lrTb"/>
            <w:noWrap w:val="false"/>
          </w:tcPr>
          <w:p>
            <w:pPr>
              <w:pStyle w:val="1005"/>
              <w:ind w:left="57" w:right="57"/>
            </w:pPr>
            <w:r>
              <w:t xml:space="preserve">Параметры комиссии.</w:t>
            </w:r>
            <w:r/>
          </w:p>
          <w:p>
            <w:pPr>
              <w:pStyle w:val="1005"/>
              <w:ind w:left="57" w:right="57"/>
            </w:pPr>
            <w:r>
              <w:t xml:space="preserve">Заполняется из выпадающего списка:</w:t>
            </w:r>
            <w:r/>
          </w:p>
          <w:p>
            <w:pPr>
              <w:pStyle w:val="1007"/>
            </w:pPr>
            <w:r>
              <w:t xml:space="preserve">«OUR» – за счет Перевододателя;</w:t>
            </w:r>
            <w:r/>
          </w:p>
          <w:p>
            <w:pPr>
              <w:pStyle w:val="1007"/>
            </w:pPr>
            <w:r>
              <w:t xml:space="preserve">«BEN» – за счет Получателя;</w:t>
            </w:r>
            <w:r/>
          </w:p>
          <w:p>
            <w:pPr>
              <w:pStyle w:val="1007"/>
            </w:pPr>
            <w:r>
              <w:t xml:space="preserve">«SHA» – за счет Перевододателя и Получателя.</w:t>
            </w:r>
            <w:r/>
          </w:p>
          <w:p>
            <w:pPr>
              <w:pStyle w:val="1005"/>
              <w:ind w:left="57" w:right="57"/>
            </w:pPr>
            <w:r>
              <w:t xml:space="preserve">По умолчанию – пусто.</w:t>
            </w:r>
            <w:r/>
          </w:p>
        </w:tc>
      </w:tr>
    </w:tbl>
    <w:p>
      <w:pPr>
        <w:pStyle w:val="994"/>
      </w:pPr>
      <w:r>
        <w:t xml:space="preserve">ЭФ документа «Заявление на проведение операций с иностранной валютой», закладки «Назначение платежа (КБК)(3)» представлена на рисунке </w:t>
      </w:r>
      <w:r>
        <w:fldChar w:fldCharType="begin"/>
      </w:r>
      <w:r>
        <w:instrText xml:space="preserve"> REF _Ref253649991 \h </w:instrText>
      </w:r>
      <w:r>
        <w:fldChar w:fldCharType="separate"/>
      </w:r>
      <w:r>
        <w:t xml:space="preserve">61</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2560320"/>
                <wp:effectExtent l="0" t="0" r="0" b="0"/>
                <wp:docPr id="12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26"/>
                        <a:stretch/>
                      </pic:blipFill>
                      <pic:spPr bwMode="auto">
                        <a:xfrm>
                          <a:off x="0" y="0"/>
                          <a:ext cx="6134100" cy="2560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8" o:spid="_x0000_s128" type="#_x0000_t75" style="mso-wrap-distance-left:0.0pt;mso-wrap-distance-top:0.0pt;mso-wrap-distance-right:0.0pt;mso-wrap-distance-bottom:0.0pt;width:483.0pt;height:201.6pt;" stroked="f">
                <v:path textboxrect="0,0,0,0"/>
                <v:imagedata r:id="rId126" o:title=""/>
              </v:shape>
            </w:pict>
          </mc:Fallback>
        </mc:AlternateContent>
      </w:r>
      <w:r/>
    </w:p>
    <w:p>
      <w:pPr>
        <w:pStyle w:val="983"/>
      </w:pPr>
      <w:r>
        <w:fldChar w:fldCharType="begin"/>
      </w:r>
      <w:r>
        <w:instrText xml:space="preserve"> SEQ Рисунок \* ARABIC </w:instrText>
      </w:r>
      <w:r>
        <w:fldChar w:fldCharType="separate"/>
      </w:r>
      <w:bookmarkStart w:id="642" w:name="_Ref253649991"/>
      <w:r/>
      <w:bookmarkStart w:id="643" w:name="_Toc88819446"/>
      <w:r>
        <w:t xml:space="preserve">61</w:t>
      </w:r>
      <w:bookmarkEnd w:id="642"/>
      <w:r>
        <w:fldChar w:fldCharType="end"/>
      </w:r>
      <w:r>
        <w:t xml:space="preserve">. ЭФ документа «Заявление на проведение операций с иностранной валютой», закладки «Назначение платежа (КБК)(3)»</w:t>
      </w:r>
      <w:bookmarkEnd w:id="643"/>
      <w:r/>
      <w:r/>
    </w:p>
    <w:p>
      <w:pPr>
        <w:pStyle w:val="994"/>
      </w:pPr>
      <w:r>
        <w:t xml:space="preserve">Перечень полей документа «Заявление на проведение операций с иностранной валютой», закладки «Назначение платежа (КБК)(3)» приведен в таблице </w:t>
      </w:r>
      <w:r>
        <w:fldChar w:fldCharType="begin"/>
      </w:r>
      <w:r>
        <w:instrText xml:space="preserve"> REF _Ref367442070 \h </w:instrText>
      </w:r>
      <w:r>
        <w:fldChar w:fldCharType="separate"/>
      </w:r>
      <w:r>
        <w:t xml:space="preserve">27</w:t>
      </w:r>
      <w:r>
        <w:fldChar w:fldCharType="end"/>
      </w:r>
      <w:r>
        <w:t xml:space="preserve">.</w:t>
      </w:r>
      <w:r/>
    </w:p>
    <w:p>
      <w:pPr>
        <w:pStyle w:val="993"/>
      </w:pPr>
      <w:r>
        <w:fldChar w:fldCharType="begin"/>
      </w:r>
      <w:r>
        <w:instrText xml:space="preserve"> SEQ Таблица \* ARABIC </w:instrText>
      </w:r>
      <w:r>
        <w:fldChar w:fldCharType="separate"/>
      </w:r>
      <w:bookmarkStart w:id="644" w:name="_Ref367442070"/>
      <w:r/>
      <w:bookmarkStart w:id="645" w:name="_Toc88819213"/>
      <w:r>
        <w:t xml:space="preserve">27</w:t>
      </w:r>
      <w:bookmarkEnd w:id="644"/>
      <w:r>
        <w:fldChar w:fldCharType="end"/>
      </w:r>
      <w:r>
        <w:t xml:space="preserve">. Описание полей документа «Заявление на проведение операций с иностранной валютой», закладки «Назначение платежа (КБК)(3)»</w:t>
      </w:r>
      <w:bookmarkEnd w:id="645"/>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621"/>
        <w:gridCol w:w="7131"/>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34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656"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«Назначение платежа (КБК)»</w:t>
            </w:r>
            <w:r/>
          </w:p>
        </w:tc>
      </w:tr>
      <w:tr>
        <w:trPr/>
        <w:tc>
          <w:tcPr>
            <w:shd w:val="clear" w:fill="auto" w:color="auto"/>
            <w:tcW w:w="1344" w:type="pct"/>
            <w:textDirection w:val="lrTb"/>
            <w:noWrap w:val="false"/>
          </w:tcPr>
          <w:p>
            <w:pPr>
              <w:pStyle w:val="1005"/>
              <w:ind w:left="57" w:right="57"/>
            </w:pPr>
            <w:r>
              <w:t xml:space="preserve">КБК</w:t>
            </w:r>
            <w:r/>
          </w:p>
        </w:tc>
        <w:tc>
          <w:tcPr>
            <w:shd w:val="clear" w:fill="auto" w:color="auto"/>
            <w:tcW w:w="3656" w:type="pct"/>
            <w:textDirection w:val="lrTb"/>
            <w:noWrap w:val="false"/>
          </w:tcPr>
          <w:p>
            <w:pPr>
              <w:pStyle w:val="1005"/>
              <w:ind w:left="57" w:right="57"/>
            </w:pPr>
            <w:r>
              <w:t xml:space="preserve">Поле заполняется вручную, или выбором из справочника «КБК». При вводе поле ограничено 20 символами.</w:t>
            </w:r>
            <w:r/>
          </w:p>
        </w:tc>
      </w:tr>
      <w:tr>
        <w:trPr/>
        <w:tc>
          <w:tcPr>
            <w:shd w:val="clear" w:fill="auto" w:color="auto"/>
            <w:tcW w:w="1344" w:type="pct"/>
            <w:textDirection w:val="lrTb"/>
            <w:noWrap w:val="false"/>
          </w:tcPr>
          <w:p>
            <w:pPr>
              <w:pStyle w:val="1005"/>
              <w:ind w:left="57" w:right="57"/>
            </w:pPr>
            <w:r>
              <w:t xml:space="preserve">Сумма</w:t>
            </w:r>
            <w:r/>
          </w:p>
        </w:tc>
        <w:tc>
          <w:tcPr>
            <w:shd w:val="clear" w:fill="auto" w:color="auto"/>
            <w:tcW w:w="3656" w:type="pct"/>
            <w:textDirection w:val="lrTb"/>
            <w:noWrap w:val="false"/>
          </w:tcPr>
          <w:p>
            <w:pPr>
              <w:pStyle w:val="1005"/>
              <w:ind w:left="57" w:right="57"/>
            </w:pPr>
            <w:r>
              <w:t xml:space="preserve">Сумма перевода. Заполняется вручную.</w:t>
            </w:r>
            <w:r/>
          </w:p>
        </w:tc>
      </w:tr>
    </w:tbl>
    <w:p>
      <w:pPr>
        <w:pStyle w:val="994"/>
      </w:pPr>
      <w:r>
        <w:t xml:space="preserve">Для добавления строки расшифровки в табличный блок «Назначение платежа (КБК)» на закладке «Назначение платежа (КБК)(3)» (рис. </w:t>
      </w:r>
      <w:r>
        <w:fldChar w:fldCharType="begin"/>
      </w:r>
      <w:r>
        <w:instrText xml:space="preserve"> REF _Ref253649991 \h  \* MERGEFORMAT </w:instrText>
      </w:r>
      <w:r>
        <w:fldChar w:fldCharType="separate"/>
      </w:r>
      <w:r>
        <w:t xml:space="preserve">61</w:t>
      </w:r>
      <w:r>
        <w:fldChar w:fldCharType="end"/>
      </w:r>
      <w:r>
        <w:t xml:space="preserve">) следует нажать на кнопку </w:t>
      </w:r>
      <w:r>
        <mc:AlternateContent>
          <mc:Choice Requires="wpg">
            <w:drawing>
              <wp:inline xmlns:wp="http://schemas.openxmlformats.org/drawingml/2006/wordprocessingDrawing" distT="0" distB="0" distL="0" distR="0">
                <wp:extent cx="274320" cy="274320"/>
                <wp:effectExtent l="0" t="0" r="0" b="0"/>
                <wp:docPr id="13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 o:spid="_x0000_s129" type="#_x0000_t75" style="mso-wrap-distance-left:0.0pt;mso-wrap-distance-top:0.0pt;mso-wrap-distance-right:0.0pt;mso-wrap-distance-bottom:0.0pt;width:21.6pt;height:21.6pt;" stroked="f">
                <v:path textboxrect="0,0,0,0"/>
                <v:imagedata r:id="rId80" o:title=""/>
              </v:shape>
            </w:pict>
          </mc:Fallback>
        </mc:AlternateContent>
      </w:r>
      <w:r>
        <w:t xml:space="preserve"> (Добавить новую строку). Откроется форма «Добавление записи» (рис. </w:t>
      </w:r>
      <w:r>
        <w:fldChar w:fldCharType="begin"/>
      </w:r>
      <w:r>
        <w:instrText xml:space="preserve"> REF _Ref253649993 \h  \* MERGEFORMAT </w:instrText>
      </w:r>
      <w:r>
        <w:fldChar w:fldCharType="separate"/>
      </w:r>
      <w:r>
        <w:t xml:space="preserve">62</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1280160"/>
                <wp:effectExtent l="0" t="0" r="0" b="0"/>
                <wp:docPr id="13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27"/>
                        <a:stretch/>
                      </pic:blipFill>
                      <pic:spPr bwMode="auto">
                        <a:xfrm>
                          <a:off x="0" y="0"/>
                          <a:ext cx="6126480" cy="12801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 o:spid="_x0000_s130" type="#_x0000_t75" style="mso-wrap-distance-left:0.0pt;mso-wrap-distance-top:0.0pt;mso-wrap-distance-right:0.0pt;mso-wrap-distance-bottom:0.0pt;width:482.4pt;height:100.8pt;" stroked="f">
                <v:path textboxrect="0,0,0,0"/>
                <v:imagedata r:id="rId127" o:title=""/>
              </v:shape>
            </w:pict>
          </mc:Fallback>
        </mc:AlternateContent>
      </w:r>
      <w:r/>
    </w:p>
    <w:p>
      <w:pPr>
        <w:pStyle w:val="983"/>
      </w:pPr>
      <w:r>
        <w:fldChar w:fldCharType="begin"/>
      </w:r>
      <w:r>
        <w:instrText xml:space="preserve"> SEQ Рисунок \* ARABIC </w:instrText>
      </w:r>
      <w:r>
        <w:fldChar w:fldCharType="separate"/>
      </w:r>
      <w:bookmarkStart w:id="646" w:name="_Ref253649993"/>
      <w:r/>
      <w:bookmarkStart w:id="647" w:name="_Toc88819447"/>
      <w:r>
        <w:t xml:space="preserve">62</w:t>
      </w:r>
      <w:bookmarkEnd w:id="646"/>
      <w:r>
        <w:fldChar w:fldCharType="end"/>
      </w:r>
      <w:r>
        <w:t xml:space="preserve">. Форма «Добавление записи»</w:t>
      </w:r>
      <w:bookmarkEnd w:id="647"/>
      <w:r/>
      <w:r/>
    </w:p>
    <w:p>
      <w:pPr>
        <w:pStyle w:val="994"/>
      </w:pPr>
      <w:r>
        <w:t xml:space="preserve">На форме «Добавление записи» вручную вводятся следующие реквизиты:</w:t>
      </w:r>
      <w:r/>
    </w:p>
    <w:p>
      <w:pPr>
        <w:pStyle w:val="985"/>
      </w:pPr>
      <w:r>
        <w:t xml:space="preserve">«КБК» – код бюджетной классификации;</w:t>
      </w:r>
      <w:r/>
    </w:p>
    <w:p>
      <w:pPr>
        <w:pStyle w:val="985"/>
      </w:pPr>
      <w:r>
        <w:t xml:space="preserve">«Сумма» – сумма перевода.</w:t>
      </w:r>
      <w:r/>
    </w:p>
    <w:p>
      <w:pPr>
        <w:pStyle w:val="994"/>
      </w:pPr>
      <w:r>
        <w:t xml:space="preserve">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p>
    <w:p>
      <w:pPr>
        <w:pStyle w:val="994"/>
      </w:pPr>
      <w:r>
        <w:t xml:space="preserve">ЭФ документа «Заявление на проведение операций с иностранной валютой», закладки «Банки (4)» представлена на рисунке </w:t>
      </w:r>
      <w:r>
        <w:fldChar w:fldCharType="begin"/>
      </w:r>
      <w:r>
        <w:instrText xml:space="preserve"> REF _Ref253649995 \h </w:instrText>
      </w:r>
      <w:r>
        <w:fldChar w:fldCharType="separate"/>
      </w:r>
      <w:r>
        <w:t xml:space="preserve">63</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4853940"/>
                <wp:effectExtent l="0" t="0" r="0" b="0"/>
                <wp:docPr id="13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28"/>
                        <a:stretch/>
                      </pic:blipFill>
                      <pic:spPr bwMode="auto">
                        <a:xfrm>
                          <a:off x="0" y="0"/>
                          <a:ext cx="6035039" cy="48539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 o:spid="_x0000_s131" type="#_x0000_t75" style="mso-wrap-distance-left:0.0pt;mso-wrap-distance-top:0.0pt;mso-wrap-distance-right:0.0pt;mso-wrap-distance-bottom:0.0pt;width:475.2pt;height:382.2pt;" stroked="f">
                <v:path textboxrect="0,0,0,0"/>
                <v:imagedata r:id="rId128" o:title=""/>
              </v:shape>
            </w:pict>
          </mc:Fallback>
        </mc:AlternateContent>
      </w:r>
      <w:r/>
    </w:p>
    <w:p>
      <w:pPr>
        <w:pStyle w:val="983"/>
      </w:pPr>
      <w:r>
        <w:fldChar w:fldCharType="begin"/>
      </w:r>
      <w:r>
        <w:instrText xml:space="preserve"> SEQ Рисунок \* ARABIC </w:instrText>
      </w:r>
      <w:r>
        <w:fldChar w:fldCharType="separate"/>
      </w:r>
      <w:bookmarkStart w:id="648" w:name="_Ref253649995"/>
      <w:r/>
      <w:bookmarkStart w:id="649" w:name="_Toc88819448"/>
      <w:r>
        <w:t xml:space="preserve">63</w:t>
      </w:r>
      <w:bookmarkEnd w:id="648"/>
      <w:r>
        <w:fldChar w:fldCharType="end"/>
      </w:r>
      <w:r>
        <w:t xml:space="preserve">. ЭФ документа «Заявление на проведение операций с иностранной валютой», закладки «Банки (4)»</w:t>
      </w:r>
      <w:bookmarkEnd w:id="649"/>
      <w:r/>
      <w:r/>
    </w:p>
    <w:p>
      <w:pPr>
        <w:pStyle w:val="994"/>
      </w:pPr>
      <w:r>
        <w:t xml:space="preserve">Перечень полей документа «Заявление на проведение операций с иностранной валютой», закладки «Банки (4)» приведен в таблице </w:t>
      </w:r>
      <w:r>
        <w:fldChar w:fldCharType="begin"/>
      </w:r>
      <w:r>
        <w:instrText xml:space="preserve"> REF _Ref367442163 \h </w:instrText>
      </w:r>
      <w:r>
        <w:fldChar w:fldCharType="separate"/>
      </w:r>
      <w:r>
        <w:t xml:space="preserve">28</w:t>
      </w:r>
      <w:r>
        <w:fldChar w:fldCharType="end"/>
      </w:r>
      <w:r>
        <w:t xml:space="preserve">.</w:t>
      </w:r>
      <w:r/>
    </w:p>
    <w:p>
      <w:pPr>
        <w:pStyle w:val="993"/>
      </w:pPr>
      <w:r>
        <w:fldChar w:fldCharType="begin"/>
      </w:r>
      <w:r>
        <w:instrText xml:space="preserve"> SEQ Таблица \* ARABIC </w:instrText>
      </w:r>
      <w:r>
        <w:fldChar w:fldCharType="separate"/>
      </w:r>
      <w:bookmarkStart w:id="650" w:name="_Ref367442163"/>
      <w:r/>
      <w:bookmarkStart w:id="651" w:name="_Toc88819214"/>
      <w:r>
        <w:t xml:space="preserve">28</w:t>
      </w:r>
      <w:bookmarkEnd w:id="650"/>
      <w:r>
        <w:fldChar w:fldCharType="end"/>
      </w:r>
      <w:r>
        <w:t xml:space="preserve">. Описание полей документа «Заявление на проведение операций с иностранной валютой», закладки «Банки (4)»</w:t>
      </w:r>
      <w:bookmarkEnd w:id="651"/>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860"/>
        <w:gridCol w:w="6892"/>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408"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592"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«Банк получателя»</w:t>
            </w:r>
            <w:r/>
          </w:p>
        </w:tc>
      </w:tr>
      <w:tr>
        <w:trPr/>
        <w:tc>
          <w:tcPr>
            <w:shd w:val="clear" w:fill="auto" w:color="auto"/>
            <w:tcW w:w="1408" w:type="pct"/>
            <w:textDirection w:val="lrTb"/>
            <w:noWrap w:val="false"/>
          </w:tcPr>
          <w:p>
            <w:pPr>
              <w:pStyle w:val="1005"/>
              <w:ind w:left="57" w:right="57"/>
            </w:pPr>
            <w:r>
              <w:t xml:space="preserve">Корсчет</w:t>
            </w:r>
            <w:r/>
          </w:p>
        </w:tc>
        <w:tc>
          <w:tcPr>
            <w:shd w:val="clear" w:fill="auto" w:color="auto"/>
            <w:tcW w:w="3592" w:type="pct"/>
            <w:textDirection w:val="lrTb"/>
            <w:noWrap w:val="false"/>
          </w:tcPr>
          <w:p>
            <w:pPr>
              <w:pStyle w:val="1005"/>
              <w:ind w:left="57" w:right="57"/>
            </w:pPr>
            <w:r>
              <w:t xml:space="preserve">№ кор.счета банка (не более 34 знаков).</w:t>
            </w:r>
            <w:r/>
          </w:p>
        </w:tc>
      </w:tr>
      <w:tr>
        <w:trPr/>
        <w:tc>
          <w:tcPr>
            <w:shd w:val="clear" w:fill="auto" w:color="auto"/>
            <w:tcW w:w="1408" w:type="pct"/>
            <w:textDirection w:val="lrTb"/>
            <w:noWrap w:val="false"/>
          </w:tcPr>
          <w:p>
            <w:pPr>
              <w:pStyle w:val="1005"/>
              <w:ind w:left="57" w:right="57"/>
            </w:pPr>
            <w:r>
              <w:t xml:space="preserve">SWIFT</w:t>
            </w:r>
            <w:r/>
          </w:p>
        </w:tc>
        <w:tc>
          <w:tcPr>
            <w:shd w:val="clear" w:fill="auto" w:color="auto"/>
            <w:tcW w:w="3592" w:type="pct"/>
            <w:textDirection w:val="lrTb"/>
            <w:noWrap w:val="false"/>
          </w:tcPr>
          <w:p>
            <w:pPr>
              <w:pStyle w:val="1005"/>
              <w:ind w:left="57" w:right="57"/>
            </w:pPr>
            <w:r>
              <w:t xml:space="preserve">Значение вводится вручную.</w:t>
            </w:r>
            <w:r/>
          </w:p>
        </w:tc>
      </w:tr>
      <w:tr>
        <w:trPr/>
        <w:tc>
          <w:tcPr>
            <w:shd w:val="clear" w:fill="auto" w:color="auto"/>
            <w:tcW w:w="1408" w:type="pct"/>
            <w:textDirection w:val="lrTb"/>
            <w:noWrap w:val="false"/>
          </w:tcPr>
          <w:p>
            <w:pPr>
              <w:pStyle w:val="1005"/>
              <w:ind w:left="57" w:right="57"/>
            </w:pPr>
            <w:r>
              <w:t xml:space="preserve">БИК</w:t>
            </w:r>
            <w:r/>
          </w:p>
        </w:tc>
        <w:tc>
          <w:tcPr>
            <w:shd w:val="clear" w:fill="auto" w:color="auto"/>
            <w:tcW w:w="3592" w:type="pct"/>
            <w:textDirection w:val="lrTb"/>
            <w:noWrap w:val="false"/>
          </w:tcPr>
          <w:p>
            <w:pPr>
              <w:pStyle w:val="1005"/>
              <w:ind w:left="57" w:right="57"/>
            </w:pPr>
            <w:r>
              <w:t xml:space="preserve">Значение вводится вручную.</w:t>
            </w:r>
            <w:r/>
          </w:p>
        </w:tc>
      </w:tr>
      <w:tr>
        <w:trPr/>
        <w:tc>
          <w:tcPr>
            <w:shd w:val="clear" w:fill="auto" w:color="auto"/>
            <w:tcW w:w="1408" w:type="pct"/>
            <w:textDirection w:val="lrTb"/>
            <w:noWrap w:val="false"/>
          </w:tcPr>
          <w:p>
            <w:pPr>
              <w:pStyle w:val="1005"/>
              <w:ind w:left="57" w:right="57"/>
            </w:pPr>
            <w:r>
              <w:t xml:space="preserve">Наименование</w:t>
            </w:r>
            <w:r/>
          </w:p>
        </w:tc>
        <w:tc>
          <w:tcPr>
            <w:shd w:val="clear" w:fill="auto" w:color="auto"/>
            <w:tcW w:w="3592" w:type="pct"/>
            <w:textDirection w:val="lrTb"/>
            <w:noWrap w:val="false"/>
          </w:tcPr>
          <w:p>
            <w:pPr>
              <w:pStyle w:val="1005"/>
              <w:ind w:left="57" w:right="57"/>
            </w:pPr>
            <w:r>
              <w:t xml:space="preserve">Заполняется латинскими буквами</w:t>
            </w:r>
            <w:r>
              <w:t xml:space="preserve">.</w:t>
            </w:r>
            <w:r/>
          </w:p>
        </w:tc>
      </w:tr>
      <w:tr>
        <w:trPr/>
        <w:tc>
          <w:tcPr>
            <w:shd w:val="clear" w:fill="auto" w:color="auto"/>
            <w:tcW w:w="1408" w:type="pct"/>
            <w:textDirection w:val="lrTb"/>
            <w:noWrap w:val="false"/>
          </w:tcPr>
          <w:p>
            <w:pPr>
              <w:pStyle w:val="1005"/>
              <w:ind w:left="57" w:right="57"/>
            </w:pPr>
            <w:r>
              <w:t xml:space="preserve">Адрес</w:t>
            </w:r>
            <w:r/>
          </w:p>
        </w:tc>
        <w:tc>
          <w:tcPr>
            <w:shd w:val="clear" w:fill="auto" w:color="auto"/>
            <w:tcW w:w="3592" w:type="pct"/>
            <w:textDirection w:val="lrTb"/>
            <w:noWrap w:val="false"/>
          </w:tcPr>
          <w:p>
            <w:pPr>
              <w:pStyle w:val="1005"/>
              <w:ind w:left="57" w:right="57"/>
            </w:pPr>
            <w:r>
              <w:t xml:space="preserve">Заполняется латинскими буквами.</w:t>
            </w:r>
            <w:r/>
          </w:p>
        </w:tc>
      </w:tr>
      <w:tr>
        <w:trPr/>
        <w:tc>
          <w:tcPr>
            <w:gridSpan w:val="2"/>
            <w:shd w:val="clear" w:fill="auto" w:color="auto"/>
            <w:tcW w:w="5000" w:type="pct"/>
            <w:textDirection w:val="lrTb"/>
            <w:noWrap w:val="false"/>
          </w:tcPr>
          <w:p>
            <w:pPr>
              <w:pStyle w:val="1005"/>
              <w:ind w:left="57" w:right="57"/>
            </w:pPr>
            <w:r>
              <w:t xml:space="preserve">Группа полей «Банк-корреспондент»</w:t>
            </w:r>
            <w:r/>
          </w:p>
        </w:tc>
      </w:tr>
      <w:tr>
        <w:trPr/>
        <w:tc>
          <w:tcPr>
            <w:shd w:val="clear" w:fill="auto" w:color="auto"/>
            <w:tcW w:w="1408" w:type="pct"/>
            <w:textDirection w:val="lrTb"/>
            <w:noWrap w:val="false"/>
          </w:tcPr>
          <w:p>
            <w:pPr>
              <w:pStyle w:val="1005"/>
              <w:ind w:left="57" w:right="57"/>
            </w:pPr>
            <w:r>
              <w:t xml:space="preserve">Корсчет</w:t>
            </w:r>
            <w:r/>
          </w:p>
        </w:tc>
        <w:tc>
          <w:tcPr>
            <w:shd w:val="clear" w:fill="auto" w:color="auto"/>
            <w:tcW w:w="3592" w:type="pct"/>
            <w:textDirection w:val="lrTb"/>
            <w:noWrap w:val="false"/>
          </w:tcPr>
          <w:p>
            <w:pPr>
              <w:pStyle w:val="1005"/>
              <w:ind w:left="57" w:right="57"/>
            </w:pPr>
            <w:r>
              <w:t xml:space="preserve">№ кор.счета банка (не более 34 знаков).</w:t>
            </w:r>
            <w:r/>
          </w:p>
        </w:tc>
      </w:tr>
      <w:tr>
        <w:trPr/>
        <w:tc>
          <w:tcPr>
            <w:shd w:val="clear" w:fill="auto" w:color="auto"/>
            <w:tcW w:w="1408" w:type="pct"/>
            <w:textDirection w:val="lrTb"/>
            <w:noWrap w:val="false"/>
          </w:tcPr>
          <w:p>
            <w:pPr>
              <w:pStyle w:val="1005"/>
              <w:ind w:left="57" w:right="57"/>
            </w:pPr>
            <w:r>
              <w:t xml:space="preserve">SWIFT</w:t>
            </w:r>
            <w:r/>
          </w:p>
        </w:tc>
        <w:tc>
          <w:tcPr>
            <w:shd w:val="clear" w:fill="auto" w:color="auto"/>
            <w:tcW w:w="3592" w:type="pct"/>
            <w:textDirection w:val="lrTb"/>
            <w:noWrap w:val="false"/>
          </w:tcPr>
          <w:p>
            <w:pPr>
              <w:pStyle w:val="1005"/>
              <w:ind w:left="57" w:right="57"/>
            </w:pPr>
            <w:r>
              <w:t xml:space="preserve">Значение вводится вручную.</w:t>
            </w:r>
            <w:r/>
          </w:p>
        </w:tc>
      </w:tr>
      <w:tr>
        <w:trPr/>
        <w:tc>
          <w:tcPr>
            <w:shd w:val="clear" w:fill="auto" w:color="auto"/>
            <w:tcW w:w="1408" w:type="pct"/>
            <w:textDirection w:val="lrTb"/>
            <w:noWrap w:val="false"/>
          </w:tcPr>
          <w:p>
            <w:pPr>
              <w:pStyle w:val="1005"/>
              <w:ind w:left="57" w:right="57"/>
            </w:pPr>
            <w:r>
              <w:t xml:space="preserve">БИК</w:t>
            </w:r>
            <w:r/>
          </w:p>
        </w:tc>
        <w:tc>
          <w:tcPr>
            <w:shd w:val="clear" w:fill="auto" w:color="auto"/>
            <w:tcW w:w="3592" w:type="pct"/>
            <w:textDirection w:val="lrTb"/>
            <w:noWrap w:val="false"/>
          </w:tcPr>
          <w:p>
            <w:pPr>
              <w:pStyle w:val="1005"/>
              <w:ind w:left="57" w:right="57"/>
            </w:pPr>
            <w:r>
              <w:t xml:space="preserve">Значение вводится вручную.</w:t>
            </w:r>
            <w:r/>
          </w:p>
        </w:tc>
      </w:tr>
      <w:tr>
        <w:trPr/>
        <w:tc>
          <w:tcPr>
            <w:shd w:val="clear" w:fill="auto" w:color="auto"/>
            <w:tcW w:w="1408" w:type="pct"/>
            <w:textDirection w:val="lrTb"/>
            <w:noWrap w:val="false"/>
          </w:tcPr>
          <w:p>
            <w:pPr>
              <w:pStyle w:val="1005"/>
              <w:ind w:left="57" w:right="57"/>
            </w:pPr>
            <w:r>
              <w:t xml:space="preserve">Наименование</w:t>
            </w:r>
            <w:r/>
          </w:p>
        </w:tc>
        <w:tc>
          <w:tcPr>
            <w:shd w:val="clear" w:fill="auto" w:color="auto"/>
            <w:tcW w:w="3592" w:type="pct"/>
            <w:textDirection w:val="lrTb"/>
            <w:noWrap w:val="false"/>
          </w:tcPr>
          <w:p>
            <w:pPr>
              <w:pStyle w:val="1005"/>
              <w:ind w:left="57" w:right="57"/>
            </w:pPr>
            <w:r>
              <w:t xml:space="preserve">Заполняется латинскими буквами</w:t>
            </w:r>
            <w:r>
              <w:t xml:space="preserve">.</w:t>
            </w:r>
            <w:r/>
          </w:p>
        </w:tc>
      </w:tr>
      <w:tr>
        <w:trPr/>
        <w:tc>
          <w:tcPr>
            <w:shd w:val="clear" w:fill="auto" w:color="auto"/>
            <w:tcW w:w="1408" w:type="pct"/>
            <w:textDirection w:val="lrTb"/>
            <w:noWrap w:val="false"/>
          </w:tcPr>
          <w:p>
            <w:pPr>
              <w:pStyle w:val="1005"/>
              <w:ind w:left="57" w:right="57"/>
            </w:pPr>
            <w:r>
              <w:t xml:space="preserve">Адрес</w:t>
            </w:r>
            <w:r/>
          </w:p>
        </w:tc>
        <w:tc>
          <w:tcPr>
            <w:shd w:val="clear" w:fill="auto" w:color="auto"/>
            <w:tcW w:w="3592" w:type="pct"/>
            <w:textDirection w:val="lrTb"/>
            <w:noWrap w:val="false"/>
          </w:tcPr>
          <w:p>
            <w:pPr>
              <w:pStyle w:val="1005"/>
              <w:ind w:left="57" w:right="57"/>
            </w:pPr>
            <w:r>
              <w:t xml:space="preserve">Заполняется латинскими буквами</w:t>
            </w:r>
            <w:r>
              <w:t xml:space="preserve">.</w:t>
            </w:r>
            <w:r/>
          </w:p>
        </w:tc>
      </w:tr>
      <w:tr>
        <w:trPr/>
        <w:tc>
          <w:tcPr>
            <w:gridSpan w:val="2"/>
            <w:shd w:val="clear" w:fill="auto" w:color="auto"/>
            <w:tcW w:w="5000" w:type="pct"/>
            <w:textDirection w:val="lrTb"/>
            <w:noWrap w:val="false"/>
          </w:tcPr>
          <w:p>
            <w:pPr>
              <w:pStyle w:val="1005"/>
              <w:ind w:left="57" w:right="57"/>
            </w:pPr>
            <w:r>
              <w:t xml:space="preserve">Группа полей «Банк посредник 1»</w:t>
            </w:r>
            <w:r/>
          </w:p>
        </w:tc>
      </w:tr>
      <w:tr>
        <w:trPr/>
        <w:tc>
          <w:tcPr>
            <w:shd w:val="clear" w:fill="auto" w:color="auto"/>
            <w:tcW w:w="1408" w:type="pct"/>
            <w:textDirection w:val="lrTb"/>
            <w:noWrap w:val="false"/>
          </w:tcPr>
          <w:p>
            <w:pPr>
              <w:pStyle w:val="1005"/>
              <w:ind w:left="57" w:right="57"/>
            </w:pPr>
            <w:r>
              <w:t xml:space="preserve">Корсчет</w:t>
            </w:r>
            <w:r/>
          </w:p>
        </w:tc>
        <w:tc>
          <w:tcPr>
            <w:shd w:val="clear" w:fill="auto" w:color="auto"/>
            <w:tcW w:w="3592" w:type="pct"/>
            <w:textDirection w:val="lrTb"/>
            <w:noWrap w:val="false"/>
          </w:tcPr>
          <w:p>
            <w:pPr>
              <w:pStyle w:val="1005"/>
              <w:ind w:left="57" w:right="57"/>
            </w:pPr>
            <w:r>
              <w:t xml:space="preserve">№ кор.счета банка (не более 34 знаков).</w:t>
            </w:r>
            <w:r/>
          </w:p>
        </w:tc>
      </w:tr>
      <w:tr>
        <w:trPr/>
        <w:tc>
          <w:tcPr>
            <w:shd w:val="clear" w:fill="auto" w:color="auto"/>
            <w:tcW w:w="1408" w:type="pct"/>
            <w:textDirection w:val="lrTb"/>
            <w:noWrap w:val="false"/>
          </w:tcPr>
          <w:p>
            <w:pPr>
              <w:pStyle w:val="1005"/>
              <w:ind w:left="57" w:right="57"/>
            </w:pPr>
            <w:r>
              <w:t xml:space="preserve">SWIFT</w:t>
            </w:r>
            <w:r/>
          </w:p>
        </w:tc>
        <w:tc>
          <w:tcPr>
            <w:shd w:val="clear" w:fill="auto" w:color="auto"/>
            <w:tcW w:w="3592" w:type="pct"/>
            <w:textDirection w:val="lrTb"/>
            <w:noWrap w:val="false"/>
          </w:tcPr>
          <w:p>
            <w:pPr>
              <w:pStyle w:val="1005"/>
              <w:ind w:left="57" w:right="57"/>
            </w:pPr>
            <w:r>
              <w:t xml:space="preserve">Значение вводится вручную.</w:t>
            </w:r>
            <w:r/>
          </w:p>
        </w:tc>
      </w:tr>
      <w:tr>
        <w:trPr/>
        <w:tc>
          <w:tcPr>
            <w:shd w:val="clear" w:fill="auto" w:color="auto"/>
            <w:tcW w:w="1408" w:type="pct"/>
            <w:textDirection w:val="lrTb"/>
            <w:noWrap w:val="false"/>
          </w:tcPr>
          <w:p>
            <w:pPr>
              <w:pStyle w:val="1005"/>
              <w:ind w:left="57" w:right="57"/>
            </w:pPr>
            <w:r>
              <w:t xml:space="preserve">БИК</w:t>
            </w:r>
            <w:r/>
          </w:p>
        </w:tc>
        <w:tc>
          <w:tcPr>
            <w:shd w:val="clear" w:fill="auto" w:color="auto"/>
            <w:tcW w:w="3592" w:type="pct"/>
            <w:textDirection w:val="lrTb"/>
            <w:noWrap w:val="false"/>
          </w:tcPr>
          <w:p>
            <w:pPr>
              <w:pStyle w:val="1005"/>
              <w:ind w:left="57" w:right="57"/>
            </w:pPr>
            <w:r>
              <w:t xml:space="preserve">Значение вводится вручную.</w:t>
            </w:r>
            <w:r/>
          </w:p>
        </w:tc>
      </w:tr>
      <w:tr>
        <w:trPr/>
        <w:tc>
          <w:tcPr>
            <w:shd w:val="clear" w:fill="auto" w:color="auto"/>
            <w:tcW w:w="1408" w:type="pct"/>
            <w:textDirection w:val="lrTb"/>
            <w:noWrap w:val="false"/>
          </w:tcPr>
          <w:p>
            <w:pPr>
              <w:pStyle w:val="1005"/>
              <w:ind w:left="57" w:right="57"/>
            </w:pPr>
            <w:r>
              <w:t xml:space="preserve">Наименование</w:t>
            </w:r>
            <w:r/>
          </w:p>
        </w:tc>
        <w:tc>
          <w:tcPr>
            <w:shd w:val="clear" w:fill="auto" w:color="auto"/>
            <w:tcW w:w="3592" w:type="pct"/>
            <w:textDirection w:val="lrTb"/>
            <w:noWrap w:val="false"/>
          </w:tcPr>
          <w:p>
            <w:pPr>
              <w:pStyle w:val="1005"/>
              <w:ind w:left="57" w:right="57"/>
            </w:pPr>
            <w:r>
              <w:t xml:space="preserve">Заполняется латинскими буквами.</w:t>
            </w:r>
            <w:r/>
          </w:p>
        </w:tc>
      </w:tr>
      <w:tr>
        <w:trPr/>
        <w:tc>
          <w:tcPr>
            <w:shd w:val="clear" w:fill="auto" w:color="auto"/>
            <w:tcW w:w="1408" w:type="pct"/>
            <w:textDirection w:val="lrTb"/>
            <w:noWrap w:val="false"/>
          </w:tcPr>
          <w:p>
            <w:pPr>
              <w:pStyle w:val="1005"/>
              <w:ind w:left="57" w:right="57"/>
            </w:pPr>
            <w:r>
              <w:t xml:space="preserve">Адрес</w:t>
            </w:r>
            <w:r/>
          </w:p>
        </w:tc>
        <w:tc>
          <w:tcPr>
            <w:shd w:val="clear" w:fill="auto" w:color="auto"/>
            <w:tcW w:w="3592" w:type="pct"/>
            <w:textDirection w:val="lrTb"/>
            <w:noWrap w:val="false"/>
          </w:tcPr>
          <w:p>
            <w:pPr>
              <w:pStyle w:val="1005"/>
              <w:ind w:left="57" w:right="57"/>
            </w:pPr>
            <w:r>
              <w:t xml:space="preserve">Заполняется латинскими буквами.</w:t>
            </w:r>
            <w:r/>
          </w:p>
        </w:tc>
      </w:tr>
      <w:tr>
        <w:trPr/>
        <w:tc>
          <w:tcPr>
            <w:gridSpan w:val="2"/>
            <w:shd w:val="clear" w:fill="auto" w:color="auto"/>
            <w:tcW w:w="5000" w:type="pct"/>
            <w:textDirection w:val="lrTb"/>
            <w:noWrap w:val="false"/>
          </w:tcPr>
          <w:p>
            <w:pPr>
              <w:pStyle w:val="1005"/>
              <w:ind w:left="57" w:right="57"/>
            </w:pPr>
            <w:r>
              <w:t xml:space="preserve">Группа полей «Банк посредник 2»</w:t>
            </w:r>
            <w:r/>
          </w:p>
        </w:tc>
      </w:tr>
      <w:tr>
        <w:trPr/>
        <w:tc>
          <w:tcPr>
            <w:shd w:val="clear" w:fill="auto" w:color="auto"/>
            <w:tcW w:w="1408" w:type="pct"/>
            <w:textDirection w:val="lrTb"/>
            <w:noWrap w:val="false"/>
          </w:tcPr>
          <w:p>
            <w:pPr>
              <w:pStyle w:val="1005"/>
              <w:ind w:left="57" w:right="57"/>
            </w:pPr>
            <w:r>
              <w:t xml:space="preserve">Корсчет</w:t>
            </w:r>
            <w:r/>
          </w:p>
        </w:tc>
        <w:tc>
          <w:tcPr>
            <w:shd w:val="clear" w:fill="auto" w:color="auto"/>
            <w:tcW w:w="3592" w:type="pct"/>
            <w:textDirection w:val="lrTb"/>
            <w:noWrap w:val="false"/>
          </w:tcPr>
          <w:p>
            <w:pPr>
              <w:pStyle w:val="1005"/>
              <w:ind w:left="57" w:right="57"/>
            </w:pPr>
            <w:r>
              <w:t xml:space="preserve">№ кор.счета банка (не более 34 знаков).</w:t>
            </w:r>
            <w:r/>
          </w:p>
        </w:tc>
      </w:tr>
      <w:tr>
        <w:trPr/>
        <w:tc>
          <w:tcPr>
            <w:shd w:val="clear" w:fill="auto" w:color="auto"/>
            <w:tcW w:w="1408" w:type="pct"/>
            <w:textDirection w:val="lrTb"/>
            <w:noWrap w:val="false"/>
          </w:tcPr>
          <w:p>
            <w:pPr>
              <w:pStyle w:val="1005"/>
              <w:ind w:left="57" w:right="57"/>
            </w:pPr>
            <w:r>
              <w:t xml:space="preserve">SWIFT</w:t>
            </w:r>
            <w:r/>
          </w:p>
        </w:tc>
        <w:tc>
          <w:tcPr>
            <w:shd w:val="clear" w:fill="auto" w:color="auto"/>
            <w:tcW w:w="3592" w:type="pct"/>
            <w:textDirection w:val="lrTb"/>
            <w:noWrap w:val="false"/>
          </w:tcPr>
          <w:p>
            <w:pPr>
              <w:pStyle w:val="1005"/>
              <w:ind w:left="57" w:right="57"/>
            </w:pPr>
            <w:r>
              <w:t xml:space="preserve">Значение вводится вручную.</w:t>
            </w:r>
            <w:r/>
          </w:p>
        </w:tc>
      </w:tr>
      <w:tr>
        <w:trPr/>
        <w:tc>
          <w:tcPr>
            <w:shd w:val="clear" w:fill="auto" w:color="auto"/>
            <w:tcW w:w="1408" w:type="pct"/>
            <w:textDirection w:val="lrTb"/>
            <w:noWrap w:val="false"/>
          </w:tcPr>
          <w:p>
            <w:pPr>
              <w:pStyle w:val="1005"/>
              <w:ind w:left="57" w:right="57"/>
            </w:pPr>
            <w:r>
              <w:t xml:space="preserve">БИК</w:t>
            </w:r>
            <w:r/>
          </w:p>
        </w:tc>
        <w:tc>
          <w:tcPr>
            <w:shd w:val="clear" w:fill="auto" w:color="auto"/>
            <w:tcW w:w="3592" w:type="pct"/>
            <w:textDirection w:val="lrTb"/>
            <w:noWrap w:val="false"/>
          </w:tcPr>
          <w:p>
            <w:pPr>
              <w:pStyle w:val="1005"/>
              <w:ind w:left="57" w:right="57"/>
            </w:pPr>
            <w:r>
              <w:t xml:space="preserve">Значение вводится вручную.</w:t>
            </w:r>
            <w:r/>
          </w:p>
        </w:tc>
      </w:tr>
      <w:tr>
        <w:trPr/>
        <w:tc>
          <w:tcPr>
            <w:shd w:val="clear" w:fill="auto" w:color="auto"/>
            <w:tcW w:w="1408" w:type="pct"/>
            <w:textDirection w:val="lrTb"/>
            <w:noWrap w:val="false"/>
          </w:tcPr>
          <w:p>
            <w:pPr>
              <w:pStyle w:val="1005"/>
              <w:ind w:left="57" w:right="57"/>
            </w:pPr>
            <w:r>
              <w:t xml:space="preserve">Наименование</w:t>
            </w:r>
            <w:r/>
          </w:p>
        </w:tc>
        <w:tc>
          <w:tcPr>
            <w:shd w:val="clear" w:fill="auto" w:color="auto"/>
            <w:tcW w:w="3592" w:type="pct"/>
            <w:textDirection w:val="lrTb"/>
            <w:noWrap w:val="false"/>
          </w:tcPr>
          <w:p>
            <w:pPr>
              <w:pStyle w:val="1005"/>
              <w:ind w:left="57" w:right="57"/>
            </w:pPr>
            <w:r>
              <w:t xml:space="preserve">Заполняется латинскими буквами.</w:t>
            </w:r>
            <w:r/>
          </w:p>
          <w:p>
            <w:pPr>
              <w:pStyle w:val="1005"/>
              <w:ind w:left="57" w:right="57"/>
            </w:pPr>
            <w:r>
              <w:t xml:space="preserve">Совместно с БИК и Адресатом, ограничение на ввод до 140 символов</w:t>
            </w:r>
            <w:r>
              <w:t xml:space="preserve">.</w:t>
            </w:r>
            <w:r/>
          </w:p>
        </w:tc>
      </w:tr>
      <w:tr>
        <w:trPr/>
        <w:tc>
          <w:tcPr>
            <w:shd w:val="clear" w:fill="auto" w:color="auto"/>
            <w:tcW w:w="1408" w:type="pct"/>
            <w:textDirection w:val="lrTb"/>
            <w:noWrap w:val="false"/>
          </w:tcPr>
          <w:p>
            <w:pPr>
              <w:pStyle w:val="1005"/>
              <w:ind w:left="57" w:right="57"/>
            </w:pPr>
            <w:r>
              <w:t xml:space="preserve">Адрес</w:t>
            </w:r>
            <w:r/>
          </w:p>
        </w:tc>
        <w:tc>
          <w:tcPr>
            <w:shd w:val="clear" w:fill="auto" w:color="auto"/>
            <w:tcW w:w="3592" w:type="pct"/>
            <w:textDirection w:val="lrTb"/>
            <w:noWrap w:val="false"/>
          </w:tcPr>
          <w:p>
            <w:pPr>
              <w:pStyle w:val="1005"/>
              <w:ind w:left="57" w:right="57"/>
            </w:pPr>
            <w:r>
              <w:t xml:space="preserve">Заполняется латинскими буквами.</w:t>
            </w:r>
            <w:r/>
          </w:p>
        </w:tc>
      </w:tr>
      <w:tr>
        <w:trPr/>
        <w:tc>
          <w:tcPr>
            <w:gridSpan w:val="2"/>
            <w:shd w:val="clear" w:fill="auto" w:color="auto"/>
            <w:tcW w:w="5000" w:type="pct"/>
            <w:textDirection w:val="lrTb"/>
            <w:noWrap w:val="false"/>
          </w:tcPr>
          <w:p>
            <w:pPr>
              <w:pStyle w:val="1005"/>
              <w:ind w:left="57" w:right="57"/>
            </w:pPr>
            <w:r>
              <w:t xml:space="preserve">Группа полей «Банк посредник 3»</w:t>
            </w:r>
            <w:r/>
          </w:p>
        </w:tc>
      </w:tr>
      <w:tr>
        <w:trPr/>
        <w:tc>
          <w:tcPr>
            <w:shd w:val="clear" w:fill="auto" w:color="auto"/>
            <w:tcW w:w="1408" w:type="pct"/>
            <w:textDirection w:val="lrTb"/>
            <w:noWrap w:val="false"/>
          </w:tcPr>
          <w:p>
            <w:pPr>
              <w:pStyle w:val="1005"/>
              <w:ind w:left="57" w:right="57"/>
            </w:pPr>
            <w:r>
              <w:t xml:space="preserve">Корсчет</w:t>
            </w:r>
            <w:r/>
          </w:p>
        </w:tc>
        <w:tc>
          <w:tcPr>
            <w:shd w:val="clear" w:fill="auto" w:color="auto"/>
            <w:tcW w:w="3592" w:type="pct"/>
            <w:textDirection w:val="lrTb"/>
            <w:noWrap w:val="false"/>
          </w:tcPr>
          <w:p>
            <w:pPr>
              <w:pStyle w:val="1005"/>
              <w:ind w:left="57" w:right="57"/>
            </w:pPr>
            <w:r>
              <w:t xml:space="preserve">№ кор.счета банка (не более 34 знаков).</w:t>
            </w:r>
            <w:r/>
          </w:p>
        </w:tc>
      </w:tr>
      <w:tr>
        <w:trPr/>
        <w:tc>
          <w:tcPr>
            <w:shd w:val="clear" w:fill="auto" w:color="auto"/>
            <w:tcW w:w="1408" w:type="pct"/>
            <w:textDirection w:val="lrTb"/>
            <w:noWrap w:val="false"/>
          </w:tcPr>
          <w:p>
            <w:pPr>
              <w:pStyle w:val="1005"/>
              <w:ind w:left="57" w:right="57"/>
            </w:pPr>
            <w:r>
              <w:t xml:space="preserve">SWIFT</w:t>
            </w:r>
            <w:r/>
          </w:p>
        </w:tc>
        <w:tc>
          <w:tcPr>
            <w:shd w:val="clear" w:fill="auto" w:color="auto"/>
            <w:tcW w:w="3592" w:type="pct"/>
            <w:textDirection w:val="lrTb"/>
            <w:noWrap w:val="false"/>
          </w:tcPr>
          <w:p>
            <w:pPr>
              <w:pStyle w:val="1005"/>
              <w:ind w:left="57" w:right="57"/>
            </w:pPr>
            <w:r>
              <w:t xml:space="preserve">Значение вводится вручную.</w:t>
            </w:r>
            <w:r/>
          </w:p>
        </w:tc>
      </w:tr>
      <w:tr>
        <w:trPr/>
        <w:tc>
          <w:tcPr>
            <w:shd w:val="clear" w:fill="auto" w:color="auto"/>
            <w:tcW w:w="1408" w:type="pct"/>
            <w:textDirection w:val="lrTb"/>
            <w:noWrap w:val="false"/>
          </w:tcPr>
          <w:p>
            <w:pPr>
              <w:pStyle w:val="1005"/>
              <w:ind w:left="57" w:right="57"/>
            </w:pPr>
            <w:r>
              <w:t xml:space="preserve">БИК</w:t>
            </w:r>
            <w:r/>
          </w:p>
        </w:tc>
        <w:tc>
          <w:tcPr>
            <w:shd w:val="clear" w:fill="auto" w:color="auto"/>
            <w:tcW w:w="3592" w:type="pct"/>
            <w:textDirection w:val="lrTb"/>
            <w:noWrap w:val="false"/>
          </w:tcPr>
          <w:p>
            <w:pPr>
              <w:pStyle w:val="1005"/>
              <w:ind w:left="57" w:right="57"/>
            </w:pPr>
            <w:r>
              <w:t xml:space="preserve">Значение вводится вручную.</w:t>
            </w:r>
            <w:r/>
          </w:p>
        </w:tc>
      </w:tr>
      <w:tr>
        <w:trPr/>
        <w:tc>
          <w:tcPr>
            <w:shd w:val="clear" w:fill="auto" w:color="auto"/>
            <w:tcW w:w="1408" w:type="pct"/>
            <w:textDirection w:val="lrTb"/>
            <w:noWrap w:val="false"/>
          </w:tcPr>
          <w:p>
            <w:pPr>
              <w:pStyle w:val="1005"/>
              <w:ind w:left="57" w:right="57"/>
            </w:pPr>
            <w:r>
              <w:t xml:space="preserve">Наименование</w:t>
            </w:r>
            <w:r/>
          </w:p>
        </w:tc>
        <w:tc>
          <w:tcPr>
            <w:shd w:val="clear" w:fill="auto" w:color="auto"/>
            <w:tcW w:w="3592" w:type="pct"/>
            <w:textDirection w:val="lrTb"/>
            <w:noWrap w:val="false"/>
          </w:tcPr>
          <w:p>
            <w:pPr>
              <w:pStyle w:val="1005"/>
              <w:ind w:left="57" w:right="57"/>
            </w:pPr>
            <w:r>
              <w:t xml:space="preserve">Заполняется латинскими буквами</w:t>
            </w:r>
            <w:r>
              <w:t xml:space="preserve">.</w:t>
            </w:r>
            <w:r/>
          </w:p>
          <w:p>
            <w:pPr>
              <w:pStyle w:val="1005"/>
              <w:ind w:left="57" w:right="57"/>
            </w:pPr>
            <w:r>
              <w:t xml:space="preserve">Совместно с БИК и Адресатом, ограничение на ввод до 140 символов</w:t>
            </w:r>
            <w:r>
              <w:t xml:space="preserve">.</w:t>
            </w:r>
            <w:r/>
          </w:p>
        </w:tc>
      </w:tr>
      <w:tr>
        <w:trPr/>
        <w:tc>
          <w:tcPr>
            <w:shd w:val="clear" w:fill="auto" w:color="auto"/>
            <w:tcW w:w="1408" w:type="pct"/>
            <w:textDirection w:val="lrTb"/>
            <w:noWrap w:val="false"/>
          </w:tcPr>
          <w:p>
            <w:pPr>
              <w:pStyle w:val="1005"/>
              <w:ind w:left="57" w:right="57"/>
            </w:pPr>
            <w:r>
              <w:t xml:space="preserve">Адрес</w:t>
            </w:r>
            <w:r/>
          </w:p>
        </w:tc>
        <w:tc>
          <w:tcPr>
            <w:shd w:val="clear" w:fill="auto" w:color="auto"/>
            <w:tcW w:w="3592" w:type="pct"/>
            <w:textDirection w:val="lrTb"/>
            <w:noWrap w:val="false"/>
          </w:tcPr>
          <w:p>
            <w:pPr>
              <w:pStyle w:val="1005"/>
              <w:ind w:left="57" w:right="57"/>
            </w:pPr>
            <w:r>
              <w:t xml:space="preserve">Заполняется латинскими буквами.</w:t>
            </w:r>
            <w:r/>
          </w:p>
        </w:tc>
      </w:tr>
      <w:tr>
        <w:trPr/>
        <w:tc>
          <w:tcPr>
            <w:gridSpan w:val="2"/>
            <w:shd w:val="clear" w:fill="auto" w:color="auto"/>
            <w:tcW w:w="5000" w:type="pct"/>
            <w:textDirection w:val="lrTb"/>
            <w:noWrap w:val="false"/>
          </w:tcPr>
          <w:p>
            <w:pPr>
              <w:pStyle w:val="1005"/>
              <w:ind w:left="57" w:right="57"/>
            </w:pPr>
            <w:r>
              <w:t xml:space="preserve">Поля без группы</w:t>
            </w:r>
            <w:r/>
          </w:p>
        </w:tc>
      </w:tr>
      <w:tr>
        <w:trPr/>
        <w:tc>
          <w:tcPr>
            <w:shd w:val="clear" w:fill="auto" w:color="auto"/>
            <w:tcW w:w="1408" w:type="pct"/>
            <w:textDirection w:val="lrTb"/>
            <w:noWrap w:val="false"/>
          </w:tcPr>
          <w:p>
            <w:pPr>
              <w:pStyle w:val="1005"/>
              <w:ind w:left="57" w:right="57"/>
            </w:pPr>
            <w:r>
              <w:t xml:space="preserve">Руководитель (уполномоченное лицо)/(должность)</w:t>
            </w:r>
            <w:r/>
          </w:p>
        </w:tc>
        <w:tc>
          <w:tcPr>
            <w:shd w:val="clear" w:fill="auto" w:color="auto"/>
            <w:tcW w:w="3592" w:type="pct"/>
            <w:textDirection w:val="lrTb"/>
            <w:noWrap w:val="false"/>
          </w:tcPr>
          <w:p>
            <w:pPr>
              <w:pStyle w:val="1005"/>
              <w:ind w:left="57" w:right="57"/>
            </w:pPr>
            <w:r>
              <w:t xml:space="preserve">Поле заполняется вручную, или выбором из справочника «Список сотрудников».</w:t>
            </w:r>
            <w:r/>
          </w:p>
        </w:tc>
      </w:tr>
      <w:tr>
        <w:trPr/>
        <w:tc>
          <w:tcPr>
            <w:shd w:val="clear" w:fill="auto" w:color="auto"/>
            <w:tcW w:w="1408" w:type="pct"/>
            <w:textDirection w:val="lrTb"/>
            <w:noWrap w:val="false"/>
          </w:tcPr>
          <w:p>
            <w:pPr>
              <w:pStyle w:val="1005"/>
              <w:ind w:left="57" w:right="57"/>
            </w:pPr>
            <w:r>
              <w:t xml:space="preserve">Руководитель (уполномоченное лицо)/(расшифровка подписи)</w:t>
            </w:r>
            <w:r/>
          </w:p>
        </w:tc>
        <w:tc>
          <w:tcPr>
            <w:shd w:val="clear" w:fill="auto" w:color="auto"/>
            <w:tcW w:w="3592" w:type="pct"/>
            <w:textDirection w:val="lrTb"/>
            <w:noWrap w:val="false"/>
          </w:tcPr>
          <w:p>
            <w:pPr>
              <w:pStyle w:val="1005"/>
              <w:ind w:left="57" w:right="57"/>
            </w:pPr>
            <w:r>
              <w:t xml:space="preserve">Поле заполняется вручную, или выбором из справочника «Список сотрудников».</w:t>
            </w:r>
            <w:r/>
          </w:p>
        </w:tc>
      </w:tr>
      <w:tr>
        <w:trPr/>
        <w:tc>
          <w:tcPr>
            <w:shd w:val="clear" w:fill="auto" w:color="auto"/>
            <w:tcW w:w="1408" w:type="pct"/>
            <w:textDirection w:val="lrTb"/>
            <w:noWrap w:val="false"/>
          </w:tcPr>
          <w:p>
            <w:pPr>
              <w:pStyle w:val="1005"/>
              <w:ind w:left="57" w:right="57"/>
            </w:pPr>
            <w:r>
              <w:t xml:space="preserve">Исполнитель/(должность)</w:t>
            </w:r>
            <w:r/>
          </w:p>
        </w:tc>
        <w:tc>
          <w:tcPr>
            <w:shd w:val="clear" w:fill="auto" w:color="auto"/>
            <w:tcW w:w="3592" w:type="pct"/>
            <w:textDirection w:val="lrTb"/>
            <w:noWrap w:val="false"/>
          </w:tcPr>
          <w:p>
            <w:pPr>
              <w:pStyle w:val="1005"/>
              <w:ind w:left="57" w:right="57"/>
            </w:pPr>
            <w:r>
              <w:t xml:space="preserve">Поле заполняется вручную, или выбором из справочника «Список сотрудников».</w:t>
            </w:r>
            <w:r/>
          </w:p>
        </w:tc>
      </w:tr>
      <w:tr>
        <w:trPr/>
        <w:tc>
          <w:tcPr>
            <w:shd w:val="clear" w:fill="auto" w:color="auto"/>
            <w:tcW w:w="1408" w:type="pct"/>
            <w:textDirection w:val="lrTb"/>
            <w:noWrap w:val="false"/>
          </w:tcPr>
          <w:p>
            <w:pPr>
              <w:pStyle w:val="1005"/>
              <w:ind w:left="57" w:right="57"/>
            </w:pPr>
            <w:r>
              <w:t xml:space="preserve">Исполнитель/(расшифровка подписи)</w:t>
            </w:r>
            <w:r/>
          </w:p>
        </w:tc>
        <w:tc>
          <w:tcPr>
            <w:shd w:val="clear" w:fill="auto" w:color="auto"/>
            <w:tcW w:w="3592" w:type="pct"/>
            <w:textDirection w:val="lrTb"/>
            <w:noWrap w:val="false"/>
          </w:tcPr>
          <w:p>
            <w:pPr>
              <w:pStyle w:val="1005"/>
              <w:ind w:left="57" w:right="57"/>
            </w:pPr>
            <w:r>
              <w:t xml:space="preserve">Поле заполняется вручную, или выбором из справочника «Список сотрудников».</w:t>
            </w:r>
            <w:r/>
          </w:p>
        </w:tc>
      </w:tr>
      <w:tr>
        <w:trPr/>
        <w:tc>
          <w:tcPr>
            <w:shd w:val="clear" w:fill="auto" w:color="auto"/>
            <w:tcW w:w="1408" w:type="pct"/>
            <w:textDirection w:val="lrTb"/>
            <w:noWrap w:val="false"/>
          </w:tcPr>
          <w:p>
            <w:pPr>
              <w:pStyle w:val="1005"/>
              <w:ind w:left="57" w:right="57"/>
            </w:pPr>
            <w:r>
              <w:t xml:space="preserve">Исполнитель/(телефон)</w:t>
            </w:r>
            <w:r/>
          </w:p>
        </w:tc>
        <w:tc>
          <w:tcPr>
            <w:shd w:val="clear" w:fill="auto" w:color="auto"/>
            <w:tcW w:w="3592" w:type="pct"/>
            <w:textDirection w:val="lrTb"/>
            <w:noWrap w:val="false"/>
          </w:tcPr>
          <w:p>
            <w:pPr>
              <w:pStyle w:val="1005"/>
              <w:ind w:left="57" w:right="57"/>
            </w:pPr>
            <w:r>
              <w:t xml:space="preserve">Поле заполняется вручную, или выбором из справочника «Список сотрудников».</w:t>
            </w:r>
            <w:r/>
          </w:p>
        </w:tc>
      </w:tr>
      <w:tr>
        <w:trPr/>
        <w:tc>
          <w:tcPr>
            <w:shd w:val="clear" w:fill="auto" w:color="auto"/>
            <w:tcW w:w="1408" w:type="pct"/>
            <w:textDirection w:val="lrTb"/>
            <w:noWrap w:val="false"/>
          </w:tcPr>
          <w:p>
            <w:pPr>
              <w:pStyle w:val="1005"/>
              <w:ind w:left="57" w:right="57"/>
            </w:pPr>
            <w:r>
              <w:t xml:space="preserve">Специалист ЦАФК (должность)</w:t>
            </w:r>
            <w:r/>
          </w:p>
        </w:tc>
        <w:tc>
          <w:tcPr>
            <w:shd w:val="clear" w:fill="auto" w:color="auto"/>
            <w:tcW w:w="3592" w:type="pct"/>
            <w:textDirection w:val="lrTb"/>
            <w:noWrap w:val="false"/>
          </w:tcPr>
          <w:p>
            <w:pPr>
              <w:pStyle w:val="1005"/>
              <w:ind w:left="57" w:right="57"/>
            </w:pPr>
            <w:r>
              <w:t xml:space="preserve">Поле закрыто на редактирование.</w:t>
            </w:r>
            <w:r/>
          </w:p>
          <w:p>
            <w:pPr>
              <w:pStyle w:val="1005"/>
              <w:ind w:left="57" w:right="57"/>
            </w:pPr>
            <w:r>
              <w:t xml:space="preserve">Получаем из OEBS.</w:t>
            </w:r>
            <w:r/>
          </w:p>
        </w:tc>
      </w:tr>
      <w:tr>
        <w:trPr/>
        <w:tc>
          <w:tcPr>
            <w:shd w:val="clear" w:fill="auto" w:color="auto"/>
            <w:tcW w:w="1408" w:type="pct"/>
            <w:textDirection w:val="lrTb"/>
            <w:noWrap w:val="false"/>
          </w:tcPr>
          <w:p>
            <w:pPr>
              <w:pStyle w:val="1005"/>
              <w:ind w:left="57" w:right="57"/>
            </w:pPr>
            <w:r>
              <w:t xml:space="preserve">Специалист ЦАФК (расшифровка подписи)</w:t>
            </w:r>
            <w:r/>
          </w:p>
        </w:tc>
        <w:tc>
          <w:tcPr>
            <w:shd w:val="clear" w:fill="auto" w:color="auto"/>
            <w:tcW w:w="3592" w:type="pct"/>
            <w:textDirection w:val="lrTb"/>
            <w:noWrap w:val="false"/>
          </w:tcPr>
          <w:p>
            <w:pPr>
              <w:pStyle w:val="1005"/>
              <w:ind w:left="57" w:right="57"/>
            </w:pPr>
            <w:r>
              <w:t xml:space="preserve">Поле закрыто на редактирование.</w:t>
            </w:r>
            <w:r/>
          </w:p>
          <w:p>
            <w:pPr>
              <w:pStyle w:val="1005"/>
              <w:ind w:left="57" w:right="57"/>
            </w:pPr>
            <w:r>
              <w:t xml:space="preserve">Получаем из OEBS.</w:t>
            </w:r>
            <w:r/>
          </w:p>
        </w:tc>
      </w:tr>
    </w:tbl>
    <w:p>
      <w:pPr>
        <w:pStyle w:val="972"/>
      </w:pPr>
      <w:r/>
      <w:bookmarkStart w:id="652" w:name="_Ref526520162"/>
      <w:r/>
      <w:bookmarkStart w:id="653" w:name="_Toc88819107"/>
      <w:r/>
      <w:bookmarkEnd w:id="603"/>
      <w:r/>
      <w:bookmarkEnd w:id="604"/>
      <w:r/>
      <w:bookmarkEnd w:id="605"/>
      <w:r>
        <w:t xml:space="preserve">Сводная заявка на кассовый расход (для уплаты налогов)</w:t>
      </w:r>
      <w:bookmarkEnd w:id="652"/>
      <w:r/>
      <w:bookmarkEnd w:id="653"/>
      <w:r/>
      <w:r/>
    </w:p>
    <w:p>
      <w:pPr>
        <w:pStyle w:val="994"/>
      </w:pPr>
      <w:r>
        <w:t xml:space="preserve">Документ «Сводная заявка на кассовый расход (для уплаты налогов)» представляется казенными учреждениями ФБ.</w:t>
      </w:r>
      <w:r/>
    </w:p>
    <w:p>
      <w:pPr>
        <w:pStyle w:val="994"/>
      </w:pPr>
      <w:r>
        <w:t xml:space="preserve">Документ «Сводная заявка на кассовый расход (для уплаты налогов)» предоставляе</w:t>
      </w:r>
      <w:r>
        <w:t xml:space="preserve">т</w:t>
      </w:r>
      <w:r>
        <w:t xml:space="preserve">ся казенными учреждениями ФБ в случаях, предусмотренных НПА, в ОрФК по месту обслуживания.</w:t>
      </w:r>
      <w:r/>
    </w:p>
    <w:p>
      <w:pPr>
        <w:pStyle w:val="994"/>
      </w:pPr>
      <w:r>
        <w:t xml:space="preserve">Из вкладки «Связ</w:t>
      </w:r>
      <w:r>
        <w:t xml:space="preserve">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«Сводная заявка на кассовый расход (для уплаты налогов)». Операции «Санкционировать» и «Отказать» оп</w:t>
      </w:r>
      <w:r>
        <w:t xml:space="preserve">и</w:t>
      </w:r>
      <w:r>
        <w:t xml:space="preserve">саны в п.</w:t>
      </w:r>
      <w:r>
        <w:t xml:space="preserve"> </w:t>
      </w:r>
      <w:r>
        <w:fldChar w:fldCharType="begin"/>
      </w:r>
      <w:r>
        <w:instrText xml:space="preserve"> REF _Ref370314948 \r \h </w:instrText>
      </w:r>
      <w:r>
        <w:fldChar w:fldCharType="separate"/>
      </w:r>
      <w:r>
        <w:t xml:space="preserve">3.3.1</w:t>
      </w:r>
      <w:r>
        <w:fldChar w:fldCharType="end"/>
      </w:r>
      <w:r>
        <w:t xml:space="preserve">.</w:t>
      </w:r>
      <w:r/>
    </w:p>
    <w:p>
      <w:pPr>
        <w:pStyle w:val="994"/>
      </w:pPr>
      <w:r>
        <w:t xml:space="preserve">Для работы с документами «Сводная заявка на кассовый расход (для уплаты налогов)» </w:t>
      </w:r>
      <w:r>
        <w:t xml:space="preserve">следует перейти в пункт меню «</w:t>
      </w:r>
      <w:r>
        <w:t xml:space="preserve">Документы – Регистрация и учет обязательств – Заявки на платеж – Сводная заявка на кассовый расход (для уплаты н</w:t>
      </w:r>
      <w:r>
        <w:t xml:space="preserve">а</w:t>
      </w:r>
      <w:r>
        <w:t xml:space="preserve">логов)»</w:t>
      </w:r>
      <w:r>
        <w:t xml:space="preserve">. </w:t>
      </w:r>
      <w:r>
        <w:t xml:space="preserve">Откроется ЭФ списка документов, представленная на рисунке</w:t>
      </w:r>
      <w:r>
        <w:t xml:space="preserve"> </w:t>
      </w:r>
      <w:r>
        <w:fldChar w:fldCharType="begin"/>
      </w:r>
      <w:r>
        <w:instrText xml:space="preserve"> REF _Ref329598644 \h  \* MERGEFORMAT </w:instrText>
      </w:r>
      <w:r>
        <w:fldChar w:fldCharType="separate"/>
      </w:r>
      <w:r>
        <w:t xml:space="preserve">64</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3284220"/>
                <wp:effectExtent l="0" t="0" r="0" b="0"/>
                <wp:docPr id="13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29"/>
                        <a:stretch/>
                      </pic:blipFill>
                      <pic:spPr bwMode="auto">
                        <a:xfrm>
                          <a:off x="0" y="0"/>
                          <a:ext cx="6134100" cy="32842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 o:spid="_x0000_s132" type="#_x0000_t75" style="mso-wrap-distance-left:0.0pt;mso-wrap-distance-top:0.0pt;mso-wrap-distance-right:0.0pt;mso-wrap-distance-bottom:0.0pt;width:483.0pt;height:258.6pt;" stroked="f">
                <v:path textboxrect="0,0,0,0"/>
                <v:imagedata r:id="rId129" o:title=""/>
              </v:shape>
            </w:pict>
          </mc:Fallback>
        </mc:AlternateContent>
      </w:r>
      <w:r/>
    </w:p>
    <w:p>
      <w:pPr>
        <w:pStyle w:val="983"/>
      </w:pPr>
      <w:r>
        <w:fldChar w:fldCharType="begin"/>
      </w:r>
      <w:r>
        <w:instrText xml:space="preserve"> SEQ Рисунок \* ARABIC </w:instrText>
      </w:r>
      <w:r>
        <w:fldChar w:fldCharType="separate"/>
      </w:r>
      <w:bookmarkStart w:id="654" w:name="_Ref329598644"/>
      <w:r/>
      <w:bookmarkStart w:id="655" w:name="_Toc88819449"/>
      <w:r>
        <w:t xml:space="preserve">64</w:t>
      </w:r>
      <w:bookmarkEnd w:id="654"/>
      <w:r>
        <w:fldChar w:fldCharType="end"/>
      </w:r>
      <w:r>
        <w:t xml:space="preserve">. </w:t>
      </w:r>
      <w:r>
        <w:t xml:space="preserve">ЭФ</w:t>
      </w:r>
      <w:r>
        <w:t xml:space="preserve"> списка документов «Сводная заявка на кассовый расход (для уплаты налогов)»</w:t>
      </w:r>
      <w:bookmarkEnd w:id="655"/>
      <w:r/>
      <w:r/>
    </w:p>
    <w:p>
      <w:pPr>
        <w:pStyle w:val="973"/>
      </w:pPr>
      <w:r/>
      <w:bookmarkStart w:id="656" w:name="_Toc329612153"/>
      <w:r>
        <w:t xml:space="preserve">Доступные операции</w:t>
      </w:r>
      <w:bookmarkEnd w:id="656"/>
      <w:r/>
      <w:r/>
    </w:p>
    <w:p>
      <w:pPr>
        <w:pStyle w:val="994"/>
      </w:pPr>
      <w:r>
        <w:t xml:space="preserve">На АРМ </w:t>
      </w:r>
      <w:r>
        <w:t xml:space="preserve">ФО</w:t>
      </w:r>
      <w:r>
        <w:t xml:space="preserve"> </w:t>
      </w:r>
      <w:r>
        <w:t xml:space="preserve">доступны</w:t>
      </w:r>
      <w:r>
        <w:t xml:space="preserve"> следующие опер</w:t>
      </w:r>
      <w:r>
        <w:t xml:space="preserve">а</w:t>
      </w:r>
      <w:r>
        <w:t xml:space="preserve">ции</w:t>
      </w:r>
      <w:r>
        <w:t xml:space="preserve"> над документом</w:t>
      </w:r>
      <w:r>
        <w:t xml:space="preserve">:</w:t>
      </w:r>
      <w:r/>
    </w:p>
    <w:p>
      <w:pPr>
        <w:pStyle w:val="985"/>
      </w:pPr>
      <w:r>
        <w:t xml:space="preserve">Для исходящих документов:</w:t>
      </w:r>
      <w:r/>
    </w:p>
    <w:p>
      <w:pPr>
        <w:pStyle w:val="986"/>
      </w:pPr>
      <w:r>
        <w:t xml:space="preserve">создание;</w:t>
      </w:r>
      <w:r/>
    </w:p>
    <w:p>
      <w:pPr>
        <w:pStyle w:val="986"/>
      </w:pPr>
      <w:r>
        <w:t xml:space="preserve">импорт из внешней системы;</w:t>
      </w:r>
      <w:r/>
    </w:p>
    <w:p>
      <w:pPr>
        <w:pStyle w:val="986"/>
      </w:pPr>
      <w:r>
        <w:t xml:space="preserve">просмотр и редактирование;</w:t>
      </w:r>
      <w:r/>
    </w:p>
    <w:p>
      <w:pPr>
        <w:pStyle w:val="986"/>
      </w:pPr>
      <w:r>
        <w:t xml:space="preserve">удаление;</w:t>
      </w:r>
      <w:r/>
    </w:p>
    <w:p>
      <w:pPr>
        <w:pStyle w:val="986"/>
      </w:pPr>
      <w:r>
        <w:t xml:space="preserve">копирование документа и вложений</w:t>
      </w:r>
      <w:r>
        <w:t xml:space="preserve">;</w:t>
      </w:r>
      <w:r/>
    </w:p>
    <w:p>
      <w:pPr>
        <w:pStyle w:val="986"/>
      </w:pPr>
      <w:r>
        <w:t xml:space="preserve">подписание, проверка и удаление </w:t>
      </w:r>
      <w:r>
        <w:t xml:space="preserve">ЭП</w:t>
      </w:r>
      <w:r>
        <w:t xml:space="preserve">;</w:t>
      </w:r>
      <w:r/>
    </w:p>
    <w:p>
      <w:pPr>
        <w:pStyle w:val="986"/>
      </w:pPr>
      <w:r>
        <w:t xml:space="preserve">печать;</w:t>
      </w:r>
      <w:r/>
    </w:p>
    <w:p>
      <w:pPr>
        <w:pStyle w:val="986"/>
      </w:pPr>
      <w:r>
        <w:t xml:space="preserve">экспорт в </w:t>
      </w:r>
      <w:r>
        <w:t xml:space="preserve">ППО OEBS АСФК</w:t>
      </w:r>
      <w:r>
        <w:t xml:space="preserve">;</w:t>
      </w:r>
      <w:r/>
    </w:p>
    <w:p>
      <w:pPr>
        <w:pStyle w:val="986"/>
      </w:pPr>
      <w:r>
        <w:t xml:space="preserve">отказ;</w:t>
      </w:r>
      <w:r/>
    </w:p>
    <w:p>
      <w:pPr>
        <w:pStyle w:val="986"/>
      </w:pPr>
      <w:r>
        <w:t xml:space="preserve">экспорт во внешнюю систему</w:t>
      </w:r>
      <w:r>
        <w:t xml:space="preserve">.</w:t>
      </w:r>
      <w:r/>
    </w:p>
    <w:p>
      <w:pPr>
        <w:pStyle w:val="985"/>
      </w:pPr>
      <w:r>
        <w:t xml:space="preserve">Для транзитных документов:</w:t>
      </w:r>
      <w:r/>
    </w:p>
    <w:p>
      <w:pPr>
        <w:pStyle w:val="986"/>
      </w:pPr>
      <w:r>
        <w:t xml:space="preserve">просмотр;</w:t>
      </w:r>
      <w:r/>
    </w:p>
    <w:p>
      <w:pPr>
        <w:pStyle w:val="986"/>
      </w:pPr>
      <w:r>
        <w:t xml:space="preserve">подписание</w:t>
      </w:r>
      <w:r>
        <w:t xml:space="preserve"> и</w:t>
      </w:r>
      <w:r>
        <w:t xml:space="preserve"> проверка ЭП;</w:t>
      </w:r>
      <w:r/>
    </w:p>
    <w:p>
      <w:pPr>
        <w:pStyle w:val="986"/>
      </w:pPr>
      <w:r>
        <w:t xml:space="preserve">экспорт в </w:t>
      </w:r>
      <w:r>
        <w:t xml:space="preserve">ППО OEBS АСФК</w:t>
      </w:r>
      <w:r>
        <w:t xml:space="preserve">;</w:t>
      </w:r>
      <w:r/>
    </w:p>
    <w:p>
      <w:pPr>
        <w:pStyle w:val="986"/>
      </w:pPr>
      <w:r>
        <w:t xml:space="preserve">отказ;</w:t>
      </w:r>
      <w:r/>
    </w:p>
    <w:p>
      <w:pPr>
        <w:pStyle w:val="986"/>
      </w:pPr>
      <w:r>
        <w:t xml:space="preserve">санкционирование.</w:t>
      </w:r>
      <w:r/>
    </w:p>
    <w:p>
      <w:pPr>
        <w:pStyle w:val="973"/>
      </w:pPr>
      <w:r/>
      <w:bookmarkStart w:id="657" w:name="_Toc329612154"/>
      <w:r>
        <w:t xml:space="preserve">Экранная форма документа</w:t>
      </w:r>
      <w:bookmarkEnd w:id="657"/>
      <w:r/>
      <w:r/>
    </w:p>
    <w:p>
      <w:pPr>
        <w:pStyle w:val="994"/>
      </w:pPr>
      <w:r>
        <w:t xml:space="preserve">ЭФ документа «Сводная заявка на кассовый расход (для уплаты налогов)» </w:t>
      </w:r>
      <w:r>
        <w:t xml:space="preserve">представлена н</w:t>
      </w:r>
      <w:r>
        <w:t xml:space="preserve">а рисунке</w:t>
      </w:r>
      <w:r>
        <w:t xml:space="preserve"> </w:t>
      </w:r>
      <w:r>
        <w:fldChar w:fldCharType="begin"/>
      </w:r>
      <w:r>
        <w:instrText xml:space="preserve"> REF _Ref329602290 \h  \* MERGEFORMAT </w:instrText>
      </w:r>
      <w:r>
        <w:fldChar w:fldCharType="separate"/>
      </w:r>
      <w:r>
        <w:t xml:space="preserve">65</w:t>
      </w:r>
      <w:r>
        <w:fldChar w:fldCharType="end"/>
      </w:r>
      <w:r>
        <w:t xml:space="preserve">. Форма </w:t>
      </w:r>
      <w:r>
        <w:t xml:space="preserve">содержит следующие закладки:</w:t>
      </w:r>
      <w:r/>
    </w:p>
    <w:p>
      <w:pPr>
        <w:pStyle w:val="985"/>
      </w:pPr>
      <w:r>
        <w:t xml:space="preserve">«Заголовок, Раздел 1 (1)»;</w:t>
      </w:r>
      <w:r/>
    </w:p>
    <w:p>
      <w:pPr>
        <w:pStyle w:val="985"/>
      </w:pPr>
      <w:r>
        <w:t xml:space="preserve">«Раздел 2 (2)»;</w:t>
      </w:r>
      <w:r/>
    </w:p>
    <w:p>
      <w:pPr>
        <w:pStyle w:val="985"/>
      </w:pPr>
      <w:r>
        <w:t xml:space="preserve">«Подписи» (3)»;</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035040" cy="3200400"/>
                <wp:effectExtent l="0" t="0" r="0" b="0"/>
                <wp:docPr id="13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30"/>
                        <a:stretch/>
                      </pic:blipFill>
                      <pic:spPr bwMode="auto">
                        <a:xfrm>
                          <a:off x="0" y="0"/>
                          <a:ext cx="6035039" cy="32004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 o:spid="_x0000_s133" type="#_x0000_t75" style="mso-wrap-distance-left:0.0pt;mso-wrap-distance-top:0.0pt;mso-wrap-distance-right:0.0pt;mso-wrap-distance-bottom:0.0pt;width:475.2pt;height:252.0pt;" stroked="f">
                <v:path textboxrect="0,0,0,0"/>
                <v:imagedata r:id="rId130" o:title=""/>
              </v:shape>
            </w:pict>
          </mc:Fallback>
        </mc:AlternateContent>
      </w:r>
      <w:r/>
    </w:p>
    <w:p>
      <w:pPr>
        <w:pStyle w:val="983"/>
      </w:pPr>
      <w:r>
        <w:fldChar w:fldCharType="begin"/>
      </w:r>
      <w:r>
        <w:instrText xml:space="preserve"> SEQ Рисунок \* ARABIC </w:instrText>
      </w:r>
      <w:r>
        <w:fldChar w:fldCharType="separate"/>
      </w:r>
      <w:bookmarkStart w:id="658" w:name="_Ref329602290"/>
      <w:r/>
      <w:bookmarkStart w:id="659" w:name="_Toc88819450"/>
      <w:r>
        <w:t xml:space="preserve">65</w:t>
      </w:r>
      <w:bookmarkEnd w:id="658"/>
      <w:r>
        <w:fldChar w:fldCharType="end"/>
      </w:r>
      <w:r>
        <w:t xml:space="preserve">. ЭФ документа «Сводная заявка на кассовый расход (для уплаты налогов)</w:t>
      </w:r>
      <w:r>
        <w:t xml:space="preserve">», закладки «</w:t>
      </w:r>
      <w:r>
        <w:t xml:space="preserve">Заголовок, Раздел 1 (1)»</w:t>
      </w:r>
      <w:bookmarkEnd w:id="659"/>
      <w:r/>
      <w:r/>
    </w:p>
    <w:p>
      <w:pPr>
        <w:pStyle w:val="994"/>
      </w:pPr>
      <w:r>
        <w:t xml:space="preserve">Перечень</w:t>
      </w:r>
      <w:r>
        <w:t xml:space="preserve"> полей </w:t>
      </w:r>
      <w:r>
        <w:t xml:space="preserve">документа «Сводная заявка на кассовый расход (для уплаты налогов)», закладки «Заголовок, Раздел 1 (1)»</w:t>
      </w:r>
      <w:r>
        <w:t xml:space="preserve"> приведен </w:t>
      </w:r>
      <w:r>
        <w:t xml:space="preserve">в таблице </w:t>
      </w:r>
      <w:r>
        <w:fldChar w:fldCharType="begin"/>
      </w:r>
      <w:r>
        <w:instrText xml:space="preserve"> REF _Ref374975084 \h  \* MERGEFORMAT </w:instrText>
      </w:r>
      <w:r>
        <w:fldChar w:fldCharType="separate"/>
      </w:r>
      <w:r>
        <w:t xml:space="preserve">29</w:t>
      </w:r>
      <w:r>
        <w:fldChar w:fldCharType="end"/>
      </w:r>
      <w:r>
        <w:t xml:space="preserve">.</w:t>
      </w:r>
      <w:r/>
    </w:p>
    <w:p>
      <w:pPr>
        <w:pStyle w:val="993"/>
      </w:pPr>
      <w:r>
        <w:fldChar w:fldCharType="begin"/>
      </w:r>
      <w:r>
        <w:instrText xml:space="preserve"> SEQ Таблица \* ARABIC </w:instrText>
      </w:r>
      <w:r>
        <w:fldChar w:fldCharType="separate"/>
      </w:r>
      <w:bookmarkStart w:id="660" w:name="_Ref374975084"/>
      <w:r/>
      <w:bookmarkStart w:id="661" w:name="_Toc88819215"/>
      <w:r>
        <w:t xml:space="preserve">29</w:t>
      </w:r>
      <w:bookmarkEnd w:id="660"/>
      <w:r>
        <w:fldChar w:fldCharType="end"/>
      </w:r>
      <w:r>
        <w:t xml:space="preserve">. Описание полей </w:t>
      </w:r>
      <w:r>
        <w:t xml:space="preserve">документа «Сводная заявка на кассовый расход (для уплаты налогов)», закладки «Заголовок, Раздел 1 (1)»</w:t>
      </w:r>
      <w:bookmarkEnd w:id="661"/>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33"/>
        <w:gridCol w:w="7519"/>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14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60" w:type="pct"/>
            <w:vAlign w:val="center"/>
            <w:textDirection w:val="lrTb"/>
            <w:noWrap w:val="false"/>
          </w:tcPr>
          <w:p>
            <w:pPr>
              <w:pStyle w:val="1006"/>
            </w:pPr>
            <w:r>
              <w:t xml:space="preserve">Описание поля</w:t>
            </w:r>
            <w:r/>
          </w:p>
        </w:tc>
      </w:tr>
      <w:tr>
        <w:trPr/>
        <w:tc>
          <w:tcPr>
            <w:shd w:val="clear" w:fill="auto" w:color="auto"/>
            <w:tcW w:w="1140" w:type="pct"/>
            <w:textDirection w:val="lrTb"/>
            <w:noWrap w:val="false"/>
          </w:tcPr>
          <w:p>
            <w:pPr>
              <w:pStyle w:val="1005"/>
              <w:ind w:left="57" w:right="57"/>
            </w:pPr>
            <w:r>
              <w:t xml:space="preserve">Номер заявки</w:t>
            </w:r>
            <w:r/>
          </w:p>
        </w:tc>
        <w:tc>
          <w:tcPr>
            <w:shd w:val="clear" w:fill="auto" w:color="auto"/>
            <w:tcW w:w="3860" w:type="pct"/>
            <w:textDirection w:val="lrTb"/>
            <w:noWrap w:val="false"/>
          </w:tcPr>
          <w:p>
            <w:pPr>
              <w:pStyle w:val="1005"/>
              <w:ind w:left="57" w:right="57"/>
            </w:pPr>
            <w:r>
              <w:t xml:space="preserve">Значение рассчитывается автоматически на основании настроек для т</w:t>
            </w:r>
            <w:r>
              <w:t xml:space="preserve">е</w:t>
            </w:r>
            <w:r>
              <w:t xml:space="preserve">кущ</w:t>
            </w:r>
            <w:r>
              <w:t xml:space="preserve">е</w:t>
            </w:r>
            <w:r>
              <w:t xml:space="preserve">го типа документа в справочнике </w:t>
            </w:r>
            <w:r>
              <w:t xml:space="preserve">«</w:t>
            </w:r>
            <w:r>
              <w:t xml:space="preserve">Параметры автонумерации док</w:t>
            </w:r>
            <w:r>
              <w:t xml:space="preserve">у</w:t>
            </w:r>
            <w:r>
              <w:t xml:space="preserve">ментов</w:t>
            </w:r>
            <w:r>
              <w:t xml:space="preserve">»</w:t>
            </w:r>
            <w:r>
              <w:t xml:space="preserve">.</w:t>
            </w:r>
            <w:r>
              <w:t xml:space="preserve"> </w:t>
            </w:r>
            <w:r>
              <w:t xml:space="preserve">Может быть заполнено вручную.</w:t>
            </w:r>
            <w:r/>
          </w:p>
          <w:p>
            <w:pPr>
              <w:pStyle w:val="1005"/>
              <w:ind w:left="57" w:right="57"/>
            </w:pPr>
            <w:r>
              <w:t xml:space="preserve">В случае если </w:t>
            </w:r>
            <w:r>
              <w:t xml:space="preserve">значение было изменено вручную и не соответствует авт</w:t>
            </w:r>
            <w:r>
              <w:t xml:space="preserve">о</w:t>
            </w:r>
            <w:r>
              <w:t xml:space="preserve">матически вычисленному значению, правильный порядковый номер м</w:t>
            </w:r>
            <w:r>
              <w:t xml:space="preserve">о</w:t>
            </w:r>
            <w:r>
              <w:t xml:space="preserve">жет быть проставлен по нажатию кнопки.</w:t>
            </w:r>
            <w:r/>
          </w:p>
        </w:tc>
      </w:tr>
      <w:tr>
        <w:trPr/>
        <w:tc>
          <w:tcPr>
            <w:shd w:val="clear" w:fill="auto" w:color="auto"/>
            <w:tcW w:w="1140" w:type="pct"/>
            <w:textDirection w:val="lrTb"/>
            <w:noWrap w:val="false"/>
          </w:tcPr>
          <w:p>
            <w:pPr>
              <w:pStyle w:val="1005"/>
              <w:ind w:left="57" w:right="57"/>
            </w:pPr>
            <w:r>
              <w:t xml:space="preserve">Дата заявки</w:t>
            </w:r>
            <w:r/>
          </w:p>
        </w:tc>
        <w:tc>
          <w:tcPr>
            <w:shd w:val="clear" w:fill="auto" w:color="auto"/>
            <w:tcW w:w="3860" w:type="pct"/>
            <w:textDirection w:val="lrTb"/>
            <w:noWrap w:val="false"/>
          </w:tcPr>
          <w:p>
            <w:pPr>
              <w:pStyle w:val="1005"/>
              <w:ind w:left="57" w:right="57"/>
            </w:pPr>
            <w:r>
              <w:t xml:space="preserve">Значение по умолчанию текущая дата. Может быть изменено пользоват</w:t>
            </w:r>
            <w:r>
              <w:t xml:space="preserve">е</w:t>
            </w:r>
            <w:r>
              <w:t xml:space="preserve">лем вручную или выбором из системного календаря.</w:t>
            </w:r>
            <w:r/>
          </w:p>
        </w:tc>
      </w:tr>
      <w:tr>
        <w:trPr/>
        <w:tc>
          <w:tcPr>
            <w:shd w:val="clear" w:fill="auto" w:color="auto"/>
            <w:tcW w:w="1140" w:type="pct"/>
            <w:textDirection w:val="lrTb"/>
            <w:noWrap w:val="false"/>
          </w:tcPr>
          <w:p>
            <w:pPr>
              <w:pStyle w:val="1005"/>
              <w:ind w:left="57" w:right="57"/>
            </w:pPr>
            <w:r>
              <w:t xml:space="preserve">Статус</w:t>
            </w:r>
            <w:r/>
          </w:p>
        </w:tc>
        <w:tc>
          <w:tcPr>
            <w:shd w:val="clear" w:fill="auto" w:color="auto"/>
            <w:tcW w:w="3860" w:type="pct"/>
            <w:textDirection w:val="lrTb"/>
            <w:noWrap w:val="false"/>
          </w:tcPr>
          <w:p>
            <w:pPr>
              <w:pStyle w:val="1005"/>
              <w:ind w:left="57" w:right="57"/>
            </w:pPr>
            <w:r>
              <w:t xml:space="preserve">Значение заполняется автоматически или передается из OEBS.</w:t>
            </w:r>
            <w:r/>
          </w:p>
        </w:tc>
      </w:tr>
      <w:tr>
        <w:trPr/>
        <w:tc>
          <w:tcPr>
            <w:shd w:val="clear" w:fill="auto" w:color="auto"/>
            <w:tcW w:w="1140" w:type="pct"/>
            <w:textDirection w:val="lrTb"/>
            <w:noWrap w:val="false"/>
          </w:tcPr>
          <w:p>
            <w:pPr>
              <w:pStyle w:val="1005"/>
              <w:ind w:left="57" w:right="57"/>
            </w:pPr>
            <w:r>
              <w:t xml:space="preserve">Уровень конфиденциальности</w:t>
            </w:r>
            <w:r/>
          </w:p>
        </w:tc>
        <w:tc>
          <w:tcPr>
            <w:shd w:val="clear" w:fill="auto" w:color="auto"/>
            <w:tcW w:w="3860" w:type="pct"/>
            <w:textDirection w:val="lrTb"/>
            <w:noWrap w:val="false"/>
          </w:tcPr>
          <w:p>
            <w:pPr>
              <w:pStyle w:val="1005"/>
              <w:ind w:left="57" w:right="57"/>
            </w:pPr>
            <w:r>
              <w:t xml:space="preserve">Значение не заполняется по умолчанию. Заполняется вручную пользователем.</w:t>
            </w:r>
            <w:r/>
          </w:p>
          <w:p>
            <w:pPr>
              <w:pStyle w:val="1005"/>
              <w:ind w:left="57" w:right="57"/>
            </w:pPr>
            <w:r>
              <w:t xml:space="preserve">Поле заполняется значением «0» или </w:t>
            </w:r>
            <w:r>
              <w:t xml:space="preserve">«1»</w:t>
            </w:r>
            <w:r>
              <w:t xml:space="preserve">, передается только до АРМ ОРФК.</w:t>
            </w:r>
            <w:r/>
          </w:p>
        </w:tc>
      </w:tr>
      <w:tr>
        <w:trPr/>
        <w:tc>
          <w:tcPr>
            <w:gridSpan w:val="2"/>
            <w:shd w:val="clear" w:fill="auto" w:color="auto"/>
            <w:tcW w:w="5000" w:type="pct"/>
            <w:textDirection w:val="lrTb"/>
            <w:noWrap w:val="false"/>
          </w:tcPr>
          <w:p>
            <w:pPr>
              <w:pStyle w:val="1005"/>
              <w:ind w:left="57" w:right="57"/>
            </w:pPr>
            <w:r>
              <w:t xml:space="preserve">Закладка</w:t>
            </w:r>
            <w:r>
              <w:t xml:space="preserve"> «</w:t>
            </w:r>
            <w:r>
              <w:t xml:space="preserve">Заголовок, Раздел 1 (1)</w:t>
            </w:r>
            <w:r>
              <w:t xml:space="preserve">»</w:t>
            </w:r>
            <w:r/>
          </w:p>
        </w:tc>
      </w:tr>
      <w:tr>
        <w:trPr/>
        <w:tc>
          <w:tcPr>
            <w:shd w:val="clear" w:fill="auto" w:color="auto"/>
            <w:tcW w:w="1140" w:type="pct"/>
            <w:textDirection w:val="lrTb"/>
            <w:noWrap w:val="false"/>
          </w:tcPr>
          <w:p>
            <w:pPr>
              <w:pStyle w:val="1005"/>
              <w:ind w:left="57" w:right="57"/>
            </w:pPr>
            <w:r>
              <w:t xml:space="preserve">Клиент</w:t>
            </w:r>
            <w:r/>
          </w:p>
        </w:tc>
        <w:tc>
          <w:tcPr>
            <w:shd w:val="clear" w:fill="auto" w:color="auto"/>
            <w:tcW w:w="3860" w:type="pct"/>
            <w:textDirection w:val="lrTb"/>
            <w:noWrap w:val="false"/>
          </w:tcPr>
          <w:p>
            <w:pPr>
              <w:pStyle w:val="1005"/>
              <w:ind w:left="57" w:right="57"/>
            </w:pPr>
            <w:r>
              <w:t xml:space="preserve">Если SelfSRCode (Код по СР) заполнена и Переход на СР = 1, то поле требуется заполнять значением полного наименования актуальной записи спр. СР, найденной по коду = SelfSRCode (Код по СР).</w:t>
            </w:r>
            <w:r/>
          </w:p>
          <w:p>
            <w:pPr>
              <w:pStyle w:val="1005"/>
              <w:ind w:left="57" w:right="57"/>
            </w:pPr>
            <w:r>
              <w:t xml:space="preserve">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r/>
          </w:p>
          <w:p>
            <w:pPr>
              <w:pStyle w:val="1005"/>
              <w:ind w:left="57" w:right="57"/>
            </w:pPr>
            <w:r>
              <w:t xml:space="preserve">При выборе пользователем родительского документа значение заполняется </w:t>
            </w:r>
            <w:r>
              <w:t xml:space="preserve">автоматически из указанного бюджетного обязательства.</w:t>
            </w:r>
            <w:r/>
          </w:p>
          <w:p>
            <w:pPr>
              <w:pStyle w:val="1005"/>
              <w:ind w:left="57" w:right="57"/>
            </w:pPr>
            <w:r>
              <w:t xml:space="preserve">Может быть изменено пользователем вручную.</w:t>
            </w:r>
            <w:r/>
          </w:p>
        </w:tc>
      </w:tr>
      <w:tr>
        <w:trPr/>
        <w:tc>
          <w:tcPr>
            <w:shd w:val="clear" w:fill="auto" w:color="auto"/>
            <w:tcW w:w="1140" w:type="pct"/>
            <w:textDirection w:val="lrTb"/>
            <w:noWrap w:val="false"/>
          </w:tcPr>
          <w:p>
            <w:pPr>
              <w:pStyle w:val="1005"/>
              <w:ind w:left="57" w:right="57"/>
            </w:pPr>
            <w:r>
              <w:t xml:space="preserve">П</w:t>
            </w:r>
            <w:r>
              <w:t xml:space="preserve">о Сводному реестру</w:t>
            </w:r>
            <w:r/>
          </w:p>
        </w:tc>
        <w:tc>
          <w:tcPr>
            <w:shd w:val="clear" w:fill="auto" w:color="auto"/>
            <w:tcW w:w="3860" w:type="pct"/>
            <w:textDirection w:val="lrTb"/>
            <w:noWrap w:val="false"/>
          </w:tcPr>
          <w:p>
            <w:pPr>
              <w:pStyle w:val="1005"/>
              <w:ind w:left="57" w:right="57"/>
            </w:pPr>
            <w:r>
              <w:t xml:space="preserve">Если SelfSRcode заполнена, то поле заполняется значением константы SelfSRCode (Код по СР), иначе поле заполняется по-старому: </w:t>
            </w:r>
            <w:r/>
          </w:p>
          <w:p>
            <w:pPr>
              <w:pStyle w:val="1007"/>
            </w:pPr>
            <w:r>
              <w:t xml:space="preserve">на АРМ ПБС </w:t>
            </w:r>
            <w:r>
              <w:t xml:space="preserve">–</w:t>
            </w:r>
            <w:r>
              <w:t xml:space="preserve"> из SelfBUCode для ФБ;</w:t>
            </w:r>
            <w:r/>
          </w:p>
          <w:p>
            <w:pPr>
              <w:pStyle w:val="1007"/>
            </w:pPr>
            <w:r>
              <w:t xml:space="preserve">на АРМ ФО и НУБП </w:t>
            </w:r>
            <w:r>
              <w:t xml:space="preserve">–</w:t>
            </w:r>
            <w:r>
              <w:t xml:space="preserve"> не заполняется.</w:t>
            </w:r>
            <w:r/>
          </w:p>
          <w:p>
            <w:pPr>
              <w:pStyle w:val="1005"/>
              <w:ind w:left="57" w:right="57"/>
            </w:pPr>
            <w:r>
              <w:t xml:space="preserve">Может быть изменено вручную.</w:t>
            </w:r>
            <w:r/>
          </w:p>
        </w:tc>
      </w:tr>
      <w:tr>
        <w:trPr/>
        <w:tc>
          <w:tcPr>
            <w:shd w:val="clear" w:fill="auto" w:color="auto"/>
            <w:tcW w:w="1140" w:type="pct"/>
            <w:textDirection w:val="lrTb"/>
            <w:noWrap w:val="false"/>
          </w:tcPr>
          <w:p>
            <w:pPr>
              <w:pStyle w:val="1005"/>
              <w:ind w:left="57" w:right="57"/>
            </w:pPr>
            <w:r>
              <w:t xml:space="preserve">Номер лицевого счета</w:t>
            </w:r>
            <w:r/>
          </w:p>
        </w:tc>
        <w:tc>
          <w:tcPr>
            <w:shd w:val="clear" w:fill="auto" w:color="auto"/>
            <w:tcW w:w="3860" w:type="pct"/>
            <w:textDirection w:val="lrTb"/>
            <w:noWrap w:val="false"/>
          </w:tcPr>
          <w:p>
            <w:pPr>
              <w:pStyle w:val="1005"/>
              <w:ind w:left="57" w:right="57"/>
            </w:pPr>
            <w:r>
              <w:t xml:space="preserve">Допустимые типы л/с:</w:t>
            </w:r>
            <w:r/>
          </w:p>
          <w:p>
            <w:pPr>
              <w:pStyle w:val="1005"/>
              <w:ind w:left="57" w:right="57"/>
            </w:pPr>
            <w:r>
              <w:t xml:space="preserve">03%, 05%, 08%, 09%, 20%, 21%, 22%, 31%, 32%</w:t>
            </w:r>
            <w:r>
              <w:t xml:space="preserve">.</w:t>
            </w:r>
            <w:r/>
          </w:p>
          <w:p>
            <w:pPr>
              <w:pStyle w:val="1005"/>
              <w:ind w:left="57" w:right="57"/>
            </w:pPr>
            <w:r>
              <w:t xml:space="preserve">На АРМ ФО заполняется вручную, либо выбором значения из справочн</w:t>
            </w:r>
            <w:r>
              <w:t xml:space="preserve">и</w:t>
            </w:r>
            <w:r>
              <w:t xml:space="preserve">ка Информация по лицевым счетам.</w:t>
            </w:r>
            <w:r/>
          </w:p>
          <w:p>
            <w:pPr>
              <w:pStyle w:val="1005"/>
              <w:ind w:left="57" w:right="57"/>
            </w:pPr>
            <w:r>
              <w:t xml:space="preserve">Значение может быть изменено пользователем вручную или выбором из справочника лицевых счетов.</w:t>
            </w:r>
            <w:r/>
          </w:p>
          <w:p>
            <w:pPr>
              <w:pStyle w:val="1005"/>
              <w:ind w:left="57" w:right="57"/>
            </w:pPr>
            <w:r>
              <w:t xml:space="preserve">При выборе пользователем родительского документа значение заполняе</w:t>
            </w:r>
            <w:r>
              <w:t xml:space="preserve">т</w:t>
            </w:r>
            <w:r>
              <w:t xml:space="preserve">ся автоматически из указанного бюджетного обязательства.</w:t>
            </w:r>
            <w:r/>
          </w:p>
          <w:p>
            <w:pPr>
              <w:pStyle w:val="1005"/>
              <w:ind w:left="57" w:right="57"/>
            </w:pPr>
            <w:r>
              <w:t xml:space="preserve">При указании в поле </w:t>
            </w:r>
            <w:r>
              <w:t xml:space="preserve">«</w:t>
            </w:r>
            <w:r>
              <w:t xml:space="preserve">Лицевой счет</w:t>
            </w:r>
            <w:r>
              <w:t xml:space="preserve">»</w:t>
            </w:r>
            <w:r>
              <w:t xml:space="preserve"> 14 и 05 типа ЛС (для 05 ЛС в записи справочника ЛС должна быть в заполнены поля раздела </w:t>
            </w:r>
            <w:r>
              <w:t xml:space="preserve">«</w:t>
            </w:r>
            <w:r>
              <w:t xml:space="preserve">Дополнител</w:t>
            </w:r>
            <w:r>
              <w:t xml:space="preserve">ь</w:t>
            </w:r>
            <w:r>
              <w:t xml:space="preserve">ные реквизиты ЛС по переданным полномочиям</w:t>
            </w:r>
            <w:r>
              <w:t xml:space="preserve">»</w:t>
            </w:r>
            <w:r>
              <w:t xml:space="preserve"> и отмечен чекбокс НУБП на вкладке </w:t>
            </w:r>
            <w:r>
              <w:t xml:space="preserve">«</w:t>
            </w:r>
            <w:r>
              <w:t xml:space="preserve">Дополнительные реквизиты (5)</w:t>
            </w:r>
            <w:r>
              <w:t xml:space="preserve">»</w:t>
            </w:r>
            <w:r>
              <w:t xml:space="preserve">) необходимо перез</w:t>
            </w:r>
            <w:r>
              <w:t xml:space="preserve">а</w:t>
            </w:r>
            <w:r>
              <w:t xml:space="preserve">полнить сл</w:t>
            </w:r>
            <w:r>
              <w:t xml:space="preserve">едующие поля документа.</w:t>
            </w:r>
            <w:r/>
          </w:p>
          <w:p>
            <w:pPr>
              <w:pStyle w:val="1007"/>
            </w:pPr>
            <w:r>
              <w:t xml:space="preserve">код бюджета (код бюджета из справочника лицевых счетов)</w:t>
            </w:r>
            <w:r>
              <w:t xml:space="preserve">;</w:t>
            </w:r>
            <w:r/>
          </w:p>
          <w:p>
            <w:pPr>
              <w:pStyle w:val="1007"/>
            </w:pPr>
            <w:r>
              <w:t xml:space="preserve">бюджет (наименование по коду из справочника бюджетов)</w:t>
            </w:r>
            <w:r>
              <w:t xml:space="preserve">;</w:t>
            </w:r>
            <w:r/>
          </w:p>
          <w:p>
            <w:pPr>
              <w:pStyle w:val="1007"/>
            </w:pPr>
            <w:r>
              <w:t xml:space="preserve">финорган (код) (по коду бюджета из справочника финорганов)</w:t>
            </w:r>
            <w:r>
              <w:t xml:space="preserve">;</w:t>
            </w:r>
            <w:r/>
          </w:p>
          <w:p>
            <w:pPr>
              <w:pStyle w:val="1007"/>
            </w:pPr>
            <w:r>
              <w:t xml:space="preserve">финорган (наименование) (из справочника финорганов)</w:t>
            </w:r>
            <w:r>
              <w:t xml:space="preserve">;</w:t>
            </w:r>
            <w:r/>
          </w:p>
          <w:p>
            <w:pPr>
              <w:pStyle w:val="1007"/>
            </w:pPr>
            <w:r>
              <w:t xml:space="preserve">наименование клиента (полное наименование владельца ЛС из спр</w:t>
            </w:r>
            <w:r>
              <w:t xml:space="preserve">а</w:t>
            </w:r>
            <w:r>
              <w:t xml:space="preserve">вочника лицевых счетов)</w:t>
            </w:r>
            <w:r>
              <w:t xml:space="preserve">;</w:t>
            </w:r>
            <w:r/>
          </w:p>
          <w:p>
            <w:pPr>
              <w:pStyle w:val="1007"/>
            </w:pPr>
            <w:r>
              <w:t xml:space="preserve">код по сводному реестру (заполняется только в случае указания ф</w:t>
            </w:r>
            <w:r>
              <w:t xml:space="preserve">е</w:t>
            </w:r>
            <w:r>
              <w:t xml:space="preserve">дерального бюджета – из справочника лицевых счетов)</w:t>
            </w:r>
            <w:r>
              <w:t xml:space="preserve">;</w:t>
            </w:r>
            <w:r/>
          </w:p>
          <w:p>
            <w:pPr>
              <w:pStyle w:val="1007"/>
            </w:pPr>
            <w:r>
              <w:t xml:space="preserve">глава по БК (ведомство из справочника лицевых счетов)</w:t>
            </w:r>
            <w:r>
              <w:t xml:space="preserve">;</w:t>
            </w:r>
            <w:r/>
          </w:p>
          <w:p>
            <w:pPr>
              <w:pStyle w:val="1007"/>
            </w:pPr>
            <w:r>
              <w:t xml:space="preserve">ГРБС (наименование из справочника ведомств с учетом бюдж</w:t>
            </w:r>
            <w:r>
              <w:t xml:space="preserve">е</w:t>
            </w:r>
            <w:r>
              <w:t xml:space="preserve">та)</w:t>
            </w:r>
            <w:r>
              <w:t xml:space="preserve">.</w:t>
            </w:r>
            <w:r/>
          </w:p>
        </w:tc>
      </w:tr>
      <w:tr>
        <w:trPr/>
        <w:tc>
          <w:tcPr>
            <w:shd w:val="clear" w:fill="auto" w:color="auto"/>
            <w:tcW w:w="1140" w:type="pct"/>
            <w:textDirection w:val="lrTb"/>
            <w:noWrap w:val="false"/>
          </w:tcPr>
          <w:p>
            <w:pPr>
              <w:pStyle w:val="1005"/>
              <w:ind w:left="57" w:right="57"/>
            </w:pPr>
            <w:r>
              <w:t xml:space="preserve">ГРБС</w:t>
            </w:r>
            <w:r/>
          </w:p>
        </w:tc>
        <w:tc>
          <w:tcPr>
            <w:shd w:val="clear" w:fill="auto" w:color="auto"/>
            <w:tcW w:w="3860" w:type="pct"/>
            <w:textDirection w:val="lrTb"/>
            <w:noWrap w:val="false"/>
          </w:tcPr>
          <w:p>
            <w:pPr>
              <w:pStyle w:val="1005"/>
              <w:ind w:left="57" w:right="57"/>
            </w:pPr>
            <w:r>
              <w:t xml:space="preserve">На АРМ ФО: значение поля подтягивается по «Глава по БК» из справочника Ведомств из поля «Полное наименование» (в рамках указанного бюджета).</w:t>
            </w:r>
            <w:r/>
          </w:p>
          <w:p>
            <w:pPr>
              <w:pStyle w:val="1005"/>
              <w:ind w:left="57" w:right="57"/>
            </w:pPr>
            <w:r>
              <w:t xml:space="preserve">При выборе пользователем родительского документа значение заполняется автоматически из указанного бюджетного обязательства. </w:t>
            </w:r>
            <w:r/>
          </w:p>
          <w:p>
            <w:pPr>
              <w:pStyle w:val="1005"/>
              <w:ind w:left="57" w:right="57"/>
            </w:pPr>
            <w:r>
              <w:t xml:space="preserve">Может быть отредактировано вручную.</w:t>
            </w:r>
            <w:r/>
          </w:p>
          <w:p>
            <w:pPr>
              <w:pStyle w:val="1005"/>
              <w:ind w:left="57" w:right="57"/>
            </w:pPr>
            <w:r>
              <w:t xml:space="preserve">Поле может не заполняться в соответствии с отдельными указаниями ФК в целях обеспечения режима секретности.</w:t>
            </w:r>
            <w:r/>
          </w:p>
          <w:p>
            <w:pPr>
              <w:pStyle w:val="1008"/>
              <w:numPr>
                <w:ilvl w:val="0"/>
                <w:numId w:val="74"/>
              </w:numPr>
            </w:pPr>
            <w:r>
              <w:t xml:space="preserve">Если «Переход на СР» = 0, то заполнение полей документа осуществляется по-старому, из СРРПБС.</w:t>
            </w:r>
            <w:r/>
          </w:p>
          <w:p>
            <w:pPr>
              <w:pStyle w:val="1008"/>
            </w:pPr>
            <w:r>
              <w:t xml:space="preserve">Если «Переход на СР» = 1, то заполнение следующих полей документа осуществляется из записи СР, определенной по </w:t>
            </w:r>
            <w:r>
              <w:rPr>
                <w:rStyle w:val="1400"/>
              </w:rPr>
              <w:t xml:space="preserve">Registration</w:t>
            </w:r>
            <w:r>
              <w:rPr>
                <w:rStyle w:val="1400"/>
                <w:lang w:val="ru-RU"/>
              </w:rPr>
              <w:t xml:space="preserve"> </w:t>
            </w:r>
            <w:r>
              <w:rPr>
                <w:rStyle w:val="1400"/>
              </w:rPr>
              <w:t xml:space="preserve">Number</w:t>
            </w:r>
            <w:r>
              <w:t xml:space="preserve"> = константе SelfBUCode (Код собственного БУ) и бюджету = константе </w:t>
            </w:r>
            <w:r>
              <w:t xml:space="preserve">SelfBudgetCode (Код бюджета)</w:t>
            </w:r>
            <w:r>
              <w:t xml:space="preserve">.</w:t>
            </w:r>
            <w:r/>
          </w:p>
        </w:tc>
      </w:tr>
      <w:tr>
        <w:trPr/>
        <w:tc>
          <w:tcPr>
            <w:shd w:val="clear" w:fill="auto" w:color="auto"/>
            <w:tcW w:w="1140" w:type="pct"/>
            <w:textDirection w:val="lrTb"/>
            <w:noWrap w:val="false"/>
          </w:tcPr>
          <w:p>
            <w:pPr>
              <w:pStyle w:val="1005"/>
              <w:ind w:left="57" w:right="57"/>
            </w:pPr>
            <w:r>
              <w:t xml:space="preserve">Глава по БК</w:t>
            </w:r>
            <w:r/>
          </w:p>
        </w:tc>
        <w:tc>
          <w:tcPr>
            <w:shd w:val="clear" w:fill="auto" w:color="auto"/>
            <w:tcW w:w="3860" w:type="pct"/>
            <w:textDirection w:val="lrTb"/>
            <w:noWrap w:val="false"/>
          </w:tcPr>
          <w:p>
            <w:pPr>
              <w:pStyle w:val="1005"/>
              <w:ind w:left="57" w:right="57"/>
            </w:pPr>
            <w:r>
              <w:t xml:space="preserve">Значение заполняется автоматически из системной константы.</w:t>
            </w:r>
            <w:r/>
          </w:p>
          <w:p>
            <w:pPr>
              <w:pStyle w:val="1005"/>
              <w:ind w:left="57" w:right="57"/>
            </w:pPr>
            <w:r>
              <w:t xml:space="preserve">При выборе пользователем родительского документа значение заполняе</w:t>
            </w:r>
            <w:r>
              <w:t xml:space="preserve">т</w:t>
            </w:r>
            <w:r>
              <w:t xml:space="preserve">ся автоматически из указанного бюджетного обязательства.</w:t>
            </w:r>
            <w:r/>
          </w:p>
          <w:p>
            <w:pPr>
              <w:pStyle w:val="1005"/>
              <w:ind w:left="57" w:right="57"/>
            </w:pPr>
            <w:r>
              <w:t xml:space="preserve">Может быть отредактировано вручную, либо выбором из справочн</w:t>
            </w:r>
            <w:r>
              <w:t xml:space="preserve">и</w:t>
            </w:r>
            <w:r>
              <w:t xml:space="preserve">ка Ведомств (с учетом бюджета).</w:t>
            </w:r>
            <w:r/>
          </w:p>
          <w:p>
            <w:pPr>
              <w:pStyle w:val="1005"/>
              <w:ind w:left="57" w:right="57"/>
            </w:pPr>
            <w:r>
              <w:t xml:space="preserve">Для БУ, АУ (31 л/с) не заполняется.</w:t>
            </w:r>
            <w:r/>
          </w:p>
          <w:p>
            <w:pPr>
              <w:pStyle w:val="1005"/>
              <w:ind w:left="57" w:right="57"/>
            </w:pPr>
            <w:r>
              <w:t xml:space="preserve">Поле может не заполняться в соответствии с отдельными указаниями ФК в целях</w:t>
            </w:r>
            <w:r>
              <w:t xml:space="preserve"> обеспечения режима секретности</w:t>
            </w:r>
            <w:r>
              <w:t xml:space="preserve">.</w:t>
            </w:r>
            <w:r/>
          </w:p>
        </w:tc>
      </w:tr>
      <w:tr>
        <w:trPr/>
        <w:tc>
          <w:tcPr>
            <w:shd w:val="clear" w:fill="auto" w:color="auto"/>
            <w:tcW w:w="1140" w:type="pct"/>
            <w:textDirection w:val="lrTb"/>
            <w:noWrap w:val="false"/>
          </w:tcPr>
          <w:p>
            <w:pPr>
              <w:pStyle w:val="1005"/>
              <w:ind w:left="57" w:right="57"/>
            </w:pPr>
            <w:r>
              <w:t xml:space="preserve">П</w:t>
            </w:r>
            <w:r>
              <w:t xml:space="preserve">о ОКПО</w:t>
            </w:r>
            <w:r/>
          </w:p>
        </w:tc>
        <w:tc>
          <w:tcPr>
            <w:shd w:val="clear" w:fill="auto" w:color="auto"/>
            <w:tcW w:w="3860" w:type="pct"/>
            <w:textDirection w:val="lrTb"/>
            <w:noWrap w:val="false"/>
          </w:tcPr>
          <w:p>
            <w:pPr>
              <w:pStyle w:val="1005"/>
              <w:ind w:left="57" w:right="57"/>
            </w:pPr>
            <w:r>
              <w:t xml:space="preserve">Заполняется автоматически ОКПО соответствующего актуального ФО (поиск по коду ФО) из справочника Финансовые органы. Может быть о</w:t>
            </w:r>
            <w:r>
              <w:t xml:space="preserve">т</w:t>
            </w:r>
            <w:r>
              <w:t xml:space="preserve">редактировано вручную/из справочника финорганов. </w:t>
            </w:r>
            <w:r/>
          </w:p>
          <w:p>
            <w:pPr>
              <w:pStyle w:val="1005"/>
              <w:ind w:left="57" w:right="57"/>
            </w:pPr>
            <w:r>
              <w:t xml:space="preserve">Не заполняется, если не заполнено поле </w:t>
            </w:r>
            <w:r>
              <w:t xml:space="preserve">«</w:t>
            </w:r>
            <w:r>
              <w:t xml:space="preserve">Финансовый орган</w:t>
            </w:r>
            <w:r>
              <w:t xml:space="preserve">»</w:t>
            </w:r>
            <w:r>
              <w:t xml:space="preserve">.</w:t>
            </w:r>
            <w:r/>
          </w:p>
        </w:tc>
      </w:tr>
      <w:tr>
        <w:trPr/>
        <w:tc>
          <w:tcPr>
            <w:shd w:val="clear" w:fill="auto" w:color="auto"/>
            <w:tcW w:w="1140" w:type="pct"/>
            <w:textDirection w:val="lrTb"/>
            <w:noWrap w:val="false"/>
          </w:tcPr>
          <w:p>
            <w:pPr>
              <w:pStyle w:val="1005"/>
              <w:ind w:left="57" w:right="57"/>
            </w:pPr>
            <w:r>
              <w:t xml:space="preserve">Бюджет</w:t>
            </w:r>
            <w:r/>
          </w:p>
        </w:tc>
        <w:tc>
          <w:tcPr>
            <w:shd w:val="clear" w:fill="auto" w:color="auto"/>
            <w:tcW w:w="3860" w:type="pct"/>
            <w:textDirection w:val="lrTb"/>
            <w:noWrap w:val="false"/>
          </w:tcPr>
          <w:p>
            <w:pPr>
              <w:pStyle w:val="1005"/>
              <w:ind w:left="57" w:right="57"/>
            </w:pPr>
            <w:r>
              <w:t xml:space="preserve">Наименование бюджета.</w:t>
            </w:r>
            <w:r/>
          </w:p>
          <w:p>
            <w:pPr>
              <w:pStyle w:val="1005"/>
              <w:ind w:left="57" w:right="57"/>
            </w:pPr>
            <w:r>
              <w:t xml:space="preserve">Заполняется автоматически по коду бюджета (полное наименование).</w:t>
            </w:r>
            <w:r/>
          </w:p>
          <w:p>
            <w:pPr>
              <w:pStyle w:val="1005"/>
              <w:ind w:left="57" w:right="57"/>
            </w:pPr>
            <w:r>
              <w:t xml:space="preserve">Может быть отредактировано вручную/из справочника бюджетов или подтягивается автоматически при выборе родительского документа. </w:t>
            </w:r>
            <w:r/>
          </w:p>
          <w:p>
            <w:pPr>
              <w:pStyle w:val="1005"/>
              <w:ind w:left="57" w:right="57"/>
            </w:pPr>
            <w:r>
              <w:t xml:space="preserve">Для БУ, АУ (31 л/с) не заполняется.</w:t>
            </w:r>
            <w:r/>
          </w:p>
        </w:tc>
      </w:tr>
      <w:tr>
        <w:trPr/>
        <w:tc>
          <w:tcPr>
            <w:shd w:val="clear" w:fill="auto" w:color="auto"/>
            <w:tcW w:w="1140" w:type="pct"/>
            <w:textDirection w:val="lrTb"/>
            <w:noWrap w:val="false"/>
          </w:tcPr>
          <w:p>
            <w:pPr>
              <w:pStyle w:val="1005"/>
              <w:ind w:left="57" w:right="57"/>
            </w:pPr>
            <w:r>
              <w:t xml:space="preserve">Финансовый орган</w:t>
            </w:r>
            <w:r/>
          </w:p>
        </w:tc>
        <w:tc>
          <w:tcPr>
            <w:shd w:val="clear" w:fill="auto" w:color="auto"/>
            <w:tcW w:w="3860" w:type="pct"/>
            <w:textDirection w:val="lrTb"/>
            <w:noWrap w:val="false"/>
          </w:tcPr>
          <w:p>
            <w:pPr>
              <w:pStyle w:val="1005"/>
              <w:ind w:left="57" w:right="57"/>
            </w:pPr>
            <w:r>
              <w:t xml:space="preserve">Не выводится на визуальную форму.</w:t>
            </w:r>
            <w:r/>
          </w:p>
          <w:p>
            <w:pPr>
              <w:pStyle w:val="1005"/>
              <w:ind w:left="57" w:right="57"/>
            </w:pPr>
            <w:r>
              <w:t xml:space="preserve">Формируется автоматически на основании поля </w:t>
            </w:r>
            <w:r>
              <w:t xml:space="preserve">«</w:t>
            </w:r>
            <w:r>
              <w:t xml:space="preserve">Бюджет</w:t>
            </w:r>
            <w:r>
              <w:t xml:space="preserve">»</w:t>
            </w:r>
            <w:r>
              <w:t xml:space="preserve"> из справочн</w:t>
            </w:r>
            <w:r>
              <w:t xml:space="preserve">и</w:t>
            </w:r>
            <w:r>
              <w:t xml:space="preserve">ка финорганов. Выбирается соответствующее коду Бюджета то значение, у которого в поле </w:t>
            </w:r>
            <w:r>
              <w:t xml:space="preserve">«</w:t>
            </w:r>
            <w:r>
              <w:t xml:space="preserve">Акт</w:t>
            </w:r>
            <w:r>
              <w:t xml:space="preserve">»</w:t>
            </w:r>
            <w:r>
              <w:t xml:space="preserve"> в справочнике финорганов стоит </w:t>
            </w:r>
            <w:r>
              <w:t xml:space="preserve">«</w:t>
            </w:r>
            <w:r>
              <w:t xml:space="preserve">флажок</w:t>
            </w:r>
            <w:r>
              <w:t xml:space="preserve">»</w:t>
            </w:r>
            <w:r>
              <w:t xml:space="preserve">.</w:t>
            </w:r>
            <w:r/>
          </w:p>
          <w:p>
            <w:pPr>
              <w:pStyle w:val="1005"/>
              <w:ind w:left="57" w:right="57"/>
            </w:pPr>
            <w:r>
              <w:t xml:space="preserve">При выборе пользователем</w:t>
            </w:r>
            <w:r>
              <w:t xml:space="preserve"> </w:t>
            </w:r>
            <w:r>
              <w:t xml:space="preserve">родительского документа значение заполн</w:t>
            </w:r>
            <w:r>
              <w:t xml:space="preserve">я</w:t>
            </w:r>
            <w:r>
              <w:t xml:space="preserve">е</w:t>
            </w:r>
            <w:r>
              <w:t xml:space="preserve">т</w:t>
            </w:r>
            <w:r>
              <w:t xml:space="preserve">ся автоматически из указанного бюджетного обязательства.</w:t>
            </w:r>
            <w:r/>
          </w:p>
          <w:p>
            <w:pPr>
              <w:pStyle w:val="1005"/>
              <w:ind w:left="57" w:right="57"/>
            </w:pPr>
            <w:r>
              <w:t xml:space="preserve">Может быть изменено после вода значения в поле </w:t>
            </w:r>
            <w:r>
              <w:t xml:space="preserve">«</w:t>
            </w:r>
            <w:r>
              <w:t xml:space="preserve">Финорган (наимен</w:t>
            </w:r>
            <w:r>
              <w:t xml:space="preserve">о</w:t>
            </w:r>
            <w:r>
              <w:t xml:space="preserve">вание)</w:t>
            </w:r>
            <w:r>
              <w:t xml:space="preserve">»</w:t>
            </w:r>
            <w:r>
              <w:t xml:space="preserve">.</w:t>
            </w:r>
            <w:r/>
          </w:p>
          <w:p>
            <w:pPr>
              <w:pStyle w:val="1005"/>
              <w:ind w:left="57" w:right="57"/>
            </w:pPr>
            <w:r>
              <w:t xml:space="preserve">Для БУ, АУ (31 л/с) не заполняется.</w:t>
            </w:r>
            <w:r/>
          </w:p>
        </w:tc>
      </w:tr>
      <w:tr>
        <w:trPr/>
        <w:tc>
          <w:tcPr>
            <w:shd w:val="clear" w:fill="auto" w:color="auto"/>
            <w:tcW w:w="1140" w:type="pct"/>
            <w:textDirection w:val="lrTb"/>
            <w:noWrap w:val="false"/>
          </w:tcPr>
          <w:p>
            <w:pPr>
              <w:pStyle w:val="1005"/>
              <w:ind w:left="57" w:right="57"/>
            </w:pPr>
            <w:r>
              <w:t xml:space="preserve">ФК, Орган ФК</w:t>
            </w:r>
            <w:r/>
          </w:p>
        </w:tc>
        <w:tc>
          <w:tcPr>
            <w:shd w:val="clear" w:fill="auto" w:color="auto"/>
            <w:tcW w:w="3860" w:type="pct"/>
            <w:textDirection w:val="lrTb"/>
            <w:noWrap w:val="false"/>
          </w:tcPr>
          <w:p>
            <w:pPr>
              <w:pStyle w:val="1005"/>
              <w:ind w:left="57" w:right="57"/>
            </w:pPr>
            <w:r>
              <w:t xml:space="preserve">Значение поля подтягивается по полю </w:t>
            </w:r>
            <w:r>
              <w:t xml:space="preserve">«</w:t>
            </w:r>
            <w:r>
              <w:t xml:space="preserve">по КОФК</w:t>
            </w:r>
            <w:r>
              <w:t xml:space="preserve">»</w:t>
            </w:r>
            <w:r>
              <w:t xml:space="preserve"> из справочника орг</w:t>
            </w:r>
            <w:r>
              <w:t xml:space="preserve">а</w:t>
            </w:r>
            <w:r>
              <w:t xml:space="preserve">нов ФК из поля </w:t>
            </w:r>
            <w:r>
              <w:t xml:space="preserve">«</w:t>
            </w:r>
            <w:r>
              <w:t xml:space="preserve">Полное наименование</w:t>
            </w:r>
            <w:r>
              <w:t xml:space="preserve">»</w:t>
            </w:r>
            <w:r>
              <w:t xml:space="preserve">. </w:t>
            </w:r>
            <w:r/>
          </w:p>
          <w:p>
            <w:pPr>
              <w:pStyle w:val="1005"/>
              <w:ind w:left="57" w:right="57"/>
            </w:pPr>
            <w:r>
              <w:t xml:space="preserve">Может быть изменено пользователем вручную.</w:t>
            </w:r>
            <w:r/>
          </w:p>
          <w:p>
            <w:pPr>
              <w:pStyle w:val="1005"/>
              <w:ind w:left="57" w:right="57"/>
            </w:pPr>
            <w:r>
              <w:t xml:space="preserve">Значение подтягивается автоматически при выборе родительского док</w:t>
            </w:r>
            <w:r>
              <w:t xml:space="preserve">у</w:t>
            </w:r>
            <w:r>
              <w:t xml:space="preserve">ме</w:t>
            </w:r>
            <w:r>
              <w:t xml:space="preserve">н</w:t>
            </w:r>
            <w:r>
              <w:t xml:space="preserve">та. </w:t>
            </w:r>
            <w:r/>
          </w:p>
        </w:tc>
      </w:tr>
      <w:tr>
        <w:trPr/>
        <w:tc>
          <w:tcPr>
            <w:shd w:val="clear" w:fill="auto" w:color="auto"/>
            <w:tcW w:w="1140" w:type="pct"/>
            <w:textDirection w:val="lrTb"/>
            <w:noWrap w:val="false"/>
          </w:tcPr>
          <w:p>
            <w:pPr>
              <w:pStyle w:val="1005"/>
              <w:ind w:left="57" w:right="57"/>
            </w:pPr>
            <w:r>
              <w:t xml:space="preserve">П</w:t>
            </w:r>
            <w:r>
              <w:t xml:space="preserve">о КОФК</w:t>
            </w:r>
            <w:r/>
          </w:p>
        </w:tc>
        <w:tc>
          <w:tcPr>
            <w:shd w:val="clear" w:fill="auto" w:color="auto"/>
            <w:tcW w:w="3860" w:type="pct"/>
            <w:textDirection w:val="lrTb"/>
            <w:noWrap w:val="false"/>
          </w:tcPr>
          <w:p>
            <w:pPr>
              <w:pStyle w:val="1005"/>
              <w:ind w:left="57" w:right="57"/>
            </w:pPr>
            <w:r>
              <w:t xml:space="preserve">На АРМ ФО: проверяется значение конста</w:t>
            </w:r>
            <w:r>
              <w:t xml:space="preserve">н</w:t>
            </w:r>
            <w:r>
              <w:t xml:space="preserve">ты код СОБСТВЕННОГО ТОФК:</w:t>
            </w:r>
            <w:r/>
          </w:p>
          <w:p>
            <w:pPr>
              <w:pStyle w:val="1007"/>
            </w:pPr>
            <w:r>
              <w:t xml:space="preserve">е</w:t>
            </w:r>
            <w:r>
              <w:t xml:space="preserve">сли оно равно ххуу, то по умолчанию проставляется значение ко</w:t>
            </w:r>
            <w:r>
              <w:t xml:space="preserve">н</w:t>
            </w:r>
            <w:r>
              <w:t xml:space="preserve">ста</w:t>
            </w:r>
            <w:r>
              <w:t xml:space="preserve">н</w:t>
            </w:r>
            <w:r>
              <w:t xml:space="preserve">ты код вышестоящего ТОФК равный хх00; </w:t>
            </w:r>
            <w:r/>
          </w:p>
          <w:p>
            <w:pPr>
              <w:pStyle w:val="1007"/>
            </w:pPr>
            <w:r>
              <w:t xml:space="preserve">если равна хх00, то по умолчанию проставляется значение код собс</w:t>
            </w:r>
            <w:r>
              <w:t xml:space="preserve">т</w:t>
            </w:r>
            <w:r>
              <w:t xml:space="preserve">венного ТОФК. </w:t>
            </w:r>
            <w:r/>
          </w:p>
          <w:p>
            <w:pPr>
              <w:pStyle w:val="1005"/>
              <w:ind w:left="57" w:right="57"/>
            </w:pPr>
            <w:r>
              <w:t xml:space="preserve">Может быть изменено пользователем вручную или выбором из справо</w:t>
            </w:r>
            <w:r>
              <w:t xml:space="preserve">ч</w:t>
            </w:r>
            <w:r>
              <w:t xml:space="preserve">ника КОФК (Органы ФК).</w:t>
            </w:r>
            <w:r/>
          </w:p>
          <w:p>
            <w:pPr>
              <w:pStyle w:val="1005"/>
              <w:ind w:left="57" w:right="57"/>
            </w:pPr>
            <w:r>
              <w:t xml:space="preserve">Значение подтягивается автоматически при выборе родительского док</w:t>
            </w:r>
            <w:r>
              <w:t xml:space="preserve">у</w:t>
            </w:r>
            <w:r>
              <w:t xml:space="preserve">ме</w:t>
            </w:r>
            <w:r>
              <w:t xml:space="preserve">н</w:t>
            </w:r>
            <w:r>
              <w:t xml:space="preserve">та. </w:t>
            </w:r>
            <w:r/>
          </w:p>
        </w:tc>
      </w:tr>
      <w:tr>
        <w:trPr/>
        <w:tc>
          <w:tcPr>
            <w:shd w:val="clear" w:fill="auto" w:color="auto"/>
            <w:tcW w:w="1140" w:type="pct"/>
            <w:textDirection w:val="lrTb"/>
            <w:noWrap w:val="false"/>
          </w:tcPr>
          <w:p>
            <w:pPr>
              <w:pStyle w:val="1005"/>
              <w:ind w:left="57" w:right="57"/>
            </w:pPr>
            <w:r>
              <w:t xml:space="preserve">Пред. </w:t>
            </w:r>
            <w:r>
              <w:t xml:space="preserve">Д</w:t>
            </w:r>
            <w:r>
              <w:t xml:space="preserve">ата</w:t>
            </w:r>
            <w:r/>
          </w:p>
        </w:tc>
        <w:tc>
          <w:tcPr>
            <w:shd w:val="clear" w:fill="auto" w:color="auto"/>
            <w:tcW w:w="3860" w:type="pct"/>
            <w:textDirection w:val="lrTb"/>
            <w:noWrap w:val="false"/>
          </w:tcPr>
          <w:p>
            <w:pPr>
              <w:pStyle w:val="1005"/>
              <w:ind w:left="57" w:right="57"/>
            </w:pPr>
            <w:r>
              <w:t xml:space="preserve">Может быть изменено пользователем вручную или выбором из системн</w:t>
            </w:r>
            <w:r>
              <w:t xml:space="preserve">о</w:t>
            </w:r>
            <w:r>
              <w:t xml:space="preserve">го календаря.</w:t>
            </w:r>
            <w:r/>
          </w:p>
          <w:p>
            <w:pPr>
              <w:pStyle w:val="1005"/>
              <w:ind w:left="57" w:right="57"/>
            </w:pPr>
            <w:r>
              <w:t xml:space="preserve">Для БУ, АУ (по 31 л/с) не заполняется.</w:t>
            </w:r>
            <w:r/>
          </w:p>
        </w:tc>
      </w:tr>
      <w:tr>
        <w:trPr/>
        <w:tc>
          <w:tcPr>
            <w:shd w:val="clear" w:fill="auto" w:color="auto"/>
            <w:tcW w:w="1140" w:type="pct"/>
            <w:textDirection w:val="lrTb"/>
            <w:noWrap w:val="false"/>
          </w:tcPr>
          <w:p>
            <w:pPr>
              <w:pStyle w:val="1005"/>
              <w:ind w:left="57" w:right="57"/>
            </w:pPr>
            <w:r>
              <w:t xml:space="preserve">Назначение платежа</w:t>
            </w:r>
            <w:r/>
          </w:p>
        </w:tc>
        <w:tc>
          <w:tcPr>
            <w:shd w:val="clear" w:fill="auto" w:color="auto"/>
            <w:tcW w:w="3860" w:type="pct"/>
            <w:textDirection w:val="lrTb"/>
            <w:noWrap w:val="false"/>
          </w:tcPr>
          <w:p>
            <w:pPr>
              <w:pStyle w:val="1005"/>
              <w:ind w:left="57" w:right="57"/>
            </w:pPr>
            <w:r>
              <w:t xml:space="preserve">Импорт из ТФФ.</w:t>
            </w:r>
            <w:r/>
          </w:p>
        </w:tc>
      </w:tr>
      <w:tr>
        <w:trPr/>
        <w:tc>
          <w:tcPr>
            <w:shd w:val="clear" w:fill="auto" w:color="auto"/>
            <w:tcW w:w="1140" w:type="pct"/>
            <w:textDirection w:val="lrTb"/>
            <w:noWrap w:val="false"/>
          </w:tcPr>
          <w:p>
            <w:pPr>
              <w:pStyle w:val="1005"/>
              <w:ind w:left="57" w:right="57"/>
            </w:pPr>
            <w:r>
              <w:t xml:space="preserve">Примечание</w:t>
            </w:r>
            <w:r/>
          </w:p>
        </w:tc>
        <w:tc>
          <w:tcPr>
            <w:shd w:val="clear" w:fill="auto" w:color="auto"/>
            <w:tcW w:w="3860" w:type="pct"/>
            <w:textDirection w:val="lrTb"/>
            <w:noWrap w:val="false"/>
          </w:tcPr>
          <w:p>
            <w:pPr>
              <w:pStyle w:val="1005"/>
              <w:ind w:left="57" w:right="57"/>
            </w:pPr>
            <w:r>
              <w:t xml:space="preserve">Импорт из ТФФ.</w:t>
            </w:r>
            <w:r/>
          </w:p>
        </w:tc>
      </w:tr>
      <w:tr>
        <w:trPr/>
        <w:tc>
          <w:tcPr>
            <w:gridSpan w:val="2"/>
            <w:shd w:val="clear" w:fill="auto" w:color="auto"/>
            <w:tcW w:w="5000" w:type="pct"/>
            <w:textDirection w:val="lrTb"/>
            <w:noWrap w:val="false"/>
          </w:tcPr>
          <w:p>
            <w:pPr>
              <w:pStyle w:val="1005"/>
              <w:ind w:left="57" w:right="57"/>
            </w:pPr>
            <w:r>
              <w:t xml:space="preserve">Закладка</w:t>
            </w:r>
            <w:r>
              <w:t xml:space="preserve"> «</w:t>
            </w:r>
            <w:r>
              <w:t xml:space="preserve">Заголовок, Раздел 1 (1)</w:t>
            </w:r>
            <w:r>
              <w:t xml:space="preserve">»</w:t>
            </w:r>
            <w:r>
              <w:t xml:space="preserve">, г</w:t>
            </w:r>
            <w:r>
              <w:t xml:space="preserve">руппа полей «Раздел 1. Реквизиты документа»</w:t>
            </w:r>
            <w:r/>
          </w:p>
        </w:tc>
      </w:tr>
      <w:tr>
        <w:trPr/>
        <w:tc>
          <w:tcPr>
            <w:shd w:val="clear" w:fill="auto" w:color="auto"/>
            <w:tcW w:w="1140" w:type="pct"/>
            <w:textDirection w:val="lrTb"/>
            <w:noWrap w:val="false"/>
          </w:tcPr>
          <w:p>
            <w:pPr>
              <w:pStyle w:val="1005"/>
              <w:ind w:left="57" w:right="57"/>
            </w:pPr>
            <w:r>
              <w:t xml:space="preserve">Код БК по расходам</w:t>
            </w:r>
            <w:r/>
          </w:p>
        </w:tc>
        <w:tc>
          <w:tcPr>
            <w:shd w:val="clear" w:fill="auto" w:color="auto"/>
            <w:tcW w:w="3860" w:type="pct"/>
            <w:textDirection w:val="lrTb"/>
            <w:noWrap w:val="false"/>
          </w:tcPr>
          <w:p>
            <w:pPr>
              <w:pStyle w:val="1005"/>
              <w:ind w:left="57" w:right="57"/>
            </w:pPr>
            <w:r>
              <w:t xml:space="preserve">Значение вводится</w:t>
            </w:r>
            <w:r>
              <w:t xml:space="preserve"> </w:t>
            </w:r>
            <w:r>
              <w:t xml:space="preserve">вручную или выбирается из справочника «КБК».</w:t>
            </w:r>
            <w:r/>
          </w:p>
          <w:p>
            <w:pPr>
              <w:pStyle w:val="1005"/>
              <w:ind w:left="57" w:right="57"/>
            </w:pPr>
            <w:r>
              <w:t xml:space="preserve">При выборе пользователем родительского документа, значение подтяг</w:t>
            </w:r>
            <w:r>
              <w:t xml:space="preserve">и</w:t>
            </w:r>
            <w:r>
              <w:t xml:space="preserve">вае</w:t>
            </w:r>
            <w:r>
              <w:t xml:space="preserve">т</w:t>
            </w:r>
            <w:r>
              <w:t xml:space="preserve">ся автоматически из указанного бюджетного обязательства.</w:t>
            </w:r>
            <w:r/>
          </w:p>
        </w:tc>
      </w:tr>
      <w:tr>
        <w:trPr/>
        <w:tc>
          <w:tcPr>
            <w:shd w:val="clear" w:fill="auto" w:color="auto"/>
            <w:tcW w:w="1140" w:type="pct"/>
            <w:textDirection w:val="lrTb"/>
            <w:noWrap w:val="false"/>
          </w:tcPr>
          <w:p>
            <w:pPr>
              <w:pStyle w:val="1005"/>
              <w:ind w:left="57" w:right="57"/>
            </w:pPr>
            <w:r>
              <w:t xml:space="preserve">Код БК по доходам</w:t>
            </w:r>
            <w:r/>
          </w:p>
        </w:tc>
        <w:tc>
          <w:tcPr>
            <w:shd w:val="clear" w:fill="auto" w:color="auto"/>
            <w:tcW w:w="3860" w:type="pct"/>
            <w:textDirection w:val="lrTb"/>
            <w:noWrap w:val="false"/>
          </w:tcPr>
          <w:p>
            <w:pPr>
              <w:pStyle w:val="1005"/>
              <w:ind w:left="57" w:right="57"/>
            </w:pPr>
            <w:r>
              <w:t xml:space="preserve">Значение вводится</w:t>
            </w:r>
            <w:r>
              <w:t xml:space="preserve"> </w:t>
            </w:r>
            <w:r>
              <w:t xml:space="preserve">вручную или выбирается из справочника «КБК».</w:t>
            </w:r>
            <w:r/>
          </w:p>
          <w:p>
            <w:pPr>
              <w:pStyle w:val="1005"/>
              <w:ind w:left="57" w:right="57"/>
            </w:pPr>
            <w:r>
              <w:t xml:space="preserve">При выборе пользователем родительского документа, значение подтяг</w:t>
            </w:r>
            <w:r>
              <w:t xml:space="preserve">и</w:t>
            </w:r>
            <w:r>
              <w:t xml:space="preserve">вае</w:t>
            </w:r>
            <w:r>
              <w:t xml:space="preserve">т</w:t>
            </w:r>
            <w:r>
              <w:t xml:space="preserve">ся автоматически из указанного бюджетного обязательства.</w:t>
            </w:r>
            <w:r/>
          </w:p>
        </w:tc>
      </w:tr>
      <w:tr>
        <w:trPr/>
        <w:tc>
          <w:tcPr>
            <w:shd w:val="clear" w:fill="auto" w:color="auto"/>
            <w:tcW w:w="1140" w:type="pct"/>
            <w:textDirection w:val="lrTb"/>
            <w:noWrap w:val="false"/>
          </w:tcPr>
          <w:p>
            <w:pPr>
              <w:pStyle w:val="1005"/>
              <w:ind w:left="57" w:right="57"/>
            </w:pPr>
            <w:r>
              <w:t xml:space="preserve">Статус налогоплательщ</w:t>
            </w:r>
            <w:r>
              <w:t xml:space="preserve">и</w:t>
            </w:r>
            <w:r>
              <w:t xml:space="preserve">ка</w:t>
            </w:r>
            <w:r/>
          </w:p>
        </w:tc>
        <w:tc>
          <w:tcPr>
            <w:shd w:val="clear" w:fill="auto" w:color="auto"/>
            <w:tcW w:w="3860" w:type="pct"/>
            <w:textDirection w:val="lrTb"/>
            <w:noWrap w:val="false"/>
          </w:tcPr>
          <w:p>
            <w:pPr>
              <w:pStyle w:val="1005"/>
              <w:ind w:left="57" w:right="57"/>
            </w:pPr>
            <w:r>
              <w:t xml:space="preserve">Значение вводится вручную или выбирается пользователем из справо</w:t>
            </w:r>
            <w:r>
              <w:t xml:space="preserve">ч</w:t>
            </w:r>
            <w:r>
              <w:t xml:space="preserve">н</w:t>
            </w:r>
            <w:r>
              <w:t xml:space="preserve">и</w:t>
            </w:r>
            <w:r>
              <w:t xml:space="preserve">ка «Статусы налогоплательщика».</w:t>
            </w:r>
            <w:r/>
          </w:p>
        </w:tc>
      </w:tr>
      <w:tr>
        <w:trPr/>
        <w:tc>
          <w:tcPr>
            <w:shd w:val="clear" w:fill="auto" w:color="auto"/>
            <w:tcW w:w="1140" w:type="pct"/>
            <w:textDirection w:val="lrTb"/>
            <w:noWrap w:val="false"/>
          </w:tcPr>
          <w:p>
            <w:pPr>
              <w:pStyle w:val="1005"/>
              <w:ind w:left="57" w:right="57"/>
            </w:pPr>
            <w:r>
              <w:t xml:space="preserve">Вид платежа</w:t>
            </w:r>
            <w:r/>
          </w:p>
        </w:tc>
        <w:tc>
          <w:tcPr>
            <w:shd w:val="clear" w:fill="auto" w:color="auto"/>
            <w:tcW w:w="3860" w:type="pct"/>
            <w:textDirection w:val="lrTb"/>
            <w:noWrap w:val="false"/>
          </w:tcPr>
          <w:p>
            <w:pPr>
              <w:pStyle w:val="1005"/>
              <w:ind w:left="57" w:right="57"/>
            </w:pPr>
            <w:r>
              <w:t xml:space="preserve">Для пользователя на статусе «Черновик» доступны значения «»,</w:t>
            </w:r>
            <w:r/>
          </w:p>
          <w:p>
            <w:pPr>
              <w:pStyle w:val="1005"/>
              <w:ind w:left="57" w:right="57"/>
            </w:pPr>
            <w:r>
              <w:t xml:space="preserve">«срочно».</w:t>
            </w:r>
            <w:r/>
          </w:p>
          <w:p>
            <w:pPr>
              <w:pStyle w:val="1005"/>
              <w:ind w:left="57" w:right="57"/>
            </w:pPr>
            <w:r>
              <w:t xml:space="preserve">По умолчанию проставляется пустое значение «».</w:t>
            </w:r>
            <w:r/>
          </w:p>
        </w:tc>
      </w:tr>
      <w:tr>
        <w:trPr/>
        <w:tc>
          <w:tcPr>
            <w:shd w:val="clear" w:fill="auto" w:color="auto"/>
            <w:tcW w:w="1140" w:type="pct"/>
            <w:textDirection w:val="lrTb"/>
            <w:noWrap w:val="false"/>
          </w:tcPr>
          <w:p>
            <w:pPr>
              <w:pStyle w:val="1005"/>
              <w:ind w:left="57" w:right="57"/>
            </w:pPr>
            <w:r>
              <w:t xml:space="preserve">Очередность платежа</w:t>
            </w:r>
            <w:r/>
          </w:p>
        </w:tc>
        <w:tc>
          <w:tcPr>
            <w:shd w:val="clear" w:fill="auto" w:color="auto"/>
            <w:tcW w:w="3860" w:type="pct"/>
            <w:textDirection w:val="lrTb"/>
            <w:noWrap w:val="false"/>
          </w:tcPr>
          <w:p>
            <w:pPr>
              <w:pStyle w:val="1005"/>
              <w:ind w:left="57" w:right="57"/>
            </w:pPr>
            <w:r>
              <w:t xml:space="preserve">Значение по умолчанию «5». Может быть изменено пользователем выб</w:t>
            </w:r>
            <w:r>
              <w:t xml:space="preserve">о</w:t>
            </w:r>
            <w:r>
              <w:t xml:space="preserve">ром из выпадающего списка 1, 2, 3, 4, 5.</w:t>
            </w:r>
            <w:r/>
          </w:p>
        </w:tc>
      </w:tr>
      <w:tr>
        <w:trPr/>
        <w:tc>
          <w:tcPr>
            <w:shd w:val="clear" w:fill="auto" w:color="auto"/>
            <w:tcW w:w="1140" w:type="pct"/>
            <w:textDirection w:val="lrTb"/>
            <w:noWrap w:val="false"/>
          </w:tcPr>
          <w:p>
            <w:pPr>
              <w:pStyle w:val="1005"/>
              <w:ind w:left="57" w:right="57"/>
            </w:pPr>
            <w:r>
              <w:t xml:space="preserve">Сумма</w:t>
            </w:r>
            <w:r/>
          </w:p>
        </w:tc>
        <w:tc>
          <w:tcPr>
            <w:shd w:val="clear" w:fill="auto" w:color="auto"/>
            <w:tcW w:w="3860" w:type="pct"/>
            <w:textDirection w:val="lrTb"/>
            <w:noWrap w:val="false"/>
          </w:tcPr>
          <w:p>
            <w:pPr>
              <w:pStyle w:val="1005"/>
              <w:ind w:left="57" w:right="57"/>
            </w:pPr>
            <w:r>
              <w:t xml:space="preserve">Значение вводится вручную.</w:t>
            </w:r>
            <w:r/>
          </w:p>
        </w:tc>
      </w:tr>
      <w:tr>
        <w:trPr/>
        <w:tc>
          <w:tcPr>
            <w:shd w:val="clear" w:fill="auto" w:color="auto"/>
            <w:tcW w:w="1140" w:type="pct"/>
            <w:textDirection w:val="lrTb"/>
            <w:noWrap w:val="false"/>
          </w:tcPr>
          <w:p>
            <w:pPr>
              <w:pStyle w:val="1005"/>
              <w:ind w:left="57" w:right="57"/>
            </w:pPr>
            <w:r>
              <w:t xml:space="preserve">Код цели плательщика</w:t>
            </w:r>
            <w:r/>
          </w:p>
        </w:tc>
        <w:tc>
          <w:tcPr>
            <w:shd w:val="clear" w:fill="auto" w:color="auto"/>
            <w:tcW w:w="3860" w:type="pct"/>
            <w:textDirection w:val="lrTb"/>
            <w:noWrap w:val="false"/>
          </w:tcPr>
          <w:p>
            <w:pPr>
              <w:pStyle w:val="1005"/>
              <w:ind w:left="57" w:right="57"/>
            </w:pPr>
            <w:r>
              <w:t xml:space="preserve">Значение может вводиться вручную или из Справочника кодов целей су</w:t>
            </w:r>
            <w:r>
              <w:t xml:space="preserve">б</w:t>
            </w:r>
            <w:r>
              <w:t xml:space="preserve">сидий/субвенций.</w:t>
            </w:r>
            <w:r/>
          </w:p>
          <w:p>
            <w:pPr>
              <w:pStyle w:val="1005"/>
              <w:ind w:left="57" w:right="57"/>
            </w:pPr>
            <w:r>
              <w:t xml:space="preserve">Значение подтягивается автоматически при выборе родительского док</w:t>
            </w:r>
            <w:r>
              <w:t xml:space="preserve">у</w:t>
            </w:r>
            <w:r>
              <w:t xml:space="preserve">ме</w:t>
            </w:r>
            <w:r>
              <w:t xml:space="preserve">н</w:t>
            </w:r>
            <w:r>
              <w:t xml:space="preserve">та.</w:t>
            </w:r>
            <w:r/>
          </w:p>
          <w:p>
            <w:pPr>
              <w:pStyle w:val="1005"/>
              <w:ind w:left="57" w:right="57"/>
            </w:pPr>
            <w:r>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w:t>
            </w:r>
            <w:r>
              <w:t xml:space="preserve">и</w:t>
            </w:r>
            <w:r>
              <w:t xml:space="preserve">дий НУБП». </w:t>
            </w:r>
            <w:r/>
          </w:p>
        </w:tc>
      </w:tr>
    </w:tbl>
    <w:p>
      <w:pPr>
        <w:pStyle w:val="994"/>
      </w:pPr>
      <w:r>
        <w:t xml:space="preserve">ЭФ документа «Сводная заявка на кассовый расход (для уплаты налогов)», закладки «Раздел 2 (2)»</w:t>
      </w:r>
      <w:r>
        <w:t xml:space="preserve"> представлена н</w:t>
      </w:r>
      <w:r>
        <w:t xml:space="preserve">а рисунке</w:t>
      </w:r>
      <w:r>
        <w:t xml:space="preserve"> </w:t>
      </w:r>
      <w:r>
        <w:fldChar w:fldCharType="begin"/>
      </w:r>
      <w:r>
        <w:instrText xml:space="preserve"> REF _Ref329603636 \h  \* MERGEFORMAT </w:instrText>
      </w:r>
      <w:r>
        <w:fldChar w:fldCharType="separate"/>
      </w:r>
      <w:r>
        <w:t xml:space="preserve">66</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1828800"/>
                <wp:effectExtent l="0" t="0" r="0" b="0"/>
                <wp:docPr id="13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31"/>
                        <a:stretch/>
                      </pic:blipFill>
                      <pic:spPr bwMode="auto">
                        <a:xfrm>
                          <a:off x="0" y="0"/>
                          <a:ext cx="6118860" cy="1828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 o:spid="_x0000_s134" type="#_x0000_t75" style="mso-wrap-distance-left:0.0pt;mso-wrap-distance-top:0.0pt;mso-wrap-distance-right:0.0pt;mso-wrap-distance-bottom:0.0pt;width:481.8pt;height:144.0pt;" stroked="f">
                <v:path textboxrect="0,0,0,0"/>
                <v:imagedata r:id="rId131" o:title=""/>
              </v:shape>
            </w:pict>
          </mc:Fallback>
        </mc:AlternateContent>
      </w:r>
      <w:r/>
    </w:p>
    <w:p>
      <w:pPr>
        <w:pStyle w:val="983"/>
      </w:pPr>
      <w:r>
        <w:fldChar w:fldCharType="begin"/>
      </w:r>
      <w:r>
        <w:instrText xml:space="preserve"> SEQ Рисунок \* ARABIC </w:instrText>
      </w:r>
      <w:r>
        <w:fldChar w:fldCharType="separate"/>
      </w:r>
      <w:bookmarkStart w:id="662" w:name="_Ref329603636"/>
      <w:r/>
      <w:bookmarkStart w:id="663" w:name="_Toc88819451"/>
      <w:r>
        <w:t xml:space="preserve">66</w:t>
      </w:r>
      <w:bookmarkEnd w:id="662"/>
      <w:r>
        <w:fldChar w:fldCharType="end"/>
      </w:r>
      <w:r>
        <w:t xml:space="preserve">. ЭФ документа «Сводная заявка на кассовый расход (для уплаты налогов)</w:t>
      </w:r>
      <w:r>
        <w:t xml:space="preserve">», закладки «</w:t>
      </w:r>
      <w:r>
        <w:t xml:space="preserve">Раздел 2 (2)»</w:t>
      </w:r>
      <w:bookmarkEnd w:id="663"/>
      <w:r/>
      <w:r/>
    </w:p>
    <w:p>
      <w:pPr>
        <w:pStyle w:val="994"/>
      </w:pPr>
      <w:r>
        <w:t xml:space="preserve">На основании строки документа из Раздела 2 (2) «Реквизиты получателя платежа» по кнопке</w:t>
      </w:r>
      <w:r>
        <w:t xml:space="preserve"> </w:t>
      </w:r>
      <w:r>
        <mc:AlternateContent>
          <mc:Choice Requires="wpg">
            <w:drawing>
              <wp:inline xmlns:wp="http://schemas.openxmlformats.org/drawingml/2006/wordprocessingDrawing" distT="0" distB="0" distL="0" distR="0">
                <wp:extent cx="274320" cy="274320"/>
                <wp:effectExtent l="0" t="0" r="0" b="0"/>
                <wp:docPr id="13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32"/>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 o:spid="_x0000_s135" type="#_x0000_t75" style="mso-wrap-distance-left:0.0pt;mso-wrap-distance-top:0.0pt;mso-wrap-distance-right:0.0pt;mso-wrap-distance-bottom:0.0pt;width:21.6pt;height:21.6pt;" stroked="f">
                <v:path textboxrect="0,0,0,0"/>
                <v:imagedata r:id="rId132" o:title=""/>
              </v:shape>
            </w:pict>
          </mc:Fallback>
        </mc:AlternateContent>
      </w:r>
      <w:r>
        <w:t xml:space="preserve"> </w:t>
      </w:r>
      <w:r>
        <w:t xml:space="preserve">(Создать Ответ на запрос (уведомление) по ЭПС участника) формируется доку-мент «Ответ на запрос (уведомление) по ЭПС участника».</w:t>
      </w:r>
      <w:r/>
    </w:p>
    <w:p>
      <w:pPr>
        <w:pStyle w:val="994"/>
      </w:pPr>
      <w:r>
        <w:t xml:space="preserve">Перечень</w:t>
      </w:r>
      <w:r>
        <w:t xml:space="preserve"> полей </w:t>
      </w:r>
      <w:r>
        <w:t xml:space="preserve">документа «Сводная заявка на кассовый расход (для уплаты налогов)», закладки «Раздел 2 (2)»</w:t>
      </w:r>
      <w:r>
        <w:t xml:space="preserve"> </w:t>
      </w:r>
      <w:r>
        <w:t xml:space="preserve">приведен в таблице</w:t>
      </w:r>
      <w:r>
        <w:t xml:space="preserve"> </w:t>
      </w:r>
      <w:r>
        <w:fldChar w:fldCharType="begin"/>
      </w:r>
      <w:r>
        <w:instrText xml:space="preserve"> REF _Ref329604837 \h  \* MERGEFORMAT </w:instrText>
      </w:r>
      <w:r>
        <w:fldChar w:fldCharType="separate"/>
      </w:r>
      <w:r>
        <w:t xml:space="preserve">30</w:t>
      </w:r>
      <w:r>
        <w:fldChar w:fldCharType="end"/>
      </w:r>
      <w:r>
        <w:t xml:space="preserve">.</w:t>
      </w:r>
      <w:r/>
    </w:p>
    <w:p>
      <w:pPr>
        <w:pStyle w:val="993"/>
      </w:pPr>
      <w:r>
        <w:fldChar w:fldCharType="begin"/>
      </w:r>
      <w:r>
        <w:instrText xml:space="preserve"> SEQ Таблица \* ARABIC </w:instrText>
      </w:r>
      <w:r>
        <w:fldChar w:fldCharType="separate"/>
      </w:r>
      <w:bookmarkStart w:id="664" w:name="_Ref329604837"/>
      <w:r/>
      <w:bookmarkStart w:id="665" w:name="_Toc88819216"/>
      <w:r>
        <w:t xml:space="preserve">30</w:t>
      </w:r>
      <w:bookmarkEnd w:id="664"/>
      <w:r>
        <w:fldChar w:fldCharType="end"/>
      </w:r>
      <w:r>
        <w:t xml:space="preserve">. Описание полей </w:t>
      </w:r>
      <w:r>
        <w:t xml:space="preserve">документа «Сводная заявка на кассовый расход (для уплаты налогов)», закладки «Раздел 2 (2)»</w:t>
      </w:r>
      <w:bookmarkEnd w:id="665"/>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37"/>
        <w:gridCol w:w="7415"/>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198"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02"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«Плательщик/Реквизиты получателя платежа»</w:t>
            </w:r>
            <w:r/>
          </w:p>
        </w:tc>
      </w:tr>
      <w:tr>
        <w:trPr/>
        <w:tc>
          <w:tcPr>
            <w:shd w:val="clear" w:fill="auto" w:color="auto"/>
            <w:tcW w:w="1198" w:type="pct"/>
            <w:textDirection w:val="lrTb"/>
            <w:noWrap w:val="false"/>
          </w:tcPr>
          <w:p>
            <w:pPr>
              <w:pStyle w:val="1005"/>
              <w:ind w:left="57" w:right="57"/>
            </w:pPr>
            <w:r>
              <w:t xml:space="preserve">№ п/п</w:t>
            </w:r>
            <w:r/>
          </w:p>
        </w:tc>
        <w:tc>
          <w:tcPr>
            <w:shd w:val="clear" w:fill="auto" w:color="auto"/>
            <w:tcW w:w="3802" w:type="pct"/>
            <w:textDirection w:val="lrTb"/>
            <w:noWrap w:val="false"/>
          </w:tcPr>
          <w:p>
            <w:pPr>
              <w:pStyle w:val="1005"/>
              <w:ind w:left="57" w:right="57"/>
            </w:pPr>
            <w:r>
              <w:t xml:space="preserve">Заполняется автоматически.</w:t>
            </w:r>
            <w:r/>
          </w:p>
        </w:tc>
      </w:tr>
      <w:tr>
        <w:trPr/>
        <w:tc>
          <w:tcPr>
            <w:shd w:val="clear" w:fill="auto" w:color="auto"/>
            <w:tcW w:w="1198" w:type="pct"/>
            <w:textDirection w:val="lrTb"/>
            <w:noWrap w:val="false"/>
          </w:tcPr>
          <w:p>
            <w:pPr>
              <w:pStyle w:val="1005"/>
              <w:ind w:left="57" w:right="57"/>
            </w:pPr>
            <w:r>
              <w:t xml:space="preserve">ИНН</w:t>
            </w:r>
            <w:r/>
          </w:p>
        </w:tc>
        <w:tc>
          <w:tcPr>
            <w:shd w:val="clear" w:fill="auto" w:color="auto"/>
            <w:tcW w:w="3802" w:type="pct"/>
            <w:textDirection w:val="lrTb"/>
            <w:noWrap w:val="false"/>
          </w:tcPr>
          <w:p>
            <w:pPr>
              <w:pStyle w:val="1005"/>
              <w:ind w:left="57" w:right="57"/>
            </w:pPr>
            <w:r>
              <w:t xml:space="preserve">Значение вводится вручную.</w:t>
            </w:r>
            <w:r/>
          </w:p>
        </w:tc>
      </w:tr>
      <w:tr>
        <w:trPr/>
        <w:tc>
          <w:tcPr>
            <w:shd w:val="clear" w:fill="auto" w:color="auto"/>
            <w:tcW w:w="1198" w:type="pct"/>
            <w:textDirection w:val="lrTb"/>
            <w:noWrap w:val="false"/>
          </w:tcPr>
          <w:p>
            <w:pPr>
              <w:pStyle w:val="1005"/>
              <w:ind w:left="57" w:right="57"/>
            </w:pPr>
            <w:r>
              <w:t xml:space="preserve">КПП</w:t>
            </w:r>
            <w:r/>
          </w:p>
        </w:tc>
        <w:tc>
          <w:tcPr>
            <w:shd w:val="clear" w:fill="auto" w:color="auto"/>
            <w:tcW w:w="3802" w:type="pct"/>
            <w:textDirection w:val="lrTb"/>
            <w:noWrap w:val="false"/>
          </w:tcPr>
          <w:p>
            <w:pPr>
              <w:pStyle w:val="1005"/>
              <w:ind w:left="57" w:right="57"/>
            </w:pPr>
            <w:r>
              <w:t xml:space="preserve">Значение вводится вручную.</w:t>
            </w:r>
            <w:r/>
          </w:p>
        </w:tc>
      </w:tr>
      <w:tr>
        <w:trPr/>
        <w:tc>
          <w:tcPr>
            <w:shd w:val="clear" w:fill="auto" w:color="auto"/>
            <w:tcW w:w="1198" w:type="pct"/>
            <w:textDirection w:val="lrTb"/>
            <w:noWrap w:val="false"/>
          </w:tcPr>
          <w:p>
            <w:pPr>
              <w:pStyle w:val="1005"/>
              <w:ind w:left="57" w:right="57"/>
            </w:pPr>
            <w:r>
              <w:t xml:space="preserve">Сумма</w:t>
            </w:r>
            <w:r/>
          </w:p>
        </w:tc>
        <w:tc>
          <w:tcPr>
            <w:shd w:val="clear" w:fill="auto" w:color="auto"/>
            <w:tcW w:w="3802" w:type="pct"/>
            <w:textDirection w:val="lrTb"/>
            <w:noWrap w:val="false"/>
          </w:tcPr>
          <w:p>
            <w:pPr>
              <w:pStyle w:val="1005"/>
              <w:ind w:left="57" w:right="57"/>
            </w:pPr>
            <w:r>
              <w:t xml:space="preserve">Значение вводится вручную.</w:t>
            </w:r>
            <w:r/>
          </w:p>
        </w:tc>
      </w:tr>
      <w:tr>
        <w:trPr/>
        <w:tc>
          <w:tcPr>
            <w:shd w:val="clear" w:fill="auto" w:color="auto"/>
            <w:tcW w:w="1198" w:type="pct"/>
            <w:textDirection w:val="lrTb"/>
            <w:noWrap w:val="false"/>
          </w:tcPr>
          <w:p>
            <w:pPr>
              <w:pStyle w:val="1005"/>
              <w:ind w:left="57" w:right="57"/>
            </w:pPr>
            <w:r>
              <w:t xml:space="preserve">Номер БО</w:t>
            </w:r>
            <w:r/>
          </w:p>
        </w:tc>
        <w:tc>
          <w:tcPr>
            <w:shd w:val="clear" w:fill="auto" w:color="auto"/>
            <w:tcW w:w="3802" w:type="pct"/>
            <w:textDirection w:val="lrTb"/>
            <w:noWrap w:val="false"/>
          </w:tcPr>
          <w:p>
            <w:pPr>
              <w:pStyle w:val="1005"/>
              <w:ind w:left="57" w:right="57"/>
            </w:pPr>
            <w:r>
              <w:t xml:space="preserve">Значение заполняется в OEBS. </w:t>
            </w:r>
            <w:r>
              <w:t xml:space="preserve">Экспорт из OEBS.</w:t>
            </w:r>
            <w:r/>
          </w:p>
        </w:tc>
      </w:tr>
      <w:tr>
        <w:trPr/>
        <w:tc>
          <w:tcPr>
            <w:shd w:val="clear" w:fill="auto" w:color="auto"/>
            <w:tcW w:w="1198" w:type="pct"/>
            <w:textDirection w:val="lrTb"/>
            <w:noWrap w:val="false"/>
          </w:tcPr>
          <w:p>
            <w:pPr>
              <w:pStyle w:val="1005"/>
              <w:ind w:left="57" w:right="57"/>
            </w:pPr>
            <w:r>
              <w:t xml:space="preserve">Наименование ОрФК (н</w:t>
            </w:r>
            <w:r>
              <w:t xml:space="preserve">а</w:t>
            </w:r>
            <w:r>
              <w:t xml:space="preserve">им</w:t>
            </w:r>
            <w:r>
              <w:t xml:space="preserve">е</w:t>
            </w:r>
            <w:r>
              <w:t xml:space="preserve">нование АП)</w:t>
            </w:r>
            <w:r/>
          </w:p>
        </w:tc>
        <w:tc>
          <w:tcPr>
            <w:shd w:val="clear" w:fill="auto" w:color="auto"/>
            <w:tcW w:w="3802" w:type="pct"/>
            <w:textDirection w:val="lrTb"/>
            <w:noWrap w:val="false"/>
          </w:tcPr>
          <w:p>
            <w:pPr>
              <w:pStyle w:val="1005"/>
              <w:ind w:left="57" w:right="57"/>
            </w:pPr>
            <w:r>
              <w:t xml:space="preserve">Наименование получателя платежа.</w:t>
            </w:r>
            <w:r/>
          </w:p>
          <w:p>
            <w:pPr>
              <w:pStyle w:val="1005"/>
              <w:ind w:left="57" w:right="57"/>
            </w:pPr>
            <w:r>
              <w:t xml:space="preserve">Значение вводится вручную.</w:t>
            </w:r>
            <w:r/>
          </w:p>
        </w:tc>
      </w:tr>
      <w:tr>
        <w:trPr/>
        <w:tc>
          <w:tcPr>
            <w:shd w:val="clear" w:fill="auto" w:color="auto"/>
            <w:tcW w:w="1198" w:type="pct"/>
            <w:textDirection w:val="lrTb"/>
            <w:noWrap w:val="false"/>
          </w:tcPr>
          <w:p>
            <w:pPr>
              <w:pStyle w:val="1005"/>
              <w:ind w:left="57" w:right="57"/>
            </w:pPr>
            <w:r>
              <w:t xml:space="preserve">ИНН АП</w:t>
            </w:r>
            <w:r/>
          </w:p>
        </w:tc>
        <w:tc>
          <w:tcPr>
            <w:shd w:val="clear" w:fill="auto" w:color="auto"/>
            <w:tcW w:w="3802" w:type="pct"/>
            <w:textDirection w:val="lrTb"/>
            <w:noWrap w:val="false"/>
          </w:tcPr>
          <w:p>
            <w:pPr>
              <w:pStyle w:val="1005"/>
              <w:ind w:left="57" w:right="57"/>
            </w:pPr>
            <w:r>
              <w:t xml:space="preserve">Указывается ИНН налогового органа – АДБ. Значение вводится вру</w:t>
            </w:r>
            <w:r>
              <w:t xml:space="preserve">ч</w:t>
            </w:r>
            <w:r>
              <w:t xml:space="preserve">ную.</w:t>
            </w:r>
            <w:r/>
          </w:p>
        </w:tc>
      </w:tr>
      <w:tr>
        <w:trPr/>
        <w:tc>
          <w:tcPr>
            <w:shd w:val="clear" w:fill="auto" w:color="auto"/>
            <w:tcW w:w="1198" w:type="pct"/>
            <w:textDirection w:val="lrTb"/>
            <w:noWrap w:val="false"/>
          </w:tcPr>
          <w:p>
            <w:pPr>
              <w:pStyle w:val="1005"/>
              <w:ind w:left="57" w:right="57"/>
            </w:pPr>
            <w:r>
              <w:t xml:space="preserve">КПП АП</w:t>
            </w:r>
            <w:r/>
          </w:p>
        </w:tc>
        <w:tc>
          <w:tcPr>
            <w:shd w:val="clear" w:fill="auto" w:color="auto"/>
            <w:tcW w:w="3802" w:type="pct"/>
            <w:textDirection w:val="lrTb"/>
            <w:noWrap w:val="false"/>
          </w:tcPr>
          <w:p>
            <w:pPr>
              <w:pStyle w:val="1005"/>
              <w:ind w:left="57" w:right="57"/>
            </w:pPr>
            <w:r>
              <w:t xml:space="preserve">Указывается ИНН налогового органа – АДБ. Значение вводится вру</w:t>
            </w:r>
            <w:r>
              <w:t xml:space="preserve">ч</w:t>
            </w:r>
            <w:r>
              <w:t xml:space="preserve">ную.</w:t>
            </w:r>
            <w:r/>
          </w:p>
        </w:tc>
      </w:tr>
      <w:tr>
        <w:trPr/>
        <w:tc>
          <w:tcPr>
            <w:shd w:val="clear" w:fill="auto" w:color="auto"/>
            <w:tcW w:w="1198" w:type="pct"/>
            <w:textDirection w:val="lrTb"/>
            <w:noWrap w:val="false"/>
          </w:tcPr>
          <w:p>
            <w:pPr>
              <w:pStyle w:val="1005"/>
              <w:ind w:left="57" w:right="57"/>
            </w:pPr>
            <w:r>
              <w:t xml:space="preserve">Счет получателя</w:t>
            </w:r>
            <w:r/>
          </w:p>
        </w:tc>
        <w:tc>
          <w:tcPr>
            <w:shd w:val="clear" w:fill="auto" w:color="auto"/>
            <w:tcW w:w="3802" w:type="pct"/>
            <w:textDirection w:val="lrTb"/>
            <w:noWrap w:val="false"/>
          </w:tcPr>
          <w:p>
            <w:pPr>
              <w:pStyle w:val="1005"/>
              <w:ind w:left="57" w:right="57"/>
            </w:pPr>
            <w:r>
              <w:t xml:space="preserve">Указывается номер банковского счета по маске </w:t>
            </w:r>
            <w:r>
              <w:t xml:space="preserve">«</w:t>
            </w:r>
            <w:r>
              <w:t xml:space="preserve">№ </w:t>
            </w:r>
            <w:r>
              <w:t xml:space="preserve">03100</w:t>
            </w:r>
            <w:r>
              <w:t xml:space="preserve">»</w:t>
            </w:r>
            <w:r>
              <w:t xml:space="preserve">. Значение вводится вручную.</w:t>
            </w:r>
            <w:r/>
          </w:p>
        </w:tc>
      </w:tr>
      <w:tr>
        <w:trPr/>
        <w:tc>
          <w:tcPr>
            <w:shd w:val="clear" w:fill="auto" w:color="auto"/>
            <w:tcW w:w="1198" w:type="pct"/>
            <w:textDirection w:val="lrTb"/>
            <w:noWrap w:val="false"/>
          </w:tcPr>
          <w:p>
            <w:pPr>
              <w:pStyle w:val="1005"/>
              <w:ind w:left="57" w:right="57"/>
            </w:pPr>
            <w:r>
              <w:t xml:space="preserve">Наименование банка получ</w:t>
            </w:r>
            <w:r>
              <w:t xml:space="preserve">а</w:t>
            </w:r>
            <w:r>
              <w:t xml:space="preserve">теля</w:t>
            </w:r>
            <w:r/>
          </w:p>
        </w:tc>
        <w:tc>
          <w:tcPr>
            <w:shd w:val="clear" w:fill="auto" w:color="auto"/>
            <w:tcW w:w="3802" w:type="pct"/>
            <w:textDirection w:val="lrTb"/>
            <w:noWrap w:val="false"/>
          </w:tcPr>
          <w:p>
            <w:pPr>
              <w:pStyle w:val="1005"/>
              <w:ind w:left="57" w:right="57"/>
            </w:pPr>
            <w:r>
              <w:t xml:space="preserve">Значение подтягивается автоматически после заполн</w:t>
            </w:r>
            <w:r>
              <w:t xml:space="preserve">е</w:t>
            </w:r>
            <w:r>
              <w:t xml:space="preserve">ния поля </w:t>
            </w:r>
            <w:r>
              <w:t xml:space="preserve">«</w:t>
            </w:r>
            <w:r>
              <w:t xml:space="preserve">БИК/SWIFT</w:t>
            </w:r>
            <w:r>
              <w:t xml:space="preserve">»</w:t>
            </w:r>
            <w:r>
              <w:t xml:space="preserve"> из справочника </w:t>
            </w:r>
            <w:r>
              <w:t xml:space="preserve">«Справочник </w:t>
            </w:r>
            <w:r>
              <w:t xml:space="preserve">банков</w:t>
            </w:r>
            <w:r>
              <w:t xml:space="preserve">»</w:t>
            </w:r>
            <w:r>
              <w:t xml:space="preserve"> из поля </w:t>
            </w:r>
            <w:r>
              <w:t xml:space="preserve">«</w:t>
            </w:r>
            <w:r>
              <w:t xml:space="preserve">Платежное наимен</w:t>
            </w:r>
            <w:r>
              <w:t xml:space="preserve">о</w:t>
            </w:r>
            <w:r>
              <w:t xml:space="preserve">вание </w:t>
            </w:r>
            <w:r>
              <w:t xml:space="preserve">банка составное</w:t>
            </w:r>
            <w:r>
              <w:t xml:space="preserve">»</w:t>
            </w:r>
            <w:r>
              <w:t xml:space="preserve">.</w:t>
            </w:r>
            <w:r/>
          </w:p>
          <w:p>
            <w:pPr>
              <w:pStyle w:val="1005"/>
              <w:ind w:left="57" w:right="57"/>
            </w:pPr>
            <w:r>
              <w:t xml:space="preserve">Поле доступно для редактирования.</w:t>
            </w:r>
            <w:r/>
          </w:p>
          <w:p>
            <w:pPr>
              <w:pStyle w:val="1005"/>
              <w:ind w:left="57" w:right="57"/>
            </w:pPr>
            <w:r>
              <w:t xml:space="preserve">Возможно заполнение из родительского документа.</w:t>
            </w:r>
            <w:r/>
          </w:p>
        </w:tc>
      </w:tr>
      <w:tr>
        <w:trPr/>
        <w:tc>
          <w:tcPr>
            <w:shd w:val="clear" w:fill="auto" w:color="auto"/>
            <w:tcW w:w="1198" w:type="pct"/>
            <w:textDirection w:val="lrTb"/>
            <w:noWrap w:val="false"/>
          </w:tcPr>
          <w:p>
            <w:pPr>
              <w:pStyle w:val="1005"/>
              <w:ind w:left="57" w:right="57"/>
            </w:pPr>
            <w:r>
              <w:t xml:space="preserve">БИК</w:t>
            </w:r>
            <w:r/>
          </w:p>
        </w:tc>
        <w:tc>
          <w:tcPr>
            <w:shd w:val="clear" w:fill="auto" w:color="auto"/>
            <w:tcW w:w="3802" w:type="pct"/>
            <w:textDirection w:val="lrTb"/>
            <w:noWrap w:val="false"/>
          </w:tcPr>
          <w:p>
            <w:pPr>
              <w:pStyle w:val="1005"/>
              <w:ind w:left="57" w:right="57"/>
            </w:pPr>
            <w:r>
              <w:t xml:space="preserve">Значение подтягивается автоматически после заполн</w:t>
            </w:r>
            <w:r>
              <w:t xml:space="preserve">е</w:t>
            </w:r>
            <w:r>
              <w:t xml:space="preserve">ния поля </w:t>
            </w:r>
            <w:r>
              <w:t xml:space="preserve">«</w:t>
            </w:r>
            <w:r>
              <w:t xml:space="preserve">Банковский счет</w:t>
            </w:r>
            <w:r>
              <w:t xml:space="preserve">»</w:t>
            </w:r>
            <w:r>
              <w:t xml:space="preserve"> из справочника </w:t>
            </w:r>
            <w:r>
              <w:t xml:space="preserve">«</w:t>
            </w:r>
            <w:r>
              <w:t xml:space="preserve">Банко</w:t>
            </w:r>
            <w:r>
              <w:t xml:space="preserve">в</w:t>
            </w:r>
            <w:r>
              <w:t xml:space="preserve">ские счета поставщиков</w:t>
            </w:r>
            <w:r>
              <w:t xml:space="preserve">»</w:t>
            </w:r>
            <w:r>
              <w:t xml:space="preserve"> (поле </w:t>
            </w:r>
            <w:r>
              <w:t xml:space="preserve">«</w:t>
            </w:r>
            <w:r>
              <w:t xml:space="preserve">где о</w:t>
            </w:r>
            <w:r>
              <w:t xml:space="preserve">т</w:t>
            </w:r>
            <w:r>
              <w:t xml:space="preserve">крыт</w:t>
            </w:r>
            <w:r>
              <w:t xml:space="preserve">»</w:t>
            </w:r>
            <w:r>
              <w:t xml:space="preserve">).</w:t>
            </w:r>
            <w:r/>
          </w:p>
          <w:p>
            <w:pPr>
              <w:pStyle w:val="1005"/>
              <w:ind w:left="57" w:right="57"/>
            </w:pPr>
            <w:r>
              <w:t xml:space="preserve">Может быть отредактировано вручную или выбором из справочника ба</w:t>
            </w:r>
            <w:r>
              <w:t xml:space="preserve">н</w:t>
            </w:r>
            <w:r>
              <w:t xml:space="preserve">ков.</w:t>
            </w:r>
            <w:r/>
          </w:p>
          <w:p>
            <w:pPr>
              <w:pStyle w:val="1005"/>
              <w:ind w:left="57" w:right="57"/>
            </w:pPr>
            <w:r>
              <w:t xml:space="preserve">Возможно заполнение из родительского документа.</w:t>
            </w:r>
            <w:r/>
          </w:p>
        </w:tc>
      </w:tr>
      <w:tr>
        <w:trPr/>
        <w:tc>
          <w:tcPr>
            <w:shd w:val="clear" w:fill="auto" w:color="auto"/>
            <w:tcW w:w="1198" w:type="pct"/>
            <w:textDirection w:val="lrTb"/>
            <w:noWrap w:val="false"/>
          </w:tcPr>
          <w:p>
            <w:pPr>
              <w:pStyle w:val="1005"/>
              <w:ind w:left="57" w:right="57"/>
            </w:pPr>
            <w:r>
              <w:t xml:space="preserve">Корреспондентский счет</w:t>
            </w:r>
            <w:r/>
          </w:p>
        </w:tc>
        <w:tc>
          <w:tcPr>
            <w:shd w:val="clear" w:fill="auto" w:color="auto"/>
            <w:tcW w:w="3802" w:type="pct"/>
            <w:textDirection w:val="lrTb"/>
            <w:noWrap w:val="false"/>
          </w:tcPr>
          <w:p>
            <w:pPr>
              <w:pStyle w:val="1005"/>
              <w:ind w:left="57" w:right="57"/>
            </w:pPr>
            <w:r>
              <w:t xml:space="preserve">В случае если в поле «Банк.счет» указан Казначейский счет (знач</w:t>
            </w:r>
            <w:r>
              <w:t xml:space="preserve">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r/>
          </w:p>
          <w:p>
            <w:pPr>
              <w:pStyle w:val="1005"/>
              <w:ind w:left="57" w:right="57"/>
            </w:pPr>
            <w:r>
              <w:t xml:space="preserve">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t xml:space="preserve"> </w:t>
            </w:r>
            <w:r/>
          </w:p>
          <w:p>
            <w:pPr>
              <w:pStyle w:val="1005"/>
              <w:ind w:left="57" w:right="57"/>
            </w:pPr>
            <w:r>
              <w:t xml:space="preserve">Поле доступно для редактирования.</w:t>
            </w:r>
            <w:r/>
          </w:p>
          <w:p>
            <w:pPr>
              <w:pStyle w:val="1005"/>
              <w:ind w:left="57" w:right="57"/>
            </w:pPr>
            <w:r>
              <w:t xml:space="preserve">Возможно заполнение из родительского документа.</w:t>
            </w:r>
            <w:r/>
          </w:p>
        </w:tc>
      </w:tr>
      <w:tr>
        <w:trPr/>
        <w:tc>
          <w:tcPr>
            <w:gridSpan w:val="2"/>
            <w:shd w:val="clear" w:fill="auto" w:color="auto"/>
            <w:tcW w:w="5000" w:type="pct"/>
            <w:textDirection w:val="lrTb"/>
            <w:noWrap w:val="false"/>
          </w:tcPr>
          <w:p>
            <w:pPr>
              <w:pStyle w:val="1005"/>
              <w:ind w:left="57" w:right="57"/>
            </w:pPr>
            <w:r>
              <w:t xml:space="preserve">Группа полей «Реквизиты налоговых платежей»</w:t>
            </w:r>
            <w:r/>
          </w:p>
        </w:tc>
      </w:tr>
      <w:tr>
        <w:trPr/>
        <w:tc>
          <w:tcPr>
            <w:shd w:val="clear" w:fill="auto" w:color="auto"/>
            <w:tcW w:w="1198" w:type="pct"/>
            <w:textDirection w:val="lrTb"/>
            <w:noWrap w:val="false"/>
          </w:tcPr>
          <w:p>
            <w:pPr>
              <w:pStyle w:val="1005"/>
              <w:ind w:left="57" w:right="57"/>
            </w:pPr>
            <w:r>
              <w:t xml:space="preserve">Код по ОКТМО</w:t>
            </w:r>
            <w:r/>
          </w:p>
        </w:tc>
        <w:tc>
          <w:tcPr>
            <w:shd w:val="clear" w:fill="auto" w:color="auto"/>
            <w:tcW w:w="3802" w:type="pct"/>
            <w:textDirection w:val="lrTb"/>
            <w:noWrap w:val="false"/>
          </w:tcPr>
          <w:p>
            <w:pPr>
              <w:pStyle w:val="1005"/>
              <w:ind w:left="57" w:right="57"/>
            </w:pPr>
            <w:r>
              <w:t xml:space="preserve">Значение вводится вручную или заполняется из спр</w:t>
            </w:r>
            <w:r>
              <w:t xml:space="preserve">а</w:t>
            </w:r>
            <w:r>
              <w:t xml:space="preserve">вочника ОКАТО.</w:t>
            </w:r>
            <w:r/>
          </w:p>
        </w:tc>
      </w:tr>
      <w:tr>
        <w:trPr/>
        <w:tc>
          <w:tcPr>
            <w:shd w:val="clear" w:fill="auto" w:color="auto"/>
            <w:tcW w:w="1198" w:type="pct"/>
            <w:textDirection w:val="lrTb"/>
            <w:noWrap w:val="false"/>
          </w:tcPr>
          <w:p>
            <w:pPr>
              <w:pStyle w:val="1005"/>
              <w:ind w:left="57" w:right="57"/>
            </w:pPr>
            <w:r>
              <w:t xml:space="preserve">Основание платежа</w:t>
            </w:r>
            <w:r/>
          </w:p>
        </w:tc>
        <w:tc>
          <w:tcPr>
            <w:shd w:val="clear" w:fill="auto" w:color="auto"/>
            <w:tcW w:w="3802" w:type="pct"/>
            <w:textDirection w:val="lrTb"/>
            <w:noWrap w:val="false"/>
          </w:tcPr>
          <w:p>
            <w:pPr>
              <w:pStyle w:val="1005"/>
              <w:ind w:left="57" w:right="57"/>
            </w:pPr>
            <w:r>
              <w:t xml:space="preserve">Значение вводится вручную.</w:t>
            </w:r>
            <w:r/>
          </w:p>
        </w:tc>
      </w:tr>
      <w:tr>
        <w:trPr/>
        <w:tc>
          <w:tcPr>
            <w:shd w:val="clear" w:fill="auto" w:color="auto"/>
            <w:tcW w:w="1198" w:type="pct"/>
            <w:textDirection w:val="lrTb"/>
            <w:noWrap w:val="false"/>
          </w:tcPr>
          <w:p>
            <w:pPr>
              <w:pStyle w:val="1005"/>
              <w:ind w:left="57" w:right="57"/>
            </w:pPr>
            <w:r>
              <w:t xml:space="preserve">Налоговый период</w:t>
            </w:r>
            <w:r/>
          </w:p>
        </w:tc>
        <w:tc>
          <w:tcPr>
            <w:shd w:val="clear" w:fill="auto" w:color="auto"/>
            <w:tcW w:w="3802" w:type="pct"/>
            <w:textDirection w:val="lrTb"/>
            <w:noWrap w:val="false"/>
          </w:tcPr>
          <w:p>
            <w:pPr>
              <w:pStyle w:val="1005"/>
              <w:ind w:left="57" w:right="57"/>
            </w:pPr>
            <w:r>
              <w:t xml:space="preserve">Значение вводится вручную.</w:t>
            </w:r>
            <w:r/>
          </w:p>
        </w:tc>
      </w:tr>
      <w:tr>
        <w:trPr/>
        <w:tc>
          <w:tcPr>
            <w:shd w:val="clear" w:fill="auto" w:color="auto"/>
            <w:tcW w:w="1198" w:type="pct"/>
            <w:textDirection w:val="lrTb"/>
            <w:noWrap w:val="false"/>
          </w:tcPr>
          <w:p>
            <w:pPr>
              <w:pStyle w:val="1005"/>
              <w:ind w:left="57" w:right="57"/>
            </w:pPr>
            <w:r>
              <w:t xml:space="preserve">Номер документа-основания</w:t>
            </w:r>
            <w:r/>
          </w:p>
        </w:tc>
        <w:tc>
          <w:tcPr>
            <w:shd w:val="clear" w:fill="auto" w:color="auto"/>
            <w:tcW w:w="3802" w:type="pct"/>
            <w:textDirection w:val="lrTb"/>
            <w:noWrap w:val="false"/>
          </w:tcPr>
          <w:p>
            <w:pPr>
              <w:pStyle w:val="1005"/>
              <w:ind w:left="57" w:right="57"/>
            </w:pPr>
            <w:r>
              <w:t xml:space="preserve">Значение вводится вручную.</w:t>
            </w:r>
            <w:r/>
          </w:p>
        </w:tc>
      </w:tr>
      <w:tr>
        <w:trPr/>
        <w:tc>
          <w:tcPr>
            <w:shd w:val="clear" w:fill="auto" w:color="auto"/>
            <w:tcW w:w="1198" w:type="pct"/>
            <w:textDirection w:val="lrTb"/>
            <w:noWrap w:val="false"/>
          </w:tcPr>
          <w:p>
            <w:pPr>
              <w:pStyle w:val="1005"/>
              <w:ind w:left="57" w:right="57"/>
            </w:pPr>
            <w:r>
              <w:t xml:space="preserve">Дата документа-</w:t>
            </w:r>
            <w:r>
              <w:t xml:space="preserve">основания</w:t>
            </w:r>
            <w:r/>
          </w:p>
        </w:tc>
        <w:tc>
          <w:tcPr>
            <w:shd w:val="clear" w:fill="auto" w:color="auto"/>
            <w:tcW w:w="3802" w:type="pct"/>
            <w:textDirection w:val="lrTb"/>
            <w:noWrap w:val="false"/>
          </w:tcPr>
          <w:p>
            <w:pPr>
              <w:pStyle w:val="1005"/>
              <w:ind w:left="57" w:right="57"/>
            </w:pPr>
            <w:r>
              <w:t xml:space="preserve">Значение вводится вручную.</w:t>
            </w:r>
            <w:r/>
          </w:p>
        </w:tc>
      </w:tr>
      <w:tr>
        <w:trPr/>
        <w:tc>
          <w:tcPr>
            <w:shd w:val="clear" w:fill="auto" w:color="auto"/>
            <w:tcW w:w="1198" w:type="pct"/>
            <w:textDirection w:val="lrTb"/>
            <w:noWrap w:val="false"/>
          </w:tcPr>
          <w:p>
            <w:pPr>
              <w:pStyle w:val="1005"/>
              <w:ind w:left="57" w:right="57"/>
            </w:pPr>
            <w:r>
              <w:t xml:space="preserve">Тип платежа</w:t>
            </w:r>
            <w:r/>
          </w:p>
        </w:tc>
        <w:tc>
          <w:tcPr>
            <w:shd w:val="clear" w:fill="auto" w:color="auto"/>
            <w:tcW w:w="3802" w:type="pct"/>
            <w:textDirection w:val="lrTb"/>
            <w:noWrap w:val="false"/>
          </w:tcPr>
          <w:p>
            <w:pPr>
              <w:pStyle w:val="1005"/>
              <w:ind w:left="57" w:right="57"/>
            </w:pPr>
            <w:r>
              <w:t xml:space="preserve">Значение вводится вручную.</w:t>
            </w:r>
            <w:r/>
          </w:p>
        </w:tc>
      </w:tr>
      <w:tr>
        <w:trPr/>
        <w:tc>
          <w:tcPr>
            <w:shd w:val="clear" w:fill="auto" w:color="auto"/>
            <w:tcW w:w="1198" w:type="pct"/>
            <w:textDirection w:val="lrTb"/>
            <w:noWrap w:val="false"/>
          </w:tcPr>
          <w:p>
            <w:pPr>
              <w:pStyle w:val="1005"/>
              <w:ind w:left="57" w:right="57"/>
            </w:pPr>
            <w:r>
              <w:t xml:space="preserve">Вид дохода</w:t>
            </w:r>
            <w:r/>
          </w:p>
        </w:tc>
        <w:tc>
          <w:tcPr>
            <w:shd w:val="clear" w:fill="auto" w:color="auto"/>
            <w:tcW w:w="3802" w:type="pct"/>
            <w:textDirection w:val="lrTb"/>
            <w:noWrap w:val="false"/>
          </w:tcPr>
          <w:p>
            <w:pPr>
              <w:pStyle w:val="1005"/>
              <w:ind w:left="57" w:right="57"/>
            </w:pPr>
            <w:r>
              <w:t xml:space="preserve">Код вида дохода заполняется автоматически при импорте документа.</w:t>
            </w:r>
            <w:r/>
          </w:p>
          <w:p>
            <w:pPr>
              <w:pStyle w:val="1005"/>
              <w:ind w:left="57" w:right="57"/>
            </w:pPr>
            <w:r>
              <w:t xml:space="preserve">При ручном вводе документа заполняется пользователем путем выбора из списка значений: 1, 2, 3.</w:t>
            </w:r>
            <w:r/>
          </w:p>
        </w:tc>
      </w:tr>
      <w:tr>
        <w:trPr/>
        <w:tc>
          <w:tcPr>
            <w:shd w:val="clear" w:fill="auto" w:color="auto"/>
            <w:tcW w:w="1198" w:type="pct"/>
            <w:textDirection w:val="lrTb"/>
            <w:noWrap w:val="false"/>
          </w:tcPr>
          <w:p>
            <w:pPr>
              <w:pStyle w:val="1005"/>
              <w:ind w:left="57" w:right="57"/>
            </w:pPr>
            <w:r>
              <w:t xml:space="preserve">Назначение платежа</w:t>
            </w:r>
            <w:r/>
          </w:p>
        </w:tc>
        <w:tc>
          <w:tcPr>
            <w:shd w:val="clear" w:fill="auto" w:color="auto"/>
            <w:tcW w:w="3802" w:type="pct"/>
            <w:textDirection w:val="lrTb"/>
            <w:noWrap w:val="false"/>
          </w:tcPr>
          <w:p>
            <w:pPr>
              <w:pStyle w:val="1005"/>
              <w:ind w:left="57" w:right="57"/>
            </w:pPr>
            <w:r>
              <w:t xml:space="preserve">Значение вводится вручную.</w:t>
            </w:r>
            <w:r/>
          </w:p>
        </w:tc>
      </w:tr>
      <w:tr>
        <w:trPr/>
        <w:tc>
          <w:tcPr>
            <w:shd w:val="clear" w:fill="auto" w:color="auto"/>
            <w:tcW w:w="1198" w:type="pct"/>
            <w:textDirection w:val="lrTb"/>
            <w:noWrap w:val="false"/>
          </w:tcPr>
          <w:p>
            <w:pPr>
              <w:pStyle w:val="1005"/>
              <w:ind w:left="57" w:right="57"/>
            </w:pPr>
            <w:r>
              <w:t xml:space="preserve">Примечание</w:t>
            </w:r>
            <w:r/>
          </w:p>
        </w:tc>
        <w:tc>
          <w:tcPr>
            <w:shd w:val="clear" w:fill="auto" w:color="auto"/>
            <w:tcW w:w="3802" w:type="pct"/>
            <w:textDirection w:val="lrTb"/>
            <w:noWrap w:val="false"/>
          </w:tcPr>
          <w:p>
            <w:pPr>
              <w:pStyle w:val="1005"/>
              <w:ind w:left="57" w:right="57"/>
            </w:pPr>
            <w:r>
              <w:t xml:space="preserve">Значение вводится вручную.</w:t>
            </w:r>
            <w:r/>
          </w:p>
        </w:tc>
      </w:tr>
      <w:tr>
        <w:trPr/>
        <w:tc>
          <w:tcPr>
            <w:shd w:val="clear" w:fill="auto" w:color="auto"/>
            <w:tcW w:w="1198" w:type="pct"/>
            <w:textDirection w:val="lrTb"/>
            <w:noWrap w:val="false"/>
          </w:tcPr>
          <w:p>
            <w:pPr>
              <w:pStyle w:val="1005"/>
              <w:ind w:left="57" w:right="57"/>
            </w:pPr>
            <w:r>
              <w:t xml:space="preserve">УИН</w:t>
            </w:r>
            <w:r/>
          </w:p>
        </w:tc>
        <w:tc>
          <w:tcPr>
            <w:shd w:val="clear" w:fill="auto" w:color="auto"/>
            <w:tcW w:w="3802" w:type="pct"/>
            <w:textDirection w:val="lrTb"/>
            <w:noWrap w:val="false"/>
          </w:tcPr>
          <w:p>
            <w:pPr>
              <w:pStyle w:val="1005"/>
              <w:ind w:left="57" w:right="57"/>
            </w:pPr>
            <w:r>
              <w:t xml:space="preserve">Значение вводится вручную.</w:t>
            </w:r>
            <w:r/>
          </w:p>
        </w:tc>
      </w:tr>
    </w:tbl>
    <w:p>
      <w:pPr>
        <w:pStyle w:val="994"/>
      </w:pPr>
      <w:r>
        <w:t xml:space="preserve">Закладка «Раздел 2 (2)» содержит табличный блок «Плательщик/Реквизиты получателя платежа». Для добавления строки в табличный блок следует нажать на кнопку </w:t>
      </w:r>
      <w:r>
        <mc:AlternateContent>
          <mc:Choice Requires="wpg">
            <w:drawing>
              <wp:inline xmlns:wp="http://schemas.openxmlformats.org/drawingml/2006/wordprocessingDrawing" distT="0" distB="0" distL="0" distR="0">
                <wp:extent cx="182880" cy="182880"/>
                <wp:effectExtent l="0" t="0" r="0" b="0"/>
                <wp:docPr id="13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 o:spid="_x0000_s136" type="#_x0000_t75" style="mso-wrap-distance-left:0.0pt;mso-wrap-distance-top:0.0pt;mso-wrap-distance-right:0.0pt;mso-wrap-distance-bottom:0.0pt;width:14.4pt;height:14.4pt;" stroked="f">
                <v:path textboxrect="0,0,0,0"/>
                <v:imagedata r:id="rId80" o:title=""/>
              </v:shape>
            </w:pict>
          </mc:Fallback>
        </mc:AlternateContent>
      </w:r>
      <w:r>
        <w:t xml:space="preserve"> </w:t>
      </w:r>
      <w:r>
        <w:t xml:space="preserve">(Добавить новую строку), откроется </w:t>
      </w:r>
      <w:r>
        <w:t xml:space="preserve">форма «Добавление записи» (рис.</w:t>
      </w:r>
      <w:r>
        <w:t xml:space="preserve"> </w:t>
      </w:r>
      <w:r>
        <w:fldChar w:fldCharType="begin"/>
      </w:r>
      <w:r>
        <w:instrText xml:space="preserve"> REF _Ref374975912 \h  \* MERGEFORMAT </w:instrText>
      </w:r>
      <w:r>
        <w:fldChar w:fldCharType="separate"/>
      </w:r>
      <w:r>
        <w:t xml:space="preserve">67</w:t>
      </w:r>
      <w:r>
        <w:fldChar w:fldCharType="end"/>
      </w:r>
      <w:r>
        <w:t xml:space="preserve">).</w:t>
      </w:r>
      <w:r/>
    </w:p>
    <w:p>
      <w:pPr>
        <w:pStyle w:val="982"/>
      </w:pPr>
      <w:r>
        <mc:AlternateContent>
          <mc:Choice Requires="wpg">
            <w:drawing>
              <wp:inline xmlns:wp="http://schemas.openxmlformats.org/drawingml/2006/wordprocessingDrawing" distT="0" distB="0" distL="0" distR="0">
                <wp:extent cx="4762500" cy="5836920"/>
                <wp:effectExtent l="0" t="0" r="0" b="0"/>
                <wp:docPr id="13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33"/>
                        <a:stretch/>
                      </pic:blipFill>
                      <pic:spPr bwMode="auto">
                        <a:xfrm>
                          <a:off x="0" y="0"/>
                          <a:ext cx="4762500" cy="58369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 o:spid="_x0000_s137" type="#_x0000_t75" style="mso-wrap-distance-left:0.0pt;mso-wrap-distance-top:0.0pt;mso-wrap-distance-right:0.0pt;mso-wrap-distance-bottom:0.0pt;width:375.0pt;height:459.6pt;" stroked="f">
                <v:path textboxrect="0,0,0,0"/>
                <v:imagedata r:id="rId133" o:title=""/>
              </v:shape>
            </w:pict>
          </mc:Fallback>
        </mc:AlternateContent>
      </w:r>
      <w:r/>
    </w:p>
    <w:p>
      <w:pPr>
        <w:pStyle w:val="983"/>
      </w:pPr>
      <w:r>
        <w:fldChar w:fldCharType="begin"/>
      </w:r>
      <w:r>
        <w:instrText xml:space="preserve"> SEQ Рисунок \* ARABIC </w:instrText>
      </w:r>
      <w:r>
        <w:fldChar w:fldCharType="separate"/>
      </w:r>
      <w:bookmarkStart w:id="666" w:name="_Ref374975912"/>
      <w:r/>
      <w:bookmarkStart w:id="667" w:name="_Toc88819452"/>
      <w:r>
        <w:t xml:space="preserve">67</w:t>
      </w:r>
      <w:bookmarkEnd w:id="666"/>
      <w:r>
        <w:fldChar w:fldCharType="end"/>
      </w:r>
      <w:r>
        <w:t xml:space="preserve">. Форма «Добавление записи»</w:t>
      </w:r>
      <w:bookmarkEnd w:id="667"/>
      <w:r/>
      <w:r/>
    </w:p>
    <w:p>
      <w:pPr>
        <w:pStyle w:val="994"/>
      </w:pPr>
      <w:r>
        <w:t xml:space="preserve">На форме «Добавление записи» вручную вводятся поля, описанные в таблице </w:t>
      </w:r>
      <w:r>
        <w:fldChar w:fldCharType="begin"/>
      </w:r>
      <w:r>
        <w:instrText xml:space="preserve"> REF _Ref329604837 \h  \* MERGEFORMAT </w:instrText>
      </w:r>
      <w:r>
        <w:fldChar w:fldCharType="separate"/>
      </w:r>
      <w:r>
        <w:t xml:space="preserve">30</w:t>
      </w:r>
      <w:r>
        <w:fldChar w:fldCharType="end"/>
      </w:r>
      <w:r>
        <w:t xml:space="preserve">. </w:t>
      </w:r>
      <w:r/>
    </w:p>
    <w:p>
      <w:pPr>
        <w:pStyle w:val="994"/>
      </w:pPr>
      <w:r>
        <w:t xml:space="preserve">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r/>
    </w:p>
    <w:p>
      <w:pPr>
        <w:pStyle w:val="994"/>
      </w:pPr>
      <w:r>
        <w:t xml:space="preserve">ЭФ документа «Сводная заявка на кассовый расход (для уплаты налогов)», закладки «Подписи (3)»</w:t>
      </w:r>
      <w:r>
        <w:t xml:space="preserve"> представлена н</w:t>
      </w:r>
      <w:r>
        <w:t xml:space="preserve">а рисунке</w:t>
      </w:r>
      <w:r>
        <w:t xml:space="preserve"> </w:t>
      </w:r>
      <w:r>
        <w:fldChar w:fldCharType="begin"/>
      </w:r>
      <w:r>
        <w:instrText xml:space="preserve"> REF _Ref329604838 \h  \* MERGEFORMAT </w:instrText>
      </w:r>
      <w:r>
        <w:fldChar w:fldCharType="separate"/>
      </w:r>
      <w:r>
        <w:t xml:space="preserve">68</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1280160"/>
                <wp:effectExtent l="0" t="0" r="0" b="0"/>
                <wp:docPr id="13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34"/>
                        <a:stretch/>
                      </pic:blipFill>
                      <pic:spPr bwMode="auto">
                        <a:xfrm>
                          <a:off x="0" y="0"/>
                          <a:ext cx="6126480" cy="12801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 o:spid="_x0000_s138" type="#_x0000_t75" style="mso-wrap-distance-left:0.0pt;mso-wrap-distance-top:0.0pt;mso-wrap-distance-right:0.0pt;mso-wrap-distance-bottom:0.0pt;width:482.4pt;height:100.8pt;" stroked="f">
                <v:path textboxrect="0,0,0,0"/>
                <v:imagedata r:id="rId134" o:title=""/>
              </v:shape>
            </w:pict>
          </mc:Fallback>
        </mc:AlternateContent>
      </w:r>
      <w:r/>
    </w:p>
    <w:p>
      <w:pPr>
        <w:pStyle w:val="983"/>
      </w:pPr>
      <w:r>
        <w:fldChar w:fldCharType="begin"/>
      </w:r>
      <w:r>
        <w:instrText xml:space="preserve"> SEQ Рисунок \* ARABIC </w:instrText>
      </w:r>
      <w:r>
        <w:fldChar w:fldCharType="separate"/>
      </w:r>
      <w:bookmarkStart w:id="668" w:name="_Ref329604838"/>
      <w:r/>
      <w:bookmarkStart w:id="669" w:name="_Toc88819453"/>
      <w:r>
        <w:t xml:space="preserve">68</w:t>
      </w:r>
      <w:bookmarkEnd w:id="668"/>
      <w:r>
        <w:fldChar w:fldCharType="end"/>
      </w:r>
      <w:r>
        <w:t xml:space="preserve">. ЭФ документа «Сводная заявка на кассовый расход (для уплаты налогов)</w:t>
      </w:r>
      <w:r>
        <w:t xml:space="preserve">», закладки «</w:t>
      </w:r>
      <w:r>
        <w:t xml:space="preserve">Подписи (3)»</w:t>
      </w:r>
      <w:bookmarkEnd w:id="669"/>
      <w:r/>
      <w:r/>
    </w:p>
    <w:p>
      <w:pPr>
        <w:pStyle w:val="994"/>
      </w:pPr>
      <w:r>
        <w:t xml:space="preserve">Перечень </w:t>
      </w:r>
      <w:r>
        <w:t xml:space="preserve">полей </w:t>
      </w:r>
      <w:r>
        <w:t xml:space="preserve">документа «Сводная заявка на кассовый расход (для уплаты налогов)», закладки «Подписи (3)»</w:t>
      </w:r>
      <w:r>
        <w:t xml:space="preserve"> </w:t>
      </w:r>
      <w:r>
        <w:t xml:space="preserve">приведен в таблице</w:t>
      </w:r>
      <w:r>
        <w:t xml:space="preserve"> </w:t>
      </w:r>
      <w:r>
        <w:fldChar w:fldCharType="begin"/>
      </w:r>
      <w:r>
        <w:instrText xml:space="preserve"> REF _Ref329605132 \h  \* MERGEFORMAT </w:instrText>
      </w:r>
      <w:r>
        <w:fldChar w:fldCharType="separate"/>
      </w:r>
      <w:r>
        <w:t xml:space="preserve">31</w:t>
      </w:r>
      <w:r>
        <w:fldChar w:fldCharType="end"/>
      </w:r>
      <w:r>
        <w:t xml:space="preserve">.</w:t>
      </w:r>
      <w:r/>
    </w:p>
    <w:p>
      <w:pPr>
        <w:pStyle w:val="993"/>
      </w:pPr>
      <w:r/>
      <w:bookmarkStart w:id="670" w:name="_Ref329605022"/>
      <w:r>
        <w:fldChar w:fldCharType="begin"/>
      </w:r>
      <w:r>
        <w:instrText xml:space="preserve"> SEQ Таблица \* ARABIC </w:instrText>
      </w:r>
      <w:r>
        <w:fldChar w:fldCharType="separate"/>
      </w:r>
      <w:bookmarkStart w:id="671" w:name="_Ref329605132"/>
      <w:r/>
      <w:bookmarkStart w:id="672" w:name="_Toc88819217"/>
      <w:r>
        <w:t xml:space="preserve">31</w:t>
      </w:r>
      <w:bookmarkEnd w:id="671"/>
      <w:r>
        <w:fldChar w:fldCharType="end"/>
      </w:r>
      <w:r>
        <w:t xml:space="preserve">. </w:t>
      </w:r>
      <w:bookmarkEnd w:id="670"/>
      <w:r>
        <w:t xml:space="preserve">Описание полей </w:t>
      </w:r>
      <w:r>
        <w:t xml:space="preserve">документа «Сводная заявка на кассовый расход (для уплаты налогов)», закладки «Подписи (3)»</w:t>
      </w:r>
      <w:bookmarkEnd w:id="672"/>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4310"/>
        <w:gridCol w:w="5442"/>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221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790"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«Подписи»</w:t>
            </w:r>
            <w:r/>
          </w:p>
        </w:tc>
      </w:tr>
      <w:tr>
        <w:trPr/>
        <w:tc>
          <w:tcPr>
            <w:shd w:val="clear" w:fill="auto" w:color="auto"/>
            <w:tcW w:w="2210" w:type="pct"/>
            <w:textDirection w:val="lrTb"/>
            <w:noWrap w:val="false"/>
          </w:tcPr>
          <w:p>
            <w:pPr>
              <w:pStyle w:val="1005"/>
              <w:ind w:left="57" w:right="57"/>
            </w:pPr>
            <w:r>
              <w:t xml:space="preserve">Руководитель (уполномоченное им лицо). Дол</w:t>
            </w:r>
            <w:r>
              <w:t xml:space="preserve">ж</w:t>
            </w:r>
            <w:r>
              <w:t xml:space="preserve">ность</w:t>
            </w:r>
            <w:r/>
          </w:p>
        </w:tc>
        <w:tc>
          <w:tcPr>
            <w:shd w:val="clear" w:fill="auto" w:color="auto"/>
            <w:tcW w:w="2790" w:type="pct"/>
            <w:textDirection w:val="lrTb"/>
            <w:noWrap w:val="false"/>
          </w:tcPr>
          <w:p>
            <w:pPr>
              <w:pStyle w:val="1005"/>
              <w:ind w:left="57" w:right="57"/>
            </w:pPr>
            <w:r>
              <w:t xml:space="preserve">Для АРМ. Заполняется а</w:t>
            </w:r>
            <w:r>
              <w:t xml:space="preserve">в</w:t>
            </w:r>
            <w:r>
              <w:t xml:space="preserve">томатически при подпис</w:t>
            </w:r>
            <w:r>
              <w:t xml:space="preserve">а</w:t>
            </w:r>
            <w:r>
              <w:t xml:space="preserve">нии ЭП данными подп</w:t>
            </w:r>
            <w:r>
              <w:t xml:space="preserve">и</w:t>
            </w:r>
            <w:r>
              <w:t xml:space="preserve">санта</w:t>
            </w:r>
            <w:r>
              <w:t xml:space="preserve">.</w:t>
            </w:r>
            <w:r/>
          </w:p>
        </w:tc>
      </w:tr>
      <w:tr>
        <w:trPr/>
        <w:tc>
          <w:tcPr>
            <w:shd w:val="clear" w:fill="auto" w:color="auto"/>
            <w:tcW w:w="2210" w:type="pct"/>
            <w:textDirection w:val="lrTb"/>
            <w:noWrap w:val="false"/>
          </w:tcPr>
          <w:p>
            <w:pPr>
              <w:pStyle w:val="1005"/>
              <w:ind w:left="57" w:right="57"/>
            </w:pPr>
            <w:r>
              <w:t xml:space="preserve">Руководитель (уполномоченное им лицо). Расшифровка подп</w:t>
            </w:r>
            <w:r>
              <w:t xml:space="preserve">и</w:t>
            </w:r>
            <w:r>
              <w:t xml:space="preserve">си</w:t>
            </w:r>
            <w:r/>
          </w:p>
        </w:tc>
        <w:tc>
          <w:tcPr>
            <w:shd w:val="clear" w:fill="auto" w:color="auto"/>
            <w:tcW w:w="2790" w:type="pct"/>
            <w:textDirection w:val="lrTb"/>
            <w:noWrap w:val="false"/>
          </w:tcPr>
          <w:p>
            <w:pPr>
              <w:pStyle w:val="1005"/>
              <w:ind w:left="57" w:right="57"/>
            </w:pPr>
            <w:r>
              <w:t xml:space="preserve">Для АРМ. Заполняется а</w:t>
            </w:r>
            <w:r>
              <w:t xml:space="preserve">в</w:t>
            </w:r>
            <w:r>
              <w:t xml:space="preserve">томатически при подпис</w:t>
            </w:r>
            <w:r>
              <w:t xml:space="preserve">а</w:t>
            </w:r>
            <w:r>
              <w:t xml:space="preserve">нии ЭП данными подп</w:t>
            </w:r>
            <w:r>
              <w:t xml:space="preserve">и</w:t>
            </w:r>
            <w:r>
              <w:t xml:space="preserve">санта</w:t>
            </w:r>
            <w:r>
              <w:t xml:space="preserve">.</w:t>
            </w:r>
            <w:r/>
          </w:p>
        </w:tc>
      </w:tr>
      <w:tr>
        <w:trPr/>
        <w:tc>
          <w:tcPr>
            <w:shd w:val="clear" w:fill="auto" w:color="auto"/>
            <w:tcW w:w="2210" w:type="pct"/>
            <w:textDirection w:val="lrTb"/>
            <w:noWrap w:val="false"/>
          </w:tcPr>
          <w:p>
            <w:pPr>
              <w:pStyle w:val="1005"/>
              <w:ind w:left="57" w:right="57"/>
            </w:pPr>
            <w:r>
              <w:t xml:space="preserve">Главный бухгалтер (уполномоченное им лицо). Должность</w:t>
            </w:r>
            <w:r/>
          </w:p>
        </w:tc>
        <w:tc>
          <w:tcPr>
            <w:shd w:val="clear" w:fill="auto" w:color="auto"/>
            <w:tcW w:w="2790" w:type="pct"/>
            <w:textDirection w:val="lrTb"/>
            <w:noWrap w:val="false"/>
          </w:tcPr>
          <w:p>
            <w:pPr>
              <w:pStyle w:val="1005"/>
              <w:ind w:left="57" w:right="57"/>
            </w:pPr>
            <w:r>
              <w:t xml:space="preserve">Для АРМ. Заполняется а</w:t>
            </w:r>
            <w:r>
              <w:t xml:space="preserve">в</w:t>
            </w:r>
            <w:r>
              <w:t xml:space="preserve">томатически при подпис</w:t>
            </w:r>
            <w:r>
              <w:t xml:space="preserve">а</w:t>
            </w:r>
            <w:r>
              <w:t xml:space="preserve">нии ЭП данными подп</w:t>
            </w:r>
            <w:r>
              <w:t xml:space="preserve">и</w:t>
            </w:r>
            <w:r>
              <w:t xml:space="preserve">санта</w:t>
            </w:r>
            <w:r>
              <w:t xml:space="preserve">.</w:t>
            </w:r>
            <w:r/>
          </w:p>
        </w:tc>
      </w:tr>
      <w:tr>
        <w:trPr/>
        <w:tc>
          <w:tcPr>
            <w:shd w:val="clear" w:fill="auto" w:color="auto"/>
            <w:tcW w:w="2210" w:type="pct"/>
            <w:textDirection w:val="lrTb"/>
            <w:noWrap w:val="false"/>
          </w:tcPr>
          <w:p>
            <w:pPr>
              <w:pStyle w:val="1005"/>
              <w:ind w:left="57" w:right="57"/>
            </w:pPr>
            <w:r>
              <w:t xml:space="preserve">Главный бухгалтер (уполномоченное им лицо). Расшифровка подп</w:t>
            </w:r>
            <w:r>
              <w:t xml:space="preserve">и</w:t>
            </w:r>
            <w:r>
              <w:t xml:space="preserve">си</w:t>
            </w:r>
            <w:r/>
          </w:p>
        </w:tc>
        <w:tc>
          <w:tcPr>
            <w:shd w:val="clear" w:fill="auto" w:color="auto"/>
            <w:tcW w:w="2790" w:type="pct"/>
            <w:textDirection w:val="lrTb"/>
            <w:noWrap w:val="false"/>
          </w:tcPr>
          <w:p>
            <w:pPr>
              <w:pStyle w:val="1005"/>
              <w:ind w:left="57" w:right="57"/>
            </w:pPr>
            <w:r>
              <w:t xml:space="preserve">Для АРМ. Заполняется а</w:t>
            </w:r>
            <w:r>
              <w:t xml:space="preserve">в</w:t>
            </w:r>
            <w:r>
              <w:t xml:space="preserve">томатически при подпис</w:t>
            </w:r>
            <w:r>
              <w:t xml:space="preserve">а</w:t>
            </w:r>
            <w:r>
              <w:t xml:space="preserve">нии ЭП данными подп</w:t>
            </w:r>
            <w:r>
              <w:t xml:space="preserve">и</w:t>
            </w:r>
            <w:r>
              <w:t xml:space="preserve">санта</w:t>
            </w:r>
            <w:r>
              <w:t xml:space="preserve">.</w:t>
            </w:r>
            <w:r/>
          </w:p>
        </w:tc>
      </w:tr>
      <w:tr>
        <w:trPr/>
        <w:tc>
          <w:tcPr>
            <w:shd w:val="clear" w:fill="auto" w:color="auto"/>
            <w:tcW w:w="2210" w:type="pct"/>
            <w:textDirection w:val="lrTb"/>
            <w:noWrap w:val="false"/>
          </w:tcPr>
          <w:p>
            <w:pPr>
              <w:pStyle w:val="1005"/>
              <w:ind w:left="57" w:right="57"/>
            </w:pPr>
            <w:r>
              <w:t xml:space="preserve">Дата подписания</w:t>
            </w:r>
            <w:r/>
          </w:p>
        </w:tc>
        <w:tc>
          <w:tcPr>
            <w:shd w:val="clear" w:fill="auto" w:color="auto"/>
            <w:tcW w:w="2790" w:type="pct"/>
            <w:textDirection w:val="lrTb"/>
            <w:noWrap w:val="false"/>
          </w:tcPr>
          <w:p>
            <w:pPr>
              <w:pStyle w:val="1005"/>
              <w:ind w:left="57" w:right="57"/>
            </w:pPr>
            <w:r>
              <w:t xml:space="preserve">Для АРМ. Заполняется а</w:t>
            </w:r>
            <w:r>
              <w:t xml:space="preserve">в</w:t>
            </w:r>
            <w:r>
              <w:t xml:space="preserve">томатически при подпис</w:t>
            </w:r>
            <w:r>
              <w:t xml:space="preserve">а</w:t>
            </w:r>
            <w:r>
              <w:t xml:space="preserve">нии ЭП данными подп</w:t>
            </w:r>
            <w:r>
              <w:t xml:space="preserve">и</w:t>
            </w:r>
            <w:r>
              <w:t xml:space="preserve">санта</w:t>
            </w:r>
            <w:r>
              <w:t xml:space="preserve">.</w:t>
            </w:r>
            <w:r/>
          </w:p>
          <w:p>
            <w:pPr>
              <w:pStyle w:val="1005"/>
              <w:ind w:left="57" w:right="57"/>
            </w:pPr>
            <w:r>
              <w:t xml:space="preserve">Значение вводится вру</w:t>
            </w:r>
            <w:r>
              <w:t xml:space="preserve">ч</w:t>
            </w:r>
            <w:r>
              <w:t xml:space="preserve">ную или выбирается из системного календаря.</w:t>
            </w:r>
            <w:r/>
          </w:p>
        </w:tc>
      </w:tr>
      <w:tr>
        <w:trPr/>
        <w:tc>
          <w:tcPr>
            <w:shd w:val="clear" w:fill="auto" w:color="auto"/>
            <w:tcW w:w="2210" w:type="pct"/>
            <w:textDirection w:val="lrTb"/>
            <w:noWrap w:val="false"/>
          </w:tcPr>
          <w:p>
            <w:pPr>
              <w:pStyle w:val="1005"/>
              <w:ind w:left="57" w:right="57"/>
            </w:pPr>
            <w:r>
              <w:t xml:space="preserve">ФИО ответственного за конфиденциальность данных</w:t>
            </w:r>
            <w:r/>
          </w:p>
        </w:tc>
        <w:tc>
          <w:tcPr>
            <w:shd w:val="clear" w:fill="auto" w:color="auto"/>
            <w:tcW w:w="2790" w:type="pct"/>
            <w:textDirection w:val="lrTb"/>
            <w:noWrap w:val="false"/>
          </w:tcPr>
          <w:p>
            <w:pPr>
              <w:pStyle w:val="1005"/>
              <w:ind w:left="57" w:right="57"/>
            </w:pPr>
            <w:r>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 «0».</w:t>
            </w:r>
            <w:r/>
          </w:p>
        </w:tc>
      </w:tr>
    </w:tbl>
    <w:p>
      <w:pPr>
        <w:pStyle w:val="972"/>
      </w:pPr>
      <w:r/>
      <w:bookmarkStart w:id="673" w:name="_Ref524104944"/>
      <w:r/>
      <w:bookmarkStart w:id="674" w:name="_Toc67908557"/>
      <w:r/>
      <w:bookmarkStart w:id="675" w:name="_Toc225934614"/>
      <w:r/>
      <w:bookmarkStart w:id="676" w:name="_Toc232827372"/>
      <w:r/>
      <w:bookmarkStart w:id="677" w:name="_Toc262126886"/>
      <w:r/>
      <w:bookmarkStart w:id="678" w:name="_Ref314655362"/>
      <w:r/>
      <w:bookmarkStart w:id="679" w:name="_Ref328644159"/>
      <w:r/>
      <w:bookmarkStart w:id="680" w:name="_Ref343179105"/>
      <w:r/>
      <w:bookmarkStart w:id="681" w:name="_Ref350255360"/>
      <w:r/>
      <w:bookmarkStart w:id="682" w:name="_Toc88819108"/>
      <w:r/>
      <w:bookmarkEnd w:id="606"/>
      <w:r/>
      <w:bookmarkEnd w:id="607"/>
      <w:r/>
      <w:bookmarkEnd w:id="608"/>
      <w:r/>
      <w:bookmarkEnd w:id="609"/>
      <w:r/>
      <w:bookmarkEnd w:id="610"/>
      <w:r/>
      <w:bookmarkEnd w:id="611"/>
      <w:r/>
      <w:bookmarkEnd w:id="612"/>
      <w:r/>
      <w:bookmarkEnd w:id="613"/>
      <w:r/>
      <w:bookmarkEnd w:id="614"/>
      <w:r/>
      <w:bookmarkEnd w:id="615"/>
      <w:r/>
      <w:bookmarkEnd w:id="616"/>
      <w:r/>
      <w:bookmarkEnd w:id="617"/>
      <w:r/>
      <w:bookmarkEnd w:id="618"/>
      <w:r/>
      <w:bookmarkEnd w:id="619"/>
      <w:r/>
      <w:bookmarkEnd w:id="620"/>
      <w:r/>
      <w:bookmarkEnd w:id="621"/>
      <w:r/>
      <w:bookmarkEnd w:id="622"/>
      <w:r/>
      <w:bookmarkEnd w:id="623"/>
      <w:r/>
      <w:bookmarkEnd w:id="624"/>
      <w:r/>
      <w:bookmarkEnd w:id="625"/>
      <w:r>
        <w:t xml:space="preserve">Распоряжение о перечислении денежных средств на банковские карты «Мир» физических лиц</w:t>
      </w:r>
      <w:bookmarkEnd w:id="673"/>
      <w:r/>
      <w:bookmarkEnd w:id="674"/>
      <w:r/>
      <w:bookmarkEnd w:id="682"/>
      <w:r/>
      <w:r/>
    </w:p>
    <w:p>
      <w:pPr>
        <w:pStyle w:val="994"/>
      </w:pPr>
      <w:r>
        <w:t xml:space="preserve">Документ «</w:t>
      </w:r>
      <w:r>
        <w:t xml:space="preserve">Распоряжение о перечислении денежных средств на карты «Мир» физических лиц</w:t>
      </w:r>
      <w:r>
        <w:t xml:space="preserve">» предназначен для проведения</w:t>
      </w:r>
      <w:r>
        <w:t xml:space="preserve"> выплат с лицевых счетов клиентов для зачисления на банковские (платежные) карты «Мир» и взаимодей</w:t>
      </w:r>
      <w:r>
        <w:t xml:space="preserve">ствия</w:t>
      </w:r>
      <w:r>
        <w:t xml:space="preserve"> с АО «Национальная система пла</w:t>
      </w:r>
      <w:r>
        <w:t xml:space="preserve">тежных карт».</w:t>
      </w:r>
      <w:r/>
    </w:p>
    <w:p>
      <w:pPr>
        <w:pStyle w:val="994"/>
      </w:pPr>
      <w:r>
        <w:t xml:space="preserve">Для работы с документами «</w:t>
      </w:r>
      <w:r>
        <w:t xml:space="preserve">Распоряжение о перечислении денежных средств на карты «Мир» физических лиц</w:t>
      </w:r>
      <w:r>
        <w:t xml:space="preserve">»</w:t>
      </w:r>
      <w:r>
        <w:t xml:space="preserve"> </w:t>
      </w:r>
      <w:r>
        <w:t xml:space="preserve">следует перейти в пункт м</w:t>
      </w:r>
      <w:r>
        <w:t xml:space="preserve">е</w:t>
      </w:r>
      <w:r>
        <w:t xml:space="preserve">ню «</w:t>
      </w:r>
      <w:r>
        <w:t xml:space="preserve">Документы – Регистрация и учет </w:t>
      </w:r>
      <w:r>
        <w:t xml:space="preserve">обязательств – </w:t>
      </w:r>
      <w:r>
        <w:t xml:space="preserve">Перечисление на карты «Мир»</w:t>
      </w:r>
      <w:r>
        <w:t xml:space="preserve"> – </w:t>
      </w:r>
      <w:r>
        <w:t xml:space="preserve">Распоряжение о перечислении денежных средств на карты «Мир» физических лиц</w:t>
      </w:r>
      <w:r>
        <w:t xml:space="preserve">». </w:t>
      </w:r>
      <w:r>
        <w:t xml:space="preserve">Откроется ЭФ списка документов, представле</w:t>
      </w:r>
      <w:r>
        <w:t xml:space="preserve">н</w:t>
      </w:r>
      <w:r>
        <w:t xml:space="preserve">ная на рисунке</w:t>
      </w:r>
      <w:r>
        <w:t xml:space="preserve"> </w:t>
      </w:r>
      <w:r>
        <w:fldChar w:fldCharType="begin"/>
      </w:r>
      <w:r>
        <w:instrText xml:space="preserve"> REF _Ref489259906 \h </w:instrText>
      </w:r>
      <w:r>
        <w:fldChar w:fldCharType="separate"/>
      </w:r>
      <w:r>
        <w:t xml:space="preserve">69</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2461260"/>
                <wp:effectExtent l="0" t="0" r="0" b="0"/>
                <wp:docPr id="14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35"/>
                        <a:stretch/>
                      </pic:blipFill>
                      <pic:spPr bwMode="auto">
                        <a:xfrm>
                          <a:off x="0" y="0"/>
                          <a:ext cx="6118860" cy="24612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 o:spid="_x0000_s139" type="#_x0000_t75" style="mso-wrap-distance-left:0.0pt;mso-wrap-distance-top:0.0pt;mso-wrap-distance-right:0.0pt;mso-wrap-distance-bottom:0.0pt;width:481.8pt;height:193.8pt;" stroked="f">
                <v:path textboxrect="0,0,0,0"/>
                <v:imagedata r:id="rId135" o:title=""/>
              </v:shape>
            </w:pict>
          </mc:Fallback>
        </mc:AlternateContent>
      </w:r>
      <w:r/>
    </w:p>
    <w:p>
      <w:pPr>
        <w:pStyle w:val="983"/>
      </w:pPr>
      <w:r>
        <w:fldChar w:fldCharType="begin"/>
      </w:r>
      <w:r>
        <w:instrText xml:space="preserve"> SEQ Рисунок \* ARABIC </w:instrText>
      </w:r>
      <w:r>
        <w:fldChar w:fldCharType="separate"/>
      </w:r>
      <w:bookmarkStart w:id="683" w:name="_Ref489259906"/>
      <w:r/>
      <w:bookmarkStart w:id="684" w:name="_Toc67909097"/>
      <w:r/>
      <w:bookmarkStart w:id="685" w:name="_Toc88819454"/>
      <w:r>
        <w:t xml:space="preserve">69</w:t>
      </w:r>
      <w:bookmarkEnd w:id="683"/>
      <w:r>
        <w:fldChar w:fldCharType="end"/>
      </w:r>
      <w:r>
        <w:t xml:space="preserve">. ЭФ списка документов «Распоряжение о перечислении денежных средств на карты «Мир» физических лиц»</w:t>
      </w:r>
      <w:bookmarkEnd w:id="684"/>
      <w:r/>
      <w:bookmarkEnd w:id="685"/>
      <w:r/>
      <w:r/>
    </w:p>
    <w:p>
      <w:pPr>
        <w:pStyle w:val="973"/>
      </w:pPr>
      <w:r>
        <w:t xml:space="preserve">Доступные операции</w:t>
      </w:r>
      <w:r/>
    </w:p>
    <w:p>
      <w:pPr>
        <w:pStyle w:val="994"/>
      </w:pPr>
      <w:r>
        <w:t xml:space="preserve">На АРМ </w:t>
      </w:r>
      <w:r>
        <w:t xml:space="preserve">ФО</w:t>
      </w:r>
      <w:r>
        <w:t xml:space="preserve"> доступны следующие операции над документом:</w:t>
      </w:r>
      <w:r/>
    </w:p>
    <w:p>
      <w:pPr>
        <w:pStyle w:val="985"/>
      </w:pPr>
      <w:r>
        <w:t xml:space="preserve">ручной ввод;</w:t>
      </w:r>
      <w:r/>
    </w:p>
    <w:p>
      <w:pPr>
        <w:pStyle w:val="985"/>
      </w:pPr>
      <w:r>
        <w:t xml:space="preserve">просмотр и редактирование;</w:t>
      </w:r>
      <w:r/>
    </w:p>
    <w:p>
      <w:pPr>
        <w:pStyle w:val="985"/>
      </w:pPr>
      <w:r>
        <w:t xml:space="preserve">копирование и удаление;</w:t>
      </w:r>
      <w:r/>
    </w:p>
    <w:p>
      <w:pPr>
        <w:pStyle w:val="985"/>
      </w:pPr>
      <w:r>
        <w:t xml:space="preserve">проверка</w:t>
      </w:r>
      <w:r>
        <w:t xml:space="preserve">,</w:t>
      </w:r>
      <w:r>
        <w:t xml:space="preserve"> </w:t>
      </w:r>
      <w:r>
        <w:t xml:space="preserve">формирование и удаление ЭП</w:t>
      </w:r>
      <w:r>
        <w:t xml:space="preserve">;</w:t>
      </w:r>
      <w:r/>
    </w:p>
    <w:p>
      <w:pPr>
        <w:pStyle w:val="985"/>
      </w:pPr>
      <w:r>
        <w:t xml:space="preserve">печать;</w:t>
      </w:r>
      <w:r/>
    </w:p>
    <w:p>
      <w:pPr>
        <w:pStyle w:val="985"/>
      </w:pPr>
      <w:r>
        <w:t xml:space="preserve">импорт из внешней системы;</w:t>
      </w:r>
      <w:r/>
    </w:p>
    <w:p>
      <w:pPr>
        <w:pStyle w:val="985"/>
      </w:pPr>
      <w:r>
        <w:t xml:space="preserve">экспорт во внешнюю систему</w:t>
      </w:r>
      <w:r>
        <w:t xml:space="preserve">, </w:t>
      </w:r>
      <w:r>
        <w:t xml:space="preserve">в </w:t>
      </w:r>
      <w:r>
        <w:t xml:space="preserve">ППО OEBS АСФК</w:t>
      </w:r>
      <w:r>
        <w:t xml:space="preserve">;</w:t>
      </w:r>
      <w:r/>
    </w:p>
    <w:p>
      <w:pPr>
        <w:pStyle w:val="985"/>
      </w:pPr>
      <w:r>
        <w:t xml:space="preserve">откат статуса передачи.</w:t>
      </w:r>
      <w:r/>
    </w:p>
    <w:p>
      <w:pPr>
        <w:pStyle w:val="996"/>
      </w:pPr>
      <w:r>
        <w:rPr>
          <w:rStyle w:val="1001"/>
        </w:rPr>
        <w:t xml:space="preserve">Примечание.</w:t>
      </w:r>
      <w:r>
        <w:tab/>
      </w:r>
      <w:r>
        <w:t xml:space="preserve">Для пользователей, которым назначена роль «АСФК: Просмотр полных номеров платежных карт Мир», доступны все допустимые операции.</w:t>
      </w:r>
      <w:r/>
    </w:p>
    <w:p>
      <w:pPr>
        <w:pStyle w:val="997"/>
      </w:pPr>
      <w:r>
        <w:t xml:space="preserve">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r>
        <w:t xml:space="preserve">.</w:t>
      </w:r>
      <w:r/>
    </w:p>
    <w:p>
      <w:pPr>
        <w:pStyle w:val="973"/>
      </w:pPr>
      <w:r>
        <w:t xml:space="preserve">Экранная форма документа</w:t>
      </w:r>
      <w:r/>
    </w:p>
    <w:p>
      <w:pPr>
        <w:pStyle w:val="994"/>
      </w:pPr>
      <w:r>
        <w:t xml:space="preserve">ЭФ документа </w:t>
      </w:r>
      <w:r>
        <w:t xml:space="preserve">«</w:t>
      </w:r>
      <w:r>
        <w:t xml:space="preserve">Распоряжение о перечислении денежных средств на карты «Мир» ф</w:t>
      </w:r>
      <w:r>
        <w:t xml:space="preserve">и</w:t>
      </w:r>
      <w:r>
        <w:t xml:space="preserve">зических лиц</w:t>
      </w:r>
      <w:r>
        <w:t xml:space="preserve">»</w:t>
      </w:r>
      <w:r>
        <w:t xml:space="preserve"> представлена на рисунке </w:t>
      </w:r>
      <w:r>
        <w:fldChar w:fldCharType="begin"/>
      </w:r>
      <w:r>
        <w:instrText xml:space="preserve"> REF _Ref489259933 \h </w:instrText>
      </w:r>
      <w:r>
        <w:fldChar w:fldCharType="separate"/>
      </w:r>
      <w:r>
        <w:t xml:space="preserve">70</w:t>
      </w:r>
      <w:r>
        <w:fldChar w:fldCharType="end"/>
      </w:r>
      <w:r>
        <w:t xml:space="preserve">. </w:t>
      </w:r>
      <w:r>
        <w:t xml:space="preserve">Форма с</w:t>
      </w:r>
      <w:r>
        <w:t xml:space="preserve">о</w:t>
      </w:r>
      <w:r>
        <w:t xml:space="preserve">держит следующие закладки</w:t>
      </w:r>
      <w:r>
        <w:t xml:space="preserve">:</w:t>
      </w:r>
      <w:r/>
    </w:p>
    <w:p>
      <w:pPr>
        <w:pStyle w:val="985"/>
      </w:pPr>
      <w:r>
        <w:t xml:space="preserve">«Реквизиты»</w:t>
      </w:r>
      <w:r>
        <w:t xml:space="preserve">;</w:t>
      </w:r>
      <w:r/>
    </w:p>
    <w:p>
      <w:pPr>
        <w:pStyle w:val="985"/>
      </w:pPr>
      <w:r>
        <w:t xml:space="preserve">«Информация о выплатах»</w:t>
      </w:r>
      <w:r>
        <w:t xml:space="preserve">;</w:t>
      </w:r>
      <w:r/>
    </w:p>
    <w:p>
      <w:pPr>
        <w:pStyle w:val="985"/>
      </w:pPr>
      <w:r>
        <w:t xml:space="preserve">«</w:t>
      </w:r>
      <w:r>
        <w:t xml:space="preserve">Подписи</w:t>
      </w:r>
      <w:r>
        <w:t xml:space="preserve">»</w:t>
      </w:r>
      <w:r>
        <w:t xml:space="preserve">.</w:t>
      </w:r>
      <w:r/>
    </w:p>
    <w:p>
      <w:pPr>
        <w:pStyle w:val="982"/>
      </w:pPr>
      <w:r>
        <mc:AlternateContent>
          <mc:Choice Requires="wpg">
            <w:drawing>
              <wp:inline xmlns:wp="http://schemas.openxmlformats.org/drawingml/2006/wordprocessingDrawing" distT="0" distB="0" distL="0" distR="0">
                <wp:extent cx="6035040" cy="5311140"/>
                <wp:effectExtent l="0" t="0" r="0" b="0"/>
                <wp:docPr id="14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36"/>
                        <a:stretch/>
                      </pic:blipFill>
                      <pic:spPr bwMode="auto">
                        <a:xfrm>
                          <a:off x="0" y="0"/>
                          <a:ext cx="6035039" cy="53111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 o:spid="_x0000_s140" type="#_x0000_t75" style="mso-wrap-distance-left:0.0pt;mso-wrap-distance-top:0.0pt;mso-wrap-distance-right:0.0pt;mso-wrap-distance-bottom:0.0pt;width:475.2pt;height:418.2pt;" stroked="f">
                <v:path textboxrect="0,0,0,0"/>
                <v:imagedata r:id="rId136" o:title=""/>
              </v:shape>
            </w:pict>
          </mc:Fallback>
        </mc:AlternateContent>
      </w:r>
      <w:r/>
    </w:p>
    <w:p>
      <w:pPr>
        <w:pStyle w:val="983"/>
      </w:pPr>
      <w:r>
        <w:fldChar w:fldCharType="begin"/>
      </w:r>
      <w:r>
        <w:instrText xml:space="preserve"> SEQ Рисунок \* ARABIC </w:instrText>
      </w:r>
      <w:r>
        <w:fldChar w:fldCharType="separate"/>
      </w:r>
      <w:bookmarkStart w:id="686" w:name="_Ref489259933"/>
      <w:r/>
      <w:bookmarkStart w:id="687" w:name="_Toc67909098"/>
      <w:r/>
      <w:bookmarkStart w:id="688" w:name="_Toc88819455"/>
      <w:r>
        <w:t xml:space="preserve">70</w:t>
      </w:r>
      <w:bookmarkEnd w:id="686"/>
      <w:r>
        <w:fldChar w:fldCharType="end"/>
      </w:r>
      <w:r>
        <w:t xml:space="preserve">. ЭФ документа «Распоряжение о перечислении денежных средств на карты «Мир» физических лиц», закладки «Реквизиты (1)»</w:t>
      </w:r>
      <w:bookmarkEnd w:id="687"/>
      <w:r/>
      <w:bookmarkEnd w:id="688"/>
      <w:r/>
      <w:r/>
    </w:p>
    <w:p>
      <w:pPr>
        <w:pStyle w:val="994"/>
      </w:pPr>
      <w:r>
        <w:t xml:space="preserve">Для ручного ввода документа следует на ЭФ </w:t>
      </w:r>
      <w:r>
        <w:t xml:space="preserve">документа заполнить поля, доступные для редактирования. </w:t>
      </w:r>
      <w:r/>
    </w:p>
    <w:p>
      <w:pPr>
        <w:pStyle w:val="994"/>
      </w:pPr>
      <w:r>
        <w:t xml:space="preserve">Перечень </w:t>
      </w:r>
      <w:r>
        <w:t xml:space="preserve">полей документа «Распоряжение о перечислении денежных средств на карты «Мир» физических лиц», закладки «Реквизиты (1)» приведен в таблице </w:t>
      </w:r>
      <w:r>
        <w:fldChar w:fldCharType="begin"/>
      </w:r>
      <w:r>
        <w:instrText xml:space="preserve"> REF _Ref489259977 \h </w:instrText>
      </w:r>
      <w:r>
        <w:fldChar w:fldCharType="separate"/>
      </w:r>
      <w:r>
        <w:t xml:space="preserve">32</w:t>
      </w:r>
      <w:r>
        <w:fldChar w:fldCharType="end"/>
      </w:r>
      <w:r>
        <w:t xml:space="preserve">.</w:t>
      </w:r>
      <w:r/>
    </w:p>
    <w:p>
      <w:pPr>
        <w:pStyle w:val="993"/>
      </w:pPr>
      <w:r>
        <w:fldChar w:fldCharType="begin"/>
      </w:r>
      <w:r>
        <w:instrText xml:space="preserve"> SEQ Таблица \* ARABIC </w:instrText>
      </w:r>
      <w:r>
        <w:fldChar w:fldCharType="separate"/>
      </w:r>
      <w:bookmarkStart w:id="689" w:name="_Ref489259977"/>
      <w:r/>
      <w:bookmarkStart w:id="690" w:name="_Toc67908706"/>
      <w:r/>
      <w:bookmarkStart w:id="691" w:name="_Toc88819218"/>
      <w:r>
        <w:t xml:space="preserve">32</w:t>
      </w:r>
      <w:bookmarkEnd w:id="689"/>
      <w:r>
        <w:fldChar w:fldCharType="end"/>
      </w:r>
      <w:r>
        <w:t xml:space="preserve">. Описание полей документа «Распоряжение о перечислении денежных средств на карты «Мир» физических лиц», закладки «Реквизиты (1)»</w:t>
      </w:r>
      <w:bookmarkEnd w:id="690"/>
      <w:r/>
      <w:bookmarkEnd w:id="691"/>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93"/>
        <w:gridCol w:w="7359"/>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22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73" w:type="pct"/>
            <w:vAlign w:val="center"/>
            <w:textDirection w:val="lrTb"/>
            <w:noWrap w:val="false"/>
          </w:tcPr>
          <w:p>
            <w:pPr>
              <w:pStyle w:val="1006"/>
            </w:pPr>
            <w:r>
              <w:t xml:space="preserve">Описание поля</w:t>
            </w:r>
            <w:r/>
          </w:p>
        </w:tc>
      </w:tr>
      <w:tr>
        <w:trPr/>
        <w:tc>
          <w:tcPr>
            <w:shd w:val="clear" w:fill="auto" w:color="auto"/>
            <w:tcW w:w="1227" w:type="pct"/>
            <w:textDirection w:val="lrTb"/>
            <w:noWrap w:val="false"/>
          </w:tcPr>
          <w:p>
            <w:pPr>
              <w:pStyle w:val="1005"/>
              <w:ind w:left="57" w:right="57"/>
            </w:pPr>
            <w:r>
              <w:t xml:space="preserve">Номер</w:t>
            </w:r>
            <w:r/>
          </w:p>
        </w:tc>
        <w:tc>
          <w:tcPr>
            <w:shd w:val="clear" w:fill="auto" w:color="auto"/>
            <w:tcW w:w="3773" w:type="pct"/>
            <w:textDirection w:val="lrTb"/>
            <w:noWrap w:val="false"/>
          </w:tcPr>
          <w:p>
            <w:pPr>
              <w:pStyle w:val="1005"/>
              <w:ind w:left="57" w:right="57"/>
            </w:pPr>
            <w:r>
              <w:t xml:space="preserve">Указывается номер документа. </w:t>
            </w:r>
            <w:r/>
          </w:p>
          <w:p>
            <w:pPr>
              <w:pStyle w:val="1005"/>
              <w:ind w:left="57" w:right="57"/>
            </w:pPr>
            <w:r>
              <w:t xml:space="preserve">Значение рассчитывается автоматически на основании настроек для текущ</w:t>
            </w:r>
            <w:r>
              <w:t xml:space="preserve">е</w:t>
            </w:r>
            <w:r>
              <w:t xml:space="preserve">го типа документа в справочнике «Параме</w:t>
            </w:r>
            <w:r>
              <w:t xml:space="preserve">т</w:t>
            </w:r>
            <w:r>
              <w:t xml:space="preserve">ры автонумерации документов». Может быть заполнено вручную.</w:t>
            </w:r>
            <w:r/>
          </w:p>
          <w:p>
            <w:pPr>
              <w:pStyle w:val="1005"/>
              <w:ind w:left="57" w:right="57"/>
            </w:pPr>
            <w:r>
              <w:t xml:space="preserve">В случае, если значение было изменено вручную и не соответствует автом</w:t>
            </w:r>
            <w:r>
              <w:t xml:space="preserve">а</w:t>
            </w:r>
            <w:r>
              <w:t xml:space="preserve">тически вычисленному значению, правильный порядковый номер может быть проставлен по нажатию кнопки.</w:t>
            </w:r>
            <w:r/>
          </w:p>
          <w:p>
            <w:pPr>
              <w:pStyle w:val="1005"/>
              <w:ind w:left="57" w:right="57"/>
            </w:pPr>
            <w:r>
              <w:t xml:space="preserve">Для ОФК off-line заполняется вручную.</w:t>
            </w:r>
            <w:r/>
          </w:p>
        </w:tc>
      </w:tr>
      <w:tr>
        <w:trPr/>
        <w:tc>
          <w:tcPr>
            <w:shd w:val="clear" w:fill="auto" w:color="auto"/>
            <w:tcW w:w="1227" w:type="pct"/>
            <w:textDirection w:val="lrTb"/>
            <w:noWrap w:val="false"/>
          </w:tcPr>
          <w:p>
            <w:pPr>
              <w:pStyle w:val="1005"/>
              <w:ind w:left="57" w:right="57"/>
            </w:pPr>
            <w:r>
              <w:t xml:space="preserve">Дата</w:t>
            </w:r>
            <w:r/>
          </w:p>
        </w:tc>
        <w:tc>
          <w:tcPr>
            <w:shd w:val="clear" w:fill="auto" w:color="auto"/>
            <w:tcW w:w="3773" w:type="pct"/>
            <w:textDirection w:val="lrTb"/>
            <w:noWrap w:val="false"/>
          </w:tcPr>
          <w:p>
            <w:pPr>
              <w:pStyle w:val="1005"/>
              <w:ind w:left="57" w:right="57"/>
            </w:pPr>
            <w:r>
              <w:t xml:space="preserve">Заполняется автоматически з</w:t>
            </w:r>
            <w:r>
              <w:t xml:space="preserve">начением текущей системной даты.</w:t>
            </w:r>
            <w:r/>
          </w:p>
          <w:p>
            <w:pPr>
              <w:pStyle w:val="1005"/>
              <w:ind w:left="57" w:right="57"/>
            </w:pPr>
            <w:r>
              <w:t xml:space="preserve">Ввод значения вручную.</w:t>
            </w:r>
            <w:r/>
          </w:p>
          <w:p>
            <w:pPr>
              <w:pStyle w:val="1005"/>
              <w:ind w:left="57" w:right="57"/>
            </w:pPr>
            <w:r>
              <w:t xml:space="preserve">Д</w:t>
            </w:r>
            <w:r>
              <w:t xml:space="preserve">оступен выбор значения из календаря</w:t>
            </w:r>
            <w:r>
              <w:t xml:space="preserve">.</w:t>
            </w:r>
            <w:r/>
          </w:p>
        </w:tc>
      </w:tr>
      <w:tr>
        <w:trPr/>
        <w:tc>
          <w:tcPr>
            <w:shd w:val="clear" w:fill="auto" w:color="auto"/>
            <w:tcW w:w="1227" w:type="pct"/>
            <w:textDirection w:val="lrTb"/>
            <w:noWrap w:val="false"/>
          </w:tcPr>
          <w:p>
            <w:pPr>
              <w:pStyle w:val="1005"/>
              <w:ind w:left="57" w:right="57"/>
            </w:pPr>
            <w:r>
              <w:t xml:space="preserve">Статус</w:t>
            </w:r>
            <w:r/>
          </w:p>
        </w:tc>
        <w:tc>
          <w:tcPr>
            <w:shd w:val="clear" w:fill="auto" w:color="auto"/>
            <w:tcW w:w="3773" w:type="pct"/>
            <w:textDirection w:val="lrTb"/>
            <w:noWrap w:val="false"/>
          </w:tcPr>
          <w:p>
            <w:pPr>
              <w:pStyle w:val="1005"/>
              <w:ind w:left="57" w:right="57"/>
            </w:pPr>
            <w:r>
              <w:t xml:space="preserve">Заполняется автоматически при обработке документа или выгружается из OEBS.</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w:t>
            </w:r>
            <w:r>
              <w:t xml:space="preserve">«Реквизиты</w:t>
            </w:r>
            <w:r>
              <w:t xml:space="preserve"> (1)</w:t>
            </w:r>
            <w:r>
              <w:t xml:space="preserve">»</w:t>
            </w:r>
            <w:r/>
          </w:p>
        </w:tc>
      </w:tr>
      <w:tr>
        <w:trPr/>
        <w:tc>
          <w:tcPr>
            <w:shd w:val="clear" w:fill="auto" w:color="auto"/>
            <w:tcW w:w="1227" w:type="pct"/>
            <w:textDirection w:val="lrTb"/>
            <w:noWrap w:val="false"/>
          </w:tcPr>
          <w:p>
            <w:pPr>
              <w:pStyle w:val="1005"/>
              <w:ind w:left="57" w:right="57"/>
            </w:pPr>
            <w:r>
              <w:t xml:space="preserve">К</w:t>
            </w:r>
            <w:r>
              <w:t xml:space="preserve">лиент</w:t>
            </w:r>
            <w:r/>
          </w:p>
        </w:tc>
        <w:tc>
          <w:tcPr>
            <w:shd w:val="clear" w:fill="auto" w:color="auto"/>
            <w:tcW w:w="3773" w:type="pct"/>
            <w:textDirection w:val="lrTb"/>
            <w:noWrap w:val="false"/>
          </w:tcPr>
          <w:p>
            <w:pPr>
              <w:pStyle w:val="1005"/>
              <w:ind w:left="57" w:right="57"/>
            </w:pPr>
            <w:r>
              <w:t xml:space="preserve">Наименование клиента</w:t>
            </w:r>
            <w:r>
              <w:t xml:space="preserve">.</w:t>
            </w:r>
            <w:r/>
          </w:p>
          <w:p>
            <w:pPr>
              <w:pStyle w:val="1005"/>
              <w:ind w:left="57" w:right="57"/>
            </w:pPr>
            <w:r>
              <w:t xml:space="preserve">Если </w:t>
            </w:r>
            <w:r>
              <w:t xml:space="preserve">к</w:t>
            </w:r>
            <w:r>
              <w:t xml:space="preserve">од по СР</w:t>
            </w:r>
            <w:r>
              <w:t xml:space="preserve"> заполнен и Переход на СР = 1, то поле запо</w:t>
            </w:r>
            <w:r>
              <w:t xml:space="preserve">л</w:t>
            </w:r>
            <w:r>
              <w:t xml:space="preserve">няется значением актуальной записи справочника СР, найденной по коду </w:t>
            </w:r>
            <w:r>
              <w:t xml:space="preserve">равен коду по СР</w:t>
            </w:r>
            <w:r>
              <w:t xml:space="preserve">, иначе: полным наименованием актуальной записи РУБП/ПУБП/НУБП/УП, найденной по</w:t>
            </w:r>
            <w:r>
              <w:t xml:space="preserve"> к</w:t>
            </w:r>
            <w:r>
              <w:t xml:space="preserve">од</w:t>
            </w:r>
            <w:r>
              <w:t xml:space="preserve">у</w:t>
            </w:r>
            <w:r>
              <w:t xml:space="preserve"> собственного БУ</w:t>
            </w:r>
            <w:r>
              <w:t xml:space="preserve"> и</w:t>
            </w:r>
            <w:r>
              <w:t xml:space="preserve"> к</w:t>
            </w:r>
            <w:r>
              <w:t xml:space="preserve">од</w:t>
            </w:r>
            <w:r>
              <w:t xml:space="preserve">у</w:t>
            </w:r>
            <w:r>
              <w:t xml:space="preserve"> бюджета</w:t>
            </w:r>
            <w:r>
              <w:t xml:space="preserve">.</w:t>
            </w:r>
            <w:r>
              <w:t xml:space="preserve"> </w:t>
            </w:r>
            <w:r/>
          </w:p>
          <w:p>
            <w:pPr>
              <w:pStyle w:val="1005"/>
              <w:ind w:left="57" w:right="57"/>
            </w:pPr>
            <w:r>
              <w:t xml:space="preserve">Для ОФК off-line заполняется вручную.</w:t>
            </w:r>
            <w:r/>
          </w:p>
          <w:p>
            <w:pPr>
              <w:pStyle w:val="1005"/>
              <w:ind w:left="57" w:right="57"/>
            </w:pPr>
            <w:r>
              <w:t xml:space="preserve">Может быть изменено вручную.</w:t>
            </w:r>
            <w:r/>
          </w:p>
        </w:tc>
      </w:tr>
      <w:tr>
        <w:trPr/>
        <w:tc>
          <w:tcPr>
            <w:shd w:val="clear" w:fill="auto" w:color="auto"/>
            <w:tcW w:w="1227" w:type="pct"/>
            <w:textDirection w:val="lrTb"/>
            <w:noWrap w:val="false"/>
          </w:tcPr>
          <w:p>
            <w:pPr>
              <w:pStyle w:val="1005"/>
              <w:ind w:left="57" w:right="57"/>
            </w:pPr>
            <w:r>
              <w:t xml:space="preserve">По С</w:t>
            </w:r>
            <w:r>
              <w:t xml:space="preserve">водному р</w:t>
            </w:r>
            <w:r>
              <w:t xml:space="preserve">е</w:t>
            </w:r>
            <w:r>
              <w:t xml:space="preserve">естру</w:t>
            </w:r>
            <w:r/>
          </w:p>
        </w:tc>
        <w:tc>
          <w:tcPr>
            <w:shd w:val="clear" w:fill="auto" w:color="auto"/>
            <w:tcW w:w="3773" w:type="pct"/>
            <w:textDirection w:val="lrTb"/>
            <w:noWrap w:val="false"/>
          </w:tcPr>
          <w:p>
            <w:pPr>
              <w:pStyle w:val="1005"/>
              <w:ind w:left="57" w:right="57"/>
            </w:pPr>
            <w:r>
              <w:t xml:space="preserve">Если </w:t>
            </w:r>
            <w:r>
              <w:t xml:space="preserve">к</w:t>
            </w:r>
            <w:r>
              <w:t xml:space="preserve">од по СР</w:t>
            </w:r>
            <w:r>
              <w:t xml:space="preserve"> заполнен, то поле требуется заполнять значением константы</w:t>
            </w:r>
            <w:r>
              <w:t xml:space="preserve"> «</w:t>
            </w:r>
            <w:r>
              <w:t xml:space="preserve">Код по СР</w:t>
            </w:r>
            <w:r>
              <w:t xml:space="preserve">»</w:t>
            </w:r>
            <w:r>
              <w:t xml:space="preserve">, ина</w:t>
            </w:r>
            <w:r>
              <w:t xml:space="preserve">че поле заполняется по-старому:</w:t>
            </w:r>
            <w:r/>
          </w:p>
          <w:p>
            <w:pPr>
              <w:pStyle w:val="1007"/>
            </w:pPr>
            <w:r>
              <w:t xml:space="preserve">н</w:t>
            </w:r>
            <w:r>
              <w:t xml:space="preserve">а</w:t>
            </w:r>
            <w:r>
              <w:t xml:space="preserve"> АРМ ПБС – из </w:t>
            </w:r>
            <w:r>
              <w:t xml:space="preserve">кода собственного БУ</w:t>
            </w:r>
            <w:r>
              <w:t xml:space="preserve"> для ФБ;</w:t>
            </w:r>
            <w:r/>
          </w:p>
          <w:p>
            <w:pPr>
              <w:pStyle w:val="1007"/>
            </w:pPr>
            <w:r>
              <w:t xml:space="preserve">н</w:t>
            </w:r>
            <w:r>
              <w:t xml:space="preserve">а АРМ НУБП </w:t>
            </w:r>
            <w:r>
              <w:t xml:space="preserve">–</w:t>
            </w:r>
            <w:r>
              <w:t xml:space="preserve"> не заполняет</w:t>
            </w:r>
            <w:r>
              <w:t xml:space="preserve">ся;</w:t>
            </w:r>
            <w:r/>
          </w:p>
          <w:p>
            <w:pPr>
              <w:pStyle w:val="1007"/>
            </w:pPr>
            <w:r>
              <w:t xml:space="preserve">д</w:t>
            </w:r>
            <w:r>
              <w:t xml:space="preserve">ля О</w:t>
            </w:r>
            <w:r>
              <w:t xml:space="preserve">ФК off-line заполняется вручную;</w:t>
            </w:r>
            <w:r/>
          </w:p>
          <w:p>
            <w:pPr>
              <w:pStyle w:val="1007"/>
            </w:pPr>
            <w:r>
              <w:t xml:space="preserve">для ФО</w:t>
            </w:r>
            <w:r>
              <w:t xml:space="preserve"> заполняется вручную.</w:t>
            </w:r>
            <w:r/>
          </w:p>
          <w:p>
            <w:pPr>
              <w:pStyle w:val="1007"/>
              <w:numPr>
                <w:ilvl w:val="0"/>
                <w:numId w:val="0"/>
              </w:numPr>
            </w:pPr>
            <w:r>
              <w:t xml:space="preserve">Может быть изменено вручную.</w:t>
            </w:r>
            <w:r/>
          </w:p>
        </w:tc>
      </w:tr>
      <w:tr>
        <w:trPr/>
        <w:tc>
          <w:tcPr>
            <w:shd w:val="clear" w:fill="auto" w:color="auto"/>
            <w:tcW w:w="1227" w:type="pct"/>
            <w:textDirection w:val="lrTb"/>
            <w:noWrap w:val="false"/>
          </w:tcPr>
          <w:p>
            <w:pPr>
              <w:pStyle w:val="1005"/>
              <w:ind w:left="57" w:right="57"/>
            </w:pPr>
            <w:r>
              <w:t xml:space="preserve">Номер ЛС</w:t>
            </w:r>
            <w:r/>
          </w:p>
        </w:tc>
        <w:tc>
          <w:tcPr>
            <w:shd w:val="clear" w:fill="auto" w:color="auto"/>
            <w:tcW w:w="3773" w:type="pct"/>
            <w:textDirection w:val="lrTb"/>
            <w:noWrap w:val="false"/>
          </w:tcPr>
          <w:p>
            <w:pPr>
              <w:pStyle w:val="1005"/>
              <w:ind w:left="57" w:right="57"/>
            </w:pPr>
            <w:r>
              <w:t xml:space="preserve">На АРМ ФО значение заполняется автоматически из справочника «Ин-формация о ЛС».</w:t>
            </w:r>
            <w:r/>
          </w:p>
          <w:p>
            <w:pPr>
              <w:pStyle w:val="1005"/>
              <w:ind w:left="57" w:right="57"/>
            </w:pPr>
            <w:r>
              <w:t xml:space="preserve">Заполняется значением актуального л/с с кодом 02/12, открытого клиенту (поиск осуществляется по значениям системных констант «Код бюджета», «Код собственного БУ»).</w:t>
            </w:r>
            <w:r/>
          </w:p>
        </w:tc>
      </w:tr>
      <w:tr>
        <w:trPr/>
        <w:tc>
          <w:tcPr>
            <w:shd w:val="clear" w:fill="auto" w:color="auto"/>
            <w:tcW w:w="1227" w:type="pct"/>
            <w:textDirection w:val="lrTb"/>
            <w:noWrap w:val="false"/>
          </w:tcPr>
          <w:p>
            <w:pPr>
              <w:pStyle w:val="1005"/>
              <w:ind w:left="57" w:right="57"/>
            </w:pPr>
            <w:r>
              <w:t xml:space="preserve">Косвенный участник</w:t>
            </w:r>
            <w:r/>
          </w:p>
        </w:tc>
        <w:tc>
          <w:tcPr>
            <w:shd w:val="clear" w:fill="auto" w:color="auto"/>
            <w:tcW w:w="3773" w:type="pct"/>
            <w:textDirection w:val="lrTb"/>
            <w:noWrap w:val="false"/>
          </w:tcPr>
          <w:p>
            <w:pPr>
              <w:pStyle w:val="1005"/>
              <w:ind w:left="57" w:right="57"/>
            </w:pPr>
            <w:r>
              <w:t xml:space="preserve">Наименование клиента-косвенного участника системы казначейских платежей.</w:t>
            </w:r>
            <w:r/>
          </w:p>
          <w:p>
            <w:pPr>
              <w:pStyle w:val="1005"/>
              <w:ind w:left="57" w:right="57"/>
            </w:pPr>
            <w:r>
              <w:t xml:space="preserve">На АРМ ФО з</w:t>
            </w:r>
            <w:r>
              <w:t xml:space="preserve">начение заполняется автоматически из поля «Полное наименование» актуальной записи Сводного реестра, найденной на основании указанного кода клиента.</w:t>
            </w:r>
            <w:r/>
          </w:p>
        </w:tc>
      </w:tr>
      <w:tr>
        <w:trPr/>
        <w:tc>
          <w:tcPr>
            <w:shd w:val="clear" w:fill="auto" w:color="auto"/>
            <w:tcW w:w="1227" w:type="pct"/>
            <w:textDirection w:val="lrTb"/>
            <w:noWrap w:val="false"/>
          </w:tcPr>
          <w:p>
            <w:pPr>
              <w:pStyle w:val="1005"/>
              <w:ind w:left="57" w:right="57"/>
            </w:pPr>
            <w:r>
              <w:t xml:space="preserve">П</w:t>
            </w:r>
            <w:r>
              <w:t xml:space="preserve">о Сводному реестру косвенного участника</w:t>
            </w:r>
            <w:r/>
          </w:p>
        </w:tc>
        <w:tc>
          <w:tcPr>
            <w:shd w:val="clear" w:fill="auto" w:color="auto"/>
            <w:tcW w:w="3773" w:type="pct"/>
            <w:textDirection w:val="lrTb"/>
            <w:noWrap w:val="false"/>
          </w:tcPr>
          <w:p>
            <w:pPr>
              <w:pStyle w:val="1005"/>
              <w:ind w:left="57" w:right="57"/>
            </w:pPr>
            <w:r>
              <w:t xml:space="preserve">Код клиента по Сводному реестру-косвенного участника системы казначейских платежей.</w:t>
            </w:r>
            <w:r/>
          </w:p>
          <w:p>
            <w:pPr>
              <w:pStyle w:val="1005"/>
              <w:ind w:left="57" w:right="57"/>
            </w:pPr>
            <w:r>
              <w:t xml:space="preserve">Реквизит доступен для ручного ввода на АРМ ФО.</w:t>
            </w:r>
            <w:r/>
          </w:p>
          <w:p>
            <w:pPr>
              <w:pStyle w:val="1005"/>
              <w:ind w:left="57" w:right="57"/>
            </w:pPr>
            <w:r>
              <w:t xml:space="preserve">Значение выбирается пользователем из Сводного реестра. Перечень записей, доступных для выбора, ограничен актуальными записями, в которых значение реквизита «Код бюджета» равно значению системной константы «Код бюджета».</w:t>
            </w:r>
            <w:r/>
          </w:p>
        </w:tc>
      </w:tr>
      <w:tr>
        <w:trPr/>
        <w:tc>
          <w:tcPr>
            <w:shd w:val="clear" w:fill="auto" w:color="auto"/>
            <w:tcW w:w="1227" w:type="pct"/>
            <w:textDirection w:val="lrTb"/>
            <w:noWrap w:val="false"/>
          </w:tcPr>
          <w:p>
            <w:pPr>
              <w:pStyle w:val="1005"/>
              <w:ind w:left="57" w:right="57"/>
            </w:pPr>
            <w:r>
              <w:t xml:space="preserve">Номер ЛС косвенного участника</w:t>
            </w:r>
            <w:r/>
          </w:p>
        </w:tc>
        <w:tc>
          <w:tcPr>
            <w:shd w:val="clear" w:fill="auto" w:color="auto"/>
            <w:tcW w:w="3773" w:type="pct"/>
            <w:textDirection w:val="lrTb"/>
            <w:noWrap w:val="false"/>
          </w:tcPr>
          <w:p>
            <w:pPr>
              <w:pStyle w:val="1005"/>
              <w:ind w:left="57" w:right="57"/>
            </w:pPr>
            <w:r>
              <w:t xml:space="preserve">Номер лицевого счета клиента-косвенного участника системы казначейских платежей</w:t>
            </w:r>
            <w:r>
              <w:t xml:space="preserve">.</w:t>
            </w:r>
            <w:r/>
          </w:p>
          <w:p>
            <w:pPr>
              <w:pStyle w:val="1005"/>
              <w:ind w:left="57" w:right="57"/>
            </w:pPr>
            <w:r>
              <w:t xml:space="preserve">На АРМ ФО значение реквизита заполняется вручную.</w:t>
            </w:r>
            <w:r/>
          </w:p>
        </w:tc>
      </w:tr>
      <w:tr>
        <w:trPr/>
        <w:tc>
          <w:tcPr>
            <w:shd w:val="clear" w:fill="auto" w:color="auto"/>
            <w:tcW w:w="1227" w:type="pct"/>
            <w:textDirection w:val="lrTb"/>
            <w:noWrap w:val="false"/>
          </w:tcPr>
          <w:p>
            <w:pPr>
              <w:pStyle w:val="1005"/>
              <w:ind w:left="57" w:right="57"/>
            </w:pPr>
            <w:r>
              <w:t xml:space="preserve">ГРБС</w:t>
            </w:r>
            <w:r/>
          </w:p>
        </w:tc>
        <w:tc>
          <w:tcPr>
            <w:shd w:val="clear" w:fill="auto" w:color="auto"/>
            <w:tcW w:w="3773" w:type="pct"/>
            <w:textDirection w:val="lrTb"/>
            <w:noWrap w:val="false"/>
          </w:tcPr>
          <w:p>
            <w:pPr>
              <w:pStyle w:val="1005"/>
              <w:ind w:left="57" w:right="57"/>
            </w:pPr>
            <w:r>
              <w:t xml:space="preserve">На АРМ ФО реквизит не заполняется</w:t>
            </w:r>
            <w:r>
              <w:t xml:space="preserve">.</w:t>
            </w:r>
            <w:r/>
          </w:p>
        </w:tc>
      </w:tr>
      <w:tr>
        <w:trPr/>
        <w:tc>
          <w:tcPr>
            <w:shd w:val="clear" w:fill="auto" w:color="auto"/>
            <w:tcW w:w="1227" w:type="pct"/>
            <w:textDirection w:val="lrTb"/>
            <w:noWrap w:val="false"/>
          </w:tcPr>
          <w:p>
            <w:pPr>
              <w:pStyle w:val="1005"/>
              <w:ind w:left="57" w:right="57"/>
            </w:pPr>
            <w:r>
              <w:t xml:space="preserve">Глава по БК</w:t>
            </w:r>
            <w:r/>
          </w:p>
        </w:tc>
        <w:tc>
          <w:tcPr>
            <w:shd w:val="clear" w:fill="auto" w:color="auto"/>
            <w:tcW w:w="3773" w:type="pct"/>
            <w:textDirection w:val="lrTb"/>
            <w:noWrap w:val="false"/>
          </w:tcPr>
          <w:p>
            <w:pPr>
              <w:pStyle w:val="1005"/>
              <w:ind w:left="57" w:right="57"/>
            </w:pPr>
            <w:r>
              <w:t xml:space="preserve">Значение заполняется автоматически из системной константы SelfPPPCode.</w:t>
            </w:r>
            <w:r/>
          </w:p>
          <w:p>
            <w:pPr>
              <w:pStyle w:val="1005"/>
              <w:ind w:left="57" w:right="57"/>
            </w:pPr>
            <w:r>
              <w:t xml:space="preserve">Может быть отредактировано вручную, либо выбором из справочника «В</w:t>
            </w:r>
            <w:r>
              <w:t xml:space="preserve">е</w:t>
            </w:r>
            <w:r>
              <w:t xml:space="preserve">домства» (с учетом бюджета).</w:t>
            </w:r>
            <w:r/>
          </w:p>
          <w:p>
            <w:pPr>
              <w:pStyle w:val="1005"/>
              <w:ind w:left="57" w:right="57"/>
            </w:pPr>
            <w:r>
              <w:t xml:space="preserve">Для ОФК off-line заполняется вручную.</w:t>
            </w:r>
            <w:r/>
          </w:p>
          <w:p>
            <w:pPr>
              <w:pStyle w:val="1005"/>
              <w:ind w:left="57" w:right="57"/>
            </w:pPr>
            <w:r>
              <w:t xml:space="preserve">На АРМ НУБП для БУ, АУ указывается код главы по БК органа, осущест</w:t>
            </w:r>
            <w:r>
              <w:t xml:space="preserve">в</w:t>
            </w:r>
            <w:r>
              <w:t xml:space="preserve">ляющего функции и полномочия учредителя в отношении клиента. </w:t>
            </w:r>
            <w:r/>
          </w:p>
          <w:p>
            <w:pPr>
              <w:pStyle w:val="1005"/>
              <w:ind w:left="57" w:right="57"/>
            </w:pPr>
            <w:r>
              <w:t xml:space="preserve">Поле может не заполняться в соответствии с отдельными указаниями ФК.</w:t>
            </w:r>
            <w:r/>
          </w:p>
          <w:p>
            <w:pPr>
              <w:pStyle w:val="1005"/>
              <w:ind w:left="57" w:right="57"/>
            </w:pPr>
            <w:r>
              <w:t xml:space="preserve">На АРМ ФО реквизит не заполняется</w:t>
            </w:r>
            <w:r>
              <w:t xml:space="preserve">.</w:t>
            </w:r>
            <w:r/>
          </w:p>
        </w:tc>
      </w:tr>
      <w:tr>
        <w:trPr/>
        <w:tc>
          <w:tcPr>
            <w:shd w:val="clear" w:fill="auto" w:color="auto"/>
            <w:tcW w:w="1227" w:type="pct"/>
            <w:textDirection w:val="lrTb"/>
            <w:noWrap w:val="false"/>
          </w:tcPr>
          <w:p>
            <w:pPr>
              <w:pStyle w:val="1005"/>
              <w:ind w:left="57" w:right="57"/>
            </w:pPr>
            <w:r>
              <w:t xml:space="preserve">Бюджет</w:t>
            </w:r>
            <w:r/>
          </w:p>
        </w:tc>
        <w:tc>
          <w:tcPr>
            <w:shd w:val="clear" w:fill="auto" w:color="auto"/>
            <w:tcW w:w="3773" w:type="pct"/>
            <w:textDirection w:val="lrTb"/>
            <w:noWrap w:val="false"/>
          </w:tcPr>
          <w:p>
            <w:pPr>
              <w:pStyle w:val="1005"/>
              <w:ind w:left="57" w:right="57"/>
            </w:pPr>
            <w:r>
              <w:t xml:space="preserve">Заполняется автоматически полным наименованием актуальной записи справочника «Бюджеты», найденной по коду = SelfBudgetCode.</w:t>
            </w:r>
            <w:r/>
          </w:p>
          <w:p>
            <w:pPr>
              <w:pStyle w:val="1005"/>
              <w:ind w:left="57" w:right="57"/>
            </w:pPr>
            <w:r>
              <w:t xml:space="preserve">Может быть отредактировано вручную и из справочника «Бюджеты». </w:t>
            </w:r>
            <w:r/>
          </w:p>
          <w:p>
            <w:pPr>
              <w:pStyle w:val="1005"/>
              <w:ind w:left="57" w:right="57"/>
            </w:pPr>
            <w:r>
              <w:t xml:space="preserve">Для ОФК off-line заполняется вручную.</w:t>
            </w:r>
            <w:r/>
          </w:p>
          <w:p>
            <w:pPr>
              <w:pStyle w:val="1005"/>
              <w:ind w:left="57" w:right="57"/>
            </w:pPr>
            <w:r>
              <w:t xml:space="preserve">На АРМ НУБП для БУ, АУ не заполняется.</w:t>
            </w:r>
            <w:r/>
          </w:p>
        </w:tc>
      </w:tr>
      <w:tr>
        <w:trPr/>
        <w:tc>
          <w:tcPr>
            <w:shd w:val="clear" w:fill="auto" w:color="auto"/>
            <w:tcW w:w="1227" w:type="pct"/>
            <w:textDirection w:val="lrTb"/>
            <w:noWrap w:val="false"/>
          </w:tcPr>
          <w:p>
            <w:pPr>
              <w:pStyle w:val="1005"/>
              <w:ind w:left="57" w:right="57"/>
            </w:pPr>
            <w:r>
              <w:t xml:space="preserve">ФО/органа управления ГВФ</w:t>
            </w:r>
            <w:r/>
          </w:p>
        </w:tc>
        <w:tc>
          <w:tcPr>
            <w:shd w:val="clear" w:fill="auto" w:color="auto"/>
            <w:tcW w:w="3773" w:type="pct"/>
            <w:textDirection w:val="lrTb"/>
            <w:noWrap w:val="false"/>
          </w:tcPr>
          <w:p>
            <w:pPr>
              <w:pStyle w:val="1005"/>
              <w:ind w:left="57" w:right="57"/>
            </w:pPr>
            <w:r>
              <w:t xml:space="preserve">Заполняется автоматически полным наименованием единственной найде</w:t>
            </w:r>
            <w:r>
              <w:t xml:space="preserve">н</w:t>
            </w:r>
            <w:r>
              <w:t xml:space="preserve">ной актуальной записи справочника «Финансовые органы», найденной по бюджету = SelfBudgetCode. В случае нахождения нескольких ФО – не з</w:t>
            </w:r>
            <w:r>
              <w:t xml:space="preserve">а</w:t>
            </w:r>
            <w:r>
              <w:t xml:space="preserve">полн</w:t>
            </w:r>
            <w:r>
              <w:t xml:space="preserve">я</w:t>
            </w:r>
            <w:r>
              <w:t xml:space="preserve">ется. Может быть отредактировано вручную и из справочника ФО. </w:t>
            </w:r>
            <w:r/>
          </w:p>
          <w:p>
            <w:pPr>
              <w:pStyle w:val="1005"/>
              <w:ind w:left="57" w:right="57"/>
            </w:pPr>
            <w:r>
              <w:t xml:space="preserve">Для ОФК off-line заполняется вручную.</w:t>
            </w:r>
            <w:r/>
          </w:p>
          <w:p>
            <w:pPr>
              <w:pStyle w:val="1005"/>
              <w:ind w:left="57" w:right="57"/>
            </w:pPr>
            <w:r>
              <w:t xml:space="preserve">Для БУ, АУ не заполняется.</w:t>
            </w:r>
            <w:r/>
          </w:p>
        </w:tc>
      </w:tr>
      <w:tr>
        <w:trPr/>
        <w:tc>
          <w:tcPr>
            <w:shd w:val="clear" w:fill="auto" w:color="auto"/>
            <w:tcW w:w="1227" w:type="pct"/>
            <w:textDirection w:val="lrTb"/>
            <w:noWrap w:val="false"/>
          </w:tcPr>
          <w:p>
            <w:pPr>
              <w:pStyle w:val="1005"/>
              <w:ind w:left="57" w:right="57"/>
            </w:pPr>
            <w:r>
              <w:t xml:space="preserve">П</w:t>
            </w:r>
            <w:r>
              <w:t xml:space="preserve">о Сводному реестру</w:t>
            </w:r>
            <w:r/>
          </w:p>
        </w:tc>
        <w:tc>
          <w:tcPr>
            <w:shd w:val="clear" w:fill="auto" w:color="auto"/>
            <w:tcW w:w="3773" w:type="pct"/>
            <w:textDirection w:val="lrTb"/>
            <w:noWrap w:val="false"/>
          </w:tcPr>
          <w:p>
            <w:pPr>
              <w:pStyle w:val="1005"/>
              <w:ind w:left="57" w:right="57"/>
            </w:pPr>
            <w:r>
              <w:t xml:space="preserve">Указывается код органа соответствующего ФО/органа управления ГВФ по новому Сводному реестру.</w:t>
            </w:r>
            <w:r/>
          </w:p>
          <w:p>
            <w:pPr>
              <w:pStyle w:val="1005"/>
              <w:ind w:left="57" w:right="57"/>
            </w:pPr>
            <w:r>
              <w:t xml:space="preserve">Заполняется вручную.</w:t>
            </w:r>
            <w:r/>
          </w:p>
          <w:p>
            <w:pPr>
              <w:pStyle w:val="1005"/>
              <w:ind w:left="57" w:right="57"/>
            </w:pPr>
            <w:r>
              <w:t xml:space="preserve">Может быть изменено после ввода значения в поле «Наименование ФО/органа управления ГВФ».</w:t>
            </w:r>
            <w:r/>
          </w:p>
          <w:p>
            <w:pPr>
              <w:pStyle w:val="1005"/>
              <w:ind w:left="57" w:right="57"/>
            </w:pPr>
            <w:r>
              <w:t xml:space="preserve">Не заполняется для АУ, БУ.</w:t>
            </w:r>
            <w:r/>
          </w:p>
        </w:tc>
      </w:tr>
      <w:tr>
        <w:trPr/>
        <w:tc>
          <w:tcPr>
            <w:shd w:val="clear" w:fill="auto" w:color="auto"/>
            <w:tcW w:w="1227" w:type="pct"/>
            <w:textDirection w:val="lrTb"/>
            <w:noWrap w:val="false"/>
          </w:tcPr>
          <w:p>
            <w:pPr>
              <w:pStyle w:val="1005"/>
              <w:ind w:left="57" w:right="57"/>
            </w:pPr>
            <w:r>
              <w:t xml:space="preserve">ОрФК</w:t>
            </w:r>
            <w:r/>
          </w:p>
        </w:tc>
        <w:tc>
          <w:tcPr>
            <w:shd w:val="clear" w:fill="auto" w:color="auto"/>
            <w:tcW w:w="3773" w:type="pct"/>
            <w:textDirection w:val="lrTb"/>
            <w:noWrap w:val="false"/>
          </w:tcPr>
          <w:p>
            <w:pPr>
              <w:pStyle w:val="1005"/>
              <w:ind w:left="57" w:right="57"/>
            </w:pPr>
            <w:r>
              <w:t xml:space="preserve">Наименование ОрФК</w:t>
            </w:r>
            <w:r>
              <w:t xml:space="preserve">.</w:t>
            </w:r>
            <w:r/>
          </w:p>
          <w:p>
            <w:pPr>
              <w:pStyle w:val="1005"/>
              <w:ind w:left="57" w:right="57"/>
            </w:pPr>
            <w:r>
              <w:t xml:space="preserve">Значение поля подтягивается по полю «по КОФК» из справочника органов ФК из поля «Полное наименование». </w:t>
            </w:r>
            <w:r/>
          </w:p>
          <w:p>
            <w:pPr>
              <w:pStyle w:val="1005"/>
              <w:ind w:left="57" w:right="57"/>
            </w:pPr>
            <w:r>
              <w:t xml:space="preserve">Может быть изменено пользователем вручную.</w:t>
            </w:r>
            <w:r/>
          </w:p>
          <w:p>
            <w:pPr>
              <w:pStyle w:val="1005"/>
              <w:ind w:left="57" w:right="57"/>
            </w:pPr>
            <w:r>
              <w:t xml:space="preserve">Для ОФК off-line заполняется вручную.</w:t>
            </w:r>
            <w:r/>
          </w:p>
        </w:tc>
      </w:tr>
      <w:tr>
        <w:trPr/>
        <w:tc>
          <w:tcPr>
            <w:shd w:val="clear" w:fill="auto" w:color="auto"/>
            <w:tcW w:w="1227" w:type="pct"/>
            <w:textDirection w:val="lrTb"/>
            <w:noWrap w:val="false"/>
          </w:tcPr>
          <w:p>
            <w:pPr>
              <w:pStyle w:val="1005"/>
              <w:ind w:left="57" w:right="57"/>
            </w:pPr>
            <w:r>
              <w:t xml:space="preserve">По КОФК</w:t>
            </w:r>
            <w:r/>
          </w:p>
        </w:tc>
        <w:tc>
          <w:tcPr>
            <w:shd w:val="clear" w:fill="auto" w:color="auto"/>
            <w:tcW w:w="3773" w:type="pct"/>
            <w:textDirection w:val="lrTb"/>
            <w:noWrap w:val="false"/>
          </w:tcPr>
          <w:p>
            <w:pPr>
              <w:pStyle w:val="1005"/>
              <w:ind w:left="57" w:right="57"/>
            </w:pPr>
            <w:r>
              <w:t xml:space="preserve">Если значение вводится на АРМ ПБС, АРМ ФО, АРМ НУБП: проверяется значение константы код </w:t>
            </w:r>
            <w:r>
              <w:t xml:space="preserve">собственного ТОФК</w:t>
            </w:r>
            <w:r>
              <w:t xml:space="preserve">. Если в значении 3-4 разряды не равны 00, то по умолчанию проставляется значение константы код вышестоящего ТОФК со значениями 00 в 3-4 разрядах. Иначе по умо</w:t>
            </w:r>
            <w:r>
              <w:t xml:space="preserve">л</w:t>
            </w:r>
            <w:r>
              <w:t xml:space="preserve">чанию проставляется значение код собственного ТОФК.</w:t>
            </w:r>
            <w:r/>
          </w:p>
          <w:p>
            <w:pPr>
              <w:pStyle w:val="1005"/>
              <w:ind w:left="57" w:right="57"/>
            </w:pPr>
            <w:r>
              <w:t xml:space="preserve">Может быть изменено пользователем вручную или выбором из справочника «КОФК» (Органы ФК).</w:t>
            </w:r>
            <w:r/>
          </w:p>
          <w:p>
            <w:pPr>
              <w:pStyle w:val="1005"/>
              <w:ind w:left="57" w:right="57"/>
            </w:pPr>
            <w:r>
              <w:t xml:space="preserve">Для ОФК off-line заполняется вручную.</w:t>
            </w:r>
            <w:r/>
          </w:p>
        </w:tc>
      </w:tr>
      <w:tr>
        <w:trPr/>
        <w:tc>
          <w:tcPr>
            <w:shd w:val="clear" w:fill="auto" w:color="auto"/>
            <w:tcW w:w="1227" w:type="pct"/>
            <w:textDirection w:val="lrTb"/>
            <w:noWrap w:val="false"/>
          </w:tcPr>
          <w:p>
            <w:pPr>
              <w:pStyle w:val="1005"/>
              <w:ind w:left="57" w:right="57"/>
            </w:pPr>
            <w:r>
              <w:t xml:space="preserve">Учетный номер БО</w:t>
            </w:r>
            <w:r/>
          </w:p>
        </w:tc>
        <w:tc>
          <w:tcPr>
            <w:shd w:val="clear" w:fill="auto" w:color="auto"/>
            <w:tcW w:w="3773" w:type="pct"/>
            <w:textDirection w:val="lrTb"/>
            <w:noWrap w:val="false"/>
          </w:tcPr>
          <w:p>
            <w:pPr>
              <w:pStyle w:val="1005"/>
              <w:ind w:left="57" w:right="57"/>
            </w:pPr>
            <w:r>
              <w:t xml:space="preserve">Значение может вводиться вручную. </w:t>
            </w:r>
            <w:r/>
          </w:p>
          <w:p>
            <w:pPr>
              <w:pStyle w:val="1005"/>
              <w:ind w:left="57" w:right="57"/>
            </w:pPr>
            <w:r>
              <w:t xml:space="preserve">Для БУ, АУ</w:t>
            </w:r>
            <w:r>
              <w:t xml:space="preserve">, ФО</w:t>
            </w:r>
            <w:r>
              <w:t xml:space="preserve"> не заполняется.</w:t>
            </w:r>
            <w:r/>
          </w:p>
          <w:p>
            <w:pPr>
              <w:pStyle w:val="1005"/>
              <w:ind w:left="57" w:right="57"/>
            </w:pPr>
            <w:r>
              <w:t xml:space="preserve">Значение передается из ППО OEBS АСФК.</w:t>
            </w:r>
            <w:r/>
          </w:p>
        </w:tc>
      </w:tr>
      <w:tr>
        <w:trPr/>
        <w:tc>
          <w:tcPr>
            <w:shd w:val="clear" w:fill="auto" w:color="auto"/>
            <w:tcW w:w="1227" w:type="pct"/>
            <w:textDirection w:val="lrTb"/>
            <w:noWrap w:val="false"/>
          </w:tcPr>
          <w:p>
            <w:pPr>
              <w:pStyle w:val="1005"/>
              <w:ind w:left="57" w:right="57"/>
            </w:pPr>
            <w:r>
              <w:t xml:space="preserve">Учетный номер ДО</w:t>
            </w:r>
            <w:r/>
          </w:p>
        </w:tc>
        <w:tc>
          <w:tcPr>
            <w:shd w:val="clear" w:fill="auto" w:color="auto"/>
            <w:tcW w:w="3773" w:type="pct"/>
            <w:textDirection w:val="lrTb"/>
            <w:noWrap w:val="false"/>
          </w:tcPr>
          <w:p>
            <w:pPr>
              <w:pStyle w:val="1005"/>
              <w:ind w:left="57" w:right="57"/>
            </w:pPr>
            <w:r>
              <w:t xml:space="preserve">Значение </w:t>
            </w:r>
            <w:r>
              <w:t xml:space="preserve">вводится </w:t>
            </w:r>
            <w:r>
              <w:t xml:space="preserve">вручную</w:t>
            </w:r>
            <w:r>
              <w:t xml:space="preserve">.</w:t>
            </w:r>
            <w:r/>
          </w:p>
          <w:p>
            <w:pPr>
              <w:pStyle w:val="1005"/>
              <w:ind w:left="57" w:right="57"/>
            </w:pPr>
            <w:r>
              <w:t xml:space="preserve">На АРМ ФО реквизит не заполняется</w:t>
            </w:r>
            <w:r>
              <w:t xml:space="preserve">.</w:t>
            </w:r>
            <w:r/>
          </w:p>
        </w:tc>
      </w:tr>
      <w:tr>
        <w:trPr/>
        <w:tc>
          <w:tcPr>
            <w:shd w:val="clear" w:fill="auto" w:color="auto"/>
            <w:tcW w:w="1227" w:type="pct"/>
            <w:textDirection w:val="lrTb"/>
            <w:noWrap w:val="false"/>
          </w:tcPr>
          <w:p>
            <w:pPr>
              <w:pStyle w:val="1005"/>
              <w:ind w:left="57" w:right="57"/>
            </w:pPr>
            <w:r>
              <w:t xml:space="preserve">Резервное поле 2</w:t>
            </w:r>
            <w:r/>
          </w:p>
        </w:tc>
        <w:tc>
          <w:tcPr>
            <w:shd w:val="clear" w:fill="auto" w:color="auto"/>
            <w:tcW w:w="3773" w:type="pct"/>
            <w:textDirection w:val="lrTb"/>
            <w:noWrap w:val="false"/>
          </w:tcPr>
          <w:p>
            <w:pPr>
              <w:pStyle w:val="1005"/>
              <w:ind w:left="57" w:right="57"/>
            </w:pPr>
            <w:r>
              <w:t xml:space="preserve">Значение </w:t>
            </w:r>
            <w:r>
              <w:t xml:space="preserve">вводится </w:t>
            </w:r>
            <w:r>
              <w:t xml:space="preserve">вручную</w:t>
            </w:r>
            <w:r>
              <w:t xml:space="preserve">.</w:t>
            </w:r>
            <w:r/>
          </w:p>
        </w:tc>
      </w:tr>
      <w:tr>
        <w:trPr/>
        <w:tc>
          <w:tcPr>
            <w:shd w:val="clear" w:fill="auto" w:color="auto"/>
            <w:tcW w:w="1227" w:type="pct"/>
            <w:textDirection w:val="lrTb"/>
            <w:noWrap w:val="false"/>
          </w:tcPr>
          <w:p>
            <w:pPr>
              <w:pStyle w:val="1005"/>
              <w:ind w:left="57" w:right="57"/>
            </w:pPr>
            <w:r>
              <w:t xml:space="preserve">Сумма всего</w:t>
            </w:r>
            <w:r/>
          </w:p>
        </w:tc>
        <w:tc>
          <w:tcPr>
            <w:shd w:val="clear" w:fill="auto" w:color="auto"/>
            <w:tcW w:w="3773" w:type="pct"/>
            <w:textDirection w:val="lrTb"/>
            <w:noWrap w:val="false"/>
          </w:tcPr>
          <w:p>
            <w:pPr>
              <w:pStyle w:val="1005"/>
              <w:ind w:left="57" w:right="57"/>
            </w:pPr>
            <w:r>
              <w:t xml:space="preserve">Значение </w:t>
            </w:r>
            <w:r>
              <w:t xml:space="preserve">вводится </w:t>
            </w:r>
            <w:r>
              <w:t xml:space="preserve">вручную</w:t>
            </w:r>
            <w:r>
              <w:t xml:space="preserve">.</w:t>
            </w:r>
            <w:r/>
          </w:p>
        </w:tc>
      </w:tr>
    </w:tbl>
    <w:p>
      <w:pPr>
        <w:pStyle w:val="994"/>
      </w:pPr>
      <w:r>
        <w:t xml:space="preserve">ЭФ документа </w:t>
      </w:r>
      <w:r>
        <w:t xml:space="preserve">«</w:t>
      </w:r>
      <w:r>
        <w:t xml:space="preserve">Распоряжение о перечислении денежных средств на карты «Мир» ф</w:t>
      </w:r>
      <w:r>
        <w:t xml:space="preserve">и</w:t>
      </w:r>
      <w:r>
        <w:t xml:space="preserve">зических лиц</w:t>
      </w:r>
      <w:r>
        <w:t xml:space="preserve">», закладки «Информация о выплатах</w:t>
      </w:r>
      <w:r>
        <w:t xml:space="preserve"> (2)</w:t>
      </w:r>
      <w:r>
        <w:t xml:space="preserve">» </w:t>
      </w:r>
      <w:r>
        <w:t xml:space="preserve">представлена </w:t>
      </w:r>
      <w:r>
        <w:t xml:space="preserve">н</w:t>
      </w:r>
      <w:r>
        <w:t xml:space="preserve">а рисунке</w:t>
      </w:r>
      <w:r>
        <w:t xml:space="preserve"> </w:t>
      </w:r>
      <w:r>
        <w:fldChar w:fldCharType="begin"/>
      </w:r>
      <w:r>
        <w:instrText xml:space="preserve"> REF _Ref489260006 \h </w:instrText>
      </w:r>
      <w:r>
        <w:fldChar w:fldCharType="separate"/>
      </w:r>
      <w:r>
        <w:t xml:space="preserve">71</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4290060"/>
                <wp:effectExtent l="0" t="0" r="0" b="0"/>
                <wp:docPr id="14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37"/>
                        <a:stretch/>
                      </pic:blipFill>
                      <pic:spPr bwMode="auto">
                        <a:xfrm>
                          <a:off x="0" y="0"/>
                          <a:ext cx="6035039" cy="42900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 o:spid="_x0000_s141" type="#_x0000_t75" style="mso-wrap-distance-left:0.0pt;mso-wrap-distance-top:0.0pt;mso-wrap-distance-right:0.0pt;mso-wrap-distance-bottom:0.0pt;width:475.2pt;height:337.8pt;" stroked="f">
                <v:path textboxrect="0,0,0,0"/>
                <v:imagedata r:id="rId137" o:title=""/>
              </v:shape>
            </w:pict>
          </mc:Fallback>
        </mc:AlternateContent>
      </w:r>
      <w:r/>
    </w:p>
    <w:p>
      <w:pPr>
        <w:pStyle w:val="983"/>
      </w:pPr>
      <w:r>
        <w:fldChar w:fldCharType="begin"/>
      </w:r>
      <w:r>
        <w:instrText xml:space="preserve"> SEQ Рисунок \* ARABIC </w:instrText>
      </w:r>
      <w:r>
        <w:fldChar w:fldCharType="separate"/>
      </w:r>
      <w:bookmarkStart w:id="692" w:name="_Ref489260006"/>
      <w:r/>
      <w:bookmarkStart w:id="693" w:name="_Toc67909099"/>
      <w:r/>
      <w:bookmarkStart w:id="694" w:name="_Toc88819456"/>
      <w:r>
        <w:t xml:space="preserve">71</w:t>
      </w:r>
      <w:bookmarkEnd w:id="692"/>
      <w:r>
        <w:fldChar w:fldCharType="end"/>
      </w:r>
      <w:r>
        <w:t xml:space="preserve">. ЭФ документа «Распоряжение о перечислении денежных средств на карты «Мир», закладки «Информация о выплатах (2)»</w:t>
      </w:r>
      <w:bookmarkEnd w:id="693"/>
      <w:r/>
      <w:bookmarkEnd w:id="694"/>
      <w:r/>
      <w:r/>
    </w:p>
    <w:p>
      <w:pPr>
        <w:pStyle w:val="994"/>
      </w:pPr>
      <w:r>
        <w:t xml:space="preserve">Перечень полей документа </w:t>
      </w:r>
      <w:r>
        <w:t xml:space="preserve">«Распоряжение о перечислении денежных средств на карты «Мир», закладки «Информация о выплатах (2)» приведен в таблице </w:t>
      </w:r>
      <w:r>
        <w:fldChar w:fldCharType="begin"/>
      </w:r>
      <w:r>
        <w:instrText xml:space="preserve"> REF _Ref489260040 \h </w:instrText>
      </w:r>
      <w:r>
        <w:fldChar w:fldCharType="separate"/>
      </w:r>
      <w:r>
        <w:t xml:space="preserve">33</w:t>
      </w:r>
      <w:r>
        <w:fldChar w:fldCharType="end"/>
      </w:r>
      <w:r>
        <w:t xml:space="preserve">.</w:t>
      </w:r>
      <w:r/>
    </w:p>
    <w:p>
      <w:pPr>
        <w:pStyle w:val="993"/>
      </w:pPr>
      <w:r>
        <w:fldChar w:fldCharType="begin"/>
      </w:r>
      <w:r>
        <w:instrText xml:space="preserve"> SEQ Таблица \* ARABIC </w:instrText>
      </w:r>
      <w:r>
        <w:fldChar w:fldCharType="separate"/>
      </w:r>
      <w:bookmarkStart w:id="695" w:name="_Ref489260040"/>
      <w:r/>
      <w:bookmarkStart w:id="696" w:name="_Toc67908707"/>
      <w:r/>
      <w:bookmarkStart w:id="697" w:name="_Toc88819219"/>
      <w:r>
        <w:t xml:space="preserve">33</w:t>
      </w:r>
      <w:bookmarkEnd w:id="695"/>
      <w:r>
        <w:fldChar w:fldCharType="end"/>
      </w:r>
      <w:r>
        <w:t xml:space="preserve">. Описание полей документа «Распоряжение о перечислении денежных средств на карты «Мир», закладки «Информация о выплатах (2)»</w:t>
      </w:r>
      <w:bookmarkEnd w:id="696"/>
      <w:r/>
      <w:bookmarkEnd w:id="697"/>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033"/>
        <w:gridCol w:w="6719"/>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555"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445"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«Информация о выплатах</w:t>
            </w:r>
            <w:r>
              <w:t xml:space="preserve"> </w:t>
            </w:r>
            <w:r>
              <w:t xml:space="preserve">»</w:t>
            </w:r>
            <w:r/>
          </w:p>
        </w:tc>
      </w:tr>
      <w:tr>
        <w:trPr/>
        <w:tc>
          <w:tcPr>
            <w:shd w:val="clear" w:fill="auto" w:color="auto"/>
            <w:tcW w:w="1555" w:type="pct"/>
            <w:textDirection w:val="lrTb"/>
            <w:noWrap w:val="false"/>
          </w:tcPr>
          <w:p>
            <w:pPr>
              <w:pStyle w:val="1005"/>
              <w:ind w:left="57" w:right="57"/>
            </w:pPr>
            <w:r>
              <w:t xml:space="preserve">№</w:t>
            </w:r>
            <w:r/>
          </w:p>
        </w:tc>
        <w:tc>
          <w:tcPr>
            <w:shd w:val="clear" w:fill="auto" w:color="auto"/>
            <w:tcW w:w="3445" w:type="pct"/>
            <w:textDirection w:val="lrTb"/>
            <w:noWrap w:val="false"/>
          </w:tcPr>
          <w:p>
            <w:pPr>
              <w:pStyle w:val="1005"/>
              <w:ind w:left="57" w:right="57"/>
            </w:pPr>
            <w:r>
              <w:t xml:space="preserve">Заполняется автоматически номером по порядку при добавлении строки</w:t>
            </w:r>
            <w:r>
              <w:t xml:space="preserve">.</w:t>
            </w:r>
            <w:r/>
          </w:p>
        </w:tc>
      </w:tr>
      <w:tr>
        <w:trPr/>
        <w:tc>
          <w:tcPr>
            <w:shd w:val="clear" w:fill="auto" w:color="auto"/>
            <w:tcW w:w="1555" w:type="pct"/>
            <w:textDirection w:val="lrTb"/>
            <w:noWrap w:val="false"/>
          </w:tcPr>
          <w:p>
            <w:pPr>
              <w:pStyle w:val="1005"/>
              <w:ind w:left="57" w:right="57"/>
            </w:pPr>
            <w:r>
              <w:t xml:space="preserve">Номер карты</w:t>
            </w:r>
            <w:r/>
          </w:p>
        </w:tc>
        <w:tc>
          <w:tcPr>
            <w:shd w:val="clear" w:fill="auto" w:color="auto"/>
            <w:tcW w:w="3445" w:type="pct"/>
            <w:textDirection w:val="lrTb"/>
            <w:noWrap w:val="false"/>
          </w:tcPr>
          <w:p>
            <w:pPr>
              <w:pStyle w:val="1005"/>
              <w:ind w:left="57" w:right="57"/>
            </w:pPr>
            <w:r>
              <w:t xml:space="preserve">Номер платежной карты заполняется вручную. </w:t>
            </w:r>
            <w:r/>
          </w:p>
          <w:p>
            <w:pPr>
              <w:pStyle w:val="1005"/>
              <w:ind w:left="57" w:right="57"/>
            </w:pPr>
            <w:r>
              <w:t xml:space="preserve">Заполнение и отраж</w:t>
            </w:r>
            <w:r>
              <w:t xml:space="preserve">е</w:t>
            </w:r>
            <w:r>
              <w:t xml:space="preserve">ние поля на визуальной форме выполняется в соответствии с треб</w:t>
            </w:r>
            <w:r>
              <w:t xml:space="preserve">о</w:t>
            </w:r>
            <w:r>
              <w:t xml:space="preserve">ваниями к функции ма</w:t>
            </w:r>
            <w:r>
              <w:t xml:space="preserve">с</w:t>
            </w:r>
            <w:r>
              <w:t xml:space="preserve">кирования номеров платежных карт:</w:t>
            </w:r>
            <w:r/>
          </w:p>
          <w:p>
            <w:pPr>
              <w:pStyle w:val="1007"/>
            </w:pPr>
            <w:r>
              <w:t xml:space="preserve">для пользователей, 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r/>
          </w:p>
          <w:p>
            <w:pPr>
              <w:pStyle w:val="1007"/>
            </w:pPr>
            <w:r>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r/>
          </w:p>
          <w:p>
            <w:pPr>
              <w:pStyle w:val="1005"/>
              <w:ind w:left="57" w:right="57"/>
            </w:pPr>
            <w:r>
              <w:t xml:space="preserve">Пример маскирования номера карты: номер платежной карты (пол</w:t>
            </w:r>
            <w:r>
              <w:t xml:space="preserve">ный) – 6000451034517191, маскированный номер платежной карты - ************7191. </w:t>
            </w:r>
            <w:r/>
          </w:p>
        </w:tc>
      </w:tr>
      <w:tr>
        <w:trPr/>
        <w:tc>
          <w:tcPr>
            <w:shd w:val="clear" w:fill="auto" w:color="auto"/>
            <w:tcW w:w="1555" w:type="pct"/>
            <w:textDirection w:val="lrTb"/>
            <w:noWrap w:val="false"/>
          </w:tcPr>
          <w:p>
            <w:pPr>
              <w:pStyle w:val="1005"/>
              <w:ind w:left="57" w:right="57"/>
            </w:pPr>
            <w:r>
              <w:t xml:space="preserve">Дата рождения получателя денежных средств</w:t>
            </w:r>
            <w:r/>
          </w:p>
        </w:tc>
        <w:tc>
          <w:tcPr>
            <w:shd w:val="clear" w:fill="auto" w:color="auto"/>
            <w:tcW w:w="3445" w:type="pct"/>
            <w:textDirection w:val="lrTb"/>
            <w:noWrap w:val="false"/>
          </w:tcPr>
          <w:p>
            <w:pPr>
              <w:pStyle w:val="1005"/>
              <w:ind w:left="57" w:right="57"/>
            </w:pPr>
            <w:r>
              <w:t xml:space="preserve">Заполняется вручную,</w:t>
            </w:r>
            <w:r>
              <w:t xml:space="preserve"> доступен выбор значения из календаря</w:t>
            </w:r>
            <w:r>
              <w:t xml:space="preserve">.</w:t>
            </w:r>
            <w:r/>
          </w:p>
        </w:tc>
      </w:tr>
      <w:tr>
        <w:trPr/>
        <w:tc>
          <w:tcPr>
            <w:shd w:val="clear" w:fill="auto" w:color="auto"/>
            <w:tcW w:w="1555" w:type="pct"/>
            <w:textDirection w:val="lrTb"/>
            <w:noWrap w:val="false"/>
          </w:tcPr>
          <w:p>
            <w:pPr>
              <w:pStyle w:val="1005"/>
              <w:ind w:left="57" w:right="57"/>
            </w:pPr>
            <w:r>
              <w:t xml:space="preserve">Код вида выплаты</w:t>
            </w:r>
            <w:r/>
          </w:p>
        </w:tc>
        <w:tc>
          <w:tcPr>
            <w:shd w:val="clear" w:fill="auto" w:color="auto"/>
            <w:tcW w:w="3445" w:type="pct"/>
            <w:textDirection w:val="lrTb"/>
            <w:noWrap w:val="false"/>
          </w:tcPr>
          <w:p>
            <w:pPr>
              <w:pStyle w:val="1005"/>
              <w:ind w:left="57" w:right="57"/>
            </w:pPr>
            <w:r>
              <w:t xml:space="preserve">Заполняется вручную.</w:t>
            </w:r>
            <w:r/>
          </w:p>
          <w:p>
            <w:pPr>
              <w:pStyle w:val="1005"/>
              <w:ind w:left="57" w:right="57"/>
            </w:pPr>
            <w:r>
              <w:t xml:space="preserve">Возможен выбор из справочника «Справочник соответствия кодов видов расходов кодам видов выплат на банковские карты «Мир» физических лиц».</w:t>
            </w:r>
            <w:r/>
          </w:p>
        </w:tc>
      </w:tr>
      <w:tr>
        <w:trPr/>
        <w:tc>
          <w:tcPr>
            <w:shd w:val="clear" w:fill="auto" w:color="auto"/>
            <w:tcW w:w="1555" w:type="pct"/>
            <w:textDirection w:val="lrTb"/>
            <w:noWrap w:val="false"/>
          </w:tcPr>
          <w:p>
            <w:pPr>
              <w:pStyle w:val="1005"/>
              <w:ind w:left="57" w:right="57"/>
            </w:pPr>
            <w:r>
              <w:t xml:space="preserve">Вид дохода</w:t>
            </w:r>
            <w:r/>
          </w:p>
        </w:tc>
        <w:tc>
          <w:tcPr>
            <w:shd w:val="clear" w:fill="auto" w:color="auto"/>
            <w:tcW w:w="3445" w:type="pct"/>
            <w:textDirection w:val="lrTb"/>
            <w:noWrap w:val="false"/>
          </w:tcPr>
          <w:p>
            <w:pPr>
              <w:pStyle w:val="1005"/>
              <w:ind w:left="57" w:right="57"/>
            </w:pPr>
            <w:r>
              <w:t xml:space="preserve">Код вида дохода.</w:t>
            </w:r>
            <w:r/>
          </w:p>
          <w:p>
            <w:pPr>
              <w:pStyle w:val="1005"/>
              <w:ind w:left="57" w:right="57"/>
            </w:pPr>
            <w:r>
              <w:t xml:space="preserve">Заполняется автоматически при импорте документа.</w:t>
            </w:r>
            <w:r/>
          </w:p>
          <w:p>
            <w:pPr>
              <w:pStyle w:val="1005"/>
              <w:ind w:left="57" w:right="57"/>
            </w:pPr>
            <w:r>
              <w:t xml:space="preserve">При ручном вводе документа заполняется пользователем путем выбора из списка значений: 1, 2, 3.</w:t>
            </w:r>
            <w:r/>
          </w:p>
        </w:tc>
      </w:tr>
      <w:tr>
        <w:trPr/>
        <w:tc>
          <w:tcPr>
            <w:shd w:val="clear" w:fill="auto" w:color="auto"/>
            <w:tcW w:w="1555" w:type="pct"/>
            <w:textDirection w:val="lrTb"/>
            <w:noWrap w:val="false"/>
          </w:tcPr>
          <w:p>
            <w:pPr>
              <w:pStyle w:val="1005"/>
              <w:ind w:left="57" w:right="57"/>
            </w:pPr>
            <w:r>
              <w:t xml:space="preserve">Взыскано по ИД</w:t>
            </w:r>
            <w:r/>
          </w:p>
        </w:tc>
        <w:tc>
          <w:tcPr>
            <w:shd w:val="clear" w:fill="auto" w:color="auto"/>
            <w:tcW w:w="3445" w:type="pct"/>
            <w:textDirection w:val="lrTb"/>
            <w:noWrap w:val="false"/>
          </w:tcPr>
          <w:p>
            <w:pPr>
              <w:pStyle w:val="1005"/>
              <w:ind w:left="57" w:right="57"/>
            </w:pPr>
            <w:r>
              <w:t xml:space="preserve">Сумма, взысканная по исполнительному документу.</w:t>
            </w:r>
            <w:r/>
          </w:p>
          <w:p>
            <w:pPr>
              <w:pStyle w:val="1005"/>
              <w:ind w:left="57" w:right="57"/>
            </w:pPr>
            <w:r>
              <w:t xml:space="preserve">Заполняется автоматически при импорте документа.</w:t>
            </w:r>
            <w:r/>
          </w:p>
          <w:p>
            <w:pPr>
              <w:pStyle w:val="1005"/>
              <w:ind w:left="57" w:right="57"/>
            </w:pPr>
            <w:r>
              <w:t xml:space="preserve">При ручном вводе документа заполняется пользователем. Указывается сумма или суммы, взысканные по исполнительному документу.</w:t>
            </w:r>
            <w:r/>
          </w:p>
          <w:p>
            <w:pPr>
              <w:pStyle w:val="1005"/>
              <w:ind w:left="57" w:right="57"/>
            </w:pPr>
            <w:r>
              <w:t xml:space="preserve">В качестве разделителя целой и дробной части используется тире (-).</w:t>
            </w:r>
            <w:r/>
          </w:p>
          <w:p>
            <w:pPr>
              <w:pStyle w:val="1005"/>
              <w:ind w:left="57" w:right="57"/>
            </w:pPr>
            <w:r>
              <w:t xml:space="preserve">Если взысканная сумма выражена в целых рублях, то после знака тире «-» указывается «00».</w:t>
            </w:r>
            <w:r/>
          </w:p>
          <w:p>
            <w:pPr>
              <w:pStyle w:val="1005"/>
              <w:ind w:left="57" w:right="57"/>
            </w:pPr>
            <w:r>
              <w:t xml:space="preserve">При указании двух и более сумм они разделяются между собой точкой с запятой (;).</w:t>
            </w:r>
            <w:r/>
          </w:p>
        </w:tc>
      </w:tr>
      <w:tr>
        <w:trPr/>
        <w:tc>
          <w:tcPr>
            <w:shd w:val="clear" w:fill="auto" w:color="auto"/>
            <w:tcW w:w="1555" w:type="pct"/>
            <w:textDirection w:val="lrTb"/>
            <w:noWrap w:val="false"/>
          </w:tcPr>
          <w:p>
            <w:pPr>
              <w:pStyle w:val="1005"/>
              <w:ind w:left="57" w:right="57"/>
            </w:pPr>
            <w:r>
              <w:t xml:space="preserve">Сумма выплаты</w:t>
            </w:r>
            <w:r/>
          </w:p>
        </w:tc>
        <w:tc>
          <w:tcPr>
            <w:shd w:val="clear" w:fill="auto" w:color="auto"/>
            <w:tcW w:w="3445" w:type="pct"/>
            <w:textDirection w:val="lrTb"/>
            <w:noWrap w:val="false"/>
          </w:tcPr>
          <w:p>
            <w:pPr>
              <w:pStyle w:val="1005"/>
              <w:ind w:left="57" w:right="57"/>
            </w:pPr>
            <w:r>
              <w:t xml:space="preserve">Значение вводится вручную.</w:t>
            </w:r>
            <w:r/>
          </w:p>
        </w:tc>
      </w:tr>
      <w:tr>
        <w:trPr/>
        <w:tc>
          <w:tcPr>
            <w:shd w:val="clear" w:fill="auto" w:color="auto"/>
            <w:tcW w:w="1555" w:type="pct"/>
            <w:textDirection w:val="lrTb"/>
            <w:noWrap w:val="false"/>
          </w:tcPr>
          <w:p>
            <w:pPr>
              <w:pStyle w:val="1005"/>
              <w:ind w:left="57" w:right="57"/>
            </w:pPr>
            <w:r>
              <w:t xml:space="preserve">Номер карты (маскированный)</w:t>
            </w:r>
            <w:r/>
          </w:p>
        </w:tc>
        <w:tc>
          <w:tcPr>
            <w:shd w:val="clear" w:fill="auto" w:color="auto"/>
            <w:tcW w:w="3445" w:type="pct"/>
            <w:textDirection w:val="lrTb"/>
            <w:noWrap w:val="false"/>
          </w:tcPr>
          <w:p>
            <w:pPr>
              <w:pStyle w:val="1005"/>
              <w:ind w:left="57" w:right="57"/>
            </w:pPr>
            <w:r>
              <w:t xml:space="preserve">Заполнение осуществляется автоматически с применением функции маскирования в следующем порядке:</w:t>
            </w:r>
            <w:r/>
          </w:p>
          <w:p>
            <w:pPr>
              <w:pStyle w:val="1008"/>
            </w:pPr>
            <w:r>
              <w:t xml:space="preserve">Выполняется копирование значения реквизита «Номер карты». </w:t>
            </w:r>
            <w:r/>
          </w:p>
          <w:p>
            <w:pPr>
              <w:pStyle w:val="1008"/>
              <w:numPr>
                <w:ilvl w:val="0"/>
                <w:numId w:val="105"/>
              </w:numPr>
            </w:pPr>
            <w:r>
              <w:t xml:space="preserve">Каждый из разрядов номера карты, за исключением последних 4, заменяется на «*». </w:t>
            </w:r>
            <w:r/>
          </w:p>
          <w:p>
            <w:pPr>
              <w:pStyle w:val="1008"/>
              <w:numPr>
                <w:ilvl w:val="0"/>
                <w:numId w:val="105"/>
              </w:numPr>
            </w:pPr>
            <w:r>
              <w:t xml:space="preserve">Последние 4 разряда остаются идентичными значениям последних 4 разрядов номера карты.</w:t>
            </w:r>
            <w:r/>
          </w:p>
          <w:p>
            <w:pPr>
              <w:pStyle w:val="1005"/>
              <w:ind w:left="57" w:right="57"/>
            </w:pPr>
            <w:r>
              <w:t xml:space="preserve">Поле недоступно для редактирования. </w:t>
            </w:r>
            <w:r/>
          </w:p>
        </w:tc>
      </w:tr>
      <w:tr>
        <w:trPr/>
        <w:tc>
          <w:tcPr>
            <w:gridSpan w:val="2"/>
            <w:shd w:val="clear" w:fill="auto" w:color="auto"/>
            <w:tcW w:w="5000" w:type="pct"/>
            <w:textDirection w:val="lrTb"/>
            <w:noWrap w:val="false"/>
          </w:tcPr>
          <w:p>
            <w:pPr>
              <w:pStyle w:val="1005"/>
              <w:ind w:left="57" w:right="57"/>
            </w:pPr>
            <w:r>
              <w:t xml:space="preserve">Г</w:t>
            </w:r>
            <w:r>
              <w:t xml:space="preserve">руппа полей </w:t>
            </w:r>
            <w:r>
              <w:t xml:space="preserve">«Суммы выплат по КБК»</w:t>
            </w:r>
            <w:r/>
          </w:p>
        </w:tc>
      </w:tr>
      <w:tr>
        <w:trPr/>
        <w:tc>
          <w:tcPr>
            <w:shd w:val="clear" w:fill="auto" w:color="auto"/>
            <w:tcW w:w="1555" w:type="pct"/>
            <w:textDirection w:val="lrTb"/>
            <w:noWrap w:val="false"/>
          </w:tcPr>
          <w:p>
            <w:pPr>
              <w:pStyle w:val="1005"/>
              <w:ind w:left="57" w:right="57"/>
            </w:pPr>
            <w:r>
              <w:t xml:space="preserve">№</w:t>
            </w:r>
            <w:r/>
          </w:p>
        </w:tc>
        <w:tc>
          <w:tcPr>
            <w:shd w:val="clear" w:fill="auto" w:color="auto"/>
            <w:tcW w:w="3445" w:type="pct"/>
            <w:textDirection w:val="lrTb"/>
            <w:noWrap w:val="false"/>
          </w:tcPr>
          <w:p>
            <w:pPr>
              <w:pStyle w:val="1005"/>
              <w:ind w:left="57" w:right="57"/>
            </w:pPr>
            <w:r>
              <w:t xml:space="preserve">Реквизит заполняется автоматически.</w:t>
            </w:r>
            <w:r/>
          </w:p>
          <w:p>
            <w:pPr>
              <w:pStyle w:val="1005"/>
              <w:ind w:left="57" w:right="57"/>
            </w:pPr>
            <w:r>
              <w:t xml:space="preserve">Копируется из соответствующего реквизита строки основной та</w:t>
            </w:r>
            <w:r>
              <w:t xml:space="preserve">б</w:t>
            </w:r>
            <w:r>
              <w:t xml:space="preserve">личной части первого порядка. Служит для связи.</w:t>
            </w:r>
            <w:r/>
          </w:p>
          <w:p>
            <w:pPr>
              <w:pStyle w:val="1005"/>
              <w:ind w:left="57" w:right="57"/>
            </w:pPr>
            <w:r>
              <w:t xml:space="preserve">Если по соответствующей строке основной табличной части первого порядка добавляется несколько строк табличной части второго п</w:t>
            </w:r>
            <w:r>
              <w:t xml:space="preserve">о</w:t>
            </w:r>
            <w:r>
              <w:t xml:space="preserve">рядка, то по каждой такой строке значение данного реквизита одинаково.</w:t>
            </w:r>
            <w:r/>
          </w:p>
          <w:p>
            <w:pPr>
              <w:pStyle w:val="1005"/>
              <w:ind w:left="57" w:right="57"/>
            </w:pPr>
            <w:r>
              <w:t xml:space="preserve">Поле недоступно для редактирования.</w:t>
            </w:r>
            <w:r/>
          </w:p>
        </w:tc>
      </w:tr>
      <w:tr>
        <w:trPr/>
        <w:tc>
          <w:tcPr>
            <w:shd w:val="clear" w:fill="auto" w:color="auto"/>
            <w:tcW w:w="1555" w:type="pct"/>
            <w:textDirection w:val="lrTb"/>
            <w:noWrap w:val="false"/>
          </w:tcPr>
          <w:p>
            <w:pPr>
              <w:pStyle w:val="1005"/>
              <w:ind w:left="57" w:right="57"/>
            </w:pPr>
            <w:r>
              <w:t xml:space="preserve">КБК</w:t>
            </w:r>
            <w:r/>
          </w:p>
        </w:tc>
        <w:tc>
          <w:tcPr>
            <w:shd w:val="clear" w:fill="auto" w:color="auto"/>
            <w:tcW w:w="3445" w:type="pct"/>
            <w:textDirection w:val="lrTb"/>
            <w:noWrap w:val="false"/>
          </w:tcPr>
          <w:p>
            <w:pPr>
              <w:pStyle w:val="1005"/>
              <w:ind w:left="57" w:right="57"/>
            </w:pPr>
            <w:r>
              <w:t xml:space="preserve">Значение вводится вручную или выбирается из справочника «КБК».</w:t>
            </w:r>
            <w:r/>
          </w:p>
          <w:p>
            <w:pPr>
              <w:pStyle w:val="1005"/>
              <w:ind w:left="57" w:right="57"/>
            </w:pPr>
            <w:r>
              <w:t xml:space="preserve">Для ОФК off-line заполняется вручную.</w:t>
            </w:r>
            <w:r/>
          </w:p>
        </w:tc>
      </w:tr>
      <w:tr>
        <w:trPr/>
        <w:tc>
          <w:tcPr>
            <w:shd w:val="clear" w:fill="auto" w:color="auto"/>
            <w:tcW w:w="1555" w:type="pct"/>
            <w:textDirection w:val="lrTb"/>
            <w:noWrap w:val="false"/>
          </w:tcPr>
          <w:p>
            <w:pPr>
              <w:pStyle w:val="1005"/>
              <w:ind w:left="57" w:right="57"/>
            </w:pPr>
            <w:r>
              <w:t xml:space="preserve">Сумма</w:t>
            </w:r>
            <w:r/>
          </w:p>
        </w:tc>
        <w:tc>
          <w:tcPr>
            <w:shd w:val="clear" w:fill="auto" w:color="auto"/>
            <w:tcW w:w="3445" w:type="pct"/>
            <w:textDirection w:val="lrTb"/>
            <w:noWrap w:val="false"/>
          </w:tcPr>
          <w:p>
            <w:pPr>
              <w:pStyle w:val="1005"/>
              <w:ind w:left="57" w:right="57"/>
            </w:pPr>
            <w:r>
              <w:t xml:space="preserve">Значение вводится вручную.</w:t>
            </w:r>
            <w:r/>
          </w:p>
        </w:tc>
      </w:tr>
      <w:tr>
        <w:trPr/>
        <w:tc>
          <w:tcPr>
            <w:shd w:val="clear" w:fill="auto" w:color="auto"/>
            <w:tcW w:w="1555" w:type="pct"/>
            <w:textDirection w:val="lrTb"/>
            <w:noWrap w:val="false"/>
          </w:tcPr>
          <w:p>
            <w:pPr>
              <w:pStyle w:val="1005"/>
              <w:ind w:left="57" w:right="57"/>
            </w:pPr>
            <w:r>
              <w:t xml:space="preserve">Аналитический код</w:t>
            </w:r>
            <w:r/>
          </w:p>
        </w:tc>
        <w:tc>
          <w:tcPr>
            <w:shd w:val="clear" w:fill="auto" w:color="auto"/>
            <w:tcW w:w="3445" w:type="pct"/>
            <w:textDirection w:val="lrTb"/>
            <w:noWrap w:val="false"/>
          </w:tcPr>
          <w:p>
            <w:pPr>
              <w:pStyle w:val="1005"/>
              <w:ind w:left="57" w:right="57"/>
            </w:pPr>
            <w:r>
              <w:t xml:space="preserve">Значение вводится вручную.</w:t>
            </w:r>
            <w:r/>
          </w:p>
        </w:tc>
      </w:tr>
      <w:tr>
        <w:trPr/>
        <w:tc>
          <w:tcPr>
            <w:gridSpan w:val="2"/>
            <w:shd w:val="clear" w:fill="auto" w:color="auto"/>
            <w:tcW w:w="5000" w:type="pct"/>
            <w:textDirection w:val="lrTb"/>
            <w:noWrap w:val="false"/>
          </w:tcPr>
          <w:p>
            <w:pPr>
              <w:pStyle w:val="1005"/>
              <w:ind w:left="57" w:right="57"/>
            </w:pPr>
            <w:r>
              <w:t xml:space="preserve">Г</w:t>
            </w:r>
            <w:r>
              <w:t xml:space="preserve">руппа полей </w:t>
            </w:r>
            <w:r>
              <w:t xml:space="preserve">«Итоговые суммы выплат»</w:t>
            </w:r>
            <w:r/>
          </w:p>
        </w:tc>
      </w:tr>
      <w:tr>
        <w:trPr/>
        <w:tc>
          <w:tcPr>
            <w:shd w:val="clear" w:fill="auto" w:color="auto"/>
            <w:tcW w:w="1555" w:type="pct"/>
            <w:textDirection w:val="lrTb"/>
            <w:noWrap w:val="false"/>
          </w:tcPr>
          <w:p>
            <w:pPr>
              <w:pStyle w:val="1005"/>
              <w:ind w:left="57" w:right="57"/>
            </w:pPr>
            <w:r>
              <w:t xml:space="preserve">№</w:t>
            </w:r>
            <w:r/>
          </w:p>
        </w:tc>
        <w:tc>
          <w:tcPr>
            <w:shd w:val="clear" w:fill="auto" w:color="auto"/>
            <w:tcW w:w="3445" w:type="pct"/>
            <w:textDirection w:val="lrTb"/>
            <w:noWrap w:val="false"/>
          </w:tcPr>
          <w:p>
            <w:pPr>
              <w:pStyle w:val="1005"/>
              <w:ind w:left="57" w:right="57"/>
            </w:pPr>
            <w:r>
              <w:t xml:space="preserve">Реквизит должен заполняться автоматически.</w:t>
            </w:r>
            <w:r/>
          </w:p>
          <w:p>
            <w:pPr>
              <w:pStyle w:val="1005"/>
              <w:ind w:left="57" w:right="57"/>
            </w:pPr>
            <w:r>
              <w:t xml:space="preserve">Копируется из соответствующего реквизита строки основной та</w:t>
            </w:r>
            <w:r>
              <w:t xml:space="preserve">б</w:t>
            </w:r>
            <w:r>
              <w:t xml:space="preserve">личной части первого порядка. Служит для связи.</w:t>
            </w:r>
            <w:r/>
          </w:p>
          <w:p>
            <w:pPr>
              <w:pStyle w:val="1005"/>
              <w:ind w:left="57" w:right="57"/>
            </w:pPr>
            <w:r>
              <w:t xml:space="preserve">Если по соответствующей строке основной табличной части первого порядка добавляется несколько строк табличной части второго п</w:t>
            </w:r>
            <w:r>
              <w:t xml:space="preserve">о</w:t>
            </w:r>
            <w:r>
              <w:t xml:space="preserve">рядка, то по каждой такой строке значение данного реквизита должно быть одинаковым.</w:t>
            </w:r>
            <w:r/>
          </w:p>
          <w:p>
            <w:pPr>
              <w:pStyle w:val="1005"/>
              <w:ind w:left="57" w:right="57"/>
            </w:pPr>
            <w:r>
              <w:t xml:space="preserve">Поле недоступно для редактирования.</w:t>
            </w:r>
            <w:r/>
          </w:p>
        </w:tc>
      </w:tr>
      <w:tr>
        <w:trPr/>
        <w:tc>
          <w:tcPr>
            <w:shd w:val="clear" w:fill="auto" w:color="auto"/>
            <w:tcW w:w="1555" w:type="pct"/>
            <w:textDirection w:val="lrTb"/>
            <w:noWrap w:val="false"/>
          </w:tcPr>
          <w:p>
            <w:pPr>
              <w:pStyle w:val="1005"/>
              <w:ind w:left="57" w:right="57"/>
            </w:pPr>
            <w:r>
              <w:t xml:space="preserve">КБК</w:t>
            </w:r>
            <w:r/>
          </w:p>
        </w:tc>
        <w:tc>
          <w:tcPr>
            <w:shd w:val="clear" w:fill="auto" w:color="auto"/>
            <w:tcW w:w="3445" w:type="pct"/>
            <w:textDirection w:val="lrTb"/>
            <w:noWrap w:val="false"/>
          </w:tcPr>
          <w:p>
            <w:pPr>
              <w:pStyle w:val="1005"/>
              <w:ind w:left="57" w:right="57"/>
            </w:pPr>
            <w:r>
              <w:t xml:space="preserve">Значение вводится вручную или выбирается из справочника «КБК».</w:t>
            </w:r>
            <w:r/>
          </w:p>
          <w:p>
            <w:pPr>
              <w:pStyle w:val="1005"/>
              <w:ind w:left="57" w:right="57"/>
            </w:pPr>
            <w:r>
              <w:t xml:space="preserve">Для ОФК off-line заполняется вручную.</w:t>
            </w:r>
            <w:r/>
          </w:p>
        </w:tc>
      </w:tr>
      <w:tr>
        <w:trPr/>
        <w:tc>
          <w:tcPr>
            <w:shd w:val="clear" w:fill="auto" w:color="auto"/>
            <w:tcW w:w="1555" w:type="pct"/>
            <w:textDirection w:val="lrTb"/>
            <w:noWrap w:val="false"/>
          </w:tcPr>
          <w:p>
            <w:pPr>
              <w:pStyle w:val="1005"/>
              <w:ind w:left="57" w:right="57"/>
            </w:pPr>
            <w:r>
              <w:t xml:space="preserve">Сумма</w:t>
            </w:r>
            <w:r/>
          </w:p>
        </w:tc>
        <w:tc>
          <w:tcPr>
            <w:shd w:val="clear" w:fill="auto" w:color="auto"/>
            <w:tcW w:w="3445" w:type="pct"/>
            <w:textDirection w:val="lrTb"/>
            <w:noWrap w:val="false"/>
          </w:tcPr>
          <w:p>
            <w:pPr>
              <w:pStyle w:val="1005"/>
              <w:ind w:left="57" w:right="57"/>
            </w:pPr>
            <w:r>
              <w:t xml:space="preserve">Значение вводится вручную.</w:t>
            </w:r>
            <w:r/>
          </w:p>
        </w:tc>
      </w:tr>
      <w:tr>
        <w:trPr/>
        <w:tc>
          <w:tcPr>
            <w:shd w:val="clear" w:fill="auto" w:color="auto"/>
            <w:tcW w:w="1555" w:type="pct"/>
            <w:textDirection w:val="lrTb"/>
            <w:noWrap w:val="false"/>
          </w:tcPr>
          <w:p>
            <w:pPr>
              <w:pStyle w:val="1005"/>
              <w:ind w:left="57" w:right="57"/>
            </w:pPr>
            <w:r>
              <w:t xml:space="preserve">Аналитический код</w:t>
            </w:r>
            <w:r/>
          </w:p>
        </w:tc>
        <w:tc>
          <w:tcPr>
            <w:shd w:val="clear" w:fill="auto" w:color="auto"/>
            <w:tcW w:w="3445" w:type="pct"/>
            <w:textDirection w:val="lrTb"/>
            <w:noWrap w:val="false"/>
          </w:tcPr>
          <w:p>
            <w:pPr>
              <w:pStyle w:val="1005"/>
              <w:ind w:left="57" w:right="57"/>
            </w:pPr>
            <w:r>
              <w:t xml:space="preserve">Значение вводится вручную.</w:t>
            </w:r>
            <w:r/>
          </w:p>
        </w:tc>
      </w:tr>
    </w:tbl>
    <w:p>
      <w:pPr>
        <w:pStyle w:val="994"/>
      </w:pPr>
      <w:r>
        <w:t xml:space="preserve">ЭФ документа </w:t>
      </w:r>
      <w:r>
        <w:t xml:space="preserve">«</w:t>
      </w:r>
      <w:r>
        <w:t xml:space="preserve">Распоряжение о перечислении денежных средств на карты «Мир» ф</w:t>
      </w:r>
      <w:r>
        <w:t xml:space="preserve">и</w:t>
      </w:r>
      <w:r>
        <w:t xml:space="preserve">зических лиц</w:t>
      </w:r>
      <w:r>
        <w:t xml:space="preserve">», закладки «Подписи» </w:t>
      </w:r>
      <w:r>
        <w:t xml:space="preserve">представлена </w:t>
      </w:r>
      <w:r>
        <w:t xml:space="preserve">н</w:t>
      </w:r>
      <w:r>
        <w:t xml:space="preserve">а рисунке</w:t>
      </w:r>
      <w:r>
        <w:t xml:space="preserve"> </w:t>
      </w:r>
      <w:r>
        <w:fldChar w:fldCharType="begin"/>
      </w:r>
      <w:r>
        <w:instrText xml:space="preserve"> REF _Ref489260069 \h </w:instrText>
      </w:r>
      <w:r>
        <w:fldChar w:fldCharType="separate"/>
      </w:r>
      <w:r>
        <w:t xml:space="preserve">72</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103120"/>
                <wp:effectExtent l="0" t="0" r="0" b="0"/>
                <wp:docPr id="14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38"/>
                        <a:stretch/>
                      </pic:blipFill>
                      <pic:spPr bwMode="auto">
                        <a:xfrm>
                          <a:off x="0" y="0"/>
                          <a:ext cx="6126480" cy="21031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 o:spid="_x0000_s142" type="#_x0000_t75" style="mso-wrap-distance-left:0.0pt;mso-wrap-distance-top:0.0pt;mso-wrap-distance-right:0.0pt;mso-wrap-distance-bottom:0.0pt;width:482.4pt;height:165.6pt;" stroked="f">
                <v:path textboxrect="0,0,0,0"/>
                <v:imagedata r:id="rId138" o:title=""/>
              </v:shape>
            </w:pict>
          </mc:Fallback>
        </mc:AlternateContent>
      </w:r>
      <w:r/>
    </w:p>
    <w:p>
      <w:pPr>
        <w:pStyle w:val="983"/>
      </w:pPr>
      <w:r>
        <w:fldChar w:fldCharType="begin"/>
      </w:r>
      <w:r>
        <w:instrText xml:space="preserve"> SEQ Рисунок \* ARABIC </w:instrText>
      </w:r>
      <w:r>
        <w:fldChar w:fldCharType="separate"/>
      </w:r>
      <w:bookmarkStart w:id="698" w:name="_Ref489260069"/>
      <w:r/>
      <w:bookmarkStart w:id="699" w:name="_Toc67909100"/>
      <w:r/>
      <w:bookmarkStart w:id="700" w:name="_Toc88819457"/>
      <w:r>
        <w:t xml:space="preserve">72</w:t>
      </w:r>
      <w:bookmarkEnd w:id="698"/>
      <w:r>
        <w:fldChar w:fldCharType="end"/>
      </w:r>
      <w:r>
        <w:t xml:space="preserve">. ЭФ документа «Распоряжение о перечислении денежных средств на карты «Мир» физических лиц», закладки «Подписи»</w:t>
      </w:r>
      <w:bookmarkEnd w:id="699"/>
      <w:r/>
      <w:bookmarkEnd w:id="700"/>
      <w:r/>
      <w:r/>
    </w:p>
    <w:p>
      <w:pPr>
        <w:pStyle w:val="994"/>
      </w:pPr>
      <w:r>
        <w:t xml:space="preserve">Перечень полей документа </w:t>
      </w:r>
      <w:r>
        <w:t xml:space="preserve">«Распоряжение о перечислении денежных средств на карты «Мир» физических лиц», закладки «Подписи» приведен в таблице </w:t>
      </w:r>
      <w:r>
        <w:fldChar w:fldCharType="begin"/>
      </w:r>
      <w:r>
        <w:instrText xml:space="preserve"> REF _Ref489260091 \h </w:instrText>
      </w:r>
      <w:r>
        <w:fldChar w:fldCharType="separate"/>
      </w:r>
      <w:r>
        <w:t xml:space="preserve">34</w:t>
      </w:r>
      <w:r>
        <w:fldChar w:fldCharType="end"/>
      </w:r>
      <w:r>
        <w:t xml:space="preserve">.</w:t>
      </w:r>
      <w:r/>
    </w:p>
    <w:p>
      <w:pPr>
        <w:pStyle w:val="993"/>
      </w:pPr>
      <w:r>
        <w:fldChar w:fldCharType="begin"/>
      </w:r>
      <w:r>
        <w:instrText xml:space="preserve"> SEQ Таблица \* ARABIC </w:instrText>
      </w:r>
      <w:r>
        <w:fldChar w:fldCharType="separate"/>
      </w:r>
      <w:bookmarkStart w:id="701" w:name="_Ref489260091"/>
      <w:r/>
      <w:bookmarkStart w:id="702" w:name="_Toc67908708"/>
      <w:r/>
      <w:bookmarkStart w:id="703" w:name="_Toc88819220"/>
      <w:r>
        <w:t xml:space="preserve">34</w:t>
      </w:r>
      <w:bookmarkEnd w:id="701"/>
      <w:r>
        <w:fldChar w:fldCharType="end"/>
      </w:r>
      <w:r>
        <w:t xml:space="preserve">. Описание полей документа «Распоряжение о перечислении денежных средств на карты «Мир» физических лиц», закладки «Подписи»</w:t>
      </w:r>
      <w:bookmarkEnd w:id="702"/>
      <w:r/>
      <w:bookmarkEnd w:id="703"/>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175"/>
        <w:gridCol w:w="6577"/>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628"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372"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«Подписи»</w:t>
            </w:r>
            <w:r/>
          </w:p>
        </w:tc>
      </w:tr>
      <w:tr>
        <w:trPr/>
        <w:tc>
          <w:tcPr>
            <w:shd w:val="clear" w:fill="auto" w:color="auto"/>
            <w:tcW w:w="1628" w:type="pct"/>
            <w:textDirection w:val="lrTb"/>
            <w:noWrap w:val="false"/>
          </w:tcPr>
          <w:p>
            <w:pPr>
              <w:pStyle w:val="1005"/>
              <w:ind w:left="57" w:right="57"/>
            </w:pPr>
            <w:r>
              <w:t xml:space="preserve">Руководитель (уполномоче</w:t>
            </w:r>
            <w:r>
              <w:t xml:space="preserve">н</w:t>
            </w:r>
            <w:r>
              <w:t xml:space="preserve">ное лицо). Должность</w:t>
            </w:r>
            <w:r/>
          </w:p>
        </w:tc>
        <w:tc>
          <w:tcPr>
            <w:shd w:val="clear" w:fill="auto" w:color="auto"/>
            <w:tcW w:w="3372" w:type="pct"/>
            <w:textDirection w:val="lrTb"/>
            <w:noWrap w:val="false"/>
          </w:tcPr>
          <w:p>
            <w:pPr>
              <w:pStyle w:val="1005"/>
              <w:ind w:left="57" w:right="57"/>
            </w:pPr>
            <w:r>
              <w:t xml:space="preserve">Заполняется автоматически при подписании ЭП данными подп</w:t>
            </w:r>
            <w:r>
              <w:t xml:space="preserve">и</w:t>
            </w:r>
            <w:r>
              <w:t xml:space="preserve">санта.</w:t>
            </w:r>
            <w:r/>
          </w:p>
          <w:p>
            <w:pPr>
              <w:pStyle w:val="1005"/>
              <w:ind w:left="57" w:right="57"/>
            </w:pPr>
            <w:r>
              <w:t xml:space="preserve">Для ОФК off-line заполняется вручную.</w:t>
            </w:r>
            <w:r/>
          </w:p>
        </w:tc>
      </w:tr>
      <w:tr>
        <w:trPr/>
        <w:tc>
          <w:tcPr>
            <w:shd w:val="clear" w:fill="auto" w:color="auto"/>
            <w:tcW w:w="1628" w:type="pct"/>
            <w:textDirection w:val="lrTb"/>
            <w:noWrap w:val="false"/>
          </w:tcPr>
          <w:p>
            <w:pPr>
              <w:pStyle w:val="1005"/>
              <w:ind w:left="57" w:right="57"/>
            </w:pPr>
            <w:r>
              <w:t xml:space="preserve">Руководитель (уполномоче</w:t>
            </w:r>
            <w:r>
              <w:t xml:space="preserve">н</w:t>
            </w:r>
            <w:r>
              <w:t xml:space="preserve">ное лицо). Расшифровка по</w:t>
            </w:r>
            <w:r>
              <w:t xml:space="preserve">д</w:t>
            </w:r>
            <w:r>
              <w:t xml:space="preserve">писи</w:t>
            </w:r>
            <w:r/>
          </w:p>
        </w:tc>
        <w:tc>
          <w:tcPr>
            <w:shd w:val="clear" w:fill="auto" w:color="auto"/>
            <w:tcW w:w="3372" w:type="pct"/>
            <w:textDirection w:val="lrTb"/>
            <w:noWrap w:val="false"/>
          </w:tcPr>
          <w:p>
            <w:pPr>
              <w:pStyle w:val="1005"/>
              <w:ind w:left="57" w:right="57"/>
            </w:pPr>
            <w:r>
              <w:t xml:space="preserve">Заполняется автоматически при подписании ЭП данными подп</w:t>
            </w:r>
            <w:r>
              <w:t xml:space="preserve">и</w:t>
            </w:r>
            <w:r>
              <w:t xml:space="preserve">санта.</w:t>
            </w:r>
            <w:r/>
          </w:p>
          <w:p>
            <w:pPr>
              <w:pStyle w:val="1005"/>
              <w:ind w:left="57" w:right="57"/>
            </w:pPr>
            <w:r>
              <w:t xml:space="preserve">Для ОФК off-line заполняется вручную.</w:t>
            </w:r>
            <w:r/>
          </w:p>
        </w:tc>
      </w:tr>
      <w:tr>
        <w:trPr/>
        <w:tc>
          <w:tcPr>
            <w:shd w:val="clear" w:fill="auto" w:color="auto"/>
            <w:tcW w:w="1628" w:type="pct"/>
            <w:textDirection w:val="lrTb"/>
            <w:noWrap w:val="false"/>
          </w:tcPr>
          <w:p>
            <w:pPr>
              <w:pStyle w:val="1005"/>
              <w:ind w:left="57" w:right="57"/>
            </w:pPr>
            <w:r>
              <w:t xml:space="preserve">Главный бухгалтер (уполном</w:t>
            </w:r>
            <w:r>
              <w:t xml:space="preserve">о</w:t>
            </w:r>
            <w:r>
              <w:t xml:space="preserve">че</w:t>
            </w:r>
            <w:r>
              <w:t xml:space="preserve">н</w:t>
            </w:r>
            <w:r>
              <w:t xml:space="preserve">ное лицо). Должность</w:t>
            </w:r>
            <w:r/>
          </w:p>
        </w:tc>
        <w:tc>
          <w:tcPr>
            <w:shd w:val="clear" w:fill="auto" w:color="auto"/>
            <w:tcW w:w="3372" w:type="pct"/>
            <w:textDirection w:val="lrTb"/>
            <w:noWrap w:val="false"/>
          </w:tcPr>
          <w:p>
            <w:pPr>
              <w:pStyle w:val="1005"/>
              <w:ind w:left="57" w:right="57"/>
            </w:pPr>
            <w:r>
              <w:t xml:space="preserve">Заполняется автоматически при подписании ЭП данными подп</w:t>
            </w:r>
            <w:r>
              <w:t xml:space="preserve">и</w:t>
            </w:r>
            <w:r>
              <w:t xml:space="preserve">санта.</w:t>
            </w:r>
            <w:r/>
          </w:p>
          <w:p>
            <w:pPr>
              <w:pStyle w:val="1005"/>
              <w:ind w:left="57" w:right="57"/>
            </w:pPr>
            <w:r>
              <w:t xml:space="preserve">Для ОФК off-line заполняется вручную.</w:t>
            </w:r>
            <w:r/>
          </w:p>
        </w:tc>
      </w:tr>
      <w:tr>
        <w:trPr/>
        <w:tc>
          <w:tcPr>
            <w:shd w:val="clear" w:fill="auto" w:color="auto"/>
            <w:tcW w:w="1628" w:type="pct"/>
            <w:textDirection w:val="lrTb"/>
            <w:noWrap w:val="false"/>
          </w:tcPr>
          <w:p>
            <w:pPr>
              <w:pStyle w:val="1005"/>
              <w:ind w:left="57" w:right="57"/>
            </w:pPr>
            <w:r>
              <w:t xml:space="preserve">Главный бухгалтер (уполном</w:t>
            </w:r>
            <w:r>
              <w:t xml:space="preserve">о</w:t>
            </w:r>
            <w:r>
              <w:t xml:space="preserve">ченное лицо). Расшифровка по</w:t>
            </w:r>
            <w:r>
              <w:t xml:space="preserve">д</w:t>
            </w:r>
            <w:r>
              <w:t xml:space="preserve">писи</w:t>
            </w:r>
            <w:r/>
          </w:p>
        </w:tc>
        <w:tc>
          <w:tcPr>
            <w:shd w:val="clear" w:fill="auto" w:color="auto"/>
            <w:tcW w:w="3372" w:type="pct"/>
            <w:textDirection w:val="lrTb"/>
            <w:noWrap w:val="false"/>
          </w:tcPr>
          <w:p>
            <w:pPr>
              <w:pStyle w:val="1005"/>
              <w:ind w:left="57" w:right="57"/>
            </w:pPr>
            <w:r>
              <w:t xml:space="preserve">Заполняется автоматически при подписании ЭП данными подп</w:t>
            </w:r>
            <w:r>
              <w:t xml:space="preserve">и</w:t>
            </w:r>
            <w:r>
              <w:t xml:space="preserve">санта.</w:t>
            </w:r>
            <w:r/>
          </w:p>
          <w:p>
            <w:pPr>
              <w:pStyle w:val="1005"/>
              <w:ind w:left="57" w:right="57"/>
            </w:pPr>
            <w:r>
              <w:t xml:space="preserve">Для ОФК off-line заполняется вручную.</w:t>
            </w:r>
            <w:r/>
          </w:p>
        </w:tc>
      </w:tr>
      <w:tr>
        <w:trPr/>
        <w:tc>
          <w:tcPr>
            <w:shd w:val="clear" w:fill="auto" w:color="auto"/>
            <w:tcW w:w="1628" w:type="pct"/>
            <w:textDirection w:val="lrTb"/>
            <w:noWrap w:val="false"/>
          </w:tcPr>
          <w:p>
            <w:pPr>
              <w:pStyle w:val="1005"/>
              <w:ind w:left="57" w:right="57"/>
            </w:pPr>
            <w:r>
              <w:t xml:space="preserve">Дата подписания</w:t>
            </w:r>
            <w:r/>
          </w:p>
        </w:tc>
        <w:tc>
          <w:tcPr>
            <w:shd w:val="clear" w:fill="auto" w:color="auto"/>
            <w:tcW w:w="3372" w:type="pct"/>
            <w:textDirection w:val="lrTb"/>
            <w:noWrap w:val="false"/>
          </w:tcPr>
          <w:p>
            <w:pPr>
              <w:pStyle w:val="1005"/>
              <w:ind w:left="57" w:right="57"/>
            </w:pPr>
            <w:r>
              <w:t xml:space="preserve">Заполняется автоматически при подписании ЭП данными подп</w:t>
            </w:r>
            <w:r>
              <w:t xml:space="preserve">и</w:t>
            </w:r>
            <w:r>
              <w:t xml:space="preserve">санта</w:t>
            </w:r>
            <w:r/>
          </w:p>
          <w:p>
            <w:pPr>
              <w:pStyle w:val="1005"/>
              <w:ind w:left="57" w:right="57"/>
            </w:pPr>
            <w:r>
              <w:t xml:space="preserve">Значение вводится вручную или выбирается из системного календаря.</w:t>
            </w:r>
            <w:r/>
          </w:p>
        </w:tc>
      </w:tr>
      <w:tr>
        <w:trPr/>
        <w:tc>
          <w:tcPr>
            <w:gridSpan w:val="2"/>
            <w:shd w:val="clear" w:fill="auto" w:color="auto"/>
            <w:tcW w:w="5000" w:type="pct"/>
            <w:textDirection w:val="lrTb"/>
            <w:noWrap w:val="false"/>
          </w:tcPr>
          <w:p>
            <w:pPr>
              <w:pStyle w:val="1005"/>
              <w:ind w:left="57" w:right="57"/>
            </w:pPr>
            <w:r>
              <w:t xml:space="preserve">Г</w:t>
            </w:r>
            <w:r>
              <w:t xml:space="preserve">руппа полей </w:t>
            </w:r>
            <w:r>
              <w:t xml:space="preserve">«Отметка органа Ф</w:t>
            </w:r>
            <w:r>
              <w:t xml:space="preserve">едерального казначейства о регистрации</w:t>
            </w:r>
            <w:r>
              <w:t xml:space="preserve">»</w:t>
            </w:r>
            <w:r/>
          </w:p>
        </w:tc>
      </w:tr>
      <w:tr>
        <w:trPr/>
        <w:tc>
          <w:tcPr>
            <w:shd w:val="clear" w:fill="auto" w:color="auto"/>
            <w:tcW w:w="1628" w:type="pct"/>
            <w:textDirection w:val="lrTb"/>
            <w:noWrap w:val="false"/>
          </w:tcPr>
          <w:p>
            <w:pPr>
              <w:pStyle w:val="1005"/>
              <w:ind w:left="57" w:right="57"/>
            </w:pPr>
            <w:r>
              <w:t xml:space="preserve">Ответственный сотрудник ТОФК. Должность</w:t>
            </w:r>
            <w:r/>
          </w:p>
        </w:tc>
        <w:tc>
          <w:tcPr>
            <w:shd w:val="clear" w:fill="auto" w:color="auto"/>
            <w:tcW w:w="3372" w:type="pct"/>
            <w:textDirection w:val="lrTb"/>
            <w:noWrap w:val="false"/>
          </w:tcPr>
          <w:p>
            <w:pPr>
              <w:pStyle w:val="1005"/>
              <w:ind w:left="57" w:right="57"/>
            </w:pPr>
            <w:r>
              <w:t xml:space="preserve">Значение заполняется в ППО OEBS АСФК.</w:t>
            </w:r>
            <w:r/>
          </w:p>
        </w:tc>
      </w:tr>
      <w:tr>
        <w:trPr/>
        <w:tc>
          <w:tcPr>
            <w:shd w:val="clear" w:fill="auto" w:color="auto"/>
            <w:tcW w:w="1628" w:type="pct"/>
            <w:textDirection w:val="lrTb"/>
            <w:noWrap w:val="false"/>
          </w:tcPr>
          <w:p>
            <w:pPr>
              <w:pStyle w:val="1005"/>
              <w:ind w:left="57" w:right="57"/>
            </w:pPr>
            <w:r>
              <w:t xml:space="preserve">Ответственный сотрудник ТОФК. Расшифровка подписи</w:t>
            </w:r>
            <w:r/>
          </w:p>
        </w:tc>
        <w:tc>
          <w:tcPr>
            <w:shd w:val="clear" w:fill="auto" w:color="auto"/>
            <w:tcW w:w="3372" w:type="pct"/>
            <w:textDirection w:val="lrTb"/>
            <w:noWrap w:val="false"/>
          </w:tcPr>
          <w:p>
            <w:pPr>
              <w:pStyle w:val="1005"/>
              <w:ind w:left="57" w:right="57"/>
            </w:pPr>
            <w:r>
              <w:t xml:space="preserve">Значение заполняется в ППО OEBS АСФК.</w:t>
            </w:r>
            <w:r/>
          </w:p>
        </w:tc>
      </w:tr>
      <w:tr>
        <w:trPr/>
        <w:tc>
          <w:tcPr>
            <w:shd w:val="clear" w:fill="auto" w:color="auto"/>
            <w:tcW w:w="1628" w:type="pct"/>
            <w:textDirection w:val="lrTb"/>
            <w:noWrap w:val="false"/>
          </w:tcPr>
          <w:p>
            <w:pPr>
              <w:pStyle w:val="1005"/>
              <w:ind w:left="57" w:right="57"/>
            </w:pPr>
            <w:r>
              <w:t xml:space="preserve">Ответственный сотрудник ТОФК. Телефон</w:t>
            </w:r>
            <w:r/>
          </w:p>
        </w:tc>
        <w:tc>
          <w:tcPr>
            <w:shd w:val="clear" w:fill="auto" w:color="auto"/>
            <w:tcW w:w="3372" w:type="pct"/>
            <w:textDirection w:val="lrTb"/>
            <w:noWrap w:val="false"/>
          </w:tcPr>
          <w:p>
            <w:pPr>
              <w:pStyle w:val="1005"/>
              <w:ind w:left="57" w:right="57"/>
            </w:pPr>
            <w:r>
              <w:t xml:space="preserve">Значение заполняется в ППО OEBS АСФК.</w:t>
            </w:r>
            <w:r/>
          </w:p>
        </w:tc>
      </w:tr>
      <w:tr>
        <w:trPr/>
        <w:tc>
          <w:tcPr>
            <w:shd w:val="clear" w:fill="auto" w:color="auto"/>
            <w:tcW w:w="1628" w:type="pct"/>
            <w:textDirection w:val="lrTb"/>
            <w:noWrap w:val="false"/>
          </w:tcPr>
          <w:p>
            <w:pPr>
              <w:pStyle w:val="1005"/>
              <w:ind w:left="57" w:right="57"/>
            </w:pPr>
            <w:r>
              <w:t xml:space="preserve">Дата регистрации</w:t>
            </w:r>
            <w:r/>
          </w:p>
        </w:tc>
        <w:tc>
          <w:tcPr>
            <w:shd w:val="clear" w:fill="auto" w:color="auto"/>
            <w:tcW w:w="3372" w:type="pct"/>
            <w:textDirection w:val="lrTb"/>
            <w:noWrap w:val="false"/>
          </w:tcPr>
          <w:p>
            <w:pPr>
              <w:pStyle w:val="1005"/>
              <w:ind w:left="57" w:right="57"/>
            </w:pPr>
            <w:r>
              <w:t xml:space="preserve">Значение заполняется в ППО OEBS АСФК.</w:t>
            </w:r>
            <w:r/>
          </w:p>
        </w:tc>
      </w:tr>
    </w:tbl>
    <w:p>
      <w:pPr>
        <w:pStyle w:val="972"/>
      </w:pPr>
      <w:r/>
      <w:bookmarkStart w:id="704" w:name="_Ref420330774"/>
      <w:r/>
      <w:bookmarkStart w:id="705" w:name="_Toc422496710"/>
      <w:r/>
      <w:bookmarkStart w:id="706" w:name="_Toc88819109"/>
      <w:r>
        <w:t xml:space="preserve">Сведения об обязательстве</w:t>
      </w:r>
      <w:bookmarkEnd w:id="704"/>
      <w:r/>
      <w:bookmarkEnd w:id="705"/>
      <w:r/>
      <w:bookmarkEnd w:id="706"/>
      <w:r/>
      <w:r/>
    </w:p>
    <w:p>
      <w:pPr>
        <w:pStyle w:val="994"/>
      </w:pPr>
      <w:r>
        <w:t xml:space="preserve">Для осуществления оплаты по заключенным договорам и госконтрактам бюджетное учреждение формирует документ «Сведения об обязательстве» (если документ-основание бюджетного обязательства – «договор») и передает его в ОрФК.</w:t>
      </w:r>
      <w:r/>
    </w:p>
    <w:p>
      <w:pPr>
        <w:pStyle w:val="994"/>
      </w:pPr>
      <w:r>
        <w:t xml:space="preserve">Документ «Сведения об обязательстве» формируется также для предоставления в ОрФК детализации по исполнительному документу, исполнительному документу по периодическим выплатам.</w:t>
      </w:r>
      <w:r/>
    </w:p>
    <w:p>
      <w:pPr>
        <w:pStyle w:val="994"/>
      </w:pPr>
      <w:r>
        <w:t xml:space="preserve">Для визуализации связи между документом «Сведения об обязательстве» и документами «Заявка на кассовый расход», «Заявка на кассовый расход (сокращенная)», «Заявка на получение наличных денег», «</w:t>
      </w:r>
      <w:r>
        <w:t xml:space="preserve">Заявка на получение денежных средств, перечисляемых на карту</w:t>
      </w:r>
      <w:r>
        <w:t xml:space="preserve">», «Заявка на внесение изменений в обязательство» и «Заявка на перерегистрацию бюджетного обязательства» в </w:t>
      </w:r>
      <w:r>
        <w:t xml:space="preserve">ППО СУФД АСФК</w:t>
      </w:r>
      <w:r>
        <w:t xml:space="preserve"> на ЭФ списка документов «Сведения об обязательстве (исходящие)» (рис. </w:t>
      </w:r>
      <w:r>
        <w:fldChar w:fldCharType="begin"/>
      </w:r>
      <w:r>
        <w:instrText xml:space="preserve"> REF _Ref225586785 \h  \* MERGEFORMAT </w:instrText>
      </w:r>
      <w:r>
        <w:fldChar w:fldCharType="separate"/>
      </w:r>
      <w:r>
        <w:t xml:space="preserve">73</w:t>
      </w:r>
      <w:r>
        <w:fldChar w:fldCharType="end"/>
      </w:r>
      <w:r>
        <w:t xml:space="preserve">)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w:t>
      </w:r>
      <w:r>
        <w:t xml:space="preserve">н</w:t>
      </w:r>
      <w:r>
        <w:t xml:space="preserve">тов:</w:t>
      </w:r>
      <w:r/>
    </w:p>
    <w:p>
      <w:pPr>
        <w:pStyle w:val="985"/>
      </w:pPr>
      <w:r>
        <w:t xml:space="preserve">Тип документа;</w:t>
      </w:r>
      <w:r/>
    </w:p>
    <w:p>
      <w:pPr>
        <w:pStyle w:val="985"/>
      </w:pPr>
      <w:r>
        <w:t xml:space="preserve">Номер;</w:t>
      </w:r>
      <w:r/>
    </w:p>
    <w:p>
      <w:pPr>
        <w:pStyle w:val="985"/>
      </w:pPr>
      <w:r>
        <w:t xml:space="preserve">Дата;</w:t>
      </w:r>
      <w:r/>
    </w:p>
    <w:p>
      <w:pPr>
        <w:pStyle w:val="985"/>
      </w:pPr>
      <w:r>
        <w:t xml:space="preserve">Глава по БК;</w:t>
      </w:r>
      <w:r/>
    </w:p>
    <w:p>
      <w:pPr>
        <w:pStyle w:val="985"/>
      </w:pPr>
      <w:r>
        <w:t xml:space="preserve">Статус.</w:t>
      </w:r>
      <w:r/>
    </w:p>
    <w:p>
      <w:pPr>
        <w:pStyle w:val="994"/>
      </w:pPr>
      <w:r>
        <w:t xml:space="preserve">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«Сведения об обязательстве (исходящие)» к ЭФ связанного д</w:t>
      </w:r>
      <w:r>
        <w:t xml:space="preserve">о</w:t>
      </w:r>
      <w:r>
        <w:t xml:space="preserve">кумента.</w:t>
      </w:r>
      <w:r/>
    </w:p>
    <w:p>
      <w:pPr>
        <w:pStyle w:val="994"/>
      </w:pPr>
      <w:r>
        <w:t xml:space="preserve">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«Сведения об обязательстве». Операции «Санкционировать» и «Отказать» опи</w:t>
      </w:r>
      <w:r>
        <w:t xml:space="preserve">саны в п.</w:t>
      </w:r>
      <w:r>
        <w:t xml:space="preserve"> </w:t>
      </w:r>
      <w:r>
        <w:fldChar w:fldCharType="begin"/>
      </w:r>
      <w:r>
        <w:instrText xml:space="preserve"> REF _Ref370314948 \r \h </w:instrText>
      </w:r>
      <w:r>
        <w:fldChar w:fldCharType="separate"/>
      </w:r>
      <w:r>
        <w:t xml:space="preserve">3.3.1</w:t>
      </w:r>
      <w:r>
        <w:fldChar w:fldCharType="end"/>
      </w:r>
      <w:r>
        <w:t xml:space="preserve">.</w:t>
      </w:r>
      <w:r/>
    </w:p>
    <w:p>
      <w:pPr>
        <w:pStyle w:val="994"/>
      </w:pPr>
      <w:r>
        <w:t xml:space="preserve">Для работы с документами «Сведения об обязательстве (исходящие)» следует перейти в пункт меню «Документы – Регистрация и учет обязательств – Карточки учета БО – Сведе</w:t>
      </w:r>
      <w:r>
        <w:t xml:space="preserve">ния об обязательстве (исходящие)». Откроется ЭФ списка документов, представленная на рисунке </w:t>
      </w:r>
      <w:r>
        <w:fldChar w:fldCharType="begin"/>
      </w:r>
      <w:r>
        <w:instrText xml:space="preserve"> REF _Ref225586785 \h  \* MERGEFORMAT </w:instrText>
      </w:r>
      <w:r>
        <w:fldChar w:fldCharType="separate"/>
      </w:r>
      <w:r>
        <w:t xml:space="preserve">73</w:t>
      </w:r>
      <w:r>
        <w:fldChar w:fldCharType="end"/>
      </w:r>
      <w:r>
        <w:t xml:space="preserve">.</w:t>
      </w:r>
      <w:r/>
    </w:p>
    <w:p>
      <w:pPr>
        <w:pStyle w:val="994"/>
      </w:pPr>
      <w:r>
        <w:t xml:space="preserve">Для работы с документами «Сведения об обязательстве (входящие)» следует перейти в пункт меню «Документы – Регистрация и учет обязательств – Карточки учета БО – Св</w:t>
      </w:r>
      <w:r>
        <w:t xml:space="preserve">е</w:t>
      </w:r>
      <w:r>
        <w:t xml:space="preserve">дения об обязательстве (входящие)».</w:t>
      </w:r>
      <w:r/>
    </w:p>
    <w:p>
      <w:pPr>
        <w:pStyle w:val="982"/>
      </w:pPr>
      <w:r>
        <mc:AlternateContent>
          <mc:Choice Requires="wpg">
            <w:drawing>
              <wp:inline xmlns:wp="http://schemas.openxmlformats.org/drawingml/2006/wordprocessingDrawing" distT="0" distB="0" distL="0" distR="0">
                <wp:extent cx="6126480" cy="3009900"/>
                <wp:effectExtent l="0" t="0" r="0" b="0"/>
                <wp:docPr id="14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39"/>
                        <a:stretch/>
                      </pic:blipFill>
                      <pic:spPr bwMode="auto">
                        <a:xfrm>
                          <a:off x="0" y="0"/>
                          <a:ext cx="6126480" cy="30099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 o:spid="_x0000_s143" type="#_x0000_t75" style="mso-wrap-distance-left:0.0pt;mso-wrap-distance-top:0.0pt;mso-wrap-distance-right:0.0pt;mso-wrap-distance-bottom:0.0pt;width:482.4pt;height:237.0pt;" stroked="f">
                <v:path textboxrect="0,0,0,0"/>
                <v:imagedata r:id="rId139" o:title=""/>
              </v:shape>
            </w:pict>
          </mc:Fallback>
        </mc:AlternateContent>
      </w:r>
      <w:r/>
    </w:p>
    <w:p>
      <w:pPr>
        <w:pStyle w:val="983"/>
      </w:pPr>
      <w:r>
        <w:fldChar w:fldCharType="begin"/>
      </w:r>
      <w:r>
        <w:instrText xml:space="preserve"> SEQ Рисунок \* ARABIC </w:instrText>
      </w:r>
      <w:r>
        <w:fldChar w:fldCharType="separate"/>
      </w:r>
      <w:bookmarkStart w:id="707" w:name="_Ref225586785"/>
      <w:r/>
      <w:bookmarkStart w:id="708" w:name="_Toc88819458"/>
      <w:r>
        <w:t xml:space="preserve">73</w:t>
      </w:r>
      <w:bookmarkEnd w:id="707"/>
      <w:r>
        <w:fldChar w:fldCharType="end"/>
      </w:r>
      <w:r>
        <w:t xml:space="preserve">. ЭФ списка документов «Сведения об обязательстве (исходящие)»</w:t>
      </w:r>
      <w:bookmarkEnd w:id="708"/>
      <w:r/>
      <w:r/>
    </w:p>
    <w:p>
      <w:pPr>
        <w:pStyle w:val="973"/>
      </w:pPr>
      <w:r/>
      <w:bookmarkStart w:id="709" w:name="_Toc232827370"/>
      <w:r>
        <w:t xml:space="preserve">Доступные операции</w:t>
      </w:r>
      <w:bookmarkEnd w:id="709"/>
      <w:r/>
      <w:r/>
    </w:p>
    <w:p>
      <w:pPr>
        <w:pStyle w:val="994"/>
      </w:pPr>
      <w:r/>
      <w:bookmarkStart w:id="710" w:name="_Ref231061203"/>
      <w:r/>
      <w:bookmarkStart w:id="711" w:name="_Toc232827371"/>
      <w:r>
        <w:t xml:space="preserve">На АРМ ФО доступны следующие операции над документом:</w:t>
      </w:r>
      <w:r/>
    </w:p>
    <w:p>
      <w:pPr>
        <w:pStyle w:val="985"/>
      </w:pPr>
      <w:r>
        <w:t xml:space="preserve">Для исходящих документов:</w:t>
      </w:r>
      <w:r/>
    </w:p>
    <w:p>
      <w:pPr>
        <w:pStyle w:val="986"/>
      </w:pPr>
      <w:r>
        <w:t xml:space="preserve">ввод вручную;</w:t>
      </w:r>
      <w:r/>
    </w:p>
    <w:p>
      <w:pPr>
        <w:pStyle w:val="986"/>
      </w:pPr>
      <w:r>
        <w:t xml:space="preserve">создание на основе родительского документа;</w:t>
      </w:r>
      <w:r/>
    </w:p>
    <w:p>
      <w:pPr>
        <w:pStyle w:val="986"/>
      </w:pPr>
      <w:r>
        <w:t xml:space="preserve">импорт из внешней системы;</w:t>
      </w:r>
      <w:r/>
    </w:p>
    <w:p>
      <w:pPr>
        <w:pStyle w:val="986"/>
      </w:pPr>
      <w:r>
        <w:t xml:space="preserve">просмотр и редактирование;</w:t>
      </w:r>
      <w:r/>
    </w:p>
    <w:p>
      <w:pPr>
        <w:pStyle w:val="986"/>
      </w:pPr>
      <w:r>
        <w:t xml:space="preserve">удаление;</w:t>
      </w:r>
      <w:r/>
    </w:p>
    <w:p>
      <w:pPr>
        <w:pStyle w:val="986"/>
      </w:pPr>
      <w:r>
        <w:t xml:space="preserve">подписание </w:t>
      </w:r>
      <w:r>
        <w:t xml:space="preserve">ЭП</w:t>
      </w:r>
      <w:r>
        <w:t xml:space="preserve">;</w:t>
      </w:r>
      <w:r/>
    </w:p>
    <w:p>
      <w:pPr>
        <w:pStyle w:val="986"/>
      </w:pPr>
      <w:r>
        <w:t xml:space="preserve">печать;</w:t>
      </w:r>
      <w:r/>
    </w:p>
    <w:p>
      <w:pPr>
        <w:pStyle w:val="986"/>
      </w:pPr>
      <w:r>
        <w:t xml:space="preserve">экспорт во внешнюю систему;</w:t>
      </w:r>
      <w:r/>
    </w:p>
    <w:p>
      <w:pPr>
        <w:pStyle w:val="986"/>
      </w:pPr>
      <w:r>
        <w:t xml:space="preserve">статистика.</w:t>
      </w:r>
      <w:r/>
    </w:p>
    <w:p>
      <w:pPr>
        <w:pStyle w:val="985"/>
      </w:pPr>
      <w:r>
        <w:t xml:space="preserve">Для входящих документов:</w:t>
      </w:r>
      <w:r/>
    </w:p>
    <w:p>
      <w:pPr>
        <w:pStyle w:val="986"/>
      </w:pPr>
      <w:r>
        <w:t xml:space="preserve">импорт из OEBS;</w:t>
      </w:r>
      <w:r/>
    </w:p>
    <w:p>
      <w:pPr>
        <w:pStyle w:val="986"/>
      </w:pPr>
      <w:r>
        <w:t xml:space="preserve">просмотр;</w:t>
      </w:r>
      <w:r/>
    </w:p>
    <w:p>
      <w:pPr>
        <w:pStyle w:val="986"/>
      </w:pPr>
      <w:r>
        <w:t xml:space="preserve">проверка ЭП;</w:t>
      </w:r>
      <w:r/>
    </w:p>
    <w:p>
      <w:pPr>
        <w:pStyle w:val="986"/>
      </w:pPr>
      <w:r>
        <w:t xml:space="preserve">печать;</w:t>
      </w:r>
      <w:r/>
    </w:p>
    <w:p>
      <w:pPr>
        <w:pStyle w:val="986"/>
      </w:pPr>
      <w:r>
        <w:t xml:space="preserve">экспорт во внешнюю систему;</w:t>
      </w:r>
      <w:r/>
    </w:p>
    <w:p>
      <w:pPr>
        <w:pStyle w:val="986"/>
      </w:pPr>
      <w:r>
        <w:t xml:space="preserve">статистика;</w:t>
      </w:r>
      <w:r/>
    </w:p>
    <w:p>
      <w:pPr>
        <w:pStyle w:val="986"/>
      </w:pPr>
      <w:r>
        <w:t xml:space="preserve">отправка в УФК.</w:t>
      </w:r>
      <w:r/>
    </w:p>
    <w:p>
      <w:pPr>
        <w:pStyle w:val="985"/>
      </w:pPr>
      <w:r>
        <w:t xml:space="preserve">Для </w:t>
      </w:r>
      <w:r>
        <w:t xml:space="preserve">транзитных</w:t>
      </w:r>
      <w:r>
        <w:t xml:space="preserve"> документов:</w:t>
      </w:r>
      <w:r/>
    </w:p>
    <w:p>
      <w:pPr>
        <w:pStyle w:val="986"/>
      </w:pPr>
      <w:r>
        <w:t xml:space="preserve">просмотр;</w:t>
      </w:r>
      <w:r/>
    </w:p>
    <w:p>
      <w:pPr>
        <w:pStyle w:val="986"/>
      </w:pPr>
      <w:r>
        <w:t xml:space="preserve">подписание и </w:t>
      </w:r>
      <w:r>
        <w:t xml:space="preserve">проверка ЭП;</w:t>
      </w:r>
      <w:r/>
    </w:p>
    <w:p>
      <w:pPr>
        <w:pStyle w:val="986"/>
      </w:pPr>
      <w:r>
        <w:t xml:space="preserve">печать;</w:t>
      </w:r>
      <w:r/>
    </w:p>
    <w:p>
      <w:pPr>
        <w:pStyle w:val="986"/>
      </w:pPr>
      <w:r>
        <w:t xml:space="preserve">экспорт </w:t>
      </w:r>
      <w:r>
        <w:t xml:space="preserve">OEBS</w:t>
      </w:r>
      <w:r>
        <w:t xml:space="preserve">;</w:t>
      </w:r>
      <w:r/>
    </w:p>
    <w:p>
      <w:pPr>
        <w:pStyle w:val="986"/>
      </w:pPr>
      <w:r>
        <w:t xml:space="preserve">отказ;</w:t>
      </w:r>
      <w:r/>
    </w:p>
    <w:p>
      <w:pPr>
        <w:pStyle w:val="986"/>
      </w:pPr>
      <w:r>
        <w:t xml:space="preserve">санкционирование</w:t>
      </w:r>
      <w:r>
        <w:t xml:space="preserve">.</w:t>
      </w:r>
      <w:r/>
    </w:p>
    <w:p>
      <w:pPr>
        <w:pStyle w:val="974"/>
      </w:pPr>
      <w:r>
        <w:t xml:space="preserve">Создание документа на основе родительского документа</w:t>
      </w:r>
      <w:r/>
    </w:p>
    <w:p>
      <w:pPr>
        <w:pStyle w:val="994"/>
      </w:pPr>
      <w:r>
        <w:t xml:space="preserve">Документ может создаваться на основе следующих ЭД:</w:t>
      </w:r>
      <w:r/>
    </w:p>
    <w:p>
      <w:pPr>
        <w:pStyle w:val="985"/>
      </w:pPr>
      <w:r>
        <w:t xml:space="preserve">«</w:t>
      </w:r>
      <w:r>
        <w:t xml:space="preserve">Исполнительный документ</w:t>
      </w:r>
      <w:r>
        <w:t xml:space="preserve">»</w:t>
      </w:r>
      <w:r>
        <w:t xml:space="preserve">;</w:t>
      </w:r>
      <w:r/>
    </w:p>
    <w:p>
      <w:pPr>
        <w:pStyle w:val="985"/>
      </w:pPr>
      <w:r>
        <w:t xml:space="preserve">«</w:t>
      </w:r>
      <w:r>
        <w:t xml:space="preserve">Исполнительный документ по солидарным должникам</w:t>
      </w:r>
      <w:r>
        <w:t xml:space="preserve">»</w:t>
      </w:r>
      <w:r>
        <w:t xml:space="preserve">;</w:t>
      </w:r>
      <w:r/>
    </w:p>
    <w:p>
      <w:pPr>
        <w:pStyle w:val="985"/>
      </w:pPr>
      <w:r>
        <w:t xml:space="preserve">«Решение налогового органа о взыскании налога, сбора, пеней и штрафов, пред</w:t>
      </w:r>
      <w:r>
        <w:t xml:space="preserve">у</w:t>
      </w:r>
      <w:r>
        <w:t xml:space="preserve">сматривающее обращение взыскания на средства бюджетов бюджетной системы Российской Федерации»</w:t>
      </w:r>
      <w:r>
        <w:t xml:space="preserve">;</w:t>
      </w:r>
      <w:r/>
    </w:p>
    <w:p>
      <w:pPr>
        <w:pStyle w:val="985"/>
      </w:pPr>
      <w:r>
        <w:t xml:space="preserve">«</w:t>
      </w:r>
      <w:r>
        <w:t xml:space="preserve">Исполнительный документ по периодическим выплатам</w:t>
      </w:r>
      <w:r>
        <w:t xml:space="preserve">»</w:t>
      </w:r>
      <w:r>
        <w:t xml:space="preserve">;</w:t>
      </w:r>
      <w:r/>
    </w:p>
    <w:p>
      <w:pPr>
        <w:pStyle w:val="985"/>
      </w:pPr>
      <w:r>
        <w:t xml:space="preserve">«Сведения об обязательстве».</w:t>
      </w:r>
      <w:r/>
    </w:p>
    <w:p>
      <w:pPr>
        <w:pStyle w:val="994"/>
      </w:pPr>
      <w:r>
        <w:t xml:space="preserve">Для создания документа на основе родительского документа необходимо в ЭФ док</w:t>
      </w:r>
      <w:r>
        <w:t xml:space="preserve">у</w:t>
      </w:r>
      <w:r>
        <w:t xml:space="preserve">мента нажать на кнопку</w:t>
      </w:r>
      <w:r>
        <w:t xml:space="preserve"> </w:t>
      </w:r>
      <w:r>
        <mc:AlternateContent>
          <mc:Choice Requires="wpg">
            <w:drawing>
              <wp:inline xmlns:wp="http://schemas.openxmlformats.org/drawingml/2006/wordprocessingDrawing" distT="0" distB="0" distL="0" distR="0">
                <wp:extent cx="182880" cy="182880"/>
                <wp:effectExtent l="0" t="0" r="0" b="0"/>
                <wp:docPr id="14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76"/>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 o:spid="_x0000_s144" type="#_x0000_t75" style="mso-wrap-distance-left:0.0pt;mso-wrap-distance-top:0.0pt;mso-wrap-distance-right:0.0pt;mso-wrap-distance-bottom:0.0pt;width:14.4pt;height:14.4pt;" stroked="f">
                <v:path textboxrect="0,0,0,0"/>
                <v:imagedata r:id="rId76" o:title=""/>
              </v:shape>
            </w:pict>
          </mc:Fallback>
        </mc:AlternateContent>
      </w:r>
      <w:r>
        <w:t xml:space="preserve"> (Выбрать родительский документ), выбрать тип родительского документа, а затем сам родительский док</w:t>
      </w:r>
      <w:r>
        <w:t xml:space="preserve">у</w:t>
      </w:r>
      <w:r>
        <w:t xml:space="preserve">мент. </w:t>
      </w:r>
      <w:r>
        <w:t xml:space="preserve">Поля формы заполн</w:t>
      </w:r>
      <w:r>
        <w:t xml:space="preserve">ятся</w:t>
      </w:r>
      <w:r>
        <w:t xml:space="preserve"> значениями соо</w:t>
      </w:r>
      <w:r>
        <w:t xml:space="preserve">т</w:t>
      </w:r>
      <w:r>
        <w:t xml:space="preserve">ветствующих полей род</w:t>
      </w:r>
      <w:r>
        <w:t xml:space="preserve">и</w:t>
      </w:r>
      <w:r>
        <w:t xml:space="preserve">тельского документа</w:t>
      </w:r>
      <w:r>
        <w:t xml:space="preserve">.</w:t>
      </w:r>
      <w:r/>
    </w:p>
    <w:p>
      <w:pPr>
        <w:pStyle w:val="973"/>
      </w:pPr>
      <w:r>
        <w:t xml:space="preserve">Экранная форма документа</w:t>
      </w:r>
      <w:bookmarkEnd w:id="710"/>
      <w:r/>
      <w:bookmarkEnd w:id="711"/>
      <w:r/>
      <w:r/>
    </w:p>
    <w:p>
      <w:pPr>
        <w:pStyle w:val="994"/>
      </w:pPr>
      <w:r>
        <w:t xml:space="preserve">ЭФ документа «Сведения об обязательстве» представлена на рисунке </w:t>
      </w:r>
      <w:r>
        <w:fldChar w:fldCharType="begin"/>
      </w:r>
      <w:r>
        <w:instrText xml:space="preserve"> REF _Ref225587553 \h  \* MERGEFORMAT </w:instrText>
      </w:r>
      <w:r>
        <w:fldChar w:fldCharType="separate"/>
      </w:r>
      <w:r>
        <w:t xml:space="preserve">74</w:t>
      </w:r>
      <w:r>
        <w:fldChar w:fldCharType="end"/>
      </w:r>
      <w:r>
        <w:t xml:space="preserve">. Форма содержит сл</w:t>
      </w:r>
      <w:r>
        <w:t xml:space="preserve">е</w:t>
      </w:r>
      <w:r>
        <w:t xml:space="preserve">дующие закладки:</w:t>
      </w:r>
      <w:r/>
    </w:p>
    <w:p>
      <w:pPr>
        <w:pStyle w:val="985"/>
      </w:pPr>
      <w:r>
        <w:t xml:space="preserve">«Заголовок, раздел 1,2 (1)»;</w:t>
      </w:r>
      <w:r/>
    </w:p>
    <w:p>
      <w:pPr>
        <w:pStyle w:val="985"/>
      </w:pPr>
      <w:r>
        <w:t xml:space="preserve">«Раздел </w:t>
      </w:r>
      <w:r>
        <w:t xml:space="preserve">3</w:t>
      </w:r>
      <w:r>
        <w:t xml:space="preserve"> (</w:t>
      </w:r>
      <w:r>
        <w:t xml:space="preserve">2</w:t>
      </w:r>
      <w:r>
        <w:t xml:space="preserve">)»;</w:t>
      </w:r>
      <w:r/>
    </w:p>
    <w:p>
      <w:pPr>
        <w:pStyle w:val="985"/>
      </w:pPr>
      <w:r>
        <w:t xml:space="preserve">«Подписи (3</w:t>
      </w:r>
      <w:r>
        <w:t xml:space="preserve">)»;</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027420" cy="5402580"/>
                <wp:effectExtent l="0" t="0" r="0" b="0"/>
                <wp:docPr id="14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40"/>
                        <a:stretch/>
                      </pic:blipFill>
                      <pic:spPr bwMode="auto">
                        <a:xfrm>
                          <a:off x="0" y="0"/>
                          <a:ext cx="6027420" cy="54025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 o:spid="_x0000_s145" type="#_x0000_t75" style="mso-wrap-distance-left:0.0pt;mso-wrap-distance-top:0.0pt;mso-wrap-distance-right:0.0pt;mso-wrap-distance-bottom:0.0pt;width:474.6pt;height:425.4pt;" stroked="f">
                <v:path textboxrect="0,0,0,0"/>
                <v:imagedata r:id="rId140" o:title=""/>
              </v:shape>
            </w:pict>
          </mc:Fallback>
        </mc:AlternateContent>
      </w:r>
      <w:r/>
    </w:p>
    <w:p>
      <w:pPr>
        <w:pStyle w:val="983"/>
      </w:pPr>
      <w:r>
        <w:fldChar w:fldCharType="begin"/>
      </w:r>
      <w:r>
        <w:instrText xml:space="preserve"> SEQ Рисунок \* ARABIC </w:instrText>
      </w:r>
      <w:r>
        <w:fldChar w:fldCharType="separate"/>
      </w:r>
      <w:bookmarkStart w:id="712" w:name="_Ref225587553"/>
      <w:r/>
      <w:bookmarkStart w:id="713" w:name="_Toc88819459"/>
      <w:r>
        <w:t xml:space="preserve">74</w:t>
      </w:r>
      <w:bookmarkEnd w:id="712"/>
      <w:r>
        <w:fldChar w:fldCharType="end"/>
      </w:r>
      <w:r>
        <w:t xml:space="preserve">. ЭФ «Сведения об обязательстве</w:t>
      </w:r>
      <w:r>
        <w:t xml:space="preserve">», закладки «</w:t>
      </w:r>
      <w:r>
        <w:t xml:space="preserve">Заголовок, раздел 1,2 (1)»</w:t>
      </w:r>
      <w:bookmarkEnd w:id="713"/>
      <w:r/>
      <w:r/>
    </w:p>
    <w:p>
      <w:pPr>
        <w:pStyle w:val="994"/>
      </w:pPr>
      <w:r>
        <w:t xml:space="preserve">В документе «Сведения об обязательстве (входящие)» все поля закрыты на редактирование и заполняются путем импорта из OEBS.</w:t>
      </w:r>
      <w:r/>
    </w:p>
    <w:p>
      <w:pPr>
        <w:pStyle w:val="994"/>
      </w:pPr>
      <w:r>
        <w:t xml:space="preserve">При импорте документа из внешней системы поля </w:t>
      </w:r>
      <w:r>
        <w:t xml:space="preserve">документа</w:t>
      </w:r>
      <w:r>
        <w:t xml:space="preserve"> автоматически заполняются данными загрузочного файла. В случае детализации данных по </w:t>
      </w:r>
      <w:r>
        <w:t xml:space="preserve">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t xml:space="preserve"> </w:t>
      </w:r>
      <w:r>
        <w:t xml:space="preserve">Для </w:t>
      </w:r>
      <w:r>
        <w:t xml:space="preserve">ручного ввода документа следует на ЭФ документа заполнить поля, доступные для редактирования. </w:t>
      </w:r>
      <w:r/>
    </w:p>
    <w:p>
      <w:pPr>
        <w:pStyle w:val="994"/>
      </w:pPr>
      <w:r>
        <w:t xml:space="preserve">Перечень полей </w:t>
      </w:r>
      <w:r>
        <w:t xml:space="preserve">документа «Сведения об обязательстве», закладки «Заголовок, Раздел 1,2 (1)»</w:t>
      </w:r>
      <w:r>
        <w:t xml:space="preserve"> </w:t>
      </w:r>
      <w:r>
        <w:t xml:space="preserve">приведен в таблице</w:t>
      </w:r>
      <w:r>
        <w:t xml:space="preserve"> </w:t>
      </w:r>
      <w:r>
        <w:fldChar w:fldCharType="begin"/>
      </w:r>
      <w:r>
        <w:instrText xml:space="preserve"> REF _Ref317671467 \h  \* MERGEFORMAT </w:instrText>
      </w:r>
      <w:r>
        <w:fldChar w:fldCharType="separate"/>
      </w:r>
      <w:r>
        <w:t xml:space="preserve">35</w:t>
      </w:r>
      <w:r>
        <w:fldChar w:fldCharType="end"/>
      </w:r>
      <w:r>
        <w:t xml:space="preserve">.</w:t>
      </w:r>
      <w:r/>
    </w:p>
    <w:p>
      <w:pPr>
        <w:pStyle w:val="993"/>
      </w:pPr>
      <w:r>
        <w:fldChar w:fldCharType="begin"/>
      </w:r>
      <w:r>
        <w:instrText xml:space="preserve"> SEQ Таблица \* ARABIC </w:instrText>
      </w:r>
      <w:r>
        <w:fldChar w:fldCharType="separate"/>
      </w:r>
      <w:bookmarkStart w:id="714" w:name="_Ref317671467"/>
      <w:r/>
      <w:bookmarkStart w:id="715" w:name="_Ref315697671"/>
      <w:r/>
      <w:bookmarkStart w:id="716" w:name="_Toc88819221"/>
      <w:r>
        <w:t xml:space="preserve">35</w:t>
      </w:r>
      <w:bookmarkEnd w:id="714"/>
      <w:r/>
      <w:bookmarkEnd w:id="715"/>
      <w:r>
        <w:fldChar w:fldCharType="end"/>
      </w:r>
      <w:r>
        <w:t xml:space="preserve">. Описание полей документа «Сведения об обязательстве</w:t>
      </w:r>
      <w:r>
        <w:t xml:space="preserve">», закладки «</w:t>
      </w:r>
      <w:r>
        <w:t xml:space="preserve">Заголовок, Ра</w:t>
      </w:r>
      <w:r>
        <w:t xml:space="preserve">з</w:t>
      </w:r>
      <w:r>
        <w:t xml:space="preserve">дел 1,2 (1)»</w:t>
      </w:r>
      <w:bookmarkEnd w:id="716"/>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33"/>
        <w:gridCol w:w="7519"/>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140" w:type="pct"/>
            <w:vAlign w:val="center"/>
            <w:textDirection w:val="lrTb"/>
            <w:noWrap w:val="false"/>
          </w:tcPr>
          <w:p>
            <w:pPr>
              <w:pStyle w:val="1006"/>
            </w:pPr>
            <w:r>
              <w:t xml:space="preserve">Наименование</w:t>
            </w:r>
            <w:r>
              <w:t xml:space="preserve"> поля</w:t>
            </w:r>
            <w:r/>
          </w:p>
        </w:tc>
        <w:tc>
          <w:tcPr>
            <w:shd w:val="clear" w:fill="E6E6E6" w:color="auto"/>
            <w:tcBorders>
              <w:left w:val="single" w:sz="4" w:space="0" w:color="auto"/>
              <w:top w:val="single" w:sz="4" w:space="0" w:color="auto"/>
              <w:right w:val="single" w:sz="4" w:space="0" w:color="auto"/>
              <w:bottom w:val="single" w:sz="4" w:space="0" w:color="auto"/>
            </w:tcBorders>
            <w:tcW w:w="3860" w:type="pct"/>
            <w:vAlign w:val="center"/>
            <w:textDirection w:val="lrTb"/>
            <w:noWrap w:val="false"/>
          </w:tcPr>
          <w:p>
            <w:pPr>
              <w:pStyle w:val="1006"/>
            </w:pPr>
            <w:r>
              <w:t xml:space="preserve">Описание</w:t>
            </w:r>
            <w:r>
              <w:t xml:space="preserve"> поля</w:t>
            </w:r>
            <w:r/>
          </w:p>
        </w:tc>
      </w:tr>
      <w:tr>
        <w:trPr>
          <w:trHeight w:val="70"/>
        </w:trPr>
        <w:tc>
          <w:tcPr>
            <w:shd w:val="clear" w:fill="auto" w:color="auto"/>
            <w:tcW w:w="1140" w:type="pct"/>
            <w:textDirection w:val="lrTb"/>
            <w:noWrap w:val="false"/>
          </w:tcPr>
          <w:p>
            <w:pPr>
              <w:pStyle w:val="1005"/>
              <w:ind w:left="57" w:right="57"/>
            </w:pPr>
            <w:r>
              <w:t xml:space="preserve">Сведения №</w:t>
            </w:r>
            <w:r/>
          </w:p>
        </w:tc>
        <w:tc>
          <w:tcPr>
            <w:shd w:val="clear" w:fill="auto" w:color="auto"/>
            <w:tcW w:w="3860" w:type="pct"/>
            <w:textDirection w:val="lrTb"/>
            <w:noWrap w:val="false"/>
          </w:tcPr>
          <w:p>
            <w:pPr>
              <w:pStyle w:val="1005"/>
              <w:ind w:left="57" w:right="57"/>
            </w:pPr>
            <w:r>
              <w:t xml:space="preserve">Номер, присвоенный клиентом, оформляющим док</w:t>
            </w:r>
            <w:r>
              <w:t xml:space="preserve">умент.</w:t>
            </w:r>
            <w:r/>
          </w:p>
          <w:p>
            <w:pPr>
              <w:pStyle w:val="1005"/>
              <w:ind w:left="57" w:right="57"/>
            </w:pPr>
            <w:r>
              <w:t xml:space="preserve">Значение рассчитывается автоматически на основании настроек для тек</w:t>
            </w:r>
            <w:r>
              <w:t xml:space="preserve">у</w:t>
            </w:r>
            <w:r>
              <w:t xml:space="preserve">щего типа документа в справочнике «Параметры автонумерации докуме</w:t>
            </w:r>
            <w:r>
              <w:t xml:space="preserve">н</w:t>
            </w:r>
            <w:r>
              <w:t xml:space="preserve">тов».</w:t>
            </w:r>
            <w:r>
              <w:t xml:space="preserve"> </w:t>
            </w:r>
            <w:r>
              <w:t xml:space="preserve">Может быть заполнено вручную.</w:t>
            </w:r>
            <w:r/>
          </w:p>
          <w:p>
            <w:pPr>
              <w:pStyle w:val="1005"/>
              <w:ind w:left="57" w:right="57"/>
            </w:pPr>
            <w:r>
              <w:t xml:space="preserve">В случае</w:t>
            </w:r>
            <w:r>
              <w:t xml:space="preserve"> если значение было изменено вручную и не соответствует автом</w:t>
            </w:r>
            <w:r>
              <w:t xml:space="preserve">а</w:t>
            </w:r>
            <w:r>
              <w:t xml:space="preserve">тически вычисленному значению, правильный порядковый номер может быть проставлен по нажатию кнопки</w:t>
            </w:r>
            <w:r>
              <w:t xml:space="preserve">.</w:t>
            </w:r>
            <w:r/>
          </w:p>
        </w:tc>
      </w:tr>
      <w:tr>
        <w:trPr>
          <w:trHeight w:val="70"/>
        </w:trPr>
        <w:tc>
          <w:tcPr>
            <w:shd w:val="clear" w:fill="auto" w:color="auto"/>
            <w:tcW w:w="1140" w:type="pct"/>
            <w:textDirection w:val="lrTb"/>
            <w:noWrap w:val="false"/>
          </w:tcPr>
          <w:p>
            <w:pPr>
              <w:pStyle w:val="1005"/>
              <w:ind w:left="57" w:right="57"/>
            </w:pPr>
            <w:r>
              <w:t xml:space="preserve">Номер изменения</w:t>
            </w:r>
            <w:r/>
          </w:p>
        </w:tc>
        <w:tc>
          <w:tcPr>
            <w:shd w:val="clear" w:fill="auto" w:color="auto"/>
            <w:tcW w:w="3860" w:type="pct"/>
            <w:textDirection w:val="lrTb"/>
            <w:noWrap w:val="false"/>
          </w:tcPr>
          <w:p>
            <w:pPr>
              <w:pStyle w:val="1005"/>
              <w:ind w:left="57" w:right="57"/>
            </w:pPr>
            <w:r>
              <w:t xml:space="preserve">При указании в поле «Тип сведений» значения «0» (первичные) поле автоматически заполняется значением «0» и становится недоступным для редактирования.</w:t>
            </w:r>
            <w:r/>
          </w:p>
          <w:p>
            <w:pPr>
              <w:pStyle w:val="1005"/>
              <w:ind w:left="57" w:right="57"/>
            </w:pPr>
            <w:r>
              <w:t xml:space="preserve">При указании в поле «Тип сведений» значения «1» (изменения) значение вводится вручную.</w:t>
            </w:r>
            <w:r/>
          </w:p>
          <w:p>
            <w:pPr>
              <w:pStyle w:val="1005"/>
              <w:ind w:left="57" w:right="57"/>
            </w:pPr>
            <w:r>
              <w:t xml:space="preserve">При импорте из ТФФ, при пустом значении отображается на ВФ и передается в </w:t>
            </w:r>
            <w:r>
              <w:t xml:space="preserve">OEBS</w:t>
            </w:r>
            <w:r>
              <w:t xml:space="preserve"> значение «0».</w:t>
            </w:r>
            <w:r/>
          </w:p>
        </w:tc>
      </w:tr>
      <w:tr>
        <w:trPr>
          <w:trHeight w:val="405"/>
        </w:trPr>
        <w:tc>
          <w:tcPr>
            <w:shd w:val="clear" w:fill="auto" w:color="auto"/>
            <w:tcW w:w="1140" w:type="pct"/>
            <w:textDirection w:val="lrTb"/>
            <w:noWrap w:val="false"/>
          </w:tcPr>
          <w:p>
            <w:pPr>
              <w:pStyle w:val="1005"/>
              <w:ind w:left="57" w:right="57"/>
            </w:pPr>
            <w:r>
              <w:t xml:space="preserve">От</w:t>
            </w:r>
            <w:r/>
          </w:p>
        </w:tc>
        <w:tc>
          <w:tcPr>
            <w:shd w:val="clear" w:fill="auto" w:color="auto"/>
            <w:tcW w:w="3860" w:type="pct"/>
            <w:textDirection w:val="lrTb"/>
            <w:noWrap w:val="false"/>
          </w:tcPr>
          <w:p>
            <w:pPr>
              <w:pStyle w:val="1005"/>
              <w:ind w:left="57" w:right="57"/>
            </w:pPr>
            <w:r>
              <w:t xml:space="preserve">По умолчанию проставляется текущая дата. </w:t>
            </w:r>
            <w:r/>
          </w:p>
          <w:p>
            <w:pPr>
              <w:pStyle w:val="1005"/>
              <w:ind w:left="57" w:right="57"/>
            </w:pPr>
            <w:r>
              <w:t xml:space="preserve">Значение может быть изменено вручную или выбором из системного к</w:t>
            </w:r>
            <w:r>
              <w:t xml:space="preserve">а</w:t>
            </w:r>
            <w:r>
              <w:t xml:space="preserve">лендаря.</w:t>
            </w:r>
            <w:r/>
          </w:p>
        </w:tc>
      </w:tr>
      <w:tr>
        <w:trPr>
          <w:trHeight w:val="405"/>
        </w:trPr>
        <w:tc>
          <w:tcPr>
            <w:shd w:val="clear" w:fill="auto" w:color="auto"/>
            <w:tcW w:w="1140" w:type="pct"/>
            <w:textDirection w:val="lrTb"/>
            <w:noWrap w:val="false"/>
          </w:tcPr>
          <w:p>
            <w:pPr>
              <w:pStyle w:val="1005"/>
              <w:ind w:left="57" w:right="57"/>
            </w:pPr>
            <w:r>
              <w:t xml:space="preserve">Статус</w:t>
            </w:r>
            <w:r/>
          </w:p>
        </w:tc>
        <w:tc>
          <w:tcPr>
            <w:shd w:val="clear" w:fill="auto" w:color="auto"/>
            <w:tcW w:w="3860" w:type="pct"/>
            <w:textDirection w:val="lrTb"/>
            <w:noWrap w:val="false"/>
          </w:tcPr>
          <w:p>
            <w:pPr>
              <w:pStyle w:val="1005"/>
              <w:ind w:left="57" w:right="57"/>
            </w:pPr>
            <w:r>
              <w:t xml:space="preserve">З</w:t>
            </w:r>
            <w:r>
              <w:t xml:space="preserve">начение запо</w:t>
            </w:r>
            <w:r>
              <w:t xml:space="preserve">лняется автоматически</w:t>
            </w:r>
            <w:r>
              <w:t xml:space="preserve">.</w:t>
            </w:r>
            <w:r>
              <w:t xml:space="preserve"> </w:t>
            </w:r>
            <w:r/>
          </w:p>
          <w:p>
            <w:pPr>
              <w:pStyle w:val="1005"/>
              <w:ind w:left="57" w:right="57"/>
            </w:pPr>
            <w:r>
              <w:t xml:space="preserve">Загружается </w:t>
            </w:r>
            <w:r>
              <w:t xml:space="preserve">из </w:t>
            </w:r>
            <w:r>
              <w:t xml:space="preserve">OEBS</w:t>
            </w:r>
            <w:r>
              <w:t xml:space="preserve">.</w:t>
            </w:r>
            <w:r/>
          </w:p>
        </w:tc>
      </w:tr>
      <w:tr>
        <w:trPr>
          <w:trHeight w:val="405"/>
        </w:trPr>
        <w:tc>
          <w:tcPr>
            <w:shd w:val="clear" w:fill="auto" w:color="auto"/>
            <w:tcW w:w="1140" w:type="pct"/>
            <w:textDirection w:val="lrTb"/>
            <w:noWrap w:val="false"/>
          </w:tcPr>
          <w:p>
            <w:pPr>
              <w:pStyle w:val="1005"/>
              <w:ind w:left="57" w:right="57"/>
            </w:pPr>
            <w:r>
              <w:t xml:space="preserve">Тип сведений</w:t>
            </w:r>
            <w:r/>
          </w:p>
        </w:tc>
        <w:tc>
          <w:tcPr>
            <w:shd w:val="clear" w:fill="auto" w:color="auto"/>
            <w:tcW w:w="3860" w:type="pct"/>
            <w:textDirection w:val="lrTb"/>
            <w:noWrap w:val="false"/>
          </w:tcPr>
          <w:p>
            <w:pPr>
              <w:pStyle w:val="1005"/>
              <w:ind w:left="57" w:right="57"/>
            </w:pPr>
            <w:r>
              <w:t xml:space="preserve">Для исходящих документов: значение выбирается из списка (на форму по</w:t>
            </w:r>
            <w:r>
              <w:t xml:space="preserve">д</w:t>
            </w:r>
            <w:r>
              <w:t xml:space="preserve">тягивается и участвует в интеграции только код типа сведений):</w:t>
            </w:r>
            <w:r/>
          </w:p>
          <w:p>
            <w:pPr>
              <w:pStyle w:val="1007"/>
            </w:pPr>
            <w:r>
              <w:t xml:space="preserve">0 – первичные;</w:t>
            </w:r>
            <w:r/>
          </w:p>
          <w:p>
            <w:pPr>
              <w:pStyle w:val="1007"/>
            </w:pPr>
            <w:r>
              <w:t xml:space="preserve">1 – изменения.</w:t>
            </w:r>
            <w:r/>
          </w:p>
        </w:tc>
      </w:tr>
      <w:tr>
        <w:trPr>
          <w:trHeight w:val="405"/>
        </w:trPr>
        <w:tc>
          <w:tcPr>
            <w:shd w:val="clear" w:fill="auto" w:color="auto"/>
            <w:tcW w:w="1140" w:type="pct"/>
            <w:textDirection w:val="lrTb"/>
            <w:noWrap w:val="false"/>
          </w:tcPr>
          <w:p>
            <w:pPr>
              <w:pStyle w:val="1005"/>
              <w:ind w:left="57" w:right="57"/>
            </w:pPr>
            <w:r>
              <w:t xml:space="preserve">№ л/с получ.</w:t>
            </w:r>
            <w:r/>
          </w:p>
        </w:tc>
        <w:tc>
          <w:tcPr>
            <w:shd w:val="clear" w:fill="auto" w:color="auto"/>
            <w:tcW w:w="3860" w:type="pct"/>
            <w:textDirection w:val="lrTb"/>
            <w:noWrap w:val="false"/>
          </w:tcPr>
          <w:p>
            <w:pPr>
              <w:pStyle w:val="1005"/>
              <w:ind w:left="57" w:right="57"/>
            </w:pPr>
            <w:r>
              <w:t xml:space="preserve">На АРМ ФО: Значение может быть введено пользователем вручную или выбором из справочника «Информация о ЛС» (список ограничен кодом РУБП).</w:t>
            </w:r>
            <w:r/>
          </w:p>
          <w:p>
            <w:pPr>
              <w:pStyle w:val="1005"/>
              <w:ind w:left="57" w:right="57"/>
            </w:pPr>
            <w:r>
              <w:t xml:space="preserve">Может заполняться из родительского документа.</w:t>
            </w:r>
            <w:r/>
          </w:p>
          <w:p>
            <w:pPr>
              <w:pStyle w:val="1005"/>
              <w:ind w:left="57" w:right="57"/>
            </w:pPr>
            <w:r>
              <w:t xml:space="preserve">При указании 14 типа ЛС перезаполняются следующие поля документа:</w:t>
            </w:r>
            <w:r/>
          </w:p>
          <w:p>
            <w:pPr>
              <w:pStyle w:val="1007"/>
            </w:pPr>
            <w:r>
              <w:t xml:space="preserve">код бюджета (код бюджета из справочника лицевых счетов);</w:t>
            </w:r>
            <w:r/>
          </w:p>
          <w:p>
            <w:pPr>
              <w:pStyle w:val="1007"/>
            </w:pPr>
            <w:r>
              <w:t xml:space="preserve">клиент (полное наименование владельца ЛС из справочника лицевых счетов);</w:t>
            </w:r>
            <w:r/>
          </w:p>
          <w:p>
            <w:pPr>
              <w:pStyle w:val="1007"/>
            </w:pPr>
            <w:r>
              <w:t xml:space="preserve">код по сводному реестру;</w:t>
            </w:r>
            <w:r/>
          </w:p>
          <w:p>
            <w:pPr>
              <w:pStyle w:val="1007"/>
            </w:pPr>
            <w:r>
              <w:t xml:space="preserve">код главы (ведомство из справочника лицевых счетов);</w:t>
            </w:r>
            <w:r/>
          </w:p>
          <w:p>
            <w:pPr>
              <w:pStyle w:val="1007"/>
            </w:pPr>
            <w:r>
              <w:t xml:space="preserve">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r/>
          </w:p>
          <w:p>
            <w:pPr>
              <w:pStyle w:val="1007"/>
            </w:pPr>
            <w:r>
              <w:t xml:space="preserve">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r/>
          </w:p>
        </w:tc>
      </w:tr>
      <w:tr>
        <w:trPr>
          <w:trHeight w:val="405"/>
        </w:trPr>
        <w:tc>
          <w:tcPr>
            <w:shd w:val="clear" w:fill="auto" w:color="auto"/>
            <w:tcW w:w="1140" w:type="pct"/>
            <w:textDirection w:val="lrTb"/>
            <w:noWrap w:val="false"/>
          </w:tcPr>
          <w:p>
            <w:pPr>
              <w:pStyle w:val="1005"/>
              <w:ind w:left="57" w:right="57"/>
            </w:pPr>
            <w:r>
              <w:t xml:space="preserve">Уровень конфиденциальности</w:t>
            </w:r>
            <w:r/>
          </w:p>
        </w:tc>
        <w:tc>
          <w:tcPr>
            <w:shd w:val="clear" w:fill="auto" w:color="auto"/>
            <w:tcW w:w="3860" w:type="pct"/>
            <w:textDirection w:val="lrTb"/>
            <w:noWrap w:val="false"/>
          </w:tcPr>
          <w:p>
            <w:pPr>
              <w:pStyle w:val="1005"/>
              <w:ind w:left="57" w:right="57"/>
            </w:pPr>
            <w:r>
              <w:t xml:space="preserve">Заполняется вручную. По умолчанию не заполнено.</w:t>
            </w:r>
            <w:r/>
          </w:p>
          <w:p>
            <w:pPr>
              <w:pStyle w:val="1005"/>
              <w:ind w:left="57" w:right="57"/>
            </w:pPr>
            <w:r>
              <w:t xml:space="preserve">Заполняется клиентом значением «0» (не секретно) или «1» (</w:t>
            </w:r>
            <w:r>
              <w:t xml:space="preserve">ДСП</w:t>
            </w:r>
            <w:r>
              <w:t xml:space="preserve">) при указании:</w:t>
            </w:r>
            <w:r/>
          </w:p>
          <w:p>
            <w:pPr>
              <w:pStyle w:val="1007"/>
            </w:pPr>
            <w:r>
              <w:t xml:space="preserve">лицевого счета клиента с признаком обслуживания в ЗК;</w:t>
            </w:r>
            <w:r/>
          </w:p>
          <w:p>
            <w:pPr>
              <w:pStyle w:val="1007"/>
            </w:pPr>
            <w:r>
              <w:t xml:space="preserve">кода по Сводному реестру, для которого в справочнике СР присутствует поле «Признак контура» со значением «S» (закрытый);</w:t>
            </w:r>
            <w:r/>
          </w:p>
          <w:p>
            <w:pPr>
              <w:pStyle w:val="1007"/>
            </w:pPr>
            <w:r>
              <w:t xml:space="preserve">вместо наименования указан код организации по СР.</w:t>
            </w:r>
            <w:r/>
          </w:p>
        </w:tc>
      </w:tr>
      <w:tr>
        <w:trPr>
          <w:trHeight w:val="405"/>
        </w:trPr>
        <w:tc>
          <w:tcPr>
            <w:shd w:val="clear" w:fill="auto" w:color="auto"/>
            <w:tcW w:w="1140" w:type="pct"/>
            <w:textDirection w:val="lrTb"/>
            <w:noWrap w:val="false"/>
          </w:tcPr>
          <w:p>
            <w:pPr>
              <w:pStyle w:val="1005"/>
              <w:ind w:left="57" w:right="57"/>
            </w:pPr>
            <w:r>
              <w:t xml:space="preserve">Тип БО</w:t>
            </w:r>
            <w:r/>
          </w:p>
        </w:tc>
        <w:tc>
          <w:tcPr>
            <w:shd w:val="clear" w:fill="auto" w:color="auto"/>
            <w:tcW w:w="3860" w:type="pct"/>
            <w:textDirection w:val="lrTb"/>
            <w:noWrap w:val="false"/>
          </w:tcPr>
          <w:p>
            <w:pPr>
              <w:pStyle w:val="1005"/>
              <w:ind w:left="57" w:right="57"/>
            </w:pPr>
            <w:r>
              <w:t xml:space="preserve">Наименование типа бюджетного обязательства.</w:t>
            </w:r>
            <w:r/>
          </w:p>
          <w:p>
            <w:pPr>
              <w:pStyle w:val="1005"/>
              <w:ind w:left="57" w:right="57"/>
            </w:pPr>
            <w:r>
              <w:t xml:space="preserve">Значение выбирается из списка (в интеграции участвует только код Типа БО): </w:t>
            </w:r>
            <w:r/>
          </w:p>
          <w:p>
            <w:pPr>
              <w:pStyle w:val="1007"/>
            </w:pPr>
            <w:r>
              <w:t xml:space="preserve">пустое;</w:t>
            </w:r>
            <w:r/>
          </w:p>
          <w:p>
            <w:pPr>
              <w:pStyle w:val="1007"/>
            </w:pPr>
            <w:r>
              <w:t xml:space="preserve">1 – «Закупка»;</w:t>
            </w:r>
            <w:r/>
          </w:p>
          <w:p>
            <w:pPr>
              <w:pStyle w:val="1007"/>
            </w:pPr>
            <w:r>
              <w:t xml:space="preserve">2 – «Прочее».</w:t>
            </w:r>
            <w:r/>
          </w:p>
          <w:p>
            <w:pPr>
              <w:pStyle w:val="1005"/>
              <w:ind w:left="57" w:right="57"/>
            </w:pPr>
            <w:r>
              <w:t xml:space="preserve">По умолчанию поле пустое.</w:t>
            </w:r>
            <w:r/>
          </w:p>
        </w:tc>
      </w:tr>
      <w:tr>
        <w:trPr>
          <w:trHeight w:val="405"/>
        </w:trPr>
        <w:tc>
          <w:tcPr>
            <w:shd w:val="clear" w:fill="auto" w:color="auto"/>
            <w:tcW w:w="1140" w:type="pct"/>
            <w:textDirection w:val="lrTb"/>
            <w:noWrap w:val="false"/>
          </w:tcPr>
          <w:p>
            <w:pPr>
              <w:pStyle w:val="1005"/>
              <w:ind w:left="57" w:right="57"/>
            </w:pPr>
            <w:r>
              <w:t xml:space="preserve">Направление Сведения о БО по секретному ГК</w:t>
            </w:r>
            <w:r/>
          </w:p>
        </w:tc>
        <w:tc>
          <w:tcPr>
            <w:shd w:val="clear" w:fill="auto" w:color="auto"/>
            <w:tcW w:w="3860" w:type="pct"/>
            <w:textDirection w:val="lrTb"/>
            <w:noWrap w:val="false"/>
          </w:tcPr>
          <w:p>
            <w:pPr>
              <w:pStyle w:val="1005"/>
              <w:ind w:left="57" w:right="57"/>
            </w:pPr>
            <w:r>
              <w:t xml:space="preserve">Чекбокс. По умолчанию значение чекбокса не проставлено</w:t>
            </w:r>
            <w:r>
              <w:t xml:space="preserve">.</w:t>
            </w:r>
            <w:r/>
          </w:p>
        </w:tc>
      </w:tr>
      <w:tr>
        <w:trPr>
          <w:trHeight w:val="405"/>
        </w:trPr>
        <w:tc>
          <w:tcPr>
            <w:shd w:val="clear" w:fill="auto" w:color="auto"/>
            <w:tcW w:w="1140" w:type="pct"/>
            <w:textDirection w:val="lrTb"/>
            <w:noWrap w:val="false"/>
          </w:tcPr>
          <w:p>
            <w:pPr>
              <w:pStyle w:val="1005"/>
              <w:ind w:left="57" w:right="57"/>
            </w:pPr>
            <w:r>
              <w:t xml:space="preserve">Признак автоматически созданного документа</w:t>
            </w:r>
            <w:r/>
          </w:p>
        </w:tc>
        <w:tc>
          <w:tcPr>
            <w:shd w:val="clear" w:fill="auto" w:color="auto"/>
            <w:tcW w:w="3860" w:type="pct"/>
            <w:textDirection w:val="lrTb"/>
            <w:noWrap w:val="false"/>
          </w:tcPr>
          <w:p>
            <w:pPr>
              <w:pStyle w:val="1005"/>
              <w:ind w:left="57" w:right="57"/>
            </w:pPr>
            <w:r>
              <w:t xml:space="preserve">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r/>
          </w:p>
          <w:p>
            <w:pPr>
              <w:pStyle w:val="1005"/>
              <w:ind w:left="57" w:right="57"/>
            </w:pPr>
            <w:r>
              <w:t xml:space="preserve">Указывается значение «0» или «1» по следующим правилам:</w:t>
            </w:r>
            <w:r/>
          </w:p>
          <w:p>
            <w:pPr>
              <w:pStyle w:val="1007"/>
            </w:pPr>
            <w:r>
              <w:t xml:space="preserve">«0», если документ создается в ППО СУФД АСФК, или принимаемый из ППО OEBS АСФК документ имеет технический тип «ОБД»;</w:t>
            </w:r>
            <w:r/>
          </w:p>
          <w:p>
            <w:pPr>
              <w:pStyle w:val="1007"/>
            </w:pPr>
            <w:r>
              <w:t xml:space="preserve">«1», если принимаемый из ППО OEBS АСФК документ имеет технический тип «ОБП».</w:t>
            </w:r>
            <w:r/>
          </w:p>
        </w:tc>
      </w:tr>
      <w:tr>
        <w:trPr>
          <w:trHeight w:val="405"/>
        </w:trPr>
        <w:tc>
          <w:tcPr>
            <w:shd w:val="clear" w:fill="auto" w:color="auto"/>
            <w:tcW w:w="1140" w:type="pct"/>
            <w:textDirection w:val="lrTb"/>
            <w:noWrap w:val="false"/>
          </w:tcPr>
          <w:p>
            <w:pPr>
              <w:pStyle w:val="1005"/>
              <w:ind w:left="57" w:right="57"/>
            </w:pPr>
            <w:r>
              <w:t xml:space="preserve">ПБС</w:t>
            </w:r>
            <w:r/>
          </w:p>
        </w:tc>
        <w:tc>
          <w:tcPr>
            <w:shd w:val="clear" w:fill="auto" w:color="auto"/>
            <w:tcW w:w="3860" w:type="pct"/>
            <w:textDirection w:val="lrTb"/>
            <w:noWrap w:val="false"/>
          </w:tcPr>
          <w:p>
            <w:pPr>
              <w:pStyle w:val="1005"/>
              <w:ind w:left="57" w:right="57"/>
            </w:pPr>
            <w:r>
              <w:t xml:space="preserve">Заполняется значением полного наименования организации из справочника СР на основании констант SelfBUCode (Код собственного БУ) и SelfBudgetCode (Код бюджета).</w:t>
            </w:r>
            <w:r/>
          </w:p>
          <w:p>
            <w:pPr>
              <w:pStyle w:val="1008"/>
            </w:pPr>
            <w:r>
              <w:t xml:space="preserve">При значении поля «Переход на СР» = 0:</w:t>
            </w:r>
            <w:r/>
          </w:p>
          <w:p>
            <w:pPr>
              <w:pStyle w:val="1007"/>
            </w:pPr>
            <w:r>
              <w:t xml:space="preserve">Для Федерального бюджета:</w:t>
            </w:r>
            <w:r/>
          </w:p>
          <w:p>
            <w:pPr>
              <w:pStyle w:val="1005"/>
              <w:ind w:left="57" w:right="57"/>
            </w:pPr>
            <w:r>
              <w:t xml:space="preserve">Заполняется полным наименование из справочника СРРПБС на основании кода по Сводному реестру (с учетом Бюджета и кода Главы по БК). </w:t>
            </w:r>
            <w:r/>
          </w:p>
          <w:p>
            <w:pPr>
              <w:pStyle w:val="1007"/>
            </w:pPr>
            <w:r>
              <w:t xml:space="preserve">Для бюджета, отличного от Федерального:</w:t>
            </w:r>
            <w:r/>
          </w:p>
          <w:p>
            <w:pPr>
              <w:pStyle w:val="1005"/>
              <w:ind w:left="57" w:right="57"/>
            </w:pPr>
            <w:r>
              <w:t xml:space="preserve">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r/>
          </w:p>
          <w:p>
            <w:pPr>
              <w:pStyle w:val="1005"/>
              <w:ind w:left="57" w:right="57"/>
            </w:pPr>
            <w:r>
              <w:t xml:space="preserve">На </w:t>
            </w:r>
            <w:r>
              <w:t xml:space="preserve">АРМ ФО</w:t>
            </w:r>
            <w:r>
              <w:t xml:space="preserve"> з</w:t>
            </w:r>
            <w:r>
              <w:t xml:space="preserve">аполняется по умолчанию и автоматически на основани</w:t>
            </w:r>
            <w:r>
              <w:t xml:space="preserve">и значения, указанного в документе «по Сводному реестру» из справочника СР (значением поля «Полное наименование» из записи СР с учётом системной константы и поле документа «по Сводному реестру» = «Код организации по СР»). Может быть отредактировано вручную</w:t>
            </w:r>
            <w:r>
              <w:t xml:space="preserve"> и</w:t>
            </w:r>
            <w:r>
              <w:t xml:space="preserve"> заполняться из родительского документа.</w:t>
            </w:r>
            <w:r/>
          </w:p>
        </w:tc>
      </w:tr>
      <w:tr>
        <w:trPr>
          <w:trHeight w:val="405"/>
        </w:trPr>
        <w:tc>
          <w:tcPr>
            <w:shd w:val="clear" w:fill="auto" w:color="auto"/>
            <w:tcW w:w="1140" w:type="pct"/>
            <w:textDirection w:val="lrTb"/>
            <w:noWrap w:val="false"/>
          </w:tcPr>
          <w:p>
            <w:pPr>
              <w:pStyle w:val="1005"/>
              <w:ind w:left="57" w:right="57"/>
            </w:pPr>
            <w:r>
              <w:t xml:space="preserve">П</w:t>
            </w:r>
            <w:r>
              <w:t xml:space="preserve">о Свод. </w:t>
            </w:r>
            <w:r>
              <w:t xml:space="preserve">Р</w:t>
            </w:r>
            <w:r>
              <w:t xml:space="preserve">еестру</w:t>
            </w:r>
            <w:r/>
          </w:p>
        </w:tc>
        <w:tc>
          <w:tcPr>
            <w:shd w:val="clear" w:fill="auto" w:color="auto"/>
            <w:tcW w:w="3860" w:type="pct"/>
            <w:textDirection w:val="lrTb"/>
            <w:noWrap w:val="false"/>
          </w:tcPr>
          <w:p>
            <w:pPr>
              <w:pStyle w:val="1008"/>
              <w:numPr>
                <w:ilvl w:val="0"/>
                <w:numId w:val="0"/>
              </w:numPr>
            </w:pPr>
            <w:r>
              <w:t xml:space="preserve">Для Федерального бюджета:</w:t>
            </w:r>
            <w:r/>
          </w:p>
          <w:p>
            <w:pPr>
              <w:pStyle w:val="1005"/>
              <w:ind w:left="57" w:right="57"/>
            </w:pPr>
            <w:r>
              <w:t xml:space="preserve">Заполняется значением системной константы «Код собственного БУ».</w:t>
            </w:r>
            <w:r/>
          </w:p>
          <w:p>
            <w:pPr>
              <w:pStyle w:val="1005"/>
              <w:ind w:left="57" w:right="57"/>
            </w:pPr>
            <w:r>
              <w:t xml:space="preserve">Может быть изменено пользователем вручную или выбором из справочников:</w:t>
            </w:r>
            <w:r/>
          </w:p>
          <w:p>
            <w:pPr>
              <w:pStyle w:val="1007"/>
            </w:pPr>
            <w:r>
              <w:t xml:space="preserve">СРРПБС (если дата документа </w:t>
            </w:r>
            <w:r>
              <w:t xml:space="preserve">меньше</w:t>
            </w:r>
            <w:r>
              <w:t xml:space="preserve"> значения параметра «Дата завершения перехода на Сводный реестр», и значение поля «Переход на СР» </w:t>
            </w:r>
            <w:r>
              <w:t xml:space="preserve">равно</w:t>
            </w:r>
            <w:r>
              <w:t xml:space="preserve"> 0); </w:t>
            </w:r>
            <w:r/>
          </w:p>
          <w:p>
            <w:pPr>
              <w:pStyle w:val="1007"/>
            </w:pPr>
            <w:r>
              <w:t xml:space="preserve">СР, если дата документа </w:t>
            </w:r>
            <w:r>
              <w:t xml:space="preserve">равна или больше</w:t>
            </w:r>
            <w:r>
              <w:t xml:space="preserve"> значения параметра «Дата завершения перехода на Сводный реестр» или значение поля «Переход на СР» </w:t>
            </w:r>
            <w:r>
              <w:t xml:space="preserve">=</w:t>
            </w:r>
            <w:r>
              <w:t xml:space="preserve"> 1.</w:t>
            </w:r>
            <w:r/>
          </w:p>
          <w:p>
            <w:pPr>
              <w:pStyle w:val="1008"/>
              <w:numPr>
                <w:ilvl w:val="0"/>
                <w:numId w:val="0"/>
              </w:numPr>
            </w:pPr>
            <w:r>
              <w:t xml:space="preserve">Для бюджета отличного от Федерального – поле не заполняется.</w:t>
            </w:r>
            <w:r/>
          </w:p>
          <w:p>
            <w:pPr>
              <w:pStyle w:val="1005"/>
              <w:ind w:left="57" w:right="57"/>
            </w:pPr>
            <w:r>
              <w:t xml:space="preserve">Может заполняться из родительского документа.</w:t>
            </w:r>
            <w:r/>
          </w:p>
        </w:tc>
      </w:tr>
      <w:tr>
        <w:trPr>
          <w:trHeight w:val="70"/>
        </w:trPr>
        <w:tc>
          <w:tcPr>
            <w:shd w:val="clear" w:fill="auto" w:color="auto"/>
            <w:tcW w:w="1140" w:type="pct"/>
            <w:textDirection w:val="lrTb"/>
            <w:noWrap w:val="false"/>
          </w:tcPr>
          <w:p>
            <w:pPr>
              <w:pStyle w:val="1005"/>
              <w:ind w:left="57" w:right="57"/>
            </w:pPr>
            <w:r>
              <w:t xml:space="preserve">П</w:t>
            </w:r>
            <w:r>
              <w:t xml:space="preserve">о ОКПО</w:t>
            </w:r>
            <w:r/>
          </w:p>
        </w:tc>
        <w:tc>
          <w:tcPr>
            <w:shd w:val="clear" w:fill="auto" w:color="auto"/>
            <w:tcW w:w="3860" w:type="pct"/>
            <w:textDirection w:val="lrTb"/>
            <w:noWrap w:val="false"/>
          </w:tcPr>
          <w:p>
            <w:pPr>
              <w:pStyle w:val="1005"/>
              <w:ind w:left="57" w:right="57"/>
            </w:pPr>
            <w:r>
              <w:t xml:space="preserve">Указывается код по ОКПО получателя бюджетных средств. </w:t>
            </w:r>
            <w:r/>
          </w:p>
          <w:p>
            <w:pPr>
              <w:pStyle w:val="1005"/>
              <w:ind w:left="57" w:right="57"/>
            </w:pPr>
            <w:r>
              <w:t xml:space="preserve">Заполняется автоматически из соответствующей ПБС записи справочника СРРПБС/ПУБП (из дополнения)</w:t>
            </w:r>
            <w:r>
              <w:t xml:space="preserve">,</w:t>
            </w:r>
            <w:r>
              <w:t xml:space="preserve"> либо справочника СР.</w:t>
            </w:r>
            <w:r/>
          </w:p>
          <w:p>
            <w:pPr>
              <w:pStyle w:val="1005"/>
              <w:ind w:left="57" w:right="57"/>
            </w:pPr>
            <w:r>
              <w:t xml:space="preserve">Может заполняться из родительского документа.</w:t>
            </w:r>
            <w:r/>
          </w:p>
        </w:tc>
      </w:tr>
      <w:tr>
        <w:trPr>
          <w:trHeight w:val="405"/>
        </w:trPr>
        <w:tc>
          <w:tcPr>
            <w:shd w:val="clear" w:fill="auto" w:color="auto"/>
            <w:tcW w:w="1140" w:type="pct"/>
            <w:textDirection w:val="lrTb"/>
            <w:noWrap w:val="false"/>
          </w:tcPr>
          <w:p>
            <w:pPr>
              <w:pStyle w:val="1005"/>
              <w:ind w:left="57" w:right="57"/>
            </w:pPr>
            <w:r>
              <w:t xml:space="preserve">ГРБС</w:t>
            </w:r>
            <w:r/>
          </w:p>
        </w:tc>
        <w:tc>
          <w:tcPr>
            <w:shd w:val="clear" w:fill="auto" w:color="auto"/>
            <w:tcW w:w="3860" w:type="pct"/>
            <w:textDirection w:val="lrTb"/>
            <w:noWrap w:val="false"/>
          </w:tcPr>
          <w:p>
            <w:pPr>
              <w:pStyle w:val="1005"/>
              <w:ind w:left="57" w:right="57"/>
            </w:pPr>
            <w:r>
              <w:t xml:space="preserve">На</w:t>
            </w:r>
            <w:r>
              <w:t xml:space="preserve"> АРМ ФО: </w:t>
            </w:r>
            <w:r>
              <w:t xml:space="preserve">значение поля подтягивается по «Глава по БК» из </w:t>
            </w:r>
            <w:r>
              <w:t xml:space="preserve">справочн</w:t>
            </w:r>
            <w:r>
              <w:t xml:space="preserve">и</w:t>
            </w:r>
            <w:r>
              <w:t xml:space="preserve">ка «Ведомства»</w:t>
            </w:r>
            <w:r>
              <w:t xml:space="preserve"> из поля «Полное наименование» (в рамках указа</w:t>
            </w:r>
            <w:r>
              <w:t xml:space="preserve">н</w:t>
            </w:r>
            <w:r>
              <w:t xml:space="preserve">ного бюдж</w:t>
            </w:r>
            <w:r>
              <w:t xml:space="preserve">е</w:t>
            </w:r>
            <w:r>
              <w:t xml:space="preserve">та)</w:t>
            </w:r>
            <w:r>
              <w:t xml:space="preserve">.</w:t>
            </w:r>
            <w:r>
              <w:t xml:space="preserve"> </w:t>
            </w:r>
            <w:r/>
          </w:p>
          <w:p>
            <w:pPr>
              <w:pStyle w:val="1005"/>
              <w:ind w:left="57" w:right="57"/>
            </w:pPr>
            <w:r>
              <w:t xml:space="preserve">Значение может быть отредактировано вру</w:t>
            </w:r>
            <w:r>
              <w:t xml:space="preserve">ч</w:t>
            </w:r>
            <w:r>
              <w:t xml:space="preserve">ную.</w:t>
            </w:r>
            <w:r/>
          </w:p>
          <w:p>
            <w:pPr>
              <w:pStyle w:val="1005"/>
              <w:ind w:left="57" w:right="57"/>
            </w:pPr>
            <w:r>
              <w:t xml:space="preserve">Может заполняться из родительского документа</w:t>
            </w:r>
            <w:r>
              <w:t xml:space="preserve">.</w:t>
            </w:r>
            <w:r/>
          </w:p>
        </w:tc>
      </w:tr>
      <w:tr>
        <w:trPr>
          <w:trHeight w:val="405"/>
        </w:trPr>
        <w:tc>
          <w:tcPr>
            <w:shd w:val="clear" w:fill="auto" w:color="auto"/>
            <w:tcW w:w="1140" w:type="pct"/>
            <w:textDirection w:val="lrTb"/>
            <w:noWrap w:val="false"/>
          </w:tcPr>
          <w:p>
            <w:pPr>
              <w:pStyle w:val="1005"/>
              <w:ind w:left="57" w:right="57"/>
            </w:pPr>
            <w:r>
              <w:t xml:space="preserve">Глава по БК</w:t>
            </w:r>
            <w:r/>
          </w:p>
        </w:tc>
        <w:tc>
          <w:tcPr>
            <w:shd w:val="clear" w:fill="auto" w:color="auto"/>
            <w:tcW w:w="3860" w:type="pct"/>
            <w:textDirection w:val="lrTb"/>
            <w:noWrap w:val="false"/>
          </w:tcPr>
          <w:p>
            <w:pPr>
              <w:pStyle w:val="1005"/>
              <w:ind w:left="57" w:right="57"/>
            </w:pPr>
            <w:r>
              <w:t xml:space="preserve">При значении поля «Переход на СР» = 1</w:t>
            </w:r>
            <w:r>
              <w:t xml:space="preserve">з</w:t>
            </w:r>
            <w:r>
              <w:t xml:space="preserve">аполняется значением кода главы по БК записи справочника СР, найденной</w:t>
            </w:r>
            <w:r>
              <w:t xml:space="preserve"> </w:t>
            </w:r>
            <w:r>
              <w:t xml:space="preserve">на основании констант </w:t>
            </w:r>
            <w:r>
              <w:t xml:space="preserve">«Код собственного БУ»</w:t>
            </w:r>
            <w:r>
              <w:t xml:space="preserve"> и </w:t>
            </w:r>
            <w:r>
              <w:t xml:space="preserve">«Код бюджета»</w:t>
            </w:r>
            <w:r>
              <w:t xml:space="preserve">.</w:t>
            </w:r>
            <w:r>
              <w:t xml:space="preserve"> </w:t>
            </w:r>
            <w:r/>
          </w:p>
          <w:p>
            <w:pPr>
              <w:pStyle w:val="1005"/>
              <w:ind w:left="57" w:right="57"/>
            </w:pPr>
            <w:r>
              <w:t xml:space="preserve">При значении поля «Переход на СР» = 0</w:t>
            </w:r>
            <w:r>
              <w:t xml:space="preserve"> </w:t>
            </w:r>
            <w:r>
              <w:t xml:space="preserve">заполняется автоматически из системной константы.</w:t>
            </w:r>
            <w:r>
              <w:t xml:space="preserve"> </w:t>
            </w:r>
            <w:r>
              <w:t xml:space="preserve">Может быть отредактировано вручную, либо выбором из </w:t>
            </w:r>
            <w:r>
              <w:t xml:space="preserve">справочника «Ведомства»</w:t>
            </w:r>
            <w:r>
              <w:t xml:space="preserve"> (с учетом бюджета).</w:t>
            </w:r>
            <w:r>
              <w:t xml:space="preserve"> </w:t>
            </w:r>
            <w:r/>
          </w:p>
        </w:tc>
      </w:tr>
      <w:tr>
        <w:trPr>
          <w:trHeight w:val="165"/>
        </w:trPr>
        <w:tc>
          <w:tcPr>
            <w:shd w:val="clear" w:fill="auto" w:color="auto"/>
            <w:tcW w:w="1140" w:type="pct"/>
            <w:textDirection w:val="lrTb"/>
            <w:noWrap w:val="false"/>
          </w:tcPr>
          <w:p>
            <w:pPr>
              <w:pStyle w:val="1005"/>
              <w:ind w:left="57" w:right="57"/>
            </w:pPr>
            <w:r>
              <w:t xml:space="preserve">Бюджет</w:t>
            </w:r>
            <w:r/>
          </w:p>
        </w:tc>
        <w:tc>
          <w:tcPr>
            <w:shd w:val="clear" w:fill="auto" w:color="auto"/>
            <w:tcW w:w="3860" w:type="pct"/>
            <w:textDirection w:val="lrTb"/>
            <w:noWrap w:val="false"/>
          </w:tcPr>
          <w:p>
            <w:pPr>
              <w:pStyle w:val="1005"/>
              <w:ind w:left="57" w:right="57"/>
            </w:pPr>
            <w:r>
              <w:t xml:space="preserve">Заполняется автоматически по коду бюджета полным наименованием из </w:t>
            </w:r>
            <w:r>
              <w:t xml:space="preserve">справочника «Бюджеты»</w:t>
            </w:r>
            <w:r>
              <w:t xml:space="preserve">. Может быть отредактировано вручную или выб</w:t>
            </w:r>
            <w:r>
              <w:t xml:space="preserve">и</w:t>
            </w:r>
            <w:r>
              <w:t xml:space="preserve">рается из </w:t>
            </w:r>
            <w:r>
              <w:t xml:space="preserve">справочника «Бюджеты»</w:t>
            </w:r>
            <w:r>
              <w:t xml:space="preserve">.</w:t>
            </w:r>
            <w:r/>
          </w:p>
          <w:p>
            <w:pPr>
              <w:pStyle w:val="1005"/>
              <w:ind w:left="57" w:right="57"/>
            </w:pPr>
            <w:r>
              <w:t xml:space="preserve">Может заполняться из родительского документа</w:t>
            </w:r>
            <w:r>
              <w:t xml:space="preserve">.</w:t>
            </w:r>
            <w:r/>
          </w:p>
        </w:tc>
      </w:tr>
      <w:tr>
        <w:trPr>
          <w:trHeight w:val="165"/>
        </w:trPr>
        <w:tc>
          <w:tcPr>
            <w:shd w:val="clear" w:fill="auto" w:color="auto"/>
            <w:tcW w:w="1140" w:type="pct"/>
            <w:textDirection w:val="lrTb"/>
            <w:noWrap w:val="false"/>
          </w:tcPr>
          <w:p>
            <w:pPr>
              <w:pStyle w:val="1005"/>
              <w:ind w:left="57" w:right="57"/>
            </w:pPr>
            <w:r>
              <w:t xml:space="preserve">Код по ОКТМО</w:t>
            </w:r>
            <w:r/>
          </w:p>
        </w:tc>
        <w:tc>
          <w:tcPr>
            <w:shd w:val="clear" w:fill="auto" w:color="auto"/>
            <w:tcW w:w="3860" w:type="pct"/>
            <w:textDirection w:val="lrTb"/>
            <w:noWrap w:val="false"/>
          </w:tcPr>
          <w:p>
            <w:pPr>
              <w:pStyle w:val="1005"/>
              <w:ind w:left="57" w:right="57"/>
            </w:pPr>
            <w:r>
              <w:t xml:space="preserve">Значение вводится вручную.</w:t>
            </w:r>
            <w:r/>
          </w:p>
          <w:p>
            <w:pPr>
              <w:pStyle w:val="1005"/>
              <w:ind w:left="57" w:right="57"/>
            </w:pPr>
            <w:r>
              <w:t xml:space="preserve">Если значение вводится на АРМ ОФК, то значение вводится вручную</w:t>
            </w:r>
            <w:r>
              <w:t xml:space="preserve">.</w:t>
            </w:r>
            <w:r/>
          </w:p>
        </w:tc>
      </w:tr>
      <w:tr>
        <w:trPr>
          <w:trHeight w:val="897"/>
        </w:trPr>
        <w:tc>
          <w:tcPr>
            <w:shd w:val="clear" w:fill="auto" w:color="auto"/>
            <w:tcW w:w="1140" w:type="pct"/>
            <w:textDirection w:val="lrTb"/>
            <w:noWrap w:val="false"/>
          </w:tcPr>
          <w:p>
            <w:pPr>
              <w:pStyle w:val="1005"/>
              <w:ind w:left="57" w:right="57"/>
            </w:pPr>
            <w:r>
              <w:t xml:space="preserve">Финорган</w:t>
            </w:r>
            <w:r/>
          </w:p>
        </w:tc>
        <w:tc>
          <w:tcPr>
            <w:shd w:val="clear" w:fill="auto" w:color="auto"/>
            <w:tcW w:w="3860" w:type="pct"/>
            <w:textDirection w:val="lrTb"/>
            <w:noWrap w:val="false"/>
          </w:tcPr>
          <w:p>
            <w:pPr>
              <w:pStyle w:val="1005"/>
              <w:ind w:left="57" w:right="57"/>
            </w:pPr>
            <w:r>
              <w:t xml:space="preserve">Заполняется автоматически по коду полным наименованием из </w:t>
            </w:r>
            <w:r>
              <w:t xml:space="preserve">справочн</w:t>
            </w:r>
            <w:r>
              <w:t xml:space="preserve">и</w:t>
            </w:r>
            <w:r>
              <w:t xml:space="preserve">ка «Финансовые органы»</w:t>
            </w:r>
            <w:r>
              <w:t xml:space="preserve">. Может быть отредактировано вручную или выбирается из </w:t>
            </w:r>
            <w:r>
              <w:t xml:space="preserve">справочника «Финансовые органы»</w:t>
            </w:r>
            <w:r>
              <w:t xml:space="preserve">.</w:t>
            </w:r>
            <w:r/>
          </w:p>
          <w:p>
            <w:pPr>
              <w:pStyle w:val="1005"/>
              <w:ind w:left="57" w:right="57"/>
            </w:pPr>
            <w:r>
              <w:t xml:space="preserve">Может заполняться из родительского документа</w:t>
            </w:r>
            <w:r>
              <w:t xml:space="preserve">.</w:t>
            </w:r>
            <w:r/>
          </w:p>
        </w:tc>
      </w:tr>
      <w:tr>
        <w:trPr>
          <w:trHeight w:val="837"/>
        </w:trPr>
        <w:tc>
          <w:tcPr>
            <w:shd w:val="clear" w:fill="auto" w:color="auto"/>
            <w:tcW w:w="1140" w:type="pct"/>
            <w:textDirection w:val="lrTb"/>
            <w:noWrap w:val="false"/>
          </w:tcPr>
          <w:p>
            <w:pPr>
              <w:pStyle w:val="1005"/>
              <w:ind w:left="57" w:right="57"/>
            </w:pPr>
            <w:r>
              <w:t xml:space="preserve">П</w:t>
            </w:r>
            <w:r>
              <w:t xml:space="preserve">о ОКПО</w:t>
            </w:r>
            <w:r/>
          </w:p>
        </w:tc>
        <w:tc>
          <w:tcPr>
            <w:shd w:val="clear" w:fill="auto" w:color="auto"/>
            <w:tcW w:w="3860" w:type="pct"/>
            <w:textDirection w:val="lrTb"/>
            <w:noWrap w:val="false"/>
          </w:tcPr>
          <w:p>
            <w:pPr>
              <w:pStyle w:val="1005"/>
              <w:ind w:left="57" w:right="57"/>
            </w:pPr>
            <w:r>
              <w:t xml:space="preserve">Заполняется автоматически из справочника «Финансовые органы» по н</w:t>
            </w:r>
            <w:r>
              <w:t xml:space="preserve">а</w:t>
            </w:r>
            <w:r>
              <w:t xml:space="preserve">именованию финансового органа.</w:t>
            </w:r>
            <w:r/>
          </w:p>
          <w:p>
            <w:pPr>
              <w:pStyle w:val="1005"/>
              <w:ind w:left="57" w:right="57"/>
            </w:pPr>
            <w:r>
              <w:t xml:space="preserve">Может быть отредактировано вручную.</w:t>
            </w:r>
            <w:r/>
          </w:p>
          <w:p>
            <w:pPr>
              <w:pStyle w:val="1005"/>
              <w:ind w:left="57" w:right="57"/>
            </w:pPr>
            <w:r>
              <w:t xml:space="preserve">Может заполняться из родительского документа.</w:t>
            </w:r>
            <w:r/>
          </w:p>
        </w:tc>
      </w:tr>
      <w:tr>
        <w:trPr>
          <w:trHeight w:val="165"/>
        </w:trPr>
        <w:tc>
          <w:tcPr>
            <w:shd w:val="clear" w:fill="auto" w:color="auto"/>
            <w:tcW w:w="1140" w:type="pct"/>
            <w:textDirection w:val="lrTb"/>
            <w:noWrap w:val="false"/>
          </w:tcPr>
          <w:p>
            <w:pPr>
              <w:pStyle w:val="1005"/>
              <w:ind w:left="57" w:right="57"/>
            </w:pPr>
            <w:r>
              <w:t xml:space="preserve">Орган ФК</w:t>
            </w:r>
            <w:r/>
          </w:p>
        </w:tc>
        <w:tc>
          <w:tcPr>
            <w:shd w:val="clear" w:fill="auto" w:color="auto"/>
            <w:tcW w:w="3860" w:type="pct"/>
            <w:textDirection w:val="lrTb"/>
            <w:noWrap w:val="false"/>
          </w:tcPr>
          <w:p>
            <w:pPr>
              <w:pStyle w:val="1005"/>
              <w:ind w:left="57" w:right="57"/>
            </w:pPr>
            <w:r>
              <w:t xml:space="preserve">Значение подтягивается автоматически после заполнения поля КОФК.</w:t>
            </w:r>
            <w:r/>
          </w:p>
          <w:p>
            <w:pPr>
              <w:pStyle w:val="1005"/>
              <w:ind w:left="57" w:right="57"/>
            </w:pPr>
            <w:r>
              <w:t xml:space="preserve">Может быть отредактировано вручную.</w:t>
            </w:r>
            <w:r/>
          </w:p>
          <w:p>
            <w:pPr>
              <w:pStyle w:val="1005"/>
              <w:ind w:left="57" w:right="57"/>
            </w:pPr>
            <w:r>
              <w:t xml:space="preserve">Может заполняться из родительского документа.</w:t>
            </w:r>
            <w:r/>
          </w:p>
        </w:tc>
      </w:tr>
      <w:tr>
        <w:trPr>
          <w:trHeight w:val="165"/>
        </w:trPr>
        <w:tc>
          <w:tcPr>
            <w:shd w:val="clear" w:fill="auto" w:color="auto"/>
            <w:tcW w:w="1140" w:type="pct"/>
            <w:textDirection w:val="lrTb"/>
            <w:noWrap w:val="false"/>
          </w:tcPr>
          <w:p>
            <w:pPr>
              <w:pStyle w:val="1005"/>
              <w:ind w:left="57" w:right="57"/>
            </w:pPr>
            <w:r>
              <w:t xml:space="preserve">П</w:t>
            </w:r>
            <w:r>
              <w:t xml:space="preserve">о КОФК</w:t>
            </w:r>
            <w:r/>
          </w:p>
        </w:tc>
        <w:tc>
          <w:tcPr>
            <w:shd w:val="clear" w:fill="auto" w:color="auto"/>
            <w:tcW w:w="3860" w:type="pct"/>
            <w:textDirection w:val="lrTb"/>
            <w:noWrap w:val="false"/>
          </w:tcPr>
          <w:p>
            <w:pPr>
              <w:pStyle w:val="1005"/>
              <w:ind w:left="57" w:right="57"/>
            </w:pPr>
            <w:r>
              <w:t xml:space="preserve">Если значение вводится на АРМ ПБС или АРМ ФО: проверяется значение константы</w:t>
            </w:r>
            <w:r>
              <w:t xml:space="preserve"> </w:t>
            </w:r>
            <w:r>
              <w:t xml:space="preserve">код собственного ТОФК. Если оно равно ххуу, то по умолч</w:t>
            </w:r>
            <w:r>
              <w:t xml:space="preserve">а</w:t>
            </w:r>
            <w:r>
              <w:t xml:space="preserve">нию проставляется значение константы код вышестоящего ТОФК равный хх00; если равна хх00, то по умолчанию проставляется значение код собс</w:t>
            </w:r>
            <w:r>
              <w:t xml:space="preserve">т</w:t>
            </w:r>
            <w:r>
              <w:t xml:space="preserve">венн</w:t>
            </w:r>
            <w:r>
              <w:t xml:space="preserve">о</w:t>
            </w:r>
            <w:r>
              <w:t xml:space="preserve">го ТОФК. </w:t>
            </w:r>
            <w:r/>
          </w:p>
          <w:p>
            <w:pPr>
              <w:pStyle w:val="1005"/>
              <w:ind w:left="57" w:right="57"/>
            </w:pPr>
            <w:r>
              <w:t xml:space="preserve">Может быть изменено пользователем вручную или выбором из справочн</w:t>
            </w:r>
            <w:r>
              <w:t xml:space="preserve">и</w:t>
            </w:r>
            <w:r>
              <w:t xml:space="preserve">ка КОФК (Органы ФК).</w:t>
            </w:r>
            <w:r/>
          </w:p>
          <w:p>
            <w:pPr>
              <w:pStyle w:val="1005"/>
              <w:ind w:left="57" w:right="57"/>
            </w:pPr>
            <w:r>
              <w:t xml:space="preserve">Может заполняться из родительского документа</w:t>
            </w:r>
            <w:r>
              <w:t xml:space="preserve">.</w:t>
            </w:r>
            <w:r/>
          </w:p>
        </w:tc>
      </w:tr>
      <w:tr>
        <w:trPr>
          <w:trHeight w:val="165"/>
        </w:trPr>
        <w:tc>
          <w:tcPr>
            <w:shd w:val="clear" w:fill="auto" w:color="auto"/>
            <w:tcW w:w="1140" w:type="pct"/>
            <w:textDirection w:val="lrTb"/>
            <w:noWrap w:val="false"/>
          </w:tcPr>
          <w:p>
            <w:pPr>
              <w:pStyle w:val="1005"/>
              <w:ind w:left="57" w:right="57"/>
            </w:pPr>
            <w:r>
              <w:t xml:space="preserve">Направление Свед</w:t>
            </w:r>
            <w:r>
              <w:t xml:space="preserve">е</w:t>
            </w:r>
            <w:r>
              <w:t xml:space="preserve">ния о БО по секре</w:t>
            </w:r>
            <w:r>
              <w:t xml:space="preserve">т</w:t>
            </w:r>
            <w:r>
              <w:t xml:space="preserve">ному ГК</w:t>
            </w:r>
            <w:r/>
          </w:p>
        </w:tc>
        <w:tc>
          <w:tcPr>
            <w:shd w:val="clear" w:fill="auto" w:color="auto"/>
            <w:tcW w:w="3860" w:type="pct"/>
            <w:textDirection w:val="lrTb"/>
            <w:noWrap w:val="false"/>
          </w:tcPr>
          <w:p>
            <w:pPr>
              <w:pStyle w:val="1005"/>
              <w:ind w:left="57" w:right="57"/>
            </w:pPr>
            <w:r>
              <w:t xml:space="preserve">Чекбокс. По умолчанию значение не установлено.</w:t>
            </w:r>
            <w:r/>
          </w:p>
        </w:tc>
      </w:tr>
      <w:tr>
        <w:trPr>
          <w:trHeight w:val="165"/>
        </w:trPr>
        <w:tc>
          <w:tcPr>
            <w:gridSpan w:val="2"/>
            <w:shd w:val="clear" w:fill="auto" w:color="auto"/>
            <w:tcW w:w="5000" w:type="pct"/>
            <w:textDirection w:val="lrTb"/>
            <w:noWrap w:val="false"/>
          </w:tcPr>
          <w:p>
            <w:pPr>
              <w:pStyle w:val="1005"/>
              <w:ind w:left="57" w:right="57"/>
            </w:pPr>
            <w:r>
              <w:t xml:space="preserve">Группа полей «Раздел 1. Реквизиты документа-основания»</w:t>
            </w:r>
            <w:r/>
          </w:p>
        </w:tc>
      </w:tr>
      <w:tr>
        <w:trPr/>
        <w:tc>
          <w:tcPr>
            <w:shd w:val="clear" w:fill="auto" w:color="auto"/>
            <w:tcW w:w="1140" w:type="pct"/>
            <w:textDirection w:val="lrTb"/>
            <w:noWrap w:val="false"/>
          </w:tcPr>
          <w:p>
            <w:pPr>
              <w:pStyle w:val="1005"/>
              <w:ind w:left="57" w:right="57"/>
            </w:pPr>
            <w:r>
              <w:t xml:space="preserve">Вид</w:t>
            </w:r>
            <w:r/>
          </w:p>
        </w:tc>
        <w:tc>
          <w:tcPr>
            <w:shd w:val="clear" w:fill="auto" w:color="auto"/>
            <w:tcW w:w="3860" w:type="pct"/>
            <w:textDirection w:val="lrTb"/>
            <w:noWrap w:val="false"/>
          </w:tcPr>
          <w:p>
            <w:pPr>
              <w:pStyle w:val="1005"/>
              <w:ind w:left="57" w:right="57"/>
            </w:pPr>
            <w:r>
              <w:t xml:space="preserve">Наименование вида документа-основания.</w:t>
            </w:r>
            <w:r/>
          </w:p>
          <w:p>
            <w:pPr>
              <w:pStyle w:val="1005"/>
              <w:ind w:left="57" w:right="57"/>
            </w:pPr>
            <w:r>
              <w:t xml:space="preserve">Значение выбирается из списка (на форму подтягивается и участвует в интеграции только наименование): </w:t>
            </w:r>
            <w:r/>
          </w:p>
          <w:p>
            <w:pPr>
              <w:pStyle w:val="1007"/>
            </w:pPr>
            <w:r>
              <w:t xml:space="preserve">пустое;</w:t>
            </w:r>
            <w:r/>
          </w:p>
          <w:p>
            <w:pPr>
              <w:pStyle w:val="1007"/>
            </w:pPr>
            <w:r>
              <w:t xml:space="preserve">«контракт»;</w:t>
            </w:r>
            <w:r/>
          </w:p>
          <w:p>
            <w:pPr>
              <w:pStyle w:val="1007"/>
            </w:pPr>
            <w:r>
              <w:t xml:space="preserve">«проект контракта»;</w:t>
            </w:r>
            <w:r/>
          </w:p>
          <w:p>
            <w:pPr>
              <w:pStyle w:val="1007"/>
            </w:pPr>
            <w:r>
              <w:t xml:space="preserve">«договор»;</w:t>
            </w:r>
            <w:r/>
          </w:p>
          <w:p>
            <w:pPr>
              <w:pStyle w:val="1007"/>
            </w:pPr>
            <w:r>
              <w:t xml:space="preserve">«соглашение»;</w:t>
            </w:r>
            <w:r/>
          </w:p>
          <w:p>
            <w:pPr>
              <w:pStyle w:val="1007"/>
            </w:pPr>
            <w:r>
              <w:t xml:space="preserve">«нормативный правовой акт»;</w:t>
            </w:r>
            <w:r/>
          </w:p>
          <w:p>
            <w:pPr>
              <w:pStyle w:val="1007"/>
            </w:pPr>
            <w:r>
              <w:t xml:space="preserve">«исполнительный документ»;</w:t>
            </w:r>
            <w:r/>
          </w:p>
          <w:p>
            <w:pPr>
              <w:pStyle w:val="1007"/>
            </w:pPr>
            <w:r>
              <w:t xml:space="preserve">«решение налогового органа»;</w:t>
            </w:r>
            <w:r/>
          </w:p>
          <w:p>
            <w:pPr>
              <w:pStyle w:val="1007"/>
            </w:pPr>
            <w:r>
              <w:t xml:space="preserve">«извещение об осуществлении закупки»;</w:t>
            </w:r>
            <w:r/>
          </w:p>
          <w:p>
            <w:pPr>
              <w:pStyle w:val="1007"/>
            </w:pPr>
            <w:r>
              <w:t xml:space="preserve">«приглашение принять участие в определении поставщика (подрядчика, исполнителя)»;</w:t>
            </w:r>
            <w:r/>
          </w:p>
          <w:p>
            <w:pPr>
              <w:pStyle w:val="1007"/>
            </w:pPr>
            <w:r>
              <w:t xml:space="preserve">«иное основание».</w:t>
            </w:r>
            <w:r/>
          </w:p>
          <w:p>
            <w:pPr>
              <w:pStyle w:val="1005"/>
              <w:ind w:left="57" w:right="57"/>
            </w:pPr>
            <w:r>
              <w:t xml:space="preserve">По умолчанию поле пустое.</w:t>
            </w:r>
            <w:r/>
          </w:p>
          <w:p>
            <w:pPr>
              <w:pStyle w:val="1005"/>
              <w:ind w:left="57" w:right="57"/>
            </w:pPr>
            <w:r>
              <w:t xml:space="preserve">Может заполняться из родительского документа.</w:t>
            </w:r>
            <w:r/>
          </w:p>
        </w:tc>
      </w:tr>
      <w:tr>
        <w:trPr/>
        <w:tc>
          <w:tcPr>
            <w:shd w:val="clear" w:fill="auto" w:color="auto"/>
            <w:tcW w:w="1140" w:type="pct"/>
            <w:textDirection w:val="lrTb"/>
            <w:noWrap w:val="false"/>
          </w:tcPr>
          <w:p>
            <w:pPr>
              <w:pStyle w:val="1005"/>
              <w:ind w:left="57" w:right="57"/>
            </w:pPr>
            <w:r>
              <w:t xml:space="preserve">Номер</w:t>
            </w:r>
            <w:r/>
          </w:p>
        </w:tc>
        <w:tc>
          <w:tcPr>
            <w:shd w:val="clear" w:fill="auto" w:color="auto"/>
            <w:tcW w:w="3860" w:type="pct"/>
            <w:textDirection w:val="lrTb"/>
            <w:noWrap w:val="false"/>
          </w:tcPr>
          <w:p>
            <w:pPr>
              <w:pStyle w:val="1005"/>
              <w:ind w:left="57" w:right="57"/>
            </w:pPr>
            <w:r>
              <w:t xml:space="preserve">Значение вводится вручную.</w:t>
            </w:r>
            <w:r/>
          </w:p>
          <w:p>
            <w:pPr>
              <w:pStyle w:val="1005"/>
              <w:ind w:left="57" w:right="57"/>
            </w:pPr>
            <w:r>
              <w:t xml:space="preserve">Может заполняться из родительского документа</w:t>
            </w:r>
            <w:r>
              <w:t xml:space="preserve">.</w:t>
            </w:r>
            <w:r/>
          </w:p>
        </w:tc>
      </w:tr>
      <w:tr>
        <w:trPr/>
        <w:tc>
          <w:tcPr>
            <w:shd w:val="clear" w:fill="auto" w:color="auto"/>
            <w:tcW w:w="1140" w:type="pct"/>
            <w:textDirection w:val="lrTb"/>
            <w:noWrap w:val="false"/>
          </w:tcPr>
          <w:p>
            <w:pPr>
              <w:pStyle w:val="1005"/>
              <w:ind w:left="57" w:right="57"/>
            </w:pPr>
            <w:r>
              <w:t xml:space="preserve">Дата</w:t>
            </w:r>
            <w:r/>
          </w:p>
        </w:tc>
        <w:tc>
          <w:tcPr>
            <w:shd w:val="clear" w:fill="auto" w:color="auto"/>
            <w:tcW w:w="3860" w:type="pct"/>
            <w:textDirection w:val="lrTb"/>
            <w:noWrap w:val="false"/>
          </w:tcPr>
          <w:p>
            <w:pPr>
              <w:pStyle w:val="1005"/>
              <w:ind w:left="57" w:right="57"/>
            </w:pPr>
            <w:r>
              <w:t xml:space="preserve">Значение вводится вручную или выбирается из системного календаря.</w:t>
            </w:r>
            <w:r/>
          </w:p>
          <w:p>
            <w:pPr>
              <w:pStyle w:val="1005"/>
              <w:ind w:left="57" w:right="57"/>
            </w:pPr>
            <w:r>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r/>
          </w:p>
          <w:p>
            <w:pPr>
              <w:pStyle w:val="1005"/>
              <w:ind w:left="57" w:right="57"/>
            </w:pPr>
            <w:r>
              <w:t xml:space="preserve">Может заполняться из родительского документа.</w:t>
            </w:r>
            <w:r/>
          </w:p>
        </w:tc>
      </w:tr>
      <w:tr>
        <w:trPr/>
        <w:tc>
          <w:tcPr>
            <w:shd w:val="clear" w:fill="auto" w:color="auto"/>
            <w:tcW w:w="1140" w:type="pct"/>
            <w:textDirection w:val="lrTb"/>
            <w:noWrap w:val="false"/>
          </w:tcPr>
          <w:p>
            <w:pPr>
              <w:pStyle w:val="1005"/>
              <w:ind w:left="57" w:right="57"/>
            </w:pPr>
            <w:r>
              <w:t xml:space="preserve">Наименование</w:t>
            </w:r>
            <w:r/>
          </w:p>
        </w:tc>
        <w:tc>
          <w:tcPr>
            <w:shd w:val="clear" w:fill="auto" w:color="auto"/>
            <w:tcW w:w="3860" w:type="pct"/>
            <w:textDirection w:val="lrTb"/>
            <w:noWrap w:val="false"/>
          </w:tcPr>
          <w:p>
            <w:pPr>
              <w:pStyle w:val="1005"/>
              <w:ind w:left="57" w:right="57"/>
            </w:pPr>
            <w:r>
              <w:t xml:space="preserve">Значение вводится вручную.</w:t>
            </w:r>
            <w:r/>
          </w:p>
          <w:p>
            <w:pPr>
              <w:pStyle w:val="1005"/>
              <w:ind w:left="57" w:right="57"/>
            </w:pPr>
            <w:r>
              <w:t xml:space="preserve">Может заполняться из родительского документа</w:t>
            </w:r>
            <w:r>
              <w:t xml:space="preserve">.</w:t>
            </w:r>
            <w:r/>
          </w:p>
        </w:tc>
      </w:tr>
      <w:tr>
        <w:trPr/>
        <w:tc>
          <w:tcPr>
            <w:shd w:val="clear" w:fill="auto" w:color="auto"/>
            <w:tcW w:w="1140" w:type="pct"/>
            <w:textDirection w:val="lrTb"/>
            <w:noWrap w:val="false"/>
          </w:tcPr>
          <w:p>
            <w:pPr>
              <w:pStyle w:val="1005"/>
              <w:ind w:left="57" w:right="57"/>
            </w:pPr>
            <w:r>
              <w:t xml:space="preserve">Предмет</w:t>
            </w:r>
            <w:r/>
          </w:p>
        </w:tc>
        <w:tc>
          <w:tcPr>
            <w:shd w:val="clear" w:fill="auto" w:color="auto"/>
            <w:tcW w:w="3860" w:type="pct"/>
            <w:textDirection w:val="lrTb"/>
            <w:noWrap w:val="false"/>
          </w:tcPr>
          <w:p>
            <w:pPr>
              <w:pStyle w:val="1005"/>
              <w:ind w:left="57" w:right="57"/>
            </w:pPr>
            <w:r>
              <w:t xml:space="preserve">Значение вводится вручную.</w:t>
            </w:r>
            <w:r/>
          </w:p>
          <w:p>
            <w:pPr>
              <w:pStyle w:val="1005"/>
              <w:ind w:left="57" w:right="57"/>
            </w:pPr>
            <w:r>
              <w:t xml:space="preserve">Может заполняться из родительского документа</w:t>
            </w:r>
            <w:r>
              <w:t xml:space="preserve">.</w:t>
            </w:r>
            <w:r/>
          </w:p>
        </w:tc>
      </w:tr>
      <w:tr>
        <w:trPr/>
        <w:tc>
          <w:tcPr>
            <w:shd w:val="clear" w:fill="auto" w:color="auto"/>
            <w:tcW w:w="1140" w:type="pct"/>
            <w:textDirection w:val="lrTb"/>
            <w:noWrap w:val="false"/>
          </w:tcPr>
          <w:p>
            <w:pPr>
              <w:pStyle w:val="1005"/>
              <w:ind w:left="57" w:right="57"/>
            </w:pPr>
            <w:r>
              <w:t xml:space="preserve">Основание для невключения в РК</w:t>
            </w:r>
            <w:r/>
          </w:p>
        </w:tc>
        <w:tc>
          <w:tcPr>
            <w:shd w:val="clear" w:fill="auto" w:color="auto"/>
            <w:tcW w:w="3860" w:type="pct"/>
            <w:textDirection w:val="lrTb"/>
            <w:noWrap w:val="false"/>
          </w:tcPr>
          <w:p>
            <w:pPr>
              <w:pStyle w:val="1005"/>
              <w:ind w:left="57" w:right="57"/>
            </w:pPr>
            <w:r>
              <w:t xml:space="preserve">Основание для не</w:t>
            </w:r>
            <w:r>
              <w:t xml:space="preserve"> </w:t>
            </w:r>
            <w:r>
              <w:t xml:space="preserve">включения</w:t>
            </w:r>
            <w:r>
              <w:t xml:space="preserve">.</w:t>
            </w:r>
            <w:r/>
          </w:p>
          <w:p>
            <w:pPr>
              <w:pStyle w:val="1005"/>
              <w:ind w:left="57" w:right="57"/>
            </w:pPr>
            <w:r>
              <w:t xml:space="preserve">Значение вводится вручную.</w:t>
            </w:r>
            <w:r/>
          </w:p>
          <w:p>
            <w:pPr>
              <w:pStyle w:val="1005"/>
              <w:ind w:left="57" w:right="57"/>
            </w:pPr>
            <w:r>
              <w:t xml:space="preserve">Может заполняться из родительского документа</w:t>
            </w:r>
            <w:r>
              <w:t xml:space="preserve">.</w:t>
            </w:r>
            <w:r/>
          </w:p>
        </w:tc>
      </w:tr>
      <w:tr>
        <w:trPr/>
        <w:tc>
          <w:tcPr>
            <w:shd w:val="clear" w:fill="auto" w:color="auto"/>
            <w:tcW w:w="1140" w:type="pct"/>
            <w:textDirection w:val="lrTb"/>
            <w:noWrap w:val="false"/>
          </w:tcPr>
          <w:p>
            <w:pPr>
              <w:pStyle w:val="1005"/>
              <w:ind w:left="57" w:right="57"/>
            </w:pPr>
            <w:r>
              <w:t xml:space="preserve">Номер уведомления</w:t>
            </w:r>
            <w:r/>
          </w:p>
        </w:tc>
        <w:tc>
          <w:tcPr>
            <w:shd w:val="clear" w:fill="auto" w:color="auto"/>
            <w:tcW w:w="3860" w:type="pct"/>
            <w:textDirection w:val="lrTb"/>
            <w:noWrap w:val="false"/>
          </w:tcPr>
          <w:p>
            <w:pPr>
              <w:pStyle w:val="1005"/>
              <w:ind w:left="57" w:right="57"/>
            </w:pPr>
            <w:r>
              <w:t xml:space="preserve">Номер уведомления о поступлении исполнительного документа / решения налогового органа</w:t>
            </w:r>
            <w:r>
              <w:t xml:space="preserve">.</w:t>
            </w:r>
            <w:r/>
          </w:p>
          <w:p>
            <w:pPr>
              <w:pStyle w:val="1005"/>
              <w:ind w:left="57" w:right="57"/>
            </w:pPr>
            <w:r>
              <w:t xml:space="preserve">Значение вводится вручную.</w:t>
            </w:r>
            <w:r/>
          </w:p>
          <w:p>
            <w:pPr>
              <w:pStyle w:val="1005"/>
              <w:ind w:left="57" w:right="57"/>
            </w:pPr>
            <w:r>
              <w:t xml:space="preserve">Может заполняться из родительского документа</w:t>
            </w:r>
            <w:r>
              <w:t xml:space="preserve">.</w:t>
            </w:r>
            <w:r/>
          </w:p>
        </w:tc>
      </w:tr>
      <w:tr>
        <w:trPr/>
        <w:tc>
          <w:tcPr>
            <w:shd w:val="clear" w:fill="auto" w:color="auto"/>
            <w:tcW w:w="1140" w:type="pct"/>
            <w:textDirection w:val="lrTb"/>
            <w:noWrap w:val="false"/>
          </w:tcPr>
          <w:p>
            <w:pPr>
              <w:pStyle w:val="1005"/>
              <w:ind w:left="57" w:right="57"/>
            </w:pPr>
            <w:r>
              <w:t xml:space="preserve">Дата уведомления</w:t>
            </w:r>
            <w:r/>
          </w:p>
        </w:tc>
        <w:tc>
          <w:tcPr>
            <w:shd w:val="clear" w:fill="auto" w:color="auto"/>
            <w:tcW w:w="3860" w:type="pct"/>
            <w:textDirection w:val="lrTb"/>
            <w:noWrap w:val="false"/>
          </w:tcPr>
          <w:p>
            <w:pPr>
              <w:pStyle w:val="1005"/>
              <w:ind w:left="57" w:right="57"/>
            </w:pPr>
            <w:r>
              <w:t xml:space="preserve">Дата </w:t>
            </w:r>
            <w:r>
              <w:t xml:space="preserve">уведомления о поступлении исполнительного документа / решения н</w:t>
            </w:r>
            <w:r>
              <w:t xml:space="preserve">а</w:t>
            </w:r>
            <w:r>
              <w:t xml:space="preserve">логового органа</w:t>
            </w:r>
            <w:r>
              <w:t xml:space="preserve">.</w:t>
            </w:r>
            <w:r/>
          </w:p>
          <w:p>
            <w:pPr>
              <w:pStyle w:val="1005"/>
              <w:ind w:left="57" w:right="57"/>
            </w:pPr>
            <w:r>
              <w:t xml:space="preserve">Значение вводится вручную или выбирается из системного календаря</w:t>
            </w:r>
            <w:r>
              <w:t xml:space="preserve">.</w:t>
            </w:r>
            <w:r/>
          </w:p>
          <w:p>
            <w:pPr>
              <w:pStyle w:val="1005"/>
              <w:ind w:left="57" w:right="57"/>
            </w:pPr>
            <w:r>
              <w:t xml:space="preserve">Может заполняться из родительского документа</w:t>
            </w:r>
            <w:r>
              <w:t xml:space="preserve">.</w:t>
            </w:r>
            <w:r/>
          </w:p>
        </w:tc>
      </w:tr>
      <w:tr>
        <w:trPr/>
        <w:tc>
          <w:tcPr>
            <w:shd w:val="clear" w:fill="auto" w:color="auto"/>
            <w:tcW w:w="1140" w:type="pct"/>
            <w:textDirection w:val="lrTb"/>
            <w:noWrap w:val="false"/>
          </w:tcPr>
          <w:p>
            <w:pPr>
              <w:pStyle w:val="1005"/>
              <w:ind w:left="57" w:right="57"/>
            </w:pPr>
            <w:r>
              <w:t xml:space="preserve">Сумма в рублях</w:t>
            </w:r>
            <w:r/>
          </w:p>
        </w:tc>
        <w:tc>
          <w:tcPr>
            <w:shd w:val="clear" w:fill="auto" w:color="auto"/>
            <w:tcW w:w="3860" w:type="pct"/>
            <w:textDirection w:val="lrTb"/>
            <w:noWrap w:val="false"/>
          </w:tcPr>
          <w:p>
            <w:pPr>
              <w:pStyle w:val="1005"/>
              <w:ind w:left="57" w:right="57"/>
            </w:pPr>
            <w:r>
              <w:t xml:space="preserve">На АРМ УБП: автоматически заполняется значением, равным значению п</w:t>
            </w:r>
            <w:r>
              <w:t xml:space="preserve">о</w:t>
            </w:r>
            <w:r>
              <w:t xml:space="preserve">ля «Сумма в валюте БО», если заполнены поля «Сумма в валюте БО» и «Валюта», и в поле «Валюта» указано значение «643» или «RUB».</w:t>
            </w:r>
            <w:r/>
          </w:p>
          <w:p>
            <w:pPr>
              <w:pStyle w:val="1005"/>
              <w:ind w:left="57" w:right="57"/>
            </w:pPr>
            <w:r>
              <w:t xml:space="preserve">Возможно заполнение значение вручную.</w:t>
            </w:r>
            <w:r/>
          </w:p>
          <w:p>
            <w:pPr>
              <w:pStyle w:val="1005"/>
              <w:ind w:left="57" w:right="57"/>
            </w:pPr>
            <w:r>
              <w:t xml:space="preserve">Может заполняться из родительского документа</w:t>
            </w:r>
            <w:r>
              <w:t xml:space="preserve">.</w:t>
            </w:r>
            <w:r/>
          </w:p>
        </w:tc>
      </w:tr>
      <w:tr>
        <w:trPr/>
        <w:tc>
          <w:tcPr>
            <w:shd w:val="clear" w:fill="auto" w:color="auto"/>
            <w:tcW w:w="1140" w:type="pct"/>
            <w:textDirection w:val="lrTb"/>
            <w:noWrap w:val="false"/>
          </w:tcPr>
          <w:p>
            <w:pPr>
              <w:pStyle w:val="1005"/>
              <w:ind w:left="57" w:right="57"/>
            </w:pPr>
            <w:r>
              <w:t xml:space="preserve">Сумма в валюте</w:t>
            </w:r>
            <w:r>
              <w:t xml:space="preserve"> БО</w:t>
            </w:r>
            <w:r/>
          </w:p>
        </w:tc>
        <w:tc>
          <w:tcPr>
            <w:shd w:val="clear" w:fill="auto" w:color="auto"/>
            <w:tcW w:w="3860" w:type="pct"/>
            <w:textDirection w:val="lrTb"/>
            <w:noWrap w:val="false"/>
          </w:tcPr>
          <w:p>
            <w:pPr>
              <w:pStyle w:val="1005"/>
              <w:ind w:left="57" w:right="57"/>
            </w:pPr>
            <w:r>
              <w:t xml:space="preserve">Значение вводится вручную.</w:t>
            </w:r>
            <w:r/>
          </w:p>
          <w:p>
            <w:pPr>
              <w:pStyle w:val="1005"/>
              <w:ind w:left="57" w:right="57"/>
            </w:pPr>
            <w:r>
              <w:t xml:space="preserve">Может заполняться из родительского документа</w:t>
            </w:r>
            <w:r/>
          </w:p>
        </w:tc>
      </w:tr>
      <w:tr>
        <w:trPr/>
        <w:tc>
          <w:tcPr>
            <w:shd w:val="clear" w:fill="auto" w:color="auto"/>
            <w:tcW w:w="1140" w:type="pct"/>
            <w:textDirection w:val="lrTb"/>
            <w:noWrap w:val="false"/>
          </w:tcPr>
          <w:p>
            <w:pPr>
              <w:pStyle w:val="1005"/>
              <w:ind w:left="57" w:right="57"/>
            </w:pPr>
            <w:r>
              <w:t xml:space="preserve">Валюта</w:t>
            </w:r>
            <w:r/>
          </w:p>
        </w:tc>
        <w:tc>
          <w:tcPr>
            <w:shd w:val="clear" w:fill="auto" w:color="auto"/>
            <w:tcW w:w="3860" w:type="pct"/>
            <w:textDirection w:val="lrTb"/>
            <w:noWrap w:val="false"/>
          </w:tcPr>
          <w:p>
            <w:pPr>
              <w:pStyle w:val="1005"/>
              <w:ind w:left="57" w:right="57"/>
            </w:pPr>
            <w:r>
              <w:t xml:space="preserve">Значение по умолчанию – RUB. Может быть изменено пользователем вруч</w:t>
            </w:r>
            <w:r>
              <w:t xml:space="preserve">ную или выбором из справочника валют (может указываться как бу</w:t>
            </w:r>
            <w:r>
              <w:t xml:space="preserve">к</w:t>
            </w:r>
            <w:r>
              <w:t xml:space="preserve">венный</w:t>
            </w:r>
            <w:r>
              <w:t xml:space="preserve">,</w:t>
            </w:r>
            <w:r>
              <w:t xml:space="preserve"> так и цифровой код).</w:t>
            </w:r>
            <w:r/>
          </w:p>
          <w:p>
            <w:pPr>
              <w:pStyle w:val="1005"/>
              <w:ind w:left="57" w:right="57"/>
            </w:pPr>
            <w:r>
              <w:t xml:space="preserve">Может заполняться из родительского документа</w:t>
            </w:r>
            <w:r>
              <w:t xml:space="preserve">.</w:t>
            </w:r>
            <w:r/>
          </w:p>
        </w:tc>
      </w:tr>
      <w:tr>
        <w:trPr/>
        <w:tc>
          <w:tcPr>
            <w:shd w:val="clear" w:fill="auto" w:color="auto"/>
            <w:tcW w:w="1140" w:type="pct"/>
            <w:textDirection w:val="lrTb"/>
            <w:noWrap w:val="false"/>
          </w:tcPr>
          <w:p>
            <w:pPr>
              <w:pStyle w:val="1005"/>
              <w:ind w:left="57" w:right="57"/>
            </w:pPr>
            <w:r>
              <w:t xml:space="preserve">%</w:t>
            </w:r>
            <w:r>
              <w:t xml:space="preserve"> </w:t>
            </w:r>
            <w:r>
              <w:t xml:space="preserve">платежа, требующего подтверждения, от общей суммы БО</w:t>
            </w:r>
            <w:r/>
          </w:p>
        </w:tc>
        <w:tc>
          <w:tcPr>
            <w:shd w:val="clear" w:fill="auto" w:color="auto"/>
            <w:tcW w:w="3860" w:type="pct"/>
            <w:textDirection w:val="lrTb"/>
            <w:noWrap w:val="false"/>
          </w:tcPr>
          <w:p>
            <w:pPr>
              <w:pStyle w:val="1005"/>
              <w:ind w:left="57" w:right="57"/>
            </w:pPr>
            <w:r>
              <w:t xml:space="preserve">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r/>
          </w:p>
          <w:p>
            <w:pPr>
              <w:pStyle w:val="1005"/>
              <w:ind w:left="57" w:right="57"/>
            </w:pPr>
            <w:r>
              <w:t xml:space="preserve">Указывается процент авансового платежа.</w:t>
            </w:r>
            <w:r/>
          </w:p>
          <w:p>
            <w:pPr>
              <w:pStyle w:val="1005"/>
              <w:ind w:left="57" w:right="57"/>
            </w:pPr>
            <w:r>
              <w:t xml:space="preserve">Заполняется автоматически, если поле «Сумма платежа, требующего подтверждения» заполнено значением отличн</w:t>
            </w:r>
            <w:r>
              <w:t xml:space="preserve">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t xml:space="preserve">%</w:t>
            </w:r>
            <w:r>
              <w:t xml:space="preserve"> </w:t>
            </w:r>
            <w:r>
              <w:t xml:space="preserve">платежа, требующего подтверждения, от суммы БО</w:t>
            </w:r>
            <w:r>
              <w:t xml:space="preserve"> = («Сумма платежа, требующего подтверждения» / «Сумма в рублях»)*100%. Может принимать значения от 0.01 до 100.00 включительно.</w:t>
            </w:r>
            <w:r/>
          </w:p>
          <w:p>
            <w:pPr>
              <w:pStyle w:val="1005"/>
              <w:ind w:left="57" w:right="57"/>
            </w:pPr>
            <w:r>
              <w:t xml:space="preserve">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r/>
          </w:p>
          <w:p>
            <w:pPr>
              <w:pStyle w:val="1005"/>
              <w:ind w:left="57" w:right="57"/>
            </w:pPr>
            <w:r>
              <w:t xml:space="preserve">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r/>
          </w:p>
        </w:tc>
      </w:tr>
      <w:tr>
        <w:trPr/>
        <w:tc>
          <w:tcPr>
            <w:shd w:val="clear" w:fill="auto" w:color="auto"/>
            <w:tcW w:w="1140" w:type="pct"/>
            <w:textDirection w:val="lrTb"/>
            <w:noWrap w:val="false"/>
          </w:tcPr>
          <w:p>
            <w:pPr>
              <w:pStyle w:val="1005"/>
              <w:ind w:left="57" w:right="57"/>
            </w:pPr>
            <w:r>
              <w:t xml:space="preserve">Сумма платежа</w:t>
            </w:r>
            <w:r>
              <w:t xml:space="preserve">, требующего подтверждения</w:t>
            </w:r>
            <w:r/>
          </w:p>
        </w:tc>
        <w:tc>
          <w:tcPr>
            <w:shd w:val="clear" w:fill="auto" w:color="auto"/>
            <w:tcW w:w="3860" w:type="pct"/>
            <w:textDirection w:val="lrTb"/>
            <w:noWrap w:val="false"/>
          </w:tcPr>
          <w:p>
            <w:pPr>
              <w:pStyle w:val="1005"/>
              <w:ind w:left="57" w:right="57"/>
            </w:pPr>
            <w:r>
              <w:t xml:space="preserve">Поле недоступно для редактирования.</w:t>
            </w:r>
            <w:r/>
          </w:p>
          <w:p>
            <w:pPr>
              <w:pStyle w:val="1005"/>
              <w:ind w:left="57" w:right="57"/>
            </w:pPr>
            <w:r>
              <w:t xml:space="preserve">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r/>
          </w:p>
          <w:p>
            <w:pPr>
              <w:pStyle w:val="1005"/>
              <w:ind w:left="57" w:right="57"/>
            </w:pPr>
            <w:r>
              <w:t xml:space="preserve">Поле рассчитывается автоматически по формуле:</w:t>
            </w:r>
            <w:r/>
          </w:p>
          <w:p>
            <w:pPr>
              <w:pStyle w:val="1005"/>
              <w:ind w:left="57" w:right="57"/>
            </w:pPr>
            <w:r>
              <w:t xml:space="preserve">Сумма платежа</w:t>
            </w:r>
            <w:r>
              <w:t xml:space="preserve">, требующего подтверждения</w:t>
            </w:r>
            <w:r>
              <w:t xml:space="preserve"> = (Сумма исполненного обязательства прошлых лет + Сумма на текущий финансовый год + Сумма в валюте обяз</w:t>
            </w:r>
            <w:r>
              <w:t xml:space="preserve">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r/>
          </w:p>
        </w:tc>
      </w:tr>
      <w:tr>
        <w:trPr/>
        <w:tc>
          <w:tcPr>
            <w:shd w:val="clear" w:fill="auto" w:color="auto"/>
            <w:tcW w:w="1140" w:type="pct"/>
            <w:textDirection w:val="lrTb"/>
            <w:noWrap w:val="false"/>
          </w:tcPr>
          <w:p>
            <w:pPr>
              <w:pStyle w:val="1005"/>
              <w:ind w:left="57" w:right="57"/>
            </w:pPr>
            <w:r>
              <w:t xml:space="preserve">Срок исполнения</w:t>
            </w:r>
            <w:r/>
          </w:p>
        </w:tc>
        <w:tc>
          <w:tcPr>
            <w:shd w:val="clear" w:fill="auto" w:color="auto"/>
            <w:tcW w:w="3860" w:type="pct"/>
            <w:textDirection w:val="lrTb"/>
            <w:noWrap w:val="false"/>
          </w:tcPr>
          <w:p>
            <w:pPr>
              <w:pStyle w:val="1005"/>
              <w:ind w:left="57" w:right="57"/>
            </w:pPr>
            <w:r>
              <w:t xml:space="preserve">Поле доступно для редактирования.</w:t>
            </w:r>
            <w:r/>
          </w:p>
          <w:p>
            <w:pPr>
              <w:pStyle w:val="1005"/>
              <w:ind w:left="57" w:right="57"/>
            </w:pPr>
            <w:r>
              <w:t xml:space="preserve">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r/>
          </w:p>
        </w:tc>
      </w:tr>
      <w:tr>
        <w:trPr/>
        <w:tc>
          <w:tcPr>
            <w:shd w:val="clear" w:fill="auto" w:color="auto"/>
            <w:tcW w:w="1140" w:type="pct"/>
            <w:textDirection w:val="lrTb"/>
            <w:noWrap w:val="false"/>
          </w:tcPr>
          <w:p>
            <w:pPr>
              <w:pStyle w:val="1005"/>
              <w:ind w:left="57" w:right="57"/>
            </w:pPr>
            <w:r>
              <w:t xml:space="preserve">Учетный номер</w:t>
            </w:r>
            <w:r>
              <w:t xml:space="preserve"> БО</w:t>
            </w:r>
            <w:r/>
          </w:p>
        </w:tc>
        <w:tc>
          <w:tcPr>
            <w:shd w:val="clear" w:fill="auto" w:color="auto"/>
            <w:tcW w:w="3860" w:type="pct"/>
            <w:textDirection w:val="lrTb"/>
            <w:noWrap w:val="false"/>
          </w:tcPr>
          <w:p>
            <w:pPr>
              <w:pStyle w:val="1005"/>
              <w:ind w:left="57" w:right="57"/>
            </w:pPr>
            <w:r>
              <w:t xml:space="preserve">Для сведений с типом «первичные» не заполняется, для сведений с типом «Изменение обязательно для заполнения».</w:t>
            </w:r>
            <w:r/>
          </w:p>
          <w:p>
            <w:pPr>
              <w:pStyle w:val="1005"/>
              <w:ind w:left="57" w:right="57"/>
            </w:pPr>
            <w:r>
              <w:t xml:space="preserve">Может заполняться из родительского документа</w:t>
            </w:r>
            <w:r>
              <w:t xml:space="preserve">.</w:t>
            </w:r>
            <w:r/>
          </w:p>
        </w:tc>
      </w:tr>
      <w:tr>
        <w:trPr/>
        <w:tc>
          <w:tcPr>
            <w:shd w:val="clear" w:fill="auto" w:color="auto"/>
            <w:tcW w:w="1140" w:type="pct"/>
            <w:textDirection w:val="lrTb"/>
            <w:noWrap w:val="false"/>
          </w:tcPr>
          <w:p>
            <w:pPr>
              <w:pStyle w:val="1005"/>
              <w:ind w:left="57" w:right="57"/>
            </w:pPr>
            <w:r>
              <w:t xml:space="preserve">Номер реестровой з</w:t>
            </w:r>
            <w:r>
              <w:t xml:space="preserve">а</w:t>
            </w:r>
            <w:r>
              <w:t xml:space="preserve">п</w:t>
            </w:r>
            <w:r>
              <w:t xml:space="preserve">и</w:t>
            </w:r>
            <w:r>
              <w:t xml:space="preserve">си</w:t>
            </w:r>
            <w:r/>
          </w:p>
        </w:tc>
        <w:tc>
          <w:tcPr>
            <w:shd w:val="clear" w:fill="auto" w:color="auto"/>
            <w:tcW w:w="3860" w:type="pct"/>
            <w:textDirection w:val="lrTb"/>
            <w:noWrap w:val="false"/>
          </w:tcPr>
          <w:p>
            <w:pPr>
              <w:pStyle w:val="1005"/>
              <w:ind w:left="57" w:right="57"/>
            </w:pPr>
            <w:r>
              <w:t xml:space="preserve">Значение вводится вручную.</w:t>
            </w:r>
            <w:r/>
          </w:p>
          <w:p>
            <w:pPr>
              <w:pStyle w:val="1005"/>
              <w:ind w:left="57" w:right="57"/>
            </w:pPr>
            <w:r>
              <w:t xml:space="preserve">Может заполняться из родительского документа</w:t>
            </w:r>
            <w:r>
              <w:t xml:space="preserve">.</w:t>
            </w:r>
            <w:r/>
          </w:p>
        </w:tc>
      </w:tr>
      <w:tr>
        <w:trPr/>
        <w:tc>
          <w:tcPr>
            <w:shd w:val="clear" w:fill="auto" w:color="auto"/>
            <w:tcW w:w="1140" w:type="pct"/>
            <w:textDirection w:val="lrTb"/>
            <w:noWrap w:val="false"/>
          </w:tcPr>
          <w:p>
            <w:pPr>
              <w:pStyle w:val="1005"/>
              <w:ind w:left="57" w:right="57"/>
            </w:pPr>
            <w:r>
              <w:t xml:space="preserve">ИГК</w:t>
            </w:r>
            <w:r/>
          </w:p>
        </w:tc>
        <w:tc>
          <w:tcPr>
            <w:shd w:val="clear" w:fill="auto" w:color="auto"/>
            <w:tcW w:w="3860" w:type="pct"/>
            <w:textDirection w:val="lrTb"/>
            <w:noWrap w:val="false"/>
          </w:tcPr>
          <w:p>
            <w:pPr>
              <w:pStyle w:val="1005"/>
              <w:ind w:left="57" w:right="57"/>
            </w:pPr>
            <w:r>
              <w:t xml:space="preserve">Указывается идентификатор государственного контракта, при наличии.</w:t>
            </w:r>
            <w:r/>
          </w:p>
          <w:p>
            <w:pPr>
              <w:pStyle w:val="1005"/>
              <w:ind w:left="57" w:right="57"/>
            </w:pPr>
            <w:r>
              <w:t xml:space="preserve">З</w:t>
            </w:r>
            <w:r>
              <w:t xml:space="preserve">аполня</w:t>
            </w:r>
            <w:r>
              <w:t xml:space="preserve">е</w:t>
            </w:r>
            <w:r>
              <w:t xml:space="preserve">тся, если в реквизите «Вид» указаны значения «контракт», «договор»,</w:t>
            </w:r>
            <w:r>
              <w:t xml:space="preserve"> «соглашение», «нормативный правовой акт»</w:t>
            </w:r>
            <w:r>
              <w:t xml:space="preserve">.</w:t>
            </w:r>
            <w:r/>
          </w:p>
        </w:tc>
      </w:tr>
      <w:tr>
        <w:trPr/>
        <w:tc>
          <w:tcPr>
            <w:shd w:val="clear" w:fill="auto" w:color="auto"/>
            <w:tcW w:w="1140" w:type="pct"/>
            <w:textDirection w:val="lrTb"/>
            <w:noWrap w:val="false"/>
          </w:tcPr>
          <w:p>
            <w:pPr>
              <w:pStyle w:val="1005"/>
              <w:ind w:left="57" w:right="57"/>
            </w:pPr>
            <w:r>
              <w:t xml:space="preserve">Признак казначейского сопровождения</w:t>
            </w:r>
            <w:r/>
          </w:p>
        </w:tc>
        <w:tc>
          <w:tcPr>
            <w:shd w:val="clear" w:fill="auto" w:color="auto"/>
            <w:tcW w:w="3860" w:type="pct"/>
            <w:textDirection w:val="lrTb"/>
            <w:noWrap w:val="false"/>
          </w:tcPr>
          <w:p>
            <w:pPr>
              <w:pStyle w:val="1005"/>
              <w:ind w:left="57" w:right="57"/>
            </w:pPr>
            <w:r>
              <w:t xml:space="preserve">Указывается признак казначейского сопровождения государственного контракта (контракта, договора).</w:t>
            </w:r>
            <w:r/>
          </w:p>
          <w:p>
            <w:pPr>
              <w:pStyle w:val="1005"/>
              <w:ind w:left="57" w:right="57"/>
            </w:pPr>
            <w:r>
              <w:t xml:space="preserve">Заполняется выбором из списка значений:</w:t>
            </w:r>
            <w:r/>
          </w:p>
          <w:p>
            <w:pPr>
              <w:pStyle w:val="1007"/>
            </w:pPr>
            <w:r>
              <w:t xml:space="preserve">п</w:t>
            </w:r>
            <w:r>
              <w:t xml:space="preserve">устое;</w:t>
            </w:r>
            <w:r/>
          </w:p>
          <w:p>
            <w:pPr>
              <w:pStyle w:val="1007"/>
            </w:pPr>
            <w:r>
              <w:t xml:space="preserve">«Да».</w:t>
            </w:r>
            <w:r/>
          </w:p>
          <w:p>
            <w:pPr>
              <w:pStyle w:val="1005"/>
              <w:ind w:left="57" w:right="57"/>
            </w:pPr>
            <w:r>
              <w:t xml:space="preserve">Значение по умолчанию – пусто.</w:t>
            </w:r>
            <w:r/>
          </w:p>
          <w:p>
            <w:pPr>
              <w:pStyle w:val="1005"/>
              <w:ind w:left="57" w:right="57"/>
            </w:pPr>
            <w:r>
              <w:t xml:space="preserve">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r/>
          </w:p>
        </w:tc>
      </w:tr>
      <w:tr>
        <w:trPr/>
        <w:tc>
          <w:tcPr>
            <w:shd w:val="clear" w:fill="auto" w:color="auto"/>
            <w:tcW w:w="1140" w:type="pct"/>
            <w:textDirection w:val="lrTb"/>
            <w:noWrap w:val="false"/>
          </w:tcPr>
          <w:p>
            <w:pPr>
              <w:pStyle w:val="1005"/>
              <w:ind w:left="57" w:right="57"/>
            </w:pPr>
            <w:r>
              <w:t xml:space="preserve">Сумма казначейского обеспечения обязательств</w:t>
            </w:r>
            <w:r/>
          </w:p>
        </w:tc>
        <w:tc>
          <w:tcPr>
            <w:shd w:val="clear" w:fill="auto" w:color="auto"/>
            <w:tcW w:w="3860" w:type="pct"/>
            <w:textDirection w:val="lrTb"/>
            <w:noWrap w:val="false"/>
          </w:tcPr>
          <w:p>
            <w:pPr>
              <w:pStyle w:val="1005"/>
              <w:ind w:left="57" w:right="57"/>
            </w:pPr>
            <w:r>
              <w:t xml:space="preserve">Указывается сумма казначейского обеспечения обязательств, если в реквизите «Признак казначейского, банковского сопровождения» указано значение «Да».</w:t>
            </w:r>
            <w:r/>
          </w:p>
          <w:p>
            <w:pPr>
              <w:pStyle w:val="1005"/>
              <w:ind w:left="57" w:right="57"/>
            </w:pPr>
            <w:r>
              <w:t xml:space="preserve">В остальных случаях не заполняется.</w:t>
            </w:r>
            <w:r/>
          </w:p>
        </w:tc>
      </w:tr>
      <w:tr>
        <w:trPr/>
        <w:tc>
          <w:tcPr>
            <w:gridSpan w:val="2"/>
            <w:shd w:val="clear" w:fill="auto" w:color="auto"/>
            <w:tcW w:w="5000" w:type="pct"/>
            <w:textDirection w:val="lrTb"/>
            <w:noWrap w:val="false"/>
          </w:tcPr>
          <w:p>
            <w:pPr>
              <w:pStyle w:val="1005"/>
              <w:ind w:left="57" w:right="57"/>
            </w:pPr>
            <w:r>
              <w:t xml:space="preserve">Группа полей «Раз</w:t>
            </w:r>
            <w:r>
              <w:t xml:space="preserve">дел 2. Реквизиты контрагента» (т</w:t>
            </w:r>
            <w:r>
              <w:t xml:space="preserve">абличное поле)</w:t>
            </w:r>
            <w:r/>
          </w:p>
        </w:tc>
      </w:tr>
      <w:tr>
        <w:trPr/>
        <w:tc>
          <w:tcPr>
            <w:shd w:val="clear" w:fill="auto" w:color="auto"/>
            <w:tcW w:w="1140" w:type="pct"/>
            <w:textDirection w:val="lrTb"/>
            <w:noWrap w:val="false"/>
          </w:tcPr>
          <w:p>
            <w:pPr>
              <w:pStyle w:val="1005"/>
              <w:ind w:left="57" w:right="57"/>
            </w:pPr>
            <w:r>
              <w:t xml:space="preserve">Наименование </w:t>
            </w:r>
            <w:r/>
          </w:p>
        </w:tc>
        <w:tc>
          <w:tcPr>
            <w:shd w:val="clear" w:fill="auto" w:color="auto"/>
            <w:tcW w:w="3860" w:type="pct"/>
            <w:textDirection w:val="lrTb"/>
            <w:noWrap w:val="false"/>
          </w:tcPr>
          <w:p>
            <w:pPr>
              <w:pStyle w:val="1005"/>
              <w:ind w:left="57" w:right="57"/>
            </w:pPr>
            <w:r>
              <w:t xml:space="preserve">Значение вводится вручную или выбирается из справочника поставщиков. </w:t>
            </w:r>
            <w:r/>
          </w:p>
          <w:p>
            <w:pPr>
              <w:pStyle w:val="1005"/>
              <w:ind w:left="57" w:right="57"/>
            </w:pPr>
            <w:r>
              <w:t xml:space="preserve">Может заполняться автоматически из поля «Наименование (ФИО)» при выборе родительского документа с типом ОБЛ, ОБЕ для заполнения дет</w:t>
            </w:r>
            <w:r>
              <w:t xml:space="preserve">а</w:t>
            </w:r>
            <w:r>
              <w:t xml:space="preserve">лизации по исполнительному листу. </w:t>
            </w:r>
            <w:r/>
          </w:p>
          <w:p>
            <w:pPr>
              <w:pStyle w:val="1005"/>
              <w:ind w:left="57" w:right="57"/>
            </w:pPr>
            <w:r>
              <w:t xml:space="preserve">Может заполняться из родительского документа</w:t>
            </w:r>
            <w:r>
              <w:t xml:space="preserve">.</w:t>
            </w:r>
            <w:r/>
          </w:p>
        </w:tc>
      </w:tr>
      <w:tr>
        <w:trPr/>
        <w:tc>
          <w:tcPr>
            <w:shd w:val="clear" w:fill="auto" w:color="auto"/>
            <w:tcW w:w="1140" w:type="pct"/>
            <w:textDirection w:val="lrTb"/>
            <w:noWrap w:val="false"/>
          </w:tcPr>
          <w:p>
            <w:pPr>
              <w:pStyle w:val="1005"/>
              <w:ind w:left="57" w:right="57"/>
            </w:pPr>
            <w:r>
              <w:t xml:space="preserve">Наименование банка (иной организации), в котором (-ой) открыт счет контрагенту</w:t>
            </w:r>
            <w:r/>
          </w:p>
        </w:tc>
        <w:tc>
          <w:tcPr>
            <w:shd w:val="clear" w:fill="auto" w:color="auto"/>
            <w:tcW w:w="3860" w:type="pct"/>
            <w:textDirection w:val="lrTb"/>
            <w:noWrap w:val="false"/>
          </w:tcPr>
          <w:p>
            <w:pPr>
              <w:pStyle w:val="1005"/>
              <w:ind w:left="57" w:right="57"/>
            </w:pPr>
            <w:r>
              <w:t xml:space="preserve">Значение подтягивается автоматически после заполнения поля «БИК» из справочника Банков из поля «Платежное наименова</w:t>
            </w:r>
            <w:r>
              <w:t xml:space="preserve">ние (от ЦБ)» и вводится вручную.</w:t>
            </w:r>
            <w:r/>
          </w:p>
          <w:p>
            <w:pPr>
              <w:pStyle w:val="1005"/>
              <w:ind w:left="57" w:right="57"/>
            </w:pPr>
            <w:r>
              <w:t xml:space="preserve">По умолчанию – пустое значение.</w:t>
            </w:r>
            <w:r/>
          </w:p>
          <w:p>
            <w:pPr>
              <w:pStyle w:val="1005"/>
              <w:ind w:left="57" w:right="57"/>
            </w:pPr>
            <w:r>
              <w:t xml:space="preserve">Может заполняться из родительского документа.</w:t>
            </w:r>
            <w:r/>
          </w:p>
        </w:tc>
      </w:tr>
      <w:tr>
        <w:trPr/>
        <w:tc>
          <w:tcPr>
            <w:shd w:val="clear" w:fill="auto" w:color="auto"/>
            <w:tcW w:w="1140" w:type="pct"/>
            <w:textDirection w:val="lrTb"/>
            <w:noWrap w:val="false"/>
          </w:tcPr>
          <w:p>
            <w:pPr>
              <w:pStyle w:val="1005"/>
              <w:ind w:left="57" w:right="57"/>
            </w:pPr>
            <w:r>
              <w:t xml:space="preserve">Номер лицевого счета</w:t>
            </w:r>
            <w:r/>
          </w:p>
        </w:tc>
        <w:tc>
          <w:tcPr>
            <w:shd w:val="clear" w:fill="auto" w:color="auto"/>
            <w:tcW w:w="3860" w:type="pct"/>
            <w:textDirection w:val="lrTb"/>
            <w:noWrap w:val="false"/>
          </w:tcPr>
          <w:p>
            <w:pPr>
              <w:pStyle w:val="1005"/>
              <w:ind w:left="57" w:right="57"/>
            </w:pPr>
            <w:r>
              <w:t xml:space="preserve">Значение может быть введено вручную или выбором из справочника </w:t>
            </w:r>
            <w:r>
              <w:t xml:space="preserve">«И</w:t>
            </w:r>
            <w:r>
              <w:t xml:space="preserve">н</w:t>
            </w:r>
            <w:r>
              <w:t xml:space="preserve">формация о лицевых счетах»</w:t>
            </w:r>
            <w:r>
              <w:t xml:space="preserve">.</w:t>
            </w:r>
            <w:r/>
          </w:p>
          <w:p>
            <w:pPr>
              <w:pStyle w:val="1005"/>
              <w:ind w:left="57" w:right="57"/>
            </w:pPr>
            <w:r>
              <w:t xml:space="preserve">Может заполняться из родительского документа</w:t>
            </w:r>
            <w:r>
              <w:t xml:space="preserve">.</w:t>
            </w:r>
            <w:r/>
          </w:p>
        </w:tc>
      </w:tr>
      <w:tr>
        <w:trPr/>
        <w:tc>
          <w:tcPr>
            <w:shd w:val="clear" w:fill="auto" w:color="auto"/>
            <w:tcW w:w="1140" w:type="pct"/>
            <w:textDirection w:val="lrTb"/>
            <w:noWrap w:val="false"/>
          </w:tcPr>
          <w:p>
            <w:pPr>
              <w:pStyle w:val="1005"/>
              <w:ind w:left="57" w:right="57"/>
            </w:pPr>
            <w:r>
              <w:t xml:space="preserve">Номер раздела на лицевом счете</w:t>
            </w:r>
            <w:r/>
          </w:p>
        </w:tc>
        <w:tc>
          <w:tcPr>
            <w:shd w:val="clear" w:fill="auto" w:color="auto"/>
            <w:tcW w:w="3860" w:type="pct"/>
            <w:textDirection w:val="lrTb"/>
            <w:noWrap w:val="false"/>
          </w:tcPr>
          <w:p>
            <w:pPr>
              <w:pStyle w:val="1005"/>
              <w:ind w:left="57" w:right="57"/>
            </w:pPr>
            <w:r>
              <w:t xml:space="preserve">Поле доступно для редактирования.</w:t>
            </w:r>
            <w:r/>
          </w:p>
          <w:p>
            <w:pPr>
              <w:pStyle w:val="1005"/>
              <w:ind w:left="57" w:right="57"/>
            </w:pPr>
            <w:r>
              <w:t xml:space="preserve">Указывается аналитический номер раздела на лицевом счете в случае если операции по исполнению бюджетного обязательства подлежат от</w:t>
            </w:r>
            <w:r>
              <w:t xml:space="preserve">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r/>
          </w:p>
        </w:tc>
      </w:tr>
      <w:tr>
        <w:trPr/>
        <w:tc>
          <w:tcPr>
            <w:shd w:val="clear" w:fill="auto" w:color="auto"/>
            <w:tcW w:w="1140" w:type="pct"/>
            <w:textDirection w:val="lrTb"/>
            <w:noWrap w:val="false"/>
          </w:tcPr>
          <w:p>
            <w:pPr>
              <w:pStyle w:val="1005"/>
              <w:ind w:left="57" w:right="57"/>
            </w:pPr>
            <w:r>
              <w:t xml:space="preserve">Код по Сводному р</w:t>
            </w:r>
            <w:r>
              <w:t xml:space="preserve">е</w:t>
            </w:r>
            <w:r>
              <w:t xml:space="preserve">естру</w:t>
            </w:r>
            <w:r/>
          </w:p>
        </w:tc>
        <w:tc>
          <w:tcPr>
            <w:shd w:val="clear" w:fill="auto" w:color="auto"/>
            <w:tcW w:w="3860" w:type="pct"/>
            <w:textDirection w:val="lrTb"/>
            <w:noWrap w:val="false"/>
          </w:tcPr>
          <w:p>
            <w:pPr>
              <w:pStyle w:val="1005"/>
              <w:ind w:left="57" w:right="57"/>
            </w:pPr>
            <w:r>
              <w:t xml:space="preserve">Заполняется вручную.</w:t>
            </w:r>
            <w:r>
              <w:t xml:space="preserve"> </w:t>
            </w:r>
            <w:r/>
          </w:p>
          <w:p>
            <w:pPr>
              <w:pStyle w:val="1005"/>
              <w:ind w:left="57" w:right="57"/>
            </w:pPr>
            <w:r>
              <w:t xml:space="preserve">Поле не обязательно для заполнения.</w:t>
            </w:r>
            <w:r/>
          </w:p>
          <w:p>
            <w:pPr>
              <w:pStyle w:val="1005"/>
              <w:ind w:left="57" w:right="57"/>
            </w:pPr>
            <w:r>
              <w:t xml:space="preserve">Указывается код по Сводному реестру контрагента/взыскателя, в случае наличия информации о нем в Сводном реестре в соответствии с ИНН и КПП.</w:t>
            </w:r>
            <w:r/>
          </w:p>
        </w:tc>
      </w:tr>
    </w:tbl>
    <w:p>
      <w:pPr>
        <w:pStyle w:val="994"/>
      </w:pPr>
      <w:r>
        <w:t xml:space="preserve">ЭФ документа «Сведения об обязательстве», закладки «Раздел </w:t>
      </w:r>
      <w:r>
        <w:t xml:space="preserve">3</w:t>
      </w:r>
      <w:r>
        <w:t xml:space="preserve"> (</w:t>
      </w:r>
      <w:r>
        <w:t xml:space="preserve">2</w:t>
      </w:r>
      <w:r>
        <w:t xml:space="preserve">)»</w:t>
      </w:r>
      <w:r>
        <w:t xml:space="preserve"> представлена н</w:t>
      </w:r>
      <w:r>
        <w:t xml:space="preserve">а рисунке</w:t>
      </w:r>
      <w:r>
        <w:t xml:space="preserve"> </w:t>
      </w:r>
      <w:r>
        <w:fldChar w:fldCharType="begin"/>
      </w:r>
      <w:r>
        <w:instrText xml:space="preserve"> REF _Ref231048110 \h  \* MERGEFORMAT </w:instrText>
      </w:r>
      <w:r>
        <w:fldChar w:fldCharType="separate"/>
      </w:r>
      <w:r>
        <w:t xml:space="preserve">75</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4480560"/>
                <wp:effectExtent l="0" t="0" r="0" b="0"/>
                <wp:docPr id="14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41"/>
                        <a:stretch/>
                      </pic:blipFill>
                      <pic:spPr bwMode="auto">
                        <a:xfrm>
                          <a:off x="0" y="0"/>
                          <a:ext cx="6126480" cy="44805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 o:spid="_x0000_s146" type="#_x0000_t75" style="mso-wrap-distance-left:0.0pt;mso-wrap-distance-top:0.0pt;mso-wrap-distance-right:0.0pt;mso-wrap-distance-bottom:0.0pt;width:482.4pt;height:352.8pt;" stroked="f">
                <v:path textboxrect="0,0,0,0"/>
                <v:imagedata r:id="rId141" o:title=""/>
              </v:shape>
            </w:pict>
          </mc:Fallback>
        </mc:AlternateContent>
      </w:r>
      <w:r/>
    </w:p>
    <w:p>
      <w:pPr>
        <w:pStyle w:val="983"/>
      </w:pPr>
      <w:r>
        <w:fldChar w:fldCharType="begin"/>
      </w:r>
      <w:r>
        <w:instrText xml:space="preserve"> SEQ Рисунок \* ARABIC </w:instrText>
      </w:r>
      <w:r>
        <w:fldChar w:fldCharType="separate"/>
      </w:r>
      <w:bookmarkStart w:id="717" w:name="_Ref231048110"/>
      <w:r/>
      <w:bookmarkStart w:id="718" w:name="_Toc88819460"/>
      <w:r>
        <w:t xml:space="preserve">75</w:t>
      </w:r>
      <w:bookmarkEnd w:id="717"/>
      <w:r>
        <w:fldChar w:fldCharType="end"/>
      </w:r>
      <w:r>
        <w:t xml:space="preserve">. ЭФ документа «Сведения об обязательстве</w:t>
      </w:r>
      <w:r>
        <w:t xml:space="preserve">», закладки «</w:t>
      </w:r>
      <w:r>
        <w:t xml:space="preserve">Раздел </w:t>
      </w:r>
      <w:r>
        <w:t xml:space="preserve">3</w:t>
      </w:r>
      <w:r>
        <w:t xml:space="preserve"> (</w:t>
      </w:r>
      <w:r>
        <w:t xml:space="preserve">2</w:t>
      </w:r>
      <w:r>
        <w:t xml:space="preserve">)»</w:t>
      </w:r>
      <w:bookmarkEnd w:id="718"/>
      <w:r/>
      <w:r/>
    </w:p>
    <w:p>
      <w:pPr>
        <w:pStyle w:val="994"/>
      </w:pPr>
      <w:r>
        <w:t xml:space="preserve">П</w:t>
      </w:r>
      <w:r>
        <w:t xml:space="preserve">е</w:t>
      </w:r>
      <w:r>
        <w:t xml:space="preserve">речень полей </w:t>
      </w:r>
      <w:r>
        <w:t xml:space="preserve">документа «Сведения об обязательстве», закладки «Раздел </w:t>
      </w:r>
      <w:r>
        <w:t xml:space="preserve">3</w:t>
      </w:r>
      <w:r>
        <w:t xml:space="preserve"> (</w:t>
      </w:r>
      <w:r>
        <w:t xml:space="preserve">2</w:t>
      </w:r>
      <w:r>
        <w:t xml:space="preserve">)»</w:t>
      </w:r>
      <w:r>
        <w:t xml:space="preserve"> </w:t>
      </w:r>
      <w:r>
        <w:t xml:space="preserve">приведен в таблице</w:t>
      </w:r>
      <w:r>
        <w:t xml:space="preserve"> </w:t>
      </w:r>
      <w:r>
        <w:fldChar w:fldCharType="begin"/>
      </w:r>
      <w:r>
        <w:instrText xml:space="preserve"> REF _Ref365465979 \h </w:instrText>
      </w:r>
      <w:r>
        <w:instrText xml:space="preserve"> \* MERGEFORMAT </w:instrText>
      </w:r>
      <w:r>
        <w:fldChar w:fldCharType="separate"/>
      </w:r>
      <w:r>
        <w:t xml:space="preserve">36</w:t>
      </w:r>
      <w:r>
        <w:fldChar w:fldCharType="end"/>
      </w:r>
      <w:r>
        <w:t xml:space="preserve">.</w:t>
      </w:r>
      <w:r/>
    </w:p>
    <w:p>
      <w:pPr>
        <w:pStyle w:val="993"/>
      </w:pPr>
      <w:r>
        <w:fldChar w:fldCharType="begin"/>
      </w:r>
      <w:r>
        <w:instrText xml:space="preserve"> SEQ Таблица \* ARABIC </w:instrText>
      </w:r>
      <w:r>
        <w:fldChar w:fldCharType="separate"/>
      </w:r>
      <w:bookmarkStart w:id="719" w:name="_Ref365465979"/>
      <w:r/>
      <w:bookmarkStart w:id="720" w:name="_Toc88819222"/>
      <w:r>
        <w:t xml:space="preserve">36</w:t>
      </w:r>
      <w:bookmarkEnd w:id="719"/>
      <w:r>
        <w:fldChar w:fldCharType="end"/>
      </w:r>
      <w:r>
        <w:t xml:space="preserve">. Описание полей </w:t>
      </w:r>
      <w:r>
        <w:t xml:space="preserve">документа «Сведения об обязательстве», закладки «Раздел </w:t>
      </w:r>
      <w:r>
        <w:t xml:space="preserve">3</w:t>
      </w:r>
      <w:r>
        <w:t xml:space="preserve"> (</w:t>
      </w:r>
      <w:r>
        <w:t xml:space="preserve">2</w:t>
      </w:r>
      <w:r>
        <w:t xml:space="preserve">)»</w:t>
      </w:r>
      <w:bookmarkEnd w:id="720"/>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80"/>
        <w:gridCol w:w="7472"/>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169"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31"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«Раздел </w:t>
            </w:r>
            <w:r>
              <w:t xml:space="preserve">3. Расшифровка обязательства</w:t>
            </w:r>
            <w:r>
              <w:t xml:space="preserve">»</w:t>
            </w:r>
            <w:r/>
          </w:p>
        </w:tc>
      </w:tr>
      <w:tr>
        <w:trPr/>
        <w:tc>
          <w:tcPr>
            <w:shd w:val="clear" w:fill="auto" w:color="auto"/>
            <w:tcW w:w="1169" w:type="pct"/>
            <w:textDirection w:val="lrTb"/>
            <w:noWrap w:val="false"/>
          </w:tcPr>
          <w:p>
            <w:pPr>
              <w:pStyle w:val="1005"/>
              <w:ind w:left="57" w:right="57"/>
            </w:pPr>
            <w:r>
              <w:t xml:space="preserve">В валюте</w:t>
            </w:r>
            <w:r/>
          </w:p>
        </w:tc>
        <w:tc>
          <w:tcPr>
            <w:shd w:val="clear" w:fill="auto" w:color="auto"/>
            <w:tcW w:w="3831" w:type="pct"/>
            <w:textDirection w:val="lrTb"/>
            <w:noWrap w:val="false"/>
          </w:tcPr>
          <w:p>
            <w:pPr>
              <w:pStyle w:val="1005"/>
              <w:ind w:left="57" w:right="57"/>
            </w:pPr>
            <w:r>
              <w:t xml:space="preserve">Код: Отражается значение, указанное в поле «Валюта» раздела «Реквиз</w:t>
            </w:r>
            <w:r>
              <w:t xml:space="preserve">и</w:t>
            </w:r>
            <w:r>
              <w:t xml:space="preserve">ты документа-основания».</w:t>
            </w:r>
            <w:r/>
          </w:p>
          <w:p>
            <w:pPr>
              <w:pStyle w:val="1005"/>
              <w:ind w:left="57" w:right="57"/>
            </w:pPr>
            <w:r>
              <w:t xml:space="preserve">Наименование: Заполняется автоматически из справочника валют.</w:t>
            </w:r>
            <w:r/>
          </w:p>
        </w:tc>
      </w:tr>
      <w:tr>
        <w:trPr/>
        <w:tc>
          <w:tcPr>
            <w:gridSpan w:val="2"/>
            <w:shd w:val="clear" w:fill="auto" w:color="auto"/>
            <w:tcW w:w="5000" w:type="pct"/>
            <w:textDirection w:val="lrTb"/>
            <w:noWrap w:val="false"/>
          </w:tcPr>
          <w:p>
            <w:pPr>
              <w:pStyle w:val="1005"/>
              <w:ind w:left="57" w:right="57"/>
            </w:pPr>
            <w:r>
              <w:t xml:space="preserve">Группа поле</w:t>
            </w:r>
            <w:r>
              <w:t xml:space="preserve">й «Итоги в разрезе ОКС (КМИ)»</w:t>
            </w:r>
            <w:r>
              <w:t xml:space="preserve"> (табличное поле). </w:t>
            </w:r>
            <w:r/>
          </w:p>
          <w:p>
            <w:pPr>
              <w:pStyle w:val="1005"/>
              <w:ind w:left="57" w:right="57"/>
            </w:pPr>
            <w:r>
              <w:t xml:space="preserve">При создании документа в таблице автоматически создается строка с незаполненными реквизитами. При открытии закладки Раздела 5 пустая строка в таблице автоматически выделяется.</w:t>
            </w:r>
            <w:r/>
          </w:p>
        </w:tc>
      </w:tr>
      <w:tr>
        <w:trPr/>
        <w:tc>
          <w:tcPr>
            <w:shd w:val="clear" w:fill="auto" w:color="auto"/>
            <w:tcW w:w="1169" w:type="pct"/>
            <w:textDirection w:val="lrTb"/>
            <w:noWrap w:val="false"/>
          </w:tcPr>
          <w:p>
            <w:pPr>
              <w:pStyle w:val="1005"/>
              <w:ind w:left="57" w:right="57"/>
            </w:pPr>
            <w:r>
              <w:t xml:space="preserve">Код </w:t>
            </w:r>
            <w:r>
              <w:t xml:space="preserve">ОКС</w:t>
            </w:r>
            <w:r>
              <w:t xml:space="preserve"> (КМИ)</w:t>
            </w:r>
            <w:r/>
          </w:p>
        </w:tc>
        <w:tc>
          <w:tcPr>
            <w:shd w:val="clear" w:fill="auto" w:color="auto"/>
            <w:tcW w:w="3831" w:type="pct"/>
            <w:textDirection w:val="lrTb"/>
            <w:noWrap w:val="false"/>
          </w:tcPr>
          <w:p>
            <w:pPr>
              <w:pStyle w:val="1005"/>
              <w:ind w:left="57" w:right="57"/>
            </w:pPr>
            <w:r>
              <w:t xml:space="preserve">Значение заполняется вручную или выбором </w:t>
            </w:r>
            <w:r>
              <w:t xml:space="preserve">актуальной записи </w:t>
            </w:r>
            <w:r>
              <w:t xml:space="preserve">из справочника </w:t>
            </w:r>
            <w:r>
              <w:t xml:space="preserve">«</w:t>
            </w:r>
            <w:r>
              <w:t xml:space="preserve">ФАИП</w:t>
            </w:r>
            <w:r>
              <w:t xml:space="preserve">»</w:t>
            </w:r>
            <w:r>
              <w:t xml:space="preserve">, выводятся только записи справочника, у кот</w:t>
            </w:r>
            <w:r>
              <w:t xml:space="preserve">о</w:t>
            </w:r>
            <w:r>
              <w:t xml:space="preserve">рых </w:t>
            </w:r>
            <w:r>
              <w:t xml:space="preserve">«</w:t>
            </w:r>
            <w:r>
              <w:t xml:space="preserve">Код объекта ФАИП</w:t>
            </w:r>
            <w:r>
              <w:t xml:space="preserve">»</w:t>
            </w:r>
            <w:r>
              <w:t xml:space="preserve"> заполнен, а поле </w:t>
            </w:r>
            <w:r>
              <w:t xml:space="preserve">«</w:t>
            </w:r>
            <w:r>
              <w:t xml:space="preserve">Идентификатор этапа инвестир</w:t>
            </w:r>
            <w:r>
              <w:t xml:space="preserve">о</w:t>
            </w:r>
            <w:r>
              <w:t xml:space="preserve">вания по объекту ФАИП</w:t>
            </w:r>
            <w:r>
              <w:t xml:space="preserve">»</w:t>
            </w:r>
            <w:r>
              <w:t xml:space="preserve"> пустое</w:t>
            </w:r>
            <w:r>
              <w:t xml:space="preserve">, или выбором актуальной записи из справочника </w:t>
            </w:r>
            <w:r>
              <w:t xml:space="preserve">«</w:t>
            </w:r>
            <w:r>
              <w:t xml:space="preserve">Перечень мероприятий по информатизации</w:t>
            </w:r>
            <w:r>
              <w:t xml:space="preserve">»</w:t>
            </w:r>
            <w:r>
              <w:t xml:space="preserve">.</w:t>
            </w:r>
            <w:r/>
          </w:p>
          <w:p>
            <w:pPr>
              <w:pStyle w:val="1005"/>
              <w:ind w:left="57" w:right="57"/>
            </w:pPr>
            <w:r>
              <w:t xml:space="preserve">Для ОФК off-line заполняется вручную.</w:t>
            </w:r>
            <w:r/>
          </w:p>
          <w:p>
            <w:pPr>
              <w:pStyle w:val="1005"/>
              <w:ind w:left="57" w:right="57"/>
            </w:pPr>
            <w:r>
              <w:t xml:space="preserve">Может заполняться из родительского документа</w:t>
            </w:r>
            <w:r>
              <w:t xml:space="preserve">.</w:t>
            </w:r>
            <w:r/>
          </w:p>
        </w:tc>
      </w:tr>
      <w:tr>
        <w:trPr/>
        <w:tc>
          <w:tcPr>
            <w:shd w:val="clear" w:fill="auto" w:color="auto"/>
            <w:tcW w:w="1169" w:type="pct"/>
            <w:textDirection w:val="lrTb"/>
            <w:noWrap w:val="false"/>
          </w:tcPr>
          <w:p>
            <w:pPr>
              <w:pStyle w:val="1005"/>
              <w:ind w:left="57" w:right="57"/>
            </w:pPr>
            <w:r>
              <w:t xml:space="preserve">Наименование </w:t>
            </w:r>
            <w:r>
              <w:t xml:space="preserve">ОКС</w:t>
            </w:r>
            <w:r>
              <w:t xml:space="preserve"> </w:t>
            </w:r>
            <w:r>
              <w:t xml:space="preserve">(КМИ)</w:t>
            </w:r>
            <w:r/>
          </w:p>
        </w:tc>
        <w:tc>
          <w:tcPr>
            <w:shd w:val="clear" w:fill="auto" w:color="auto"/>
            <w:tcW w:w="3831" w:type="pct"/>
            <w:textDirection w:val="lrTb"/>
            <w:noWrap w:val="false"/>
          </w:tcPr>
          <w:p>
            <w:pPr>
              <w:pStyle w:val="1005"/>
              <w:ind w:left="57" w:right="57"/>
            </w:pPr>
            <w:r>
              <w:t xml:space="preserve">Заполняется автоматически по коду из справочника </w:t>
            </w:r>
            <w:r>
              <w:t xml:space="preserve">«</w:t>
            </w:r>
            <w:r>
              <w:t xml:space="preserve">ФАИП</w:t>
            </w:r>
            <w:r>
              <w:t xml:space="preserve">», или из спра</w:t>
            </w:r>
            <w:r>
              <w:t xml:space="preserve">вочника </w:t>
            </w:r>
            <w:r>
              <w:t xml:space="preserve">«</w:t>
            </w:r>
            <w:r>
              <w:t xml:space="preserve">Перечень мероприятий по информатизации</w:t>
            </w:r>
            <w:r>
              <w:t xml:space="preserve">»</w:t>
            </w:r>
            <w:r>
              <w:t xml:space="preserve">.</w:t>
            </w:r>
            <w:r/>
          </w:p>
          <w:p>
            <w:pPr>
              <w:pStyle w:val="1005"/>
              <w:ind w:left="57" w:right="57"/>
            </w:pPr>
            <w:r>
              <w:t xml:space="preserve">Может быть изменено пользователем вручную.</w:t>
            </w:r>
            <w:r/>
          </w:p>
          <w:p>
            <w:pPr>
              <w:pStyle w:val="1005"/>
              <w:ind w:left="57" w:right="57"/>
            </w:pPr>
            <w:r>
              <w:t xml:space="preserve">Для ОФК off-line заполняется вручную.</w:t>
            </w:r>
            <w:r/>
          </w:p>
          <w:p>
            <w:pPr>
              <w:pStyle w:val="1005"/>
              <w:ind w:left="57" w:right="57"/>
            </w:pPr>
            <w:r>
              <w:t xml:space="preserve">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Январь</w:t>
            </w:r>
            <w:r/>
          </w:p>
        </w:tc>
        <w:tc>
          <w:tcPr>
            <w:shd w:val="clear" w:fill="auto" w:color="auto"/>
            <w:tcW w:w="3831" w:type="pct"/>
            <w:textDirection w:val="lrTb"/>
            <w:noWrap w:val="false"/>
          </w:tcPr>
          <w:p>
            <w:pPr>
              <w:pStyle w:val="1005"/>
              <w:ind w:left="57" w:right="57"/>
            </w:pPr>
            <w:r>
              <w:t xml:space="preserve">Заполняется вручную. 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Февраль</w:t>
            </w:r>
            <w:r/>
          </w:p>
        </w:tc>
        <w:tc>
          <w:tcPr>
            <w:shd w:val="clear" w:fill="auto" w:color="auto"/>
            <w:tcW w:w="3831" w:type="pct"/>
            <w:textDirection w:val="lrTb"/>
            <w:noWrap w:val="false"/>
          </w:tcPr>
          <w:p>
            <w:pPr>
              <w:pStyle w:val="1005"/>
              <w:ind w:left="57" w:right="57"/>
            </w:pPr>
            <w:r>
              <w:t xml:space="preserve">Заполняется вручную. 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w:t>
            </w:r>
            <w:r/>
          </w:p>
        </w:tc>
        <w:tc>
          <w:tcPr>
            <w:shd w:val="clear" w:fill="auto" w:color="auto"/>
            <w:tcW w:w="3831" w:type="pct"/>
            <w:textDirection w:val="lrTb"/>
            <w:noWrap w:val="false"/>
          </w:tcPr>
          <w:p>
            <w:pPr>
              <w:pStyle w:val="1005"/>
              <w:ind w:left="57" w:right="57"/>
            </w:pPr>
            <w:r>
              <w:t xml:space="preserve">…</w:t>
            </w:r>
            <w:r/>
          </w:p>
        </w:tc>
      </w:tr>
      <w:tr>
        <w:trPr/>
        <w:tc>
          <w:tcPr>
            <w:shd w:val="clear" w:fill="auto" w:color="auto"/>
            <w:tcW w:w="1169" w:type="pct"/>
            <w:textDirection w:val="lrTb"/>
            <w:noWrap w:val="false"/>
          </w:tcPr>
          <w:p>
            <w:pPr>
              <w:pStyle w:val="1005"/>
              <w:ind w:left="57" w:right="57"/>
            </w:pPr>
            <w:r>
              <w:t xml:space="preserve">Декабрь</w:t>
            </w:r>
            <w:r/>
          </w:p>
        </w:tc>
        <w:tc>
          <w:tcPr>
            <w:shd w:val="clear" w:fill="auto" w:color="auto"/>
            <w:tcW w:w="3831" w:type="pct"/>
            <w:textDirection w:val="lrTb"/>
            <w:noWrap w:val="false"/>
          </w:tcPr>
          <w:p>
            <w:pPr>
              <w:pStyle w:val="1005"/>
              <w:ind w:left="57" w:right="57"/>
            </w:pPr>
            <w:r>
              <w:t xml:space="preserve">Заполняется вручную. 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Итого на текущий фин. </w:t>
            </w:r>
            <w:r>
              <w:t xml:space="preserve">Г</w:t>
            </w:r>
            <w:r>
              <w:t xml:space="preserve">од</w:t>
            </w:r>
            <w:r/>
          </w:p>
        </w:tc>
        <w:tc>
          <w:tcPr>
            <w:shd w:val="clear" w:fill="auto" w:color="auto"/>
            <w:tcW w:w="3831" w:type="pct"/>
            <w:textDirection w:val="lrTb"/>
            <w:noWrap w:val="false"/>
          </w:tcPr>
          <w:p>
            <w:pPr>
              <w:pStyle w:val="1005"/>
              <w:ind w:left="57" w:right="57"/>
            </w:pPr>
            <w:r>
              <w:t xml:space="preserve">Заполняется вручную. 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1-й год плана</w:t>
            </w:r>
            <w:r/>
          </w:p>
        </w:tc>
        <w:tc>
          <w:tcPr>
            <w:shd w:val="clear" w:fill="auto" w:color="auto"/>
            <w:tcW w:w="3831" w:type="pct"/>
            <w:textDirection w:val="lrTb"/>
            <w:noWrap w:val="false"/>
          </w:tcPr>
          <w:p>
            <w:pPr>
              <w:pStyle w:val="1005"/>
              <w:ind w:left="57" w:right="57"/>
            </w:pPr>
            <w:r>
              <w:t xml:space="preserve">Заполняется вручную. 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2-й год плана</w:t>
            </w:r>
            <w:r/>
          </w:p>
        </w:tc>
        <w:tc>
          <w:tcPr>
            <w:shd w:val="clear" w:fill="auto" w:color="auto"/>
            <w:tcW w:w="3831" w:type="pct"/>
            <w:textDirection w:val="lrTb"/>
            <w:noWrap w:val="false"/>
          </w:tcPr>
          <w:p>
            <w:pPr>
              <w:pStyle w:val="1005"/>
              <w:ind w:left="57" w:right="57"/>
            </w:pPr>
            <w:r>
              <w:t xml:space="preserve">Заполняется вручную. 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3-й год</w:t>
            </w:r>
            <w:r/>
          </w:p>
        </w:tc>
        <w:tc>
          <w:tcPr>
            <w:shd w:val="clear" w:fill="auto" w:color="auto"/>
            <w:tcW w:w="3831" w:type="pct"/>
            <w:textDirection w:val="lrTb"/>
            <w:noWrap w:val="false"/>
          </w:tcPr>
          <w:p>
            <w:pPr>
              <w:pStyle w:val="1005"/>
              <w:ind w:left="57" w:right="57"/>
            </w:pPr>
            <w:r>
              <w:t xml:space="preserve">Заполняется вручную. 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Последующие годы</w:t>
            </w:r>
            <w:r/>
          </w:p>
        </w:tc>
        <w:tc>
          <w:tcPr>
            <w:shd w:val="clear" w:fill="auto" w:color="auto"/>
            <w:tcW w:w="3831" w:type="pct"/>
            <w:textDirection w:val="lrTb"/>
            <w:noWrap w:val="false"/>
          </w:tcPr>
          <w:p>
            <w:pPr>
              <w:pStyle w:val="1005"/>
              <w:ind w:left="57" w:right="57"/>
            </w:pPr>
            <w:r>
              <w:t xml:space="preserve">Заполняется вручную. 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Дата выплаты по ИД</w:t>
            </w:r>
            <w:r/>
          </w:p>
        </w:tc>
        <w:tc>
          <w:tcPr>
            <w:shd w:val="clear" w:fill="auto" w:color="auto"/>
            <w:tcW w:w="3831" w:type="pct"/>
            <w:textDirection w:val="lrTb"/>
            <w:noWrap w:val="false"/>
          </w:tcPr>
          <w:p>
            <w:pPr>
              <w:pStyle w:val="1005"/>
              <w:ind w:left="57" w:right="57"/>
            </w:pPr>
            <w:r>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r/>
          </w:p>
          <w:p>
            <w:pPr>
              <w:pStyle w:val="1005"/>
              <w:ind w:left="57" w:right="57"/>
            </w:pPr>
            <w:r>
              <w:t xml:space="preserve">Допустимые значения от «01» до «31».</w:t>
            </w:r>
            <w:r/>
          </w:p>
        </w:tc>
      </w:tr>
      <w:tr>
        <w:trPr/>
        <w:tc>
          <w:tcPr>
            <w:gridSpan w:val="2"/>
            <w:shd w:val="clear" w:fill="auto" w:color="auto"/>
            <w:tcW w:w="5000" w:type="pct"/>
            <w:textDirection w:val="lrTb"/>
            <w:noWrap w:val="false"/>
          </w:tcPr>
          <w:p>
            <w:pPr>
              <w:pStyle w:val="1005"/>
              <w:ind w:left="57" w:right="57"/>
            </w:pPr>
            <w:r>
              <w:t xml:space="preserve">Группа полей «Расшифровка по КБК для текущих итогов (таблица является вложенной к итоговой строке по ФАИП)»</w:t>
            </w:r>
            <w:r/>
          </w:p>
        </w:tc>
      </w:tr>
      <w:tr>
        <w:trPr/>
        <w:tc>
          <w:tcPr>
            <w:shd w:val="clear" w:fill="auto" w:color="auto"/>
            <w:tcW w:w="1169" w:type="pct"/>
            <w:textDirection w:val="lrTb"/>
            <w:noWrap w:val="false"/>
          </w:tcPr>
          <w:p>
            <w:pPr>
              <w:pStyle w:val="1005"/>
              <w:ind w:left="57" w:right="57"/>
            </w:pPr>
            <w:r>
              <w:t xml:space="preserve">Код строки</w:t>
            </w:r>
            <w:r/>
          </w:p>
        </w:tc>
        <w:tc>
          <w:tcPr>
            <w:shd w:val="clear" w:fill="auto" w:color="auto"/>
            <w:tcW w:w="3831" w:type="pct"/>
            <w:textDirection w:val="lrTb"/>
            <w:noWrap w:val="false"/>
          </w:tcPr>
          <w:p>
            <w:pPr>
              <w:pStyle w:val="1005"/>
              <w:ind w:left="57" w:right="57"/>
            </w:pPr>
            <w:r>
              <w:t xml:space="preserve">Заполняется автоматически. Сквозная автонумерация.</w:t>
            </w:r>
            <w:r/>
          </w:p>
        </w:tc>
      </w:tr>
      <w:tr>
        <w:trPr/>
        <w:tc>
          <w:tcPr>
            <w:shd w:val="clear" w:fill="auto" w:color="auto"/>
            <w:tcW w:w="1169" w:type="pct"/>
            <w:textDirection w:val="lrTb"/>
            <w:noWrap w:val="false"/>
          </w:tcPr>
          <w:p>
            <w:pPr>
              <w:pStyle w:val="1005"/>
              <w:ind w:left="57" w:right="57"/>
            </w:pPr>
            <w:r>
              <w:t xml:space="preserve">Вид средств (код)</w:t>
            </w:r>
            <w:r/>
          </w:p>
        </w:tc>
        <w:tc>
          <w:tcPr>
            <w:shd w:val="clear" w:fill="auto" w:color="auto"/>
            <w:tcW w:w="3831" w:type="pct"/>
            <w:textDirection w:val="lrTb"/>
            <w:noWrap w:val="false"/>
          </w:tcPr>
          <w:p>
            <w:pPr>
              <w:pStyle w:val="1005"/>
              <w:ind w:left="57" w:right="57"/>
            </w:pPr>
            <w:r>
              <w:t xml:space="preserve">По умолчанию указывается значение – «10». Может быть изменено пользователем вручную или выбором из справочника «Источники финансирования». </w:t>
            </w:r>
            <w:r/>
          </w:p>
          <w:p>
            <w:pPr>
              <w:pStyle w:val="1005"/>
              <w:ind w:left="57" w:right="57"/>
            </w:pPr>
            <w:r>
              <w:t xml:space="preserve">Список значений, доступных для выбора пользователем ограничен следующими кодами: 10, 11.</w:t>
            </w:r>
            <w:r/>
          </w:p>
          <w:p>
            <w:pPr>
              <w:pStyle w:val="1005"/>
              <w:ind w:left="57" w:right="57"/>
            </w:pPr>
            <w:r>
              <w:t xml:space="preserve">Может заполняться из родительского документа.</w:t>
            </w:r>
            <w:r/>
          </w:p>
        </w:tc>
      </w:tr>
      <w:tr>
        <w:trPr>
          <w:trHeight w:val="604"/>
        </w:trPr>
        <w:tc>
          <w:tcPr>
            <w:shd w:val="clear" w:fill="auto" w:color="auto"/>
            <w:tcW w:w="1169" w:type="pct"/>
            <w:textDirection w:val="lrTb"/>
            <w:noWrap w:val="false"/>
          </w:tcPr>
          <w:p>
            <w:pPr>
              <w:pStyle w:val="1005"/>
              <w:ind w:left="57" w:right="57"/>
            </w:pPr>
            <w:r>
              <w:t xml:space="preserve">Вид средств (наименов</w:t>
            </w:r>
            <w:r>
              <w:t xml:space="preserve">а</w:t>
            </w:r>
            <w:r>
              <w:t xml:space="preserve">ние)</w:t>
            </w:r>
            <w:r/>
          </w:p>
          <w:p>
            <w:pPr>
              <w:pStyle w:val="1005"/>
              <w:ind w:left="57" w:right="57"/>
            </w:pPr>
            <w:r/>
            <w:r/>
          </w:p>
        </w:tc>
        <w:tc>
          <w:tcPr>
            <w:shd w:val="clear" w:fill="auto" w:color="auto"/>
            <w:tcW w:w="3831" w:type="pct"/>
            <w:textDirection w:val="lrTb"/>
            <w:noWrap w:val="false"/>
          </w:tcPr>
          <w:p>
            <w:pPr>
              <w:pStyle w:val="1005"/>
              <w:ind w:left="57" w:right="57"/>
            </w:pPr>
            <w:r>
              <w:t xml:space="preserve">Заполняется автоматически по коду из справочника «Источники финансирования».</w:t>
            </w:r>
            <w:r/>
          </w:p>
          <w:p>
            <w:pPr>
              <w:pStyle w:val="1005"/>
              <w:ind w:left="57" w:right="57"/>
            </w:pPr>
            <w:r>
              <w:t xml:space="preserve">Может быть изменено пользователем вручную.</w:t>
            </w:r>
            <w:r/>
          </w:p>
          <w:p>
            <w:pPr>
              <w:pStyle w:val="1005"/>
              <w:ind w:left="57" w:right="57"/>
            </w:pPr>
            <w:r>
              <w:t xml:space="preserve">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КБК</w:t>
            </w:r>
            <w:r/>
          </w:p>
        </w:tc>
        <w:tc>
          <w:tcPr>
            <w:shd w:val="clear" w:fill="auto" w:color="auto"/>
            <w:tcW w:w="3831" w:type="pct"/>
            <w:textDirection w:val="lrTb"/>
            <w:noWrap w:val="false"/>
          </w:tcPr>
          <w:p>
            <w:pPr>
              <w:pStyle w:val="1008"/>
              <w:numPr>
                <w:ilvl w:val="0"/>
                <w:numId w:val="54"/>
              </w:numPr>
            </w:pPr>
            <w:r>
              <w:t xml:space="preserve">Значение вводится вручную или выбирается из справочника КБК.</w:t>
            </w:r>
            <w:r/>
          </w:p>
          <w:p>
            <w:pPr>
              <w:pStyle w:val="1005"/>
              <w:ind w:left="57" w:right="57"/>
            </w:pPr>
            <w:r>
              <w:t xml:space="preserve">Д</w:t>
            </w:r>
            <w:r>
              <w:t xml:space="preserve">оступны КБК</w:t>
            </w:r>
            <w:r>
              <w:t xml:space="preserve">,</w:t>
            </w:r>
            <w:r>
              <w:t xml:space="preserve"> у которых значение типа – «10», «11», «12».</w:t>
            </w:r>
            <w:r/>
          </w:p>
          <w:p>
            <w:pPr>
              <w:pStyle w:val="1005"/>
              <w:ind w:left="57" w:right="57"/>
            </w:pPr>
            <w:r>
              <w:t xml:space="preserve">Может заполняться из родительского документа.</w:t>
            </w:r>
            <w:r/>
          </w:p>
          <w:p>
            <w:pPr>
              <w:pStyle w:val="1008"/>
            </w:pPr>
            <w:r>
              <w:t xml:space="preserve">Значение генерируется автоматически из заполненных значений по сегментам по алгоритм</w:t>
            </w:r>
            <w:r>
              <w:t xml:space="preserve">у</w:t>
            </w:r>
            <w:r>
              <w:t xml:space="preserve">: ППП + ФКР + КЦСР + КВР + КОСГУ.</w:t>
            </w:r>
            <w:r/>
          </w:p>
          <w:p>
            <w:pPr>
              <w:pStyle w:val="1005"/>
              <w:ind w:left="57" w:right="57"/>
            </w:pPr>
            <w:r>
              <w:t xml:space="preserve">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ППП</w:t>
            </w:r>
            <w:r/>
          </w:p>
        </w:tc>
        <w:tc>
          <w:tcPr>
            <w:shd w:val="clear" w:fill="auto" w:color="auto"/>
            <w:tcW w:w="3831" w:type="pct"/>
            <w:textDirection w:val="lrTb"/>
            <w:noWrap w:val="false"/>
          </w:tcPr>
          <w:p>
            <w:pPr>
              <w:pStyle w:val="1005"/>
              <w:ind w:left="57" w:right="57"/>
            </w:pPr>
            <w:r>
              <w:t xml:space="preserve">Значение вводится вручную или выбирается из справочника «Ведомс</w:t>
            </w:r>
            <w:r>
              <w:t xml:space="preserve">т</w:t>
            </w:r>
            <w:r>
              <w:t xml:space="preserve">венная структура».</w:t>
            </w:r>
            <w:r/>
          </w:p>
          <w:p>
            <w:pPr>
              <w:pStyle w:val="1005"/>
              <w:ind w:left="57" w:right="57"/>
            </w:pPr>
            <w:r>
              <w:t xml:space="preserve">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ФКР</w:t>
            </w:r>
            <w:r/>
          </w:p>
        </w:tc>
        <w:tc>
          <w:tcPr>
            <w:shd w:val="clear" w:fill="auto" w:color="auto"/>
            <w:tcW w:w="3831" w:type="pct"/>
            <w:textDirection w:val="lrTb"/>
            <w:noWrap w:val="false"/>
          </w:tcPr>
          <w:p>
            <w:pPr>
              <w:pStyle w:val="1005"/>
              <w:ind w:left="57" w:right="57"/>
            </w:pPr>
            <w:r>
              <w:t xml:space="preserve">Значение вводится вручную или выбирается из справочника разделов/подразделов.</w:t>
            </w:r>
            <w:r/>
          </w:p>
          <w:p>
            <w:pPr>
              <w:pStyle w:val="1005"/>
              <w:ind w:left="57" w:right="57"/>
            </w:pPr>
            <w:r>
              <w:t xml:space="preserve">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КЦСР</w:t>
            </w:r>
            <w:r/>
          </w:p>
        </w:tc>
        <w:tc>
          <w:tcPr>
            <w:shd w:val="clear" w:fill="auto" w:color="auto"/>
            <w:tcW w:w="3831" w:type="pct"/>
            <w:textDirection w:val="lrTb"/>
            <w:noWrap w:val="false"/>
          </w:tcPr>
          <w:p>
            <w:pPr>
              <w:pStyle w:val="1005"/>
              <w:ind w:left="57" w:right="57"/>
            </w:pPr>
            <w:r>
              <w:t xml:space="preserve">Значение вводится вручную или выбирается из справочника целевых ст</w:t>
            </w:r>
            <w:r>
              <w:t xml:space="preserve">а</w:t>
            </w:r>
            <w:r>
              <w:t xml:space="preserve">тей.</w:t>
            </w:r>
            <w:r/>
          </w:p>
          <w:p>
            <w:pPr>
              <w:pStyle w:val="1005"/>
              <w:ind w:left="57" w:right="57"/>
            </w:pPr>
            <w:r>
              <w:t xml:space="preserve">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КВР</w:t>
            </w:r>
            <w:r/>
          </w:p>
        </w:tc>
        <w:tc>
          <w:tcPr>
            <w:shd w:val="clear" w:fill="auto" w:color="auto"/>
            <w:tcW w:w="3831" w:type="pct"/>
            <w:textDirection w:val="lrTb"/>
            <w:noWrap w:val="false"/>
          </w:tcPr>
          <w:p>
            <w:pPr>
              <w:pStyle w:val="1005"/>
              <w:ind w:left="57" w:right="57"/>
            </w:pPr>
            <w:r>
              <w:t xml:space="preserve">Значение вводится вручную или выбирается из справочника видов расх</w:t>
            </w:r>
            <w:r>
              <w:t xml:space="preserve">о</w:t>
            </w:r>
            <w:r>
              <w:t xml:space="preserve">дов.</w:t>
            </w:r>
            <w:r/>
          </w:p>
          <w:p>
            <w:pPr>
              <w:pStyle w:val="1005"/>
              <w:ind w:left="57" w:right="57"/>
            </w:pPr>
            <w:r>
              <w:t xml:space="preserve">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КОСГУ</w:t>
            </w:r>
            <w:r/>
          </w:p>
        </w:tc>
        <w:tc>
          <w:tcPr>
            <w:shd w:val="clear" w:fill="auto" w:color="auto"/>
            <w:tcW w:w="3831" w:type="pct"/>
            <w:textDirection w:val="lrTb"/>
            <w:noWrap w:val="false"/>
          </w:tcPr>
          <w:p>
            <w:pPr>
              <w:pStyle w:val="1005"/>
              <w:ind w:left="57" w:right="57"/>
            </w:pPr>
            <w:r>
              <w:t xml:space="preserve">Значение может вводиться вручную, выбираться пользователем из справочника «Экономическая классификация».</w:t>
            </w:r>
            <w:r/>
          </w:p>
          <w:p>
            <w:pPr>
              <w:pStyle w:val="1005"/>
              <w:ind w:left="57" w:right="57"/>
            </w:pPr>
            <w:r>
              <w:t xml:space="preserve">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Аналитический код</w:t>
            </w:r>
            <w:r/>
          </w:p>
        </w:tc>
        <w:tc>
          <w:tcPr>
            <w:shd w:val="clear" w:fill="auto" w:color="auto"/>
            <w:tcW w:w="3831" w:type="pct"/>
            <w:textDirection w:val="lrTb"/>
            <w:noWrap w:val="false"/>
          </w:tcPr>
          <w:p>
            <w:pPr>
              <w:pStyle w:val="1005"/>
              <w:ind w:left="57" w:right="57"/>
            </w:pPr>
            <w:r>
              <w:t xml:space="preserve">Значение вводится вручную или выбирается из справочника кодов целей субсидий субвенций.</w:t>
            </w:r>
            <w:r/>
          </w:p>
          <w:p>
            <w:pPr>
              <w:pStyle w:val="1005"/>
              <w:ind w:left="57" w:right="57"/>
            </w:pPr>
            <w:r>
              <w:t xml:space="preserve">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Доп. КБК2</w:t>
            </w:r>
            <w:r/>
          </w:p>
        </w:tc>
        <w:tc>
          <w:tcPr>
            <w:shd w:val="clear" w:fill="auto" w:color="auto"/>
            <w:tcW w:w="3831" w:type="pct"/>
            <w:textDirection w:val="lrTb"/>
            <w:noWrap w:val="false"/>
          </w:tcPr>
          <w:p>
            <w:pPr>
              <w:pStyle w:val="1005"/>
              <w:ind w:left="57" w:right="57"/>
            </w:pPr>
            <w:r>
              <w:t xml:space="preserve">Значение вводится вручную или выбирается из справочника «Дополн</w:t>
            </w:r>
            <w:r>
              <w:t xml:space="preserve">е</w:t>
            </w:r>
            <w:r>
              <w:t xml:space="preserve">ние БК2».</w:t>
            </w:r>
            <w:r/>
          </w:p>
          <w:p>
            <w:pPr>
              <w:pStyle w:val="1005"/>
              <w:ind w:left="57" w:right="57"/>
            </w:pPr>
            <w:r>
              <w:t xml:space="preserve">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Доп. КБК3</w:t>
            </w:r>
            <w:r/>
          </w:p>
        </w:tc>
        <w:tc>
          <w:tcPr>
            <w:shd w:val="clear" w:fill="auto" w:color="auto"/>
            <w:tcW w:w="3831" w:type="pct"/>
            <w:textDirection w:val="lrTb"/>
            <w:noWrap w:val="false"/>
          </w:tcPr>
          <w:p>
            <w:pPr>
              <w:pStyle w:val="1005"/>
              <w:ind w:left="57" w:right="57"/>
            </w:pPr>
            <w:r>
              <w:t xml:space="preserve">Значение вводится вручную или выбирается из справочника «Дополн</w:t>
            </w:r>
            <w:r>
              <w:t xml:space="preserve">е</w:t>
            </w:r>
            <w:r>
              <w:t xml:space="preserve">ние БК3».</w:t>
            </w:r>
            <w:r/>
          </w:p>
          <w:p>
            <w:pPr>
              <w:pStyle w:val="1005"/>
              <w:ind w:left="57" w:right="57"/>
            </w:pPr>
            <w:r>
              <w:t xml:space="preserve">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Доп</w:t>
            </w:r>
            <w:r>
              <w:t xml:space="preserve">.</w:t>
            </w:r>
            <w:r>
              <w:t xml:space="preserve"> КБК4</w:t>
            </w:r>
            <w:r/>
          </w:p>
        </w:tc>
        <w:tc>
          <w:tcPr>
            <w:shd w:val="clear" w:fill="auto" w:color="auto"/>
            <w:tcW w:w="3831" w:type="pct"/>
            <w:textDirection w:val="lrTb"/>
            <w:noWrap w:val="false"/>
          </w:tcPr>
          <w:p>
            <w:pPr>
              <w:pStyle w:val="1005"/>
              <w:ind w:left="57" w:right="57"/>
            </w:pPr>
            <w:r>
              <w:t xml:space="preserve">Значение вводится вручную или выбирается из справочника «Дополн</w:t>
            </w:r>
            <w:r>
              <w:t xml:space="preserve">е</w:t>
            </w:r>
            <w:r>
              <w:t xml:space="preserve">ние БК4».</w:t>
            </w:r>
            <w:r/>
          </w:p>
          <w:p>
            <w:pPr>
              <w:pStyle w:val="1005"/>
              <w:ind w:left="57" w:right="57"/>
            </w:pPr>
            <w:r>
              <w:t xml:space="preserve">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Признак безусловности платежа</w:t>
            </w:r>
            <w:r/>
          </w:p>
        </w:tc>
        <w:tc>
          <w:tcPr>
            <w:shd w:val="clear" w:fill="auto" w:color="auto"/>
            <w:tcW w:w="3831" w:type="pct"/>
            <w:textDirection w:val="lrTb"/>
            <w:noWrap w:val="false"/>
          </w:tcPr>
          <w:p>
            <w:pPr>
              <w:pStyle w:val="1005"/>
              <w:ind w:left="57" w:right="57"/>
            </w:pPr>
            <w:r>
              <w:t xml:space="preserve">Указывается признак безусловности платежа выбором из списка. </w:t>
            </w:r>
            <w:r/>
          </w:p>
          <w:p>
            <w:pPr>
              <w:pStyle w:val="1005"/>
              <w:ind w:left="57" w:right="57"/>
            </w:pPr>
            <w:r>
              <w:t xml:space="preserve">Допустимые значения:</w:t>
            </w:r>
            <w:r/>
          </w:p>
          <w:p>
            <w:pPr>
              <w:pStyle w:val="1007"/>
            </w:pPr>
            <w:r>
              <w:t xml:space="preserve">0 – «безусловное»;</w:t>
            </w:r>
            <w:r/>
          </w:p>
          <w:p>
            <w:pPr>
              <w:pStyle w:val="1007"/>
            </w:pPr>
            <w:r>
              <w:t xml:space="preserve">1 – «условное».</w:t>
            </w:r>
            <w:r/>
          </w:p>
          <w:p>
            <w:pPr>
              <w:pStyle w:val="1005"/>
              <w:ind w:left="57" w:right="57"/>
            </w:pPr>
            <w:r>
              <w:t xml:space="preserve">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Сумма исполненной части обязательства пр</w:t>
            </w:r>
            <w:r>
              <w:t xml:space="preserve">о</w:t>
            </w:r>
            <w:r>
              <w:t xml:space="preserve">шлых лет</w:t>
            </w:r>
            <w:r/>
          </w:p>
        </w:tc>
        <w:tc>
          <w:tcPr>
            <w:shd w:val="clear" w:fill="auto" w:color="auto"/>
            <w:tcW w:w="3831"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w:t>
            </w:r>
            <w:r/>
          </w:p>
          <w:p>
            <w:pPr>
              <w:pStyle w:val="1005"/>
              <w:ind w:left="57" w:right="57"/>
            </w:pPr>
            <w:r>
              <w:t xml:space="preserve">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Сумма неисполненной части обязательства пр</w:t>
            </w:r>
            <w:r>
              <w:t xml:space="preserve">о</w:t>
            </w:r>
            <w:r>
              <w:t xml:space="preserve">шлых лет</w:t>
            </w:r>
            <w:r/>
          </w:p>
        </w:tc>
        <w:tc>
          <w:tcPr>
            <w:shd w:val="clear" w:fill="auto" w:color="auto"/>
            <w:tcW w:w="3831"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w:t>
            </w:r>
            <w:r/>
          </w:p>
          <w:p>
            <w:pPr>
              <w:pStyle w:val="1005"/>
              <w:ind w:left="57" w:right="57"/>
            </w:pPr>
            <w:r>
              <w:t xml:space="preserve">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Примечание</w:t>
            </w:r>
            <w:r/>
          </w:p>
        </w:tc>
        <w:tc>
          <w:tcPr>
            <w:shd w:val="clear" w:fill="auto" w:color="auto"/>
            <w:tcW w:w="3831" w:type="pct"/>
            <w:textDirection w:val="lrTb"/>
            <w:noWrap w:val="false"/>
          </w:tcPr>
          <w:p>
            <w:pPr>
              <w:pStyle w:val="1005"/>
              <w:ind w:left="57" w:right="57"/>
            </w:pPr>
            <w:r>
              <w:t xml:space="preserve">Значение вводится вручную.</w:t>
            </w:r>
            <w:r/>
          </w:p>
          <w:p>
            <w:pPr>
              <w:pStyle w:val="1005"/>
              <w:ind w:left="57" w:right="57"/>
            </w:pPr>
            <w:r>
              <w:t xml:space="preserve">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Текущий фин. </w:t>
            </w:r>
            <w:r>
              <w:t xml:space="preserve">Г</w:t>
            </w:r>
            <w:r>
              <w:t xml:space="preserve">од</w:t>
            </w:r>
            <w:r/>
          </w:p>
        </w:tc>
        <w:tc>
          <w:tcPr>
            <w:shd w:val="clear" w:fill="auto" w:color="auto"/>
            <w:tcW w:w="3831"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w:t>
            </w:r>
            <w:r/>
          </w:p>
          <w:p>
            <w:pPr>
              <w:pStyle w:val="1005"/>
              <w:ind w:left="57" w:right="57"/>
            </w:pPr>
            <w:r>
              <w:t xml:space="preserve">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1-й год плана</w:t>
            </w:r>
            <w:r/>
          </w:p>
        </w:tc>
        <w:tc>
          <w:tcPr>
            <w:shd w:val="clear" w:fill="auto" w:color="auto"/>
            <w:tcW w:w="3831"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w:t>
            </w:r>
            <w:r/>
          </w:p>
          <w:p>
            <w:pPr>
              <w:pStyle w:val="1005"/>
              <w:ind w:left="57" w:right="57"/>
            </w:pPr>
            <w:r>
              <w:t xml:space="preserve">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2-й год плана</w:t>
            </w:r>
            <w:r/>
          </w:p>
        </w:tc>
        <w:tc>
          <w:tcPr>
            <w:shd w:val="clear" w:fill="auto" w:color="auto"/>
            <w:tcW w:w="3831"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w:t>
            </w:r>
            <w:r/>
          </w:p>
          <w:p>
            <w:pPr>
              <w:pStyle w:val="1005"/>
              <w:ind w:left="57" w:right="57"/>
            </w:pPr>
            <w:r>
              <w:t xml:space="preserve">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3-й год</w:t>
            </w:r>
            <w:r/>
          </w:p>
        </w:tc>
        <w:tc>
          <w:tcPr>
            <w:shd w:val="clear" w:fill="auto" w:color="auto"/>
            <w:tcW w:w="3831"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w:t>
            </w:r>
            <w:r/>
          </w:p>
          <w:p>
            <w:pPr>
              <w:pStyle w:val="1005"/>
              <w:ind w:left="57" w:right="57"/>
            </w:pPr>
            <w:r>
              <w:t xml:space="preserve">Может заполняться из родительского документа.</w:t>
            </w:r>
            <w:r/>
          </w:p>
        </w:tc>
      </w:tr>
      <w:tr>
        <w:trPr>
          <w:trHeight w:val="389"/>
        </w:trPr>
        <w:tc>
          <w:tcPr>
            <w:shd w:val="clear" w:fill="auto" w:color="auto"/>
            <w:tcW w:w="1169" w:type="pct"/>
            <w:textDirection w:val="lrTb"/>
            <w:noWrap w:val="false"/>
          </w:tcPr>
          <w:p>
            <w:pPr>
              <w:pStyle w:val="1005"/>
              <w:ind w:left="57" w:right="57"/>
            </w:pPr>
            <w:r>
              <w:t xml:space="preserve">Последующие годы</w:t>
            </w:r>
            <w:r/>
          </w:p>
        </w:tc>
        <w:tc>
          <w:tcPr>
            <w:shd w:val="clear" w:fill="auto" w:color="auto"/>
            <w:tcW w:w="3831"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w:t>
            </w:r>
            <w:r/>
          </w:p>
          <w:p>
            <w:pPr>
              <w:pStyle w:val="1005"/>
              <w:ind w:left="57" w:right="57"/>
            </w:pPr>
            <w:r>
              <w:t xml:space="preserve">Может заполняться из родительского документа.</w:t>
            </w:r>
            <w:r/>
          </w:p>
        </w:tc>
      </w:tr>
      <w:tr>
        <w:trPr>
          <w:trHeight w:val="389"/>
        </w:trPr>
        <w:tc>
          <w:tcPr>
            <w:shd w:val="clear" w:fill="auto" w:color="auto"/>
            <w:tcW w:w="1169" w:type="pct"/>
            <w:textDirection w:val="lrTb"/>
            <w:noWrap w:val="false"/>
          </w:tcPr>
          <w:p>
            <w:pPr>
              <w:pStyle w:val="1005"/>
              <w:ind w:left="57" w:right="57"/>
            </w:pPr>
            <w:r>
              <w:t xml:space="preserve">Дата выплаты по ИД</w:t>
            </w:r>
            <w:r/>
          </w:p>
        </w:tc>
        <w:tc>
          <w:tcPr>
            <w:shd w:val="clear" w:fill="auto" w:color="auto"/>
            <w:tcW w:w="3831" w:type="pct"/>
            <w:textDirection w:val="lrTb"/>
            <w:noWrap w:val="false"/>
          </w:tcPr>
          <w:p>
            <w:pPr>
              <w:pStyle w:val="1005"/>
              <w:ind w:left="57" w:right="57"/>
            </w:pPr>
            <w:r>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r/>
          </w:p>
          <w:p>
            <w:pPr>
              <w:pStyle w:val="1005"/>
              <w:ind w:left="57" w:right="57"/>
            </w:pPr>
            <w:r>
              <w:t xml:space="preserve">Допустимые значения от «01» до «31».</w:t>
            </w:r>
            <w:r/>
          </w:p>
        </w:tc>
      </w:tr>
      <w:tr>
        <w:trPr/>
        <w:tc>
          <w:tcPr>
            <w:shd w:val="clear" w:fill="auto" w:color="auto"/>
            <w:tcW w:w="1169" w:type="pct"/>
            <w:textDirection w:val="lrTb"/>
            <w:noWrap w:val="false"/>
          </w:tcPr>
          <w:p>
            <w:pPr>
              <w:pStyle w:val="1005"/>
              <w:ind w:left="57" w:right="57"/>
            </w:pPr>
            <w:r>
              <w:t xml:space="preserve">Январь</w:t>
            </w:r>
            <w:r/>
          </w:p>
        </w:tc>
        <w:tc>
          <w:tcPr>
            <w:shd w:val="clear" w:fill="auto" w:color="auto"/>
            <w:tcW w:w="3831"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w:t>
            </w:r>
            <w:r/>
          </w:p>
          <w:p>
            <w:pPr>
              <w:pStyle w:val="1005"/>
              <w:ind w:left="57" w:right="57"/>
            </w:pPr>
            <w:r>
              <w:t xml:space="preserve">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Февраль</w:t>
            </w:r>
            <w:r/>
          </w:p>
        </w:tc>
        <w:tc>
          <w:tcPr>
            <w:shd w:val="clear" w:fill="auto" w:color="auto"/>
            <w:tcW w:w="3831"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w:t>
            </w:r>
            <w:r/>
          </w:p>
          <w:p>
            <w:pPr>
              <w:pStyle w:val="1005"/>
              <w:ind w:left="57" w:right="57"/>
            </w:pPr>
            <w:r>
              <w:t xml:space="preserve">Может заполняться из родительского документа.</w:t>
            </w:r>
            <w:r/>
          </w:p>
        </w:tc>
      </w:tr>
      <w:tr>
        <w:trPr/>
        <w:tc>
          <w:tcPr>
            <w:shd w:val="clear" w:fill="auto" w:color="auto"/>
            <w:tcW w:w="1169" w:type="pct"/>
            <w:textDirection w:val="lrTb"/>
            <w:noWrap w:val="false"/>
          </w:tcPr>
          <w:p>
            <w:pPr>
              <w:pStyle w:val="1005"/>
              <w:ind w:left="57" w:right="57"/>
            </w:pPr>
            <w:r>
              <w:t xml:space="preserve">…</w:t>
            </w:r>
            <w:r/>
          </w:p>
        </w:tc>
        <w:tc>
          <w:tcPr>
            <w:shd w:val="clear" w:fill="auto" w:color="auto"/>
            <w:tcW w:w="3831" w:type="pct"/>
            <w:textDirection w:val="lrTb"/>
            <w:noWrap w:val="false"/>
          </w:tcPr>
          <w:p>
            <w:pPr>
              <w:pStyle w:val="1005"/>
              <w:ind w:left="57" w:right="57"/>
            </w:pPr>
            <w:r>
              <w:t xml:space="preserve">…</w:t>
            </w:r>
            <w:r/>
          </w:p>
        </w:tc>
      </w:tr>
      <w:tr>
        <w:trPr/>
        <w:tc>
          <w:tcPr>
            <w:shd w:val="clear" w:fill="auto" w:color="auto"/>
            <w:tcW w:w="1169" w:type="pct"/>
            <w:textDirection w:val="lrTb"/>
            <w:noWrap w:val="false"/>
          </w:tcPr>
          <w:p>
            <w:pPr>
              <w:pStyle w:val="1005"/>
              <w:ind w:left="57" w:right="57"/>
            </w:pPr>
            <w:r>
              <w:t xml:space="preserve">Декабрь</w:t>
            </w:r>
            <w:r/>
          </w:p>
        </w:tc>
        <w:tc>
          <w:tcPr>
            <w:shd w:val="clear" w:fill="auto" w:color="auto"/>
            <w:tcW w:w="3831"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w:t>
            </w:r>
            <w:r/>
          </w:p>
          <w:p>
            <w:pPr>
              <w:pStyle w:val="1005"/>
              <w:ind w:left="57" w:right="57"/>
            </w:pPr>
            <w:r>
              <w:t xml:space="preserve">Может заполняться из родительского документа.</w:t>
            </w:r>
            <w:r/>
          </w:p>
        </w:tc>
      </w:tr>
      <w:tr>
        <w:trPr/>
        <w:tc>
          <w:tcPr>
            <w:gridSpan w:val="2"/>
            <w:shd w:val="clear" w:fill="auto" w:color="auto"/>
            <w:tcW w:w="5000" w:type="pct"/>
            <w:textDirection w:val="lrTb"/>
            <w:noWrap w:val="false"/>
          </w:tcPr>
          <w:p>
            <w:pPr>
              <w:pStyle w:val="1005"/>
              <w:ind w:left="57" w:right="57"/>
            </w:pPr>
            <w:r>
              <w:t xml:space="preserve">Группа полей «Контрольные суммы»</w:t>
            </w:r>
            <w:r/>
          </w:p>
        </w:tc>
      </w:tr>
      <w:tr>
        <w:trPr/>
        <w:tc>
          <w:tcPr>
            <w:shd w:val="clear" w:fill="auto" w:color="auto"/>
            <w:tcW w:w="1169" w:type="pct"/>
            <w:textDirection w:val="lrTb"/>
            <w:noWrap w:val="false"/>
          </w:tcPr>
          <w:p>
            <w:pPr>
              <w:pStyle w:val="1005"/>
              <w:ind w:left="57" w:right="57"/>
            </w:pPr>
            <w:r>
              <w:t xml:space="preserve">Сумма по документу-основанию</w:t>
            </w:r>
            <w:r/>
          </w:p>
        </w:tc>
        <w:tc>
          <w:tcPr>
            <w:shd w:val="clear" w:fill="auto" w:color="auto"/>
            <w:tcW w:w="3831" w:type="pct"/>
            <w:textDirection w:val="lrTb"/>
            <w:noWrap w:val="false"/>
          </w:tcPr>
          <w:p>
            <w:pPr>
              <w:pStyle w:val="1005"/>
              <w:ind w:left="57" w:right="57"/>
            </w:pPr>
            <w:r>
              <w:t xml:space="preserve">Значение заполняется автоматически и является равным полю «Сумма в валюте БО» (Раздел 1: Реквизиты документа-основания).</w:t>
            </w:r>
            <w:r/>
          </w:p>
        </w:tc>
      </w:tr>
      <w:tr>
        <w:trPr/>
        <w:tc>
          <w:tcPr>
            <w:shd w:val="clear" w:fill="auto" w:color="auto"/>
            <w:tcW w:w="1169" w:type="pct"/>
            <w:textDirection w:val="lrTb"/>
            <w:noWrap w:val="false"/>
          </w:tcPr>
          <w:p>
            <w:pPr>
              <w:pStyle w:val="1005"/>
              <w:ind w:left="57" w:right="57"/>
            </w:pPr>
            <w:r>
              <w:t xml:space="preserve">Сумма по расшифровке </w:t>
            </w:r>
            <w:r/>
          </w:p>
        </w:tc>
        <w:tc>
          <w:tcPr>
            <w:shd w:val="clear" w:fill="auto" w:color="auto"/>
            <w:tcW w:w="3831" w:type="pct"/>
            <w:textDirection w:val="lrTb"/>
            <w:noWrap w:val="false"/>
          </w:tcPr>
          <w:p>
            <w:pPr>
              <w:pStyle w:val="1005"/>
              <w:ind w:left="57" w:right="57"/>
            </w:pPr>
            <w:r>
              <w:t xml:space="preserve">Значение рассчитывается автоматически как сумма всех строк по всем г</w:t>
            </w:r>
            <w:r>
              <w:t xml:space="preserve">о</w:t>
            </w:r>
            <w:r>
              <w:t xml:space="preserve">дам всех подитогов по кодам ФАИП.</w:t>
            </w:r>
            <w:r/>
          </w:p>
        </w:tc>
      </w:tr>
      <w:tr>
        <w:trPr/>
        <w:tc>
          <w:tcPr>
            <w:shd w:val="clear" w:fill="auto" w:color="auto"/>
            <w:tcW w:w="1169" w:type="pct"/>
            <w:textDirection w:val="lrTb"/>
            <w:noWrap w:val="false"/>
          </w:tcPr>
          <w:p>
            <w:pPr>
              <w:pStyle w:val="1005"/>
              <w:ind w:left="57" w:right="57"/>
            </w:pPr>
            <w:r>
              <w:t xml:space="preserve">Отклонение </w:t>
            </w:r>
            <w:r/>
          </w:p>
        </w:tc>
        <w:tc>
          <w:tcPr>
            <w:shd w:val="clear" w:fill="auto" w:color="auto"/>
            <w:tcW w:w="3831" w:type="pct"/>
            <w:textDirection w:val="lrTb"/>
            <w:noWrap w:val="false"/>
          </w:tcPr>
          <w:p>
            <w:pPr>
              <w:pStyle w:val="1005"/>
              <w:ind w:left="57" w:right="57"/>
            </w:pPr>
            <w:r>
              <w:t xml:space="preserve">Значение рассчитывается автоматически. </w:t>
            </w:r>
            <w:r/>
          </w:p>
          <w:p>
            <w:pPr>
              <w:pStyle w:val="1005"/>
              <w:ind w:left="57" w:right="57"/>
            </w:pPr>
            <w:r>
              <w:t xml:space="preserve">Сравнивается значение, указанное в заголовке и сумма всех строк по всем годам. Значение выводится по модулю.</w:t>
            </w:r>
            <w:r/>
          </w:p>
        </w:tc>
      </w:tr>
      <w:tr>
        <w:trPr/>
        <w:tc>
          <w:tcPr>
            <w:shd w:val="clear" w:fill="auto" w:color="auto"/>
            <w:tcW w:w="1169" w:type="pct"/>
            <w:textDirection w:val="lrTb"/>
            <w:noWrap w:val="false"/>
          </w:tcPr>
          <w:p>
            <w:pPr>
              <w:pStyle w:val="1005"/>
              <w:ind w:left="57" w:right="57"/>
            </w:pPr>
            <w:r>
              <w:t xml:space="preserve">Код вида расхода по авансу</w:t>
            </w:r>
            <w:r/>
          </w:p>
        </w:tc>
        <w:tc>
          <w:tcPr>
            <w:shd w:val="clear" w:fill="auto" w:color="auto"/>
            <w:tcW w:w="3831" w:type="pct"/>
            <w:textDirection w:val="lrTb"/>
            <w:noWrap w:val="false"/>
          </w:tcPr>
          <w:p>
            <w:pPr>
              <w:pStyle w:val="1005"/>
              <w:ind w:left="57" w:right="57"/>
            </w:pPr>
            <w:r>
              <w:t xml:space="preserve">Указывается код вида расходов по авансу.</w:t>
            </w:r>
            <w:r/>
          </w:p>
        </w:tc>
      </w:tr>
    </w:tbl>
    <w:p>
      <w:pPr>
        <w:pStyle w:val="994"/>
      </w:pPr>
      <w:r>
        <w:t xml:space="preserve">На закладке «Раздел </w:t>
      </w:r>
      <w:r>
        <w:t xml:space="preserve">3</w:t>
      </w:r>
      <w:r>
        <w:t xml:space="preserve"> (</w:t>
      </w:r>
      <w:r>
        <w:t xml:space="preserve">2</w:t>
      </w:r>
      <w:r>
        <w:t xml:space="preserve">)» (см.</w:t>
      </w:r>
      <w:r>
        <w:t xml:space="preserve"> </w:t>
      </w:r>
      <w:r>
        <w:t xml:space="preserve">рис. </w:t>
      </w:r>
      <w:r>
        <w:fldChar w:fldCharType="begin"/>
      </w:r>
      <w:r>
        <w:instrText xml:space="preserve"> REF _Ref231048110 \h  \* MERGEFORMAT </w:instrText>
      </w:r>
      <w:r>
        <w:fldChar w:fldCharType="separate"/>
      </w:r>
      <w:r>
        <w:t xml:space="preserve">75</w:t>
      </w:r>
      <w:r>
        <w:fldChar w:fldCharType="end"/>
      </w:r>
      <w:r>
        <w:t xml:space="preserve">) экранной формы документа «Сведения об обязательстве» содержится табличный блок «Раздел </w:t>
      </w:r>
      <w:r>
        <w:t xml:space="preserve">3</w:t>
      </w:r>
      <w:r>
        <w:t xml:space="preserve">. Расшифровка обязательства в валюте БО».</w:t>
      </w:r>
      <w:r>
        <w:t xml:space="preserve"> </w:t>
      </w:r>
      <w:r>
        <w:t xml:space="preserve">Для добавления строки расшифровки в список следует нажать на кнопку </w:t>
      </w:r>
      <w:r>
        <mc:AlternateContent>
          <mc:Choice Requires="wpg">
            <w:drawing>
              <wp:inline xmlns:wp="http://schemas.openxmlformats.org/drawingml/2006/wordprocessingDrawing" distT="0" distB="0" distL="0" distR="0">
                <wp:extent cx="182880" cy="182880"/>
                <wp:effectExtent l="0" t="0" r="0" b="0"/>
                <wp:docPr id="14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 o:spid="_x0000_s147" type="#_x0000_t75" style="mso-wrap-distance-left:0.0pt;mso-wrap-distance-top:0.0pt;mso-wrap-distance-right:0.0pt;mso-wrap-distance-bottom:0.0pt;width:14.4pt;height:14.4pt;" stroked="f">
                <v:path textboxrect="0,0,0,0"/>
                <v:imagedata r:id="rId80" o:title=""/>
              </v:shape>
            </w:pict>
          </mc:Fallback>
        </mc:AlternateContent>
      </w:r>
      <w:r>
        <w:t xml:space="preserve"> </w:t>
      </w:r>
      <w:r>
        <w:t xml:space="preserve">(Добавить новую строку)</w:t>
      </w:r>
      <w:r>
        <w:t xml:space="preserve">. Открое</w:t>
      </w:r>
      <w:r>
        <w:t xml:space="preserve">тся форма «Добавление записи»</w:t>
      </w:r>
      <w:r>
        <w:t xml:space="preserve"> (рис. </w:t>
      </w:r>
      <w:r>
        <w:fldChar w:fldCharType="begin"/>
      </w:r>
      <w:r>
        <w:instrText xml:space="preserve"> REF _Ref231049117 \h  \* MERGEFORMAT </w:instrText>
      </w:r>
      <w:r>
        <w:fldChar w:fldCharType="separate"/>
      </w:r>
      <w:r>
        <w:t xml:space="preserve">76</w:t>
      </w:r>
      <w:r>
        <w:fldChar w:fldCharType="end"/>
      </w:r>
      <w:r>
        <w:t xml:space="preserve">). </w:t>
      </w:r>
      <w:r/>
    </w:p>
    <w:p>
      <w:pPr>
        <w:pStyle w:val="982"/>
      </w:pPr>
      <w:r>
        <mc:AlternateContent>
          <mc:Choice Requires="wpg">
            <w:drawing>
              <wp:inline xmlns:wp="http://schemas.openxmlformats.org/drawingml/2006/wordprocessingDrawing" distT="0" distB="0" distL="0" distR="0">
                <wp:extent cx="6126480" cy="6850380"/>
                <wp:effectExtent l="0" t="0" r="0" b="0"/>
                <wp:docPr id="14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42"/>
                        <a:stretch/>
                      </pic:blipFill>
                      <pic:spPr bwMode="auto">
                        <a:xfrm>
                          <a:off x="0" y="0"/>
                          <a:ext cx="6126480" cy="68503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 o:spid="_x0000_s148" type="#_x0000_t75" style="mso-wrap-distance-left:0.0pt;mso-wrap-distance-top:0.0pt;mso-wrap-distance-right:0.0pt;mso-wrap-distance-bottom:0.0pt;width:482.4pt;height:539.4pt;" stroked="f">
                <v:path textboxrect="0,0,0,0"/>
                <v:imagedata r:id="rId142" o:title=""/>
              </v:shape>
            </w:pict>
          </mc:Fallback>
        </mc:AlternateContent>
      </w:r>
      <w:r/>
    </w:p>
    <w:p>
      <w:pPr>
        <w:pStyle w:val="983"/>
      </w:pPr>
      <w:r>
        <w:fldChar w:fldCharType="begin"/>
      </w:r>
      <w:r>
        <w:instrText xml:space="preserve"> SEQ Рисунок \* ARABIC </w:instrText>
      </w:r>
      <w:r>
        <w:fldChar w:fldCharType="separate"/>
      </w:r>
      <w:bookmarkStart w:id="721" w:name="_Ref231049117"/>
      <w:r/>
      <w:bookmarkStart w:id="722" w:name="_Toc88819461"/>
      <w:r>
        <w:t xml:space="preserve">76</w:t>
      </w:r>
      <w:bookmarkEnd w:id="721"/>
      <w:r>
        <w:fldChar w:fldCharType="end"/>
      </w:r>
      <w:r>
        <w:t xml:space="preserve">. </w:t>
      </w:r>
      <w:r>
        <w:t xml:space="preserve">Форма «Добавление записи»</w:t>
      </w:r>
      <w:bookmarkEnd w:id="722"/>
      <w:r/>
      <w:r/>
    </w:p>
    <w:p>
      <w:pPr>
        <w:pStyle w:val="994"/>
      </w:pPr>
      <w:r>
        <w:t xml:space="preserve">На форме «Добавление записи» вручную вводятся следующие реквизиты:</w:t>
      </w:r>
      <w:r/>
    </w:p>
    <w:p>
      <w:pPr>
        <w:pStyle w:val="985"/>
      </w:pPr>
      <w:r>
        <w:t xml:space="preserve">«Вид средств» – код и наименование вида деятельности в соответствии со справоч</w:t>
      </w:r>
      <w:r>
        <w:t xml:space="preserve">ником видов деятельности;</w:t>
      </w:r>
      <w:r/>
    </w:p>
    <w:p>
      <w:pPr>
        <w:pStyle w:val="985"/>
      </w:pPr>
      <w:r>
        <w:t xml:space="preserve">г</w:t>
      </w:r>
      <w:r>
        <w:t xml:space="preserve">руппа полей «КБК»:</w:t>
      </w:r>
      <w:r/>
    </w:p>
    <w:p>
      <w:pPr>
        <w:pStyle w:val="986"/>
      </w:pPr>
      <w:r>
        <w:t xml:space="preserve">«КБК» – код бюджетной классификации плательщика («Код главы» + «ФКР» + «КЦСР» + «КВР» + «КОСГУ», либо</w:t>
      </w:r>
      <w:r>
        <w:t xml:space="preserve"> «Код главы» + «Вид источника»);</w:t>
      </w:r>
      <w:r/>
    </w:p>
    <w:p>
      <w:pPr>
        <w:pStyle w:val="986"/>
      </w:pPr>
      <w:r>
        <w:t xml:space="preserve">«ППП» – код ведомственной структуры;</w:t>
      </w:r>
      <w:r/>
    </w:p>
    <w:p>
      <w:pPr>
        <w:pStyle w:val="986"/>
      </w:pPr>
      <w:r>
        <w:t xml:space="preserve">б</w:t>
      </w:r>
      <w:r>
        <w:t xml:space="preserve">лок полей «Расходы» содержит следующие поля (Поля необязательны для заполнения, если введен код по БК): </w:t>
      </w:r>
      <w:r/>
    </w:p>
    <w:p>
      <w:pPr>
        <w:pStyle w:val="987"/>
      </w:pPr>
      <w:r>
        <w:t xml:space="preserve">«ФКР» – код функци</w:t>
      </w:r>
      <w:r>
        <w:t xml:space="preserve">ональной классификации расходов;</w:t>
      </w:r>
      <w:r/>
    </w:p>
    <w:p>
      <w:pPr>
        <w:pStyle w:val="987"/>
      </w:pPr>
      <w:r>
        <w:t xml:space="preserve">«КЦСР» – </w:t>
      </w:r>
      <w:r>
        <w:t xml:space="preserve">код целевой статьи расходов;</w:t>
      </w:r>
      <w:r/>
    </w:p>
    <w:p>
      <w:pPr>
        <w:pStyle w:val="987"/>
      </w:pPr>
      <w:r>
        <w:t xml:space="preserve">«КВР» – код вида расходов;</w:t>
      </w:r>
      <w:r/>
    </w:p>
    <w:p>
      <w:pPr>
        <w:pStyle w:val="987"/>
      </w:pPr>
      <w:r>
        <w:t xml:space="preserve">«КОСГУ» – </w:t>
      </w:r>
      <w:r>
        <w:t xml:space="preserve">код экономической классификации;</w:t>
      </w:r>
      <w:r/>
    </w:p>
    <w:p>
      <w:pPr>
        <w:pStyle w:val="985"/>
      </w:pPr>
      <w:r>
        <w:t xml:space="preserve">«Код цели» – код и наиме</w:t>
      </w:r>
      <w:r>
        <w:t xml:space="preserve">нование цели субсидий/субвенций;</w:t>
      </w:r>
      <w:r/>
    </w:p>
    <w:p>
      <w:pPr>
        <w:pStyle w:val="985"/>
      </w:pPr>
      <w:r>
        <w:t xml:space="preserve">«Доп. КБК2» – код </w:t>
      </w:r>
      <w:r>
        <w:t xml:space="preserve">по справочнику «Дополнение БК2»;</w:t>
      </w:r>
      <w:r/>
    </w:p>
    <w:p>
      <w:pPr>
        <w:pStyle w:val="985"/>
      </w:pPr>
      <w:r>
        <w:t xml:space="preserve">«Доп. КБК3» – код по справочнику «Дополнение БК3»</w:t>
      </w:r>
      <w:r>
        <w:t xml:space="preserve">;</w:t>
      </w:r>
      <w:r/>
    </w:p>
    <w:p>
      <w:pPr>
        <w:pStyle w:val="985"/>
      </w:pPr>
      <w:r>
        <w:t xml:space="preserve">«Доп. КБК4» – код </w:t>
      </w:r>
      <w:r>
        <w:t xml:space="preserve">по справочнику «Дополнение БК4»;</w:t>
      </w:r>
      <w:r/>
    </w:p>
    <w:p>
      <w:pPr>
        <w:pStyle w:val="985"/>
      </w:pPr>
      <w:r>
        <w:t xml:space="preserve">«Предмет документа основания»;</w:t>
      </w:r>
      <w:r/>
    </w:p>
    <w:p>
      <w:pPr>
        <w:pStyle w:val="985"/>
      </w:pPr>
      <w:r>
        <w:t xml:space="preserve">«Примечание»;</w:t>
      </w:r>
      <w:r/>
    </w:p>
    <w:p>
      <w:pPr>
        <w:pStyle w:val="985"/>
      </w:pPr>
      <w:r>
        <w:t xml:space="preserve">г</w:t>
      </w:r>
      <w:r>
        <w:t xml:space="preserve">руппа полей: «Текущий фин. </w:t>
      </w:r>
      <w:r>
        <w:t xml:space="preserve">Г</w:t>
      </w:r>
      <w:r>
        <w:t xml:space="preserve">од», «1-й год плана», «2-й год плана», «3-й год», «Последующие годы»</w:t>
      </w:r>
      <w:r>
        <w:t xml:space="preserve"> </w:t>
      </w:r>
      <w:r>
        <w:t xml:space="preserve">– </w:t>
      </w:r>
      <w:r>
        <w:t xml:space="preserve">в</w:t>
      </w:r>
      <w:r>
        <w:t xml:space="preserve">водятся итоговые суммы БО по строке документа на 1-й – пос</w:t>
      </w:r>
      <w:r>
        <w:t xml:space="preserve">ледующие плановые года;</w:t>
      </w:r>
      <w:r/>
    </w:p>
    <w:p>
      <w:pPr>
        <w:pStyle w:val="985"/>
      </w:pPr>
      <w:r>
        <w:t xml:space="preserve">г</w:t>
      </w:r>
      <w:r>
        <w:t xml:space="preserve">руппа полей «График оплаты»</w:t>
      </w:r>
      <w:r>
        <w:t xml:space="preserve"> </w:t>
      </w:r>
      <w:r>
        <w:t xml:space="preserve">–</w:t>
      </w:r>
      <w:r>
        <w:t xml:space="preserve"> з</w:t>
      </w:r>
      <w:r>
        <w:t xml:space="preserve">аполняется расписание оплаты по месяцам для текущего года.</w:t>
      </w:r>
      <w:r/>
    </w:p>
    <w:p>
      <w:pPr>
        <w:pStyle w:val="994"/>
      </w:pPr>
      <w:r>
        <w:t xml:space="preserve">ЭФ </w:t>
      </w:r>
      <w:r>
        <w:t xml:space="preserve">документа «Сведения об обязательстве», закладки «Подписи (</w:t>
      </w:r>
      <w:r>
        <w:t xml:space="preserve">3</w:t>
      </w:r>
      <w:r>
        <w:t xml:space="preserve">)»</w:t>
      </w:r>
      <w:r>
        <w:t xml:space="preserve"> представлена н</w:t>
      </w:r>
      <w:r>
        <w:t xml:space="preserve">а рисунке</w:t>
      </w:r>
      <w:r>
        <w:t xml:space="preserve"> </w:t>
      </w:r>
      <w:r>
        <w:fldChar w:fldCharType="begin"/>
      </w:r>
      <w:r>
        <w:instrText xml:space="preserve"> REF _Ref355609384 \h  \* MERGEFORMAT </w:instrText>
      </w:r>
      <w:r>
        <w:fldChar w:fldCharType="separate"/>
      </w:r>
      <w:r>
        <w:t xml:space="preserve">77</w:t>
      </w:r>
      <w:r>
        <w:fldChar w:fldCharType="end"/>
      </w:r>
      <w:r>
        <w:t xml:space="preserve">.</w:t>
      </w:r>
      <w:r/>
    </w:p>
    <w:p>
      <w:pPr>
        <w:pStyle w:val="982"/>
      </w:pPr>
      <w:r>
        <mc:AlternateContent>
          <mc:Choice Requires="wpg">
            <w:drawing>
              <wp:inline xmlns:wp="http://schemas.openxmlformats.org/drawingml/2006/wordprocessingDrawing" distT="0" distB="0" distL="0" distR="0">
                <wp:extent cx="5951220" cy="914400"/>
                <wp:effectExtent l="0" t="0" r="0" b="0"/>
                <wp:docPr id="15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43"/>
                        <a:stretch/>
                      </pic:blipFill>
                      <pic:spPr bwMode="auto">
                        <a:xfrm>
                          <a:off x="0" y="0"/>
                          <a:ext cx="5951220" cy="9144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 o:spid="_x0000_s149" type="#_x0000_t75" style="mso-wrap-distance-left:0.0pt;mso-wrap-distance-top:0.0pt;mso-wrap-distance-right:0.0pt;mso-wrap-distance-bottom:0.0pt;width:468.6pt;height:72.0pt;" stroked="f">
                <v:path textboxrect="0,0,0,0"/>
                <v:imagedata r:id="rId143" o:title=""/>
              </v:shape>
            </w:pict>
          </mc:Fallback>
        </mc:AlternateContent>
      </w:r>
      <w:r/>
    </w:p>
    <w:p>
      <w:pPr>
        <w:pStyle w:val="983"/>
      </w:pPr>
      <w:r>
        <w:fldChar w:fldCharType="begin"/>
      </w:r>
      <w:r>
        <w:instrText xml:space="preserve"> SEQ Рисунок \* ARABIC </w:instrText>
      </w:r>
      <w:r>
        <w:fldChar w:fldCharType="separate"/>
      </w:r>
      <w:bookmarkStart w:id="723" w:name="_Ref355609384"/>
      <w:r/>
      <w:bookmarkStart w:id="724" w:name="_Toc88819462"/>
      <w:r>
        <w:t xml:space="preserve">77</w:t>
      </w:r>
      <w:bookmarkEnd w:id="723"/>
      <w:r>
        <w:fldChar w:fldCharType="end"/>
      </w:r>
      <w:r>
        <w:t xml:space="preserve">. ЭФ документа «Сведения об обязательстве</w:t>
      </w:r>
      <w:r>
        <w:t xml:space="preserve">», закладки «</w:t>
      </w:r>
      <w:r>
        <w:t xml:space="preserve">Подписи (</w:t>
      </w:r>
      <w:r>
        <w:t xml:space="preserve">3</w:t>
      </w:r>
      <w:r>
        <w:t xml:space="preserve">)»</w:t>
      </w:r>
      <w:bookmarkEnd w:id="724"/>
      <w:r/>
      <w:r/>
    </w:p>
    <w:p>
      <w:pPr>
        <w:pStyle w:val="994"/>
      </w:pPr>
      <w:r>
        <w:t xml:space="preserve">П</w:t>
      </w:r>
      <w:r>
        <w:t xml:space="preserve">е</w:t>
      </w:r>
      <w:r>
        <w:t xml:space="preserve">речень полей </w:t>
      </w:r>
      <w:r>
        <w:t xml:space="preserve">документа «Сведения об обяз</w:t>
      </w:r>
      <w:r>
        <w:t xml:space="preserve">ательстве», закладки «Подписи (3</w:t>
      </w:r>
      <w:r>
        <w:t xml:space="preserve">)»</w:t>
      </w:r>
      <w:r>
        <w:t xml:space="preserve"> </w:t>
      </w:r>
      <w:r>
        <w:t xml:space="preserve">приведен в таблице</w:t>
      </w:r>
      <w:r>
        <w:t xml:space="preserve"> </w:t>
      </w:r>
      <w:r>
        <w:fldChar w:fldCharType="begin"/>
      </w:r>
      <w:r>
        <w:instrText xml:space="preserve"> REF _Ref357177633 \h  \* MERGEFORMAT </w:instrText>
      </w:r>
      <w:r>
        <w:fldChar w:fldCharType="separate"/>
      </w:r>
      <w:r>
        <w:t xml:space="preserve">37</w:t>
      </w:r>
      <w:r>
        <w:fldChar w:fldCharType="end"/>
      </w:r>
      <w:r>
        <w:t xml:space="preserve">.</w:t>
      </w:r>
      <w:r/>
    </w:p>
    <w:p>
      <w:pPr>
        <w:pStyle w:val="993"/>
      </w:pPr>
      <w:r>
        <w:fldChar w:fldCharType="begin"/>
      </w:r>
      <w:r>
        <w:instrText xml:space="preserve"> SEQ Таблица \* ARABIC </w:instrText>
      </w:r>
      <w:r>
        <w:fldChar w:fldCharType="separate"/>
      </w:r>
      <w:bookmarkStart w:id="725" w:name="_Ref357177633"/>
      <w:r/>
      <w:bookmarkStart w:id="726" w:name="_Toc88819223"/>
      <w:r>
        <w:t xml:space="preserve">37</w:t>
      </w:r>
      <w:bookmarkEnd w:id="725"/>
      <w:r>
        <w:fldChar w:fldCharType="end"/>
      </w:r>
      <w:r>
        <w:t xml:space="preserve">. </w:t>
      </w:r>
      <w:r>
        <w:t xml:space="preserve">Описание</w:t>
      </w:r>
      <w:r>
        <w:t xml:space="preserve"> полей </w:t>
      </w:r>
      <w:r>
        <w:t xml:space="preserve">документа «Сведения об обязательстве», закладки «Подписи (</w:t>
      </w:r>
      <w:r>
        <w:t xml:space="preserve">3</w:t>
      </w:r>
      <w:r>
        <w:t xml:space="preserve">)»</w:t>
      </w:r>
      <w:bookmarkEnd w:id="726"/>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621"/>
        <w:gridCol w:w="7131"/>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344" w:type="pct"/>
            <w:vAlign w:val="center"/>
            <w:textDirection w:val="lrTb"/>
            <w:noWrap w:val="false"/>
          </w:tcPr>
          <w:p>
            <w:pPr>
              <w:pStyle w:val="1006"/>
            </w:pPr>
            <w:r>
              <w:t xml:space="preserve">На</w:t>
            </w:r>
            <w:r>
              <w:t xml:space="preserve">имено</w:t>
            </w:r>
            <w:r>
              <w:t xml:space="preserve">вание поля</w:t>
            </w:r>
            <w:r/>
          </w:p>
        </w:tc>
        <w:tc>
          <w:tcPr>
            <w:shd w:val="clear" w:fill="E6E6E6" w:color="auto"/>
            <w:tcBorders>
              <w:left w:val="single" w:sz="4" w:space="0" w:color="auto"/>
              <w:top w:val="single" w:sz="4" w:space="0" w:color="auto"/>
              <w:right w:val="single" w:sz="4" w:space="0" w:color="auto"/>
              <w:bottom w:val="single" w:sz="4" w:space="0" w:color="auto"/>
            </w:tcBorders>
            <w:tcW w:w="3656"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Группа полей «Руководитель (уполн.</w:t>
            </w:r>
            <w:r>
              <w:t xml:space="preserve"> </w:t>
            </w:r>
            <w:r>
              <w:t xml:space="preserve">Л</w:t>
            </w:r>
            <w:r>
              <w:t xml:space="preserve">ицо)»</w:t>
            </w:r>
            <w:r/>
          </w:p>
        </w:tc>
      </w:tr>
      <w:tr>
        <w:trPr/>
        <w:tc>
          <w:tcPr>
            <w:shd w:val="clear" w:fill="auto" w:color="auto"/>
            <w:tcW w:w="1344" w:type="pct"/>
            <w:textDirection w:val="lrTb"/>
            <w:noWrap w:val="false"/>
          </w:tcPr>
          <w:p>
            <w:pPr>
              <w:pStyle w:val="1005"/>
              <w:ind w:left="57" w:right="57"/>
            </w:pPr>
            <w:r>
              <w:t xml:space="preserve">Должность</w:t>
            </w:r>
            <w:r/>
          </w:p>
        </w:tc>
        <w:tc>
          <w:tcPr>
            <w:shd w:val="clear" w:fill="auto" w:color="auto"/>
            <w:tcW w:w="3656" w:type="pct"/>
            <w:textDirection w:val="lrTb"/>
            <w:noWrap w:val="false"/>
          </w:tcPr>
          <w:p>
            <w:pPr>
              <w:pStyle w:val="1005"/>
              <w:ind w:left="57" w:right="57"/>
            </w:pPr>
            <w:r>
              <w:t xml:space="preserve">Для АРМ. Заполняется автоматически при подписании ЭП данными подписанта. </w:t>
            </w:r>
            <w:r/>
          </w:p>
        </w:tc>
      </w:tr>
      <w:tr>
        <w:trPr/>
        <w:tc>
          <w:tcPr>
            <w:shd w:val="clear" w:fill="auto" w:color="auto"/>
            <w:tcW w:w="1344" w:type="pct"/>
            <w:textDirection w:val="lrTb"/>
            <w:noWrap w:val="false"/>
          </w:tcPr>
          <w:p>
            <w:pPr>
              <w:pStyle w:val="1005"/>
              <w:ind w:left="57" w:right="57"/>
            </w:pPr>
            <w:r>
              <w:t xml:space="preserve">Расшифровка подписи</w:t>
            </w:r>
            <w:r/>
          </w:p>
        </w:tc>
        <w:tc>
          <w:tcPr>
            <w:shd w:val="clear" w:fill="auto" w:color="auto"/>
            <w:tcW w:w="3656" w:type="pct"/>
            <w:textDirection w:val="lrTb"/>
            <w:noWrap w:val="false"/>
          </w:tcPr>
          <w:p>
            <w:pPr>
              <w:pStyle w:val="1005"/>
              <w:ind w:left="57" w:right="57"/>
            </w:pPr>
            <w:r>
              <w:t xml:space="preserve">Для АРМ. Заполняется автоматически при подписании ЭП данными подписанта.</w:t>
            </w:r>
            <w:r/>
          </w:p>
        </w:tc>
      </w:tr>
      <w:tr>
        <w:trPr/>
        <w:tc>
          <w:tcPr>
            <w:shd w:val="clear" w:fill="auto" w:color="auto"/>
            <w:tcW w:w="1344" w:type="pct"/>
            <w:textDirection w:val="lrTb"/>
            <w:noWrap w:val="false"/>
          </w:tcPr>
          <w:p>
            <w:pPr>
              <w:pStyle w:val="1005"/>
              <w:ind w:left="57" w:right="57"/>
            </w:pPr>
            <w:r>
              <w:t xml:space="preserve">Дата подписания</w:t>
            </w:r>
            <w:r/>
          </w:p>
        </w:tc>
        <w:tc>
          <w:tcPr>
            <w:shd w:val="clear" w:fill="auto" w:color="auto"/>
            <w:tcW w:w="3656" w:type="pct"/>
            <w:textDirection w:val="lrTb"/>
            <w:noWrap w:val="false"/>
          </w:tcPr>
          <w:p>
            <w:pPr>
              <w:pStyle w:val="1005"/>
              <w:ind w:left="57" w:right="57"/>
            </w:pPr>
            <w:r>
              <w:t xml:space="preserve">Для АРМ. Заполняется автоматически при подписании ЭП данными подписанта.</w:t>
            </w:r>
            <w:r/>
          </w:p>
        </w:tc>
      </w:tr>
      <w:tr>
        <w:trPr/>
        <w:tc>
          <w:tcPr>
            <w:shd w:val="clear" w:fill="auto" w:color="auto"/>
            <w:tcW w:w="1344" w:type="pct"/>
            <w:textDirection w:val="lrTb"/>
            <w:noWrap w:val="false"/>
          </w:tcPr>
          <w:p>
            <w:pPr>
              <w:pStyle w:val="1005"/>
              <w:ind w:left="57" w:right="57"/>
            </w:pPr>
            <w:r>
              <w:t xml:space="preserve">Срок оплаты</w:t>
            </w:r>
            <w:r/>
          </w:p>
        </w:tc>
        <w:tc>
          <w:tcPr>
            <w:shd w:val="clear" w:fill="auto" w:color="auto"/>
            <w:tcW w:w="3656" w:type="pct"/>
            <w:textDirection w:val="lrTb"/>
            <w:noWrap w:val="false"/>
          </w:tcPr>
          <w:p>
            <w:pPr>
              <w:pStyle w:val="1005"/>
              <w:ind w:left="57" w:right="57"/>
            </w:pPr>
            <w:r>
              <w:t xml:space="preserve">Срок оплаты.</w:t>
            </w:r>
            <w:r/>
          </w:p>
        </w:tc>
      </w:tr>
      <w:tr>
        <w:trPr/>
        <w:tc>
          <w:tcPr>
            <w:shd w:val="clear" w:fill="auto" w:color="auto"/>
            <w:tcW w:w="1344" w:type="pct"/>
            <w:textDirection w:val="lrTb"/>
            <w:noWrap w:val="false"/>
          </w:tcPr>
          <w:p>
            <w:pPr>
              <w:pStyle w:val="1005"/>
              <w:ind w:left="57" w:right="57"/>
            </w:pPr>
            <w:r>
              <w:t xml:space="preserve">ФИО ответственного за конфиденциальность данных</w:t>
            </w:r>
            <w:r/>
          </w:p>
        </w:tc>
        <w:tc>
          <w:tcPr>
            <w:shd w:val="clear" w:fill="auto" w:color="auto"/>
            <w:tcW w:w="3656" w:type="pct"/>
            <w:textDirection w:val="lrTb"/>
            <w:noWrap w:val="false"/>
          </w:tcPr>
          <w:p>
            <w:pPr>
              <w:pStyle w:val="1005"/>
              <w:ind w:left="57" w:right="57"/>
            </w:pPr>
            <w:r>
              <w:t xml:space="preserve">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конфиденциальности» значением «0» или «1».</w:t>
            </w:r>
            <w:r>
              <w:t xml:space="preserve"> </w:t>
            </w:r>
            <w:r/>
          </w:p>
          <w:p>
            <w:pPr>
              <w:pStyle w:val="1005"/>
              <w:ind w:left="57" w:right="57"/>
            </w:pPr>
            <w:r>
              <w:t xml:space="preserve">Для ОФК off-line заполняется вручную.</w:t>
            </w:r>
            <w:r/>
          </w:p>
        </w:tc>
      </w:tr>
    </w:tbl>
    <w:p>
      <w:pPr>
        <w:pStyle w:val="972"/>
      </w:pPr>
      <w:r/>
      <w:bookmarkStart w:id="727" w:name="_Ref357697219"/>
      <w:r/>
      <w:bookmarkStart w:id="728" w:name="_Toc422496711"/>
      <w:r/>
      <w:bookmarkStart w:id="729" w:name="_Toc88819110"/>
      <w:r>
        <w:t xml:space="preserve">Заявка на внесение изменений в обязательство</w:t>
      </w:r>
      <w:bookmarkEnd w:id="675"/>
      <w:r/>
      <w:bookmarkEnd w:id="676"/>
      <w:r/>
      <w:bookmarkEnd w:id="677"/>
      <w:r/>
      <w:bookmarkEnd w:id="678"/>
      <w:r/>
      <w:bookmarkEnd w:id="679"/>
      <w:r/>
      <w:bookmarkEnd w:id="680"/>
      <w:r/>
      <w:bookmarkEnd w:id="681"/>
      <w:r/>
      <w:bookmarkEnd w:id="727"/>
      <w:r/>
      <w:bookmarkEnd w:id="728"/>
      <w:r/>
      <w:bookmarkEnd w:id="729"/>
      <w:r/>
      <w:r/>
    </w:p>
    <w:p>
      <w:pPr>
        <w:pStyle w:val="994"/>
      </w:pPr>
      <w:r>
        <w:t xml:space="preserve">Пользователь в случае необходимости может внести изменения в ранее зарегистрированное бюджетное обязательство</w:t>
      </w:r>
      <w:r>
        <w:t xml:space="preserve">,</w:t>
      </w:r>
      <w:r>
        <w:t xml:space="preserve"> оформив документ «Заявка на внесение изменений в обязательство (исходящие)». </w:t>
      </w:r>
      <w:r>
        <w:t xml:space="preserve">ЭД «Заявка на внесение изменений в бюджетное обязательство </w:t>
      </w:r>
      <w:r>
        <w:t xml:space="preserve">(исходящие)» создается на основании родительского документа «Сведения об обязательстве». При этом регистрационный номер у </w:t>
      </w:r>
      <w:r>
        <w:t xml:space="preserve">ЭД </w:t>
      </w:r>
      <w:r>
        <w:t xml:space="preserve">«Заявк</w:t>
      </w:r>
      <w:r>
        <w:t xml:space="preserve">а</w:t>
      </w:r>
      <w:r>
        <w:t xml:space="preserve"> на внесение изменений в бюджетное обязательство» б</w:t>
      </w:r>
      <w:r>
        <w:t xml:space="preserve">у</w:t>
      </w:r>
      <w:r>
        <w:t xml:space="preserve">дет тот же, что и у родительского документа.</w:t>
      </w:r>
      <w:r/>
    </w:p>
    <w:p>
      <w:pPr>
        <w:pStyle w:val="994"/>
      </w:pPr>
      <w:r>
        <w:t xml:space="preserve">Документ «Заявка на внесение изменений в бюджетное обязательство (входящие)», сформированный ОрФК на основании информации об исполнительном документе, представленной казенным учреждением, предоставляется ОрФК получателям бюджетных средств.</w:t>
      </w:r>
      <w:r/>
    </w:p>
    <w:p>
      <w:pPr>
        <w:pStyle w:val="994"/>
      </w:pPr>
      <w:r>
        <w:t xml:space="preserve">Для визуализации связи между документом «Заявка на внесение изменений в обязательство» и документами «Заявка на кассовый расход», «Заявка на кассовый расход (сокращенная)», «Заявка на получение наличных денег», «</w:t>
      </w:r>
      <w:r>
        <w:t xml:space="preserve">Заявка на получение денежных средств, перечисляемых на карту</w:t>
      </w:r>
      <w:r>
        <w:t xml:space="preserve">», «Сведения о бюджетном обязательстве» и «Заявка на перерегистрацию бюджетного обязательства» в </w:t>
      </w:r>
      <w:r>
        <w:t xml:space="preserve">ППО СУФД АСФК</w:t>
      </w:r>
      <w:r>
        <w:t xml:space="preserve"> на ЭФ списка документов «Заявка на внесение изменений в о</w:t>
      </w:r>
      <w:r>
        <w:t xml:space="preserve">бязательство (исходящие)» (рис.</w:t>
      </w:r>
      <w:r>
        <w:t xml:space="preserve"> </w:t>
      </w:r>
      <w:r>
        <w:fldChar w:fldCharType="begin"/>
      </w:r>
      <w:r>
        <w:instrText xml:space="preserve"> REF _Ref225593505 \h  \* MERGEFORMAT </w:instrText>
      </w:r>
      <w:r>
        <w:fldChar w:fldCharType="separate"/>
      </w:r>
      <w:r>
        <w:t xml:space="preserve">78</w:t>
      </w:r>
      <w:r>
        <w:fldChar w:fldCharType="end"/>
      </w:r>
      <w:r>
        <w:t xml:space="preserve">)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r/>
    </w:p>
    <w:p>
      <w:pPr>
        <w:pStyle w:val="985"/>
      </w:pPr>
      <w:r>
        <w:t xml:space="preserve">Тип документа;</w:t>
      </w:r>
      <w:r/>
    </w:p>
    <w:p>
      <w:pPr>
        <w:pStyle w:val="985"/>
      </w:pPr>
      <w:r>
        <w:t xml:space="preserve">Номер;</w:t>
      </w:r>
      <w:r/>
    </w:p>
    <w:p>
      <w:pPr>
        <w:pStyle w:val="985"/>
      </w:pPr>
      <w:r>
        <w:t xml:space="preserve">Дата;</w:t>
      </w:r>
      <w:r/>
    </w:p>
    <w:p>
      <w:pPr>
        <w:pStyle w:val="985"/>
      </w:pPr>
      <w:r>
        <w:t xml:space="preserve">Глава по БК;</w:t>
      </w:r>
      <w:r/>
    </w:p>
    <w:p>
      <w:pPr>
        <w:pStyle w:val="985"/>
      </w:pPr>
      <w:r>
        <w:t xml:space="preserve">Статус.</w:t>
      </w:r>
      <w:r/>
    </w:p>
    <w:p>
      <w:pPr>
        <w:pStyle w:val="994"/>
      </w:pPr>
      <w:r>
        <w:t xml:space="preserve">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внесение изменений в обязательство» к ЭФ связанного документа.</w:t>
      </w:r>
      <w:r/>
    </w:p>
    <w:p>
      <w:pPr>
        <w:pStyle w:val="994"/>
      </w:pPr>
      <w:r>
        <w:t xml:space="preserve">Из вкладки «Связ</w:t>
      </w:r>
      <w:r>
        <w:t xml:space="preserve">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внесение изменений в обязательство». Операции «Санкционировать» и «Отказать» описаны в п.</w:t>
      </w:r>
      <w:r>
        <w:t xml:space="preserve"> </w:t>
      </w:r>
      <w:r>
        <w:fldChar w:fldCharType="begin"/>
      </w:r>
      <w:r>
        <w:instrText xml:space="preserve"> REF _Ref370314948 \r \h </w:instrText>
      </w:r>
      <w:r>
        <w:fldChar w:fldCharType="separate"/>
      </w:r>
      <w:r>
        <w:t xml:space="preserve">3.3.1</w:t>
      </w:r>
      <w:r>
        <w:fldChar w:fldCharType="end"/>
      </w:r>
      <w:r>
        <w:t xml:space="preserve">.</w:t>
      </w:r>
      <w:r/>
    </w:p>
    <w:p>
      <w:pPr>
        <w:pStyle w:val="994"/>
      </w:pPr>
      <w:r>
        <w:t xml:space="preserve">Для работы с документами «Заявка на в</w:t>
      </w:r>
      <w:r>
        <w:t xml:space="preserve">несение изменений в обязательство» (исходящие) следует перейти в пункт меню «Документы – Регистрация и учет обязательств – Карточки учета БО – Заявка на внесение изменений в обязательство (исходящие)». Откроется ЭФ списка документов, представленная на рису</w:t>
      </w:r>
      <w:r>
        <w:t xml:space="preserve">н</w:t>
      </w:r>
      <w:r>
        <w:t xml:space="preserve">ке </w:t>
      </w:r>
      <w:r>
        <w:fldChar w:fldCharType="begin"/>
      </w:r>
      <w:r>
        <w:instrText xml:space="preserve"> REF _Ref225593505 \h  \* MERGEFORMAT </w:instrText>
      </w:r>
      <w:r>
        <w:fldChar w:fldCharType="separate"/>
      </w:r>
      <w:r>
        <w:t xml:space="preserve">78</w:t>
      </w:r>
      <w:r>
        <w:fldChar w:fldCharType="end"/>
      </w:r>
      <w:r>
        <w:t xml:space="preserve">.</w:t>
      </w:r>
      <w:r/>
    </w:p>
    <w:p>
      <w:pPr>
        <w:pStyle w:val="994"/>
      </w:pPr>
      <w:r>
        <w:t xml:space="preserve">Для работы с документами «Заявка на внесение изменений в обязательство (входящие)» следует перейти в пункт меню «Документы – Регистрация и учет обязательств – Карточки учета БО – Заявка на внесение изменений в</w:t>
      </w:r>
      <w:r>
        <w:t xml:space="preserve"> </w:t>
      </w:r>
      <w:r>
        <w:t xml:space="preserve">обязательство (входящие)».</w:t>
      </w:r>
      <w:r/>
    </w:p>
    <w:p>
      <w:pPr>
        <w:pStyle w:val="982"/>
      </w:pPr>
      <w:r>
        <mc:AlternateContent>
          <mc:Choice Requires="wpg">
            <w:drawing>
              <wp:inline xmlns:wp="http://schemas.openxmlformats.org/drawingml/2006/wordprocessingDrawing" distT="0" distB="0" distL="0" distR="0">
                <wp:extent cx="6126480" cy="3025140"/>
                <wp:effectExtent l="0" t="0" r="0" b="0"/>
                <wp:docPr id="15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44"/>
                        <a:stretch/>
                      </pic:blipFill>
                      <pic:spPr bwMode="auto">
                        <a:xfrm>
                          <a:off x="0" y="0"/>
                          <a:ext cx="6126480" cy="30251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 o:spid="_x0000_s150" type="#_x0000_t75" style="mso-wrap-distance-left:0.0pt;mso-wrap-distance-top:0.0pt;mso-wrap-distance-right:0.0pt;mso-wrap-distance-bottom:0.0pt;width:482.4pt;height:238.2pt;" stroked="f">
                <v:path textboxrect="0,0,0,0"/>
                <v:imagedata r:id="rId144" o:title=""/>
              </v:shape>
            </w:pict>
          </mc:Fallback>
        </mc:AlternateContent>
      </w:r>
      <w:r/>
    </w:p>
    <w:p>
      <w:pPr>
        <w:pStyle w:val="983"/>
      </w:pPr>
      <w:r>
        <w:fldChar w:fldCharType="begin"/>
      </w:r>
      <w:r>
        <w:instrText xml:space="preserve"> SEQ Рисунок \* ARABIC </w:instrText>
      </w:r>
      <w:r>
        <w:fldChar w:fldCharType="separate"/>
      </w:r>
      <w:bookmarkStart w:id="730" w:name="_Ref225593505"/>
      <w:r/>
      <w:bookmarkStart w:id="731" w:name="_Toc88819463"/>
      <w:r>
        <w:t xml:space="preserve">78</w:t>
      </w:r>
      <w:bookmarkEnd w:id="730"/>
      <w:r>
        <w:fldChar w:fldCharType="end"/>
      </w:r>
      <w:r>
        <w:t xml:space="preserve">. </w:t>
      </w:r>
      <w:r>
        <w:t xml:space="preserve">ЭФ списка</w:t>
      </w:r>
      <w:r>
        <w:t xml:space="preserve"> документов «Заявка на внесение изменений в обязательство (исходящие)»</w:t>
      </w:r>
      <w:bookmarkEnd w:id="731"/>
      <w:r/>
      <w:r/>
    </w:p>
    <w:p>
      <w:pPr>
        <w:pStyle w:val="973"/>
      </w:pPr>
      <w:r/>
      <w:bookmarkStart w:id="732" w:name="_Toc232827373"/>
      <w:r>
        <w:t xml:space="preserve">Доступные операции</w:t>
      </w:r>
      <w:bookmarkEnd w:id="732"/>
      <w:r/>
      <w:r/>
    </w:p>
    <w:p>
      <w:pPr>
        <w:pStyle w:val="994"/>
      </w:pPr>
      <w:r>
        <w:t xml:space="preserve">На АРМ ФО доступны следующие операции над документом:</w:t>
      </w:r>
      <w:r/>
    </w:p>
    <w:p>
      <w:pPr>
        <w:pStyle w:val="985"/>
      </w:pPr>
      <w:r/>
      <w:bookmarkStart w:id="733" w:name="_Toc232827374"/>
      <w:r>
        <w:t xml:space="preserve">Для исходящих документов:</w:t>
      </w:r>
      <w:r/>
    </w:p>
    <w:p>
      <w:pPr>
        <w:pStyle w:val="986"/>
      </w:pPr>
      <w:r>
        <w:t xml:space="preserve">просмотр</w:t>
      </w:r>
      <w:r>
        <w:t xml:space="preserve">;</w:t>
      </w:r>
      <w:r/>
    </w:p>
    <w:p>
      <w:pPr>
        <w:pStyle w:val="986"/>
      </w:pPr>
      <w:r>
        <w:t xml:space="preserve">удаление;</w:t>
      </w:r>
      <w:r/>
    </w:p>
    <w:p>
      <w:pPr>
        <w:pStyle w:val="986"/>
      </w:pPr>
      <w:r>
        <w:t xml:space="preserve">подписание, просмотр и удаление </w:t>
      </w:r>
      <w:r>
        <w:t xml:space="preserve">ЭП</w:t>
      </w:r>
      <w:r>
        <w:t xml:space="preserve">;</w:t>
      </w:r>
      <w:r/>
    </w:p>
    <w:p>
      <w:pPr>
        <w:pStyle w:val="986"/>
      </w:pPr>
      <w:r>
        <w:t xml:space="preserve">печать;</w:t>
      </w:r>
      <w:r/>
    </w:p>
    <w:p>
      <w:pPr>
        <w:pStyle w:val="986"/>
      </w:pPr>
      <w:r>
        <w:t xml:space="preserve">экспорт во внешнюю систему;</w:t>
      </w:r>
      <w:r/>
    </w:p>
    <w:p>
      <w:pPr>
        <w:pStyle w:val="986"/>
      </w:pPr>
      <w:r>
        <w:t xml:space="preserve">отправка в УФК;</w:t>
      </w:r>
      <w:r/>
    </w:p>
    <w:p>
      <w:pPr>
        <w:pStyle w:val="986"/>
      </w:pPr>
      <w:r>
        <w:t xml:space="preserve">статистика.</w:t>
      </w:r>
      <w:r/>
    </w:p>
    <w:p>
      <w:pPr>
        <w:pStyle w:val="985"/>
      </w:pPr>
      <w:r>
        <w:t xml:space="preserve">Для в</w:t>
      </w:r>
      <w:r>
        <w:t xml:space="preserve">ходящих документов:</w:t>
      </w:r>
      <w:r/>
    </w:p>
    <w:p>
      <w:pPr>
        <w:pStyle w:val="986"/>
      </w:pPr>
      <w:r>
        <w:t xml:space="preserve">просмотр;</w:t>
      </w:r>
      <w:r/>
    </w:p>
    <w:p>
      <w:pPr>
        <w:pStyle w:val="986"/>
      </w:pPr>
      <w:r>
        <w:t xml:space="preserve">проверка </w:t>
      </w:r>
      <w:r>
        <w:t xml:space="preserve">ЭП</w:t>
      </w:r>
      <w:r>
        <w:t xml:space="preserve">;</w:t>
      </w:r>
      <w:r/>
    </w:p>
    <w:p>
      <w:pPr>
        <w:pStyle w:val="986"/>
      </w:pPr>
      <w:r>
        <w:t xml:space="preserve">печать;</w:t>
      </w:r>
      <w:r/>
    </w:p>
    <w:p>
      <w:pPr>
        <w:pStyle w:val="986"/>
      </w:pPr>
      <w:r>
        <w:t xml:space="preserve">экспорт в </w:t>
      </w:r>
      <w:r>
        <w:t xml:space="preserve">OEBS</w:t>
      </w:r>
      <w:r>
        <w:t xml:space="preserve">.</w:t>
      </w:r>
      <w:r/>
    </w:p>
    <w:p>
      <w:pPr>
        <w:pStyle w:val="985"/>
      </w:pPr>
      <w:r>
        <w:t xml:space="preserve">Для </w:t>
      </w:r>
      <w:r>
        <w:t xml:space="preserve">транзитных</w:t>
      </w:r>
      <w:r>
        <w:t xml:space="preserve"> документов:</w:t>
      </w:r>
      <w:r/>
    </w:p>
    <w:p>
      <w:pPr>
        <w:pStyle w:val="986"/>
      </w:pPr>
      <w:r>
        <w:t xml:space="preserve">просмотр;</w:t>
      </w:r>
      <w:r/>
    </w:p>
    <w:p>
      <w:pPr>
        <w:pStyle w:val="986"/>
      </w:pPr>
      <w:r>
        <w:t xml:space="preserve">подписание и </w:t>
      </w:r>
      <w:r>
        <w:t xml:space="preserve">проверка ЭП;</w:t>
      </w:r>
      <w:r/>
    </w:p>
    <w:p>
      <w:pPr>
        <w:pStyle w:val="986"/>
      </w:pPr>
      <w:r>
        <w:t xml:space="preserve">печать;</w:t>
      </w:r>
      <w:r/>
    </w:p>
    <w:p>
      <w:pPr>
        <w:pStyle w:val="986"/>
      </w:pPr>
      <w:r>
        <w:t xml:space="preserve">экспорт в OEBS.</w:t>
      </w:r>
      <w:r/>
    </w:p>
    <w:p>
      <w:pPr>
        <w:pStyle w:val="973"/>
      </w:pPr>
      <w:r>
        <w:t xml:space="preserve">Экранная форма документа</w:t>
      </w:r>
      <w:bookmarkEnd w:id="733"/>
      <w:r/>
      <w:r/>
    </w:p>
    <w:p>
      <w:pPr>
        <w:pStyle w:val="994"/>
      </w:pPr>
      <w:r>
        <w:t xml:space="preserve">ЭФ документа «Заявка на внес</w:t>
      </w:r>
      <w:r>
        <w:t xml:space="preserve">ение изменений в обязательство</w:t>
      </w:r>
      <w:r>
        <w:t xml:space="preserve">» представлена на рисунке </w:t>
      </w:r>
      <w:r>
        <w:fldChar w:fldCharType="begin"/>
      </w:r>
      <w:r>
        <w:instrText xml:space="preserve"> REF _Ref225593942 \h  \* MERGEFORMAT </w:instrText>
      </w:r>
      <w:r>
        <w:fldChar w:fldCharType="separate"/>
      </w:r>
      <w:r>
        <w:t xml:space="preserve">79</w:t>
      </w:r>
      <w:r>
        <w:fldChar w:fldCharType="end"/>
      </w:r>
      <w:r>
        <w:t xml:space="preserve">. По структуре и содержанию она аналогична форме документа «Сведения об обяза</w:t>
      </w:r>
      <w:r>
        <w:t xml:space="preserve">тельстве (исходящие)» (см.</w:t>
      </w:r>
      <w:r>
        <w:t xml:space="preserve"> </w:t>
      </w:r>
      <w:r>
        <w:t xml:space="preserve">рис. </w:t>
      </w:r>
      <w:r>
        <w:fldChar w:fldCharType="begin"/>
      </w:r>
      <w:r>
        <w:instrText xml:space="preserve"> REF _Ref225587553 \h  \* MERGEFORMAT </w:instrText>
      </w:r>
      <w:r>
        <w:fldChar w:fldCharType="separate"/>
      </w:r>
      <w:r>
        <w:t xml:space="preserve">74</w:t>
      </w:r>
      <w:r>
        <w:fldChar w:fldCharType="end"/>
      </w:r>
      <w:r>
        <w:t xml:space="preserve">). Форма содержит следующие закладки:</w:t>
      </w:r>
      <w:r/>
    </w:p>
    <w:p>
      <w:pPr>
        <w:pStyle w:val="985"/>
      </w:pPr>
      <w:r>
        <w:t xml:space="preserve">«Заголовок, раздел 1,2 (1)»;</w:t>
      </w:r>
      <w:r/>
    </w:p>
    <w:p>
      <w:pPr>
        <w:pStyle w:val="985"/>
      </w:pPr>
      <w:r>
        <w:t xml:space="preserve">«Раздел 3,4 (2)»;</w:t>
      </w:r>
      <w:r/>
    </w:p>
    <w:p>
      <w:pPr>
        <w:pStyle w:val="985"/>
      </w:pPr>
      <w:r>
        <w:t xml:space="preserve">«Раздел 5 (3)»;</w:t>
      </w:r>
      <w:r/>
    </w:p>
    <w:p>
      <w:pPr>
        <w:pStyle w:val="985"/>
      </w:pPr>
      <w:r>
        <w:t xml:space="preserve">«Подписи (4)»;</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126480" cy="4297680"/>
                <wp:effectExtent l="0" t="0" r="0" b="0"/>
                <wp:docPr id="15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45"/>
                        <a:stretch/>
                      </pic:blipFill>
                      <pic:spPr bwMode="auto">
                        <a:xfrm>
                          <a:off x="0" y="0"/>
                          <a:ext cx="6126480" cy="42976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 o:spid="_x0000_s151" type="#_x0000_t75" style="mso-wrap-distance-left:0.0pt;mso-wrap-distance-top:0.0pt;mso-wrap-distance-right:0.0pt;mso-wrap-distance-bottom:0.0pt;width:482.4pt;height:338.4pt;" stroked="f">
                <v:path textboxrect="0,0,0,0"/>
                <v:imagedata r:id="rId145" o:title=""/>
              </v:shape>
            </w:pict>
          </mc:Fallback>
        </mc:AlternateContent>
      </w:r>
      <w:r/>
    </w:p>
    <w:p>
      <w:pPr>
        <w:pStyle w:val="983"/>
      </w:pPr>
      <w:r>
        <w:fldChar w:fldCharType="begin"/>
      </w:r>
      <w:r>
        <w:instrText xml:space="preserve"> SEQ Рисунок \* ARABIC </w:instrText>
      </w:r>
      <w:r>
        <w:fldChar w:fldCharType="separate"/>
      </w:r>
      <w:bookmarkStart w:id="734" w:name="_Ref225593942"/>
      <w:r/>
      <w:bookmarkStart w:id="735" w:name="_Toc88819464"/>
      <w:r>
        <w:t xml:space="preserve">79</w:t>
      </w:r>
      <w:bookmarkEnd w:id="734"/>
      <w:r>
        <w:fldChar w:fldCharType="end"/>
      </w:r>
      <w:r>
        <w:t xml:space="preserve">. ЭФ документа «Заявка на внесение изменений в обязательство</w:t>
      </w:r>
      <w:r>
        <w:t xml:space="preserve">», закладки «</w:t>
      </w:r>
      <w:r>
        <w:t xml:space="preserve">Заголовок, ра</w:t>
      </w:r>
      <w:r>
        <w:t xml:space="preserve">з</w:t>
      </w:r>
      <w:r>
        <w:t xml:space="preserve">дел 1,2»</w:t>
      </w:r>
      <w:bookmarkEnd w:id="735"/>
      <w:r/>
      <w:r/>
    </w:p>
    <w:p>
      <w:pPr>
        <w:pStyle w:val="994"/>
      </w:pPr>
      <w:r>
        <w:t xml:space="preserve">При импорте документа из внешней системы поля документа автоматическ</w:t>
      </w:r>
      <w:r>
        <w:t xml:space="preserve">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r/>
    </w:p>
    <w:p>
      <w:pPr>
        <w:pStyle w:val="994"/>
      </w:pPr>
      <w:r>
        <w:t xml:space="preserve">Перечень п</w:t>
      </w:r>
      <w:r>
        <w:t xml:space="preserve">о</w:t>
      </w:r>
      <w:r>
        <w:t xml:space="preserve">лей </w:t>
      </w:r>
      <w:r>
        <w:t xml:space="preserve">документа «Заявка на внесение изменений в обязательство», закладки «Заголовок, раздел 1,2»</w:t>
      </w:r>
      <w:r>
        <w:t xml:space="preserve"> </w:t>
      </w:r>
      <w:r>
        <w:t xml:space="preserve">приведен в таблице</w:t>
      </w:r>
      <w:r>
        <w:t xml:space="preserve"> </w:t>
      </w:r>
      <w:r>
        <w:fldChar w:fldCharType="begin"/>
      </w:r>
      <w:r>
        <w:instrText xml:space="preserve"> REF _Ref365653566 \h </w:instrText>
      </w:r>
      <w:r>
        <w:instrText xml:space="preserve"> \* MERGEFORMAT </w:instrText>
      </w:r>
      <w:r>
        <w:fldChar w:fldCharType="separate"/>
      </w:r>
      <w:r>
        <w:t xml:space="preserve">38</w:t>
      </w:r>
      <w:r>
        <w:fldChar w:fldCharType="end"/>
      </w:r>
      <w:r>
        <w:t xml:space="preserve">.</w:t>
      </w:r>
      <w:r/>
    </w:p>
    <w:p>
      <w:pPr>
        <w:pStyle w:val="993"/>
      </w:pPr>
      <w:r>
        <w:fldChar w:fldCharType="begin"/>
      </w:r>
      <w:r>
        <w:instrText xml:space="preserve"> SEQ Таблица \* ARABIC </w:instrText>
      </w:r>
      <w:r>
        <w:fldChar w:fldCharType="separate"/>
      </w:r>
      <w:bookmarkStart w:id="736" w:name="_Ref365653566"/>
      <w:r/>
      <w:bookmarkStart w:id="737" w:name="_Toc88819224"/>
      <w:r>
        <w:t xml:space="preserve">38</w:t>
      </w:r>
      <w:bookmarkEnd w:id="736"/>
      <w:r>
        <w:fldChar w:fldCharType="end"/>
      </w:r>
      <w:r>
        <w:t xml:space="preserve">. Описание полей документа «Заявка на внесение изменений в обязательство</w:t>
      </w:r>
      <w:r>
        <w:t xml:space="preserve">», закладки «</w:t>
      </w:r>
      <w:r>
        <w:t xml:space="preserve">Заголовок, Ра</w:t>
      </w:r>
      <w:r>
        <w:t xml:space="preserve">з</w:t>
      </w:r>
      <w:r>
        <w:t xml:space="preserve">дел 1,2 (1)»</w:t>
      </w:r>
      <w:bookmarkEnd w:id="737"/>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80"/>
        <w:gridCol w:w="7472"/>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169"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31" w:type="pct"/>
            <w:vAlign w:val="center"/>
            <w:textDirection w:val="lrTb"/>
            <w:noWrap w:val="false"/>
          </w:tcPr>
          <w:p>
            <w:pPr>
              <w:pStyle w:val="1006"/>
            </w:pPr>
            <w:r>
              <w:t xml:space="preserve">Описание</w:t>
            </w:r>
            <w:r>
              <w:t xml:space="preserve"> поля</w:t>
            </w:r>
            <w:r/>
          </w:p>
        </w:tc>
      </w:tr>
      <w:tr>
        <w:trPr>
          <w:trHeight w:val="405"/>
        </w:trPr>
        <w:tc>
          <w:tcPr>
            <w:shd w:val="clear" w:fill="auto" w:color="auto"/>
            <w:tcW w:w="1169" w:type="pct"/>
            <w:textDirection w:val="lrTb"/>
            <w:noWrap w:val="false"/>
          </w:tcPr>
          <w:p>
            <w:pPr>
              <w:pStyle w:val="1005"/>
              <w:ind w:left="57" w:right="57"/>
            </w:pPr>
            <w:r>
              <w:t xml:space="preserve">Заявка №</w:t>
            </w:r>
            <w:r/>
          </w:p>
        </w:tc>
        <w:tc>
          <w:tcPr>
            <w:shd w:val="clear" w:fill="auto" w:color="auto"/>
            <w:tcW w:w="3831" w:type="pct"/>
            <w:textDirection w:val="lrTb"/>
            <w:noWrap w:val="false"/>
          </w:tcPr>
          <w:p>
            <w:pPr>
              <w:pStyle w:val="1005"/>
              <w:ind w:left="57" w:right="57"/>
            </w:pPr>
            <w:r>
              <w:t xml:space="preserve">Значение рассчитывается автоматически на основании настроек для тек</w:t>
            </w:r>
            <w:r>
              <w:t xml:space="preserve">у</w:t>
            </w:r>
            <w:r>
              <w:t xml:space="preserve">щего типа документа в справочнике «Параметры автонумерации документов». Может быть заполнено вручную.</w:t>
            </w:r>
            <w:r/>
          </w:p>
          <w:p>
            <w:pPr>
              <w:pStyle w:val="1005"/>
              <w:ind w:left="57" w:right="57"/>
            </w:pPr>
            <w:r>
              <w:t xml:space="preserve">В случае если </w:t>
            </w:r>
            <w:r>
              <w:t xml:space="preserve">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r/>
          </w:p>
        </w:tc>
      </w:tr>
      <w:tr>
        <w:trPr>
          <w:trHeight w:val="405"/>
        </w:trPr>
        <w:tc>
          <w:tcPr>
            <w:shd w:val="clear" w:fill="auto" w:color="auto"/>
            <w:tcW w:w="1169" w:type="pct"/>
            <w:textDirection w:val="lrTb"/>
            <w:noWrap w:val="false"/>
          </w:tcPr>
          <w:p>
            <w:pPr>
              <w:pStyle w:val="1005"/>
              <w:ind w:left="57" w:right="57"/>
            </w:pPr>
            <w:r>
              <w:t xml:space="preserve">От</w:t>
            </w:r>
            <w:r/>
          </w:p>
        </w:tc>
        <w:tc>
          <w:tcPr>
            <w:shd w:val="clear" w:fill="auto" w:color="auto"/>
            <w:tcW w:w="3831" w:type="pct"/>
            <w:textDirection w:val="lrTb"/>
            <w:noWrap w:val="false"/>
          </w:tcPr>
          <w:p>
            <w:pPr>
              <w:pStyle w:val="1005"/>
              <w:ind w:left="57" w:right="57"/>
            </w:pPr>
            <w:r>
              <w:t xml:space="preserve">По умолчанию проставляется текущая дата. </w:t>
            </w:r>
            <w:r/>
          </w:p>
          <w:p>
            <w:pPr>
              <w:pStyle w:val="1005"/>
              <w:ind w:left="57" w:right="57"/>
            </w:pPr>
            <w:r>
              <w:t xml:space="preserve">Значение может быть изменено вручную или выбором из системного календаря.</w:t>
            </w:r>
            <w:r/>
          </w:p>
        </w:tc>
      </w:tr>
      <w:tr>
        <w:trPr>
          <w:trHeight w:val="405"/>
        </w:trPr>
        <w:tc>
          <w:tcPr>
            <w:shd w:val="clear" w:fill="auto" w:color="auto"/>
            <w:tcW w:w="1169" w:type="pct"/>
            <w:textDirection w:val="lrTb"/>
            <w:noWrap w:val="false"/>
          </w:tcPr>
          <w:p>
            <w:pPr>
              <w:pStyle w:val="1005"/>
              <w:ind w:left="57" w:right="57"/>
            </w:pPr>
            <w:r>
              <w:t xml:space="preserve">БО №</w:t>
            </w:r>
            <w:r/>
          </w:p>
        </w:tc>
        <w:tc>
          <w:tcPr>
            <w:shd w:val="clear" w:fill="auto" w:color="auto"/>
            <w:tcW w:w="3831" w:type="pct"/>
            <w:textDirection w:val="lrTb"/>
            <w:noWrap w:val="false"/>
          </w:tcPr>
          <w:p>
            <w:pPr>
              <w:pStyle w:val="1005"/>
              <w:ind w:left="57" w:right="57"/>
            </w:pPr>
            <w:r>
              <w:t xml:space="preserve">Значение может быть введено вручную или подтягиваются автоматически </w:t>
            </w:r>
            <w:r>
              <w:t xml:space="preserve">при выборе родительского документа из поля «Учетный н</w:t>
            </w:r>
            <w:r>
              <w:t xml:space="preserve">о</w:t>
            </w:r>
            <w:r>
              <w:t xml:space="preserve">мер БО».</w:t>
            </w:r>
            <w:r/>
          </w:p>
        </w:tc>
      </w:tr>
      <w:tr>
        <w:trPr>
          <w:trHeight w:val="405"/>
        </w:trPr>
        <w:tc>
          <w:tcPr>
            <w:shd w:val="clear" w:fill="auto" w:color="auto"/>
            <w:tcW w:w="1169" w:type="pct"/>
            <w:textDirection w:val="lrTb"/>
            <w:noWrap w:val="false"/>
          </w:tcPr>
          <w:p>
            <w:pPr>
              <w:pStyle w:val="1005"/>
              <w:ind w:left="57" w:right="57"/>
            </w:pPr>
            <w:r>
              <w:t xml:space="preserve">Статус</w:t>
            </w:r>
            <w:r/>
          </w:p>
        </w:tc>
        <w:tc>
          <w:tcPr>
            <w:shd w:val="clear" w:fill="auto" w:color="auto"/>
            <w:tcW w:w="3831" w:type="pct"/>
            <w:textDirection w:val="lrTb"/>
            <w:noWrap w:val="false"/>
          </w:tcPr>
          <w:p>
            <w:pPr>
              <w:pStyle w:val="1005"/>
              <w:ind w:left="57" w:right="57"/>
            </w:pPr>
            <w:r>
              <w:t xml:space="preserve">Заполняется автоматически из OEBS.</w:t>
            </w:r>
            <w:r/>
          </w:p>
        </w:tc>
      </w:tr>
      <w:tr>
        <w:trPr>
          <w:trHeight w:val="165"/>
        </w:trPr>
        <w:tc>
          <w:tcPr>
            <w:shd w:val="clear" w:fill="auto" w:color="auto"/>
            <w:tcW w:w="1169" w:type="pct"/>
            <w:textDirection w:val="lrTb"/>
            <w:noWrap w:val="false"/>
          </w:tcPr>
          <w:p>
            <w:pPr>
              <w:pStyle w:val="1005"/>
              <w:ind w:left="57" w:right="57"/>
            </w:pPr>
            <w:r>
              <w:t xml:space="preserve">Бюджет (наименование)</w:t>
            </w:r>
            <w:r/>
          </w:p>
        </w:tc>
        <w:tc>
          <w:tcPr>
            <w:shd w:val="clear" w:fill="auto" w:color="auto"/>
            <w:tcW w:w="3831" w:type="pct"/>
            <w:textDirection w:val="lrTb"/>
            <w:noWrap w:val="false"/>
          </w:tcPr>
          <w:p>
            <w:pPr>
              <w:pStyle w:val="1005"/>
              <w:ind w:left="57" w:right="57"/>
            </w:pPr>
            <w:r>
              <w:t xml:space="preserve">Заполняется автоматически по коду бюджета полным наименованием из </w:t>
            </w:r>
            <w:r>
              <w:t xml:space="preserve">справочника «Бюджеты»</w:t>
            </w:r>
            <w:r>
              <w:t xml:space="preserve">.</w:t>
            </w:r>
            <w:r/>
          </w:p>
          <w:p>
            <w:pPr>
              <w:pStyle w:val="1005"/>
              <w:ind w:left="57" w:right="57"/>
            </w:pPr>
            <w:r>
              <w:t xml:space="preserve">Может быть отредактировано вручную/из </w:t>
            </w:r>
            <w:r>
              <w:t xml:space="preserve">справочника «Бюджеты»</w:t>
            </w:r>
            <w:r>
              <w:t xml:space="preserve"> или подтягивается автоматически при выборе родительского док</w:t>
            </w:r>
            <w:r>
              <w:t xml:space="preserve">у</w:t>
            </w:r>
            <w:r>
              <w:t xml:space="preserve">мента.</w:t>
            </w:r>
            <w:r/>
          </w:p>
        </w:tc>
      </w:tr>
      <w:tr>
        <w:trPr>
          <w:trHeight w:val="298"/>
        </w:trPr>
        <w:tc>
          <w:tcPr>
            <w:shd w:val="clear" w:fill="auto" w:color="auto"/>
            <w:tcW w:w="1169" w:type="pct"/>
            <w:textDirection w:val="lrTb"/>
            <w:noWrap w:val="false"/>
          </w:tcPr>
          <w:p>
            <w:pPr>
              <w:pStyle w:val="1005"/>
              <w:ind w:left="57" w:right="57"/>
            </w:pPr>
            <w:r>
              <w:t xml:space="preserve">П</w:t>
            </w:r>
            <w:r>
              <w:t xml:space="preserve">о ОКПО</w:t>
            </w:r>
            <w:r/>
          </w:p>
        </w:tc>
        <w:tc>
          <w:tcPr>
            <w:shd w:val="clear" w:fill="auto" w:color="auto"/>
            <w:tcW w:w="3831" w:type="pct"/>
            <w:textDirection w:val="lrTb"/>
            <w:noWrap w:val="false"/>
          </w:tcPr>
          <w:p>
            <w:pPr>
              <w:pStyle w:val="1005"/>
              <w:ind w:left="57" w:right="57"/>
            </w:pPr>
            <w:r>
              <w:t xml:space="preserve">Заполняется автоматически из справочника «Финансовые органы» по наименованию финансового органа.</w:t>
            </w:r>
            <w:r/>
          </w:p>
          <w:p>
            <w:pPr>
              <w:pStyle w:val="1005"/>
              <w:ind w:left="57" w:right="57"/>
            </w:pPr>
            <w:r>
              <w:t xml:space="preserve">Может быть отредактировано вручную.</w:t>
            </w:r>
            <w:r/>
          </w:p>
        </w:tc>
      </w:tr>
      <w:tr>
        <w:trPr>
          <w:trHeight w:val="897"/>
        </w:trPr>
        <w:tc>
          <w:tcPr>
            <w:shd w:val="clear" w:fill="auto" w:color="auto"/>
            <w:tcW w:w="1169" w:type="pct"/>
            <w:textDirection w:val="lrTb"/>
            <w:noWrap w:val="false"/>
          </w:tcPr>
          <w:p>
            <w:pPr>
              <w:pStyle w:val="1005"/>
              <w:ind w:left="57" w:right="57"/>
            </w:pPr>
            <w:r>
              <w:t xml:space="preserve">Финорган (наименование)</w:t>
            </w:r>
            <w:r/>
          </w:p>
        </w:tc>
        <w:tc>
          <w:tcPr>
            <w:shd w:val="clear" w:fill="auto" w:color="auto"/>
            <w:tcW w:w="3831" w:type="pct"/>
            <w:textDirection w:val="lrTb"/>
            <w:noWrap w:val="false"/>
          </w:tcPr>
          <w:p>
            <w:pPr>
              <w:pStyle w:val="1005"/>
              <w:ind w:left="57" w:right="57"/>
            </w:pPr>
            <w:r>
              <w:t xml:space="preserve">Заполняется автоматически по коду финоргана полным наименованием из </w:t>
            </w:r>
            <w:r>
              <w:t xml:space="preserve">справочника «Финансовые органы»</w:t>
            </w:r>
            <w:r>
              <w:t xml:space="preserve">. Может быть отредактировано вручную/из </w:t>
            </w:r>
            <w:r>
              <w:t xml:space="preserve">справочника «Финансовые органы»</w:t>
            </w:r>
            <w:r>
              <w:t xml:space="preserve"> или подтягивается автоматически при выборе род</w:t>
            </w:r>
            <w:r>
              <w:t xml:space="preserve">и</w:t>
            </w:r>
            <w:r>
              <w:t xml:space="preserve">тельского документа.</w:t>
            </w:r>
            <w:r/>
          </w:p>
        </w:tc>
      </w:tr>
      <w:tr>
        <w:trPr>
          <w:trHeight w:val="165"/>
        </w:trPr>
        <w:tc>
          <w:tcPr>
            <w:shd w:val="clear" w:fill="auto" w:color="auto"/>
            <w:tcW w:w="1169" w:type="pct"/>
            <w:textDirection w:val="lrTb"/>
            <w:noWrap w:val="false"/>
          </w:tcPr>
          <w:p>
            <w:pPr>
              <w:pStyle w:val="1005"/>
              <w:ind w:left="57" w:right="57"/>
            </w:pPr>
            <w:r>
              <w:t xml:space="preserve">ГРБС</w:t>
            </w:r>
            <w:r/>
          </w:p>
        </w:tc>
        <w:tc>
          <w:tcPr>
            <w:shd w:val="clear" w:fill="auto" w:color="auto"/>
            <w:tcW w:w="3831" w:type="pct"/>
            <w:textDirection w:val="lrTb"/>
            <w:noWrap w:val="false"/>
          </w:tcPr>
          <w:p>
            <w:pPr>
              <w:pStyle w:val="1005"/>
              <w:ind w:left="57" w:right="57"/>
            </w:pPr>
            <w:r>
              <w:t xml:space="preserve">При заполнении на АРМ ФО значение поля подтягивается по «Глава по БК» из </w:t>
            </w:r>
            <w:r>
              <w:t xml:space="preserve">справочника «Ведомства»</w:t>
            </w:r>
            <w:r>
              <w:t xml:space="preserve"> из поля «Полное наименование» (в рамках указанного бюджета).</w:t>
            </w:r>
            <w:r/>
          </w:p>
          <w:p>
            <w:pPr>
              <w:pStyle w:val="1005"/>
              <w:ind w:left="57" w:right="57"/>
            </w:pPr>
            <w:r>
              <w:t xml:space="preserve">При выборе пользователем родительского документа значение заполняется автоматически из указанного бюдже</w:t>
            </w:r>
            <w:r>
              <w:t xml:space="preserve">т</w:t>
            </w:r>
            <w:r>
              <w:t xml:space="preserve">ного обязательства. </w:t>
            </w:r>
            <w:r/>
          </w:p>
          <w:p>
            <w:pPr>
              <w:pStyle w:val="1005"/>
              <w:ind w:left="57" w:right="57"/>
            </w:pPr>
            <w:r>
              <w:t xml:space="preserve">Может быть изменено пользователем вручную.</w:t>
            </w:r>
            <w:r/>
          </w:p>
        </w:tc>
      </w:tr>
      <w:tr>
        <w:trPr>
          <w:trHeight w:val="165"/>
        </w:trPr>
        <w:tc>
          <w:tcPr>
            <w:shd w:val="clear" w:fill="auto" w:color="auto"/>
            <w:tcW w:w="1169" w:type="pct"/>
            <w:textDirection w:val="lrTb"/>
            <w:noWrap w:val="false"/>
          </w:tcPr>
          <w:p>
            <w:pPr>
              <w:pStyle w:val="1005"/>
              <w:ind w:left="57" w:right="57"/>
            </w:pPr>
            <w:r>
              <w:t xml:space="preserve">Глава по БК</w:t>
            </w:r>
            <w:r/>
          </w:p>
        </w:tc>
        <w:tc>
          <w:tcPr>
            <w:shd w:val="clear" w:fill="auto" w:color="auto"/>
            <w:tcW w:w="3831" w:type="pct"/>
            <w:textDirection w:val="lrTb"/>
            <w:noWrap w:val="false"/>
          </w:tcPr>
          <w:p>
            <w:pPr>
              <w:pStyle w:val="1005"/>
              <w:ind w:left="57" w:right="57"/>
            </w:pPr>
            <w:r>
              <w:t xml:space="preserve">Значение заполняется автоматически из системной ко</w:t>
            </w:r>
            <w:r>
              <w:t xml:space="preserve">н</w:t>
            </w:r>
            <w:r>
              <w:t xml:space="preserve">станты.</w:t>
            </w:r>
            <w:r/>
          </w:p>
          <w:p>
            <w:pPr>
              <w:pStyle w:val="1005"/>
              <w:ind w:left="57" w:right="57"/>
            </w:pPr>
            <w:r>
              <w:t xml:space="preserve">Может быть отредактировано вручную, либо выбором из </w:t>
            </w:r>
            <w:r>
              <w:t xml:space="preserve">справочника «Ведомства»</w:t>
            </w:r>
            <w:r>
              <w:t xml:space="preserve"> (с учетом бюджета).</w:t>
            </w:r>
            <w:r/>
          </w:p>
          <w:p>
            <w:pPr>
              <w:pStyle w:val="1005"/>
              <w:ind w:left="57" w:right="57"/>
            </w:pPr>
            <w:r>
              <w:t xml:space="preserve">При выборе пользователем родительского документа значение заполняется автоматически из указанного бюдже</w:t>
            </w:r>
            <w:r>
              <w:t xml:space="preserve">т</w:t>
            </w:r>
            <w:r>
              <w:t xml:space="preserve">ного обязательства.</w:t>
            </w:r>
            <w:r/>
          </w:p>
        </w:tc>
      </w:tr>
      <w:tr>
        <w:trPr>
          <w:trHeight w:val="165"/>
        </w:trPr>
        <w:tc>
          <w:tcPr>
            <w:shd w:val="clear" w:fill="auto" w:color="auto"/>
            <w:tcW w:w="1169" w:type="pct"/>
            <w:textDirection w:val="lrTb"/>
            <w:noWrap w:val="false"/>
          </w:tcPr>
          <w:p>
            <w:pPr>
              <w:pStyle w:val="1005"/>
              <w:ind w:left="57" w:right="57"/>
            </w:pPr>
            <w:r>
              <w:t xml:space="preserve">П</w:t>
            </w:r>
            <w:r>
              <w:t xml:space="preserve">о Свод. </w:t>
            </w:r>
            <w:r>
              <w:t xml:space="preserve">Р</w:t>
            </w:r>
            <w:r>
              <w:t xml:space="preserve">еестру</w:t>
            </w:r>
            <w:r/>
          </w:p>
          <w:p>
            <w:pPr>
              <w:pStyle w:val="1005"/>
              <w:ind w:left="57" w:right="57"/>
            </w:pPr>
            <w:r/>
            <w:r/>
          </w:p>
        </w:tc>
        <w:tc>
          <w:tcPr>
            <w:shd w:val="clear" w:fill="auto" w:color="auto"/>
            <w:tcW w:w="3831" w:type="pct"/>
            <w:textDirection w:val="lrTb"/>
            <w:noWrap w:val="false"/>
          </w:tcPr>
          <w:p>
            <w:pPr>
              <w:pStyle w:val="1005"/>
              <w:ind w:left="57" w:right="57"/>
            </w:pPr>
            <w:r>
              <w:t xml:space="preserve">Может быть изменено пользователем вручную или выбором из справочн</w:t>
            </w:r>
            <w:r>
              <w:t xml:space="preserve">и</w:t>
            </w:r>
            <w:r>
              <w:t xml:space="preserve">ка СРРПБС.</w:t>
            </w:r>
            <w:r/>
          </w:p>
          <w:p>
            <w:pPr>
              <w:pStyle w:val="1005"/>
              <w:ind w:left="57" w:right="57"/>
            </w:pPr>
            <w:r>
              <w:t xml:space="preserve">Для бюджета, отличного от Федерального – поле не заполняется.</w:t>
            </w:r>
            <w:r/>
          </w:p>
          <w:p>
            <w:pPr>
              <w:pStyle w:val="1005"/>
              <w:ind w:left="57" w:right="57"/>
            </w:pPr>
            <w:r>
              <w:t xml:space="preserve">Может заполняться автоматически из поля РУБП при выборе родительского документа с типом ОБЛ, ОБЕ для заполнения детализации по исполнительному листу из поля РУБП.</w:t>
            </w:r>
            <w:r/>
          </w:p>
        </w:tc>
      </w:tr>
      <w:tr>
        <w:trPr>
          <w:trHeight w:val="165"/>
        </w:trPr>
        <w:tc>
          <w:tcPr>
            <w:shd w:val="clear" w:fill="auto" w:color="auto"/>
            <w:tcW w:w="1169" w:type="pct"/>
            <w:textDirection w:val="lrTb"/>
            <w:noWrap w:val="false"/>
          </w:tcPr>
          <w:p>
            <w:pPr>
              <w:pStyle w:val="1005"/>
              <w:ind w:left="57" w:right="57"/>
            </w:pPr>
            <w:r>
              <w:t xml:space="preserve">ПБС</w:t>
            </w:r>
            <w:r/>
          </w:p>
        </w:tc>
        <w:tc>
          <w:tcPr>
            <w:shd w:val="clear" w:fill="auto" w:color="auto"/>
            <w:tcW w:w="3831" w:type="pct"/>
            <w:textDirection w:val="lrTb"/>
            <w:noWrap w:val="false"/>
          </w:tcPr>
          <w:p>
            <w:pPr>
              <w:pStyle w:val="1005"/>
              <w:ind w:left="57" w:right="57"/>
            </w:pPr>
            <w:r>
              <w:t xml:space="preserve">Для бюджета, отличного от Федерального:</w:t>
            </w:r>
            <w:r/>
          </w:p>
          <w:p>
            <w:pPr>
              <w:pStyle w:val="1005"/>
              <w:ind w:left="57" w:right="57"/>
            </w:pPr>
            <w:r>
              <w:t xml:space="preserve">Заполняется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r/>
          </w:p>
          <w:p>
            <w:pPr>
              <w:pStyle w:val="1005"/>
              <w:ind w:left="57" w:right="57"/>
            </w:pPr>
            <w:r>
              <w:t xml:space="preserve">Может быть отредактировано вручную.</w:t>
            </w:r>
            <w:r/>
          </w:p>
          <w:p>
            <w:pPr>
              <w:pStyle w:val="1005"/>
              <w:ind w:left="57" w:right="57"/>
            </w:pPr>
            <w:r>
              <w:t xml:space="preserve">Может заполняться автоматически из поля «Наименование в соответствии с исполнительным листом» при выборе родительского документа с типом ОБЛ, ОБЕ для заполнения детализации по исполнительному ли</w:t>
            </w:r>
            <w:r>
              <w:t xml:space="preserve">с</w:t>
            </w:r>
            <w:r>
              <w:t xml:space="preserve">ту.</w:t>
            </w:r>
            <w:r/>
          </w:p>
        </w:tc>
      </w:tr>
      <w:tr>
        <w:trPr>
          <w:trHeight w:val="165"/>
        </w:trPr>
        <w:tc>
          <w:tcPr>
            <w:shd w:val="clear" w:fill="auto" w:color="auto"/>
            <w:tcW w:w="1169" w:type="pct"/>
            <w:textDirection w:val="lrTb"/>
            <w:noWrap w:val="false"/>
          </w:tcPr>
          <w:p>
            <w:pPr>
              <w:pStyle w:val="1005"/>
              <w:ind w:left="57" w:right="57"/>
            </w:pPr>
            <w:r>
              <w:t xml:space="preserve">№ л/с получ.</w:t>
            </w:r>
            <w:r/>
          </w:p>
        </w:tc>
        <w:tc>
          <w:tcPr>
            <w:shd w:val="clear" w:fill="auto" w:color="auto"/>
            <w:tcW w:w="3831" w:type="pct"/>
            <w:textDirection w:val="lrTb"/>
            <w:noWrap w:val="false"/>
          </w:tcPr>
          <w:p>
            <w:pPr>
              <w:pStyle w:val="1005"/>
              <w:ind w:left="57" w:right="57"/>
            </w:pPr>
            <w:r>
              <w:t xml:space="preserve">Н</w:t>
            </w:r>
            <w:r>
              <w:t xml:space="preserve">а</w:t>
            </w:r>
            <w:r>
              <w:t xml:space="preserve"> АРМ ФО: значение может быть введено пользователем вручную или выбором из </w:t>
            </w:r>
            <w:r>
              <w:t xml:space="preserve">справочника «Информация о ЛС»</w:t>
            </w:r>
            <w:r>
              <w:t xml:space="preserve"> (список ограничен кодом РУБП).</w:t>
            </w:r>
            <w:r/>
          </w:p>
        </w:tc>
      </w:tr>
      <w:tr>
        <w:trPr>
          <w:trHeight w:val="165"/>
        </w:trPr>
        <w:tc>
          <w:tcPr>
            <w:shd w:val="clear" w:fill="auto" w:color="auto"/>
            <w:tcW w:w="1169" w:type="pct"/>
            <w:textDirection w:val="lrTb"/>
            <w:noWrap w:val="false"/>
          </w:tcPr>
          <w:p>
            <w:pPr>
              <w:pStyle w:val="1005"/>
              <w:ind w:left="57" w:right="57"/>
            </w:pPr>
            <w:r>
              <w:t xml:space="preserve">П</w:t>
            </w:r>
            <w:r>
              <w:t xml:space="preserve">о КОФК</w:t>
            </w:r>
            <w:r/>
          </w:p>
        </w:tc>
        <w:tc>
          <w:tcPr>
            <w:shd w:val="clear" w:fill="auto" w:color="auto"/>
            <w:tcW w:w="3831" w:type="pct"/>
            <w:textDirection w:val="lrTb"/>
            <w:noWrap w:val="false"/>
          </w:tcPr>
          <w:p>
            <w:pPr>
              <w:pStyle w:val="1005"/>
              <w:ind w:left="57" w:right="57"/>
            </w:pPr>
            <w:r>
              <w:t xml:space="preserve">Е</w:t>
            </w:r>
            <w:r>
              <w:t xml:space="preserve">сли значение вводится на АРМ ФО: 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w:t>
            </w:r>
            <w:r>
              <w:t xml:space="preserve">т</w:t>
            </w:r>
            <w:r>
              <w:t xml:space="preserve">венного ТОФК. </w:t>
            </w:r>
            <w:r/>
          </w:p>
          <w:p>
            <w:pPr>
              <w:pStyle w:val="1005"/>
              <w:ind w:left="57" w:right="57"/>
            </w:pPr>
            <w:r>
              <w:t xml:space="preserve">Может быть изменено пользователем вручную или выбором из справочн</w:t>
            </w:r>
            <w:r>
              <w:t xml:space="preserve">и</w:t>
            </w:r>
            <w:r>
              <w:t xml:space="preserve">ка </w:t>
            </w:r>
            <w:r>
              <w:t xml:space="preserve">КОФК (Органы ФК).</w:t>
            </w:r>
            <w:r/>
          </w:p>
        </w:tc>
      </w:tr>
      <w:tr>
        <w:trPr>
          <w:trHeight w:val="165"/>
        </w:trPr>
        <w:tc>
          <w:tcPr>
            <w:shd w:val="clear" w:fill="auto" w:color="auto"/>
            <w:tcW w:w="1169" w:type="pct"/>
            <w:textDirection w:val="lrTb"/>
            <w:noWrap w:val="false"/>
          </w:tcPr>
          <w:p>
            <w:pPr>
              <w:pStyle w:val="1005"/>
              <w:ind w:left="57" w:right="57"/>
            </w:pPr>
            <w:r>
              <w:t xml:space="preserve">Орган ФК</w:t>
            </w:r>
            <w:r/>
          </w:p>
        </w:tc>
        <w:tc>
          <w:tcPr>
            <w:shd w:val="clear" w:fill="auto" w:color="auto"/>
            <w:tcW w:w="3831" w:type="pct"/>
            <w:textDirection w:val="lrTb"/>
            <w:noWrap w:val="false"/>
          </w:tcPr>
          <w:p>
            <w:pPr>
              <w:pStyle w:val="1005"/>
              <w:ind w:left="57" w:right="57"/>
            </w:pPr>
            <w:r>
              <w:t xml:space="preserve">Значение подтягивается автоматически из справочника Органов ФК по коду или подтягивается автоматически при выборе родительского документа. Может быть вв</w:t>
            </w:r>
            <w:r>
              <w:t xml:space="preserve">е</w:t>
            </w:r>
            <w:r>
              <w:t xml:space="preserve">дено вручную.</w:t>
            </w:r>
            <w:r/>
          </w:p>
        </w:tc>
      </w:tr>
      <w:tr>
        <w:trPr>
          <w:trHeight w:val="165"/>
        </w:trPr>
        <w:tc>
          <w:tcPr>
            <w:gridSpan w:val="2"/>
            <w:shd w:val="clear" w:fill="auto" w:color="auto"/>
            <w:tcW w:w="5000" w:type="pct"/>
            <w:textDirection w:val="lrTb"/>
            <w:noWrap w:val="false"/>
          </w:tcPr>
          <w:p>
            <w:pPr>
              <w:pStyle w:val="1005"/>
              <w:ind w:left="57" w:right="57"/>
            </w:pPr>
            <w:r>
              <w:t xml:space="preserve">Группа полей «Раздел 1. Реквизиты документа-основания»</w:t>
            </w:r>
            <w:r/>
          </w:p>
        </w:tc>
      </w:tr>
      <w:tr>
        <w:trPr/>
        <w:tc>
          <w:tcPr>
            <w:shd w:val="clear" w:fill="auto" w:color="auto"/>
            <w:tcW w:w="1169" w:type="pct"/>
            <w:textDirection w:val="lrTb"/>
            <w:noWrap w:val="false"/>
          </w:tcPr>
          <w:p>
            <w:pPr>
              <w:pStyle w:val="1005"/>
              <w:ind w:left="57" w:right="57"/>
            </w:pPr>
            <w:r>
              <w:t xml:space="preserve">Вид</w:t>
            </w:r>
            <w:r/>
          </w:p>
        </w:tc>
        <w:tc>
          <w:tcPr>
            <w:shd w:val="clear" w:fill="auto" w:color="auto"/>
            <w:tcW w:w="3831" w:type="pct"/>
            <w:textDirection w:val="lrTb"/>
            <w:noWrap w:val="false"/>
          </w:tcPr>
          <w:p>
            <w:pPr>
              <w:pStyle w:val="1005"/>
              <w:ind w:left="57" w:right="57"/>
            </w:pPr>
            <w:r>
              <w:t xml:space="preserve">Для исходящих документов значение выбирается из списка: </w:t>
            </w:r>
            <w:r/>
          </w:p>
          <w:p>
            <w:pPr>
              <w:pStyle w:val="1007"/>
            </w:pPr>
            <w:r>
              <w:t xml:space="preserve">«государственный контракт»;</w:t>
            </w:r>
            <w:r/>
          </w:p>
          <w:p>
            <w:pPr>
              <w:pStyle w:val="1007"/>
            </w:pPr>
            <w:r>
              <w:t xml:space="preserve">«договор»;</w:t>
            </w:r>
            <w:r/>
          </w:p>
          <w:p>
            <w:pPr>
              <w:pStyle w:val="1007"/>
            </w:pPr>
            <w:r>
              <w:t xml:space="preserve">«соглашение»;</w:t>
            </w:r>
            <w:r/>
          </w:p>
          <w:p>
            <w:pPr>
              <w:pStyle w:val="1007"/>
            </w:pPr>
            <w:r>
              <w:t xml:space="preserve"> «-».</w:t>
            </w:r>
            <w:r/>
          </w:p>
          <w:p>
            <w:pPr>
              <w:pStyle w:val="1005"/>
              <w:ind w:left="57" w:right="57"/>
            </w:pPr>
            <w:r>
              <w:t xml:space="preserve">При создании нового документа в поле стоит значение «пусто». Значение «пусто» доступно для выбора в выпадающем списке и расположено пе</w:t>
            </w:r>
            <w:r>
              <w:t xml:space="preserve">р</w:t>
            </w:r>
            <w:r>
              <w:t xml:space="preserve">вым в выпадающем списке.</w:t>
            </w:r>
            <w:r/>
          </w:p>
        </w:tc>
      </w:tr>
      <w:tr>
        <w:trPr/>
        <w:tc>
          <w:tcPr>
            <w:shd w:val="clear" w:fill="auto" w:color="auto"/>
            <w:tcW w:w="1169" w:type="pct"/>
            <w:textDirection w:val="lrTb"/>
            <w:noWrap w:val="false"/>
          </w:tcPr>
          <w:p>
            <w:pPr>
              <w:pStyle w:val="1005"/>
              <w:ind w:left="57" w:right="57"/>
            </w:pPr>
            <w:r>
              <w:t xml:space="preserve">Номер</w:t>
            </w:r>
            <w:r/>
          </w:p>
        </w:tc>
        <w:tc>
          <w:tcPr>
            <w:shd w:val="clear" w:fill="auto" w:color="auto"/>
            <w:tcW w:w="3831" w:type="pct"/>
            <w:textDirection w:val="lrTb"/>
            <w:noWrap w:val="false"/>
          </w:tcPr>
          <w:p>
            <w:pPr>
              <w:pStyle w:val="1005"/>
              <w:ind w:left="57" w:right="57"/>
            </w:pPr>
            <w:r>
              <w:t xml:space="preserve">Значение может быть введено вручную.</w:t>
            </w:r>
            <w:r/>
          </w:p>
          <w:p>
            <w:pPr>
              <w:pStyle w:val="1005"/>
              <w:ind w:left="57" w:right="57"/>
            </w:pPr>
            <w:r>
              <w:t xml:space="preserve">Значение может подтягиваться автоматически при выборе родительского документа.</w:t>
            </w:r>
            <w:r/>
          </w:p>
        </w:tc>
      </w:tr>
      <w:tr>
        <w:trPr/>
        <w:tc>
          <w:tcPr>
            <w:shd w:val="clear" w:fill="auto" w:color="auto"/>
            <w:tcW w:w="1169" w:type="pct"/>
            <w:textDirection w:val="lrTb"/>
            <w:noWrap w:val="false"/>
          </w:tcPr>
          <w:p>
            <w:pPr>
              <w:pStyle w:val="1005"/>
              <w:ind w:left="57" w:right="57"/>
            </w:pPr>
            <w:r>
              <w:t xml:space="preserve">Дата</w:t>
            </w:r>
            <w:r/>
          </w:p>
        </w:tc>
        <w:tc>
          <w:tcPr>
            <w:shd w:val="clear" w:fill="auto" w:color="auto"/>
            <w:tcW w:w="3831" w:type="pct"/>
            <w:textDirection w:val="lrTb"/>
            <w:noWrap w:val="false"/>
          </w:tcPr>
          <w:p>
            <w:pPr>
              <w:pStyle w:val="1005"/>
              <w:ind w:left="57" w:right="57"/>
            </w:pPr>
            <w:r>
              <w:t xml:space="preserve">Значение подтягивается автоматически при выборе родительского документа.</w:t>
            </w:r>
            <w:r/>
          </w:p>
          <w:p>
            <w:pPr>
              <w:pStyle w:val="1005"/>
              <w:ind w:left="57" w:right="57"/>
            </w:pPr>
            <w:r>
              <w:t xml:space="preserve">Значение вводится вручную или выбирается из системного календ</w:t>
            </w:r>
            <w:r>
              <w:t xml:space="preserve">а</w:t>
            </w:r>
            <w:r>
              <w:t xml:space="preserve">ря.</w:t>
            </w:r>
            <w:r/>
          </w:p>
        </w:tc>
      </w:tr>
      <w:tr>
        <w:trPr/>
        <w:tc>
          <w:tcPr>
            <w:shd w:val="clear" w:fill="auto" w:color="auto"/>
            <w:tcW w:w="1169" w:type="pct"/>
            <w:textDirection w:val="lrTb"/>
            <w:noWrap w:val="false"/>
          </w:tcPr>
          <w:p>
            <w:pPr>
              <w:pStyle w:val="1005"/>
              <w:ind w:left="57" w:right="57"/>
            </w:pPr>
            <w:r>
              <w:t xml:space="preserve">Дата начала</w:t>
            </w:r>
            <w:r/>
          </w:p>
        </w:tc>
        <w:tc>
          <w:tcPr>
            <w:shd w:val="clear" w:fill="auto" w:color="auto"/>
            <w:tcW w:w="3831" w:type="pct"/>
            <w:textDirection w:val="lrTb"/>
            <w:noWrap w:val="false"/>
          </w:tcPr>
          <w:p>
            <w:pPr>
              <w:pStyle w:val="1005"/>
              <w:ind w:left="57" w:right="57"/>
            </w:pPr>
            <w:r>
              <w:t xml:space="preserve">Значение по умолчанию – пустое значение.</w:t>
            </w:r>
            <w:r/>
          </w:p>
          <w:p>
            <w:pPr>
              <w:pStyle w:val="1005"/>
              <w:ind w:left="57" w:right="57"/>
            </w:pPr>
            <w:r>
              <w:t xml:space="preserve">Может быть изменено пользователем вручную.</w:t>
            </w:r>
            <w:r/>
          </w:p>
        </w:tc>
      </w:tr>
      <w:tr>
        <w:trPr/>
        <w:tc>
          <w:tcPr>
            <w:shd w:val="clear" w:fill="auto" w:color="auto"/>
            <w:tcW w:w="1169" w:type="pct"/>
            <w:textDirection w:val="lrTb"/>
            <w:noWrap w:val="false"/>
          </w:tcPr>
          <w:p>
            <w:pPr>
              <w:pStyle w:val="1005"/>
              <w:ind w:left="57" w:right="57"/>
            </w:pPr>
            <w:r>
              <w:t xml:space="preserve">Дата окончания</w:t>
            </w:r>
            <w:r/>
          </w:p>
        </w:tc>
        <w:tc>
          <w:tcPr>
            <w:shd w:val="clear" w:fill="auto" w:color="auto"/>
            <w:tcW w:w="3831" w:type="pct"/>
            <w:textDirection w:val="lrTb"/>
            <w:noWrap w:val="false"/>
          </w:tcPr>
          <w:p>
            <w:pPr>
              <w:pStyle w:val="1005"/>
              <w:ind w:left="57" w:right="57"/>
            </w:pPr>
            <w:r>
              <w:t xml:space="preserve">Значение по умолчанию – пустое значение.</w:t>
            </w:r>
            <w:r/>
          </w:p>
          <w:p>
            <w:pPr>
              <w:pStyle w:val="1005"/>
              <w:ind w:left="57" w:right="57"/>
            </w:pPr>
            <w:r>
              <w:t xml:space="preserve">Может быть изменено пользователем вручную.</w:t>
            </w:r>
            <w:r/>
          </w:p>
        </w:tc>
      </w:tr>
      <w:tr>
        <w:trPr/>
        <w:tc>
          <w:tcPr>
            <w:shd w:val="clear" w:fill="auto" w:color="auto"/>
            <w:tcW w:w="1169" w:type="pct"/>
            <w:textDirection w:val="lrTb"/>
            <w:noWrap w:val="false"/>
          </w:tcPr>
          <w:p>
            <w:pPr>
              <w:pStyle w:val="1005"/>
              <w:ind w:left="57" w:right="57"/>
            </w:pPr>
            <w:r>
              <w:t xml:space="preserve">Сумма в валюте БО</w:t>
            </w:r>
            <w:r/>
          </w:p>
        </w:tc>
        <w:tc>
          <w:tcPr>
            <w:shd w:val="clear" w:fill="auto" w:color="auto"/>
            <w:tcW w:w="3831" w:type="pct"/>
            <w:textDirection w:val="lrTb"/>
            <w:noWrap w:val="false"/>
          </w:tcPr>
          <w:p>
            <w:pPr>
              <w:pStyle w:val="1005"/>
              <w:ind w:left="57" w:right="57"/>
            </w:pPr>
            <w:r>
              <w:t xml:space="preserve">Значение подтягивается автоматически при выборе родительского документа. Значение можно изменить вручную.</w:t>
            </w:r>
            <w:r/>
          </w:p>
        </w:tc>
      </w:tr>
      <w:tr>
        <w:trPr/>
        <w:tc>
          <w:tcPr>
            <w:shd w:val="clear" w:fill="auto" w:color="auto"/>
            <w:tcW w:w="1169" w:type="pct"/>
            <w:textDirection w:val="lrTb"/>
            <w:noWrap w:val="false"/>
          </w:tcPr>
          <w:p>
            <w:pPr>
              <w:pStyle w:val="1005"/>
              <w:ind w:left="57" w:right="57"/>
            </w:pPr>
            <w:r>
              <w:t xml:space="preserve">Валюта</w:t>
            </w:r>
            <w:r/>
          </w:p>
        </w:tc>
        <w:tc>
          <w:tcPr>
            <w:shd w:val="clear" w:fill="auto" w:color="auto"/>
            <w:tcW w:w="3831" w:type="pct"/>
            <w:textDirection w:val="lrTb"/>
            <w:noWrap w:val="false"/>
          </w:tcPr>
          <w:p>
            <w:pPr>
              <w:pStyle w:val="1005"/>
              <w:ind w:left="57" w:right="57"/>
            </w:pPr>
            <w:r>
              <w:t xml:space="preserve">Значение подтягивается автоматически при выборе родительского документа. Может быть изменено пользователем вручную или выбором из справочника валют.</w:t>
            </w:r>
            <w:r/>
          </w:p>
        </w:tc>
      </w:tr>
      <w:tr>
        <w:trPr/>
        <w:tc>
          <w:tcPr>
            <w:shd w:val="clear" w:fill="auto" w:color="auto"/>
            <w:tcW w:w="1169" w:type="pct"/>
            <w:textDirection w:val="lrTb"/>
            <w:noWrap w:val="false"/>
          </w:tcPr>
          <w:p>
            <w:pPr>
              <w:pStyle w:val="1005"/>
              <w:ind w:left="57" w:right="57"/>
            </w:pPr>
            <w:r>
              <w:t xml:space="preserve">Сумма в рублях</w:t>
            </w:r>
            <w:r/>
          </w:p>
        </w:tc>
        <w:tc>
          <w:tcPr>
            <w:shd w:val="clear" w:fill="auto" w:color="auto"/>
            <w:tcW w:w="3831" w:type="pct"/>
            <w:textDirection w:val="lrTb"/>
            <w:noWrap w:val="false"/>
          </w:tcPr>
          <w:p>
            <w:pPr>
              <w:pStyle w:val="1005"/>
              <w:ind w:left="57" w:right="57"/>
            </w:pPr>
            <w:r>
              <w:t xml:space="preserve">Значение подтягивается автоматически при выборе родительского документа. Значение можно изменить вручную.</w:t>
            </w:r>
            <w:r/>
          </w:p>
          <w:p>
            <w:pPr>
              <w:pStyle w:val="1005"/>
              <w:ind w:left="57" w:right="57"/>
            </w:pPr>
            <w:r>
              <w:t xml:space="preserve">На всех АРМ УБП: автоматически заполняется значением, равным знач</w:t>
            </w:r>
            <w:r>
              <w:t xml:space="preserve">е</w:t>
            </w:r>
            <w:r>
              <w:t xml:space="preserve">нию поля «Сумма в валюте БО», если заполнены поля «Сумма в валюте БО» и «Валюта», и в поле «Валюта» указано значение «643» или «RUB».</w:t>
            </w:r>
            <w:r/>
          </w:p>
          <w:p>
            <w:pPr>
              <w:pStyle w:val="1005"/>
              <w:ind w:left="57" w:right="57"/>
            </w:pPr>
            <w:r>
              <w:t xml:space="preserve">Возможно заполнение значение вручную.</w:t>
            </w:r>
            <w:r/>
          </w:p>
        </w:tc>
      </w:tr>
      <w:tr>
        <w:trPr/>
        <w:tc>
          <w:tcPr>
            <w:shd w:val="clear" w:fill="auto" w:color="auto"/>
            <w:tcW w:w="1169" w:type="pct"/>
            <w:textDirection w:val="lrTb"/>
            <w:noWrap w:val="false"/>
          </w:tcPr>
          <w:p>
            <w:pPr>
              <w:pStyle w:val="1005"/>
              <w:ind w:left="57" w:right="57"/>
            </w:pPr>
            <w:r>
              <w:t xml:space="preserve">% аванса от суммы БО</w:t>
            </w:r>
            <w:r/>
          </w:p>
        </w:tc>
        <w:tc>
          <w:tcPr>
            <w:shd w:val="clear" w:fill="auto" w:color="auto"/>
            <w:tcW w:w="3831" w:type="pct"/>
            <w:textDirection w:val="lrTb"/>
            <w:noWrap w:val="false"/>
          </w:tcPr>
          <w:p>
            <w:pPr>
              <w:pStyle w:val="1005"/>
              <w:ind w:left="57" w:right="57"/>
            </w:pPr>
            <w:r>
              <w:t xml:space="preserve">Значение подтягивается автоматически при выборе родительского документа. Значение можно изменить вручную.</w:t>
            </w:r>
            <w:r/>
          </w:p>
        </w:tc>
      </w:tr>
      <w:tr>
        <w:trPr/>
        <w:tc>
          <w:tcPr>
            <w:shd w:val="clear" w:fill="auto" w:color="auto"/>
            <w:tcW w:w="1169" w:type="pct"/>
            <w:textDirection w:val="lrTb"/>
            <w:noWrap w:val="false"/>
          </w:tcPr>
          <w:p>
            <w:pPr>
              <w:pStyle w:val="1005"/>
              <w:ind w:left="57" w:right="57"/>
            </w:pPr>
            <w:r>
              <w:t xml:space="preserve">Сумма авансового платежа</w:t>
            </w:r>
            <w:r/>
          </w:p>
        </w:tc>
        <w:tc>
          <w:tcPr>
            <w:shd w:val="clear" w:fill="auto" w:color="auto"/>
            <w:tcW w:w="3831" w:type="pct"/>
            <w:textDirection w:val="lrTb"/>
            <w:noWrap w:val="false"/>
          </w:tcPr>
          <w:p>
            <w:pPr>
              <w:pStyle w:val="1005"/>
              <w:ind w:left="57" w:right="57"/>
            </w:pPr>
            <w:r>
              <w:t xml:space="preserve">Значение подтягивается автоматически при выборе родительского документа. Значение можно изменить вручную.</w:t>
            </w:r>
            <w:r/>
          </w:p>
        </w:tc>
      </w:tr>
      <w:tr>
        <w:trPr/>
        <w:tc>
          <w:tcPr>
            <w:shd w:val="clear" w:fill="auto" w:color="auto"/>
            <w:tcW w:w="1169" w:type="pct"/>
            <w:textDirection w:val="lrTb"/>
            <w:noWrap w:val="false"/>
          </w:tcPr>
          <w:p>
            <w:pPr>
              <w:pStyle w:val="1005"/>
              <w:ind w:left="57" w:right="57"/>
            </w:pPr>
            <w:r>
              <w:t xml:space="preserve">Код ФАИП</w:t>
            </w:r>
            <w:r/>
          </w:p>
        </w:tc>
        <w:tc>
          <w:tcPr>
            <w:shd w:val="clear" w:fill="auto" w:color="auto"/>
            <w:tcW w:w="3831" w:type="pct"/>
            <w:textDirection w:val="lrTb"/>
            <w:noWrap w:val="false"/>
          </w:tcPr>
          <w:p>
            <w:pPr>
              <w:pStyle w:val="1005"/>
              <w:ind w:left="57" w:right="57"/>
            </w:pPr>
            <w:r>
              <w:t xml:space="preserve">Уникальный код объекта ФАИП.</w:t>
            </w:r>
            <w:r/>
          </w:p>
        </w:tc>
      </w:tr>
      <w:tr>
        <w:trPr/>
        <w:tc>
          <w:tcPr>
            <w:gridSpan w:val="2"/>
            <w:shd w:val="clear" w:fill="auto" w:color="auto"/>
            <w:tcW w:w="5000" w:type="pct"/>
            <w:textDirection w:val="lrTb"/>
            <w:noWrap w:val="false"/>
          </w:tcPr>
          <w:p>
            <w:pPr>
              <w:pStyle w:val="1005"/>
              <w:ind w:left="57" w:right="57"/>
            </w:pPr>
            <w:r>
              <w:t xml:space="preserve">Группа полей «Раздел 2. Реквизиты контрагента» (Табличное поле)</w:t>
            </w:r>
            <w:r/>
          </w:p>
        </w:tc>
      </w:tr>
      <w:tr>
        <w:trPr/>
        <w:tc>
          <w:tcPr>
            <w:shd w:val="clear" w:fill="auto" w:color="auto"/>
            <w:tcW w:w="1169" w:type="pct"/>
            <w:textDirection w:val="lrTb"/>
            <w:noWrap w:val="false"/>
          </w:tcPr>
          <w:p>
            <w:pPr>
              <w:pStyle w:val="1005"/>
              <w:ind w:left="57" w:right="57"/>
            </w:pPr>
            <w:r>
              <w:t xml:space="preserve">Наименование </w:t>
            </w:r>
            <w:r/>
          </w:p>
        </w:tc>
        <w:tc>
          <w:tcPr>
            <w:shd w:val="clear" w:fill="auto" w:color="auto"/>
            <w:tcW w:w="3831" w:type="pct"/>
            <w:textDirection w:val="lrTb"/>
            <w:noWrap w:val="false"/>
          </w:tcPr>
          <w:p>
            <w:pPr>
              <w:pStyle w:val="1005"/>
              <w:ind w:left="57" w:right="57"/>
            </w:pPr>
            <w:r>
              <w:t xml:space="preserve">Значение вводится вручную или выбирается из справочника поставщ</w:t>
            </w:r>
            <w:r>
              <w:t xml:space="preserve">и</w:t>
            </w:r>
            <w:r>
              <w:t xml:space="preserve">ков. </w:t>
            </w:r>
            <w:r/>
          </w:p>
          <w:p>
            <w:pPr>
              <w:pStyle w:val="1005"/>
              <w:ind w:left="57" w:right="57"/>
            </w:pPr>
            <w:r>
              <w:t xml:space="preserve">Может заполняться автоматически из поля «Наименование (ФИО)» при выборе родительского документа с типом ОБЛ, ОБЕ для заполнения детализа</w:t>
            </w:r>
            <w:r>
              <w:t xml:space="preserve">ции по исполнительному листу.</w:t>
            </w:r>
            <w:r/>
          </w:p>
        </w:tc>
      </w:tr>
      <w:tr>
        <w:trPr/>
        <w:tc>
          <w:tcPr>
            <w:shd w:val="clear" w:fill="auto" w:color="auto"/>
            <w:tcW w:w="1169" w:type="pct"/>
            <w:textDirection w:val="lrTb"/>
            <w:noWrap w:val="false"/>
          </w:tcPr>
          <w:p>
            <w:pPr>
              <w:pStyle w:val="1005"/>
              <w:ind w:left="57" w:right="57"/>
            </w:pPr>
            <w:r>
              <w:t xml:space="preserve">ИНН</w:t>
            </w:r>
            <w:r/>
          </w:p>
        </w:tc>
        <w:tc>
          <w:tcPr>
            <w:shd w:val="clear" w:fill="auto" w:color="auto"/>
            <w:tcW w:w="3831" w:type="pct"/>
            <w:textDirection w:val="lrTb"/>
            <w:noWrap w:val="false"/>
          </w:tcPr>
          <w:p>
            <w:pPr>
              <w:pStyle w:val="1005"/>
              <w:ind w:left="57" w:right="57"/>
            </w:pPr>
            <w:r>
              <w:t xml:space="preserve">Значение заполняется автоматически из родительского документа.</w:t>
            </w:r>
            <w:r/>
          </w:p>
          <w:p>
            <w:pPr>
              <w:pStyle w:val="1005"/>
              <w:ind w:left="57" w:right="57"/>
            </w:pPr>
            <w:r>
              <w:t xml:space="preserve">Значение может подтягиваться автоматически из справочника поставщ</w:t>
            </w:r>
            <w:r>
              <w:t xml:space="preserve">и</w:t>
            </w:r>
            <w:r>
              <w:t xml:space="preserve">ков по наименованию контрагента. </w:t>
            </w:r>
            <w:r/>
          </w:p>
          <w:p>
            <w:pPr>
              <w:pStyle w:val="1005"/>
              <w:ind w:left="57" w:right="57"/>
            </w:pPr>
            <w:r>
              <w:t xml:space="preserve">Значение может быть введено вручную. Поле открыто для ввода и редактирования.</w:t>
            </w:r>
            <w:r/>
          </w:p>
        </w:tc>
      </w:tr>
      <w:tr>
        <w:trPr/>
        <w:tc>
          <w:tcPr>
            <w:shd w:val="clear" w:fill="auto" w:color="auto"/>
            <w:tcW w:w="1169" w:type="pct"/>
            <w:textDirection w:val="lrTb"/>
            <w:noWrap w:val="false"/>
          </w:tcPr>
          <w:p>
            <w:pPr>
              <w:pStyle w:val="1005"/>
              <w:ind w:left="57" w:right="57"/>
            </w:pPr>
            <w:r>
              <w:t xml:space="preserve">КПП</w:t>
            </w:r>
            <w:r/>
          </w:p>
        </w:tc>
        <w:tc>
          <w:tcPr>
            <w:shd w:val="clear" w:fill="auto" w:color="auto"/>
            <w:tcW w:w="3831" w:type="pct"/>
            <w:textDirection w:val="lrTb"/>
            <w:noWrap w:val="false"/>
          </w:tcPr>
          <w:p>
            <w:pPr>
              <w:pStyle w:val="1005"/>
              <w:ind w:left="57" w:right="57"/>
            </w:pPr>
            <w:r>
              <w:t xml:space="preserve">Значение заполняется автоматически из родительского документа.</w:t>
            </w:r>
            <w:r/>
          </w:p>
          <w:p>
            <w:pPr>
              <w:pStyle w:val="1005"/>
              <w:ind w:left="57" w:right="57"/>
            </w:pPr>
            <w:r>
              <w:t xml:space="preserve">Значение может подтягиваться автоматически из справочника поставщ</w:t>
            </w:r>
            <w:r>
              <w:t xml:space="preserve">и</w:t>
            </w:r>
            <w:r>
              <w:t xml:space="preserve">ков по наименованию контрагента. </w:t>
            </w:r>
            <w:r/>
          </w:p>
          <w:p>
            <w:pPr>
              <w:pStyle w:val="1005"/>
              <w:ind w:left="57" w:right="57"/>
            </w:pPr>
            <w:r>
              <w:t xml:space="preserve">Значение может быть введено вручную. Поле открыто для ввода и редактирования.</w:t>
            </w:r>
            <w:r/>
          </w:p>
        </w:tc>
      </w:tr>
      <w:tr>
        <w:trPr/>
        <w:tc>
          <w:tcPr>
            <w:shd w:val="clear" w:fill="auto" w:color="auto"/>
            <w:tcW w:w="1169" w:type="pct"/>
            <w:textDirection w:val="lrTb"/>
            <w:noWrap w:val="false"/>
          </w:tcPr>
          <w:p>
            <w:pPr>
              <w:pStyle w:val="1005"/>
              <w:ind w:left="57" w:right="57"/>
            </w:pPr>
            <w:r>
              <w:t xml:space="preserve">Код</w:t>
            </w:r>
            <w:r/>
          </w:p>
        </w:tc>
        <w:tc>
          <w:tcPr>
            <w:shd w:val="clear" w:fill="auto" w:color="auto"/>
            <w:tcW w:w="3831" w:type="pct"/>
            <w:textDirection w:val="lrTb"/>
            <w:noWrap w:val="false"/>
          </w:tcPr>
          <w:p>
            <w:pPr>
              <w:pStyle w:val="1005"/>
              <w:ind w:left="57" w:right="57"/>
            </w:pPr>
            <w:r>
              <w:t xml:space="preserve">Значение заполняется автоматически после заполнения поля «Наименов</w:t>
            </w:r>
            <w:r>
              <w:t xml:space="preserve">а</w:t>
            </w:r>
            <w:r>
              <w:t xml:space="preserve">ние (получателя платежа)». </w:t>
            </w:r>
            <w:r/>
          </w:p>
          <w:p>
            <w:pPr>
              <w:pStyle w:val="1005"/>
              <w:ind w:left="57" w:right="57"/>
            </w:pPr>
            <w:r>
              <w:t xml:space="preserve">Поле не обязательно для заполнения.</w:t>
            </w:r>
            <w:r/>
          </w:p>
          <w:p>
            <w:pPr>
              <w:pStyle w:val="1005"/>
              <w:ind w:left="57" w:right="57"/>
            </w:pPr>
            <w:r>
              <w:t xml:space="preserve">Поле скрыто для просмотра пользователям.</w:t>
            </w:r>
            <w:r/>
          </w:p>
        </w:tc>
      </w:tr>
      <w:tr>
        <w:trPr/>
        <w:tc>
          <w:tcPr>
            <w:shd w:val="clear" w:fill="auto" w:color="auto"/>
            <w:tcW w:w="1169" w:type="pct"/>
            <w:textDirection w:val="lrTb"/>
            <w:noWrap w:val="false"/>
          </w:tcPr>
          <w:p>
            <w:pPr>
              <w:pStyle w:val="1005"/>
              <w:ind w:left="57" w:right="57"/>
            </w:pPr>
            <w:r>
              <w:t xml:space="preserve">Страна</w:t>
            </w:r>
            <w:r/>
          </w:p>
        </w:tc>
        <w:tc>
          <w:tcPr>
            <w:shd w:val="clear" w:fill="auto" w:color="auto"/>
            <w:tcW w:w="3831" w:type="pct"/>
            <w:textDirection w:val="lrTb"/>
            <w:noWrap w:val="false"/>
          </w:tcPr>
          <w:p>
            <w:pPr>
              <w:pStyle w:val="1005"/>
              <w:ind w:left="57" w:right="57"/>
            </w:pPr>
            <w:r>
              <w:t xml:space="preserve">Значение вводится вручную.</w:t>
            </w:r>
            <w:r/>
          </w:p>
          <w:p>
            <w:pPr>
              <w:pStyle w:val="1005"/>
              <w:ind w:left="57" w:right="57"/>
            </w:pPr>
            <w:r>
              <w:t xml:space="preserve">По умолчанию – пустое значение.</w:t>
            </w:r>
            <w:r/>
          </w:p>
        </w:tc>
      </w:tr>
      <w:tr>
        <w:trPr/>
        <w:tc>
          <w:tcPr>
            <w:shd w:val="clear" w:fill="auto" w:color="auto"/>
            <w:tcW w:w="1169" w:type="pct"/>
            <w:textDirection w:val="lrTb"/>
            <w:noWrap w:val="false"/>
          </w:tcPr>
          <w:p>
            <w:pPr>
              <w:pStyle w:val="1005"/>
              <w:ind w:left="57" w:right="57"/>
            </w:pPr>
            <w:r>
              <w:t xml:space="preserve">Код страны</w:t>
            </w:r>
            <w:r/>
          </w:p>
        </w:tc>
        <w:tc>
          <w:tcPr>
            <w:shd w:val="clear" w:fill="auto" w:color="auto"/>
            <w:tcW w:w="3831" w:type="pct"/>
            <w:textDirection w:val="lrTb"/>
            <w:noWrap w:val="false"/>
          </w:tcPr>
          <w:p>
            <w:pPr>
              <w:pStyle w:val="1005"/>
              <w:ind w:left="57" w:right="57"/>
            </w:pPr>
            <w:r>
              <w:t xml:space="preserve">Значение вводится вручную.</w:t>
            </w:r>
            <w:r/>
          </w:p>
          <w:p>
            <w:pPr>
              <w:pStyle w:val="1005"/>
              <w:ind w:left="57" w:right="57"/>
            </w:pPr>
            <w:r>
              <w:t xml:space="preserve">По умолчанию – пустое значение.</w:t>
            </w:r>
            <w:r/>
          </w:p>
        </w:tc>
      </w:tr>
      <w:tr>
        <w:trPr/>
        <w:tc>
          <w:tcPr>
            <w:shd w:val="clear" w:fill="auto" w:color="auto"/>
            <w:tcW w:w="1169" w:type="pct"/>
            <w:textDirection w:val="lrTb"/>
            <w:noWrap w:val="false"/>
          </w:tcPr>
          <w:p>
            <w:pPr>
              <w:pStyle w:val="1005"/>
              <w:ind w:left="57" w:right="57"/>
            </w:pPr>
            <w:r>
              <w:t xml:space="preserve">Адрес</w:t>
            </w:r>
            <w:r/>
          </w:p>
        </w:tc>
        <w:tc>
          <w:tcPr>
            <w:shd w:val="clear" w:fill="auto" w:color="auto"/>
            <w:tcW w:w="3831" w:type="pct"/>
            <w:textDirection w:val="lrTb"/>
            <w:noWrap w:val="false"/>
          </w:tcPr>
          <w:p>
            <w:pPr>
              <w:pStyle w:val="1005"/>
              <w:ind w:left="57" w:right="57"/>
            </w:pPr>
            <w:r>
              <w:t xml:space="preserve">Значение вводится вручную.</w:t>
            </w:r>
            <w:r/>
          </w:p>
          <w:p>
            <w:pPr>
              <w:pStyle w:val="1005"/>
              <w:ind w:left="57" w:right="57"/>
            </w:pPr>
            <w:r>
              <w:t xml:space="preserve">По умолчанию – пустое значение.</w:t>
            </w:r>
            <w:r/>
          </w:p>
        </w:tc>
      </w:tr>
      <w:tr>
        <w:trPr/>
        <w:tc>
          <w:tcPr>
            <w:shd w:val="clear" w:fill="auto" w:color="auto"/>
            <w:tcW w:w="1169" w:type="pct"/>
            <w:textDirection w:val="lrTb"/>
            <w:noWrap w:val="false"/>
          </w:tcPr>
          <w:p>
            <w:pPr>
              <w:pStyle w:val="1005"/>
              <w:ind w:left="57" w:right="57"/>
            </w:pPr>
            <w:r>
              <w:t xml:space="preserve">Тел.(факс)</w:t>
            </w:r>
            <w:r/>
          </w:p>
        </w:tc>
        <w:tc>
          <w:tcPr>
            <w:shd w:val="clear" w:fill="auto" w:color="auto"/>
            <w:tcW w:w="3831" w:type="pct"/>
            <w:textDirection w:val="lrTb"/>
            <w:noWrap w:val="false"/>
          </w:tcPr>
          <w:p>
            <w:pPr>
              <w:pStyle w:val="1005"/>
              <w:ind w:left="57" w:right="57"/>
            </w:pPr>
            <w:r>
              <w:t xml:space="preserve">Значение вводится вручную.</w:t>
            </w:r>
            <w:r/>
          </w:p>
          <w:p>
            <w:pPr>
              <w:pStyle w:val="1005"/>
              <w:ind w:left="57" w:right="57"/>
            </w:pPr>
            <w:r>
              <w:t xml:space="preserve">По умолчанию – пустое значение.</w:t>
            </w:r>
            <w:r/>
          </w:p>
        </w:tc>
      </w:tr>
      <w:tr>
        <w:trPr/>
        <w:tc>
          <w:tcPr>
            <w:shd w:val="clear" w:fill="auto" w:color="auto"/>
            <w:tcW w:w="1169" w:type="pct"/>
            <w:textDirection w:val="lrTb"/>
            <w:noWrap w:val="false"/>
          </w:tcPr>
          <w:p>
            <w:pPr>
              <w:pStyle w:val="1005"/>
              <w:ind w:left="57" w:right="57"/>
            </w:pPr>
            <w:r>
              <w:t xml:space="preserve">Статус</w:t>
            </w:r>
            <w:r/>
          </w:p>
        </w:tc>
        <w:tc>
          <w:tcPr>
            <w:shd w:val="clear" w:fill="auto" w:color="auto"/>
            <w:tcW w:w="3831" w:type="pct"/>
            <w:textDirection w:val="lrTb"/>
            <w:noWrap w:val="false"/>
          </w:tcPr>
          <w:p>
            <w:pPr>
              <w:pStyle w:val="1005"/>
              <w:ind w:left="57" w:right="57"/>
            </w:pPr>
            <w:r>
              <w:t xml:space="preserve">Юридический статус предприятия (код).</w:t>
            </w:r>
            <w:r/>
          </w:p>
          <w:p>
            <w:pPr>
              <w:pStyle w:val="1005"/>
              <w:ind w:left="57" w:right="57"/>
            </w:pPr>
            <w:r>
              <w:t xml:space="preserve">Значение вводится вручную.</w:t>
            </w:r>
            <w:r/>
          </w:p>
          <w:p>
            <w:pPr>
              <w:pStyle w:val="1005"/>
              <w:ind w:left="57" w:right="57"/>
            </w:pPr>
            <w:r>
              <w:t xml:space="preserve">По умолчанию – пустое значение.</w:t>
            </w:r>
            <w:r/>
          </w:p>
        </w:tc>
      </w:tr>
      <w:tr>
        <w:trPr/>
        <w:tc>
          <w:tcPr>
            <w:shd w:val="clear" w:fill="auto" w:color="auto"/>
            <w:tcW w:w="1169" w:type="pct"/>
            <w:textDirection w:val="lrTb"/>
            <w:noWrap w:val="false"/>
          </w:tcPr>
          <w:p>
            <w:pPr>
              <w:pStyle w:val="1005"/>
              <w:ind w:left="57" w:right="57"/>
            </w:pPr>
            <w:r>
              <w:t xml:space="preserve">Банк. </w:t>
            </w:r>
            <w:r>
              <w:t xml:space="preserve">С</w:t>
            </w:r>
            <w:r>
              <w:t xml:space="preserve">чет</w:t>
            </w:r>
            <w:r/>
          </w:p>
        </w:tc>
        <w:tc>
          <w:tcPr>
            <w:shd w:val="clear" w:fill="auto" w:color="auto"/>
            <w:tcW w:w="3831" w:type="pct"/>
            <w:textDirection w:val="lrTb"/>
            <w:noWrap w:val="false"/>
          </w:tcPr>
          <w:p>
            <w:pPr>
              <w:pStyle w:val="1005"/>
              <w:ind w:left="57" w:right="57"/>
            </w:pPr>
            <w:r>
              <w:t xml:space="preserve">Значение вводится вручную.</w:t>
            </w:r>
            <w:r/>
          </w:p>
          <w:p>
            <w:pPr>
              <w:pStyle w:val="1005"/>
              <w:ind w:left="57" w:right="57"/>
            </w:pPr>
            <w:r>
              <w:t xml:space="preserve">По умолчанию – пустое значение.</w:t>
            </w:r>
            <w:r/>
          </w:p>
        </w:tc>
      </w:tr>
      <w:tr>
        <w:trPr/>
        <w:tc>
          <w:tcPr>
            <w:shd w:val="clear" w:fill="auto" w:color="auto"/>
            <w:tcW w:w="1169" w:type="pct"/>
            <w:textDirection w:val="lrTb"/>
            <w:noWrap w:val="false"/>
          </w:tcPr>
          <w:p>
            <w:pPr>
              <w:pStyle w:val="1005"/>
              <w:ind w:left="57" w:right="57"/>
            </w:pPr>
            <w:r>
              <w:t xml:space="preserve">Банк</w:t>
            </w:r>
            <w:r/>
          </w:p>
        </w:tc>
        <w:tc>
          <w:tcPr>
            <w:shd w:val="clear" w:fill="auto" w:color="auto"/>
            <w:tcW w:w="3831" w:type="pct"/>
            <w:textDirection w:val="lrTb"/>
            <w:noWrap w:val="false"/>
          </w:tcPr>
          <w:p>
            <w:pPr>
              <w:pStyle w:val="1005"/>
              <w:ind w:left="57" w:right="57"/>
            </w:pPr>
            <w:r>
              <w:t xml:space="preserve">Значение вводится вручную.</w:t>
            </w:r>
            <w:r/>
          </w:p>
          <w:p>
            <w:pPr>
              <w:pStyle w:val="1005"/>
              <w:ind w:left="57" w:right="57"/>
            </w:pPr>
            <w:r>
              <w:t xml:space="preserve">По умолчанию – пустое значение.</w:t>
            </w:r>
            <w:r/>
          </w:p>
        </w:tc>
      </w:tr>
      <w:tr>
        <w:trPr/>
        <w:tc>
          <w:tcPr>
            <w:shd w:val="clear" w:fill="auto" w:color="auto"/>
            <w:tcW w:w="1169" w:type="pct"/>
            <w:textDirection w:val="lrTb"/>
            <w:noWrap w:val="false"/>
          </w:tcPr>
          <w:p>
            <w:pPr>
              <w:pStyle w:val="1005"/>
              <w:ind w:left="57" w:right="57"/>
            </w:pPr>
            <w:r>
              <w:t xml:space="preserve">БИК</w:t>
            </w:r>
            <w:r/>
          </w:p>
        </w:tc>
        <w:tc>
          <w:tcPr>
            <w:shd w:val="clear" w:fill="auto" w:color="auto"/>
            <w:tcW w:w="3831" w:type="pct"/>
            <w:textDirection w:val="lrTb"/>
            <w:noWrap w:val="false"/>
          </w:tcPr>
          <w:p>
            <w:pPr>
              <w:pStyle w:val="1005"/>
              <w:ind w:left="57" w:right="57"/>
            </w:pPr>
            <w:r>
              <w:t xml:space="preserve">Значение вводится вручную.</w:t>
            </w:r>
            <w:r/>
          </w:p>
          <w:p>
            <w:pPr>
              <w:pStyle w:val="1005"/>
              <w:ind w:left="57" w:right="57"/>
            </w:pPr>
            <w:r>
              <w:t xml:space="preserve">По умолчанию – пустое значение.</w:t>
            </w:r>
            <w:r/>
          </w:p>
        </w:tc>
      </w:tr>
      <w:tr>
        <w:trPr/>
        <w:tc>
          <w:tcPr>
            <w:shd w:val="clear" w:fill="auto" w:color="auto"/>
            <w:tcW w:w="1169" w:type="pct"/>
            <w:textDirection w:val="lrTb"/>
            <w:noWrap w:val="false"/>
          </w:tcPr>
          <w:p>
            <w:pPr>
              <w:pStyle w:val="1005"/>
              <w:ind w:left="57" w:right="57"/>
            </w:pPr>
            <w:r>
              <w:t xml:space="preserve">Корсчет</w:t>
            </w:r>
            <w:r/>
          </w:p>
        </w:tc>
        <w:tc>
          <w:tcPr>
            <w:shd w:val="clear" w:fill="auto" w:color="auto"/>
            <w:tcW w:w="3831" w:type="pct"/>
            <w:textDirection w:val="lrTb"/>
            <w:noWrap w:val="false"/>
          </w:tcPr>
          <w:p>
            <w:pPr>
              <w:pStyle w:val="1005"/>
              <w:ind w:left="57" w:right="57"/>
            </w:pPr>
            <w:r>
              <w:t xml:space="preserve">Значение вводится вручную.</w:t>
            </w:r>
            <w:r/>
          </w:p>
          <w:p>
            <w:pPr>
              <w:pStyle w:val="1005"/>
              <w:ind w:left="57" w:right="57"/>
            </w:pPr>
            <w:r>
              <w:t xml:space="preserve">По умолчанию – пустое значение.</w:t>
            </w:r>
            <w:r/>
          </w:p>
        </w:tc>
      </w:tr>
    </w:tbl>
    <w:p>
      <w:pPr>
        <w:pStyle w:val="994"/>
      </w:pPr>
      <w:r>
        <w:t xml:space="preserve">ЭФ документа «Заявка на внесение изменений в обязательство», закладки «Раздел 3,4 (2)»</w:t>
      </w:r>
      <w:r>
        <w:t xml:space="preserve"> представлена н</w:t>
      </w:r>
      <w:r>
        <w:t xml:space="preserve">а рисунке</w:t>
      </w:r>
      <w:r>
        <w:t xml:space="preserve"> </w:t>
      </w:r>
      <w:r>
        <w:fldChar w:fldCharType="begin"/>
      </w:r>
      <w:r>
        <w:instrText xml:space="preserve"> REF _Ref365653602 \h </w:instrText>
      </w:r>
      <w:r>
        <w:instrText xml:space="preserve"> \* MERGEFORMAT </w:instrText>
      </w:r>
      <w:r>
        <w:fldChar w:fldCharType="separate"/>
      </w:r>
      <w:r>
        <w:t xml:space="preserve">80</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286000"/>
                <wp:effectExtent l="0" t="0" r="0" b="0"/>
                <wp:docPr id="15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46"/>
                        <a:stretch/>
                      </pic:blipFill>
                      <pic:spPr bwMode="auto">
                        <a:xfrm>
                          <a:off x="0" y="0"/>
                          <a:ext cx="6126480" cy="22860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 o:spid="_x0000_s152" type="#_x0000_t75" style="mso-wrap-distance-left:0.0pt;mso-wrap-distance-top:0.0pt;mso-wrap-distance-right:0.0pt;mso-wrap-distance-bottom:0.0pt;width:482.4pt;height:180.0pt;" stroked="f">
                <v:path textboxrect="0,0,0,0"/>
                <v:imagedata r:id="rId146" o:title=""/>
              </v:shape>
            </w:pict>
          </mc:Fallback>
        </mc:AlternateContent>
      </w:r>
      <w:r/>
    </w:p>
    <w:p>
      <w:pPr>
        <w:pStyle w:val="983"/>
      </w:pPr>
      <w:r>
        <w:fldChar w:fldCharType="begin"/>
      </w:r>
      <w:r>
        <w:instrText xml:space="preserve"> SEQ Рисунок \* ARABIC </w:instrText>
      </w:r>
      <w:r>
        <w:fldChar w:fldCharType="separate"/>
      </w:r>
      <w:bookmarkStart w:id="738" w:name="_Ref365653602"/>
      <w:r/>
      <w:bookmarkStart w:id="739" w:name="_Toc88819465"/>
      <w:r>
        <w:t xml:space="preserve">80</w:t>
      </w:r>
      <w:bookmarkEnd w:id="738"/>
      <w:r>
        <w:fldChar w:fldCharType="end"/>
      </w:r>
      <w:r>
        <w:t xml:space="preserve">. ЭФ </w:t>
      </w:r>
      <w:r>
        <w:t xml:space="preserve">документа </w:t>
      </w:r>
      <w:r>
        <w:t xml:space="preserve">«Заявка на внесение изменений в обязательство</w:t>
      </w:r>
      <w:r>
        <w:t xml:space="preserve">», закладки «</w:t>
      </w:r>
      <w:r>
        <w:t xml:space="preserve">Раздел 3,4 (2)»</w:t>
      </w:r>
      <w:bookmarkEnd w:id="739"/>
      <w:r/>
      <w:r/>
    </w:p>
    <w:p>
      <w:pPr>
        <w:pStyle w:val="994"/>
      </w:pPr>
      <w:r>
        <w:t xml:space="preserve">Перечень полей </w:t>
      </w:r>
      <w:r>
        <w:t xml:space="preserve">документа «Заявка на внесение изменений в обязательство», закладки «Раздел 3,4 (2)»</w:t>
      </w:r>
      <w:r>
        <w:t xml:space="preserve"> </w:t>
      </w:r>
      <w:r>
        <w:t xml:space="preserve">приведен в таблице</w:t>
      </w:r>
      <w:r>
        <w:t xml:space="preserve"> </w:t>
      </w:r>
      <w:r>
        <w:fldChar w:fldCharType="begin"/>
      </w:r>
      <w:r>
        <w:instrText xml:space="preserve"> REF _Ref365653626 \h </w:instrText>
      </w:r>
      <w:r>
        <w:instrText xml:space="preserve"> \* MERGEFORMAT </w:instrText>
      </w:r>
      <w:r>
        <w:fldChar w:fldCharType="separate"/>
      </w:r>
      <w:r>
        <w:t xml:space="preserve">39</w:t>
      </w:r>
      <w:r>
        <w:fldChar w:fldCharType="end"/>
      </w:r>
      <w:r>
        <w:t xml:space="preserve">.</w:t>
      </w:r>
      <w:r/>
    </w:p>
    <w:p>
      <w:pPr>
        <w:pStyle w:val="993"/>
      </w:pPr>
      <w:r>
        <w:fldChar w:fldCharType="begin"/>
      </w:r>
      <w:r>
        <w:instrText xml:space="preserve"> SEQ Таблица \* ARABIC </w:instrText>
      </w:r>
      <w:r>
        <w:fldChar w:fldCharType="separate"/>
      </w:r>
      <w:bookmarkStart w:id="740" w:name="_Ref365653626"/>
      <w:r/>
      <w:bookmarkStart w:id="741" w:name="_Toc88819225"/>
      <w:r>
        <w:t xml:space="preserve">39</w:t>
      </w:r>
      <w:bookmarkEnd w:id="740"/>
      <w:r>
        <w:fldChar w:fldCharType="end"/>
      </w:r>
      <w:r>
        <w:t xml:space="preserve">. Описание полей </w:t>
      </w:r>
      <w:r>
        <w:t xml:space="preserve">документа «Заявка на внесение изменений в обязательство», закладки «Раздел 3,4 (2)»</w:t>
      </w:r>
      <w:bookmarkEnd w:id="741"/>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734"/>
        <w:gridCol w:w="7018"/>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402"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598"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Группа полей «Раздел 3: Реквизиты исполнительного документа»</w:t>
            </w:r>
            <w:r/>
          </w:p>
        </w:tc>
      </w:tr>
      <w:tr>
        <w:trPr/>
        <w:tc>
          <w:tcPr>
            <w:shd w:val="clear" w:fill="auto" w:color="auto"/>
            <w:tcW w:w="1402" w:type="pct"/>
            <w:textDirection w:val="lrTb"/>
            <w:noWrap w:val="false"/>
          </w:tcPr>
          <w:p>
            <w:pPr>
              <w:pStyle w:val="1005"/>
              <w:ind w:left="57" w:right="57"/>
            </w:pPr>
            <w:r>
              <w:t xml:space="preserve">Номер исп. </w:t>
            </w:r>
            <w:r>
              <w:t xml:space="preserve">Д</w:t>
            </w:r>
            <w:r>
              <w:t xml:space="preserve">окумента</w:t>
            </w:r>
            <w:r/>
          </w:p>
        </w:tc>
        <w:tc>
          <w:tcPr>
            <w:shd w:val="clear" w:fill="auto" w:color="auto"/>
            <w:tcW w:w="3598" w:type="pct"/>
            <w:textDirection w:val="lrTb"/>
            <w:noWrap w:val="false"/>
          </w:tcPr>
          <w:p>
            <w:pPr>
              <w:pStyle w:val="1005"/>
              <w:ind w:left="57" w:right="57"/>
            </w:pPr>
            <w:r>
              <w:t xml:space="preserve">Номер документа-основания.</w:t>
            </w:r>
            <w:r/>
          </w:p>
          <w:p>
            <w:pPr>
              <w:pStyle w:val="1005"/>
              <w:ind w:left="57" w:right="57"/>
            </w:pPr>
            <w:r>
              <w:t xml:space="preserve">Значение может вводиться </w:t>
            </w:r>
            <w:r>
              <w:t xml:space="preserve">вручную или заполняться автом</w:t>
            </w:r>
            <w:r>
              <w:t xml:space="preserve">а</w:t>
            </w:r>
            <w:r>
              <w:t xml:space="preserve">тически из родительского документа.</w:t>
            </w:r>
            <w:r/>
          </w:p>
        </w:tc>
      </w:tr>
      <w:tr>
        <w:trPr/>
        <w:tc>
          <w:tcPr>
            <w:shd w:val="clear" w:fill="auto" w:color="auto"/>
            <w:tcW w:w="1402" w:type="pct"/>
            <w:textDirection w:val="lrTb"/>
            <w:noWrap w:val="false"/>
          </w:tcPr>
          <w:p>
            <w:pPr>
              <w:pStyle w:val="1005"/>
              <w:ind w:left="57" w:right="57"/>
            </w:pPr>
            <w:r>
              <w:t xml:space="preserve">Дата выдачи</w:t>
            </w:r>
            <w:r/>
          </w:p>
        </w:tc>
        <w:tc>
          <w:tcPr>
            <w:shd w:val="clear" w:fill="auto" w:color="auto"/>
            <w:tcW w:w="3598" w:type="pct"/>
            <w:textDirection w:val="lrTb"/>
            <w:noWrap w:val="false"/>
          </w:tcPr>
          <w:p>
            <w:pPr>
              <w:pStyle w:val="1005"/>
              <w:ind w:left="57" w:right="57"/>
            </w:pPr>
            <w:r>
              <w:t xml:space="preserve">Значение может вводиться </w:t>
            </w:r>
            <w:r>
              <w:t xml:space="preserve">вручную или заполняться автоматически из родительского документа.</w:t>
            </w:r>
            <w:r/>
          </w:p>
        </w:tc>
      </w:tr>
      <w:tr>
        <w:trPr/>
        <w:tc>
          <w:tcPr>
            <w:shd w:val="clear" w:fill="auto" w:color="auto"/>
            <w:tcW w:w="1402" w:type="pct"/>
            <w:textDirection w:val="lrTb"/>
            <w:noWrap w:val="false"/>
          </w:tcPr>
          <w:p>
            <w:pPr>
              <w:pStyle w:val="1005"/>
              <w:ind w:left="57" w:right="57"/>
            </w:pPr>
            <w:r>
              <w:t xml:space="preserve">Срок оплаты</w:t>
            </w:r>
            <w:r/>
          </w:p>
        </w:tc>
        <w:tc>
          <w:tcPr>
            <w:shd w:val="clear" w:fill="auto" w:color="auto"/>
            <w:tcW w:w="3598" w:type="pct"/>
            <w:textDirection w:val="lrTb"/>
            <w:noWrap w:val="false"/>
          </w:tcPr>
          <w:p>
            <w:pPr>
              <w:pStyle w:val="1005"/>
              <w:ind w:left="57" w:right="57"/>
            </w:pPr>
            <w:r>
              <w:t xml:space="preserve">Значение может вводиться </w:t>
            </w:r>
            <w:r>
              <w:t xml:space="preserve">вручную или заполняться автоматически из родительского документа.</w:t>
            </w:r>
            <w:r/>
          </w:p>
        </w:tc>
      </w:tr>
      <w:tr>
        <w:trPr/>
        <w:tc>
          <w:tcPr>
            <w:shd w:val="clear" w:fill="auto" w:color="auto"/>
            <w:tcW w:w="1402" w:type="pct"/>
            <w:textDirection w:val="lrTb"/>
            <w:noWrap w:val="false"/>
          </w:tcPr>
          <w:p>
            <w:pPr>
              <w:pStyle w:val="1005"/>
              <w:ind w:left="57" w:right="57"/>
            </w:pPr>
            <w:r>
              <w:t xml:space="preserve">Наименование судебного органа</w:t>
            </w:r>
            <w:r/>
          </w:p>
        </w:tc>
        <w:tc>
          <w:tcPr>
            <w:shd w:val="clear" w:fill="auto" w:color="auto"/>
            <w:tcW w:w="3598" w:type="pct"/>
            <w:textDirection w:val="lrTb"/>
            <w:noWrap w:val="false"/>
          </w:tcPr>
          <w:p>
            <w:pPr>
              <w:pStyle w:val="1005"/>
              <w:ind w:left="57" w:right="57"/>
            </w:pPr>
            <w:r>
              <w:t xml:space="preserve">Значение может вводиться </w:t>
            </w:r>
            <w:r>
              <w:t xml:space="preserve">вручную или заполняться автоматически из родительского документа.</w:t>
            </w:r>
            <w:r/>
          </w:p>
        </w:tc>
      </w:tr>
      <w:tr>
        <w:trPr/>
        <w:tc>
          <w:tcPr>
            <w:shd w:val="clear" w:fill="auto" w:color="auto"/>
            <w:tcW w:w="1402" w:type="pct"/>
            <w:textDirection w:val="lrTb"/>
            <w:noWrap w:val="false"/>
          </w:tcPr>
          <w:p>
            <w:pPr>
              <w:pStyle w:val="1005"/>
              <w:ind w:left="57" w:right="57"/>
            </w:pPr>
            <w:r>
              <w:t xml:space="preserve">Сумма по исп. </w:t>
            </w:r>
            <w:r>
              <w:t xml:space="preserve">Д</w:t>
            </w:r>
            <w:r>
              <w:t xml:space="preserve">окументу</w:t>
            </w:r>
            <w:r/>
          </w:p>
        </w:tc>
        <w:tc>
          <w:tcPr>
            <w:shd w:val="clear" w:fill="auto" w:color="auto"/>
            <w:tcW w:w="3598" w:type="pct"/>
            <w:textDirection w:val="lrTb"/>
            <w:noWrap w:val="false"/>
          </w:tcPr>
          <w:p>
            <w:pPr>
              <w:pStyle w:val="1005"/>
              <w:ind w:left="57" w:right="57"/>
            </w:pPr>
            <w:r>
              <w:t xml:space="preserve">Значение может вводиться </w:t>
            </w:r>
            <w:r>
              <w:t xml:space="preserve">вручную или заполняться автоматически из родительского документа.</w:t>
            </w:r>
            <w:r/>
          </w:p>
        </w:tc>
      </w:tr>
      <w:tr>
        <w:trPr/>
        <w:tc>
          <w:tcPr>
            <w:shd w:val="clear" w:fill="auto" w:color="auto"/>
            <w:tcW w:w="1402" w:type="pct"/>
            <w:textDirection w:val="lrTb"/>
            <w:noWrap w:val="false"/>
          </w:tcPr>
          <w:p>
            <w:pPr>
              <w:pStyle w:val="1005"/>
              <w:ind w:left="57" w:right="57"/>
            </w:pPr>
            <w:r>
              <w:t xml:space="preserve">№ уведомления</w:t>
            </w:r>
            <w:r/>
          </w:p>
        </w:tc>
        <w:tc>
          <w:tcPr>
            <w:shd w:val="clear" w:fill="auto" w:color="auto"/>
            <w:tcW w:w="3598" w:type="pct"/>
            <w:textDirection w:val="lrTb"/>
            <w:noWrap w:val="false"/>
          </w:tcPr>
          <w:p>
            <w:pPr>
              <w:pStyle w:val="1005"/>
              <w:ind w:left="57" w:right="57"/>
            </w:pPr>
            <w:r>
              <w:t xml:space="preserve">Номер уведомления.</w:t>
            </w:r>
            <w:r/>
          </w:p>
          <w:p>
            <w:pPr>
              <w:pStyle w:val="1005"/>
              <w:ind w:left="57" w:right="57"/>
            </w:pPr>
            <w:r>
              <w:t xml:space="preserve">Значение может вводиться </w:t>
            </w:r>
            <w:r>
              <w:t xml:space="preserve">вручную или заполняться автоматически из родительского документа.</w:t>
            </w:r>
            <w:r/>
          </w:p>
        </w:tc>
      </w:tr>
      <w:tr>
        <w:trPr/>
        <w:tc>
          <w:tcPr>
            <w:shd w:val="clear" w:fill="auto" w:color="auto"/>
            <w:tcW w:w="1402" w:type="pct"/>
            <w:textDirection w:val="lrTb"/>
            <w:noWrap w:val="false"/>
          </w:tcPr>
          <w:p>
            <w:pPr>
              <w:pStyle w:val="1005"/>
              <w:ind w:left="57" w:right="57"/>
            </w:pPr>
            <w:r>
              <w:t xml:space="preserve">Дата уведомления</w:t>
            </w:r>
            <w:r/>
          </w:p>
        </w:tc>
        <w:tc>
          <w:tcPr>
            <w:shd w:val="clear" w:fill="auto" w:color="auto"/>
            <w:tcW w:w="3598" w:type="pct"/>
            <w:textDirection w:val="lrTb"/>
            <w:noWrap w:val="false"/>
          </w:tcPr>
          <w:p>
            <w:pPr>
              <w:pStyle w:val="1005"/>
              <w:ind w:left="57" w:right="57"/>
            </w:pPr>
            <w:r>
              <w:t xml:space="preserve">Значение может вводиться </w:t>
            </w:r>
            <w:r>
              <w:t xml:space="preserve">вручную или заполняться автоматически из родительского документа.</w:t>
            </w:r>
            <w:r/>
          </w:p>
        </w:tc>
      </w:tr>
      <w:tr>
        <w:trPr/>
        <w:tc>
          <w:tcPr>
            <w:gridSpan w:val="2"/>
            <w:shd w:val="clear" w:fill="auto" w:color="auto"/>
            <w:tcW w:w="5000" w:type="pct"/>
            <w:textDirection w:val="lrTb"/>
            <w:noWrap w:val="false"/>
          </w:tcPr>
          <w:p>
            <w:pPr>
              <w:pStyle w:val="1005"/>
              <w:ind w:left="57" w:right="57"/>
            </w:pPr>
            <w:r>
              <w:t xml:space="preserve">Группа полей «Раздел 4. Дополнительные реквизиты обязательства, сформированного на основе контракта»</w:t>
            </w:r>
            <w:r/>
          </w:p>
        </w:tc>
      </w:tr>
      <w:tr>
        <w:trPr/>
        <w:tc>
          <w:tcPr>
            <w:shd w:val="clear" w:fill="auto" w:color="auto"/>
            <w:tcW w:w="1402" w:type="pct"/>
            <w:textDirection w:val="lrTb"/>
            <w:noWrap w:val="false"/>
          </w:tcPr>
          <w:p>
            <w:pPr>
              <w:pStyle w:val="1005"/>
              <w:ind w:left="57" w:right="57"/>
            </w:pPr>
            <w:r>
              <w:t xml:space="preserve">Способ размещения</w:t>
            </w:r>
            <w:r/>
          </w:p>
        </w:tc>
        <w:tc>
          <w:tcPr>
            <w:shd w:val="clear" w:fill="auto" w:color="auto"/>
            <w:tcW w:w="3598" w:type="pct"/>
            <w:textDirection w:val="lrTb"/>
            <w:noWrap w:val="false"/>
          </w:tcPr>
          <w:p>
            <w:pPr>
              <w:pStyle w:val="1005"/>
              <w:ind w:left="57" w:right="57"/>
            </w:pPr>
            <w:r>
              <w:t xml:space="preserve">Значение выбирается из списка с указанием наименования: </w:t>
            </w:r>
            <w:r/>
          </w:p>
          <w:p>
            <w:pPr>
              <w:pStyle w:val="1007"/>
            </w:pPr>
            <w:r>
              <w:t xml:space="preserve">1 – «открытый конкурс – 1»;</w:t>
            </w:r>
            <w:r/>
          </w:p>
          <w:p>
            <w:pPr>
              <w:pStyle w:val="1007"/>
            </w:pPr>
            <w:r>
              <w:t xml:space="preserve">2 – «открытый аукцион – 2»;</w:t>
            </w:r>
            <w:r/>
          </w:p>
          <w:p>
            <w:pPr>
              <w:pStyle w:val="1007"/>
            </w:pPr>
            <w:r>
              <w:t xml:space="preserve">3 – «открытый аукцион в электронной форме – 3»;</w:t>
            </w:r>
            <w:r/>
          </w:p>
          <w:p>
            <w:pPr>
              <w:pStyle w:val="1007"/>
            </w:pPr>
            <w:r>
              <w:t xml:space="preserve">4 – «запрос котировок</w:t>
            </w:r>
            <w:r>
              <w:t xml:space="preserve"> – </w:t>
            </w:r>
            <w:r>
              <w:t xml:space="preserve">4»;</w:t>
            </w:r>
            <w:r/>
          </w:p>
          <w:p>
            <w:pPr>
              <w:pStyle w:val="1007"/>
            </w:pPr>
            <w:r>
              <w:t xml:space="preserve">5 – «предварительный отбор и запрос котировок при чрезвычайных с</w:t>
            </w:r>
            <w:r>
              <w:t xml:space="preserve">и</w:t>
            </w:r>
            <w:r>
              <w:t xml:space="preserve">туациях – 5»;</w:t>
            </w:r>
            <w:r/>
          </w:p>
          <w:p>
            <w:pPr>
              <w:pStyle w:val="1007"/>
            </w:pPr>
            <w:r>
              <w:t xml:space="preserve">6 – «единственный поставщик (исполнитель, подрядчик) – 6»;</w:t>
            </w:r>
            <w:r/>
          </w:p>
          <w:p>
            <w:pPr>
              <w:pStyle w:val="1007"/>
            </w:pPr>
            <w:r>
              <w:t xml:space="preserve">7 – «единственный поставщик (исполнитель, подрядчик) – 7»;</w:t>
            </w:r>
            <w:r/>
          </w:p>
          <w:p>
            <w:pPr>
              <w:pStyle w:val="1007"/>
            </w:pPr>
            <w:r>
              <w:t xml:space="preserve">8 – «изменение </w:t>
            </w:r>
            <w:r>
              <w:t xml:space="preserve">государственного контракта – 8»;</w:t>
            </w:r>
            <w:r/>
          </w:p>
          <w:p>
            <w:pPr>
              <w:pStyle w:val="1007"/>
            </w:pPr>
            <w:r>
              <w:t xml:space="preserve">9 – «закрытый конкурс</w:t>
            </w:r>
            <w:r>
              <w:t xml:space="preserve"> – </w:t>
            </w:r>
            <w:r>
              <w:t xml:space="preserve">9»;</w:t>
            </w:r>
            <w:r/>
          </w:p>
          <w:p>
            <w:pPr>
              <w:pStyle w:val="1007"/>
            </w:pPr>
            <w:r>
              <w:t xml:space="preserve">10 – «закрытый аукцион – 10».</w:t>
            </w:r>
            <w:r/>
          </w:p>
          <w:p>
            <w:pPr>
              <w:pStyle w:val="1005"/>
              <w:ind w:left="57" w:right="57"/>
            </w:pPr>
            <w:r>
              <w:t xml:space="preserve">Необходимо добавить пустое значение в список возможных значений поля. Пустое значение отображается первым в списке. При ручном вводе по умолчанию поле также заполняется пустым значением.</w:t>
            </w:r>
            <w:r/>
          </w:p>
        </w:tc>
      </w:tr>
      <w:tr>
        <w:trPr/>
        <w:tc>
          <w:tcPr>
            <w:shd w:val="clear" w:fill="auto" w:color="auto"/>
            <w:tcW w:w="1402" w:type="pct"/>
            <w:textDirection w:val="lrTb"/>
            <w:noWrap w:val="false"/>
          </w:tcPr>
          <w:p>
            <w:pPr>
              <w:pStyle w:val="1005"/>
              <w:ind w:left="57" w:right="57"/>
            </w:pPr>
            <w:r>
              <w:t xml:space="preserve">Дата подведения итогов </w:t>
            </w:r>
            <w:r/>
          </w:p>
        </w:tc>
        <w:tc>
          <w:tcPr>
            <w:shd w:val="clear" w:fill="auto" w:color="auto"/>
            <w:tcW w:w="3598" w:type="pct"/>
            <w:textDirection w:val="lrTb"/>
            <w:noWrap w:val="false"/>
          </w:tcPr>
          <w:p>
            <w:pPr>
              <w:pStyle w:val="1005"/>
              <w:ind w:left="57" w:right="57"/>
            </w:pPr>
            <w:r>
              <w:t xml:space="preserve">Значение вводится вручную.</w:t>
            </w:r>
            <w:r/>
          </w:p>
          <w:p>
            <w:pPr>
              <w:pStyle w:val="1005"/>
              <w:ind w:left="57" w:right="57"/>
            </w:pPr>
            <w:r>
              <w:t xml:space="preserve">По умолчанию – пустое значение.</w:t>
            </w:r>
            <w:r/>
          </w:p>
        </w:tc>
      </w:tr>
      <w:tr>
        <w:trPr/>
        <w:tc>
          <w:tcPr>
            <w:shd w:val="clear" w:fill="auto" w:color="auto"/>
            <w:tcW w:w="1402" w:type="pct"/>
            <w:textDirection w:val="lrTb"/>
            <w:noWrap w:val="false"/>
          </w:tcPr>
          <w:p>
            <w:pPr>
              <w:pStyle w:val="1005"/>
              <w:ind w:left="57" w:right="57"/>
            </w:pPr>
            <w:r>
              <w:t xml:space="preserve">Вид документа</w:t>
            </w:r>
            <w:r/>
          </w:p>
        </w:tc>
        <w:tc>
          <w:tcPr>
            <w:shd w:val="clear" w:fill="auto" w:color="auto"/>
            <w:tcW w:w="3598" w:type="pct"/>
            <w:textDirection w:val="lrTb"/>
            <w:noWrap w:val="false"/>
          </w:tcPr>
          <w:p>
            <w:pPr>
              <w:pStyle w:val="1005"/>
              <w:ind w:left="57" w:right="57"/>
            </w:pPr>
            <w:r>
              <w:t xml:space="preserve">Значение вводится вручную.</w:t>
            </w:r>
            <w:r/>
          </w:p>
          <w:p>
            <w:pPr>
              <w:pStyle w:val="1005"/>
              <w:ind w:left="57" w:right="57"/>
            </w:pPr>
            <w:r>
              <w:t xml:space="preserve">По умолчанию – пустое значение.</w:t>
            </w:r>
            <w:r/>
          </w:p>
        </w:tc>
      </w:tr>
      <w:tr>
        <w:trPr/>
        <w:tc>
          <w:tcPr>
            <w:shd w:val="clear" w:fill="auto" w:color="auto"/>
            <w:tcW w:w="1402" w:type="pct"/>
            <w:textDirection w:val="lrTb"/>
            <w:noWrap w:val="false"/>
          </w:tcPr>
          <w:p>
            <w:pPr>
              <w:pStyle w:val="1005"/>
              <w:ind w:left="57" w:right="57"/>
            </w:pPr>
            <w:r>
              <w:t xml:space="preserve">Номер документа</w:t>
            </w:r>
            <w:r/>
          </w:p>
        </w:tc>
        <w:tc>
          <w:tcPr>
            <w:shd w:val="clear" w:fill="auto" w:color="auto"/>
            <w:tcW w:w="3598" w:type="pct"/>
            <w:textDirection w:val="lrTb"/>
            <w:noWrap w:val="false"/>
          </w:tcPr>
          <w:p>
            <w:pPr>
              <w:pStyle w:val="1005"/>
              <w:ind w:left="57" w:right="57"/>
            </w:pPr>
            <w:r>
              <w:t xml:space="preserve">Значение вводится вручную.</w:t>
            </w:r>
            <w:r/>
          </w:p>
          <w:p>
            <w:pPr>
              <w:pStyle w:val="1005"/>
              <w:ind w:left="57" w:right="57"/>
            </w:pPr>
            <w:r>
              <w:t xml:space="preserve">По умолчанию – пустое значение.</w:t>
            </w:r>
            <w:r/>
          </w:p>
        </w:tc>
      </w:tr>
      <w:tr>
        <w:trPr/>
        <w:tc>
          <w:tcPr>
            <w:shd w:val="clear" w:fill="auto" w:color="auto"/>
            <w:tcW w:w="1402" w:type="pct"/>
            <w:textDirection w:val="lrTb"/>
            <w:noWrap w:val="false"/>
          </w:tcPr>
          <w:p>
            <w:pPr>
              <w:pStyle w:val="1005"/>
              <w:ind w:left="57" w:right="57"/>
            </w:pPr>
            <w:r>
              <w:t xml:space="preserve">Дата документа</w:t>
            </w:r>
            <w:r/>
          </w:p>
        </w:tc>
        <w:tc>
          <w:tcPr>
            <w:shd w:val="clear" w:fill="auto" w:color="auto"/>
            <w:tcW w:w="3598" w:type="pct"/>
            <w:textDirection w:val="lrTb"/>
            <w:noWrap w:val="false"/>
          </w:tcPr>
          <w:p>
            <w:pPr>
              <w:pStyle w:val="1005"/>
              <w:ind w:left="57" w:right="57"/>
            </w:pPr>
            <w:r>
              <w:t xml:space="preserve">Значение вводится вручную.</w:t>
            </w:r>
            <w:r/>
          </w:p>
          <w:p>
            <w:pPr>
              <w:pStyle w:val="1005"/>
              <w:ind w:left="57" w:right="57"/>
            </w:pPr>
            <w:r>
              <w:t xml:space="preserve">По умолчанию – пустое значение.</w:t>
            </w:r>
            <w:r/>
          </w:p>
        </w:tc>
      </w:tr>
      <w:tr>
        <w:trPr/>
        <w:tc>
          <w:tcPr>
            <w:shd w:val="clear" w:fill="auto" w:color="auto"/>
            <w:tcW w:w="1402" w:type="pct"/>
            <w:textDirection w:val="lrTb"/>
            <w:noWrap w:val="false"/>
          </w:tcPr>
          <w:p>
            <w:pPr>
              <w:pStyle w:val="1005"/>
              <w:ind w:left="57" w:right="57"/>
            </w:pPr>
            <w:r>
              <w:t xml:space="preserve">Статус исполнения</w:t>
            </w:r>
            <w:r/>
          </w:p>
        </w:tc>
        <w:tc>
          <w:tcPr>
            <w:shd w:val="clear" w:fill="auto" w:color="auto"/>
            <w:tcW w:w="3598" w:type="pct"/>
            <w:textDirection w:val="lrTb"/>
            <w:noWrap w:val="false"/>
          </w:tcPr>
          <w:p>
            <w:pPr>
              <w:pStyle w:val="1005"/>
              <w:ind w:left="57" w:right="57"/>
            </w:pPr>
            <w:r>
              <w:t xml:space="preserve">Значение может вводиться </w:t>
            </w:r>
            <w:r>
              <w:t xml:space="preserve">из списка с указанием наименования: </w:t>
            </w:r>
            <w:r/>
          </w:p>
          <w:p>
            <w:pPr>
              <w:pStyle w:val="1007"/>
            </w:pPr>
            <w:r>
              <w:t xml:space="preserve">«заве</w:t>
            </w:r>
            <w:r>
              <w:t xml:space="preserve">р</w:t>
            </w:r>
            <w:r>
              <w:t xml:space="preserve">шён (исполнен)»; </w:t>
            </w:r>
            <w:r/>
          </w:p>
          <w:p>
            <w:pPr>
              <w:pStyle w:val="1007"/>
            </w:pPr>
            <w:r>
              <w:t xml:space="preserve">«аннулирован (расторгнут)».</w:t>
            </w:r>
            <w:r/>
          </w:p>
          <w:p>
            <w:pPr>
              <w:pStyle w:val="1005"/>
              <w:ind w:left="57" w:right="57"/>
            </w:pPr>
            <w:r>
              <w:t xml:space="preserve">Необходимо добавить пустое значение в список возможных значений поля. Пустое значение отображается первым в списке. При ручном вводе по умолчанию поле также заполняется пустым значением.</w:t>
            </w:r>
            <w:r/>
          </w:p>
        </w:tc>
      </w:tr>
      <w:tr>
        <w:trPr/>
        <w:tc>
          <w:tcPr>
            <w:shd w:val="clear" w:fill="auto" w:color="auto"/>
            <w:tcW w:w="1402" w:type="pct"/>
            <w:textDirection w:val="lrTb"/>
            <w:noWrap w:val="false"/>
          </w:tcPr>
          <w:p>
            <w:pPr>
              <w:pStyle w:val="1005"/>
              <w:ind w:left="57" w:right="57"/>
            </w:pPr>
            <w:r>
              <w:t xml:space="preserve">Номер реестр. </w:t>
            </w:r>
            <w:r>
              <w:t xml:space="preserve">З</w:t>
            </w:r>
            <w:r>
              <w:t xml:space="preserve">аписи</w:t>
            </w:r>
            <w:r/>
          </w:p>
        </w:tc>
        <w:tc>
          <w:tcPr>
            <w:shd w:val="clear" w:fill="auto" w:color="auto"/>
            <w:tcW w:w="3598" w:type="pct"/>
            <w:textDirection w:val="lrTb"/>
            <w:noWrap w:val="false"/>
          </w:tcPr>
          <w:p>
            <w:pPr>
              <w:pStyle w:val="1005"/>
              <w:ind w:left="57" w:right="57"/>
            </w:pPr>
            <w:r>
              <w:t xml:space="preserve">Значение может вводиться </w:t>
            </w:r>
            <w:r>
              <w:t xml:space="preserve">вручную или заполняться автом</w:t>
            </w:r>
            <w:r>
              <w:t xml:space="preserve">а</w:t>
            </w:r>
            <w:r>
              <w:t xml:space="preserve">тически из родительского документа.</w:t>
            </w:r>
            <w:r/>
          </w:p>
        </w:tc>
      </w:tr>
    </w:tbl>
    <w:p>
      <w:pPr>
        <w:pStyle w:val="994"/>
      </w:pPr>
      <w:r>
        <w:t xml:space="preserve">ЭФ документа «Заявка на внесение изменений в обязательство», закладки «Раздел 5 (3)»</w:t>
      </w:r>
      <w:r>
        <w:t xml:space="preserve"> представлена н</w:t>
      </w:r>
      <w:r>
        <w:t xml:space="preserve">а рисунке</w:t>
      </w:r>
      <w:r>
        <w:t xml:space="preserve"> </w:t>
      </w:r>
      <w:r>
        <w:fldChar w:fldCharType="begin"/>
      </w:r>
      <w:r>
        <w:instrText xml:space="preserve"> REF _Ref365653654 \h </w:instrText>
      </w:r>
      <w:r>
        <w:instrText xml:space="preserve"> \* MERGEFORMAT </w:instrText>
      </w:r>
      <w:r>
        <w:fldChar w:fldCharType="separate"/>
      </w:r>
      <w:r>
        <w:t xml:space="preserve">81</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4023360"/>
                <wp:effectExtent l="0" t="0" r="0" b="0"/>
                <wp:docPr id="15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47"/>
                        <a:stretch/>
                      </pic:blipFill>
                      <pic:spPr bwMode="auto">
                        <a:xfrm>
                          <a:off x="0" y="0"/>
                          <a:ext cx="6126480" cy="40233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 o:spid="_x0000_s153" type="#_x0000_t75" style="mso-wrap-distance-left:0.0pt;mso-wrap-distance-top:0.0pt;mso-wrap-distance-right:0.0pt;mso-wrap-distance-bottom:0.0pt;width:482.4pt;height:316.8pt;" stroked="f">
                <v:path textboxrect="0,0,0,0"/>
                <v:imagedata r:id="rId147" o:title=""/>
              </v:shape>
            </w:pict>
          </mc:Fallback>
        </mc:AlternateContent>
      </w:r>
      <w:r/>
    </w:p>
    <w:p>
      <w:pPr>
        <w:pStyle w:val="983"/>
      </w:pPr>
      <w:r>
        <w:fldChar w:fldCharType="begin"/>
      </w:r>
      <w:r>
        <w:instrText xml:space="preserve"> SEQ Рисунок \* ARABIC </w:instrText>
      </w:r>
      <w:r>
        <w:fldChar w:fldCharType="separate"/>
      </w:r>
      <w:bookmarkStart w:id="742" w:name="_Ref365653654"/>
      <w:r/>
      <w:bookmarkStart w:id="743" w:name="_Toc88819466"/>
      <w:r>
        <w:t xml:space="preserve">81</w:t>
      </w:r>
      <w:bookmarkEnd w:id="742"/>
      <w:r>
        <w:fldChar w:fldCharType="end"/>
      </w:r>
      <w:r>
        <w:t xml:space="preserve">. ЭФ документа «Заявка на внесение изменений в обязательство</w:t>
      </w:r>
      <w:r>
        <w:t xml:space="preserve">», закладки «</w:t>
      </w:r>
      <w:r>
        <w:t xml:space="preserve">Раздел 5 (3)»</w:t>
      </w:r>
      <w:bookmarkEnd w:id="743"/>
      <w:r/>
      <w:r/>
    </w:p>
    <w:p>
      <w:pPr>
        <w:pStyle w:val="994"/>
      </w:pPr>
      <w:r>
        <w:t xml:space="preserve">Перечень полей </w:t>
      </w:r>
      <w:r>
        <w:t xml:space="preserve">документа «Заявка на внесение изменений в обязательство», закладки «Раздел 5 (3)»</w:t>
      </w:r>
      <w:r>
        <w:t xml:space="preserve"> </w:t>
      </w:r>
      <w:r>
        <w:t xml:space="preserve">приведен в таблице</w:t>
      </w:r>
      <w:r>
        <w:t xml:space="preserve"> </w:t>
      </w:r>
      <w:r>
        <w:fldChar w:fldCharType="begin"/>
      </w:r>
      <w:r>
        <w:instrText xml:space="preserve"> REF _Ref365653677 \h </w:instrText>
      </w:r>
      <w:r>
        <w:instrText xml:space="preserve"> \* MERGEFORMAT </w:instrText>
      </w:r>
      <w:r>
        <w:fldChar w:fldCharType="separate"/>
      </w:r>
      <w:r>
        <w:t xml:space="preserve">40</w:t>
      </w:r>
      <w:r>
        <w:fldChar w:fldCharType="end"/>
      </w:r>
      <w:r>
        <w:t xml:space="preserve">.</w:t>
      </w:r>
      <w:r/>
    </w:p>
    <w:p>
      <w:pPr>
        <w:pStyle w:val="993"/>
      </w:pPr>
      <w:r>
        <w:fldChar w:fldCharType="begin"/>
      </w:r>
      <w:r>
        <w:instrText xml:space="preserve"> SEQ Таблица \* ARABIC </w:instrText>
      </w:r>
      <w:r>
        <w:fldChar w:fldCharType="separate"/>
      </w:r>
      <w:bookmarkStart w:id="744" w:name="_Ref365653677"/>
      <w:r/>
      <w:bookmarkStart w:id="745" w:name="_Toc88819226"/>
      <w:r>
        <w:t xml:space="preserve">40</w:t>
      </w:r>
      <w:bookmarkEnd w:id="744"/>
      <w:r>
        <w:fldChar w:fldCharType="end"/>
      </w:r>
      <w:r>
        <w:t xml:space="preserve">. Описание полей </w:t>
      </w:r>
      <w:r>
        <w:t xml:space="preserve">документа «Заявка на внесение изменений в обязательство», закладки «Раздел 5 (3)»</w:t>
      </w:r>
      <w:bookmarkEnd w:id="745"/>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23"/>
        <w:gridCol w:w="7529"/>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140" w:type="pct"/>
            <w:vAlign w:val="center"/>
            <w:textDirection w:val="lrTb"/>
            <w:noWrap w:val="false"/>
          </w:tcPr>
          <w:p>
            <w:pPr>
              <w:pStyle w:val="1006"/>
            </w:pPr>
            <w:r>
              <w:t xml:space="preserve">Наименование</w:t>
            </w:r>
            <w:r>
              <w:t xml:space="preserve"> поля</w:t>
            </w:r>
            <w:r/>
          </w:p>
        </w:tc>
        <w:tc>
          <w:tcPr>
            <w:shd w:val="clear" w:fill="E6E6E6" w:color="auto"/>
            <w:tcBorders>
              <w:left w:val="single" w:sz="4" w:space="0" w:color="auto"/>
              <w:top w:val="single" w:sz="4" w:space="0" w:color="auto"/>
              <w:right w:val="single" w:sz="4" w:space="0" w:color="auto"/>
              <w:bottom w:val="single" w:sz="4" w:space="0" w:color="auto"/>
            </w:tcBorders>
            <w:tcW w:w="3860"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Группа полей «Раздел 5. Расшифровка обязательства в валюте БО»</w:t>
            </w:r>
            <w:r/>
          </w:p>
        </w:tc>
      </w:tr>
      <w:tr>
        <w:trPr/>
        <w:tc>
          <w:tcPr>
            <w:shd w:val="clear" w:fill="auto" w:color="auto"/>
            <w:tcW w:w="1140" w:type="pct"/>
            <w:textDirection w:val="lrTb"/>
            <w:noWrap w:val="false"/>
          </w:tcPr>
          <w:p>
            <w:pPr>
              <w:pStyle w:val="1005"/>
              <w:ind w:left="57" w:right="57"/>
            </w:pPr>
            <w:r>
              <w:t xml:space="preserve">В валюте (код)</w:t>
            </w:r>
            <w:r/>
          </w:p>
        </w:tc>
        <w:tc>
          <w:tcPr>
            <w:shd w:val="clear" w:fill="auto" w:color="auto"/>
            <w:tcW w:w="3860" w:type="pct"/>
            <w:textDirection w:val="lrTb"/>
            <w:noWrap w:val="false"/>
          </w:tcPr>
          <w:p>
            <w:pPr>
              <w:pStyle w:val="1005"/>
              <w:ind w:left="57" w:right="57"/>
            </w:pPr>
            <w:r>
              <w:t xml:space="preserve">Отражается значение, указанное в поле «Валюта» раздела «Реквизиты документа-основания».</w:t>
            </w:r>
            <w:r/>
          </w:p>
        </w:tc>
      </w:tr>
      <w:tr>
        <w:trPr/>
        <w:tc>
          <w:tcPr>
            <w:shd w:val="clear" w:fill="auto" w:color="auto"/>
            <w:tcW w:w="1140" w:type="pct"/>
            <w:textDirection w:val="lrTb"/>
            <w:noWrap w:val="false"/>
          </w:tcPr>
          <w:p>
            <w:pPr>
              <w:pStyle w:val="1005"/>
              <w:ind w:left="57" w:right="57"/>
            </w:pPr>
            <w:r>
              <w:t xml:space="preserve">В валюте (наименование)</w:t>
            </w:r>
            <w:r/>
          </w:p>
        </w:tc>
        <w:tc>
          <w:tcPr>
            <w:shd w:val="clear" w:fill="auto" w:color="auto"/>
            <w:tcW w:w="3860" w:type="pct"/>
            <w:textDirection w:val="lrTb"/>
            <w:noWrap w:val="false"/>
          </w:tcPr>
          <w:p>
            <w:pPr>
              <w:pStyle w:val="1005"/>
              <w:ind w:left="57" w:right="57"/>
            </w:pPr>
            <w:r>
              <w:t xml:space="preserve">Значение заполняется автоматически из справочника в</w:t>
            </w:r>
            <w:r>
              <w:t xml:space="preserve">а</w:t>
            </w:r>
            <w:r>
              <w:t xml:space="preserve">лют.</w:t>
            </w:r>
            <w:r/>
          </w:p>
        </w:tc>
      </w:tr>
      <w:tr>
        <w:trPr/>
        <w:tc>
          <w:tcPr>
            <w:gridSpan w:val="2"/>
            <w:shd w:val="clear" w:fill="auto" w:color="auto"/>
            <w:tcW w:w="5000" w:type="pct"/>
            <w:textDirection w:val="lrTb"/>
            <w:noWrap w:val="false"/>
          </w:tcPr>
          <w:p>
            <w:pPr>
              <w:pStyle w:val="1005"/>
              <w:ind w:left="57" w:right="57"/>
            </w:pPr>
            <w:r>
              <w:t xml:space="preserve">Группа полей «Итоги в разрезе ФАИП» (табличное поле)</w:t>
            </w:r>
            <w:r/>
          </w:p>
        </w:tc>
      </w:tr>
      <w:tr>
        <w:trPr/>
        <w:tc>
          <w:tcPr>
            <w:shd w:val="clear" w:fill="auto" w:color="auto"/>
            <w:tcW w:w="1140" w:type="pct"/>
            <w:textDirection w:val="lrTb"/>
            <w:noWrap w:val="false"/>
          </w:tcPr>
          <w:p>
            <w:pPr>
              <w:pStyle w:val="1005"/>
              <w:ind w:left="57" w:right="57"/>
            </w:pPr>
            <w:r>
              <w:t xml:space="preserve">Код ФАИП</w:t>
            </w:r>
            <w:r/>
          </w:p>
        </w:tc>
        <w:tc>
          <w:tcPr>
            <w:shd w:val="clear" w:fill="auto" w:color="auto"/>
            <w:tcW w:w="3860" w:type="pct"/>
            <w:textDirection w:val="lrTb"/>
            <w:noWrap w:val="false"/>
          </w:tcPr>
          <w:p>
            <w:pPr>
              <w:pStyle w:val="1005"/>
              <w:ind w:left="57" w:right="57"/>
            </w:pPr>
            <w:r>
              <w:t xml:space="preserve">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пустое.</w:t>
            </w:r>
            <w:r/>
          </w:p>
        </w:tc>
      </w:tr>
      <w:tr>
        <w:trPr/>
        <w:tc>
          <w:tcPr>
            <w:shd w:val="clear" w:fill="auto" w:color="auto"/>
            <w:tcW w:w="1140" w:type="pct"/>
            <w:textDirection w:val="lrTb"/>
            <w:noWrap w:val="false"/>
          </w:tcPr>
          <w:p>
            <w:pPr>
              <w:pStyle w:val="1005"/>
              <w:ind w:left="57" w:right="57"/>
            </w:pPr>
            <w:r>
              <w:t xml:space="preserve">Наименование ФАИП</w:t>
            </w:r>
            <w:r/>
          </w:p>
        </w:tc>
        <w:tc>
          <w:tcPr>
            <w:shd w:val="clear" w:fill="auto" w:color="auto"/>
            <w:tcW w:w="3860" w:type="pct"/>
            <w:textDirection w:val="lrTb"/>
            <w:noWrap w:val="false"/>
          </w:tcPr>
          <w:p>
            <w:pPr>
              <w:pStyle w:val="1005"/>
              <w:ind w:left="57" w:right="57"/>
            </w:pPr>
            <w:r>
              <w:t xml:space="preserve">Заполняется автоматически по коду из справочника «ФАИП».</w:t>
            </w:r>
            <w:r/>
          </w:p>
          <w:p>
            <w:pPr>
              <w:pStyle w:val="1005"/>
              <w:ind w:left="57" w:right="57"/>
            </w:pPr>
            <w:r>
              <w:t xml:space="preserve">Может быть изменено пользователем вручную.</w:t>
            </w:r>
            <w:r/>
          </w:p>
        </w:tc>
      </w:tr>
      <w:tr>
        <w:trPr/>
        <w:tc>
          <w:tcPr>
            <w:shd w:val="clear" w:fill="auto" w:color="auto"/>
            <w:tcW w:w="1140" w:type="pct"/>
            <w:textDirection w:val="lrTb"/>
            <w:noWrap w:val="false"/>
          </w:tcPr>
          <w:p>
            <w:pPr>
              <w:pStyle w:val="1005"/>
              <w:ind w:left="57" w:right="57"/>
            </w:pPr>
            <w:r>
              <w:t xml:space="preserve">Январь</w:t>
            </w:r>
            <w:r/>
          </w:p>
        </w:tc>
        <w:tc>
          <w:tcPr>
            <w:shd w:val="clear" w:fill="auto" w:color="auto"/>
            <w:tcW w:w="3860" w:type="pct"/>
            <w:textDirection w:val="lrTb"/>
            <w:noWrap w:val="false"/>
          </w:tcPr>
          <w:p>
            <w:pPr>
              <w:pStyle w:val="1005"/>
              <w:ind w:left="57" w:right="57"/>
            </w:pPr>
            <w:r>
              <w:t xml:space="preserve">Заполняется вручную.</w:t>
            </w:r>
            <w:r/>
          </w:p>
        </w:tc>
      </w:tr>
      <w:tr>
        <w:trPr/>
        <w:tc>
          <w:tcPr>
            <w:shd w:val="clear" w:fill="auto" w:color="auto"/>
            <w:tcW w:w="1140" w:type="pct"/>
            <w:textDirection w:val="lrTb"/>
            <w:noWrap w:val="false"/>
          </w:tcPr>
          <w:p>
            <w:pPr>
              <w:pStyle w:val="1005"/>
              <w:ind w:left="57" w:right="57"/>
            </w:pPr>
            <w:r>
              <w:t xml:space="preserve">Февраль</w:t>
            </w:r>
            <w:r/>
          </w:p>
        </w:tc>
        <w:tc>
          <w:tcPr>
            <w:shd w:val="clear" w:fill="auto" w:color="auto"/>
            <w:tcW w:w="3860" w:type="pct"/>
            <w:textDirection w:val="lrTb"/>
            <w:noWrap w:val="false"/>
          </w:tcPr>
          <w:p>
            <w:pPr>
              <w:pStyle w:val="1005"/>
              <w:ind w:left="57" w:right="57"/>
            </w:pPr>
            <w:r>
              <w:t xml:space="preserve">Заполняется вручную.</w:t>
            </w:r>
            <w:r/>
          </w:p>
        </w:tc>
      </w:tr>
      <w:tr>
        <w:trPr/>
        <w:tc>
          <w:tcPr>
            <w:shd w:val="clear" w:fill="auto" w:color="auto"/>
            <w:tcW w:w="1140" w:type="pct"/>
            <w:textDirection w:val="lrTb"/>
            <w:noWrap w:val="false"/>
          </w:tcPr>
          <w:p>
            <w:pPr>
              <w:pStyle w:val="1005"/>
              <w:ind w:left="57" w:right="57"/>
            </w:pPr>
            <w:r>
              <w:t xml:space="preserve">…</w:t>
            </w:r>
            <w:r/>
          </w:p>
        </w:tc>
        <w:tc>
          <w:tcPr>
            <w:shd w:val="clear" w:fill="auto" w:color="auto"/>
            <w:tcW w:w="3860" w:type="pct"/>
            <w:textDirection w:val="lrTb"/>
            <w:noWrap w:val="false"/>
          </w:tcPr>
          <w:p>
            <w:pPr>
              <w:pStyle w:val="1005"/>
              <w:ind w:left="57" w:right="57"/>
            </w:pPr>
            <w:r>
              <w:t xml:space="preserve">…</w:t>
            </w:r>
            <w:r/>
          </w:p>
        </w:tc>
      </w:tr>
      <w:tr>
        <w:trPr/>
        <w:tc>
          <w:tcPr>
            <w:shd w:val="clear" w:fill="auto" w:color="auto"/>
            <w:tcW w:w="1140" w:type="pct"/>
            <w:textDirection w:val="lrTb"/>
            <w:noWrap w:val="false"/>
          </w:tcPr>
          <w:p>
            <w:pPr>
              <w:pStyle w:val="1005"/>
              <w:ind w:left="57" w:right="57"/>
            </w:pPr>
            <w:r>
              <w:t xml:space="preserve">Декабрь</w:t>
            </w:r>
            <w:r/>
          </w:p>
        </w:tc>
        <w:tc>
          <w:tcPr>
            <w:shd w:val="clear" w:fill="auto" w:color="auto"/>
            <w:tcW w:w="3860" w:type="pct"/>
            <w:textDirection w:val="lrTb"/>
            <w:noWrap w:val="false"/>
          </w:tcPr>
          <w:p>
            <w:pPr>
              <w:pStyle w:val="1005"/>
              <w:ind w:left="57" w:right="57"/>
            </w:pPr>
            <w:r>
              <w:t xml:space="preserve">Заполняется вручную.</w:t>
            </w:r>
            <w:r/>
          </w:p>
        </w:tc>
      </w:tr>
      <w:tr>
        <w:trPr/>
        <w:tc>
          <w:tcPr>
            <w:shd w:val="clear" w:fill="auto" w:color="auto"/>
            <w:tcW w:w="1140" w:type="pct"/>
            <w:textDirection w:val="lrTb"/>
            <w:noWrap w:val="false"/>
          </w:tcPr>
          <w:p>
            <w:pPr>
              <w:pStyle w:val="1005"/>
              <w:ind w:left="57" w:right="57"/>
            </w:pPr>
            <w:r>
              <w:t xml:space="preserve">Итого на текущий фин. </w:t>
            </w:r>
            <w:r>
              <w:t xml:space="preserve">Г</w:t>
            </w:r>
            <w:r>
              <w:t xml:space="preserve">од</w:t>
            </w:r>
            <w:r/>
          </w:p>
        </w:tc>
        <w:tc>
          <w:tcPr>
            <w:shd w:val="clear" w:fill="auto" w:color="auto"/>
            <w:tcW w:w="3860" w:type="pct"/>
            <w:textDirection w:val="lrTb"/>
            <w:noWrap w:val="false"/>
          </w:tcPr>
          <w:p>
            <w:pPr>
              <w:pStyle w:val="1005"/>
              <w:ind w:left="57" w:right="57"/>
            </w:pPr>
            <w:r>
              <w:t xml:space="preserve">Заполняется вручную.</w:t>
            </w:r>
            <w:r/>
          </w:p>
        </w:tc>
      </w:tr>
      <w:tr>
        <w:trPr/>
        <w:tc>
          <w:tcPr>
            <w:shd w:val="clear" w:fill="auto" w:color="auto"/>
            <w:tcW w:w="1140" w:type="pct"/>
            <w:textDirection w:val="lrTb"/>
            <w:noWrap w:val="false"/>
          </w:tcPr>
          <w:p>
            <w:pPr>
              <w:pStyle w:val="1005"/>
              <w:ind w:left="57" w:right="57"/>
            </w:pPr>
            <w:r>
              <w:t xml:space="preserve">1-й год плана</w:t>
            </w:r>
            <w:r/>
          </w:p>
        </w:tc>
        <w:tc>
          <w:tcPr>
            <w:shd w:val="clear" w:fill="auto" w:color="auto"/>
            <w:tcW w:w="3860" w:type="pct"/>
            <w:textDirection w:val="lrTb"/>
            <w:noWrap w:val="false"/>
          </w:tcPr>
          <w:p>
            <w:pPr>
              <w:pStyle w:val="1005"/>
              <w:ind w:left="57" w:right="57"/>
            </w:pPr>
            <w:r>
              <w:t xml:space="preserve">Заполняется вручную.</w:t>
            </w:r>
            <w:r/>
          </w:p>
        </w:tc>
      </w:tr>
      <w:tr>
        <w:trPr/>
        <w:tc>
          <w:tcPr>
            <w:shd w:val="clear" w:fill="auto" w:color="auto"/>
            <w:tcW w:w="1140" w:type="pct"/>
            <w:textDirection w:val="lrTb"/>
            <w:noWrap w:val="false"/>
          </w:tcPr>
          <w:p>
            <w:pPr>
              <w:pStyle w:val="1005"/>
              <w:ind w:left="57" w:right="57"/>
            </w:pPr>
            <w:r>
              <w:t xml:space="preserve">2-й год плана</w:t>
            </w:r>
            <w:r/>
          </w:p>
        </w:tc>
        <w:tc>
          <w:tcPr>
            <w:shd w:val="clear" w:fill="auto" w:color="auto"/>
            <w:tcW w:w="3860" w:type="pct"/>
            <w:textDirection w:val="lrTb"/>
            <w:noWrap w:val="false"/>
          </w:tcPr>
          <w:p>
            <w:pPr>
              <w:pStyle w:val="1005"/>
              <w:ind w:left="57" w:right="57"/>
            </w:pPr>
            <w:r>
              <w:t xml:space="preserve">Заполняется вручную.</w:t>
            </w:r>
            <w:r/>
          </w:p>
        </w:tc>
      </w:tr>
      <w:tr>
        <w:trPr/>
        <w:tc>
          <w:tcPr>
            <w:shd w:val="clear" w:fill="auto" w:color="auto"/>
            <w:tcW w:w="1140" w:type="pct"/>
            <w:textDirection w:val="lrTb"/>
            <w:noWrap w:val="false"/>
          </w:tcPr>
          <w:p>
            <w:pPr>
              <w:pStyle w:val="1005"/>
              <w:ind w:left="57" w:right="57"/>
            </w:pPr>
            <w:r>
              <w:t xml:space="preserve">3-й год</w:t>
            </w:r>
            <w:r/>
          </w:p>
        </w:tc>
        <w:tc>
          <w:tcPr>
            <w:shd w:val="clear" w:fill="auto" w:color="auto"/>
            <w:tcW w:w="3860" w:type="pct"/>
            <w:textDirection w:val="lrTb"/>
            <w:noWrap w:val="false"/>
          </w:tcPr>
          <w:p>
            <w:pPr>
              <w:pStyle w:val="1005"/>
              <w:ind w:left="57" w:right="57"/>
            </w:pPr>
            <w:r>
              <w:t xml:space="preserve">Заполняется вручную.</w:t>
            </w:r>
            <w:r/>
          </w:p>
        </w:tc>
      </w:tr>
      <w:tr>
        <w:trPr/>
        <w:tc>
          <w:tcPr>
            <w:shd w:val="clear" w:fill="auto" w:color="auto"/>
            <w:tcW w:w="1140" w:type="pct"/>
            <w:textDirection w:val="lrTb"/>
            <w:noWrap w:val="false"/>
          </w:tcPr>
          <w:p>
            <w:pPr>
              <w:pStyle w:val="1005"/>
              <w:ind w:left="57" w:right="57"/>
            </w:pPr>
            <w:r>
              <w:t xml:space="preserve">4-й год</w:t>
            </w:r>
            <w:r/>
          </w:p>
        </w:tc>
        <w:tc>
          <w:tcPr>
            <w:shd w:val="clear" w:fill="auto" w:color="auto"/>
            <w:tcW w:w="3860" w:type="pct"/>
            <w:textDirection w:val="lrTb"/>
            <w:noWrap w:val="false"/>
          </w:tcPr>
          <w:p>
            <w:pPr>
              <w:pStyle w:val="1005"/>
              <w:ind w:left="57" w:right="57"/>
            </w:pPr>
            <w:r>
              <w:t xml:space="preserve">Заполняется вручную.</w:t>
            </w:r>
            <w:r/>
          </w:p>
        </w:tc>
      </w:tr>
      <w:tr>
        <w:trPr/>
        <w:tc>
          <w:tcPr>
            <w:shd w:val="clear" w:fill="auto" w:color="auto"/>
            <w:tcW w:w="1140" w:type="pct"/>
            <w:textDirection w:val="lrTb"/>
            <w:noWrap w:val="false"/>
          </w:tcPr>
          <w:p>
            <w:pPr>
              <w:pStyle w:val="1005"/>
              <w:ind w:left="57" w:right="57"/>
            </w:pPr>
            <w:r>
              <w:t xml:space="preserve">Последующие годы</w:t>
            </w:r>
            <w:r/>
          </w:p>
        </w:tc>
        <w:tc>
          <w:tcPr>
            <w:shd w:val="clear" w:fill="auto" w:color="auto"/>
            <w:tcW w:w="3860" w:type="pct"/>
            <w:textDirection w:val="lrTb"/>
            <w:noWrap w:val="false"/>
          </w:tcPr>
          <w:p>
            <w:pPr>
              <w:pStyle w:val="1005"/>
              <w:ind w:left="57" w:right="57"/>
            </w:pPr>
            <w:r>
              <w:t xml:space="preserve">Заполняется вручную.</w:t>
            </w:r>
            <w:r/>
          </w:p>
        </w:tc>
      </w:tr>
      <w:tr>
        <w:trPr/>
        <w:tc>
          <w:tcPr>
            <w:gridSpan w:val="2"/>
            <w:shd w:val="clear" w:fill="auto" w:color="auto"/>
            <w:tcW w:w="5000" w:type="pct"/>
            <w:textDirection w:val="lrTb"/>
            <w:noWrap w:val="false"/>
          </w:tcPr>
          <w:p>
            <w:pPr>
              <w:pStyle w:val="1005"/>
              <w:ind w:left="57" w:right="57"/>
            </w:pPr>
            <w:r>
              <w:t xml:space="preserve">Группа полей «Расшифровка по КБК для текущих итогов (таблица является вложенной к итоговой строке по ФАИП)»</w:t>
            </w:r>
            <w:r/>
          </w:p>
        </w:tc>
      </w:tr>
      <w:tr>
        <w:trPr/>
        <w:tc>
          <w:tcPr>
            <w:shd w:val="clear" w:fill="auto" w:color="auto"/>
            <w:tcW w:w="1140" w:type="pct"/>
            <w:textDirection w:val="lrTb"/>
            <w:noWrap w:val="false"/>
          </w:tcPr>
          <w:p>
            <w:pPr>
              <w:pStyle w:val="1005"/>
              <w:ind w:left="57" w:right="57"/>
            </w:pPr>
            <w:r>
              <w:t xml:space="preserve">№</w:t>
            </w:r>
            <w:r/>
          </w:p>
        </w:tc>
        <w:tc>
          <w:tcPr>
            <w:shd w:val="clear" w:fill="auto" w:color="auto"/>
            <w:tcW w:w="3860" w:type="pct"/>
            <w:textDirection w:val="lrTb"/>
            <w:noWrap w:val="false"/>
          </w:tcPr>
          <w:p>
            <w:pPr>
              <w:pStyle w:val="1005"/>
              <w:ind w:left="57" w:right="57"/>
            </w:pPr>
            <w:r>
              <w:t xml:space="preserve">Заполняется автоматически.</w:t>
            </w:r>
            <w:r/>
          </w:p>
        </w:tc>
      </w:tr>
      <w:tr>
        <w:trPr/>
        <w:tc>
          <w:tcPr>
            <w:shd w:val="clear" w:fill="auto" w:color="auto"/>
            <w:tcW w:w="1140" w:type="pct"/>
            <w:textDirection w:val="lrTb"/>
            <w:noWrap w:val="false"/>
          </w:tcPr>
          <w:p>
            <w:pPr>
              <w:pStyle w:val="1005"/>
              <w:ind w:left="57" w:right="57"/>
            </w:pPr>
            <w:r>
              <w:t xml:space="preserve">Вид средств (код)</w:t>
            </w:r>
            <w:r/>
          </w:p>
        </w:tc>
        <w:tc>
          <w:tcPr>
            <w:shd w:val="clear" w:fill="auto" w:color="auto"/>
            <w:tcW w:w="3860" w:type="pct"/>
            <w:textDirection w:val="lrTb"/>
            <w:noWrap w:val="false"/>
          </w:tcPr>
          <w:p>
            <w:pPr>
              <w:pStyle w:val="1005"/>
              <w:ind w:left="57" w:right="57"/>
            </w:pPr>
            <w:r>
              <w:t xml:space="preserve">Номер позиции.</w:t>
            </w:r>
            <w:r/>
          </w:p>
          <w:p>
            <w:pPr>
              <w:pStyle w:val="1005"/>
              <w:ind w:left="57" w:right="57"/>
            </w:pPr>
            <w:r>
              <w:t xml:space="preserve">По умолчанию указывается значение – «10». Может быть изменено пользователем вручную или выбором из справочника «Источники финансиров</w:t>
            </w:r>
            <w:r>
              <w:t xml:space="preserve">а</w:t>
            </w:r>
            <w:r>
              <w:t xml:space="preserve">ния». </w:t>
            </w:r>
            <w:r/>
          </w:p>
          <w:p>
            <w:pPr>
              <w:pStyle w:val="1005"/>
              <w:ind w:left="57" w:right="57"/>
            </w:pPr>
            <w:r>
              <w:t xml:space="preserve">Список значений, доступных для выбора пользователем ограничен следующими кодами: 10, 11.</w:t>
            </w:r>
            <w:r/>
          </w:p>
        </w:tc>
      </w:tr>
      <w:tr>
        <w:trPr>
          <w:trHeight w:val="70"/>
        </w:trPr>
        <w:tc>
          <w:tcPr>
            <w:shd w:val="clear" w:fill="auto" w:color="auto"/>
            <w:tcW w:w="1140" w:type="pct"/>
            <w:textDirection w:val="lrTb"/>
            <w:noWrap w:val="false"/>
          </w:tcPr>
          <w:p>
            <w:pPr>
              <w:pStyle w:val="1005"/>
              <w:ind w:left="57" w:right="57"/>
            </w:pPr>
            <w:r>
              <w:t xml:space="preserve">Вид средств (наименование)</w:t>
            </w:r>
            <w:r/>
          </w:p>
          <w:p>
            <w:pPr>
              <w:pStyle w:val="1005"/>
              <w:ind w:left="57" w:right="57"/>
            </w:pPr>
            <w:r/>
            <w:r/>
          </w:p>
        </w:tc>
        <w:tc>
          <w:tcPr>
            <w:shd w:val="clear" w:fill="auto" w:color="auto"/>
            <w:tcW w:w="3860" w:type="pct"/>
            <w:textDirection w:val="lrTb"/>
            <w:noWrap w:val="false"/>
          </w:tcPr>
          <w:p>
            <w:pPr>
              <w:pStyle w:val="1005"/>
              <w:ind w:left="57" w:right="57"/>
            </w:pPr>
            <w:r>
              <w:t xml:space="preserve">Заполняется автоматически по коду из справочника «Источники финансирования».</w:t>
            </w:r>
            <w:r/>
          </w:p>
          <w:p>
            <w:pPr>
              <w:pStyle w:val="1005"/>
              <w:ind w:left="57" w:right="57"/>
            </w:pPr>
            <w:r>
              <w:t xml:space="preserve">Может быть изменено пользователем вручную.</w:t>
            </w:r>
            <w:r/>
          </w:p>
        </w:tc>
      </w:tr>
      <w:tr>
        <w:trPr/>
        <w:tc>
          <w:tcPr>
            <w:shd w:val="clear" w:fill="auto" w:color="auto"/>
            <w:tcW w:w="1140" w:type="pct"/>
            <w:textDirection w:val="lrTb"/>
            <w:noWrap w:val="false"/>
          </w:tcPr>
          <w:p>
            <w:pPr>
              <w:pStyle w:val="1005"/>
              <w:ind w:left="57" w:right="57"/>
            </w:pPr>
            <w:r>
              <w:t xml:space="preserve">КБК</w:t>
            </w:r>
            <w:r/>
          </w:p>
        </w:tc>
        <w:tc>
          <w:tcPr>
            <w:shd w:val="clear" w:fill="auto" w:color="auto"/>
            <w:tcW w:w="3860" w:type="pct"/>
            <w:textDirection w:val="lrTb"/>
            <w:noWrap w:val="false"/>
          </w:tcPr>
          <w:p>
            <w:pPr>
              <w:pStyle w:val="1005"/>
              <w:ind w:left="57" w:right="57"/>
            </w:pPr>
            <w:r>
              <w:t xml:space="preserve">Значение подтягивается автоматически при выборе родительского докуме</w:t>
            </w:r>
            <w:r>
              <w:t xml:space="preserve">н</w:t>
            </w:r>
            <w:r>
              <w:t xml:space="preserve">та.</w:t>
            </w:r>
            <w:r/>
          </w:p>
          <w:p>
            <w:pPr>
              <w:pStyle w:val="1005"/>
              <w:ind w:left="57" w:right="57"/>
            </w:pPr>
            <w:r>
              <w:t xml:space="preserve">Значение вводится вручную или выбирается из справочн</w:t>
            </w:r>
            <w:r>
              <w:t xml:space="preserve">и</w:t>
            </w:r>
            <w:r>
              <w:t xml:space="preserve">ка КБК.</w:t>
            </w:r>
            <w:r/>
          </w:p>
          <w:p>
            <w:pPr>
              <w:pStyle w:val="1005"/>
              <w:ind w:left="57" w:right="57"/>
            </w:pPr>
            <w:r>
              <w:t xml:space="preserve">Д</w:t>
            </w:r>
            <w:r>
              <w:t xml:space="preserve">оступны КБК</w:t>
            </w:r>
            <w:r>
              <w:t xml:space="preserve">,</w:t>
            </w:r>
            <w:r>
              <w:t xml:space="preserve"> у которых зн</w:t>
            </w:r>
            <w:r>
              <w:t xml:space="preserve">а</w:t>
            </w:r>
            <w:r>
              <w:t xml:space="preserve">чение типа – «10», «11», «12».</w:t>
            </w:r>
            <w:r/>
          </w:p>
          <w:p>
            <w:pPr>
              <w:pStyle w:val="1005"/>
              <w:ind w:left="57" w:right="57"/>
            </w:pPr>
            <w:r>
              <w:t xml:space="preserve">Значение генерируется</w:t>
            </w:r>
            <w:r>
              <w:t xml:space="preserve"> автоматически из заполненных значений по сегментам по алг</w:t>
            </w:r>
            <w:r>
              <w:t xml:space="preserve">о</w:t>
            </w:r>
            <w:r>
              <w:t xml:space="preserve">ритм</w:t>
            </w:r>
            <w:r>
              <w:t xml:space="preserve">у</w:t>
            </w:r>
            <w:r>
              <w:t xml:space="preserve">: ППП + ФКР</w:t>
            </w:r>
            <w:r>
              <w:t xml:space="preserve"> </w:t>
            </w:r>
            <w:r>
              <w:t xml:space="preserve">+</w:t>
            </w:r>
            <w:r>
              <w:t xml:space="preserve"> </w:t>
            </w:r>
            <w:r>
              <w:t xml:space="preserve">КЦСР</w:t>
            </w:r>
            <w:r>
              <w:t xml:space="preserve"> </w:t>
            </w:r>
            <w:r>
              <w:t xml:space="preserve">+</w:t>
            </w:r>
            <w:r>
              <w:t xml:space="preserve"> </w:t>
            </w:r>
            <w:r>
              <w:t xml:space="preserve">КВР</w:t>
            </w:r>
            <w:r>
              <w:t xml:space="preserve"> </w:t>
            </w:r>
            <w:r>
              <w:t xml:space="preserve">+</w:t>
            </w:r>
            <w:r>
              <w:t xml:space="preserve"> </w:t>
            </w:r>
            <w:r>
              <w:t xml:space="preserve">КОСГУ.</w:t>
            </w:r>
            <w:r/>
          </w:p>
        </w:tc>
      </w:tr>
      <w:tr>
        <w:trPr/>
        <w:tc>
          <w:tcPr>
            <w:shd w:val="clear" w:fill="auto" w:color="auto"/>
            <w:tcW w:w="1140" w:type="pct"/>
            <w:textDirection w:val="lrTb"/>
            <w:noWrap w:val="false"/>
          </w:tcPr>
          <w:p>
            <w:pPr>
              <w:pStyle w:val="1005"/>
              <w:ind w:left="57" w:right="57"/>
            </w:pPr>
            <w:r>
              <w:t xml:space="preserve">ППП</w:t>
            </w:r>
            <w:r/>
          </w:p>
        </w:tc>
        <w:tc>
          <w:tcPr>
            <w:shd w:val="clear" w:fill="auto" w:color="auto"/>
            <w:tcW w:w="3860" w:type="pct"/>
            <w:textDirection w:val="lrTb"/>
            <w:noWrap w:val="false"/>
          </w:tcPr>
          <w:p>
            <w:pPr>
              <w:pStyle w:val="1005"/>
              <w:ind w:left="57" w:right="57"/>
            </w:pPr>
            <w:r>
              <w:t xml:space="preserve">Значение может вводиться вручную, выбираться пользователем из справочника «Ведомственная структура».</w:t>
            </w:r>
            <w:r/>
          </w:p>
        </w:tc>
      </w:tr>
      <w:tr>
        <w:trPr/>
        <w:tc>
          <w:tcPr>
            <w:shd w:val="clear" w:fill="auto" w:color="auto"/>
            <w:tcW w:w="1140" w:type="pct"/>
            <w:textDirection w:val="lrTb"/>
            <w:noWrap w:val="false"/>
          </w:tcPr>
          <w:p>
            <w:pPr>
              <w:pStyle w:val="1005"/>
              <w:ind w:left="57" w:right="57"/>
            </w:pPr>
            <w:r>
              <w:t xml:space="preserve">ФКР</w:t>
            </w:r>
            <w:r/>
          </w:p>
        </w:tc>
        <w:tc>
          <w:tcPr>
            <w:shd w:val="clear" w:fill="auto" w:color="auto"/>
            <w:tcW w:w="3860" w:type="pct"/>
            <w:textDirection w:val="lrTb"/>
            <w:noWrap w:val="false"/>
          </w:tcPr>
          <w:p>
            <w:pPr>
              <w:pStyle w:val="1005"/>
              <w:ind w:left="57" w:right="57"/>
            </w:pPr>
            <w:r>
              <w:t xml:space="preserve">Значение подтягивается автоматически при выборе родительского докуме</w:t>
            </w:r>
            <w:r>
              <w:t xml:space="preserve">н</w:t>
            </w:r>
            <w:r>
              <w:t xml:space="preserve">та.</w:t>
            </w:r>
            <w:r/>
          </w:p>
          <w:p>
            <w:pPr>
              <w:pStyle w:val="1005"/>
              <w:ind w:left="57" w:right="57"/>
            </w:pPr>
            <w:r>
              <w:t xml:space="preserve">Значение заполняется вручную или выбирается из справочника разделов/подразделов.</w:t>
            </w:r>
            <w:r/>
          </w:p>
        </w:tc>
      </w:tr>
      <w:tr>
        <w:trPr/>
        <w:tc>
          <w:tcPr>
            <w:shd w:val="clear" w:fill="auto" w:color="auto"/>
            <w:tcW w:w="1140" w:type="pct"/>
            <w:textDirection w:val="lrTb"/>
            <w:noWrap w:val="false"/>
          </w:tcPr>
          <w:p>
            <w:pPr>
              <w:pStyle w:val="1005"/>
              <w:ind w:left="57" w:right="57"/>
            </w:pPr>
            <w:r>
              <w:t xml:space="preserve">КЦСР</w:t>
            </w:r>
            <w:r/>
          </w:p>
        </w:tc>
        <w:tc>
          <w:tcPr>
            <w:shd w:val="clear" w:fill="auto" w:color="auto"/>
            <w:tcW w:w="3860" w:type="pct"/>
            <w:textDirection w:val="lrTb"/>
            <w:noWrap w:val="false"/>
          </w:tcPr>
          <w:p>
            <w:pPr>
              <w:pStyle w:val="1005"/>
              <w:ind w:left="57" w:right="57"/>
            </w:pPr>
            <w:r>
              <w:t xml:space="preserve">Значение подтягивается автоматически при выборе родительского докуме</w:t>
            </w:r>
            <w:r>
              <w:t xml:space="preserve">н</w:t>
            </w:r>
            <w:r>
              <w:t xml:space="preserve">та.</w:t>
            </w:r>
            <w:r/>
          </w:p>
          <w:p>
            <w:pPr>
              <w:pStyle w:val="1005"/>
              <w:ind w:left="57" w:right="57"/>
            </w:pPr>
            <w:r>
              <w:t xml:space="preserve">Значение заполняется вручную или выбирается из справочника целевых статей.</w:t>
            </w:r>
            <w:r/>
          </w:p>
        </w:tc>
      </w:tr>
      <w:tr>
        <w:trPr/>
        <w:tc>
          <w:tcPr>
            <w:shd w:val="clear" w:fill="auto" w:color="auto"/>
            <w:tcW w:w="1140" w:type="pct"/>
            <w:textDirection w:val="lrTb"/>
            <w:noWrap w:val="false"/>
          </w:tcPr>
          <w:p>
            <w:pPr>
              <w:pStyle w:val="1005"/>
              <w:ind w:left="57" w:right="57"/>
            </w:pPr>
            <w:r>
              <w:t xml:space="preserve">КВР</w:t>
            </w:r>
            <w:r/>
          </w:p>
        </w:tc>
        <w:tc>
          <w:tcPr>
            <w:shd w:val="clear" w:fill="auto" w:color="auto"/>
            <w:tcW w:w="3860" w:type="pct"/>
            <w:textDirection w:val="lrTb"/>
            <w:noWrap w:val="false"/>
          </w:tcPr>
          <w:p>
            <w:pPr>
              <w:pStyle w:val="1005"/>
              <w:ind w:left="57" w:right="57"/>
            </w:pPr>
            <w:r>
              <w:t xml:space="preserve">Значение подтягивается автоматически при выборе родительского докуме</w:t>
            </w:r>
            <w:r>
              <w:t xml:space="preserve">н</w:t>
            </w:r>
            <w:r>
              <w:t xml:space="preserve">та.</w:t>
            </w:r>
            <w:r/>
          </w:p>
          <w:p>
            <w:pPr>
              <w:pStyle w:val="1005"/>
              <w:ind w:left="57" w:right="57"/>
            </w:pPr>
            <w:r>
              <w:t xml:space="preserve">Значение заполняется вручную или выбирается из справочника видов расходов.</w:t>
            </w:r>
            <w:r/>
          </w:p>
        </w:tc>
      </w:tr>
      <w:tr>
        <w:trPr/>
        <w:tc>
          <w:tcPr>
            <w:shd w:val="clear" w:fill="auto" w:color="auto"/>
            <w:tcW w:w="1140" w:type="pct"/>
            <w:textDirection w:val="lrTb"/>
            <w:noWrap w:val="false"/>
          </w:tcPr>
          <w:p>
            <w:pPr>
              <w:pStyle w:val="1005"/>
              <w:ind w:left="57" w:right="57"/>
            </w:pPr>
            <w:r>
              <w:t xml:space="preserve">КОСГУ</w:t>
            </w:r>
            <w:r/>
          </w:p>
        </w:tc>
        <w:tc>
          <w:tcPr>
            <w:shd w:val="clear" w:fill="auto" w:color="auto"/>
            <w:tcW w:w="3860" w:type="pct"/>
            <w:textDirection w:val="lrTb"/>
            <w:noWrap w:val="false"/>
          </w:tcPr>
          <w:p>
            <w:pPr>
              <w:pStyle w:val="1005"/>
              <w:ind w:left="57" w:right="57"/>
            </w:pPr>
            <w:r>
              <w:t xml:space="preserve">Код экономической классификации.</w:t>
            </w:r>
            <w:r/>
          </w:p>
          <w:p>
            <w:pPr>
              <w:pStyle w:val="1005"/>
              <w:ind w:left="57" w:right="57"/>
            </w:pPr>
            <w:r>
              <w:t xml:space="preserve">Значение подтягивается автоматически при выборе родительского докуме</w:t>
            </w:r>
            <w:r>
              <w:t xml:space="preserve">н</w:t>
            </w:r>
            <w:r>
              <w:t xml:space="preserve">та.</w:t>
            </w:r>
            <w:r/>
          </w:p>
          <w:p>
            <w:pPr>
              <w:pStyle w:val="1005"/>
              <w:ind w:left="57" w:right="57"/>
            </w:pPr>
            <w:r>
              <w:t xml:space="preserve">Значение может вводиться вручную, выбираться пользователем из справочника «Экономическая классификация».</w:t>
            </w:r>
            <w:r/>
          </w:p>
        </w:tc>
      </w:tr>
      <w:tr>
        <w:trPr/>
        <w:tc>
          <w:tcPr>
            <w:shd w:val="clear" w:fill="auto" w:color="auto"/>
            <w:tcW w:w="1140" w:type="pct"/>
            <w:textDirection w:val="lrTb"/>
            <w:noWrap w:val="false"/>
          </w:tcPr>
          <w:p>
            <w:pPr>
              <w:pStyle w:val="1005"/>
              <w:ind w:left="57" w:right="57"/>
            </w:pPr>
            <w:r>
              <w:t xml:space="preserve">Код цели</w:t>
            </w:r>
            <w:r/>
          </w:p>
        </w:tc>
        <w:tc>
          <w:tcPr>
            <w:shd w:val="clear" w:fill="auto" w:color="auto"/>
            <w:tcW w:w="3860" w:type="pct"/>
            <w:textDirection w:val="lrTb"/>
            <w:noWrap w:val="false"/>
          </w:tcPr>
          <w:p>
            <w:pPr>
              <w:pStyle w:val="1005"/>
              <w:ind w:left="57" w:right="57"/>
            </w:pPr>
            <w:r>
              <w:t xml:space="preserve">Значение подтягивается автоматически при выборе родительского докуме</w:t>
            </w:r>
            <w:r>
              <w:t xml:space="preserve">н</w:t>
            </w:r>
            <w:r>
              <w:t xml:space="preserve">та.</w:t>
            </w:r>
            <w:r/>
          </w:p>
          <w:p>
            <w:pPr>
              <w:pStyle w:val="1005"/>
              <w:ind w:left="57" w:right="57"/>
            </w:pPr>
            <w:r>
              <w:t xml:space="preserve">Значение вводится вручную или выбирается из справочника кодов целей субсидий, субвенций.</w:t>
            </w:r>
            <w:r/>
          </w:p>
        </w:tc>
      </w:tr>
      <w:tr>
        <w:trPr/>
        <w:tc>
          <w:tcPr>
            <w:shd w:val="clear" w:fill="auto" w:color="auto"/>
            <w:tcW w:w="1140" w:type="pct"/>
            <w:textDirection w:val="lrTb"/>
            <w:noWrap w:val="false"/>
          </w:tcPr>
          <w:p>
            <w:pPr>
              <w:pStyle w:val="1005"/>
              <w:ind w:left="57" w:right="57"/>
            </w:pPr>
            <w:r>
              <w:t xml:space="preserve">Доп. КБК2</w:t>
            </w:r>
            <w:r/>
          </w:p>
        </w:tc>
        <w:tc>
          <w:tcPr>
            <w:shd w:val="clear" w:fill="auto" w:color="auto"/>
            <w:tcW w:w="3860" w:type="pct"/>
            <w:textDirection w:val="lrTb"/>
            <w:noWrap w:val="false"/>
          </w:tcPr>
          <w:p>
            <w:pPr>
              <w:pStyle w:val="1005"/>
              <w:ind w:left="57" w:right="57"/>
            </w:pPr>
            <w:r>
              <w:t xml:space="preserve">Значение подтягивается автоматически при выборе родительского докуме</w:t>
            </w:r>
            <w:r>
              <w:t xml:space="preserve">н</w:t>
            </w:r>
            <w:r>
              <w:t xml:space="preserve">та.</w:t>
            </w:r>
            <w:r/>
          </w:p>
          <w:p>
            <w:pPr>
              <w:pStyle w:val="1005"/>
              <w:ind w:left="57" w:right="57"/>
            </w:pPr>
            <w:r>
              <w:t xml:space="preserve">Значение вводится вручную или выбирается из справочника «Дополнение БК2».</w:t>
            </w:r>
            <w:r/>
          </w:p>
        </w:tc>
      </w:tr>
      <w:tr>
        <w:trPr/>
        <w:tc>
          <w:tcPr>
            <w:shd w:val="clear" w:fill="auto" w:color="auto"/>
            <w:tcW w:w="1140" w:type="pct"/>
            <w:textDirection w:val="lrTb"/>
            <w:noWrap w:val="false"/>
          </w:tcPr>
          <w:p>
            <w:pPr>
              <w:pStyle w:val="1005"/>
              <w:ind w:left="57" w:right="57"/>
            </w:pPr>
            <w:r>
              <w:t xml:space="preserve">Доп. КБК3</w:t>
            </w:r>
            <w:r/>
          </w:p>
        </w:tc>
        <w:tc>
          <w:tcPr>
            <w:shd w:val="clear" w:fill="auto" w:color="auto"/>
            <w:tcW w:w="3860" w:type="pct"/>
            <w:textDirection w:val="lrTb"/>
            <w:noWrap w:val="false"/>
          </w:tcPr>
          <w:p>
            <w:pPr>
              <w:pStyle w:val="1005"/>
              <w:ind w:left="57" w:right="57"/>
            </w:pPr>
            <w:r>
              <w:t xml:space="preserve">Значение подтягивается автоматически при выборе родительского докуме</w:t>
            </w:r>
            <w:r>
              <w:t xml:space="preserve">н</w:t>
            </w:r>
            <w:r>
              <w:t xml:space="preserve">та.</w:t>
            </w:r>
            <w:r/>
          </w:p>
          <w:p>
            <w:pPr>
              <w:pStyle w:val="1005"/>
              <w:ind w:left="57" w:right="57"/>
            </w:pPr>
            <w:r>
              <w:t xml:space="preserve">Значение вводится вручную или выбирается из справочника «Дополнение БК3».</w:t>
            </w:r>
            <w:r/>
          </w:p>
        </w:tc>
      </w:tr>
      <w:tr>
        <w:trPr/>
        <w:tc>
          <w:tcPr>
            <w:shd w:val="clear" w:fill="auto" w:color="auto"/>
            <w:tcW w:w="1140" w:type="pct"/>
            <w:textDirection w:val="lrTb"/>
            <w:noWrap w:val="false"/>
          </w:tcPr>
          <w:p>
            <w:pPr>
              <w:pStyle w:val="1005"/>
              <w:ind w:left="57" w:right="57"/>
            </w:pPr>
            <w:r>
              <w:t xml:space="preserve">Доп</w:t>
            </w:r>
            <w:r>
              <w:t xml:space="preserve">.</w:t>
            </w:r>
            <w:r>
              <w:t xml:space="preserve"> КБК4</w:t>
            </w:r>
            <w:r/>
          </w:p>
        </w:tc>
        <w:tc>
          <w:tcPr>
            <w:shd w:val="clear" w:fill="auto" w:color="auto"/>
            <w:tcW w:w="3860" w:type="pct"/>
            <w:textDirection w:val="lrTb"/>
            <w:noWrap w:val="false"/>
          </w:tcPr>
          <w:p>
            <w:pPr>
              <w:pStyle w:val="1005"/>
              <w:ind w:left="57" w:right="57"/>
            </w:pPr>
            <w:r>
              <w:t xml:space="preserve">Значение подтягивается автоматически при выборе родительского докуме</w:t>
            </w:r>
            <w:r>
              <w:t xml:space="preserve">н</w:t>
            </w:r>
            <w:r>
              <w:t xml:space="preserve">та.</w:t>
            </w:r>
            <w:r/>
          </w:p>
          <w:p>
            <w:pPr>
              <w:pStyle w:val="1005"/>
              <w:ind w:left="57" w:right="57"/>
            </w:pPr>
            <w:r>
              <w:t xml:space="preserve">Значение вводится вручную или выбирается из справочника «Дополнение БК4».</w:t>
            </w:r>
            <w:r/>
          </w:p>
        </w:tc>
      </w:tr>
      <w:tr>
        <w:trPr/>
        <w:tc>
          <w:tcPr>
            <w:shd w:val="clear" w:fill="auto" w:color="auto"/>
            <w:tcW w:w="1140" w:type="pct"/>
            <w:textDirection w:val="lrTb"/>
            <w:noWrap w:val="false"/>
          </w:tcPr>
          <w:p>
            <w:pPr>
              <w:pStyle w:val="1005"/>
              <w:ind w:left="57" w:right="57"/>
            </w:pPr>
            <w:r>
              <w:t xml:space="preserve">Предмет документа осн</w:t>
            </w:r>
            <w:r>
              <w:t xml:space="preserve">о</w:t>
            </w:r>
            <w:r>
              <w:t xml:space="preserve">вания</w:t>
            </w:r>
            <w:r/>
          </w:p>
        </w:tc>
        <w:tc>
          <w:tcPr>
            <w:shd w:val="clear" w:fill="auto" w:color="auto"/>
            <w:tcW w:w="3860" w:type="pct"/>
            <w:textDirection w:val="lrTb"/>
            <w:noWrap w:val="false"/>
          </w:tcPr>
          <w:p>
            <w:pPr>
              <w:pStyle w:val="1005"/>
              <w:ind w:left="57" w:right="57"/>
            </w:pPr>
            <w:r>
              <w:t xml:space="preserve">Значение может вводиться </w:t>
            </w:r>
            <w:r>
              <w:t xml:space="preserve">вручную или заполняться автоматически из родительского документа.</w:t>
            </w:r>
            <w:r/>
          </w:p>
        </w:tc>
      </w:tr>
      <w:tr>
        <w:trPr/>
        <w:tc>
          <w:tcPr>
            <w:shd w:val="clear" w:fill="auto" w:color="auto"/>
            <w:tcW w:w="1140" w:type="pct"/>
            <w:textDirection w:val="lrTb"/>
            <w:noWrap w:val="false"/>
          </w:tcPr>
          <w:p>
            <w:pPr>
              <w:pStyle w:val="1005"/>
              <w:ind w:left="57" w:right="57"/>
            </w:pPr>
            <w:r>
              <w:t xml:space="preserve">Примечание</w:t>
            </w:r>
            <w:r/>
          </w:p>
        </w:tc>
        <w:tc>
          <w:tcPr>
            <w:shd w:val="clear" w:fill="auto" w:color="auto"/>
            <w:tcW w:w="3860" w:type="pct"/>
            <w:textDirection w:val="lrTb"/>
            <w:noWrap w:val="false"/>
          </w:tcPr>
          <w:p>
            <w:pPr>
              <w:pStyle w:val="1005"/>
              <w:ind w:left="57" w:right="57"/>
            </w:pPr>
            <w:r>
              <w:t xml:space="preserve">Значение может вводиться </w:t>
            </w:r>
            <w:r>
              <w:t xml:space="preserve">вручную или заполняться автоматически из родительского документа.</w:t>
            </w:r>
            <w:r/>
          </w:p>
        </w:tc>
      </w:tr>
      <w:tr>
        <w:trPr/>
        <w:tc>
          <w:tcPr>
            <w:shd w:val="clear" w:fill="auto" w:color="auto"/>
            <w:tcW w:w="1140" w:type="pct"/>
            <w:textDirection w:val="lrTb"/>
            <w:noWrap w:val="false"/>
          </w:tcPr>
          <w:p>
            <w:pPr>
              <w:pStyle w:val="1005"/>
              <w:ind w:left="57" w:right="57"/>
            </w:pPr>
            <w:r>
              <w:t xml:space="preserve">Итого на текущий фин. </w:t>
            </w:r>
            <w:r>
              <w:t xml:space="preserve">Г</w:t>
            </w:r>
            <w:r>
              <w:t xml:space="preserve">од</w:t>
            </w:r>
            <w:r/>
          </w:p>
        </w:tc>
        <w:tc>
          <w:tcPr>
            <w:shd w:val="clear" w:fill="auto" w:color="auto"/>
            <w:tcW w:w="3860"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 или заполняться автоматически из родительского док</w:t>
            </w:r>
            <w:r>
              <w:t xml:space="preserve">у</w:t>
            </w:r>
            <w:r>
              <w:t xml:space="preserve">мента.</w:t>
            </w:r>
            <w:r/>
          </w:p>
        </w:tc>
      </w:tr>
      <w:tr>
        <w:trPr/>
        <w:tc>
          <w:tcPr>
            <w:shd w:val="clear" w:fill="auto" w:color="auto"/>
            <w:tcW w:w="1140" w:type="pct"/>
            <w:textDirection w:val="lrTb"/>
            <w:noWrap w:val="false"/>
          </w:tcPr>
          <w:p>
            <w:pPr>
              <w:pStyle w:val="1005"/>
              <w:ind w:left="57" w:right="57"/>
            </w:pPr>
            <w:r>
              <w:t xml:space="preserve">1-й год плана</w:t>
            </w:r>
            <w:r/>
          </w:p>
        </w:tc>
        <w:tc>
          <w:tcPr>
            <w:shd w:val="clear" w:fill="auto" w:color="auto"/>
            <w:tcW w:w="3860"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 или заполняться автоматически из родительского документа.</w:t>
            </w:r>
            <w:r/>
          </w:p>
        </w:tc>
      </w:tr>
      <w:tr>
        <w:trPr/>
        <w:tc>
          <w:tcPr>
            <w:shd w:val="clear" w:fill="auto" w:color="auto"/>
            <w:tcW w:w="1140" w:type="pct"/>
            <w:textDirection w:val="lrTb"/>
            <w:noWrap w:val="false"/>
          </w:tcPr>
          <w:p>
            <w:pPr>
              <w:pStyle w:val="1005"/>
              <w:ind w:left="57" w:right="57"/>
            </w:pPr>
            <w:r>
              <w:t xml:space="preserve">2-й год плана</w:t>
            </w:r>
            <w:r/>
          </w:p>
        </w:tc>
        <w:tc>
          <w:tcPr>
            <w:shd w:val="clear" w:fill="auto" w:color="auto"/>
            <w:tcW w:w="3860"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 или заполняться автоматически из родительского документа.</w:t>
            </w:r>
            <w:r/>
          </w:p>
        </w:tc>
      </w:tr>
      <w:tr>
        <w:trPr/>
        <w:tc>
          <w:tcPr>
            <w:shd w:val="clear" w:fill="auto" w:color="auto"/>
            <w:tcW w:w="1140" w:type="pct"/>
            <w:textDirection w:val="lrTb"/>
            <w:noWrap w:val="false"/>
          </w:tcPr>
          <w:p>
            <w:pPr>
              <w:pStyle w:val="1005"/>
              <w:ind w:left="57" w:right="57"/>
            </w:pPr>
            <w:r>
              <w:t xml:space="preserve">3-й год</w:t>
            </w:r>
            <w:r/>
          </w:p>
        </w:tc>
        <w:tc>
          <w:tcPr>
            <w:shd w:val="clear" w:fill="auto" w:color="auto"/>
            <w:tcW w:w="3860"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 или заполняться автоматически из родительского документа.</w:t>
            </w:r>
            <w:r/>
          </w:p>
        </w:tc>
      </w:tr>
      <w:tr>
        <w:trPr/>
        <w:tc>
          <w:tcPr>
            <w:shd w:val="clear" w:fill="auto" w:color="auto"/>
            <w:tcW w:w="1140" w:type="pct"/>
            <w:textDirection w:val="lrTb"/>
            <w:noWrap w:val="false"/>
          </w:tcPr>
          <w:p>
            <w:pPr>
              <w:pStyle w:val="1005"/>
              <w:ind w:left="57" w:right="57"/>
            </w:pPr>
            <w:r>
              <w:t xml:space="preserve">4-й год</w:t>
            </w:r>
            <w:r/>
          </w:p>
        </w:tc>
        <w:tc>
          <w:tcPr>
            <w:shd w:val="clear" w:fill="auto" w:color="auto"/>
            <w:tcW w:w="3860"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 или заполняться автоматически из родительского документа.</w:t>
            </w:r>
            <w:r/>
          </w:p>
        </w:tc>
      </w:tr>
      <w:tr>
        <w:trPr>
          <w:trHeight w:val="389"/>
        </w:trPr>
        <w:tc>
          <w:tcPr>
            <w:shd w:val="clear" w:fill="auto" w:color="auto"/>
            <w:tcW w:w="1140" w:type="pct"/>
            <w:textDirection w:val="lrTb"/>
            <w:noWrap w:val="false"/>
          </w:tcPr>
          <w:p>
            <w:pPr>
              <w:pStyle w:val="1005"/>
              <w:ind w:left="57" w:right="57"/>
            </w:pPr>
            <w:r>
              <w:t xml:space="preserve">Последующие годы</w:t>
            </w:r>
            <w:r/>
          </w:p>
        </w:tc>
        <w:tc>
          <w:tcPr>
            <w:shd w:val="clear" w:fill="auto" w:color="auto"/>
            <w:tcW w:w="3860"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 или заполняться автоматически из родительского документа.</w:t>
            </w:r>
            <w:r/>
          </w:p>
        </w:tc>
      </w:tr>
      <w:tr>
        <w:trPr/>
        <w:tc>
          <w:tcPr>
            <w:shd w:val="clear" w:fill="auto" w:color="auto"/>
            <w:tcW w:w="1140" w:type="pct"/>
            <w:textDirection w:val="lrTb"/>
            <w:noWrap w:val="false"/>
          </w:tcPr>
          <w:p>
            <w:pPr>
              <w:pStyle w:val="1005"/>
              <w:ind w:left="57" w:right="57"/>
            </w:pPr>
            <w:r>
              <w:t xml:space="preserve">Январь</w:t>
            </w:r>
            <w:r/>
          </w:p>
        </w:tc>
        <w:tc>
          <w:tcPr>
            <w:shd w:val="clear" w:fill="auto" w:color="auto"/>
            <w:tcW w:w="3860" w:type="pct"/>
            <w:textDirection w:val="lrTb"/>
            <w:noWrap w:val="false"/>
          </w:tcPr>
          <w:p>
            <w:pPr>
              <w:pStyle w:val="1005"/>
              <w:ind w:left="57" w:right="57"/>
            </w:pPr>
            <w:r>
              <w:t xml:space="preserve">Значение подтягивается автоматически при выборе родительского докуме</w:t>
            </w:r>
            <w:r>
              <w:t xml:space="preserve">н</w:t>
            </w:r>
            <w:r>
              <w:t xml:space="preserve">та.</w:t>
            </w:r>
            <w:r/>
          </w:p>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w:t>
            </w:r>
            <w:r/>
          </w:p>
        </w:tc>
      </w:tr>
      <w:tr>
        <w:trPr/>
        <w:tc>
          <w:tcPr>
            <w:shd w:val="clear" w:fill="auto" w:color="auto"/>
            <w:tcW w:w="1140" w:type="pct"/>
            <w:textDirection w:val="lrTb"/>
            <w:noWrap w:val="false"/>
          </w:tcPr>
          <w:p>
            <w:pPr>
              <w:pStyle w:val="1005"/>
              <w:ind w:left="57" w:right="57"/>
            </w:pPr>
            <w:r>
              <w:t xml:space="preserve">Февраль</w:t>
            </w:r>
            <w:r/>
          </w:p>
        </w:tc>
        <w:tc>
          <w:tcPr>
            <w:shd w:val="clear" w:fill="auto" w:color="auto"/>
            <w:tcW w:w="3860" w:type="pct"/>
            <w:textDirection w:val="lrTb"/>
            <w:noWrap w:val="false"/>
          </w:tcPr>
          <w:p>
            <w:pPr>
              <w:pStyle w:val="1005"/>
              <w:ind w:left="57" w:right="57"/>
            </w:pPr>
            <w:r>
              <w:t xml:space="preserve">Значение подтягивается автоматически при выборе родительского докуме</w:t>
            </w:r>
            <w:r>
              <w:t xml:space="preserve">н</w:t>
            </w:r>
            <w:r>
              <w:t xml:space="preserve">та.</w:t>
            </w:r>
            <w:r/>
          </w:p>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w:t>
            </w:r>
            <w:r/>
          </w:p>
        </w:tc>
      </w:tr>
      <w:tr>
        <w:trPr/>
        <w:tc>
          <w:tcPr>
            <w:shd w:val="clear" w:fill="auto" w:color="auto"/>
            <w:tcW w:w="1140" w:type="pct"/>
            <w:textDirection w:val="lrTb"/>
            <w:noWrap w:val="false"/>
          </w:tcPr>
          <w:p>
            <w:pPr>
              <w:pStyle w:val="1005"/>
              <w:ind w:left="57" w:right="57"/>
            </w:pPr>
            <w:r>
              <w:t xml:space="preserve">…</w:t>
            </w:r>
            <w:r/>
          </w:p>
        </w:tc>
        <w:tc>
          <w:tcPr>
            <w:shd w:val="clear" w:fill="auto" w:color="auto"/>
            <w:tcW w:w="3860" w:type="pct"/>
            <w:textDirection w:val="lrTb"/>
            <w:noWrap w:val="false"/>
          </w:tcPr>
          <w:p>
            <w:pPr>
              <w:pStyle w:val="1005"/>
              <w:ind w:left="57" w:right="57"/>
            </w:pPr>
            <w:r>
              <w:t xml:space="preserve">…</w:t>
            </w:r>
            <w:r/>
          </w:p>
        </w:tc>
      </w:tr>
      <w:tr>
        <w:trPr/>
        <w:tc>
          <w:tcPr>
            <w:shd w:val="clear" w:fill="auto" w:color="auto"/>
            <w:tcW w:w="1140" w:type="pct"/>
            <w:textDirection w:val="lrTb"/>
            <w:noWrap w:val="false"/>
          </w:tcPr>
          <w:p>
            <w:pPr>
              <w:pStyle w:val="1005"/>
              <w:ind w:left="57" w:right="57"/>
            </w:pPr>
            <w:r>
              <w:t xml:space="preserve">Декабрь</w:t>
            </w:r>
            <w:r/>
          </w:p>
        </w:tc>
        <w:tc>
          <w:tcPr>
            <w:shd w:val="clear" w:fill="auto" w:color="auto"/>
            <w:tcW w:w="3860" w:type="pct"/>
            <w:textDirection w:val="lrTb"/>
            <w:noWrap w:val="false"/>
          </w:tcPr>
          <w:p>
            <w:pPr>
              <w:pStyle w:val="1005"/>
              <w:ind w:left="57" w:right="57"/>
            </w:pPr>
            <w:r>
              <w:t xml:space="preserve">Значение подтягивается автоматически при выборе родительского докуме</w:t>
            </w:r>
            <w:r>
              <w:t xml:space="preserve">н</w:t>
            </w:r>
            <w:r>
              <w:t xml:space="preserve">та.</w:t>
            </w:r>
            <w:r/>
          </w:p>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w:t>
            </w:r>
            <w:r/>
          </w:p>
        </w:tc>
      </w:tr>
      <w:tr>
        <w:trPr/>
        <w:tc>
          <w:tcPr>
            <w:gridSpan w:val="2"/>
            <w:shd w:val="clear" w:fill="auto" w:color="auto"/>
            <w:tcW w:w="5000" w:type="pct"/>
            <w:textDirection w:val="lrTb"/>
            <w:noWrap w:val="false"/>
          </w:tcPr>
          <w:p>
            <w:pPr>
              <w:pStyle w:val="1005"/>
              <w:ind w:left="57" w:right="57"/>
            </w:pPr>
            <w:r>
              <w:t xml:space="preserve">Группа полей «Контрольные суммы»</w:t>
            </w:r>
            <w:r/>
          </w:p>
        </w:tc>
      </w:tr>
      <w:tr>
        <w:trPr/>
        <w:tc>
          <w:tcPr>
            <w:shd w:val="clear" w:fill="auto" w:color="auto"/>
            <w:tcW w:w="1140" w:type="pct"/>
            <w:textDirection w:val="lrTb"/>
            <w:noWrap w:val="false"/>
          </w:tcPr>
          <w:p>
            <w:pPr>
              <w:pStyle w:val="1005"/>
              <w:ind w:left="57" w:right="57"/>
            </w:pPr>
            <w:r>
              <w:t xml:space="preserve">Сумма по документу-основанию</w:t>
            </w:r>
            <w:r/>
          </w:p>
        </w:tc>
        <w:tc>
          <w:tcPr>
            <w:shd w:val="clear" w:fill="auto" w:color="auto"/>
            <w:tcW w:w="3860" w:type="pct"/>
            <w:textDirection w:val="lrTb"/>
            <w:noWrap w:val="false"/>
          </w:tcPr>
          <w:p>
            <w:pPr>
              <w:pStyle w:val="1005"/>
              <w:ind w:left="57" w:right="57"/>
            </w:pPr>
            <w:r>
              <w:t xml:space="preserve">Значение заполняется автоматически и является равным полю «Сумма в валюте БО» (Раздел 1: Реквизиты докуме</w:t>
            </w:r>
            <w:r>
              <w:t xml:space="preserve">н</w:t>
            </w:r>
            <w:r>
              <w:t xml:space="preserve">та-основания).</w:t>
            </w:r>
            <w:r/>
          </w:p>
        </w:tc>
      </w:tr>
      <w:tr>
        <w:trPr/>
        <w:tc>
          <w:tcPr>
            <w:shd w:val="clear" w:fill="auto" w:color="auto"/>
            <w:tcW w:w="1140" w:type="pct"/>
            <w:textDirection w:val="lrTb"/>
            <w:noWrap w:val="false"/>
          </w:tcPr>
          <w:p>
            <w:pPr>
              <w:pStyle w:val="1005"/>
              <w:ind w:left="57" w:right="57"/>
            </w:pPr>
            <w:r>
              <w:t xml:space="preserve">Сумма по расшифровке </w:t>
            </w:r>
            <w:r/>
          </w:p>
        </w:tc>
        <w:tc>
          <w:tcPr>
            <w:shd w:val="clear" w:fill="auto" w:color="auto"/>
            <w:tcW w:w="3860" w:type="pct"/>
            <w:textDirection w:val="lrTb"/>
            <w:noWrap w:val="false"/>
          </w:tcPr>
          <w:p>
            <w:pPr>
              <w:pStyle w:val="1005"/>
              <w:ind w:left="57" w:right="57"/>
            </w:pPr>
            <w:r>
              <w:t xml:space="preserve">Значение рассчитывается автоматически как сумма всех строк по всем годам всех подитогов по кодам ФАИП.</w:t>
            </w:r>
            <w:r/>
          </w:p>
        </w:tc>
      </w:tr>
      <w:tr>
        <w:trPr/>
        <w:tc>
          <w:tcPr>
            <w:shd w:val="clear" w:fill="auto" w:color="auto"/>
            <w:tcW w:w="1140" w:type="pct"/>
            <w:textDirection w:val="lrTb"/>
            <w:noWrap w:val="false"/>
          </w:tcPr>
          <w:p>
            <w:pPr>
              <w:pStyle w:val="1005"/>
              <w:ind w:left="57" w:right="57"/>
            </w:pPr>
            <w:r>
              <w:t xml:space="preserve">Отклонение </w:t>
            </w:r>
            <w:r/>
          </w:p>
        </w:tc>
        <w:tc>
          <w:tcPr>
            <w:shd w:val="clear" w:fill="auto" w:color="auto"/>
            <w:tcW w:w="3860" w:type="pct"/>
            <w:textDirection w:val="lrTb"/>
            <w:noWrap w:val="false"/>
          </w:tcPr>
          <w:p>
            <w:pPr>
              <w:pStyle w:val="1005"/>
              <w:ind w:left="57" w:right="57"/>
            </w:pPr>
            <w:r>
              <w:t xml:space="preserve">Значение рассчитывается автоматически. </w:t>
            </w:r>
            <w:r/>
          </w:p>
          <w:p>
            <w:pPr>
              <w:pStyle w:val="1005"/>
              <w:ind w:left="57" w:right="57"/>
            </w:pPr>
            <w:r>
              <w:t xml:space="preserve">Сравнивается значение, указанное в заголовке и сумма всех строк по всем годам. Значение выводится по модулю.</w:t>
            </w:r>
            <w:r/>
          </w:p>
        </w:tc>
      </w:tr>
    </w:tbl>
    <w:p>
      <w:pPr>
        <w:pStyle w:val="994"/>
      </w:pPr>
      <w:r>
        <w:t xml:space="preserve">На закладке «Раздел 5 (3)» (см.</w:t>
      </w:r>
      <w:r>
        <w:t xml:space="preserve"> </w:t>
      </w:r>
      <w:r>
        <w:t xml:space="preserve">рис. </w:t>
      </w:r>
      <w:r>
        <w:fldChar w:fldCharType="begin"/>
      </w:r>
      <w:r>
        <w:instrText xml:space="preserve"> REF _Ref231048110 \h  \* MERGEFORMAT </w:instrText>
      </w:r>
      <w:r>
        <w:fldChar w:fldCharType="separate"/>
      </w:r>
      <w:r>
        <w:t xml:space="preserve">75</w:t>
      </w:r>
      <w:r>
        <w:fldChar w:fldCharType="end"/>
      </w:r>
      <w:r>
        <w:t xml:space="preserve">) содержится табличный блок «Раздел 5. Расшифровка обязательства в валюте БО». </w:t>
      </w:r>
      <w:r>
        <w:t xml:space="preserve">Для </w:t>
      </w:r>
      <w:r>
        <w:t xml:space="preserve">просмотра</w:t>
      </w:r>
      <w:r>
        <w:t xml:space="preserve"> строки расшифровки в список следует нажать на кнопку</w:t>
      </w:r>
      <w:r>
        <w:t xml:space="preserve"> </w:t>
      </w:r>
      <w:r>
        <mc:AlternateContent>
          <mc:Choice Requires="wpg">
            <w:drawing>
              <wp:inline xmlns:wp="http://schemas.openxmlformats.org/drawingml/2006/wordprocessingDrawing" distT="0" distB="0" distL="0" distR="0">
                <wp:extent cx="274320" cy="274320"/>
                <wp:effectExtent l="0" t="0" r="0" b="0"/>
                <wp:docPr id="15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48"/>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 o:spid="_x0000_s154" type="#_x0000_t75" style="mso-wrap-distance-left:0.0pt;mso-wrap-distance-top:0.0pt;mso-wrap-distance-right:0.0pt;mso-wrap-distance-bottom:0.0pt;width:21.6pt;height:21.6pt;" stroked="f">
                <v:path textboxrect="0,0,0,0"/>
                <v:imagedata r:id="rId148" o:title=""/>
              </v:shape>
            </w:pict>
          </mc:Fallback>
        </mc:AlternateContent>
      </w:r>
      <w:r>
        <w:t xml:space="preserve"> </w:t>
      </w:r>
      <w:r>
        <w:t xml:space="preserve">(</w:t>
      </w:r>
      <w:r>
        <w:t xml:space="preserve">Открыть строку для просмотра</w:t>
      </w:r>
      <w:r>
        <w:t xml:space="preserve">)</w:t>
      </w:r>
      <w:r>
        <w:t xml:space="preserve">. Откроется форма </w:t>
      </w:r>
      <w:r>
        <w:t xml:space="preserve">«Просмотр</w:t>
      </w:r>
      <w:r>
        <w:t xml:space="preserve"> записи</w:t>
      </w:r>
      <w:r>
        <w:t xml:space="preserve">»</w:t>
      </w:r>
      <w:r>
        <w:t xml:space="preserve"> </w:t>
      </w:r>
      <w:r>
        <w:t xml:space="preserve">(рис. </w:t>
      </w:r>
      <w:r>
        <w:fldChar w:fldCharType="begin"/>
      </w:r>
      <w:r>
        <w:instrText xml:space="preserve"> REF _Ref365653710 \h </w:instrText>
      </w:r>
      <w:r>
        <w:instrText xml:space="preserve"> \* MERGEFORMAT </w:instrText>
      </w:r>
      <w:r>
        <w:fldChar w:fldCharType="separate"/>
      </w:r>
      <w:r>
        <w:t xml:space="preserve">82</w:t>
      </w:r>
      <w:r>
        <w:fldChar w:fldCharType="end"/>
      </w:r>
      <w:r>
        <w:t xml:space="preserve">). </w:t>
      </w:r>
      <w:r/>
    </w:p>
    <w:p>
      <w:pPr>
        <w:pStyle w:val="982"/>
      </w:pPr>
      <w:r>
        <mc:AlternateContent>
          <mc:Choice Requires="wpg">
            <w:drawing>
              <wp:inline xmlns:wp="http://schemas.openxmlformats.org/drawingml/2006/wordprocessingDrawing" distT="0" distB="0" distL="0" distR="0">
                <wp:extent cx="6126480" cy="6492240"/>
                <wp:effectExtent l="0" t="0" r="0" b="0"/>
                <wp:docPr id="15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49"/>
                        <a:stretch/>
                      </pic:blipFill>
                      <pic:spPr bwMode="auto">
                        <a:xfrm>
                          <a:off x="0" y="0"/>
                          <a:ext cx="6126480" cy="64922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 o:spid="_x0000_s155" type="#_x0000_t75" style="mso-wrap-distance-left:0.0pt;mso-wrap-distance-top:0.0pt;mso-wrap-distance-right:0.0pt;mso-wrap-distance-bottom:0.0pt;width:482.4pt;height:511.2pt;" stroked="f">
                <v:path textboxrect="0,0,0,0"/>
                <v:imagedata r:id="rId149" o:title=""/>
              </v:shape>
            </w:pict>
          </mc:Fallback>
        </mc:AlternateContent>
      </w:r>
      <w:r/>
    </w:p>
    <w:p>
      <w:pPr>
        <w:pStyle w:val="983"/>
      </w:pPr>
      <w:r>
        <w:fldChar w:fldCharType="begin"/>
      </w:r>
      <w:r>
        <w:instrText xml:space="preserve"> SEQ Рисунок \* ARABIC </w:instrText>
      </w:r>
      <w:r>
        <w:fldChar w:fldCharType="separate"/>
      </w:r>
      <w:bookmarkStart w:id="746" w:name="_Ref365653710"/>
      <w:r/>
      <w:bookmarkStart w:id="747" w:name="_Toc88819467"/>
      <w:r>
        <w:t xml:space="preserve">82</w:t>
      </w:r>
      <w:bookmarkEnd w:id="746"/>
      <w:r>
        <w:fldChar w:fldCharType="end"/>
      </w:r>
      <w:r>
        <w:t xml:space="preserve">. </w:t>
      </w:r>
      <w:r>
        <w:t xml:space="preserve">Форма «Просмотр записи»</w:t>
      </w:r>
      <w:bookmarkEnd w:id="747"/>
      <w:r/>
      <w:r/>
    </w:p>
    <w:p>
      <w:pPr>
        <w:pStyle w:val="994"/>
      </w:pPr>
      <w:r>
        <w:t xml:space="preserve">На форме </w:t>
      </w:r>
      <w:r>
        <w:t xml:space="preserve">«Просмотр</w:t>
      </w:r>
      <w:r>
        <w:t xml:space="preserve"> записи</w:t>
      </w:r>
      <w:r>
        <w:t xml:space="preserve">»</w:t>
      </w:r>
      <w:r>
        <w:t xml:space="preserve"> </w:t>
      </w:r>
      <w:r>
        <w:t xml:space="preserve">присутствуют</w:t>
      </w:r>
      <w:r>
        <w:t xml:space="preserve"> следующие реквизиты:</w:t>
      </w:r>
      <w:r/>
    </w:p>
    <w:p>
      <w:pPr>
        <w:pStyle w:val="985"/>
      </w:pPr>
      <w:r>
        <w:t xml:space="preserve">«</w:t>
      </w:r>
      <w:r>
        <w:t xml:space="preserve">Вид средств» – код и наименование вида деятельности в соответствии со справочником видов деятельности;</w:t>
      </w:r>
      <w:r/>
    </w:p>
    <w:p>
      <w:pPr>
        <w:pStyle w:val="985"/>
      </w:pPr>
      <w:r>
        <w:t xml:space="preserve">г</w:t>
      </w:r>
      <w:r>
        <w:t xml:space="preserve">руппа полей «КБК»:</w:t>
      </w:r>
      <w:r/>
    </w:p>
    <w:p>
      <w:pPr>
        <w:pStyle w:val="986"/>
      </w:pPr>
      <w:r>
        <w:t xml:space="preserve">«</w:t>
      </w:r>
      <w:r>
        <w:t xml:space="preserve">КБК» – код бюджетной классификации плательщика («Код главы» + «ФКР» + «КЦСР» + «КВР» + «КОСГУ», либо «Код главы» + «Вид источника»);</w:t>
      </w:r>
      <w:r/>
    </w:p>
    <w:p>
      <w:pPr>
        <w:pStyle w:val="986"/>
      </w:pPr>
      <w:r>
        <w:t xml:space="preserve">«</w:t>
      </w:r>
      <w:r>
        <w:t xml:space="preserve">ППП» – код ведомства;</w:t>
      </w:r>
      <w:r/>
    </w:p>
    <w:p>
      <w:pPr>
        <w:pStyle w:val="986"/>
      </w:pPr>
      <w:r>
        <w:t xml:space="preserve">б</w:t>
      </w:r>
      <w:r>
        <w:t xml:space="preserve">лок полей «Расходы» содержит следующие поля (поля необязательны для заполнения, если введен код по БК): </w:t>
      </w:r>
      <w:r/>
    </w:p>
    <w:p>
      <w:pPr>
        <w:pStyle w:val="987"/>
      </w:pPr>
      <w:r>
        <w:t xml:space="preserve">«</w:t>
      </w:r>
      <w:r>
        <w:t xml:space="preserve">ФКР» – код функциональной классификации расходов;</w:t>
      </w:r>
      <w:r/>
    </w:p>
    <w:p>
      <w:pPr>
        <w:pStyle w:val="987"/>
      </w:pPr>
      <w:r>
        <w:t xml:space="preserve">«</w:t>
      </w:r>
      <w:r>
        <w:t xml:space="preserve">КЦСР» – код целевой статьи расходов;</w:t>
      </w:r>
      <w:r/>
    </w:p>
    <w:p>
      <w:pPr>
        <w:pStyle w:val="987"/>
      </w:pPr>
      <w:r>
        <w:t xml:space="preserve">«</w:t>
      </w:r>
      <w:r>
        <w:t xml:space="preserve">КВР» – код вида расходов;</w:t>
      </w:r>
      <w:r/>
    </w:p>
    <w:p>
      <w:pPr>
        <w:pStyle w:val="987"/>
      </w:pPr>
      <w:r>
        <w:t xml:space="preserve">«</w:t>
      </w:r>
      <w:r>
        <w:t xml:space="preserve">КОСГУ» – код экономической классификации.</w:t>
      </w:r>
      <w:r/>
    </w:p>
    <w:p>
      <w:pPr>
        <w:pStyle w:val="985"/>
      </w:pPr>
      <w:r>
        <w:t xml:space="preserve">«</w:t>
      </w:r>
      <w:r>
        <w:t xml:space="preserve">Код цели» – код и наименование цели субсидий/субвенций;</w:t>
      </w:r>
      <w:r/>
    </w:p>
    <w:p>
      <w:pPr>
        <w:pStyle w:val="985"/>
      </w:pPr>
      <w:r>
        <w:t xml:space="preserve">«</w:t>
      </w:r>
      <w:r>
        <w:t xml:space="preserve">Доп. КБК2» – код по справочнику «Дополнение БК2».</w:t>
      </w:r>
      <w:r/>
    </w:p>
    <w:p>
      <w:pPr>
        <w:pStyle w:val="985"/>
      </w:pPr>
      <w:r>
        <w:t xml:space="preserve">«</w:t>
      </w:r>
      <w:r>
        <w:t xml:space="preserve">Доп. КБК3» – код по справочнику «Дополнение БК3».</w:t>
      </w:r>
      <w:r/>
    </w:p>
    <w:p>
      <w:pPr>
        <w:pStyle w:val="985"/>
      </w:pPr>
      <w:r>
        <w:t xml:space="preserve">«</w:t>
      </w:r>
      <w:r>
        <w:t xml:space="preserve">Доп. КБК4» – код по справочнику «Дополнение БК4».</w:t>
      </w:r>
      <w:r/>
    </w:p>
    <w:p>
      <w:pPr>
        <w:pStyle w:val="985"/>
      </w:pPr>
      <w:r>
        <w:t xml:space="preserve">«</w:t>
      </w:r>
      <w:r>
        <w:t xml:space="preserve">Предмет документа основания».</w:t>
      </w:r>
      <w:r/>
    </w:p>
    <w:p>
      <w:pPr>
        <w:pStyle w:val="985"/>
      </w:pPr>
      <w:r>
        <w:t xml:space="preserve">«</w:t>
      </w:r>
      <w:r>
        <w:t xml:space="preserve">Примечание».</w:t>
      </w:r>
      <w:r/>
    </w:p>
    <w:p>
      <w:pPr>
        <w:pStyle w:val="985"/>
      </w:pPr>
      <w:r>
        <w:t xml:space="preserve">г</w:t>
      </w:r>
      <w:r>
        <w:t xml:space="preserve">руппа полей: «Текущий фин. </w:t>
      </w:r>
      <w:r>
        <w:t xml:space="preserve">Г</w:t>
      </w:r>
      <w:r>
        <w:t xml:space="preserve">од», «1-й год плана», «2-й год плана», «3-й год», «4-й год», «5-й год и послед.» – вводятся итоговые суммы БО по строке документа на 1-й – 5-й плановые года.</w:t>
      </w:r>
      <w:r/>
    </w:p>
    <w:p>
      <w:pPr>
        <w:pStyle w:val="985"/>
      </w:pPr>
      <w:r>
        <w:t xml:space="preserve">г</w:t>
      </w:r>
      <w:r>
        <w:t xml:space="preserve">руппа полей «График оплаты» – заполняется расписание оплаты по месяцам для текущего года</w:t>
      </w:r>
      <w:r>
        <w:t xml:space="preserve">.</w:t>
      </w:r>
      <w:r/>
    </w:p>
    <w:p>
      <w:pPr>
        <w:pStyle w:val="994"/>
      </w:pPr>
      <w:r>
        <w:t xml:space="preserve">ЭФ </w:t>
      </w:r>
      <w:r>
        <w:t xml:space="preserve">документа «Заявка на внесение изменений в обязательство», закладки «Подписи (4)»</w:t>
      </w:r>
      <w:r>
        <w:t xml:space="preserve"> представлена н</w:t>
      </w:r>
      <w:r>
        <w:t xml:space="preserve">а рисунке</w:t>
      </w:r>
      <w:r>
        <w:t xml:space="preserve"> </w:t>
      </w:r>
      <w:r>
        <w:fldChar w:fldCharType="begin"/>
      </w:r>
      <w:r>
        <w:instrText xml:space="preserve"> REF _Ref365653737 \h </w:instrText>
      </w:r>
      <w:r>
        <w:instrText xml:space="preserve"> \* MERGEFORMAT </w:instrText>
      </w:r>
      <w:r>
        <w:fldChar w:fldCharType="separate"/>
      </w:r>
      <w:r>
        <w:t xml:space="preserve">83</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1927860"/>
                <wp:effectExtent l="0" t="0" r="0" b="0"/>
                <wp:docPr id="15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50"/>
                        <a:stretch/>
                      </pic:blipFill>
                      <pic:spPr bwMode="auto">
                        <a:xfrm>
                          <a:off x="0" y="0"/>
                          <a:ext cx="6126480" cy="19278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 o:spid="_x0000_s156" type="#_x0000_t75" style="mso-wrap-distance-left:0.0pt;mso-wrap-distance-top:0.0pt;mso-wrap-distance-right:0.0pt;mso-wrap-distance-bottom:0.0pt;width:482.4pt;height:151.8pt;" stroked="f">
                <v:path textboxrect="0,0,0,0"/>
                <v:imagedata r:id="rId150" o:title=""/>
              </v:shape>
            </w:pict>
          </mc:Fallback>
        </mc:AlternateContent>
      </w:r>
      <w:r/>
    </w:p>
    <w:p>
      <w:pPr>
        <w:pStyle w:val="983"/>
      </w:pPr>
      <w:r>
        <w:fldChar w:fldCharType="begin"/>
      </w:r>
      <w:r>
        <w:instrText xml:space="preserve"> SEQ Рисунок \* ARABIC </w:instrText>
      </w:r>
      <w:r>
        <w:fldChar w:fldCharType="separate"/>
      </w:r>
      <w:bookmarkStart w:id="748" w:name="_Ref365653737"/>
      <w:r/>
      <w:bookmarkStart w:id="749" w:name="_Toc88819468"/>
      <w:r>
        <w:t xml:space="preserve">83</w:t>
      </w:r>
      <w:bookmarkEnd w:id="748"/>
      <w:r>
        <w:fldChar w:fldCharType="end"/>
      </w:r>
      <w:r>
        <w:t xml:space="preserve">. ЭФ документа «Заявка на внесение изменений в обязательство</w:t>
      </w:r>
      <w:r>
        <w:t xml:space="preserve">», закладки «</w:t>
      </w:r>
      <w:r>
        <w:t xml:space="preserve">Подписи (4)»</w:t>
      </w:r>
      <w:bookmarkEnd w:id="749"/>
      <w:r/>
      <w:r/>
    </w:p>
    <w:p>
      <w:pPr>
        <w:pStyle w:val="994"/>
      </w:pPr>
      <w:r>
        <w:t xml:space="preserve">Перечень полей </w:t>
      </w:r>
      <w:r>
        <w:t xml:space="preserve">документа «Заявка на внесение изменений в обязательство», закладки «Подписи (4)»</w:t>
      </w:r>
      <w:r>
        <w:t xml:space="preserve"> </w:t>
      </w:r>
      <w:r>
        <w:t xml:space="preserve">приведен в таблице</w:t>
      </w:r>
      <w:r>
        <w:t xml:space="preserve"> </w:t>
      </w:r>
      <w:r>
        <w:fldChar w:fldCharType="begin"/>
      </w:r>
      <w:r>
        <w:instrText xml:space="preserve"> REF _Ref365653761 \h </w:instrText>
      </w:r>
      <w:r>
        <w:instrText xml:space="preserve"> \* MERGEFORMAT </w:instrText>
      </w:r>
      <w:r>
        <w:fldChar w:fldCharType="separate"/>
      </w:r>
      <w:r>
        <w:t xml:space="preserve">41</w:t>
      </w:r>
      <w:r>
        <w:fldChar w:fldCharType="end"/>
      </w:r>
      <w:r>
        <w:t xml:space="preserve">.</w:t>
      </w:r>
      <w:r/>
    </w:p>
    <w:p>
      <w:pPr>
        <w:pStyle w:val="993"/>
      </w:pPr>
      <w:r>
        <w:fldChar w:fldCharType="begin"/>
      </w:r>
      <w:r>
        <w:instrText xml:space="preserve"> SEQ Таблица \* ARABIC </w:instrText>
      </w:r>
      <w:r>
        <w:fldChar w:fldCharType="separate"/>
      </w:r>
      <w:bookmarkStart w:id="750" w:name="_Ref365653761"/>
      <w:r/>
      <w:bookmarkStart w:id="751" w:name="_Toc88819227"/>
      <w:r>
        <w:t xml:space="preserve">41</w:t>
      </w:r>
      <w:bookmarkEnd w:id="750"/>
      <w:r>
        <w:fldChar w:fldCharType="end"/>
      </w:r>
      <w:r>
        <w:t xml:space="preserve">. </w:t>
      </w:r>
      <w:r>
        <w:t xml:space="preserve">Описание</w:t>
      </w:r>
      <w:r>
        <w:t xml:space="preserve"> полей </w:t>
      </w:r>
      <w:r>
        <w:t xml:space="preserve">документа «Заявка на внесение изменений в обязательство», закладки «Подписи (4)»</w:t>
      </w:r>
      <w:bookmarkEnd w:id="751"/>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750"/>
        <w:gridCol w:w="7002"/>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41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590"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Группа полей «Подписи»</w:t>
            </w:r>
            <w:r/>
          </w:p>
        </w:tc>
      </w:tr>
      <w:tr>
        <w:trPr/>
        <w:tc>
          <w:tcPr>
            <w:shd w:val="clear" w:fill="auto" w:color="auto"/>
            <w:tcW w:w="1410" w:type="pct"/>
            <w:textDirection w:val="lrTb"/>
            <w:noWrap w:val="false"/>
          </w:tcPr>
          <w:p>
            <w:pPr>
              <w:pStyle w:val="1005"/>
              <w:ind w:left="57" w:right="57"/>
            </w:pPr>
            <w:r>
              <w:t xml:space="preserve">Руководитель (уполномоченное им лицо): должность</w:t>
            </w:r>
            <w:r/>
          </w:p>
        </w:tc>
        <w:tc>
          <w:tcPr>
            <w:shd w:val="clear" w:fill="auto" w:color="auto"/>
            <w:tcW w:w="3590" w:type="pct"/>
            <w:textDirection w:val="lrTb"/>
            <w:noWrap w:val="false"/>
          </w:tcPr>
          <w:p>
            <w:pPr>
              <w:pStyle w:val="1005"/>
              <w:ind w:left="57" w:right="57"/>
            </w:pPr>
            <w:r>
              <w:t xml:space="preserve">Выбирается из списка сотрудников, либо вводится вру</w:t>
            </w:r>
            <w:r>
              <w:t xml:space="preserve">ч</w:t>
            </w:r>
            <w:r>
              <w:t xml:space="preserve">ную.</w:t>
            </w:r>
            <w:r/>
          </w:p>
        </w:tc>
      </w:tr>
      <w:tr>
        <w:trPr/>
        <w:tc>
          <w:tcPr>
            <w:shd w:val="clear" w:fill="auto" w:color="auto"/>
            <w:tcW w:w="1410" w:type="pct"/>
            <w:textDirection w:val="lrTb"/>
            <w:noWrap w:val="false"/>
          </w:tcPr>
          <w:p>
            <w:pPr>
              <w:pStyle w:val="1005"/>
              <w:ind w:left="57" w:right="57"/>
            </w:pPr>
            <w:r>
              <w:t xml:space="preserve">Расшифровка подписи</w:t>
            </w:r>
            <w:r/>
          </w:p>
        </w:tc>
        <w:tc>
          <w:tcPr>
            <w:shd w:val="clear" w:fill="auto" w:color="auto"/>
            <w:tcW w:w="3590" w:type="pct"/>
            <w:textDirection w:val="lrTb"/>
            <w:noWrap w:val="false"/>
          </w:tcPr>
          <w:p>
            <w:pPr>
              <w:pStyle w:val="1005"/>
              <w:ind w:left="57" w:right="57"/>
            </w:pPr>
            <w:r>
              <w:t xml:space="preserve">Значение заполняется автоматически из списка сотрудников</w:t>
            </w:r>
            <w:r>
              <w:t xml:space="preserve"> </w:t>
            </w:r>
            <w:r>
              <w:t xml:space="preserve">после заполнения поля «Руководитель (уполномоченное им лицо): должность».</w:t>
            </w:r>
            <w:r/>
          </w:p>
          <w:p>
            <w:pPr>
              <w:pStyle w:val="1005"/>
              <w:ind w:left="57" w:right="57"/>
            </w:pPr>
            <w:r>
              <w:t xml:space="preserve">Значение выбирается из списка сотрудников.</w:t>
            </w:r>
            <w:r/>
          </w:p>
          <w:p>
            <w:pPr>
              <w:pStyle w:val="1005"/>
              <w:ind w:left="57" w:right="57"/>
            </w:pPr>
            <w:r>
              <w:t xml:space="preserve">Значение вводится вручную.</w:t>
            </w:r>
            <w:r/>
          </w:p>
        </w:tc>
      </w:tr>
      <w:tr>
        <w:trPr/>
        <w:tc>
          <w:tcPr>
            <w:shd w:val="clear" w:fill="auto" w:color="auto"/>
            <w:tcW w:w="1410" w:type="pct"/>
            <w:textDirection w:val="lrTb"/>
            <w:noWrap w:val="false"/>
          </w:tcPr>
          <w:p>
            <w:pPr>
              <w:pStyle w:val="1005"/>
              <w:ind w:left="57" w:right="57"/>
            </w:pPr>
            <w:r>
              <w:t xml:space="preserve">Дата подписания</w:t>
            </w:r>
            <w:r/>
          </w:p>
        </w:tc>
        <w:tc>
          <w:tcPr>
            <w:shd w:val="clear" w:fill="auto" w:color="auto"/>
            <w:tcW w:w="3590" w:type="pct"/>
            <w:textDirection w:val="lrTb"/>
            <w:noWrap w:val="false"/>
          </w:tcPr>
          <w:p>
            <w:pPr>
              <w:pStyle w:val="1005"/>
              <w:ind w:left="57" w:right="57"/>
            </w:pPr>
            <w:r>
              <w:t xml:space="preserve">Значение вводится вручную или выбирается из системного календаря.</w:t>
            </w:r>
            <w:r/>
          </w:p>
        </w:tc>
      </w:tr>
      <w:tr>
        <w:trPr/>
        <w:tc>
          <w:tcPr>
            <w:shd w:val="clear" w:fill="auto" w:color="auto"/>
            <w:tcW w:w="1410" w:type="pct"/>
            <w:textDirection w:val="lrTb"/>
            <w:noWrap w:val="false"/>
          </w:tcPr>
          <w:p>
            <w:pPr>
              <w:pStyle w:val="1005"/>
              <w:ind w:left="57" w:right="57"/>
            </w:pPr>
            <w:r>
              <w:t xml:space="preserve">Должность исполнителя</w:t>
            </w:r>
            <w:r/>
          </w:p>
        </w:tc>
        <w:tc>
          <w:tcPr>
            <w:shd w:val="clear" w:fill="auto" w:color="auto"/>
            <w:tcW w:w="3590" w:type="pct"/>
            <w:textDirection w:val="lrTb"/>
            <w:noWrap w:val="false"/>
          </w:tcPr>
          <w:p>
            <w:pPr>
              <w:pStyle w:val="1005"/>
              <w:ind w:left="57" w:right="57"/>
            </w:pPr>
            <w:r>
              <w:t xml:space="preserve">Закрыто на редактирование. Значение передается из </w:t>
            </w:r>
            <w:r>
              <w:t xml:space="preserve">OEBS</w:t>
            </w:r>
            <w:r>
              <w:t xml:space="preserve">.</w:t>
            </w:r>
            <w:r/>
          </w:p>
        </w:tc>
      </w:tr>
      <w:tr>
        <w:trPr/>
        <w:tc>
          <w:tcPr>
            <w:shd w:val="clear" w:fill="auto" w:color="auto"/>
            <w:tcW w:w="1410" w:type="pct"/>
            <w:textDirection w:val="lrTb"/>
            <w:noWrap w:val="false"/>
          </w:tcPr>
          <w:p>
            <w:pPr>
              <w:pStyle w:val="1005"/>
              <w:ind w:left="57" w:right="57"/>
            </w:pPr>
            <w:r>
              <w:t xml:space="preserve">Расшифровка подписи</w:t>
            </w:r>
            <w:r/>
          </w:p>
        </w:tc>
        <w:tc>
          <w:tcPr>
            <w:shd w:val="clear" w:fill="auto" w:color="auto"/>
            <w:tcW w:w="3590" w:type="pct"/>
            <w:textDirection w:val="lrTb"/>
            <w:noWrap w:val="false"/>
          </w:tcPr>
          <w:p>
            <w:pPr>
              <w:pStyle w:val="1005"/>
              <w:ind w:left="57" w:right="57"/>
            </w:pPr>
            <w:r>
              <w:t xml:space="preserve">Закрыто на редактирование. Значение передается из </w:t>
            </w:r>
            <w:r>
              <w:t xml:space="preserve">OEBS</w:t>
            </w:r>
            <w:r>
              <w:t xml:space="preserve">.</w:t>
            </w:r>
            <w:r/>
          </w:p>
        </w:tc>
      </w:tr>
      <w:tr>
        <w:trPr/>
        <w:tc>
          <w:tcPr>
            <w:shd w:val="clear" w:fill="auto" w:color="auto"/>
            <w:tcW w:w="1410" w:type="pct"/>
            <w:textDirection w:val="lrTb"/>
            <w:noWrap w:val="false"/>
          </w:tcPr>
          <w:p>
            <w:pPr>
              <w:pStyle w:val="1005"/>
              <w:ind w:left="57" w:right="57"/>
            </w:pPr>
            <w:r>
              <w:t xml:space="preserve">Телефон</w:t>
            </w:r>
            <w:r/>
          </w:p>
        </w:tc>
        <w:tc>
          <w:tcPr>
            <w:shd w:val="clear" w:fill="auto" w:color="auto"/>
            <w:tcW w:w="3590" w:type="pct"/>
            <w:textDirection w:val="lrTb"/>
            <w:noWrap w:val="false"/>
          </w:tcPr>
          <w:p>
            <w:pPr>
              <w:pStyle w:val="1005"/>
              <w:ind w:left="57" w:right="57"/>
            </w:pPr>
            <w:r>
              <w:t xml:space="preserve">Закрыто на редактирование. Значение передается из </w:t>
            </w:r>
            <w:r>
              <w:t xml:space="preserve">OEBS</w:t>
            </w:r>
            <w:r>
              <w:t xml:space="preserve">.</w:t>
            </w:r>
            <w:r/>
          </w:p>
        </w:tc>
      </w:tr>
      <w:tr>
        <w:trPr/>
        <w:tc>
          <w:tcPr>
            <w:shd w:val="clear" w:fill="auto" w:color="auto"/>
            <w:tcW w:w="1410" w:type="pct"/>
            <w:textDirection w:val="lrTb"/>
            <w:noWrap w:val="false"/>
          </w:tcPr>
          <w:p>
            <w:pPr>
              <w:pStyle w:val="1005"/>
              <w:ind w:left="57" w:right="57"/>
            </w:pPr>
            <w:r>
              <w:t xml:space="preserve">Дата постановки на учет </w:t>
            </w:r>
            <w:r/>
          </w:p>
        </w:tc>
        <w:tc>
          <w:tcPr>
            <w:shd w:val="clear" w:fill="auto" w:color="auto"/>
            <w:tcW w:w="3590" w:type="pct"/>
            <w:textDirection w:val="lrTb"/>
            <w:noWrap w:val="false"/>
          </w:tcPr>
          <w:p>
            <w:pPr>
              <w:pStyle w:val="1005"/>
              <w:ind w:left="57" w:right="57"/>
            </w:pPr>
            <w:r>
              <w:t xml:space="preserve">Закрыто на редактирование. Значение передается из OEBS.</w:t>
            </w:r>
            <w:r/>
          </w:p>
        </w:tc>
      </w:tr>
      <w:tr>
        <w:trPr/>
        <w:tc>
          <w:tcPr>
            <w:shd w:val="clear" w:fill="auto" w:color="auto"/>
            <w:tcW w:w="1410" w:type="pct"/>
            <w:textDirection w:val="lrTb"/>
            <w:noWrap w:val="false"/>
          </w:tcPr>
          <w:p>
            <w:pPr>
              <w:pStyle w:val="1005"/>
              <w:ind w:left="57" w:right="57"/>
            </w:pPr>
            <w:r>
              <w:t xml:space="preserve">Учетный номер БО </w:t>
            </w:r>
            <w:r/>
          </w:p>
        </w:tc>
        <w:tc>
          <w:tcPr>
            <w:shd w:val="clear" w:fill="auto" w:color="auto"/>
            <w:tcW w:w="3590" w:type="pct"/>
            <w:textDirection w:val="lrTb"/>
            <w:noWrap w:val="false"/>
          </w:tcPr>
          <w:p>
            <w:pPr>
              <w:pStyle w:val="1005"/>
              <w:ind w:left="57" w:right="57"/>
            </w:pPr>
            <w:r>
              <w:t xml:space="preserve">Закрыто на редактирование. Значение передается из OEBS.</w:t>
            </w:r>
            <w:r/>
          </w:p>
        </w:tc>
      </w:tr>
      <w:tr>
        <w:trPr/>
        <w:tc>
          <w:tcPr>
            <w:shd w:val="clear" w:fill="auto" w:color="auto"/>
            <w:tcW w:w="1410" w:type="pct"/>
            <w:textDirection w:val="lrTb"/>
            <w:noWrap w:val="false"/>
          </w:tcPr>
          <w:p>
            <w:pPr>
              <w:pStyle w:val="1005"/>
              <w:ind w:left="57" w:right="57"/>
            </w:pPr>
            <w:r>
              <w:t xml:space="preserve">Примечание</w:t>
            </w:r>
            <w:r/>
          </w:p>
        </w:tc>
        <w:tc>
          <w:tcPr>
            <w:shd w:val="clear" w:fill="auto" w:color="auto"/>
            <w:tcW w:w="3590" w:type="pct"/>
            <w:textDirection w:val="lrTb"/>
            <w:noWrap w:val="false"/>
          </w:tcPr>
          <w:p>
            <w:pPr>
              <w:pStyle w:val="1005"/>
              <w:ind w:left="57" w:right="57"/>
            </w:pPr>
            <w:r>
              <w:t xml:space="preserve">Закрыто на редактирование. Значение передается из OEBS.</w:t>
            </w:r>
            <w:r/>
          </w:p>
        </w:tc>
      </w:tr>
    </w:tbl>
    <w:p>
      <w:pPr>
        <w:pStyle w:val="972"/>
      </w:pPr>
      <w:r/>
      <w:bookmarkStart w:id="752" w:name="_Toc225934615"/>
      <w:r/>
      <w:bookmarkStart w:id="753" w:name="_Toc232827375"/>
      <w:r/>
      <w:bookmarkStart w:id="754" w:name="_Toc262126887"/>
      <w:r/>
      <w:bookmarkStart w:id="755" w:name="_Ref319675044"/>
      <w:r/>
      <w:bookmarkStart w:id="756" w:name="_Ref341799410"/>
      <w:r/>
      <w:bookmarkStart w:id="757" w:name="_Ref343179126"/>
      <w:r/>
      <w:bookmarkStart w:id="758" w:name="_Ref350255405"/>
      <w:r/>
      <w:bookmarkStart w:id="759" w:name="_Ref357693381"/>
      <w:r/>
      <w:bookmarkStart w:id="760" w:name="_Ref365478270"/>
      <w:r/>
      <w:bookmarkStart w:id="761" w:name="_Ref365628490"/>
      <w:r/>
      <w:bookmarkStart w:id="762" w:name="_Ref367475754"/>
      <w:r/>
      <w:bookmarkStart w:id="763" w:name="_Toc422496712"/>
      <w:r/>
      <w:bookmarkStart w:id="764" w:name="_Ref431565846"/>
      <w:r/>
      <w:bookmarkStart w:id="765" w:name="_Ref436062316"/>
      <w:r/>
      <w:bookmarkStart w:id="766" w:name="_Toc88819111"/>
      <w:r>
        <w:t xml:space="preserve">Заявка на перерегистрацию </w:t>
      </w:r>
      <w:bookmarkEnd w:id="752"/>
      <w:r>
        <w:t xml:space="preserve">бюджетного обязательства</w:t>
      </w:r>
      <w:bookmarkEnd w:id="753"/>
      <w:r/>
      <w:bookmarkEnd w:id="754"/>
      <w:r/>
      <w:bookmarkEnd w:id="755"/>
      <w:r/>
      <w:bookmarkEnd w:id="756"/>
      <w:r/>
      <w:bookmarkEnd w:id="757"/>
      <w:r/>
      <w:bookmarkEnd w:id="758"/>
      <w:r/>
      <w:bookmarkEnd w:id="759"/>
      <w:r/>
      <w:bookmarkEnd w:id="760"/>
      <w:r/>
      <w:bookmarkEnd w:id="761"/>
      <w:r/>
      <w:bookmarkEnd w:id="762"/>
      <w:r/>
      <w:bookmarkEnd w:id="763"/>
      <w:r/>
      <w:bookmarkEnd w:id="764"/>
      <w:r/>
      <w:bookmarkEnd w:id="765"/>
      <w:r/>
      <w:bookmarkEnd w:id="766"/>
      <w:r/>
      <w:r/>
    </w:p>
    <w:p>
      <w:pPr>
        <w:pStyle w:val="994"/>
      </w:pPr>
      <w:r>
        <w:t xml:space="preserve">Для перерегистрации бюджетного обязательства на следующий год оформляется «Заявка на перерегистрацию бюджетного обязательства».</w:t>
      </w:r>
      <w:r/>
    </w:p>
    <w:p>
      <w:pPr>
        <w:pStyle w:val="994"/>
      </w:pPr>
      <w:r>
        <w:t xml:space="preserve">Документ «Заявка на перерегистрацию бюджетного обязательства» формируется на АРМ П</w:t>
      </w:r>
      <w:r>
        <w:t xml:space="preserve">БС, обслуживающихся в ОФК, а затем передается от клиента (ПБС) на АРМ ОФК, где документ проходит необходимые проверки и пересылается в учетную систему УФК. Если клиент передает документ в бумажном виде, то данные по нему вводятся в оперзале ОФК на АРМ ОФК.</w:t>
      </w:r>
      <w:r/>
    </w:p>
    <w:p>
      <w:pPr>
        <w:pStyle w:val="994"/>
      </w:pPr>
      <w:r>
        <w:t xml:space="preserve">Для визуализации связи между документом «Заявка на перерегистрацию бюджетного обязательства» и документами «Заявка на кассовый расход», «Заявка на кассовый расход (сокращенная)», «Заявка на получение наличных денег», «</w:t>
      </w:r>
      <w:r>
        <w:t xml:space="preserve">Заявка на получение денежных средств, перечисляемых на карту</w:t>
      </w:r>
      <w:r>
        <w:t xml:space="preserve">», «Сведения о бюджетном обязательстве» и «Заявка на внесение изменений в обязательство» в </w:t>
      </w:r>
      <w:r>
        <w:t xml:space="preserve">ППО СУФД АСФК</w:t>
      </w:r>
      <w:r>
        <w:t xml:space="preserve"> на ЭФ списка докуме</w:t>
      </w:r>
      <w:r>
        <w:t xml:space="preserve">н</w:t>
      </w:r>
      <w:r>
        <w:t xml:space="preserve">тов «Заявка на перерегистрацию бюджетного обязательства» (рис. </w:t>
      </w:r>
      <w:r>
        <w:fldChar w:fldCharType="begin"/>
      </w:r>
      <w:r>
        <w:instrText xml:space="preserve"> REF _Ref225759438 \h  \* MERGEFORMAT </w:instrText>
      </w:r>
      <w:r>
        <w:fldChar w:fldCharType="separate"/>
      </w:r>
      <w:r>
        <w:t xml:space="preserve">84</w:t>
      </w:r>
      <w:r>
        <w:fldChar w:fldCharType="end"/>
      </w:r>
      <w:r>
        <w:t xml:space="preserve">) расположена отдел</w:t>
      </w:r>
      <w:r>
        <w:t xml:space="preserve">ь</w:t>
      </w:r>
      <w:r>
        <w:t xml:space="preserve">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r/>
    </w:p>
    <w:p>
      <w:pPr>
        <w:pStyle w:val="985"/>
      </w:pPr>
      <w:r>
        <w:t xml:space="preserve">Тип документа;</w:t>
      </w:r>
      <w:r/>
    </w:p>
    <w:p>
      <w:pPr>
        <w:pStyle w:val="985"/>
      </w:pPr>
      <w:r>
        <w:t xml:space="preserve">Номер;</w:t>
      </w:r>
      <w:r/>
    </w:p>
    <w:p>
      <w:pPr>
        <w:pStyle w:val="985"/>
      </w:pPr>
      <w:r>
        <w:t xml:space="preserve">Дата;</w:t>
      </w:r>
      <w:r/>
    </w:p>
    <w:p>
      <w:pPr>
        <w:pStyle w:val="985"/>
      </w:pPr>
      <w:r>
        <w:t xml:space="preserve">Глава по БК;</w:t>
      </w:r>
      <w:r/>
    </w:p>
    <w:p>
      <w:pPr>
        <w:pStyle w:val="985"/>
      </w:pPr>
      <w:r>
        <w:t xml:space="preserve">Статус.</w:t>
      </w:r>
      <w:r/>
    </w:p>
    <w:p>
      <w:pPr>
        <w:pStyle w:val="994"/>
      </w:pPr>
      <w:r>
        <w:t xml:space="preserve">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перерегистрацию бюджетного обязательства» к ЭФ связанного документа.</w:t>
      </w:r>
      <w:r/>
    </w:p>
    <w:p>
      <w:pPr>
        <w:pStyle w:val="994"/>
      </w:pPr>
      <w:r>
        <w:t xml:space="preserve">Из </w:t>
      </w:r>
      <w:r>
        <w:t xml:space="preserve">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«Заявка на перерегистрацию бюджетного обязательства». Операции «Санкционировать» и «Отк</w:t>
      </w:r>
      <w:r>
        <w:t xml:space="preserve">а</w:t>
      </w:r>
      <w:r>
        <w:t xml:space="preserve">зать» описаны в п.</w:t>
      </w:r>
      <w:r>
        <w:t xml:space="preserve"> </w:t>
      </w:r>
      <w:r>
        <w:fldChar w:fldCharType="begin"/>
      </w:r>
      <w:r>
        <w:instrText xml:space="preserve"> REF _Ref370314948 \r \h </w:instrText>
      </w:r>
      <w:r>
        <w:fldChar w:fldCharType="separate"/>
      </w:r>
      <w:r>
        <w:t xml:space="preserve">3.3.1</w:t>
      </w:r>
      <w:r>
        <w:fldChar w:fldCharType="end"/>
      </w:r>
      <w:r>
        <w:t xml:space="preserve">.</w:t>
      </w:r>
      <w:r/>
    </w:p>
    <w:p>
      <w:pPr>
        <w:pStyle w:val="994"/>
      </w:pPr>
      <w:r>
        <w:t xml:space="preserve">Для работы с </w:t>
      </w:r>
      <w:r>
        <w:t xml:space="preserve">исходящими </w:t>
      </w:r>
      <w:r>
        <w:t xml:space="preserve">документами </w:t>
      </w:r>
      <w:r>
        <w:t xml:space="preserve">«</w:t>
      </w:r>
      <w:r>
        <w:t xml:space="preserve">Заявка на перерегистрацию бюджетного об</w:t>
      </w:r>
      <w:r>
        <w:t xml:space="preserve">я</w:t>
      </w:r>
      <w:r>
        <w:t xml:space="preserve">зательства</w:t>
      </w:r>
      <w:r>
        <w:t xml:space="preserve">»</w:t>
      </w:r>
      <w:r>
        <w:t xml:space="preserve"> следует перейти в </w:t>
      </w:r>
      <w:r>
        <w:t xml:space="preserve">пункт меню «Документы</w:t>
      </w:r>
      <w:r>
        <w:t xml:space="preserve"> – </w:t>
      </w:r>
      <w:r>
        <w:t xml:space="preserve">Регистрация и учет обязательств</w:t>
      </w:r>
      <w:r>
        <w:t xml:space="preserve"> – </w:t>
      </w:r>
      <w:r>
        <w:t xml:space="preserve">Карточки учета БО</w:t>
      </w:r>
      <w:r>
        <w:t xml:space="preserve"> – </w:t>
      </w:r>
      <w:r>
        <w:t xml:space="preserve">Заявка на перерегистрацию бюджетного обязательства</w:t>
      </w:r>
      <w:r>
        <w:t xml:space="preserve"> (исход</w:t>
      </w:r>
      <w:r>
        <w:t xml:space="preserve">я</w:t>
      </w:r>
      <w:r>
        <w:t xml:space="preserve">щие)»</w:t>
      </w:r>
      <w:r>
        <w:t xml:space="preserve">. Откроется ЭФ списка документов, представленная на рису</w:t>
      </w:r>
      <w:r>
        <w:t xml:space="preserve">н</w:t>
      </w:r>
      <w:r>
        <w:t xml:space="preserve">ке</w:t>
      </w:r>
      <w:r>
        <w:t xml:space="preserve"> </w:t>
      </w:r>
      <w:r>
        <w:fldChar w:fldCharType="begin"/>
      </w:r>
      <w:r>
        <w:instrText xml:space="preserve"> REF _Ref225759438 \h  \* MERGEFORMAT </w:instrText>
      </w:r>
      <w:r>
        <w:fldChar w:fldCharType="separate"/>
      </w:r>
      <w:r>
        <w:t xml:space="preserve">84</w:t>
      </w:r>
      <w:r>
        <w:fldChar w:fldCharType="end"/>
      </w:r>
      <w:r>
        <w:t xml:space="preserve">.</w:t>
      </w:r>
      <w:r/>
    </w:p>
    <w:p>
      <w:pPr>
        <w:pStyle w:val="994"/>
      </w:pPr>
      <w:r>
        <w:t xml:space="preserve">Для работы с </w:t>
      </w:r>
      <w:r>
        <w:t xml:space="preserve">входящими </w:t>
      </w:r>
      <w:r>
        <w:t xml:space="preserve">документами </w:t>
      </w:r>
      <w:r>
        <w:t xml:space="preserve">«</w:t>
      </w:r>
      <w:r>
        <w:t xml:space="preserve">Заявка на перерегистрацию бюджетного обязательства</w:t>
      </w:r>
      <w:r>
        <w:t xml:space="preserve">»</w:t>
      </w:r>
      <w:r>
        <w:t xml:space="preserve"> следует перейти в </w:t>
      </w:r>
      <w:r>
        <w:t xml:space="preserve">пункт меню «Документы</w:t>
      </w:r>
      <w:r>
        <w:t xml:space="preserve"> – </w:t>
      </w:r>
      <w:r>
        <w:t xml:space="preserve">Регистрация и учет обязательств</w:t>
      </w:r>
      <w:r>
        <w:t xml:space="preserve"> – </w:t>
      </w:r>
      <w:r>
        <w:t xml:space="preserve">Карточки учета БО</w:t>
      </w:r>
      <w:r>
        <w:t xml:space="preserve"> – </w:t>
      </w:r>
      <w:r>
        <w:t xml:space="preserve">Заявка на перерегистрацию бюджетного обязательства</w:t>
      </w:r>
      <w:r>
        <w:t xml:space="preserve"> (входящие)»</w:t>
      </w:r>
      <w:r>
        <w:t xml:space="preserve">.</w:t>
      </w:r>
      <w:r/>
    </w:p>
    <w:p>
      <w:pPr>
        <w:pStyle w:val="982"/>
      </w:pPr>
      <w:r>
        <mc:AlternateContent>
          <mc:Choice Requires="wpg">
            <w:drawing>
              <wp:inline xmlns:wp="http://schemas.openxmlformats.org/drawingml/2006/wordprocessingDrawing" distT="0" distB="0" distL="0" distR="0">
                <wp:extent cx="6126480" cy="3558540"/>
                <wp:effectExtent l="0" t="0" r="0" b="0"/>
                <wp:docPr id="15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51"/>
                        <a:stretch/>
                      </pic:blipFill>
                      <pic:spPr bwMode="auto">
                        <a:xfrm>
                          <a:off x="0" y="0"/>
                          <a:ext cx="6126480" cy="35585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 o:spid="_x0000_s157" type="#_x0000_t75" style="mso-wrap-distance-left:0.0pt;mso-wrap-distance-top:0.0pt;mso-wrap-distance-right:0.0pt;mso-wrap-distance-bottom:0.0pt;width:482.4pt;height:280.2pt;" stroked="f">
                <v:path textboxrect="0,0,0,0"/>
                <v:imagedata r:id="rId151" o:title=""/>
              </v:shape>
            </w:pict>
          </mc:Fallback>
        </mc:AlternateContent>
      </w:r>
      <w:r/>
    </w:p>
    <w:p>
      <w:pPr>
        <w:pStyle w:val="983"/>
      </w:pPr>
      <w:r>
        <w:fldChar w:fldCharType="begin"/>
      </w:r>
      <w:r>
        <w:instrText xml:space="preserve"> SEQ Рисунок \* ARABIC </w:instrText>
      </w:r>
      <w:r>
        <w:fldChar w:fldCharType="separate"/>
      </w:r>
      <w:bookmarkStart w:id="767" w:name="_Ref225759438"/>
      <w:r/>
      <w:bookmarkStart w:id="768" w:name="_Toc88819469"/>
      <w:r>
        <w:t xml:space="preserve">84</w:t>
      </w:r>
      <w:bookmarkEnd w:id="767"/>
      <w:r>
        <w:fldChar w:fldCharType="end"/>
      </w:r>
      <w:r>
        <w:t xml:space="preserve">. ЭФ списка документов «Заявка на перерегистрацию бюджетного обязательства</w:t>
      </w:r>
      <w:r>
        <w:t xml:space="preserve"> (исходящие)</w:t>
      </w:r>
      <w:r>
        <w:t xml:space="preserve">»</w:t>
      </w:r>
      <w:bookmarkEnd w:id="768"/>
      <w:r/>
      <w:r/>
    </w:p>
    <w:p>
      <w:pPr>
        <w:pStyle w:val="973"/>
      </w:pPr>
      <w:r/>
      <w:bookmarkStart w:id="769" w:name="_Toc232827376"/>
      <w:r>
        <w:t xml:space="preserve">Доступные операции</w:t>
      </w:r>
      <w:bookmarkEnd w:id="769"/>
      <w:r/>
      <w:r/>
    </w:p>
    <w:p>
      <w:pPr>
        <w:pStyle w:val="994"/>
      </w:pPr>
      <w:r>
        <w:t xml:space="preserve">На АРМ ФО доступны следующие операции над документом:</w:t>
      </w:r>
      <w:r/>
    </w:p>
    <w:p>
      <w:pPr>
        <w:pStyle w:val="985"/>
      </w:pPr>
      <w:r>
        <w:t xml:space="preserve">Для исходящих документов:</w:t>
      </w:r>
      <w:r/>
    </w:p>
    <w:p>
      <w:pPr>
        <w:pStyle w:val="986"/>
      </w:pPr>
      <w:r>
        <w:t xml:space="preserve">просмотр</w:t>
      </w:r>
      <w:r>
        <w:t xml:space="preserve">;</w:t>
      </w:r>
      <w:r/>
    </w:p>
    <w:p>
      <w:pPr>
        <w:pStyle w:val="986"/>
      </w:pPr>
      <w:r>
        <w:t xml:space="preserve">документарный контроль;</w:t>
      </w:r>
      <w:r/>
    </w:p>
    <w:p>
      <w:pPr>
        <w:pStyle w:val="986"/>
      </w:pPr>
      <w:r>
        <w:t xml:space="preserve">удаление;</w:t>
      </w:r>
      <w:r/>
    </w:p>
    <w:p>
      <w:pPr>
        <w:pStyle w:val="986"/>
      </w:pPr>
      <w:r>
        <w:t xml:space="preserve">подписание</w:t>
      </w:r>
      <w:r>
        <w:t xml:space="preserve">, просмотр и удаление</w:t>
      </w:r>
      <w:r>
        <w:t xml:space="preserve"> </w:t>
      </w:r>
      <w:r>
        <w:t xml:space="preserve">ЭП</w:t>
      </w:r>
      <w:r>
        <w:t xml:space="preserve">;</w:t>
      </w:r>
      <w:r/>
    </w:p>
    <w:p>
      <w:pPr>
        <w:pStyle w:val="986"/>
      </w:pPr>
      <w:r>
        <w:t xml:space="preserve">печать;</w:t>
      </w:r>
      <w:r/>
    </w:p>
    <w:p>
      <w:pPr>
        <w:pStyle w:val="986"/>
      </w:pPr>
      <w:r>
        <w:t xml:space="preserve">экспорт во внешнюю систему;</w:t>
      </w:r>
      <w:r/>
    </w:p>
    <w:p>
      <w:pPr>
        <w:pStyle w:val="986"/>
      </w:pPr>
      <w:r>
        <w:t xml:space="preserve">отправка в УФК;</w:t>
      </w:r>
      <w:r/>
    </w:p>
    <w:p>
      <w:pPr>
        <w:pStyle w:val="986"/>
      </w:pPr>
      <w:r>
        <w:t xml:space="preserve">статистика.</w:t>
      </w:r>
      <w:r/>
    </w:p>
    <w:p>
      <w:pPr>
        <w:pStyle w:val="985"/>
      </w:pPr>
      <w:r>
        <w:t xml:space="preserve">Для входящих документов:</w:t>
      </w:r>
      <w:r/>
    </w:p>
    <w:p>
      <w:pPr>
        <w:pStyle w:val="986"/>
      </w:pPr>
      <w:r>
        <w:t xml:space="preserve">импорт из OEBS;</w:t>
      </w:r>
      <w:r/>
    </w:p>
    <w:p>
      <w:pPr>
        <w:pStyle w:val="986"/>
      </w:pPr>
      <w:r>
        <w:t xml:space="preserve">просмотр;</w:t>
      </w:r>
      <w:r/>
    </w:p>
    <w:p>
      <w:pPr>
        <w:pStyle w:val="986"/>
      </w:pPr>
      <w:r>
        <w:t xml:space="preserve">проверка </w:t>
      </w:r>
      <w:r>
        <w:t xml:space="preserve">ЭП</w:t>
      </w:r>
      <w:r>
        <w:t xml:space="preserve">;</w:t>
      </w:r>
      <w:r/>
    </w:p>
    <w:p>
      <w:pPr>
        <w:pStyle w:val="986"/>
      </w:pPr>
      <w:r>
        <w:t xml:space="preserve">печать;</w:t>
      </w:r>
      <w:r/>
    </w:p>
    <w:p>
      <w:pPr>
        <w:pStyle w:val="986"/>
      </w:pPr>
      <w:r>
        <w:t xml:space="preserve">экспорт в OEBS.</w:t>
      </w:r>
      <w:r/>
    </w:p>
    <w:p>
      <w:pPr>
        <w:pStyle w:val="985"/>
      </w:pPr>
      <w:r/>
      <w:bookmarkStart w:id="770" w:name="_Toc232827377"/>
      <w:r>
        <w:t xml:space="preserve">Для </w:t>
      </w:r>
      <w:r>
        <w:t xml:space="preserve">транзитных</w:t>
      </w:r>
      <w:r>
        <w:t xml:space="preserve"> документов:</w:t>
      </w:r>
      <w:r/>
    </w:p>
    <w:p>
      <w:pPr>
        <w:pStyle w:val="986"/>
      </w:pPr>
      <w:r>
        <w:t xml:space="preserve">просмотр;</w:t>
      </w:r>
      <w:r/>
    </w:p>
    <w:p>
      <w:pPr>
        <w:pStyle w:val="986"/>
      </w:pPr>
      <w:r>
        <w:t xml:space="preserve">подписание и </w:t>
      </w:r>
      <w:r>
        <w:t xml:space="preserve">проверка ЭП;</w:t>
      </w:r>
      <w:r/>
    </w:p>
    <w:p>
      <w:pPr>
        <w:pStyle w:val="986"/>
      </w:pPr>
      <w:r>
        <w:t xml:space="preserve">печать;</w:t>
      </w:r>
      <w:r/>
    </w:p>
    <w:p>
      <w:pPr>
        <w:pStyle w:val="986"/>
      </w:pPr>
      <w:r>
        <w:t xml:space="preserve">экспорт в OEBS.</w:t>
      </w:r>
      <w:r/>
    </w:p>
    <w:p>
      <w:pPr>
        <w:pStyle w:val="973"/>
      </w:pPr>
      <w:r>
        <w:t xml:space="preserve">Экранная форма документа</w:t>
      </w:r>
      <w:bookmarkEnd w:id="770"/>
      <w:r/>
      <w:r/>
    </w:p>
    <w:p>
      <w:pPr>
        <w:pStyle w:val="994"/>
      </w:pPr>
      <w:r>
        <w:t xml:space="preserve">ЭФ документа «Заявка на перерегистрацию бюджетного обязательства» представлена на рисунке </w:t>
      </w:r>
      <w:r>
        <w:fldChar w:fldCharType="begin"/>
      </w:r>
      <w:r>
        <w:instrText xml:space="preserve"> REF _Ref231062531 \h  \* MERGEFORMAT </w:instrText>
      </w:r>
      <w:r>
        <w:fldChar w:fldCharType="separate"/>
      </w:r>
      <w:r>
        <w:t xml:space="preserve">85</w:t>
      </w:r>
      <w:r>
        <w:fldChar w:fldCharType="end"/>
      </w:r>
      <w:r>
        <w:t xml:space="preserve">. По структуре и содержанию она аналогична форме документа «</w:t>
      </w:r>
      <w:r>
        <w:t xml:space="preserve">Сведения об обязательстве» (см.</w:t>
      </w:r>
      <w:r>
        <w:t xml:space="preserve"> </w:t>
      </w:r>
      <w:r>
        <w:t xml:space="preserve">рис. </w:t>
      </w:r>
      <w:r>
        <w:fldChar w:fldCharType="begin"/>
      </w:r>
      <w:r>
        <w:instrText xml:space="preserve"> REF _Ref225587553 \h  \* MERGEFORMAT </w:instrText>
      </w:r>
      <w:r>
        <w:fldChar w:fldCharType="separate"/>
      </w:r>
      <w:r>
        <w:t xml:space="preserve">74</w:t>
      </w:r>
      <w:r>
        <w:fldChar w:fldCharType="end"/>
      </w:r>
      <w:r>
        <w:t xml:space="preserve">). Форма содержит следующие закладки:</w:t>
      </w:r>
      <w:r/>
    </w:p>
    <w:p>
      <w:pPr>
        <w:pStyle w:val="985"/>
      </w:pPr>
      <w:r>
        <w:t xml:space="preserve">«Заголовок, раздел 1,2 (1)»;</w:t>
      </w:r>
      <w:r/>
    </w:p>
    <w:p>
      <w:pPr>
        <w:pStyle w:val="985"/>
      </w:pPr>
      <w:r>
        <w:t xml:space="preserve">«Раздел 3,4 (2)»;</w:t>
      </w:r>
      <w:r/>
    </w:p>
    <w:p>
      <w:pPr>
        <w:pStyle w:val="985"/>
      </w:pPr>
      <w:r>
        <w:t xml:space="preserve">«Раздел 5 (3)»;</w:t>
      </w:r>
      <w:r/>
    </w:p>
    <w:p>
      <w:pPr>
        <w:pStyle w:val="985"/>
      </w:pPr>
      <w:r>
        <w:t xml:space="preserve">«Подписи (4)»;</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126480" cy="4846320"/>
                <wp:effectExtent l="0" t="0" r="0" b="0"/>
                <wp:docPr id="15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52"/>
                        <a:stretch/>
                      </pic:blipFill>
                      <pic:spPr bwMode="auto">
                        <a:xfrm>
                          <a:off x="0" y="0"/>
                          <a:ext cx="6126480" cy="4846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 o:spid="_x0000_s158" type="#_x0000_t75" style="mso-wrap-distance-left:0.0pt;mso-wrap-distance-top:0.0pt;mso-wrap-distance-right:0.0pt;mso-wrap-distance-bottom:0.0pt;width:482.4pt;height:381.6pt;" stroked="f">
                <v:path textboxrect="0,0,0,0"/>
                <v:imagedata r:id="rId152" o:title=""/>
              </v:shape>
            </w:pict>
          </mc:Fallback>
        </mc:AlternateContent>
      </w:r>
      <w:r/>
    </w:p>
    <w:p>
      <w:pPr>
        <w:pStyle w:val="983"/>
      </w:pPr>
      <w:r>
        <w:fldChar w:fldCharType="begin"/>
      </w:r>
      <w:r>
        <w:instrText xml:space="preserve"> SEQ Рисунок \* ARABIC </w:instrText>
      </w:r>
      <w:r>
        <w:fldChar w:fldCharType="separate"/>
      </w:r>
      <w:bookmarkStart w:id="771" w:name="_Ref231062531"/>
      <w:r/>
      <w:bookmarkStart w:id="772" w:name="_Toc88819470"/>
      <w:r>
        <w:t xml:space="preserve">85</w:t>
      </w:r>
      <w:bookmarkEnd w:id="771"/>
      <w:r>
        <w:fldChar w:fldCharType="end"/>
      </w:r>
      <w:r>
        <w:t xml:space="preserve">. ЭФ документа «Заявка на перерегистрацию бюджетного обязательства</w:t>
      </w:r>
      <w:r>
        <w:t xml:space="preserve">», закладки «</w:t>
      </w:r>
      <w:r>
        <w:t xml:space="preserve">Заголовок, раздел 1,2 (1)»</w:t>
      </w:r>
      <w:bookmarkEnd w:id="772"/>
      <w:r/>
      <w:r/>
    </w:p>
    <w:p>
      <w:pPr>
        <w:pStyle w:val="994"/>
      </w:pPr>
      <w:r>
        <w:t xml:space="preserve">При импорте документа из внешней системы поля документа автоматическ</w:t>
      </w:r>
      <w:r>
        <w:t xml:space="preserve">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r/>
    </w:p>
    <w:p>
      <w:pPr>
        <w:pStyle w:val="994"/>
      </w:pPr>
      <w:r>
        <w:t xml:space="preserve">Перечень </w:t>
      </w:r>
      <w:r>
        <w:t xml:space="preserve">документа «Заявка на перерегистрацию бюджетного обязательства», закладки «Заголовок, раздел 1,2 (1)»</w:t>
      </w:r>
      <w:r>
        <w:t xml:space="preserve"> </w:t>
      </w:r>
      <w:r>
        <w:t xml:space="preserve">приведен в таблице</w:t>
      </w:r>
      <w:r>
        <w:t xml:space="preserve"> </w:t>
      </w:r>
      <w:r>
        <w:fldChar w:fldCharType="begin"/>
      </w:r>
      <w:r>
        <w:instrText xml:space="preserve"> REF _Ref319662776 \h  \* MERGEFORMAT </w:instrText>
      </w:r>
      <w:r>
        <w:fldChar w:fldCharType="separate"/>
      </w:r>
      <w:r>
        <w:t xml:space="preserve">42</w:t>
      </w:r>
      <w:r>
        <w:fldChar w:fldCharType="end"/>
      </w:r>
      <w:r>
        <w:t xml:space="preserve">.</w:t>
      </w:r>
      <w:r/>
    </w:p>
    <w:p>
      <w:pPr>
        <w:pStyle w:val="993"/>
      </w:pPr>
      <w:r>
        <w:fldChar w:fldCharType="begin"/>
      </w:r>
      <w:r>
        <w:instrText xml:space="preserve"> SEQ Таблица \* ARABIC </w:instrText>
      </w:r>
      <w:r>
        <w:fldChar w:fldCharType="separate"/>
      </w:r>
      <w:bookmarkStart w:id="773" w:name="_Ref319662776"/>
      <w:r/>
      <w:bookmarkStart w:id="774" w:name="_Toc88819228"/>
      <w:r>
        <w:t xml:space="preserve">42</w:t>
      </w:r>
      <w:bookmarkEnd w:id="773"/>
      <w:r>
        <w:fldChar w:fldCharType="end"/>
      </w:r>
      <w:r>
        <w:t xml:space="preserve">. Описание полей документа «Заявка на перерегистрацию бюджетн</w:t>
      </w:r>
      <w:r>
        <w:t xml:space="preserve">о</w:t>
      </w:r>
      <w:r>
        <w:t xml:space="preserve">го обязательства</w:t>
      </w:r>
      <w:r>
        <w:t xml:space="preserve">», закладки «</w:t>
      </w:r>
      <w:r>
        <w:t xml:space="preserve">Заголовок, раздел 1,2 (1)»</w:t>
      </w:r>
      <w:bookmarkEnd w:id="774"/>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184"/>
        <w:gridCol w:w="7568"/>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12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80" w:type="pct"/>
            <w:vAlign w:val="center"/>
            <w:textDirection w:val="lrTb"/>
            <w:noWrap w:val="false"/>
          </w:tcPr>
          <w:p>
            <w:pPr>
              <w:pStyle w:val="1006"/>
            </w:pPr>
            <w:r>
              <w:t xml:space="preserve">Описание</w:t>
            </w:r>
            <w:r>
              <w:t xml:space="preserve"> поля</w:t>
            </w:r>
            <w:r/>
          </w:p>
        </w:tc>
      </w:tr>
      <w:tr>
        <w:trPr>
          <w:trHeight w:val="405"/>
        </w:trPr>
        <w:tc>
          <w:tcPr>
            <w:shd w:val="clear" w:fill="auto" w:color="auto"/>
            <w:tcW w:w="1120" w:type="pct"/>
            <w:textDirection w:val="lrTb"/>
            <w:noWrap w:val="false"/>
          </w:tcPr>
          <w:p>
            <w:pPr>
              <w:pStyle w:val="1005"/>
              <w:ind w:left="57" w:right="57"/>
            </w:pPr>
            <w:r>
              <w:t xml:space="preserve">Заявка на перерег</w:t>
            </w:r>
            <w:r>
              <w:t xml:space="preserve">и</w:t>
            </w:r>
            <w:r>
              <w:t xml:space="preserve">страцию </w:t>
            </w:r>
            <w:r>
              <w:t xml:space="preserve">БО </w:t>
            </w:r>
            <w:r>
              <w:t xml:space="preserve">№</w:t>
            </w:r>
            <w:r/>
          </w:p>
        </w:tc>
        <w:tc>
          <w:tcPr>
            <w:shd w:val="clear" w:fill="auto" w:color="auto"/>
            <w:tcW w:w="3880" w:type="pct"/>
            <w:textDirection w:val="lrTb"/>
            <w:noWrap w:val="false"/>
          </w:tcPr>
          <w:p>
            <w:pPr>
              <w:pStyle w:val="1005"/>
              <w:ind w:left="57" w:right="57"/>
            </w:pPr>
            <w:r>
              <w:t xml:space="preserve">Значение может быть введено вручную или заполняется автоматически при выборе родительского документа из поля «Учетный н</w:t>
            </w:r>
            <w:r>
              <w:t xml:space="preserve">о</w:t>
            </w:r>
            <w:r>
              <w:t xml:space="preserve">мер БО».</w:t>
            </w:r>
            <w:r/>
          </w:p>
        </w:tc>
      </w:tr>
      <w:tr>
        <w:trPr>
          <w:trHeight w:val="405"/>
        </w:trPr>
        <w:tc>
          <w:tcPr>
            <w:shd w:val="clear" w:fill="auto" w:color="auto"/>
            <w:tcW w:w="1120" w:type="pct"/>
            <w:textDirection w:val="lrTb"/>
            <w:noWrap w:val="false"/>
          </w:tcPr>
          <w:p>
            <w:pPr>
              <w:pStyle w:val="1005"/>
              <w:ind w:left="57" w:right="57"/>
            </w:pPr>
            <w:r>
              <w:t xml:space="preserve">От</w:t>
            </w:r>
            <w:r/>
          </w:p>
        </w:tc>
        <w:tc>
          <w:tcPr>
            <w:shd w:val="clear" w:fill="auto" w:color="auto"/>
            <w:tcW w:w="3880" w:type="pct"/>
            <w:textDirection w:val="lrTb"/>
            <w:noWrap w:val="false"/>
          </w:tcPr>
          <w:p>
            <w:pPr>
              <w:pStyle w:val="1005"/>
              <w:ind w:left="57" w:right="57"/>
            </w:pPr>
            <w:r>
              <w:t xml:space="preserve">Значение по умолчанию – текущая дата. </w:t>
            </w:r>
            <w:r/>
          </w:p>
          <w:p>
            <w:pPr>
              <w:pStyle w:val="1005"/>
              <w:ind w:left="57" w:right="57"/>
            </w:pPr>
            <w:r>
              <w:t xml:space="preserve">Может быть изменена пользователем выбором из системного кале</w:t>
            </w:r>
            <w:r>
              <w:t xml:space="preserve">н</w:t>
            </w:r>
            <w:r>
              <w:t xml:space="preserve">даря.</w:t>
            </w:r>
            <w:r/>
          </w:p>
        </w:tc>
      </w:tr>
      <w:tr>
        <w:trPr>
          <w:trHeight w:val="405"/>
        </w:trPr>
        <w:tc>
          <w:tcPr>
            <w:shd w:val="clear" w:fill="auto" w:color="auto"/>
            <w:tcW w:w="1120" w:type="pct"/>
            <w:textDirection w:val="lrTb"/>
            <w:noWrap w:val="false"/>
          </w:tcPr>
          <w:p>
            <w:pPr>
              <w:pStyle w:val="1005"/>
              <w:ind w:left="57" w:right="57"/>
            </w:pPr>
            <w:r>
              <w:t xml:space="preserve">Статус</w:t>
            </w:r>
            <w:r/>
          </w:p>
        </w:tc>
        <w:tc>
          <w:tcPr>
            <w:shd w:val="clear" w:fill="auto" w:color="auto"/>
            <w:tcW w:w="3880" w:type="pct"/>
            <w:textDirection w:val="lrTb"/>
            <w:noWrap w:val="false"/>
          </w:tcPr>
          <w:p>
            <w:pPr>
              <w:pStyle w:val="1005"/>
              <w:ind w:left="57" w:right="57"/>
            </w:pPr>
            <w:r>
              <w:t xml:space="preserve">Заполняется автоматически из OEBS.</w:t>
            </w:r>
            <w:r/>
          </w:p>
        </w:tc>
      </w:tr>
      <w:tr>
        <w:trPr>
          <w:trHeight w:val="176"/>
        </w:trPr>
        <w:tc>
          <w:tcPr>
            <w:shd w:val="clear" w:fill="auto" w:color="auto"/>
            <w:tcW w:w="1120" w:type="pct"/>
            <w:textDirection w:val="lrTb"/>
            <w:noWrap w:val="false"/>
          </w:tcPr>
          <w:p>
            <w:pPr>
              <w:pStyle w:val="1005"/>
              <w:ind w:left="57" w:right="57"/>
            </w:pPr>
            <w:r>
              <w:t xml:space="preserve">Бюджет (Наименование)</w:t>
            </w:r>
            <w:r/>
          </w:p>
        </w:tc>
        <w:tc>
          <w:tcPr>
            <w:shd w:val="clear" w:fill="auto" w:color="auto"/>
            <w:tcW w:w="3880" w:type="pct"/>
            <w:textDirection w:val="lrTb"/>
            <w:noWrap w:val="false"/>
          </w:tcPr>
          <w:p>
            <w:pPr>
              <w:pStyle w:val="1005"/>
              <w:ind w:left="57" w:right="57"/>
            </w:pPr>
            <w:r>
              <w:t xml:space="preserve">Заполняется автоматически по коду бюджета.</w:t>
            </w:r>
            <w:r/>
          </w:p>
          <w:p>
            <w:pPr>
              <w:pStyle w:val="1005"/>
              <w:ind w:left="57" w:right="57"/>
            </w:pPr>
            <w:r>
              <w:t xml:space="preserve">Может быть отредактировано вручную из </w:t>
            </w:r>
            <w:r>
              <w:t xml:space="preserve">справочника «Бюджеты»</w:t>
            </w:r>
            <w:r>
              <w:t xml:space="preserve"> или заполняется автоматически при выборе родительского докуме</w:t>
            </w:r>
            <w:r>
              <w:t xml:space="preserve">н</w:t>
            </w:r>
            <w:r>
              <w:t xml:space="preserve">та.</w:t>
            </w:r>
            <w:r/>
          </w:p>
        </w:tc>
      </w:tr>
      <w:tr>
        <w:trPr>
          <w:trHeight w:val="70"/>
        </w:trPr>
        <w:tc>
          <w:tcPr>
            <w:shd w:val="clear" w:fill="auto" w:color="auto"/>
            <w:tcW w:w="1120" w:type="pct"/>
            <w:textDirection w:val="lrTb"/>
            <w:noWrap w:val="false"/>
          </w:tcPr>
          <w:p>
            <w:pPr>
              <w:pStyle w:val="1005"/>
              <w:ind w:left="57" w:right="57"/>
            </w:pPr>
            <w:r>
              <w:t xml:space="preserve">П</w:t>
            </w:r>
            <w:r>
              <w:t xml:space="preserve">о ОКПО</w:t>
            </w:r>
            <w:r/>
          </w:p>
        </w:tc>
        <w:tc>
          <w:tcPr>
            <w:shd w:val="clear" w:fill="auto" w:color="auto"/>
            <w:tcW w:w="3880" w:type="pct"/>
            <w:textDirection w:val="lrTb"/>
            <w:noWrap w:val="false"/>
          </w:tcPr>
          <w:p>
            <w:pPr>
              <w:pStyle w:val="1005"/>
              <w:ind w:left="57" w:right="57"/>
            </w:pPr>
            <w:r>
              <w:t xml:space="preserve">Заполняется автоматически из справочника «Финансовые органы» по наименованию финансового органа.</w:t>
            </w:r>
            <w:r/>
          </w:p>
          <w:p>
            <w:pPr>
              <w:pStyle w:val="1005"/>
              <w:ind w:left="57" w:right="57"/>
            </w:pPr>
            <w:r>
              <w:t xml:space="preserve">Може</w:t>
            </w:r>
            <w:r>
              <w:t xml:space="preserve">т быть отредактировано вручную.</w:t>
            </w:r>
            <w:r/>
          </w:p>
        </w:tc>
      </w:tr>
      <w:tr>
        <w:trPr>
          <w:trHeight w:val="70"/>
        </w:trPr>
        <w:tc>
          <w:tcPr>
            <w:shd w:val="clear" w:fill="auto" w:color="auto"/>
            <w:tcW w:w="1120" w:type="pct"/>
            <w:textDirection w:val="lrTb"/>
            <w:noWrap w:val="false"/>
          </w:tcPr>
          <w:p>
            <w:pPr>
              <w:pStyle w:val="1005"/>
              <w:ind w:left="57" w:right="57"/>
            </w:pPr>
            <w:r>
              <w:t xml:space="preserve">Финорган (Наименование)</w:t>
            </w:r>
            <w:r/>
          </w:p>
        </w:tc>
        <w:tc>
          <w:tcPr>
            <w:shd w:val="clear" w:fill="auto" w:color="auto"/>
            <w:tcW w:w="3880" w:type="pct"/>
            <w:textDirection w:val="lrTb"/>
            <w:noWrap w:val="false"/>
          </w:tcPr>
          <w:p>
            <w:pPr>
              <w:pStyle w:val="1005"/>
              <w:ind w:left="57" w:right="57"/>
            </w:pPr>
            <w:r>
              <w:t xml:space="preserve">Заполняется автоматически по коду финоргана. Может быть отредактировано вручную из </w:t>
            </w:r>
            <w:r>
              <w:t xml:space="preserve">справочника «Финансовые органы»</w:t>
            </w:r>
            <w:r>
              <w:t xml:space="preserve"> или заполняется автоматически при в</w:t>
            </w:r>
            <w:r>
              <w:t xml:space="preserve">ы</w:t>
            </w:r>
            <w:r>
              <w:t xml:space="preserve">боре родительского документа.</w:t>
            </w:r>
            <w:r/>
          </w:p>
        </w:tc>
      </w:tr>
      <w:tr>
        <w:trPr>
          <w:trHeight w:val="165"/>
        </w:trPr>
        <w:tc>
          <w:tcPr>
            <w:shd w:val="clear" w:fill="auto" w:color="auto"/>
            <w:tcW w:w="1120" w:type="pct"/>
            <w:textDirection w:val="lrTb"/>
            <w:noWrap w:val="false"/>
          </w:tcPr>
          <w:p>
            <w:pPr>
              <w:pStyle w:val="1005"/>
              <w:ind w:left="57" w:right="57"/>
            </w:pPr>
            <w:r>
              <w:t xml:space="preserve">ГРБС</w:t>
            </w:r>
            <w:r/>
          </w:p>
        </w:tc>
        <w:tc>
          <w:tcPr>
            <w:shd w:val="clear" w:fill="auto" w:color="auto"/>
            <w:tcW w:w="3880" w:type="pct"/>
            <w:textDirection w:val="lrTb"/>
            <w:noWrap w:val="false"/>
          </w:tcPr>
          <w:p>
            <w:pPr>
              <w:pStyle w:val="1005"/>
              <w:ind w:left="57" w:right="57"/>
            </w:pPr>
            <w:r>
              <w:t xml:space="preserve">При выборе пользователем родительского документа значение заполн</w:t>
            </w:r>
            <w:r>
              <w:t xml:space="preserve">я</w:t>
            </w:r>
            <w:r>
              <w:t xml:space="preserve">ется автоматически из указанного бюджетного обязательства. </w:t>
            </w:r>
            <w:r/>
          </w:p>
          <w:p>
            <w:pPr>
              <w:pStyle w:val="1005"/>
              <w:ind w:left="57" w:right="57"/>
            </w:pPr>
            <w:r>
              <w:t xml:space="preserve">Может быть изменено пользователем вручную.</w:t>
            </w:r>
            <w:r/>
          </w:p>
        </w:tc>
      </w:tr>
      <w:tr>
        <w:trPr>
          <w:trHeight w:val="165"/>
        </w:trPr>
        <w:tc>
          <w:tcPr>
            <w:shd w:val="clear" w:fill="auto" w:color="auto"/>
            <w:tcW w:w="1120" w:type="pct"/>
            <w:textDirection w:val="lrTb"/>
            <w:noWrap w:val="false"/>
          </w:tcPr>
          <w:p>
            <w:pPr>
              <w:pStyle w:val="1005"/>
              <w:ind w:left="57" w:right="57"/>
            </w:pPr>
            <w:r>
              <w:t xml:space="preserve">Глава по БК</w:t>
            </w:r>
            <w:r/>
          </w:p>
        </w:tc>
        <w:tc>
          <w:tcPr>
            <w:shd w:val="clear" w:fill="auto" w:color="auto"/>
            <w:tcW w:w="3880" w:type="pct"/>
            <w:textDirection w:val="lrTb"/>
            <w:noWrap w:val="false"/>
          </w:tcPr>
          <w:p>
            <w:pPr>
              <w:pStyle w:val="1005"/>
              <w:ind w:left="57" w:right="57"/>
            </w:pPr>
            <w:r>
              <w:t xml:space="preserve">При выборе пользователем родительского документа значение заполн</w:t>
            </w:r>
            <w:r>
              <w:t xml:space="preserve">я</w:t>
            </w:r>
            <w:r>
              <w:t xml:space="preserve">ется автоматически из указанного бюджетного обязательства. </w:t>
            </w:r>
            <w:r/>
          </w:p>
          <w:p>
            <w:pPr>
              <w:pStyle w:val="1005"/>
              <w:ind w:left="57" w:right="57"/>
            </w:pPr>
            <w:r>
              <w:t xml:space="preserve">Может быть изменено пользователем вручную или выбором из </w:t>
            </w:r>
            <w:r>
              <w:t xml:space="preserve">справочника «Ведомства»</w:t>
            </w:r>
            <w:r>
              <w:t xml:space="preserve">.</w:t>
            </w:r>
            <w:r/>
          </w:p>
        </w:tc>
      </w:tr>
      <w:tr>
        <w:trPr>
          <w:trHeight w:val="165"/>
        </w:trPr>
        <w:tc>
          <w:tcPr>
            <w:shd w:val="clear" w:fill="auto" w:color="auto"/>
            <w:tcW w:w="1120" w:type="pct"/>
            <w:textDirection w:val="lrTb"/>
            <w:noWrap w:val="false"/>
          </w:tcPr>
          <w:p>
            <w:pPr>
              <w:pStyle w:val="1005"/>
              <w:ind w:left="57" w:right="57"/>
            </w:pPr>
            <w:r>
              <w:t xml:space="preserve">П</w:t>
            </w:r>
            <w:r>
              <w:t xml:space="preserve">о Свод. </w:t>
            </w:r>
            <w:r>
              <w:t xml:space="preserve">Р</w:t>
            </w:r>
            <w:r>
              <w:t xml:space="preserve">еестру</w:t>
            </w:r>
            <w:r/>
          </w:p>
          <w:p>
            <w:pPr>
              <w:pStyle w:val="1005"/>
              <w:ind w:left="57" w:right="57"/>
            </w:pPr>
            <w:r/>
            <w:r/>
          </w:p>
        </w:tc>
        <w:tc>
          <w:tcPr>
            <w:shd w:val="clear" w:fill="auto" w:color="auto"/>
            <w:tcW w:w="3880" w:type="pct"/>
            <w:textDirection w:val="lrTb"/>
            <w:noWrap w:val="false"/>
          </w:tcPr>
          <w:p>
            <w:pPr>
              <w:pStyle w:val="1005"/>
              <w:ind w:left="57" w:right="57"/>
            </w:pPr>
            <w:r>
              <w:t xml:space="preserve">Может быть изменено пользователем вручную или выбором из справо</w:t>
            </w:r>
            <w:r>
              <w:t xml:space="preserve">ч</w:t>
            </w:r>
            <w:r>
              <w:t xml:space="preserve">ника СРРПБС.</w:t>
            </w:r>
            <w:r/>
          </w:p>
          <w:p>
            <w:pPr>
              <w:pStyle w:val="1005"/>
              <w:ind w:left="57" w:right="57"/>
            </w:pPr>
            <w:r>
              <w:t xml:space="preserve">При выборе пользователем родительского документа значение заполн</w:t>
            </w:r>
            <w:r>
              <w:t xml:space="preserve">я</w:t>
            </w:r>
            <w:r>
              <w:t xml:space="preserve">ется автоматически из указанного бюджетного обязательства. </w:t>
            </w:r>
            <w:r/>
          </w:p>
          <w:p>
            <w:pPr>
              <w:pStyle w:val="1005"/>
              <w:ind w:left="57" w:right="57"/>
            </w:pPr>
            <w:r>
              <w:t xml:space="preserve">Если значение вводится АРМ ФО, то значение вводится вручную или выбирается из справочника СРРПБС. При выборе пользователем родительского документа значение заполняется автоматически из указанного бюджетного обязательства.</w:t>
            </w:r>
            <w:r/>
          </w:p>
        </w:tc>
      </w:tr>
      <w:tr>
        <w:trPr>
          <w:trHeight w:val="165"/>
        </w:trPr>
        <w:tc>
          <w:tcPr>
            <w:shd w:val="clear" w:fill="auto" w:color="auto"/>
            <w:tcW w:w="1120" w:type="pct"/>
            <w:textDirection w:val="lrTb"/>
            <w:noWrap w:val="false"/>
          </w:tcPr>
          <w:p>
            <w:pPr>
              <w:pStyle w:val="1005"/>
              <w:ind w:left="57" w:right="57"/>
            </w:pPr>
            <w:r>
              <w:t xml:space="preserve">ПБС</w:t>
            </w:r>
            <w:r/>
          </w:p>
        </w:tc>
        <w:tc>
          <w:tcPr>
            <w:shd w:val="clear" w:fill="auto" w:color="auto"/>
            <w:tcW w:w="3880" w:type="pct"/>
            <w:textDirection w:val="lrTb"/>
            <w:noWrap w:val="false"/>
          </w:tcPr>
          <w:p>
            <w:pPr>
              <w:pStyle w:val="1005"/>
              <w:ind w:left="57" w:right="57"/>
            </w:pPr>
            <w:r>
              <w:t xml:space="preserve">Значение заполняется автоматически по коду РУБП. При выборе пользователем родительского документа значение заполняется автоматически из указанного бюджетного обязательства.</w:t>
            </w:r>
            <w:r/>
          </w:p>
        </w:tc>
      </w:tr>
      <w:tr>
        <w:trPr>
          <w:trHeight w:val="429"/>
        </w:trPr>
        <w:tc>
          <w:tcPr>
            <w:shd w:val="clear" w:fill="auto" w:color="auto"/>
            <w:tcW w:w="1120" w:type="pct"/>
            <w:textDirection w:val="lrTb"/>
            <w:noWrap w:val="false"/>
          </w:tcPr>
          <w:p>
            <w:pPr>
              <w:pStyle w:val="1005"/>
              <w:ind w:left="57" w:right="57"/>
            </w:pPr>
            <w:r>
              <w:t xml:space="preserve">№ л/с получ.</w:t>
            </w:r>
            <w:r/>
          </w:p>
        </w:tc>
        <w:tc>
          <w:tcPr>
            <w:shd w:val="clear" w:fill="auto" w:color="auto"/>
            <w:tcW w:w="3880" w:type="pct"/>
            <w:textDirection w:val="lrTb"/>
            <w:noWrap w:val="false"/>
          </w:tcPr>
          <w:p>
            <w:pPr>
              <w:pStyle w:val="1005"/>
              <w:ind w:left="57" w:right="57"/>
            </w:pPr>
            <w:r>
              <w:t xml:space="preserve">Значение заполняется автоматически при выборе родительского док</w:t>
            </w:r>
            <w:r>
              <w:t xml:space="preserve">у</w:t>
            </w:r>
            <w:r>
              <w:t xml:space="preserve">мента. </w:t>
            </w:r>
            <w:r/>
          </w:p>
          <w:p>
            <w:pPr>
              <w:pStyle w:val="1005"/>
              <w:ind w:left="57" w:right="57"/>
            </w:pPr>
            <w:r>
              <w:t xml:space="preserve">Н</w:t>
            </w:r>
            <w:r>
              <w:t xml:space="preserve">а</w:t>
            </w:r>
            <w:r>
              <w:t xml:space="preserve"> АРМ ФО: значение может быть введено пользователем вручную или выбором из </w:t>
            </w:r>
            <w:r>
              <w:t xml:space="preserve">справочника «Информация о ЛС»</w:t>
            </w:r>
            <w:r>
              <w:t xml:space="preserve">.</w:t>
            </w:r>
            <w:r/>
          </w:p>
        </w:tc>
      </w:tr>
      <w:tr>
        <w:trPr>
          <w:trHeight w:val="165"/>
        </w:trPr>
        <w:tc>
          <w:tcPr>
            <w:shd w:val="clear" w:fill="auto" w:color="auto"/>
            <w:tcW w:w="1120" w:type="pct"/>
            <w:textDirection w:val="lrTb"/>
            <w:noWrap w:val="false"/>
          </w:tcPr>
          <w:p>
            <w:pPr>
              <w:pStyle w:val="1005"/>
              <w:ind w:left="57" w:right="57"/>
            </w:pPr>
            <w:r>
              <w:t xml:space="preserve">П</w:t>
            </w:r>
            <w:r>
              <w:t xml:space="preserve">о КОФК</w:t>
            </w:r>
            <w:r/>
          </w:p>
        </w:tc>
        <w:tc>
          <w:tcPr>
            <w:shd w:val="clear" w:fill="auto" w:color="auto"/>
            <w:tcW w:w="3880" w:type="pct"/>
            <w:textDirection w:val="lrTb"/>
            <w:noWrap w:val="false"/>
          </w:tcPr>
          <w:p>
            <w:pPr>
              <w:pStyle w:val="1005"/>
              <w:ind w:left="57" w:right="57"/>
            </w:pPr>
            <w:r>
              <w:t xml:space="preserve">Если значение вводится на АРМ ФО: проверяется значение константы код собственного ТОФК. Если оно равно ххуу, то по умолчанию проставляется значение константы код в</w:t>
            </w:r>
            <w:r>
              <w:t xml:space="preserve">ы</w:t>
            </w:r>
            <w:r>
              <w:t xml:space="preserve">шестоящего ТОФК равный хх00; если равна хх00, то по умолчанию проставляется значение код собственного ТОФК. </w:t>
            </w:r>
            <w:r/>
          </w:p>
          <w:p>
            <w:pPr>
              <w:pStyle w:val="1005"/>
              <w:ind w:left="57" w:right="57"/>
            </w:pPr>
            <w:r>
              <w:t xml:space="preserve">Может быть изменено пользователем выбором вручную или выбором из спр</w:t>
            </w:r>
            <w:r>
              <w:t xml:space="preserve">а</w:t>
            </w:r>
            <w:r>
              <w:t xml:space="preserve">вочника КОФК (Органы ФК).</w:t>
            </w:r>
            <w:r/>
          </w:p>
          <w:p>
            <w:pPr>
              <w:pStyle w:val="1005"/>
              <w:ind w:left="57" w:right="57"/>
            </w:pPr>
            <w:r>
              <w:t xml:space="preserve">Значение может заполняться автоматически при выборе родительского док</w:t>
            </w:r>
            <w:r>
              <w:t xml:space="preserve">у</w:t>
            </w:r>
            <w:r>
              <w:t xml:space="preserve">мента.</w:t>
            </w:r>
            <w:r/>
          </w:p>
        </w:tc>
      </w:tr>
      <w:tr>
        <w:trPr>
          <w:trHeight w:val="165"/>
        </w:trPr>
        <w:tc>
          <w:tcPr>
            <w:shd w:val="clear" w:fill="auto" w:color="auto"/>
            <w:tcW w:w="1120" w:type="pct"/>
            <w:textDirection w:val="lrTb"/>
            <w:noWrap w:val="false"/>
          </w:tcPr>
          <w:p>
            <w:pPr>
              <w:pStyle w:val="1005"/>
              <w:ind w:left="57" w:right="57"/>
            </w:pPr>
            <w:r>
              <w:t xml:space="preserve">Орган ФК</w:t>
            </w:r>
            <w:r/>
          </w:p>
        </w:tc>
        <w:tc>
          <w:tcPr>
            <w:shd w:val="clear" w:fill="auto" w:color="auto"/>
            <w:tcW w:w="3880" w:type="pct"/>
            <w:textDirection w:val="lrTb"/>
            <w:noWrap w:val="false"/>
          </w:tcPr>
          <w:p>
            <w:pPr>
              <w:pStyle w:val="1005"/>
              <w:ind w:left="57" w:right="57"/>
            </w:pPr>
            <w:r>
              <w:t xml:space="preserve">Значение заполняется автоматически из справочника Органов ФК по коду или при выборе родительского документа. Может быть введено вручную.</w:t>
            </w:r>
            <w:r/>
          </w:p>
        </w:tc>
      </w:tr>
      <w:tr>
        <w:trPr>
          <w:trHeight w:val="165"/>
        </w:trPr>
        <w:tc>
          <w:tcPr>
            <w:gridSpan w:val="2"/>
            <w:shd w:val="clear" w:fill="auto" w:color="auto"/>
            <w:tcW w:w="5000" w:type="pct"/>
            <w:textDirection w:val="lrTb"/>
            <w:noWrap w:val="false"/>
          </w:tcPr>
          <w:p>
            <w:pPr>
              <w:pStyle w:val="1005"/>
              <w:ind w:left="57" w:right="57"/>
            </w:pPr>
            <w:r>
              <w:t xml:space="preserve">Группа полей «Раздел 1. Реквизиты документа-основания»</w:t>
            </w:r>
            <w:r/>
          </w:p>
        </w:tc>
      </w:tr>
      <w:tr>
        <w:trPr/>
        <w:tc>
          <w:tcPr>
            <w:shd w:val="clear" w:fill="auto" w:color="auto"/>
            <w:tcW w:w="1120" w:type="pct"/>
            <w:textDirection w:val="lrTb"/>
            <w:noWrap w:val="false"/>
          </w:tcPr>
          <w:p>
            <w:pPr>
              <w:pStyle w:val="1005"/>
              <w:ind w:left="57" w:right="57"/>
            </w:pPr>
            <w:r>
              <w:t xml:space="preserve">Вид</w:t>
            </w:r>
            <w:r/>
          </w:p>
        </w:tc>
        <w:tc>
          <w:tcPr>
            <w:shd w:val="clear" w:fill="auto" w:color="auto"/>
            <w:tcW w:w="3880" w:type="pct"/>
            <w:textDirection w:val="lrTb"/>
            <w:noWrap w:val="false"/>
          </w:tcPr>
          <w:p>
            <w:pPr>
              <w:pStyle w:val="1005"/>
              <w:ind w:left="57" w:right="57"/>
            </w:pPr>
            <w:r>
              <w:t xml:space="preserve">Для исходящих документов значение заполняется из списка: </w:t>
            </w:r>
            <w:r/>
          </w:p>
          <w:p>
            <w:pPr>
              <w:pStyle w:val="1007"/>
            </w:pPr>
            <w:r>
              <w:t xml:space="preserve">1</w:t>
            </w:r>
            <w:r>
              <w:t xml:space="preserve"> – </w:t>
            </w:r>
            <w:r>
              <w:t xml:space="preserve">«государственный контракт»;</w:t>
            </w:r>
            <w:r/>
          </w:p>
          <w:p>
            <w:pPr>
              <w:pStyle w:val="1007"/>
            </w:pPr>
            <w:r>
              <w:t xml:space="preserve">2</w:t>
            </w:r>
            <w:r>
              <w:t xml:space="preserve"> – </w:t>
            </w:r>
            <w:r>
              <w:t xml:space="preserve">«договор»;</w:t>
            </w:r>
            <w:r/>
          </w:p>
          <w:p>
            <w:pPr>
              <w:pStyle w:val="1007"/>
            </w:pPr>
            <w:r>
              <w:t xml:space="preserve">3 – «соглашение»;</w:t>
            </w:r>
            <w:r/>
          </w:p>
          <w:p>
            <w:pPr>
              <w:pStyle w:val="1007"/>
            </w:pPr>
            <w:r>
              <w:t xml:space="preserve">«-» (прочерк).</w:t>
            </w:r>
            <w:r>
              <w:t xml:space="preserve"> </w:t>
            </w:r>
            <w:r/>
          </w:p>
          <w:p>
            <w:pPr>
              <w:pStyle w:val="1005"/>
              <w:ind w:left="57" w:right="57"/>
            </w:pPr>
            <w:r>
              <w:t xml:space="preserve">При создании нового документа в поле стоит значение «пусто». Значение «пусто» доступно для выбора в выпадающем списке и расположено первым в в</w:t>
            </w:r>
            <w:r>
              <w:t xml:space="preserve">ы</w:t>
            </w:r>
            <w:r>
              <w:t xml:space="preserve">падающем списке.</w:t>
            </w:r>
            <w:r/>
          </w:p>
        </w:tc>
      </w:tr>
      <w:tr>
        <w:trPr/>
        <w:tc>
          <w:tcPr>
            <w:shd w:val="clear" w:fill="auto" w:color="auto"/>
            <w:tcW w:w="1120" w:type="pct"/>
            <w:textDirection w:val="lrTb"/>
            <w:noWrap w:val="false"/>
          </w:tcPr>
          <w:p>
            <w:pPr>
              <w:pStyle w:val="1005"/>
              <w:ind w:left="57" w:right="57"/>
            </w:pPr>
            <w:r>
              <w:t xml:space="preserve">Номер</w:t>
            </w:r>
            <w:r/>
          </w:p>
        </w:tc>
        <w:tc>
          <w:tcPr>
            <w:shd w:val="clear" w:fill="auto" w:color="auto"/>
            <w:tcW w:w="3880" w:type="pct"/>
            <w:textDirection w:val="lrTb"/>
            <w:noWrap w:val="false"/>
          </w:tcPr>
          <w:p>
            <w:pPr>
              <w:pStyle w:val="1005"/>
              <w:ind w:left="57" w:right="57"/>
            </w:pPr>
            <w:r>
              <w:t xml:space="preserve">Значение может быть введено вручную.</w:t>
            </w:r>
            <w:r/>
          </w:p>
          <w:p>
            <w:pPr>
              <w:pStyle w:val="1005"/>
              <w:ind w:left="57" w:right="57"/>
            </w:pPr>
            <w:r>
              <w:t xml:space="preserve">Значение может заполняться автоматически при выборе родительского документа.</w:t>
            </w:r>
            <w:r/>
          </w:p>
        </w:tc>
      </w:tr>
      <w:tr>
        <w:trPr/>
        <w:tc>
          <w:tcPr>
            <w:shd w:val="clear" w:fill="auto" w:color="auto"/>
            <w:tcW w:w="1120" w:type="pct"/>
            <w:textDirection w:val="lrTb"/>
            <w:noWrap w:val="false"/>
          </w:tcPr>
          <w:p>
            <w:pPr>
              <w:pStyle w:val="1005"/>
              <w:ind w:left="57" w:right="57"/>
            </w:pPr>
            <w:r>
              <w:t xml:space="preserve">Дата</w:t>
            </w:r>
            <w:r/>
          </w:p>
        </w:tc>
        <w:tc>
          <w:tcPr>
            <w:shd w:val="clear" w:fill="auto" w:color="auto"/>
            <w:tcW w:w="3880" w:type="pct"/>
            <w:textDirection w:val="lrTb"/>
            <w:noWrap w:val="false"/>
          </w:tcPr>
          <w:p>
            <w:pPr>
              <w:pStyle w:val="1005"/>
              <w:ind w:left="57" w:right="57"/>
            </w:pPr>
            <w:r>
              <w:t xml:space="preserve">Значение подтягивается автоматически при выборе родительского докуме</w:t>
            </w:r>
            <w:r>
              <w:t xml:space="preserve">н</w:t>
            </w:r>
            <w:r>
              <w:t xml:space="preserve">та.</w:t>
            </w:r>
            <w:r/>
          </w:p>
          <w:p>
            <w:pPr>
              <w:pStyle w:val="1005"/>
              <w:ind w:left="57" w:right="57"/>
            </w:pPr>
            <w:r>
              <w:t xml:space="preserve">Значение вводится вручную или выбирается из системного календ</w:t>
            </w:r>
            <w:r>
              <w:t xml:space="preserve">а</w:t>
            </w:r>
            <w:r>
              <w:t xml:space="preserve">ря.</w:t>
            </w:r>
            <w:r/>
          </w:p>
        </w:tc>
      </w:tr>
      <w:tr>
        <w:trPr/>
        <w:tc>
          <w:tcPr>
            <w:shd w:val="clear" w:fill="auto" w:color="auto"/>
            <w:tcW w:w="1120" w:type="pct"/>
            <w:textDirection w:val="lrTb"/>
            <w:noWrap w:val="false"/>
          </w:tcPr>
          <w:p>
            <w:pPr>
              <w:pStyle w:val="1005"/>
              <w:ind w:left="57" w:right="57"/>
            </w:pPr>
            <w:r>
              <w:t xml:space="preserve">Дата начала</w:t>
            </w:r>
            <w:r/>
          </w:p>
        </w:tc>
        <w:tc>
          <w:tcPr>
            <w:shd w:val="clear" w:fill="auto" w:color="auto"/>
            <w:tcW w:w="3880" w:type="pct"/>
            <w:textDirection w:val="lrTb"/>
            <w:noWrap w:val="false"/>
          </w:tcPr>
          <w:p>
            <w:pPr>
              <w:pStyle w:val="1005"/>
              <w:ind w:left="57" w:right="57"/>
            </w:pPr>
            <w:r>
              <w:t xml:space="preserve">Значение по умолчанию – пустое значение.</w:t>
            </w:r>
            <w:r/>
          </w:p>
          <w:p>
            <w:pPr>
              <w:pStyle w:val="1005"/>
              <w:ind w:left="57" w:right="57"/>
            </w:pPr>
            <w:r>
              <w:t xml:space="preserve">Может быть изменено пользователем вручную.</w:t>
            </w:r>
            <w:r/>
          </w:p>
        </w:tc>
      </w:tr>
      <w:tr>
        <w:trPr/>
        <w:tc>
          <w:tcPr>
            <w:shd w:val="clear" w:fill="auto" w:color="auto"/>
            <w:tcW w:w="1120" w:type="pct"/>
            <w:textDirection w:val="lrTb"/>
            <w:noWrap w:val="false"/>
          </w:tcPr>
          <w:p>
            <w:pPr>
              <w:pStyle w:val="1005"/>
              <w:ind w:left="57" w:right="57"/>
            </w:pPr>
            <w:r>
              <w:t xml:space="preserve">Дата окончания</w:t>
            </w:r>
            <w:r/>
          </w:p>
        </w:tc>
        <w:tc>
          <w:tcPr>
            <w:shd w:val="clear" w:fill="auto" w:color="auto"/>
            <w:tcW w:w="3880" w:type="pct"/>
            <w:textDirection w:val="lrTb"/>
            <w:noWrap w:val="false"/>
          </w:tcPr>
          <w:p>
            <w:pPr>
              <w:pStyle w:val="1005"/>
              <w:ind w:left="57" w:right="57"/>
            </w:pPr>
            <w:r>
              <w:t xml:space="preserve">Значение по умолчанию – пустое значение.</w:t>
            </w:r>
            <w:r/>
          </w:p>
          <w:p>
            <w:pPr>
              <w:pStyle w:val="1005"/>
              <w:ind w:left="57" w:right="57"/>
            </w:pPr>
            <w:r>
              <w:t xml:space="preserve">Может быть изменено пользователем вручную.</w:t>
            </w:r>
            <w:r/>
          </w:p>
        </w:tc>
      </w:tr>
      <w:tr>
        <w:trPr/>
        <w:tc>
          <w:tcPr>
            <w:shd w:val="clear" w:fill="auto" w:color="auto"/>
            <w:tcW w:w="1120" w:type="pct"/>
            <w:textDirection w:val="lrTb"/>
            <w:noWrap w:val="false"/>
          </w:tcPr>
          <w:p>
            <w:pPr>
              <w:pStyle w:val="1005"/>
              <w:ind w:left="57" w:right="57"/>
            </w:pPr>
            <w:r>
              <w:t xml:space="preserve">Сумма в валюте БО</w:t>
            </w:r>
            <w:r/>
          </w:p>
        </w:tc>
        <w:tc>
          <w:tcPr>
            <w:shd w:val="clear" w:fill="auto" w:color="auto"/>
            <w:tcW w:w="3880" w:type="pct"/>
            <w:textDirection w:val="lrTb"/>
            <w:noWrap w:val="false"/>
          </w:tcPr>
          <w:p>
            <w:pPr>
              <w:pStyle w:val="1005"/>
              <w:ind w:left="57" w:right="57"/>
            </w:pPr>
            <w:r>
              <w:t xml:space="preserve">Значение подтягивается автоматически при выборе родительского докуме</w:t>
            </w:r>
            <w:r>
              <w:t xml:space="preserve">н</w:t>
            </w:r>
            <w:r>
              <w:t xml:space="preserve">та. Значение можно изменить вручную.</w:t>
            </w:r>
            <w:r/>
          </w:p>
          <w:p>
            <w:pPr>
              <w:pStyle w:val="1005"/>
              <w:ind w:left="57" w:right="57"/>
            </w:pPr>
            <w:r>
              <w:t xml:space="preserve">На всех АРМ УБП: автоматически заполняется значением, равным зн</w:t>
            </w:r>
            <w:r>
              <w:t xml:space="preserve">а</w:t>
            </w:r>
            <w:r>
              <w:t xml:space="preserve">чению поля «Сумма в валюте БО», если заполнены поля «Сумма в валюте БО» и «Валюта», и в поле «Валюта» указано значение «643» или «RUB».</w:t>
            </w:r>
            <w:r/>
          </w:p>
          <w:p>
            <w:pPr>
              <w:pStyle w:val="1005"/>
              <w:ind w:left="57" w:right="57"/>
            </w:pPr>
            <w:r>
              <w:t xml:space="preserve">Возможно заполнение значение вручную.</w:t>
            </w:r>
            <w:r/>
          </w:p>
        </w:tc>
      </w:tr>
      <w:tr>
        <w:trPr/>
        <w:tc>
          <w:tcPr>
            <w:shd w:val="clear" w:fill="auto" w:color="auto"/>
            <w:tcW w:w="1120" w:type="pct"/>
            <w:textDirection w:val="lrTb"/>
            <w:noWrap w:val="false"/>
          </w:tcPr>
          <w:p>
            <w:pPr>
              <w:pStyle w:val="1005"/>
              <w:ind w:left="57" w:right="57"/>
            </w:pPr>
            <w:r>
              <w:t xml:space="preserve">Валюта</w:t>
            </w:r>
            <w:r/>
          </w:p>
        </w:tc>
        <w:tc>
          <w:tcPr>
            <w:shd w:val="clear" w:fill="auto" w:color="auto"/>
            <w:tcW w:w="3880" w:type="pct"/>
            <w:textDirection w:val="lrTb"/>
            <w:noWrap w:val="false"/>
          </w:tcPr>
          <w:p>
            <w:pPr>
              <w:pStyle w:val="1005"/>
              <w:ind w:left="57" w:right="57"/>
            </w:pPr>
            <w:r>
              <w:t xml:space="preserve">Значение заполняется автоматически при выборе родительского документа. Может быть изменено пользователем вручную или выб</w:t>
            </w:r>
            <w:r>
              <w:t xml:space="preserve">о</w:t>
            </w:r>
            <w:r>
              <w:t xml:space="preserve">ром из справочника валют.</w:t>
            </w:r>
            <w:r/>
          </w:p>
        </w:tc>
      </w:tr>
      <w:tr>
        <w:trPr/>
        <w:tc>
          <w:tcPr>
            <w:shd w:val="clear" w:fill="auto" w:color="auto"/>
            <w:tcW w:w="1120" w:type="pct"/>
            <w:textDirection w:val="lrTb"/>
            <w:noWrap w:val="false"/>
          </w:tcPr>
          <w:p>
            <w:pPr>
              <w:pStyle w:val="1005"/>
              <w:ind w:left="57" w:right="57"/>
            </w:pPr>
            <w:r>
              <w:t xml:space="preserve">Сумма в рублях</w:t>
            </w:r>
            <w:r/>
          </w:p>
        </w:tc>
        <w:tc>
          <w:tcPr>
            <w:shd w:val="clear" w:fill="auto" w:color="auto"/>
            <w:tcW w:w="3880" w:type="pct"/>
            <w:textDirection w:val="lrTb"/>
            <w:noWrap w:val="false"/>
          </w:tcPr>
          <w:p>
            <w:pPr>
              <w:pStyle w:val="1005"/>
              <w:ind w:left="57" w:right="57"/>
            </w:pPr>
            <w:r>
              <w:t xml:space="preserve">Значение вводится вручную.</w:t>
            </w:r>
            <w:r/>
          </w:p>
        </w:tc>
      </w:tr>
      <w:tr>
        <w:trPr/>
        <w:tc>
          <w:tcPr>
            <w:shd w:val="clear" w:fill="auto" w:color="auto"/>
            <w:tcW w:w="1120" w:type="pct"/>
            <w:textDirection w:val="lrTb"/>
            <w:noWrap w:val="false"/>
          </w:tcPr>
          <w:p>
            <w:pPr>
              <w:pStyle w:val="1005"/>
              <w:ind w:left="57" w:right="57"/>
            </w:pPr>
            <w:r>
              <w:t xml:space="preserve">% аванса от суммы БО</w:t>
            </w:r>
            <w:r/>
          </w:p>
        </w:tc>
        <w:tc>
          <w:tcPr>
            <w:shd w:val="clear" w:fill="auto" w:color="auto"/>
            <w:tcW w:w="3880" w:type="pct"/>
            <w:textDirection w:val="lrTb"/>
            <w:noWrap w:val="false"/>
          </w:tcPr>
          <w:p>
            <w:pPr>
              <w:pStyle w:val="1005"/>
              <w:ind w:left="57" w:right="57"/>
            </w:pPr>
            <w:r>
              <w:t xml:space="preserve">Значение заполняется автоматически при выборе родительского док</w:t>
            </w:r>
            <w:r>
              <w:t xml:space="preserve">у</w:t>
            </w:r>
            <w:r>
              <w:t xml:space="preserve">мента.</w:t>
            </w:r>
            <w:r/>
          </w:p>
          <w:p>
            <w:pPr>
              <w:pStyle w:val="1005"/>
              <w:ind w:left="57" w:right="57"/>
            </w:pPr>
            <w:r>
              <w:t xml:space="preserve">Значение рассчитывается автоматически, если водится значение в поле «Сумма авансового платежа».</w:t>
            </w:r>
            <w:r/>
          </w:p>
          <w:p>
            <w:pPr>
              <w:pStyle w:val="1005"/>
              <w:ind w:left="57" w:right="57"/>
            </w:pPr>
            <w:r>
              <w:t xml:space="preserve">Значение должно быть больше «0» и меньше «100». Процент аванса может быть как целым числом, так и дробным (xx.y, xx.yy).</w:t>
            </w:r>
            <w:r/>
          </w:p>
        </w:tc>
      </w:tr>
      <w:tr>
        <w:trPr/>
        <w:tc>
          <w:tcPr>
            <w:shd w:val="clear" w:fill="auto" w:color="auto"/>
            <w:tcW w:w="1120" w:type="pct"/>
            <w:textDirection w:val="lrTb"/>
            <w:noWrap w:val="false"/>
          </w:tcPr>
          <w:p>
            <w:pPr>
              <w:pStyle w:val="1005"/>
              <w:ind w:left="57" w:right="57"/>
            </w:pPr>
            <w:r>
              <w:t xml:space="preserve">Сумма авансового пл</w:t>
            </w:r>
            <w:r>
              <w:t xml:space="preserve">а</w:t>
            </w:r>
            <w:r>
              <w:t xml:space="preserve">тежа</w:t>
            </w:r>
            <w:r/>
          </w:p>
        </w:tc>
        <w:tc>
          <w:tcPr>
            <w:shd w:val="clear" w:fill="auto" w:color="auto"/>
            <w:tcW w:w="3880" w:type="pct"/>
            <w:textDirection w:val="lrTb"/>
            <w:noWrap w:val="false"/>
          </w:tcPr>
          <w:p>
            <w:pPr>
              <w:pStyle w:val="1005"/>
              <w:ind w:left="57" w:right="57"/>
            </w:pPr>
            <w:r>
              <w:t xml:space="preserve">Значение заполняется автоматически при выборе родительского документа. Значение может быть изменено вручную или рассчитывается автоматически, если водится значение в поле «% аванса от су</w:t>
            </w:r>
            <w:r>
              <w:t xml:space="preserve">м</w:t>
            </w:r>
            <w:r>
              <w:t xml:space="preserve">мы БО».</w:t>
            </w:r>
            <w:r/>
          </w:p>
        </w:tc>
      </w:tr>
      <w:tr>
        <w:trPr/>
        <w:tc>
          <w:tcPr>
            <w:shd w:val="clear" w:fill="auto" w:color="auto"/>
            <w:tcW w:w="1120" w:type="pct"/>
            <w:textDirection w:val="lrTb"/>
            <w:noWrap w:val="false"/>
          </w:tcPr>
          <w:p>
            <w:pPr>
              <w:pStyle w:val="1005"/>
              <w:ind w:left="57" w:right="57"/>
            </w:pPr>
            <w:r>
              <w:t xml:space="preserve">Код ФАИП</w:t>
            </w:r>
            <w:r/>
          </w:p>
        </w:tc>
        <w:tc>
          <w:tcPr>
            <w:shd w:val="clear" w:fill="auto" w:color="auto"/>
            <w:tcW w:w="3880" w:type="pct"/>
            <w:textDirection w:val="lrTb"/>
            <w:noWrap w:val="false"/>
          </w:tcPr>
          <w:p>
            <w:pPr>
              <w:pStyle w:val="1005"/>
              <w:ind w:left="57" w:right="57"/>
            </w:pPr>
            <w:r>
              <w:t xml:space="preserve">Уникальный код объекта ФАИП.</w:t>
            </w:r>
            <w:r/>
          </w:p>
        </w:tc>
      </w:tr>
      <w:tr>
        <w:trPr/>
        <w:tc>
          <w:tcPr>
            <w:gridSpan w:val="2"/>
            <w:shd w:val="clear" w:fill="auto" w:color="auto"/>
            <w:tcW w:w="5000" w:type="pct"/>
            <w:textDirection w:val="lrTb"/>
            <w:noWrap w:val="false"/>
          </w:tcPr>
          <w:p>
            <w:pPr>
              <w:pStyle w:val="1005"/>
              <w:ind w:left="57" w:right="57"/>
            </w:pPr>
            <w:r>
              <w:t xml:space="preserve">Группа полей «Раздел 2. Реквизиты контрагента» (табличное поле)</w:t>
            </w:r>
            <w:r/>
          </w:p>
        </w:tc>
      </w:tr>
      <w:tr>
        <w:trPr/>
        <w:tc>
          <w:tcPr>
            <w:shd w:val="clear" w:fill="auto" w:color="auto"/>
            <w:tcW w:w="1120" w:type="pct"/>
            <w:textDirection w:val="lrTb"/>
            <w:noWrap w:val="false"/>
          </w:tcPr>
          <w:p>
            <w:pPr>
              <w:pStyle w:val="1005"/>
              <w:ind w:left="57" w:right="57"/>
            </w:pPr>
            <w:r>
              <w:t xml:space="preserve">Наименование </w:t>
            </w:r>
            <w:r/>
          </w:p>
        </w:tc>
        <w:tc>
          <w:tcPr>
            <w:shd w:val="clear" w:fill="auto" w:color="auto"/>
            <w:tcW w:w="3880" w:type="pct"/>
            <w:textDirection w:val="lrTb"/>
            <w:noWrap w:val="false"/>
          </w:tcPr>
          <w:p>
            <w:pPr>
              <w:pStyle w:val="1005"/>
              <w:ind w:left="57" w:right="57"/>
            </w:pPr>
            <w:r>
              <w:t xml:space="preserve">Значение заполняется автоматически из родительского документа.</w:t>
            </w:r>
            <w:r/>
          </w:p>
          <w:p>
            <w:pPr>
              <w:pStyle w:val="1005"/>
              <w:ind w:left="57" w:right="57"/>
            </w:pPr>
            <w:r>
              <w:t xml:space="preserve">Может быть изменено пользователем выбором из справочника поста</w:t>
            </w:r>
            <w:r>
              <w:t xml:space="preserve">в</w:t>
            </w:r>
            <w:r>
              <w:t xml:space="preserve">щиков. </w:t>
            </w:r>
            <w:r>
              <w:t xml:space="preserve">Поле открыто для ввода и редактирования.</w:t>
            </w:r>
            <w:r/>
          </w:p>
        </w:tc>
      </w:tr>
      <w:tr>
        <w:trPr/>
        <w:tc>
          <w:tcPr>
            <w:shd w:val="clear" w:fill="auto" w:color="auto"/>
            <w:tcW w:w="1120" w:type="pct"/>
            <w:textDirection w:val="lrTb"/>
            <w:noWrap w:val="false"/>
          </w:tcPr>
          <w:p>
            <w:pPr>
              <w:pStyle w:val="1005"/>
              <w:ind w:left="57" w:right="57"/>
            </w:pPr>
            <w:r>
              <w:t xml:space="preserve">ИНН</w:t>
            </w:r>
            <w:r/>
          </w:p>
        </w:tc>
        <w:tc>
          <w:tcPr>
            <w:shd w:val="clear" w:fill="auto" w:color="auto"/>
            <w:tcW w:w="3880" w:type="pct"/>
            <w:textDirection w:val="lrTb"/>
            <w:noWrap w:val="false"/>
          </w:tcPr>
          <w:p>
            <w:pPr>
              <w:pStyle w:val="1005"/>
              <w:ind w:left="57" w:right="57"/>
            </w:pPr>
            <w:r>
              <w:t xml:space="preserve">Значение заполняется автоматически из родительского документа.</w:t>
            </w:r>
            <w:r/>
          </w:p>
          <w:p>
            <w:pPr>
              <w:pStyle w:val="1005"/>
              <w:ind w:left="57" w:right="57"/>
            </w:pPr>
            <w:r>
              <w:t xml:space="preserve">Значение может подтягиваться автоматически из справочника поста</w:t>
            </w:r>
            <w:r>
              <w:t xml:space="preserve">в</w:t>
            </w:r>
            <w:r>
              <w:t xml:space="preserve">щиков по наименованию контрагента. </w:t>
            </w:r>
            <w:r/>
          </w:p>
          <w:p>
            <w:pPr>
              <w:pStyle w:val="1005"/>
              <w:ind w:left="57" w:right="57"/>
            </w:pPr>
            <w:r>
              <w:t xml:space="preserve">Значение может быть введено вручную. Поле открыто для ввода и редактирования.</w:t>
            </w:r>
            <w:r/>
          </w:p>
        </w:tc>
      </w:tr>
      <w:tr>
        <w:trPr/>
        <w:tc>
          <w:tcPr>
            <w:shd w:val="clear" w:fill="auto" w:color="auto"/>
            <w:tcW w:w="1120" w:type="pct"/>
            <w:textDirection w:val="lrTb"/>
            <w:noWrap w:val="false"/>
          </w:tcPr>
          <w:p>
            <w:pPr>
              <w:pStyle w:val="1005"/>
              <w:ind w:left="57" w:right="57"/>
            </w:pPr>
            <w:r>
              <w:t xml:space="preserve">КПП</w:t>
            </w:r>
            <w:r/>
          </w:p>
        </w:tc>
        <w:tc>
          <w:tcPr>
            <w:shd w:val="clear" w:fill="auto" w:color="auto"/>
            <w:tcW w:w="3880" w:type="pct"/>
            <w:textDirection w:val="lrTb"/>
            <w:noWrap w:val="false"/>
          </w:tcPr>
          <w:p>
            <w:pPr>
              <w:pStyle w:val="1005"/>
              <w:ind w:left="57" w:right="57"/>
            </w:pPr>
            <w:r>
              <w:t xml:space="preserve">Значение заполняется автоматически из родительского документа.</w:t>
            </w:r>
            <w:r/>
          </w:p>
          <w:p>
            <w:pPr>
              <w:pStyle w:val="1005"/>
              <w:ind w:left="57" w:right="57"/>
            </w:pPr>
            <w:r>
              <w:t xml:space="preserve">Значение может подтягиваться автоматически из справочника поста</w:t>
            </w:r>
            <w:r>
              <w:t xml:space="preserve">в</w:t>
            </w:r>
            <w:r>
              <w:t xml:space="preserve">щиков по наименованию контрагента. </w:t>
            </w:r>
            <w:r/>
          </w:p>
          <w:p>
            <w:pPr>
              <w:pStyle w:val="1005"/>
              <w:ind w:left="57" w:right="57"/>
            </w:pPr>
            <w:r>
              <w:t xml:space="preserve">Значение может быть введено вручную. Поле открыто для ввода и редактирования.</w:t>
            </w:r>
            <w:r/>
          </w:p>
        </w:tc>
      </w:tr>
      <w:tr>
        <w:trPr/>
        <w:tc>
          <w:tcPr>
            <w:shd w:val="clear" w:fill="auto" w:color="auto"/>
            <w:tcW w:w="1120" w:type="pct"/>
            <w:textDirection w:val="lrTb"/>
            <w:noWrap w:val="false"/>
          </w:tcPr>
          <w:p>
            <w:pPr>
              <w:pStyle w:val="1005"/>
              <w:ind w:left="57" w:right="57"/>
            </w:pPr>
            <w:r>
              <w:t xml:space="preserve">Код</w:t>
            </w:r>
            <w:r/>
          </w:p>
        </w:tc>
        <w:tc>
          <w:tcPr>
            <w:shd w:val="clear" w:fill="auto" w:color="auto"/>
            <w:tcW w:w="3880" w:type="pct"/>
            <w:textDirection w:val="lrTb"/>
            <w:noWrap w:val="false"/>
          </w:tcPr>
          <w:p>
            <w:pPr>
              <w:pStyle w:val="1005"/>
              <w:ind w:left="57" w:right="57"/>
            </w:pPr>
            <w:r>
              <w:t xml:space="preserve">Значение заполняется автоматически из родительского документа. Не выводится на визуальную форму.</w:t>
            </w:r>
            <w:r/>
          </w:p>
        </w:tc>
      </w:tr>
      <w:tr>
        <w:trPr/>
        <w:tc>
          <w:tcPr>
            <w:shd w:val="clear" w:fill="auto" w:color="auto"/>
            <w:tcW w:w="1120" w:type="pct"/>
            <w:textDirection w:val="lrTb"/>
            <w:noWrap w:val="false"/>
          </w:tcPr>
          <w:p>
            <w:pPr>
              <w:pStyle w:val="1005"/>
              <w:ind w:left="57" w:right="57"/>
            </w:pPr>
            <w:r>
              <w:t xml:space="preserve">Страна</w:t>
            </w:r>
            <w:r/>
          </w:p>
        </w:tc>
        <w:tc>
          <w:tcPr>
            <w:shd w:val="clear" w:fill="auto" w:color="auto"/>
            <w:tcW w:w="3880" w:type="pct"/>
            <w:textDirection w:val="lrTb"/>
            <w:noWrap w:val="false"/>
          </w:tcPr>
          <w:p>
            <w:pPr>
              <w:pStyle w:val="1005"/>
              <w:ind w:left="57" w:right="57"/>
            </w:pPr>
            <w:r>
              <w:t xml:space="preserve">Значение по умолчанию – пустое значение.</w:t>
            </w:r>
            <w:r/>
          </w:p>
          <w:p>
            <w:pPr>
              <w:pStyle w:val="1005"/>
              <w:ind w:left="57" w:right="57"/>
            </w:pPr>
            <w:r>
              <w:t xml:space="preserve">Может быть изменено пользователем вручную.</w:t>
            </w:r>
            <w:r/>
          </w:p>
        </w:tc>
      </w:tr>
      <w:tr>
        <w:trPr/>
        <w:tc>
          <w:tcPr>
            <w:shd w:val="clear" w:fill="auto" w:color="auto"/>
            <w:tcW w:w="1120" w:type="pct"/>
            <w:textDirection w:val="lrTb"/>
            <w:noWrap w:val="false"/>
          </w:tcPr>
          <w:p>
            <w:pPr>
              <w:pStyle w:val="1005"/>
              <w:ind w:left="57" w:right="57"/>
            </w:pPr>
            <w:r>
              <w:t xml:space="preserve">Код страны</w:t>
            </w:r>
            <w:r/>
          </w:p>
        </w:tc>
        <w:tc>
          <w:tcPr>
            <w:shd w:val="clear" w:fill="auto" w:color="auto"/>
            <w:tcW w:w="3880" w:type="pct"/>
            <w:textDirection w:val="lrTb"/>
            <w:noWrap w:val="false"/>
          </w:tcPr>
          <w:p>
            <w:pPr>
              <w:pStyle w:val="1005"/>
              <w:ind w:left="57" w:right="57"/>
            </w:pPr>
            <w:r>
              <w:t xml:space="preserve">Значение по умолчанию – пустое значение.</w:t>
            </w:r>
            <w:r/>
          </w:p>
          <w:p>
            <w:pPr>
              <w:pStyle w:val="1005"/>
              <w:ind w:left="57" w:right="57"/>
            </w:pPr>
            <w:r>
              <w:t xml:space="preserve">Может быть изменено пользователем вручную.</w:t>
            </w:r>
            <w:r/>
          </w:p>
        </w:tc>
      </w:tr>
      <w:tr>
        <w:trPr/>
        <w:tc>
          <w:tcPr>
            <w:shd w:val="clear" w:fill="auto" w:color="auto"/>
            <w:tcW w:w="1120" w:type="pct"/>
            <w:textDirection w:val="lrTb"/>
            <w:noWrap w:val="false"/>
          </w:tcPr>
          <w:p>
            <w:pPr>
              <w:pStyle w:val="1005"/>
              <w:ind w:left="57" w:right="57"/>
            </w:pPr>
            <w:r>
              <w:t xml:space="preserve">Адрес</w:t>
            </w:r>
            <w:r/>
          </w:p>
        </w:tc>
        <w:tc>
          <w:tcPr>
            <w:shd w:val="clear" w:fill="auto" w:color="auto"/>
            <w:tcW w:w="3880" w:type="pct"/>
            <w:textDirection w:val="lrTb"/>
            <w:noWrap w:val="false"/>
          </w:tcPr>
          <w:p>
            <w:pPr>
              <w:pStyle w:val="1005"/>
              <w:ind w:left="57" w:right="57"/>
            </w:pPr>
            <w:r>
              <w:t xml:space="preserve">Значение по умолчанию – пустое значение.</w:t>
            </w:r>
            <w:r/>
          </w:p>
          <w:p>
            <w:pPr>
              <w:pStyle w:val="1005"/>
              <w:ind w:left="57" w:right="57"/>
            </w:pPr>
            <w:r>
              <w:t xml:space="preserve">Может быть изменено пользователем вручную.</w:t>
            </w:r>
            <w:r/>
          </w:p>
        </w:tc>
      </w:tr>
      <w:tr>
        <w:trPr/>
        <w:tc>
          <w:tcPr>
            <w:shd w:val="clear" w:fill="auto" w:color="auto"/>
            <w:tcW w:w="1120" w:type="pct"/>
            <w:textDirection w:val="lrTb"/>
            <w:noWrap w:val="false"/>
          </w:tcPr>
          <w:p>
            <w:pPr>
              <w:pStyle w:val="1005"/>
              <w:ind w:left="57" w:right="57"/>
            </w:pPr>
            <w:r>
              <w:t xml:space="preserve">Телефон/факс</w:t>
            </w:r>
            <w:r/>
          </w:p>
        </w:tc>
        <w:tc>
          <w:tcPr>
            <w:shd w:val="clear" w:fill="auto" w:color="auto"/>
            <w:tcW w:w="3880" w:type="pct"/>
            <w:textDirection w:val="lrTb"/>
            <w:noWrap w:val="false"/>
          </w:tcPr>
          <w:p>
            <w:pPr>
              <w:pStyle w:val="1005"/>
              <w:ind w:left="57" w:right="57"/>
            </w:pPr>
            <w:r>
              <w:t xml:space="preserve">Значение по умолчанию – пустое значение.</w:t>
            </w:r>
            <w:r/>
          </w:p>
          <w:p>
            <w:pPr>
              <w:pStyle w:val="1005"/>
              <w:ind w:left="57" w:right="57"/>
            </w:pPr>
            <w:r>
              <w:t xml:space="preserve">Может быть изменено пользователем вручную.</w:t>
            </w:r>
            <w:r/>
          </w:p>
        </w:tc>
      </w:tr>
      <w:tr>
        <w:trPr/>
        <w:tc>
          <w:tcPr>
            <w:shd w:val="clear" w:fill="auto" w:color="auto"/>
            <w:tcW w:w="1120" w:type="pct"/>
            <w:textDirection w:val="lrTb"/>
            <w:noWrap w:val="false"/>
          </w:tcPr>
          <w:p>
            <w:pPr>
              <w:pStyle w:val="1005"/>
              <w:ind w:left="57" w:right="57"/>
            </w:pPr>
            <w:r>
              <w:t xml:space="preserve">Статус</w:t>
            </w:r>
            <w:r/>
          </w:p>
        </w:tc>
        <w:tc>
          <w:tcPr>
            <w:shd w:val="clear" w:fill="auto" w:color="auto"/>
            <w:tcW w:w="3880" w:type="pct"/>
            <w:textDirection w:val="lrTb"/>
            <w:noWrap w:val="false"/>
          </w:tcPr>
          <w:p>
            <w:pPr>
              <w:pStyle w:val="1005"/>
              <w:ind w:left="57" w:right="57"/>
            </w:pPr>
            <w:r>
              <w:t xml:space="preserve">Значение по умолчанию – пустое значение.</w:t>
            </w:r>
            <w:r/>
          </w:p>
          <w:p>
            <w:pPr>
              <w:pStyle w:val="1005"/>
              <w:ind w:left="57" w:right="57"/>
            </w:pPr>
            <w:r>
              <w:t xml:space="preserve">Может быть изменено пользователем вручную.</w:t>
            </w:r>
            <w:r/>
          </w:p>
        </w:tc>
      </w:tr>
      <w:tr>
        <w:trPr/>
        <w:tc>
          <w:tcPr>
            <w:shd w:val="clear" w:fill="auto" w:color="auto"/>
            <w:tcW w:w="1120" w:type="pct"/>
            <w:textDirection w:val="lrTb"/>
            <w:noWrap w:val="false"/>
          </w:tcPr>
          <w:p>
            <w:pPr>
              <w:pStyle w:val="1005"/>
              <w:ind w:left="57" w:right="57"/>
            </w:pPr>
            <w:r>
              <w:t xml:space="preserve">Банк. </w:t>
            </w:r>
            <w:r>
              <w:t xml:space="preserve">С</w:t>
            </w:r>
            <w:r>
              <w:t xml:space="preserve">чет</w:t>
            </w:r>
            <w:r/>
          </w:p>
        </w:tc>
        <w:tc>
          <w:tcPr>
            <w:shd w:val="clear" w:fill="auto" w:color="auto"/>
            <w:tcW w:w="3880" w:type="pct"/>
            <w:textDirection w:val="lrTb"/>
            <w:noWrap w:val="false"/>
          </w:tcPr>
          <w:p>
            <w:pPr>
              <w:pStyle w:val="1005"/>
              <w:ind w:left="57" w:right="57"/>
            </w:pPr>
            <w:r>
              <w:t xml:space="preserve">Значение по умолчанию – пустое значение.</w:t>
            </w:r>
            <w:r/>
          </w:p>
          <w:p>
            <w:pPr>
              <w:pStyle w:val="1005"/>
              <w:ind w:left="57" w:right="57"/>
            </w:pPr>
            <w:r>
              <w:t xml:space="preserve">Может быть изменено пользователем вручную.</w:t>
            </w:r>
            <w:r/>
          </w:p>
        </w:tc>
      </w:tr>
      <w:tr>
        <w:trPr/>
        <w:tc>
          <w:tcPr>
            <w:shd w:val="clear" w:fill="auto" w:color="auto"/>
            <w:tcW w:w="1120" w:type="pct"/>
            <w:textDirection w:val="lrTb"/>
            <w:noWrap w:val="false"/>
          </w:tcPr>
          <w:p>
            <w:pPr>
              <w:pStyle w:val="1005"/>
              <w:ind w:left="57" w:right="57"/>
            </w:pPr>
            <w:r>
              <w:t xml:space="preserve">Банк</w:t>
            </w:r>
            <w:r/>
          </w:p>
        </w:tc>
        <w:tc>
          <w:tcPr>
            <w:shd w:val="clear" w:fill="auto" w:color="auto"/>
            <w:tcW w:w="3880" w:type="pct"/>
            <w:textDirection w:val="lrTb"/>
            <w:noWrap w:val="false"/>
          </w:tcPr>
          <w:p>
            <w:pPr>
              <w:pStyle w:val="1005"/>
              <w:ind w:left="57" w:right="57"/>
            </w:pPr>
            <w:r>
              <w:t xml:space="preserve">Значение по умолчанию – пустое значение.</w:t>
            </w:r>
            <w:r/>
          </w:p>
          <w:p>
            <w:pPr>
              <w:pStyle w:val="1005"/>
              <w:ind w:left="57" w:right="57"/>
            </w:pPr>
            <w:r>
              <w:t xml:space="preserve">Может быть изменено пользователем вручную.</w:t>
            </w:r>
            <w:r/>
          </w:p>
        </w:tc>
      </w:tr>
      <w:tr>
        <w:trPr/>
        <w:tc>
          <w:tcPr>
            <w:shd w:val="clear" w:fill="auto" w:color="auto"/>
            <w:tcW w:w="1120" w:type="pct"/>
            <w:textDirection w:val="lrTb"/>
            <w:noWrap w:val="false"/>
          </w:tcPr>
          <w:p>
            <w:pPr>
              <w:pStyle w:val="1005"/>
              <w:ind w:left="57" w:right="57"/>
            </w:pPr>
            <w:r>
              <w:t xml:space="preserve">БИК/SWIFT</w:t>
            </w:r>
            <w:r/>
          </w:p>
        </w:tc>
        <w:tc>
          <w:tcPr>
            <w:shd w:val="clear" w:fill="auto" w:color="auto"/>
            <w:tcW w:w="3880" w:type="pct"/>
            <w:textDirection w:val="lrTb"/>
            <w:noWrap w:val="false"/>
          </w:tcPr>
          <w:p>
            <w:pPr>
              <w:pStyle w:val="1005"/>
              <w:ind w:left="57" w:right="57"/>
            </w:pPr>
            <w:r>
              <w:t xml:space="preserve">Значение по умолчанию – пустое значение.</w:t>
            </w:r>
            <w:r/>
          </w:p>
          <w:p>
            <w:pPr>
              <w:pStyle w:val="1005"/>
              <w:ind w:left="57" w:right="57"/>
            </w:pPr>
            <w:r>
              <w:t xml:space="preserve">Может быть изменено пользователем вручную.</w:t>
            </w:r>
            <w:r/>
          </w:p>
        </w:tc>
      </w:tr>
      <w:tr>
        <w:trPr/>
        <w:tc>
          <w:tcPr>
            <w:shd w:val="clear" w:fill="auto" w:color="auto"/>
            <w:tcW w:w="1120" w:type="pct"/>
            <w:textDirection w:val="lrTb"/>
            <w:noWrap w:val="false"/>
          </w:tcPr>
          <w:p>
            <w:pPr>
              <w:pStyle w:val="1005"/>
              <w:ind w:left="57" w:right="57"/>
            </w:pPr>
            <w:r>
              <w:t xml:space="preserve">Корсчет</w:t>
            </w:r>
            <w:r/>
          </w:p>
        </w:tc>
        <w:tc>
          <w:tcPr>
            <w:shd w:val="clear" w:fill="auto" w:color="auto"/>
            <w:tcW w:w="3880" w:type="pct"/>
            <w:textDirection w:val="lrTb"/>
            <w:noWrap w:val="false"/>
          </w:tcPr>
          <w:p>
            <w:pPr>
              <w:pStyle w:val="1005"/>
              <w:ind w:left="57" w:right="57"/>
            </w:pPr>
            <w:r>
              <w:t xml:space="preserve">Значение по умолчанию – пустое значение.</w:t>
            </w:r>
            <w:r/>
          </w:p>
          <w:p>
            <w:pPr>
              <w:pStyle w:val="1005"/>
              <w:ind w:left="57" w:right="57"/>
            </w:pPr>
            <w:r>
              <w:t xml:space="preserve">Может быть изменено пользователем вручную.</w:t>
            </w:r>
            <w:r/>
          </w:p>
        </w:tc>
      </w:tr>
    </w:tbl>
    <w:p>
      <w:pPr>
        <w:pStyle w:val="994"/>
      </w:pPr>
      <w:r>
        <w:t xml:space="preserve">ЭФ документа «Заявка на перерегистрацию бюджетного обязательс</w:t>
      </w:r>
      <w:r>
        <w:t xml:space="preserve">т</w:t>
      </w:r>
      <w:r>
        <w:t xml:space="preserve">ва</w:t>
      </w:r>
      <w:r>
        <w:t xml:space="preserve">», закладки «</w:t>
      </w:r>
      <w:r>
        <w:t xml:space="preserve">Раздел 3,4 (2)»</w:t>
      </w:r>
      <w:r>
        <w:t xml:space="preserve"> </w:t>
      </w:r>
      <w:r>
        <w:t xml:space="preserve">представлена </w:t>
      </w:r>
      <w:r>
        <w:t xml:space="preserve">н</w:t>
      </w:r>
      <w:r>
        <w:t xml:space="preserve">а рисунке</w:t>
      </w:r>
      <w:r>
        <w:t xml:space="preserve"> </w:t>
      </w:r>
      <w:r>
        <w:fldChar w:fldCharType="begin"/>
      </w:r>
      <w:r>
        <w:instrText xml:space="preserve"> REF _Ref365468583 \h  \* MERGEFORMAT </w:instrText>
      </w:r>
      <w:r>
        <w:fldChar w:fldCharType="separate"/>
      </w:r>
      <w:r>
        <w:t xml:space="preserve">86</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560320"/>
                <wp:effectExtent l="0" t="0" r="0" b="0"/>
                <wp:docPr id="16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53"/>
                        <a:stretch/>
                      </pic:blipFill>
                      <pic:spPr bwMode="auto">
                        <a:xfrm>
                          <a:off x="0" y="0"/>
                          <a:ext cx="6126480" cy="2560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 o:spid="_x0000_s159" type="#_x0000_t75" style="mso-wrap-distance-left:0.0pt;mso-wrap-distance-top:0.0pt;mso-wrap-distance-right:0.0pt;mso-wrap-distance-bottom:0.0pt;width:482.4pt;height:201.6pt;" stroked="f">
                <v:path textboxrect="0,0,0,0"/>
                <v:imagedata r:id="rId153" o:title=""/>
              </v:shape>
            </w:pict>
          </mc:Fallback>
        </mc:AlternateContent>
      </w:r>
      <w:r/>
    </w:p>
    <w:p>
      <w:pPr>
        <w:pStyle w:val="983"/>
      </w:pPr>
      <w:r>
        <w:fldChar w:fldCharType="begin"/>
      </w:r>
      <w:r>
        <w:instrText xml:space="preserve"> SEQ Рисунок \* ARABIC </w:instrText>
      </w:r>
      <w:r>
        <w:fldChar w:fldCharType="separate"/>
      </w:r>
      <w:bookmarkStart w:id="775" w:name="_Ref365468583"/>
      <w:r/>
      <w:bookmarkStart w:id="776" w:name="_Toc88819471"/>
      <w:r>
        <w:t xml:space="preserve">86</w:t>
      </w:r>
      <w:bookmarkEnd w:id="775"/>
      <w:r>
        <w:fldChar w:fldCharType="end"/>
      </w:r>
      <w:r>
        <w:t xml:space="preserve">. ЭФ документа «Заявка на перерегистрацию бюджетного обязательства</w:t>
      </w:r>
      <w:r>
        <w:t xml:space="preserve">», закладки «</w:t>
      </w:r>
      <w:r>
        <w:t xml:space="preserve">Раздел 3,4 (2)»</w:t>
      </w:r>
      <w:bookmarkEnd w:id="776"/>
      <w:r/>
      <w:r/>
    </w:p>
    <w:p>
      <w:pPr>
        <w:pStyle w:val="994"/>
      </w:pPr>
      <w:r>
        <w:t xml:space="preserve">Перечень </w:t>
      </w:r>
      <w:r>
        <w:t xml:space="preserve">полей </w:t>
      </w:r>
      <w:r>
        <w:t xml:space="preserve">документа «Заявка на перерегистрацию бюджетного обязательства», закладки «Раздел 3,4 (2)»</w:t>
      </w:r>
      <w:r>
        <w:t xml:space="preserve"> </w:t>
      </w:r>
      <w:r>
        <w:t xml:space="preserve">приведен в таблице</w:t>
      </w:r>
      <w:r>
        <w:t xml:space="preserve"> </w:t>
      </w:r>
      <w:r>
        <w:fldChar w:fldCharType="begin"/>
      </w:r>
      <w:r>
        <w:instrText xml:space="preserve"> REF _Ref319665752 \h  \* MERGEFORMAT </w:instrText>
      </w:r>
      <w:r>
        <w:fldChar w:fldCharType="separate"/>
      </w:r>
      <w:r>
        <w:t xml:space="preserve">43</w:t>
      </w:r>
      <w:r>
        <w:fldChar w:fldCharType="end"/>
      </w:r>
      <w:r>
        <w:t xml:space="preserve">.</w:t>
      </w:r>
      <w:r/>
    </w:p>
    <w:p>
      <w:pPr>
        <w:pStyle w:val="993"/>
      </w:pPr>
      <w:r>
        <w:fldChar w:fldCharType="begin"/>
      </w:r>
      <w:r>
        <w:instrText xml:space="preserve"> SEQ Таблица \* ARABIC </w:instrText>
      </w:r>
      <w:r>
        <w:fldChar w:fldCharType="separate"/>
      </w:r>
      <w:bookmarkStart w:id="777" w:name="_Ref319665752"/>
      <w:r/>
      <w:bookmarkStart w:id="778" w:name="_Toc88819229"/>
      <w:r>
        <w:t xml:space="preserve">43</w:t>
      </w:r>
      <w:bookmarkEnd w:id="777"/>
      <w:r>
        <w:fldChar w:fldCharType="end"/>
      </w:r>
      <w:r>
        <w:t xml:space="preserve">. Описание полей </w:t>
      </w:r>
      <w:r>
        <w:t xml:space="preserve">документа «Заявка на перерегистрацию бюджетного обязательства», закладки «Раздел 3,4 (2)»</w:t>
      </w:r>
      <w:bookmarkEnd w:id="77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793"/>
        <w:gridCol w:w="6959"/>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432"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568"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Группа полей «Раздел 3. Реквизиты исполнительного листа»</w:t>
            </w:r>
            <w:r/>
          </w:p>
        </w:tc>
      </w:tr>
      <w:tr>
        <w:trPr/>
        <w:tc>
          <w:tcPr>
            <w:shd w:val="clear" w:fill="auto" w:color="auto"/>
            <w:tcW w:w="1432" w:type="pct"/>
            <w:textDirection w:val="lrTb"/>
            <w:noWrap w:val="false"/>
          </w:tcPr>
          <w:p>
            <w:pPr>
              <w:pStyle w:val="1005"/>
              <w:ind w:left="57" w:right="57"/>
            </w:pPr>
            <w:r>
              <w:t xml:space="preserve">Номер исп. </w:t>
            </w:r>
            <w:r>
              <w:t xml:space="preserve">Д</w:t>
            </w:r>
            <w:r>
              <w:t xml:space="preserve">окумента</w:t>
            </w:r>
            <w:r/>
          </w:p>
        </w:tc>
        <w:tc>
          <w:tcPr>
            <w:shd w:val="clear" w:fill="auto" w:color="auto"/>
            <w:tcW w:w="3568" w:type="pct"/>
            <w:textDirection w:val="lrTb"/>
            <w:noWrap w:val="false"/>
          </w:tcPr>
          <w:p>
            <w:pPr>
              <w:pStyle w:val="1005"/>
              <w:ind w:left="57" w:right="57"/>
            </w:pPr>
            <w:r>
              <w:t xml:space="preserve">Номер документа-основания.</w:t>
            </w:r>
            <w:r/>
          </w:p>
          <w:p>
            <w:pPr>
              <w:pStyle w:val="1005"/>
              <w:ind w:left="57" w:right="57"/>
            </w:pPr>
            <w:r>
              <w:t xml:space="preserve">Значение может вводиться </w:t>
            </w:r>
            <w:r>
              <w:t xml:space="preserve">вручную или заполняться автоматич</w:t>
            </w:r>
            <w:r>
              <w:t xml:space="preserve">е</w:t>
            </w:r>
            <w:r>
              <w:t xml:space="preserve">ски из родительского документа.</w:t>
            </w:r>
            <w:r/>
          </w:p>
        </w:tc>
      </w:tr>
      <w:tr>
        <w:trPr/>
        <w:tc>
          <w:tcPr>
            <w:shd w:val="clear" w:fill="auto" w:color="auto"/>
            <w:tcW w:w="1432" w:type="pct"/>
            <w:textDirection w:val="lrTb"/>
            <w:noWrap w:val="false"/>
          </w:tcPr>
          <w:p>
            <w:pPr>
              <w:pStyle w:val="1005"/>
              <w:ind w:left="57" w:right="57"/>
            </w:pPr>
            <w:r>
              <w:t xml:space="preserve">Дата выдачи</w:t>
            </w:r>
            <w:r/>
          </w:p>
        </w:tc>
        <w:tc>
          <w:tcPr>
            <w:shd w:val="clear" w:fill="auto" w:color="auto"/>
            <w:tcW w:w="3568" w:type="pct"/>
            <w:textDirection w:val="lrTb"/>
            <w:noWrap w:val="false"/>
          </w:tcPr>
          <w:p>
            <w:pPr>
              <w:pStyle w:val="1005"/>
              <w:ind w:left="57" w:right="57"/>
            </w:pPr>
            <w:r>
              <w:t xml:space="preserve">Значение может вводиться </w:t>
            </w:r>
            <w:r>
              <w:t xml:space="preserve">вручную или заполняться автоматич</w:t>
            </w:r>
            <w:r>
              <w:t xml:space="preserve">е</w:t>
            </w:r>
            <w:r>
              <w:t xml:space="preserve">ски из родительского документа.</w:t>
            </w:r>
            <w:r/>
          </w:p>
        </w:tc>
      </w:tr>
      <w:tr>
        <w:trPr/>
        <w:tc>
          <w:tcPr>
            <w:shd w:val="clear" w:fill="auto" w:color="auto"/>
            <w:tcW w:w="1432" w:type="pct"/>
            <w:textDirection w:val="lrTb"/>
            <w:noWrap w:val="false"/>
          </w:tcPr>
          <w:p>
            <w:pPr>
              <w:pStyle w:val="1005"/>
              <w:ind w:left="57" w:right="57"/>
            </w:pPr>
            <w:r>
              <w:t xml:space="preserve">Срок оплаты</w:t>
            </w:r>
            <w:r/>
          </w:p>
        </w:tc>
        <w:tc>
          <w:tcPr>
            <w:shd w:val="clear" w:fill="auto" w:color="auto"/>
            <w:tcW w:w="3568" w:type="pct"/>
            <w:textDirection w:val="lrTb"/>
            <w:noWrap w:val="false"/>
          </w:tcPr>
          <w:p>
            <w:pPr>
              <w:pStyle w:val="1005"/>
              <w:ind w:left="57" w:right="57"/>
            </w:pPr>
            <w:r>
              <w:t xml:space="preserve">Значение может вводиться </w:t>
            </w:r>
            <w:r>
              <w:t xml:space="preserve">вручную или заполняться автоматич</w:t>
            </w:r>
            <w:r>
              <w:t xml:space="preserve">е</w:t>
            </w:r>
            <w:r>
              <w:t xml:space="preserve">ски из родительского документа.</w:t>
            </w:r>
            <w:r/>
          </w:p>
        </w:tc>
      </w:tr>
      <w:tr>
        <w:trPr/>
        <w:tc>
          <w:tcPr>
            <w:shd w:val="clear" w:fill="auto" w:color="auto"/>
            <w:tcW w:w="1432" w:type="pct"/>
            <w:textDirection w:val="lrTb"/>
            <w:noWrap w:val="false"/>
          </w:tcPr>
          <w:p>
            <w:pPr>
              <w:pStyle w:val="1005"/>
              <w:ind w:left="57" w:right="57"/>
            </w:pPr>
            <w:r>
              <w:t xml:space="preserve">Наименование судебного о</w:t>
            </w:r>
            <w:r>
              <w:t xml:space="preserve">р</w:t>
            </w:r>
            <w:r>
              <w:t xml:space="preserve">гана</w:t>
            </w:r>
            <w:r/>
          </w:p>
        </w:tc>
        <w:tc>
          <w:tcPr>
            <w:shd w:val="clear" w:fill="auto" w:color="auto"/>
            <w:tcW w:w="3568" w:type="pct"/>
            <w:textDirection w:val="lrTb"/>
            <w:noWrap w:val="false"/>
          </w:tcPr>
          <w:p>
            <w:pPr>
              <w:pStyle w:val="1005"/>
              <w:ind w:left="57" w:right="57"/>
            </w:pPr>
            <w:r>
              <w:t xml:space="preserve">Значение может вводиться </w:t>
            </w:r>
            <w:r>
              <w:t xml:space="preserve">вручную или заполняться автоматич</w:t>
            </w:r>
            <w:r>
              <w:t xml:space="preserve">е</w:t>
            </w:r>
            <w:r>
              <w:t xml:space="preserve">ски из родительского документа.</w:t>
            </w:r>
            <w:r/>
          </w:p>
        </w:tc>
      </w:tr>
      <w:tr>
        <w:trPr/>
        <w:tc>
          <w:tcPr>
            <w:shd w:val="clear" w:fill="auto" w:color="auto"/>
            <w:tcW w:w="1432" w:type="pct"/>
            <w:textDirection w:val="lrTb"/>
            <w:noWrap w:val="false"/>
          </w:tcPr>
          <w:p>
            <w:pPr>
              <w:pStyle w:val="1005"/>
              <w:ind w:left="57" w:right="57"/>
            </w:pPr>
            <w:r>
              <w:t xml:space="preserve">Сумма по исп. </w:t>
            </w:r>
            <w:r>
              <w:t xml:space="preserve">Д</w:t>
            </w:r>
            <w:r>
              <w:t xml:space="preserve">окументу</w:t>
            </w:r>
            <w:r/>
          </w:p>
        </w:tc>
        <w:tc>
          <w:tcPr>
            <w:shd w:val="clear" w:fill="auto" w:color="auto"/>
            <w:tcW w:w="3568" w:type="pct"/>
            <w:textDirection w:val="lrTb"/>
            <w:noWrap w:val="false"/>
          </w:tcPr>
          <w:p>
            <w:pPr>
              <w:pStyle w:val="1005"/>
              <w:ind w:left="57" w:right="57"/>
            </w:pPr>
            <w:r>
              <w:t xml:space="preserve">Значение может вводиться </w:t>
            </w:r>
            <w:r>
              <w:t xml:space="preserve">вручную или заполняться автоматич</w:t>
            </w:r>
            <w:r>
              <w:t xml:space="preserve">е</w:t>
            </w:r>
            <w:r>
              <w:t xml:space="preserve">ски из родительского документа.</w:t>
            </w:r>
            <w:r/>
          </w:p>
        </w:tc>
      </w:tr>
      <w:tr>
        <w:trPr/>
        <w:tc>
          <w:tcPr>
            <w:shd w:val="clear" w:fill="auto" w:color="auto"/>
            <w:tcW w:w="1432" w:type="pct"/>
            <w:textDirection w:val="lrTb"/>
            <w:noWrap w:val="false"/>
          </w:tcPr>
          <w:p>
            <w:pPr>
              <w:pStyle w:val="1005"/>
              <w:ind w:left="57" w:right="57"/>
            </w:pPr>
            <w:r>
              <w:t xml:space="preserve">Номер уведомления</w:t>
            </w:r>
            <w:r/>
          </w:p>
        </w:tc>
        <w:tc>
          <w:tcPr>
            <w:shd w:val="clear" w:fill="auto" w:color="auto"/>
            <w:tcW w:w="3568" w:type="pct"/>
            <w:textDirection w:val="lrTb"/>
            <w:noWrap w:val="false"/>
          </w:tcPr>
          <w:p>
            <w:pPr>
              <w:pStyle w:val="1005"/>
              <w:ind w:left="57" w:right="57"/>
            </w:pPr>
            <w:r>
              <w:t xml:space="preserve">Значение может вводиться </w:t>
            </w:r>
            <w:r>
              <w:t xml:space="preserve">вручную или заполняться автоматич</w:t>
            </w:r>
            <w:r>
              <w:t xml:space="preserve">е</w:t>
            </w:r>
            <w:r>
              <w:t xml:space="preserve">ски из родительского документа.</w:t>
            </w:r>
            <w:r/>
          </w:p>
        </w:tc>
      </w:tr>
      <w:tr>
        <w:trPr/>
        <w:tc>
          <w:tcPr>
            <w:shd w:val="clear" w:fill="auto" w:color="auto"/>
            <w:tcW w:w="1432" w:type="pct"/>
            <w:textDirection w:val="lrTb"/>
            <w:noWrap w:val="false"/>
          </w:tcPr>
          <w:p>
            <w:pPr>
              <w:pStyle w:val="1005"/>
              <w:ind w:left="57" w:right="57"/>
            </w:pPr>
            <w:r>
              <w:t xml:space="preserve">Дата уведомления</w:t>
            </w:r>
            <w:r/>
          </w:p>
        </w:tc>
        <w:tc>
          <w:tcPr>
            <w:shd w:val="clear" w:fill="auto" w:color="auto"/>
            <w:tcW w:w="3568" w:type="pct"/>
            <w:textDirection w:val="lrTb"/>
            <w:noWrap w:val="false"/>
          </w:tcPr>
          <w:p>
            <w:pPr>
              <w:pStyle w:val="1005"/>
              <w:ind w:left="57" w:right="57"/>
            </w:pPr>
            <w:r>
              <w:t xml:space="preserve">Значение может вводиться </w:t>
            </w:r>
            <w:r>
              <w:t xml:space="preserve">вручную или заполняться автоматич</w:t>
            </w:r>
            <w:r>
              <w:t xml:space="preserve">е</w:t>
            </w:r>
            <w:r>
              <w:t xml:space="preserve">ски из родительского документа.</w:t>
            </w:r>
            <w:r/>
          </w:p>
        </w:tc>
      </w:tr>
      <w:tr>
        <w:trPr/>
        <w:tc>
          <w:tcPr>
            <w:gridSpan w:val="2"/>
            <w:shd w:val="clear" w:fill="auto" w:color="auto"/>
            <w:tcW w:w="5000" w:type="pct"/>
            <w:textDirection w:val="lrTb"/>
            <w:noWrap w:val="false"/>
          </w:tcPr>
          <w:p>
            <w:pPr>
              <w:pStyle w:val="1005"/>
              <w:ind w:left="57" w:right="57"/>
            </w:pPr>
            <w:r>
              <w:t xml:space="preserve">Группа полей «Раздел 4. Дополнительные реквизиты обязательства, сформированного на основе контракта»</w:t>
            </w:r>
            <w:r/>
          </w:p>
        </w:tc>
      </w:tr>
      <w:tr>
        <w:trPr/>
        <w:tc>
          <w:tcPr>
            <w:shd w:val="clear" w:fill="auto" w:color="auto"/>
            <w:tcW w:w="1432" w:type="pct"/>
            <w:textDirection w:val="lrTb"/>
            <w:noWrap w:val="false"/>
          </w:tcPr>
          <w:p>
            <w:pPr>
              <w:pStyle w:val="1005"/>
              <w:ind w:left="57" w:right="57"/>
            </w:pPr>
            <w:r>
              <w:t xml:space="preserve">Способ размещения</w:t>
            </w:r>
            <w:r/>
          </w:p>
        </w:tc>
        <w:tc>
          <w:tcPr>
            <w:shd w:val="clear" w:fill="auto" w:color="auto"/>
            <w:tcW w:w="3568" w:type="pct"/>
            <w:textDirection w:val="lrTb"/>
            <w:noWrap w:val="false"/>
          </w:tcPr>
          <w:p>
            <w:pPr>
              <w:pStyle w:val="1005"/>
              <w:ind w:left="57" w:right="57"/>
            </w:pPr>
            <w:r>
              <w:t xml:space="preserve">Значение может вводиться </w:t>
            </w:r>
            <w:r>
              <w:t xml:space="preserve">из списка с указанием наименования: </w:t>
            </w:r>
            <w:r/>
          </w:p>
          <w:p>
            <w:pPr>
              <w:pStyle w:val="1007"/>
            </w:pPr>
            <w:r>
              <w:t xml:space="preserve">1</w:t>
            </w:r>
            <w:r>
              <w:t xml:space="preserve"> – </w:t>
            </w:r>
            <w:r>
              <w:t xml:space="preserve">«открытый конкурс</w:t>
            </w:r>
            <w:r>
              <w:t xml:space="preserve"> – </w:t>
            </w:r>
            <w:r>
              <w:t xml:space="preserve">1»;</w:t>
            </w:r>
            <w:r/>
          </w:p>
          <w:p>
            <w:pPr>
              <w:pStyle w:val="1007"/>
            </w:pPr>
            <w:r>
              <w:t xml:space="preserve">2</w:t>
            </w:r>
            <w:r>
              <w:t xml:space="preserve"> – </w:t>
            </w:r>
            <w:r>
              <w:t xml:space="preserve">«открытый аукцион</w:t>
            </w:r>
            <w:r>
              <w:t xml:space="preserve"> – </w:t>
            </w:r>
            <w:r>
              <w:t xml:space="preserve">2»;</w:t>
            </w:r>
            <w:r/>
          </w:p>
          <w:p>
            <w:pPr>
              <w:pStyle w:val="1007"/>
            </w:pPr>
            <w:r>
              <w:t xml:space="preserve">3</w:t>
            </w:r>
            <w:r>
              <w:t xml:space="preserve"> – </w:t>
            </w:r>
            <w:r>
              <w:t xml:space="preserve">«открытый аукцион в электронной форме</w:t>
            </w:r>
            <w:r>
              <w:t xml:space="preserve"> – </w:t>
            </w:r>
            <w:r>
              <w:t xml:space="preserve">3»;</w:t>
            </w:r>
            <w:r/>
          </w:p>
          <w:p>
            <w:pPr>
              <w:pStyle w:val="1007"/>
            </w:pPr>
            <w:r>
              <w:t xml:space="preserve">4</w:t>
            </w:r>
            <w:r>
              <w:t xml:space="preserve"> – </w:t>
            </w:r>
            <w:r>
              <w:t xml:space="preserve">«запрос котировок</w:t>
            </w:r>
            <w:r>
              <w:t xml:space="preserve"> – </w:t>
            </w:r>
            <w:r>
              <w:t xml:space="preserve">4»;</w:t>
            </w:r>
            <w:r/>
          </w:p>
          <w:p>
            <w:pPr>
              <w:pStyle w:val="1007"/>
            </w:pPr>
            <w:r>
              <w:t xml:space="preserve">5</w:t>
            </w:r>
            <w:r>
              <w:t xml:space="preserve"> – </w:t>
            </w:r>
            <w:r>
              <w:t xml:space="preserve">«предварительный отбор и запрос котировок при чрезвыча</w:t>
            </w:r>
            <w:r>
              <w:t xml:space="preserve">й</w:t>
            </w:r>
            <w:r>
              <w:t xml:space="preserve">ных ситуациях</w:t>
            </w:r>
            <w:r>
              <w:t xml:space="preserve"> – </w:t>
            </w:r>
            <w:r>
              <w:t xml:space="preserve">5»;</w:t>
            </w:r>
            <w:r/>
          </w:p>
          <w:p>
            <w:pPr>
              <w:pStyle w:val="1007"/>
            </w:pPr>
            <w:r>
              <w:t xml:space="preserve">6</w:t>
            </w:r>
            <w:r>
              <w:t xml:space="preserve"> – </w:t>
            </w:r>
            <w:r>
              <w:t xml:space="preserve">«единственный поставщик (исполнитель, подрядчик)</w:t>
            </w:r>
            <w:r>
              <w:t xml:space="preserve"> – 6»;</w:t>
            </w:r>
            <w:r/>
          </w:p>
          <w:p>
            <w:pPr>
              <w:pStyle w:val="1007"/>
            </w:pPr>
            <w:r>
              <w:t xml:space="preserve">7</w:t>
            </w:r>
            <w:r>
              <w:t xml:space="preserve"> – </w:t>
            </w:r>
            <w:r>
              <w:t xml:space="preserve">«размещение заказа у единственного поставщика (исполнит</w:t>
            </w:r>
            <w:r>
              <w:t xml:space="preserve">е</w:t>
            </w:r>
            <w:r>
              <w:t xml:space="preserve">ля, подрядчика)</w:t>
            </w:r>
            <w:r>
              <w:t xml:space="preserve"> – </w:t>
            </w:r>
            <w:r>
              <w:t xml:space="preserve">7»;</w:t>
            </w:r>
            <w:r/>
          </w:p>
          <w:p>
            <w:pPr>
              <w:pStyle w:val="1007"/>
            </w:pPr>
            <w:r>
              <w:t xml:space="preserve">8</w:t>
            </w:r>
            <w:r>
              <w:t xml:space="preserve"> – </w:t>
            </w:r>
            <w:r>
              <w:t xml:space="preserve">«изменение контракта</w:t>
            </w:r>
            <w:r>
              <w:t xml:space="preserve"> – </w:t>
            </w:r>
            <w:r>
              <w:t xml:space="preserve">8»;</w:t>
            </w:r>
            <w:r/>
          </w:p>
          <w:p>
            <w:pPr>
              <w:pStyle w:val="1007"/>
            </w:pPr>
            <w:r>
              <w:t xml:space="preserve">9</w:t>
            </w:r>
            <w:r>
              <w:t xml:space="preserve"> – </w:t>
            </w:r>
            <w:r>
              <w:t xml:space="preserve">«закрытый конкурс</w:t>
            </w:r>
            <w:r>
              <w:t xml:space="preserve"> – </w:t>
            </w:r>
            <w:r>
              <w:t xml:space="preserve">9»;</w:t>
            </w:r>
            <w:r/>
          </w:p>
          <w:p>
            <w:pPr>
              <w:pStyle w:val="1007"/>
            </w:pPr>
            <w:r>
              <w:t xml:space="preserve">10</w:t>
            </w:r>
            <w:r>
              <w:t xml:space="preserve"> – </w:t>
            </w:r>
            <w:r>
              <w:t xml:space="preserve">«закрытый аукцион</w:t>
            </w:r>
            <w:r>
              <w:t xml:space="preserve"> – </w:t>
            </w:r>
            <w:r>
              <w:t xml:space="preserve">10».</w:t>
            </w:r>
            <w:r/>
          </w:p>
          <w:p>
            <w:pPr>
              <w:pStyle w:val="1005"/>
              <w:ind w:left="57" w:right="57"/>
            </w:pPr>
            <w:r>
              <w:t xml:space="preserve">При создании нового документа в поле стоит значение «пусто». Значение «пусто» доступно для выбора в выпадающем списке и расположено первым в выпадающем списке.</w:t>
            </w:r>
            <w:r/>
          </w:p>
        </w:tc>
      </w:tr>
      <w:tr>
        <w:trPr/>
        <w:tc>
          <w:tcPr>
            <w:shd w:val="clear" w:fill="auto" w:color="auto"/>
            <w:tcW w:w="1432" w:type="pct"/>
            <w:textDirection w:val="lrTb"/>
            <w:noWrap w:val="false"/>
          </w:tcPr>
          <w:p>
            <w:pPr>
              <w:pStyle w:val="1005"/>
              <w:ind w:left="57" w:right="57"/>
            </w:pPr>
            <w:r>
              <w:t xml:space="preserve">Дата подведения итогов </w:t>
            </w:r>
            <w:r/>
          </w:p>
        </w:tc>
        <w:tc>
          <w:tcPr>
            <w:shd w:val="clear" w:fill="auto" w:color="auto"/>
            <w:tcW w:w="3568" w:type="pct"/>
            <w:textDirection w:val="lrTb"/>
            <w:noWrap w:val="false"/>
          </w:tcPr>
          <w:p>
            <w:pPr>
              <w:pStyle w:val="1005"/>
              <w:ind w:left="57" w:right="57"/>
            </w:pPr>
            <w:r>
              <w:t xml:space="preserve">Значение по умолчанию – пустое значение.</w:t>
            </w:r>
            <w:r/>
          </w:p>
          <w:p>
            <w:pPr>
              <w:pStyle w:val="1005"/>
              <w:ind w:left="57" w:right="57"/>
            </w:pPr>
            <w:r>
              <w:t xml:space="preserve">Может быть изменено пользователем вручную.</w:t>
            </w:r>
            <w:r/>
          </w:p>
        </w:tc>
      </w:tr>
      <w:tr>
        <w:trPr/>
        <w:tc>
          <w:tcPr>
            <w:shd w:val="clear" w:fill="auto" w:color="auto"/>
            <w:tcW w:w="1432" w:type="pct"/>
            <w:textDirection w:val="lrTb"/>
            <w:noWrap w:val="false"/>
          </w:tcPr>
          <w:p>
            <w:pPr>
              <w:pStyle w:val="1005"/>
              <w:ind w:left="57" w:right="57"/>
            </w:pPr>
            <w:r>
              <w:t xml:space="preserve">Вид документа</w:t>
            </w:r>
            <w:r/>
          </w:p>
        </w:tc>
        <w:tc>
          <w:tcPr>
            <w:shd w:val="clear" w:fill="auto" w:color="auto"/>
            <w:tcW w:w="3568" w:type="pct"/>
            <w:textDirection w:val="lrTb"/>
            <w:noWrap w:val="false"/>
          </w:tcPr>
          <w:p>
            <w:pPr>
              <w:pStyle w:val="1005"/>
              <w:ind w:left="57" w:right="57"/>
            </w:pPr>
            <w:r>
              <w:t xml:space="preserve">Значение по умолчанию – пустое значение.</w:t>
            </w:r>
            <w:r/>
          </w:p>
        </w:tc>
      </w:tr>
      <w:tr>
        <w:trPr/>
        <w:tc>
          <w:tcPr>
            <w:shd w:val="clear" w:fill="auto" w:color="auto"/>
            <w:tcW w:w="1432" w:type="pct"/>
            <w:textDirection w:val="lrTb"/>
            <w:noWrap w:val="false"/>
          </w:tcPr>
          <w:p>
            <w:pPr>
              <w:pStyle w:val="1005"/>
              <w:ind w:left="57" w:right="57"/>
            </w:pPr>
            <w:r>
              <w:t xml:space="preserve">Номер документа</w:t>
            </w:r>
            <w:r/>
          </w:p>
        </w:tc>
        <w:tc>
          <w:tcPr>
            <w:shd w:val="clear" w:fill="auto" w:color="auto"/>
            <w:tcW w:w="3568" w:type="pct"/>
            <w:textDirection w:val="lrTb"/>
            <w:noWrap w:val="false"/>
          </w:tcPr>
          <w:p>
            <w:pPr>
              <w:pStyle w:val="1005"/>
              <w:ind w:left="57" w:right="57"/>
            </w:pPr>
            <w:r>
              <w:t xml:space="preserve">Может быть изменено пользователем вручную.</w:t>
            </w:r>
            <w:r/>
          </w:p>
        </w:tc>
      </w:tr>
      <w:tr>
        <w:trPr/>
        <w:tc>
          <w:tcPr>
            <w:shd w:val="clear" w:fill="auto" w:color="auto"/>
            <w:tcW w:w="1432" w:type="pct"/>
            <w:textDirection w:val="lrTb"/>
            <w:noWrap w:val="false"/>
          </w:tcPr>
          <w:p>
            <w:pPr>
              <w:pStyle w:val="1005"/>
              <w:ind w:left="57" w:right="57"/>
            </w:pPr>
            <w:r>
              <w:t xml:space="preserve">Дата документа</w:t>
            </w:r>
            <w:r/>
          </w:p>
        </w:tc>
        <w:tc>
          <w:tcPr>
            <w:shd w:val="clear" w:fill="auto" w:color="auto"/>
            <w:tcW w:w="3568" w:type="pct"/>
            <w:textDirection w:val="lrTb"/>
            <w:noWrap w:val="false"/>
          </w:tcPr>
          <w:p>
            <w:pPr>
              <w:pStyle w:val="1005"/>
              <w:ind w:left="57" w:right="57"/>
            </w:pPr>
            <w:r>
              <w:t xml:space="preserve">Значение по умолчанию – пустое значение.</w:t>
            </w:r>
            <w:r/>
          </w:p>
          <w:p>
            <w:pPr>
              <w:pStyle w:val="1005"/>
              <w:ind w:left="57" w:right="57"/>
            </w:pPr>
            <w:r>
              <w:t xml:space="preserve">Может быть изменено пользователем вручную.</w:t>
            </w:r>
            <w:r/>
          </w:p>
        </w:tc>
      </w:tr>
      <w:tr>
        <w:trPr/>
        <w:tc>
          <w:tcPr>
            <w:shd w:val="clear" w:fill="auto" w:color="auto"/>
            <w:tcW w:w="1432" w:type="pct"/>
            <w:textDirection w:val="lrTb"/>
            <w:noWrap w:val="false"/>
          </w:tcPr>
          <w:p>
            <w:pPr>
              <w:pStyle w:val="1005"/>
              <w:ind w:left="57" w:right="57"/>
            </w:pPr>
            <w:r>
              <w:t xml:space="preserve">Статус исполнения</w:t>
            </w:r>
            <w:r/>
          </w:p>
        </w:tc>
        <w:tc>
          <w:tcPr>
            <w:shd w:val="clear" w:fill="auto" w:color="auto"/>
            <w:tcW w:w="3568" w:type="pct"/>
            <w:textDirection w:val="lrTb"/>
            <w:noWrap w:val="false"/>
          </w:tcPr>
          <w:p>
            <w:pPr>
              <w:pStyle w:val="1005"/>
              <w:ind w:left="57" w:right="57"/>
            </w:pPr>
            <w:r>
              <w:t xml:space="preserve">Значения поля заполняется вручную.</w:t>
            </w:r>
            <w:r/>
          </w:p>
          <w:p>
            <w:pPr>
              <w:pStyle w:val="1005"/>
              <w:ind w:left="57" w:right="57"/>
            </w:pPr>
            <w:r>
              <w:t xml:space="preserve">Поле предусмотрено только для ОБЗ.</w:t>
            </w:r>
            <w:r/>
          </w:p>
        </w:tc>
      </w:tr>
      <w:tr>
        <w:trPr/>
        <w:tc>
          <w:tcPr>
            <w:shd w:val="clear" w:fill="auto" w:color="auto"/>
            <w:tcW w:w="1432" w:type="pct"/>
            <w:textDirection w:val="lrTb"/>
            <w:noWrap w:val="false"/>
          </w:tcPr>
          <w:p>
            <w:pPr>
              <w:pStyle w:val="1005"/>
              <w:ind w:left="57" w:right="57"/>
            </w:pPr>
            <w:r>
              <w:t xml:space="preserve">Номер записи в реестре</w:t>
            </w:r>
            <w:r/>
          </w:p>
        </w:tc>
        <w:tc>
          <w:tcPr>
            <w:shd w:val="clear" w:fill="auto" w:color="auto"/>
            <w:tcW w:w="3568" w:type="pct"/>
            <w:textDirection w:val="lrTb"/>
            <w:noWrap w:val="false"/>
          </w:tcPr>
          <w:p>
            <w:pPr>
              <w:pStyle w:val="1005"/>
              <w:ind w:left="57" w:right="57"/>
            </w:pPr>
            <w:r>
              <w:t xml:space="preserve">Значение может вводиться </w:t>
            </w:r>
            <w:r>
              <w:t xml:space="preserve">вручную или заполняться автоматич</w:t>
            </w:r>
            <w:r>
              <w:t xml:space="preserve">е</w:t>
            </w:r>
            <w:r>
              <w:t xml:space="preserve">ски из родительского документа.</w:t>
            </w:r>
            <w:r/>
          </w:p>
        </w:tc>
      </w:tr>
    </w:tbl>
    <w:p>
      <w:pPr>
        <w:pStyle w:val="994"/>
      </w:pPr>
      <w:r>
        <w:t xml:space="preserve">ЭФ документа «Заявка на перерегистрацию бюджетного обязательства», закладки «Раздел 5 (3)»</w:t>
      </w:r>
      <w:r>
        <w:t xml:space="preserve"> представлена на рисунке</w:t>
      </w:r>
      <w:r>
        <w:t xml:space="preserve"> </w:t>
      </w:r>
      <w:r>
        <w:fldChar w:fldCharType="begin"/>
      </w:r>
      <w:r>
        <w:instrText xml:space="preserve"> REF _Ref458585058 \h </w:instrText>
      </w:r>
      <w:r>
        <w:fldChar w:fldCharType="separate"/>
      </w:r>
      <w:r>
        <w:t xml:space="preserve">87</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4389120"/>
                <wp:effectExtent l="0" t="0" r="0" b="0"/>
                <wp:docPr id="16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54"/>
                        <a:stretch/>
                      </pic:blipFill>
                      <pic:spPr bwMode="auto">
                        <a:xfrm>
                          <a:off x="0" y="0"/>
                          <a:ext cx="6126480" cy="43891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 o:spid="_x0000_s160" type="#_x0000_t75" style="mso-wrap-distance-left:0.0pt;mso-wrap-distance-top:0.0pt;mso-wrap-distance-right:0.0pt;mso-wrap-distance-bottom:0.0pt;width:482.4pt;height:345.6pt;" stroked="f">
                <v:path textboxrect="0,0,0,0"/>
                <v:imagedata r:id="rId154" o:title=""/>
              </v:shape>
            </w:pict>
          </mc:Fallback>
        </mc:AlternateContent>
      </w:r>
      <w:r/>
    </w:p>
    <w:p>
      <w:pPr>
        <w:pStyle w:val="983"/>
      </w:pPr>
      <w:r>
        <w:fldChar w:fldCharType="begin"/>
      </w:r>
      <w:r>
        <w:instrText xml:space="preserve"> SEQ Рисунок \* ARABIC </w:instrText>
      </w:r>
      <w:r>
        <w:fldChar w:fldCharType="separate"/>
      </w:r>
      <w:bookmarkStart w:id="779" w:name="_Ref458585058"/>
      <w:r/>
      <w:bookmarkStart w:id="780" w:name="_Toc88819472"/>
      <w:r>
        <w:t xml:space="preserve">87</w:t>
      </w:r>
      <w:bookmarkEnd w:id="779"/>
      <w:r>
        <w:fldChar w:fldCharType="end"/>
      </w:r>
      <w:r>
        <w:t xml:space="preserve">. ЭФ документа «Заявка на перерегистрацию бюджетного обязательства</w:t>
      </w:r>
      <w:r>
        <w:t xml:space="preserve">», закладки «</w:t>
      </w:r>
      <w:r>
        <w:t xml:space="preserve">Раздел 5 (3)»</w:t>
      </w:r>
      <w:bookmarkEnd w:id="780"/>
      <w:r/>
      <w:r/>
    </w:p>
    <w:p>
      <w:pPr>
        <w:pStyle w:val="994"/>
      </w:pPr>
      <w:r>
        <w:t xml:space="preserve">Перечень полей </w:t>
      </w:r>
      <w:r>
        <w:t xml:space="preserve">документа «Заявка на перерегистрацию бюджетного обязательства», закладки «Раздел 5 (3)»</w:t>
      </w:r>
      <w:r>
        <w:t xml:space="preserve"> </w:t>
      </w:r>
      <w:r>
        <w:t xml:space="preserve">приведен в таблице</w:t>
      </w:r>
      <w:r>
        <w:t xml:space="preserve"> </w:t>
      </w:r>
      <w:r>
        <w:fldChar w:fldCharType="begin"/>
      </w:r>
      <w:r>
        <w:instrText xml:space="preserve"> REF _Ref319666482 \h  \* MERGEFORMAT </w:instrText>
      </w:r>
      <w:r>
        <w:fldChar w:fldCharType="separate"/>
      </w:r>
      <w:r>
        <w:t xml:space="preserve">44</w:t>
      </w:r>
      <w:r>
        <w:fldChar w:fldCharType="end"/>
      </w:r>
      <w:r>
        <w:t xml:space="preserve">.</w:t>
      </w:r>
      <w:r/>
    </w:p>
    <w:p>
      <w:pPr>
        <w:pStyle w:val="993"/>
      </w:pPr>
      <w:r>
        <w:fldChar w:fldCharType="begin"/>
      </w:r>
      <w:r>
        <w:instrText xml:space="preserve"> SEQ Таблица \* ARABIC </w:instrText>
      </w:r>
      <w:r>
        <w:fldChar w:fldCharType="separate"/>
      </w:r>
      <w:bookmarkStart w:id="781" w:name="_Ref319666482"/>
      <w:r/>
      <w:bookmarkStart w:id="782" w:name="_Toc88819230"/>
      <w:r>
        <w:t xml:space="preserve">44</w:t>
      </w:r>
      <w:bookmarkEnd w:id="781"/>
      <w:r>
        <w:fldChar w:fldCharType="end"/>
      </w:r>
      <w:r>
        <w:t xml:space="preserve">. Описание полей </w:t>
      </w:r>
      <w:r>
        <w:t xml:space="preserve">документа «Заявка на перерегистрацию бюджетного обязательства», закладки «Раздел 5 (3)»</w:t>
      </w:r>
      <w:bookmarkEnd w:id="782"/>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184"/>
        <w:gridCol w:w="7568"/>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12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80"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Группа полей «Раздел 5: Расшифровка обязательства в валюте БО»</w:t>
            </w:r>
            <w:r/>
          </w:p>
        </w:tc>
      </w:tr>
      <w:tr>
        <w:trPr/>
        <w:tc>
          <w:tcPr>
            <w:shd w:val="clear" w:fill="auto" w:color="auto"/>
            <w:tcW w:w="1120" w:type="pct"/>
            <w:textDirection w:val="lrTb"/>
            <w:noWrap w:val="false"/>
          </w:tcPr>
          <w:p>
            <w:pPr>
              <w:pStyle w:val="1005"/>
              <w:ind w:left="57" w:right="57"/>
            </w:pPr>
            <w:r>
              <w:t xml:space="preserve">В валюте (код)</w:t>
            </w:r>
            <w:r/>
          </w:p>
        </w:tc>
        <w:tc>
          <w:tcPr>
            <w:shd w:val="clear" w:fill="auto" w:color="auto"/>
            <w:tcW w:w="3880" w:type="pct"/>
            <w:textDirection w:val="lrTb"/>
            <w:noWrap w:val="false"/>
          </w:tcPr>
          <w:p>
            <w:pPr>
              <w:pStyle w:val="1005"/>
              <w:ind w:left="57" w:right="57"/>
            </w:pPr>
            <w:r>
              <w:t xml:space="preserve">Отражается значение, указанное в поле «Валюта» раздела «Реквизиты документа-основания».</w:t>
            </w:r>
            <w:r/>
          </w:p>
        </w:tc>
      </w:tr>
      <w:tr>
        <w:trPr/>
        <w:tc>
          <w:tcPr>
            <w:shd w:val="clear" w:fill="auto" w:color="auto"/>
            <w:tcW w:w="1120" w:type="pct"/>
            <w:textDirection w:val="lrTb"/>
            <w:noWrap w:val="false"/>
          </w:tcPr>
          <w:p>
            <w:pPr>
              <w:pStyle w:val="1005"/>
              <w:ind w:left="57" w:right="57"/>
            </w:pPr>
            <w:r>
              <w:t xml:space="preserve">В валюте (наименование)</w:t>
            </w:r>
            <w:r/>
          </w:p>
        </w:tc>
        <w:tc>
          <w:tcPr>
            <w:shd w:val="clear" w:fill="auto" w:color="auto"/>
            <w:tcW w:w="3880" w:type="pct"/>
            <w:textDirection w:val="lrTb"/>
            <w:noWrap w:val="false"/>
          </w:tcPr>
          <w:p>
            <w:pPr>
              <w:pStyle w:val="1005"/>
              <w:ind w:left="57" w:right="57"/>
            </w:pPr>
            <w:r>
              <w:t xml:space="preserve">Значение заполняется автоматически по коду из справочника в</w:t>
            </w:r>
            <w:r>
              <w:t xml:space="preserve">а</w:t>
            </w:r>
            <w:r>
              <w:t xml:space="preserve">лют.</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«Итоги в разрезе ФАИП»</w:t>
            </w:r>
            <w:r/>
          </w:p>
        </w:tc>
      </w:tr>
      <w:tr>
        <w:trPr/>
        <w:tc>
          <w:tcPr>
            <w:shd w:val="clear" w:fill="auto" w:color="auto"/>
            <w:tcW w:w="1120" w:type="pct"/>
            <w:textDirection w:val="lrTb"/>
            <w:noWrap w:val="false"/>
          </w:tcPr>
          <w:p>
            <w:pPr>
              <w:pStyle w:val="1005"/>
              <w:ind w:left="57" w:right="57"/>
            </w:pPr>
            <w:r>
              <w:t xml:space="preserve">Код ФАИП</w:t>
            </w:r>
            <w:r/>
          </w:p>
        </w:tc>
        <w:tc>
          <w:tcPr>
            <w:shd w:val="clear" w:fill="auto" w:color="auto"/>
            <w:tcW w:w="3880" w:type="pct"/>
            <w:textDirection w:val="lrTb"/>
            <w:noWrap w:val="false"/>
          </w:tcPr>
          <w:p>
            <w:pPr>
              <w:pStyle w:val="1005"/>
              <w:ind w:left="57" w:right="57"/>
            </w:pPr>
            <w:r>
              <w:t xml:space="preserve">Значение заполняется вручную или выбором из справочника «ФАИП», выводить только записи справочника, у которых «Код объекта ФАИП» заполнен, а поле «Идентификатор этапа инвестирования по объекту ФАИП» пу</w:t>
            </w:r>
            <w:r>
              <w:t xml:space="preserve">с</w:t>
            </w:r>
            <w:r>
              <w:t xml:space="preserve">тое.</w:t>
            </w:r>
            <w:r/>
          </w:p>
        </w:tc>
      </w:tr>
      <w:tr>
        <w:trPr/>
        <w:tc>
          <w:tcPr>
            <w:shd w:val="clear" w:fill="auto" w:color="auto"/>
            <w:tcW w:w="1120" w:type="pct"/>
            <w:textDirection w:val="lrTb"/>
            <w:noWrap w:val="false"/>
          </w:tcPr>
          <w:p>
            <w:pPr>
              <w:pStyle w:val="1005"/>
              <w:ind w:left="57" w:right="57"/>
            </w:pPr>
            <w:r>
              <w:t xml:space="preserve">Наименование ФАИП</w:t>
            </w:r>
            <w:r/>
          </w:p>
        </w:tc>
        <w:tc>
          <w:tcPr>
            <w:shd w:val="clear" w:fill="auto" w:color="auto"/>
            <w:tcW w:w="3880" w:type="pct"/>
            <w:textDirection w:val="lrTb"/>
            <w:noWrap w:val="false"/>
          </w:tcPr>
          <w:p>
            <w:pPr>
              <w:pStyle w:val="1005"/>
              <w:ind w:left="57" w:right="57"/>
            </w:pPr>
            <w:r>
              <w:t xml:space="preserve">Подтягивается автоматически по коду из справочника «ФАИП».</w:t>
            </w:r>
            <w:r/>
          </w:p>
          <w:p>
            <w:pPr>
              <w:pStyle w:val="1005"/>
              <w:ind w:left="57" w:right="57"/>
            </w:pPr>
            <w:r>
              <w:t xml:space="preserve">Может быть изменено пользователем вручную.</w:t>
            </w:r>
            <w:r/>
          </w:p>
        </w:tc>
      </w:tr>
      <w:tr>
        <w:trPr/>
        <w:tc>
          <w:tcPr>
            <w:shd w:val="clear" w:fill="auto" w:color="auto"/>
            <w:tcW w:w="1120" w:type="pct"/>
            <w:textDirection w:val="lrTb"/>
            <w:noWrap w:val="false"/>
          </w:tcPr>
          <w:p>
            <w:pPr>
              <w:pStyle w:val="1005"/>
              <w:ind w:left="57" w:right="57"/>
            </w:pPr>
            <w:r>
              <w:t xml:space="preserve">Январь</w:t>
            </w:r>
            <w:r/>
          </w:p>
        </w:tc>
        <w:tc>
          <w:tcPr>
            <w:shd w:val="clear" w:fill="auto" w:color="auto"/>
            <w:tcW w:w="3880" w:type="pct"/>
            <w:textDirection w:val="lrTb"/>
            <w:noWrap w:val="false"/>
          </w:tcPr>
          <w:p>
            <w:pPr>
              <w:pStyle w:val="1005"/>
              <w:ind w:left="57" w:right="57"/>
            </w:pPr>
            <w:r>
              <w:t xml:space="preserve">Значение вводится вручную.</w:t>
            </w:r>
            <w:r/>
          </w:p>
        </w:tc>
      </w:tr>
      <w:tr>
        <w:trPr/>
        <w:tc>
          <w:tcPr>
            <w:shd w:val="clear" w:fill="auto" w:color="auto"/>
            <w:tcW w:w="1120" w:type="pct"/>
            <w:textDirection w:val="lrTb"/>
            <w:noWrap w:val="false"/>
          </w:tcPr>
          <w:p>
            <w:pPr>
              <w:pStyle w:val="1005"/>
              <w:ind w:left="57" w:right="57"/>
            </w:pPr>
            <w:r>
              <w:t xml:space="preserve">Февраль</w:t>
            </w:r>
            <w:r/>
          </w:p>
        </w:tc>
        <w:tc>
          <w:tcPr>
            <w:shd w:val="clear" w:fill="auto" w:color="auto"/>
            <w:tcW w:w="3880" w:type="pct"/>
            <w:textDirection w:val="lrTb"/>
            <w:noWrap w:val="false"/>
          </w:tcPr>
          <w:p>
            <w:pPr>
              <w:pStyle w:val="1005"/>
              <w:ind w:left="57" w:right="57"/>
            </w:pPr>
            <w:r>
              <w:t xml:space="preserve">Значение вводится вручную.</w:t>
            </w:r>
            <w:r/>
          </w:p>
        </w:tc>
      </w:tr>
      <w:tr>
        <w:trPr/>
        <w:tc>
          <w:tcPr>
            <w:shd w:val="clear" w:fill="auto" w:color="auto"/>
            <w:tcW w:w="1120" w:type="pct"/>
            <w:textDirection w:val="lrTb"/>
            <w:noWrap w:val="false"/>
          </w:tcPr>
          <w:p>
            <w:pPr>
              <w:pStyle w:val="1005"/>
              <w:ind w:left="57" w:right="57"/>
            </w:pPr>
            <w:r>
              <w:t xml:space="preserve">…</w:t>
            </w:r>
            <w:r/>
          </w:p>
        </w:tc>
        <w:tc>
          <w:tcPr>
            <w:shd w:val="clear" w:fill="auto" w:color="auto"/>
            <w:tcW w:w="3880" w:type="pct"/>
            <w:textDirection w:val="lrTb"/>
            <w:noWrap w:val="false"/>
          </w:tcPr>
          <w:p>
            <w:pPr>
              <w:pStyle w:val="1005"/>
              <w:ind w:left="57" w:right="57"/>
            </w:pPr>
            <w:r>
              <w:t xml:space="preserve">…</w:t>
            </w:r>
            <w:r/>
          </w:p>
        </w:tc>
      </w:tr>
      <w:tr>
        <w:trPr/>
        <w:tc>
          <w:tcPr>
            <w:shd w:val="clear" w:fill="auto" w:color="auto"/>
            <w:tcW w:w="1120" w:type="pct"/>
            <w:textDirection w:val="lrTb"/>
            <w:noWrap w:val="false"/>
          </w:tcPr>
          <w:p>
            <w:pPr>
              <w:pStyle w:val="1005"/>
              <w:ind w:left="57" w:right="57"/>
            </w:pPr>
            <w:r>
              <w:t xml:space="preserve">Декабрь</w:t>
            </w:r>
            <w:r/>
          </w:p>
        </w:tc>
        <w:tc>
          <w:tcPr>
            <w:shd w:val="clear" w:fill="auto" w:color="auto"/>
            <w:tcW w:w="3880" w:type="pct"/>
            <w:textDirection w:val="lrTb"/>
            <w:noWrap w:val="false"/>
          </w:tcPr>
          <w:p>
            <w:pPr>
              <w:pStyle w:val="1005"/>
              <w:ind w:left="57" w:right="57"/>
            </w:pPr>
            <w:r>
              <w:t xml:space="preserve">Значение вводится вручную.</w:t>
            </w:r>
            <w:r/>
          </w:p>
        </w:tc>
      </w:tr>
      <w:tr>
        <w:trPr/>
        <w:tc>
          <w:tcPr>
            <w:shd w:val="clear" w:fill="auto" w:color="auto"/>
            <w:tcW w:w="1120" w:type="pct"/>
            <w:textDirection w:val="lrTb"/>
            <w:noWrap w:val="false"/>
          </w:tcPr>
          <w:p>
            <w:pPr>
              <w:pStyle w:val="1005"/>
              <w:ind w:left="57" w:right="57"/>
            </w:pPr>
            <w:r>
              <w:t xml:space="preserve">Итого на текущий фин. </w:t>
            </w:r>
            <w:r>
              <w:t xml:space="preserve">Г</w:t>
            </w:r>
            <w:r>
              <w:t xml:space="preserve">од</w:t>
            </w:r>
            <w:r/>
          </w:p>
        </w:tc>
        <w:tc>
          <w:tcPr>
            <w:shd w:val="clear" w:fill="auto" w:color="auto"/>
            <w:tcW w:w="3880" w:type="pct"/>
            <w:textDirection w:val="lrTb"/>
            <w:noWrap w:val="false"/>
          </w:tcPr>
          <w:p>
            <w:pPr>
              <w:pStyle w:val="1005"/>
              <w:ind w:left="57" w:right="57"/>
            </w:pPr>
            <w:r>
              <w:t xml:space="preserve">Значение вводится вручную.</w:t>
            </w:r>
            <w:r/>
          </w:p>
        </w:tc>
      </w:tr>
      <w:tr>
        <w:trPr/>
        <w:tc>
          <w:tcPr>
            <w:shd w:val="clear" w:fill="auto" w:color="auto"/>
            <w:tcW w:w="1120" w:type="pct"/>
            <w:textDirection w:val="lrTb"/>
            <w:noWrap w:val="false"/>
          </w:tcPr>
          <w:p>
            <w:pPr>
              <w:pStyle w:val="1005"/>
              <w:ind w:left="57" w:right="57"/>
            </w:pPr>
            <w:r>
              <w:t xml:space="preserve">1-й год плана</w:t>
            </w:r>
            <w:r/>
          </w:p>
        </w:tc>
        <w:tc>
          <w:tcPr>
            <w:shd w:val="clear" w:fill="auto" w:color="auto"/>
            <w:tcW w:w="3880" w:type="pct"/>
            <w:textDirection w:val="lrTb"/>
            <w:noWrap w:val="false"/>
          </w:tcPr>
          <w:p>
            <w:pPr>
              <w:pStyle w:val="1005"/>
              <w:ind w:left="57" w:right="57"/>
            </w:pPr>
            <w:r>
              <w:t xml:space="preserve">Значение вводится вручную.</w:t>
            </w:r>
            <w:r/>
          </w:p>
        </w:tc>
      </w:tr>
      <w:tr>
        <w:trPr/>
        <w:tc>
          <w:tcPr>
            <w:shd w:val="clear" w:fill="auto" w:color="auto"/>
            <w:tcW w:w="1120" w:type="pct"/>
            <w:textDirection w:val="lrTb"/>
            <w:noWrap w:val="false"/>
          </w:tcPr>
          <w:p>
            <w:pPr>
              <w:pStyle w:val="1005"/>
              <w:ind w:left="57" w:right="57"/>
            </w:pPr>
            <w:r>
              <w:t xml:space="preserve">2-й год плана</w:t>
            </w:r>
            <w:r/>
          </w:p>
        </w:tc>
        <w:tc>
          <w:tcPr>
            <w:shd w:val="clear" w:fill="auto" w:color="auto"/>
            <w:tcW w:w="3880" w:type="pct"/>
            <w:textDirection w:val="lrTb"/>
            <w:noWrap w:val="false"/>
          </w:tcPr>
          <w:p>
            <w:pPr>
              <w:pStyle w:val="1005"/>
              <w:ind w:left="57" w:right="57"/>
            </w:pPr>
            <w:r>
              <w:t xml:space="preserve">Значение вводится вручную.</w:t>
            </w:r>
            <w:r/>
          </w:p>
        </w:tc>
      </w:tr>
      <w:tr>
        <w:trPr/>
        <w:tc>
          <w:tcPr>
            <w:shd w:val="clear" w:fill="auto" w:color="auto"/>
            <w:tcW w:w="1120" w:type="pct"/>
            <w:textDirection w:val="lrTb"/>
            <w:noWrap w:val="false"/>
          </w:tcPr>
          <w:p>
            <w:pPr>
              <w:pStyle w:val="1005"/>
              <w:ind w:left="57" w:right="57"/>
            </w:pPr>
            <w:r>
              <w:t xml:space="preserve">3-й год</w:t>
            </w:r>
            <w:r/>
          </w:p>
        </w:tc>
        <w:tc>
          <w:tcPr>
            <w:shd w:val="clear" w:fill="auto" w:color="auto"/>
            <w:tcW w:w="3880" w:type="pct"/>
            <w:textDirection w:val="lrTb"/>
            <w:noWrap w:val="false"/>
          </w:tcPr>
          <w:p>
            <w:pPr>
              <w:pStyle w:val="1005"/>
              <w:ind w:left="57" w:right="57"/>
            </w:pPr>
            <w:r>
              <w:t xml:space="preserve">Значение вводится вручную.</w:t>
            </w:r>
            <w:r/>
          </w:p>
        </w:tc>
      </w:tr>
      <w:tr>
        <w:trPr/>
        <w:tc>
          <w:tcPr>
            <w:shd w:val="clear" w:fill="auto" w:color="auto"/>
            <w:tcW w:w="1120" w:type="pct"/>
            <w:textDirection w:val="lrTb"/>
            <w:noWrap w:val="false"/>
          </w:tcPr>
          <w:p>
            <w:pPr>
              <w:pStyle w:val="1005"/>
              <w:ind w:left="57" w:right="57"/>
            </w:pPr>
            <w:r>
              <w:t xml:space="preserve">4-й год</w:t>
            </w:r>
            <w:r/>
          </w:p>
        </w:tc>
        <w:tc>
          <w:tcPr>
            <w:shd w:val="clear" w:fill="auto" w:color="auto"/>
            <w:tcW w:w="3880" w:type="pct"/>
            <w:textDirection w:val="lrTb"/>
            <w:noWrap w:val="false"/>
          </w:tcPr>
          <w:p>
            <w:pPr>
              <w:pStyle w:val="1005"/>
              <w:ind w:left="57" w:right="57"/>
            </w:pPr>
            <w:r>
              <w:t xml:space="preserve">Значение вводится вручную.</w:t>
            </w:r>
            <w:r/>
          </w:p>
        </w:tc>
      </w:tr>
      <w:tr>
        <w:trPr/>
        <w:tc>
          <w:tcPr>
            <w:shd w:val="clear" w:fill="auto" w:color="auto"/>
            <w:tcW w:w="1120" w:type="pct"/>
            <w:textDirection w:val="lrTb"/>
            <w:noWrap w:val="false"/>
          </w:tcPr>
          <w:p>
            <w:pPr>
              <w:pStyle w:val="1005"/>
              <w:ind w:left="57" w:right="57"/>
            </w:pPr>
            <w:r>
              <w:t xml:space="preserve">Последующие годы</w:t>
            </w:r>
            <w:r/>
          </w:p>
        </w:tc>
        <w:tc>
          <w:tcPr>
            <w:shd w:val="clear" w:fill="auto" w:color="auto"/>
            <w:tcW w:w="3880" w:type="pct"/>
            <w:textDirection w:val="lrTb"/>
            <w:noWrap w:val="false"/>
          </w:tcPr>
          <w:p>
            <w:pPr>
              <w:pStyle w:val="1005"/>
              <w:ind w:left="57" w:right="57"/>
            </w:pPr>
            <w:r>
              <w:t xml:space="preserve">Значение вводится вручную.</w:t>
            </w:r>
            <w:r/>
          </w:p>
        </w:tc>
      </w:tr>
      <w:tr>
        <w:trPr/>
        <w:tc>
          <w:tcPr>
            <w:gridSpan w:val="2"/>
            <w:shd w:val="clear" w:fill="auto" w:color="auto"/>
            <w:tcW w:w="5000" w:type="pct"/>
            <w:textDirection w:val="lrTb"/>
            <w:noWrap w:val="false"/>
          </w:tcPr>
          <w:p>
            <w:pPr>
              <w:pStyle w:val="1005"/>
              <w:ind w:left="57" w:right="57"/>
            </w:pPr>
            <w:r>
              <w:t xml:space="preserve">Табличное поле «Расшифровка по КБК для текущих итогов» (таблица является вложенной к итоговой стр</w:t>
            </w:r>
            <w:r>
              <w:t xml:space="preserve">о</w:t>
            </w:r>
            <w:r>
              <w:t xml:space="preserve">ке по ФАИП)</w:t>
            </w:r>
            <w:r/>
          </w:p>
        </w:tc>
      </w:tr>
      <w:tr>
        <w:trPr/>
        <w:tc>
          <w:tcPr>
            <w:shd w:val="clear" w:fill="auto" w:color="auto"/>
            <w:tcW w:w="1120" w:type="pct"/>
            <w:textDirection w:val="lrTb"/>
            <w:noWrap w:val="false"/>
          </w:tcPr>
          <w:p>
            <w:pPr>
              <w:pStyle w:val="1005"/>
              <w:ind w:left="57" w:right="57"/>
            </w:pPr>
            <w:r>
              <w:t xml:space="preserve">№</w:t>
            </w:r>
            <w:r/>
          </w:p>
        </w:tc>
        <w:tc>
          <w:tcPr>
            <w:shd w:val="clear" w:fill="auto" w:color="auto"/>
            <w:tcW w:w="3880" w:type="pct"/>
            <w:textDirection w:val="lrTb"/>
            <w:noWrap w:val="false"/>
          </w:tcPr>
          <w:p>
            <w:pPr>
              <w:pStyle w:val="1005"/>
              <w:ind w:left="57" w:right="57"/>
            </w:pPr>
            <w:r>
              <w:t xml:space="preserve">Номер позиции.</w:t>
            </w:r>
            <w:r/>
          </w:p>
          <w:p>
            <w:pPr>
              <w:pStyle w:val="1005"/>
              <w:ind w:left="57" w:right="57"/>
            </w:pPr>
            <w:r>
              <w:t xml:space="preserve">Заполняется автоматически.</w:t>
            </w:r>
            <w:r/>
          </w:p>
        </w:tc>
      </w:tr>
      <w:tr>
        <w:trPr>
          <w:trHeight w:val="433"/>
        </w:trPr>
        <w:tc>
          <w:tcPr>
            <w:shd w:val="clear" w:fill="auto" w:color="auto"/>
            <w:tcW w:w="1120" w:type="pct"/>
            <w:textDirection w:val="lrTb"/>
            <w:noWrap w:val="false"/>
          </w:tcPr>
          <w:p>
            <w:pPr>
              <w:pStyle w:val="1005"/>
              <w:ind w:left="57" w:right="57"/>
            </w:pPr>
            <w:r>
              <w:t xml:space="preserve">Вид средств </w:t>
            </w:r>
            <w:r/>
          </w:p>
          <w:p>
            <w:pPr>
              <w:pStyle w:val="1005"/>
              <w:ind w:left="57" w:right="57"/>
            </w:pPr>
            <w:r>
              <w:t xml:space="preserve">(код)</w:t>
            </w:r>
            <w:r/>
          </w:p>
        </w:tc>
        <w:tc>
          <w:tcPr>
            <w:shd w:val="clear" w:fill="auto" w:color="auto"/>
            <w:tcW w:w="3880" w:type="pct"/>
            <w:textDirection w:val="lrTb"/>
            <w:noWrap w:val="false"/>
          </w:tcPr>
          <w:p>
            <w:pPr>
              <w:pStyle w:val="1005"/>
              <w:ind w:left="57" w:right="57"/>
            </w:pPr>
            <w:r>
              <w:t xml:space="preserve">По умолчанию указывается значение – «10».</w:t>
            </w:r>
            <w:r/>
          </w:p>
          <w:p>
            <w:pPr>
              <w:pStyle w:val="1005"/>
              <w:ind w:left="57" w:right="57"/>
            </w:pPr>
            <w:r>
              <w:t xml:space="preserve">Значение заполняется автоматически из родительского д</w:t>
            </w:r>
            <w:r>
              <w:t xml:space="preserve">о</w:t>
            </w:r>
            <w:r>
              <w:t xml:space="preserve">кумента.</w:t>
            </w:r>
            <w:r/>
          </w:p>
          <w:p>
            <w:pPr>
              <w:pStyle w:val="1005"/>
              <w:ind w:left="57" w:right="57"/>
            </w:pPr>
            <w:r>
              <w:t xml:space="preserve">Может быть изменено пользователем вручную или выбором из справочн</w:t>
            </w:r>
            <w:r>
              <w:t xml:space="preserve">и</w:t>
            </w:r>
            <w:r>
              <w:t xml:space="preserve">ка «Источники финансирования». </w:t>
            </w:r>
            <w:r/>
          </w:p>
          <w:p>
            <w:pPr>
              <w:pStyle w:val="1005"/>
              <w:ind w:left="57" w:right="57"/>
            </w:pPr>
            <w:r>
              <w:t xml:space="preserve">Список значений, доступных для выбора пользователем ограничен следующими кодами: 10, 11.</w:t>
            </w:r>
            <w:r/>
          </w:p>
        </w:tc>
      </w:tr>
      <w:tr>
        <w:trPr>
          <w:trHeight w:val="70"/>
        </w:trPr>
        <w:tc>
          <w:tcPr>
            <w:shd w:val="clear" w:fill="auto" w:color="auto"/>
            <w:tcW w:w="1120" w:type="pct"/>
            <w:textDirection w:val="lrTb"/>
            <w:noWrap w:val="false"/>
          </w:tcPr>
          <w:p>
            <w:pPr>
              <w:pStyle w:val="1005"/>
              <w:ind w:left="57" w:right="57"/>
            </w:pPr>
            <w:r>
              <w:t xml:space="preserve">Вид средств (наименование)</w:t>
            </w:r>
            <w:r/>
          </w:p>
        </w:tc>
        <w:tc>
          <w:tcPr>
            <w:shd w:val="clear" w:fill="auto" w:color="auto"/>
            <w:tcW w:w="3880" w:type="pct"/>
            <w:textDirection w:val="lrTb"/>
            <w:noWrap w:val="false"/>
          </w:tcPr>
          <w:p>
            <w:pPr>
              <w:pStyle w:val="1005"/>
              <w:ind w:left="57" w:right="57"/>
            </w:pPr>
            <w:r>
              <w:t xml:space="preserve">Заполняется автоматически по коду из справочника «Источники финансирования».</w:t>
            </w:r>
            <w:r/>
          </w:p>
          <w:p>
            <w:pPr>
              <w:pStyle w:val="1005"/>
              <w:ind w:left="57" w:right="57"/>
            </w:pPr>
            <w:r>
              <w:t xml:space="preserve">Может быть изменено пользователем вручную.</w:t>
            </w:r>
            <w:r/>
          </w:p>
        </w:tc>
      </w:tr>
      <w:tr>
        <w:trPr/>
        <w:tc>
          <w:tcPr>
            <w:shd w:val="clear" w:fill="auto" w:color="auto"/>
            <w:tcW w:w="1120" w:type="pct"/>
            <w:textDirection w:val="lrTb"/>
            <w:noWrap w:val="false"/>
          </w:tcPr>
          <w:p>
            <w:pPr>
              <w:pStyle w:val="1005"/>
              <w:ind w:left="57" w:right="57"/>
            </w:pPr>
            <w:r>
              <w:t xml:space="preserve">КБК</w:t>
            </w:r>
            <w:r/>
          </w:p>
        </w:tc>
        <w:tc>
          <w:tcPr>
            <w:shd w:val="clear" w:fill="auto" w:color="auto"/>
            <w:tcW w:w="3880" w:type="pct"/>
            <w:textDirection w:val="lrTb"/>
            <w:noWrap w:val="false"/>
          </w:tcPr>
          <w:p>
            <w:pPr>
              <w:pStyle w:val="1005"/>
              <w:ind w:left="57" w:right="57"/>
            </w:pPr>
            <w:r>
              <w:t xml:space="preserve">Значение заполняется автоматически при выборе родительского докуме</w:t>
            </w:r>
            <w:r>
              <w:t xml:space="preserve">н</w:t>
            </w:r>
            <w:r>
              <w:t xml:space="preserve">та.</w:t>
            </w:r>
            <w:r/>
          </w:p>
          <w:p>
            <w:pPr>
              <w:pStyle w:val="1005"/>
              <w:ind w:left="57" w:right="57"/>
            </w:pPr>
            <w:r>
              <w:t xml:space="preserve">Значение вводится вручную или выбирается из справо</w:t>
            </w:r>
            <w:r>
              <w:t xml:space="preserve">ч</w:t>
            </w:r>
            <w:r>
              <w:t xml:space="preserve">ника КБК.</w:t>
            </w:r>
            <w:r/>
          </w:p>
          <w:p>
            <w:pPr>
              <w:pStyle w:val="1005"/>
              <w:ind w:left="57" w:right="57"/>
            </w:pPr>
            <w:r>
              <w:t xml:space="preserve">Пользователю доступны КБК</w:t>
            </w:r>
            <w:r>
              <w:t xml:space="preserve">,</w:t>
            </w:r>
            <w:r>
              <w:t xml:space="preserve"> у которых значение типа – «10», «11», «12».</w:t>
            </w:r>
            <w:r/>
          </w:p>
          <w:p>
            <w:pPr>
              <w:pStyle w:val="1005"/>
              <w:ind w:left="57" w:right="57"/>
            </w:pPr>
            <w:r>
              <w:t xml:space="preserve">Значение генерируется</w:t>
            </w:r>
            <w:r>
              <w:t xml:space="preserve"> автоматически из заполненных значений по сегме</w:t>
            </w:r>
            <w:r>
              <w:t xml:space="preserve">н</w:t>
            </w:r>
            <w:r>
              <w:t xml:space="preserve">там по следующим алгоритмам: ППП + ФКР</w:t>
            </w:r>
            <w:r>
              <w:t xml:space="preserve"> </w:t>
            </w:r>
            <w:r>
              <w:t xml:space="preserve">+</w:t>
            </w:r>
            <w:r>
              <w:t xml:space="preserve"> </w:t>
            </w:r>
            <w:r>
              <w:t xml:space="preserve">КЦСР</w:t>
            </w:r>
            <w:r>
              <w:t xml:space="preserve"> </w:t>
            </w:r>
            <w:r>
              <w:t xml:space="preserve">+</w:t>
            </w:r>
            <w:r>
              <w:t xml:space="preserve"> </w:t>
            </w:r>
            <w:r>
              <w:t xml:space="preserve">КВР</w:t>
            </w:r>
            <w:r>
              <w:t xml:space="preserve"> </w:t>
            </w:r>
            <w:r>
              <w:t xml:space="preserve">+</w:t>
            </w:r>
            <w:r>
              <w:t xml:space="preserve"> </w:t>
            </w:r>
            <w:r>
              <w:t xml:space="preserve">КОСГУ.</w:t>
            </w:r>
            <w:r/>
          </w:p>
        </w:tc>
      </w:tr>
      <w:tr>
        <w:trPr/>
        <w:tc>
          <w:tcPr>
            <w:shd w:val="clear" w:fill="auto" w:color="auto"/>
            <w:tcW w:w="1120" w:type="pct"/>
            <w:textDirection w:val="lrTb"/>
            <w:noWrap w:val="false"/>
          </w:tcPr>
          <w:p>
            <w:pPr>
              <w:pStyle w:val="1005"/>
              <w:ind w:left="57" w:right="57"/>
            </w:pPr>
            <w:r>
              <w:t xml:space="preserve">ППП</w:t>
            </w:r>
            <w:r/>
          </w:p>
        </w:tc>
        <w:tc>
          <w:tcPr>
            <w:shd w:val="clear" w:fill="auto" w:color="auto"/>
            <w:tcW w:w="3880" w:type="pct"/>
            <w:textDirection w:val="lrTb"/>
            <w:noWrap w:val="false"/>
          </w:tcPr>
          <w:p>
            <w:pPr>
              <w:pStyle w:val="1005"/>
              <w:ind w:left="57" w:right="57"/>
            </w:pPr>
            <w:r>
              <w:t xml:space="preserve">Код ведомственной структуры:</w:t>
            </w:r>
            <w:r/>
          </w:p>
          <w:p>
            <w:pPr>
              <w:pStyle w:val="1005"/>
              <w:ind w:left="57" w:right="57"/>
            </w:pPr>
            <w:r>
              <w:t xml:space="preserve">Значение заполняется автоматически при выборе родительского докуме</w:t>
            </w:r>
            <w:r>
              <w:t xml:space="preserve">н</w:t>
            </w:r>
            <w:r>
              <w:t xml:space="preserve">та.</w:t>
            </w:r>
            <w:r/>
          </w:p>
          <w:p>
            <w:pPr>
              <w:pStyle w:val="1005"/>
              <w:ind w:left="57" w:right="57"/>
            </w:pPr>
            <w:r>
              <w:t xml:space="preserve">Значение может вводиться вручную, выбираться пользователем из </w:t>
            </w:r>
            <w:r>
              <w:t xml:space="preserve">справочника «Ведомства» подведомств</w:t>
            </w:r>
            <w:r>
              <w:t xml:space="preserve">енных структур.</w:t>
            </w:r>
            <w:r/>
          </w:p>
        </w:tc>
      </w:tr>
      <w:tr>
        <w:trPr/>
        <w:tc>
          <w:tcPr>
            <w:shd w:val="clear" w:fill="auto" w:color="auto"/>
            <w:tcW w:w="1120" w:type="pct"/>
            <w:textDirection w:val="lrTb"/>
            <w:noWrap w:val="false"/>
          </w:tcPr>
          <w:p>
            <w:pPr>
              <w:pStyle w:val="1005"/>
              <w:ind w:left="57" w:right="57"/>
            </w:pPr>
            <w:r>
              <w:t xml:space="preserve">ФКР</w:t>
            </w:r>
            <w:r/>
          </w:p>
        </w:tc>
        <w:tc>
          <w:tcPr>
            <w:shd w:val="clear" w:fill="auto" w:color="auto"/>
            <w:tcW w:w="3880" w:type="pct"/>
            <w:textDirection w:val="lrTb"/>
            <w:noWrap w:val="false"/>
          </w:tcPr>
          <w:p>
            <w:pPr>
              <w:pStyle w:val="1005"/>
              <w:ind w:left="57" w:right="57"/>
            </w:pPr>
            <w:r>
              <w:t xml:space="preserve">Код функциональной классификации расходов:</w:t>
            </w:r>
            <w:r/>
          </w:p>
          <w:p>
            <w:pPr>
              <w:pStyle w:val="1005"/>
              <w:ind w:left="57" w:right="57"/>
            </w:pPr>
            <w:r>
              <w:t xml:space="preserve">Значение заполняется автоматически при выборе родительского докуме</w:t>
            </w:r>
            <w:r>
              <w:t xml:space="preserve">н</w:t>
            </w:r>
            <w:r>
              <w:t xml:space="preserve">та.</w:t>
            </w:r>
            <w:r/>
          </w:p>
          <w:p>
            <w:pPr>
              <w:pStyle w:val="1005"/>
              <w:ind w:left="57" w:right="57"/>
            </w:pPr>
            <w:r>
              <w:t xml:space="preserve">Значение заполняется вручную или выбирается из справочника разделов/подразделов.</w:t>
            </w:r>
            <w:r/>
          </w:p>
        </w:tc>
      </w:tr>
      <w:tr>
        <w:trPr/>
        <w:tc>
          <w:tcPr>
            <w:shd w:val="clear" w:fill="auto" w:color="auto"/>
            <w:tcW w:w="1120" w:type="pct"/>
            <w:textDirection w:val="lrTb"/>
            <w:noWrap w:val="false"/>
          </w:tcPr>
          <w:p>
            <w:pPr>
              <w:pStyle w:val="1005"/>
              <w:ind w:left="57" w:right="57"/>
            </w:pPr>
            <w:r>
              <w:t xml:space="preserve">КЦСР</w:t>
            </w:r>
            <w:r/>
          </w:p>
        </w:tc>
        <w:tc>
          <w:tcPr>
            <w:shd w:val="clear" w:fill="auto" w:color="auto"/>
            <w:tcW w:w="3880" w:type="pct"/>
            <w:textDirection w:val="lrTb"/>
            <w:noWrap w:val="false"/>
          </w:tcPr>
          <w:p>
            <w:pPr>
              <w:pStyle w:val="1005"/>
              <w:ind w:left="57" w:right="57"/>
            </w:pPr>
            <w:r>
              <w:t xml:space="preserve">Значение заполняется автоматически при выборе родительского докуме</w:t>
            </w:r>
            <w:r>
              <w:t xml:space="preserve">н</w:t>
            </w:r>
            <w:r>
              <w:t xml:space="preserve">та.</w:t>
            </w:r>
            <w:r/>
          </w:p>
          <w:p>
            <w:pPr>
              <w:pStyle w:val="1005"/>
              <w:ind w:left="57" w:right="57"/>
            </w:pPr>
            <w:r>
              <w:t xml:space="preserve">Значение заполняется вручную или выбирается из справочника целевых статей.</w:t>
            </w:r>
            <w:r/>
          </w:p>
        </w:tc>
      </w:tr>
      <w:tr>
        <w:trPr/>
        <w:tc>
          <w:tcPr>
            <w:shd w:val="clear" w:fill="auto" w:color="auto"/>
            <w:tcW w:w="1120" w:type="pct"/>
            <w:textDirection w:val="lrTb"/>
            <w:noWrap w:val="false"/>
          </w:tcPr>
          <w:p>
            <w:pPr>
              <w:pStyle w:val="1005"/>
              <w:ind w:left="57" w:right="57"/>
            </w:pPr>
            <w:r>
              <w:t xml:space="preserve">КВР</w:t>
            </w:r>
            <w:r/>
          </w:p>
        </w:tc>
        <w:tc>
          <w:tcPr>
            <w:shd w:val="clear" w:fill="auto" w:color="auto"/>
            <w:tcW w:w="3880" w:type="pct"/>
            <w:textDirection w:val="lrTb"/>
            <w:noWrap w:val="false"/>
          </w:tcPr>
          <w:p>
            <w:pPr>
              <w:pStyle w:val="1005"/>
              <w:ind w:left="57" w:right="57"/>
            </w:pPr>
            <w:r>
              <w:t xml:space="preserve">Значение заполняется автоматически при выборе родительского докуме</w:t>
            </w:r>
            <w:r>
              <w:t xml:space="preserve">н</w:t>
            </w:r>
            <w:r>
              <w:t xml:space="preserve">та.</w:t>
            </w:r>
            <w:r/>
          </w:p>
          <w:p>
            <w:pPr>
              <w:pStyle w:val="1005"/>
              <w:ind w:left="57" w:right="57"/>
            </w:pPr>
            <w:r>
              <w:t xml:space="preserve">Значение заполняется вручную или выбирается из справочника видов расходов.</w:t>
            </w:r>
            <w:r/>
          </w:p>
        </w:tc>
      </w:tr>
      <w:tr>
        <w:trPr/>
        <w:tc>
          <w:tcPr>
            <w:shd w:val="clear" w:fill="auto" w:color="auto"/>
            <w:tcW w:w="1120" w:type="pct"/>
            <w:textDirection w:val="lrTb"/>
            <w:noWrap w:val="false"/>
          </w:tcPr>
          <w:p>
            <w:pPr>
              <w:pStyle w:val="1005"/>
              <w:ind w:left="57" w:right="57"/>
            </w:pPr>
            <w:r>
              <w:t xml:space="preserve">КОСГУ</w:t>
            </w:r>
            <w:r/>
          </w:p>
        </w:tc>
        <w:tc>
          <w:tcPr>
            <w:shd w:val="clear" w:fill="auto" w:color="auto"/>
            <w:tcW w:w="3880" w:type="pct"/>
            <w:textDirection w:val="lrTb"/>
            <w:noWrap w:val="false"/>
          </w:tcPr>
          <w:p>
            <w:pPr>
              <w:pStyle w:val="1005"/>
              <w:ind w:left="57" w:right="57"/>
            </w:pPr>
            <w:r>
              <w:t xml:space="preserve">Код экономической классификации:</w:t>
            </w:r>
            <w:r/>
          </w:p>
          <w:p>
            <w:pPr>
              <w:pStyle w:val="1005"/>
              <w:ind w:left="57" w:right="57"/>
            </w:pPr>
            <w:r>
              <w:t xml:space="preserve">Значение заполняется автоматически при выборе родительского докуме</w:t>
            </w:r>
            <w:r>
              <w:t xml:space="preserve">н</w:t>
            </w:r>
            <w:r>
              <w:t xml:space="preserve">та.</w:t>
            </w:r>
            <w:r/>
          </w:p>
          <w:p>
            <w:pPr>
              <w:pStyle w:val="1005"/>
              <w:ind w:left="57" w:right="57"/>
            </w:pPr>
            <w:r>
              <w:t xml:space="preserve">Значение может вводиться вручную, выбираться пользователем из справочника «Экономическая классифик</w:t>
            </w:r>
            <w:r>
              <w:t xml:space="preserve">а</w:t>
            </w:r>
            <w:r>
              <w:t xml:space="preserve">ция».</w:t>
            </w:r>
            <w:r/>
          </w:p>
        </w:tc>
      </w:tr>
      <w:tr>
        <w:trPr/>
        <w:tc>
          <w:tcPr>
            <w:shd w:val="clear" w:fill="auto" w:color="auto"/>
            <w:tcW w:w="1120" w:type="pct"/>
            <w:textDirection w:val="lrTb"/>
            <w:noWrap w:val="false"/>
          </w:tcPr>
          <w:p>
            <w:pPr>
              <w:pStyle w:val="1005"/>
              <w:ind w:left="57" w:right="57"/>
            </w:pPr>
            <w:r>
              <w:t xml:space="preserve">Код цели</w:t>
            </w:r>
            <w:r/>
          </w:p>
        </w:tc>
        <w:tc>
          <w:tcPr>
            <w:shd w:val="clear" w:fill="auto" w:color="auto"/>
            <w:tcW w:w="3880" w:type="pct"/>
            <w:textDirection w:val="lrTb"/>
            <w:noWrap w:val="false"/>
          </w:tcPr>
          <w:p>
            <w:pPr>
              <w:pStyle w:val="1005"/>
              <w:ind w:left="57" w:right="57"/>
            </w:pPr>
            <w:r>
              <w:t xml:space="preserve">Значение заполняется автоматически при выборе родительского докуме</w:t>
            </w:r>
            <w:r>
              <w:t xml:space="preserve">н</w:t>
            </w:r>
            <w:r>
              <w:t xml:space="preserve">та.</w:t>
            </w:r>
            <w:r/>
          </w:p>
          <w:p>
            <w:pPr>
              <w:pStyle w:val="1005"/>
              <w:ind w:left="57" w:right="57"/>
            </w:pPr>
            <w:r>
              <w:t xml:space="preserve">Значение вводится вручную или выбирается из справочника кодов целей субсидий, субвенций.</w:t>
            </w:r>
            <w:r/>
          </w:p>
        </w:tc>
      </w:tr>
      <w:tr>
        <w:trPr/>
        <w:tc>
          <w:tcPr>
            <w:shd w:val="clear" w:fill="auto" w:color="auto"/>
            <w:tcW w:w="1120" w:type="pct"/>
            <w:textDirection w:val="lrTb"/>
            <w:noWrap w:val="false"/>
          </w:tcPr>
          <w:p>
            <w:pPr>
              <w:pStyle w:val="1005"/>
              <w:ind w:left="57" w:right="57"/>
            </w:pPr>
            <w:r>
              <w:t xml:space="preserve">Доп. КБК 2</w:t>
            </w:r>
            <w:r/>
          </w:p>
        </w:tc>
        <w:tc>
          <w:tcPr>
            <w:shd w:val="clear" w:fill="auto" w:color="auto"/>
            <w:tcW w:w="3880" w:type="pct"/>
            <w:textDirection w:val="lrTb"/>
            <w:noWrap w:val="false"/>
          </w:tcPr>
          <w:p>
            <w:pPr>
              <w:pStyle w:val="1005"/>
              <w:ind w:left="57" w:right="57"/>
            </w:pPr>
            <w:r>
              <w:t xml:space="preserve">Значение заполняется автоматически при выборе родительского докуме</w:t>
            </w:r>
            <w:r>
              <w:t xml:space="preserve">н</w:t>
            </w:r>
            <w:r>
              <w:t xml:space="preserve">та.</w:t>
            </w:r>
            <w:r/>
          </w:p>
          <w:p>
            <w:pPr>
              <w:pStyle w:val="1005"/>
              <w:ind w:left="57" w:right="57"/>
            </w:pPr>
            <w:r>
              <w:t xml:space="preserve">Значение вводится вручную или выбирается из справочника «Дополнение БК2».</w:t>
            </w:r>
            <w:r/>
          </w:p>
        </w:tc>
      </w:tr>
      <w:tr>
        <w:trPr/>
        <w:tc>
          <w:tcPr>
            <w:shd w:val="clear" w:fill="auto" w:color="auto"/>
            <w:tcW w:w="1120" w:type="pct"/>
            <w:textDirection w:val="lrTb"/>
            <w:noWrap w:val="false"/>
          </w:tcPr>
          <w:p>
            <w:pPr>
              <w:pStyle w:val="1005"/>
              <w:ind w:left="57" w:right="57"/>
            </w:pPr>
            <w:r>
              <w:t xml:space="preserve">Доп. КБК 3</w:t>
            </w:r>
            <w:r/>
          </w:p>
        </w:tc>
        <w:tc>
          <w:tcPr>
            <w:shd w:val="clear" w:fill="auto" w:color="auto"/>
            <w:tcW w:w="3880" w:type="pct"/>
            <w:textDirection w:val="lrTb"/>
            <w:noWrap w:val="false"/>
          </w:tcPr>
          <w:p>
            <w:pPr>
              <w:pStyle w:val="1005"/>
              <w:ind w:left="57" w:right="57"/>
            </w:pPr>
            <w:r>
              <w:t xml:space="preserve">Значение заполняется автоматически при выборе родительского докуме</w:t>
            </w:r>
            <w:r>
              <w:t xml:space="preserve">н</w:t>
            </w:r>
            <w:r>
              <w:t xml:space="preserve">та.</w:t>
            </w:r>
            <w:r/>
          </w:p>
          <w:p>
            <w:pPr>
              <w:pStyle w:val="1005"/>
              <w:ind w:left="57" w:right="57"/>
            </w:pPr>
            <w:r>
              <w:t xml:space="preserve">Значение вводится вручную или выбирается из справочника «Дополнение БК3».</w:t>
            </w:r>
            <w:r/>
          </w:p>
        </w:tc>
      </w:tr>
      <w:tr>
        <w:trPr/>
        <w:tc>
          <w:tcPr>
            <w:shd w:val="clear" w:fill="auto" w:color="auto"/>
            <w:tcW w:w="1120" w:type="pct"/>
            <w:textDirection w:val="lrTb"/>
            <w:noWrap w:val="false"/>
          </w:tcPr>
          <w:p>
            <w:pPr>
              <w:pStyle w:val="1005"/>
              <w:ind w:left="57" w:right="57"/>
            </w:pPr>
            <w:r>
              <w:t xml:space="preserve">Доп. КБК 4</w:t>
            </w:r>
            <w:r/>
          </w:p>
        </w:tc>
        <w:tc>
          <w:tcPr>
            <w:shd w:val="clear" w:fill="auto" w:color="auto"/>
            <w:tcW w:w="3880" w:type="pct"/>
            <w:textDirection w:val="lrTb"/>
            <w:noWrap w:val="false"/>
          </w:tcPr>
          <w:p>
            <w:pPr>
              <w:pStyle w:val="1005"/>
              <w:ind w:left="57" w:right="57"/>
            </w:pPr>
            <w:r>
              <w:t xml:space="preserve">Значение заполняется автоматически при выборе родительского докуме</w:t>
            </w:r>
            <w:r>
              <w:t xml:space="preserve">н</w:t>
            </w:r>
            <w:r>
              <w:t xml:space="preserve">та.</w:t>
            </w:r>
            <w:r/>
          </w:p>
          <w:p>
            <w:pPr>
              <w:pStyle w:val="1005"/>
              <w:ind w:left="57" w:right="57"/>
            </w:pPr>
            <w:r>
              <w:t xml:space="preserve">Значение вводится вручную или выбирается из справочника «Дополнение БК4».</w:t>
            </w:r>
            <w:r/>
          </w:p>
        </w:tc>
      </w:tr>
      <w:tr>
        <w:trPr/>
        <w:tc>
          <w:tcPr>
            <w:shd w:val="clear" w:fill="auto" w:color="auto"/>
            <w:tcW w:w="1120" w:type="pct"/>
            <w:textDirection w:val="lrTb"/>
            <w:noWrap w:val="false"/>
          </w:tcPr>
          <w:p>
            <w:pPr>
              <w:pStyle w:val="1005"/>
              <w:ind w:left="57" w:right="57"/>
            </w:pPr>
            <w:r>
              <w:t xml:space="preserve">Предмет документа о</w:t>
            </w:r>
            <w:r>
              <w:t xml:space="preserve">с</w:t>
            </w:r>
            <w:r>
              <w:t xml:space="preserve">нования</w:t>
            </w:r>
            <w:r/>
          </w:p>
        </w:tc>
        <w:tc>
          <w:tcPr>
            <w:shd w:val="clear" w:fill="auto" w:color="auto"/>
            <w:tcW w:w="3880" w:type="pct"/>
            <w:textDirection w:val="lrTb"/>
            <w:noWrap w:val="false"/>
          </w:tcPr>
          <w:p>
            <w:pPr>
              <w:pStyle w:val="1005"/>
              <w:ind w:left="57" w:right="57"/>
            </w:pPr>
            <w:r>
              <w:t xml:space="preserve">Значение может вводиться </w:t>
            </w:r>
            <w:r>
              <w:t xml:space="preserve">вручную или заполняться автоматически из родительского документа.</w:t>
            </w:r>
            <w:r/>
          </w:p>
        </w:tc>
      </w:tr>
      <w:tr>
        <w:trPr/>
        <w:tc>
          <w:tcPr>
            <w:shd w:val="clear" w:fill="auto" w:color="auto"/>
            <w:tcW w:w="1120" w:type="pct"/>
            <w:textDirection w:val="lrTb"/>
            <w:noWrap w:val="false"/>
          </w:tcPr>
          <w:p>
            <w:pPr>
              <w:pStyle w:val="1005"/>
              <w:ind w:left="57" w:right="57"/>
            </w:pPr>
            <w:r>
              <w:t xml:space="preserve">Примечание</w:t>
            </w:r>
            <w:r/>
          </w:p>
        </w:tc>
        <w:tc>
          <w:tcPr>
            <w:shd w:val="clear" w:fill="auto" w:color="auto"/>
            <w:tcW w:w="3880" w:type="pct"/>
            <w:textDirection w:val="lrTb"/>
            <w:noWrap w:val="false"/>
          </w:tcPr>
          <w:p>
            <w:pPr>
              <w:pStyle w:val="1005"/>
              <w:ind w:left="57" w:right="57"/>
            </w:pPr>
            <w:r>
              <w:t xml:space="preserve">Значение может вводиться </w:t>
            </w:r>
            <w:r>
              <w:t xml:space="preserve">вручную или заполняться автоматически из родительского документа.</w:t>
            </w:r>
            <w:r/>
          </w:p>
        </w:tc>
      </w:tr>
      <w:tr>
        <w:trPr/>
        <w:tc>
          <w:tcPr>
            <w:shd w:val="clear" w:fill="auto" w:color="auto"/>
            <w:tcW w:w="1120" w:type="pct"/>
            <w:textDirection w:val="lrTb"/>
            <w:noWrap w:val="false"/>
          </w:tcPr>
          <w:p>
            <w:pPr>
              <w:pStyle w:val="1005"/>
              <w:ind w:left="57" w:right="57"/>
            </w:pPr>
            <w:r>
              <w:t xml:space="preserve">Итого на текущий фин. </w:t>
            </w:r>
            <w:r>
              <w:t xml:space="preserve">Г</w:t>
            </w:r>
            <w:r>
              <w:t xml:space="preserve">од</w:t>
            </w:r>
            <w:r/>
          </w:p>
        </w:tc>
        <w:tc>
          <w:tcPr>
            <w:shd w:val="clear" w:fill="auto" w:color="auto"/>
            <w:tcW w:w="3880"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 или заполняться автоматически из родительского д</w:t>
            </w:r>
            <w:r>
              <w:t xml:space="preserve">о</w:t>
            </w:r>
            <w:r>
              <w:t xml:space="preserve">кумента.</w:t>
            </w:r>
            <w:r/>
          </w:p>
        </w:tc>
      </w:tr>
      <w:tr>
        <w:trPr/>
        <w:tc>
          <w:tcPr>
            <w:shd w:val="clear" w:fill="auto" w:color="auto"/>
            <w:tcW w:w="1120" w:type="pct"/>
            <w:textDirection w:val="lrTb"/>
            <w:noWrap w:val="false"/>
          </w:tcPr>
          <w:p>
            <w:pPr>
              <w:pStyle w:val="1005"/>
              <w:ind w:left="57" w:right="57"/>
            </w:pPr>
            <w:r>
              <w:t xml:space="preserve">1-й год плана</w:t>
            </w:r>
            <w:r/>
          </w:p>
        </w:tc>
        <w:tc>
          <w:tcPr>
            <w:shd w:val="clear" w:fill="auto" w:color="auto"/>
            <w:tcW w:w="3880"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 или заполняться автоматич</w:t>
            </w:r>
            <w:r>
              <w:t xml:space="preserve">е</w:t>
            </w:r>
            <w:r>
              <w:t xml:space="preserve">ски из родительского документа.</w:t>
            </w:r>
            <w:r/>
          </w:p>
        </w:tc>
      </w:tr>
      <w:tr>
        <w:trPr/>
        <w:tc>
          <w:tcPr>
            <w:shd w:val="clear" w:fill="auto" w:color="auto"/>
            <w:tcW w:w="1120" w:type="pct"/>
            <w:textDirection w:val="lrTb"/>
            <w:noWrap w:val="false"/>
          </w:tcPr>
          <w:p>
            <w:pPr>
              <w:pStyle w:val="1005"/>
              <w:ind w:left="57" w:right="57"/>
            </w:pPr>
            <w:r>
              <w:t xml:space="preserve">2-й год плана</w:t>
            </w:r>
            <w:r/>
          </w:p>
        </w:tc>
        <w:tc>
          <w:tcPr>
            <w:shd w:val="clear" w:fill="auto" w:color="auto"/>
            <w:tcW w:w="3880"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 или заполняться автоматич</w:t>
            </w:r>
            <w:r>
              <w:t xml:space="preserve">е</w:t>
            </w:r>
            <w:r>
              <w:t xml:space="preserve">ски из родительского документа.</w:t>
            </w:r>
            <w:r/>
          </w:p>
        </w:tc>
      </w:tr>
      <w:tr>
        <w:trPr/>
        <w:tc>
          <w:tcPr>
            <w:shd w:val="clear" w:fill="auto" w:color="auto"/>
            <w:tcW w:w="1120" w:type="pct"/>
            <w:textDirection w:val="lrTb"/>
            <w:noWrap w:val="false"/>
          </w:tcPr>
          <w:p>
            <w:pPr>
              <w:pStyle w:val="1005"/>
              <w:ind w:left="57" w:right="57"/>
            </w:pPr>
            <w:r>
              <w:t xml:space="preserve">3-й год</w:t>
            </w:r>
            <w:r/>
          </w:p>
        </w:tc>
        <w:tc>
          <w:tcPr>
            <w:shd w:val="clear" w:fill="auto" w:color="auto"/>
            <w:tcW w:w="3880"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 или заполняться автоматич</w:t>
            </w:r>
            <w:r>
              <w:t xml:space="preserve">е</w:t>
            </w:r>
            <w:r>
              <w:t xml:space="preserve">ски из родительского документа.</w:t>
            </w:r>
            <w:r/>
          </w:p>
        </w:tc>
      </w:tr>
      <w:tr>
        <w:trPr/>
        <w:tc>
          <w:tcPr>
            <w:shd w:val="clear" w:fill="auto" w:color="auto"/>
            <w:tcW w:w="1120" w:type="pct"/>
            <w:textDirection w:val="lrTb"/>
            <w:noWrap w:val="false"/>
          </w:tcPr>
          <w:p>
            <w:pPr>
              <w:pStyle w:val="1005"/>
              <w:ind w:left="57" w:right="57"/>
            </w:pPr>
            <w:r>
              <w:t xml:space="preserve">4-й год</w:t>
            </w:r>
            <w:r/>
          </w:p>
        </w:tc>
        <w:tc>
          <w:tcPr>
            <w:shd w:val="clear" w:fill="auto" w:color="auto"/>
            <w:tcW w:w="3880"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 или заполняться автоматич</w:t>
            </w:r>
            <w:r>
              <w:t xml:space="preserve">е</w:t>
            </w:r>
            <w:r>
              <w:t xml:space="preserve">ски из родительского документа.</w:t>
            </w:r>
            <w:r/>
          </w:p>
        </w:tc>
      </w:tr>
      <w:tr>
        <w:trPr/>
        <w:tc>
          <w:tcPr>
            <w:shd w:val="clear" w:fill="auto" w:color="auto"/>
            <w:tcW w:w="1120" w:type="pct"/>
            <w:textDirection w:val="lrTb"/>
            <w:noWrap w:val="false"/>
          </w:tcPr>
          <w:p>
            <w:pPr>
              <w:pStyle w:val="1005"/>
              <w:ind w:left="57" w:right="57"/>
            </w:pPr>
            <w:r>
              <w:t xml:space="preserve">Последующие годы</w:t>
            </w:r>
            <w:r/>
          </w:p>
        </w:tc>
        <w:tc>
          <w:tcPr>
            <w:shd w:val="clear" w:fill="auto" w:color="auto"/>
            <w:tcW w:w="3880"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 вручную или заполняться автоматич</w:t>
            </w:r>
            <w:r>
              <w:t xml:space="preserve">е</w:t>
            </w:r>
            <w:r>
              <w:t xml:space="preserve">ски из родительского документа.</w:t>
            </w:r>
            <w:r/>
          </w:p>
        </w:tc>
      </w:tr>
      <w:tr>
        <w:trPr/>
        <w:tc>
          <w:tcPr>
            <w:gridSpan w:val="2"/>
            <w:shd w:val="clear" w:fill="auto" w:color="auto"/>
            <w:tcW w:w="5000" w:type="pct"/>
            <w:textDirection w:val="lrTb"/>
            <w:noWrap w:val="false"/>
          </w:tcPr>
          <w:p>
            <w:pPr>
              <w:pStyle w:val="1005"/>
              <w:ind w:left="57" w:right="57"/>
            </w:pPr>
            <w:r>
              <w:t xml:space="preserve">Группа полей «График оплаты» </w:t>
            </w:r>
            <w:r/>
          </w:p>
        </w:tc>
      </w:tr>
      <w:tr>
        <w:trPr/>
        <w:tc>
          <w:tcPr>
            <w:shd w:val="clear" w:fill="auto" w:color="auto"/>
            <w:tcW w:w="1120" w:type="pct"/>
            <w:textDirection w:val="lrTb"/>
            <w:noWrap w:val="false"/>
          </w:tcPr>
          <w:p>
            <w:pPr>
              <w:pStyle w:val="1005"/>
              <w:ind w:left="57" w:right="57"/>
            </w:pPr>
            <w:r>
              <w:t xml:space="preserve">Январь</w:t>
            </w:r>
            <w:r/>
          </w:p>
        </w:tc>
        <w:tc>
          <w:tcPr>
            <w:shd w:val="clear" w:fill="auto" w:color="auto"/>
            <w:tcW w:w="3880"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Значение заполняется автоматически при выборе родительского докуме</w:t>
            </w:r>
            <w:r>
              <w:t xml:space="preserve">н</w:t>
            </w:r>
            <w:r>
              <w:t xml:space="preserve">та.</w:t>
            </w:r>
            <w:r/>
          </w:p>
          <w:p>
            <w:pPr>
              <w:pStyle w:val="1005"/>
              <w:ind w:left="57" w:right="57"/>
            </w:pPr>
            <w:r>
              <w:t xml:space="preserve">Значение вводится вручную.</w:t>
            </w:r>
            <w:r/>
          </w:p>
        </w:tc>
      </w:tr>
      <w:tr>
        <w:trPr/>
        <w:tc>
          <w:tcPr>
            <w:shd w:val="clear" w:fill="auto" w:color="auto"/>
            <w:tcW w:w="1120" w:type="pct"/>
            <w:textDirection w:val="lrTb"/>
            <w:noWrap w:val="false"/>
          </w:tcPr>
          <w:p>
            <w:pPr>
              <w:pStyle w:val="1005"/>
              <w:ind w:left="57" w:right="57"/>
            </w:pPr>
            <w:r>
              <w:t xml:space="preserve">Февраль</w:t>
            </w:r>
            <w:r/>
          </w:p>
        </w:tc>
        <w:tc>
          <w:tcPr>
            <w:shd w:val="clear" w:fill="auto" w:color="auto"/>
            <w:tcW w:w="3880"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Значение заполняется автоматически при выборе родительского докуме</w:t>
            </w:r>
            <w:r>
              <w:t xml:space="preserve">н</w:t>
            </w:r>
            <w:r>
              <w:t xml:space="preserve">та.</w:t>
            </w:r>
            <w:r/>
          </w:p>
          <w:p>
            <w:pPr>
              <w:pStyle w:val="1005"/>
              <w:ind w:left="57" w:right="57"/>
            </w:pPr>
            <w:r>
              <w:t xml:space="preserve">Значение вводится вручную.</w:t>
            </w:r>
            <w:r/>
          </w:p>
        </w:tc>
      </w:tr>
      <w:tr>
        <w:trPr/>
        <w:tc>
          <w:tcPr>
            <w:shd w:val="clear" w:fill="auto" w:color="auto"/>
            <w:tcW w:w="1120" w:type="pct"/>
            <w:textDirection w:val="lrTb"/>
            <w:noWrap w:val="false"/>
          </w:tcPr>
          <w:p>
            <w:pPr>
              <w:pStyle w:val="1005"/>
              <w:ind w:left="57" w:right="57"/>
            </w:pPr>
            <w:r>
              <w:t xml:space="preserve">…</w:t>
            </w:r>
            <w:r/>
          </w:p>
        </w:tc>
        <w:tc>
          <w:tcPr>
            <w:shd w:val="clear" w:fill="auto" w:color="auto"/>
            <w:tcW w:w="3880" w:type="pct"/>
            <w:textDirection w:val="lrTb"/>
            <w:noWrap w:val="false"/>
          </w:tcPr>
          <w:p>
            <w:pPr>
              <w:pStyle w:val="1005"/>
              <w:ind w:left="57" w:right="57"/>
            </w:pPr>
            <w:r>
              <w:t xml:space="preserve">…</w:t>
            </w:r>
            <w:r/>
          </w:p>
        </w:tc>
      </w:tr>
      <w:tr>
        <w:trPr/>
        <w:tc>
          <w:tcPr>
            <w:shd w:val="clear" w:fill="auto" w:color="auto"/>
            <w:tcW w:w="1120" w:type="pct"/>
            <w:textDirection w:val="lrTb"/>
            <w:noWrap w:val="false"/>
          </w:tcPr>
          <w:p>
            <w:pPr>
              <w:pStyle w:val="1005"/>
              <w:ind w:left="57" w:right="57"/>
            </w:pPr>
            <w:r>
              <w:t xml:space="preserve">Декабрь</w:t>
            </w:r>
            <w:r/>
          </w:p>
        </w:tc>
        <w:tc>
          <w:tcPr>
            <w:shd w:val="clear" w:fill="auto" w:color="auto"/>
            <w:tcW w:w="3880" w:type="pct"/>
            <w:textDirection w:val="lrTb"/>
            <w:noWrap w:val="false"/>
          </w:tcPr>
          <w:p>
            <w:pPr>
              <w:pStyle w:val="1005"/>
              <w:ind w:left="57" w:right="57"/>
            </w:pPr>
            <w:r>
              <w:t xml:space="preserve">По умолчанию поле заполняется значением «0.00».</w:t>
            </w:r>
            <w:r/>
          </w:p>
          <w:p>
            <w:pPr>
              <w:pStyle w:val="1005"/>
              <w:ind w:left="57" w:right="57"/>
            </w:pPr>
            <w:r>
              <w:t xml:space="preserve">Значение заполняется автоматически при выборе родительского докуме</w:t>
            </w:r>
            <w:r>
              <w:t xml:space="preserve">н</w:t>
            </w:r>
            <w:r>
              <w:t xml:space="preserve">та.</w:t>
            </w:r>
            <w:r/>
          </w:p>
          <w:p>
            <w:pPr>
              <w:pStyle w:val="1005"/>
              <w:ind w:left="57" w:right="57"/>
            </w:pPr>
            <w:r>
              <w:t xml:space="preserve">Значение вводится вручную.</w:t>
            </w:r>
            <w:r/>
          </w:p>
        </w:tc>
      </w:tr>
      <w:tr>
        <w:trPr/>
        <w:tc>
          <w:tcPr>
            <w:shd w:val="clear" w:fill="auto" w:color="auto"/>
            <w:tcW w:w="1120" w:type="pct"/>
            <w:textDirection w:val="lrTb"/>
            <w:noWrap w:val="false"/>
          </w:tcPr>
          <w:p>
            <w:pPr>
              <w:pStyle w:val="1005"/>
              <w:ind w:left="57" w:right="57"/>
            </w:pPr>
            <w:r>
              <w:t xml:space="preserve">Сумма по расшифровке </w:t>
            </w:r>
            <w:r/>
          </w:p>
        </w:tc>
        <w:tc>
          <w:tcPr>
            <w:shd w:val="clear" w:fill="auto" w:color="auto"/>
            <w:tcW w:w="3880" w:type="pct"/>
            <w:textDirection w:val="lrTb"/>
            <w:noWrap w:val="false"/>
          </w:tcPr>
          <w:p>
            <w:pPr>
              <w:pStyle w:val="1005"/>
              <w:ind w:left="57" w:right="57"/>
            </w:pPr>
            <w:r>
              <w:t xml:space="preserve">Значение рассчитывается автоматически как сумма всех строк по всем г</w:t>
            </w:r>
            <w:r>
              <w:t xml:space="preserve">о</w:t>
            </w:r>
            <w:r>
              <w:t xml:space="preserve">дам.</w:t>
            </w:r>
            <w:r/>
          </w:p>
        </w:tc>
      </w:tr>
      <w:tr>
        <w:trPr/>
        <w:tc>
          <w:tcPr>
            <w:shd w:val="clear" w:fill="auto" w:color="auto"/>
            <w:tcW w:w="1120" w:type="pct"/>
            <w:textDirection w:val="lrTb"/>
            <w:noWrap w:val="false"/>
          </w:tcPr>
          <w:p>
            <w:pPr>
              <w:pStyle w:val="1005"/>
              <w:ind w:left="57" w:right="57"/>
            </w:pPr>
            <w:r>
              <w:t xml:space="preserve">Отклонение</w:t>
            </w:r>
            <w:r/>
          </w:p>
        </w:tc>
        <w:tc>
          <w:tcPr>
            <w:shd w:val="clear" w:fill="auto" w:color="auto"/>
            <w:tcW w:w="3880" w:type="pct"/>
            <w:textDirection w:val="lrTb"/>
            <w:noWrap w:val="false"/>
          </w:tcPr>
          <w:p>
            <w:pPr>
              <w:pStyle w:val="1005"/>
              <w:ind w:left="57" w:right="57"/>
            </w:pPr>
            <w:r>
              <w:t xml:space="preserve">Значение рассчитывается автоматически. Сравнивается значение, указанное в заголовке и сумма всех строк по всем годам. Значение выводится по мод</w:t>
            </w:r>
            <w:r>
              <w:t xml:space="preserve">у</w:t>
            </w:r>
            <w:r>
              <w:t xml:space="preserve">лю.</w:t>
            </w:r>
            <w:r/>
          </w:p>
        </w:tc>
      </w:tr>
      <w:tr>
        <w:trPr/>
        <w:tc>
          <w:tcPr>
            <w:gridSpan w:val="2"/>
            <w:shd w:val="clear" w:fill="auto" w:color="auto"/>
            <w:tcW w:w="5000" w:type="pct"/>
            <w:textDirection w:val="lrTb"/>
            <w:noWrap w:val="false"/>
          </w:tcPr>
          <w:p>
            <w:pPr>
              <w:pStyle w:val="1005"/>
              <w:ind w:left="57" w:right="57"/>
            </w:pPr>
            <w:r>
              <w:t xml:space="preserve">Группа полей «Контрольные суммы»</w:t>
            </w:r>
            <w:r/>
          </w:p>
        </w:tc>
      </w:tr>
      <w:tr>
        <w:trPr/>
        <w:tc>
          <w:tcPr>
            <w:shd w:val="clear" w:fill="auto" w:color="auto"/>
            <w:tcW w:w="1120" w:type="pct"/>
            <w:textDirection w:val="lrTb"/>
            <w:noWrap w:val="false"/>
          </w:tcPr>
          <w:p>
            <w:pPr>
              <w:pStyle w:val="1005"/>
              <w:ind w:left="57" w:right="57"/>
            </w:pPr>
            <w:r>
              <w:t xml:space="preserve">Сумма по документу-основанию</w:t>
            </w:r>
            <w:r/>
          </w:p>
        </w:tc>
        <w:tc>
          <w:tcPr>
            <w:shd w:val="clear" w:fill="auto" w:color="auto"/>
            <w:tcW w:w="3880" w:type="pct"/>
            <w:textDirection w:val="lrTb"/>
            <w:noWrap w:val="false"/>
          </w:tcPr>
          <w:p>
            <w:pPr>
              <w:pStyle w:val="1005"/>
              <w:ind w:left="57" w:right="57"/>
            </w:pPr>
            <w:r>
              <w:t xml:space="preserve">Значение заполняется автоматически и является равным полю «Сумма в валюте БО» (Раздел 1: Реквизиты док</w:t>
            </w:r>
            <w:r>
              <w:t xml:space="preserve">у</w:t>
            </w:r>
            <w:r>
              <w:t xml:space="preserve">мента-основания).</w:t>
            </w:r>
            <w:r/>
          </w:p>
        </w:tc>
      </w:tr>
      <w:tr>
        <w:trPr/>
        <w:tc>
          <w:tcPr>
            <w:shd w:val="clear" w:fill="auto" w:color="auto"/>
            <w:tcW w:w="1120" w:type="pct"/>
            <w:textDirection w:val="lrTb"/>
            <w:noWrap w:val="false"/>
          </w:tcPr>
          <w:p>
            <w:pPr>
              <w:pStyle w:val="1005"/>
              <w:ind w:left="57" w:right="57"/>
            </w:pPr>
            <w:r>
              <w:t xml:space="preserve">Сумма по расшифровке </w:t>
            </w:r>
            <w:r/>
          </w:p>
        </w:tc>
        <w:tc>
          <w:tcPr>
            <w:shd w:val="clear" w:fill="auto" w:color="auto"/>
            <w:tcW w:w="3880" w:type="pct"/>
            <w:textDirection w:val="lrTb"/>
            <w:noWrap w:val="false"/>
          </w:tcPr>
          <w:p>
            <w:pPr>
              <w:pStyle w:val="1005"/>
              <w:ind w:left="57" w:right="57"/>
            </w:pPr>
            <w:r>
              <w:t xml:space="preserve">Значение рассчитывается автоматически как сумма всех строк по всем г</w:t>
            </w:r>
            <w:r>
              <w:t xml:space="preserve">о</w:t>
            </w:r>
            <w:r>
              <w:t xml:space="preserve">дам всех подитогов по кодам ФАИП.</w:t>
            </w:r>
            <w:r/>
          </w:p>
        </w:tc>
      </w:tr>
      <w:tr>
        <w:trPr/>
        <w:tc>
          <w:tcPr>
            <w:shd w:val="clear" w:fill="auto" w:color="auto"/>
            <w:tcW w:w="1120" w:type="pct"/>
            <w:textDirection w:val="lrTb"/>
            <w:noWrap w:val="false"/>
          </w:tcPr>
          <w:p>
            <w:pPr>
              <w:pStyle w:val="1005"/>
              <w:ind w:left="57" w:right="57"/>
            </w:pPr>
            <w:r>
              <w:t xml:space="preserve">Отклонение </w:t>
            </w:r>
            <w:r/>
          </w:p>
        </w:tc>
        <w:tc>
          <w:tcPr>
            <w:shd w:val="clear" w:fill="auto" w:color="auto"/>
            <w:tcW w:w="3880" w:type="pct"/>
            <w:textDirection w:val="lrTb"/>
            <w:noWrap w:val="false"/>
          </w:tcPr>
          <w:p>
            <w:pPr>
              <w:pStyle w:val="1005"/>
              <w:ind w:left="57" w:right="57"/>
            </w:pPr>
            <w:r>
              <w:t xml:space="preserve">Значение рассчитывается автоматически. Сравнивается значение, указанное в заголовке и сумма всех строк по всем годам. Значение выводится по мод</w:t>
            </w:r>
            <w:r>
              <w:t xml:space="preserve">у</w:t>
            </w:r>
            <w:r>
              <w:t xml:space="preserve">лю.</w:t>
            </w:r>
            <w:r/>
          </w:p>
        </w:tc>
      </w:tr>
    </w:tbl>
    <w:p>
      <w:pPr>
        <w:pStyle w:val="994"/>
      </w:pPr>
      <w:r>
        <w:t xml:space="preserve">ЭФ документа «Заявка на перерегистрацию бюджетного обязательс</w:t>
      </w:r>
      <w:r>
        <w:t xml:space="preserve">т</w:t>
      </w:r>
      <w:r>
        <w:t xml:space="preserve">ва», закладка «Подписи (4)»</w:t>
      </w:r>
      <w:r>
        <w:t xml:space="preserve"> </w:t>
      </w:r>
      <w:r>
        <w:t xml:space="preserve">представлена </w:t>
      </w:r>
      <w:r>
        <w:t xml:space="preserve">н</w:t>
      </w:r>
      <w:r>
        <w:t xml:space="preserve">а рисунке</w:t>
      </w:r>
      <w:r>
        <w:t xml:space="preserve"> </w:t>
      </w:r>
      <w:r>
        <w:fldChar w:fldCharType="begin"/>
      </w:r>
      <w:r>
        <w:instrText xml:space="preserve"> REF _Ref357521466 \h  \* MERGEFORMAT </w:instrText>
      </w:r>
      <w:r>
        <w:fldChar w:fldCharType="separate"/>
      </w:r>
      <w:r>
        <w:t xml:space="preserve">88</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186940"/>
                <wp:effectExtent l="0" t="0" r="0" b="0"/>
                <wp:docPr id="16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55"/>
                        <a:stretch/>
                      </pic:blipFill>
                      <pic:spPr bwMode="auto">
                        <a:xfrm>
                          <a:off x="0" y="0"/>
                          <a:ext cx="6126480" cy="21869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 o:spid="_x0000_s161" type="#_x0000_t75" style="mso-wrap-distance-left:0.0pt;mso-wrap-distance-top:0.0pt;mso-wrap-distance-right:0.0pt;mso-wrap-distance-bottom:0.0pt;width:482.4pt;height:172.2pt;" stroked="f">
                <v:path textboxrect="0,0,0,0"/>
                <v:imagedata r:id="rId155" o:title=""/>
              </v:shape>
            </w:pict>
          </mc:Fallback>
        </mc:AlternateContent>
      </w:r>
      <w:r/>
    </w:p>
    <w:p>
      <w:pPr>
        <w:pStyle w:val="983"/>
      </w:pPr>
      <w:r>
        <w:fldChar w:fldCharType="begin"/>
      </w:r>
      <w:r>
        <w:instrText xml:space="preserve"> SEQ Рисунок \* ARABIC </w:instrText>
      </w:r>
      <w:r>
        <w:fldChar w:fldCharType="separate"/>
      </w:r>
      <w:bookmarkStart w:id="783" w:name="_Ref357521466"/>
      <w:r/>
      <w:bookmarkStart w:id="784" w:name="_Toc88819473"/>
      <w:r>
        <w:t xml:space="preserve">88</w:t>
      </w:r>
      <w:bookmarkEnd w:id="783"/>
      <w:r>
        <w:fldChar w:fldCharType="end"/>
      </w:r>
      <w:r>
        <w:t xml:space="preserve">. ЭФ документа «Заявка на перерегистрацию бюджетного обязательства</w:t>
      </w:r>
      <w:r>
        <w:t xml:space="preserve">», закладки «</w:t>
      </w:r>
      <w:r>
        <w:t xml:space="preserve">Подписи (4)»</w:t>
      </w:r>
      <w:bookmarkEnd w:id="784"/>
      <w:r/>
      <w:r/>
    </w:p>
    <w:p>
      <w:pPr>
        <w:pStyle w:val="994"/>
      </w:pPr>
      <w:r>
        <w:t xml:space="preserve">Перечень полей </w:t>
      </w:r>
      <w:r>
        <w:t xml:space="preserve">документа «Заявка на перерегистрацию бюджетного обязательства», закладки «Подписи (4)»</w:t>
      </w:r>
      <w:r>
        <w:t xml:space="preserve"> </w:t>
      </w:r>
      <w:r>
        <w:t xml:space="preserve">приведен в таблице</w:t>
      </w:r>
      <w:r>
        <w:t xml:space="preserve"> </w:t>
      </w:r>
      <w:r>
        <w:fldChar w:fldCharType="begin"/>
      </w:r>
      <w:r>
        <w:instrText xml:space="preserve"> REF _Ref365468255 \h </w:instrText>
      </w:r>
      <w:r>
        <w:instrText xml:space="preserve"> \* MERGEFORMAT </w:instrText>
      </w:r>
      <w:r>
        <w:fldChar w:fldCharType="separate"/>
      </w:r>
      <w:r>
        <w:t xml:space="preserve">45</w:t>
      </w:r>
      <w:r>
        <w:fldChar w:fldCharType="end"/>
      </w:r>
      <w:r>
        <w:t xml:space="preserve">.</w:t>
      </w:r>
      <w:r/>
    </w:p>
    <w:p>
      <w:pPr>
        <w:pStyle w:val="993"/>
      </w:pPr>
      <w:r>
        <w:fldChar w:fldCharType="begin"/>
      </w:r>
      <w:r>
        <w:instrText xml:space="preserve"> SEQ Таблица \* ARABIC </w:instrText>
      </w:r>
      <w:r>
        <w:fldChar w:fldCharType="separate"/>
      </w:r>
      <w:bookmarkStart w:id="785" w:name="_Ref365468255"/>
      <w:r/>
      <w:bookmarkStart w:id="786" w:name="_Toc88819231"/>
      <w:r>
        <w:t xml:space="preserve">45</w:t>
      </w:r>
      <w:bookmarkEnd w:id="785"/>
      <w:r>
        <w:fldChar w:fldCharType="end"/>
      </w:r>
      <w:r>
        <w:t xml:space="preserve">. Описание полей </w:t>
      </w:r>
      <w:r>
        <w:t xml:space="preserve">документа «Заявка на перерегистрацию бюджетного обязательства», закладки «Подписи (4)»</w:t>
      </w:r>
      <w:bookmarkEnd w:id="786"/>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892"/>
        <w:gridCol w:w="6860"/>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483"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517" w:type="pct"/>
            <w:vAlign w:val="center"/>
            <w:textDirection w:val="lrTb"/>
            <w:noWrap w:val="false"/>
          </w:tcPr>
          <w:p>
            <w:pPr>
              <w:pStyle w:val="1006"/>
            </w:pPr>
            <w:r>
              <w:t xml:space="preserve">Описание</w:t>
            </w:r>
            <w:r>
              <w:t xml:space="preserve"> поля</w:t>
            </w:r>
            <w:r/>
          </w:p>
        </w:tc>
      </w:tr>
      <w:tr>
        <w:trPr/>
        <w:tc>
          <w:tcPr>
            <w:shd w:val="clear" w:fill="auto" w:color="auto"/>
            <w:tcW w:w="1483" w:type="pct"/>
            <w:textDirection w:val="lrTb"/>
            <w:noWrap w:val="false"/>
          </w:tcPr>
          <w:p>
            <w:pPr>
              <w:pStyle w:val="1005"/>
              <w:ind w:left="57" w:right="57"/>
            </w:pPr>
            <w:r>
              <w:t xml:space="preserve">Руководитель (уполномоченное им л</w:t>
            </w:r>
            <w:r>
              <w:t xml:space="preserve">и</w:t>
            </w:r>
            <w:r>
              <w:t xml:space="preserve">цо): должность</w:t>
            </w:r>
            <w:r/>
          </w:p>
        </w:tc>
        <w:tc>
          <w:tcPr>
            <w:shd w:val="clear" w:fill="auto" w:color="auto"/>
            <w:tcW w:w="3517" w:type="pct"/>
            <w:textDirection w:val="lrTb"/>
            <w:noWrap w:val="false"/>
          </w:tcPr>
          <w:p>
            <w:pPr>
              <w:pStyle w:val="1005"/>
              <w:ind w:left="57" w:right="57"/>
            </w:pPr>
            <w:r>
              <w:t xml:space="preserve">Выбирается из списка сотрудников, либо вводится вру</w:t>
            </w:r>
            <w:r>
              <w:t xml:space="preserve">ч</w:t>
            </w:r>
            <w:r>
              <w:t xml:space="preserve">ную.</w:t>
            </w:r>
            <w:r/>
          </w:p>
        </w:tc>
      </w:tr>
      <w:tr>
        <w:trPr/>
        <w:tc>
          <w:tcPr>
            <w:shd w:val="clear" w:fill="auto" w:color="auto"/>
            <w:tcW w:w="1483" w:type="pct"/>
            <w:textDirection w:val="lrTb"/>
            <w:noWrap w:val="false"/>
          </w:tcPr>
          <w:p>
            <w:pPr>
              <w:pStyle w:val="1005"/>
              <w:ind w:left="57" w:right="57"/>
            </w:pPr>
            <w:r>
              <w:t xml:space="preserve">Расшифровка подписи</w:t>
            </w:r>
            <w:r/>
          </w:p>
        </w:tc>
        <w:tc>
          <w:tcPr>
            <w:shd w:val="clear" w:fill="auto" w:color="auto"/>
            <w:tcW w:w="3517" w:type="pct"/>
            <w:textDirection w:val="lrTb"/>
            <w:noWrap w:val="false"/>
          </w:tcPr>
          <w:p>
            <w:pPr>
              <w:pStyle w:val="1005"/>
              <w:ind w:left="57" w:right="57"/>
            </w:pPr>
            <w:r>
              <w:t xml:space="preserve">Значение заполняется автоматически из справочника сотрудников после заполнения поля Руководитель (уполномоченное им лицо): должность. Может быть изменено вручную.</w:t>
            </w:r>
            <w:r/>
          </w:p>
        </w:tc>
      </w:tr>
      <w:tr>
        <w:trPr/>
        <w:tc>
          <w:tcPr>
            <w:shd w:val="clear" w:fill="auto" w:color="auto"/>
            <w:tcW w:w="1483" w:type="pct"/>
            <w:textDirection w:val="lrTb"/>
            <w:noWrap w:val="false"/>
          </w:tcPr>
          <w:p>
            <w:pPr>
              <w:pStyle w:val="1005"/>
              <w:ind w:left="57" w:right="57"/>
            </w:pPr>
            <w:r>
              <w:t xml:space="preserve">Дата подписания</w:t>
            </w:r>
            <w:r/>
          </w:p>
        </w:tc>
        <w:tc>
          <w:tcPr>
            <w:shd w:val="clear" w:fill="auto" w:color="auto"/>
            <w:tcW w:w="3517" w:type="pct"/>
            <w:textDirection w:val="lrTb"/>
            <w:noWrap w:val="false"/>
          </w:tcPr>
          <w:p>
            <w:pPr>
              <w:pStyle w:val="1005"/>
              <w:ind w:left="57" w:right="57"/>
            </w:pPr>
            <w:r>
              <w:t xml:space="preserve">По умолчанию текущая дата. Значение вводится вручную или выбирается из системного календаря.</w:t>
            </w:r>
            <w:r/>
          </w:p>
        </w:tc>
      </w:tr>
      <w:tr>
        <w:trPr/>
        <w:tc>
          <w:tcPr>
            <w:shd w:val="clear" w:fill="auto" w:color="auto"/>
            <w:tcW w:w="1483" w:type="pct"/>
            <w:textDirection w:val="lrTb"/>
            <w:noWrap w:val="false"/>
          </w:tcPr>
          <w:p>
            <w:pPr>
              <w:pStyle w:val="1005"/>
              <w:ind w:left="57" w:right="57"/>
            </w:pPr>
            <w:r>
              <w:t xml:space="preserve">Должность исполнителя</w:t>
            </w:r>
            <w:r/>
          </w:p>
        </w:tc>
        <w:tc>
          <w:tcPr>
            <w:shd w:val="clear" w:fill="auto" w:color="auto"/>
            <w:tcW w:w="3517" w:type="pct"/>
            <w:textDirection w:val="lrTb"/>
            <w:noWrap w:val="false"/>
          </w:tcPr>
          <w:p>
            <w:pPr>
              <w:pStyle w:val="1005"/>
              <w:ind w:left="57" w:right="57"/>
            </w:pPr>
            <w:r>
              <w:t xml:space="preserve">Не заполняется. Закрыто на редактирование.</w:t>
            </w:r>
            <w:r/>
          </w:p>
        </w:tc>
      </w:tr>
      <w:tr>
        <w:trPr/>
        <w:tc>
          <w:tcPr>
            <w:shd w:val="clear" w:fill="auto" w:color="auto"/>
            <w:tcW w:w="1483" w:type="pct"/>
            <w:textDirection w:val="lrTb"/>
            <w:noWrap w:val="false"/>
          </w:tcPr>
          <w:p>
            <w:pPr>
              <w:pStyle w:val="1005"/>
              <w:ind w:left="57" w:right="57"/>
            </w:pPr>
            <w:r>
              <w:t xml:space="preserve">Расшифровка подписи</w:t>
            </w:r>
            <w:r/>
          </w:p>
        </w:tc>
        <w:tc>
          <w:tcPr>
            <w:shd w:val="clear" w:fill="auto" w:color="auto"/>
            <w:tcW w:w="3517" w:type="pct"/>
            <w:textDirection w:val="lrTb"/>
            <w:noWrap w:val="false"/>
          </w:tcPr>
          <w:p>
            <w:pPr>
              <w:pStyle w:val="1005"/>
              <w:ind w:left="57" w:right="57"/>
            </w:pPr>
            <w:r>
              <w:t xml:space="preserve">Не заполняется. Закрыто на редактирование.</w:t>
            </w:r>
            <w:r/>
          </w:p>
        </w:tc>
      </w:tr>
      <w:tr>
        <w:trPr/>
        <w:tc>
          <w:tcPr>
            <w:shd w:val="clear" w:fill="auto" w:color="auto"/>
            <w:tcW w:w="1483" w:type="pct"/>
            <w:textDirection w:val="lrTb"/>
            <w:noWrap w:val="false"/>
          </w:tcPr>
          <w:p>
            <w:pPr>
              <w:pStyle w:val="1005"/>
              <w:ind w:left="57" w:right="57"/>
            </w:pPr>
            <w:r>
              <w:t xml:space="preserve">Телефон исполнителя</w:t>
            </w:r>
            <w:r/>
          </w:p>
        </w:tc>
        <w:tc>
          <w:tcPr>
            <w:shd w:val="clear" w:fill="auto" w:color="auto"/>
            <w:tcW w:w="3517" w:type="pct"/>
            <w:textDirection w:val="lrTb"/>
            <w:noWrap w:val="false"/>
          </w:tcPr>
          <w:p>
            <w:pPr>
              <w:pStyle w:val="1005"/>
              <w:ind w:left="57" w:right="57"/>
            </w:pPr>
            <w:r>
              <w:t xml:space="preserve">Не заполняется. Закрыто на редактирование.</w:t>
            </w:r>
            <w:r/>
          </w:p>
        </w:tc>
      </w:tr>
      <w:tr>
        <w:trPr/>
        <w:tc>
          <w:tcPr>
            <w:shd w:val="clear" w:fill="auto" w:color="auto"/>
            <w:tcW w:w="1483" w:type="pct"/>
            <w:textDirection w:val="lrTb"/>
            <w:noWrap w:val="false"/>
          </w:tcPr>
          <w:p>
            <w:pPr>
              <w:pStyle w:val="1005"/>
              <w:ind w:left="57" w:right="57"/>
            </w:pPr>
            <w:r>
              <w:t xml:space="preserve">Дата регистрации в ФК</w:t>
            </w:r>
            <w:r/>
          </w:p>
        </w:tc>
        <w:tc>
          <w:tcPr>
            <w:shd w:val="clear" w:fill="auto" w:color="auto"/>
            <w:tcW w:w="3517" w:type="pct"/>
            <w:textDirection w:val="lrTb"/>
            <w:noWrap w:val="false"/>
          </w:tcPr>
          <w:p>
            <w:pPr>
              <w:pStyle w:val="1005"/>
              <w:ind w:left="57" w:right="57"/>
            </w:pPr>
            <w:r>
              <w:t xml:space="preserve">Не заполняется. Закрыто на редактирование.</w:t>
            </w:r>
            <w:r/>
          </w:p>
        </w:tc>
      </w:tr>
      <w:tr>
        <w:trPr/>
        <w:tc>
          <w:tcPr>
            <w:shd w:val="clear" w:fill="auto" w:color="auto"/>
            <w:tcW w:w="1483" w:type="pct"/>
            <w:textDirection w:val="lrTb"/>
            <w:noWrap w:val="false"/>
          </w:tcPr>
          <w:p>
            <w:pPr>
              <w:pStyle w:val="1005"/>
              <w:ind w:left="57" w:right="57"/>
            </w:pPr>
            <w:r>
              <w:t xml:space="preserve">Примечание</w:t>
            </w:r>
            <w:r/>
          </w:p>
        </w:tc>
        <w:tc>
          <w:tcPr>
            <w:shd w:val="clear" w:fill="auto" w:color="auto"/>
            <w:tcW w:w="3517" w:type="pct"/>
            <w:textDirection w:val="lrTb"/>
            <w:noWrap w:val="false"/>
          </w:tcPr>
          <w:p>
            <w:pPr>
              <w:pStyle w:val="1005"/>
              <w:ind w:left="57" w:right="57"/>
            </w:pPr>
            <w:r>
              <w:t xml:space="preserve">Не заполняется. Закрыто на редактирование.</w:t>
            </w:r>
            <w:r/>
          </w:p>
        </w:tc>
      </w:tr>
    </w:tbl>
    <w:p>
      <w:pPr>
        <w:pStyle w:val="972"/>
      </w:pPr>
      <w:r/>
      <w:bookmarkStart w:id="787" w:name="_Ref435696975"/>
      <w:r/>
      <w:bookmarkStart w:id="788" w:name="_Toc88819112"/>
      <w:r>
        <w:t xml:space="preserve">Извещение о постановке на учет (изменении) БО в ФК</w:t>
      </w:r>
      <w:bookmarkEnd w:id="787"/>
      <w:r/>
      <w:bookmarkEnd w:id="788"/>
      <w:r/>
      <w:r/>
    </w:p>
    <w:p>
      <w:pPr>
        <w:pStyle w:val="994"/>
      </w:pPr>
      <w:r>
        <w:t xml:space="preserve">Документ «Извещение о постановке на учет (изменении) БО в ФК» предназначен для обеспечения технологии ведения и обработки документов БО в </w:t>
      </w:r>
      <w:r>
        <w:t xml:space="preserve">ППО АСФК</w:t>
      </w:r>
      <w:r>
        <w:t xml:space="preserve">.</w:t>
      </w:r>
      <w:r/>
    </w:p>
    <w:p>
      <w:pPr>
        <w:pStyle w:val="994"/>
      </w:pPr>
      <w:r>
        <w:t xml:space="preserve">Документ «Извещение о постановке на учет (изменении) БО в ФК» формируется в </w:t>
      </w:r>
      <w:r>
        <w:t xml:space="preserve">ППО OEBS АСФК</w:t>
      </w:r>
      <w:r>
        <w:t xml:space="preserve"> при регистрации документов «Сведения о бюджетном обязательстве» и выгружается в </w:t>
      </w:r>
      <w:r>
        <w:t xml:space="preserve">ППО СУФД АСФК</w:t>
      </w:r>
      <w:r>
        <w:t xml:space="preserve"> для до</w:t>
      </w:r>
      <w:r>
        <w:t xml:space="preserve">ставки в адрес УБП, принимающего на учет бюджетное обязательство.</w:t>
      </w:r>
      <w:r/>
    </w:p>
    <w:p>
      <w:pPr>
        <w:pStyle w:val="994"/>
      </w:pPr>
      <w:r>
        <w:t xml:space="preserve">Для работы с документами «</w:t>
      </w:r>
      <w:r>
        <w:t xml:space="preserve">Извещение о постановке на учет (изменении) БО в ФК</w:t>
      </w:r>
      <w:r>
        <w:t xml:space="preserve">» следует перейти в пункт меню «Документы</w:t>
      </w:r>
      <w:r>
        <w:t xml:space="preserve"> – </w:t>
      </w:r>
      <w:r>
        <w:t xml:space="preserve">Регистрация и учет обяз</w:t>
      </w:r>
      <w:r>
        <w:t xml:space="preserve">а</w:t>
      </w:r>
      <w:r>
        <w:t xml:space="preserve">тельств</w:t>
      </w:r>
      <w:r>
        <w:t xml:space="preserve"> – Карточки учета БО – </w:t>
      </w:r>
      <w:r>
        <w:t xml:space="preserve">Извещение о постановке на учет (изменении) БО в ФК</w:t>
      </w:r>
      <w:r>
        <w:t xml:space="preserve">». Откроется ЭФ списка д</w:t>
      </w:r>
      <w:r>
        <w:t xml:space="preserve">о</w:t>
      </w:r>
      <w:r>
        <w:t xml:space="preserve">кументов, представленная на </w:t>
      </w:r>
      <w:r>
        <w:t xml:space="preserve">рису</w:t>
      </w:r>
      <w:r>
        <w:t xml:space="preserve">н</w:t>
      </w:r>
      <w:r>
        <w:t xml:space="preserve">ке </w:t>
      </w:r>
      <w:r>
        <w:fldChar w:fldCharType="begin"/>
      </w:r>
      <w:r>
        <w:instrText xml:space="preserve"> REF _Ref435696976 \h </w:instrText>
      </w:r>
      <w:r>
        <w:fldChar w:fldCharType="separate"/>
      </w:r>
      <w:r>
        <w:t xml:space="preserve">89</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5029200"/>
                <wp:effectExtent l="0" t="0" r="0" b="0"/>
                <wp:docPr id="16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56"/>
                        <a:stretch/>
                      </pic:blipFill>
                      <pic:spPr bwMode="auto">
                        <a:xfrm>
                          <a:off x="0" y="0"/>
                          <a:ext cx="6126480" cy="50292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 o:spid="_x0000_s162" type="#_x0000_t75" style="mso-wrap-distance-left:0.0pt;mso-wrap-distance-top:0.0pt;mso-wrap-distance-right:0.0pt;mso-wrap-distance-bottom:0.0pt;width:482.4pt;height:396.0pt;" stroked="f">
                <v:path textboxrect="0,0,0,0"/>
                <v:imagedata r:id="rId156" o:title=""/>
              </v:shape>
            </w:pict>
          </mc:Fallback>
        </mc:AlternateContent>
      </w:r>
      <w:r/>
    </w:p>
    <w:p>
      <w:pPr>
        <w:pStyle w:val="983"/>
      </w:pPr>
      <w:r>
        <w:fldChar w:fldCharType="begin"/>
      </w:r>
      <w:r>
        <w:instrText xml:space="preserve"> SEQ Рисунок \* ARABIC </w:instrText>
      </w:r>
      <w:r>
        <w:fldChar w:fldCharType="separate"/>
      </w:r>
      <w:bookmarkStart w:id="789" w:name="_Ref435696976"/>
      <w:r/>
      <w:bookmarkStart w:id="790" w:name="_Toc88819474"/>
      <w:r>
        <w:t xml:space="preserve">89</w:t>
      </w:r>
      <w:bookmarkEnd w:id="789"/>
      <w:r>
        <w:fldChar w:fldCharType="end"/>
      </w:r>
      <w:r>
        <w:t xml:space="preserve">. ЭФ списка документов </w:t>
      </w:r>
      <w:r>
        <w:t xml:space="preserve">«</w:t>
      </w:r>
      <w:r>
        <w:t xml:space="preserve">Извещение о постановке на учет (изменении) БО в ФК</w:t>
      </w:r>
      <w:r>
        <w:t xml:space="preserve">»</w:t>
      </w:r>
      <w:bookmarkEnd w:id="790"/>
      <w:r/>
      <w:r/>
    </w:p>
    <w:p>
      <w:pPr>
        <w:pStyle w:val="973"/>
      </w:pPr>
      <w:r>
        <w:t xml:space="preserve">Доступные операции</w:t>
      </w:r>
      <w:r/>
    </w:p>
    <w:p>
      <w:pPr>
        <w:pStyle w:val="994"/>
      </w:pPr>
      <w:r>
        <w:t xml:space="preserve">На АРМ </w:t>
      </w:r>
      <w:r>
        <w:t xml:space="preserve">ФО</w:t>
      </w:r>
      <w:r>
        <w:t xml:space="preserve"> доступны следующие операции над документом:</w:t>
      </w:r>
      <w:r/>
    </w:p>
    <w:p>
      <w:pPr>
        <w:pStyle w:val="985"/>
      </w:pPr>
      <w:r>
        <w:t xml:space="preserve">просмотр;</w:t>
      </w:r>
      <w:r/>
    </w:p>
    <w:p>
      <w:pPr>
        <w:pStyle w:val="985"/>
      </w:pPr>
      <w:r>
        <w:t xml:space="preserve">проверка</w:t>
      </w:r>
      <w:r>
        <w:t xml:space="preserve"> </w:t>
      </w:r>
      <w:r>
        <w:t xml:space="preserve">ЭП</w:t>
      </w:r>
      <w:r>
        <w:t xml:space="preserve">;</w:t>
      </w:r>
      <w:r/>
    </w:p>
    <w:p>
      <w:pPr>
        <w:pStyle w:val="985"/>
      </w:pPr>
      <w:r>
        <w:t xml:space="preserve">печать;</w:t>
      </w:r>
      <w:r/>
    </w:p>
    <w:p>
      <w:pPr>
        <w:pStyle w:val="985"/>
      </w:pPr>
      <w:r>
        <w:t xml:space="preserve">загрузка из </w:t>
      </w:r>
      <w:r>
        <w:t xml:space="preserve">OEBS</w:t>
      </w:r>
      <w:r>
        <w:t xml:space="preserve">;</w:t>
      </w:r>
      <w:r/>
    </w:p>
    <w:p>
      <w:pPr>
        <w:pStyle w:val="985"/>
      </w:pPr>
      <w:r>
        <w:t xml:space="preserve">экспорт во внешнюю систему</w:t>
      </w:r>
      <w:r>
        <w:t xml:space="preserve">.</w:t>
      </w:r>
      <w:r/>
    </w:p>
    <w:p>
      <w:pPr>
        <w:pStyle w:val="973"/>
      </w:pPr>
      <w:r>
        <w:t xml:space="preserve">Экранная форма документа</w:t>
      </w:r>
      <w:r/>
    </w:p>
    <w:p>
      <w:pPr>
        <w:pStyle w:val="994"/>
      </w:pPr>
      <w:r>
        <w:t xml:space="preserve">ЭФ </w:t>
      </w:r>
      <w:r>
        <w:t xml:space="preserve">документа «</w:t>
      </w:r>
      <w:r>
        <w:t xml:space="preserve">Извещение о постановке на учет (изменении) БО в ФК</w:t>
      </w:r>
      <w:r>
        <w:t xml:space="preserve">»</w:t>
      </w:r>
      <w:r>
        <w:t xml:space="preserve"> представлена на рисунках</w:t>
      </w:r>
      <w:r>
        <w:t xml:space="preserve"> </w:t>
      </w:r>
      <w:r>
        <w:fldChar w:fldCharType="begin"/>
      </w:r>
      <w:r>
        <w:instrText xml:space="preserve"> REF _Ref435694864 \h </w:instrText>
      </w:r>
      <w:r>
        <w:fldChar w:fldCharType="separate"/>
      </w:r>
      <w:r>
        <w:t xml:space="preserve">90</w:t>
      </w:r>
      <w:r>
        <w:fldChar w:fldCharType="end"/>
      </w:r>
      <w:r>
        <w:t xml:space="preserve"> </w:t>
      </w:r>
      <w:r>
        <w:t xml:space="preserve">и</w:t>
      </w:r>
      <w:r>
        <w:t xml:space="preserve"> </w:t>
      </w:r>
      <w:r>
        <w:fldChar w:fldCharType="begin"/>
      </w:r>
      <w:r>
        <w:instrText xml:space="preserve"> REF _Ref435694865 \h </w:instrText>
      </w:r>
      <w:r>
        <w:fldChar w:fldCharType="separate"/>
      </w:r>
      <w:r>
        <w:t xml:space="preserve">91</w:t>
      </w:r>
      <w:r>
        <w:fldChar w:fldCharType="end"/>
      </w:r>
      <w:r>
        <w:t xml:space="preserve">. </w:t>
      </w:r>
      <w:r>
        <w:t xml:space="preserve">Форма содержит следующие закладки</w:t>
      </w:r>
      <w:r>
        <w:t xml:space="preserve">:</w:t>
      </w:r>
      <w:r/>
    </w:p>
    <w:p>
      <w:pPr>
        <w:pStyle w:val="985"/>
      </w:pPr>
      <w:r>
        <w:t xml:space="preserve">«</w:t>
      </w:r>
      <w:r>
        <w:t xml:space="preserve">Основные а</w:t>
      </w:r>
      <w:r>
        <w:t xml:space="preserve">т</w:t>
      </w:r>
      <w:r>
        <w:t xml:space="preserve">рибуты</w:t>
      </w:r>
      <w:r>
        <w:t xml:space="preserve">»</w:t>
      </w:r>
      <w:r>
        <w:t xml:space="preserve">;</w:t>
      </w:r>
      <w:r/>
    </w:p>
    <w:p>
      <w:pPr>
        <w:pStyle w:val="985"/>
      </w:pPr>
      <w:r>
        <w:t xml:space="preserve">«Подписи»</w:t>
      </w:r>
      <w:r>
        <w:t xml:space="preserve">;</w:t>
      </w:r>
      <w:r/>
    </w:p>
    <w:p>
      <w:pPr>
        <w:pStyle w:val="985"/>
      </w:pPr>
      <w:r>
        <w:t xml:space="preserve">«</w:t>
      </w:r>
      <w:r>
        <w:t xml:space="preserve">Системные атр</w:t>
      </w:r>
      <w:r>
        <w:t xml:space="preserve">и</w:t>
      </w:r>
      <w:r>
        <w:t xml:space="preserve">буты</w:t>
      </w:r>
      <w:r>
        <w:t xml:space="preserve">»</w:t>
      </w:r>
      <w:r>
        <w:t xml:space="preserve">;</w:t>
      </w:r>
      <w:r/>
    </w:p>
    <w:p>
      <w:pPr>
        <w:pStyle w:val="985"/>
      </w:pPr>
      <w:r>
        <w:t xml:space="preserve">«</w:t>
      </w:r>
      <w:r>
        <w:t xml:space="preserve">Протоколы</w:t>
      </w:r>
      <w:r>
        <w:t xml:space="preserve">»</w:t>
      </w:r>
      <w:r>
        <w:t xml:space="preserve">.</w:t>
      </w:r>
      <w:r/>
    </w:p>
    <w:p>
      <w:pPr>
        <w:pStyle w:val="982"/>
      </w:pPr>
      <w:r>
        <mc:AlternateContent>
          <mc:Choice Requires="wpg">
            <w:drawing>
              <wp:inline xmlns:wp="http://schemas.openxmlformats.org/drawingml/2006/wordprocessingDrawing" distT="0" distB="0" distL="0" distR="0">
                <wp:extent cx="6118860" cy="4206240"/>
                <wp:effectExtent l="0" t="0" r="0" b="0"/>
                <wp:docPr id="16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57"/>
                        <a:stretch/>
                      </pic:blipFill>
                      <pic:spPr bwMode="auto">
                        <a:xfrm>
                          <a:off x="0" y="0"/>
                          <a:ext cx="6118860" cy="42062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 o:spid="_x0000_s163" type="#_x0000_t75" style="mso-wrap-distance-left:0.0pt;mso-wrap-distance-top:0.0pt;mso-wrap-distance-right:0.0pt;mso-wrap-distance-bottom:0.0pt;width:481.8pt;height:331.2pt;" stroked="f">
                <v:path textboxrect="0,0,0,0"/>
                <v:imagedata r:id="rId157" o:title=""/>
              </v:shape>
            </w:pict>
          </mc:Fallback>
        </mc:AlternateContent>
      </w:r>
      <w:r/>
    </w:p>
    <w:p>
      <w:pPr>
        <w:pStyle w:val="983"/>
      </w:pPr>
      <w:r>
        <w:fldChar w:fldCharType="begin"/>
      </w:r>
      <w:r>
        <w:instrText xml:space="preserve"> SEQ Рисунок \* ARABIC </w:instrText>
      </w:r>
      <w:r>
        <w:fldChar w:fldCharType="separate"/>
      </w:r>
      <w:bookmarkStart w:id="791" w:name="_Ref435694864"/>
      <w:r/>
      <w:bookmarkStart w:id="792" w:name="_Toc88819475"/>
      <w:r>
        <w:t xml:space="preserve">90</w:t>
      </w:r>
      <w:bookmarkEnd w:id="791"/>
      <w:r>
        <w:fldChar w:fldCharType="end"/>
      </w:r>
      <w:r>
        <w:t xml:space="preserve">. ЭФ </w:t>
      </w:r>
      <w:r>
        <w:t xml:space="preserve">документа «</w:t>
      </w:r>
      <w:r>
        <w:t xml:space="preserve">Извещение о постановке на учет (изменении) БО в ФК</w:t>
      </w:r>
      <w:r>
        <w:t xml:space="preserve">», закладки «</w:t>
      </w:r>
      <w:r>
        <w:t xml:space="preserve">Основные атрибуты</w:t>
      </w:r>
      <w:r>
        <w:t xml:space="preserve">»</w:t>
      </w:r>
      <w:bookmarkEnd w:id="792"/>
      <w:r/>
      <w:r/>
    </w:p>
    <w:p>
      <w:pPr>
        <w:pStyle w:val="994"/>
      </w:pPr>
      <w:r>
        <w:t xml:space="preserve">Перечень полей </w:t>
      </w:r>
      <w:r>
        <w:t xml:space="preserve">документа </w:t>
      </w:r>
      <w:r>
        <w:t xml:space="preserve">«</w:t>
      </w:r>
      <w:r>
        <w:t xml:space="preserve">Извещение о постановке на учет (изменении) БО в ФК</w:t>
      </w:r>
      <w:r>
        <w:t xml:space="preserve">», закладки «</w:t>
      </w:r>
      <w:r>
        <w:t xml:space="preserve">Основные атрибуты</w:t>
      </w:r>
      <w:r>
        <w:t xml:space="preserve">»</w:t>
      </w:r>
      <w:r>
        <w:t xml:space="preserve"> </w:t>
      </w:r>
      <w:r>
        <w:t xml:space="preserve">приведен в таблице</w:t>
      </w:r>
      <w:r>
        <w:t xml:space="preserve"> </w:t>
      </w:r>
      <w:r>
        <w:fldChar w:fldCharType="begin"/>
      </w:r>
      <w:r>
        <w:instrText xml:space="preserve"> REF _Ref246927274 \h </w:instrText>
      </w:r>
      <w:r>
        <w:instrText xml:space="preserve"> \* MERGEFORMAT </w:instrText>
      </w:r>
      <w:r>
        <w:fldChar w:fldCharType="separate"/>
      </w:r>
      <w:r>
        <w:t xml:space="preserve">46</w:t>
      </w:r>
      <w:r>
        <w:fldChar w:fldCharType="end"/>
      </w:r>
      <w:r>
        <w:t xml:space="preserve">.</w:t>
      </w:r>
      <w:r/>
    </w:p>
    <w:p>
      <w:pPr>
        <w:pStyle w:val="993"/>
      </w:pPr>
      <w:r>
        <w:fldChar w:fldCharType="begin"/>
      </w:r>
      <w:r>
        <w:instrText xml:space="preserve"> SEQ Таблица \* ARABIC </w:instrText>
      </w:r>
      <w:r>
        <w:fldChar w:fldCharType="separate"/>
      </w:r>
      <w:bookmarkStart w:id="793" w:name="_Ref246927274"/>
      <w:r/>
      <w:bookmarkStart w:id="794" w:name="_Toc88819232"/>
      <w:r>
        <w:t xml:space="preserve">46</w:t>
      </w:r>
      <w:bookmarkEnd w:id="793"/>
      <w:r>
        <w:fldChar w:fldCharType="end"/>
      </w:r>
      <w:r>
        <w:t xml:space="preserve">. Описание полей документа </w:t>
      </w:r>
      <w:r>
        <w:t xml:space="preserve">«</w:t>
      </w:r>
      <w:r>
        <w:t xml:space="preserve">Извещение о постановке на учет (изм</w:t>
      </w:r>
      <w:r>
        <w:t xml:space="preserve">е</w:t>
      </w:r>
      <w:r>
        <w:t xml:space="preserve">нении) БО в ФК</w:t>
      </w:r>
      <w:r>
        <w:t xml:space="preserve">», закладки «</w:t>
      </w:r>
      <w:r>
        <w:t xml:space="preserve">О</w:t>
      </w:r>
      <w:r>
        <w:t xml:space="preserve">с</w:t>
      </w:r>
      <w:r>
        <w:t xml:space="preserve">новные атриб</w:t>
      </w:r>
      <w:r>
        <w:t xml:space="preserve">у</w:t>
      </w:r>
      <w:r>
        <w:t xml:space="preserve">ты</w:t>
      </w:r>
      <w:r>
        <w:t xml:space="preserve">»</w:t>
      </w:r>
      <w:bookmarkEnd w:id="794"/>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5217"/>
        <w:gridCol w:w="4535"/>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675"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325"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Закладка </w:t>
            </w:r>
            <w:r>
              <w:t xml:space="preserve">«Основные атрибуты»</w:t>
            </w:r>
            <w:r/>
          </w:p>
        </w:tc>
      </w:tr>
      <w:tr>
        <w:trPr/>
        <w:tc>
          <w:tcPr>
            <w:shd w:val="clear" w:fill="auto" w:color="auto"/>
            <w:tcW w:w="2675" w:type="pct"/>
            <w:textDirection w:val="lrTb"/>
            <w:noWrap w:val="false"/>
          </w:tcPr>
          <w:p>
            <w:pPr>
              <w:pStyle w:val="1005"/>
              <w:ind w:left="57" w:right="57"/>
            </w:pPr>
            <w:r>
              <w:t xml:space="preserve">Дата извещения</w:t>
            </w:r>
            <w:r/>
          </w:p>
        </w:tc>
        <w:tc>
          <w:tcPr>
            <w:shd w:val="clear" w:fill="auto" w:color="auto"/>
            <w:tcW w:w="2325" w:type="pct"/>
            <w:textDirection w:val="lrTb"/>
            <w:noWrap w:val="false"/>
          </w:tcPr>
          <w:p>
            <w:pPr>
              <w:pStyle w:val="1005"/>
              <w:ind w:left="57" w:right="57"/>
            </w:pPr>
            <w:r>
              <w:t xml:space="preserve">Значение загружается из </w:t>
            </w:r>
            <w:r>
              <w:t xml:space="preserve">OEBS</w:t>
            </w:r>
            <w:r>
              <w:t xml:space="preserve">.</w:t>
            </w:r>
            <w:r/>
          </w:p>
        </w:tc>
      </w:tr>
      <w:tr>
        <w:trPr/>
        <w:tc>
          <w:tcPr>
            <w:shd w:val="clear" w:fill="auto" w:color="auto"/>
            <w:tcW w:w="2675" w:type="pct"/>
            <w:textDirection w:val="lrTb"/>
            <w:noWrap w:val="false"/>
          </w:tcPr>
          <w:p>
            <w:pPr>
              <w:pStyle w:val="1005"/>
              <w:ind w:left="57" w:right="57"/>
            </w:pPr>
            <w:r>
              <w:t xml:space="preserve">Наименование органа ФК</w:t>
            </w:r>
            <w:r/>
          </w:p>
        </w:tc>
        <w:tc>
          <w:tcPr>
            <w:shd w:val="clear" w:fill="auto" w:color="auto"/>
            <w:tcW w:w="2325" w:type="pct"/>
            <w:textDirection w:val="lrTb"/>
            <w:noWrap w:val="false"/>
          </w:tcPr>
          <w:p>
            <w:pPr>
              <w:pStyle w:val="1005"/>
              <w:ind w:left="57" w:right="57"/>
            </w:pPr>
            <w:r>
              <w:t xml:space="preserve">Значение загружается из </w:t>
            </w:r>
            <w:r>
              <w:t xml:space="preserve">OEBS</w:t>
            </w:r>
            <w:r>
              <w:t xml:space="preserve">.</w:t>
            </w:r>
            <w:r/>
          </w:p>
        </w:tc>
      </w:tr>
      <w:tr>
        <w:trPr/>
        <w:tc>
          <w:tcPr>
            <w:shd w:val="clear" w:fill="auto" w:color="auto"/>
            <w:tcW w:w="2675" w:type="pct"/>
            <w:textDirection w:val="lrTb"/>
            <w:noWrap w:val="false"/>
          </w:tcPr>
          <w:p>
            <w:pPr>
              <w:pStyle w:val="1005"/>
              <w:ind w:left="57" w:right="57"/>
            </w:pPr>
            <w:r>
              <w:t xml:space="preserve">Код по КОФК</w:t>
            </w:r>
            <w:r/>
          </w:p>
        </w:tc>
        <w:tc>
          <w:tcPr>
            <w:shd w:val="clear" w:fill="auto" w:color="auto"/>
            <w:tcW w:w="2325" w:type="pct"/>
            <w:textDirection w:val="lrTb"/>
            <w:noWrap w:val="false"/>
          </w:tcPr>
          <w:p>
            <w:pPr>
              <w:pStyle w:val="1005"/>
              <w:ind w:left="57" w:right="57"/>
            </w:pPr>
            <w:r>
              <w:t xml:space="preserve">Значение загружается из </w:t>
            </w:r>
            <w:r>
              <w:t xml:space="preserve">OEBS</w:t>
            </w:r>
            <w:r>
              <w:t xml:space="preserve">.</w:t>
            </w:r>
            <w:r/>
          </w:p>
        </w:tc>
      </w:tr>
      <w:tr>
        <w:trPr/>
        <w:tc>
          <w:tcPr>
            <w:shd w:val="clear" w:fill="auto" w:color="auto"/>
            <w:tcW w:w="2675" w:type="pct"/>
            <w:textDirection w:val="lrTb"/>
            <w:noWrap w:val="false"/>
          </w:tcPr>
          <w:p>
            <w:pPr>
              <w:pStyle w:val="1005"/>
              <w:ind w:left="57" w:right="57"/>
            </w:pPr>
            <w:r>
              <w:t xml:space="preserve">Наименование клиента</w:t>
            </w:r>
            <w:r/>
          </w:p>
        </w:tc>
        <w:tc>
          <w:tcPr>
            <w:shd w:val="clear" w:fill="auto" w:color="auto"/>
            <w:tcW w:w="2325" w:type="pct"/>
            <w:textDirection w:val="lrTb"/>
            <w:noWrap w:val="false"/>
          </w:tcPr>
          <w:p>
            <w:pPr>
              <w:pStyle w:val="1005"/>
              <w:ind w:left="57" w:right="57"/>
            </w:pPr>
            <w:r>
              <w:t xml:space="preserve">Значение загружается из </w:t>
            </w:r>
            <w:r>
              <w:t xml:space="preserve">OEBS</w:t>
            </w:r>
            <w:r>
              <w:t xml:space="preserve">.</w:t>
            </w:r>
            <w:r/>
          </w:p>
        </w:tc>
      </w:tr>
      <w:tr>
        <w:trPr/>
        <w:tc>
          <w:tcPr>
            <w:shd w:val="clear" w:fill="auto" w:color="auto"/>
            <w:tcW w:w="2675" w:type="pct"/>
            <w:textDirection w:val="lrTb"/>
            <w:noWrap w:val="false"/>
          </w:tcPr>
          <w:p>
            <w:pPr>
              <w:pStyle w:val="1005"/>
              <w:ind w:left="57" w:right="57"/>
            </w:pPr>
            <w:r>
              <w:t xml:space="preserve">Код по сводному ре</w:t>
            </w:r>
            <w:r>
              <w:t xml:space="preserve">е</w:t>
            </w:r>
            <w:r>
              <w:t xml:space="preserve">стру</w:t>
            </w:r>
            <w:r/>
          </w:p>
        </w:tc>
        <w:tc>
          <w:tcPr>
            <w:shd w:val="clear" w:fill="auto" w:color="auto"/>
            <w:tcW w:w="2325" w:type="pct"/>
            <w:textDirection w:val="lrTb"/>
            <w:noWrap w:val="false"/>
          </w:tcPr>
          <w:p>
            <w:pPr>
              <w:pStyle w:val="1005"/>
              <w:ind w:left="57" w:right="57"/>
            </w:pPr>
            <w:r>
              <w:t xml:space="preserve">Значение загружается из </w:t>
            </w:r>
            <w:r>
              <w:t xml:space="preserve">OEBS</w:t>
            </w:r>
            <w:r>
              <w:t xml:space="preserve">.</w:t>
            </w:r>
            <w:r/>
          </w:p>
        </w:tc>
      </w:tr>
      <w:tr>
        <w:trPr/>
        <w:tc>
          <w:tcPr>
            <w:shd w:val="clear" w:fill="auto" w:color="auto"/>
            <w:tcW w:w="2675" w:type="pct"/>
            <w:textDirection w:val="lrTb"/>
            <w:noWrap w:val="false"/>
          </w:tcPr>
          <w:p>
            <w:pPr>
              <w:pStyle w:val="1005"/>
              <w:ind w:left="57" w:right="57"/>
            </w:pPr>
            <w:r>
              <w:t xml:space="preserve">Наименование бюдж</w:t>
            </w:r>
            <w:r>
              <w:t xml:space="preserve">е</w:t>
            </w:r>
            <w:r>
              <w:t xml:space="preserve">та</w:t>
            </w:r>
            <w:r/>
          </w:p>
        </w:tc>
        <w:tc>
          <w:tcPr>
            <w:shd w:val="clear" w:fill="auto" w:color="auto"/>
            <w:tcW w:w="2325" w:type="pct"/>
            <w:textDirection w:val="lrTb"/>
            <w:noWrap w:val="false"/>
          </w:tcPr>
          <w:p>
            <w:pPr>
              <w:pStyle w:val="1005"/>
              <w:ind w:left="57" w:right="57"/>
            </w:pPr>
            <w:r>
              <w:t xml:space="preserve">Значение загружается из </w:t>
            </w:r>
            <w:r>
              <w:t xml:space="preserve">OEBS</w:t>
            </w:r>
            <w:r>
              <w:t xml:space="preserve">.</w:t>
            </w:r>
            <w:r/>
          </w:p>
        </w:tc>
      </w:tr>
      <w:tr>
        <w:trPr/>
        <w:tc>
          <w:tcPr>
            <w:shd w:val="clear" w:fill="auto" w:color="auto"/>
            <w:tcW w:w="2675" w:type="pct"/>
            <w:textDirection w:val="lrTb"/>
            <w:noWrap w:val="false"/>
          </w:tcPr>
          <w:p>
            <w:pPr>
              <w:pStyle w:val="1005"/>
              <w:ind w:left="57" w:right="57"/>
            </w:pPr>
            <w:r>
              <w:t xml:space="preserve">Код по ОКТМО</w:t>
            </w:r>
            <w:r/>
          </w:p>
        </w:tc>
        <w:tc>
          <w:tcPr>
            <w:shd w:val="clear" w:fill="auto" w:color="auto"/>
            <w:tcW w:w="2325" w:type="pct"/>
            <w:textDirection w:val="lrTb"/>
            <w:noWrap w:val="false"/>
          </w:tcPr>
          <w:p>
            <w:pPr>
              <w:pStyle w:val="1005"/>
              <w:ind w:left="57" w:right="57"/>
            </w:pPr>
            <w:r>
              <w:t xml:space="preserve">Значение загружается из </w:t>
            </w:r>
            <w:r>
              <w:t xml:space="preserve">OEBS</w:t>
            </w:r>
            <w:r>
              <w:t xml:space="preserve">.</w:t>
            </w:r>
            <w:r/>
          </w:p>
        </w:tc>
      </w:tr>
      <w:tr>
        <w:trPr/>
        <w:tc>
          <w:tcPr>
            <w:shd w:val="clear" w:fill="auto" w:color="auto"/>
            <w:tcW w:w="2675" w:type="pct"/>
            <w:textDirection w:val="lrTb"/>
            <w:noWrap w:val="false"/>
          </w:tcPr>
          <w:p>
            <w:pPr>
              <w:pStyle w:val="1005"/>
              <w:ind w:left="57" w:right="57"/>
            </w:pPr>
            <w:r>
              <w:t xml:space="preserve">Финансовый орган</w:t>
            </w:r>
            <w:r/>
          </w:p>
        </w:tc>
        <w:tc>
          <w:tcPr>
            <w:shd w:val="clear" w:fill="auto" w:color="auto"/>
            <w:tcW w:w="2325" w:type="pct"/>
            <w:textDirection w:val="lrTb"/>
            <w:noWrap w:val="false"/>
          </w:tcPr>
          <w:p>
            <w:pPr>
              <w:pStyle w:val="1005"/>
              <w:ind w:left="57" w:right="57"/>
            </w:pPr>
            <w:r>
              <w:t xml:space="preserve">Значение загружается из </w:t>
            </w:r>
            <w:r>
              <w:t xml:space="preserve">OEBS</w:t>
            </w:r>
            <w:r>
              <w:t xml:space="preserve">.</w:t>
            </w:r>
            <w:r/>
          </w:p>
        </w:tc>
      </w:tr>
      <w:tr>
        <w:trPr/>
        <w:tc>
          <w:tcPr>
            <w:shd w:val="clear" w:fill="auto" w:color="auto"/>
            <w:tcW w:w="2675" w:type="pct"/>
            <w:textDirection w:val="lrTb"/>
            <w:noWrap w:val="false"/>
          </w:tcPr>
          <w:p>
            <w:pPr>
              <w:pStyle w:val="1005"/>
              <w:ind w:left="57" w:right="57"/>
            </w:pPr>
            <w:r>
              <w:t xml:space="preserve">Код по ОКПО</w:t>
            </w:r>
            <w:r/>
          </w:p>
        </w:tc>
        <w:tc>
          <w:tcPr>
            <w:shd w:val="clear" w:fill="auto" w:color="auto"/>
            <w:tcW w:w="2325" w:type="pct"/>
            <w:textDirection w:val="lrTb"/>
            <w:noWrap w:val="false"/>
          </w:tcPr>
          <w:p>
            <w:pPr>
              <w:pStyle w:val="1005"/>
              <w:ind w:left="57" w:right="57"/>
            </w:pPr>
            <w:r>
              <w:t xml:space="preserve">Значение загружается из </w:t>
            </w:r>
            <w:r>
              <w:t xml:space="preserve">OEBS</w:t>
            </w:r>
            <w:r>
              <w:t xml:space="preserve">.</w:t>
            </w:r>
            <w:r/>
          </w:p>
        </w:tc>
      </w:tr>
      <w:tr>
        <w:trPr/>
        <w:tc>
          <w:tcPr>
            <w:gridSpan w:val="2"/>
            <w:shd w:val="clear" w:fill="auto" w:color="auto"/>
            <w:tcW w:w="5000" w:type="pct"/>
            <w:textDirection w:val="lrTb"/>
            <w:noWrap w:val="false"/>
          </w:tcPr>
          <w:p>
            <w:pPr>
              <w:pStyle w:val="1005"/>
              <w:ind w:left="57" w:right="57"/>
            </w:pPr>
            <w:r>
              <w:t xml:space="preserve">Закладка </w:t>
            </w:r>
            <w:r>
              <w:t xml:space="preserve">«Основные атрибуты</w:t>
            </w:r>
            <w:r>
              <w:t xml:space="preserve">», группа полей «</w:t>
            </w:r>
            <w:r>
              <w:t xml:space="preserve">Информация о бюджетном обязательстве</w:t>
            </w:r>
            <w:r>
              <w:t xml:space="preserve">»</w:t>
            </w:r>
            <w:r/>
          </w:p>
        </w:tc>
      </w:tr>
      <w:tr>
        <w:trPr/>
        <w:tc>
          <w:tcPr>
            <w:shd w:val="clear" w:fill="auto" w:color="auto"/>
            <w:tcW w:w="2675" w:type="pct"/>
            <w:textDirection w:val="lrTb"/>
            <w:noWrap w:val="false"/>
          </w:tcPr>
          <w:p>
            <w:pPr>
              <w:pStyle w:val="1005"/>
              <w:ind w:left="57" w:right="57"/>
            </w:pPr>
            <w:r>
              <w:t xml:space="preserve">Номер документа-основания</w:t>
            </w:r>
            <w:r/>
          </w:p>
        </w:tc>
        <w:tc>
          <w:tcPr>
            <w:shd w:val="clear" w:fill="auto" w:color="auto"/>
            <w:tcW w:w="2325" w:type="pct"/>
            <w:textDirection w:val="lrTb"/>
            <w:noWrap w:val="false"/>
          </w:tcPr>
          <w:p>
            <w:pPr>
              <w:pStyle w:val="1005"/>
              <w:ind w:left="57" w:right="57"/>
            </w:pPr>
            <w:r>
              <w:t xml:space="preserve">Значение загружается из OEBS.</w:t>
            </w:r>
            <w:r/>
          </w:p>
        </w:tc>
      </w:tr>
      <w:tr>
        <w:trPr/>
        <w:tc>
          <w:tcPr>
            <w:shd w:val="clear" w:fill="auto" w:color="auto"/>
            <w:tcW w:w="2675" w:type="pct"/>
            <w:textDirection w:val="lrTb"/>
            <w:noWrap w:val="false"/>
          </w:tcPr>
          <w:p>
            <w:pPr>
              <w:pStyle w:val="1005"/>
              <w:ind w:left="57" w:right="57"/>
            </w:pPr>
            <w:r>
              <w:t xml:space="preserve">Дата заключения (принятия) документа-основания</w:t>
            </w:r>
            <w:r/>
          </w:p>
        </w:tc>
        <w:tc>
          <w:tcPr>
            <w:shd w:val="clear" w:fill="auto" w:color="auto"/>
            <w:tcW w:w="2325" w:type="pct"/>
            <w:textDirection w:val="lrTb"/>
            <w:noWrap w:val="false"/>
          </w:tcPr>
          <w:p>
            <w:pPr>
              <w:pStyle w:val="1005"/>
              <w:ind w:left="57" w:right="57"/>
            </w:pPr>
            <w:r>
              <w:t xml:space="preserve">Значение загружается из OEBS.</w:t>
            </w:r>
            <w:r/>
          </w:p>
        </w:tc>
      </w:tr>
      <w:tr>
        <w:trPr/>
        <w:tc>
          <w:tcPr>
            <w:shd w:val="clear" w:fill="auto" w:color="auto"/>
            <w:tcW w:w="2675" w:type="pct"/>
            <w:textDirection w:val="lrTb"/>
            <w:noWrap w:val="false"/>
          </w:tcPr>
          <w:p>
            <w:pPr>
              <w:pStyle w:val="1005"/>
              <w:ind w:left="57" w:right="57"/>
            </w:pPr>
            <w:r>
              <w:t xml:space="preserve">Сумма по документу-основанию</w:t>
            </w:r>
            <w:r/>
          </w:p>
        </w:tc>
        <w:tc>
          <w:tcPr>
            <w:shd w:val="clear" w:fill="auto" w:color="auto"/>
            <w:tcW w:w="2325" w:type="pct"/>
            <w:textDirection w:val="lrTb"/>
            <w:noWrap w:val="false"/>
          </w:tcPr>
          <w:p>
            <w:pPr>
              <w:pStyle w:val="1005"/>
              <w:ind w:left="57" w:right="57"/>
            </w:pPr>
            <w:r>
              <w:t xml:space="preserve">Значение загружается из OEBS.</w:t>
            </w:r>
            <w:r/>
          </w:p>
        </w:tc>
      </w:tr>
      <w:tr>
        <w:trPr/>
        <w:tc>
          <w:tcPr>
            <w:shd w:val="clear" w:fill="auto" w:color="auto"/>
            <w:tcW w:w="2675" w:type="pct"/>
            <w:textDirection w:val="lrTb"/>
            <w:noWrap w:val="false"/>
          </w:tcPr>
          <w:p>
            <w:pPr>
              <w:pStyle w:val="1005"/>
              <w:ind w:left="57" w:right="57"/>
            </w:pPr>
            <w:r>
              <w:t xml:space="preserve">Дата Сведений о БО</w:t>
            </w:r>
            <w:r/>
          </w:p>
        </w:tc>
        <w:tc>
          <w:tcPr>
            <w:shd w:val="clear" w:fill="auto" w:color="auto"/>
            <w:tcW w:w="2325" w:type="pct"/>
            <w:textDirection w:val="lrTb"/>
            <w:noWrap w:val="false"/>
          </w:tcPr>
          <w:p>
            <w:pPr>
              <w:pStyle w:val="1005"/>
              <w:ind w:left="57" w:right="57"/>
            </w:pPr>
            <w:r>
              <w:t xml:space="preserve">Значение загружается из OEBS.</w:t>
            </w:r>
            <w:r/>
          </w:p>
        </w:tc>
      </w:tr>
      <w:tr>
        <w:trPr/>
        <w:tc>
          <w:tcPr>
            <w:shd w:val="clear" w:fill="auto" w:color="auto"/>
            <w:tcW w:w="2675" w:type="pct"/>
            <w:textDirection w:val="lrTb"/>
            <w:noWrap w:val="false"/>
          </w:tcPr>
          <w:p>
            <w:pPr>
              <w:pStyle w:val="1005"/>
              <w:ind w:left="57" w:right="57"/>
            </w:pPr>
            <w:r>
              <w:t xml:space="preserve">Номер Сведений о БО</w:t>
            </w:r>
            <w:r/>
          </w:p>
        </w:tc>
        <w:tc>
          <w:tcPr>
            <w:shd w:val="clear" w:fill="auto" w:color="auto"/>
            <w:tcW w:w="2325" w:type="pct"/>
            <w:textDirection w:val="lrTb"/>
            <w:noWrap w:val="false"/>
          </w:tcPr>
          <w:p>
            <w:pPr>
              <w:pStyle w:val="1005"/>
              <w:ind w:left="57" w:right="57"/>
            </w:pPr>
            <w:r>
              <w:t xml:space="preserve">Значение загружается из OEBS.</w:t>
            </w:r>
            <w:r/>
          </w:p>
        </w:tc>
      </w:tr>
      <w:tr>
        <w:trPr/>
        <w:tc>
          <w:tcPr>
            <w:shd w:val="clear" w:fill="auto" w:color="auto"/>
            <w:tcW w:w="2675" w:type="pct"/>
            <w:textDirection w:val="lrTb"/>
            <w:noWrap w:val="false"/>
          </w:tcPr>
          <w:p>
            <w:pPr>
              <w:pStyle w:val="1005"/>
              <w:ind w:left="57" w:right="57"/>
            </w:pPr>
            <w:r>
              <w:t xml:space="preserve">Дата постановки на учет (изменения) БО</w:t>
            </w:r>
            <w:r/>
          </w:p>
        </w:tc>
        <w:tc>
          <w:tcPr>
            <w:shd w:val="clear" w:fill="auto" w:color="auto"/>
            <w:tcW w:w="2325" w:type="pct"/>
            <w:textDirection w:val="lrTb"/>
            <w:noWrap w:val="false"/>
          </w:tcPr>
          <w:p>
            <w:pPr>
              <w:pStyle w:val="1005"/>
              <w:ind w:left="57" w:right="57"/>
            </w:pPr>
            <w:r>
              <w:t xml:space="preserve">Значение загружается из OEBS.</w:t>
            </w:r>
            <w:r/>
          </w:p>
        </w:tc>
      </w:tr>
      <w:tr>
        <w:trPr/>
        <w:tc>
          <w:tcPr>
            <w:shd w:val="clear" w:fill="auto" w:color="auto"/>
            <w:tcW w:w="2675" w:type="pct"/>
            <w:textDirection w:val="lrTb"/>
            <w:noWrap w:val="false"/>
          </w:tcPr>
          <w:p>
            <w:pPr>
              <w:pStyle w:val="1005"/>
              <w:ind w:left="57" w:right="57"/>
            </w:pPr>
            <w:r>
              <w:t xml:space="preserve">Порядковый номер измен</w:t>
            </w:r>
            <w:r>
              <w:t xml:space="preserve">е</w:t>
            </w:r>
            <w:r>
              <w:t xml:space="preserve">ний в БО</w:t>
            </w:r>
            <w:r/>
          </w:p>
        </w:tc>
        <w:tc>
          <w:tcPr>
            <w:shd w:val="clear" w:fill="auto" w:color="auto"/>
            <w:tcW w:w="2325" w:type="pct"/>
            <w:textDirection w:val="lrTb"/>
            <w:noWrap w:val="false"/>
          </w:tcPr>
          <w:p>
            <w:pPr>
              <w:pStyle w:val="1005"/>
              <w:ind w:left="57" w:right="57"/>
            </w:pPr>
            <w:r>
              <w:t xml:space="preserve">Значение загружается из OEBS.</w:t>
            </w:r>
            <w:r/>
          </w:p>
        </w:tc>
      </w:tr>
      <w:tr>
        <w:trPr/>
        <w:tc>
          <w:tcPr>
            <w:shd w:val="clear" w:fill="auto" w:color="auto"/>
            <w:tcW w:w="2675" w:type="pct"/>
            <w:textDirection w:val="lrTb"/>
            <w:noWrap w:val="false"/>
          </w:tcPr>
          <w:p>
            <w:pPr>
              <w:pStyle w:val="1005"/>
              <w:ind w:left="57" w:right="57"/>
            </w:pPr>
            <w:r>
              <w:t xml:space="preserve">Учетный номер БО</w:t>
            </w:r>
            <w:r/>
          </w:p>
        </w:tc>
        <w:tc>
          <w:tcPr>
            <w:shd w:val="clear" w:fill="auto" w:color="auto"/>
            <w:tcW w:w="2325" w:type="pct"/>
            <w:textDirection w:val="lrTb"/>
            <w:noWrap w:val="false"/>
          </w:tcPr>
          <w:p>
            <w:pPr>
              <w:pStyle w:val="1005"/>
              <w:ind w:left="57" w:right="57"/>
            </w:pPr>
            <w:r>
              <w:t xml:space="preserve">Значение загружается из OEBS.</w:t>
            </w:r>
            <w:r/>
          </w:p>
        </w:tc>
      </w:tr>
      <w:tr>
        <w:trPr/>
        <w:tc>
          <w:tcPr>
            <w:shd w:val="clear" w:fill="auto" w:color="auto"/>
            <w:tcW w:w="2675" w:type="pct"/>
            <w:textDirection w:val="lrTb"/>
            <w:noWrap w:val="false"/>
          </w:tcPr>
          <w:p>
            <w:pPr>
              <w:pStyle w:val="1005"/>
              <w:ind w:left="57" w:right="57"/>
            </w:pPr>
            <w:r>
              <w:t xml:space="preserve">Номер реестровой записи в реестре контра</w:t>
            </w:r>
            <w:r>
              <w:t xml:space="preserve">к</w:t>
            </w:r>
            <w:r>
              <w:t xml:space="preserve">тов/реестре соглашений</w:t>
            </w:r>
            <w:r/>
          </w:p>
        </w:tc>
        <w:tc>
          <w:tcPr>
            <w:shd w:val="clear" w:fill="auto" w:color="auto"/>
            <w:tcW w:w="2325" w:type="pct"/>
            <w:textDirection w:val="lrTb"/>
            <w:noWrap w:val="false"/>
          </w:tcPr>
          <w:p>
            <w:pPr>
              <w:pStyle w:val="1005"/>
              <w:ind w:left="57" w:right="57"/>
            </w:pPr>
            <w:r>
              <w:t xml:space="preserve">Значение загружается из OEBS.</w:t>
            </w:r>
            <w:r/>
          </w:p>
        </w:tc>
      </w:tr>
    </w:tbl>
    <w:p>
      <w:pPr>
        <w:pStyle w:val="994"/>
      </w:pPr>
      <w:r>
        <w:t xml:space="preserve">ЭФ документа «Извещение о постановке на учет (изменении) БО в ФК</w:t>
      </w:r>
      <w:r>
        <w:t xml:space="preserve">», закладки «</w:t>
      </w:r>
      <w:r>
        <w:t xml:space="preserve">Подписи»</w:t>
      </w:r>
      <w:r>
        <w:t xml:space="preserve"> </w:t>
      </w:r>
      <w:r>
        <w:t xml:space="preserve">представлена </w:t>
      </w:r>
      <w:r>
        <w:t xml:space="preserve">н</w:t>
      </w:r>
      <w:r>
        <w:t xml:space="preserve">а рисунке</w:t>
      </w:r>
      <w:r>
        <w:t xml:space="preserve"> </w:t>
      </w:r>
      <w:r>
        <w:fldChar w:fldCharType="begin"/>
      </w:r>
      <w:r>
        <w:instrText xml:space="preserve"> REF _Ref435694865 \h </w:instrText>
      </w:r>
      <w:r>
        <w:fldChar w:fldCharType="separate"/>
      </w:r>
      <w:r>
        <w:t xml:space="preserve">91</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834640"/>
                <wp:effectExtent l="0" t="0" r="0" b="0"/>
                <wp:docPr id="16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58"/>
                        <a:stretch/>
                      </pic:blipFill>
                      <pic:spPr bwMode="auto">
                        <a:xfrm>
                          <a:off x="0" y="0"/>
                          <a:ext cx="6126480" cy="28346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 o:spid="_x0000_s164" type="#_x0000_t75" style="mso-wrap-distance-left:0.0pt;mso-wrap-distance-top:0.0pt;mso-wrap-distance-right:0.0pt;mso-wrap-distance-bottom:0.0pt;width:482.4pt;height:223.2pt;" stroked="f">
                <v:path textboxrect="0,0,0,0"/>
                <v:imagedata r:id="rId158" o:title=""/>
              </v:shape>
            </w:pict>
          </mc:Fallback>
        </mc:AlternateContent>
      </w:r>
      <w:r/>
    </w:p>
    <w:p>
      <w:pPr>
        <w:pStyle w:val="983"/>
      </w:pPr>
      <w:r>
        <w:fldChar w:fldCharType="begin"/>
      </w:r>
      <w:r>
        <w:instrText xml:space="preserve"> SEQ Рисунок \* ARABIC </w:instrText>
      </w:r>
      <w:r>
        <w:fldChar w:fldCharType="separate"/>
      </w:r>
      <w:bookmarkStart w:id="795" w:name="_Ref435694865"/>
      <w:r/>
      <w:bookmarkStart w:id="796" w:name="_Toc88819476"/>
      <w:r>
        <w:t xml:space="preserve">91</w:t>
      </w:r>
      <w:bookmarkEnd w:id="795"/>
      <w:r>
        <w:fldChar w:fldCharType="end"/>
      </w:r>
      <w:r>
        <w:t xml:space="preserve">. ЭФ </w:t>
      </w:r>
      <w:r>
        <w:t xml:space="preserve">документа «</w:t>
      </w:r>
      <w:r>
        <w:t xml:space="preserve">Извещение о постановке на учет (изменении) БО в ФК</w:t>
      </w:r>
      <w:r>
        <w:t xml:space="preserve">», закладки «</w:t>
      </w:r>
      <w:r>
        <w:t xml:space="preserve">Подписи</w:t>
      </w:r>
      <w:r>
        <w:t xml:space="preserve">»</w:t>
      </w:r>
      <w:bookmarkEnd w:id="796"/>
      <w:r/>
      <w:r/>
    </w:p>
    <w:p>
      <w:pPr>
        <w:pStyle w:val="994"/>
      </w:pPr>
      <w:r>
        <w:t xml:space="preserve">Перечень полей </w:t>
      </w:r>
      <w:r>
        <w:t xml:space="preserve">документа «Извещение о постановке на учет (изменении) БО в ФК</w:t>
      </w:r>
      <w:r>
        <w:t xml:space="preserve">», закладки «</w:t>
      </w:r>
      <w:r>
        <w:t xml:space="preserve">Подписи» приведен в таблице</w:t>
      </w:r>
      <w:r>
        <w:t xml:space="preserve"> </w:t>
      </w:r>
      <w:r>
        <w:fldChar w:fldCharType="begin"/>
      </w:r>
      <w:r>
        <w:instrText xml:space="preserve"> REF _Ref384044217 \h </w:instrText>
      </w:r>
      <w:r>
        <w:fldChar w:fldCharType="separate"/>
      </w:r>
      <w:r>
        <w:t xml:space="preserve">47</w:t>
      </w:r>
      <w:r>
        <w:fldChar w:fldCharType="end"/>
      </w:r>
      <w:r>
        <w:t xml:space="preserve">.</w:t>
      </w:r>
      <w:r/>
    </w:p>
    <w:p>
      <w:pPr>
        <w:pStyle w:val="993"/>
      </w:pPr>
      <w:r>
        <w:fldChar w:fldCharType="begin"/>
      </w:r>
      <w:r>
        <w:instrText xml:space="preserve"> SEQ Таблица \* ARABIC </w:instrText>
      </w:r>
      <w:r>
        <w:fldChar w:fldCharType="separate"/>
      </w:r>
      <w:bookmarkStart w:id="797" w:name="_Ref384044217"/>
      <w:r/>
      <w:bookmarkStart w:id="798" w:name="_Toc88819233"/>
      <w:r>
        <w:t xml:space="preserve">47</w:t>
      </w:r>
      <w:bookmarkEnd w:id="797"/>
      <w:r>
        <w:fldChar w:fldCharType="end"/>
      </w:r>
      <w:r>
        <w:t xml:space="preserve">. Описание полей документа «Извещение о постановке на учет (изменении) БО в ФК</w:t>
      </w:r>
      <w:r>
        <w:t xml:space="preserve">», закладки «</w:t>
      </w:r>
      <w:r>
        <w:t xml:space="preserve">Подписи»</w:t>
      </w:r>
      <w:bookmarkEnd w:id="79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3657"/>
        <w:gridCol w:w="6095"/>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875"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125" w:type="pct"/>
            <w:vAlign w:val="center"/>
            <w:textDirection w:val="lrTb"/>
            <w:noWrap w:val="false"/>
          </w:tcPr>
          <w:p>
            <w:pPr>
              <w:pStyle w:val="1006"/>
            </w:pPr>
            <w:r>
              <w:t xml:space="preserve">Описание поля</w:t>
            </w:r>
            <w:r/>
          </w:p>
        </w:tc>
      </w:tr>
      <w:tr>
        <w:trPr>
          <w:trHeight w:val="77"/>
        </w:trPr>
        <w:tc>
          <w:tcPr>
            <w:gridSpan w:val="2"/>
            <w:shd w:val="clear" w:fill="auto" w:color="auto"/>
            <w:tcW w:w="5000" w:type="pct"/>
            <w:textDirection w:val="lrTb"/>
            <w:noWrap w:val="false"/>
          </w:tcPr>
          <w:p>
            <w:pPr>
              <w:pStyle w:val="1005"/>
              <w:ind w:left="57" w:right="57"/>
              <w:rPr>
                <w:highlight w:val="yellow"/>
              </w:rPr>
            </w:pPr>
            <w:r>
              <w:t xml:space="preserve">Г</w:t>
            </w:r>
            <w:r>
              <w:t xml:space="preserve">руппа </w:t>
            </w:r>
            <w:r>
              <w:t xml:space="preserve">полей «</w:t>
            </w:r>
            <w:r>
              <w:t xml:space="preserve">Ответственный исполнитель ТОФК</w:t>
            </w:r>
            <w:r>
              <w:t xml:space="preserve">»</w:t>
            </w:r>
            <w:r/>
          </w:p>
        </w:tc>
      </w:tr>
      <w:tr>
        <w:trPr>
          <w:trHeight w:val="77"/>
        </w:trPr>
        <w:tc>
          <w:tcPr>
            <w:shd w:val="clear" w:fill="auto" w:color="auto"/>
            <w:tcW w:w="1875" w:type="pct"/>
            <w:textDirection w:val="lrTb"/>
            <w:noWrap w:val="false"/>
          </w:tcPr>
          <w:p>
            <w:pPr>
              <w:pStyle w:val="1005"/>
              <w:ind w:left="57" w:right="57"/>
            </w:pPr>
            <w:r>
              <w:t xml:space="preserve">Должность исполнителя </w:t>
            </w:r>
            <w:r/>
          </w:p>
        </w:tc>
        <w:tc>
          <w:tcPr>
            <w:shd w:val="clear" w:fill="auto" w:color="auto"/>
            <w:tcW w:w="3125" w:type="pct"/>
            <w:textDirection w:val="lrTb"/>
            <w:noWrap w:val="false"/>
          </w:tcPr>
          <w:p>
            <w:pPr>
              <w:pStyle w:val="1005"/>
              <w:ind w:left="57" w:right="57"/>
            </w:pPr>
            <w:r>
              <w:t xml:space="preserve">Значение загружается из OEBS.</w:t>
            </w:r>
            <w:r/>
          </w:p>
        </w:tc>
      </w:tr>
      <w:tr>
        <w:trPr>
          <w:trHeight w:val="77"/>
        </w:trPr>
        <w:tc>
          <w:tcPr>
            <w:shd w:val="clear" w:fill="auto" w:color="auto"/>
            <w:tcW w:w="1875" w:type="pct"/>
            <w:textDirection w:val="lrTb"/>
            <w:noWrap w:val="false"/>
          </w:tcPr>
          <w:p>
            <w:pPr>
              <w:pStyle w:val="1005"/>
              <w:ind w:left="57" w:right="57"/>
            </w:pPr>
            <w:r>
              <w:t xml:space="preserve">ФИО исполнителя </w:t>
            </w:r>
            <w:r/>
          </w:p>
        </w:tc>
        <w:tc>
          <w:tcPr>
            <w:shd w:val="clear" w:fill="auto" w:color="auto"/>
            <w:tcW w:w="3125" w:type="pct"/>
            <w:textDirection w:val="lrTb"/>
            <w:noWrap w:val="false"/>
          </w:tcPr>
          <w:p>
            <w:pPr>
              <w:pStyle w:val="1005"/>
              <w:ind w:left="57" w:right="57"/>
            </w:pPr>
            <w:r>
              <w:t xml:space="preserve">Значение загружается из OEBS.</w:t>
            </w:r>
            <w:r/>
          </w:p>
        </w:tc>
      </w:tr>
      <w:tr>
        <w:trPr>
          <w:trHeight w:val="77"/>
        </w:trPr>
        <w:tc>
          <w:tcPr>
            <w:shd w:val="clear" w:fill="auto" w:color="auto"/>
            <w:tcW w:w="1875" w:type="pct"/>
            <w:textDirection w:val="lrTb"/>
            <w:noWrap w:val="false"/>
          </w:tcPr>
          <w:p>
            <w:pPr>
              <w:pStyle w:val="1005"/>
              <w:ind w:left="57" w:right="57"/>
            </w:pPr>
            <w:r>
              <w:t xml:space="preserve">Телефон исполнителя </w:t>
            </w:r>
            <w:r/>
          </w:p>
        </w:tc>
        <w:tc>
          <w:tcPr>
            <w:shd w:val="clear" w:fill="auto" w:color="auto"/>
            <w:tcW w:w="3125" w:type="pct"/>
            <w:textDirection w:val="lrTb"/>
            <w:noWrap w:val="false"/>
          </w:tcPr>
          <w:p>
            <w:pPr>
              <w:pStyle w:val="1005"/>
              <w:ind w:left="57" w:right="57"/>
            </w:pPr>
            <w:r>
              <w:t xml:space="preserve">Значение загружается из OEBS.</w:t>
            </w:r>
            <w:r/>
          </w:p>
        </w:tc>
      </w:tr>
      <w:tr>
        <w:trPr>
          <w:trHeight w:val="77"/>
        </w:trPr>
        <w:tc>
          <w:tcPr>
            <w:shd w:val="clear" w:fill="auto" w:color="auto"/>
            <w:tcW w:w="1875" w:type="pct"/>
            <w:textDirection w:val="lrTb"/>
            <w:noWrap w:val="false"/>
          </w:tcPr>
          <w:p>
            <w:pPr>
              <w:pStyle w:val="1005"/>
              <w:ind w:left="57" w:right="57"/>
            </w:pPr>
            <w:r>
              <w:t xml:space="preserve">Дата подписания исполнителем </w:t>
            </w:r>
            <w:r/>
          </w:p>
        </w:tc>
        <w:tc>
          <w:tcPr>
            <w:shd w:val="clear" w:fill="auto" w:color="auto"/>
            <w:tcW w:w="3125" w:type="pct"/>
            <w:textDirection w:val="lrTb"/>
            <w:noWrap w:val="false"/>
          </w:tcPr>
          <w:p>
            <w:pPr>
              <w:pStyle w:val="1005"/>
              <w:ind w:left="57" w:right="57"/>
            </w:pPr>
            <w:r>
              <w:t xml:space="preserve">Значение загружается из OEBS.</w:t>
            </w:r>
            <w:r/>
          </w:p>
        </w:tc>
      </w:tr>
    </w:tbl>
    <w:p>
      <w:pPr>
        <w:pStyle w:val="972"/>
      </w:pPr>
      <w:r/>
      <w:bookmarkStart w:id="799" w:name="_Ref490557310"/>
      <w:r/>
      <w:bookmarkStart w:id="800" w:name="_Ref472075999"/>
      <w:r/>
      <w:bookmarkStart w:id="801" w:name="_Toc422496713"/>
      <w:r/>
      <w:bookmarkStart w:id="802" w:name="_Toc88819113"/>
      <w:r>
        <w:t xml:space="preserve">Извещение о постановке на учет (изменении) </w:t>
      </w:r>
      <w:r>
        <w:t xml:space="preserve">Д</w:t>
      </w:r>
      <w:r>
        <w:t xml:space="preserve">О в ФК</w:t>
      </w:r>
      <w:bookmarkEnd w:id="799"/>
      <w:r/>
      <w:bookmarkEnd w:id="802"/>
      <w:r/>
      <w:r/>
    </w:p>
    <w:p>
      <w:pPr>
        <w:pStyle w:val="994"/>
      </w:pPr>
      <w:r>
        <w:t xml:space="preserve">Документ «</w:t>
      </w:r>
      <w:r>
        <w:t xml:space="preserve">Извещение о постановке на учет (изменении) денежного обязательства в органе Федерального казначейства» (далее – Извещение о ДО) формируется ОрФК и предоставляется в адрес ПБС при постановке на учет документов «Сведения о денежном обязательстве».</w:t>
      </w:r>
      <w:r/>
    </w:p>
    <w:p>
      <w:pPr>
        <w:pStyle w:val="994"/>
      </w:pPr>
      <w:r>
        <w:t xml:space="preserve">Для работы с документами </w:t>
      </w:r>
      <w:r>
        <w:t xml:space="preserve">«</w:t>
      </w:r>
      <w:r>
        <w:t xml:space="preserve">Извещение о постановке на учет (изменении) </w:t>
      </w:r>
      <w:r>
        <w:t xml:space="preserve">Д</w:t>
      </w:r>
      <w:r>
        <w:t xml:space="preserve">О в ФК</w:t>
      </w:r>
      <w:r>
        <w:t xml:space="preserve">»</w:t>
      </w:r>
      <w:r>
        <w:t xml:space="preserve"> следует перейти в пункт меню </w:t>
      </w:r>
      <w:r>
        <w:t xml:space="preserve">«</w:t>
      </w:r>
      <w:r>
        <w:t xml:space="preserve">Документы</w:t>
      </w:r>
      <w:r>
        <w:t xml:space="preserve"> – </w:t>
      </w:r>
      <w:r>
        <w:t xml:space="preserve">Регистрация и учет обяз</w:t>
      </w:r>
      <w:r>
        <w:t xml:space="preserve">а</w:t>
      </w:r>
      <w:r>
        <w:t xml:space="preserve">тельств</w:t>
      </w:r>
      <w:r>
        <w:t xml:space="preserve"> – Карточки учета БО – </w:t>
      </w:r>
      <w:r>
        <w:t xml:space="preserve">Извещение о постановке на учет (изменении) </w:t>
      </w:r>
      <w:r>
        <w:t xml:space="preserve">Д</w:t>
      </w:r>
      <w:r>
        <w:t xml:space="preserve">О в ФК</w:t>
      </w:r>
      <w:r>
        <w:t xml:space="preserve">»</w:t>
      </w:r>
      <w:r>
        <w:t xml:space="preserve">. Откроется ЭФ списка д</w:t>
      </w:r>
      <w:r>
        <w:t xml:space="preserve">о</w:t>
      </w:r>
      <w:r>
        <w:t xml:space="preserve">кументов, представленная на </w:t>
      </w:r>
      <w:r>
        <w:t xml:space="preserve">рису</w:t>
      </w:r>
      <w:r>
        <w:t xml:space="preserve">н</w:t>
      </w:r>
      <w:r>
        <w:t xml:space="preserve">ке </w:t>
      </w:r>
      <w:r>
        <w:fldChar w:fldCharType="begin"/>
      </w:r>
      <w:r>
        <w:instrText xml:space="preserve"> REF _Ref490557222 \h </w:instrText>
      </w:r>
      <w:r>
        <w:fldChar w:fldCharType="separate"/>
      </w:r>
      <w:r>
        <w:t xml:space="preserve">92</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5029200"/>
                <wp:effectExtent l="0" t="0" r="0" b="0"/>
                <wp:docPr id="16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56"/>
                        <a:stretch/>
                      </pic:blipFill>
                      <pic:spPr bwMode="auto">
                        <a:xfrm>
                          <a:off x="0" y="0"/>
                          <a:ext cx="6126480" cy="50292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 o:spid="_x0000_s165" type="#_x0000_t75" style="mso-wrap-distance-left:0.0pt;mso-wrap-distance-top:0.0pt;mso-wrap-distance-right:0.0pt;mso-wrap-distance-bottom:0.0pt;width:482.4pt;height:396.0pt;" stroked="f">
                <v:path textboxrect="0,0,0,0"/>
                <v:imagedata r:id="rId156" o:title=""/>
              </v:shape>
            </w:pict>
          </mc:Fallback>
        </mc:AlternateContent>
      </w:r>
      <w:r/>
    </w:p>
    <w:p>
      <w:pPr>
        <w:pStyle w:val="983"/>
      </w:pPr>
      <w:r>
        <w:fldChar w:fldCharType="begin"/>
      </w:r>
      <w:r>
        <w:instrText xml:space="preserve"> SEQ Рисунок \* ARABIC </w:instrText>
      </w:r>
      <w:r>
        <w:fldChar w:fldCharType="separate"/>
      </w:r>
      <w:bookmarkStart w:id="803" w:name="_Ref490557222"/>
      <w:r/>
      <w:bookmarkStart w:id="804" w:name="_Toc88819477"/>
      <w:r>
        <w:t xml:space="preserve">92</w:t>
      </w:r>
      <w:bookmarkEnd w:id="803"/>
      <w:r>
        <w:fldChar w:fldCharType="end"/>
      </w:r>
      <w:r>
        <w:t xml:space="preserve">. ЭФ списка документов </w:t>
      </w:r>
      <w:r>
        <w:t xml:space="preserve">«</w:t>
      </w:r>
      <w:r>
        <w:t xml:space="preserve">Извещение о постановке на учет (изменении) </w:t>
      </w:r>
      <w:r>
        <w:t xml:space="preserve">Д</w:t>
      </w:r>
      <w:r>
        <w:t xml:space="preserve">О в ФК</w:t>
      </w:r>
      <w:r>
        <w:t xml:space="preserve">»</w:t>
      </w:r>
      <w:bookmarkEnd w:id="804"/>
      <w:r/>
      <w:r/>
    </w:p>
    <w:p>
      <w:pPr>
        <w:pStyle w:val="973"/>
      </w:pPr>
      <w:r>
        <w:t xml:space="preserve">Доступные операции</w:t>
      </w:r>
      <w:r/>
    </w:p>
    <w:p>
      <w:pPr>
        <w:pStyle w:val="994"/>
      </w:pPr>
      <w:r>
        <w:t xml:space="preserve">На АРМ </w:t>
      </w:r>
      <w:r>
        <w:t xml:space="preserve">ФО</w:t>
      </w:r>
      <w:r>
        <w:t xml:space="preserve"> доступны следующие операции над документом:</w:t>
      </w:r>
      <w:r/>
    </w:p>
    <w:p>
      <w:pPr>
        <w:pStyle w:val="985"/>
      </w:pPr>
      <w:r>
        <w:t xml:space="preserve">просмотр;</w:t>
      </w:r>
      <w:r/>
    </w:p>
    <w:p>
      <w:pPr>
        <w:pStyle w:val="985"/>
      </w:pPr>
      <w:r>
        <w:t xml:space="preserve">проверка ЭП</w:t>
      </w:r>
      <w:r>
        <w:t xml:space="preserve">;</w:t>
      </w:r>
      <w:r/>
    </w:p>
    <w:p>
      <w:pPr>
        <w:pStyle w:val="985"/>
      </w:pPr>
      <w:r>
        <w:t xml:space="preserve">печать;</w:t>
      </w:r>
      <w:r/>
    </w:p>
    <w:p>
      <w:pPr>
        <w:pStyle w:val="985"/>
      </w:pPr>
      <w:r>
        <w:t xml:space="preserve">загрузка из </w:t>
      </w:r>
      <w:r>
        <w:t xml:space="preserve">OEBS</w:t>
      </w:r>
      <w:r>
        <w:t xml:space="preserve">;</w:t>
      </w:r>
      <w:r/>
    </w:p>
    <w:p>
      <w:pPr>
        <w:pStyle w:val="985"/>
      </w:pPr>
      <w:r>
        <w:t xml:space="preserve">экспорт во внешнюю систему</w:t>
      </w:r>
      <w:r>
        <w:t xml:space="preserve">.</w:t>
      </w:r>
      <w:r/>
    </w:p>
    <w:p>
      <w:pPr>
        <w:pStyle w:val="973"/>
      </w:pPr>
      <w:r>
        <w:t xml:space="preserve">Экранная форма документа</w:t>
      </w:r>
      <w:r/>
    </w:p>
    <w:p>
      <w:pPr>
        <w:pStyle w:val="994"/>
      </w:pPr>
      <w:r>
        <w:t xml:space="preserve">ЭФ </w:t>
      </w:r>
      <w:r>
        <w:t xml:space="preserve">документа «</w:t>
      </w:r>
      <w:r>
        <w:t xml:space="preserve">Извещение о постановке на учет (изменении) </w:t>
      </w:r>
      <w:r>
        <w:t xml:space="preserve">Д</w:t>
      </w:r>
      <w:r>
        <w:t xml:space="preserve">О в ФК</w:t>
      </w:r>
      <w:r>
        <w:t xml:space="preserve">»</w:t>
      </w:r>
      <w:r>
        <w:t xml:space="preserve"> представлена на рисунках</w:t>
      </w:r>
      <w:r>
        <w:t xml:space="preserve"> </w:t>
      </w:r>
      <w:r>
        <w:fldChar w:fldCharType="begin"/>
      </w:r>
      <w:r>
        <w:instrText xml:space="preserve"> REF _Ref490557223 \h </w:instrText>
      </w:r>
      <w:r>
        <w:fldChar w:fldCharType="separate"/>
      </w:r>
      <w:r>
        <w:t xml:space="preserve">93</w:t>
      </w:r>
      <w:r>
        <w:fldChar w:fldCharType="end"/>
      </w:r>
      <w:r>
        <w:t xml:space="preserve"> </w:t>
      </w:r>
      <w:r>
        <w:t xml:space="preserve">и</w:t>
      </w:r>
      <w:r>
        <w:t xml:space="preserve"> </w:t>
      </w:r>
      <w:r>
        <w:fldChar w:fldCharType="begin"/>
      </w:r>
      <w:r>
        <w:instrText xml:space="preserve"> REF _Ref490557224 \h </w:instrText>
      </w:r>
      <w:r>
        <w:fldChar w:fldCharType="separate"/>
      </w:r>
      <w:r>
        <w:t xml:space="preserve">94</w:t>
      </w:r>
      <w:r>
        <w:fldChar w:fldCharType="end"/>
      </w:r>
      <w:r>
        <w:t xml:space="preserve">. </w:t>
      </w:r>
      <w:r>
        <w:t xml:space="preserve">Форма содержит следующие закладки</w:t>
      </w:r>
      <w:r>
        <w:t xml:space="preserve">:</w:t>
      </w:r>
      <w:r/>
    </w:p>
    <w:p>
      <w:pPr>
        <w:pStyle w:val="985"/>
      </w:pPr>
      <w:r>
        <w:t xml:space="preserve">«</w:t>
      </w:r>
      <w:r>
        <w:t xml:space="preserve">Основные а</w:t>
      </w:r>
      <w:r>
        <w:t xml:space="preserve">т</w:t>
      </w:r>
      <w:r>
        <w:t xml:space="preserve">рибуты</w:t>
      </w:r>
      <w:r>
        <w:t xml:space="preserve">»</w:t>
      </w:r>
      <w:r>
        <w:t xml:space="preserve">;</w:t>
      </w:r>
      <w:r/>
    </w:p>
    <w:p>
      <w:pPr>
        <w:pStyle w:val="985"/>
      </w:pPr>
      <w:r>
        <w:t xml:space="preserve">«Подписи»</w:t>
      </w:r>
      <w:r>
        <w:t xml:space="preserve">;</w:t>
      </w:r>
      <w:r/>
    </w:p>
    <w:p>
      <w:pPr>
        <w:pStyle w:val="985"/>
      </w:pPr>
      <w:r>
        <w:t xml:space="preserve">«</w:t>
      </w:r>
      <w:r>
        <w:t xml:space="preserve">Системные атр</w:t>
      </w:r>
      <w:r>
        <w:t xml:space="preserve">и</w:t>
      </w:r>
      <w:r>
        <w:t xml:space="preserve">буты</w:t>
      </w:r>
      <w:r>
        <w:t xml:space="preserve">»</w:t>
      </w:r>
      <w:r>
        <w:t xml:space="preserve">;</w:t>
      </w:r>
      <w:r/>
    </w:p>
    <w:p>
      <w:pPr>
        <w:pStyle w:val="985"/>
      </w:pPr>
      <w:r>
        <w:t xml:space="preserve">«</w:t>
      </w:r>
      <w:r>
        <w:t xml:space="preserve">Протоколы</w:t>
      </w:r>
      <w:r>
        <w:t xml:space="preserve">»</w:t>
      </w:r>
      <w:r>
        <w:t xml:space="preserve">.</w:t>
      </w:r>
      <w:r/>
    </w:p>
    <w:p>
      <w:pPr>
        <w:pStyle w:val="982"/>
      </w:pPr>
      <w:r>
        <mc:AlternateContent>
          <mc:Choice Requires="wpg">
            <w:drawing>
              <wp:inline xmlns:wp="http://schemas.openxmlformats.org/drawingml/2006/wordprocessingDrawing" distT="0" distB="0" distL="0" distR="0">
                <wp:extent cx="6118860" cy="4206240"/>
                <wp:effectExtent l="0" t="0" r="0" b="0"/>
                <wp:docPr id="16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57"/>
                        <a:stretch/>
                      </pic:blipFill>
                      <pic:spPr bwMode="auto">
                        <a:xfrm>
                          <a:off x="0" y="0"/>
                          <a:ext cx="6118860" cy="42062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 o:spid="_x0000_s166" type="#_x0000_t75" style="mso-wrap-distance-left:0.0pt;mso-wrap-distance-top:0.0pt;mso-wrap-distance-right:0.0pt;mso-wrap-distance-bottom:0.0pt;width:481.8pt;height:331.2pt;" stroked="f">
                <v:path textboxrect="0,0,0,0"/>
                <v:imagedata r:id="rId157" o:title=""/>
              </v:shape>
            </w:pict>
          </mc:Fallback>
        </mc:AlternateContent>
      </w:r>
      <w:r/>
    </w:p>
    <w:p>
      <w:pPr>
        <w:pStyle w:val="983"/>
      </w:pPr>
      <w:r>
        <w:fldChar w:fldCharType="begin"/>
      </w:r>
      <w:r>
        <w:instrText xml:space="preserve"> SEQ Рисунок \* ARABIC </w:instrText>
      </w:r>
      <w:r>
        <w:fldChar w:fldCharType="separate"/>
      </w:r>
      <w:bookmarkStart w:id="805" w:name="_Ref490557223"/>
      <w:r/>
      <w:bookmarkStart w:id="806" w:name="_Toc88819478"/>
      <w:r>
        <w:t xml:space="preserve">93</w:t>
      </w:r>
      <w:bookmarkEnd w:id="805"/>
      <w:r>
        <w:fldChar w:fldCharType="end"/>
      </w:r>
      <w:r>
        <w:t xml:space="preserve">. ЭФ </w:t>
      </w:r>
      <w:r>
        <w:t xml:space="preserve">документа «</w:t>
      </w:r>
      <w:r>
        <w:t xml:space="preserve">Извещение о постановке на учет (изменении) </w:t>
      </w:r>
      <w:r>
        <w:t xml:space="preserve">Д</w:t>
      </w:r>
      <w:r>
        <w:t xml:space="preserve">О в ФК</w:t>
      </w:r>
      <w:r>
        <w:t xml:space="preserve">», закладки «</w:t>
      </w:r>
      <w:r>
        <w:t xml:space="preserve">Основные атрибуты</w:t>
      </w:r>
      <w:r>
        <w:t xml:space="preserve">»</w:t>
      </w:r>
      <w:bookmarkEnd w:id="806"/>
      <w:r/>
      <w:r/>
    </w:p>
    <w:p>
      <w:pPr>
        <w:pStyle w:val="994"/>
      </w:pPr>
      <w:r>
        <w:t xml:space="preserve">Перечень полей </w:t>
      </w:r>
      <w:r>
        <w:t xml:space="preserve">документа </w:t>
      </w:r>
      <w:r>
        <w:t xml:space="preserve">«</w:t>
      </w:r>
      <w:r>
        <w:t xml:space="preserve">Извещение о </w:t>
      </w:r>
      <w:r>
        <w:t xml:space="preserve">постановке на учет (изменении) Д</w:t>
      </w:r>
      <w:r>
        <w:t xml:space="preserve">О в ФК</w:t>
      </w:r>
      <w:r>
        <w:t xml:space="preserve">», закладки «</w:t>
      </w:r>
      <w:r>
        <w:t xml:space="preserve">Основные атрибуты</w:t>
      </w:r>
      <w:r>
        <w:t xml:space="preserve">»</w:t>
      </w:r>
      <w:r>
        <w:t xml:space="preserve"> </w:t>
      </w:r>
      <w:r>
        <w:t xml:space="preserve">приведен в таблице</w:t>
      </w:r>
      <w:r>
        <w:t xml:space="preserve"> </w:t>
      </w:r>
      <w:r>
        <w:fldChar w:fldCharType="begin"/>
      </w:r>
      <w:r>
        <w:instrText xml:space="preserve"> REF _Ref490557261 \h </w:instrText>
      </w:r>
      <w:r>
        <w:fldChar w:fldCharType="separate"/>
      </w:r>
      <w:r>
        <w:t xml:space="preserve">48</w:t>
      </w:r>
      <w:r>
        <w:fldChar w:fldCharType="end"/>
      </w:r>
      <w:r>
        <w:t xml:space="preserve">.</w:t>
      </w:r>
      <w:r/>
    </w:p>
    <w:p>
      <w:pPr>
        <w:pStyle w:val="993"/>
      </w:pPr>
      <w:r>
        <w:fldChar w:fldCharType="begin"/>
      </w:r>
      <w:r>
        <w:instrText xml:space="preserve"> SEQ Таблица \* ARABIC </w:instrText>
      </w:r>
      <w:r>
        <w:fldChar w:fldCharType="separate"/>
      </w:r>
      <w:bookmarkStart w:id="807" w:name="_Ref490557261"/>
      <w:r/>
      <w:bookmarkStart w:id="808" w:name="_Toc88819234"/>
      <w:r>
        <w:t xml:space="preserve">48</w:t>
      </w:r>
      <w:bookmarkEnd w:id="807"/>
      <w:r>
        <w:fldChar w:fldCharType="end"/>
      </w:r>
      <w:r>
        <w:t xml:space="preserve">. Описание полей документа </w:t>
      </w:r>
      <w:r>
        <w:t xml:space="preserve">«</w:t>
      </w:r>
      <w:r>
        <w:t xml:space="preserve">Извещение о постановке на учет (изм</w:t>
      </w:r>
      <w:r>
        <w:t xml:space="preserve">е</w:t>
      </w:r>
      <w:r>
        <w:t xml:space="preserve">нении) </w:t>
      </w:r>
      <w:r>
        <w:t xml:space="preserve">Д</w:t>
      </w:r>
      <w:r>
        <w:t xml:space="preserve">О в ФК</w:t>
      </w:r>
      <w:r>
        <w:t xml:space="preserve">», закладки «</w:t>
      </w:r>
      <w:r>
        <w:t xml:space="preserve">О</w:t>
      </w:r>
      <w:r>
        <w:t xml:space="preserve">с</w:t>
      </w:r>
      <w:r>
        <w:t xml:space="preserve">новные атриб</w:t>
      </w:r>
      <w:r>
        <w:t xml:space="preserve">у</w:t>
      </w:r>
      <w:r>
        <w:t xml:space="preserve">ты</w:t>
      </w:r>
      <w:r>
        <w:t xml:space="preserve">»</w:t>
      </w:r>
      <w:bookmarkEnd w:id="80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5217"/>
        <w:gridCol w:w="4535"/>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675"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325"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Закладка </w:t>
            </w:r>
            <w:r>
              <w:t xml:space="preserve">«Основные атрибуты»</w:t>
            </w:r>
            <w:r/>
          </w:p>
        </w:tc>
      </w:tr>
      <w:tr>
        <w:trPr/>
        <w:tc>
          <w:tcPr>
            <w:shd w:val="clear" w:fill="auto" w:color="auto"/>
            <w:tcW w:w="2675" w:type="pct"/>
            <w:textDirection w:val="lrTb"/>
            <w:noWrap w:val="false"/>
          </w:tcPr>
          <w:p>
            <w:pPr>
              <w:pStyle w:val="1005"/>
              <w:ind w:left="57" w:right="57"/>
            </w:pPr>
            <w:r>
              <w:t xml:space="preserve">Дата извещения</w:t>
            </w:r>
            <w:r/>
          </w:p>
        </w:tc>
        <w:tc>
          <w:tcPr>
            <w:shd w:val="clear" w:fill="auto" w:color="auto"/>
            <w:tcW w:w="2325" w:type="pct"/>
            <w:textDirection w:val="lrTb"/>
            <w:noWrap w:val="false"/>
          </w:tcPr>
          <w:p>
            <w:pPr>
              <w:pStyle w:val="1005"/>
              <w:ind w:left="57" w:right="57"/>
            </w:pPr>
            <w:r>
              <w:t xml:space="preserve">Значение загружается из </w:t>
            </w:r>
            <w:r>
              <w:t xml:space="preserve">OEBS</w:t>
            </w:r>
            <w:r>
              <w:t xml:space="preserve">.</w:t>
            </w:r>
            <w:r/>
          </w:p>
        </w:tc>
      </w:tr>
      <w:tr>
        <w:trPr/>
        <w:tc>
          <w:tcPr>
            <w:shd w:val="clear" w:fill="auto" w:color="auto"/>
            <w:tcW w:w="2675" w:type="pct"/>
            <w:textDirection w:val="lrTb"/>
            <w:noWrap w:val="false"/>
          </w:tcPr>
          <w:p>
            <w:pPr>
              <w:pStyle w:val="1005"/>
              <w:ind w:left="57" w:right="57"/>
            </w:pPr>
            <w:r>
              <w:t xml:space="preserve">Наименование органа ФК</w:t>
            </w:r>
            <w:r/>
          </w:p>
        </w:tc>
        <w:tc>
          <w:tcPr>
            <w:shd w:val="clear" w:fill="auto" w:color="auto"/>
            <w:tcW w:w="2325" w:type="pct"/>
            <w:textDirection w:val="lrTb"/>
            <w:noWrap w:val="false"/>
          </w:tcPr>
          <w:p>
            <w:pPr>
              <w:pStyle w:val="1005"/>
              <w:ind w:left="57" w:right="57"/>
            </w:pPr>
            <w:r>
              <w:t xml:space="preserve">Значение загружается из </w:t>
            </w:r>
            <w:r>
              <w:t xml:space="preserve">OEBS</w:t>
            </w:r>
            <w:r>
              <w:t xml:space="preserve">.</w:t>
            </w:r>
            <w:r/>
          </w:p>
        </w:tc>
      </w:tr>
      <w:tr>
        <w:trPr/>
        <w:tc>
          <w:tcPr>
            <w:shd w:val="clear" w:fill="auto" w:color="auto"/>
            <w:tcW w:w="2675" w:type="pct"/>
            <w:textDirection w:val="lrTb"/>
            <w:noWrap w:val="false"/>
          </w:tcPr>
          <w:p>
            <w:pPr>
              <w:pStyle w:val="1005"/>
              <w:ind w:left="57" w:right="57"/>
            </w:pPr>
            <w:r>
              <w:t xml:space="preserve">Код по КОФК</w:t>
            </w:r>
            <w:r/>
          </w:p>
        </w:tc>
        <w:tc>
          <w:tcPr>
            <w:shd w:val="clear" w:fill="auto" w:color="auto"/>
            <w:tcW w:w="2325" w:type="pct"/>
            <w:textDirection w:val="lrTb"/>
            <w:noWrap w:val="false"/>
          </w:tcPr>
          <w:p>
            <w:pPr>
              <w:pStyle w:val="1005"/>
              <w:ind w:left="57" w:right="57"/>
            </w:pPr>
            <w:r>
              <w:t xml:space="preserve">Значение загружается из </w:t>
            </w:r>
            <w:r>
              <w:t xml:space="preserve">OEBS</w:t>
            </w:r>
            <w:r>
              <w:t xml:space="preserve">.</w:t>
            </w:r>
            <w:r/>
          </w:p>
        </w:tc>
      </w:tr>
      <w:tr>
        <w:trPr/>
        <w:tc>
          <w:tcPr>
            <w:shd w:val="clear" w:fill="auto" w:color="auto"/>
            <w:tcW w:w="2675" w:type="pct"/>
            <w:textDirection w:val="lrTb"/>
            <w:noWrap w:val="false"/>
          </w:tcPr>
          <w:p>
            <w:pPr>
              <w:pStyle w:val="1005"/>
              <w:ind w:left="57" w:right="57"/>
            </w:pPr>
            <w:r>
              <w:t xml:space="preserve">Наименование клиента</w:t>
            </w:r>
            <w:r/>
          </w:p>
        </w:tc>
        <w:tc>
          <w:tcPr>
            <w:shd w:val="clear" w:fill="auto" w:color="auto"/>
            <w:tcW w:w="2325" w:type="pct"/>
            <w:textDirection w:val="lrTb"/>
            <w:noWrap w:val="false"/>
          </w:tcPr>
          <w:p>
            <w:pPr>
              <w:pStyle w:val="1005"/>
              <w:ind w:left="57" w:right="57"/>
            </w:pPr>
            <w:r>
              <w:t xml:space="preserve">Значение загружается из </w:t>
            </w:r>
            <w:r>
              <w:t xml:space="preserve">OEBS</w:t>
            </w:r>
            <w:r>
              <w:t xml:space="preserve">.</w:t>
            </w:r>
            <w:r/>
          </w:p>
        </w:tc>
      </w:tr>
      <w:tr>
        <w:trPr/>
        <w:tc>
          <w:tcPr>
            <w:shd w:val="clear" w:fill="auto" w:color="auto"/>
            <w:tcW w:w="2675" w:type="pct"/>
            <w:textDirection w:val="lrTb"/>
            <w:noWrap w:val="false"/>
          </w:tcPr>
          <w:p>
            <w:pPr>
              <w:pStyle w:val="1005"/>
              <w:ind w:left="57" w:right="57"/>
            </w:pPr>
            <w:r>
              <w:t xml:space="preserve">Код по сводному ре</w:t>
            </w:r>
            <w:r>
              <w:t xml:space="preserve">е</w:t>
            </w:r>
            <w:r>
              <w:t xml:space="preserve">стру</w:t>
            </w:r>
            <w:r/>
          </w:p>
        </w:tc>
        <w:tc>
          <w:tcPr>
            <w:shd w:val="clear" w:fill="auto" w:color="auto"/>
            <w:tcW w:w="2325" w:type="pct"/>
            <w:textDirection w:val="lrTb"/>
            <w:noWrap w:val="false"/>
          </w:tcPr>
          <w:p>
            <w:pPr>
              <w:pStyle w:val="1005"/>
              <w:ind w:left="57" w:right="57"/>
            </w:pPr>
            <w:r>
              <w:t xml:space="preserve">Значение загружается из </w:t>
            </w:r>
            <w:r>
              <w:t xml:space="preserve">OEBS</w:t>
            </w:r>
            <w:r>
              <w:t xml:space="preserve">.</w:t>
            </w:r>
            <w:r/>
          </w:p>
        </w:tc>
      </w:tr>
      <w:tr>
        <w:trPr/>
        <w:tc>
          <w:tcPr>
            <w:shd w:val="clear" w:fill="auto" w:color="auto"/>
            <w:tcW w:w="2675" w:type="pct"/>
            <w:textDirection w:val="lrTb"/>
            <w:noWrap w:val="false"/>
          </w:tcPr>
          <w:p>
            <w:pPr>
              <w:pStyle w:val="1005"/>
              <w:ind w:left="57" w:right="57"/>
            </w:pPr>
            <w:r>
              <w:t xml:space="preserve">Наименование бюдж</w:t>
            </w:r>
            <w:r>
              <w:t xml:space="preserve">е</w:t>
            </w:r>
            <w:r>
              <w:t xml:space="preserve">та</w:t>
            </w:r>
            <w:r/>
          </w:p>
        </w:tc>
        <w:tc>
          <w:tcPr>
            <w:shd w:val="clear" w:fill="auto" w:color="auto"/>
            <w:tcW w:w="2325" w:type="pct"/>
            <w:textDirection w:val="lrTb"/>
            <w:noWrap w:val="false"/>
          </w:tcPr>
          <w:p>
            <w:pPr>
              <w:pStyle w:val="1005"/>
              <w:ind w:left="57" w:right="57"/>
            </w:pPr>
            <w:r>
              <w:t xml:space="preserve">Значение загружается из </w:t>
            </w:r>
            <w:r>
              <w:t xml:space="preserve">OEBS</w:t>
            </w:r>
            <w:r>
              <w:t xml:space="preserve">.</w:t>
            </w:r>
            <w:r/>
          </w:p>
        </w:tc>
      </w:tr>
      <w:tr>
        <w:trPr/>
        <w:tc>
          <w:tcPr>
            <w:shd w:val="clear" w:fill="auto" w:color="auto"/>
            <w:tcW w:w="2675" w:type="pct"/>
            <w:textDirection w:val="lrTb"/>
            <w:noWrap w:val="false"/>
          </w:tcPr>
          <w:p>
            <w:pPr>
              <w:pStyle w:val="1005"/>
              <w:ind w:left="57" w:right="57"/>
            </w:pPr>
            <w:r>
              <w:t xml:space="preserve">Код по ОКТМО</w:t>
            </w:r>
            <w:r/>
          </w:p>
        </w:tc>
        <w:tc>
          <w:tcPr>
            <w:shd w:val="clear" w:fill="auto" w:color="auto"/>
            <w:tcW w:w="2325" w:type="pct"/>
            <w:textDirection w:val="lrTb"/>
            <w:noWrap w:val="false"/>
          </w:tcPr>
          <w:p>
            <w:pPr>
              <w:pStyle w:val="1005"/>
              <w:ind w:left="57" w:right="57"/>
            </w:pPr>
            <w:r>
              <w:t xml:space="preserve">Значение загружается из </w:t>
            </w:r>
            <w:r>
              <w:t xml:space="preserve">OEBS</w:t>
            </w:r>
            <w:r>
              <w:t xml:space="preserve">.</w:t>
            </w:r>
            <w:r/>
          </w:p>
        </w:tc>
      </w:tr>
      <w:tr>
        <w:trPr/>
        <w:tc>
          <w:tcPr>
            <w:shd w:val="clear" w:fill="auto" w:color="auto"/>
            <w:tcW w:w="2675" w:type="pct"/>
            <w:textDirection w:val="lrTb"/>
            <w:noWrap w:val="false"/>
          </w:tcPr>
          <w:p>
            <w:pPr>
              <w:pStyle w:val="1005"/>
              <w:ind w:left="57" w:right="57"/>
            </w:pPr>
            <w:r>
              <w:t xml:space="preserve">Финансовый орган</w:t>
            </w:r>
            <w:r/>
          </w:p>
        </w:tc>
        <w:tc>
          <w:tcPr>
            <w:shd w:val="clear" w:fill="auto" w:color="auto"/>
            <w:tcW w:w="2325" w:type="pct"/>
            <w:textDirection w:val="lrTb"/>
            <w:noWrap w:val="false"/>
          </w:tcPr>
          <w:p>
            <w:pPr>
              <w:pStyle w:val="1005"/>
              <w:ind w:left="57" w:right="57"/>
            </w:pPr>
            <w:r>
              <w:t xml:space="preserve">Значение загружается из </w:t>
            </w:r>
            <w:r>
              <w:t xml:space="preserve">OEBS</w:t>
            </w:r>
            <w:r>
              <w:t xml:space="preserve">.</w:t>
            </w:r>
            <w:r/>
          </w:p>
        </w:tc>
      </w:tr>
      <w:tr>
        <w:trPr/>
        <w:tc>
          <w:tcPr>
            <w:shd w:val="clear" w:fill="auto" w:color="auto"/>
            <w:tcW w:w="2675" w:type="pct"/>
            <w:textDirection w:val="lrTb"/>
            <w:noWrap w:val="false"/>
          </w:tcPr>
          <w:p>
            <w:pPr>
              <w:pStyle w:val="1005"/>
              <w:ind w:left="57" w:right="57"/>
            </w:pPr>
            <w:r>
              <w:t xml:space="preserve">Код по ОКПО</w:t>
            </w:r>
            <w:r/>
          </w:p>
        </w:tc>
        <w:tc>
          <w:tcPr>
            <w:shd w:val="clear" w:fill="auto" w:color="auto"/>
            <w:tcW w:w="2325" w:type="pct"/>
            <w:textDirection w:val="lrTb"/>
            <w:noWrap w:val="false"/>
          </w:tcPr>
          <w:p>
            <w:pPr>
              <w:pStyle w:val="1005"/>
              <w:ind w:left="57" w:right="57"/>
            </w:pPr>
            <w:r>
              <w:t xml:space="preserve">Значение загружается из </w:t>
            </w:r>
            <w:r>
              <w:t xml:space="preserve">OEBS</w:t>
            </w:r>
            <w:r>
              <w:t xml:space="preserve">.</w:t>
            </w:r>
            <w:r/>
          </w:p>
        </w:tc>
      </w:tr>
      <w:tr>
        <w:trPr/>
        <w:tc>
          <w:tcPr>
            <w:gridSpan w:val="2"/>
            <w:shd w:val="clear" w:fill="auto" w:color="auto"/>
            <w:tcW w:w="5000" w:type="pct"/>
            <w:textDirection w:val="lrTb"/>
            <w:noWrap w:val="false"/>
          </w:tcPr>
          <w:p>
            <w:pPr>
              <w:pStyle w:val="1005"/>
              <w:ind w:left="57" w:right="57"/>
            </w:pPr>
            <w:r>
              <w:t xml:space="preserve">Закладка </w:t>
            </w:r>
            <w:r>
              <w:t xml:space="preserve">«Основные атрибуты</w:t>
            </w:r>
            <w:r>
              <w:t xml:space="preserve">», группа полей «</w:t>
            </w:r>
            <w:r>
              <w:t xml:space="preserve">Информация о бюджетном обязательстве</w:t>
            </w:r>
            <w:r>
              <w:t xml:space="preserve">»</w:t>
            </w:r>
            <w:r/>
          </w:p>
        </w:tc>
      </w:tr>
      <w:tr>
        <w:trPr/>
        <w:tc>
          <w:tcPr>
            <w:shd w:val="clear" w:fill="auto" w:color="auto"/>
            <w:tcW w:w="2675" w:type="pct"/>
            <w:textDirection w:val="lrTb"/>
            <w:noWrap w:val="false"/>
          </w:tcPr>
          <w:p>
            <w:pPr>
              <w:pStyle w:val="1005"/>
              <w:ind w:left="57" w:right="57"/>
            </w:pPr>
            <w:r>
              <w:t xml:space="preserve">Номер документа-основания</w:t>
            </w:r>
            <w:r/>
          </w:p>
        </w:tc>
        <w:tc>
          <w:tcPr>
            <w:shd w:val="clear" w:fill="auto" w:color="auto"/>
            <w:tcW w:w="2325" w:type="pct"/>
            <w:textDirection w:val="lrTb"/>
            <w:noWrap w:val="false"/>
          </w:tcPr>
          <w:p>
            <w:pPr>
              <w:pStyle w:val="1005"/>
              <w:ind w:left="57" w:right="57"/>
            </w:pPr>
            <w:r>
              <w:t xml:space="preserve">Значение загружается из OEBS.</w:t>
            </w:r>
            <w:r/>
          </w:p>
        </w:tc>
      </w:tr>
      <w:tr>
        <w:trPr/>
        <w:tc>
          <w:tcPr>
            <w:shd w:val="clear" w:fill="auto" w:color="auto"/>
            <w:tcW w:w="2675" w:type="pct"/>
            <w:textDirection w:val="lrTb"/>
            <w:noWrap w:val="false"/>
          </w:tcPr>
          <w:p>
            <w:pPr>
              <w:pStyle w:val="1005"/>
              <w:ind w:left="57" w:right="57"/>
            </w:pPr>
            <w:r>
              <w:t xml:space="preserve">Дата заключения (принятия) документа-основания</w:t>
            </w:r>
            <w:r/>
          </w:p>
        </w:tc>
        <w:tc>
          <w:tcPr>
            <w:shd w:val="clear" w:fill="auto" w:color="auto"/>
            <w:tcW w:w="2325" w:type="pct"/>
            <w:textDirection w:val="lrTb"/>
            <w:noWrap w:val="false"/>
          </w:tcPr>
          <w:p>
            <w:pPr>
              <w:pStyle w:val="1005"/>
              <w:ind w:left="57" w:right="57"/>
            </w:pPr>
            <w:r>
              <w:t xml:space="preserve">Значение загружается из OEBS.</w:t>
            </w:r>
            <w:r/>
          </w:p>
        </w:tc>
      </w:tr>
      <w:tr>
        <w:trPr/>
        <w:tc>
          <w:tcPr>
            <w:shd w:val="clear" w:fill="auto" w:color="auto"/>
            <w:tcW w:w="2675" w:type="pct"/>
            <w:textDirection w:val="lrTb"/>
            <w:noWrap w:val="false"/>
          </w:tcPr>
          <w:p>
            <w:pPr>
              <w:pStyle w:val="1005"/>
              <w:ind w:left="57" w:right="57"/>
            </w:pPr>
            <w:r>
              <w:t xml:space="preserve">Сумма по документу-основанию</w:t>
            </w:r>
            <w:r/>
          </w:p>
        </w:tc>
        <w:tc>
          <w:tcPr>
            <w:shd w:val="clear" w:fill="auto" w:color="auto"/>
            <w:tcW w:w="2325" w:type="pct"/>
            <w:textDirection w:val="lrTb"/>
            <w:noWrap w:val="false"/>
          </w:tcPr>
          <w:p>
            <w:pPr>
              <w:pStyle w:val="1005"/>
              <w:ind w:left="57" w:right="57"/>
            </w:pPr>
            <w:r>
              <w:t xml:space="preserve">Значение загружается из OEBS.</w:t>
            </w:r>
            <w:r/>
          </w:p>
        </w:tc>
      </w:tr>
      <w:tr>
        <w:trPr/>
        <w:tc>
          <w:tcPr>
            <w:shd w:val="clear" w:fill="auto" w:color="auto"/>
            <w:tcW w:w="2675" w:type="pct"/>
            <w:textDirection w:val="lrTb"/>
            <w:noWrap w:val="false"/>
          </w:tcPr>
          <w:p>
            <w:pPr>
              <w:pStyle w:val="1005"/>
              <w:ind w:left="57" w:right="57"/>
            </w:pPr>
            <w:r>
              <w:t xml:space="preserve">Дата Сведений о БО</w:t>
            </w:r>
            <w:r/>
          </w:p>
        </w:tc>
        <w:tc>
          <w:tcPr>
            <w:shd w:val="clear" w:fill="auto" w:color="auto"/>
            <w:tcW w:w="2325" w:type="pct"/>
            <w:textDirection w:val="lrTb"/>
            <w:noWrap w:val="false"/>
          </w:tcPr>
          <w:p>
            <w:pPr>
              <w:pStyle w:val="1005"/>
              <w:ind w:left="57" w:right="57"/>
            </w:pPr>
            <w:r>
              <w:t xml:space="preserve">Значение загружается из OEBS.</w:t>
            </w:r>
            <w:r/>
          </w:p>
        </w:tc>
      </w:tr>
      <w:tr>
        <w:trPr/>
        <w:tc>
          <w:tcPr>
            <w:shd w:val="clear" w:fill="auto" w:color="auto"/>
            <w:tcW w:w="2675" w:type="pct"/>
            <w:textDirection w:val="lrTb"/>
            <w:noWrap w:val="false"/>
          </w:tcPr>
          <w:p>
            <w:pPr>
              <w:pStyle w:val="1005"/>
              <w:ind w:left="57" w:right="57"/>
            </w:pPr>
            <w:r>
              <w:t xml:space="preserve">Номер Сведений о БО</w:t>
            </w:r>
            <w:r/>
          </w:p>
        </w:tc>
        <w:tc>
          <w:tcPr>
            <w:shd w:val="clear" w:fill="auto" w:color="auto"/>
            <w:tcW w:w="2325" w:type="pct"/>
            <w:textDirection w:val="lrTb"/>
            <w:noWrap w:val="false"/>
          </w:tcPr>
          <w:p>
            <w:pPr>
              <w:pStyle w:val="1005"/>
              <w:ind w:left="57" w:right="57"/>
            </w:pPr>
            <w:r>
              <w:t xml:space="preserve">Значение загружается из OEBS.</w:t>
            </w:r>
            <w:r/>
          </w:p>
        </w:tc>
      </w:tr>
      <w:tr>
        <w:trPr/>
        <w:tc>
          <w:tcPr>
            <w:shd w:val="clear" w:fill="auto" w:color="auto"/>
            <w:tcW w:w="2675" w:type="pct"/>
            <w:textDirection w:val="lrTb"/>
            <w:noWrap w:val="false"/>
          </w:tcPr>
          <w:p>
            <w:pPr>
              <w:pStyle w:val="1005"/>
              <w:ind w:left="57" w:right="57"/>
            </w:pPr>
            <w:r>
              <w:t xml:space="preserve">Дата постановки на учет (изменения) БО</w:t>
            </w:r>
            <w:r/>
          </w:p>
        </w:tc>
        <w:tc>
          <w:tcPr>
            <w:shd w:val="clear" w:fill="auto" w:color="auto"/>
            <w:tcW w:w="2325" w:type="pct"/>
            <w:textDirection w:val="lrTb"/>
            <w:noWrap w:val="false"/>
          </w:tcPr>
          <w:p>
            <w:pPr>
              <w:pStyle w:val="1005"/>
              <w:ind w:left="57" w:right="57"/>
            </w:pPr>
            <w:r>
              <w:t xml:space="preserve">Значение загружается из OEBS.</w:t>
            </w:r>
            <w:r/>
          </w:p>
        </w:tc>
      </w:tr>
      <w:tr>
        <w:trPr/>
        <w:tc>
          <w:tcPr>
            <w:shd w:val="clear" w:fill="auto" w:color="auto"/>
            <w:tcW w:w="2675" w:type="pct"/>
            <w:textDirection w:val="lrTb"/>
            <w:noWrap w:val="false"/>
          </w:tcPr>
          <w:p>
            <w:pPr>
              <w:pStyle w:val="1005"/>
              <w:ind w:left="57" w:right="57"/>
            </w:pPr>
            <w:r>
              <w:t xml:space="preserve">Порядковый номер измен</w:t>
            </w:r>
            <w:r>
              <w:t xml:space="preserve">е</w:t>
            </w:r>
            <w:r>
              <w:t xml:space="preserve">ний в БО</w:t>
            </w:r>
            <w:r/>
          </w:p>
        </w:tc>
        <w:tc>
          <w:tcPr>
            <w:shd w:val="clear" w:fill="auto" w:color="auto"/>
            <w:tcW w:w="2325" w:type="pct"/>
            <w:textDirection w:val="lrTb"/>
            <w:noWrap w:val="false"/>
          </w:tcPr>
          <w:p>
            <w:pPr>
              <w:pStyle w:val="1005"/>
              <w:ind w:left="57" w:right="57"/>
            </w:pPr>
            <w:r>
              <w:t xml:space="preserve">Значение загружается из OEBS.</w:t>
            </w:r>
            <w:r/>
          </w:p>
        </w:tc>
      </w:tr>
      <w:tr>
        <w:trPr/>
        <w:tc>
          <w:tcPr>
            <w:shd w:val="clear" w:fill="auto" w:color="auto"/>
            <w:tcW w:w="2675" w:type="pct"/>
            <w:textDirection w:val="lrTb"/>
            <w:noWrap w:val="false"/>
          </w:tcPr>
          <w:p>
            <w:pPr>
              <w:pStyle w:val="1005"/>
              <w:ind w:left="57" w:right="57"/>
            </w:pPr>
            <w:r>
              <w:t xml:space="preserve">Учетный номер БО</w:t>
            </w:r>
            <w:r/>
          </w:p>
        </w:tc>
        <w:tc>
          <w:tcPr>
            <w:shd w:val="clear" w:fill="auto" w:color="auto"/>
            <w:tcW w:w="2325" w:type="pct"/>
            <w:textDirection w:val="lrTb"/>
            <w:noWrap w:val="false"/>
          </w:tcPr>
          <w:p>
            <w:pPr>
              <w:pStyle w:val="1005"/>
              <w:ind w:left="57" w:right="57"/>
            </w:pPr>
            <w:r>
              <w:t xml:space="preserve">Значение загружается из OEBS.</w:t>
            </w:r>
            <w:r/>
          </w:p>
        </w:tc>
      </w:tr>
      <w:tr>
        <w:trPr/>
        <w:tc>
          <w:tcPr>
            <w:shd w:val="clear" w:fill="auto" w:color="auto"/>
            <w:tcW w:w="2675" w:type="pct"/>
            <w:textDirection w:val="lrTb"/>
            <w:noWrap w:val="false"/>
          </w:tcPr>
          <w:p>
            <w:pPr>
              <w:pStyle w:val="1005"/>
              <w:ind w:left="57" w:right="57"/>
            </w:pPr>
            <w:r>
              <w:t xml:space="preserve">Номер реестровой записи в реестре контра</w:t>
            </w:r>
            <w:r>
              <w:t xml:space="preserve">к</w:t>
            </w:r>
            <w:r>
              <w:t xml:space="preserve">тов/реестре соглашений</w:t>
            </w:r>
            <w:r/>
          </w:p>
        </w:tc>
        <w:tc>
          <w:tcPr>
            <w:shd w:val="clear" w:fill="auto" w:color="auto"/>
            <w:tcW w:w="2325" w:type="pct"/>
            <w:textDirection w:val="lrTb"/>
            <w:noWrap w:val="false"/>
          </w:tcPr>
          <w:p>
            <w:pPr>
              <w:pStyle w:val="1005"/>
              <w:ind w:left="57" w:right="57"/>
            </w:pPr>
            <w:r>
              <w:t xml:space="preserve">Значение загружается из OEBS.</w:t>
            </w:r>
            <w:r/>
          </w:p>
        </w:tc>
      </w:tr>
    </w:tbl>
    <w:p>
      <w:pPr>
        <w:pStyle w:val="994"/>
      </w:pPr>
      <w:r>
        <w:t xml:space="preserve">ЭФ документа «Извещение о </w:t>
      </w:r>
      <w:r>
        <w:t xml:space="preserve">постановке на учет (изменении) Д</w:t>
      </w:r>
      <w:r>
        <w:t xml:space="preserve">О в ФК</w:t>
      </w:r>
      <w:r>
        <w:t xml:space="preserve">», закладки «Подписи» представлена на рисунке </w:t>
      </w:r>
      <w:r>
        <w:fldChar w:fldCharType="begin"/>
      </w:r>
      <w:r>
        <w:instrText xml:space="preserve"> REF _Ref490557224 \h </w:instrText>
      </w:r>
      <w:r>
        <w:fldChar w:fldCharType="separate"/>
      </w:r>
      <w:r>
        <w:t xml:space="preserve">94</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017520"/>
                <wp:effectExtent l="0" t="0" r="0" b="0"/>
                <wp:docPr id="16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59"/>
                        <a:stretch/>
                      </pic:blipFill>
                      <pic:spPr bwMode="auto">
                        <a:xfrm>
                          <a:off x="0" y="0"/>
                          <a:ext cx="6126480" cy="301751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 o:spid="_x0000_s167" type="#_x0000_t75" style="mso-wrap-distance-left:0.0pt;mso-wrap-distance-top:0.0pt;mso-wrap-distance-right:0.0pt;mso-wrap-distance-bottom:0.0pt;width:482.4pt;height:237.6pt;" stroked="f">
                <v:path textboxrect="0,0,0,0"/>
                <v:imagedata r:id="rId159" o:title=""/>
              </v:shape>
            </w:pict>
          </mc:Fallback>
        </mc:AlternateContent>
      </w:r>
      <w:r/>
    </w:p>
    <w:p>
      <w:pPr>
        <w:pStyle w:val="983"/>
      </w:pPr>
      <w:r>
        <w:fldChar w:fldCharType="begin"/>
      </w:r>
      <w:r>
        <w:instrText xml:space="preserve"> SEQ Рисунок \* ARABIC </w:instrText>
      </w:r>
      <w:r>
        <w:fldChar w:fldCharType="separate"/>
      </w:r>
      <w:bookmarkStart w:id="809" w:name="_Ref490557224"/>
      <w:r/>
      <w:bookmarkStart w:id="810" w:name="_Toc88819479"/>
      <w:r>
        <w:t xml:space="preserve">94</w:t>
      </w:r>
      <w:bookmarkEnd w:id="809"/>
      <w:r>
        <w:fldChar w:fldCharType="end"/>
      </w:r>
      <w:r>
        <w:t xml:space="preserve">. ЭФ </w:t>
      </w:r>
      <w:r>
        <w:t xml:space="preserve">документа «</w:t>
      </w:r>
      <w:r>
        <w:t xml:space="preserve">Извещение о постановке на учет (изменении) </w:t>
      </w:r>
      <w:r>
        <w:t xml:space="preserve">Д</w:t>
      </w:r>
      <w:r>
        <w:t xml:space="preserve">О в ФК</w:t>
      </w:r>
      <w:r>
        <w:t xml:space="preserve">», закладки «</w:t>
      </w:r>
      <w:r>
        <w:t xml:space="preserve">Подписи</w:t>
      </w:r>
      <w:r>
        <w:t xml:space="preserve">»</w:t>
      </w:r>
      <w:bookmarkEnd w:id="810"/>
      <w:r/>
      <w:r/>
    </w:p>
    <w:p>
      <w:pPr>
        <w:pStyle w:val="994"/>
      </w:pPr>
      <w:r>
        <w:t xml:space="preserve">Перечень полей </w:t>
      </w:r>
      <w:r>
        <w:t xml:space="preserve">документа «Извещение о </w:t>
      </w:r>
      <w:r>
        <w:t xml:space="preserve">постановке на учет (изменении) Д</w:t>
      </w:r>
      <w:r>
        <w:t xml:space="preserve">О в ФК», закладки «Подписи» приведен в таблице </w:t>
      </w:r>
      <w:r>
        <w:fldChar w:fldCharType="begin"/>
      </w:r>
      <w:r>
        <w:instrText xml:space="preserve"> REF _Ref490557244 \h </w:instrText>
      </w:r>
      <w:r>
        <w:fldChar w:fldCharType="separate"/>
      </w:r>
      <w:r>
        <w:t xml:space="preserve">49</w:t>
      </w:r>
      <w:r>
        <w:fldChar w:fldCharType="end"/>
      </w:r>
      <w:r>
        <w:t xml:space="preserve">.</w:t>
      </w:r>
      <w:r/>
    </w:p>
    <w:p>
      <w:pPr>
        <w:pStyle w:val="993"/>
      </w:pPr>
      <w:r>
        <w:fldChar w:fldCharType="begin"/>
      </w:r>
      <w:r>
        <w:instrText xml:space="preserve"> SEQ Таблица \* ARABIC </w:instrText>
      </w:r>
      <w:r>
        <w:fldChar w:fldCharType="separate"/>
      </w:r>
      <w:bookmarkStart w:id="811" w:name="_Ref490557244"/>
      <w:r/>
      <w:bookmarkStart w:id="812" w:name="_Toc88819235"/>
      <w:r>
        <w:t xml:space="preserve">49</w:t>
      </w:r>
      <w:bookmarkEnd w:id="811"/>
      <w:r>
        <w:fldChar w:fldCharType="end"/>
      </w:r>
      <w:r>
        <w:t xml:space="preserve">. Описание полей документа «Извещение о </w:t>
      </w:r>
      <w:r>
        <w:t xml:space="preserve">постановке на учет (изменении) Д</w:t>
      </w:r>
      <w:r>
        <w:t xml:space="preserve">О в ФК», закладки «Подписи»</w:t>
      </w:r>
      <w:bookmarkEnd w:id="812"/>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3657"/>
        <w:gridCol w:w="6095"/>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875"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125" w:type="pct"/>
            <w:vAlign w:val="center"/>
            <w:textDirection w:val="lrTb"/>
            <w:noWrap w:val="false"/>
          </w:tcPr>
          <w:p>
            <w:pPr>
              <w:pStyle w:val="1006"/>
            </w:pPr>
            <w:r>
              <w:t xml:space="preserve">Описание поля</w:t>
            </w:r>
            <w:r/>
          </w:p>
        </w:tc>
      </w:tr>
      <w:tr>
        <w:trPr>
          <w:trHeight w:val="77"/>
        </w:trPr>
        <w:tc>
          <w:tcPr>
            <w:gridSpan w:val="2"/>
            <w:shd w:val="clear" w:fill="auto" w:color="auto"/>
            <w:tcW w:w="5000" w:type="pct"/>
            <w:textDirection w:val="lrTb"/>
            <w:noWrap w:val="false"/>
          </w:tcPr>
          <w:p>
            <w:pPr>
              <w:pStyle w:val="1005"/>
              <w:ind w:left="57" w:right="57"/>
              <w:rPr>
                <w:highlight w:val="yellow"/>
              </w:rPr>
            </w:pPr>
            <w:r>
              <w:t xml:space="preserve">Г</w:t>
            </w:r>
            <w:r>
              <w:t xml:space="preserve">руппа </w:t>
            </w:r>
            <w:r>
              <w:t xml:space="preserve">полей «Ответственный исполнитель ТОФК</w:t>
            </w:r>
            <w:r>
              <w:t xml:space="preserve">»</w:t>
            </w:r>
            <w:r/>
          </w:p>
        </w:tc>
      </w:tr>
      <w:tr>
        <w:trPr>
          <w:trHeight w:val="77"/>
        </w:trPr>
        <w:tc>
          <w:tcPr>
            <w:shd w:val="clear" w:fill="auto" w:color="auto"/>
            <w:tcW w:w="1875" w:type="pct"/>
            <w:textDirection w:val="lrTb"/>
            <w:noWrap w:val="false"/>
          </w:tcPr>
          <w:p>
            <w:pPr>
              <w:pStyle w:val="1005"/>
              <w:ind w:left="57" w:right="57"/>
            </w:pPr>
            <w:r>
              <w:t xml:space="preserve">Должность исполнителя </w:t>
            </w:r>
            <w:r/>
          </w:p>
        </w:tc>
        <w:tc>
          <w:tcPr>
            <w:shd w:val="clear" w:fill="auto" w:color="auto"/>
            <w:tcW w:w="3125" w:type="pct"/>
            <w:textDirection w:val="lrTb"/>
            <w:noWrap w:val="false"/>
          </w:tcPr>
          <w:p>
            <w:pPr>
              <w:pStyle w:val="1005"/>
              <w:ind w:left="57" w:right="57"/>
            </w:pPr>
            <w:r>
              <w:t xml:space="preserve">Значение загружается из OEBS.</w:t>
            </w:r>
            <w:r/>
          </w:p>
        </w:tc>
      </w:tr>
      <w:tr>
        <w:trPr>
          <w:trHeight w:val="77"/>
        </w:trPr>
        <w:tc>
          <w:tcPr>
            <w:shd w:val="clear" w:fill="auto" w:color="auto"/>
            <w:tcW w:w="1875" w:type="pct"/>
            <w:textDirection w:val="lrTb"/>
            <w:noWrap w:val="false"/>
          </w:tcPr>
          <w:p>
            <w:pPr>
              <w:pStyle w:val="1005"/>
              <w:ind w:left="57" w:right="57"/>
            </w:pPr>
            <w:r>
              <w:t xml:space="preserve">ФИО исполнителя </w:t>
            </w:r>
            <w:r/>
          </w:p>
        </w:tc>
        <w:tc>
          <w:tcPr>
            <w:shd w:val="clear" w:fill="auto" w:color="auto"/>
            <w:tcW w:w="3125" w:type="pct"/>
            <w:textDirection w:val="lrTb"/>
            <w:noWrap w:val="false"/>
          </w:tcPr>
          <w:p>
            <w:pPr>
              <w:pStyle w:val="1005"/>
              <w:ind w:left="57" w:right="57"/>
            </w:pPr>
            <w:r>
              <w:t xml:space="preserve">Значение загружается из OEBS.</w:t>
            </w:r>
            <w:r/>
          </w:p>
        </w:tc>
      </w:tr>
      <w:tr>
        <w:trPr>
          <w:trHeight w:val="77"/>
        </w:trPr>
        <w:tc>
          <w:tcPr>
            <w:shd w:val="clear" w:fill="auto" w:color="auto"/>
            <w:tcW w:w="1875" w:type="pct"/>
            <w:textDirection w:val="lrTb"/>
            <w:noWrap w:val="false"/>
          </w:tcPr>
          <w:p>
            <w:pPr>
              <w:pStyle w:val="1005"/>
              <w:ind w:left="57" w:right="57"/>
            </w:pPr>
            <w:r>
              <w:t xml:space="preserve">Телефон исполнителя </w:t>
            </w:r>
            <w:r/>
          </w:p>
        </w:tc>
        <w:tc>
          <w:tcPr>
            <w:shd w:val="clear" w:fill="auto" w:color="auto"/>
            <w:tcW w:w="3125" w:type="pct"/>
            <w:textDirection w:val="lrTb"/>
            <w:noWrap w:val="false"/>
          </w:tcPr>
          <w:p>
            <w:pPr>
              <w:pStyle w:val="1005"/>
              <w:ind w:left="57" w:right="57"/>
            </w:pPr>
            <w:r>
              <w:t xml:space="preserve">Значение загружается из OEBS.</w:t>
            </w:r>
            <w:r/>
          </w:p>
        </w:tc>
      </w:tr>
      <w:tr>
        <w:trPr>
          <w:trHeight w:val="77"/>
        </w:trPr>
        <w:tc>
          <w:tcPr>
            <w:shd w:val="clear" w:fill="auto" w:color="auto"/>
            <w:tcW w:w="1875" w:type="pct"/>
            <w:textDirection w:val="lrTb"/>
            <w:noWrap w:val="false"/>
          </w:tcPr>
          <w:p>
            <w:pPr>
              <w:pStyle w:val="1005"/>
              <w:ind w:left="57" w:right="57"/>
            </w:pPr>
            <w:r>
              <w:t xml:space="preserve">Дата подписания исполнителем </w:t>
            </w:r>
            <w:r/>
          </w:p>
        </w:tc>
        <w:tc>
          <w:tcPr>
            <w:shd w:val="clear" w:fill="auto" w:color="auto"/>
            <w:tcW w:w="3125" w:type="pct"/>
            <w:textDirection w:val="lrTb"/>
            <w:noWrap w:val="false"/>
          </w:tcPr>
          <w:p>
            <w:pPr>
              <w:pStyle w:val="1005"/>
              <w:ind w:left="57" w:right="57"/>
            </w:pPr>
            <w:r>
              <w:t xml:space="preserve">Значение загружается из OEBS.</w:t>
            </w:r>
            <w:r/>
          </w:p>
        </w:tc>
      </w:tr>
    </w:tbl>
    <w:p>
      <w:pPr>
        <w:pStyle w:val="972"/>
      </w:pPr>
      <w:r/>
      <w:bookmarkStart w:id="813" w:name="_Ref74234896"/>
      <w:r/>
      <w:bookmarkStart w:id="814" w:name="_Toc88819114"/>
      <w:r/>
      <w:bookmarkEnd w:id="800"/>
      <w:r>
        <w:t xml:space="preserve">Заявление на выдачу (перевод, отзыв) Казначейского обеспечения обязательств</w:t>
      </w:r>
      <w:bookmarkEnd w:id="813"/>
      <w:r/>
      <w:bookmarkEnd w:id="814"/>
      <w:r/>
      <w:r/>
    </w:p>
    <w:p>
      <w:pPr>
        <w:pStyle w:val="994"/>
      </w:pPr>
      <w:r>
        <w:t xml:space="preserve">Документ «</w:t>
      </w:r>
      <w:r>
        <w:t xml:space="preserve">Заявление на выдачу (перевод, отзыв) Казначейского обеспечения обязательств</w:t>
      </w:r>
      <w:r>
        <w:t xml:space="preserve">» предназначен для </w:t>
      </w:r>
      <w:r>
        <w:t xml:space="preserve">осуществления операций по перечислению сумм авансовых платежей с применением казначейского </w:t>
      </w:r>
      <w:r>
        <w:t xml:space="preserve">обеспечения обязательств</w:t>
      </w:r>
      <w:r>
        <w:t xml:space="preserve"> в прикладном программном обеспечении «Автомат</w:t>
      </w:r>
      <w:r>
        <w:t xml:space="preserve">и</w:t>
      </w:r>
      <w:r>
        <w:t xml:space="preserve">зированная система Федерального казначейства».</w:t>
      </w:r>
      <w:r/>
    </w:p>
    <w:p>
      <w:pPr>
        <w:pStyle w:val="994"/>
      </w:pPr>
      <w:r>
        <w:t xml:space="preserve">Для работы с документами </w:t>
      </w:r>
      <w:r>
        <w:t xml:space="preserve">«</w:t>
      </w:r>
      <w:r>
        <w:t xml:space="preserve">Заявление на выдачу (перевод, отзыв) Казначейского обеспечения обязательств</w:t>
      </w:r>
      <w:r>
        <w:t xml:space="preserve">»</w:t>
      </w:r>
      <w:r>
        <w:t xml:space="preserve"> следует перейти в пункт меню </w:t>
      </w:r>
      <w:r>
        <w:t xml:space="preserve">«</w:t>
      </w:r>
      <w:r>
        <w:t xml:space="preserve">Документы – Регистрация и учет об</w:t>
      </w:r>
      <w:r>
        <w:t xml:space="preserve">я</w:t>
      </w:r>
      <w:r>
        <w:t xml:space="preserve">з</w:t>
      </w:r>
      <w:r>
        <w:t xml:space="preserve">а</w:t>
      </w:r>
      <w:r>
        <w:t xml:space="preserve">тельств – </w:t>
      </w:r>
      <w:r>
        <w:t xml:space="preserve">Аккредитив </w:t>
      </w:r>
      <w:r>
        <w:t xml:space="preserve">–</w:t>
      </w:r>
      <w:r>
        <w:t xml:space="preserve"> Казначейское обеспечение обязательств</w:t>
      </w:r>
      <w:r>
        <w:t xml:space="preserve"> –</w:t>
      </w:r>
      <w:r>
        <w:t xml:space="preserve"> </w:t>
      </w:r>
      <w:r>
        <w:t xml:space="preserve">Заявление на выдачу (перевод, отзыв) Казначейского обеспечения обязательств</w:t>
      </w:r>
      <w:r>
        <w:t xml:space="preserve">»</w:t>
      </w:r>
      <w:r>
        <w:t xml:space="preserve">. Открое</w:t>
      </w:r>
      <w:r>
        <w:t xml:space="preserve">т</w:t>
      </w:r>
      <w:r>
        <w:t xml:space="preserve">ся ЭФ списка документов, представленная на рисунке </w:t>
      </w:r>
      <w:r>
        <w:fldChar w:fldCharType="begin"/>
      </w:r>
      <w:r>
        <w:instrText xml:space="preserve"> REF _Ref454348253 \h </w:instrText>
      </w:r>
      <w:r>
        <w:fldChar w:fldCharType="separate"/>
      </w:r>
      <w:r>
        <w:t xml:space="preserve">95</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2834640"/>
                <wp:effectExtent l="0" t="0" r="0" b="0"/>
                <wp:docPr id="16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60"/>
                        <a:stretch/>
                      </pic:blipFill>
                      <pic:spPr bwMode="auto">
                        <a:xfrm>
                          <a:off x="0" y="0"/>
                          <a:ext cx="6134100" cy="28346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 o:spid="_x0000_s168" type="#_x0000_t75" style="mso-wrap-distance-left:0.0pt;mso-wrap-distance-top:0.0pt;mso-wrap-distance-right:0.0pt;mso-wrap-distance-bottom:0.0pt;width:483.0pt;height:223.2pt;" stroked="f">
                <v:path textboxrect="0,0,0,0"/>
                <v:imagedata r:id="rId160" o:title=""/>
              </v:shape>
            </w:pict>
          </mc:Fallback>
        </mc:AlternateContent>
      </w:r>
      <w:r/>
    </w:p>
    <w:p>
      <w:pPr>
        <w:pStyle w:val="983"/>
      </w:pPr>
      <w:r>
        <w:fldChar w:fldCharType="begin"/>
      </w:r>
      <w:r>
        <w:instrText xml:space="preserve"> SEQ Рисунок \* ARABIC </w:instrText>
      </w:r>
      <w:r>
        <w:fldChar w:fldCharType="separate"/>
      </w:r>
      <w:bookmarkStart w:id="815" w:name="_Ref454348253"/>
      <w:r/>
      <w:bookmarkStart w:id="816" w:name="_Toc52956174"/>
      <w:r/>
      <w:bookmarkStart w:id="817" w:name="_Toc88819480"/>
      <w:r>
        <w:t xml:space="preserve">95</w:t>
      </w:r>
      <w:bookmarkEnd w:id="815"/>
      <w:r>
        <w:fldChar w:fldCharType="end"/>
      </w:r>
      <w:r>
        <w:t xml:space="preserve">. ЭФ списка документов </w:t>
      </w:r>
      <w:r>
        <w:t xml:space="preserve">«</w:t>
      </w:r>
      <w:r>
        <w:t xml:space="preserve">Заявление на выдачу (перевод, отзыв) Казначейского обеспечения обязательств</w:t>
      </w:r>
      <w:r>
        <w:t xml:space="preserve">»</w:t>
      </w:r>
      <w:bookmarkEnd w:id="816"/>
      <w:r/>
      <w:bookmarkEnd w:id="817"/>
      <w:r/>
      <w:r/>
    </w:p>
    <w:p>
      <w:pPr>
        <w:pStyle w:val="973"/>
      </w:pPr>
      <w:r>
        <w:t xml:space="preserve">Доступные операции</w:t>
      </w:r>
      <w:r/>
    </w:p>
    <w:p>
      <w:pPr>
        <w:pStyle w:val="994"/>
      </w:pPr>
      <w:r>
        <w:t xml:space="preserve">На АРМ </w:t>
      </w:r>
      <w:r>
        <w:t xml:space="preserve">ФО</w:t>
      </w:r>
      <w:r>
        <w:t xml:space="preserve"> доступны следующие операции над документом:</w:t>
      </w:r>
      <w:r/>
    </w:p>
    <w:p>
      <w:pPr>
        <w:pStyle w:val="985"/>
      </w:pPr>
      <w:r>
        <w:t xml:space="preserve">ввод вручную;</w:t>
      </w:r>
      <w:r/>
    </w:p>
    <w:p>
      <w:pPr>
        <w:pStyle w:val="985"/>
      </w:pPr>
      <w:r>
        <w:t xml:space="preserve">создание на основе </w:t>
      </w:r>
      <w:r>
        <w:t xml:space="preserve">родительского документа;</w:t>
      </w:r>
      <w:r/>
    </w:p>
    <w:p>
      <w:pPr>
        <w:pStyle w:val="985"/>
      </w:pPr>
      <w:r>
        <w:t xml:space="preserve">просмотр и редактирование;</w:t>
      </w:r>
      <w:r/>
    </w:p>
    <w:p>
      <w:pPr>
        <w:pStyle w:val="985"/>
      </w:pPr>
      <w:r>
        <w:t xml:space="preserve">копирование и </w:t>
      </w:r>
      <w:r>
        <w:t xml:space="preserve">удаление;</w:t>
      </w:r>
      <w:r/>
    </w:p>
    <w:p>
      <w:pPr>
        <w:pStyle w:val="985"/>
      </w:pPr>
      <w:r>
        <w:t xml:space="preserve">подписание, </w:t>
      </w:r>
      <w:r>
        <w:t xml:space="preserve">проверка</w:t>
      </w:r>
      <w:r>
        <w:t xml:space="preserve"> и </w:t>
      </w:r>
      <w:r>
        <w:t xml:space="preserve">удаление</w:t>
      </w:r>
      <w:r>
        <w:t xml:space="preserve"> </w:t>
      </w:r>
      <w:r>
        <w:t xml:space="preserve">ЭП</w:t>
      </w:r>
      <w:r>
        <w:t xml:space="preserve">;</w:t>
      </w:r>
      <w:r/>
    </w:p>
    <w:p>
      <w:pPr>
        <w:pStyle w:val="985"/>
      </w:pPr>
      <w:r>
        <w:t xml:space="preserve">печать;</w:t>
      </w:r>
      <w:r/>
    </w:p>
    <w:p>
      <w:pPr>
        <w:pStyle w:val="985"/>
      </w:pPr>
      <w:r>
        <w:t xml:space="preserve">отправка в </w:t>
      </w:r>
      <w:r>
        <w:t xml:space="preserve">OEBS;</w:t>
      </w:r>
      <w:r/>
    </w:p>
    <w:p>
      <w:pPr>
        <w:pStyle w:val="985"/>
      </w:pPr>
      <w:r>
        <w:t xml:space="preserve">импорт из внешней системы;</w:t>
      </w:r>
      <w:r/>
    </w:p>
    <w:p>
      <w:pPr>
        <w:pStyle w:val="985"/>
      </w:pPr>
      <w:r>
        <w:t xml:space="preserve">экспорт во внешнюю систему</w:t>
      </w:r>
      <w:r>
        <w:t xml:space="preserve">.</w:t>
      </w:r>
      <w:r/>
    </w:p>
    <w:p>
      <w:pPr>
        <w:pStyle w:val="994"/>
      </w:pPr>
      <w:r>
        <w:t xml:space="preserve">Для </w:t>
      </w:r>
      <w:r>
        <w:t xml:space="preserve">создания </w:t>
      </w:r>
      <w:r>
        <w:t xml:space="preserve">ЭД </w:t>
      </w:r>
      <w:r>
        <w:t xml:space="preserve">«</w:t>
      </w:r>
      <w:r>
        <w:t xml:space="preserve">Заявление на выдачу (перевод, отзыв) Казначейского обеспечения обязательств</w:t>
      </w:r>
      <w:r>
        <w:t xml:space="preserve">»</w:t>
      </w:r>
      <w:r>
        <w:t xml:space="preserve"> </w:t>
      </w:r>
      <w:r>
        <w:t xml:space="preserve">на основе </w:t>
      </w:r>
      <w:r>
        <w:t xml:space="preserve">родительского докуме</w:t>
      </w:r>
      <w:r>
        <w:t xml:space="preserve">н</w:t>
      </w:r>
      <w:r>
        <w:t xml:space="preserve">та</w:t>
      </w:r>
      <w:r>
        <w:t xml:space="preserve"> </w:t>
      </w:r>
      <w:r>
        <w:t xml:space="preserve">в форме д</w:t>
      </w:r>
      <w:r>
        <w:t xml:space="preserve">о</w:t>
      </w:r>
      <w:r>
        <w:t xml:space="preserve">кумента необходимо нажать на кнопку </w:t>
      </w:r>
      <w:r>
        <mc:AlternateContent>
          <mc:Choice Requires="wpg">
            <w:drawing>
              <wp:inline xmlns:wp="http://schemas.openxmlformats.org/drawingml/2006/wordprocessingDrawing" distT="0" distB="0" distL="0" distR="0">
                <wp:extent cx="274320" cy="274320"/>
                <wp:effectExtent l="0" t="0" r="0" b="0"/>
                <wp:docPr id="17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61"/>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 o:spid="_x0000_s169" type="#_x0000_t75" style="mso-wrap-distance-left:0.0pt;mso-wrap-distance-top:0.0pt;mso-wrap-distance-right:0.0pt;mso-wrap-distance-bottom:0.0pt;width:21.6pt;height:21.6pt;" stroked="f">
                <v:path textboxrect="0,0,0,0"/>
                <v:imagedata r:id="rId161" o:title=""/>
              </v:shape>
            </w:pict>
          </mc:Fallback>
        </mc:AlternateContent>
      </w:r>
      <w:r>
        <w:t xml:space="preserve"> </w:t>
      </w:r>
      <w:r>
        <w:t xml:space="preserve">(Выбрать родительский документ). </w:t>
      </w:r>
      <w:r>
        <w:t xml:space="preserve">При этом о</w:t>
      </w:r>
      <w:r>
        <w:t xml:space="preserve">т</w:t>
      </w:r>
      <w:r>
        <w:t xml:space="preserve">кроется окно выбора т</w:t>
      </w:r>
      <w:r>
        <w:t xml:space="preserve">и</w:t>
      </w:r>
      <w:r>
        <w:t xml:space="preserve">па док</w:t>
      </w:r>
      <w:r>
        <w:t xml:space="preserve">у</w:t>
      </w:r>
      <w:r>
        <w:t xml:space="preserve">мента </w:t>
      </w:r>
      <w:r>
        <w:t xml:space="preserve">«Поиск…»</w:t>
      </w:r>
      <w:r>
        <w:t xml:space="preserve"> </w:t>
      </w:r>
      <w:r>
        <w:t xml:space="preserve">(рис. </w:t>
      </w:r>
      <w:r>
        <w:fldChar w:fldCharType="begin"/>
      </w:r>
      <w:r>
        <w:instrText xml:space="preserve"> REF _Ref454349034 \h </w:instrText>
      </w:r>
      <w:r>
        <w:fldChar w:fldCharType="separate"/>
      </w:r>
      <w:r>
        <w:t xml:space="preserve">96</w:t>
      </w:r>
      <w:r>
        <w:fldChar w:fldCharType="end"/>
      </w:r>
      <w:r>
        <w:t xml:space="preserve">).</w:t>
      </w:r>
      <w:r/>
    </w:p>
    <w:p>
      <w:pPr>
        <w:pStyle w:val="982"/>
      </w:pPr>
      <w:r>
        <mc:AlternateContent>
          <mc:Choice Requires="wpg">
            <w:drawing>
              <wp:inline xmlns:wp="http://schemas.openxmlformats.org/drawingml/2006/wordprocessingDrawing" distT="0" distB="0" distL="0" distR="0">
                <wp:extent cx="4015740" cy="3375660"/>
                <wp:effectExtent l="0" t="0" r="0" b="0"/>
                <wp:docPr id="17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62"/>
                        <a:stretch/>
                      </pic:blipFill>
                      <pic:spPr bwMode="auto">
                        <a:xfrm>
                          <a:off x="0" y="0"/>
                          <a:ext cx="4015740" cy="33756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 o:spid="_x0000_s170" type="#_x0000_t75" style="mso-wrap-distance-left:0.0pt;mso-wrap-distance-top:0.0pt;mso-wrap-distance-right:0.0pt;mso-wrap-distance-bottom:0.0pt;width:316.2pt;height:265.8pt;" stroked="f">
                <v:path textboxrect="0,0,0,0"/>
                <v:imagedata r:id="rId162" o:title=""/>
              </v:shape>
            </w:pict>
          </mc:Fallback>
        </mc:AlternateContent>
      </w:r>
      <w:r/>
    </w:p>
    <w:p>
      <w:pPr>
        <w:pStyle w:val="983"/>
      </w:pPr>
      <w:r>
        <w:fldChar w:fldCharType="begin"/>
      </w:r>
      <w:r>
        <w:instrText xml:space="preserve"> SEQ Рисунок \* ARABIC </w:instrText>
      </w:r>
      <w:r>
        <w:fldChar w:fldCharType="separate"/>
      </w:r>
      <w:bookmarkStart w:id="818" w:name="_Ref454349034"/>
      <w:r/>
      <w:bookmarkStart w:id="819" w:name="_Toc52956175"/>
      <w:r/>
      <w:bookmarkStart w:id="820" w:name="_Toc88819481"/>
      <w:r>
        <w:t xml:space="preserve">96</w:t>
      </w:r>
      <w:bookmarkEnd w:id="818"/>
      <w:r>
        <w:fldChar w:fldCharType="end"/>
      </w:r>
      <w:r>
        <w:t xml:space="preserve">. Окно </w:t>
      </w:r>
      <w:r>
        <w:t xml:space="preserve">«Поиск…»</w:t>
      </w:r>
      <w:bookmarkEnd w:id="819"/>
      <w:r/>
      <w:bookmarkEnd w:id="820"/>
      <w:r/>
      <w:r/>
    </w:p>
    <w:p>
      <w:pPr>
        <w:pStyle w:val="994"/>
      </w:pPr>
      <w:r>
        <w:t xml:space="preserve">После выбора типа документа откроется окно </w:t>
      </w:r>
      <w:r>
        <w:t xml:space="preserve">«</w:t>
      </w:r>
      <w:r>
        <w:t xml:space="preserve">Выбор </w:t>
      </w:r>
      <w:r>
        <w:t xml:space="preserve">родительского документа»</w:t>
      </w:r>
      <w:r>
        <w:t xml:space="preserve"> </w:t>
      </w:r>
      <w:r>
        <w:t xml:space="preserve">(рис. </w:t>
      </w:r>
      <w:r>
        <w:fldChar w:fldCharType="begin"/>
      </w:r>
      <w:r>
        <w:instrText xml:space="preserve"> REF _Ref454349056 \h </w:instrText>
      </w:r>
      <w:r>
        <w:fldChar w:fldCharType="separate"/>
      </w:r>
      <w:r>
        <w:t xml:space="preserve">97</w:t>
      </w:r>
      <w:r>
        <w:fldChar w:fldCharType="end"/>
      </w:r>
      <w:r>
        <w:t xml:space="preserve">), в котором следует из перечня сформированных документов заданного т</w:t>
      </w:r>
      <w:r>
        <w:t xml:space="preserve">и</w:t>
      </w:r>
      <w:r>
        <w:t xml:space="preserve">па в</w:t>
      </w:r>
      <w:r>
        <w:t xml:space="preserve">ы</w:t>
      </w:r>
      <w:r>
        <w:t xml:space="preserve">брать ну</w:t>
      </w:r>
      <w:r>
        <w:t xml:space="preserve">ж</w:t>
      </w:r>
      <w:r>
        <w:t xml:space="preserve">ный документ.</w:t>
      </w:r>
      <w:r>
        <w:t xml:space="preserve"> </w:t>
      </w:r>
      <w:r/>
    </w:p>
    <w:p>
      <w:pPr>
        <w:pStyle w:val="982"/>
      </w:pPr>
      <w:r>
        <mc:AlternateContent>
          <mc:Choice Requires="wpg">
            <w:drawing>
              <wp:inline xmlns:wp="http://schemas.openxmlformats.org/drawingml/2006/wordprocessingDrawing" distT="0" distB="0" distL="0" distR="0">
                <wp:extent cx="6126480" cy="3101340"/>
                <wp:effectExtent l="0" t="0" r="0" b="0"/>
                <wp:docPr id="17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63"/>
                        <a:stretch/>
                      </pic:blipFill>
                      <pic:spPr bwMode="auto">
                        <a:xfrm>
                          <a:off x="0" y="0"/>
                          <a:ext cx="6126480" cy="310133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 o:spid="_x0000_s171" type="#_x0000_t75" style="mso-wrap-distance-left:0.0pt;mso-wrap-distance-top:0.0pt;mso-wrap-distance-right:0.0pt;mso-wrap-distance-bottom:0.0pt;width:482.4pt;height:244.2pt;" stroked="f">
                <v:path textboxrect="0,0,0,0"/>
                <v:imagedata r:id="rId163" o:title=""/>
              </v:shape>
            </w:pict>
          </mc:Fallback>
        </mc:AlternateContent>
      </w:r>
      <w:r/>
    </w:p>
    <w:p>
      <w:pPr>
        <w:pStyle w:val="983"/>
      </w:pPr>
      <w:r>
        <w:fldChar w:fldCharType="begin"/>
      </w:r>
      <w:r>
        <w:instrText xml:space="preserve"> SEQ Рисунок \* ARABIC </w:instrText>
      </w:r>
      <w:r>
        <w:fldChar w:fldCharType="separate"/>
      </w:r>
      <w:bookmarkStart w:id="821" w:name="_Ref454349056"/>
      <w:r/>
      <w:bookmarkStart w:id="822" w:name="_Toc52956176"/>
      <w:r/>
      <w:bookmarkStart w:id="823" w:name="_Toc88819482"/>
      <w:r>
        <w:t xml:space="preserve">97</w:t>
      </w:r>
      <w:bookmarkEnd w:id="821"/>
      <w:r>
        <w:fldChar w:fldCharType="end"/>
      </w:r>
      <w:r>
        <w:t xml:space="preserve">. Окно </w:t>
      </w:r>
      <w:r>
        <w:t xml:space="preserve">«</w:t>
      </w:r>
      <w:r>
        <w:t xml:space="preserve">Выбор родительского документа</w:t>
      </w:r>
      <w:r>
        <w:t xml:space="preserve">»</w:t>
      </w:r>
      <w:r>
        <w:t xml:space="preserve"> для документов типа </w:t>
      </w:r>
      <w:r>
        <w:t xml:space="preserve">«</w:t>
      </w:r>
      <w:r>
        <w:t xml:space="preserve">Заявление на выдачу (перевод, отзыв) Казначейского обеспечения обязательств</w:t>
      </w:r>
      <w:r>
        <w:t xml:space="preserve">»</w:t>
      </w:r>
      <w:bookmarkEnd w:id="822"/>
      <w:r/>
      <w:bookmarkEnd w:id="823"/>
      <w:r/>
      <w:r/>
    </w:p>
    <w:p>
      <w:pPr>
        <w:pStyle w:val="994"/>
      </w:pPr>
      <w:r>
        <w:t xml:space="preserve">В результате поля формы будут заполнены значениями соответствующих полей род</w:t>
      </w:r>
      <w:r>
        <w:t xml:space="preserve">и</w:t>
      </w:r>
      <w:r>
        <w:t xml:space="preserve">тельского док</w:t>
      </w:r>
      <w:r>
        <w:t xml:space="preserve">у</w:t>
      </w:r>
      <w:r>
        <w:t xml:space="preserve">мента.</w:t>
      </w:r>
      <w:r/>
    </w:p>
    <w:p>
      <w:pPr>
        <w:pStyle w:val="973"/>
      </w:pPr>
      <w:r>
        <w:t xml:space="preserve">Экранная форма документа</w:t>
      </w:r>
      <w:r/>
    </w:p>
    <w:p>
      <w:pPr>
        <w:pStyle w:val="994"/>
      </w:pPr>
      <w:r>
        <w:t xml:space="preserve">ЭФ документа </w:t>
      </w:r>
      <w:r>
        <w:t xml:space="preserve">«</w:t>
      </w:r>
      <w:r>
        <w:t xml:space="preserve">Заявление на выдачу (перевод, отзыв) Казначейского обеспечения обязательств</w:t>
      </w:r>
      <w:r>
        <w:t xml:space="preserve">»</w:t>
      </w:r>
      <w:r>
        <w:t xml:space="preserve"> представлена на рисунк</w:t>
      </w:r>
      <w:r>
        <w:t xml:space="preserve">ах</w:t>
      </w:r>
      <w:r>
        <w:t xml:space="preserve"> </w:t>
      </w:r>
      <w:r>
        <w:fldChar w:fldCharType="begin"/>
      </w:r>
      <w:r>
        <w:instrText xml:space="preserve"> REF _Ref454799962 \h </w:instrText>
      </w:r>
      <w:r>
        <w:fldChar w:fldCharType="separate"/>
      </w:r>
      <w:r>
        <w:t xml:space="preserve">98</w:t>
      </w:r>
      <w:r>
        <w:fldChar w:fldCharType="end"/>
      </w:r>
      <w:r>
        <w:t xml:space="preserve">-</w:t>
      </w:r>
      <w:r>
        <w:fldChar w:fldCharType="begin"/>
      </w:r>
      <w:r>
        <w:instrText xml:space="preserve"> REF _Ref454348929 \h </w:instrText>
      </w:r>
      <w:r>
        <w:fldChar w:fldCharType="separate"/>
      </w:r>
      <w:r>
        <w:t xml:space="preserve">103</w:t>
      </w:r>
      <w:r>
        <w:fldChar w:fldCharType="end"/>
      </w:r>
      <w:r>
        <w:t xml:space="preserve">. Форма содержит следующие закладки:</w:t>
      </w:r>
      <w:r/>
    </w:p>
    <w:p>
      <w:pPr>
        <w:pStyle w:val="985"/>
      </w:pPr>
      <w:r>
        <w:t xml:space="preserve">«</w:t>
      </w:r>
      <w:r>
        <w:t xml:space="preserve">Основные атрибуты</w:t>
      </w:r>
      <w:r>
        <w:t xml:space="preserve">»</w:t>
      </w:r>
      <w:r>
        <w:t xml:space="preserve">;</w:t>
      </w:r>
      <w:r/>
    </w:p>
    <w:p>
      <w:pPr>
        <w:pStyle w:val="985"/>
      </w:pPr>
      <w:r>
        <w:t xml:space="preserve">«Сведения о</w:t>
      </w:r>
      <w:r>
        <w:t xml:space="preserve"> документе-основании</w:t>
      </w:r>
      <w:r>
        <w:t xml:space="preserve">»</w:t>
      </w:r>
      <w:r>
        <w:t xml:space="preserve">;</w:t>
      </w:r>
      <w:r/>
    </w:p>
    <w:p>
      <w:pPr>
        <w:pStyle w:val="985"/>
      </w:pPr>
      <w:r>
        <w:t xml:space="preserve">«Реквизиты плательщика»</w:t>
      </w:r>
      <w:r>
        <w:t xml:space="preserve">;</w:t>
      </w:r>
      <w:r/>
    </w:p>
    <w:p>
      <w:pPr>
        <w:pStyle w:val="985"/>
      </w:pPr>
      <w:r>
        <w:t xml:space="preserve">«Реквизиты получателя»</w:t>
      </w:r>
      <w:r>
        <w:t xml:space="preserve">;</w:t>
      </w:r>
      <w:r/>
    </w:p>
    <w:p>
      <w:pPr>
        <w:pStyle w:val="985"/>
      </w:pPr>
      <w:r>
        <w:t xml:space="preserve">«Дополнительн</w:t>
      </w:r>
      <w:r>
        <w:t xml:space="preserve">ая</w:t>
      </w:r>
      <w:r>
        <w:t xml:space="preserve"> </w:t>
      </w:r>
      <w:r>
        <w:t xml:space="preserve">информация</w:t>
      </w:r>
      <w:r>
        <w:t xml:space="preserve">»</w:t>
      </w:r>
      <w:r>
        <w:t xml:space="preserve">;</w:t>
      </w:r>
      <w:r/>
    </w:p>
    <w:p>
      <w:pPr>
        <w:pStyle w:val="985"/>
      </w:pPr>
      <w:r>
        <w:t xml:space="preserve">«</w:t>
      </w:r>
      <w:r>
        <w:t xml:space="preserve">Отметки ОрФК о принятии настоящего заявления</w:t>
      </w:r>
      <w:r>
        <w:t xml:space="preserve">»</w:t>
      </w:r>
      <w:r>
        <w:t xml:space="preserve">.</w:t>
      </w:r>
      <w:r/>
    </w:p>
    <w:p>
      <w:pPr>
        <w:pStyle w:val="982"/>
      </w:pPr>
      <w:r>
        <mc:AlternateContent>
          <mc:Choice Requires="wpg">
            <w:drawing>
              <wp:inline xmlns:wp="http://schemas.openxmlformats.org/drawingml/2006/wordprocessingDrawing" distT="0" distB="0" distL="0" distR="0">
                <wp:extent cx="6126480" cy="3931920"/>
                <wp:effectExtent l="0" t="0" r="0" b="0"/>
                <wp:docPr id="17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64"/>
                        <a:stretch/>
                      </pic:blipFill>
                      <pic:spPr bwMode="auto">
                        <a:xfrm>
                          <a:off x="0" y="0"/>
                          <a:ext cx="6126480" cy="39319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 o:spid="_x0000_s172" type="#_x0000_t75" style="mso-wrap-distance-left:0.0pt;mso-wrap-distance-top:0.0pt;mso-wrap-distance-right:0.0pt;mso-wrap-distance-bottom:0.0pt;width:482.4pt;height:309.6pt;" stroked="f">
                <v:path textboxrect="0,0,0,0"/>
                <v:imagedata r:id="rId164" o:title=""/>
              </v:shape>
            </w:pict>
          </mc:Fallback>
        </mc:AlternateContent>
      </w:r>
      <w:r/>
    </w:p>
    <w:p>
      <w:pPr>
        <w:pStyle w:val="983"/>
      </w:pPr>
      <w:r>
        <w:fldChar w:fldCharType="begin"/>
      </w:r>
      <w:r>
        <w:instrText xml:space="preserve"> SEQ Рисунок \* ARABIC </w:instrText>
      </w:r>
      <w:r>
        <w:fldChar w:fldCharType="separate"/>
      </w:r>
      <w:bookmarkStart w:id="824" w:name="_Ref454799962"/>
      <w:r/>
      <w:bookmarkStart w:id="825" w:name="_Toc52956177"/>
      <w:r/>
      <w:bookmarkStart w:id="826" w:name="_Toc88819483"/>
      <w:r>
        <w:t xml:space="preserve">98</w:t>
      </w:r>
      <w:bookmarkEnd w:id="824"/>
      <w:r>
        <w:fldChar w:fldCharType="end"/>
      </w:r>
      <w:r>
        <w:t xml:space="preserve">. ЭФ документа </w:t>
      </w:r>
      <w:r>
        <w:t xml:space="preserve">«</w:t>
      </w:r>
      <w:r>
        <w:t xml:space="preserve">Заявление на выдачу (перевод, отзыв) Казначейского обеспечения обязательств</w:t>
      </w:r>
      <w:r>
        <w:t xml:space="preserve">», закладки «Основные атрибуты»</w:t>
      </w:r>
      <w:bookmarkEnd w:id="825"/>
      <w:r/>
      <w:bookmarkEnd w:id="826"/>
      <w:r/>
      <w:r/>
    </w:p>
    <w:p>
      <w:pPr>
        <w:pStyle w:val="994"/>
      </w:pPr>
      <w:r>
        <w:t xml:space="preserve">Для ручного ввода документа следует на ЭФ документа заполнить поля, до</w:t>
      </w:r>
      <w:r>
        <w:t xml:space="preserve">с</w:t>
      </w:r>
      <w:r>
        <w:t xml:space="preserve">тупные для редактирования. </w:t>
      </w:r>
      <w:r/>
    </w:p>
    <w:p>
      <w:pPr>
        <w:pStyle w:val="994"/>
      </w:pPr>
      <w:r>
        <w:t xml:space="preserve">Перечень полей </w:t>
      </w:r>
      <w:r>
        <w:t xml:space="preserve">документа «</w:t>
      </w:r>
      <w:r>
        <w:t xml:space="preserve">Заявление на выдачу (перевод, отзыв) Казначейского обеспечения обязательств</w:t>
      </w:r>
      <w:r>
        <w:t xml:space="preserve">», закладки «Основные атрибуты»</w:t>
      </w:r>
      <w:r>
        <w:t xml:space="preserve"> </w:t>
      </w:r>
      <w:r>
        <w:t xml:space="preserve">пр</w:t>
      </w:r>
      <w:r>
        <w:t xml:space="preserve">и</w:t>
      </w:r>
      <w:r>
        <w:t xml:space="preserve">веден в таблице</w:t>
      </w:r>
      <w:r>
        <w:t xml:space="preserve"> </w:t>
      </w:r>
      <w:r>
        <w:fldChar w:fldCharType="begin"/>
      </w:r>
      <w:r>
        <w:instrText xml:space="preserve"> REF _Ref454801009 \h </w:instrText>
      </w:r>
      <w:r>
        <w:fldChar w:fldCharType="separate"/>
      </w:r>
      <w:r>
        <w:t xml:space="preserve">50</w:t>
      </w:r>
      <w:r>
        <w:fldChar w:fldCharType="end"/>
      </w:r>
      <w:r>
        <w:t xml:space="preserve">.</w:t>
      </w:r>
      <w:r/>
    </w:p>
    <w:p>
      <w:pPr>
        <w:pStyle w:val="993"/>
      </w:pPr>
      <w:r>
        <w:fldChar w:fldCharType="begin"/>
      </w:r>
      <w:r>
        <w:instrText xml:space="preserve"> SEQ Таблица \* ARABIC </w:instrText>
      </w:r>
      <w:r>
        <w:fldChar w:fldCharType="separate"/>
      </w:r>
      <w:bookmarkStart w:id="827" w:name="_Ref454801009"/>
      <w:r/>
      <w:bookmarkStart w:id="828" w:name="_Toc52955889"/>
      <w:r/>
      <w:bookmarkStart w:id="829" w:name="_Toc88819236"/>
      <w:r>
        <w:t xml:space="preserve">50</w:t>
      </w:r>
      <w:bookmarkEnd w:id="827"/>
      <w:r>
        <w:fldChar w:fldCharType="end"/>
      </w:r>
      <w:r>
        <w:t xml:space="preserve">. Описание полей документа </w:t>
      </w:r>
      <w:r>
        <w:t xml:space="preserve">«</w:t>
      </w:r>
      <w:r>
        <w:t xml:space="preserve">Заявление на выдачу (перевод, отзыв) Казначейского обеспечения обязательств</w:t>
      </w:r>
      <w:r>
        <w:t xml:space="preserve">», закладки «</w:t>
      </w:r>
      <w:r>
        <w:t xml:space="preserve">Основные атрибуты</w:t>
      </w:r>
      <w:r>
        <w:t xml:space="preserve">»</w:t>
      </w:r>
      <w:bookmarkEnd w:id="828"/>
      <w:r/>
      <w:bookmarkEnd w:id="829"/>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33"/>
        <w:gridCol w:w="7519"/>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13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63" w:type="pct"/>
            <w:vAlign w:val="center"/>
            <w:textDirection w:val="lrTb"/>
            <w:noWrap w:val="false"/>
          </w:tcPr>
          <w:p>
            <w:pPr>
              <w:pStyle w:val="1006"/>
            </w:pPr>
            <w:r>
              <w:t xml:space="preserve">Описание поля</w:t>
            </w:r>
            <w:r/>
          </w:p>
        </w:tc>
      </w:tr>
      <w:tr>
        <w:trPr/>
        <w:tc>
          <w:tcPr>
            <w:shd w:val="clear" w:fill="auto" w:color="auto"/>
            <w:tcW w:w="1137" w:type="pct"/>
            <w:textDirection w:val="lrTb"/>
            <w:noWrap w:val="false"/>
          </w:tcPr>
          <w:p>
            <w:pPr>
              <w:pStyle w:val="1005"/>
              <w:ind w:left="57" w:right="57"/>
            </w:pPr>
            <w:r>
              <w:t xml:space="preserve">Номер</w:t>
            </w:r>
            <w:r/>
          </w:p>
        </w:tc>
        <w:tc>
          <w:tcPr>
            <w:shd w:val="clear" w:fill="auto" w:color="auto"/>
            <w:tcW w:w="3863" w:type="pct"/>
            <w:textDirection w:val="lrTb"/>
            <w:noWrap w:val="false"/>
          </w:tcPr>
          <w:p>
            <w:pPr>
              <w:pStyle w:val="1005"/>
              <w:ind w:left="57" w:right="57"/>
            </w:pPr>
            <w:r>
              <w:t xml:space="preserve">Заполнение поля вручную.</w:t>
            </w:r>
            <w:r/>
          </w:p>
        </w:tc>
      </w:tr>
      <w:tr>
        <w:trPr/>
        <w:tc>
          <w:tcPr>
            <w:shd w:val="clear" w:fill="auto" w:color="auto"/>
            <w:tcW w:w="1137" w:type="pct"/>
            <w:textDirection w:val="lrTb"/>
            <w:noWrap w:val="false"/>
          </w:tcPr>
          <w:p>
            <w:pPr>
              <w:pStyle w:val="1005"/>
              <w:ind w:left="57" w:right="57"/>
            </w:pPr>
            <w:r>
              <w:t xml:space="preserve">Дата </w:t>
            </w:r>
            <w:r/>
          </w:p>
        </w:tc>
        <w:tc>
          <w:tcPr>
            <w:shd w:val="clear" w:fill="auto" w:color="auto"/>
            <w:tcW w:w="3863" w:type="pct"/>
            <w:textDirection w:val="lrTb"/>
            <w:noWrap w:val="false"/>
          </w:tcPr>
          <w:p>
            <w:pPr>
              <w:pStyle w:val="1005"/>
              <w:ind w:left="57" w:right="57"/>
            </w:pPr>
            <w:r>
              <w:t xml:space="preserve">Первичное заполнение – указывается значение текущей системной даты.</w:t>
            </w:r>
            <w:r/>
          </w:p>
          <w:p>
            <w:pPr>
              <w:pStyle w:val="1005"/>
              <w:ind w:left="57" w:right="57"/>
            </w:pPr>
            <w:r>
              <w:t xml:space="preserve">Заполнение поля вручную или выбором из календаря.</w:t>
            </w:r>
            <w:r/>
          </w:p>
        </w:tc>
      </w:tr>
      <w:tr>
        <w:trPr/>
        <w:tc>
          <w:tcPr>
            <w:shd w:val="clear" w:fill="auto" w:color="auto"/>
            <w:tcW w:w="1137" w:type="pct"/>
            <w:textDirection w:val="lrTb"/>
            <w:noWrap w:val="false"/>
          </w:tcPr>
          <w:p>
            <w:pPr>
              <w:pStyle w:val="1005"/>
              <w:ind w:left="57" w:right="57"/>
            </w:pPr>
            <w:r>
              <w:t xml:space="preserve">Вид заявления</w:t>
            </w:r>
            <w:r/>
          </w:p>
        </w:tc>
        <w:tc>
          <w:tcPr>
            <w:shd w:val="clear" w:fill="auto" w:color="auto"/>
            <w:tcW w:w="3863" w:type="pct"/>
            <w:textDirection w:val="lrTb"/>
            <w:noWrap w:val="false"/>
          </w:tcPr>
          <w:p>
            <w:pPr>
              <w:pStyle w:val="1005"/>
              <w:ind w:left="57" w:right="57"/>
            </w:pPr>
            <w:r>
              <w:t xml:space="preserve">Первичное заполнение – указывается значение «пусто».</w:t>
            </w:r>
            <w:r/>
          </w:p>
          <w:p>
            <w:pPr>
              <w:pStyle w:val="1005"/>
              <w:ind w:left="57" w:right="57"/>
            </w:pPr>
            <w:r>
              <w:t xml:space="preserve">Заполнение поля из списка возможных значений:</w:t>
            </w:r>
            <w:r/>
          </w:p>
          <w:p>
            <w:pPr>
              <w:pStyle w:val="1007"/>
            </w:pPr>
            <w:r>
              <w:t xml:space="preserve">на выдачу Казначейского обеспечения обязательств;</w:t>
            </w:r>
            <w:r/>
          </w:p>
          <w:p>
            <w:pPr>
              <w:pStyle w:val="1007"/>
            </w:pPr>
            <w:r>
              <w:t xml:space="preserve">на перевод Казначейского обеспечения обязательств;</w:t>
            </w:r>
            <w:r/>
          </w:p>
          <w:p>
            <w:pPr>
              <w:pStyle w:val="1007"/>
            </w:pPr>
            <w:r>
              <w:t xml:space="preserve">на отзыв Казначейского обеспечения обязательств;</w:t>
            </w:r>
            <w:r/>
          </w:p>
          <w:p>
            <w:pPr>
              <w:pStyle w:val="1007"/>
            </w:pPr>
            <w:r>
              <w:t xml:space="preserve">пусто.</w:t>
            </w:r>
            <w:r/>
          </w:p>
        </w:tc>
      </w:tr>
      <w:tr>
        <w:trPr/>
        <w:tc>
          <w:tcPr>
            <w:shd w:val="clear" w:fill="auto" w:color="auto"/>
            <w:tcW w:w="1137" w:type="pct"/>
            <w:textDirection w:val="lrTb"/>
            <w:noWrap w:val="false"/>
          </w:tcPr>
          <w:p>
            <w:pPr>
              <w:pStyle w:val="1005"/>
              <w:ind w:left="57" w:right="57"/>
            </w:pPr>
            <w:r>
              <w:t xml:space="preserve">Подтип</w:t>
            </w:r>
            <w:r/>
          </w:p>
        </w:tc>
        <w:tc>
          <w:tcPr>
            <w:shd w:val="clear" w:fill="auto" w:color="auto"/>
            <w:tcW w:w="3863" w:type="pct"/>
            <w:textDirection w:val="lrTb"/>
            <w:noWrap w:val="false"/>
          </w:tcPr>
          <w:p>
            <w:pPr>
              <w:pStyle w:val="1005"/>
              <w:ind w:left="57" w:right="57"/>
            </w:pPr>
            <w:r>
              <w:t xml:space="preserve">Техническое информативное поле.</w:t>
            </w:r>
            <w:r>
              <w:t xml:space="preserve"> </w:t>
            </w:r>
            <w:r/>
          </w:p>
          <w:p>
            <w:pPr>
              <w:pStyle w:val="1005"/>
              <w:ind w:left="57" w:right="57"/>
            </w:pPr>
            <w:r>
              <w:t xml:space="preserve">Значение поля заполняется при приёме из ОеБС Синка.</w:t>
            </w:r>
            <w:r/>
          </w:p>
          <w:p>
            <w:pPr>
              <w:pStyle w:val="1005"/>
              <w:ind w:left="57" w:right="57"/>
            </w:pPr>
            <w:r>
              <w:t xml:space="preserve">Возможные значения: МБТ, АУ, БУ, ЮЛ, пусто.</w:t>
            </w:r>
            <w:r/>
          </w:p>
        </w:tc>
      </w:tr>
      <w:tr>
        <w:trPr/>
        <w:tc>
          <w:tcPr>
            <w:shd w:val="clear" w:fill="auto" w:color="auto"/>
            <w:tcW w:w="1137" w:type="pct"/>
            <w:textDirection w:val="lrTb"/>
            <w:noWrap w:val="false"/>
          </w:tcPr>
          <w:p>
            <w:pPr>
              <w:pStyle w:val="1005"/>
              <w:ind w:left="57" w:right="57"/>
            </w:pPr>
            <w:r>
              <w:t xml:space="preserve">Уровень конфиденциальности</w:t>
            </w:r>
            <w:r/>
          </w:p>
        </w:tc>
        <w:tc>
          <w:tcPr>
            <w:shd w:val="clear" w:fill="auto" w:color="auto"/>
            <w:tcW w:w="3863" w:type="pct"/>
            <w:textDirection w:val="lrTb"/>
            <w:noWrap w:val="false"/>
          </w:tcPr>
          <w:p>
            <w:pPr>
              <w:pStyle w:val="1005"/>
              <w:ind w:left="57" w:right="57"/>
            </w:pPr>
            <w:r>
              <w:t xml:space="preserve">Поле заполняется вручную. По умолчанию пустое значение.</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w:t>
            </w:r>
            <w:r>
              <w:t xml:space="preserve">, группа полей «От кого</w:t>
            </w:r>
            <w:r>
              <w:t xml:space="preserve">»</w:t>
            </w:r>
            <w:r/>
          </w:p>
        </w:tc>
      </w:tr>
      <w:tr>
        <w:trPr/>
        <w:tc>
          <w:tcPr>
            <w:shd w:val="clear" w:fill="auto" w:color="auto"/>
            <w:tcW w:w="1137" w:type="pct"/>
            <w:textDirection w:val="lrTb"/>
            <w:noWrap w:val="false"/>
          </w:tcPr>
          <w:p>
            <w:pPr>
              <w:pStyle w:val="1005"/>
              <w:ind w:left="57" w:right="57"/>
            </w:pPr>
            <w:r>
              <w:t xml:space="preserve">Наименование </w:t>
            </w:r>
            <w:r>
              <w:t xml:space="preserve">ПБС</w:t>
            </w:r>
            <w:r>
              <w:t xml:space="preserve"> (орг</w:t>
            </w:r>
            <w:r>
              <w:t xml:space="preserve">а</w:t>
            </w:r>
            <w:r>
              <w:t xml:space="preserve">низации)</w:t>
            </w:r>
            <w:r/>
          </w:p>
        </w:tc>
        <w:tc>
          <w:tcPr>
            <w:shd w:val="clear" w:fill="auto" w:color="auto"/>
            <w:tcW w:w="3863" w:type="pct"/>
            <w:textDirection w:val="lrTb"/>
            <w:noWrap w:val="false"/>
          </w:tcPr>
          <w:p>
            <w:pPr>
              <w:pStyle w:val="1005"/>
              <w:ind w:left="57" w:right="57"/>
            </w:pPr>
            <w:r>
              <w:t xml:space="preserve">Значение поля заполняется автоматически на основании значения поля «по Сводному реестру» значением «Полное наименование» из соответс</w:t>
            </w:r>
            <w:r>
              <w:t xml:space="preserve">т</w:t>
            </w:r>
            <w:r>
              <w:t xml:space="preserve">вующей записи справочника СРРПБС/ПУБП/НУБП или СР.</w:t>
            </w:r>
            <w:r/>
          </w:p>
          <w:p>
            <w:pPr>
              <w:pStyle w:val="1005"/>
              <w:ind w:left="57" w:right="57"/>
            </w:pPr>
            <w:r>
              <w:t xml:space="preserve">Заполнение поля вручную или выбор из соответствующего справ</w:t>
            </w:r>
            <w:r>
              <w:t xml:space="preserve">очника СРРПБС/ПУБП/НУБП или СР:</w:t>
            </w:r>
            <w:r/>
          </w:p>
        </w:tc>
      </w:tr>
      <w:tr>
        <w:trPr/>
        <w:tc>
          <w:tcPr>
            <w:shd w:val="clear" w:fill="auto" w:color="auto"/>
            <w:tcW w:w="1137" w:type="pct"/>
            <w:textDirection w:val="lrTb"/>
            <w:noWrap w:val="false"/>
          </w:tcPr>
          <w:p>
            <w:pPr>
              <w:pStyle w:val="1005"/>
              <w:ind w:left="57" w:right="57"/>
            </w:pPr>
            <w:r>
              <w:t xml:space="preserve">по ОКПО</w:t>
            </w:r>
            <w:r/>
          </w:p>
        </w:tc>
        <w:tc>
          <w:tcPr>
            <w:shd w:val="clear" w:fill="auto" w:color="auto"/>
            <w:tcW w:w="3863" w:type="pct"/>
            <w:textDirection w:val="lrTb"/>
            <w:noWrap w:val="false"/>
          </w:tcPr>
          <w:p>
            <w:pPr>
              <w:pStyle w:val="1005"/>
              <w:ind w:left="57" w:right="57"/>
            </w:pPr>
            <w:r>
              <w:t xml:space="preserve">Значение поля заполняется автоматически на основании значения поля «Н</w:t>
            </w:r>
            <w:r>
              <w:t xml:space="preserve">а</w:t>
            </w:r>
            <w:r>
              <w:t xml:space="preserve">именование </w:t>
            </w:r>
            <w:r>
              <w:t xml:space="preserve">ПБС</w:t>
            </w:r>
            <w:r>
              <w:t xml:space="preserve"> (организации)» значением «по ОКПО»</w:t>
            </w:r>
            <w:r>
              <w:t xml:space="preserve"> </w:t>
            </w:r>
            <w:r>
              <w:t xml:space="preserve">из</w:t>
            </w:r>
            <w:r>
              <w:t xml:space="preserve"> </w:t>
            </w:r>
            <w:r>
              <w:t xml:space="preserve">соотве</w:t>
            </w:r>
            <w:r>
              <w:t xml:space="preserve">т</w:t>
            </w:r>
            <w:r>
              <w:t xml:space="preserve">ствующей записи справочника СРРПБС/ПУБП/НУБП или СР.</w:t>
            </w:r>
            <w:r/>
          </w:p>
          <w:p>
            <w:pPr>
              <w:pStyle w:val="1005"/>
              <w:ind w:left="57" w:right="57"/>
            </w:pPr>
            <w:r>
              <w:t xml:space="preserve">Заполнение поля вручную.</w:t>
            </w:r>
            <w:r/>
          </w:p>
        </w:tc>
      </w:tr>
      <w:tr>
        <w:trPr/>
        <w:tc>
          <w:tcPr>
            <w:shd w:val="clear" w:fill="auto" w:color="auto"/>
            <w:tcW w:w="1137" w:type="pct"/>
            <w:textDirection w:val="lrTb"/>
            <w:noWrap w:val="false"/>
          </w:tcPr>
          <w:p>
            <w:pPr>
              <w:pStyle w:val="1005"/>
              <w:ind w:left="57" w:right="57"/>
            </w:pPr>
            <w:r>
              <w:t xml:space="preserve">По Сводному реестру</w:t>
            </w:r>
            <w:r/>
          </w:p>
        </w:tc>
        <w:tc>
          <w:tcPr>
            <w:shd w:val="clear" w:fill="auto" w:color="auto"/>
            <w:tcW w:w="3863" w:type="pct"/>
            <w:textDirection w:val="lrTb"/>
            <w:noWrap w:val="false"/>
          </w:tcPr>
          <w:p>
            <w:pPr>
              <w:pStyle w:val="1005"/>
              <w:ind w:left="57" w:right="57"/>
            </w:pPr>
            <w:r>
              <w:t xml:space="preserve">Поле заполняется значением константы «Код по СР».</w:t>
            </w:r>
            <w:r>
              <w:t xml:space="preserve"> </w:t>
            </w:r>
            <w:r/>
          </w:p>
          <w:p>
            <w:pPr>
              <w:pStyle w:val="1007"/>
            </w:pPr>
            <w:r>
              <w:t xml:space="preserve">на АРМ </w:t>
            </w:r>
            <w:r>
              <w:t xml:space="preserve">ФО</w:t>
            </w:r>
            <w:r>
              <w:t xml:space="preserve"> </w:t>
            </w:r>
            <w:r>
              <w:t xml:space="preserve">–</w:t>
            </w:r>
            <w:r>
              <w:t xml:space="preserve"> не заполняется.</w:t>
            </w:r>
            <w:r/>
          </w:p>
        </w:tc>
      </w:tr>
      <w:tr>
        <w:trPr/>
        <w:tc>
          <w:tcPr>
            <w:shd w:val="clear" w:fill="auto" w:color="auto"/>
            <w:tcW w:w="1137" w:type="pct"/>
            <w:textDirection w:val="lrTb"/>
            <w:noWrap w:val="false"/>
          </w:tcPr>
          <w:p>
            <w:pPr>
              <w:pStyle w:val="1005"/>
              <w:ind w:left="57" w:right="57"/>
            </w:pPr>
            <w:r>
              <w:t xml:space="preserve">Номер лицевого счета</w:t>
            </w:r>
            <w:r/>
          </w:p>
        </w:tc>
        <w:tc>
          <w:tcPr>
            <w:shd w:val="clear" w:fill="auto" w:color="auto"/>
            <w:tcW w:w="3863" w:type="pct"/>
            <w:textDirection w:val="lrTb"/>
            <w:noWrap w:val="false"/>
          </w:tcPr>
          <w:p>
            <w:pPr>
              <w:pStyle w:val="1005"/>
              <w:ind w:left="57" w:right="57"/>
            </w:pPr>
            <w:r>
              <w:t xml:space="preserve">Значение поля заполняется выбором </w:t>
            </w:r>
            <w:r>
              <w:t xml:space="preserve">из справочника «Информация о ЛС» с учётом указанных значений в полях «по Сводному реестру», «Глава по БК», «Код бюджета» и типа ЛС в разрезе АРМ:</w:t>
            </w:r>
            <w:r/>
          </w:p>
          <w:p>
            <w:pPr>
              <w:pStyle w:val="1007"/>
            </w:pPr>
            <w:r>
              <w:t xml:space="preserve">н</w:t>
            </w:r>
            <w:r>
              <w:t xml:space="preserve">а АРМ </w:t>
            </w:r>
            <w:r>
              <w:t xml:space="preserve">ФО</w:t>
            </w:r>
            <w:r>
              <w:t xml:space="preserve">: тип</w:t>
            </w:r>
            <w:r>
              <w:t xml:space="preserve"> ЛС</w:t>
            </w:r>
            <w:r>
              <w:t xml:space="preserve"> с кодом 02</w:t>
            </w:r>
            <w:r>
              <w:t xml:space="preserve">.</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w:t>
            </w:r>
            <w:r>
              <w:t xml:space="preserve">, группа </w:t>
            </w:r>
            <w:r>
              <w:t xml:space="preserve">полей «Кому»</w:t>
            </w:r>
            <w:r/>
          </w:p>
        </w:tc>
      </w:tr>
      <w:tr>
        <w:trPr/>
        <w:tc>
          <w:tcPr>
            <w:shd w:val="clear" w:fill="auto" w:color="auto"/>
            <w:tcW w:w="1137" w:type="pct"/>
            <w:textDirection w:val="lrTb"/>
            <w:noWrap w:val="false"/>
          </w:tcPr>
          <w:p>
            <w:pPr>
              <w:pStyle w:val="1005"/>
              <w:ind w:left="57" w:right="57"/>
            </w:pPr>
            <w:r>
              <w:t xml:space="preserve">Наименование органа ФК</w:t>
            </w:r>
            <w:r/>
          </w:p>
        </w:tc>
        <w:tc>
          <w:tcPr>
            <w:shd w:val="clear" w:fill="auto" w:color="auto"/>
            <w:tcW w:w="3863" w:type="pct"/>
            <w:textDirection w:val="lrTb"/>
            <w:noWrap w:val="false"/>
          </w:tcPr>
          <w:p>
            <w:pPr>
              <w:pStyle w:val="1005"/>
              <w:ind w:left="57" w:right="57"/>
            </w:pPr>
            <w:r>
              <w:t xml:space="preserve">Первичное заполнение на основании системной константы </w:t>
            </w:r>
            <w:r>
              <w:t xml:space="preserve">«</w:t>
            </w:r>
            <w:r>
              <w:t xml:space="preserve">Код собственного ТОФК</w:t>
            </w:r>
            <w:r>
              <w:t xml:space="preserve">»</w:t>
            </w:r>
            <w:r>
              <w:t xml:space="preserve">)</w:t>
            </w:r>
            <w:r>
              <w:t xml:space="preserve"> значением «Полное наименование» из </w:t>
            </w:r>
            <w:r>
              <w:t xml:space="preserve">справочника «Органы ФК»</w:t>
            </w:r>
            <w:r>
              <w:t xml:space="preserve">.</w:t>
            </w:r>
            <w:r/>
          </w:p>
          <w:p>
            <w:pPr>
              <w:pStyle w:val="1005"/>
              <w:ind w:left="57" w:right="57"/>
            </w:pPr>
            <w:r>
              <w:t xml:space="preserve">Значение поля заполняется автоматически на основании значения поля «по КОФК» значением «Полное наименование» из соответствующей записи </w:t>
            </w:r>
            <w:r>
              <w:t xml:space="preserve">спр</w:t>
            </w:r>
            <w:r>
              <w:t xml:space="preserve">а</w:t>
            </w:r>
            <w:r>
              <w:t xml:space="preserve">вочника «Органы ФК»</w:t>
            </w:r>
            <w:r>
              <w:t xml:space="preserve">.</w:t>
            </w:r>
            <w:r/>
          </w:p>
          <w:p>
            <w:pPr>
              <w:pStyle w:val="1005"/>
              <w:ind w:left="57" w:right="57"/>
            </w:pPr>
            <w:r>
              <w:t xml:space="preserve">Заполнение поля вручную или выбор из </w:t>
            </w:r>
            <w:r>
              <w:t xml:space="preserve">справочника «Органы ФК»</w:t>
            </w:r>
            <w:r>
              <w:t xml:space="preserve">.</w:t>
            </w:r>
            <w:r/>
          </w:p>
        </w:tc>
      </w:tr>
      <w:tr>
        <w:trPr/>
        <w:tc>
          <w:tcPr>
            <w:shd w:val="clear" w:fill="auto" w:color="auto"/>
            <w:tcW w:w="1137" w:type="pct"/>
            <w:textDirection w:val="lrTb"/>
            <w:noWrap w:val="false"/>
          </w:tcPr>
          <w:p>
            <w:pPr>
              <w:pStyle w:val="1005"/>
              <w:ind w:left="57" w:right="57"/>
            </w:pPr>
            <w:r>
              <w:t xml:space="preserve">По ОКПО</w:t>
            </w:r>
            <w:r/>
          </w:p>
        </w:tc>
        <w:tc>
          <w:tcPr>
            <w:shd w:val="clear" w:fill="auto" w:color="auto"/>
            <w:tcW w:w="3863" w:type="pct"/>
            <w:textDirection w:val="lrTb"/>
            <w:noWrap w:val="false"/>
          </w:tcPr>
          <w:p>
            <w:pPr>
              <w:pStyle w:val="1005"/>
              <w:ind w:left="57" w:right="57"/>
            </w:pPr>
            <w:r>
              <w:t xml:space="preserve">Значение поля заполняется автоматически на основании значения поля «Н</w:t>
            </w:r>
            <w:r>
              <w:t xml:space="preserve">а</w:t>
            </w:r>
            <w:r>
              <w:t xml:space="preserve">именование органа ФК» значением «ОКПО» из соответствующей записи </w:t>
            </w:r>
            <w:r>
              <w:t xml:space="preserve">справочника «Органы ФК»</w:t>
            </w:r>
            <w:r>
              <w:t xml:space="preserve">.</w:t>
            </w:r>
            <w:r/>
          </w:p>
          <w:p>
            <w:pPr>
              <w:pStyle w:val="1005"/>
              <w:ind w:left="57" w:right="57"/>
            </w:pPr>
            <w:r>
              <w:t xml:space="preserve">Заполнение поля вручную.</w:t>
            </w:r>
            <w:r/>
          </w:p>
        </w:tc>
      </w:tr>
      <w:tr>
        <w:trPr/>
        <w:tc>
          <w:tcPr>
            <w:shd w:val="clear" w:fill="auto" w:color="auto"/>
            <w:tcW w:w="1137" w:type="pct"/>
            <w:textDirection w:val="lrTb"/>
            <w:noWrap w:val="false"/>
          </w:tcPr>
          <w:p>
            <w:pPr>
              <w:pStyle w:val="1005"/>
              <w:ind w:left="57" w:right="57"/>
            </w:pPr>
            <w:r>
              <w:t xml:space="preserve">По КОФК</w:t>
            </w:r>
            <w:r/>
          </w:p>
        </w:tc>
        <w:tc>
          <w:tcPr>
            <w:shd w:val="clear" w:fill="auto" w:color="auto"/>
            <w:tcW w:w="3863" w:type="pct"/>
            <w:textDirection w:val="lrTb"/>
            <w:noWrap w:val="false"/>
          </w:tcPr>
          <w:p>
            <w:pPr>
              <w:pStyle w:val="1005"/>
              <w:ind w:left="57" w:right="57"/>
            </w:pPr>
            <w:r>
              <w:t xml:space="preserve">Первичное заполнение на основании системной константы </w:t>
            </w:r>
            <w:r>
              <w:t xml:space="preserve">SelfTOFKcode (Код собственного ТОФК)</w:t>
            </w:r>
            <w:r>
              <w:t xml:space="preserve">.</w:t>
            </w:r>
            <w:r/>
          </w:p>
          <w:p>
            <w:pPr>
              <w:pStyle w:val="1005"/>
              <w:ind w:left="57" w:right="57"/>
            </w:pPr>
            <w:r>
              <w:t xml:space="preserve">Заполнение поля вручную.</w:t>
            </w:r>
            <w:r/>
          </w:p>
        </w:tc>
      </w:tr>
      <w:tr>
        <w:trPr/>
        <w:tc>
          <w:tcPr>
            <w:shd w:val="clear" w:fill="auto" w:color="auto"/>
            <w:tcW w:w="1137" w:type="pct"/>
            <w:textDirection w:val="lrTb"/>
            <w:noWrap w:val="false"/>
          </w:tcPr>
          <w:p>
            <w:pPr>
              <w:pStyle w:val="1005"/>
              <w:ind w:left="57" w:right="57"/>
            </w:pPr>
            <w:r>
              <w:t xml:space="preserve">Наименование ГРБС</w:t>
            </w:r>
            <w:r/>
          </w:p>
        </w:tc>
        <w:tc>
          <w:tcPr>
            <w:shd w:val="clear" w:fill="auto" w:color="auto"/>
            <w:tcW w:w="3863" w:type="pct"/>
            <w:textDirection w:val="lrTb"/>
            <w:noWrap w:val="false"/>
          </w:tcPr>
          <w:p>
            <w:pPr>
              <w:pStyle w:val="1005"/>
              <w:ind w:left="57" w:right="57"/>
            </w:pPr>
            <w:r>
              <w:t xml:space="preserve">Первичное заполнение на основании системной константы </w:t>
            </w:r>
            <w:r>
              <w:t xml:space="preserve">SelfPPPCode (Собственный код ведомства)</w:t>
            </w:r>
            <w:r>
              <w:t xml:space="preserve"> зн</w:t>
            </w:r>
            <w:r>
              <w:t xml:space="preserve">а</w:t>
            </w:r>
            <w:r>
              <w:t xml:space="preserve">чением «Полное наименование» из </w:t>
            </w:r>
            <w:r>
              <w:t xml:space="preserve">спра</w:t>
            </w:r>
            <w:r>
              <w:t xml:space="preserve">вочника «Ведомства»</w:t>
            </w:r>
            <w:r>
              <w:t xml:space="preserve"> с учётом бю</w:t>
            </w:r>
            <w:r>
              <w:t xml:space="preserve">д</w:t>
            </w:r>
            <w:r>
              <w:t xml:space="preserve">жета.</w:t>
            </w:r>
            <w:r/>
          </w:p>
          <w:p>
            <w:pPr>
              <w:pStyle w:val="1005"/>
              <w:ind w:left="57" w:right="57"/>
            </w:pPr>
            <w:r>
              <w:t xml:space="preserve">Значение поля заполняется автоматически на основании значения поля «Глава по БК» значением «Полное наименование» из соответствующей записи </w:t>
            </w:r>
            <w:r>
              <w:t xml:space="preserve">спр</w:t>
            </w:r>
            <w:r>
              <w:t xml:space="preserve">а</w:t>
            </w:r>
            <w:r>
              <w:t xml:space="preserve">вочника «Ведомства»</w:t>
            </w:r>
            <w:r>
              <w:t xml:space="preserve"> с уч</w:t>
            </w:r>
            <w:r>
              <w:t xml:space="preserve">ё</w:t>
            </w:r>
            <w:r>
              <w:t xml:space="preserve">том бюджета.</w:t>
            </w:r>
            <w:r/>
          </w:p>
          <w:p>
            <w:pPr>
              <w:pStyle w:val="1005"/>
              <w:ind w:left="57" w:right="57"/>
            </w:pPr>
            <w:r>
              <w:t xml:space="preserve">Заполнение поля вручную или выбор из </w:t>
            </w:r>
            <w:r>
              <w:t xml:space="preserve">справочника «Ведомства»</w:t>
            </w:r>
            <w:r/>
          </w:p>
        </w:tc>
      </w:tr>
      <w:tr>
        <w:trPr/>
        <w:tc>
          <w:tcPr>
            <w:shd w:val="clear" w:fill="auto" w:color="auto"/>
            <w:tcW w:w="1137" w:type="pct"/>
            <w:textDirection w:val="lrTb"/>
            <w:noWrap w:val="false"/>
          </w:tcPr>
          <w:p>
            <w:pPr>
              <w:pStyle w:val="1005"/>
              <w:ind w:left="57" w:right="57"/>
            </w:pPr>
            <w:r>
              <w:t xml:space="preserve">Глава по БК</w:t>
            </w:r>
            <w:r/>
          </w:p>
        </w:tc>
        <w:tc>
          <w:tcPr>
            <w:shd w:val="clear" w:fill="auto" w:color="auto"/>
            <w:tcW w:w="3863" w:type="pct"/>
            <w:textDirection w:val="lrTb"/>
            <w:noWrap w:val="false"/>
          </w:tcPr>
          <w:p>
            <w:pPr>
              <w:pStyle w:val="1005"/>
              <w:ind w:left="57" w:right="57"/>
            </w:pPr>
            <w:r>
              <w:t xml:space="preserve">Первичное заполнение на основании системной константы </w:t>
            </w:r>
            <w:r>
              <w:t xml:space="preserve">SelfPPPCode (Собственный код ведомства)</w:t>
            </w:r>
            <w:r>
              <w:t xml:space="preserve">.</w:t>
            </w:r>
            <w:r/>
          </w:p>
          <w:p>
            <w:pPr>
              <w:pStyle w:val="1005"/>
              <w:ind w:left="57" w:right="57"/>
            </w:pPr>
            <w:r>
              <w:t xml:space="preserve">Заполнение поля вручную.</w:t>
            </w:r>
            <w:r/>
          </w:p>
        </w:tc>
      </w:tr>
      <w:tr>
        <w:trPr/>
        <w:tc>
          <w:tcPr>
            <w:shd w:val="clear" w:fill="auto" w:color="auto"/>
            <w:tcW w:w="1137" w:type="pct"/>
            <w:textDirection w:val="lrTb"/>
            <w:noWrap w:val="false"/>
          </w:tcPr>
          <w:p>
            <w:pPr>
              <w:pStyle w:val="1005"/>
              <w:ind w:left="57" w:right="57"/>
            </w:pPr>
            <w:r>
              <w:t xml:space="preserve">Вид расчета</w:t>
            </w:r>
            <w:r/>
          </w:p>
        </w:tc>
        <w:tc>
          <w:tcPr>
            <w:shd w:val="clear" w:fill="auto" w:color="auto"/>
            <w:tcW w:w="3863" w:type="pct"/>
            <w:textDirection w:val="lrTb"/>
            <w:noWrap w:val="false"/>
          </w:tcPr>
          <w:p>
            <w:pPr>
              <w:pStyle w:val="1005"/>
              <w:ind w:left="57" w:right="57"/>
            </w:pPr>
            <w:r>
              <w:t xml:space="preserve">Указывается вид расчетов путем выбора из выпадающего списка:</w:t>
            </w:r>
            <w:r/>
          </w:p>
          <w:p>
            <w:pPr>
              <w:pStyle w:val="1007"/>
              <w:numPr>
                <w:ilvl w:val="0"/>
                <w:numId w:val="137"/>
              </w:numPr>
            </w:pPr>
            <w:r>
              <w:t xml:space="preserve">«расчеты, связанные с предварительной оплатой»;</w:t>
            </w:r>
            <w:r/>
          </w:p>
          <w:p>
            <w:pPr>
              <w:pStyle w:val="1007"/>
              <w:numPr>
                <w:ilvl w:val="0"/>
                <w:numId w:val="137"/>
              </w:numPr>
            </w:pPr>
            <w:r>
              <w:t xml:space="preserve">«расчеты, связанные с исполнением государственного контракта (договора)».</w:t>
            </w:r>
            <w:r/>
          </w:p>
        </w:tc>
      </w:tr>
      <w:tr>
        <w:trPr/>
        <w:tc>
          <w:tcPr>
            <w:shd w:val="clear" w:fill="auto" w:color="auto"/>
            <w:tcW w:w="1137" w:type="pct"/>
            <w:textDirection w:val="lrTb"/>
            <w:noWrap w:val="false"/>
          </w:tcPr>
          <w:p>
            <w:pPr>
              <w:pStyle w:val="1005"/>
              <w:ind w:left="57" w:right="57"/>
            </w:pPr>
            <w:r>
              <w:t xml:space="preserve">Код вида расчетов</w:t>
            </w:r>
            <w:r/>
          </w:p>
        </w:tc>
        <w:tc>
          <w:tcPr>
            <w:shd w:val="clear" w:fill="auto" w:color="auto"/>
            <w:tcW w:w="3863" w:type="pct"/>
            <w:textDirection w:val="lrTb"/>
            <w:noWrap w:val="false"/>
          </w:tcPr>
          <w:p>
            <w:pPr>
              <w:pStyle w:val="1005"/>
              <w:ind w:left="57" w:right="57"/>
            </w:pPr>
            <w:r>
              <w:t xml:space="preserve">Указывается условный код вида расчета в зависимости от выбранного значения в поле «Вид расчета»:</w:t>
            </w:r>
            <w:r/>
          </w:p>
          <w:p>
            <w:pPr>
              <w:pStyle w:val="1007"/>
              <w:numPr>
                <w:ilvl w:val="0"/>
                <w:numId w:val="137"/>
              </w:numPr>
            </w:pPr>
            <w:r>
              <w:t xml:space="preserve">«03», если указано «расчеты, связанные с предварительной оплатой»;</w:t>
            </w:r>
            <w:r/>
          </w:p>
          <w:p>
            <w:pPr>
              <w:pStyle w:val="1007"/>
              <w:numPr>
                <w:ilvl w:val="0"/>
                <w:numId w:val="137"/>
              </w:numPr>
            </w:pPr>
            <w:r>
              <w:t xml:space="preserve">«04», если указано «расчеты, связанные с исполнением государственного контракта (договора)»;</w:t>
            </w:r>
            <w:r/>
          </w:p>
          <w:p>
            <w:pPr>
              <w:pStyle w:val="1007"/>
              <w:numPr>
                <w:ilvl w:val="0"/>
                <w:numId w:val="137"/>
              </w:numPr>
            </w:pPr>
            <w:r>
              <w:t xml:space="preserve">пустое значение, если указано пустое значение.</w:t>
            </w:r>
            <w:r/>
          </w:p>
        </w:tc>
      </w:tr>
      <w:tr>
        <w:trPr/>
        <w:tc>
          <w:tcPr>
            <w:shd w:val="clear" w:fill="auto" w:color="auto"/>
            <w:tcW w:w="1137" w:type="pct"/>
            <w:textDirection w:val="lrTb"/>
            <w:noWrap w:val="false"/>
          </w:tcPr>
          <w:p>
            <w:pPr>
              <w:pStyle w:val="1005"/>
              <w:ind w:left="57" w:right="57"/>
            </w:pPr>
            <w:r>
              <w:t xml:space="preserve">Единица измерения</w:t>
            </w:r>
            <w:r/>
          </w:p>
        </w:tc>
        <w:tc>
          <w:tcPr>
            <w:shd w:val="clear" w:fill="auto" w:color="auto"/>
            <w:tcW w:w="3863" w:type="pct"/>
            <w:textDirection w:val="lrTb"/>
            <w:noWrap w:val="false"/>
          </w:tcPr>
          <w:p>
            <w:pPr>
              <w:pStyle w:val="1005"/>
              <w:ind w:left="57" w:right="57"/>
            </w:pPr>
            <w:r>
              <w:t xml:space="preserve">Значение поля заполняется автоматически значением «руб</w:t>
            </w:r>
            <w:r>
              <w:t xml:space="preserve">.</w:t>
            </w:r>
            <w:r>
              <w:t xml:space="preserve"> (с точн</w:t>
            </w:r>
            <w:r>
              <w:t xml:space="preserve">о</w:t>
            </w:r>
            <w:r>
              <w:t xml:space="preserve">стью до второго десятичного знака)».</w:t>
            </w:r>
            <w:r/>
          </w:p>
          <w:p>
            <w:pPr>
              <w:pStyle w:val="1005"/>
              <w:ind w:left="57" w:right="57"/>
            </w:pPr>
            <w:r>
              <w:t xml:space="preserve">Недоступно для заполнения вручную</w:t>
            </w:r>
            <w:r>
              <w:t xml:space="preserve">.</w:t>
            </w:r>
            <w:r/>
          </w:p>
        </w:tc>
      </w:tr>
      <w:tr>
        <w:trPr/>
        <w:tc>
          <w:tcPr>
            <w:shd w:val="clear" w:fill="auto" w:color="auto"/>
            <w:tcW w:w="1137" w:type="pct"/>
            <w:textDirection w:val="lrTb"/>
            <w:noWrap w:val="false"/>
          </w:tcPr>
          <w:p>
            <w:pPr>
              <w:pStyle w:val="1005"/>
              <w:ind w:left="57" w:right="57"/>
            </w:pPr>
            <w:r>
              <w:t xml:space="preserve">По ОКЕИ</w:t>
            </w:r>
            <w:r/>
          </w:p>
        </w:tc>
        <w:tc>
          <w:tcPr>
            <w:shd w:val="clear" w:fill="auto" w:color="auto"/>
            <w:tcW w:w="3863" w:type="pct"/>
            <w:textDirection w:val="lrTb"/>
            <w:noWrap w:val="false"/>
          </w:tcPr>
          <w:p>
            <w:pPr>
              <w:pStyle w:val="1005"/>
              <w:ind w:left="57" w:right="57"/>
            </w:pPr>
            <w:r>
              <w:t xml:space="preserve">Значение поля заполняется автоматически значением «383».</w:t>
            </w:r>
            <w:r/>
          </w:p>
          <w:p>
            <w:pPr>
              <w:pStyle w:val="1005"/>
              <w:ind w:left="57" w:right="57"/>
            </w:pPr>
            <w:r>
              <w:t xml:space="preserve">Недоступно для заполнения вручную</w:t>
            </w:r>
            <w:r>
              <w:t xml:space="preserve">.</w:t>
            </w:r>
            <w:r/>
          </w:p>
        </w:tc>
      </w:tr>
      <w:tr>
        <w:trPr/>
        <w:tc>
          <w:tcPr>
            <w:shd w:val="clear" w:fill="auto" w:color="auto"/>
            <w:tcW w:w="1137" w:type="pct"/>
            <w:textDirection w:val="lrTb"/>
            <w:noWrap w:val="false"/>
          </w:tcPr>
          <w:p>
            <w:pPr>
              <w:pStyle w:val="1005"/>
              <w:ind w:left="57" w:right="57"/>
            </w:pPr>
            <w:r>
              <w:t xml:space="preserve">Вид целевых средств</w:t>
            </w:r>
            <w:r/>
          </w:p>
        </w:tc>
        <w:tc>
          <w:tcPr>
            <w:shd w:val="clear" w:fill="auto" w:color="auto"/>
            <w:tcW w:w="3863" w:type="pct"/>
            <w:textDirection w:val="lrTb"/>
            <w:noWrap w:val="false"/>
          </w:tcPr>
          <w:p>
            <w:pPr>
              <w:pStyle w:val="1005"/>
              <w:ind w:left="57" w:right="57"/>
            </w:pPr>
            <w:r>
              <w:t xml:space="preserve">Поле не доступное для заполнения вручную.</w:t>
            </w:r>
            <w:r/>
          </w:p>
          <w:p>
            <w:pPr>
              <w:pStyle w:val="1005"/>
              <w:ind w:left="57" w:right="57"/>
            </w:pPr>
            <w:r>
              <w:t xml:space="preserve">Указывается вид расчетов путем выбора из выпадающего списка:</w:t>
            </w:r>
            <w:r/>
          </w:p>
          <w:p>
            <w:pPr>
              <w:pStyle w:val="1007"/>
            </w:pPr>
            <w:r>
              <w:t xml:space="preserve">«расчеты, связанные с предварительной оплатой по контракту»;</w:t>
            </w:r>
            <w:r/>
          </w:p>
          <w:p>
            <w:pPr>
              <w:pStyle w:val="1007"/>
            </w:pPr>
            <w:r>
              <w:t xml:space="preserve">«расчеты, связанные с исполнением контракта»;</w:t>
            </w:r>
            <w:r/>
          </w:p>
          <w:p>
            <w:pPr>
              <w:pStyle w:val="1007"/>
            </w:pPr>
            <w:r>
              <w:t xml:space="preserve">пустое значение.</w:t>
            </w:r>
            <w:r/>
          </w:p>
          <w:p>
            <w:pPr>
              <w:pStyle w:val="1005"/>
              <w:ind w:left="57" w:right="57"/>
            </w:pPr>
            <w:r>
              <w:t xml:space="preserve">Значение по умолчанию – пустое значение.</w:t>
            </w:r>
            <w:r/>
          </w:p>
          <w:p>
            <w:pPr>
              <w:pStyle w:val="1005"/>
              <w:ind w:left="57" w:right="57"/>
            </w:pPr>
            <w:r>
              <w:t xml:space="preserve">В АЗВ и АЗП обязательно для указания не пустым значением, в АЗИ и АЗО указывается пустое значение.</w:t>
            </w:r>
            <w:r/>
          </w:p>
        </w:tc>
      </w:tr>
      <w:tr>
        <w:trPr/>
        <w:tc>
          <w:tcPr>
            <w:shd w:val="clear" w:fill="auto" w:color="auto"/>
            <w:tcW w:w="1137" w:type="pct"/>
            <w:textDirection w:val="lrTb"/>
            <w:noWrap w:val="false"/>
          </w:tcPr>
          <w:p>
            <w:pPr>
              <w:pStyle w:val="1005"/>
              <w:ind w:left="57" w:right="57"/>
            </w:pPr>
            <w:r>
              <w:t xml:space="preserve">Код вида ЦС</w:t>
            </w:r>
            <w:r/>
          </w:p>
        </w:tc>
        <w:tc>
          <w:tcPr>
            <w:shd w:val="clear" w:fill="auto" w:color="auto"/>
            <w:tcW w:w="3863" w:type="pct"/>
            <w:textDirection w:val="lrTb"/>
            <w:noWrap w:val="false"/>
          </w:tcPr>
          <w:p>
            <w:pPr>
              <w:pStyle w:val="1005"/>
              <w:ind w:left="57" w:right="57"/>
            </w:pPr>
            <w:r>
              <w:t xml:space="preserve">Поле не доступное для заполнения вручную.</w:t>
            </w:r>
            <w:r/>
          </w:p>
          <w:p>
            <w:pPr>
              <w:pStyle w:val="1005"/>
              <w:ind w:left="57" w:right="57"/>
            </w:pPr>
            <w:r>
              <w:t xml:space="preserve">Указывается автоматически условный код вида расчета в зависимости от выбранного значения в поле «Вид расчетов»:</w:t>
            </w:r>
            <w:r/>
          </w:p>
          <w:p>
            <w:pPr>
              <w:pStyle w:val="1007"/>
            </w:pPr>
            <w:r>
              <w:t xml:space="preserve">«03», если указано «расчеты, связанные с предварительной оплатой по контракту»;</w:t>
            </w:r>
            <w:r/>
          </w:p>
          <w:p>
            <w:pPr>
              <w:pStyle w:val="1007"/>
            </w:pPr>
            <w:r>
              <w:t xml:space="preserve">«04», если указано «расчеты, связанные с исполнением контракта»;</w:t>
            </w:r>
            <w:r/>
          </w:p>
          <w:p>
            <w:pPr>
              <w:pStyle w:val="1007"/>
            </w:pPr>
            <w:r>
              <w:t xml:space="preserve">пустое значение, если указано пустое значение.</w:t>
            </w:r>
            <w:r/>
          </w:p>
        </w:tc>
      </w:tr>
      <w:tr>
        <w:trPr/>
        <w:tc>
          <w:tcPr>
            <w:shd w:val="clear" w:fill="auto" w:color="auto"/>
            <w:tcW w:w="1137" w:type="pct"/>
            <w:textDirection w:val="lrTb"/>
            <w:noWrap w:val="false"/>
          </w:tcPr>
          <w:p>
            <w:pPr>
              <w:pStyle w:val="1005"/>
              <w:ind w:left="57" w:right="57"/>
            </w:pPr>
            <w:r>
              <w:t xml:space="preserve">Код операции</w:t>
            </w:r>
            <w:r/>
          </w:p>
        </w:tc>
        <w:tc>
          <w:tcPr>
            <w:shd w:val="clear" w:fill="auto" w:color="auto"/>
            <w:tcW w:w="3863" w:type="pct"/>
            <w:textDirection w:val="lrTb"/>
            <w:noWrap w:val="false"/>
          </w:tcPr>
          <w:p>
            <w:pPr>
              <w:pStyle w:val="1005"/>
              <w:ind w:left="57" w:right="57"/>
            </w:pPr>
            <w:r>
              <w:t xml:space="preserve">Значение поля заполняется автоматически на основании значения «Вид зая</w:t>
            </w:r>
            <w:r>
              <w:t xml:space="preserve">в</w:t>
            </w:r>
            <w:r>
              <w:t xml:space="preserve">ления (код)»:</w:t>
            </w:r>
            <w:r/>
          </w:p>
          <w:p>
            <w:pPr>
              <w:pStyle w:val="1007"/>
            </w:pPr>
            <w:r>
              <w:t xml:space="preserve">01, если «01»;</w:t>
            </w:r>
            <w:r/>
          </w:p>
          <w:p>
            <w:pPr>
              <w:pStyle w:val="1007"/>
            </w:pPr>
            <w:r>
              <w:t xml:space="preserve">02, если «02»;</w:t>
            </w:r>
            <w:r/>
          </w:p>
          <w:p>
            <w:pPr>
              <w:pStyle w:val="1007"/>
            </w:pPr>
            <w:r>
              <w:t xml:space="preserve">03, если «03»;</w:t>
            </w:r>
            <w:r/>
          </w:p>
          <w:p>
            <w:pPr>
              <w:pStyle w:val="1007"/>
            </w:pPr>
            <w:r>
              <w:t xml:space="preserve">04, если «04».</w:t>
            </w:r>
            <w:r/>
          </w:p>
          <w:p>
            <w:pPr>
              <w:pStyle w:val="1005"/>
              <w:ind w:left="57" w:right="57"/>
            </w:pPr>
            <w:r>
              <w:t xml:space="preserve">Недоступно для заполнения вручную</w:t>
            </w:r>
            <w:r>
              <w:t xml:space="preserve">.</w:t>
            </w:r>
            <w:r/>
          </w:p>
        </w:tc>
      </w:tr>
      <w:tr>
        <w:trPr/>
        <w:tc>
          <w:tcPr>
            <w:shd w:val="clear" w:fill="auto" w:color="auto"/>
            <w:tcW w:w="1137" w:type="pct"/>
            <w:textDirection w:val="lrTb"/>
            <w:noWrap w:val="false"/>
          </w:tcPr>
          <w:p>
            <w:pPr>
              <w:pStyle w:val="1005"/>
              <w:ind w:left="57" w:right="57"/>
            </w:pPr>
            <w:r>
              <w:t xml:space="preserve">Вид операции</w:t>
            </w:r>
            <w:r/>
          </w:p>
        </w:tc>
        <w:tc>
          <w:tcPr>
            <w:shd w:val="clear" w:fill="auto" w:color="auto"/>
            <w:tcW w:w="3863" w:type="pct"/>
            <w:textDirection w:val="lrTb"/>
            <w:noWrap w:val="false"/>
          </w:tcPr>
          <w:p>
            <w:pPr>
              <w:pStyle w:val="1005"/>
              <w:ind w:left="57" w:right="57"/>
            </w:pPr>
            <w:r>
              <w:t xml:space="preserve">Значение поля заполняется автоматически на основании значения «Вид зая</w:t>
            </w:r>
            <w:r>
              <w:t xml:space="preserve">в</w:t>
            </w:r>
            <w:r>
              <w:t xml:space="preserve">ления (код)»:</w:t>
            </w:r>
            <w:r/>
          </w:p>
          <w:p>
            <w:pPr>
              <w:pStyle w:val="1007"/>
            </w:pPr>
            <w:r>
              <w:t xml:space="preserve">«Прошу выдать </w:t>
            </w:r>
            <w:r>
              <w:t xml:space="preserve">Казначейское обеспечение обязательств</w:t>
            </w:r>
            <w:r>
              <w:t xml:space="preserve">», если «01»;</w:t>
            </w:r>
            <w:r/>
          </w:p>
          <w:p>
            <w:pPr>
              <w:pStyle w:val="1007"/>
            </w:pPr>
            <w:r>
              <w:t xml:space="preserve">«Прошу перевести </w:t>
            </w:r>
            <w:r>
              <w:t xml:space="preserve">Казначейское обеспечение обязательств</w:t>
            </w:r>
            <w:r>
              <w:t xml:space="preserve">», если «02»;</w:t>
            </w:r>
            <w:r/>
          </w:p>
          <w:p>
            <w:pPr>
              <w:pStyle w:val="1007"/>
            </w:pPr>
            <w:r>
              <w:t xml:space="preserve">«Прошу изменить </w:t>
            </w:r>
            <w:r>
              <w:t xml:space="preserve">Казначейское обеспечение обязательств</w:t>
            </w:r>
            <w:r>
              <w:t xml:space="preserve">», если «03»;</w:t>
            </w:r>
            <w:r/>
          </w:p>
          <w:p>
            <w:pPr>
              <w:pStyle w:val="1007"/>
            </w:pPr>
            <w:r>
              <w:t xml:space="preserve">«Прошу отозвать </w:t>
            </w:r>
            <w:r>
              <w:t xml:space="preserve">Казначейское обеспечение обязательств</w:t>
            </w:r>
            <w:r>
              <w:t xml:space="preserve">», если «04».</w:t>
            </w:r>
            <w:r/>
          </w:p>
          <w:p>
            <w:pPr>
              <w:pStyle w:val="1005"/>
              <w:ind w:left="57" w:right="57"/>
            </w:pPr>
            <w:r>
              <w:t xml:space="preserve"> Недоступно для заполнения вручную</w:t>
            </w:r>
            <w:r>
              <w:t xml:space="preserve">.</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w:t>
            </w:r>
            <w:r>
              <w:t xml:space="preserve">, группа </w:t>
            </w:r>
            <w:r>
              <w:t xml:space="preserve">полей «</w:t>
            </w:r>
            <w:r>
              <w:t xml:space="preserve">Информация о Казначейском обеспечении обязательств</w:t>
            </w:r>
            <w:r>
              <w:t xml:space="preserve">»</w:t>
            </w:r>
            <w:r/>
          </w:p>
        </w:tc>
      </w:tr>
      <w:tr>
        <w:trPr/>
        <w:tc>
          <w:tcPr>
            <w:shd w:val="clear" w:fill="auto" w:color="auto"/>
            <w:tcW w:w="1137" w:type="pct"/>
            <w:textDirection w:val="lrTb"/>
            <w:noWrap w:val="false"/>
          </w:tcPr>
          <w:p>
            <w:pPr>
              <w:pStyle w:val="1005"/>
              <w:ind w:left="57" w:right="57"/>
            </w:pPr>
            <w:r>
              <w:t xml:space="preserve">Номер</w:t>
            </w:r>
            <w:r/>
          </w:p>
        </w:tc>
        <w:tc>
          <w:tcPr>
            <w:shd w:val="clear" w:fill="auto" w:color="auto"/>
            <w:tcW w:w="3863" w:type="pct"/>
            <w:textDirection w:val="lrTb"/>
            <w:noWrap w:val="false"/>
          </w:tcPr>
          <w:p>
            <w:pPr>
              <w:pStyle w:val="1005"/>
              <w:ind w:left="57" w:right="57"/>
            </w:pPr>
            <w:r>
              <w:t xml:space="preserve">Заполнение поля вручную.</w:t>
            </w:r>
            <w:r/>
          </w:p>
        </w:tc>
      </w:tr>
      <w:tr>
        <w:trPr/>
        <w:tc>
          <w:tcPr>
            <w:shd w:val="clear" w:fill="auto" w:color="auto"/>
            <w:tcW w:w="1137" w:type="pct"/>
            <w:textDirection w:val="lrTb"/>
            <w:noWrap w:val="false"/>
          </w:tcPr>
          <w:p>
            <w:pPr>
              <w:pStyle w:val="1005"/>
              <w:ind w:left="57" w:right="57"/>
            </w:pPr>
            <w:r>
              <w:t xml:space="preserve">Дата</w:t>
            </w:r>
            <w:r/>
          </w:p>
        </w:tc>
        <w:tc>
          <w:tcPr>
            <w:shd w:val="clear" w:fill="auto" w:color="auto"/>
            <w:tcW w:w="3863" w:type="pct"/>
            <w:textDirection w:val="lrTb"/>
            <w:noWrap w:val="false"/>
          </w:tcPr>
          <w:p>
            <w:pPr>
              <w:pStyle w:val="1005"/>
              <w:ind w:left="57" w:right="57"/>
            </w:pPr>
            <w:r>
              <w:t xml:space="preserve">Заполнение поля вручную или выбором из календаря.</w:t>
            </w:r>
            <w:r/>
          </w:p>
        </w:tc>
      </w:tr>
      <w:tr>
        <w:trPr/>
        <w:tc>
          <w:tcPr>
            <w:shd w:val="clear" w:fill="auto" w:color="auto"/>
            <w:tcW w:w="1137" w:type="pct"/>
            <w:textDirection w:val="lrTb"/>
            <w:noWrap w:val="false"/>
          </w:tcPr>
          <w:p>
            <w:pPr>
              <w:pStyle w:val="1005"/>
              <w:ind w:left="57" w:right="57"/>
            </w:pPr>
            <w:r>
              <w:t xml:space="preserve">Вид</w:t>
            </w:r>
            <w:r/>
          </w:p>
        </w:tc>
        <w:tc>
          <w:tcPr>
            <w:shd w:val="clear" w:fill="auto" w:color="auto"/>
            <w:tcW w:w="3863" w:type="pct"/>
            <w:textDirection w:val="lrTb"/>
            <w:noWrap w:val="false"/>
          </w:tcPr>
          <w:p>
            <w:pPr>
              <w:pStyle w:val="1005"/>
              <w:ind w:left="57" w:right="57"/>
            </w:pPr>
            <w:r>
              <w:t xml:space="preserve">Для АЗВ и АЗП:</w:t>
            </w:r>
            <w:r/>
          </w:p>
          <w:p>
            <w:pPr>
              <w:pStyle w:val="1005"/>
              <w:ind w:left="57" w:right="57"/>
            </w:pPr>
            <w:r>
              <w:t xml:space="preserve">Заполнение поля выбором из выпадающего списка:</w:t>
            </w:r>
            <w:r/>
          </w:p>
          <w:p>
            <w:pPr>
              <w:pStyle w:val="1007"/>
            </w:pPr>
            <w:r>
              <w:t xml:space="preserve">«расчеты, связанные с предварительной оплатой по контракту»; </w:t>
            </w:r>
            <w:r/>
          </w:p>
          <w:p>
            <w:pPr>
              <w:pStyle w:val="1007"/>
            </w:pPr>
            <w:r>
              <w:t xml:space="preserve">«расчеты, связанные с исполнением контракта».</w:t>
            </w:r>
            <w:r/>
          </w:p>
          <w:p>
            <w:pPr>
              <w:pStyle w:val="1005"/>
              <w:ind w:left="57" w:right="57"/>
            </w:pPr>
            <w:r>
              <w:t xml:space="preserve">Для АЗВ и АЗП:</w:t>
            </w:r>
            <w:r/>
          </w:p>
          <w:p>
            <w:pPr>
              <w:pStyle w:val="1005"/>
              <w:ind w:left="57" w:right="57"/>
            </w:pPr>
            <w:r>
              <w:t xml:space="preserve">По умолчанию указывается значение «расчеты, связанные с предварительной оплатой по контракту».</w:t>
            </w:r>
            <w:r/>
          </w:p>
        </w:tc>
      </w:tr>
      <w:tr>
        <w:trPr/>
        <w:tc>
          <w:tcPr>
            <w:shd w:val="clear" w:fill="auto" w:color="auto"/>
            <w:tcW w:w="1137" w:type="pct"/>
            <w:textDirection w:val="lrTb"/>
            <w:noWrap w:val="false"/>
          </w:tcPr>
          <w:p>
            <w:pPr>
              <w:pStyle w:val="1005"/>
              <w:ind w:left="57" w:right="57"/>
            </w:pPr>
            <w:r>
              <w:t xml:space="preserve">Срок действия</w:t>
            </w:r>
            <w:r/>
          </w:p>
        </w:tc>
        <w:tc>
          <w:tcPr>
            <w:shd w:val="clear" w:fill="auto" w:color="auto"/>
            <w:tcW w:w="3863" w:type="pct"/>
            <w:textDirection w:val="lrTb"/>
            <w:noWrap w:val="false"/>
          </w:tcPr>
          <w:p>
            <w:pPr>
              <w:pStyle w:val="1005"/>
              <w:ind w:left="57" w:right="57"/>
            </w:pPr>
            <w:r>
              <w:t xml:space="preserve">Заполнение поля вручную или выбором из календаря.</w:t>
            </w:r>
            <w:r/>
          </w:p>
        </w:tc>
      </w:tr>
      <w:tr>
        <w:trPr/>
        <w:tc>
          <w:tcPr>
            <w:shd w:val="clear" w:fill="auto" w:color="auto"/>
            <w:tcW w:w="1137" w:type="pct"/>
            <w:textDirection w:val="lrTb"/>
            <w:noWrap w:val="false"/>
          </w:tcPr>
          <w:p>
            <w:pPr>
              <w:pStyle w:val="1005"/>
              <w:ind w:left="57" w:right="57"/>
            </w:pPr>
            <w:r>
              <w:t xml:space="preserve">Сумма </w:t>
            </w:r>
            <w:r/>
          </w:p>
        </w:tc>
        <w:tc>
          <w:tcPr>
            <w:shd w:val="clear" w:fill="auto" w:color="auto"/>
            <w:tcW w:w="3863" w:type="pct"/>
            <w:textDirection w:val="lrTb"/>
            <w:noWrap w:val="false"/>
          </w:tcPr>
          <w:p>
            <w:pPr>
              <w:pStyle w:val="1005"/>
              <w:ind w:left="57" w:right="57"/>
            </w:pPr>
            <w:r>
              <w:t xml:space="preserve">Заполнение поля вручную.</w:t>
            </w:r>
            <w:r/>
          </w:p>
        </w:tc>
      </w:tr>
    </w:tbl>
    <w:p>
      <w:pPr>
        <w:pStyle w:val="994"/>
      </w:pPr>
      <w:r>
        <w:t xml:space="preserve">ЭФ документа «</w:t>
      </w:r>
      <w:r>
        <w:t xml:space="preserve">Заявление на выдачу (перевод, отзыв) Казначейского обеспечения обязательств</w:t>
      </w:r>
      <w:r>
        <w:t xml:space="preserve">», закладки «Сведения о документе-основании</w:t>
      </w:r>
      <w:r>
        <w:t xml:space="preserve">»</w:t>
      </w:r>
      <w:r>
        <w:t xml:space="preserve"> </w:t>
      </w:r>
      <w:r>
        <w:t xml:space="preserve">представлена </w:t>
      </w:r>
      <w:r>
        <w:t xml:space="preserve">н</w:t>
      </w:r>
      <w:r>
        <w:t xml:space="preserve">а рисунке</w:t>
      </w:r>
      <w:r>
        <w:t xml:space="preserve"> </w:t>
      </w:r>
      <w:r>
        <w:fldChar w:fldCharType="begin"/>
      </w:r>
      <w:r>
        <w:instrText xml:space="preserve"> REF _Ref454348254 \h </w:instrText>
      </w:r>
      <w:r>
        <w:fldChar w:fldCharType="separate"/>
      </w:r>
      <w:r>
        <w:t xml:space="preserve">99</w:t>
      </w:r>
      <w:r>
        <w:fldChar w:fldCharType="end"/>
      </w:r>
      <w:r>
        <w:t xml:space="preserve">. </w:t>
      </w:r>
      <w:r/>
    </w:p>
    <w:p>
      <w:pPr>
        <w:pStyle w:val="982"/>
      </w:pPr>
      <w:r>
        <mc:AlternateContent>
          <mc:Choice Requires="wpg">
            <w:drawing>
              <wp:inline xmlns:wp="http://schemas.openxmlformats.org/drawingml/2006/wordprocessingDrawing" distT="0" distB="0" distL="0" distR="0">
                <wp:extent cx="6126480" cy="1554480"/>
                <wp:effectExtent l="0" t="0" r="0" b="0"/>
                <wp:docPr id="17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65"/>
                        <a:srcRect l="0" t="0" r="1790" b="0"/>
                        <a:stretch/>
                      </pic:blipFill>
                      <pic:spPr bwMode="auto">
                        <a:xfrm>
                          <a:off x="0" y="0"/>
                          <a:ext cx="6126480" cy="15544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 o:spid="_x0000_s173" type="#_x0000_t75" style="mso-wrap-distance-left:0.0pt;mso-wrap-distance-top:0.0pt;mso-wrap-distance-right:0.0pt;mso-wrap-distance-bottom:0.0pt;width:482.4pt;height:122.4pt;" stroked="f">
                <v:path textboxrect="0,0,0,0"/>
                <v:imagedata r:id="rId165" o:title=""/>
              </v:shape>
            </w:pict>
          </mc:Fallback>
        </mc:AlternateContent>
      </w:r>
      <w:r/>
    </w:p>
    <w:p>
      <w:pPr>
        <w:pStyle w:val="983"/>
      </w:pPr>
      <w:r>
        <w:fldChar w:fldCharType="begin"/>
      </w:r>
      <w:r>
        <w:instrText xml:space="preserve"> SEQ Рисунок \* ARABIC </w:instrText>
      </w:r>
      <w:r>
        <w:fldChar w:fldCharType="separate"/>
      </w:r>
      <w:bookmarkStart w:id="830" w:name="_Ref454348254"/>
      <w:r/>
      <w:bookmarkStart w:id="831" w:name="_Toc52956178"/>
      <w:r/>
      <w:bookmarkStart w:id="832" w:name="_Toc88819484"/>
      <w:r>
        <w:t xml:space="preserve">99</w:t>
      </w:r>
      <w:bookmarkEnd w:id="830"/>
      <w:r>
        <w:fldChar w:fldCharType="end"/>
      </w:r>
      <w:r>
        <w:t xml:space="preserve">. ЭФ документа </w:t>
      </w:r>
      <w:r>
        <w:t xml:space="preserve">«</w:t>
      </w:r>
      <w:r>
        <w:t xml:space="preserve">Заявление на выдачу (перевод, отзыв) Казначейского обеспечения обязательств</w:t>
      </w:r>
      <w:r>
        <w:t xml:space="preserve">», закладки «</w:t>
      </w:r>
      <w:r>
        <w:t xml:space="preserve"> </w:t>
      </w:r>
      <w:r>
        <w:t xml:space="preserve">Сведения о документе-основании»</w:t>
      </w:r>
      <w:bookmarkEnd w:id="831"/>
      <w:r/>
      <w:bookmarkEnd w:id="832"/>
      <w:r/>
      <w:r/>
    </w:p>
    <w:p>
      <w:pPr>
        <w:pStyle w:val="994"/>
      </w:pPr>
      <w:r>
        <w:t xml:space="preserve">Перечень полей документа </w:t>
      </w:r>
      <w:r>
        <w:t xml:space="preserve">«</w:t>
      </w:r>
      <w:r>
        <w:t xml:space="preserve">Заявление на выдачу (перевод, отзыв) Казначейского обеспечения обязательств</w:t>
      </w:r>
      <w:r>
        <w:t xml:space="preserve">», закладки «Сведения о документе-основании» </w:t>
      </w:r>
      <w:r>
        <w:t xml:space="preserve">приведен в та</w:t>
      </w:r>
      <w:r>
        <w:t xml:space="preserve">б</w:t>
      </w:r>
      <w:r>
        <w:t xml:space="preserve">лице</w:t>
      </w:r>
      <w:r>
        <w:t xml:space="preserve"> </w:t>
      </w:r>
      <w:r>
        <w:fldChar w:fldCharType="begin"/>
      </w:r>
      <w:r>
        <w:instrText xml:space="preserve"> REF _Ref454799963 \h </w:instrText>
      </w:r>
      <w:r>
        <w:fldChar w:fldCharType="separate"/>
      </w:r>
      <w:r>
        <w:t xml:space="preserve">51</w:t>
      </w:r>
      <w:r>
        <w:fldChar w:fldCharType="end"/>
      </w:r>
      <w:r>
        <w:t xml:space="preserve">.</w:t>
      </w:r>
      <w:r/>
    </w:p>
    <w:p>
      <w:pPr>
        <w:pStyle w:val="993"/>
      </w:pPr>
      <w:r>
        <w:fldChar w:fldCharType="begin"/>
      </w:r>
      <w:r>
        <w:instrText xml:space="preserve"> SEQ Таблица \* ARABIC </w:instrText>
      </w:r>
      <w:r>
        <w:fldChar w:fldCharType="separate"/>
      </w:r>
      <w:bookmarkStart w:id="833" w:name="_Ref454799963"/>
      <w:r/>
      <w:bookmarkStart w:id="834" w:name="_Toc52955890"/>
      <w:r/>
      <w:bookmarkStart w:id="835" w:name="_Toc88819237"/>
      <w:r>
        <w:t xml:space="preserve">51</w:t>
      </w:r>
      <w:bookmarkEnd w:id="833"/>
      <w:r>
        <w:fldChar w:fldCharType="end"/>
      </w:r>
      <w:r>
        <w:t xml:space="preserve">. Описание полей документа </w:t>
      </w:r>
      <w:r>
        <w:t xml:space="preserve">«</w:t>
      </w:r>
      <w:r>
        <w:t xml:space="preserve">Заявление на выдачу (перевод, отзыв) Казначейского обеспечения обязательств</w:t>
      </w:r>
      <w:r>
        <w:t xml:space="preserve">», закладки «Сведения о документе-основании»</w:t>
      </w:r>
      <w:bookmarkEnd w:id="834"/>
      <w:r/>
      <w:bookmarkEnd w:id="835"/>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816"/>
        <w:gridCol w:w="6936"/>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44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556"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Сведения о документе-основании</w:t>
            </w:r>
            <w:r>
              <w:t xml:space="preserve">»</w:t>
            </w:r>
            <w:r>
              <w:t xml:space="preserve"> </w:t>
            </w:r>
            <w:r>
              <w:t xml:space="preserve">не заполняется в случае вида заявления (код) = 03 (кроме полей «Код по БК» и «Код объекта ФАИП») </w:t>
            </w:r>
            <w:r>
              <w:t xml:space="preserve">или 04</w:t>
            </w:r>
            <w:r/>
          </w:p>
        </w:tc>
      </w:tr>
      <w:tr>
        <w:trPr/>
        <w:tc>
          <w:tcPr>
            <w:shd w:val="clear" w:fill="auto" w:color="auto"/>
            <w:tcW w:w="1444" w:type="pct"/>
            <w:textDirection w:val="lrTb"/>
            <w:noWrap w:val="false"/>
          </w:tcPr>
          <w:p>
            <w:pPr>
              <w:pStyle w:val="1005"/>
              <w:ind w:left="57" w:right="57"/>
            </w:pPr>
            <w:r>
              <w:t xml:space="preserve">Код строки</w:t>
            </w:r>
            <w:r/>
          </w:p>
        </w:tc>
        <w:tc>
          <w:tcPr>
            <w:shd w:val="clear" w:fill="auto" w:color="auto"/>
            <w:tcW w:w="3556" w:type="pct"/>
            <w:textDirection w:val="lrTb"/>
            <w:noWrap w:val="false"/>
          </w:tcPr>
          <w:p>
            <w:pPr>
              <w:pStyle w:val="1005"/>
              <w:ind w:left="57" w:right="57"/>
            </w:pPr>
            <w:r>
              <w:t xml:space="preserve">Значение поля заполнено по умолчанию «01».</w:t>
            </w:r>
            <w:r/>
          </w:p>
        </w:tc>
      </w:tr>
      <w:tr>
        <w:trPr/>
        <w:tc>
          <w:tcPr>
            <w:shd w:val="clear" w:fill="auto" w:color="auto"/>
            <w:tcW w:w="1444" w:type="pct"/>
            <w:textDirection w:val="lrTb"/>
            <w:noWrap w:val="false"/>
          </w:tcPr>
          <w:p>
            <w:pPr>
              <w:pStyle w:val="1005"/>
              <w:ind w:left="57" w:right="57"/>
            </w:pPr>
            <w:r>
              <w:t xml:space="preserve">Наименование</w:t>
            </w:r>
            <w:r/>
          </w:p>
        </w:tc>
        <w:tc>
          <w:tcPr>
            <w:shd w:val="clear" w:fill="auto" w:color="auto"/>
            <w:tcW w:w="3556" w:type="pct"/>
            <w:textDirection w:val="lrTb"/>
            <w:noWrap w:val="false"/>
          </w:tcPr>
          <w:p>
            <w:pPr>
              <w:pStyle w:val="1005"/>
              <w:ind w:left="57" w:right="57"/>
            </w:pPr>
            <w:r>
              <w:t xml:space="preserve">Первичное заполнение – указывается значение «пусто».</w:t>
            </w:r>
            <w:r/>
          </w:p>
          <w:p>
            <w:pPr>
              <w:pStyle w:val="1005"/>
              <w:ind w:left="57" w:right="57"/>
            </w:pPr>
            <w:r>
              <w:t xml:space="preserve">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r/>
          </w:p>
          <w:p>
            <w:pPr>
              <w:pStyle w:val="1005"/>
              <w:ind w:left="57" w:right="57"/>
            </w:pPr>
            <w:r>
              <w:t xml:space="preserve">Для АЗВ и АЗП обязательно для заполнения.</w:t>
            </w:r>
            <w:r/>
          </w:p>
          <w:p>
            <w:pPr>
              <w:pStyle w:val="1005"/>
              <w:ind w:left="57" w:right="57"/>
            </w:pPr>
            <w:r>
              <w:t xml:space="preserve">Для АЗИ и АЗО не доступно для заполнения.</w:t>
            </w:r>
            <w:r/>
          </w:p>
        </w:tc>
      </w:tr>
      <w:tr>
        <w:trPr/>
        <w:tc>
          <w:tcPr>
            <w:shd w:val="clear" w:fill="auto" w:color="auto"/>
            <w:tcW w:w="1444" w:type="pct"/>
            <w:textDirection w:val="lrTb"/>
            <w:noWrap w:val="false"/>
          </w:tcPr>
          <w:p>
            <w:pPr>
              <w:pStyle w:val="1005"/>
              <w:ind w:left="57" w:right="57"/>
            </w:pPr>
            <w:r>
              <w:t xml:space="preserve">Номер</w:t>
            </w:r>
            <w:r/>
          </w:p>
        </w:tc>
        <w:tc>
          <w:tcPr>
            <w:shd w:val="clear" w:fill="auto" w:color="auto"/>
            <w:tcW w:w="3556" w:type="pct"/>
            <w:textDirection w:val="lrTb"/>
            <w:noWrap w:val="false"/>
          </w:tcPr>
          <w:p>
            <w:pPr>
              <w:pStyle w:val="1005"/>
              <w:ind w:left="57" w:right="57"/>
            </w:pPr>
            <w:r>
              <w:t xml:space="preserve">Заполнение поля вручную.</w:t>
            </w:r>
            <w:r/>
          </w:p>
        </w:tc>
      </w:tr>
      <w:tr>
        <w:trPr/>
        <w:tc>
          <w:tcPr>
            <w:shd w:val="clear" w:fill="auto" w:color="auto"/>
            <w:tcW w:w="1444" w:type="pct"/>
            <w:textDirection w:val="lrTb"/>
            <w:noWrap w:val="false"/>
          </w:tcPr>
          <w:p>
            <w:pPr>
              <w:pStyle w:val="1005"/>
              <w:ind w:left="57" w:right="57"/>
            </w:pPr>
            <w:r>
              <w:t xml:space="preserve">Дата</w:t>
            </w:r>
            <w:r/>
          </w:p>
        </w:tc>
        <w:tc>
          <w:tcPr>
            <w:shd w:val="clear" w:fill="auto" w:color="auto"/>
            <w:tcW w:w="3556" w:type="pct"/>
            <w:textDirection w:val="lrTb"/>
            <w:noWrap w:val="false"/>
          </w:tcPr>
          <w:p>
            <w:pPr>
              <w:pStyle w:val="1005"/>
              <w:ind w:left="57" w:right="57"/>
            </w:pPr>
            <w:r>
              <w:t xml:space="preserve">Заполнение поля вручную или выбором из календаря.</w:t>
            </w:r>
            <w:r/>
          </w:p>
        </w:tc>
      </w:tr>
      <w:tr>
        <w:trPr/>
        <w:tc>
          <w:tcPr>
            <w:shd w:val="clear" w:fill="auto" w:color="auto"/>
            <w:tcW w:w="1444" w:type="pct"/>
            <w:textDirection w:val="lrTb"/>
            <w:noWrap w:val="false"/>
          </w:tcPr>
          <w:p>
            <w:pPr>
              <w:pStyle w:val="1005"/>
              <w:ind w:left="57" w:right="57"/>
            </w:pPr>
            <w:r>
              <w:t xml:space="preserve">Идентификатор</w:t>
            </w:r>
            <w:r/>
          </w:p>
        </w:tc>
        <w:tc>
          <w:tcPr>
            <w:shd w:val="clear" w:fill="auto" w:color="auto"/>
            <w:tcW w:w="3556" w:type="pct"/>
            <w:textDirection w:val="lrTb"/>
            <w:noWrap w:val="false"/>
          </w:tcPr>
          <w:p>
            <w:pPr>
              <w:pStyle w:val="1005"/>
              <w:ind w:left="57" w:right="57"/>
            </w:pPr>
            <w:r>
              <w:t xml:space="preserve">Заполнение поля вручную.</w:t>
            </w:r>
            <w:r/>
          </w:p>
        </w:tc>
      </w:tr>
      <w:tr>
        <w:trPr/>
        <w:tc>
          <w:tcPr>
            <w:shd w:val="clear" w:fill="auto" w:color="auto"/>
            <w:tcW w:w="1444" w:type="pct"/>
            <w:textDirection w:val="lrTb"/>
            <w:noWrap w:val="false"/>
          </w:tcPr>
          <w:p>
            <w:pPr>
              <w:pStyle w:val="1005"/>
              <w:ind w:left="57" w:right="57"/>
            </w:pPr>
            <w:r>
              <w:t xml:space="preserve">Номер БО</w:t>
            </w:r>
            <w:r/>
          </w:p>
        </w:tc>
        <w:tc>
          <w:tcPr>
            <w:shd w:val="clear" w:fill="auto" w:color="auto"/>
            <w:tcW w:w="3556" w:type="pct"/>
            <w:textDirection w:val="lrTb"/>
            <w:noWrap w:val="false"/>
          </w:tcPr>
          <w:p>
            <w:pPr>
              <w:pStyle w:val="1005"/>
              <w:ind w:left="57" w:right="57"/>
            </w:pPr>
            <w:r>
              <w:t xml:space="preserve">Заполнение поля вручную.</w:t>
            </w:r>
            <w:r/>
          </w:p>
        </w:tc>
      </w:tr>
      <w:tr>
        <w:trPr/>
        <w:tc>
          <w:tcPr>
            <w:shd w:val="clear" w:fill="auto" w:color="auto"/>
            <w:tcW w:w="1444" w:type="pct"/>
            <w:textDirection w:val="lrTb"/>
            <w:noWrap w:val="false"/>
          </w:tcPr>
          <w:p>
            <w:pPr>
              <w:pStyle w:val="1005"/>
              <w:ind w:left="57" w:right="57"/>
            </w:pPr>
            <w:r>
              <w:t xml:space="preserve">Код </w:t>
            </w:r>
            <w:r>
              <w:t xml:space="preserve">ОКС </w:t>
            </w:r>
            <w:r>
              <w:t xml:space="preserve">(КМИ)</w:t>
            </w:r>
            <w:r/>
          </w:p>
        </w:tc>
        <w:tc>
          <w:tcPr>
            <w:shd w:val="clear" w:fill="auto" w:color="auto"/>
            <w:tcW w:w="3556" w:type="pct"/>
            <w:textDirection w:val="lrTb"/>
            <w:noWrap w:val="false"/>
          </w:tcPr>
          <w:p>
            <w:pPr>
              <w:pStyle w:val="1005"/>
              <w:ind w:left="57" w:right="57"/>
            </w:pPr>
            <w:r>
              <w:t xml:space="preserve">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r/>
          </w:p>
          <w:p>
            <w:pPr>
              <w:pStyle w:val="1005"/>
              <w:ind w:left="57" w:right="57"/>
            </w:pPr>
            <w:r>
              <w:t xml:space="preserve">Требуется выбирать актуальную запись справочника на текущий операционный день (в статусе 801). </w:t>
            </w:r>
            <w:r/>
          </w:p>
          <w:p>
            <w:pPr>
              <w:pStyle w:val="1005"/>
              <w:ind w:left="57" w:right="57"/>
            </w:pPr>
            <w:r>
              <w:t xml:space="preserve">В АЗП:</w:t>
            </w:r>
            <w:r/>
          </w:p>
          <w:p>
            <w:pPr>
              <w:pStyle w:val="1007"/>
              <w:numPr>
                <w:ilvl w:val="0"/>
                <w:numId w:val="137"/>
              </w:numPr>
            </w:pPr>
            <w:r>
              <w:t xml:space="preserve">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r/>
          </w:p>
          <w:p>
            <w:pPr>
              <w:pStyle w:val="1007"/>
            </w:pPr>
            <w:r>
              <w:t xml:space="preserve">по строке «02» не заполняется.</w:t>
            </w:r>
            <w:r/>
          </w:p>
        </w:tc>
      </w:tr>
      <w:tr>
        <w:trPr/>
        <w:tc>
          <w:tcPr>
            <w:shd w:val="clear" w:fill="auto" w:color="auto"/>
            <w:tcW w:w="1444" w:type="pct"/>
            <w:textDirection w:val="lrTb"/>
            <w:noWrap w:val="false"/>
          </w:tcPr>
          <w:p>
            <w:pPr>
              <w:pStyle w:val="1005"/>
              <w:ind w:left="57" w:right="57"/>
            </w:pPr>
            <w:r>
              <w:t xml:space="preserve">Код по БК</w:t>
            </w:r>
            <w:r/>
          </w:p>
        </w:tc>
        <w:tc>
          <w:tcPr>
            <w:shd w:val="clear" w:fill="auto" w:color="auto"/>
            <w:tcW w:w="3556" w:type="pct"/>
            <w:textDirection w:val="lrTb"/>
            <w:noWrap w:val="false"/>
          </w:tcPr>
          <w:p>
            <w:pPr>
              <w:pStyle w:val="1005"/>
              <w:ind w:left="57" w:right="57"/>
            </w:pPr>
            <w:r>
              <w:t xml:space="preserve">Заполнение поля вручную или выбором из справочника «КБК».</w:t>
            </w:r>
            <w:r/>
          </w:p>
        </w:tc>
      </w:tr>
      <w:tr>
        <w:trPr/>
        <w:tc>
          <w:tcPr>
            <w:shd w:val="clear" w:fill="auto" w:color="auto"/>
            <w:tcW w:w="1444" w:type="pct"/>
            <w:textDirection w:val="lrTb"/>
            <w:noWrap w:val="false"/>
          </w:tcPr>
          <w:p>
            <w:pPr>
              <w:pStyle w:val="1005"/>
              <w:ind w:left="57" w:right="57"/>
            </w:pPr>
            <w:r>
              <w:t xml:space="preserve">НДС</w:t>
            </w:r>
            <w:r/>
          </w:p>
        </w:tc>
        <w:tc>
          <w:tcPr>
            <w:shd w:val="clear" w:fill="auto" w:color="auto"/>
            <w:tcW w:w="3556" w:type="pct"/>
            <w:textDirection w:val="lrTb"/>
            <w:noWrap w:val="false"/>
          </w:tcPr>
          <w:p>
            <w:pPr>
              <w:pStyle w:val="1005"/>
              <w:ind w:left="57" w:right="57"/>
            </w:pPr>
            <w:r>
              <w:t xml:space="preserve">Заполнение поля вручную.</w:t>
            </w:r>
            <w:r/>
          </w:p>
          <w:p>
            <w:pPr>
              <w:pStyle w:val="1005"/>
              <w:ind w:left="57" w:right="57"/>
            </w:pPr>
            <w:r>
              <w:t xml:space="preserve">Указывается процент суммы НДС.</w:t>
            </w:r>
            <w:r/>
          </w:p>
        </w:tc>
      </w:tr>
      <w:tr>
        <w:trPr/>
        <w:tc>
          <w:tcPr>
            <w:shd w:val="clear" w:fill="auto" w:color="auto"/>
            <w:tcW w:w="1444" w:type="pct"/>
            <w:textDirection w:val="lrTb"/>
            <w:noWrap w:val="false"/>
          </w:tcPr>
          <w:p>
            <w:pPr>
              <w:pStyle w:val="1005"/>
              <w:ind w:left="57" w:right="57"/>
            </w:pPr>
            <w:r>
              <w:t xml:space="preserve">Код строки</w:t>
            </w:r>
            <w:r/>
          </w:p>
        </w:tc>
        <w:tc>
          <w:tcPr>
            <w:shd w:val="clear" w:fill="auto" w:color="auto"/>
            <w:tcW w:w="3556" w:type="pct"/>
            <w:textDirection w:val="lrTb"/>
            <w:noWrap w:val="false"/>
          </w:tcPr>
          <w:p>
            <w:pPr>
              <w:pStyle w:val="1005"/>
              <w:ind w:left="57" w:right="57"/>
            </w:pPr>
            <w:r>
              <w:t xml:space="preserve">Значение поля заполнено по умолчанию «02».</w:t>
            </w:r>
            <w:r/>
          </w:p>
        </w:tc>
      </w:tr>
      <w:tr>
        <w:trPr/>
        <w:tc>
          <w:tcPr>
            <w:shd w:val="clear" w:fill="auto" w:color="auto"/>
            <w:tcW w:w="1444" w:type="pct"/>
            <w:textDirection w:val="lrTb"/>
            <w:noWrap w:val="false"/>
          </w:tcPr>
          <w:p>
            <w:pPr>
              <w:pStyle w:val="1005"/>
              <w:ind w:left="57" w:right="57"/>
            </w:pPr>
            <w:r>
              <w:t xml:space="preserve">Наименование</w:t>
            </w:r>
            <w:r/>
          </w:p>
        </w:tc>
        <w:tc>
          <w:tcPr>
            <w:shd w:val="clear" w:fill="auto" w:color="auto"/>
            <w:tcW w:w="3556" w:type="pct"/>
            <w:textDirection w:val="lrTb"/>
            <w:noWrap w:val="false"/>
          </w:tcPr>
          <w:p>
            <w:pPr>
              <w:pStyle w:val="1005"/>
              <w:ind w:left="57" w:right="57"/>
            </w:pPr>
            <w:r>
              <w:t xml:space="preserve">Первичное заполнение – указывается значение «пусто».</w:t>
            </w:r>
            <w:r/>
          </w:p>
          <w:p>
            <w:pPr>
              <w:pStyle w:val="1005"/>
              <w:ind w:left="57" w:right="57"/>
            </w:pPr>
            <w:r>
              <w:t xml:space="preserve">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r/>
          </w:p>
          <w:p>
            <w:pPr>
              <w:pStyle w:val="1005"/>
              <w:ind w:left="57" w:right="57"/>
            </w:pPr>
            <w:r>
              <w:t xml:space="preserve">Для АЗВ и АЗП обязательно для заполнения.</w:t>
            </w:r>
            <w:r/>
          </w:p>
          <w:p>
            <w:pPr>
              <w:pStyle w:val="1005"/>
              <w:ind w:left="57" w:right="57"/>
            </w:pPr>
            <w:r>
              <w:t xml:space="preserve">Для АЗИ и АЗО не доступно для заполнения.</w:t>
            </w:r>
            <w:r/>
          </w:p>
        </w:tc>
      </w:tr>
      <w:tr>
        <w:trPr/>
        <w:tc>
          <w:tcPr>
            <w:shd w:val="clear" w:fill="auto" w:color="auto"/>
            <w:tcW w:w="1444" w:type="pct"/>
            <w:textDirection w:val="lrTb"/>
            <w:noWrap w:val="false"/>
          </w:tcPr>
          <w:p>
            <w:pPr>
              <w:pStyle w:val="1005"/>
              <w:ind w:left="57" w:right="57"/>
            </w:pPr>
            <w:r>
              <w:t xml:space="preserve">Номер</w:t>
            </w:r>
            <w:r/>
          </w:p>
        </w:tc>
        <w:tc>
          <w:tcPr>
            <w:shd w:val="clear" w:fill="auto" w:color="auto"/>
            <w:tcW w:w="3556" w:type="pct"/>
            <w:textDirection w:val="lrTb"/>
            <w:noWrap w:val="false"/>
          </w:tcPr>
          <w:p>
            <w:pPr>
              <w:pStyle w:val="1005"/>
              <w:ind w:left="57" w:right="57"/>
            </w:pPr>
            <w:r>
              <w:t xml:space="preserve">Заполнение поля вручную.</w:t>
            </w:r>
            <w:r/>
          </w:p>
        </w:tc>
      </w:tr>
      <w:tr>
        <w:trPr/>
        <w:tc>
          <w:tcPr>
            <w:shd w:val="clear" w:fill="auto" w:color="auto"/>
            <w:tcW w:w="1444" w:type="pct"/>
            <w:textDirection w:val="lrTb"/>
            <w:noWrap w:val="false"/>
          </w:tcPr>
          <w:p>
            <w:pPr>
              <w:pStyle w:val="1005"/>
              <w:ind w:left="57" w:right="57"/>
            </w:pPr>
            <w:r>
              <w:t xml:space="preserve">Дата</w:t>
            </w:r>
            <w:r/>
          </w:p>
        </w:tc>
        <w:tc>
          <w:tcPr>
            <w:shd w:val="clear" w:fill="auto" w:color="auto"/>
            <w:tcW w:w="3556" w:type="pct"/>
            <w:textDirection w:val="lrTb"/>
            <w:noWrap w:val="false"/>
          </w:tcPr>
          <w:p>
            <w:pPr>
              <w:pStyle w:val="1005"/>
              <w:ind w:left="57" w:right="57"/>
            </w:pPr>
            <w:r>
              <w:t xml:space="preserve">Заполнение поля вручную или выбором из календаря.</w:t>
            </w:r>
            <w:r/>
          </w:p>
        </w:tc>
      </w:tr>
      <w:tr>
        <w:trPr/>
        <w:tc>
          <w:tcPr>
            <w:shd w:val="clear" w:fill="auto" w:color="auto"/>
            <w:tcW w:w="1444" w:type="pct"/>
            <w:textDirection w:val="lrTb"/>
            <w:noWrap w:val="false"/>
          </w:tcPr>
          <w:p>
            <w:pPr>
              <w:pStyle w:val="1005"/>
              <w:ind w:left="57" w:right="57"/>
            </w:pPr>
            <w:r>
              <w:t xml:space="preserve">НДС</w:t>
            </w:r>
            <w:r/>
          </w:p>
        </w:tc>
        <w:tc>
          <w:tcPr>
            <w:shd w:val="clear" w:fill="auto" w:color="auto"/>
            <w:tcW w:w="3556" w:type="pct"/>
            <w:textDirection w:val="lrTb"/>
            <w:noWrap w:val="false"/>
          </w:tcPr>
          <w:p>
            <w:pPr>
              <w:pStyle w:val="1005"/>
              <w:ind w:left="57" w:right="57"/>
            </w:pPr>
            <w:r>
              <w:t xml:space="preserve">Заполнение поля вручную.</w:t>
            </w:r>
            <w:r/>
          </w:p>
          <w:p>
            <w:pPr>
              <w:pStyle w:val="1005"/>
              <w:ind w:left="57" w:right="57"/>
            </w:pPr>
            <w:r>
              <w:t xml:space="preserve">Указывается процент суммы НДС.</w:t>
            </w:r>
            <w:r/>
          </w:p>
        </w:tc>
      </w:tr>
      <w:tr>
        <w:trPr/>
        <w:tc>
          <w:tcPr>
            <w:shd w:val="clear" w:fill="auto" w:color="auto"/>
            <w:tcW w:w="1444" w:type="pct"/>
            <w:textDirection w:val="lrTb"/>
            <w:noWrap w:val="false"/>
          </w:tcPr>
          <w:p>
            <w:pPr>
              <w:pStyle w:val="1005"/>
              <w:ind w:left="57" w:right="57"/>
            </w:pPr>
            <w:r>
              <w:t xml:space="preserve">Предмет</w:t>
            </w:r>
            <w:r/>
          </w:p>
        </w:tc>
        <w:tc>
          <w:tcPr>
            <w:shd w:val="clear" w:fill="auto" w:color="auto"/>
            <w:tcW w:w="3556" w:type="pct"/>
            <w:textDirection w:val="lrTb"/>
            <w:noWrap w:val="false"/>
          </w:tcPr>
          <w:p>
            <w:pPr>
              <w:pStyle w:val="1005"/>
              <w:ind w:left="57" w:right="57"/>
            </w:pPr>
            <w:r>
              <w:t xml:space="preserve">Заполнение поля вручную.</w:t>
            </w:r>
            <w:r/>
          </w:p>
        </w:tc>
      </w:tr>
    </w:tbl>
    <w:p>
      <w:pPr>
        <w:pStyle w:val="994"/>
      </w:pPr>
      <w:r>
        <w:t xml:space="preserve">ЭФ документа </w:t>
      </w:r>
      <w:r>
        <w:t xml:space="preserve">«</w:t>
      </w:r>
      <w:r>
        <w:t xml:space="preserve">Заявление на выдачу (перевод, отзыв) Казначейского обеспечения обязательств</w:t>
      </w:r>
      <w:r>
        <w:t xml:space="preserve">», закладки «Реквизиты плательщика» </w:t>
      </w:r>
      <w:r>
        <w:t xml:space="preserve">представлена </w:t>
      </w:r>
      <w:r>
        <w:t xml:space="preserve">н</w:t>
      </w:r>
      <w:r>
        <w:t xml:space="preserve">а рисунке</w:t>
      </w:r>
      <w:r>
        <w:t xml:space="preserve"> </w:t>
      </w:r>
      <w:r>
        <w:fldChar w:fldCharType="begin"/>
      </w:r>
      <w:r>
        <w:instrText xml:space="preserve"> REF _Ref454348361 \h </w:instrText>
      </w:r>
      <w:r>
        <w:fldChar w:fldCharType="separate"/>
      </w:r>
      <w:r>
        <w:t xml:space="preserve">100</w:t>
      </w:r>
      <w:r>
        <w:fldChar w:fldCharType="end"/>
      </w:r>
      <w:r>
        <w:t xml:space="preserve">. </w:t>
      </w:r>
      <w:r/>
    </w:p>
    <w:p>
      <w:pPr>
        <w:pStyle w:val="982"/>
      </w:pPr>
      <w:r>
        <mc:AlternateContent>
          <mc:Choice Requires="wpg">
            <w:drawing>
              <wp:inline xmlns:wp="http://schemas.openxmlformats.org/drawingml/2006/wordprocessingDrawing" distT="0" distB="0" distL="0" distR="0">
                <wp:extent cx="6126480" cy="2011680"/>
                <wp:effectExtent l="0" t="0" r="0" b="0"/>
                <wp:docPr id="17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66"/>
                        <a:stretch/>
                      </pic:blipFill>
                      <pic:spPr bwMode="auto">
                        <a:xfrm>
                          <a:off x="0" y="0"/>
                          <a:ext cx="6126480" cy="20116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 o:spid="_x0000_s174" type="#_x0000_t75" style="mso-wrap-distance-left:0.0pt;mso-wrap-distance-top:0.0pt;mso-wrap-distance-right:0.0pt;mso-wrap-distance-bottom:0.0pt;width:482.4pt;height:158.4pt;" stroked="f">
                <v:path textboxrect="0,0,0,0"/>
                <v:imagedata r:id="rId166" o:title=""/>
              </v:shape>
            </w:pict>
          </mc:Fallback>
        </mc:AlternateContent>
      </w:r>
      <w:r/>
    </w:p>
    <w:p>
      <w:pPr>
        <w:pStyle w:val="983"/>
      </w:pPr>
      <w:r>
        <w:fldChar w:fldCharType="begin"/>
      </w:r>
      <w:r>
        <w:instrText xml:space="preserve"> SEQ Рисунок \* ARABIC </w:instrText>
      </w:r>
      <w:r>
        <w:fldChar w:fldCharType="separate"/>
      </w:r>
      <w:bookmarkStart w:id="836" w:name="_Ref454348361"/>
      <w:r/>
      <w:bookmarkStart w:id="837" w:name="_Toc52956179"/>
      <w:r/>
      <w:bookmarkStart w:id="838" w:name="_Toc88819485"/>
      <w:r>
        <w:t xml:space="preserve">100</w:t>
      </w:r>
      <w:bookmarkEnd w:id="836"/>
      <w:r>
        <w:fldChar w:fldCharType="end"/>
      </w:r>
      <w:r>
        <w:t xml:space="preserve">. ЭФ документа </w:t>
      </w:r>
      <w:r>
        <w:t xml:space="preserve">«</w:t>
      </w:r>
      <w:r>
        <w:t xml:space="preserve">Заявление на выдачу (перевод, отзыв) Казначейского обеспечения обязательств</w:t>
      </w:r>
      <w:r>
        <w:t xml:space="preserve">», закладки «Реквизиты плательщика»</w:t>
      </w:r>
      <w:bookmarkEnd w:id="837"/>
      <w:r/>
      <w:bookmarkEnd w:id="838"/>
      <w:r/>
      <w:r/>
    </w:p>
    <w:p>
      <w:r>
        <w:t xml:space="preserve">Перечень полей документа </w:t>
      </w:r>
      <w:r>
        <w:t xml:space="preserve">«</w:t>
      </w:r>
      <w:r>
        <w:t xml:space="preserve">Заявление на выдачу (перевод, отзыв) Казначейского обеспечения обязательств</w:t>
      </w:r>
      <w:r>
        <w:t xml:space="preserve">», закладки «Реквизиты плательщика» </w:t>
      </w:r>
      <w:r>
        <w:t xml:space="preserve">приведен в та</w:t>
      </w:r>
      <w:r>
        <w:t xml:space="preserve">б</w:t>
      </w:r>
      <w:r>
        <w:t xml:space="preserve">лице</w:t>
      </w:r>
      <w:r>
        <w:t xml:space="preserve"> </w:t>
      </w:r>
      <w:r>
        <w:fldChar w:fldCharType="begin"/>
      </w:r>
      <w:r>
        <w:instrText xml:space="preserve"> REF _Ref454801010 \h </w:instrText>
      </w:r>
      <w:r>
        <w:fldChar w:fldCharType="separate"/>
      </w:r>
      <w:r>
        <w:t xml:space="preserve">52</w:t>
      </w:r>
      <w:r>
        <w:fldChar w:fldCharType="end"/>
      </w:r>
      <w:r>
        <w:t xml:space="preserve">.</w:t>
      </w:r>
      <w:r/>
    </w:p>
    <w:p>
      <w:pPr>
        <w:pStyle w:val="993"/>
      </w:pPr>
      <w:r>
        <w:fldChar w:fldCharType="begin"/>
      </w:r>
      <w:r>
        <w:instrText xml:space="preserve"> SEQ Таблица \* ARABIC </w:instrText>
      </w:r>
      <w:r>
        <w:fldChar w:fldCharType="separate"/>
      </w:r>
      <w:bookmarkStart w:id="839" w:name="_Ref454801010"/>
      <w:r/>
      <w:bookmarkStart w:id="840" w:name="_Toc52955891"/>
      <w:r/>
      <w:bookmarkStart w:id="841" w:name="_Toc88819238"/>
      <w:r>
        <w:t xml:space="preserve">52</w:t>
      </w:r>
      <w:bookmarkEnd w:id="839"/>
      <w:r>
        <w:fldChar w:fldCharType="end"/>
      </w:r>
      <w:r>
        <w:t xml:space="preserve">. Описание полей документа </w:t>
      </w:r>
      <w:r>
        <w:t xml:space="preserve">«</w:t>
      </w:r>
      <w:r>
        <w:t xml:space="preserve">Заявление на выдачу (перевод, отзыв) Казначейского обеспечения обязательств</w:t>
      </w:r>
      <w:r>
        <w:t xml:space="preserve">», закладки «Реквизиты плательщика»</w:t>
      </w:r>
      <w:bookmarkEnd w:id="840"/>
      <w:r/>
      <w:bookmarkEnd w:id="841"/>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18"/>
        <w:gridCol w:w="7534"/>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13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63"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Закладка «Реквизиты плательщика»</w:t>
            </w:r>
            <w:r>
              <w:t xml:space="preserve"> </w:t>
            </w:r>
            <w:r>
              <w:t xml:space="preserve">не заполняется</w:t>
            </w:r>
            <w:r>
              <w:t xml:space="preserve">,</w:t>
            </w:r>
            <w:r>
              <w:t xml:space="preserve"> в случае представления вид</w:t>
            </w:r>
            <w:r>
              <w:t xml:space="preserve">а</w:t>
            </w:r>
            <w:r>
              <w:t xml:space="preserve"> заявления (код) = 04</w:t>
            </w:r>
            <w:r>
              <w:t xml:space="preserve">, д</w:t>
            </w:r>
            <w:r>
              <w:t xml:space="preserve">ля вида заявления (код)</w:t>
            </w:r>
            <w:r>
              <w:t xml:space="preserve"> </w:t>
            </w:r>
            <w:r>
              <w:t xml:space="preserve">=</w:t>
            </w:r>
            <w:r>
              <w:t xml:space="preserve"> </w:t>
            </w:r>
            <w:r>
              <w:t xml:space="preserve">03 </w:t>
            </w:r>
            <w:r>
              <w:t xml:space="preserve">не заполняются </w:t>
            </w:r>
            <w:r>
              <w:t xml:space="preserve">только поля блока «Плательщик»: код по Сводному реестр</w:t>
            </w:r>
            <w:r>
              <w:t xml:space="preserve">у</w:t>
            </w:r>
            <w:r>
              <w:t xml:space="preserve">, Номер лицевого счета</w:t>
            </w:r>
            <w:r/>
          </w:p>
        </w:tc>
      </w:tr>
      <w:tr>
        <w:trPr/>
        <w:tc>
          <w:tcPr>
            <w:gridSpan w:val="2"/>
            <w:shd w:val="clear" w:fill="auto" w:color="auto"/>
            <w:tcW w:w="5000" w:type="pct"/>
            <w:textDirection w:val="lrTb"/>
            <w:noWrap w:val="false"/>
          </w:tcPr>
          <w:p>
            <w:pPr>
              <w:pStyle w:val="1005"/>
              <w:ind w:left="57" w:right="57"/>
            </w:pPr>
            <w:r>
              <w:t xml:space="preserve">Группа</w:t>
            </w:r>
            <w:r>
              <w:t xml:space="preserve"> полей «Плательщик»</w:t>
            </w:r>
            <w:r/>
          </w:p>
        </w:tc>
      </w:tr>
      <w:tr>
        <w:trPr/>
        <w:tc>
          <w:tcPr>
            <w:shd w:val="clear" w:fill="auto" w:color="auto"/>
            <w:tcW w:w="1137" w:type="pct"/>
            <w:textDirection w:val="lrTb"/>
            <w:noWrap w:val="false"/>
          </w:tcPr>
          <w:p>
            <w:pPr>
              <w:pStyle w:val="1005"/>
              <w:ind w:left="57" w:right="57"/>
            </w:pPr>
            <w:r>
              <w:t xml:space="preserve">Наименование</w:t>
            </w:r>
            <w:r/>
          </w:p>
        </w:tc>
        <w:tc>
          <w:tcPr>
            <w:shd w:val="clear" w:fill="auto" w:color="auto"/>
            <w:tcW w:w="3863" w:type="pct"/>
            <w:textDirection w:val="lrTb"/>
            <w:noWrap w:val="false"/>
          </w:tcPr>
          <w:p>
            <w:pPr>
              <w:pStyle w:val="1005"/>
              <w:ind w:left="57" w:right="57"/>
            </w:pPr>
            <w:r>
              <w:t xml:space="preserve">Первичное заполнение – указывается значение равное значению поля «Н</w:t>
            </w:r>
            <w:r>
              <w:t xml:space="preserve">а</w:t>
            </w:r>
            <w:r>
              <w:t xml:space="preserve">именование </w:t>
            </w:r>
            <w:r>
              <w:t xml:space="preserve">ПБС</w:t>
            </w:r>
            <w:r>
              <w:t xml:space="preserve"> (организации)».</w:t>
            </w:r>
            <w:r/>
          </w:p>
          <w:p>
            <w:pPr>
              <w:pStyle w:val="1005"/>
              <w:ind w:left="57" w:right="57"/>
            </w:pPr>
            <w:r>
              <w:t xml:space="preserve">Заполнение поля вручную или выбор из соответствующего справочника СРРПБС/ПУБП/НУБП или СР:</w:t>
            </w:r>
            <w:r/>
          </w:p>
          <w:p>
            <w:pPr>
              <w:pStyle w:val="1008"/>
              <w:numPr>
                <w:ilvl w:val="0"/>
                <w:numId w:val="138"/>
              </w:numPr>
            </w:pPr>
            <w:r>
              <w:t xml:space="preserve">До даты завершения перехода на СР: </w:t>
            </w:r>
            <w:r/>
          </w:p>
          <w:p>
            <w:pPr>
              <w:pStyle w:val="1007"/>
            </w:pPr>
            <w:r>
              <w:t xml:space="preserve">н</w:t>
            </w:r>
            <w:r>
              <w:t xml:space="preserve">а АРМ НУБП: </w:t>
            </w:r>
            <w:r>
              <w:t xml:space="preserve">НУБП или СР</w:t>
            </w:r>
            <w:r>
              <w:t xml:space="preserve">.</w:t>
            </w:r>
            <w:r/>
          </w:p>
          <w:p>
            <w:pPr>
              <w:pStyle w:val="1008"/>
              <w:numPr>
                <w:ilvl w:val="0"/>
                <w:numId w:val="105"/>
              </w:numPr>
            </w:pPr>
            <w:r>
              <w:t xml:space="preserve">После даты завершения перехода на СР: код организации из СР.</w:t>
            </w:r>
            <w:r/>
          </w:p>
        </w:tc>
      </w:tr>
      <w:tr>
        <w:trPr/>
        <w:tc>
          <w:tcPr>
            <w:shd w:val="clear" w:fill="auto" w:color="auto"/>
            <w:tcW w:w="1137" w:type="pct"/>
            <w:textDirection w:val="lrTb"/>
            <w:noWrap w:val="false"/>
          </w:tcPr>
          <w:p>
            <w:pPr>
              <w:pStyle w:val="1005"/>
              <w:ind w:left="57" w:right="57"/>
            </w:pPr>
            <w:r>
              <w:t xml:space="preserve">ИНН</w:t>
            </w:r>
            <w:r/>
          </w:p>
        </w:tc>
        <w:tc>
          <w:tcPr>
            <w:shd w:val="clear" w:fill="auto" w:color="auto"/>
            <w:tcW w:w="3863" w:type="pct"/>
            <w:textDirection w:val="lrTb"/>
            <w:noWrap w:val="false"/>
          </w:tcPr>
          <w:p>
            <w:pPr>
              <w:pStyle w:val="1005"/>
              <w:ind w:left="57" w:right="57"/>
            </w:pPr>
            <w:r>
              <w:t xml:space="preserve">Значение поля заполняется автоматически на основании значения поля «Н</w:t>
            </w:r>
            <w:r>
              <w:t xml:space="preserve">а</w:t>
            </w:r>
            <w:r>
              <w:t xml:space="preserve">именование» значением «ИНН» из соответ</w:t>
            </w:r>
            <w:r>
              <w:t xml:space="preserve">ствующей записи справочника</w:t>
            </w:r>
            <w:r>
              <w:t xml:space="preserve"> СРРПБС/ПУБП/НУБП или СР.</w:t>
            </w:r>
            <w:r/>
          </w:p>
          <w:p>
            <w:pPr>
              <w:pStyle w:val="1005"/>
              <w:ind w:left="57" w:right="57"/>
            </w:pPr>
            <w:r>
              <w:t xml:space="preserve">Заполнение поля вручную.</w:t>
            </w:r>
            <w:r/>
          </w:p>
        </w:tc>
      </w:tr>
      <w:tr>
        <w:trPr>
          <w:trHeight w:val="70"/>
        </w:trPr>
        <w:tc>
          <w:tcPr>
            <w:shd w:val="clear" w:fill="auto" w:color="auto"/>
            <w:tcW w:w="1137" w:type="pct"/>
            <w:textDirection w:val="lrTb"/>
            <w:noWrap w:val="false"/>
          </w:tcPr>
          <w:p>
            <w:pPr>
              <w:pStyle w:val="1005"/>
              <w:ind w:left="57" w:right="57"/>
            </w:pPr>
            <w:r>
              <w:t xml:space="preserve">КПП</w:t>
            </w:r>
            <w:r/>
          </w:p>
        </w:tc>
        <w:tc>
          <w:tcPr>
            <w:shd w:val="clear" w:fill="auto" w:color="auto"/>
            <w:tcW w:w="3863" w:type="pct"/>
            <w:textDirection w:val="lrTb"/>
            <w:noWrap w:val="false"/>
          </w:tcPr>
          <w:p>
            <w:pPr>
              <w:pStyle w:val="1005"/>
              <w:ind w:left="57" w:right="57"/>
            </w:pPr>
            <w:r>
              <w:t xml:space="preserve">Значение поля заполняется автоматически на основании значения поля «Н</w:t>
            </w:r>
            <w:r>
              <w:t xml:space="preserve">а</w:t>
            </w:r>
            <w:r>
              <w:t xml:space="preserve">именование» значением «КПП» из соответствующей за</w:t>
            </w:r>
            <w:r>
              <w:t xml:space="preserve">писи справочника</w:t>
            </w:r>
            <w:r>
              <w:t xml:space="preserve"> СРРПБС/ПУБП/НУБП или СР.</w:t>
            </w:r>
            <w:r/>
          </w:p>
          <w:p>
            <w:pPr>
              <w:pStyle w:val="1005"/>
              <w:ind w:left="57" w:right="57"/>
            </w:pPr>
            <w:r>
              <w:t xml:space="preserve">Заполнение поля вручную.</w:t>
            </w:r>
            <w:r/>
          </w:p>
          <w:p>
            <w:pPr>
              <w:pStyle w:val="1005"/>
              <w:ind w:left="57" w:right="57"/>
            </w:pPr>
            <w:r>
              <w:t xml:space="preserve">Для клиентов отличных от ИП размерность поля должна быть равна 9 символов.</w:t>
            </w:r>
            <w:r/>
          </w:p>
          <w:p>
            <w:pPr>
              <w:pStyle w:val="1005"/>
              <w:ind w:left="57" w:right="57"/>
            </w:pPr>
            <w:r>
              <w:t xml:space="preserve">Для ИП указывается значение «0».</w:t>
            </w:r>
            <w:r/>
          </w:p>
        </w:tc>
      </w:tr>
      <w:tr>
        <w:trPr/>
        <w:tc>
          <w:tcPr>
            <w:shd w:val="clear" w:fill="auto" w:color="auto"/>
            <w:tcW w:w="1137" w:type="pct"/>
            <w:textDirection w:val="lrTb"/>
            <w:noWrap w:val="false"/>
          </w:tcPr>
          <w:p>
            <w:pPr>
              <w:pStyle w:val="1005"/>
              <w:ind w:left="57" w:right="57"/>
            </w:pPr>
            <w:r>
              <w:t xml:space="preserve">Код по Сводному ре</w:t>
            </w:r>
            <w:r>
              <w:t xml:space="preserve">е</w:t>
            </w:r>
            <w:r>
              <w:t xml:space="preserve">стру</w:t>
            </w:r>
            <w:r/>
          </w:p>
        </w:tc>
        <w:tc>
          <w:tcPr>
            <w:shd w:val="clear" w:fill="auto" w:color="auto"/>
            <w:tcW w:w="3863" w:type="pct"/>
            <w:textDirection w:val="lrTb"/>
            <w:noWrap w:val="false"/>
          </w:tcPr>
          <w:p>
            <w:pPr>
              <w:pStyle w:val="1005"/>
              <w:ind w:left="57" w:right="57"/>
            </w:pPr>
            <w:r>
              <w:t xml:space="preserve">Значение поля заполняется автоматически на основании значения поля «Н</w:t>
            </w:r>
            <w:r>
              <w:t xml:space="preserve">а</w:t>
            </w:r>
            <w:r>
              <w:t xml:space="preserve">именование» значением «Код РУБП (Код клиента/ Учетный номер клиента)» из соответствующей записи справочника</w:t>
            </w:r>
            <w:r>
              <w:t xml:space="preserve">:</w:t>
            </w:r>
            <w:r/>
          </w:p>
          <w:p>
            <w:pPr>
              <w:pStyle w:val="1008"/>
              <w:numPr>
                <w:ilvl w:val="0"/>
                <w:numId w:val="139"/>
              </w:numPr>
            </w:pPr>
            <w:r>
              <w:t xml:space="preserve">До даты завершения перехода на СР: СРРПБС/ПУБП/НУБП или СР.</w:t>
            </w:r>
            <w:r/>
          </w:p>
          <w:p>
            <w:pPr>
              <w:pStyle w:val="1008"/>
              <w:numPr>
                <w:ilvl w:val="0"/>
                <w:numId w:val="105"/>
              </w:numPr>
            </w:pPr>
            <w:r>
              <w:t xml:space="preserve">После даты завершения перехода на СР: код организации из СР.</w:t>
            </w:r>
            <w:r/>
          </w:p>
          <w:p>
            <w:pPr>
              <w:pStyle w:val="1005"/>
              <w:ind w:left="57" w:right="57"/>
            </w:pPr>
            <w:r>
              <w:t xml:space="preserve">Заполнение поля вручную.</w:t>
            </w:r>
            <w:r/>
          </w:p>
        </w:tc>
      </w:tr>
      <w:tr>
        <w:trPr/>
        <w:tc>
          <w:tcPr>
            <w:shd w:val="clear" w:fill="auto" w:color="auto"/>
            <w:tcW w:w="1137" w:type="pct"/>
            <w:textDirection w:val="lrTb"/>
            <w:noWrap w:val="false"/>
          </w:tcPr>
          <w:p>
            <w:pPr>
              <w:pStyle w:val="1005"/>
              <w:ind w:left="57" w:right="57"/>
            </w:pPr>
            <w:r>
              <w:t xml:space="preserve">Номер лицевого счета</w:t>
            </w:r>
            <w:r/>
          </w:p>
        </w:tc>
        <w:tc>
          <w:tcPr>
            <w:shd w:val="clear" w:fill="auto" w:color="auto"/>
            <w:tcW w:w="3863" w:type="pct"/>
            <w:textDirection w:val="lrTb"/>
            <w:noWrap w:val="false"/>
          </w:tcPr>
          <w:p>
            <w:pPr>
              <w:pStyle w:val="1005"/>
              <w:ind w:left="57" w:right="57"/>
            </w:pPr>
            <w:r>
              <w:t xml:space="preserve">Заполнение поля вручную или выбор из справочника Информация о ЛС с фильтрацией:</w:t>
            </w:r>
            <w:r/>
          </w:p>
          <w:p>
            <w:pPr>
              <w:pStyle w:val="1005"/>
              <w:ind w:left="57" w:right="57"/>
            </w:pPr>
            <w:r>
              <w:t xml:space="preserve">Н</w:t>
            </w:r>
            <w:r>
              <w:t xml:space="preserve">а АРМ НУБП: </w:t>
            </w:r>
            <w:r/>
          </w:p>
          <w:p>
            <w:pPr>
              <w:pStyle w:val="1007"/>
            </w:pPr>
            <w:r>
              <w:t xml:space="preserve">тип ЛС </w:t>
            </w:r>
            <w:r>
              <w:t xml:space="preserve">20, 21, 30, 31, </w:t>
            </w:r>
            <w:r>
              <w:t xml:space="preserve">41, с учётом </w:t>
            </w:r>
            <w:r>
              <w:t xml:space="preserve">SelfBudgetCode (Код бюджета)</w:t>
            </w:r>
            <w:r>
              <w:t xml:space="preserve">, </w:t>
            </w:r>
            <w:r>
              <w:t xml:space="preserve">SelfPPPCode (Собственный код ведомства)</w:t>
            </w:r>
            <w:r>
              <w:t xml:space="preserve"> и </w:t>
            </w:r>
            <w:r>
              <w:t xml:space="preserve">SelfBUCode (Код собственного БУ)</w:t>
            </w:r>
            <w:r>
              <w:t xml:space="preserve">;</w:t>
            </w:r>
            <w:r/>
          </w:p>
          <w:p>
            <w:pPr>
              <w:pStyle w:val="1007"/>
            </w:pPr>
            <w:r>
              <w:t xml:space="preserve">тип ЛС 14</w:t>
            </w:r>
            <w:r>
              <w:t xml:space="preserve">.</w:t>
            </w:r>
            <w:r/>
          </w:p>
        </w:tc>
      </w:tr>
      <w:tr>
        <w:trPr/>
        <w:tc>
          <w:tcPr>
            <w:shd w:val="clear" w:fill="auto" w:color="auto"/>
            <w:tcW w:w="1137" w:type="pct"/>
            <w:textDirection w:val="lrTb"/>
            <w:noWrap w:val="false"/>
          </w:tcPr>
          <w:p>
            <w:pPr>
              <w:pStyle w:val="1005"/>
              <w:ind w:left="57" w:right="57"/>
            </w:pPr>
            <w:r>
              <w:t xml:space="preserve">Аналитический код</w:t>
            </w:r>
            <w:r/>
          </w:p>
        </w:tc>
        <w:tc>
          <w:tcPr>
            <w:shd w:val="clear" w:fill="auto" w:color="auto"/>
            <w:tcW w:w="3863" w:type="pct"/>
            <w:textDirection w:val="lrTb"/>
            <w:noWrap w:val="false"/>
          </w:tcPr>
          <w:p>
            <w:pPr>
              <w:pStyle w:val="1005"/>
              <w:ind w:left="57" w:right="57"/>
            </w:pPr>
            <w:r>
              <w:t xml:space="preserve">Заполнение поля вручную.</w:t>
            </w:r>
            <w:r/>
          </w:p>
          <w:p>
            <w:pPr>
              <w:pStyle w:val="1005"/>
              <w:ind w:left="57" w:right="57"/>
            </w:pPr>
            <w:r>
              <w:t xml:space="preserve">Значение может быть заполнено выбором из справочника с учетом бюджета плательщика и фильтрацией по актуальным записям.</w:t>
            </w:r>
            <w:r/>
          </w:p>
          <w:p>
            <w:pPr>
              <w:pStyle w:val="1005"/>
              <w:ind w:left="57" w:right="57"/>
            </w:pPr>
            <w:r>
              <w:t xml:space="preserve">На АРМ ФО </w:t>
            </w:r>
            <w:r>
              <w:t xml:space="preserve">из справочника «ФК: Коды целей субсидий/субвенций»</w:t>
            </w:r>
            <w:r>
              <w:t xml:space="preserve">.</w:t>
            </w:r>
            <w:r/>
          </w:p>
        </w:tc>
      </w:tr>
      <w:tr>
        <w:trPr/>
        <w:tc>
          <w:tcPr>
            <w:shd w:val="clear" w:fill="auto" w:color="auto"/>
            <w:tcW w:w="1137" w:type="pct"/>
            <w:textDirection w:val="lrTb"/>
            <w:noWrap w:val="false"/>
          </w:tcPr>
          <w:p>
            <w:pPr>
              <w:pStyle w:val="1005"/>
              <w:ind w:left="57" w:right="57"/>
            </w:pPr>
            <w:r>
              <w:t xml:space="preserve">Аналитический код (1)</w:t>
            </w:r>
            <w:r/>
          </w:p>
        </w:tc>
        <w:tc>
          <w:tcPr>
            <w:shd w:val="clear" w:fill="auto" w:color="auto"/>
            <w:tcW w:w="3863" w:type="pct"/>
            <w:textDirection w:val="lrTb"/>
            <w:noWrap w:val="false"/>
          </w:tcPr>
          <w:p>
            <w:pPr>
              <w:pStyle w:val="1005"/>
              <w:ind w:left="57" w:right="57"/>
            </w:pPr>
            <w:r>
              <w:t xml:space="preserve">Заполнение поля вручную.</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Банк п</w:t>
            </w:r>
            <w:r>
              <w:t xml:space="preserve">лательщик</w:t>
            </w:r>
            <w:r>
              <w:t xml:space="preserve">а</w:t>
            </w:r>
            <w:r>
              <w:t xml:space="preserve">»</w:t>
            </w:r>
            <w:r/>
          </w:p>
        </w:tc>
      </w:tr>
      <w:tr>
        <w:trPr/>
        <w:tc>
          <w:tcPr>
            <w:shd w:val="clear" w:fill="auto" w:color="auto"/>
            <w:tcW w:w="1137" w:type="pct"/>
            <w:textDirection w:val="lrTb"/>
            <w:noWrap w:val="false"/>
          </w:tcPr>
          <w:p>
            <w:pPr>
              <w:pStyle w:val="1005"/>
              <w:ind w:left="57" w:right="57"/>
            </w:pPr>
            <w:r>
              <w:t xml:space="preserve">Номер </w:t>
            </w:r>
            <w:r>
              <w:t xml:space="preserve">казначейского </w:t>
            </w:r>
            <w:r>
              <w:t xml:space="preserve">счета</w:t>
            </w:r>
            <w:r/>
          </w:p>
        </w:tc>
        <w:tc>
          <w:tcPr>
            <w:shd w:val="clear" w:fill="auto" w:color="auto"/>
            <w:tcW w:w="3863" w:type="pct"/>
            <w:textDirection w:val="lrTb"/>
            <w:noWrap w:val="false"/>
          </w:tcPr>
          <w:p>
            <w:pPr>
              <w:pStyle w:val="1005"/>
              <w:ind w:left="57" w:right="57"/>
            </w:pPr>
            <w:r>
              <w:t xml:space="preserve">Указывается номер казначейского счета плательщика.</w:t>
            </w:r>
            <w:r/>
          </w:p>
          <w:p>
            <w:pPr>
              <w:pStyle w:val="1005"/>
              <w:ind w:left="57" w:right="57"/>
            </w:pPr>
            <w:r>
              <w:t xml:space="preserve">Значение поля заполняется вручную или выбором</w:t>
            </w:r>
            <w:r>
              <w:t xml:space="preserve"> </w:t>
            </w:r>
            <w:r>
              <w:t xml:space="preserve">значения из справочника «Книга регистрации казначейских счетов» с фильтрацией по типу документа, бюджету плательщика и маске казначейского счета:</w:t>
            </w:r>
            <w:r/>
          </w:p>
          <w:p>
            <w:pPr>
              <w:pStyle w:val="1005"/>
              <w:ind w:left="57" w:right="57"/>
            </w:pPr>
            <w:r>
              <w:t xml:space="preserve">Для АЗВ, где плательщик л/с с кодом 02, 03, 14: </w:t>
            </w:r>
            <w:r/>
          </w:p>
          <w:p>
            <w:pPr>
              <w:pStyle w:val="1007"/>
            </w:pPr>
            <w:r>
              <w:t xml:space="preserve">счет № 03211, если бюджет плательщика равен уровню бюджета «1 </w:t>
            </w:r>
            <w:r>
              <w:t xml:space="preserve">–</w:t>
            </w:r>
            <w:r>
              <w:t xml:space="preserve"> федеральный бюджет»;</w:t>
            </w:r>
            <w:r/>
          </w:p>
          <w:p>
            <w:pPr>
              <w:pStyle w:val="1007"/>
            </w:pPr>
            <w:r>
              <w:t xml:space="preserve">счет № 03221, если бюджет плательщика равен уровню бюджета «2 </w:t>
            </w:r>
            <w:r>
              <w:t xml:space="preserve">–</w:t>
            </w:r>
            <w:r>
              <w:t xml:space="preserve"> бюджет субъекта РФ»;</w:t>
            </w:r>
            <w:r/>
          </w:p>
          <w:p>
            <w:pPr>
              <w:pStyle w:val="1007"/>
            </w:pPr>
            <w:r>
              <w:t xml:space="preserve">счет № 03231, если бюджет плательщика равен уровню бюджета «3 - «местный бюджет».</w:t>
            </w:r>
            <w:r/>
          </w:p>
          <w:p>
            <w:pPr>
              <w:pStyle w:val="1005"/>
              <w:ind w:left="57" w:right="57"/>
            </w:pPr>
            <w:r>
              <w:t xml:space="preserve">Для АЗП, где плательщик л/с с кодом 20, 21, 30, 31:</w:t>
            </w:r>
            <w:r/>
          </w:p>
          <w:p>
            <w:pPr>
              <w:pStyle w:val="1007"/>
            </w:pPr>
            <w:r>
              <w:t xml:space="preserve">счет № 03214, если бюджет плательщика равен уровню бюджета «1 </w:t>
            </w:r>
            <w:r>
              <w:t xml:space="preserve">–</w:t>
            </w:r>
            <w:r>
              <w:t xml:space="preserve"> федеральный бюджет»;</w:t>
            </w:r>
            <w:r/>
          </w:p>
          <w:p>
            <w:pPr>
              <w:pStyle w:val="1007"/>
            </w:pPr>
            <w:r>
              <w:t xml:space="preserve">счет № 03224, если бюджет плательщика равен уровню бюджета «2 </w:t>
            </w:r>
            <w:r>
              <w:t xml:space="preserve">–</w:t>
            </w:r>
            <w:r>
              <w:t xml:space="preserve"> бюджет субъекта РФ»;</w:t>
            </w:r>
            <w:r/>
          </w:p>
          <w:p>
            <w:pPr>
              <w:pStyle w:val="1007"/>
            </w:pPr>
            <w:r>
              <w:t xml:space="preserve">счет № 03234, если бюджет плательщика равен уровню бюджета «3 - «местный бюджет».</w:t>
            </w:r>
            <w:r/>
          </w:p>
          <w:p>
            <w:pPr>
              <w:pStyle w:val="1005"/>
              <w:ind w:left="57" w:right="57"/>
            </w:pPr>
            <w:r>
              <w:t xml:space="preserve">Для АЗП, где плательщик л/с с кодом 41, 71:</w:t>
            </w:r>
            <w:r/>
          </w:p>
          <w:p>
            <w:pPr>
              <w:pStyle w:val="1007"/>
            </w:pPr>
            <w:r>
              <w:t xml:space="preserve">счет № 03215, если бюджет плательщика равен уровню бюджета «1 </w:t>
            </w:r>
            <w:r>
              <w:t xml:space="preserve">–</w:t>
            </w:r>
            <w:r>
              <w:t xml:space="preserve"> федеральный бюджет»:</w:t>
            </w:r>
            <w:r/>
          </w:p>
          <w:p>
            <w:pPr>
              <w:pStyle w:val="1007"/>
            </w:pPr>
            <w:r>
              <w:t xml:space="preserve">счет № 03225, если бюджет плательщика равен уровню бюджета «2 </w:t>
            </w:r>
            <w:r>
              <w:t xml:space="preserve">–</w:t>
            </w:r>
            <w:r>
              <w:t xml:space="preserve"> бюджет субъекта РФ»;</w:t>
            </w:r>
            <w:r/>
          </w:p>
          <w:p>
            <w:pPr>
              <w:pStyle w:val="1007"/>
            </w:pPr>
            <w:r>
              <w:t xml:space="preserve">счет № 03235, если бюджет плательщика равен уровню бюджета «3 - «местный бюджет».</w:t>
            </w:r>
            <w:r/>
          </w:p>
        </w:tc>
      </w:tr>
      <w:tr>
        <w:trPr/>
        <w:tc>
          <w:tcPr>
            <w:shd w:val="clear" w:fill="auto" w:color="auto"/>
            <w:tcW w:w="1137" w:type="pct"/>
            <w:textDirection w:val="lrTb"/>
            <w:noWrap w:val="false"/>
          </w:tcPr>
          <w:p>
            <w:pPr>
              <w:pStyle w:val="1005"/>
              <w:ind w:left="57" w:right="57"/>
            </w:pPr>
            <w:r>
              <w:t xml:space="preserve">БИК</w:t>
            </w:r>
            <w:r/>
          </w:p>
        </w:tc>
        <w:tc>
          <w:tcPr>
            <w:shd w:val="clear" w:fill="auto" w:color="auto"/>
            <w:tcW w:w="3863" w:type="pct"/>
            <w:textDirection w:val="lrTb"/>
            <w:noWrap w:val="false"/>
          </w:tcPr>
          <w:p>
            <w:pPr>
              <w:pStyle w:val="1005"/>
              <w:ind w:left="57" w:right="57"/>
            </w:pPr>
            <w:r>
              <w:t xml:space="preserve">Указывается БИК плательщика для счета № 40102.</w:t>
            </w:r>
            <w:r/>
          </w:p>
          <w:p>
            <w:pPr>
              <w:pStyle w:val="1005"/>
              <w:ind w:left="57" w:right="57"/>
            </w:pPr>
            <w:r>
              <w:t xml:space="preserve">Поле заполняется вручную или при выборе номера казначейского счета из справочника «Книга регистрации казначейских счетов».</w:t>
            </w:r>
            <w:r/>
          </w:p>
        </w:tc>
      </w:tr>
      <w:tr>
        <w:trPr/>
        <w:tc>
          <w:tcPr>
            <w:gridSpan w:val="2"/>
            <w:shd w:val="clear" w:fill="auto" w:color="auto"/>
            <w:tcW w:w="5000" w:type="pct"/>
            <w:textDirection w:val="lrTb"/>
            <w:noWrap w:val="false"/>
          </w:tcPr>
          <w:p>
            <w:pPr>
              <w:pStyle w:val="1005"/>
              <w:ind w:left="57" w:right="57"/>
            </w:pPr>
            <w:r>
              <w:t xml:space="preserve">Группа полей «Бюджет плательщика»</w:t>
            </w:r>
            <w:r/>
          </w:p>
        </w:tc>
      </w:tr>
      <w:tr>
        <w:trPr/>
        <w:tc>
          <w:tcPr>
            <w:shd w:val="clear" w:fill="auto" w:color="auto"/>
            <w:tcW w:w="1137" w:type="pct"/>
            <w:textDirection w:val="lrTb"/>
            <w:noWrap w:val="false"/>
          </w:tcPr>
          <w:p>
            <w:pPr>
              <w:pStyle w:val="1005"/>
              <w:ind w:left="57" w:right="57"/>
            </w:pPr>
            <w:r>
              <w:t xml:space="preserve">Наименование бюд</w:t>
            </w:r>
            <w:r>
              <w:t xml:space="preserve">жета</w:t>
            </w:r>
            <w:r/>
          </w:p>
        </w:tc>
        <w:tc>
          <w:tcPr>
            <w:shd w:val="clear" w:fill="auto" w:color="auto"/>
            <w:tcW w:w="3863" w:type="pct"/>
            <w:textDirection w:val="lrTb"/>
            <w:noWrap w:val="false"/>
          </w:tcPr>
          <w:p>
            <w:pPr>
              <w:pStyle w:val="1005"/>
              <w:ind w:left="57" w:right="57"/>
            </w:pPr>
            <w:r>
              <w:t xml:space="preserve">Указывается бюджет, в котором открыт л/с плательщика.</w:t>
            </w:r>
            <w:r/>
          </w:p>
          <w:p>
            <w:pPr>
              <w:pStyle w:val="1005"/>
              <w:ind w:left="57" w:right="57"/>
            </w:pPr>
            <w:r>
              <w:t xml:space="preserve">Доступно для ручного ввода, может заполняться путем выбора из справочника «Справочник бюджетов».</w:t>
            </w:r>
            <w:r/>
          </w:p>
          <w:p>
            <w:pPr>
              <w:pStyle w:val="1005"/>
              <w:ind w:left="57" w:right="57"/>
            </w:pPr>
            <w:r>
              <w:t xml:space="preserve">Обязательно для заполнения в АЗВ, АЗП.</w:t>
            </w:r>
            <w:r/>
          </w:p>
          <w:p>
            <w:pPr>
              <w:pStyle w:val="1005"/>
              <w:ind w:left="57" w:right="57"/>
            </w:pPr>
            <w:r>
              <w:t xml:space="preserve">Для АЗИ и АЗО не доступно для заполнения.</w:t>
            </w:r>
            <w:r/>
          </w:p>
        </w:tc>
      </w:tr>
      <w:tr>
        <w:trPr/>
        <w:tc>
          <w:tcPr>
            <w:shd w:val="clear" w:fill="auto" w:color="auto"/>
            <w:tcW w:w="1137" w:type="pct"/>
            <w:textDirection w:val="lrTb"/>
            <w:noWrap w:val="false"/>
          </w:tcPr>
          <w:p>
            <w:pPr>
              <w:pStyle w:val="1005"/>
              <w:ind w:left="57" w:right="57"/>
            </w:pPr>
            <w:r>
              <w:t xml:space="preserve">По ОКТМО</w:t>
            </w:r>
            <w:r/>
          </w:p>
        </w:tc>
        <w:tc>
          <w:tcPr>
            <w:shd w:val="clear" w:fill="auto" w:color="auto"/>
            <w:tcW w:w="3863" w:type="pct"/>
            <w:textDirection w:val="lrTb"/>
            <w:noWrap w:val="false"/>
          </w:tcPr>
          <w:p>
            <w:pPr>
              <w:pStyle w:val="1005"/>
              <w:ind w:left="57" w:right="57"/>
            </w:pPr>
            <w:r>
              <w:t xml:space="preserve">Указывается ОКТМО бюджета, в котором открыт л/с плательщика.</w:t>
            </w:r>
            <w:r/>
          </w:p>
          <w:p>
            <w:pPr>
              <w:pStyle w:val="1005"/>
              <w:ind w:left="57" w:right="57"/>
            </w:pPr>
            <w:r>
              <w:t xml:space="preserve">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r/>
          </w:p>
          <w:p>
            <w:pPr>
              <w:pStyle w:val="1005"/>
              <w:ind w:left="57" w:right="57"/>
            </w:pPr>
            <w:r>
              <w:t xml:space="preserve">Может быть заполнено в АЗВ, АЗП.</w:t>
            </w:r>
            <w:r/>
          </w:p>
          <w:p>
            <w:pPr>
              <w:pStyle w:val="1005"/>
              <w:ind w:left="57" w:right="57"/>
            </w:pPr>
            <w:r>
              <w:t xml:space="preserve">Для АЗИ и АЗО не доступно для заполнения.</w:t>
            </w:r>
            <w:r/>
          </w:p>
        </w:tc>
      </w:tr>
    </w:tbl>
    <w:p>
      <w:pPr>
        <w:pStyle w:val="994"/>
      </w:pPr>
      <w:r>
        <w:t xml:space="preserve">ЭФ документа </w:t>
      </w:r>
      <w:r>
        <w:t xml:space="preserve">«</w:t>
      </w:r>
      <w:r>
        <w:t xml:space="preserve">Заявление на выдачу (перевод, отзыв) Казначейского обеспечения обязательств</w:t>
      </w:r>
      <w:r>
        <w:t xml:space="preserve">», закладки «Реквизиты получателя» </w:t>
      </w:r>
      <w:r>
        <w:t xml:space="preserve">представлена </w:t>
      </w:r>
      <w:r>
        <w:t xml:space="preserve">н</w:t>
      </w:r>
      <w:r>
        <w:t xml:space="preserve">а рисунке</w:t>
      </w:r>
      <w:r>
        <w:t xml:space="preserve"> </w:t>
      </w:r>
      <w:r>
        <w:fldChar w:fldCharType="begin"/>
      </w:r>
      <w:r>
        <w:instrText xml:space="preserve"> REF _Ref454348706 \h </w:instrText>
      </w:r>
      <w:r>
        <w:fldChar w:fldCharType="separate"/>
      </w:r>
      <w:r>
        <w:t xml:space="preserve">101</w:t>
      </w:r>
      <w:r>
        <w:fldChar w:fldCharType="end"/>
      </w:r>
      <w:r>
        <w:t xml:space="preserve">. </w:t>
      </w:r>
      <w:r/>
    </w:p>
    <w:p>
      <w:pPr>
        <w:pStyle w:val="982"/>
      </w:pPr>
      <w:r>
        <mc:AlternateContent>
          <mc:Choice Requires="wpg">
            <w:drawing>
              <wp:inline xmlns:wp="http://schemas.openxmlformats.org/drawingml/2006/wordprocessingDrawing" distT="0" distB="0" distL="0" distR="0">
                <wp:extent cx="6126480" cy="2103120"/>
                <wp:effectExtent l="0" t="0" r="0" b="0"/>
                <wp:docPr id="17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67"/>
                        <a:stretch/>
                      </pic:blipFill>
                      <pic:spPr bwMode="auto">
                        <a:xfrm>
                          <a:off x="0" y="0"/>
                          <a:ext cx="6126480" cy="21031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 o:spid="_x0000_s175" type="#_x0000_t75" style="mso-wrap-distance-left:0.0pt;mso-wrap-distance-top:0.0pt;mso-wrap-distance-right:0.0pt;mso-wrap-distance-bottom:0.0pt;width:482.4pt;height:165.6pt;" stroked="f">
                <v:path textboxrect="0,0,0,0"/>
                <v:imagedata r:id="rId167" o:title=""/>
              </v:shape>
            </w:pict>
          </mc:Fallback>
        </mc:AlternateContent>
      </w:r>
      <w:r/>
    </w:p>
    <w:p>
      <w:pPr>
        <w:pStyle w:val="983"/>
      </w:pPr>
      <w:r>
        <w:fldChar w:fldCharType="begin"/>
      </w:r>
      <w:r>
        <w:instrText xml:space="preserve"> SEQ Рисунок \* ARABIC </w:instrText>
      </w:r>
      <w:r>
        <w:fldChar w:fldCharType="separate"/>
      </w:r>
      <w:bookmarkStart w:id="842" w:name="_Ref454348706"/>
      <w:r/>
      <w:bookmarkStart w:id="843" w:name="_Toc52956180"/>
      <w:r/>
      <w:bookmarkStart w:id="844" w:name="_Toc88819486"/>
      <w:r>
        <w:t xml:space="preserve">101</w:t>
      </w:r>
      <w:bookmarkEnd w:id="842"/>
      <w:r>
        <w:fldChar w:fldCharType="end"/>
      </w:r>
      <w:r>
        <w:t xml:space="preserve">. ЭФ документа «</w:t>
      </w:r>
      <w:r>
        <w:t xml:space="preserve">Заявление на выдачу (перевод, отзыв) Казначейского обеспечения обязательств</w:t>
      </w:r>
      <w:r>
        <w:t xml:space="preserve">», закладки «Реквизиты получателя»</w:t>
      </w:r>
      <w:bookmarkEnd w:id="843"/>
      <w:r/>
      <w:bookmarkEnd w:id="844"/>
      <w:r/>
      <w:r/>
    </w:p>
    <w:p>
      <w:r>
        <w:t xml:space="preserve">Перечень полей документа </w:t>
      </w:r>
      <w:r>
        <w:t xml:space="preserve">«</w:t>
      </w:r>
      <w:r>
        <w:t xml:space="preserve">Заявление на выдачу (перевод, отзыв) Казначейского обеспечения обязательств</w:t>
      </w:r>
      <w:r>
        <w:t xml:space="preserve">», закладки «Реквизиты получателя» </w:t>
      </w:r>
      <w:r>
        <w:t xml:space="preserve">приведен в та</w:t>
      </w:r>
      <w:r>
        <w:t xml:space="preserve">б</w:t>
      </w:r>
      <w:r>
        <w:t xml:space="preserve">лице</w:t>
      </w:r>
      <w:r>
        <w:t xml:space="preserve"> </w:t>
      </w:r>
      <w:r>
        <w:fldChar w:fldCharType="begin"/>
      </w:r>
      <w:r>
        <w:instrText xml:space="preserve"> REF _Ref454801011 \h </w:instrText>
      </w:r>
      <w:r>
        <w:fldChar w:fldCharType="separate"/>
      </w:r>
      <w:r>
        <w:t xml:space="preserve">53</w:t>
      </w:r>
      <w:r>
        <w:fldChar w:fldCharType="end"/>
      </w:r>
      <w:r>
        <w:t xml:space="preserve">.</w:t>
      </w:r>
      <w:r/>
    </w:p>
    <w:p>
      <w:pPr>
        <w:pStyle w:val="993"/>
      </w:pPr>
      <w:r>
        <w:fldChar w:fldCharType="begin"/>
      </w:r>
      <w:r>
        <w:instrText xml:space="preserve"> SEQ Таблица \* ARABIC </w:instrText>
      </w:r>
      <w:r>
        <w:fldChar w:fldCharType="separate"/>
      </w:r>
      <w:bookmarkStart w:id="845" w:name="_Ref454801011"/>
      <w:r/>
      <w:bookmarkStart w:id="846" w:name="_Toc52955892"/>
      <w:r/>
      <w:bookmarkStart w:id="847" w:name="_Toc88819239"/>
      <w:r>
        <w:t xml:space="preserve">53</w:t>
      </w:r>
      <w:bookmarkEnd w:id="845"/>
      <w:r>
        <w:fldChar w:fldCharType="end"/>
      </w:r>
      <w:r>
        <w:t xml:space="preserve">. Описание полей документа </w:t>
      </w:r>
      <w:r>
        <w:t xml:space="preserve">«</w:t>
      </w:r>
      <w:r>
        <w:t xml:space="preserve">Заявление на выдачу (перевод, отзыв) Казначейского обеспечения обязательств</w:t>
      </w:r>
      <w:r>
        <w:t xml:space="preserve">», закладки «Реквизиты получателя»</w:t>
      </w:r>
      <w:bookmarkEnd w:id="846"/>
      <w:r/>
      <w:bookmarkEnd w:id="847"/>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458"/>
        <w:gridCol w:w="7294"/>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26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40"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Закладка «Реквизиты плательщика» не заполняется, в случае представления вида заявления (код) = 04, для вида заявления (код) = 03 не заполняются только поля блока «</w:t>
            </w:r>
            <w:r>
              <w:t xml:space="preserve">Получатель</w:t>
            </w:r>
            <w:r>
              <w:t xml:space="preserve">»: код по Сводному реестр</w:t>
            </w:r>
            <w:r>
              <w:t xml:space="preserve">у</w:t>
            </w:r>
            <w:r>
              <w:t xml:space="preserve">, Номер лицевого счета</w:t>
            </w:r>
            <w:r/>
          </w:p>
        </w:tc>
      </w:tr>
      <w:tr>
        <w:trPr/>
        <w:tc>
          <w:tcPr>
            <w:gridSpan w:val="2"/>
            <w:shd w:val="clear" w:fill="auto" w:color="auto"/>
            <w:tcW w:w="5000" w:type="pct"/>
            <w:textDirection w:val="lrTb"/>
            <w:noWrap w:val="false"/>
          </w:tcPr>
          <w:p>
            <w:pPr>
              <w:pStyle w:val="1005"/>
              <w:ind w:left="57" w:right="57"/>
            </w:pPr>
            <w:r>
              <w:t xml:space="preserve">Группа полей «Получатель»</w:t>
            </w:r>
            <w:r/>
          </w:p>
        </w:tc>
      </w:tr>
      <w:tr>
        <w:trPr/>
        <w:tc>
          <w:tcPr>
            <w:shd w:val="clear" w:fill="auto" w:color="auto"/>
            <w:tcW w:w="1260" w:type="pct"/>
            <w:textDirection w:val="lrTb"/>
            <w:noWrap w:val="false"/>
          </w:tcPr>
          <w:p>
            <w:pPr>
              <w:pStyle w:val="1005"/>
              <w:ind w:left="57" w:right="57"/>
            </w:pPr>
            <w:r>
              <w:t xml:space="preserve">Наименование</w:t>
            </w:r>
            <w:r/>
          </w:p>
        </w:tc>
        <w:tc>
          <w:tcPr>
            <w:shd w:val="clear" w:fill="auto" w:color="auto"/>
            <w:tcW w:w="3740" w:type="pct"/>
            <w:textDirection w:val="lrTb"/>
            <w:noWrap w:val="false"/>
          </w:tcPr>
          <w:p>
            <w:pPr>
              <w:pStyle w:val="1005"/>
              <w:ind w:left="57" w:right="57"/>
            </w:pPr>
            <w:r>
              <w:t xml:space="preserve">Заполнение поля вручную или выбор из соответствующего справочника НУБП (до окончания перехода на СР) или СР (после окончания перехода на СР).</w:t>
            </w:r>
            <w:r/>
          </w:p>
        </w:tc>
      </w:tr>
      <w:tr>
        <w:trPr/>
        <w:tc>
          <w:tcPr>
            <w:shd w:val="clear" w:fill="auto" w:color="auto"/>
            <w:tcW w:w="1260" w:type="pct"/>
            <w:textDirection w:val="lrTb"/>
            <w:noWrap w:val="false"/>
          </w:tcPr>
          <w:p>
            <w:pPr>
              <w:pStyle w:val="1005"/>
              <w:ind w:left="57" w:right="57"/>
            </w:pPr>
            <w:r>
              <w:t xml:space="preserve">ИНН</w:t>
            </w:r>
            <w:r/>
          </w:p>
        </w:tc>
        <w:tc>
          <w:tcPr>
            <w:shd w:val="clear" w:fill="auto" w:color="auto"/>
            <w:tcW w:w="3740" w:type="pct"/>
            <w:textDirection w:val="lrTb"/>
            <w:noWrap w:val="false"/>
          </w:tcPr>
          <w:p>
            <w:pPr>
              <w:pStyle w:val="1005"/>
              <w:ind w:left="57" w:right="57"/>
            </w:pPr>
            <w:r>
              <w:t xml:space="preserve">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r/>
          </w:p>
          <w:p>
            <w:pPr>
              <w:pStyle w:val="1005"/>
              <w:ind w:left="57" w:right="57"/>
            </w:pPr>
            <w:r>
              <w:t xml:space="preserve">Заполнение поля вручную.</w:t>
            </w:r>
            <w:r/>
          </w:p>
        </w:tc>
      </w:tr>
      <w:tr>
        <w:trPr/>
        <w:tc>
          <w:tcPr>
            <w:shd w:val="clear" w:fill="auto" w:color="auto"/>
            <w:tcW w:w="1260" w:type="pct"/>
            <w:textDirection w:val="lrTb"/>
            <w:noWrap w:val="false"/>
          </w:tcPr>
          <w:p>
            <w:pPr>
              <w:pStyle w:val="1005"/>
              <w:ind w:left="57" w:right="57"/>
            </w:pPr>
            <w:r>
              <w:t xml:space="preserve">КПП</w:t>
            </w:r>
            <w:r/>
          </w:p>
        </w:tc>
        <w:tc>
          <w:tcPr>
            <w:shd w:val="clear" w:fill="auto" w:color="auto"/>
            <w:tcW w:w="3740" w:type="pct"/>
            <w:textDirection w:val="lrTb"/>
            <w:noWrap w:val="false"/>
          </w:tcPr>
          <w:p>
            <w:pPr>
              <w:pStyle w:val="1005"/>
              <w:ind w:left="57" w:right="57"/>
            </w:pPr>
            <w:r>
              <w:t xml:space="preserve">Значение поля заполняется автоматически на основании значения поля «Наименование» значением «</w:t>
            </w:r>
            <w:r>
              <w:t xml:space="preserve">КПП</w:t>
            </w:r>
            <w:r>
              <w:t xml:space="preserve">» из соответствующей записи справочника НУБП (до окончания перехода на СР) или СР (после окончания перехода на СР).</w:t>
            </w:r>
            <w:r/>
          </w:p>
          <w:p>
            <w:pPr>
              <w:pStyle w:val="1005"/>
              <w:ind w:left="57" w:right="57"/>
            </w:pPr>
            <w:r>
              <w:t xml:space="preserve">Заполнение поля вручную.</w:t>
            </w:r>
            <w:r/>
          </w:p>
          <w:p>
            <w:pPr>
              <w:pStyle w:val="1005"/>
              <w:ind w:left="57" w:right="57"/>
            </w:pPr>
            <w:r>
              <w:t xml:space="preserve">Для клиентов отличных от ИП размерность поля должна быть равна 9 символов.</w:t>
            </w:r>
            <w:r/>
          </w:p>
          <w:p>
            <w:pPr>
              <w:pStyle w:val="1005"/>
              <w:ind w:left="57" w:right="57"/>
            </w:pPr>
            <w:r>
              <w:t xml:space="preserve">Для ИП указывается значение «0».</w:t>
            </w:r>
            <w:r/>
          </w:p>
        </w:tc>
      </w:tr>
      <w:tr>
        <w:trPr/>
        <w:tc>
          <w:tcPr>
            <w:shd w:val="clear" w:fill="auto" w:color="auto"/>
            <w:tcW w:w="1260" w:type="pct"/>
            <w:textDirection w:val="lrTb"/>
            <w:noWrap w:val="false"/>
          </w:tcPr>
          <w:p>
            <w:pPr>
              <w:pStyle w:val="1005"/>
              <w:ind w:left="57" w:right="57"/>
            </w:pPr>
            <w:r>
              <w:t xml:space="preserve">Код по Сводному ре</w:t>
            </w:r>
            <w:r>
              <w:t xml:space="preserve">е</w:t>
            </w:r>
            <w:r>
              <w:t xml:space="preserve">стру</w:t>
            </w:r>
            <w:r/>
          </w:p>
        </w:tc>
        <w:tc>
          <w:tcPr>
            <w:shd w:val="clear" w:fill="auto" w:color="auto"/>
            <w:tcW w:w="3740" w:type="pct"/>
            <w:textDirection w:val="lrTb"/>
            <w:noWrap w:val="false"/>
          </w:tcPr>
          <w:p>
            <w:pPr>
              <w:pStyle w:val="1005"/>
              <w:ind w:left="57" w:right="57"/>
            </w:pPr>
            <w:r>
              <w:t xml:space="preserve">До завершения перехода на Сводный реестр поле не заполняется.</w:t>
            </w:r>
            <w:r/>
          </w:p>
          <w:p>
            <w:pPr>
              <w:pStyle w:val="1005"/>
              <w:ind w:left="57" w:right="57"/>
            </w:pPr>
            <w:r>
              <w:t xml:space="preserve">После завершения перехода на Сводный реестр поле заполняется автоматически на основании значения поля «Наименование» значением «Код</w:t>
            </w:r>
            <w:r>
              <w:t xml:space="preserve"> </w:t>
            </w:r>
            <w:r>
              <w:t xml:space="preserve">клиента» из соответствующей записи справочника СР.</w:t>
            </w:r>
            <w:r/>
          </w:p>
          <w:p>
            <w:pPr>
              <w:pStyle w:val="1005"/>
              <w:ind w:left="57" w:right="57"/>
            </w:pPr>
            <w:r>
              <w:t xml:space="preserve">Заполнение поля вручную.</w:t>
            </w:r>
            <w:r/>
          </w:p>
        </w:tc>
      </w:tr>
      <w:tr>
        <w:trPr/>
        <w:tc>
          <w:tcPr>
            <w:shd w:val="clear" w:fill="auto" w:color="auto"/>
            <w:tcW w:w="1260" w:type="pct"/>
            <w:textDirection w:val="lrTb"/>
            <w:noWrap w:val="false"/>
          </w:tcPr>
          <w:p>
            <w:pPr>
              <w:pStyle w:val="1005"/>
              <w:ind w:left="57" w:right="57"/>
            </w:pPr>
            <w:r>
              <w:t xml:space="preserve">Номер лицевого счета</w:t>
            </w:r>
            <w:r/>
          </w:p>
        </w:tc>
        <w:tc>
          <w:tcPr>
            <w:shd w:val="clear" w:fill="auto" w:color="auto"/>
            <w:tcW w:w="3740" w:type="pct"/>
            <w:textDirection w:val="lrTb"/>
            <w:noWrap w:val="false"/>
          </w:tcPr>
          <w:p>
            <w:pPr>
              <w:pStyle w:val="1005"/>
              <w:ind w:left="57" w:right="57"/>
            </w:pPr>
            <w:r>
              <w:t xml:space="preserve">Заполнение поля вручную или выбор из справочника Информация о ЛС с фильтрацией по типу ЛС «41».</w:t>
            </w:r>
            <w:r/>
          </w:p>
          <w:p>
            <w:pPr>
              <w:pStyle w:val="1005"/>
              <w:ind w:left="57" w:right="57"/>
            </w:pPr>
            <w:r>
              <w:t xml:space="preserve">На АРМ НУБП:</w:t>
            </w:r>
            <w:r/>
          </w:p>
          <w:p>
            <w:pPr>
              <w:pStyle w:val="1005"/>
              <w:ind w:left="57" w:right="57"/>
            </w:pPr>
            <w:r>
              <w:t xml:space="preserve">По л/с </w:t>
            </w:r>
            <w:r>
              <w:rPr>
                <w:rStyle w:val="1400"/>
                <w:lang w:val="ru-RU"/>
              </w:rPr>
              <w:t xml:space="preserve">с</w:t>
            </w:r>
            <w:r>
              <w:t xml:space="preserve"> кодом 20, 21, 30, 31, 41.</w:t>
            </w:r>
            <w:r/>
          </w:p>
        </w:tc>
      </w:tr>
      <w:tr>
        <w:trPr/>
        <w:tc>
          <w:tcPr>
            <w:shd w:val="clear" w:fill="auto" w:color="auto"/>
            <w:tcW w:w="1260" w:type="pct"/>
            <w:textDirection w:val="lrTb"/>
            <w:noWrap w:val="false"/>
          </w:tcPr>
          <w:p>
            <w:pPr>
              <w:pStyle w:val="1005"/>
              <w:ind w:left="57" w:right="57"/>
            </w:pPr>
            <w:r>
              <w:t xml:space="preserve">Аналитический код</w:t>
            </w:r>
            <w:r/>
          </w:p>
        </w:tc>
        <w:tc>
          <w:tcPr>
            <w:shd w:val="clear" w:fill="auto" w:color="auto"/>
            <w:tcW w:w="3740" w:type="pct"/>
            <w:textDirection w:val="lrTb"/>
            <w:noWrap w:val="false"/>
          </w:tcPr>
          <w:p>
            <w:pPr>
              <w:pStyle w:val="1005"/>
              <w:ind w:left="57" w:right="57"/>
            </w:pPr>
            <w:r>
              <w:t xml:space="preserve">Заполнение поля вручную.</w:t>
            </w:r>
            <w:r/>
          </w:p>
          <w:p>
            <w:pPr>
              <w:pStyle w:val="1005"/>
              <w:ind w:left="57" w:right="57"/>
            </w:pPr>
            <w:r>
              <w:t xml:space="preserve">Код выбирается:</w:t>
            </w:r>
            <w:r/>
          </w:p>
          <w:p>
            <w:pPr>
              <w:pStyle w:val="1007"/>
            </w:pPr>
            <w:r>
              <w:t xml:space="preserve">из справочника «ФК: Коды целей субсидий/субвенций», если в л/с получателя указан л/с с кодом 04;</w:t>
            </w:r>
            <w:r/>
          </w:p>
          <w:p>
            <w:pPr>
              <w:pStyle w:val="1007"/>
            </w:pPr>
            <w:r>
              <w:t xml:space="preserve">из справочника «Справочник кодов субсидий НУБП», если в л/с получателя указан л/с с кодом 20, 21, 30, 31;</w:t>
            </w:r>
            <w:r/>
          </w:p>
          <w:p>
            <w:pPr>
              <w:pStyle w:val="1007"/>
            </w:pPr>
            <w:r>
              <w:t xml:space="preserve">из справочника «Перечень источников поступлений целевых средств», если в л/с получателя указан л/с с кодом 41, 71.</w:t>
            </w:r>
            <w:r/>
          </w:p>
        </w:tc>
      </w:tr>
      <w:tr>
        <w:trPr/>
        <w:tc>
          <w:tcPr>
            <w:shd w:val="clear" w:fill="auto" w:color="auto"/>
            <w:tcW w:w="1260" w:type="pct"/>
            <w:textDirection w:val="lrTb"/>
            <w:noWrap w:val="false"/>
          </w:tcPr>
          <w:p>
            <w:pPr>
              <w:pStyle w:val="1005"/>
              <w:ind w:left="57" w:right="57"/>
            </w:pPr>
            <w:r>
              <w:t xml:space="preserve">Аналитический код (1)</w:t>
            </w:r>
            <w:r/>
          </w:p>
        </w:tc>
        <w:tc>
          <w:tcPr>
            <w:shd w:val="clear" w:fill="auto" w:color="auto"/>
            <w:tcW w:w="3740" w:type="pct"/>
            <w:textDirection w:val="lrTb"/>
            <w:noWrap w:val="false"/>
          </w:tcPr>
          <w:p>
            <w:pPr>
              <w:pStyle w:val="1005"/>
              <w:ind w:left="57" w:right="57"/>
            </w:pPr>
            <w:r>
              <w:t xml:space="preserve">Заполняется выбором из справочника:</w:t>
            </w:r>
            <w:r/>
          </w:p>
          <w:p>
            <w:pPr>
              <w:pStyle w:val="1007"/>
            </w:pPr>
            <w:r>
              <w:t xml:space="preserve">из справочника «Коды бюджетной классификации – Доходы», если в л/с получателя указан л/с с кодом 04;</w:t>
            </w:r>
            <w:r/>
          </w:p>
          <w:p>
            <w:pPr>
              <w:pStyle w:val="1007"/>
            </w:pPr>
            <w:r>
              <w:t xml:space="preserve">из справочника «Аналитические коды поступлений и источников (АУ/БУ/НУБП)», если в л/с получателя указан л/с с кодом 20, 21, 31.</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Банк п</w:t>
            </w:r>
            <w:r>
              <w:t xml:space="preserve">олучател</w:t>
            </w:r>
            <w:r>
              <w:t xml:space="preserve">я</w:t>
            </w:r>
            <w:r>
              <w:t xml:space="preserve">»</w:t>
            </w:r>
            <w:r/>
          </w:p>
        </w:tc>
      </w:tr>
      <w:tr>
        <w:trPr/>
        <w:tc>
          <w:tcPr>
            <w:shd w:val="clear" w:fill="auto" w:color="auto"/>
            <w:tcW w:w="1260" w:type="pct"/>
            <w:textDirection w:val="lrTb"/>
            <w:noWrap w:val="false"/>
          </w:tcPr>
          <w:p>
            <w:pPr>
              <w:pStyle w:val="1005"/>
              <w:ind w:left="57" w:right="57"/>
            </w:pPr>
            <w:r>
              <w:t xml:space="preserve">Номер </w:t>
            </w:r>
            <w:r>
              <w:t xml:space="preserve">казначейского </w:t>
            </w:r>
            <w:r>
              <w:t xml:space="preserve">счета</w:t>
            </w:r>
            <w:r/>
          </w:p>
        </w:tc>
        <w:tc>
          <w:tcPr>
            <w:shd w:val="clear" w:fill="auto" w:color="auto"/>
            <w:tcW w:w="3740" w:type="pct"/>
            <w:textDirection w:val="lrTb"/>
            <w:noWrap w:val="false"/>
          </w:tcPr>
          <w:p>
            <w:pPr>
              <w:pStyle w:val="1005"/>
              <w:ind w:left="57" w:right="57"/>
            </w:pPr>
            <w:r>
              <w:t xml:space="preserve">Указывается номер казначейского счета получателя. </w:t>
            </w:r>
            <w:r/>
          </w:p>
          <w:p>
            <w:pPr>
              <w:pStyle w:val="1005"/>
              <w:ind w:left="57" w:right="57"/>
            </w:pPr>
            <w:r>
              <w:t xml:space="preserve">Поле заполняется вручную или путем выбора значения из справочника «Книга регистрации казначейских счетов» с фильтрацией по бюджету получателя и маске казначейского счета:</w:t>
            </w:r>
            <w:r/>
          </w:p>
          <w:p>
            <w:pPr>
              <w:pStyle w:val="1007"/>
            </w:pPr>
            <w:r>
              <w:t xml:space="preserve">счет № 03214 или счет № 03215, если указан уровень бюджета получателя «1 </w:t>
            </w:r>
            <w:r>
              <w:t xml:space="preserve">–</w:t>
            </w:r>
            <w:r>
              <w:t xml:space="preserve"> федеральный бюджет»;</w:t>
            </w:r>
            <w:r/>
          </w:p>
          <w:p>
            <w:pPr>
              <w:pStyle w:val="1007"/>
            </w:pPr>
            <w:r>
              <w:t xml:space="preserve">счет № 03221, счет № 03224 или счет № 03225, если указан уровень бюджета получателя «2 </w:t>
            </w:r>
            <w:r>
              <w:t xml:space="preserve">–</w:t>
            </w:r>
            <w:r>
              <w:t xml:space="preserve"> бюджет субъекта РФ»;</w:t>
            </w:r>
            <w:r/>
          </w:p>
          <w:p>
            <w:pPr>
              <w:pStyle w:val="1007"/>
            </w:pPr>
            <w:r>
              <w:t xml:space="preserve">счет № 03231, счет № 03234 или счет № 03235, если указан уровень бюджета получателя «3 </w:t>
            </w:r>
            <w:r>
              <w:t xml:space="preserve">–</w:t>
            </w:r>
            <w:r>
              <w:t xml:space="preserve"> местный бюджет».</w:t>
            </w:r>
            <w:r/>
          </w:p>
        </w:tc>
      </w:tr>
      <w:tr>
        <w:trPr/>
        <w:tc>
          <w:tcPr>
            <w:shd w:val="clear" w:fill="auto" w:color="auto"/>
            <w:tcW w:w="1260" w:type="pct"/>
            <w:textDirection w:val="lrTb"/>
            <w:noWrap w:val="false"/>
          </w:tcPr>
          <w:p>
            <w:pPr>
              <w:pStyle w:val="1005"/>
              <w:ind w:left="57" w:right="57"/>
            </w:pPr>
            <w:r>
              <w:t xml:space="preserve">БИК</w:t>
            </w:r>
            <w:r/>
          </w:p>
        </w:tc>
        <w:tc>
          <w:tcPr>
            <w:shd w:val="clear" w:fill="auto" w:color="auto"/>
            <w:tcW w:w="3740" w:type="pct"/>
            <w:textDirection w:val="lrTb"/>
            <w:noWrap w:val="false"/>
          </w:tcPr>
          <w:p>
            <w:pPr>
              <w:pStyle w:val="1005"/>
              <w:ind w:left="57" w:right="57"/>
            </w:pPr>
            <w:r>
              <w:t xml:space="preserve">Указывается БИК получателя для счета № 40102.</w:t>
            </w:r>
            <w:r/>
          </w:p>
          <w:p>
            <w:pPr>
              <w:pStyle w:val="1005"/>
              <w:ind w:left="57" w:right="57"/>
            </w:pPr>
            <w:r>
              <w:t xml:space="preserve">Поле заполняется вручную или при выборе номера казначейского счета из справочника «Книга регистрации казначейских счетов».</w:t>
            </w:r>
            <w:r/>
          </w:p>
        </w:tc>
      </w:tr>
    </w:tbl>
    <w:p>
      <w:r>
        <w:t xml:space="preserve">ЭФ документа </w:t>
      </w:r>
      <w:r>
        <w:t xml:space="preserve">«</w:t>
      </w:r>
      <w:r>
        <w:t xml:space="preserve">Заявление на выдачу (перевод, отзыв) Казначейского обеспечения обязательств</w:t>
      </w:r>
      <w:r>
        <w:t xml:space="preserve">», закладки «Дополнительная информация» </w:t>
      </w:r>
      <w:r>
        <w:t xml:space="preserve">представлена </w:t>
      </w:r>
      <w:r>
        <w:t xml:space="preserve">н</w:t>
      </w:r>
      <w:r>
        <w:t xml:space="preserve">а рисунке</w:t>
      </w:r>
      <w:r>
        <w:t xml:space="preserve"> </w:t>
      </w:r>
      <w:r>
        <w:fldChar w:fldCharType="begin"/>
      </w:r>
      <w:r>
        <w:instrText xml:space="preserve"> REF _Ref454348806 \h </w:instrText>
      </w:r>
      <w:r>
        <w:fldChar w:fldCharType="separate"/>
      </w:r>
      <w:r>
        <w:t xml:space="preserve">102</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011680"/>
                <wp:effectExtent l="0" t="0" r="0" b="0"/>
                <wp:docPr id="17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68"/>
                        <a:stretch/>
                      </pic:blipFill>
                      <pic:spPr bwMode="auto">
                        <a:xfrm>
                          <a:off x="0" y="0"/>
                          <a:ext cx="6126480" cy="20116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 o:spid="_x0000_s176" type="#_x0000_t75" style="mso-wrap-distance-left:0.0pt;mso-wrap-distance-top:0.0pt;mso-wrap-distance-right:0.0pt;mso-wrap-distance-bottom:0.0pt;width:482.4pt;height:158.4pt;" stroked="f">
                <v:path textboxrect="0,0,0,0"/>
                <v:imagedata r:id="rId168" o:title=""/>
              </v:shape>
            </w:pict>
          </mc:Fallback>
        </mc:AlternateContent>
      </w:r>
      <w:r/>
    </w:p>
    <w:p>
      <w:pPr>
        <w:pStyle w:val="983"/>
      </w:pPr>
      <w:r>
        <w:fldChar w:fldCharType="begin"/>
      </w:r>
      <w:r>
        <w:instrText xml:space="preserve"> SEQ Рисунок \* ARABIC </w:instrText>
      </w:r>
      <w:r>
        <w:fldChar w:fldCharType="separate"/>
      </w:r>
      <w:bookmarkStart w:id="848" w:name="_Ref454348806"/>
      <w:r/>
      <w:bookmarkStart w:id="849" w:name="_Toc52956181"/>
      <w:r/>
      <w:bookmarkStart w:id="850" w:name="_Toc88819487"/>
      <w:r>
        <w:t xml:space="preserve">102</w:t>
      </w:r>
      <w:bookmarkEnd w:id="848"/>
      <w:r>
        <w:fldChar w:fldCharType="end"/>
      </w:r>
      <w:r>
        <w:t xml:space="preserve">. ЭФ документа </w:t>
      </w:r>
      <w:r>
        <w:t xml:space="preserve">«</w:t>
      </w:r>
      <w:r>
        <w:t xml:space="preserve">Заявление на выдачу (перевод, отзыв) Казначейского обеспечения обязательств</w:t>
      </w:r>
      <w:r>
        <w:t xml:space="preserve">», закладки «Дополнительная информация»</w:t>
      </w:r>
      <w:bookmarkEnd w:id="849"/>
      <w:r/>
      <w:bookmarkEnd w:id="850"/>
      <w:r/>
      <w:r/>
    </w:p>
    <w:p>
      <w:r>
        <w:t xml:space="preserve">Перечень полей документа </w:t>
      </w:r>
      <w:r>
        <w:t xml:space="preserve">«</w:t>
      </w:r>
      <w:r>
        <w:t xml:space="preserve">Заявление на выдачу (перевод, отзыв) Казначейского обеспечения обязательств</w:t>
      </w:r>
      <w:r>
        <w:t xml:space="preserve">», закладки «Дополнительная информация» </w:t>
      </w:r>
      <w:r>
        <w:t xml:space="preserve">приведен в та</w:t>
      </w:r>
      <w:r>
        <w:t xml:space="preserve">б</w:t>
      </w:r>
      <w:r>
        <w:t xml:space="preserve">лице</w:t>
      </w:r>
      <w:r>
        <w:t xml:space="preserve"> </w:t>
      </w:r>
      <w:r>
        <w:fldChar w:fldCharType="begin"/>
      </w:r>
      <w:r>
        <w:instrText xml:space="preserve"> REF _Ref454801045 \h </w:instrText>
      </w:r>
      <w:r>
        <w:fldChar w:fldCharType="separate"/>
      </w:r>
      <w:r>
        <w:t xml:space="preserve">54</w:t>
      </w:r>
      <w:r>
        <w:fldChar w:fldCharType="end"/>
      </w:r>
      <w:r>
        <w:t xml:space="preserve">.</w:t>
      </w:r>
      <w:r/>
    </w:p>
    <w:p>
      <w:pPr>
        <w:pStyle w:val="993"/>
      </w:pPr>
      <w:r>
        <w:fldChar w:fldCharType="begin"/>
      </w:r>
      <w:r>
        <w:instrText xml:space="preserve"> SEQ Таблица \* ARABIC </w:instrText>
      </w:r>
      <w:r>
        <w:fldChar w:fldCharType="separate"/>
      </w:r>
      <w:bookmarkStart w:id="851" w:name="_Ref454801045"/>
      <w:r/>
      <w:bookmarkStart w:id="852" w:name="_Toc52955893"/>
      <w:r/>
      <w:bookmarkStart w:id="853" w:name="_Toc88819240"/>
      <w:r>
        <w:t xml:space="preserve">54</w:t>
      </w:r>
      <w:bookmarkEnd w:id="851"/>
      <w:r>
        <w:fldChar w:fldCharType="end"/>
      </w:r>
      <w:r>
        <w:t xml:space="preserve">. Описание полей документа </w:t>
      </w:r>
      <w:r>
        <w:t xml:space="preserve">«</w:t>
      </w:r>
      <w:r>
        <w:t xml:space="preserve">Заявление на выдачу (перевод, отзыв) Казначейского обеспечения обязательств</w:t>
      </w:r>
      <w:r>
        <w:t xml:space="preserve">», закладки «Дополнительная информация»</w:t>
      </w:r>
      <w:bookmarkEnd w:id="852"/>
      <w:r/>
      <w:bookmarkEnd w:id="853"/>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697"/>
        <w:gridCol w:w="7055"/>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383"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617"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w:t>
            </w:r>
            <w:r>
              <w:t xml:space="preserve">Дополнительная информация</w:t>
            </w:r>
            <w:r>
              <w:t xml:space="preserve">»</w:t>
            </w:r>
            <w:r/>
          </w:p>
        </w:tc>
      </w:tr>
      <w:tr>
        <w:trPr/>
        <w:tc>
          <w:tcPr>
            <w:shd w:val="clear" w:fill="auto" w:color="auto"/>
            <w:tcW w:w="1383" w:type="pct"/>
            <w:textDirection w:val="lrTb"/>
            <w:noWrap w:val="false"/>
          </w:tcPr>
          <w:p>
            <w:pPr>
              <w:pStyle w:val="1005"/>
              <w:ind w:left="57" w:right="57"/>
            </w:pPr>
            <w:r>
              <w:t xml:space="preserve">Дополнительн</w:t>
            </w:r>
            <w:r>
              <w:t xml:space="preserve">ая информация</w:t>
            </w:r>
            <w:r/>
          </w:p>
        </w:tc>
        <w:tc>
          <w:tcPr>
            <w:shd w:val="clear" w:fill="auto" w:color="auto"/>
            <w:tcW w:w="3617" w:type="pct"/>
            <w:textDirection w:val="lrTb"/>
            <w:noWrap w:val="false"/>
          </w:tcPr>
          <w:p>
            <w:pPr>
              <w:pStyle w:val="1005"/>
              <w:ind w:left="57" w:right="57"/>
            </w:pPr>
            <w:r>
              <w:t xml:space="preserve">Заполнение поля вручную.</w:t>
            </w:r>
            <w:r/>
          </w:p>
        </w:tc>
      </w:tr>
      <w:tr>
        <w:trPr/>
        <w:tc>
          <w:tcPr>
            <w:shd w:val="clear" w:fill="auto" w:color="auto"/>
            <w:tcW w:w="1383" w:type="pct"/>
            <w:textDirection w:val="lrTb"/>
            <w:noWrap w:val="false"/>
          </w:tcPr>
          <w:p>
            <w:pPr>
              <w:pStyle w:val="1005"/>
              <w:ind w:left="57" w:right="57"/>
            </w:pPr>
            <w:r>
              <w:t xml:space="preserve">Подсистема плательщика</w:t>
            </w:r>
            <w:r/>
          </w:p>
        </w:tc>
        <w:tc>
          <w:tcPr>
            <w:shd w:val="clear" w:fill="auto" w:color="auto"/>
            <w:tcW w:w="3617" w:type="pct"/>
            <w:textDirection w:val="lrTb"/>
            <w:noWrap w:val="false"/>
          </w:tcPr>
          <w:p>
            <w:pPr>
              <w:pStyle w:val="1005"/>
              <w:ind w:left="57" w:right="57"/>
            </w:pPr>
            <w:r>
              <w:t xml:space="preserve">Указывается значени</w:t>
            </w:r>
            <w:r>
              <w:t xml:space="preserve">е подсистемы л/с плательщика.</w:t>
            </w:r>
            <w:r/>
          </w:p>
          <w:p>
            <w:pPr>
              <w:pStyle w:val="1005"/>
              <w:ind w:left="57" w:right="57"/>
            </w:pPr>
            <w:r>
              <w:t xml:space="preserve">Заполняется автоматически, п</w:t>
            </w:r>
            <w:r>
              <w:t xml:space="preserve">оле недоступно для редактирования</w:t>
            </w:r>
            <w:r>
              <w:t xml:space="preserve">.</w:t>
            </w:r>
            <w:r/>
          </w:p>
        </w:tc>
      </w:tr>
      <w:tr>
        <w:trPr/>
        <w:tc>
          <w:tcPr>
            <w:shd w:val="clear" w:fill="auto" w:color="auto"/>
            <w:tcW w:w="1383" w:type="pct"/>
            <w:textDirection w:val="lrTb"/>
            <w:noWrap w:val="false"/>
          </w:tcPr>
          <w:p>
            <w:pPr>
              <w:pStyle w:val="1005"/>
              <w:ind w:left="57" w:right="57"/>
            </w:pPr>
            <w:r>
              <w:t xml:space="preserve">Подсистема получателя</w:t>
            </w:r>
            <w:r/>
          </w:p>
        </w:tc>
        <w:tc>
          <w:tcPr>
            <w:shd w:val="clear" w:fill="auto" w:color="auto"/>
            <w:tcW w:w="3617" w:type="pct"/>
            <w:textDirection w:val="lrTb"/>
            <w:noWrap w:val="false"/>
          </w:tcPr>
          <w:p>
            <w:pPr>
              <w:pStyle w:val="1005"/>
              <w:ind w:left="57" w:right="57"/>
            </w:pPr>
            <w:r>
              <w:t xml:space="preserve">Указывается значени</w:t>
            </w:r>
            <w:r>
              <w:t xml:space="preserve">е подсистемы л/с получателя.</w:t>
            </w:r>
            <w:r/>
          </w:p>
          <w:p>
            <w:pPr>
              <w:pStyle w:val="1005"/>
              <w:ind w:left="57" w:right="57"/>
            </w:pPr>
            <w:r>
              <w:t xml:space="preserve">Заполняется автоматически, п</w:t>
            </w:r>
            <w:r>
              <w:t xml:space="preserve">оле недоступно для редактирования</w:t>
            </w:r>
            <w:r>
              <w:t xml:space="preserve">.</w:t>
            </w:r>
            <w:r/>
          </w:p>
        </w:tc>
      </w:tr>
      <w:tr>
        <w:trPr/>
        <w:tc>
          <w:tcPr>
            <w:gridSpan w:val="2"/>
            <w:shd w:val="clear" w:fill="auto" w:color="auto"/>
            <w:tcW w:w="5000" w:type="pct"/>
            <w:textDirection w:val="lrTb"/>
            <w:noWrap w:val="false"/>
          </w:tcPr>
          <w:p>
            <w:pPr>
              <w:pStyle w:val="1005"/>
              <w:ind w:left="57" w:right="57"/>
            </w:pPr>
            <w:r>
              <w:t xml:space="preserve">Группа</w:t>
            </w:r>
            <w:r>
              <w:t xml:space="preserve"> полей «Подписи»</w:t>
            </w:r>
            <w:r/>
          </w:p>
        </w:tc>
      </w:tr>
      <w:tr>
        <w:trPr/>
        <w:tc>
          <w:tcPr>
            <w:shd w:val="clear" w:fill="auto" w:color="auto"/>
            <w:tcW w:w="1383" w:type="pct"/>
            <w:textDirection w:val="lrTb"/>
            <w:noWrap w:val="false"/>
          </w:tcPr>
          <w:p>
            <w:pPr>
              <w:pStyle w:val="1005"/>
              <w:ind w:left="57" w:right="57"/>
            </w:pPr>
            <w:r>
              <w:t xml:space="preserve">Должность руководителя (уполномоченного л</w:t>
            </w:r>
            <w:r>
              <w:t xml:space="preserve">и</w:t>
            </w:r>
            <w:r>
              <w:t xml:space="preserve">ца)</w:t>
            </w:r>
            <w:r/>
          </w:p>
        </w:tc>
        <w:tc>
          <w:tcPr>
            <w:shd w:val="clear" w:fill="auto" w:color="auto"/>
            <w:tcW w:w="3617" w:type="pct"/>
            <w:textDirection w:val="lrTb"/>
            <w:noWrap w:val="false"/>
          </w:tcPr>
          <w:p>
            <w:pPr>
              <w:pStyle w:val="1005"/>
              <w:ind w:left="57" w:right="57"/>
            </w:pPr>
            <w:r>
              <w:t xml:space="preserve">Заполнение поля вручную или </w:t>
            </w:r>
            <w:r>
              <w:t xml:space="preserve">автоматически при п</w:t>
            </w:r>
            <w:r>
              <w:t xml:space="preserve">одписании ЭП данными подписанта</w:t>
            </w:r>
            <w:r>
              <w:t xml:space="preserve">.</w:t>
            </w:r>
            <w:r/>
          </w:p>
        </w:tc>
      </w:tr>
      <w:tr>
        <w:trPr/>
        <w:tc>
          <w:tcPr>
            <w:shd w:val="clear" w:fill="auto" w:color="auto"/>
            <w:tcW w:w="1383" w:type="pct"/>
            <w:textDirection w:val="lrTb"/>
            <w:noWrap w:val="false"/>
          </w:tcPr>
          <w:p>
            <w:pPr>
              <w:pStyle w:val="1005"/>
              <w:ind w:left="57" w:right="57"/>
            </w:pPr>
            <w:r>
              <w:t xml:space="preserve">ФИО руководителя (упо</w:t>
            </w:r>
            <w:r>
              <w:t xml:space="preserve">л</w:t>
            </w:r>
            <w:r>
              <w:t xml:space="preserve">номоченного лица)</w:t>
            </w:r>
            <w:r/>
          </w:p>
        </w:tc>
        <w:tc>
          <w:tcPr>
            <w:shd w:val="clear" w:fill="auto" w:color="auto"/>
            <w:tcW w:w="3617" w:type="pct"/>
            <w:textDirection w:val="lrTb"/>
            <w:noWrap w:val="false"/>
          </w:tcPr>
          <w:p>
            <w:pPr>
              <w:pStyle w:val="1005"/>
              <w:ind w:left="57" w:right="57"/>
            </w:pPr>
            <w:r>
              <w:t xml:space="preserve">Заполнение поля вручную или выбором из справочника «Сотрудн</w:t>
            </w:r>
            <w:r>
              <w:t xml:space="preserve">и</w:t>
            </w:r>
            <w:r>
              <w:t xml:space="preserve">ки», либо з</w:t>
            </w:r>
            <w:r>
              <w:t xml:space="preserve">аполняется автоматически при подписании ЭП данными подписанта</w:t>
            </w:r>
            <w:r>
              <w:t xml:space="preserve">.</w:t>
            </w:r>
            <w:r/>
          </w:p>
        </w:tc>
      </w:tr>
      <w:tr>
        <w:trPr/>
        <w:tc>
          <w:tcPr>
            <w:shd w:val="clear" w:fill="auto" w:color="auto"/>
            <w:tcW w:w="1383" w:type="pct"/>
            <w:textDirection w:val="lrTb"/>
            <w:noWrap w:val="false"/>
          </w:tcPr>
          <w:p>
            <w:pPr>
              <w:pStyle w:val="1005"/>
              <w:ind w:left="57" w:right="57"/>
            </w:pPr>
            <w:r>
              <w:t xml:space="preserve">Должность главного бу</w:t>
            </w:r>
            <w:r>
              <w:t xml:space="preserve">х</w:t>
            </w:r>
            <w:r>
              <w:t xml:space="preserve">галтера (уполномоче</w:t>
            </w:r>
            <w:r>
              <w:t xml:space="preserve">н</w:t>
            </w:r>
            <w:r>
              <w:t xml:space="preserve">ного лица)</w:t>
            </w:r>
            <w:r/>
          </w:p>
        </w:tc>
        <w:tc>
          <w:tcPr>
            <w:shd w:val="clear" w:fill="auto" w:color="auto"/>
            <w:tcW w:w="3617" w:type="pct"/>
            <w:textDirection w:val="lrTb"/>
            <w:noWrap w:val="false"/>
          </w:tcPr>
          <w:p>
            <w:pPr>
              <w:pStyle w:val="1005"/>
              <w:ind w:left="57" w:right="57"/>
            </w:pPr>
            <w:r>
              <w:t xml:space="preserve">Заполнение поля вручную или </w:t>
            </w:r>
            <w:r>
              <w:t xml:space="preserve">автоматически при п</w:t>
            </w:r>
            <w:r>
              <w:t xml:space="preserve">одписании ЭП данными подписанта</w:t>
            </w:r>
            <w:r>
              <w:t xml:space="preserve">.</w:t>
            </w:r>
            <w:r/>
          </w:p>
        </w:tc>
      </w:tr>
      <w:tr>
        <w:trPr/>
        <w:tc>
          <w:tcPr>
            <w:shd w:val="clear" w:fill="auto" w:color="auto"/>
            <w:tcW w:w="1383" w:type="pct"/>
            <w:textDirection w:val="lrTb"/>
            <w:noWrap w:val="false"/>
          </w:tcPr>
          <w:p>
            <w:pPr>
              <w:pStyle w:val="1005"/>
              <w:ind w:left="57" w:right="57"/>
            </w:pPr>
            <w:r>
              <w:t xml:space="preserve">ФИО главного бухгалтера (уполномоченного лица)</w:t>
            </w:r>
            <w:r/>
          </w:p>
        </w:tc>
        <w:tc>
          <w:tcPr>
            <w:shd w:val="clear" w:fill="auto" w:color="auto"/>
            <w:tcW w:w="3617" w:type="pct"/>
            <w:textDirection w:val="lrTb"/>
            <w:noWrap w:val="false"/>
          </w:tcPr>
          <w:p>
            <w:pPr>
              <w:pStyle w:val="1005"/>
              <w:ind w:left="57" w:right="57"/>
            </w:pPr>
            <w:r>
              <w:t xml:space="preserve">Заполнение поля вручную или выбором из справочника «Сотрудн</w:t>
            </w:r>
            <w:r>
              <w:t xml:space="preserve">и</w:t>
            </w:r>
            <w:r>
              <w:t xml:space="preserve">ки», либо з</w:t>
            </w:r>
            <w:r>
              <w:t xml:space="preserve">аполняется автоматически при подписании ЭП данными подписанта</w:t>
            </w:r>
            <w:r>
              <w:t xml:space="preserve">.</w:t>
            </w:r>
            <w:r/>
          </w:p>
        </w:tc>
      </w:tr>
      <w:tr>
        <w:trPr/>
        <w:tc>
          <w:tcPr>
            <w:shd w:val="clear" w:fill="auto" w:color="auto"/>
            <w:tcW w:w="1383" w:type="pct"/>
            <w:textDirection w:val="lrTb"/>
            <w:noWrap w:val="false"/>
          </w:tcPr>
          <w:p>
            <w:pPr>
              <w:pStyle w:val="1005"/>
              <w:ind w:left="57" w:right="57"/>
            </w:pPr>
            <w:r>
              <w:t xml:space="preserve">Должность ответс</w:t>
            </w:r>
            <w:r>
              <w:t xml:space="preserve">т</w:t>
            </w:r>
            <w:r>
              <w:t xml:space="preserve">венного исполнителя</w:t>
            </w:r>
            <w:r/>
          </w:p>
        </w:tc>
        <w:tc>
          <w:tcPr>
            <w:shd w:val="clear" w:fill="auto" w:color="auto"/>
            <w:tcW w:w="3617" w:type="pct"/>
            <w:textDirection w:val="lrTb"/>
            <w:noWrap w:val="false"/>
          </w:tcPr>
          <w:p>
            <w:pPr>
              <w:pStyle w:val="1005"/>
              <w:ind w:left="57" w:right="57"/>
            </w:pPr>
            <w:r>
              <w:t xml:space="preserve">Заполнение поля вручную или </w:t>
            </w:r>
            <w:r>
              <w:t xml:space="preserve">автоматически при п</w:t>
            </w:r>
            <w:r>
              <w:t xml:space="preserve">одписании ЭП данными подписанта</w:t>
            </w:r>
            <w:r>
              <w:t xml:space="preserve">.</w:t>
            </w:r>
            <w:r/>
          </w:p>
        </w:tc>
      </w:tr>
      <w:tr>
        <w:trPr/>
        <w:tc>
          <w:tcPr>
            <w:shd w:val="clear" w:fill="auto" w:color="auto"/>
            <w:tcW w:w="1383" w:type="pct"/>
            <w:textDirection w:val="lrTb"/>
            <w:noWrap w:val="false"/>
          </w:tcPr>
          <w:p>
            <w:pPr>
              <w:pStyle w:val="1005"/>
              <w:ind w:left="57" w:right="57"/>
            </w:pPr>
            <w:r>
              <w:t xml:space="preserve">ФИО ответственного и</w:t>
            </w:r>
            <w:r>
              <w:t xml:space="preserve">с</w:t>
            </w:r>
            <w:r>
              <w:t xml:space="preserve">полнителя</w:t>
            </w:r>
            <w:r/>
          </w:p>
        </w:tc>
        <w:tc>
          <w:tcPr>
            <w:shd w:val="clear" w:fill="auto" w:color="auto"/>
            <w:tcW w:w="3617" w:type="pct"/>
            <w:textDirection w:val="lrTb"/>
            <w:noWrap w:val="false"/>
          </w:tcPr>
          <w:p>
            <w:pPr>
              <w:pStyle w:val="1005"/>
              <w:ind w:left="57" w:right="57"/>
            </w:pPr>
            <w:r>
              <w:t xml:space="preserve">Заполнение поля вручную или выбором из справочника «Сотрудн</w:t>
            </w:r>
            <w:r>
              <w:t xml:space="preserve">и</w:t>
            </w:r>
            <w:r>
              <w:t xml:space="preserve">ки», либо з</w:t>
            </w:r>
            <w:r>
              <w:t xml:space="preserve">аполняется автоматически при подписании ЭП данными подписанта</w:t>
            </w:r>
            <w:r>
              <w:t xml:space="preserve">.</w:t>
            </w:r>
            <w:r/>
          </w:p>
        </w:tc>
      </w:tr>
      <w:tr>
        <w:trPr/>
        <w:tc>
          <w:tcPr>
            <w:shd w:val="clear" w:fill="auto" w:color="auto"/>
            <w:tcW w:w="1383" w:type="pct"/>
            <w:textDirection w:val="lrTb"/>
            <w:noWrap w:val="false"/>
          </w:tcPr>
          <w:p>
            <w:pPr>
              <w:pStyle w:val="1005"/>
              <w:ind w:left="57" w:right="57"/>
            </w:pPr>
            <w:r>
              <w:t xml:space="preserve">Дата подписания</w:t>
            </w:r>
            <w:r/>
          </w:p>
        </w:tc>
        <w:tc>
          <w:tcPr>
            <w:shd w:val="clear" w:fill="auto" w:color="auto"/>
            <w:tcW w:w="3617" w:type="pct"/>
            <w:textDirection w:val="lrTb"/>
            <w:noWrap w:val="false"/>
          </w:tcPr>
          <w:p>
            <w:pPr>
              <w:pStyle w:val="1005"/>
              <w:ind w:left="57" w:right="57"/>
            </w:pPr>
            <w:r>
              <w:t xml:space="preserve">Первичное заполнение – указывается значение текущей системной д</w:t>
            </w:r>
            <w:r>
              <w:t xml:space="preserve">а</w:t>
            </w:r>
            <w:r>
              <w:t xml:space="preserve">ты.</w:t>
            </w:r>
            <w:r/>
          </w:p>
          <w:p>
            <w:pPr>
              <w:pStyle w:val="1005"/>
              <w:ind w:left="57" w:right="57"/>
            </w:pPr>
            <w:r>
              <w:t xml:space="preserve">Заполнение поля в</w:t>
            </w:r>
            <w:r>
              <w:t xml:space="preserve">ручную или выбором из календаря, либо з</w:t>
            </w:r>
            <w:r>
              <w:t xml:space="preserve">аполняется автоматически при подписании ЭП данными подписанта</w:t>
            </w:r>
            <w:r>
              <w:t xml:space="preserve">.</w:t>
            </w:r>
            <w:r/>
          </w:p>
        </w:tc>
      </w:tr>
      <w:tr>
        <w:trPr/>
        <w:tc>
          <w:tcPr>
            <w:shd w:val="clear" w:fill="auto" w:color="auto"/>
            <w:tcW w:w="1383" w:type="pct"/>
            <w:textDirection w:val="lrTb"/>
            <w:noWrap w:val="false"/>
          </w:tcPr>
          <w:p>
            <w:pPr>
              <w:pStyle w:val="1005"/>
              <w:ind w:left="57" w:right="57"/>
            </w:pPr>
            <w:r>
              <w:t xml:space="preserve">ФИО ответственного за конфиденциальность данных</w:t>
            </w:r>
            <w:r/>
          </w:p>
        </w:tc>
        <w:tc>
          <w:tcPr>
            <w:shd w:val="clear" w:fill="auto" w:color="auto"/>
            <w:tcW w:w="3617" w:type="pct"/>
            <w:textDirection w:val="lrTb"/>
            <w:noWrap w:val="false"/>
          </w:tcPr>
          <w:p>
            <w:pPr>
              <w:pStyle w:val="1005"/>
              <w:ind w:left="57" w:right="57"/>
            </w:pPr>
            <w:r>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w:t>
            </w:r>
            <w:r>
              <w:t xml:space="preserve">равен </w:t>
            </w:r>
            <w:r>
              <w:t xml:space="preserve">«0».</w:t>
            </w:r>
            <w:r/>
          </w:p>
        </w:tc>
      </w:tr>
    </w:tbl>
    <w:p>
      <w:pPr>
        <w:pStyle w:val="994"/>
      </w:pPr>
      <w:r>
        <w:t xml:space="preserve">ЭФ документа </w:t>
      </w:r>
      <w:r>
        <w:t xml:space="preserve">«</w:t>
      </w:r>
      <w:r>
        <w:t xml:space="preserve">Заявление на выдачу (перевод, отзыв) Казначейского обеспечения обязательств</w:t>
      </w:r>
      <w:r>
        <w:t xml:space="preserve">», закладки «Отметки ОрФК о принятии настоящего заявления» </w:t>
      </w:r>
      <w:r>
        <w:t xml:space="preserve">представлена </w:t>
      </w:r>
      <w:r>
        <w:t xml:space="preserve">н</w:t>
      </w:r>
      <w:r>
        <w:t xml:space="preserve">а рисунке</w:t>
      </w:r>
      <w:r>
        <w:t xml:space="preserve"> </w:t>
      </w:r>
      <w:r>
        <w:fldChar w:fldCharType="begin"/>
      </w:r>
      <w:r>
        <w:instrText xml:space="preserve"> REF _Ref454348929 \h </w:instrText>
      </w:r>
      <w:r>
        <w:fldChar w:fldCharType="separate"/>
      </w:r>
      <w:r>
        <w:t xml:space="preserve">103</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1097280"/>
                <wp:effectExtent l="0" t="0" r="0" b="0"/>
                <wp:docPr id="17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69"/>
                        <a:stretch/>
                      </pic:blipFill>
                      <pic:spPr bwMode="auto">
                        <a:xfrm>
                          <a:off x="0" y="0"/>
                          <a:ext cx="6126480" cy="10972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 o:spid="_x0000_s177" type="#_x0000_t75" style="mso-wrap-distance-left:0.0pt;mso-wrap-distance-top:0.0pt;mso-wrap-distance-right:0.0pt;mso-wrap-distance-bottom:0.0pt;width:482.4pt;height:86.4pt;" stroked="f">
                <v:path textboxrect="0,0,0,0"/>
                <v:imagedata r:id="rId169" o:title=""/>
              </v:shape>
            </w:pict>
          </mc:Fallback>
        </mc:AlternateContent>
      </w:r>
      <w:r/>
    </w:p>
    <w:p>
      <w:pPr>
        <w:pStyle w:val="983"/>
      </w:pPr>
      <w:r>
        <w:fldChar w:fldCharType="begin"/>
      </w:r>
      <w:r>
        <w:instrText xml:space="preserve"> SEQ Рисунок \* ARABIC </w:instrText>
      </w:r>
      <w:r>
        <w:fldChar w:fldCharType="separate"/>
      </w:r>
      <w:bookmarkStart w:id="854" w:name="_Ref454348929"/>
      <w:r/>
      <w:bookmarkStart w:id="855" w:name="_Toc52956182"/>
      <w:r/>
      <w:bookmarkStart w:id="856" w:name="_Toc88819488"/>
      <w:r>
        <w:t xml:space="preserve">103</w:t>
      </w:r>
      <w:bookmarkEnd w:id="854"/>
      <w:r>
        <w:fldChar w:fldCharType="end"/>
      </w:r>
      <w:r>
        <w:t xml:space="preserve">. ЭФ документа </w:t>
      </w:r>
      <w:r>
        <w:t xml:space="preserve">«</w:t>
      </w:r>
      <w:r>
        <w:t xml:space="preserve">Заявление на выдачу (перевод, отзыв) Казначейского обеспечения обязательств</w:t>
      </w:r>
      <w:r>
        <w:t xml:space="preserve">», закладки «Отметки ОрФК о принятии настоящего заявления»</w:t>
      </w:r>
      <w:bookmarkEnd w:id="855"/>
      <w:r/>
      <w:bookmarkEnd w:id="856"/>
      <w:r/>
      <w:r/>
    </w:p>
    <w:p>
      <w:r>
        <w:t xml:space="preserve">Перечень полей документа </w:t>
      </w:r>
      <w:r>
        <w:t xml:space="preserve">«</w:t>
      </w:r>
      <w:r>
        <w:t xml:space="preserve">Заявление на выдачу (перевод, отзыв) Казначейского обеспечения обязательств</w:t>
      </w:r>
      <w:r>
        <w:t xml:space="preserve">», закладки «</w:t>
      </w:r>
      <w:r>
        <w:t xml:space="preserve">Отметки ОрФК о принятии настоящего заявления</w:t>
      </w:r>
      <w:r>
        <w:t xml:space="preserve">» </w:t>
      </w:r>
      <w:r>
        <w:t xml:space="preserve">прив</w:t>
      </w:r>
      <w:r>
        <w:t xml:space="preserve">е</w:t>
      </w:r>
      <w:r>
        <w:t xml:space="preserve">ден в та</w:t>
      </w:r>
      <w:r>
        <w:t xml:space="preserve">б</w:t>
      </w:r>
      <w:r>
        <w:t xml:space="preserve">лице</w:t>
      </w:r>
      <w:r>
        <w:t xml:space="preserve"> </w:t>
      </w:r>
      <w:r>
        <w:fldChar w:fldCharType="begin"/>
      </w:r>
      <w:r>
        <w:instrText xml:space="preserve"> REF _Ref454801086 \h </w:instrText>
      </w:r>
      <w:r>
        <w:fldChar w:fldCharType="separate"/>
      </w:r>
      <w:r>
        <w:t xml:space="preserve">55</w:t>
      </w:r>
      <w:r>
        <w:fldChar w:fldCharType="end"/>
      </w:r>
      <w:r>
        <w:t xml:space="preserve">.</w:t>
      </w:r>
      <w:r/>
    </w:p>
    <w:p>
      <w:pPr>
        <w:pStyle w:val="993"/>
      </w:pPr>
      <w:r>
        <w:fldChar w:fldCharType="begin"/>
      </w:r>
      <w:r>
        <w:instrText xml:space="preserve"> SEQ Таблица \* ARABIC </w:instrText>
      </w:r>
      <w:r>
        <w:fldChar w:fldCharType="separate"/>
      </w:r>
      <w:bookmarkStart w:id="857" w:name="_Ref454801086"/>
      <w:r/>
      <w:bookmarkStart w:id="858" w:name="_Toc52955894"/>
      <w:r/>
      <w:bookmarkStart w:id="859" w:name="_Toc88819241"/>
      <w:r>
        <w:t xml:space="preserve">55</w:t>
      </w:r>
      <w:bookmarkEnd w:id="857"/>
      <w:r>
        <w:fldChar w:fldCharType="end"/>
      </w:r>
      <w:r>
        <w:t xml:space="preserve">. Описание полей документа </w:t>
      </w:r>
      <w:r>
        <w:t xml:space="preserve">«</w:t>
      </w:r>
      <w:r>
        <w:t xml:space="preserve">Заявление на выдачу (перевод, отзыв) Казначейского обеспечения обязательств</w:t>
      </w:r>
      <w:r>
        <w:t xml:space="preserve">», закладки «Отметки ОрФК о принятии настоящего заявления»</w:t>
      </w:r>
      <w:bookmarkEnd w:id="858"/>
      <w:r/>
      <w:bookmarkEnd w:id="859"/>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458"/>
        <w:gridCol w:w="7294"/>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26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40" w:type="pct"/>
            <w:vAlign w:val="center"/>
            <w:textDirection w:val="lrTb"/>
            <w:noWrap w:val="false"/>
          </w:tcPr>
          <w:p>
            <w:pPr>
              <w:pStyle w:val="1006"/>
            </w:pPr>
            <w:r>
              <w:t xml:space="preserve">Описание поля</w:t>
            </w:r>
            <w:r/>
          </w:p>
        </w:tc>
      </w:tr>
      <w:tr>
        <w:trPr/>
        <w:tc>
          <w:tcPr>
            <w:shd w:val="clear" w:fill="auto" w:color="auto"/>
            <w:tcW w:w="1260" w:type="pct"/>
            <w:textDirection w:val="lrTb"/>
            <w:noWrap w:val="false"/>
          </w:tcPr>
          <w:p>
            <w:pPr>
              <w:pStyle w:val="1005"/>
              <w:ind w:left="57" w:right="57"/>
            </w:pPr>
            <w:r>
              <w:t xml:space="preserve">Ответственный испо</w:t>
            </w:r>
            <w:r>
              <w:t xml:space="preserve">л</w:t>
            </w:r>
            <w:r>
              <w:t xml:space="preserve">нитель должность</w:t>
            </w:r>
            <w:r/>
          </w:p>
        </w:tc>
        <w:tc>
          <w:tcPr>
            <w:shd w:val="clear" w:fill="auto" w:color="auto"/>
            <w:tcW w:w="3740" w:type="pct"/>
            <w:textDirection w:val="lrTb"/>
            <w:noWrap w:val="false"/>
          </w:tcPr>
          <w:p>
            <w:pPr>
              <w:pStyle w:val="1005"/>
              <w:ind w:left="57" w:right="57"/>
            </w:pPr>
            <w:r>
              <w:t xml:space="preserve">Заполнение поля на основании Квитанции об обработке документа в </w:t>
            </w:r>
            <w:r>
              <w:t xml:space="preserve">OEBS</w:t>
            </w:r>
            <w:r>
              <w:t xml:space="preserve">.</w:t>
            </w:r>
            <w:r/>
          </w:p>
        </w:tc>
      </w:tr>
      <w:tr>
        <w:trPr/>
        <w:tc>
          <w:tcPr>
            <w:shd w:val="clear" w:fill="auto" w:color="auto"/>
            <w:tcW w:w="1260" w:type="pct"/>
            <w:textDirection w:val="lrTb"/>
            <w:noWrap w:val="false"/>
          </w:tcPr>
          <w:p>
            <w:pPr>
              <w:pStyle w:val="1005"/>
              <w:ind w:left="57" w:right="57"/>
            </w:pPr>
            <w:r>
              <w:t xml:space="preserve">Расшифровка подписи</w:t>
            </w:r>
            <w:r/>
          </w:p>
        </w:tc>
        <w:tc>
          <w:tcPr>
            <w:shd w:val="clear" w:fill="auto" w:color="auto"/>
            <w:tcW w:w="3740" w:type="pct"/>
            <w:textDirection w:val="lrTb"/>
            <w:noWrap w:val="false"/>
          </w:tcPr>
          <w:p>
            <w:pPr>
              <w:pStyle w:val="1005"/>
              <w:ind w:left="57" w:right="57"/>
            </w:pPr>
            <w:r>
              <w:t xml:space="preserve">Заполнение поля на основании Квитанции об обработке документа в </w:t>
            </w:r>
            <w:r>
              <w:t xml:space="preserve">OEBS</w:t>
            </w:r>
            <w:r>
              <w:t xml:space="preserve">.</w:t>
            </w:r>
            <w:r/>
          </w:p>
        </w:tc>
      </w:tr>
      <w:tr>
        <w:trPr/>
        <w:tc>
          <w:tcPr>
            <w:shd w:val="clear" w:fill="auto" w:color="auto"/>
            <w:tcW w:w="1260" w:type="pct"/>
            <w:textDirection w:val="lrTb"/>
            <w:noWrap w:val="false"/>
          </w:tcPr>
          <w:p>
            <w:pPr>
              <w:pStyle w:val="1005"/>
              <w:ind w:left="57" w:right="57"/>
            </w:pPr>
            <w:r>
              <w:t xml:space="preserve">Дата принятия</w:t>
            </w:r>
            <w:r/>
          </w:p>
        </w:tc>
        <w:tc>
          <w:tcPr>
            <w:shd w:val="clear" w:fill="auto" w:color="auto"/>
            <w:tcW w:w="3740" w:type="pct"/>
            <w:textDirection w:val="lrTb"/>
            <w:noWrap w:val="false"/>
          </w:tcPr>
          <w:p>
            <w:pPr>
              <w:pStyle w:val="1005"/>
              <w:ind w:left="57" w:right="57"/>
            </w:pPr>
            <w:r>
              <w:t xml:space="preserve">Заполнение поля на основании Квитанции об обработке документа в </w:t>
            </w:r>
            <w:r>
              <w:t xml:space="preserve">OEBS</w:t>
            </w:r>
            <w:r>
              <w:t xml:space="preserve">.</w:t>
            </w:r>
            <w:r/>
          </w:p>
        </w:tc>
      </w:tr>
    </w:tbl>
    <w:p>
      <w:pPr>
        <w:pStyle w:val="972"/>
      </w:pPr>
      <w:r/>
      <w:bookmarkStart w:id="860" w:name="_Ref57809686"/>
      <w:r/>
      <w:bookmarkStart w:id="861" w:name="_Toc57809098"/>
      <w:r/>
      <w:bookmarkStart w:id="862" w:name="_Ref514676840"/>
      <w:r/>
      <w:bookmarkStart w:id="863" w:name="_Toc57722054"/>
      <w:r/>
      <w:bookmarkStart w:id="864" w:name="_Toc88819115"/>
      <w:r>
        <w:t xml:space="preserve">Казначейское обеспечение обязательств</w:t>
      </w:r>
      <w:bookmarkEnd w:id="860"/>
      <w:r/>
      <w:bookmarkEnd w:id="861"/>
      <w:r/>
      <w:bookmarkEnd w:id="862"/>
      <w:r/>
      <w:bookmarkEnd w:id="863"/>
      <w:r/>
      <w:bookmarkEnd w:id="864"/>
      <w:r/>
      <w:r/>
    </w:p>
    <w:p>
      <w:pPr>
        <w:pStyle w:val="994"/>
      </w:pPr>
      <w:r>
        <w:t xml:space="preserve">Документ «Казначейское обеспечение обязательств» предназначен для осуществления казначейского сопровождения по отдельным государственным контрактам в ППО АСФК. Документ формируется на основании документа «</w:t>
      </w:r>
      <w:r>
        <w:t xml:space="preserve">Заявление на выдачу (перевод, отзыв) Казначейского обеспечения обязательств</w:t>
      </w:r>
      <w:r>
        <w:t xml:space="preserve">».</w:t>
      </w:r>
      <w:r/>
    </w:p>
    <w:p>
      <w:pPr>
        <w:pStyle w:val="994"/>
      </w:pPr>
      <w:r>
        <w:t xml:space="preserve">Для работы с документами «Казначейск</w:t>
      </w:r>
      <w:r>
        <w:t xml:space="preserve">ое обеспечение обязательств» следует перейти в пункт меню «Документы – Регистрация и учет обязательств – Аккредитив – Казначейское обеспечение обязательств – Казначейское обеспечение обязательств». Откроется ЭФ списка документов, представленная на рисунке </w:t>
      </w:r>
      <w:r>
        <w:fldChar w:fldCharType="begin"/>
      </w:r>
      <w:r>
        <w:instrText xml:space="preserve"> REF _Ref455658777 \h </w:instrText>
      </w:r>
      <w:r>
        <w:fldChar w:fldCharType="separate"/>
      </w:r>
      <w:r>
        <w:t xml:space="preserve">104</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017520"/>
                <wp:effectExtent l="0" t="0" r="0" b="0"/>
                <wp:docPr id="17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70"/>
                        <a:stretch/>
                      </pic:blipFill>
                      <pic:spPr bwMode="auto">
                        <a:xfrm>
                          <a:off x="0" y="0"/>
                          <a:ext cx="6126480" cy="301751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 o:spid="_x0000_s178" type="#_x0000_t75" style="mso-wrap-distance-left:0.0pt;mso-wrap-distance-top:0.0pt;mso-wrap-distance-right:0.0pt;mso-wrap-distance-bottom:0.0pt;width:482.4pt;height:237.6pt;" stroked="f">
                <v:path textboxrect="0,0,0,0"/>
                <v:imagedata r:id="rId170" o:title=""/>
              </v:shape>
            </w:pict>
          </mc:Fallback>
        </mc:AlternateContent>
      </w:r>
      <w:r/>
    </w:p>
    <w:p>
      <w:pPr>
        <w:pStyle w:val="983"/>
        <w:numPr>
          <w:ilvl w:val="0"/>
          <w:numId w:val="126"/>
        </w:numPr>
      </w:pPr>
      <w:r>
        <w:fldChar w:fldCharType="begin"/>
      </w:r>
      <w:r>
        <w:instrText xml:space="preserve"> SEQ Рисунок \* ARABIC </w:instrText>
      </w:r>
      <w:r>
        <w:fldChar w:fldCharType="separate"/>
      </w:r>
      <w:bookmarkStart w:id="865" w:name="_Ref455658777"/>
      <w:r/>
      <w:bookmarkStart w:id="866" w:name="_Toc57809458"/>
      <w:r/>
      <w:bookmarkStart w:id="867" w:name="_Toc50059784"/>
      <w:r/>
      <w:bookmarkStart w:id="868" w:name="_Toc88819489"/>
      <w:r>
        <w:t xml:space="preserve">104</w:t>
      </w:r>
      <w:bookmarkEnd w:id="865"/>
      <w:r>
        <w:fldChar w:fldCharType="end"/>
      </w:r>
      <w:r>
        <w:t xml:space="preserve">. ЭФ списка документов «Казначейское обеспечение обязательств»</w:t>
      </w:r>
      <w:bookmarkEnd w:id="866"/>
      <w:r/>
      <w:bookmarkEnd w:id="867"/>
      <w:r/>
      <w:bookmarkEnd w:id="868"/>
      <w:r/>
      <w:r/>
    </w:p>
    <w:p>
      <w:pPr>
        <w:pStyle w:val="973"/>
      </w:pPr>
      <w:r>
        <w:t xml:space="preserve">Доступные операции</w:t>
      </w:r>
      <w:r/>
    </w:p>
    <w:p>
      <w:pPr>
        <w:pStyle w:val="994"/>
      </w:pPr>
      <w:r>
        <w:t xml:space="preserve">На АРМ ФО доступны следующие операции над документом:</w:t>
      </w:r>
      <w:r/>
    </w:p>
    <w:p>
      <w:pPr>
        <w:pStyle w:val="985"/>
        <w:numPr>
          <w:ilvl w:val="0"/>
          <w:numId w:val="127"/>
        </w:numPr>
      </w:pPr>
      <w:r>
        <w:t xml:space="preserve">Для входящих документов:</w:t>
      </w:r>
      <w:r/>
    </w:p>
    <w:p>
      <w:pPr>
        <w:pStyle w:val="986"/>
        <w:numPr>
          <w:ilvl w:val="0"/>
          <w:numId w:val="128"/>
        </w:numPr>
      </w:pPr>
      <w:r>
        <w:t xml:space="preserve">просмотр;</w:t>
      </w:r>
      <w:r/>
    </w:p>
    <w:p>
      <w:pPr>
        <w:pStyle w:val="986"/>
        <w:numPr>
          <w:ilvl w:val="0"/>
          <w:numId w:val="128"/>
        </w:numPr>
      </w:pPr>
      <w:r>
        <w:t xml:space="preserve">проверка ЭП;</w:t>
      </w:r>
      <w:r/>
    </w:p>
    <w:p>
      <w:pPr>
        <w:pStyle w:val="986"/>
        <w:numPr>
          <w:ilvl w:val="0"/>
          <w:numId w:val="128"/>
        </w:numPr>
      </w:pPr>
      <w:r>
        <w:t xml:space="preserve">печать;</w:t>
      </w:r>
      <w:r/>
    </w:p>
    <w:p>
      <w:pPr>
        <w:pStyle w:val="986"/>
        <w:numPr>
          <w:ilvl w:val="0"/>
          <w:numId w:val="128"/>
        </w:numPr>
      </w:pPr>
      <w:r>
        <w:t xml:space="preserve">экспорт в СЭД.</w:t>
      </w:r>
      <w:r/>
    </w:p>
    <w:p>
      <w:pPr>
        <w:pStyle w:val="985"/>
        <w:numPr>
          <w:ilvl w:val="0"/>
          <w:numId w:val="127"/>
        </w:numPr>
      </w:pPr>
      <w:r>
        <w:t xml:space="preserve">Для транзитных документов:</w:t>
      </w:r>
      <w:r/>
    </w:p>
    <w:p>
      <w:pPr>
        <w:pStyle w:val="986"/>
        <w:numPr>
          <w:ilvl w:val="0"/>
          <w:numId w:val="128"/>
        </w:numPr>
      </w:pPr>
      <w:r>
        <w:t xml:space="preserve">просмотр;</w:t>
      </w:r>
      <w:r/>
    </w:p>
    <w:p>
      <w:pPr>
        <w:pStyle w:val="986"/>
        <w:numPr>
          <w:ilvl w:val="0"/>
          <w:numId w:val="128"/>
        </w:numPr>
      </w:pPr>
      <w:r>
        <w:t xml:space="preserve">подписание и проверка ЭП;</w:t>
      </w:r>
      <w:r/>
    </w:p>
    <w:p>
      <w:pPr>
        <w:pStyle w:val="986"/>
        <w:numPr>
          <w:ilvl w:val="0"/>
          <w:numId w:val="128"/>
        </w:numPr>
      </w:pPr>
      <w:r>
        <w:t xml:space="preserve">отправка;</w:t>
      </w:r>
      <w:r/>
    </w:p>
    <w:p>
      <w:pPr>
        <w:pStyle w:val="986"/>
        <w:numPr>
          <w:ilvl w:val="0"/>
          <w:numId w:val="128"/>
        </w:numPr>
      </w:pPr>
      <w:r>
        <w:t xml:space="preserve">печать;</w:t>
      </w:r>
      <w:r/>
    </w:p>
    <w:p>
      <w:pPr>
        <w:pStyle w:val="986"/>
        <w:numPr>
          <w:ilvl w:val="0"/>
          <w:numId w:val="128"/>
        </w:numPr>
      </w:pPr>
      <w:r>
        <w:t xml:space="preserve">экспорт во внешнюю систему.</w:t>
      </w:r>
      <w:r/>
    </w:p>
    <w:p>
      <w:pPr>
        <w:pStyle w:val="973"/>
      </w:pPr>
      <w:r>
        <w:t xml:space="preserve">Экранная форма документа</w:t>
      </w:r>
      <w:r/>
    </w:p>
    <w:p>
      <w:pPr>
        <w:pStyle w:val="994"/>
      </w:pPr>
      <w:r>
        <w:t xml:space="preserve">ЭФ документа «Казначейское обеспечение обязательств» представлена на рисунке </w:t>
      </w:r>
      <w:r>
        <w:fldChar w:fldCharType="begin"/>
      </w:r>
      <w:r>
        <w:instrText xml:space="preserve"> REF _Ref455658811 \h </w:instrText>
      </w:r>
      <w:r>
        <w:fldChar w:fldCharType="separate"/>
      </w:r>
      <w:r>
        <w:t xml:space="preserve">105</w:t>
      </w:r>
      <w:r>
        <w:fldChar w:fldCharType="end"/>
      </w:r>
      <w:r>
        <w:t xml:space="preserve">. Форма содержит следующие закладки:</w:t>
      </w:r>
      <w:r/>
    </w:p>
    <w:p>
      <w:pPr>
        <w:pStyle w:val="985"/>
        <w:numPr>
          <w:ilvl w:val="0"/>
          <w:numId w:val="127"/>
        </w:numPr>
      </w:pPr>
      <w:r>
        <w:t xml:space="preserve">«Документ (1)»;</w:t>
      </w:r>
      <w:r/>
    </w:p>
    <w:p>
      <w:pPr>
        <w:pStyle w:val="985"/>
        <w:numPr>
          <w:ilvl w:val="0"/>
          <w:numId w:val="127"/>
        </w:numPr>
      </w:pPr>
      <w:r>
        <w:t xml:space="preserve">«Реквизиты (2)»;</w:t>
      </w:r>
      <w:r/>
    </w:p>
    <w:p>
      <w:pPr>
        <w:pStyle w:val="985"/>
        <w:numPr>
          <w:ilvl w:val="0"/>
          <w:numId w:val="127"/>
        </w:numPr>
      </w:pPr>
      <w:r>
        <w:t xml:space="preserve">«Сведения о казначейском обеспечении обязательств (3)»;</w:t>
      </w:r>
      <w:r/>
    </w:p>
    <w:p>
      <w:pPr>
        <w:pStyle w:val="985"/>
        <w:numPr>
          <w:ilvl w:val="0"/>
          <w:numId w:val="127"/>
        </w:numPr>
      </w:pPr>
      <w:r>
        <w:t xml:space="preserve">«Подписи (4)»;</w:t>
      </w:r>
      <w:r/>
    </w:p>
    <w:p>
      <w:pPr>
        <w:pStyle w:val="985"/>
        <w:numPr>
          <w:ilvl w:val="0"/>
          <w:numId w:val="127"/>
        </w:numPr>
      </w:pPr>
      <w:r>
        <w:t xml:space="preserve">«Дополнительные атрибуты (5)».</w:t>
      </w:r>
      <w:r/>
    </w:p>
    <w:p>
      <w:pPr>
        <w:pStyle w:val="982"/>
      </w:pPr>
      <w:r>
        <mc:AlternateContent>
          <mc:Choice Requires="wpg">
            <w:drawing>
              <wp:inline xmlns:wp="http://schemas.openxmlformats.org/drawingml/2006/wordprocessingDrawing" distT="0" distB="0" distL="0" distR="0">
                <wp:extent cx="6217920" cy="3566160"/>
                <wp:effectExtent l="0" t="0" r="0" b="0"/>
                <wp:docPr id="18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71"/>
                        <a:stretch/>
                      </pic:blipFill>
                      <pic:spPr bwMode="auto">
                        <a:xfrm>
                          <a:off x="0" y="0"/>
                          <a:ext cx="6217920" cy="35661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 o:spid="_x0000_s179" type="#_x0000_t75" style="mso-wrap-distance-left:0.0pt;mso-wrap-distance-top:0.0pt;mso-wrap-distance-right:0.0pt;mso-wrap-distance-bottom:0.0pt;width:489.6pt;height:280.8pt;" stroked="f">
                <v:path textboxrect="0,0,0,0"/>
                <v:imagedata r:id="rId171" o:title=""/>
              </v:shape>
            </w:pict>
          </mc:Fallback>
        </mc:AlternateContent>
      </w:r>
      <w:r/>
    </w:p>
    <w:p>
      <w:pPr>
        <w:pStyle w:val="983"/>
        <w:numPr>
          <w:ilvl w:val="0"/>
          <w:numId w:val="126"/>
        </w:numPr>
      </w:pPr>
      <w:r>
        <w:fldChar w:fldCharType="begin"/>
      </w:r>
      <w:r>
        <w:instrText xml:space="preserve"> SEQ Рисунок \* ARABIC </w:instrText>
      </w:r>
      <w:r>
        <w:fldChar w:fldCharType="separate"/>
      </w:r>
      <w:bookmarkStart w:id="869" w:name="_Ref455658811"/>
      <w:r/>
      <w:bookmarkStart w:id="870" w:name="_Toc57809459"/>
      <w:r/>
      <w:bookmarkStart w:id="871" w:name="_Toc50059785"/>
      <w:r/>
      <w:bookmarkStart w:id="872" w:name="_Toc88819490"/>
      <w:r>
        <w:t xml:space="preserve">105</w:t>
      </w:r>
      <w:bookmarkEnd w:id="869"/>
      <w:r>
        <w:fldChar w:fldCharType="end"/>
      </w:r>
      <w:r>
        <w:t xml:space="preserve">. ЭФ документа «Казначейское обеспечение обязательств», закладки «Документ (1)»</w:t>
      </w:r>
      <w:bookmarkEnd w:id="870"/>
      <w:r/>
      <w:bookmarkEnd w:id="871"/>
      <w:r/>
      <w:bookmarkEnd w:id="872"/>
      <w:r/>
      <w:r/>
    </w:p>
    <w:p>
      <w:pPr>
        <w:pStyle w:val="994"/>
      </w:pPr>
      <w:r>
        <w:t xml:space="preserve">Перечень полей документа «Казначейское обеспечение обязательств», закладки «Документ (1)» приведен в таблице </w:t>
      </w:r>
      <w:r>
        <w:fldChar w:fldCharType="begin"/>
      </w:r>
      <w:r>
        <w:instrText xml:space="preserve"> REF _Ref455658776 \h </w:instrText>
      </w:r>
      <w:r>
        <w:fldChar w:fldCharType="separate"/>
      </w:r>
      <w:r>
        <w:t xml:space="preserve">56</w:t>
      </w:r>
      <w:r>
        <w:fldChar w:fldCharType="end"/>
      </w:r>
      <w:r>
        <w:t xml:space="preserve">.</w:t>
      </w:r>
      <w:r/>
    </w:p>
    <w:p>
      <w:pPr>
        <w:pStyle w:val="993"/>
        <w:numPr>
          <w:ilvl w:val="0"/>
          <w:numId w:val="129"/>
        </w:numPr>
      </w:pPr>
      <w:r>
        <w:fldChar w:fldCharType="begin"/>
      </w:r>
      <w:r>
        <w:instrText xml:space="preserve"> SEQ Таблица \* ARABIC </w:instrText>
      </w:r>
      <w:r>
        <w:fldChar w:fldCharType="separate"/>
      </w:r>
      <w:bookmarkStart w:id="873" w:name="_Ref455658776"/>
      <w:r/>
      <w:bookmarkStart w:id="874" w:name="_Toc57809219"/>
      <w:r/>
      <w:bookmarkStart w:id="875" w:name="_Toc57722282"/>
      <w:r/>
      <w:bookmarkStart w:id="876" w:name="_Toc88819242"/>
      <w:r>
        <w:t xml:space="preserve">56</w:t>
      </w:r>
      <w:bookmarkEnd w:id="873"/>
      <w:r>
        <w:fldChar w:fldCharType="end"/>
      </w:r>
      <w:r>
        <w:t xml:space="preserve">. Описание полей документа «Казначейское обеспечение обязательств», закладки «Документ (1)»</w:t>
      </w:r>
      <w:bookmarkEnd w:id="874"/>
      <w:r/>
      <w:bookmarkEnd w:id="875"/>
      <w:r/>
      <w:bookmarkEnd w:id="876"/>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937"/>
        <w:gridCol w:w="6815"/>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506"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494" w:type="pct"/>
            <w:vAlign w:val="center"/>
            <w:textDirection w:val="lrTb"/>
            <w:noWrap w:val="false"/>
          </w:tcPr>
          <w:p>
            <w:pPr>
              <w:pStyle w:val="1006"/>
            </w:pPr>
            <w:r>
              <w:t xml:space="preserve">Описание поля</w:t>
            </w:r>
            <w:r/>
          </w:p>
        </w:tc>
      </w:tr>
      <w:tr>
        <w:trPr/>
        <w:tc>
          <w:tcPr>
            <w:shd w:val="clear" w:fill="auto" w:color="auto"/>
            <w:tcW w:w="1506" w:type="pct"/>
            <w:textDirection w:val="lrTb"/>
            <w:noWrap w:val="false"/>
          </w:tcPr>
          <w:p>
            <w:pPr>
              <w:pStyle w:val="1005"/>
              <w:ind w:left="57" w:right="57"/>
            </w:pPr>
            <w:r>
              <w:t xml:space="preserve">Дата</w:t>
            </w:r>
            <w:r/>
          </w:p>
        </w:tc>
        <w:tc>
          <w:tcPr>
            <w:shd w:val="clear" w:fill="auto" w:color="auto"/>
            <w:tcW w:w="3494" w:type="pct"/>
            <w:textDirection w:val="lrTb"/>
            <w:noWrap w:val="false"/>
          </w:tcPr>
          <w:p>
            <w:pPr>
              <w:pStyle w:val="1005"/>
              <w:ind w:left="57" w:right="57"/>
            </w:pPr>
            <w:r>
              <w:t xml:space="preserve">Дата документа.</w:t>
            </w:r>
            <w:r/>
          </w:p>
        </w:tc>
      </w:tr>
      <w:tr>
        <w:trPr/>
        <w:tc>
          <w:tcPr>
            <w:shd w:val="clear" w:fill="auto" w:color="auto"/>
            <w:tcW w:w="1506" w:type="pct"/>
            <w:textDirection w:val="lrTb"/>
            <w:noWrap w:val="false"/>
          </w:tcPr>
          <w:p>
            <w:pPr>
              <w:pStyle w:val="1005"/>
              <w:ind w:left="57" w:right="57"/>
            </w:pPr>
            <w:r>
              <w:t xml:space="preserve">Номер</w:t>
            </w:r>
            <w:r/>
          </w:p>
        </w:tc>
        <w:tc>
          <w:tcPr>
            <w:shd w:val="clear" w:fill="auto" w:color="auto"/>
            <w:tcW w:w="3494" w:type="pct"/>
            <w:textDirection w:val="lrTb"/>
            <w:noWrap w:val="false"/>
          </w:tcPr>
          <w:p>
            <w:pPr>
              <w:pStyle w:val="1005"/>
              <w:ind w:left="57" w:right="57"/>
            </w:pPr>
            <w:r>
              <w:t xml:space="preserve">Номер документа.</w:t>
            </w:r>
            <w:r/>
          </w:p>
        </w:tc>
      </w:tr>
      <w:tr>
        <w:trPr/>
        <w:tc>
          <w:tcPr>
            <w:shd w:val="clear" w:fill="auto" w:color="auto"/>
            <w:tcW w:w="1506" w:type="pct"/>
            <w:textDirection w:val="lrTb"/>
            <w:noWrap w:val="false"/>
          </w:tcPr>
          <w:p>
            <w:pPr>
              <w:pStyle w:val="1005"/>
              <w:ind w:left="57" w:right="57"/>
            </w:pPr>
            <w:r>
              <w:t xml:space="preserve">Сумма</w:t>
            </w:r>
            <w:r/>
          </w:p>
        </w:tc>
        <w:tc>
          <w:tcPr>
            <w:shd w:val="clear" w:fill="auto" w:color="auto"/>
            <w:tcW w:w="3494" w:type="pct"/>
            <w:textDirection w:val="lrTb"/>
            <w:noWrap w:val="false"/>
          </w:tcPr>
          <w:p>
            <w:pPr>
              <w:pStyle w:val="1005"/>
              <w:ind w:left="57" w:right="57"/>
            </w:pPr>
            <w:r>
              <w:t xml:space="preserve">Сумма.</w:t>
            </w:r>
            <w:r/>
          </w:p>
        </w:tc>
      </w:tr>
      <w:tr>
        <w:trPr/>
        <w:tc>
          <w:tcPr>
            <w:shd w:val="clear" w:fill="auto" w:color="auto"/>
            <w:tcW w:w="1506" w:type="pct"/>
            <w:textDirection w:val="lrTb"/>
            <w:noWrap w:val="false"/>
          </w:tcPr>
          <w:p>
            <w:pPr>
              <w:pStyle w:val="1005"/>
              <w:ind w:left="57" w:right="57"/>
            </w:pPr>
            <w:r>
              <w:t xml:space="preserve">Статус</w:t>
            </w:r>
            <w:r/>
          </w:p>
        </w:tc>
        <w:tc>
          <w:tcPr>
            <w:shd w:val="clear" w:fill="auto" w:color="auto"/>
            <w:tcW w:w="3494" w:type="pct"/>
            <w:textDirection w:val="lrTb"/>
            <w:noWrap w:val="false"/>
          </w:tcPr>
          <w:p>
            <w:pPr>
              <w:pStyle w:val="1005"/>
              <w:ind w:left="57" w:right="57"/>
            </w:pPr>
            <w:r>
              <w:t xml:space="preserve">Бизнес-статус документа.</w:t>
            </w:r>
            <w:r/>
          </w:p>
        </w:tc>
      </w:tr>
      <w:tr>
        <w:trPr/>
        <w:tc>
          <w:tcPr>
            <w:shd w:val="clear" w:fill="auto" w:color="auto"/>
            <w:tcW w:w="1506" w:type="pct"/>
            <w:textDirection w:val="lrTb"/>
            <w:noWrap w:val="false"/>
          </w:tcPr>
          <w:p>
            <w:pPr>
              <w:pStyle w:val="1005"/>
              <w:ind w:left="57" w:right="57"/>
            </w:pPr>
            <w:r>
              <w:t xml:space="preserve">Подтип</w:t>
            </w:r>
            <w:r/>
          </w:p>
        </w:tc>
        <w:tc>
          <w:tcPr>
            <w:shd w:val="clear" w:fill="auto" w:color="auto"/>
            <w:tcW w:w="3494" w:type="pct"/>
            <w:textDirection w:val="lrTb"/>
            <w:noWrap w:val="false"/>
          </w:tcPr>
          <w:p>
            <w:pPr>
              <w:pStyle w:val="1005"/>
              <w:ind w:left="57" w:right="57"/>
            </w:pPr>
            <w:r>
              <w:t xml:space="preserve">Подтип.</w:t>
            </w:r>
            <w:r/>
          </w:p>
        </w:tc>
      </w:tr>
      <w:tr>
        <w:trPr/>
        <w:tc>
          <w:tcPr>
            <w:gridSpan w:val="2"/>
            <w:shd w:val="clear" w:fill="auto" w:color="auto"/>
            <w:tcW w:w="5000" w:type="pct"/>
            <w:textDirection w:val="lrTb"/>
            <w:noWrap w:val="false"/>
          </w:tcPr>
          <w:p>
            <w:pPr>
              <w:pStyle w:val="1005"/>
              <w:ind w:left="57" w:right="57"/>
            </w:pPr>
            <w:r>
              <w:t xml:space="preserve">Закладка «Документ (1)», группа полей «От кого»</w:t>
            </w:r>
            <w:r/>
          </w:p>
        </w:tc>
      </w:tr>
      <w:tr>
        <w:trPr/>
        <w:tc>
          <w:tcPr>
            <w:shd w:val="clear" w:fill="auto" w:color="auto"/>
            <w:tcW w:w="1506" w:type="pct"/>
            <w:textDirection w:val="lrTb"/>
            <w:noWrap w:val="false"/>
          </w:tcPr>
          <w:p>
            <w:pPr>
              <w:pStyle w:val="1005"/>
              <w:ind w:left="57" w:right="57"/>
            </w:pPr>
            <w:r>
              <w:t xml:space="preserve">Наименование ОрФК</w:t>
            </w:r>
            <w:r/>
          </w:p>
        </w:tc>
        <w:tc>
          <w:tcPr>
            <w:shd w:val="clear" w:fill="auto" w:color="auto"/>
            <w:tcW w:w="3494" w:type="pct"/>
            <w:textDirection w:val="lrTb"/>
            <w:noWrap w:val="false"/>
          </w:tcPr>
          <w:p>
            <w:pPr>
              <w:pStyle w:val="1005"/>
              <w:ind w:left="57" w:right="57"/>
            </w:pPr>
            <w:r>
              <w:t xml:space="preserve">Наименование органа Федерального казначейства.</w:t>
            </w:r>
            <w:r/>
          </w:p>
        </w:tc>
      </w:tr>
      <w:tr>
        <w:trPr/>
        <w:tc>
          <w:tcPr>
            <w:shd w:val="clear" w:fill="auto" w:color="auto"/>
            <w:tcW w:w="1506" w:type="pct"/>
            <w:textDirection w:val="lrTb"/>
            <w:noWrap w:val="false"/>
          </w:tcPr>
          <w:p>
            <w:pPr>
              <w:pStyle w:val="1005"/>
              <w:ind w:left="57" w:right="57"/>
            </w:pPr>
            <w:r>
              <w:t xml:space="preserve">По ОКПО</w:t>
            </w:r>
            <w:r/>
          </w:p>
        </w:tc>
        <w:tc>
          <w:tcPr>
            <w:shd w:val="clear" w:fill="auto" w:color="auto"/>
            <w:tcW w:w="3494" w:type="pct"/>
            <w:textDirection w:val="lrTb"/>
            <w:noWrap w:val="false"/>
          </w:tcPr>
          <w:p>
            <w:pPr>
              <w:pStyle w:val="1005"/>
              <w:ind w:left="57" w:right="57"/>
            </w:pPr>
            <w:r>
              <w:t xml:space="preserve">Код по ОКПО.</w:t>
            </w:r>
            <w:r/>
          </w:p>
        </w:tc>
      </w:tr>
      <w:tr>
        <w:trPr/>
        <w:tc>
          <w:tcPr>
            <w:shd w:val="clear" w:fill="auto" w:color="auto"/>
            <w:tcW w:w="1506" w:type="pct"/>
            <w:textDirection w:val="lrTb"/>
            <w:noWrap w:val="false"/>
          </w:tcPr>
          <w:p>
            <w:pPr>
              <w:pStyle w:val="1005"/>
              <w:ind w:left="57" w:right="57"/>
            </w:pPr>
            <w:r>
              <w:t xml:space="preserve">По КОФК</w:t>
            </w:r>
            <w:r/>
          </w:p>
        </w:tc>
        <w:tc>
          <w:tcPr>
            <w:shd w:val="clear" w:fill="auto" w:color="auto"/>
            <w:tcW w:w="3494" w:type="pct"/>
            <w:textDirection w:val="lrTb"/>
            <w:noWrap w:val="false"/>
          </w:tcPr>
          <w:p>
            <w:pPr>
              <w:pStyle w:val="1005"/>
              <w:ind w:left="57" w:right="57"/>
            </w:pPr>
            <w:r>
              <w:t xml:space="preserve">Код по КОФК.</w:t>
            </w:r>
            <w:r/>
          </w:p>
        </w:tc>
      </w:tr>
      <w:tr>
        <w:trPr/>
        <w:tc>
          <w:tcPr>
            <w:gridSpan w:val="2"/>
            <w:shd w:val="clear" w:fill="auto" w:color="auto"/>
            <w:tcW w:w="5000" w:type="pct"/>
            <w:textDirection w:val="lrTb"/>
            <w:noWrap w:val="false"/>
          </w:tcPr>
          <w:p>
            <w:pPr>
              <w:pStyle w:val="1005"/>
              <w:ind w:left="57" w:right="57"/>
            </w:pPr>
            <w:r>
              <w:t xml:space="preserve">Закладка «Документ (1)», группа полей «Кому»</w:t>
            </w:r>
            <w:r/>
          </w:p>
        </w:tc>
      </w:tr>
      <w:tr>
        <w:trPr/>
        <w:tc>
          <w:tcPr>
            <w:shd w:val="clear" w:fill="auto" w:color="auto"/>
            <w:tcW w:w="1506" w:type="pct"/>
            <w:textDirection w:val="lrTb"/>
            <w:noWrap w:val="false"/>
          </w:tcPr>
          <w:p>
            <w:pPr>
              <w:pStyle w:val="1005"/>
              <w:ind w:left="57" w:right="57"/>
            </w:pPr>
            <w:r>
              <w:t xml:space="preserve">Наименование ОрФК</w:t>
            </w:r>
            <w:r/>
          </w:p>
        </w:tc>
        <w:tc>
          <w:tcPr>
            <w:shd w:val="clear" w:fill="auto" w:color="auto"/>
            <w:tcW w:w="3494" w:type="pct"/>
            <w:textDirection w:val="lrTb"/>
            <w:noWrap w:val="false"/>
          </w:tcPr>
          <w:p>
            <w:pPr>
              <w:pStyle w:val="1005"/>
              <w:ind w:left="57" w:right="57"/>
            </w:pPr>
            <w:r>
              <w:t xml:space="preserve">Наименование органа Федерального казначейства.</w:t>
            </w:r>
            <w:r/>
          </w:p>
        </w:tc>
      </w:tr>
      <w:tr>
        <w:trPr/>
        <w:tc>
          <w:tcPr>
            <w:shd w:val="clear" w:fill="auto" w:color="auto"/>
            <w:tcW w:w="1506" w:type="pct"/>
            <w:textDirection w:val="lrTb"/>
            <w:noWrap w:val="false"/>
          </w:tcPr>
          <w:p>
            <w:pPr>
              <w:pStyle w:val="1005"/>
              <w:ind w:left="57" w:right="57"/>
            </w:pPr>
            <w:r>
              <w:t xml:space="preserve">По ОКПО</w:t>
            </w:r>
            <w:r/>
          </w:p>
        </w:tc>
        <w:tc>
          <w:tcPr>
            <w:shd w:val="clear" w:fill="auto" w:color="auto"/>
            <w:tcW w:w="3494" w:type="pct"/>
            <w:textDirection w:val="lrTb"/>
            <w:noWrap w:val="false"/>
          </w:tcPr>
          <w:p>
            <w:pPr>
              <w:pStyle w:val="1005"/>
              <w:ind w:left="57" w:right="57"/>
            </w:pPr>
            <w:r>
              <w:t xml:space="preserve">Код по ОКПО.</w:t>
            </w:r>
            <w:r/>
          </w:p>
        </w:tc>
      </w:tr>
      <w:tr>
        <w:trPr/>
        <w:tc>
          <w:tcPr>
            <w:shd w:val="clear" w:fill="auto" w:color="auto"/>
            <w:tcW w:w="1506" w:type="pct"/>
            <w:textDirection w:val="lrTb"/>
            <w:noWrap w:val="false"/>
          </w:tcPr>
          <w:p>
            <w:pPr>
              <w:pStyle w:val="1005"/>
              <w:ind w:left="57" w:right="57"/>
            </w:pPr>
            <w:r>
              <w:t xml:space="preserve">По КОФК</w:t>
            </w:r>
            <w:r/>
          </w:p>
        </w:tc>
        <w:tc>
          <w:tcPr>
            <w:shd w:val="clear" w:fill="auto" w:color="auto"/>
            <w:tcW w:w="3494" w:type="pct"/>
            <w:textDirection w:val="lrTb"/>
            <w:noWrap w:val="false"/>
          </w:tcPr>
          <w:p>
            <w:pPr>
              <w:pStyle w:val="1005"/>
              <w:ind w:left="57" w:right="57"/>
            </w:pPr>
            <w:r>
              <w:t xml:space="preserve">Код по КОФК.</w:t>
            </w:r>
            <w:r/>
          </w:p>
        </w:tc>
      </w:tr>
      <w:tr>
        <w:trPr/>
        <w:tc>
          <w:tcPr>
            <w:shd w:val="clear" w:fill="auto" w:color="auto"/>
            <w:tcW w:w="1506" w:type="pct"/>
            <w:textDirection w:val="lrTb"/>
            <w:noWrap w:val="false"/>
          </w:tcPr>
          <w:p>
            <w:pPr>
              <w:pStyle w:val="1005"/>
              <w:ind w:left="57" w:right="57"/>
            </w:pPr>
            <w:r>
              <w:t xml:space="preserve">Вид расчетов</w:t>
            </w:r>
            <w:r/>
          </w:p>
        </w:tc>
        <w:tc>
          <w:tcPr>
            <w:shd w:val="clear" w:fill="auto" w:color="auto"/>
            <w:tcW w:w="3494" w:type="pct"/>
            <w:textDirection w:val="lrTb"/>
            <w:noWrap w:val="false"/>
          </w:tcPr>
          <w:p>
            <w:pPr>
              <w:pStyle w:val="1005"/>
              <w:ind w:left="57" w:right="57"/>
              <w:tabs>
                <w:tab w:val="left" w:pos="2595" w:leader="none"/>
              </w:tabs>
            </w:pPr>
            <w:r>
              <w:t xml:space="preserve">Указывается вид расчетов путем выбора из выпадающего списка:</w:t>
            </w:r>
            <w:r/>
          </w:p>
          <w:p>
            <w:pPr>
              <w:pStyle w:val="1007"/>
              <w:numPr>
                <w:ilvl w:val="0"/>
                <w:numId w:val="137"/>
              </w:numPr>
            </w:pPr>
            <w:r>
              <w:t xml:space="preserve">расчеты, связанные с предварительной оплатой;</w:t>
            </w:r>
            <w:r/>
          </w:p>
          <w:p>
            <w:pPr>
              <w:pStyle w:val="1007"/>
              <w:numPr>
                <w:ilvl w:val="0"/>
                <w:numId w:val="137"/>
              </w:numPr>
            </w:pPr>
            <w:r>
              <w:t xml:space="preserve">расчеты, связанные с исполнением государственного контракта </w:t>
            </w:r>
            <w:r>
              <w:t xml:space="preserve">(договора).</w:t>
            </w:r>
            <w:r/>
          </w:p>
        </w:tc>
      </w:tr>
      <w:tr>
        <w:trPr/>
        <w:tc>
          <w:tcPr>
            <w:shd w:val="clear" w:fill="auto" w:color="auto"/>
            <w:tcW w:w="1506" w:type="pct"/>
            <w:textDirection w:val="lrTb"/>
            <w:noWrap w:val="false"/>
          </w:tcPr>
          <w:p>
            <w:pPr>
              <w:pStyle w:val="1005"/>
              <w:ind w:left="57" w:right="57"/>
            </w:pPr>
            <w:r>
              <w:t xml:space="preserve">Код вида расчетов</w:t>
            </w:r>
            <w:r/>
          </w:p>
        </w:tc>
        <w:tc>
          <w:tcPr>
            <w:shd w:val="clear" w:fill="auto" w:color="auto"/>
            <w:tcW w:w="3494" w:type="pct"/>
            <w:textDirection w:val="lrTb"/>
            <w:noWrap w:val="false"/>
          </w:tcPr>
          <w:p>
            <w:pPr>
              <w:pStyle w:val="1005"/>
              <w:ind w:left="57" w:right="57"/>
            </w:pPr>
            <w:r>
              <w:t xml:space="preserve">Указывается условный код вида расчета в зависимости от выбранного значения в поле «Вид расчета»:</w:t>
            </w:r>
            <w:r/>
          </w:p>
          <w:p>
            <w:pPr>
              <w:pStyle w:val="1007"/>
              <w:numPr>
                <w:ilvl w:val="0"/>
                <w:numId w:val="137"/>
              </w:numPr>
            </w:pPr>
            <w:r>
              <w:t xml:space="preserve">«03» - если указано «расчеты, связанные с предварительной оплатой»;</w:t>
            </w:r>
            <w:r/>
          </w:p>
          <w:p>
            <w:pPr>
              <w:pStyle w:val="1007"/>
              <w:numPr>
                <w:ilvl w:val="0"/>
                <w:numId w:val="137"/>
              </w:numPr>
            </w:pPr>
            <w:r>
              <w:t xml:space="preserve">«04» - если указано «расчеты, связанные с исполнением государственного контракта (договора)»;</w:t>
            </w:r>
            <w:r/>
          </w:p>
          <w:p>
            <w:pPr>
              <w:pStyle w:val="1007"/>
              <w:numPr>
                <w:ilvl w:val="0"/>
                <w:numId w:val="137"/>
              </w:numPr>
            </w:pPr>
            <w:r>
              <w:t xml:space="preserve">пустое значение, если указано пустое значение.</w:t>
            </w:r>
            <w:r/>
          </w:p>
        </w:tc>
      </w:tr>
      <w:tr>
        <w:trPr/>
        <w:tc>
          <w:tcPr>
            <w:shd w:val="clear" w:fill="auto" w:color="auto"/>
            <w:tcW w:w="1506" w:type="pct"/>
            <w:textDirection w:val="lrTb"/>
            <w:noWrap w:val="false"/>
          </w:tcPr>
          <w:p>
            <w:pPr>
              <w:pStyle w:val="1005"/>
              <w:ind w:left="57" w:right="57"/>
            </w:pPr>
            <w:r>
              <w:t xml:space="preserve">Единица измерения</w:t>
            </w:r>
            <w:r/>
          </w:p>
        </w:tc>
        <w:tc>
          <w:tcPr>
            <w:shd w:val="clear" w:fill="auto" w:color="auto"/>
            <w:tcW w:w="3494" w:type="pct"/>
            <w:textDirection w:val="lrTb"/>
            <w:noWrap w:val="false"/>
          </w:tcPr>
          <w:p>
            <w:pPr>
              <w:pStyle w:val="1005"/>
              <w:ind w:left="57" w:right="57"/>
            </w:pPr>
            <w:r>
              <w:t xml:space="preserve">Указывается значение «руб. (с точностью до второго десятичного знака)».</w:t>
            </w:r>
            <w:r/>
          </w:p>
          <w:p>
            <w:pPr>
              <w:pStyle w:val="1005"/>
              <w:ind w:left="57" w:right="57"/>
            </w:pPr>
            <w:r>
              <w:t xml:space="preserve">Не доступно для заполнения вручную</w:t>
            </w:r>
            <w:r>
              <w:t xml:space="preserve">.</w:t>
            </w:r>
            <w:r/>
          </w:p>
        </w:tc>
      </w:tr>
      <w:tr>
        <w:trPr/>
        <w:tc>
          <w:tcPr>
            <w:shd w:val="clear" w:fill="auto" w:color="auto"/>
            <w:tcW w:w="1506" w:type="pct"/>
            <w:textDirection w:val="lrTb"/>
            <w:noWrap w:val="false"/>
          </w:tcPr>
          <w:p>
            <w:pPr>
              <w:pStyle w:val="1005"/>
              <w:ind w:left="57" w:right="57"/>
            </w:pPr>
            <w:r>
              <w:t xml:space="preserve">По ОКЕИ</w:t>
            </w:r>
            <w:r/>
          </w:p>
        </w:tc>
        <w:tc>
          <w:tcPr>
            <w:shd w:val="clear" w:fill="auto" w:color="auto"/>
            <w:tcW w:w="3494" w:type="pct"/>
            <w:textDirection w:val="lrTb"/>
            <w:noWrap w:val="false"/>
          </w:tcPr>
          <w:p>
            <w:pPr>
              <w:pStyle w:val="1005"/>
              <w:ind w:left="57" w:right="57"/>
            </w:pPr>
            <w:r>
              <w:t xml:space="preserve">Код по ОКЕИ.</w:t>
            </w:r>
            <w:r/>
          </w:p>
        </w:tc>
      </w:tr>
    </w:tbl>
    <w:p>
      <w:pPr>
        <w:pStyle w:val="994"/>
      </w:pPr>
      <w:r>
        <w:t xml:space="preserve">ЭФ документа «Казначейское обеспечение обязательств», закладки «Реквизиты (2)» представлена на рисунке </w:t>
      </w:r>
      <w:r>
        <w:fldChar w:fldCharType="begin"/>
      </w:r>
      <w:r>
        <w:instrText xml:space="preserve"> REF _Ref455658826 \h </w:instrText>
      </w:r>
      <w:r>
        <w:fldChar w:fldCharType="separate"/>
      </w:r>
      <w:r>
        <w:t xml:space="preserve">106</w:t>
      </w:r>
      <w:r>
        <w:fldChar w:fldCharType="end"/>
      </w:r>
      <w:r>
        <w:t xml:space="preserve">. </w:t>
      </w:r>
      <w:r/>
    </w:p>
    <w:p>
      <w:pPr>
        <w:pStyle w:val="982"/>
      </w:pPr>
      <w:r>
        <mc:AlternateContent>
          <mc:Choice Requires="wpg">
            <w:drawing>
              <wp:inline xmlns:wp="http://schemas.openxmlformats.org/drawingml/2006/wordprocessingDrawing" distT="0" distB="0" distL="0" distR="0">
                <wp:extent cx="6126480" cy="6027420"/>
                <wp:effectExtent l="0" t="0" r="0" b="0"/>
                <wp:docPr id="18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72"/>
                        <a:stretch/>
                      </pic:blipFill>
                      <pic:spPr bwMode="auto">
                        <a:xfrm>
                          <a:off x="0" y="0"/>
                          <a:ext cx="6126480" cy="60274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 o:spid="_x0000_s180" type="#_x0000_t75" style="mso-wrap-distance-left:0.0pt;mso-wrap-distance-top:0.0pt;mso-wrap-distance-right:0.0pt;mso-wrap-distance-bottom:0.0pt;width:482.4pt;height:474.6pt;" stroked="f">
                <v:path textboxrect="0,0,0,0"/>
                <v:imagedata r:id="rId172" o:title=""/>
              </v:shape>
            </w:pict>
          </mc:Fallback>
        </mc:AlternateContent>
      </w:r>
      <w:r/>
    </w:p>
    <w:p>
      <w:pPr>
        <w:pStyle w:val="983"/>
        <w:numPr>
          <w:ilvl w:val="0"/>
          <w:numId w:val="126"/>
        </w:numPr>
      </w:pPr>
      <w:r>
        <w:fldChar w:fldCharType="begin"/>
      </w:r>
      <w:r>
        <w:instrText xml:space="preserve"> SEQ Рисунок \* ARABIC </w:instrText>
      </w:r>
      <w:r>
        <w:fldChar w:fldCharType="separate"/>
      </w:r>
      <w:bookmarkStart w:id="877" w:name="_Ref455658826"/>
      <w:r/>
      <w:bookmarkStart w:id="878" w:name="_Toc57809460"/>
      <w:r/>
      <w:bookmarkStart w:id="879" w:name="_Toc50059786"/>
      <w:r/>
      <w:bookmarkStart w:id="880" w:name="_Toc88819491"/>
      <w:r>
        <w:t xml:space="preserve">106</w:t>
      </w:r>
      <w:bookmarkEnd w:id="877"/>
      <w:r>
        <w:fldChar w:fldCharType="end"/>
      </w:r>
      <w:r>
        <w:t xml:space="preserve">. ЭФ документа «Казначейское обеспечение обязательств», закладки «Реквизиты (2)»</w:t>
      </w:r>
      <w:bookmarkEnd w:id="878"/>
      <w:r/>
      <w:bookmarkEnd w:id="879"/>
      <w:r/>
      <w:bookmarkEnd w:id="880"/>
      <w:r/>
      <w:r/>
    </w:p>
    <w:p>
      <w:pPr>
        <w:pStyle w:val="994"/>
      </w:pPr>
      <w:r>
        <w:t xml:space="preserve">Перечень полей документа «Казначейское обеспечение обязательств», закладки «Реквизиты (2)» приведен в таблице </w:t>
      </w:r>
      <w:r>
        <w:fldChar w:fldCharType="begin"/>
      </w:r>
      <w:r>
        <w:instrText xml:space="preserve"> REF _Ref454801761 \h </w:instrText>
      </w:r>
      <w:r>
        <w:fldChar w:fldCharType="separate"/>
      </w:r>
      <w:r>
        <w:t xml:space="preserve">57</w:t>
      </w:r>
      <w:r>
        <w:fldChar w:fldCharType="end"/>
      </w:r>
      <w:r>
        <w:t xml:space="preserve">.</w:t>
      </w:r>
      <w:r/>
    </w:p>
    <w:p>
      <w:pPr>
        <w:pStyle w:val="993"/>
        <w:numPr>
          <w:ilvl w:val="0"/>
          <w:numId w:val="129"/>
        </w:numPr>
      </w:pPr>
      <w:r>
        <w:fldChar w:fldCharType="begin"/>
      </w:r>
      <w:r>
        <w:instrText xml:space="preserve"> SEQ Таблица \* ARABIC </w:instrText>
      </w:r>
      <w:r>
        <w:fldChar w:fldCharType="separate"/>
      </w:r>
      <w:bookmarkStart w:id="881" w:name="_Ref454801761"/>
      <w:r/>
      <w:bookmarkStart w:id="882" w:name="_Toc57809220"/>
      <w:r/>
      <w:bookmarkStart w:id="883" w:name="_Toc57722283"/>
      <w:r/>
      <w:bookmarkStart w:id="884" w:name="_Toc88819243"/>
      <w:r>
        <w:t xml:space="preserve">57</w:t>
      </w:r>
      <w:bookmarkEnd w:id="881"/>
      <w:r>
        <w:fldChar w:fldCharType="end"/>
      </w:r>
      <w:r>
        <w:t xml:space="preserve">. Описание полей документа «Казначейское обеспечение обязательств», закладки «Реквизиты (2)»</w:t>
      </w:r>
      <w:bookmarkEnd w:id="882"/>
      <w:r/>
      <w:bookmarkEnd w:id="883"/>
      <w:r/>
      <w:bookmarkEnd w:id="884"/>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4310"/>
        <w:gridCol w:w="5442"/>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21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790"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«Плательщик»</w:t>
            </w:r>
            <w:r/>
          </w:p>
        </w:tc>
      </w:tr>
      <w:tr>
        <w:trPr/>
        <w:tc>
          <w:tcPr>
            <w:shd w:val="clear" w:fill="auto" w:color="auto"/>
            <w:tcW w:w="2210" w:type="pct"/>
            <w:textDirection w:val="lrTb"/>
            <w:noWrap w:val="false"/>
          </w:tcPr>
          <w:p>
            <w:pPr>
              <w:pStyle w:val="1005"/>
              <w:ind w:left="57" w:right="57"/>
            </w:pPr>
            <w:r>
              <w:t xml:space="preserve">Наименование</w:t>
            </w:r>
            <w:r/>
          </w:p>
        </w:tc>
        <w:tc>
          <w:tcPr>
            <w:shd w:val="clear" w:fill="auto" w:color="auto"/>
            <w:tcW w:w="2790" w:type="pct"/>
            <w:textDirection w:val="lrTb"/>
            <w:noWrap w:val="false"/>
          </w:tcPr>
          <w:p>
            <w:pPr>
              <w:pStyle w:val="1005"/>
              <w:ind w:left="57" w:right="57"/>
            </w:pPr>
            <w:r>
              <w:t xml:space="preserve">Наименование плательщика.</w:t>
            </w:r>
            <w:r/>
          </w:p>
        </w:tc>
      </w:tr>
      <w:tr>
        <w:trPr/>
        <w:tc>
          <w:tcPr>
            <w:shd w:val="clear" w:fill="auto" w:color="auto"/>
            <w:tcW w:w="2210" w:type="pct"/>
            <w:textDirection w:val="lrTb"/>
            <w:noWrap w:val="false"/>
          </w:tcPr>
          <w:p>
            <w:pPr>
              <w:pStyle w:val="1005"/>
              <w:ind w:left="57" w:right="57"/>
            </w:pPr>
            <w:r>
              <w:t xml:space="preserve">ИНН</w:t>
            </w:r>
            <w:r/>
          </w:p>
        </w:tc>
        <w:tc>
          <w:tcPr>
            <w:shd w:val="clear" w:fill="auto" w:color="auto"/>
            <w:tcW w:w="2790" w:type="pct"/>
            <w:textDirection w:val="lrTb"/>
            <w:noWrap w:val="false"/>
          </w:tcPr>
          <w:p>
            <w:pPr>
              <w:pStyle w:val="1005"/>
              <w:ind w:left="57" w:right="57"/>
            </w:pPr>
            <w:r>
              <w:t xml:space="preserve">ИНН плательщика.</w:t>
            </w:r>
            <w:r/>
          </w:p>
        </w:tc>
      </w:tr>
      <w:tr>
        <w:trPr>
          <w:trHeight w:val="70"/>
        </w:trPr>
        <w:tc>
          <w:tcPr>
            <w:shd w:val="clear" w:fill="auto" w:color="auto"/>
            <w:tcW w:w="2210" w:type="pct"/>
            <w:textDirection w:val="lrTb"/>
            <w:noWrap w:val="false"/>
          </w:tcPr>
          <w:p>
            <w:pPr>
              <w:pStyle w:val="1005"/>
              <w:ind w:left="57" w:right="57"/>
            </w:pPr>
            <w:r>
              <w:t xml:space="preserve">КПП</w:t>
            </w:r>
            <w:r/>
          </w:p>
        </w:tc>
        <w:tc>
          <w:tcPr>
            <w:shd w:val="clear" w:fill="auto" w:color="auto"/>
            <w:tcW w:w="2790" w:type="pct"/>
            <w:textDirection w:val="lrTb"/>
            <w:noWrap w:val="false"/>
          </w:tcPr>
          <w:p>
            <w:pPr>
              <w:pStyle w:val="1005"/>
              <w:ind w:left="57" w:right="57"/>
            </w:pPr>
            <w:r>
              <w:t xml:space="preserve">КПП плательщика.</w:t>
            </w:r>
            <w:r/>
          </w:p>
        </w:tc>
      </w:tr>
      <w:tr>
        <w:trPr/>
        <w:tc>
          <w:tcPr>
            <w:shd w:val="clear" w:fill="auto" w:color="auto"/>
            <w:tcW w:w="2210" w:type="pct"/>
            <w:textDirection w:val="lrTb"/>
            <w:noWrap w:val="false"/>
          </w:tcPr>
          <w:p>
            <w:pPr>
              <w:pStyle w:val="1005"/>
              <w:ind w:left="57" w:right="57"/>
            </w:pPr>
            <w:r>
              <w:t xml:space="preserve">К</w:t>
            </w:r>
            <w:r>
              <w:t xml:space="preserve">од по Сводному реестру</w:t>
            </w:r>
            <w:r/>
          </w:p>
        </w:tc>
        <w:tc>
          <w:tcPr>
            <w:shd w:val="clear" w:fill="auto" w:color="auto"/>
            <w:tcW w:w="2790" w:type="pct"/>
            <w:textDirection w:val="lrTb"/>
            <w:noWrap w:val="false"/>
          </w:tcPr>
          <w:p>
            <w:pPr>
              <w:pStyle w:val="1005"/>
              <w:ind w:left="57" w:right="57"/>
            </w:pPr>
            <w:r>
              <w:t xml:space="preserve">Код по Сводному реестру плательщика.</w:t>
            </w:r>
            <w:r/>
          </w:p>
        </w:tc>
      </w:tr>
      <w:tr>
        <w:trPr>
          <w:trHeight w:val="70"/>
        </w:trPr>
        <w:tc>
          <w:tcPr>
            <w:shd w:val="clear" w:fill="auto" w:color="auto"/>
            <w:tcW w:w="2210" w:type="pct"/>
            <w:textDirection w:val="lrTb"/>
            <w:noWrap w:val="false"/>
          </w:tcPr>
          <w:p>
            <w:pPr>
              <w:pStyle w:val="1005"/>
              <w:ind w:left="57" w:right="57"/>
            </w:pPr>
            <w:r>
              <w:t xml:space="preserve">Номер лицевого счета</w:t>
            </w:r>
            <w:r/>
          </w:p>
        </w:tc>
        <w:tc>
          <w:tcPr>
            <w:shd w:val="clear" w:fill="auto" w:color="auto"/>
            <w:tcW w:w="2790" w:type="pct"/>
            <w:textDirection w:val="lrTb"/>
            <w:noWrap w:val="false"/>
          </w:tcPr>
          <w:p>
            <w:pPr>
              <w:pStyle w:val="1005"/>
              <w:ind w:left="57" w:right="57"/>
            </w:pPr>
            <w:r>
              <w:t xml:space="preserve">Номер лицевого счета плательщика.</w:t>
            </w:r>
            <w:r/>
          </w:p>
        </w:tc>
      </w:tr>
      <w:tr>
        <w:trPr/>
        <w:tc>
          <w:tcPr>
            <w:shd w:val="clear" w:fill="auto" w:color="auto"/>
            <w:tcW w:w="2210" w:type="pct"/>
            <w:textDirection w:val="lrTb"/>
            <w:noWrap w:val="false"/>
          </w:tcPr>
          <w:p>
            <w:pPr>
              <w:pStyle w:val="1005"/>
              <w:ind w:left="57" w:right="57"/>
            </w:pPr>
            <w:r>
              <w:t xml:space="preserve">Номер казначейского счета</w:t>
            </w:r>
            <w:r/>
          </w:p>
        </w:tc>
        <w:tc>
          <w:tcPr>
            <w:shd w:val="clear" w:fill="auto" w:color="auto"/>
            <w:tcW w:w="2790" w:type="pct"/>
            <w:textDirection w:val="lrTb"/>
            <w:noWrap w:val="false"/>
          </w:tcPr>
          <w:p>
            <w:pPr>
              <w:pStyle w:val="1005"/>
              <w:ind w:left="57" w:right="57"/>
            </w:pPr>
            <w:r>
              <w:t xml:space="preserve">Номер казначейского счета.</w:t>
            </w:r>
            <w:r/>
          </w:p>
        </w:tc>
      </w:tr>
      <w:tr>
        <w:trPr/>
        <w:tc>
          <w:tcPr>
            <w:shd w:val="clear" w:fill="auto" w:color="auto"/>
            <w:tcW w:w="2210" w:type="pct"/>
            <w:textDirection w:val="lrTb"/>
            <w:noWrap w:val="false"/>
          </w:tcPr>
          <w:p>
            <w:pPr>
              <w:pStyle w:val="1005"/>
              <w:ind w:left="57" w:right="57"/>
            </w:pPr>
            <w:r>
              <w:t xml:space="preserve">Аналитический код</w:t>
            </w:r>
            <w:r/>
          </w:p>
        </w:tc>
        <w:tc>
          <w:tcPr>
            <w:shd w:val="clear" w:fill="auto" w:color="auto"/>
            <w:tcW w:w="2790" w:type="pct"/>
            <w:textDirection w:val="lrTb"/>
            <w:noWrap w:val="false"/>
          </w:tcPr>
          <w:p>
            <w:pPr>
              <w:pStyle w:val="1005"/>
              <w:ind w:left="57" w:right="57"/>
            </w:pPr>
            <w:r>
              <w:t xml:space="preserve">Аналитический код.</w:t>
            </w:r>
            <w:r/>
          </w:p>
        </w:tc>
      </w:tr>
      <w:tr>
        <w:trPr/>
        <w:tc>
          <w:tcPr>
            <w:shd w:val="clear" w:fill="auto" w:color="auto"/>
            <w:tcW w:w="2210" w:type="pct"/>
            <w:textDirection w:val="lrTb"/>
            <w:noWrap w:val="false"/>
          </w:tcPr>
          <w:p>
            <w:pPr>
              <w:pStyle w:val="1005"/>
              <w:ind w:left="57" w:right="57"/>
            </w:pPr>
            <w:r>
              <w:t xml:space="preserve">Аналитический код (1)</w:t>
            </w:r>
            <w:r/>
          </w:p>
        </w:tc>
        <w:tc>
          <w:tcPr>
            <w:shd w:val="clear" w:fill="auto" w:color="auto"/>
            <w:tcW w:w="2790" w:type="pct"/>
            <w:textDirection w:val="lrTb"/>
            <w:noWrap w:val="false"/>
          </w:tcPr>
          <w:p>
            <w:pPr>
              <w:pStyle w:val="1005"/>
              <w:ind w:left="57" w:right="57"/>
            </w:pPr>
            <w:r>
              <w:t xml:space="preserve">Указывается значение:</w:t>
            </w:r>
            <w:r/>
          </w:p>
          <w:p>
            <w:pPr>
              <w:pStyle w:val="1007"/>
              <w:numPr>
                <w:ilvl w:val="0"/>
                <w:numId w:val="130"/>
              </w:numPr>
            </w:pPr>
            <w:r>
              <w:t xml:space="preserve">одноименного поля соответствующего Заявления на КОО при формировании по АЗВ, АЗП; </w:t>
            </w:r>
            <w:r/>
          </w:p>
          <w:p>
            <w:pPr>
              <w:pStyle w:val="1007"/>
              <w:numPr>
                <w:ilvl w:val="0"/>
                <w:numId w:val="130"/>
              </w:numPr>
            </w:pPr>
            <w:r>
              <w:t xml:space="preserve">одноименного поля, изменяемого АКР при формировании по АЗИ;</w:t>
            </w:r>
            <w:r/>
          </w:p>
          <w:p>
            <w:pPr>
              <w:pStyle w:val="1007"/>
              <w:numPr>
                <w:ilvl w:val="0"/>
                <w:numId w:val="130"/>
              </w:numPr>
            </w:pPr>
            <w:r>
              <w:t xml:space="preserve">одноименного поля АКС, при формировании по АКС.</w:t>
            </w:r>
            <w:r/>
          </w:p>
        </w:tc>
      </w:tr>
      <w:tr>
        <w:trPr/>
        <w:tc>
          <w:tcPr>
            <w:gridSpan w:val="2"/>
            <w:shd w:val="clear" w:fill="auto" w:color="auto"/>
            <w:tcW w:w="5000" w:type="pct"/>
            <w:textDirection w:val="lrTb"/>
            <w:noWrap w:val="false"/>
          </w:tcPr>
          <w:p>
            <w:pPr>
              <w:pStyle w:val="1005"/>
              <w:ind w:left="57" w:right="57"/>
            </w:pPr>
            <w:r>
              <w:t xml:space="preserve">Группа полей «Банк плательщика»</w:t>
            </w:r>
            <w:r/>
          </w:p>
        </w:tc>
      </w:tr>
      <w:tr>
        <w:trPr/>
        <w:tc>
          <w:tcPr>
            <w:shd w:val="clear" w:fill="auto" w:color="auto"/>
            <w:tcW w:w="2210" w:type="pct"/>
            <w:textDirection w:val="lrTb"/>
            <w:noWrap w:val="false"/>
          </w:tcPr>
          <w:p>
            <w:pPr>
              <w:pStyle w:val="1005"/>
              <w:ind w:left="57" w:right="57"/>
            </w:pPr>
            <w:r>
              <w:t xml:space="preserve">Наименование банка</w:t>
            </w:r>
            <w:r/>
          </w:p>
        </w:tc>
        <w:tc>
          <w:tcPr>
            <w:shd w:val="clear" w:fill="auto" w:color="auto"/>
            <w:tcW w:w="2790" w:type="pct"/>
            <w:textDirection w:val="lrTb"/>
            <w:noWrap w:val="false"/>
          </w:tcPr>
          <w:p>
            <w:pPr>
              <w:pStyle w:val="1005"/>
              <w:ind w:left="57" w:right="57"/>
            </w:pPr>
            <w:r>
              <w:t xml:space="preserve">Наименование банка.</w:t>
            </w:r>
            <w:r/>
          </w:p>
        </w:tc>
      </w:tr>
      <w:tr>
        <w:trPr/>
        <w:tc>
          <w:tcPr>
            <w:shd w:val="clear" w:fill="auto" w:color="auto"/>
            <w:tcW w:w="2210" w:type="pct"/>
            <w:textDirection w:val="lrTb"/>
            <w:noWrap w:val="false"/>
          </w:tcPr>
          <w:p>
            <w:pPr>
              <w:pStyle w:val="1005"/>
              <w:ind w:left="57" w:right="57"/>
            </w:pPr>
            <w:r>
              <w:t xml:space="preserve">БИК</w:t>
            </w:r>
            <w:r/>
          </w:p>
        </w:tc>
        <w:tc>
          <w:tcPr>
            <w:shd w:val="clear" w:fill="auto" w:color="auto"/>
            <w:tcW w:w="2790" w:type="pct"/>
            <w:textDirection w:val="lrTb"/>
            <w:noWrap w:val="false"/>
          </w:tcPr>
          <w:p>
            <w:pPr>
              <w:pStyle w:val="1005"/>
              <w:ind w:left="57" w:right="57"/>
            </w:pPr>
            <w:r>
              <w:t xml:space="preserve">БИК.</w:t>
            </w:r>
            <w:r/>
          </w:p>
        </w:tc>
      </w:tr>
      <w:tr>
        <w:trPr/>
        <w:tc>
          <w:tcPr>
            <w:shd w:val="clear" w:fill="auto" w:color="auto"/>
            <w:tcW w:w="2210" w:type="pct"/>
            <w:textDirection w:val="lrTb"/>
            <w:noWrap w:val="false"/>
          </w:tcPr>
          <w:p>
            <w:pPr>
              <w:pStyle w:val="1005"/>
              <w:ind w:left="57" w:right="57"/>
            </w:pPr>
            <w:r>
              <w:t xml:space="preserve">№ ЕКС</w:t>
            </w:r>
            <w:r/>
          </w:p>
        </w:tc>
        <w:tc>
          <w:tcPr>
            <w:shd w:val="clear" w:fill="auto" w:color="auto"/>
            <w:tcW w:w="2790" w:type="pct"/>
            <w:textDirection w:val="lrTb"/>
            <w:noWrap w:val="false"/>
          </w:tcPr>
          <w:p>
            <w:pPr>
              <w:pStyle w:val="1005"/>
              <w:ind w:left="57" w:right="57"/>
            </w:pPr>
            <w:r>
              <w:t xml:space="preserve">№ ЕКС.</w:t>
            </w:r>
            <w:r/>
          </w:p>
        </w:tc>
      </w:tr>
      <w:tr>
        <w:trPr/>
        <w:tc>
          <w:tcPr>
            <w:gridSpan w:val="2"/>
            <w:shd w:val="clear" w:fill="auto" w:color="auto"/>
            <w:tcW w:w="5000" w:type="pct"/>
            <w:textDirection w:val="lrTb"/>
            <w:noWrap w:val="false"/>
          </w:tcPr>
          <w:p>
            <w:pPr>
              <w:pStyle w:val="1005"/>
              <w:ind w:left="57" w:right="57"/>
            </w:pPr>
            <w:r>
              <w:t xml:space="preserve">Группа полей «Получатель»</w:t>
            </w:r>
            <w:r/>
          </w:p>
        </w:tc>
      </w:tr>
      <w:tr>
        <w:trPr/>
        <w:tc>
          <w:tcPr>
            <w:shd w:val="clear" w:fill="auto" w:color="auto"/>
            <w:tcW w:w="2210" w:type="pct"/>
            <w:textDirection w:val="lrTb"/>
            <w:noWrap w:val="false"/>
          </w:tcPr>
          <w:p>
            <w:pPr>
              <w:pStyle w:val="1005"/>
              <w:ind w:left="57" w:right="57"/>
            </w:pPr>
            <w:r>
              <w:t xml:space="preserve">Наименование</w:t>
            </w:r>
            <w:r/>
          </w:p>
        </w:tc>
        <w:tc>
          <w:tcPr>
            <w:shd w:val="clear" w:fill="auto" w:color="auto"/>
            <w:tcW w:w="2790" w:type="pct"/>
            <w:textDirection w:val="lrTb"/>
            <w:noWrap w:val="false"/>
          </w:tcPr>
          <w:p>
            <w:pPr>
              <w:pStyle w:val="1005"/>
              <w:ind w:left="57" w:right="57"/>
            </w:pPr>
            <w:r>
              <w:t xml:space="preserve">Наименование получателя.</w:t>
            </w:r>
            <w:r/>
          </w:p>
        </w:tc>
      </w:tr>
      <w:tr>
        <w:trPr>
          <w:trHeight w:val="70"/>
        </w:trPr>
        <w:tc>
          <w:tcPr>
            <w:shd w:val="clear" w:fill="auto" w:color="auto"/>
            <w:tcW w:w="2210" w:type="pct"/>
            <w:textDirection w:val="lrTb"/>
            <w:noWrap w:val="false"/>
          </w:tcPr>
          <w:p>
            <w:pPr>
              <w:pStyle w:val="1005"/>
              <w:ind w:left="57" w:right="57"/>
            </w:pPr>
            <w:r>
              <w:t xml:space="preserve">ИНН</w:t>
            </w:r>
            <w:r/>
          </w:p>
        </w:tc>
        <w:tc>
          <w:tcPr>
            <w:shd w:val="clear" w:fill="auto" w:color="auto"/>
            <w:tcW w:w="2790" w:type="pct"/>
            <w:textDirection w:val="lrTb"/>
            <w:noWrap w:val="false"/>
          </w:tcPr>
          <w:p>
            <w:pPr>
              <w:pStyle w:val="1005"/>
              <w:ind w:left="57" w:right="57"/>
            </w:pPr>
            <w:r>
              <w:t xml:space="preserve">ИНН получателя.</w:t>
            </w:r>
            <w:r/>
          </w:p>
        </w:tc>
      </w:tr>
      <w:tr>
        <w:trPr/>
        <w:tc>
          <w:tcPr>
            <w:shd w:val="clear" w:fill="auto" w:color="auto"/>
            <w:tcW w:w="2210" w:type="pct"/>
            <w:textDirection w:val="lrTb"/>
            <w:noWrap w:val="false"/>
          </w:tcPr>
          <w:p>
            <w:pPr>
              <w:pStyle w:val="1005"/>
              <w:ind w:left="57" w:right="57"/>
            </w:pPr>
            <w:r>
              <w:t xml:space="preserve">КПП</w:t>
            </w:r>
            <w:r/>
          </w:p>
        </w:tc>
        <w:tc>
          <w:tcPr>
            <w:shd w:val="clear" w:fill="auto" w:color="auto"/>
            <w:tcW w:w="2790" w:type="pct"/>
            <w:textDirection w:val="lrTb"/>
            <w:noWrap w:val="false"/>
          </w:tcPr>
          <w:p>
            <w:pPr>
              <w:pStyle w:val="1005"/>
              <w:ind w:left="57" w:right="57"/>
            </w:pPr>
            <w:r>
              <w:t xml:space="preserve">КПП получателя.</w:t>
            </w:r>
            <w:r/>
          </w:p>
        </w:tc>
      </w:tr>
      <w:tr>
        <w:trPr/>
        <w:tc>
          <w:tcPr>
            <w:shd w:val="clear" w:fill="auto" w:color="auto"/>
            <w:tcW w:w="2210" w:type="pct"/>
            <w:textDirection w:val="lrTb"/>
            <w:noWrap w:val="false"/>
          </w:tcPr>
          <w:p>
            <w:pPr>
              <w:pStyle w:val="1005"/>
              <w:ind w:left="57" w:right="57"/>
            </w:pPr>
            <w:r>
              <w:t xml:space="preserve">Код по Сводному реестру</w:t>
            </w:r>
            <w:r/>
          </w:p>
        </w:tc>
        <w:tc>
          <w:tcPr>
            <w:shd w:val="clear" w:fill="auto" w:color="auto"/>
            <w:tcW w:w="2790" w:type="pct"/>
            <w:textDirection w:val="lrTb"/>
            <w:noWrap w:val="false"/>
          </w:tcPr>
          <w:p>
            <w:pPr>
              <w:pStyle w:val="1005"/>
              <w:ind w:left="57" w:right="57"/>
            </w:pPr>
            <w:r>
              <w:t xml:space="preserve">код по Сводному реестру получателя.</w:t>
            </w:r>
            <w:r/>
          </w:p>
        </w:tc>
      </w:tr>
      <w:tr>
        <w:trPr/>
        <w:tc>
          <w:tcPr>
            <w:shd w:val="clear" w:fill="auto" w:color="auto"/>
            <w:tcW w:w="2210" w:type="pct"/>
            <w:textDirection w:val="lrTb"/>
            <w:noWrap w:val="false"/>
          </w:tcPr>
          <w:p>
            <w:pPr>
              <w:pStyle w:val="1005"/>
              <w:ind w:left="57" w:right="57"/>
            </w:pPr>
            <w:r>
              <w:t xml:space="preserve">Номер лицевого счета</w:t>
            </w:r>
            <w:r/>
          </w:p>
        </w:tc>
        <w:tc>
          <w:tcPr>
            <w:shd w:val="clear" w:fill="auto" w:color="auto"/>
            <w:tcW w:w="2790" w:type="pct"/>
            <w:textDirection w:val="lrTb"/>
            <w:noWrap w:val="false"/>
          </w:tcPr>
          <w:p>
            <w:pPr>
              <w:pStyle w:val="1005"/>
              <w:ind w:left="57" w:right="57"/>
            </w:pPr>
            <w:r>
              <w:t xml:space="preserve">Номер лицевого счета получателя.</w:t>
            </w:r>
            <w:r/>
          </w:p>
        </w:tc>
      </w:tr>
      <w:tr>
        <w:trPr/>
        <w:tc>
          <w:tcPr>
            <w:shd w:val="clear" w:fill="auto" w:color="auto"/>
            <w:tcW w:w="2210" w:type="pct"/>
            <w:textDirection w:val="lrTb"/>
            <w:noWrap w:val="false"/>
          </w:tcPr>
          <w:p>
            <w:pPr>
              <w:pStyle w:val="1005"/>
              <w:ind w:left="57" w:right="57"/>
            </w:pPr>
            <w:r>
              <w:t xml:space="preserve">Номер казначейского счета</w:t>
            </w:r>
            <w:r/>
          </w:p>
        </w:tc>
        <w:tc>
          <w:tcPr>
            <w:shd w:val="clear" w:fill="auto" w:color="auto"/>
            <w:tcW w:w="2790" w:type="pct"/>
            <w:textDirection w:val="lrTb"/>
            <w:noWrap w:val="false"/>
          </w:tcPr>
          <w:p>
            <w:pPr>
              <w:pStyle w:val="1005"/>
              <w:ind w:left="57" w:right="57"/>
            </w:pPr>
            <w:r>
              <w:t xml:space="preserve">Номер казначейского счета.</w:t>
            </w:r>
            <w:r/>
          </w:p>
        </w:tc>
      </w:tr>
      <w:tr>
        <w:trPr/>
        <w:tc>
          <w:tcPr>
            <w:shd w:val="clear" w:fill="auto" w:color="auto"/>
            <w:tcW w:w="2210" w:type="pct"/>
            <w:textDirection w:val="lrTb"/>
            <w:noWrap w:val="false"/>
          </w:tcPr>
          <w:p>
            <w:pPr>
              <w:pStyle w:val="1005"/>
              <w:ind w:left="57" w:right="57"/>
            </w:pPr>
            <w:r>
              <w:t xml:space="preserve">Аналитический код</w:t>
            </w:r>
            <w:r/>
          </w:p>
        </w:tc>
        <w:tc>
          <w:tcPr>
            <w:shd w:val="clear" w:fill="auto" w:color="auto"/>
            <w:tcW w:w="2790" w:type="pct"/>
            <w:textDirection w:val="lrTb"/>
            <w:noWrap w:val="false"/>
          </w:tcPr>
          <w:p>
            <w:pPr>
              <w:pStyle w:val="1005"/>
              <w:ind w:left="57" w:right="57"/>
            </w:pPr>
            <w:r>
              <w:t xml:space="preserve">Аналитический код.</w:t>
            </w:r>
            <w:r/>
          </w:p>
        </w:tc>
      </w:tr>
      <w:tr>
        <w:trPr/>
        <w:tc>
          <w:tcPr>
            <w:shd w:val="clear" w:fill="auto" w:color="auto"/>
            <w:tcW w:w="2210" w:type="pct"/>
            <w:textDirection w:val="lrTb"/>
            <w:noWrap w:val="false"/>
          </w:tcPr>
          <w:p>
            <w:pPr>
              <w:pStyle w:val="1005"/>
              <w:ind w:left="57" w:right="57"/>
            </w:pPr>
            <w:r>
              <w:t xml:space="preserve">Аналитический код (1)</w:t>
            </w:r>
            <w:r/>
          </w:p>
        </w:tc>
        <w:tc>
          <w:tcPr>
            <w:shd w:val="clear" w:fill="auto" w:color="auto"/>
            <w:tcW w:w="2790" w:type="pct"/>
            <w:textDirection w:val="lrTb"/>
            <w:noWrap w:val="false"/>
          </w:tcPr>
          <w:p>
            <w:pPr>
              <w:pStyle w:val="1005"/>
              <w:ind w:left="57" w:right="57"/>
            </w:pPr>
            <w:r>
              <w:t xml:space="preserve">Указывается значение:</w:t>
            </w:r>
            <w:r/>
          </w:p>
          <w:p>
            <w:pPr>
              <w:pStyle w:val="1007"/>
              <w:numPr>
                <w:ilvl w:val="0"/>
                <w:numId w:val="130"/>
              </w:numPr>
            </w:pPr>
            <w:r>
              <w:t xml:space="preserve">одноименного поля соответствующего Заявления на КОО при формировании по АЗВ, АЗП; </w:t>
            </w:r>
            <w:r/>
          </w:p>
          <w:p>
            <w:pPr>
              <w:pStyle w:val="1007"/>
              <w:numPr>
                <w:ilvl w:val="0"/>
                <w:numId w:val="130"/>
              </w:numPr>
            </w:pPr>
            <w:r>
              <w:t xml:space="preserve">одноименного поля, изменяемого АКР при формировании по АЗИ;</w:t>
            </w:r>
            <w:r/>
          </w:p>
          <w:p>
            <w:pPr>
              <w:pStyle w:val="1007"/>
              <w:numPr>
                <w:ilvl w:val="0"/>
                <w:numId w:val="130"/>
              </w:numPr>
            </w:pPr>
            <w:r>
              <w:t xml:space="preserve">одноименного поля АКС, при формировании по АКС.</w:t>
            </w:r>
            <w:r/>
          </w:p>
        </w:tc>
      </w:tr>
      <w:tr>
        <w:trPr/>
        <w:tc>
          <w:tcPr>
            <w:gridSpan w:val="2"/>
            <w:shd w:val="clear" w:fill="auto" w:color="auto"/>
            <w:tcW w:w="5000" w:type="pct"/>
            <w:textDirection w:val="lrTb"/>
            <w:noWrap w:val="false"/>
          </w:tcPr>
          <w:p>
            <w:pPr>
              <w:pStyle w:val="1005"/>
              <w:ind w:left="57" w:right="57"/>
            </w:pPr>
            <w:r>
              <w:t xml:space="preserve">Группа полей «Банк получателя»</w:t>
            </w:r>
            <w:r/>
          </w:p>
        </w:tc>
      </w:tr>
      <w:tr>
        <w:trPr/>
        <w:tc>
          <w:tcPr>
            <w:shd w:val="clear" w:fill="auto" w:color="auto"/>
            <w:tcW w:w="2210" w:type="pct"/>
            <w:textDirection w:val="lrTb"/>
            <w:noWrap w:val="false"/>
          </w:tcPr>
          <w:p>
            <w:pPr>
              <w:pStyle w:val="1005"/>
              <w:ind w:left="57" w:right="57"/>
            </w:pPr>
            <w:r>
              <w:t xml:space="preserve">Наименование банка</w:t>
            </w:r>
            <w:r/>
          </w:p>
        </w:tc>
        <w:tc>
          <w:tcPr>
            <w:shd w:val="clear" w:fill="auto" w:color="auto"/>
            <w:tcW w:w="2790" w:type="pct"/>
            <w:textDirection w:val="lrTb"/>
            <w:noWrap w:val="false"/>
          </w:tcPr>
          <w:p>
            <w:pPr>
              <w:pStyle w:val="1005"/>
              <w:ind w:left="57" w:right="57"/>
            </w:pPr>
            <w:r>
              <w:t xml:space="preserve">Наименование банка.</w:t>
            </w:r>
            <w:r/>
          </w:p>
        </w:tc>
      </w:tr>
      <w:tr>
        <w:trPr/>
        <w:tc>
          <w:tcPr>
            <w:shd w:val="clear" w:fill="auto" w:color="auto"/>
            <w:tcW w:w="2210" w:type="pct"/>
            <w:textDirection w:val="lrTb"/>
            <w:noWrap w:val="false"/>
          </w:tcPr>
          <w:p>
            <w:pPr>
              <w:pStyle w:val="1005"/>
              <w:ind w:left="57" w:right="57"/>
            </w:pPr>
            <w:r>
              <w:t xml:space="preserve">БИК</w:t>
            </w:r>
            <w:r/>
          </w:p>
        </w:tc>
        <w:tc>
          <w:tcPr>
            <w:shd w:val="clear" w:fill="auto" w:color="auto"/>
            <w:tcW w:w="2790" w:type="pct"/>
            <w:textDirection w:val="lrTb"/>
            <w:noWrap w:val="false"/>
          </w:tcPr>
          <w:p>
            <w:pPr>
              <w:pStyle w:val="1005"/>
              <w:ind w:left="57" w:right="57"/>
            </w:pPr>
            <w:r>
              <w:t xml:space="preserve">БИК.</w:t>
            </w:r>
            <w:r/>
          </w:p>
        </w:tc>
      </w:tr>
      <w:tr>
        <w:trPr/>
        <w:tc>
          <w:tcPr>
            <w:shd w:val="clear" w:fill="auto" w:color="auto"/>
            <w:tcW w:w="2210" w:type="pct"/>
            <w:textDirection w:val="lrTb"/>
            <w:noWrap w:val="false"/>
          </w:tcPr>
          <w:p>
            <w:pPr>
              <w:pStyle w:val="1005"/>
              <w:ind w:left="57" w:right="57"/>
            </w:pPr>
            <w:r>
              <w:t xml:space="preserve">№ ЕКС</w:t>
            </w:r>
            <w:r/>
          </w:p>
        </w:tc>
        <w:tc>
          <w:tcPr>
            <w:shd w:val="clear" w:fill="auto" w:color="auto"/>
            <w:tcW w:w="2790" w:type="pct"/>
            <w:textDirection w:val="lrTb"/>
            <w:noWrap w:val="false"/>
          </w:tcPr>
          <w:p>
            <w:pPr>
              <w:pStyle w:val="1005"/>
              <w:ind w:left="57" w:right="57"/>
            </w:pPr>
            <w:r>
              <w:t xml:space="preserve">№ ЕКС.</w:t>
            </w:r>
            <w:r/>
          </w:p>
        </w:tc>
      </w:tr>
      <w:tr>
        <w:trPr/>
        <w:tc>
          <w:tcPr>
            <w:gridSpan w:val="2"/>
            <w:shd w:val="clear" w:fill="auto" w:color="auto"/>
            <w:tcW w:w="5000" w:type="pct"/>
            <w:textDirection w:val="lrTb"/>
            <w:noWrap w:val="false"/>
          </w:tcPr>
          <w:p>
            <w:pPr>
              <w:pStyle w:val="1005"/>
              <w:ind w:left="57" w:right="57"/>
            </w:pPr>
            <w:r>
              <w:t xml:space="preserve">Группа полей «Информация о Казначейском обеспечении обязательства»</w:t>
            </w:r>
            <w:r/>
          </w:p>
        </w:tc>
      </w:tr>
      <w:tr>
        <w:trPr/>
        <w:tc>
          <w:tcPr>
            <w:shd w:val="clear" w:fill="auto" w:color="auto"/>
            <w:tcW w:w="2210" w:type="pct"/>
            <w:textDirection w:val="lrTb"/>
            <w:noWrap w:val="false"/>
          </w:tcPr>
          <w:p>
            <w:pPr>
              <w:pStyle w:val="1005"/>
              <w:ind w:left="57" w:right="57"/>
            </w:pPr>
            <w:r>
              <w:t xml:space="preserve">Вид</w:t>
            </w:r>
            <w:r/>
          </w:p>
        </w:tc>
        <w:tc>
          <w:tcPr>
            <w:shd w:val="clear" w:fill="auto" w:color="auto"/>
            <w:tcW w:w="2790" w:type="pct"/>
            <w:textDirection w:val="lrTb"/>
            <w:noWrap w:val="false"/>
          </w:tcPr>
          <w:p>
            <w:pPr>
              <w:pStyle w:val="1005"/>
              <w:ind w:left="57" w:right="57"/>
            </w:pPr>
            <w:r>
              <w:t xml:space="preserve">Возможные значения:</w:t>
            </w:r>
            <w:r/>
          </w:p>
          <w:p>
            <w:pPr>
              <w:pStyle w:val="1007"/>
              <w:numPr>
                <w:ilvl w:val="0"/>
                <w:numId w:val="130"/>
              </w:numPr>
            </w:pPr>
            <w:r>
              <w:t xml:space="preserve">непокрытый;</w:t>
            </w:r>
            <w:r/>
          </w:p>
          <w:p>
            <w:pPr>
              <w:pStyle w:val="1007"/>
              <w:numPr>
                <w:ilvl w:val="0"/>
                <w:numId w:val="130"/>
              </w:numPr>
            </w:pPr>
            <w:r>
              <w:t xml:space="preserve">переведенный, непокрытый.</w:t>
            </w:r>
            <w:r/>
          </w:p>
        </w:tc>
      </w:tr>
      <w:tr>
        <w:trPr/>
        <w:tc>
          <w:tcPr>
            <w:shd w:val="clear" w:fill="auto" w:color="auto"/>
            <w:tcW w:w="2210" w:type="pct"/>
            <w:textDirection w:val="lrTb"/>
            <w:noWrap w:val="false"/>
          </w:tcPr>
          <w:p>
            <w:pPr>
              <w:pStyle w:val="1005"/>
              <w:ind w:left="57" w:right="57"/>
            </w:pPr>
            <w:r>
              <w:t xml:space="preserve">Срок действия </w:t>
            </w:r>
            <w:r/>
          </w:p>
        </w:tc>
        <w:tc>
          <w:tcPr>
            <w:shd w:val="clear" w:fill="auto" w:color="auto"/>
            <w:tcW w:w="2790" w:type="pct"/>
            <w:textDirection w:val="lrTb"/>
            <w:noWrap w:val="false"/>
          </w:tcPr>
          <w:p>
            <w:pPr>
              <w:pStyle w:val="1005"/>
              <w:ind w:left="57" w:right="57"/>
            </w:pPr>
            <w:r>
              <w:t xml:space="preserve">Срок действия.</w:t>
            </w:r>
            <w:r/>
          </w:p>
        </w:tc>
      </w:tr>
      <w:tr>
        <w:trPr/>
        <w:tc>
          <w:tcPr>
            <w:shd w:val="clear" w:fill="auto" w:color="auto"/>
            <w:tcW w:w="2210" w:type="pct"/>
            <w:textDirection w:val="lrTb"/>
            <w:noWrap w:val="false"/>
          </w:tcPr>
          <w:p>
            <w:pPr>
              <w:pStyle w:val="1005"/>
              <w:ind w:left="57" w:right="57"/>
            </w:pPr>
            <w:r>
              <w:t xml:space="preserve">Резервное поле</w:t>
            </w:r>
            <w:r/>
          </w:p>
        </w:tc>
        <w:tc>
          <w:tcPr>
            <w:shd w:val="clear" w:fill="auto" w:color="auto"/>
            <w:tcW w:w="2790" w:type="pct"/>
            <w:textDirection w:val="lrTb"/>
            <w:noWrap w:val="false"/>
          </w:tcPr>
          <w:p>
            <w:pPr>
              <w:pStyle w:val="1005"/>
              <w:ind w:left="57" w:right="57"/>
            </w:pPr>
            <w:r>
              <w:t xml:space="preserve">Резервное поле.</w:t>
            </w:r>
            <w:r/>
          </w:p>
        </w:tc>
      </w:tr>
      <w:tr>
        <w:trPr/>
        <w:tc>
          <w:tcPr>
            <w:shd w:val="clear" w:fill="auto" w:color="auto"/>
            <w:tcW w:w="2210" w:type="pct"/>
            <w:textDirection w:val="lrTb"/>
            <w:noWrap w:val="false"/>
          </w:tcPr>
          <w:p>
            <w:pPr>
              <w:pStyle w:val="1005"/>
              <w:ind w:left="57" w:right="57"/>
            </w:pPr>
            <w:r>
              <w:t xml:space="preserve">Номер, дата, предмет (цель предоставления субсидии, наименование товаров, работ, услуг) соглашения/государственного контракта/контракта/договора</w:t>
            </w:r>
            <w:r/>
          </w:p>
        </w:tc>
        <w:tc>
          <w:tcPr>
            <w:shd w:val="clear" w:fill="auto" w:color="auto"/>
            <w:tcW w:w="2790" w:type="pct"/>
            <w:textDirection w:val="lrTb"/>
            <w:noWrap w:val="false"/>
          </w:tcPr>
          <w:p>
            <w:pPr>
              <w:pStyle w:val="1005"/>
              <w:ind w:left="57" w:right="57"/>
            </w:pPr>
            <w:r>
              <w:t xml:space="preserve">Номер, дата, предмет (цель предоставления субсидии, наименование товаров, работ, услуг) соглашения/государственного контракта/контракта/договора.</w:t>
            </w:r>
            <w:r/>
          </w:p>
        </w:tc>
      </w:tr>
      <w:tr>
        <w:trPr/>
        <w:tc>
          <w:tcPr>
            <w:shd w:val="clear" w:fill="auto" w:color="auto"/>
            <w:tcW w:w="2210" w:type="pct"/>
            <w:textDirection w:val="lrTb"/>
            <w:noWrap w:val="false"/>
          </w:tcPr>
          <w:p>
            <w:pPr>
              <w:pStyle w:val="1005"/>
              <w:ind w:left="57" w:right="57"/>
            </w:pPr>
            <w:r>
              <w:t xml:space="preserve">Примечание</w:t>
            </w:r>
            <w:r/>
          </w:p>
        </w:tc>
        <w:tc>
          <w:tcPr>
            <w:shd w:val="clear" w:fill="auto" w:color="auto"/>
            <w:tcW w:w="2790" w:type="pct"/>
            <w:textDirection w:val="lrTb"/>
            <w:noWrap w:val="false"/>
          </w:tcPr>
          <w:p>
            <w:pPr>
              <w:pStyle w:val="1005"/>
              <w:ind w:left="57" w:right="57"/>
            </w:pPr>
            <w:r>
              <w:t xml:space="preserve">Примечание.</w:t>
            </w:r>
            <w:r/>
          </w:p>
        </w:tc>
      </w:tr>
    </w:tbl>
    <w:p>
      <w:pPr>
        <w:pStyle w:val="994"/>
      </w:pPr>
      <w:r>
        <w:t xml:space="preserve">ЭФ документа «Казначейское обеспечение обязательств», закладки «Сведения о казначейском обеспечении обязательств (3)» представлена на рисунке </w:t>
      </w:r>
      <w:r>
        <w:fldChar w:fldCharType="begin"/>
      </w:r>
      <w:r>
        <w:instrText xml:space="preserve"> REF _Ref455658840 \h </w:instrText>
      </w:r>
      <w:r>
        <w:fldChar w:fldCharType="separate"/>
      </w:r>
      <w:r>
        <w:t xml:space="preserve">107</w:t>
      </w:r>
      <w:r>
        <w:fldChar w:fldCharType="end"/>
      </w:r>
      <w:r>
        <w:t xml:space="preserve">. </w:t>
      </w:r>
      <w:r/>
    </w:p>
    <w:p>
      <w:pPr>
        <w:pStyle w:val="982"/>
      </w:pPr>
      <w:r>
        <mc:AlternateContent>
          <mc:Choice Requires="wpg">
            <w:drawing>
              <wp:inline xmlns:wp="http://schemas.openxmlformats.org/drawingml/2006/wordprocessingDrawing" distT="0" distB="0" distL="0" distR="0">
                <wp:extent cx="6126480" cy="4206240"/>
                <wp:effectExtent l="0" t="0" r="0" b="0"/>
                <wp:docPr id="18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73"/>
                        <a:stretch/>
                      </pic:blipFill>
                      <pic:spPr bwMode="auto">
                        <a:xfrm>
                          <a:off x="0" y="0"/>
                          <a:ext cx="6126480" cy="42062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 o:spid="_x0000_s181" type="#_x0000_t75" style="mso-wrap-distance-left:0.0pt;mso-wrap-distance-top:0.0pt;mso-wrap-distance-right:0.0pt;mso-wrap-distance-bottom:0.0pt;width:482.4pt;height:331.2pt;" stroked="f">
                <v:path textboxrect="0,0,0,0"/>
                <v:imagedata r:id="rId173" o:title=""/>
              </v:shape>
            </w:pict>
          </mc:Fallback>
        </mc:AlternateContent>
      </w:r>
      <w:r/>
    </w:p>
    <w:p>
      <w:pPr>
        <w:pStyle w:val="983"/>
        <w:numPr>
          <w:ilvl w:val="0"/>
          <w:numId w:val="126"/>
        </w:numPr>
      </w:pPr>
      <w:r>
        <w:fldChar w:fldCharType="begin"/>
      </w:r>
      <w:r>
        <w:instrText xml:space="preserve"> SEQ Рисунок \* ARABIC </w:instrText>
      </w:r>
      <w:r>
        <w:fldChar w:fldCharType="separate"/>
      </w:r>
      <w:bookmarkStart w:id="885" w:name="_Ref455658840"/>
      <w:r/>
      <w:bookmarkStart w:id="886" w:name="_Toc57809461"/>
      <w:r/>
      <w:bookmarkStart w:id="887" w:name="_Toc50059787"/>
      <w:r/>
      <w:bookmarkStart w:id="888" w:name="_Toc88819492"/>
      <w:r>
        <w:t xml:space="preserve">107</w:t>
      </w:r>
      <w:bookmarkEnd w:id="885"/>
      <w:r>
        <w:fldChar w:fldCharType="end"/>
      </w:r>
      <w:r>
        <w:t xml:space="preserve">. ЭФ документа «Казначейское обеспечение обязательств», закладки «Сведения о казначейском обеспечении обязательств (3)»</w:t>
      </w:r>
      <w:bookmarkEnd w:id="886"/>
      <w:r/>
      <w:bookmarkEnd w:id="887"/>
      <w:r/>
      <w:bookmarkEnd w:id="888"/>
      <w:r/>
      <w:r/>
    </w:p>
    <w:p>
      <w:r>
        <w:t xml:space="preserve">Перечень полей документа «Казначейское обеспечение обязательств», закладки «Сведения о казначейском обеспечении обязательств (3)» приведен в таблице </w:t>
      </w:r>
      <w:r>
        <w:fldChar w:fldCharType="begin"/>
      </w:r>
      <w:r>
        <w:instrText xml:space="preserve"> REF _Ref455658775 \h </w:instrText>
      </w:r>
      <w:r>
        <w:fldChar w:fldCharType="separate"/>
      </w:r>
      <w:r>
        <w:t xml:space="preserve">58</w:t>
      </w:r>
      <w:r>
        <w:fldChar w:fldCharType="end"/>
      </w:r>
      <w:r>
        <w:t xml:space="preserve">.</w:t>
      </w:r>
      <w:r/>
    </w:p>
    <w:p>
      <w:pPr>
        <w:pStyle w:val="993"/>
        <w:numPr>
          <w:ilvl w:val="0"/>
          <w:numId w:val="129"/>
        </w:numPr>
      </w:pPr>
      <w:r>
        <w:fldChar w:fldCharType="begin"/>
      </w:r>
      <w:r>
        <w:instrText xml:space="preserve"> SEQ Таблица \* ARABIC </w:instrText>
      </w:r>
      <w:r>
        <w:fldChar w:fldCharType="separate"/>
      </w:r>
      <w:bookmarkStart w:id="889" w:name="_Ref455658775"/>
      <w:r/>
      <w:bookmarkStart w:id="890" w:name="_Toc57809221"/>
      <w:r/>
      <w:bookmarkStart w:id="891" w:name="_Toc57722284"/>
      <w:r/>
      <w:bookmarkStart w:id="892" w:name="_Toc88819244"/>
      <w:r>
        <w:t xml:space="preserve">58</w:t>
      </w:r>
      <w:bookmarkEnd w:id="889"/>
      <w:r>
        <w:fldChar w:fldCharType="end"/>
      </w:r>
      <w:r>
        <w:t xml:space="preserve">. Описание полей документа «Казначейское обеспечение обязательств», закладки «Сведения о казначейском обеспечении обязательств (3)»</w:t>
      </w:r>
      <w:bookmarkEnd w:id="890"/>
      <w:r/>
      <w:bookmarkEnd w:id="891"/>
      <w:r/>
      <w:bookmarkEnd w:id="892"/>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897"/>
        <w:gridCol w:w="5855"/>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998"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002"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«1. Краткие сведения о получателе бюджетных средств (организации)»</w:t>
            </w:r>
            <w:r/>
          </w:p>
        </w:tc>
      </w:tr>
      <w:tr>
        <w:trPr/>
        <w:tc>
          <w:tcPr>
            <w:shd w:val="clear" w:fill="auto" w:color="auto"/>
            <w:tcW w:w="1998" w:type="pct"/>
            <w:textDirection w:val="lrTb"/>
            <w:noWrap w:val="false"/>
          </w:tcPr>
          <w:p>
            <w:pPr>
              <w:pStyle w:val="1005"/>
              <w:ind w:left="57" w:right="57"/>
            </w:pPr>
            <w:r>
              <w:t xml:space="preserve">Наименование бюджета</w:t>
            </w:r>
            <w:r/>
          </w:p>
        </w:tc>
        <w:tc>
          <w:tcPr>
            <w:shd w:val="clear" w:fill="auto" w:color="auto"/>
            <w:tcW w:w="3002" w:type="pct"/>
            <w:textDirection w:val="lrTb"/>
            <w:noWrap w:val="false"/>
          </w:tcPr>
          <w:p>
            <w:pPr>
              <w:pStyle w:val="1005"/>
              <w:ind w:left="57" w:right="57"/>
            </w:pPr>
            <w:r>
              <w:t xml:space="preserve">Наименование бюджета.</w:t>
            </w:r>
            <w:r/>
          </w:p>
        </w:tc>
      </w:tr>
      <w:tr>
        <w:trPr>
          <w:trHeight w:val="70"/>
        </w:trPr>
        <w:tc>
          <w:tcPr>
            <w:shd w:val="clear" w:fill="auto" w:color="auto"/>
            <w:tcW w:w="1998" w:type="pct"/>
            <w:textDirection w:val="lrTb"/>
            <w:noWrap w:val="false"/>
          </w:tcPr>
          <w:p>
            <w:pPr>
              <w:pStyle w:val="1005"/>
              <w:ind w:left="57" w:right="57"/>
            </w:pPr>
            <w:r>
              <w:t xml:space="preserve">Код бюджета</w:t>
            </w:r>
            <w:r/>
          </w:p>
        </w:tc>
        <w:tc>
          <w:tcPr>
            <w:shd w:val="clear" w:fill="auto" w:color="auto"/>
            <w:tcW w:w="3002" w:type="pct"/>
            <w:textDirection w:val="lrTb"/>
            <w:noWrap w:val="false"/>
          </w:tcPr>
          <w:p>
            <w:pPr>
              <w:pStyle w:val="1005"/>
              <w:ind w:left="57" w:right="57"/>
            </w:pPr>
            <w:r>
              <w:t xml:space="preserve">Код бюджета.</w:t>
            </w:r>
            <w:r/>
          </w:p>
        </w:tc>
      </w:tr>
      <w:tr>
        <w:trPr/>
        <w:tc>
          <w:tcPr>
            <w:shd w:val="clear" w:fill="auto" w:color="auto"/>
            <w:tcW w:w="1998" w:type="pct"/>
            <w:textDirection w:val="lrTb"/>
            <w:noWrap w:val="false"/>
          </w:tcPr>
          <w:p>
            <w:pPr>
              <w:pStyle w:val="1005"/>
              <w:ind w:left="57" w:right="57"/>
            </w:pPr>
            <w:r>
              <w:t xml:space="preserve">ПБС (организация)</w:t>
            </w:r>
            <w:r/>
          </w:p>
        </w:tc>
        <w:tc>
          <w:tcPr>
            <w:shd w:val="clear" w:fill="auto" w:color="auto"/>
            <w:tcW w:w="3002" w:type="pct"/>
            <w:textDirection w:val="lrTb"/>
            <w:noWrap w:val="false"/>
          </w:tcPr>
          <w:p>
            <w:pPr>
              <w:pStyle w:val="1005"/>
              <w:ind w:left="57" w:right="57"/>
            </w:pPr>
            <w:r>
              <w:t xml:space="preserve">ПБС (организация)</w:t>
            </w:r>
            <w:r/>
          </w:p>
        </w:tc>
      </w:tr>
      <w:tr>
        <w:trPr/>
        <w:tc>
          <w:tcPr>
            <w:shd w:val="clear" w:fill="auto" w:color="auto"/>
            <w:tcW w:w="1998" w:type="pct"/>
            <w:textDirection w:val="lrTb"/>
            <w:noWrap w:val="false"/>
          </w:tcPr>
          <w:p>
            <w:pPr>
              <w:pStyle w:val="1005"/>
              <w:ind w:left="57" w:right="57"/>
            </w:pPr>
            <w:r>
              <w:t xml:space="preserve">по ОКТМО</w:t>
            </w:r>
            <w:r/>
          </w:p>
        </w:tc>
        <w:tc>
          <w:tcPr>
            <w:shd w:val="clear" w:fill="auto" w:color="auto"/>
            <w:tcW w:w="3002" w:type="pct"/>
            <w:textDirection w:val="lrTb"/>
            <w:noWrap w:val="false"/>
          </w:tcPr>
          <w:p>
            <w:pPr>
              <w:pStyle w:val="1005"/>
              <w:ind w:left="57" w:right="57"/>
            </w:pPr>
            <w:r>
              <w:t xml:space="preserve">по ОКТМО.</w:t>
            </w:r>
            <w:r/>
          </w:p>
        </w:tc>
      </w:tr>
      <w:tr>
        <w:trPr/>
        <w:tc>
          <w:tcPr>
            <w:shd w:val="clear" w:fill="auto" w:color="auto"/>
            <w:tcW w:w="1998" w:type="pct"/>
            <w:textDirection w:val="lrTb"/>
            <w:noWrap w:val="false"/>
          </w:tcPr>
          <w:p>
            <w:pPr>
              <w:pStyle w:val="1005"/>
              <w:ind w:left="57" w:right="57"/>
            </w:pPr>
            <w:r>
              <w:t xml:space="preserve">Наименование ГРБС</w:t>
            </w:r>
            <w:r/>
          </w:p>
        </w:tc>
        <w:tc>
          <w:tcPr>
            <w:shd w:val="clear" w:fill="auto" w:color="auto"/>
            <w:tcW w:w="3002" w:type="pct"/>
            <w:textDirection w:val="lrTb"/>
            <w:noWrap w:val="false"/>
          </w:tcPr>
          <w:p>
            <w:pPr>
              <w:pStyle w:val="1005"/>
              <w:ind w:left="57" w:right="57"/>
            </w:pPr>
            <w:r>
              <w:t xml:space="preserve">Наименование ГРБС.</w:t>
            </w:r>
            <w:r/>
          </w:p>
        </w:tc>
      </w:tr>
      <w:tr>
        <w:trPr/>
        <w:tc>
          <w:tcPr>
            <w:shd w:val="clear" w:fill="auto" w:color="auto"/>
            <w:tcW w:w="1998" w:type="pct"/>
            <w:textDirection w:val="lrTb"/>
            <w:noWrap w:val="false"/>
          </w:tcPr>
          <w:p>
            <w:pPr>
              <w:pStyle w:val="1005"/>
              <w:ind w:left="57" w:right="57"/>
            </w:pPr>
            <w:r>
              <w:t xml:space="preserve">По Сводному реестру</w:t>
            </w:r>
            <w:r/>
          </w:p>
        </w:tc>
        <w:tc>
          <w:tcPr>
            <w:shd w:val="clear" w:fill="auto" w:color="auto"/>
            <w:tcW w:w="3002" w:type="pct"/>
            <w:textDirection w:val="lrTb"/>
            <w:noWrap w:val="false"/>
          </w:tcPr>
          <w:p>
            <w:pPr>
              <w:pStyle w:val="1005"/>
              <w:ind w:left="57" w:right="57"/>
            </w:pPr>
            <w:r>
              <w:t xml:space="preserve">по Сводному реестру.</w:t>
            </w:r>
            <w:r/>
          </w:p>
        </w:tc>
      </w:tr>
      <w:tr>
        <w:trPr/>
        <w:tc>
          <w:tcPr>
            <w:shd w:val="clear" w:fill="auto" w:color="auto"/>
            <w:tcW w:w="1998" w:type="pct"/>
            <w:textDirection w:val="lrTb"/>
            <w:noWrap w:val="false"/>
          </w:tcPr>
          <w:p>
            <w:pPr>
              <w:pStyle w:val="1005"/>
              <w:ind w:left="57" w:right="57"/>
            </w:pPr>
            <w:r>
              <w:t xml:space="preserve">По ОКПО</w:t>
            </w:r>
            <w:r/>
          </w:p>
        </w:tc>
        <w:tc>
          <w:tcPr>
            <w:shd w:val="clear" w:fill="auto" w:color="auto"/>
            <w:tcW w:w="3002" w:type="pct"/>
            <w:textDirection w:val="lrTb"/>
            <w:noWrap w:val="false"/>
          </w:tcPr>
          <w:p>
            <w:pPr>
              <w:pStyle w:val="1005"/>
              <w:ind w:left="57" w:right="57"/>
            </w:pPr>
            <w:r>
              <w:t xml:space="preserve">по ОКПО.</w:t>
            </w:r>
            <w:r/>
          </w:p>
        </w:tc>
      </w:tr>
      <w:tr>
        <w:trPr/>
        <w:tc>
          <w:tcPr>
            <w:shd w:val="clear" w:fill="auto" w:color="auto"/>
            <w:tcW w:w="1998" w:type="pct"/>
            <w:textDirection w:val="lrTb"/>
            <w:noWrap w:val="false"/>
          </w:tcPr>
          <w:p>
            <w:pPr>
              <w:pStyle w:val="1005"/>
              <w:ind w:left="57" w:right="57"/>
            </w:pPr>
            <w:r>
              <w:t xml:space="preserve">Глава по БК</w:t>
            </w:r>
            <w:r/>
          </w:p>
        </w:tc>
        <w:tc>
          <w:tcPr>
            <w:shd w:val="clear" w:fill="auto" w:color="auto"/>
            <w:tcW w:w="3002" w:type="pct"/>
            <w:textDirection w:val="lrTb"/>
            <w:noWrap w:val="false"/>
          </w:tcPr>
          <w:p>
            <w:pPr>
              <w:pStyle w:val="1005"/>
              <w:ind w:left="57" w:right="57"/>
            </w:pPr>
            <w:r>
              <w:t xml:space="preserve">Глава по БК.</w:t>
            </w:r>
            <w:r/>
          </w:p>
        </w:tc>
      </w:tr>
      <w:tr>
        <w:trPr/>
        <w:tc>
          <w:tcPr>
            <w:gridSpan w:val="2"/>
            <w:shd w:val="clear" w:fill="auto" w:color="auto"/>
            <w:tcW w:w="5000" w:type="pct"/>
            <w:textDirection w:val="lrTb"/>
            <w:noWrap w:val="false"/>
          </w:tcPr>
          <w:p>
            <w:pPr>
              <w:pStyle w:val="1005"/>
              <w:ind w:left="57" w:right="57"/>
            </w:pPr>
            <w:r>
              <w:t xml:space="preserve">Группа полей «2. Сведения о документе-основании»</w:t>
            </w:r>
            <w:r/>
          </w:p>
        </w:tc>
      </w:tr>
      <w:tr>
        <w:trPr/>
        <w:tc>
          <w:tcPr>
            <w:shd w:val="clear" w:fill="auto" w:color="auto"/>
            <w:tcW w:w="1998" w:type="pct"/>
            <w:textDirection w:val="lrTb"/>
            <w:noWrap w:val="false"/>
          </w:tcPr>
          <w:p>
            <w:pPr>
              <w:pStyle w:val="1005"/>
              <w:ind w:left="57" w:right="57"/>
            </w:pPr>
            <w:r>
              <w:t xml:space="preserve">Код строки</w:t>
            </w:r>
            <w:r/>
          </w:p>
        </w:tc>
        <w:tc>
          <w:tcPr>
            <w:shd w:val="clear" w:fill="auto" w:color="auto"/>
            <w:tcW w:w="3002" w:type="pct"/>
            <w:textDirection w:val="lrTb"/>
            <w:noWrap w:val="false"/>
          </w:tcPr>
          <w:p>
            <w:pPr>
              <w:pStyle w:val="1005"/>
              <w:ind w:left="57" w:right="57"/>
            </w:pPr>
            <w:r>
              <w:t xml:space="preserve">Наименование поля «01».</w:t>
            </w:r>
            <w:r/>
          </w:p>
        </w:tc>
      </w:tr>
      <w:tr>
        <w:trPr/>
        <w:tc>
          <w:tcPr>
            <w:shd w:val="clear" w:fill="auto" w:color="auto"/>
            <w:tcW w:w="1998" w:type="pct"/>
            <w:textDirection w:val="lrTb"/>
            <w:noWrap w:val="false"/>
          </w:tcPr>
          <w:p>
            <w:pPr>
              <w:pStyle w:val="1005"/>
              <w:ind w:left="57" w:right="57"/>
            </w:pPr>
            <w:r>
              <w:t xml:space="preserve">Наименование</w:t>
            </w:r>
            <w:r/>
          </w:p>
        </w:tc>
        <w:tc>
          <w:tcPr>
            <w:shd w:val="clear" w:fill="auto" w:color="auto"/>
            <w:tcW w:w="3002" w:type="pct"/>
            <w:textDirection w:val="lrTb"/>
            <w:noWrap w:val="false"/>
          </w:tcPr>
          <w:p>
            <w:pPr>
              <w:pStyle w:val="1005"/>
              <w:ind w:left="57" w:right="57"/>
            </w:pPr>
            <w:r>
              <w:t xml:space="preserve">Наименование.</w:t>
            </w:r>
            <w:r/>
          </w:p>
        </w:tc>
      </w:tr>
      <w:tr>
        <w:trPr/>
        <w:tc>
          <w:tcPr>
            <w:shd w:val="clear" w:fill="auto" w:color="auto"/>
            <w:tcW w:w="1998" w:type="pct"/>
            <w:textDirection w:val="lrTb"/>
            <w:noWrap w:val="false"/>
          </w:tcPr>
          <w:p>
            <w:pPr>
              <w:pStyle w:val="1005"/>
              <w:ind w:left="57" w:right="57"/>
            </w:pPr>
            <w:r>
              <w:t xml:space="preserve">Номер</w:t>
            </w:r>
            <w:r/>
          </w:p>
        </w:tc>
        <w:tc>
          <w:tcPr>
            <w:shd w:val="clear" w:fill="auto" w:color="auto"/>
            <w:tcW w:w="3002" w:type="pct"/>
            <w:textDirection w:val="lrTb"/>
            <w:noWrap w:val="false"/>
          </w:tcPr>
          <w:p>
            <w:pPr>
              <w:pStyle w:val="1005"/>
              <w:ind w:left="57" w:right="57"/>
            </w:pPr>
            <w:r>
              <w:t xml:space="preserve">Номер.</w:t>
            </w:r>
            <w:r/>
          </w:p>
        </w:tc>
      </w:tr>
      <w:tr>
        <w:trPr/>
        <w:tc>
          <w:tcPr>
            <w:shd w:val="clear" w:fill="auto" w:color="auto"/>
            <w:tcW w:w="1998" w:type="pct"/>
            <w:textDirection w:val="lrTb"/>
            <w:noWrap w:val="false"/>
          </w:tcPr>
          <w:p>
            <w:pPr>
              <w:pStyle w:val="1005"/>
              <w:ind w:left="57" w:right="57"/>
            </w:pPr>
            <w:r>
              <w:t xml:space="preserve">Дата</w:t>
            </w:r>
            <w:r/>
          </w:p>
        </w:tc>
        <w:tc>
          <w:tcPr>
            <w:shd w:val="clear" w:fill="auto" w:color="auto"/>
            <w:tcW w:w="3002" w:type="pct"/>
            <w:textDirection w:val="lrTb"/>
            <w:noWrap w:val="false"/>
          </w:tcPr>
          <w:p>
            <w:pPr>
              <w:pStyle w:val="1005"/>
              <w:ind w:left="57" w:right="57"/>
            </w:pPr>
            <w:r>
              <w:t xml:space="preserve">Дата.</w:t>
            </w:r>
            <w:r/>
          </w:p>
        </w:tc>
      </w:tr>
      <w:tr>
        <w:trPr/>
        <w:tc>
          <w:tcPr>
            <w:shd w:val="clear" w:fill="auto" w:color="auto"/>
            <w:tcW w:w="1998" w:type="pct"/>
            <w:textDirection w:val="lrTb"/>
            <w:noWrap w:val="false"/>
          </w:tcPr>
          <w:p>
            <w:pPr>
              <w:pStyle w:val="1005"/>
              <w:ind w:left="57" w:right="57"/>
            </w:pPr>
            <w:r>
              <w:t xml:space="preserve">Идентификатор</w:t>
            </w:r>
            <w:r/>
          </w:p>
        </w:tc>
        <w:tc>
          <w:tcPr>
            <w:shd w:val="clear" w:fill="auto" w:color="auto"/>
            <w:tcW w:w="3002" w:type="pct"/>
            <w:textDirection w:val="lrTb"/>
            <w:noWrap w:val="false"/>
          </w:tcPr>
          <w:p>
            <w:pPr>
              <w:pStyle w:val="1005"/>
              <w:ind w:left="57" w:right="57"/>
            </w:pPr>
            <w:r>
              <w:t xml:space="preserve">Идентификатор.</w:t>
            </w:r>
            <w:r/>
          </w:p>
        </w:tc>
      </w:tr>
      <w:tr>
        <w:trPr/>
        <w:tc>
          <w:tcPr>
            <w:shd w:val="clear" w:fill="auto" w:color="auto"/>
            <w:tcW w:w="1998" w:type="pct"/>
            <w:textDirection w:val="lrTb"/>
            <w:noWrap w:val="false"/>
          </w:tcPr>
          <w:p>
            <w:pPr>
              <w:pStyle w:val="1005"/>
              <w:ind w:left="57" w:right="57"/>
            </w:pPr>
            <w:r>
              <w:t xml:space="preserve">Номер БО</w:t>
            </w:r>
            <w:r/>
          </w:p>
        </w:tc>
        <w:tc>
          <w:tcPr>
            <w:shd w:val="clear" w:fill="auto" w:color="auto"/>
            <w:tcW w:w="3002" w:type="pct"/>
            <w:textDirection w:val="lrTb"/>
            <w:noWrap w:val="false"/>
          </w:tcPr>
          <w:p>
            <w:pPr>
              <w:pStyle w:val="1005"/>
              <w:ind w:left="57" w:right="57"/>
            </w:pPr>
            <w:r>
              <w:t xml:space="preserve">Номер бюджетного обязательства.</w:t>
            </w:r>
            <w:r/>
          </w:p>
        </w:tc>
      </w:tr>
      <w:tr>
        <w:trPr/>
        <w:tc>
          <w:tcPr>
            <w:shd w:val="clear" w:fill="auto" w:color="auto"/>
            <w:tcW w:w="1998" w:type="pct"/>
            <w:textDirection w:val="lrTb"/>
            <w:noWrap w:val="false"/>
          </w:tcPr>
          <w:p>
            <w:pPr>
              <w:pStyle w:val="1005"/>
              <w:ind w:left="57" w:right="57"/>
            </w:pPr>
            <w:r>
              <w:t xml:space="preserve">НДС</w:t>
            </w:r>
            <w:r/>
          </w:p>
        </w:tc>
        <w:tc>
          <w:tcPr>
            <w:shd w:val="clear" w:fill="auto" w:color="auto"/>
            <w:tcW w:w="3002" w:type="pct"/>
            <w:textDirection w:val="lrTb"/>
            <w:noWrap w:val="false"/>
          </w:tcPr>
          <w:p>
            <w:pPr>
              <w:pStyle w:val="1005"/>
              <w:ind w:left="57" w:right="57"/>
            </w:pPr>
            <w:r>
              <w:t xml:space="preserve">НДС.</w:t>
            </w:r>
            <w:r/>
          </w:p>
        </w:tc>
      </w:tr>
      <w:tr>
        <w:trPr/>
        <w:tc>
          <w:tcPr>
            <w:shd w:val="clear" w:fill="auto" w:color="auto"/>
            <w:tcW w:w="1998" w:type="pct"/>
            <w:textDirection w:val="lrTb"/>
            <w:noWrap w:val="false"/>
          </w:tcPr>
          <w:p>
            <w:pPr>
              <w:pStyle w:val="1005"/>
              <w:ind w:left="57" w:right="57"/>
            </w:pPr>
            <w:r>
              <w:t xml:space="preserve">Код строки </w:t>
            </w:r>
            <w:r/>
          </w:p>
        </w:tc>
        <w:tc>
          <w:tcPr>
            <w:shd w:val="clear" w:fill="auto" w:color="auto"/>
            <w:tcW w:w="3002" w:type="pct"/>
            <w:textDirection w:val="lrTb"/>
            <w:noWrap w:val="false"/>
          </w:tcPr>
          <w:p>
            <w:pPr>
              <w:pStyle w:val="1005"/>
              <w:ind w:left="57" w:right="57"/>
            </w:pPr>
            <w:r>
              <w:t xml:space="preserve">Наименование поля «02».</w:t>
            </w:r>
            <w:r/>
          </w:p>
        </w:tc>
      </w:tr>
      <w:tr>
        <w:trPr/>
        <w:tc>
          <w:tcPr>
            <w:shd w:val="clear" w:fill="auto" w:color="auto"/>
            <w:tcW w:w="1998" w:type="pct"/>
            <w:textDirection w:val="lrTb"/>
            <w:noWrap w:val="false"/>
          </w:tcPr>
          <w:p>
            <w:pPr>
              <w:pStyle w:val="1005"/>
              <w:ind w:left="57" w:right="57"/>
            </w:pPr>
            <w:r>
              <w:t xml:space="preserve">Наименование</w:t>
            </w:r>
            <w:r/>
          </w:p>
        </w:tc>
        <w:tc>
          <w:tcPr>
            <w:shd w:val="clear" w:fill="auto" w:color="auto"/>
            <w:tcW w:w="3002" w:type="pct"/>
            <w:textDirection w:val="lrTb"/>
            <w:noWrap w:val="false"/>
          </w:tcPr>
          <w:p>
            <w:pPr>
              <w:pStyle w:val="1005"/>
              <w:ind w:left="57" w:right="57"/>
            </w:pPr>
            <w:r>
              <w:t xml:space="preserve">Наименование.</w:t>
            </w:r>
            <w:r/>
          </w:p>
        </w:tc>
      </w:tr>
      <w:tr>
        <w:trPr/>
        <w:tc>
          <w:tcPr>
            <w:shd w:val="clear" w:fill="auto" w:color="auto"/>
            <w:tcW w:w="1998" w:type="pct"/>
            <w:textDirection w:val="lrTb"/>
            <w:noWrap w:val="false"/>
          </w:tcPr>
          <w:p>
            <w:pPr>
              <w:pStyle w:val="1005"/>
              <w:ind w:left="57" w:right="57"/>
            </w:pPr>
            <w:r>
              <w:t xml:space="preserve">Номер</w:t>
            </w:r>
            <w:r/>
          </w:p>
        </w:tc>
        <w:tc>
          <w:tcPr>
            <w:shd w:val="clear" w:fill="auto" w:color="auto"/>
            <w:tcW w:w="3002" w:type="pct"/>
            <w:textDirection w:val="lrTb"/>
            <w:noWrap w:val="false"/>
          </w:tcPr>
          <w:p>
            <w:pPr>
              <w:pStyle w:val="1005"/>
              <w:ind w:left="57" w:right="57"/>
            </w:pPr>
            <w:r>
              <w:t xml:space="preserve">Номер.</w:t>
            </w:r>
            <w:r/>
          </w:p>
        </w:tc>
      </w:tr>
      <w:tr>
        <w:trPr/>
        <w:tc>
          <w:tcPr>
            <w:shd w:val="clear" w:fill="auto" w:color="auto"/>
            <w:tcW w:w="1998" w:type="pct"/>
            <w:textDirection w:val="lrTb"/>
            <w:noWrap w:val="false"/>
          </w:tcPr>
          <w:p>
            <w:pPr>
              <w:pStyle w:val="1005"/>
              <w:ind w:left="57" w:right="57"/>
            </w:pPr>
            <w:r>
              <w:t xml:space="preserve">Дата</w:t>
            </w:r>
            <w:r/>
          </w:p>
        </w:tc>
        <w:tc>
          <w:tcPr>
            <w:shd w:val="clear" w:fill="auto" w:color="auto"/>
            <w:tcW w:w="3002" w:type="pct"/>
            <w:textDirection w:val="lrTb"/>
            <w:noWrap w:val="false"/>
          </w:tcPr>
          <w:p>
            <w:pPr>
              <w:pStyle w:val="1005"/>
              <w:ind w:left="57" w:right="57"/>
            </w:pPr>
            <w:r>
              <w:t xml:space="preserve">Дата.</w:t>
            </w:r>
            <w:r/>
          </w:p>
        </w:tc>
      </w:tr>
      <w:tr>
        <w:trPr/>
        <w:tc>
          <w:tcPr>
            <w:shd w:val="clear" w:fill="auto" w:color="auto"/>
            <w:tcW w:w="1998" w:type="pct"/>
            <w:textDirection w:val="lrTb"/>
            <w:noWrap w:val="false"/>
          </w:tcPr>
          <w:p>
            <w:pPr>
              <w:pStyle w:val="1005"/>
              <w:ind w:left="57" w:right="57"/>
            </w:pPr>
            <w:r>
              <w:t xml:space="preserve">Идентификатор</w:t>
            </w:r>
            <w:r/>
          </w:p>
        </w:tc>
        <w:tc>
          <w:tcPr>
            <w:shd w:val="clear" w:fill="auto" w:color="auto"/>
            <w:tcW w:w="3002" w:type="pct"/>
            <w:textDirection w:val="lrTb"/>
            <w:noWrap w:val="false"/>
          </w:tcPr>
          <w:p>
            <w:pPr>
              <w:pStyle w:val="1005"/>
              <w:ind w:left="57" w:right="57"/>
            </w:pPr>
            <w:r>
              <w:t xml:space="preserve">Идентификатор.</w:t>
            </w:r>
            <w:r/>
          </w:p>
        </w:tc>
      </w:tr>
      <w:tr>
        <w:trPr/>
        <w:tc>
          <w:tcPr>
            <w:shd w:val="clear" w:fill="auto" w:color="auto"/>
            <w:tcW w:w="1998" w:type="pct"/>
            <w:textDirection w:val="lrTb"/>
            <w:noWrap w:val="false"/>
          </w:tcPr>
          <w:p>
            <w:pPr>
              <w:pStyle w:val="1005"/>
              <w:ind w:left="57" w:right="57"/>
            </w:pPr>
            <w:r>
              <w:t xml:space="preserve">Номер БО</w:t>
            </w:r>
            <w:r/>
          </w:p>
        </w:tc>
        <w:tc>
          <w:tcPr>
            <w:shd w:val="clear" w:fill="auto" w:color="auto"/>
            <w:tcW w:w="3002" w:type="pct"/>
            <w:textDirection w:val="lrTb"/>
            <w:noWrap w:val="false"/>
          </w:tcPr>
          <w:p>
            <w:pPr>
              <w:pStyle w:val="1005"/>
              <w:ind w:left="57" w:right="57"/>
            </w:pPr>
            <w:r>
              <w:t xml:space="preserve">Номер бюджетного обязательства.</w:t>
            </w:r>
            <w:r/>
          </w:p>
        </w:tc>
      </w:tr>
      <w:tr>
        <w:trPr/>
        <w:tc>
          <w:tcPr>
            <w:shd w:val="clear" w:fill="auto" w:color="auto"/>
            <w:tcW w:w="1998" w:type="pct"/>
            <w:textDirection w:val="lrTb"/>
            <w:noWrap w:val="false"/>
          </w:tcPr>
          <w:p>
            <w:pPr>
              <w:pStyle w:val="1005"/>
              <w:ind w:left="57" w:right="57"/>
            </w:pPr>
            <w:r>
              <w:t xml:space="preserve">НДС</w:t>
            </w:r>
            <w:r/>
          </w:p>
        </w:tc>
        <w:tc>
          <w:tcPr>
            <w:shd w:val="clear" w:fill="auto" w:color="auto"/>
            <w:tcW w:w="3002" w:type="pct"/>
            <w:textDirection w:val="lrTb"/>
            <w:noWrap w:val="false"/>
          </w:tcPr>
          <w:p>
            <w:pPr>
              <w:pStyle w:val="1005"/>
              <w:ind w:left="57" w:right="57"/>
            </w:pPr>
            <w:r>
              <w:t xml:space="preserve">НДС.</w:t>
            </w:r>
            <w:r/>
          </w:p>
        </w:tc>
      </w:tr>
      <w:tr>
        <w:trPr/>
        <w:tc>
          <w:tcPr>
            <w:shd w:val="clear" w:fill="auto" w:color="auto"/>
            <w:tcW w:w="1998" w:type="pct"/>
            <w:textDirection w:val="lrTb"/>
            <w:noWrap w:val="false"/>
          </w:tcPr>
          <w:p>
            <w:pPr>
              <w:pStyle w:val="1005"/>
              <w:ind w:left="57" w:right="57"/>
            </w:pPr>
            <w:r>
              <w:t xml:space="preserve">Код по БК</w:t>
            </w:r>
            <w:r/>
          </w:p>
        </w:tc>
        <w:tc>
          <w:tcPr>
            <w:shd w:val="clear" w:fill="auto" w:color="auto"/>
            <w:tcW w:w="3002" w:type="pct"/>
            <w:textDirection w:val="lrTb"/>
            <w:noWrap w:val="false"/>
          </w:tcPr>
          <w:p>
            <w:pPr>
              <w:pStyle w:val="1005"/>
              <w:ind w:left="57" w:right="57"/>
            </w:pPr>
            <w:r>
              <w:t xml:space="preserve">Код по БК.</w:t>
            </w:r>
            <w:r/>
          </w:p>
        </w:tc>
      </w:tr>
      <w:tr>
        <w:trPr/>
        <w:tc>
          <w:tcPr>
            <w:shd w:val="clear" w:fill="auto" w:color="auto"/>
            <w:tcW w:w="1998" w:type="pct"/>
            <w:textDirection w:val="lrTb"/>
            <w:noWrap w:val="false"/>
          </w:tcPr>
          <w:p>
            <w:pPr>
              <w:pStyle w:val="1005"/>
              <w:ind w:left="57" w:right="57"/>
            </w:pPr>
            <w:r>
              <w:t xml:space="preserve">Код ОКС (КМИ)</w:t>
            </w:r>
            <w:r/>
          </w:p>
        </w:tc>
        <w:tc>
          <w:tcPr>
            <w:shd w:val="clear" w:fill="auto" w:color="auto"/>
            <w:tcW w:w="3002" w:type="pct"/>
            <w:textDirection w:val="lrTb"/>
            <w:noWrap w:val="false"/>
          </w:tcPr>
          <w:p>
            <w:pPr>
              <w:pStyle w:val="1005"/>
              <w:ind w:left="57" w:right="57"/>
            </w:pPr>
            <w:r>
              <w:t xml:space="preserve">Код ОКС (КМИ).</w:t>
            </w:r>
            <w:r/>
          </w:p>
        </w:tc>
      </w:tr>
      <w:tr>
        <w:trPr/>
        <w:tc>
          <w:tcPr>
            <w:gridSpan w:val="2"/>
            <w:shd w:val="clear" w:fill="auto" w:color="auto"/>
            <w:tcW w:w="5000" w:type="pct"/>
            <w:textDirection w:val="lrTb"/>
            <w:noWrap w:val="false"/>
          </w:tcPr>
          <w:p>
            <w:pPr>
              <w:pStyle w:val="1005"/>
              <w:ind w:left="57" w:right="57"/>
            </w:pPr>
            <w:r>
              <w:t xml:space="preserve">Группа полей «3. Сведения о ранее выданных казначейских обеспечениях обязательств (СПРАВОЧНО)»</w:t>
            </w:r>
            <w:r/>
          </w:p>
        </w:tc>
      </w:tr>
      <w:tr>
        <w:trPr/>
        <w:tc>
          <w:tcPr>
            <w:shd w:val="clear" w:fill="auto" w:color="auto"/>
            <w:tcW w:w="1998" w:type="pct"/>
            <w:textDirection w:val="lrTb"/>
            <w:noWrap w:val="false"/>
          </w:tcPr>
          <w:p>
            <w:pPr>
              <w:pStyle w:val="1005"/>
              <w:ind w:left="57" w:right="57"/>
            </w:pPr>
            <w:r>
              <w:t xml:space="preserve">Номер</w:t>
            </w:r>
            <w:r/>
          </w:p>
        </w:tc>
        <w:tc>
          <w:tcPr>
            <w:shd w:val="clear" w:fill="auto" w:color="auto"/>
            <w:tcW w:w="3002" w:type="pct"/>
            <w:textDirection w:val="lrTb"/>
            <w:noWrap w:val="false"/>
          </w:tcPr>
          <w:p>
            <w:pPr>
              <w:pStyle w:val="1005"/>
              <w:ind w:left="57" w:right="57"/>
            </w:pPr>
            <w:r>
              <w:t xml:space="preserve">Номер.</w:t>
            </w:r>
            <w:r/>
          </w:p>
        </w:tc>
      </w:tr>
      <w:tr>
        <w:trPr/>
        <w:tc>
          <w:tcPr>
            <w:shd w:val="clear" w:fill="auto" w:color="auto"/>
            <w:tcW w:w="1998" w:type="pct"/>
            <w:textDirection w:val="lrTb"/>
            <w:noWrap w:val="false"/>
          </w:tcPr>
          <w:p>
            <w:pPr>
              <w:pStyle w:val="1005"/>
              <w:ind w:left="57" w:right="57"/>
            </w:pPr>
            <w:r>
              <w:t xml:space="preserve">Дата</w:t>
            </w:r>
            <w:r/>
          </w:p>
        </w:tc>
        <w:tc>
          <w:tcPr>
            <w:shd w:val="clear" w:fill="auto" w:color="auto"/>
            <w:tcW w:w="3002" w:type="pct"/>
            <w:textDirection w:val="lrTb"/>
            <w:noWrap w:val="false"/>
          </w:tcPr>
          <w:p>
            <w:pPr>
              <w:pStyle w:val="1005"/>
              <w:ind w:left="57" w:right="57"/>
            </w:pPr>
            <w:r>
              <w:t xml:space="preserve">Дата.</w:t>
            </w:r>
            <w:r/>
          </w:p>
        </w:tc>
      </w:tr>
      <w:tr>
        <w:trPr/>
        <w:tc>
          <w:tcPr>
            <w:shd w:val="clear" w:fill="auto" w:color="auto"/>
            <w:tcW w:w="1998" w:type="pct"/>
            <w:textDirection w:val="lrTb"/>
            <w:noWrap w:val="false"/>
          </w:tcPr>
          <w:p>
            <w:pPr>
              <w:pStyle w:val="1005"/>
              <w:ind w:left="57" w:right="57"/>
            </w:pPr>
            <w:r>
              <w:t xml:space="preserve">Плательщик</w:t>
            </w:r>
            <w:r/>
          </w:p>
        </w:tc>
        <w:tc>
          <w:tcPr>
            <w:shd w:val="clear" w:fill="auto" w:color="auto"/>
            <w:tcW w:w="3002" w:type="pct"/>
            <w:textDirection w:val="lrTb"/>
            <w:noWrap w:val="false"/>
          </w:tcPr>
          <w:p>
            <w:pPr>
              <w:pStyle w:val="1005"/>
              <w:ind w:left="57" w:right="57"/>
            </w:pPr>
            <w:r>
              <w:t xml:space="preserve">Плательщик.</w:t>
            </w:r>
            <w:r/>
          </w:p>
        </w:tc>
      </w:tr>
      <w:tr>
        <w:trPr/>
        <w:tc>
          <w:tcPr>
            <w:shd w:val="clear" w:fill="auto" w:color="auto"/>
            <w:tcW w:w="1998" w:type="pct"/>
            <w:textDirection w:val="lrTb"/>
            <w:noWrap w:val="false"/>
          </w:tcPr>
          <w:p>
            <w:pPr>
              <w:pStyle w:val="1005"/>
              <w:ind w:left="57" w:right="57"/>
            </w:pPr>
            <w:r>
              <w:t xml:space="preserve">Номер л/с плательщика</w:t>
            </w:r>
            <w:r/>
          </w:p>
        </w:tc>
        <w:tc>
          <w:tcPr>
            <w:shd w:val="clear" w:fill="auto" w:color="auto"/>
            <w:tcW w:w="3002" w:type="pct"/>
            <w:textDirection w:val="lrTb"/>
            <w:noWrap w:val="false"/>
          </w:tcPr>
          <w:p>
            <w:pPr>
              <w:pStyle w:val="1005"/>
              <w:ind w:left="57" w:right="57"/>
            </w:pPr>
            <w:r>
              <w:t xml:space="preserve">Номер л/с плательщика.</w:t>
            </w:r>
            <w:r/>
          </w:p>
        </w:tc>
      </w:tr>
      <w:tr>
        <w:trPr/>
        <w:tc>
          <w:tcPr>
            <w:shd w:val="clear" w:fill="auto" w:color="auto"/>
            <w:tcW w:w="1998" w:type="pct"/>
            <w:textDirection w:val="lrTb"/>
            <w:noWrap w:val="false"/>
          </w:tcPr>
          <w:p>
            <w:pPr>
              <w:pStyle w:val="1005"/>
              <w:ind w:left="57" w:right="57"/>
            </w:pPr>
            <w:r>
              <w:t xml:space="preserve">Получатель</w:t>
            </w:r>
            <w:r/>
          </w:p>
        </w:tc>
        <w:tc>
          <w:tcPr>
            <w:shd w:val="clear" w:fill="auto" w:color="auto"/>
            <w:tcW w:w="3002" w:type="pct"/>
            <w:textDirection w:val="lrTb"/>
            <w:noWrap w:val="false"/>
          </w:tcPr>
          <w:p>
            <w:pPr>
              <w:pStyle w:val="1005"/>
              <w:ind w:left="57" w:right="57"/>
            </w:pPr>
            <w:r>
              <w:t xml:space="preserve">Получатель.</w:t>
            </w:r>
            <w:r/>
          </w:p>
        </w:tc>
      </w:tr>
      <w:tr>
        <w:trPr/>
        <w:tc>
          <w:tcPr>
            <w:shd w:val="clear" w:fill="auto" w:color="auto"/>
            <w:tcW w:w="1998" w:type="pct"/>
            <w:textDirection w:val="lrTb"/>
            <w:noWrap w:val="false"/>
          </w:tcPr>
          <w:p>
            <w:pPr>
              <w:pStyle w:val="1005"/>
              <w:ind w:left="57" w:right="57"/>
            </w:pPr>
            <w:r>
              <w:t xml:space="preserve">Номер л/с получателя</w:t>
            </w:r>
            <w:r/>
          </w:p>
        </w:tc>
        <w:tc>
          <w:tcPr>
            <w:shd w:val="clear" w:fill="auto" w:color="auto"/>
            <w:tcW w:w="3002" w:type="pct"/>
            <w:textDirection w:val="lrTb"/>
            <w:noWrap w:val="false"/>
          </w:tcPr>
          <w:p>
            <w:pPr>
              <w:pStyle w:val="1005"/>
              <w:ind w:left="57" w:right="57"/>
            </w:pPr>
            <w:r>
              <w:t xml:space="preserve">Номер л/с получателя.</w:t>
            </w:r>
            <w:r/>
          </w:p>
        </w:tc>
      </w:tr>
    </w:tbl>
    <w:p>
      <w:pPr>
        <w:pStyle w:val="994"/>
      </w:pPr>
      <w:r>
        <w:t xml:space="preserve">ЭФ документа «Казначейское обеспечение обязательств», закладки «Подписи (4)» представлена на рисунке </w:t>
      </w:r>
      <w:r>
        <w:fldChar w:fldCharType="begin"/>
      </w:r>
      <w:r>
        <w:instrText xml:space="preserve"> REF _Ref455658855 \h </w:instrText>
      </w:r>
      <w:r>
        <w:fldChar w:fldCharType="separate"/>
      </w:r>
      <w:r>
        <w:t xml:space="preserve">108</w:t>
      </w:r>
      <w:r>
        <w:fldChar w:fldCharType="end"/>
      </w:r>
      <w:r>
        <w:t xml:space="preserve">. </w:t>
      </w:r>
      <w:r/>
    </w:p>
    <w:p>
      <w:pPr>
        <w:pStyle w:val="982"/>
      </w:pPr>
      <w:r>
        <mc:AlternateContent>
          <mc:Choice Requires="wpg">
            <w:drawing>
              <wp:inline xmlns:wp="http://schemas.openxmlformats.org/drawingml/2006/wordprocessingDrawing" distT="0" distB="0" distL="0" distR="0">
                <wp:extent cx="6126480" cy="1272540"/>
                <wp:effectExtent l="0" t="0" r="0" b="0"/>
                <wp:docPr id="18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74"/>
                        <a:stretch/>
                      </pic:blipFill>
                      <pic:spPr bwMode="auto">
                        <a:xfrm>
                          <a:off x="0" y="0"/>
                          <a:ext cx="6126480" cy="12725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 o:spid="_x0000_s182" type="#_x0000_t75" style="mso-wrap-distance-left:0.0pt;mso-wrap-distance-top:0.0pt;mso-wrap-distance-right:0.0pt;mso-wrap-distance-bottom:0.0pt;width:482.4pt;height:100.2pt;" stroked="f">
                <v:path textboxrect="0,0,0,0"/>
                <v:imagedata r:id="rId174" o:title=""/>
              </v:shape>
            </w:pict>
          </mc:Fallback>
        </mc:AlternateContent>
      </w:r>
      <w:r/>
    </w:p>
    <w:p>
      <w:pPr>
        <w:pStyle w:val="983"/>
        <w:numPr>
          <w:ilvl w:val="0"/>
          <w:numId w:val="126"/>
        </w:numPr>
      </w:pPr>
      <w:r>
        <w:fldChar w:fldCharType="begin"/>
      </w:r>
      <w:r>
        <w:instrText xml:space="preserve"> SEQ Рисунок \* ARABIC </w:instrText>
      </w:r>
      <w:r>
        <w:fldChar w:fldCharType="separate"/>
      </w:r>
      <w:bookmarkStart w:id="893" w:name="_Ref455658855"/>
      <w:r/>
      <w:bookmarkStart w:id="894" w:name="_Toc57809462"/>
      <w:r/>
      <w:bookmarkStart w:id="895" w:name="_Toc50059788"/>
      <w:r/>
      <w:bookmarkStart w:id="896" w:name="_Toc88819493"/>
      <w:r>
        <w:t xml:space="preserve">108</w:t>
      </w:r>
      <w:bookmarkEnd w:id="893"/>
      <w:r>
        <w:fldChar w:fldCharType="end"/>
      </w:r>
      <w:r>
        <w:t xml:space="preserve">. ЭФ документа «Казначейское обеспечение обязательств», закладки «Подписи (4)»</w:t>
      </w:r>
      <w:bookmarkEnd w:id="894"/>
      <w:r/>
      <w:bookmarkEnd w:id="895"/>
      <w:r/>
      <w:bookmarkEnd w:id="896"/>
      <w:r/>
      <w:r/>
    </w:p>
    <w:p>
      <w:r>
        <w:t xml:space="preserve">Перечень полей документа «Казначейское обеспечение обязательств», закладки «Подписи (4)» приведен в таблице </w:t>
      </w:r>
      <w:r>
        <w:fldChar w:fldCharType="begin"/>
      </w:r>
      <w:r>
        <w:instrText xml:space="preserve"> REF _Ref455658774 \h </w:instrText>
      </w:r>
      <w:r>
        <w:fldChar w:fldCharType="separate"/>
      </w:r>
      <w:r>
        <w:t xml:space="preserve">59</w:t>
      </w:r>
      <w:r>
        <w:fldChar w:fldCharType="end"/>
      </w:r>
      <w:r>
        <w:t xml:space="preserve">.</w:t>
      </w:r>
      <w:r/>
    </w:p>
    <w:p>
      <w:pPr>
        <w:pStyle w:val="993"/>
        <w:numPr>
          <w:ilvl w:val="0"/>
          <w:numId w:val="129"/>
        </w:numPr>
      </w:pPr>
      <w:r>
        <w:fldChar w:fldCharType="begin"/>
      </w:r>
      <w:r>
        <w:instrText xml:space="preserve"> SEQ Таблица \* ARABIC </w:instrText>
      </w:r>
      <w:r>
        <w:fldChar w:fldCharType="separate"/>
      </w:r>
      <w:bookmarkStart w:id="897" w:name="_Ref455658774"/>
      <w:r/>
      <w:bookmarkStart w:id="898" w:name="_Toc57809222"/>
      <w:r/>
      <w:bookmarkStart w:id="899" w:name="_Toc57722285"/>
      <w:r/>
      <w:bookmarkStart w:id="900" w:name="_Toc88819245"/>
      <w:r>
        <w:t xml:space="preserve">59</w:t>
      </w:r>
      <w:bookmarkEnd w:id="897"/>
      <w:r>
        <w:fldChar w:fldCharType="end"/>
      </w:r>
      <w:r>
        <w:t xml:space="preserve">. Описание полей документа «Казначейское обеспечение обязательств», закладки «Подписи (4)»</w:t>
      </w:r>
      <w:bookmarkEnd w:id="898"/>
      <w:r/>
      <w:bookmarkEnd w:id="899"/>
      <w:r/>
      <w:bookmarkEnd w:id="900"/>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4018"/>
        <w:gridCol w:w="5734"/>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06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940" w:type="pct"/>
            <w:vAlign w:val="center"/>
            <w:textDirection w:val="lrTb"/>
            <w:noWrap w:val="false"/>
          </w:tcPr>
          <w:p>
            <w:pPr>
              <w:pStyle w:val="1006"/>
            </w:pPr>
            <w:r>
              <w:t xml:space="preserve">Описание поля</w:t>
            </w:r>
            <w:r/>
          </w:p>
        </w:tc>
      </w:tr>
      <w:tr>
        <w:trPr/>
        <w:tc>
          <w:tcPr>
            <w:shd w:val="clear" w:fill="auto" w:color="auto"/>
            <w:tcW w:w="2060" w:type="pct"/>
            <w:textDirection w:val="lrTb"/>
            <w:noWrap w:val="false"/>
          </w:tcPr>
          <w:p>
            <w:pPr>
              <w:pStyle w:val="1005"/>
              <w:ind w:left="57" w:right="57"/>
            </w:pPr>
            <w:r>
              <w:t xml:space="preserve">Руководитель (уполномоченное лицо). Должность</w:t>
            </w:r>
            <w:r/>
          </w:p>
        </w:tc>
        <w:tc>
          <w:tcPr>
            <w:shd w:val="clear" w:fill="auto" w:color="auto"/>
            <w:tcW w:w="2940" w:type="pct"/>
            <w:textDirection w:val="lrTb"/>
            <w:noWrap w:val="false"/>
          </w:tcPr>
          <w:p>
            <w:pPr>
              <w:pStyle w:val="1005"/>
              <w:ind w:left="57" w:right="57"/>
            </w:pPr>
            <w:r>
              <w:t xml:space="preserve">Должность руководителя (уполномоченного лица).</w:t>
            </w:r>
            <w:r/>
          </w:p>
        </w:tc>
      </w:tr>
      <w:tr>
        <w:trPr/>
        <w:tc>
          <w:tcPr>
            <w:shd w:val="clear" w:fill="auto" w:color="auto"/>
            <w:tcW w:w="2060" w:type="pct"/>
            <w:textDirection w:val="lrTb"/>
            <w:noWrap w:val="false"/>
          </w:tcPr>
          <w:p>
            <w:pPr>
              <w:pStyle w:val="1005"/>
              <w:ind w:left="57" w:right="57"/>
            </w:pPr>
            <w:r>
              <w:t xml:space="preserve">Руководитель (уполномоченное лицо). Расшифровка подписи</w:t>
            </w:r>
            <w:r/>
          </w:p>
        </w:tc>
        <w:tc>
          <w:tcPr>
            <w:shd w:val="clear" w:fill="auto" w:color="auto"/>
            <w:tcW w:w="2940" w:type="pct"/>
            <w:textDirection w:val="lrTb"/>
            <w:noWrap w:val="false"/>
          </w:tcPr>
          <w:p>
            <w:pPr>
              <w:pStyle w:val="1005"/>
              <w:ind w:left="57" w:right="57"/>
            </w:pPr>
            <w:r>
              <w:t xml:space="preserve">Расшифровка подписи руководителя (уполномоченного лица).</w:t>
            </w:r>
            <w:r/>
          </w:p>
        </w:tc>
      </w:tr>
      <w:tr>
        <w:trPr/>
        <w:tc>
          <w:tcPr>
            <w:shd w:val="clear" w:fill="auto" w:color="auto"/>
            <w:tcW w:w="2060" w:type="pct"/>
            <w:textDirection w:val="lrTb"/>
            <w:noWrap w:val="false"/>
          </w:tcPr>
          <w:p>
            <w:pPr>
              <w:pStyle w:val="1005"/>
              <w:ind w:left="57" w:right="57"/>
            </w:pPr>
            <w:r>
              <w:t xml:space="preserve">Главный бухгалтер (уполномоченное лицо). Должность</w:t>
            </w:r>
            <w:r/>
          </w:p>
        </w:tc>
        <w:tc>
          <w:tcPr>
            <w:shd w:val="clear" w:fill="auto" w:color="auto"/>
            <w:tcW w:w="2940" w:type="pct"/>
            <w:textDirection w:val="lrTb"/>
            <w:noWrap w:val="false"/>
          </w:tcPr>
          <w:p>
            <w:pPr>
              <w:pStyle w:val="1005"/>
              <w:ind w:left="57" w:right="57"/>
            </w:pPr>
            <w:r>
              <w:t xml:space="preserve">Должность главного бухгалтера (уполномоченного лица).</w:t>
            </w:r>
            <w:r/>
          </w:p>
        </w:tc>
      </w:tr>
      <w:tr>
        <w:trPr/>
        <w:tc>
          <w:tcPr>
            <w:shd w:val="clear" w:fill="auto" w:color="auto"/>
            <w:tcW w:w="2060" w:type="pct"/>
            <w:textDirection w:val="lrTb"/>
            <w:noWrap w:val="false"/>
          </w:tcPr>
          <w:p>
            <w:pPr>
              <w:pStyle w:val="1005"/>
              <w:ind w:left="57" w:right="57"/>
            </w:pPr>
            <w:r>
              <w:t xml:space="preserve">Главный бухгалтер (уполномоченное лицо). Расшифровка подписи</w:t>
            </w:r>
            <w:r/>
          </w:p>
        </w:tc>
        <w:tc>
          <w:tcPr>
            <w:shd w:val="clear" w:fill="auto" w:color="auto"/>
            <w:tcW w:w="2940" w:type="pct"/>
            <w:textDirection w:val="lrTb"/>
            <w:noWrap w:val="false"/>
          </w:tcPr>
          <w:p>
            <w:pPr>
              <w:pStyle w:val="1005"/>
              <w:ind w:left="57" w:right="57"/>
            </w:pPr>
            <w:r>
              <w:t xml:space="preserve">Расшифровка подписи главного бухгалтера (уполномоченного лица).</w:t>
            </w:r>
            <w:r/>
          </w:p>
        </w:tc>
      </w:tr>
      <w:tr>
        <w:trPr/>
        <w:tc>
          <w:tcPr>
            <w:shd w:val="clear" w:fill="auto" w:color="auto"/>
            <w:tcW w:w="2060" w:type="pct"/>
            <w:textDirection w:val="lrTb"/>
            <w:noWrap w:val="false"/>
          </w:tcPr>
          <w:p>
            <w:pPr>
              <w:pStyle w:val="1005"/>
              <w:ind w:left="57" w:right="57"/>
            </w:pPr>
            <w:r>
              <w:t xml:space="preserve">Ответственный исполнитель (уполномоченное лицо). Должность</w:t>
            </w:r>
            <w:r/>
          </w:p>
        </w:tc>
        <w:tc>
          <w:tcPr>
            <w:shd w:val="clear" w:fill="auto" w:color="auto"/>
            <w:tcW w:w="2940" w:type="pct"/>
            <w:textDirection w:val="lrTb"/>
            <w:noWrap w:val="false"/>
          </w:tcPr>
          <w:p>
            <w:pPr>
              <w:pStyle w:val="1005"/>
              <w:ind w:left="57" w:right="57"/>
            </w:pPr>
            <w:r>
              <w:t xml:space="preserve">Должность ответственного исполнителя (уполномоченного лица).</w:t>
            </w:r>
            <w:r/>
          </w:p>
        </w:tc>
      </w:tr>
      <w:tr>
        <w:trPr/>
        <w:tc>
          <w:tcPr>
            <w:shd w:val="clear" w:fill="auto" w:color="auto"/>
            <w:tcW w:w="2060" w:type="pct"/>
            <w:textDirection w:val="lrTb"/>
            <w:noWrap w:val="false"/>
          </w:tcPr>
          <w:p>
            <w:pPr>
              <w:pStyle w:val="1005"/>
              <w:ind w:left="57" w:right="57"/>
            </w:pPr>
            <w:r>
              <w:t xml:space="preserve">Ответственный исполнитель (уполномоченное лицо). Расшифровка подписи</w:t>
            </w:r>
            <w:r/>
          </w:p>
        </w:tc>
        <w:tc>
          <w:tcPr>
            <w:shd w:val="clear" w:fill="auto" w:color="auto"/>
            <w:tcW w:w="2940" w:type="pct"/>
            <w:textDirection w:val="lrTb"/>
            <w:noWrap w:val="false"/>
          </w:tcPr>
          <w:p>
            <w:pPr>
              <w:pStyle w:val="1005"/>
              <w:ind w:left="57" w:right="57"/>
            </w:pPr>
            <w:r>
              <w:t xml:space="preserve">Расшифровка подписи ответственного исполнителя (уполномоченного лица).</w:t>
            </w:r>
            <w:r/>
          </w:p>
        </w:tc>
      </w:tr>
      <w:tr>
        <w:trPr/>
        <w:tc>
          <w:tcPr>
            <w:shd w:val="clear" w:fill="auto" w:color="auto"/>
            <w:tcW w:w="2060" w:type="pct"/>
            <w:textDirection w:val="lrTb"/>
            <w:noWrap w:val="false"/>
          </w:tcPr>
          <w:p>
            <w:pPr>
              <w:pStyle w:val="1005"/>
              <w:ind w:left="57" w:right="57"/>
            </w:pPr>
            <w:r>
              <w:t xml:space="preserve">Ответственный исполнитель (уполномоченное лицо). Телефон</w:t>
            </w:r>
            <w:r/>
          </w:p>
        </w:tc>
        <w:tc>
          <w:tcPr>
            <w:shd w:val="clear" w:fill="auto" w:color="auto"/>
            <w:tcW w:w="2940" w:type="pct"/>
            <w:textDirection w:val="lrTb"/>
            <w:noWrap w:val="false"/>
          </w:tcPr>
          <w:p>
            <w:pPr>
              <w:pStyle w:val="1005"/>
              <w:ind w:left="57" w:right="57"/>
            </w:pPr>
            <w:r>
              <w:t xml:space="preserve">Телефон ответственного исполнителя (уполномоченного лица).</w:t>
            </w:r>
            <w:r/>
          </w:p>
        </w:tc>
      </w:tr>
      <w:tr>
        <w:trPr/>
        <w:tc>
          <w:tcPr>
            <w:shd w:val="clear" w:fill="auto" w:color="auto"/>
            <w:tcW w:w="2060" w:type="pct"/>
            <w:textDirection w:val="lrTb"/>
            <w:noWrap w:val="false"/>
          </w:tcPr>
          <w:p>
            <w:pPr>
              <w:pStyle w:val="1005"/>
              <w:ind w:left="57" w:right="57"/>
            </w:pPr>
            <w:r>
              <w:t xml:space="preserve">Дата подписания</w:t>
            </w:r>
            <w:r/>
          </w:p>
        </w:tc>
        <w:tc>
          <w:tcPr>
            <w:shd w:val="clear" w:fill="auto" w:color="auto"/>
            <w:tcW w:w="2940" w:type="pct"/>
            <w:textDirection w:val="lrTb"/>
            <w:noWrap w:val="false"/>
          </w:tcPr>
          <w:p>
            <w:pPr>
              <w:pStyle w:val="1005"/>
              <w:ind w:left="57" w:right="57"/>
            </w:pPr>
            <w:r>
              <w:t xml:space="preserve">Дата подписания документа.</w:t>
            </w:r>
            <w:r/>
          </w:p>
        </w:tc>
      </w:tr>
    </w:tbl>
    <w:p>
      <w:r>
        <w:t xml:space="preserve">ЭФ документа «Казначейское обеспечение обязательств», закладки «Дополнительные атрибуты (5)» представлена на рисунке </w:t>
      </w:r>
      <w:r>
        <w:fldChar w:fldCharType="begin"/>
      </w:r>
      <w:r>
        <w:instrText xml:space="preserve"> REF _Ref455658868 \h </w:instrText>
      </w:r>
      <w:r>
        <w:fldChar w:fldCharType="separate"/>
      </w:r>
      <w:r>
        <w:t xml:space="preserve">109</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731520"/>
                <wp:effectExtent l="0" t="0" r="0" b="0"/>
                <wp:docPr id="18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75"/>
                        <a:stretch/>
                      </pic:blipFill>
                      <pic:spPr bwMode="auto">
                        <a:xfrm>
                          <a:off x="0" y="0"/>
                          <a:ext cx="6126480" cy="7315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3" o:spid="_x0000_s183" type="#_x0000_t75" style="mso-wrap-distance-left:0.0pt;mso-wrap-distance-top:0.0pt;mso-wrap-distance-right:0.0pt;mso-wrap-distance-bottom:0.0pt;width:482.4pt;height:57.6pt;" stroked="f">
                <v:path textboxrect="0,0,0,0"/>
                <v:imagedata r:id="rId175" o:title=""/>
              </v:shape>
            </w:pict>
          </mc:Fallback>
        </mc:AlternateContent>
      </w:r>
      <w:r/>
    </w:p>
    <w:p>
      <w:pPr>
        <w:pStyle w:val="983"/>
        <w:numPr>
          <w:ilvl w:val="0"/>
          <w:numId w:val="126"/>
        </w:numPr>
      </w:pPr>
      <w:r>
        <w:fldChar w:fldCharType="begin"/>
      </w:r>
      <w:r>
        <w:instrText xml:space="preserve"> SEQ Рисунок \* ARABIC </w:instrText>
      </w:r>
      <w:r>
        <w:fldChar w:fldCharType="separate"/>
      </w:r>
      <w:bookmarkStart w:id="901" w:name="_Ref455658868"/>
      <w:r/>
      <w:bookmarkStart w:id="902" w:name="_Toc57809463"/>
      <w:r/>
      <w:bookmarkStart w:id="903" w:name="_Toc50059789"/>
      <w:r/>
      <w:bookmarkStart w:id="904" w:name="_Toc88819494"/>
      <w:r>
        <w:t xml:space="preserve">109</w:t>
      </w:r>
      <w:bookmarkEnd w:id="901"/>
      <w:r>
        <w:fldChar w:fldCharType="end"/>
      </w:r>
      <w:r>
        <w:t xml:space="preserve">. ЭФ документа «Казначейское обеспечение обязательств», закладки «Дополнительные атрибуты (5)»</w:t>
      </w:r>
      <w:bookmarkEnd w:id="902"/>
      <w:r/>
      <w:bookmarkEnd w:id="903"/>
      <w:r/>
      <w:bookmarkEnd w:id="904"/>
      <w:r/>
      <w:r/>
    </w:p>
    <w:p>
      <w:r>
        <w:t xml:space="preserve">Перечень полей документа «Казначейское обеспечение обязательств», закладки «Дополнительные атрибуты (5)» приведен в таблице </w:t>
      </w:r>
      <w:r>
        <w:fldChar w:fldCharType="begin"/>
      </w:r>
      <w:r>
        <w:instrText xml:space="preserve"> REF _Ref455658773 \h </w:instrText>
      </w:r>
      <w:r>
        <w:fldChar w:fldCharType="separate"/>
      </w:r>
      <w:r>
        <w:t xml:space="preserve">60</w:t>
      </w:r>
      <w:r>
        <w:fldChar w:fldCharType="end"/>
      </w:r>
      <w:r>
        <w:t xml:space="preserve">.</w:t>
      </w:r>
      <w:r/>
    </w:p>
    <w:p>
      <w:pPr>
        <w:pStyle w:val="993"/>
        <w:numPr>
          <w:ilvl w:val="0"/>
          <w:numId w:val="129"/>
        </w:numPr>
      </w:pPr>
      <w:r>
        <w:fldChar w:fldCharType="begin"/>
      </w:r>
      <w:r>
        <w:instrText xml:space="preserve"> SEQ Таблица \* ARABIC </w:instrText>
      </w:r>
      <w:r>
        <w:fldChar w:fldCharType="separate"/>
      </w:r>
      <w:bookmarkStart w:id="905" w:name="_Ref455658773"/>
      <w:r/>
      <w:bookmarkStart w:id="906" w:name="_Toc57809223"/>
      <w:r/>
      <w:bookmarkStart w:id="907" w:name="_Toc57722286"/>
      <w:r/>
      <w:bookmarkStart w:id="908" w:name="_Toc88819246"/>
      <w:r>
        <w:t xml:space="preserve">60</w:t>
      </w:r>
      <w:bookmarkEnd w:id="905"/>
      <w:r>
        <w:fldChar w:fldCharType="end"/>
      </w:r>
      <w:r>
        <w:t xml:space="preserve">. Описание полей документа «Казначейское обеспечение обязательств», закладки «Дополнительные атрибуты (5)»</w:t>
      </w:r>
      <w:bookmarkEnd w:id="906"/>
      <w:r/>
      <w:bookmarkEnd w:id="907"/>
      <w:r/>
      <w:bookmarkEnd w:id="90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697"/>
        <w:gridCol w:w="7055"/>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383"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617" w:type="pct"/>
            <w:vAlign w:val="center"/>
            <w:textDirection w:val="lrTb"/>
            <w:noWrap w:val="false"/>
          </w:tcPr>
          <w:p>
            <w:pPr>
              <w:pStyle w:val="1006"/>
            </w:pPr>
            <w:r>
              <w:t xml:space="preserve">Описание поля</w:t>
            </w:r>
            <w:r/>
          </w:p>
        </w:tc>
      </w:tr>
      <w:tr>
        <w:trPr/>
        <w:tc>
          <w:tcPr>
            <w:shd w:val="clear" w:fill="auto" w:color="auto"/>
            <w:tcW w:w="1383" w:type="pct"/>
            <w:textDirection w:val="lrTb"/>
            <w:noWrap w:val="false"/>
          </w:tcPr>
          <w:p>
            <w:pPr>
              <w:pStyle w:val="1005"/>
              <w:ind w:left="57" w:right="57"/>
            </w:pPr>
            <w:r>
              <w:t xml:space="preserve">Дата проводки</w:t>
            </w:r>
            <w:r/>
          </w:p>
        </w:tc>
        <w:tc>
          <w:tcPr>
            <w:shd w:val="clear" w:fill="auto" w:color="auto"/>
            <w:tcW w:w="3617" w:type="pct"/>
            <w:textDirection w:val="lrTb"/>
            <w:noWrap w:val="false"/>
          </w:tcPr>
          <w:p>
            <w:pPr>
              <w:pStyle w:val="1005"/>
              <w:ind w:left="57" w:right="57"/>
            </w:pPr>
            <w:r>
              <w:t xml:space="preserve">Дата проводки.</w:t>
            </w:r>
            <w:r/>
          </w:p>
        </w:tc>
      </w:tr>
      <w:tr>
        <w:trPr/>
        <w:tc>
          <w:tcPr>
            <w:shd w:val="clear" w:fill="auto" w:color="auto"/>
            <w:tcW w:w="1383" w:type="pct"/>
            <w:textDirection w:val="lrTb"/>
            <w:noWrap w:val="false"/>
          </w:tcPr>
          <w:p>
            <w:pPr>
              <w:pStyle w:val="1005"/>
              <w:ind w:left="57" w:right="57"/>
            </w:pPr>
            <w:r>
              <w:t xml:space="preserve">Подсистема плательщика</w:t>
            </w:r>
            <w:r/>
          </w:p>
        </w:tc>
        <w:tc>
          <w:tcPr>
            <w:shd w:val="clear" w:fill="auto" w:color="auto"/>
            <w:tcW w:w="3617" w:type="pct"/>
            <w:textDirection w:val="lrTb"/>
            <w:noWrap w:val="false"/>
          </w:tcPr>
          <w:p>
            <w:pPr>
              <w:pStyle w:val="1005"/>
              <w:ind w:left="57" w:right="57"/>
            </w:pPr>
            <w:r>
              <w:t xml:space="preserve">Указывается значение подсистемы л/с плательщика АКР.</w:t>
            </w:r>
            <w:r/>
          </w:p>
          <w:p>
            <w:pPr>
              <w:pStyle w:val="1005"/>
              <w:ind w:left="57" w:right="57"/>
            </w:pPr>
            <w:r>
              <w:t xml:space="preserve">Возможные значения:</w:t>
            </w:r>
            <w:r/>
          </w:p>
          <w:p>
            <w:pPr>
              <w:pStyle w:val="1008"/>
            </w:pPr>
            <w:r>
              <w:t xml:space="preserve">Автоматизированная система ФК.</w:t>
            </w:r>
            <w:r/>
          </w:p>
          <w:p>
            <w:pPr>
              <w:pStyle w:val="1008"/>
            </w:pPr>
            <w:r>
              <w:t xml:space="preserve">Подсистема управления расходами в части казначейского сопровождения (ПУР КС).</w:t>
            </w:r>
            <w:r/>
          </w:p>
          <w:p>
            <w:pPr>
              <w:pStyle w:val="1008"/>
            </w:pPr>
            <w:r>
              <w:t xml:space="preserve">Подсистема управления расходами (ПУР).</w:t>
            </w:r>
            <w:r/>
          </w:p>
          <w:p>
            <w:pPr>
              <w:pStyle w:val="1008"/>
            </w:pPr>
            <w:r>
              <w:t xml:space="preserve">Подсистема управления расходами юридических лиц, не являющихся участниками бюджетного процесса (ПУР АУ/БУ).</w:t>
            </w:r>
            <w:r/>
          </w:p>
        </w:tc>
      </w:tr>
      <w:tr>
        <w:trPr/>
        <w:tc>
          <w:tcPr>
            <w:shd w:val="clear" w:fill="auto" w:color="auto"/>
            <w:tcW w:w="1383" w:type="pct"/>
            <w:textDirection w:val="lrTb"/>
            <w:noWrap w:val="false"/>
          </w:tcPr>
          <w:p>
            <w:pPr>
              <w:pStyle w:val="1005"/>
              <w:ind w:left="57" w:right="57"/>
            </w:pPr>
            <w:r>
              <w:t xml:space="preserve">Дата регистрации</w:t>
            </w:r>
            <w:r/>
          </w:p>
        </w:tc>
        <w:tc>
          <w:tcPr>
            <w:shd w:val="clear" w:fill="auto" w:color="auto"/>
            <w:tcW w:w="3617" w:type="pct"/>
            <w:textDirection w:val="lrTb"/>
            <w:noWrap w:val="false"/>
          </w:tcPr>
          <w:p>
            <w:pPr>
              <w:pStyle w:val="1005"/>
              <w:ind w:left="57" w:right="57"/>
            </w:pPr>
            <w:r>
              <w:t xml:space="preserve">Дата регистрации.</w:t>
            </w:r>
            <w:r/>
          </w:p>
        </w:tc>
      </w:tr>
      <w:tr>
        <w:trPr/>
        <w:tc>
          <w:tcPr>
            <w:shd w:val="clear" w:fill="auto" w:color="auto"/>
            <w:tcW w:w="1383" w:type="pct"/>
            <w:textDirection w:val="lrTb"/>
            <w:noWrap w:val="false"/>
          </w:tcPr>
          <w:p>
            <w:pPr>
              <w:pStyle w:val="1005"/>
              <w:ind w:left="57" w:right="57"/>
            </w:pPr>
            <w:r>
              <w:t xml:space="preserve">Подсистема получателя</w:t>
            </w:r>
            <w:r/>
          </w:p>
        </w:tc>
        <w:tc>
          <w:tcPr>
            <w:shd w:val="clear" w:fill="auto" w:color="auto"/>
            <w:tcW w:w="3617" w:type="pct"/>
            <w:textDirection w:val="lrTb"/>
            <w:noWrap w:val="false"/>
          </w:tcPr>
          <w:p>
            <w:pPr>
              <w:pStyle w:val="1005"/>
              <w:ind w:left="57" w:right="57"/>
            </w:pPr>
            <w:r>
              <w:t xml:space="preserve">Указывается значение подсистемы л/с плательщика АКР.</w:t>
            </w:r>
            <w:r/>
          </w:p>
          <w:p>
            <w:pPr>
              <w:pStyle w:val="1005"/>
              <w:ind w:left="57" w:right="57"/>
            </w:pPr>
            <w:r>
              <w:t xml:space="preserve">Возможные значения:</w:t>
            </w:r>
            <w:r/>
          </w:p>
          <w:p>
            <w:pPr>
              <w:pStyle w:val="1008"/>
            </w:pPr>
            <w:r>
              <w:t xml:space="preserve">Автоматизированная система ФК.</w:t>
            </w:r>
            <w:r/>
          </w:p>
          <w:p>
            <w:pPr>
              <w:pStyle w:val="1008"/>
            </w:pPr>
            <w:r>
              <w:t xml:space="preserve">Подсистема управления расходами в части казначейского сопровождения (ПУР КС).</w:t>
            </w:r>
            <w:r/>
          </w:p>
          <w:p>
            <w:pPr>
              <w:pStyle w:val="1008"/>
            </w:pPr>
            <w:r>
              <w:t xml:space="preserve">Подсистема управления расходами (ПУР).</w:t>
            </w:r>
            <w:r/>
          </w:p>
          <w:p>
            <w:pPr>
              <w:pStyle w:val="1008"/>
            </w:pPr>
            <w:r>
              <w:t xml:space="preserve">Подсистема управления расходами юридических лиц, не являющихся участниками бюджетного процесса (ПУР АУ/БУ).</w:t>
            </w:r>
            <w:r/>
          </w:p>
        </w:tc>
      </w:tr>
    </w:tbl>
    <w:p>
      <w:pPr>
        <w:pStyle w:val="994"/>
      </w:pPr>
      <w:r/>
      <w:r/>
    </w:p>
    <w:p>
      <w:pPr>
        <w:pStyle w:val="972"/>
      </w:pPr>
      <w:r/>
      <w:bookmarkStart w:id="909" w:name="_Ref524531412"/>
      <w:r/>
      <w:bookmarkStart w:id="910" w:name="_Toc88819116"/>
      <w:r>
        <w:t xml:space="preserve">Сведения о денежном обязательстве</w:t>
      </w:r>
      <w:bookmarkEnd w:id="909"/>
      <w:r/>
      <w:bookmarkEnd w:id="910"/>
      <w:r/>
      <w:r/>
    </w:p>
    <w:p>
      <w:pPr>
        <w:pStyle w:val="994"/>
      </w:pPr>
      <w:r>
        <w:t xml:space="preserve">ЭД «Сведения о денежном обязательстве» предназначен для учета территориальными органами Федерал</w:t>
      </w:r>
      <w:r>
        <w:t xml:space="preserve">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w:t>
      </w:r>
      <w:r>
        <w:t xml:space="preserve">.</w:t>
      </w:r>
      <w:r>
        <w:t xml:space="preserve">лицу, ИП или гражданину, в соответствии с исполнительным документом, из подтверждающего возникновение обязательства документа и др.</w:t>
      </w:r>
      <w:r/>
    </w:p>
    <w:p>
      <w:pPr>
        <w:pStyle w:val="994"/>
      </w:pPr>
      <w:r>
        <w:t xml:space="preserve">Денежные обязательства – обязанность получателя бюджетных средств уплатить бюджету, физическому лицу и юридическому лицу за счет сре</w:t>
      </w:r>
      <w:r>
        <w:t xml:space="preserve">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r/>
    </w:p>
    <w:p>
      <w:pPr>
        <w:pStyle w:val="994"/>
      </w:pPr>
      <w:r>
        <w:t xml:space="preserve">Для работы с </w:t>
      </w:r>
      <w:r>
        <w:t xml:space="preserve">исходящими </w:t>
      </w:r>
      <w:r>
        <w:t xml:space="preserve">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w:t>
      </w:r>
      <w:r>
        <w:t xml:space="preserve">обязательстве (</w:t>
      </w:r>
      <w:r>
        <w:t xml:space="preserve">ис</w:t>
      </w:r>
      <w:r>
        <w:t xml:space="preserve">ходящие)</w:t>
      </w:r>
      <w:r>
        <w:t xml:space="preserve">». Откроется ЭФ списка документов, представленная на рисунке </w:t>
      </w:r>
      <w:r>
        <w:fldChar w:fldCharType="begin"/>
      </w:r>
      <w:r>
        <w:instrText xml:space="preserve"> REF _Ref466296941 \h </w:instrText>
      </w:r>
      <w:r>
        <w:fldChar w:fldCharType="separate"/>
      </w:r>
      <w:r>
        <w:t xml:space="preserve">110</w:t>
      </w:r>
      <w:r>
        <w:fldChar w:fldCharType="end"/>
      </w:r>
      <w:r>
        <w:t xml:space="preserve">.</w:t>
      </w:r>
      <w:r/>
    </w:p>
    <w:p>
      <w:pPr>
        <w:pStyle w:val="994"/>
      </w:pPr>
      <w:r>
        <w:t xml:space="preserve">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r/>
    </w:p>
    <w:p>
      <w:pPr>
        <w:pStyle w:val="982"/>
      </w:pPr>
      <w:r>
        <mc:AlternateContent>
          <mc:Choice Requires="wpg">
            <w:drawing>
              <wp:inline xmlns:wp="http://schemas.openxmlformats.org/drawingml/2006/wordprocessingDrawing" distT="0" distB="0" distL="0" distR="0">
                <wp:extent cx="6126480" cy="3733800"/>
                <wp:effectExtent l="0" t="0" r="0" b="0"/>
                <wp:docPr id="18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76"/>
                        <a:stretch/>
                      </pic:blipFill>
                      <pic:spPr bwMode="auto">
                        <a:xfrm>
                          <a:off x="0" y="0"/>
                          <a:ext cx="6126480" cy="3733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4" o:spid="_x0000_s184" type="#_x0000_t75" style="mso-wrap-distance-left:0.0pt;mso-wrap-distance-top:0.0pt;mso-wrap-distance-right:0.0pt;mso-wrap-distance-bottom:0.0pt;width:482.4pt;height:294.0pt;" stroked="f">
                <v:path textboxrect="0,0,0,0"/>
                <v:imagedata r:id="rId176" o:title=""/>
              </v:shape>
            </w:pict>
          </mc:Fallback>
        </mc:AlternateContent>
      </w:r>
      <w:r/>
    </w:p>
    <w:p>
      <w:pPr>
        <w:pStyle w:val="983"/>
      </w:pPr>
      <w:r>
        <w:fldChar w:fldCharType="begin"/>
      </w:r>
      <w:r>
        <w:instrText xml:space="preserve"> SEQ Рисунок \* ARABIC </w:instrText>
      </w:r>
      <w:r>
        <w:fldChar w:fldCharType="separate"/>
      </w:r>
      <w:bookmarkStart w:id="911" w:name="_Ref466296941"/>
      <w:r/>
      <w:bookmarkStart w:id="912" w:name="_Toc88819495"/>
      <w:r>
        <w:t xml:space="preserve">110</w:t>
      </w:r>
      <w:bookmarkEnd w:id="911"/>
      <w:r>
        <w:fldChar w:fldCharType="end"/>
      </w:r>
      <w:r>
        <w:t xml:space="preserve">. ЭФ списка документов «Сведения о денежном обязательстве</w:t>
      </w:r>
      <w:r>
        <w:t xml:space="preserve"> (исходящие)</w:t>
      </w:r>
      <w:r>
        <w:t xml:space="preserve">»</w:t>
      </w:r>
      <w:bookmarkEnd w:id="912"/>
      <w:r/>
      <w:r/>
    </w:p>
    <w:p>
      <w:pPr>
        <w:pStyle w:val="973"/>
      </w:pPr>
      <w:r>
        <w:t xml:space="preserve">Доступные операции</w:t>
      </w:r>
      <w:r/>
    </w:p>
    <w:p>
      <w:pPr>
        <w:pStyle w:val="994"/>
      </w:pPr>
      <w:r>
        <w:t xml:space="preserve">На АРМ ФО доступны следующие операции над документом:</w:t>
      </w:r>
      <w:r/>
    </w:p>
    <w:p>
      <w:pPr>
        <w:pStyle w:val="985"/>
      </w:pPr>
      <w:r>
        <w:t xml:space="preserve">Для исходящих документов:</w:t>
      </w:r>
      <w:r/>
    </w:p>
    <w:p>
      <w:pPr>
        <w:pStyle w:val="986"/>
      </w:pPr>
      <w:r>
        <w:t xml:space="preserve">ручной ввод;</w:t>
      </w:r>
      <w:r/>
    </w:p>
    <w:p>
      <w:pPr>
        <w:pStyle w:val="986"/>
      </w:pPr>
      <w:r>
        <w:t xml:space="preserve">просмотр и редактирование;</w:t>
      </w:r>
      <w:r/>
    </w:p>
    <w:p>
      <w:pPr>
        <w:pStyle w:val="986"/>
      </w:pPr>
      <w:r>
        <w:t xml:space="preserve">копирование и удаление;</w:t>
      </w:r>
      <w:r/>
    </w:p>
    <w:p>
      <w:pPr>
        <w:pStyle w:val="986"/>
      </w:pPr>
      <w:r>
        <w:t xml:space="preserve">подписание, проверка и удаление ЭП;</w:t>
      </w:r>
      <w:r/>
    </w:p>
    <w:p>
      <w:pPr>
        <w:pStyle w:val="986"/>
      </w:pPr>
      <w:r>
        <w:t xml:space="preserve">печать</w:t>
      </w:r>
      <w:r>
        <w:t xml:space="preserve">;</w:t>
      </w:r>
      <w:r/>
    </w:p>
    <w:p>
      <w:pPr>
        <w:pStyle w:val="986"/>
      </w:pPr>
      <w:r>
        <w:t xml:space="preserve">импорт из внешней системы.</w:t>
      </w:r>
      <w:r/>
    </w:p>
    <w:p>
      <w:pPr>
        <w:pStyle w:val="986"/>
      </w:pPr>
      <w:r>
        <w:t xml:space="preserve">экспорт во внешнюю систему и </w:t>
      </w:r>
      <w:r>
        <w:t xml:space="preserve">OEBS</w:t>
      </w:r>
      <w:r>
        <w:t xml:space="preserve">.</w:t>
      </w:r>
      <w:r/>
    </w:p>
    <w:p>
      <w:pPr>
        <w:pStyle w:val="985"/>
      </w:pPr>
      <w:r>
        <w:t xml:space="preserve">Для входящих документов:</w:t>
      </w:r>
      <w:r/>
    </w:p>
    <w:p>
      <w:pPr>
        <w:pStyle w:val="986"/>
      </w:pPr>
      <w:r>
        <w:t xml:space="preserve">просмотр;</w:t>
      </w:r>
      <w:r/>
    </w:p>
    <w:p>
      <w:pPr>
        <w:pStyle w:val="986"/>
      </w:pPr>
      <w:r>
        <w:t xml:space="preserve">проверка ЭП;</w:t>
      </w:r>
      <w:r/>
    </w:p>
    <w:p>
      <w:pPr>
        <w:pStyle w:val="986"/>
      </w:pPr>
      <w:r>
        <w:t xml:space="preserve">печать;</w:t>
      </w:r>
      <w:r/>
    </w:p>
    <w:p>
      <w:pPr>
        <w:pStyle w:val="986"/>
      </w:pPr>
      <w:r>
        <w:t xml:space="preserve">импорт </w:t>
      </w:r>
      <w:r>
        <w:t xml:space="preserve">из </w:t>
      </w:r>
      <w:r>
        <w:t xml:space="preserve">OEBS;</w:t>
      </w:r>
      <w:r/>
    </w:p>
    <w:p>
      <w:pPr>
        <w:pStyle w:val="986"/>
      </w:pPr>
      <w:r>
        <w:t xml:space="preserve">экспорт </w:t>
      </w:r>
      <w:r>
        <w:t xml:space="preserve">во</w:t>
      </w:r>
      <w:r>
        <w:t xml:space="preserve"> внешнюю систему.</w:t>
      </w:r>
      <w:r/>
    </w:p>
    <w:p>
      <w:pPr>
        <w:pStyle w:val="974"/>
      </w:pPr>
      <w:r>
        <w:t xml:space="preserve">Создание документа на основе родительского документа</w:t>
      </w:r>
      <w:r/>
    </w:p>
    <w:p>
      <w:pPr>
        <w:pStyle w:val="994"/>
      </w:pPr>
      <w:r>
        <w:t xml:space="preserve">Документ может создаваться на основе следующих ЭД:</w:t>
      </w:r>
      <w:r/>
    </w:p>
    <w:p>
      <w:pPr>
        <w:pStyle w:val="985"/>
      </w:pPr>
      <w:r>
        <w:t xml:space="preserve">«</w:t>
      </w:r>
      <w:r>
        <w:t xml:space="preserve">Сведения о денежном обязательстве</w:t>
      </w:r>
      <w:r>
        <w:t xml:space="preserve">»</w:t>
      </w:r>
      <w:r>
        <w:t xml:space="preserve">;</w:t>
      </w:r>
      <w:r/>
    </w:p>
    <w:p>
      <w:pPr>
        <w:pStyle w:val="985"/>
      </w:pPr>
      <w:r>
        <w:t xml:space="preserve">«</w:t>
      </w:r>
      <w:r>
        <w:t xml:space="preserve">Сведения о</w:t>
      </w:r>
      <w:r>
        <w:t xml:space="preserve">б</w:t>
      </w:r>
      <w:r>
        <w:t xml:space="preserve"> обязательстве</w:t>
      </w:r>
      <w:r>
        <w:t xml:space="preserve">»</w:t>
      </w:r>
      <w:r>
        <w:t xml:space="preserve">.</w:t>
      </w:r>
      <w:r/>
    </w:p>
    <w:p>
      <w:pPr>
        <w:pStyle w:val="994"/>
      </w:pPr>
      <w:r>
        <w:t xml:space="preserve">Для выбора родительского документа следует на ЭФ «</w:t>
      </w:r>
      <w:r>
        <w:t xml:space="preserve">Сведения о денежном обязательстве</w:t>
      </w:r>
      <w:r>
        <w:t xml:space="preserve">» (см.</w:t>
      </w:r>
      <w:r>
        <w:t xml:space="preserve"> </w:t>
      </w:r>
      <w:r>
        <w:t xml:space="preserve">р</w:t>
      </w:r>
      <w:r>
        <w:t xml:space="preserve">ис</w:t>
      </w:r>
      <w:r>
        <w:t xml:space="preserve">.</w:t>
      </w:r>
      <w:r>
        <w:t xml:space="preserve"> </w:t>
      </w:r>
      <w:r>
        <w:fldChar w:fldCharType="begin"/>
      </w:r>
      <w:r>
        <w:instrText xml:space="preserve"> REF _Ref466296197 \h </w:instrText>
      </w:r>
      <w:r>
        <w:fldChar w:fldCharType="separate"/>
      </w:r>
      <w:r>
        <w:t xml:space="preserve">113</w:t>
      </w:r>
      <w:r>
        <w:fldChar w:fldCharType="end"/>
      </w:r>
      <w:r>
        <w:t xml:space="preserve">) нажать на кнопку </w:t>
      </w:r>
      <w:r>
        <mc:AlternateContent>
          <mc:Choice Requires="wpg">
            <w:drawing>
              <wp:inline xmlns:wp="http://schemas.openxmlformats.org/drawingml/2006/wordprocessingDrawing" distT="0" distB="0" distL="0" distR="0">
                <wp:extent cx="182880" cy="182880"/>
                <wp:effectExtent l="0" t="0" r="0" b="0"/>
                <wp:docPr id="18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76"/>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 o:spid="_x0000_s185" type="#_x0000_t75" style="mso-wrap-distance-left:0.0pt;mso-wrap-distance-top:0.0pt;mso-wrap-distance-right:0.0pt;mso-wrap-distance-bottom:0.0pt;width:14.4pt;height:14.4pt;" stroked="f">
                <v:path textboxrect="0,0,0,0"/>
                <v:imagedata r:id="rId76" o:title=""/>
              </v:shape>
            </w:pict>
          </mc:Fallback>
        </mc:AlternateContent>
      </w:r>
      <w:r>
        <w:t xml:space="preserve"> </w:t>
      </w:r>
      <w:r>
        <w:t xml:space="preserve">(Выбрать родительский документ)</w:t>
      </w:r>
      <w:r>
        <w:t xml:space="preserve">. При этом откроется окно выбора типа документа «Поиск» </w:t>
      </w:r>
      <w:r>
        <w:t xml:space="preserve">(рис.</w:t>
      </w:r>
      <w:r>
        <w:t xml:space="preserve"> </w:t>
      </w:r>
      <w:r>
        <w:fldChar w:fldCharType="begin"/>
      </w:r>
      <w:r>
        <w:instrText xml:space="preserve"> REF _Ref471985100 \h </w:instrText>
      </w:r>
      <w:r>
        <w:fldChar w:fldCharType="separate"/>
      </w:r>
      <w:r>
        <w:t xml:space="preserve">111</w:t>
      </w:r>
      <w:r>
        <w:fldChar w:fldCharType="end"/>
      </w:r>
      <w:r>
        <w:t xml:space="preserve">).</w:t>
      </w:r>
      <w:r/>
    </w:p>
    <w:p>
      <w:pPr>
        <w:pStyle w:val="982"/>
      </w:pPr>
      <w:r>
        <mc:AlternateContent>
          <mc:Choice Requires="wpg">
            <w:drawing>
              <wp:inline xmlns:wp="http://schemas.openxmlformats.org/drawingml/2006/wordprocessingDrawing" distT="0" distB="0" distL="0" distR="0">
                <wp:extent cx="4114800" cy="2743200"/>
                <wp:effectExtent l="0" t="0" r="0" b="0"/>
                <wp:docPr id="18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77"/>
                        <a:stretch/>
                      </pic:blipFill>
                      <pic:spPr bwMode="auto">
                        <a:xfrm>
                          <a:off x="0" y="0"/>
                          <a:ext cx="4114800" cy="27432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 o:spid="_x0000_s186" type="#_x0000_t75" style="mso-wrap-distance-left:0.0pt;mso-wrap-distance-top:0.0pt;mso-wrap-distance-right:0.0pt;mso-wrap-distance-bottom:0.0pt;width:324.0pt;height:216.0pt;" stroked="f">
                <v:path textboxrect="0,0,0,0"/>
                <v:imagedata r:id="rId177" o:title=""/>
              </v:shape>
            </w:pict>
          </mc:Fallback>
        </mc:AlternateContent>
      </w:r>
      <w:r/>
    </w:p>
    <w:p>
      <w:pPr>
        <w:pStyle w:val="983"/>
      </w:pPr>
      <w:r>
        <w:fldChar w:fldCharType="begin"/>
      </w:r>
      <w:r>
        <w:instrText xml:space="preserve"> SEQ Рисунок \* ARABIC </w:instrText>
      </w:r>
      <w:r>
        <w:fldChar w:fldCharType="separate"/>
      </w:r>
      <w:bookmarkStart w:id="913" w:name="_Ref471985100"/>
      <w:r/>
      <w:bookmarkStart w:id="914" w:name="_Toc88819496"/>
      <w:r>
        <w:t xml:space="preserve">111</w:t>
      </w:r>
      <w:bookmarkEnd w:id="913"/>
      <w:r>
        <w:fldChar w:fldCharType="end"/>
      </w:r>
      <w:r>
        <w:t xml:space="preserve">. Окно «Поиск…»</w:t>
      </w:r>
      <w:bookmarkEnd w:id="914"/>
      <w:r/>
      <w:r/>
    </w:p>
    <w:p>
      <w:pPr>
        <w:pStyle w:val="994"/>
      </w:pPr>
      <w:r>
        <w:t xml:space="preserve">После выбора типа документа откроется окно «Выбор родительского документа» </w:t>
      </w:r>
      <w:r>
        <w:t xml:space="preserve">(рис.</w:t>
      </w:r>
      <w:r>
        <w:t xml:space="preserve"> </w:t>
      </w:r>
      <w:r>
        <w:fldChar w:fldCharType="begin"/>
      </w:r>
      <w:r>
        <w:instrText xml:space="preserve"> REF _Ref471985099 \h </w:instrText>
      </w:r>
      <w:r>
        <w:fldChar w:fldCharType="separate"/>
      </w:r>
      <w:r>
        <w:t xml:space="preserve">112</w:t>
      </w:r>
      <w:r>
        <w:fldChar w:fldCharType="end"/>
      </w:r>
      <w:r>
        <w:t xml:space="preserve">), в котором следует из перечня сформированных документов заданного типа выбрать нужный д</w:t>
      </w:r>
      <w:r>
        <w:t xml:space="preserve">о</w:t>
      </w:r>
      <w:r>
        <w:t xml:space="preserve">кумент.</w:t>
      </w:r>
      <w:r/>
    </w:p>
    <w:p>
      <w:pPr>
        <w:pStyle w:val="982"/>
      </w:pPr>
      <w:r>
        <mc:AlternateContent>
          <mc:Choice Requires="wpg">
            <w:drawing>
              <wp:inline xmlns:wp="http://schemas.openxmlformats.org/drawingml/2006/wordprocessingDrawing" distT="0" distB="0" distL="0" distR="0">
                <wp:extent cx="6035040" cy="2651760"/>
                <wp:effectExtent l="0" t="0" r="0" b="0"/>
                <wp:docPr id="18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78"/>
                        <a:stretch/>
                      </pic:blipFill>
                      <pic:spPr bwMode="auto">
                        <a:xfrm>
                          <a:off x="0" y="0"/>
                          <a:ext cx="6035039" cy="2651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 o:spid="_x0000_s187" type="#_x0000_t75" style="mso-wrap-distance-left:0.0pt;mso-wrap-distance-top:0.0pt;mso-wrap-distance-right:0.0pt;mso-wrap-distance-bottom:0.0pt;width:475.2pt;height:208.8pt;" stroked="f">
                <v:path textboxrect="0,0,0,0"/>
                <v:imagedata r:id="rId178" o:title=""/>
              </v:shape>
            </w:pict>
          </mc:Fallback>
        </mc:AlternateContent>
      </w:r>
      <w:r/>
    </w:p>
    <w:p>
      <w:pPr>
        <w:pStyle w:val="983"/>
      </w:pPr>
      <w:r>
        <w:fldChar w:fldCharType="begin"/>
      </w:r>
      <w:r>
        <w:instrText xml:space="preserve"> SEQ Рисунок \* ARABIC </w:instrText>
      </w:r>
      <w:r>
        <w:fldChar w:fldCharType="separate"/>
      </w:r>
      <w:bookmarkStart w:id="915" w:name="_Ref471985099"/>
      <w:r/>
      <w:bookmarkStart w:id="916" w:name="_Toc88819497"/>
      <w:r>
        <w:t xml:space="preserve">112</w:t>
      </w:r>
      <w:bookmarkEnd w:id="915"/>
      <w:r>
        <w:fldChar w:fldCharType="end"/>
      </w:r>
      <w:r>
        <w:t xml:space="preserve">. Окно «</w:t>
      </w:r>
      <w:r>
        <w:t xml:space="preserve">Выбор родительского документа</w:t>
      </w:r>
      <w:r>
        <w:t xml:space="preserve">» для документов типа «</w:t>
      </w:r>
      <w:r>
        <w:t xml:space="preserve">Сведения о денежном обязательстве</w:t>
      </w:r>
      <w:r>
        <w:t xml:space="preserve">»</w:t>
      </w:r>
      <w:bookmarkEnd w:id="916"/>
      <w:r/>
      <w:r/>
    </w:p>
    <w:p>
      <w:pPr>
        <w:pStyle w:val="994"/>
      </w:pPr>
      <w:r>
        <w:t xml:space="preserve">В результате поля формы будут заполнены значениями соответствующих полей род</w:t>
      </w:r>
      <w:r>
        <w:t xml:space="preserve">и</w:t>
      </w:r>
      <w:r>
        <w:t xml:space="preserve">тельского документа. </w:t>
      </w:r>
      <w:r/>
    </w:p>
    <w:p>
      <w:pPr>
        <w:pStyle w:val="973"/>
      </w:pPr>
      <w:r>
        <w:t xml:space="preserve">Экранная форма документа</w:t>
      </w:r>
      <w:r/>
    </w:p>
    <w:p>
      <w:pPr>
        <w:pStyle w:val="994"/>
      </w:pPr>
      <w:r>
        <w:t xml:space="preserve">ЭФ документа «Сведения о денежном обязательстве» представлена на рисунке</w:t>
      </w:r>
      <w:r>
        <w:t xml:space="preserve"> </w:t>
      </w:r>
      <w:r>
        <w:fldChar w:fldCharType="begin"/>
      </w:r>
      <w:r>
        <w:instrText xml:space="preserve"> REF _Ref466296197 \h </w:instrText>
      </w:r>
      <w:r>
        <w:fldChar w:fldCharType="separate"/>
      </w:r>
      <w:r>
        <w:t xml:space="preserve">113</w:t>
      </w:r>
      <w:r>
        <w:fldChar w:fldCharType="end"/>
      </w:r>
      <w:r>
        <w:t xml:space="preserve">. Форма содержит следующие закладки:</w:t>
      </w:r>
      <w:r/>
    </w:p>
    <w:p>
      <w:pPr>
        <w:pStyle w:val="985"/>
      </w:pPr>
      <w:r>
        <w:t xml:space="preserve">«Заголовок»;</w:t>
      </w:r>
      <w:r/>
    </w:p>
    <w:p>
      <w:pPr>
        <w:pStyle w:val="985"/>
      </w:pPr>
      <w:r>
        <w:t xml:space="preserve">«Строки (2)»;</w:t>
      </w:r>
      <w:r/>
    </w:p>
    <w:p>
      <w:pPr>
        <w:pStyle w:val="985"/>
      </w:pPr>
      <w:r>
        <w:t xml:space="preserve">«Подписи (3)»;</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035040" cy="3749040"/>
                <wp:effectExtent l="0" t="0" r="0" b="0"/>
                <wp:docPr id="18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79"/>
                        <a:stretch/>
                      </pic:blipFill>
                      <pic:spPr bwMode="auto">
                        <a:xfrm>
                          <a:off x="0" y="0"/>
                          <a:ext cx="6035039" cy="37490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 o:spid="_x0000_s188" type="#_x0000_t75" style="mso-wrap-distance-left:0.0pt;mso-wrap-distance-top:0.0pt;mso-wrap-distance-right:0.0pt;mso-wrap-distance-bottom:0.0pt;width:475.2pt;height:295.2pt;" stroked="f">
                <v:path textboxrect="0,0,0,0"/>
                <v:imagedata r:id="rId179" o:title=""/>
              </v:shape>
            </w:pict>
          </mc:Fallback>
        </mc:AlternateContent>
      </w:r>
      <w:r/>
    </w:p>
    <w:p>
      <w:pPr>
        <w:pStyle w:val="983"/>
      </w:pPr>
      <w:r>
        <w:fldChar w:fldCharType="begin"/>
      </w:r>
      <w:r>
        <w:instrText xml:space="preserve"> SEQ Рисунок \* ARABIC </w:instrText>
      </w:r>
      <w:r>
        <w:fldChar w:fldCharType="separate"/>
      </w:r>
      <w:bookmarkStart w:id="917" w:name="_Ref466296197"/>
      <w:r/>
      <w:bookmarkStart w:id="918" w:name="_Toc88819498"/>
      <w:r>
        <w:t xml:space="preserve">113</w:t>
      </w:r>
      <w:bookmarkEnd w:id="917"/>
      <w:r>
        <w:fldChar w:fldCharType="end"/>
      </w:r>
      <w:r>
        <w:t xml:space="preserve">. ЭФ документа «Сведения о денежном обязательстве», закладки «Заголовок»</w:t>
      </w:r>
      <w:bookmarkEnd w:id="918"/>
      <w:r/>
      <w:r/>
    </w:p>
    <w:p>
      <w:pPr>
        <w:pStyle w:val="994"/>
      </w:pPr>
      <w:r>
        <w:t xml:space="preserve">Перечень полей документа «Сведения о денежном обязательстве», закладки «Заголовок» приведен в таблице</w:t>
      </w:r>
      <w:r>
        <w:t xml:space="preserve"> </w:t>
      </w:r>
      <w:r>
        <w:fldChar w:fldCharType="begin"/>
      </w:r>
      <w:r>
        <w:instrText xml:space="preserve"> REF _Ref466296174 \h </w:instrText>
      </w:r>
      <w:r>
        <w:fldChar w:fldCharType="separate"/>
      </w:r>
      <w:r>
        <w:t xml:space="preserve">61</w:t>
      </w:r>
      <w:r>
        <w:fldChar w:fldCharType="end"/>
      </w:r>
      <w:r>
        <w:t xml:space="preserve">.</w:t>
      </w:r>
      <w:r/>
    </w:p>
    <w:p>
      <w:pPr>
        <w:pStyle w:val="993"/>
      </w:pPr>
      <w:r>
        <w:fldChar w:fldCharType="begin"/>
      </w:r>
      <w:r>
        <w:instrText xml:space="preserve"> SEQ Таблица \* ARABIC </w:instrText>
      </w:r>
      <w:r>
        <w:fldChar w:fldCharType="separate"/>
      </w:r>
      <w:bookmarkStart w:id="919" w:name="_Ref466296174"/>
      <w:r/>
      <w:bookmarkStart w:id="920" w:name="_Toc88819247"/>
      <w:r>
        <w:t xml:space="preserve">61</w:t>
      </w:r>
      <w:bookmarkEnd w:id="919"/>
      <w:r>
        <w:fldChar w:fldCharType="end"/>
      </w:r>
      <w:r>
        <w:t xml:space="preserve">. Описание полей документа «Сведения о денежном обязательстве», закладки «Заголовок»</w:t>
      </w:r>
      <w:bookmarkEnd w:id="920"/>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13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63" w:type="pct"/>
            <w:vAlign w:val="center"/>
            <w:textDirection w:val="lrTb"/>
            <w:noWrap w:val="false"/>
          </w:tcPr>
          <w:p>
            <w:pPr>
              <w:pStyle w:val="1006"/>
            </w:pPr>
            <w:r>
              <w:t xml:space="preserve">Описание поля</w:t>
            </w:r>
            <w:r/>
          </w:p>
        </w:tc>
      </w:tr>
      <w:tr>
        <w:trPr/>
        <w:tc>
          <w:tcPr>
            <w:shd w:val="clear" w:fill="auto" w:color="auto"/>
            <w:tcW w:w="1137" w:type="pct"/>
            <w:textDirection w:val="lrTb"/>
            <w:noWrap w:val="false"/>
          </w:tcPr>
          <w:p>
            <w:pPr>
              <w:pStyle w:val="1005"/>
              <w:ind w:left="57" w:right="57"/>
            </w:pPr>
            <w:r>
              <w:t xml:space="preserve">Документ №</w:t>
            </w:r>
            <w:r/>
          </w:p>
        </w:tc>
        <w:tc>
          <w:tcPr>
            <w:shd w:val="clear" w:fill="auto" w:color="auto"/>
            <w:tcW w:w="3863" w:type="pct"/>
            <w:textDirection w:val="lrTb"/>
            <w:noWrap w:val="false"/>
          </w:tcPr>
          <w:p>
            <w:pPr>
              <w:pStyle w:val="1005"/>
              <w:ind w:left="57" w:right="57"/>
            </w:pPr>
            <w:r>
              <w:t xml:space="preserve">Указывается порядковый номер Сведений о ДО, присвоенный клиентом.</w:t>
            </w:r>
            <w:r/>
          </w:p>
          <w:p>
            <w:pPr>
              <w:pStyle w:val="1005"/>
              <w:ind w:left="57" w:right="57"/>
            </w:pPr>
            <w:r>
              <w:t xml:space="preserve">Значение рассчитывается автоматически на основании настроек для текущего типа документа в справочнике «Параметры автонумерации документов».</w:t>
            </w:r>
            <w:r>
              <w:t xml:space="preserve"> </w:t>
            </w:r>
            <w:r>
              <w:t xml:space="preserve">Может быть заполнено вручную.</w:t>
            </w:r>
            <w:r/>
          </w:p>
          <w:p>
            <w:pPr>
              <w:pStyle w:val="1005"/>
              <w:ind w:left="57" w:right="57"/>
            </w:pPr>
            <w:r>
              <w:t xml:space="preserve">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r/>
          </w:p>
        </w:tc>
      </w:tr>
      <w:tr>
        <w:trPr/>
        <w:tc>
          <w:tcPr>
            <w:shd w:val="clear" w:fill="auto" w:color="auto"/>
            <w:tcW w:w="1137" w:type="pct"/>
            <w:textDirection w:val="lrTb"/>
            <w:noWrap w:val="false"/>
          </w:tcPr>
          <w:p>
            <w:pPr>
              <w:pStyle w:val="1005"/>
              <w:ind w:left="57" w:right="57"/>
            </w:pPr>
            <w:r>
              <w:t xml:space="preserve">Номер изменения</w:t>
            </w:r>
            <w:r/>
          </w:p>
        </w:tc>
        <w:tc>
          <w:tcPr>
            <w:shd w:val="clear" w:fill="auto" w:color="auto"/>
            <w:tcW w:w="3863" w:type="pct"/>
            <w:textDirection w:val="lrTb"/>
            <w:noWrap w:val="false"/>
          </w:tcPr>
          <w:p>
            <w:pPr>
              <w:pStyle w:val="1005"/>
              <w:ind w:left="57" w:right="57"/>
            </w:pPr>
            <w:r>
              <w:t xml:space="preserve">Порядковый номер изменения в рамках денежного обязательства.</w:t>
            </w:r>
            <w:r/>
          </w:p>
          <w:p>
            <w:pPr>
              <w:pStyle w:val="1005"/>
              <w:ind w:left="57" w:right="57"/>
            </w:pPr>
            <w:r>
              <w:t xml:space="preserve">Системный реквизит. Заполняется в ТОФК.</w:t>
            </w:r>
            <w:r/>
          </w:p>
        </w:tc>
      </w:tr>
      <w:tr>
        <w:trPr/>
        <w:tc>
          <w:tcPr>
            <w:shd w:val="clear" w:fill="auto" w:color="auto"/>
            <w:tcW w:w="1137" w:type="pct"/>
            <w:textDirection w:val="lrTb"/>
            <w:noWrap w:val="false"/>
          </w:tcPr>
          <w:p>
            <w:pPr>
              <w:pStyle w:val="1005"/>
              <w:ind w:left="57" w:right="57"/>
            </w:pPr>
            <w:r>
              <w:t xml:space="preserve">От </w:t>
            </w:r>
            <w:r/>
          </w:p>
        </w:tc>
        <w:tc>
          <w:tcPr>
            <w:shd w:val="clear" w:fill="auto" w:color="auto"/>
            <w:tcW w:w="3863" w:type="pct"/>
            <w:textDirection w:val="lrTb"/>
            <w:noWrap w:val="false"/>
          </w:tcPr>
          <w:p>
            <w:pPr>
              <w:pStyle w:val="1005"/>
              <w:ind w:left="57" w:right="57"/>
            </w:pPr>
            <w:r>
              <w:t xml:space="preserve">Дата подписания Сведений о ДО.</w:t>
            </w:r>
            <w:r/>
          </w:p>
          <w:p>
            <w:pPr>
              <w:pStyle w:val="1005"/>
              <w:ind w:left="57" w:right="57"/>
            </w:pPr>
            <w:r>
              <w:t xml:space="preserve">Заполняется автоматически значением текущей системной даты; вручную; доступен выбор значения из календаря.</w:t>
            </w:r>
            <w:r/>
          </w:p>
        </w:tc>
      </w:tr>
      <w:tr>
        <w:trPr/>
        <w:tc>
          <w:tcPr>
            <w:shd w:val="clear" w:fill="auto" w:color="auto"/>
            <w:tcW w:w="1137" w:type="pct"/>
            <w:textDirection w:val="lrTb"/>
            <w:noWrap w:val="false"/>
          </w:tcPr>
          <w:p>
            <w:pPr>
              <w:pStyle w:val="1005"/>
              <w:ind w:left="57" w:right="57"/>
            </w:pPr>
            <w:r>
              <w:t xml:space="preserve">Статус </w:t>
            </w:r>
            <w:r/>
          </w:p>
        </w:tc>
        <w:tc>
          <w:tcPr>
            <w:shd w:val="clear" w:fill="auto" w:color="auto"/>
            <w:tcW w:w="3863" w:type="pct"/>
            <w:textDirection w:val="lrTb"/>
            <w:noWrap w:val="false"/>
          </w:tcPr>
          <w:p>
            <w:pPr>
              <w:pStyle w:val="1005"/>
              <w:ind w:left="57" w:right="57"/>
            </w:pPr>
            <w:r>
              <w:t xml:space="preserve">Заполняется автоматически при обработке документа или выгружается из OEBS.</w:t>
            </w:r>
            <w:r/>
          </w:p>
        </w:tc>
      </w:tr>
      <w:tr>
        <w:trPr/>
        <w:tc>
          <w:tcPr>
            <w:shd w:val="clear" w:fill="auto" w:color="auto"/>
            <w:tcW w:w="1137" w:type="pct"/>
            <w:textDirection w:val="lrTb"/>
            <w:noWrap w:val="false"/>
          </w:tcPr>
          <w:p>
            <w:pPr>
              <w:pStyle w:val="1005"/>
              <w:ind w:left="57" w:right="57"/>
            </w:pPr>
            <w:r>
              <w:t xml:space="preserve">Тип сведений</w:t>
            </w:r>
            <w:r/>
          </w:p>
        </w:tc>
        <w:tc>
          <w:tcPr>
            <w:shd w:val="clear" w:fill="auto" w:color="auto"/>
            <w:tcW w:w="3863" w:type="pct"/>
            <w:textDirection w:val="lrTb"/>
            <w:noWrap w:val="false"/>
          </w:tcPr>
          <w:p>
            <w:pPr>
              <w:pStyle w:val="1005"/>
              <w:ind w:left="57" w:right="57"/>
            </w:pPr>
            <w:r>
              <w:t xml:space="preserve">Указывается тип сведений. Допустимые значения:</w:t>
            </w:r>
            <w:r/>
          </w:p>
          <w:p>
            <w:pPr>
              <w:pStyle w:val="1007"/>
            </w:pPr>
            <w:r>
              <w:t xml:space="preserve">0 – первичные;</w:t>
            </w:r>
            <w:r/>
          </w:p>
          <w:p>
            <w:pPr>
              <w:pStyle w:val="1007"/>
            </w:pPr>
            <w:r>
              <w:t xml:space="preserve">1 – изменения.</w:t>
            </w:r>
            <w:r/>
          </w:p>
          <w:p>
            <w:pPr>
              <w:pStyle w:val="1005"/>
              <w:ind w:left="57" w:right="57"/>
            </w:pPr>
            <w:r>
              <w:t xml:space="preserve">Для исходящих документов: значение выбирается из списка (на форму под</w:t>
            </w:r>
            <w:r>
              <w:t xml:space="preserve">тягивается и участвует в интеграции только код типа сведений).</w:t>
            </w:r>
            <w:r/>
          </w:p>
        </w:tc>
      </w:tr>
      <w:tr>
        <w:trPr/>
        <w:tc>
          <w:tcPr>
            <w:shd w:val="clear" w:fill="auto" w:color="auto"/>
            <w:tcW w:w="1137" w:type="pct"/>
            <w:textDirection w:val="lrTb"/>
            <w:noWrap w:val="false"/>
          </w:tcPr>
          <w:p>
            <w:pPr>
              <w:pStyle w:val="1005"/>
              <w:ind w:left="57" w:right="57"/>
            </w:pPr>
            <w:r>
              <w:t xml:space="preserve">№ л/с получ.</w:t>
            </w:r>
            <w:r/>
          </w:p>
        </w:tc>
        <w:tc>
          <w:tcPr>
            <w:shd w:val="clear" w:fill="auto" w:color="auto"/>
            <w:tcW w:w="3863" w:type="pct"/>
            <w:textDirection w:val="lrTb"/>
            <w:noWrap w:val="false"/>
          </w:tcPr>
          <w:p>
            <w:pPr>
              <w:pStyle w:val="1005"/>
              <w:ind w:left="57" w:right="57"/>
            </w:pPr>
            <w:r>
              <w:t xml:space="preserve">Номер л/с ПБС (или лицевой счет по переданным полномочиям ПБС), соответствующий корреспонденту из поля «Получатель бюджетных средств».</w:t>
            </w:r>
            <w:r/>
          </w:p>
          <w:p>
            <w:pPr>
              <w:pStyle w:val="1005"/>
              <w:ind w:left="57" w:right="57"/>
            </w:pPr>
            <w:r>
              <w:t xml:space="preserve">На АРМ ФО: Значение может быть введено пользователем вручную или выбором из справочника лицевых счетов (список ограничен кодом РУБП).</w:t>
            </w:r>
            <w:r/>
          </w:p>
          <w:p>
            <w:pPr>
              <w:pStyle w:val="1005"/>
              <w:ind w:left="57" w:right="57"/>
            </w:pPr>
            <w:r>
              <w:t xml:space="preserve">Может заполняться из родительского документа.</w:t>
            </w:r>
            <w:r>
              <w:t xml:space="preserve"> </w:t>
            </w:r>
            <w:r/>
          </w:p>
          <w:p>
            <w:pPr>
              <w:pStyle w:val="1005"/>
              <w:ind w:left="57" w:right="57"/>
            </w:pPr>
            <w:r>
              <w:t xml:space="preserve">Признак перехода на СР = 0, то перезаполняется только в случае указания федерального бюджета – из справочника</w:t>
            </w:r>
            <w:r>
              <w:t xml:space="preserve"> </w:t>
            </w:r>
            <w:r>
              <w:t xml:space="preserve">ЛС значением Владельца ЛС. </w:t>
            </w:r>
            <w:r/>
          </w:p>
        </w:tc>
      </w:tr>
      <w:tr>
        <w:trPr/>
        <w:tc>
          <w:tcPr>
            <w:shd w:val="clear" w:fill="auto" w:color="auto"/>
            <w:tcW w:w="1137" w:type="pct"/>
            <w:textDirection w:val="lrTb"/>
            <w:noWrap w:val="false"/>
          </w:tcPr>
          <w:p>
            <w:pPr>
              <w:pStyle w:val="1005"/>
              <w:ind w:left="57" w:right="57"/>
            </w:pPr>
            <w:r>
              <w:t xml:space="preserve">Уровень конфиденциальности</w:t>
            </w:r>
            <w:r/>
          </w:p>
        </w:tc>
        <w:tc>
          <w:tcPr>
            <w:shd w:val="clear" w:fill="auto" w:color="auto"/>
            <w:tcW w:w="3863" w:type="pct"/>
            <w:textDirection w:val="lrTb"/>
            <w:noWrap w:val="false"/>
          </w:tcPr>
          <w:p>
            <w:pPr>
              <w:pStyle w:val="1005"/>
              <w:ind w:left="57" w:right="57"/>
            </w:pPr>
            <w:r>
              <w:t xml:space="preserve">Заполняется вручную. По умолчанию не заполнено.</w:t>
            </w:r>
            <w:r/>
          </w:p>
          <w:p>
            <w:pPr>
              <w:pStyle w:val="1005"/>
              <w:ind w:left="57" w:right="57"/>
            </w:pPr>
            <w:r>
              <w:t xml:space="preserve">Заполняется клиентом значением «1» (</w:t>
            </w:r>
            <w:r>
              <w:t xml:space="preserve">ДСП</w:t>
            </w:r>
            <w:r>
              <w:t xml:space="preserve">) или «0» (не секретно).</w:t>
            </w:r>
            <w:r/>
          </w:p>
        </w:tc>
      </w:tr>
      <w:tr>
        <w:trPr/>
        <w:tc>
          <w:tcPr>
            <w:shd w:val="clear" w:fill="auto" w:color="auto"/>
            <w:tcW w:w="1137" w:type="pct"/>
            <w:textDirection w:val="lrTb"/>
            <w:noWrap w:val="false"/>
          </w:tcPr>
          <w:p>
            <w:pPr>
              <w:pStyle w:val="1005"/>
              <w:ind w:left="57" w:right="57"/>
            </w:pPr>
            <w:r>
              <w:t xml:space="preserve">ПБС</w:t>
            </w:r>
            <w:r/>
          </w:p>
        </w:tc>
        <w:tc>
          <w:tcPr>
            <w:shd w:val="clear" w:fill="auto" w:color="auto"/>
            <w:tcW w:w="3863" w:type="pct"/>
            <w:textDirection w:val="lrTb"/>
            <w:noWrap w:val="false"/>
          </w:tcPr>
          <w:p>
            <w:pPr>
              <w:pStyle w:val="1005"/>
              <w:ind w:left="57" w:right="57"/>
            </w:pPr>
            <w:r>
              <w:t xml:space="preserve">Указывается полное или краткое наименование ПБС (УБП, который передал полномочия ПБС по учредительным документам) по Сводному реестру.</w:t>
            </w:r>
            <w:r/>
          </w:p>
          <w:p>
            <w:pPr>
              <w:pStyle w:val="1008"/>
              <w:numPr>
                <w:ilvl w:val="0"/>
                <w:numId w:val="0"/>
              </w:numPr>
              <w:ind w:left="57"/>
            </w:pPr>
            <w:r>
              <w:t xml:space="preserve">На АРМ </w:t>
            </w:r>
            <w:r>
              <w:t xml:space="preserve">ФО: Заполняется по умолчанию и автоматически на основании значения, указанного в документе «по Сводному реестру» из справочника СР.</w:t>
            </w:r>
            <w:r>
              <w:t xml:space="preserve"> </w:t>
            </w:r>
            <w:r/>
          </w:p>
          <w:p>
            <w:pPr>
              <w:pStyle w:val="1008"/>
              <w:numPr>
                <w:ilvl w:val="0"/>
                <w:numId w:val="0"/>
              </w:numPr>
              <w:ind w:left="57"/>
            </w:pPr>
            <w:r>
              <w:t xml:space="preserve">Мож</w:t>
            </w:r>
            <w:r>
              <w:t xml:space="preserve">ет быть отредактировано вручную, либо </w:t>
            </w:r>
            <w:r>
              <w:t xml:space="preserve">заполняться из родительского документа.</w:t>
            </w:r>
            <w:r/>
          </w:p>
        </w:tc>
      </w:tr>
      <w:tr>
        <w:trPr/>
        <w:tc>
          <w:tcPr>
            <w:shd w:val="clear" w:fill="auto" w:color="auto"/>
            <w:tcW w:w="1137" w:type="pct"/>
            <w:textDirection w:val="lrTb"/>
            <w:noWrap w:val="false"/>
          </w:tcPr>
          <w:p>
            <w:pPr>
              <w:pStyle w:val="1005"/>
              <w:ind w:left="57" w:right="57"/>
            </w:pPr>
            <w:r>
              <w:t xml:space="preserve">П</w:t>
            </w:r>
            <w:r>
              <w:t xml:space="preserve">о Свод. </w:t>
            </w:r>
            <w:r>
              <w:t xml:space="preserve">Р</w:t>
            </w:r>
            <w:r>
              <w:t xml:space="preserve">еестру</w:t>
            </w:r>
            <w:r/>
          </w:p>
        </w:tc>
        <w:tc>
          <w:tcPr>
            <w:shd w:val="clear" w:fill="auto" w:color="auto"/>
            <w:tcW w:w="3863" w:type="pct"/>
            <w:textDirection w:val="lrTb"/>
            <w:noWrap w:val="false"/>
          </w:tcPr>
          <w:p>
            <w:pPr>
              <w:pStyle w:val="1005"/>
              <w:ind w:left="57" w:right="57"/>
            </w:pPr>
            <w:r>
              <w:t xml:space="preserve">Код ПБС, соответствующий корреспонденту из поля «Получатель бюджетных средств», по Сводному реестру.</w:t>
            </w:r>
            <w:r/>
          </w:p>
          <w:p>
            <w:pPr>
              <w:pStyle w:val="1005"/>
              <w:ind w:left="57" w:right="57"/>
            </w:pPr>
            <w:r>
              <w:t xml:space="preserve">Может быть изменено пользователем вручную или выбором из справочника СРРПБС</w:t>
            </w:r>
            <w:r>
              <w:t xml:space="preserve">.</w:t>
            </w:r>
            <w:r/>
          </w:p>
          <w:p>
            <w:pPr>
              <w:pStyle w:val="1005"/>
              <w:ind w:left="57" w:right="57"/>
            </w:pPr>
            <w:r>
              <w:t xml:space="preserve">Всегда:</w:t>
            </w:r>
            <w:r/>
          </w:p>
          <w:p>
            <w:pPr>
              <w:pStyle w:val="1005"/>
              <w:ind w:left="57" w:right="57"/>
            </w:pPr>
            <w:r>
              <w:t xml:space="preserve">Может заполняться из родительского документа.</w:t>
            </w:r>
            <w:r/>
          </w:p>
        </w:tc>
      </w:tr>
      <w:tr>
        <w:trPr/>
        <w:tc>
          <w:tcPr>
            <w:shd w:val="clear" w:fill="auto" w:color="auto"/>
            <w:tcW w:w="1137" w:type="pct"/>
            <w:textDirection w:val="lrTb"/>
            <w:noWrap w:val="false"/>
          </w:tcPr>
          <w:p>
            <w:pPr>
              <w:pStyle w:val="1005"/>
              <w:ind w:left="57" w:right="57"/>
            </w:pPr>
            <w:r>
              <w:t xml:space="preserve">П</w:t>
            </w:r>
            <w:r>
              <w:t xml:space="preserve">о ОКПО</w:t>
            </w:r>
            <w:r/>
          </w:p>
        </w:tc>
        <w:tc>
          <w:tcPr>
            <w:shd w:val="clear" w:fill="auto" w:color="auto"/>
            <w:tcW w:w="3863" w:type="pct"/>
            <w:textDirection w:val="lrTb"/>
            <w:noWrap w:val="false"/>
          </w:tcPr>
          <w:p>
            <w:pPr>
              <w:pStyle w:val="1005"/>
              <w:ind w:left="57" w:right="57"/>
            </w:pPr>
            <w:r>
              <w:t xml:space="preserve">Указывается код по ОКПО финансового органа.</w:t>
            </w:r>
            <w:r/>
          </w:p>
          <w:p>
            <w:pPr>
              <w:pStyle w:val="1005"/>
              <w:ind w:left="57" w:right="57"/>
            </w:pPr>
            <w:r>
              <w:t xml:space="preserve">Заполняется автоматически из справочника «Финансовые органы» по наименованию финансового органа.</w:t>
            </w:r>
            <w:r/>
          </w:p>
          <w:p>
            <w:pPr>
              <w:pStyle w:val="1005"/>
              <w:ind w:left="57" w:right="57"/>
            </w:pPr>
            <w:r>
              <w:t xml:space="preserve">Может быть отредактировано вручную.</w:t>
            </w:r>
            <w:r/>
          </w:p>
          <w:p>
            <w:pPr>
              <w:pStyle w:val="1005"/>
              <w:ind w:left="57" w:right="57"/>
            </w:pPr>
            <w:r>
              <w:t xml:space="preserve">Может заполняться из родительского документа.</w:t>
            </w:r>
            <w:r/>
          </w:p>
        </w:tc>
      </w:tr>
      <w:tr>
        <w:trPr/>
        <w:tc>
          <w:tcPr>
            <w:shd w:val="clear" w:fill="auto" w:color="auto"/>
            <w:tcW w:w="1137" w:type="pct"/>
            <w:textDirection w:val="lrTb"/>
            <w:noWrap w:val="false"/>
          </w:tcPr>
          <w:p>
            <w:pPr>
              <w:pStyle w:val="1005"/>
              <w:ind w:left="57" w:right="57"/>
            </w:pPr>
            <w:r>
              <w:t xml:space="preserve">ГРБС</w:t>
            </w:r>
            <w:r/>
          </w:p>
        </w:tc>
        <w:tc>
          <w:tcPr>
            <w:shd w:val="clear" w:fill="auto" w:color="auto"/>
            <w:tcW w:w="3863" w:type="pct"/>
            <w:textDirection w:val="lrTb"/>
            <w:noWrap w:val="false"/>
          </w:tcPr>
          <w:p>
            <w:pPr>
              <w:pStyle w:val="1005"/>
              <w:ind w:left="57" w:right="57"/>
            </w:pPr>
            <w:r>
              <w:t xml:space="preserve">Полное или краткое наименование вышестоящего ГРБС.</w:t>
            </w:r>
            <w:r/>
          </w:p>
          <w:p>
            <w:pPr>
              <w:pStyle w:val="1005"/>
              <w:ind w:left="57" w:right="57"/>
            </w:pPr>
            <w:r>
              <w:t xml:space="preserve">Поле может не заполняться в соответствии с отдельными указаниями ФК в целях обеспечения режима секретности.</w:t>
            </w:r>
            <w:r/>
          </w:p>
          <w:p>
            <w:pPr>
              <w:pStyle w:val="1005"/>
              <w:ind w:left="57" w:right="57"/>
            </w:pPr>
            <w:r>
              <w:t xml:space="preserve">Значение может быть отредактировано вручную.</w:t>
            </w:r>
            <w:r/>
          </w:p>
          <w:p>
            <w:pPr>
              <w:pStyle w:val="1005"/>
              <w:ind w:left="57" w:right="57"/>
            </w:pPr>
            <w:r>
              <w:t xml:space="preserve">Может заполняться из родительского документа.</w:t>
            </w:r>
            <w:r/>
          </w:p>
        </w:tc>
      </w:tr>
      <w:tr>
        <w:trPr/>
        <w:tc>
          <w:tcPr>
            <w:shd w:val="clear" w:fill="auto" w:color="auto"/>
            <w:tcW w:w="1137" w:type="pct"/>
            <w:textDirection w:val="lrTb"/>
            <w:noWrap w:val="false"/>
          </w:tcPr>
          <w:p>
            <w:pPr>
              <w:pStyle w:val="1005"/>
              <w:ind w:left="57" w:right="57"/>
            </w:pPr>
            <w:r>
              <w:t xml:space="preserve">Глава по БК</w:t>
            </w:r>
            <w:r/>
          </w:p>
        </w:tc>
        <w:tc>
          <w:tcPr>
            <w:shd w:val="clear" w:fill="auto" w:color="auto"/>
            <w:tcW w:w="3863" w:type="pct"/>
            <w:textDirection w:val="lrTb"/>
            <w:noWrap w:val="false"/>
          </w:tcPr>
          <w:p>
            <w:pPr>
              <w:pStyle w:val="1005"/>
              <w:ind w:left="57" w:right="57"/>
            </w:pPr>
            <w:r>
              <w:t xml:space="preserve">Код главного распорядителя средств по бюджетной классификации.</w:t>
            </w:r>
            <w:r/>
          </w:p>
          <w:p>
            <w:pPr>
              <w:pStyle w:val="1005"/>
              <w:ind w:left="57" w:right="57"/>
            </w:pPr>
            <w:r>
              <w:t xml:space="preserve">Поле может не заполняться в соответствии с отдельными указаниями ФК в целях обеспечения режима секретности.</w:t>
            </w:r>
            <w:r/>
          </w:p>
          <w:p>
            <w:pPr>
              <w:pStyle w:val="1005"/>
              <w:ind w:left="57" w:right="57"/>
            </w:pPr>
            <w:r>
              <w:t xml:space="preserve">Значение заполняется автоматически из системной константы.</w:t>
            </w:r>
            <w:r/>
          </w:p>
          <w:p>
            <w:pPr>
              <w:pStyle w:val="1005"/>
              <w:ind w:left="57" w:right="57"/>
            </w:pPr>
            <w:r>
              <w:t xml:space="preserve">Может быть отредактировано вручную, либо выбором из справочника «Ведомства» (с учетом бюджета).</w:t>
            </w:r>
            <w:r/>
          </w:p>
        </w:tc>
      </w:tr>
      <w:tr>
        <w:trPr/>
        <w:tc>
          <w:tcPr>
            <w:shd w:val="clear" w:fill="auto" w:color="auto"/>
            <w:tcW w:w="1137" w:type="pct"/>
            <w:textDirection w:val="lrTb"/>
            <w:noWrap w:val="false"/>
          </w:tcPr>
          <w:p>
            <w:pPr>
              <w:pStyle w:val="1005"/>
              <w:ind w:left="57" w:right="57"/>
            </w:pPr>
            <w:r>
              <w:t xml:space="preserve">Фин. </w:t>
            </w:r>
            <w:r>
              <w:t xml:space="preserve">О</w:t>
            </w:r>
            <w:r>
              <w:t xml:space="preserve">рган</w:t>
            </w:r>
            <w:r/>
          </w:p>
        </w:tc>
        <w:tc>
          <w:tcPr>
            <w:shd w:val="clear" w:fill="auto" w:color="auto"/>
            <w:tcW w:w="3863" w:type="pct"/>
            <w:textDirection w:val="lrTb"/>
            <w:noWrap w:val="false"/>
          </w:tcPr>
          <w:p>
            <w:pPr>
              <w:pStyle w:val="1005"/>
              <w:ind w:left="57" w:right="57"/>
            </w:pPr>
            <w:r>
              <w:t xml:space="preserve">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r/>
          </w:p>
          <w:p>
            <w:pPr>
              <w:pStyle w:val="1005"/>
              <w:ind w:left="57" w:right="57"/>
            </w:pPr>
            <w:r>
              <w:t xml:space="preserve">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r/>
          </w:p>
          <w:p>
            <w:pPr>
              <w:pStyle w:val="1005"/>
              <w:ind w:left="57" w:right="57"/>
            </w:pPr>
            <w:r>
              <w:t xml:space="preserve">Может заполняться из родительского документа.</w:t>
            </w:r>
            <w:r/>
          </w:p>
        </w:tc>
      </w:tr>
      <w:tr>
        <w:trPr/>
        <w:tc>
          <w:tcPr>
            <w:shd w:val="clear" w:fill="auto" w:color="auto"/>
            <w:tcW w:w="1137" w:type="pct"/>
            <w:textDirection w:val="lrTb"/>
            <w:noWrap w:val="false"/>
          </w:tcPr>
          <w:p>
            <w:pPr>
              <w:pStyle w:val="1005"/>
              <w:ind w:left="57" w:right="57"/>
            </w:pPr>
            <w:r>
              <w:t xml:space="preserve">Код по ОКТМО</w:t>
            </w:r>
            <w:r/>
          </w:p>
        </w:tc>
        <w:tc>
          <w:tcPr>
            <w:shd w:val="clear" w:fill="auto" w:color="auto"/>
            <w:tcW w:w="3863" w:type="pct"/>
            <w:textDirection w:val="lrTb"/>
            <w:noWrap w:val="false"/>
          </w:tcPr>
          <w:p>
            <w:pPr>
              <w:pStyle w:val="1005"/>
              <w:ind w:left="57" w:right="57"/>
            </w:pPr>
            <w:r>
              <w:t xml:space="preserve">Указывается код населенного пункта по ОКТМО.</w:t>
            </w:r>
            <w:r/>
          </w:p>
          <w:p>
            <w:pPr>
              <w:pStyle w:val="1005"/>
              <w:ind w:left="57" w:right="57"/>
            </w:pPr>
            <w:r>
              <w:t xml:space="preserve">Длина поля строго ограничена количеством символов: или 8, или 11.</w:t>
            </w:r>
            <w:r/>
          </w:p>
          <w:p>
            <w:pPr>
              <w:pStyle w:val="1005"/>
              <w:ind w:left="57" w:right="57"/>
            </w:pPr>
            <w:r>
              <w:t xml:space="preserve">Заполняется автоматически на основании значения поля «Бюджет (код)» и сведений справочника «Бюджеты»:</w:t>
            </w:r>
            <w:r/>
          </w:p>
          <w:p>
            <w:pPr>
              <w:pStyle w:val="1007"/>
            </w:pPr>
            <w:r>
              <w:t xml:space="preserve">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r/>
          </w:p>
          <w:p>
            <w:pPr>
              <w:pStyle w:val="1005"/>
              <w:ind w:left="57" w:right="57"/>
            </w:pPr>
            <w:r>
              <w:t xml:space="preserve">Если признак СР = 1, то заполняется в соответствии:</w:t>
            </w:r>
            <w:r/>
          </w:p>
          <w:p>
            <w:pPr>
              <w:pStyle w:val="1005"/>
              <w:ind w:left="57" w:right="57"/>
            </w:pPr>
            <w:r>
              <w:t xml:space="preserve">Справочник СР. Вкладка «Общая информация (1)». Подраздел «Информация по общероссийским классификаторам». Реквизит «ОКТМО».</w:t>
            </w:r>
            <w:r/>
          </w:p>
        </w:tc>
      </w:tr>
      <w:tr>
        <w:trPr/>
        <w:tc>
          <w:tcPr>
            <w:shd w:val="clear" w:fill="auto" w:color="auto"/>
            <w:tcW w:w="1137" w:type="pct"/>
            <w:textDirection w:val="lrTb"/>
            <w:noWrap w:val="false"/>
          </w:tcPr>
          <w:p>
            <w:pPr>
              <w:pStyle w:val="1005"/>
              <w:ind w:left="57" w:right="57"/>
            </w:pPr>
            <w:r>
              <w:t xml:space="preserve">Орган ФК</w:t>
            </w:r>
            <w:r/>
          </w:p>
        </w:tc>
        <w:tc>
          <w:tcPr>
            <w:shd w:val="clear" w:fill="auto" w:color="auto"/>
            <w:tcW w:w="3863" w:type="pct"/>
            <w:textDirection w:val="lrTb"/>
            <w:noWrap w:val="false"/>
          </w:tcPr>
          <w:p>
            <w:pPr>
              <w:pStyle w:val="1005"/>
              <w:ind w:left="57" w:right="57"/>
            </w:pPr>
            <w:r>
              <w:t xml:space="preserve">Полное или краткое наименование территориального органа Федерального казначейства, в котором открыт лицевой счет клиента. </w:t>
            </w:r>
            <w:r/>
          </w:p>
          <w:p>
            <w:pPr>
              <w:pStyle w:val="1005"/>
              <w:ind w:left="57" w:right="57"/>
            </w:pPr>
            <w:r>
              <w:t xml:space="preserve">Поле заполняется в соответствии с централизованным справочником ФК. </w:t>
            </w:r>
            <w:r/>
          </w:p>
          <w:p>
            <w:pPr>
              <w:pStyle w:val="1005"/>
              <w:ind w:left="57" w:right="57"/>
            </w:pPr>
            <w:r>
              <w:t xml:space="preserve">Значение поля подтягивается по полю «код ТОФК» из справочника органов ФК из поля «Полное наименование». </w:t>
            </w:r>
            <w:r/>
          </w:p>
          <w:p>
            <w:pPr>
              <w:pStyle w:val="1005"/>
              <w:ind w:left="57" w:right="57"/>
            </w:pPr>
            <w:r>
              <w:t xml:space="preserve">Может быть изменено пользователем вручную.</w:t>
            </w:r>
            <w:r/>
          </w:p>
          <w:p>
            <w:pPr>
              <w:pStyle w:val="1005"/>
              <w:ind w:left="57" w:right="57"/>
            </w:pPr>
            <w:r>
              <w:t xml:space="preserve">Значение подтягивается автоматически при выборе родительского документа.</w:t>
            </w:r>
            <w:r/>
          </w:p>
        </w:tc>
      </w:tr>
      <w:tr>
        <w:trPr/>
        <w:tc>
          <w:tcPr>
            <w:shd w:val="clear" w:fill="auto" w:color="auto"/>
            <w:tcW w:w="1137" w:type="pct"/>
            <w:textDirection w:val="lrTb"/>
            <w:noWrap w:val="false"/>
          </w:tcPr>
          <w:p>
            <w:pPr>
              <w:pStyle w:val="1005"/>
              <w:ind w:left="57" w:right="57"/>
            </w:pPr>
            <w:r>
              <w:t xml:space="preserve">Код ТОФК</w:t>
            </w:r>
            <w:r/>
          </w:p>
        </w:tc>
        <w:tc>
          <w:tcPr>
            <w:shd w:val="clear" w:fill="auto" w:color="auto"/>
            <w:tcW w:w="3863" w:type="pct"/>
            <w:textDirection w:val="lrTb"/>
            <w:noWrap w:val="false"/>
          </w:tcPr>
          <w:p>
            <w:pPr>
              <w:pStyle w:val="1005"/>
              <w:ind w:left="57" w:right="57"/>
            </w:pPr>
            <w:r>
              <w:t xml:space="preserve">Код территориального органа Федерального казначейства. </w:t>
            </w:r>
            <w:r/>
          </w:p>
          <w:p>
            <w:pPr>
              <w:pStyle w:val="1005"/>
              <w:ind w:left="57" w:right="57"/>
            </w:pPr>
            <w:r>
              <w:t xml:space="preserve">Поле заполняется в соответствии с централизованным справочником ФК. </w:t>
            </w:r>
            <w:r/>
          </w:p>
          <w:p>
            <w:pPr>
              <w:pStyle w:val="1005"/>
              <w:ind w:left="57" w:right="57"/>
            </w:pPr>
            <w:r>
              <w:t xml:space="preserve">На АРМ ФО: </w:t>
            </w:r>
            <w:r>
              <w:t xml:space="preserve">П</w:t>
            </w:r>
            <w:r>
              <w:t xml:space="preserve">роверяется значение константы</w:t>
            </w:r>
            <w:r>
              <w:t xml:space="preserve"> </w:t>
            </w:r>
            <w:r>
              <w:t xml:space="preserve">«Код собственного ТОФК»: </w:t>
            </w:r>
            <w:r/>
          </w:p>
          <w:p>
            <w:pPr>
              <w:pStyle w:val="1007"/>
            </w:pPr>
            <w:r>
              <w:t xml:space="preserve">если оно равно ххуу, то по умолчанию проставляется значение константы код вышестоящего ТОФК равный хх00; </w:t>
            </w:r>
            <w:r/>
          </w:p>
          <w:p>
            <w:pPr>
              <w:pStyle w:val="1007"/>
            </w:pPr>
            <w:r>
              <w:t xml:space="preserve">если равна хх00, то по умолчанию проставляется значение код собственного ТОФК. </w:t>
            </w:r>
            <w:r/>
          </w:p>
          <w:p>
            <w:pPr>
              <w:pStyle w:val="1005"/>
              <w:ind w:left="57" w:right="57"/>
            </w:pPr>
            <w:r>
              <w:t xml:space="preserve">Может быть изменено пользователем вручную или выбором из справочника КОФК (Органы ФК).</w:t>
            </w:r>
            <w:r/>
          </w:p>
          <w:p>
            <w:pPr>
              <w:pStyle w:val="1005"/>
              <w:ind w:left="57" w:right="57"/>
            </w:pPr>
            <w:r>
              <w:t xml:space="preserve">Может заполняться из родительского документа</w:t>
            </w:r>
            <w:r/>
          </w:p>
        </w:tc>
      </w:tr>
      <w:tr>
        <w:trPr/>
        <w:tc>
          <w:tcPr>
            <w:shd w:val="clear" w:fill="auto" w:color="auto"/>
            <w:tcW w:w="1137" w:type="pct"/>
            <w:textDirection w:val="lrTb"/>
            <w:noWrap w:val="false"/>
          </w:tcPr>
          <w:p>
            <w:pPr>
              <w:pStyle w:val="1005"/>
              <w:ind w:left="57" w:right="57"/>
            </w:pPr>
            <w:r>
              <w:t xml:space="preserve">Наименование бюджета</w:t>
            </w:r>
            <w:r/>
          </w:p>
        </w:tc>
        <w:tc>
          <w:tcPr>
            <w:shd w:val="clear" w:fill="auto" w:color="auto"/>
            <w:tcW w:w="3863" w:type="pct"/>
            <w:textDirection w:val="lrTb"/>
            <w:noWrap w:val="false"/>
          </w:tcPr>
          <w:p>
            <w:pPr>
              <w:pStyle w:val="1005"/>
              <w:ind w:left="57" w:right="57"/>
            </w:pPr>
            <w:r>
              <w:t xml:space="preserve">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r/>
          </w:p>
          <w:p>
            <w:pPr>
              <w:pStyle w:val="1005"/>
              <w:ind w:left="57" w:right="57"/>
            </w:pPr>
            <w:r>
              <w:t xml:space="preserve">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r/>
          </w:p>
        </w:tc>
      </w:tr>
      <w:tr>
        <w:trPr/>
        <w:tc>
          <w:tcPr>
            <w:shd w:val="clear" w:fill="auto" w:color="auto"/>
            <w:tcW w:w="1137" w:type="pct"/>
            <w:textDirection w:val="lrTb"/>
            <w:noWrap w:val="false"/>
          </w:tcPr>
          <w:p>
            <w:pPr>
              <w:pStyle w:val="1005"/>
              <w:ind w:left="57" w:right="57"/>
            </w:pPr>
            <w:r>
              <w:t xml:space="preserve">П</w:t>
            </w:r>
            <w:r>
              <w:t xml:space="preserve">о ОКВ</w:t>
            </w:r>
            <w:r/>
          </w:p>
        </w:tc>
        <w:tc>
          <w:tcPr>
            <w:shd w:val="clear" w:fill="auto" w:color="auto"/>
            <w:tcW w:w="3863" w:type="pct"/>
            <w:textDirection w:val="lrTb"/>
            <w:noWrap w:val="false"/>
          </w:tcPr>
          <w:p>
            <w:pPr>
              <w:pStyle w:val="1005"/>
              <w:ind w:left="57" w:right="57"/>
            </w:pPr>
            <w:r>
              <w:t xml:space="preserve">Указывается код валюты, в которой принято денежное обязательство, в соответствии с ОКВ.</w:t>
            </w:r>
            <w:r/>
          </w:p>
          <w:p>
            <w:pPr>
              <w:pStyle w:val="1005"/>
              <w:ind w:left="57" w:right="57"/>
            </w:pPr>
            <w:r>
              <w:t xml:space="preserve">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r/>
          </w:p>
          <w:p>
            <w:pPr>
              <w:pStyle w:val="1005"/>
              <w:ind w:left="57" w:right="57"/>
            </w:pPr>
            <w:r>
              <w:t xml:space="preserve">Значение подтягивается автоматически при выборе родительского документа.</w:t>
            </w:r>
            <w:r/>
          </w:p>
        </w:tc>
      </w:tr>
      <w:tr>
        <w:trPr/>
        <w:tc>
          <w:tcPr>
            <w:shd w:val="clear" w:fill="auto" w:color="auto"/>
            <w:tcW w:w="1137" w:type="pct"/>
            <w:textDirection w:val="lrTb"/>
            <w:noWrap w:val="false"/>
          </w:tcPr>
          <w:p>
            <w:pPr>
              <w:pStyle w:val="1005"/>
              <w:ind w:left="57" w:right="57"/>
            </w:pPr>
            <w:r>
              <w:t xml:space="preserve">Учет. </w:t>
            </w:r>
            <w:r>
              <w:t xml:space="preserve">Н</w:t>
            </w:r>
            <w:r>
              <w:t xml:space="preserve">омер ДО</w:t>
            </w:r>
            <w:r/>
          </w:p>
        </w:tc>
        <w:tc>
          <w:tcPr>
            <w:shd w:val="clear" w:fill="auto" w:color="auto"/>
            <w:tcW w:w="3863" w:type="pct"/>
            <w:textDirection w:val="lrTb"/>
            <w:noWrap w:val="false"/>
          </w:tcPr>
          <w:p>
            <w:pPr>
              <w:pStyle w:val="1005"/>
              <w:ind w:left="57" w:right="57"/>
            </w:pPr>
            <w:r>
              <w:t xml:space="preserve">Указывается учетный номер денежного обязательства.</w:t>
            </w:r>
            <w:r/>
          </w:p>
          <w:p>
            <w:pPr>
              <w:pStyle w:val="1005"/>
              <w:ind w:left="57" w:right="57"/>
            </w:pPr>
            <w:r>
              <w:t xml:space="preserve">Обязательно заполняется для документа с типом сведений «1 – изменения», в иных случаях не заполняется. </w:t>
            </w:r>
            <w:r/>
          </w:p>
        </w:tc>
      </w:tr>
      <w:tr>
        <w:trPr/>
        <w:tc>
          <w:tcPr>
            <w:shd w:val="clear" w:fill="auto" w:color="auto"/>
            <w:tcW w:w="1137" w:type="pct"/>
            <w:textDirection w:val="lrTb"/>
            <w:noWrap w:val="false"/>
          </w:tcPr>
          <w:p>
            <w:pPr>
              <w:pStyle w:val="1005"/>
              <w:ind w:left="57" w:right="57"/>
            </w:pPr>
            <w:r>
              <w:t xml:space="preserve">Учет. </w:t>
            </w:r>
            <w:r>
              <w:t xml:space="preserve">Н</w:t>
            </w:r>
            <w:r>
              <w:t xml:space="preserve">омер БО</w:t>
            </w:r>
            <w:r/>
          </w:p>
        </w:tc>
        <w:tc>
          <w:tcPr>
            <w:shd w:val="clear" w:fill="auto" w:color="auto"/>
            <w:tcW w:w="3863" w:type="pct"/>
            <w:textDirection w:val="lrTb"/>
            <w:noWrap w:val="false"/>
          </w:tcPr>
          <w:p>
            <w:pPr>
              <w:pStyle w:val="1005"/>
              <w:ind w:left="57" w:right="57"/>
            </w:pPr>
            <w:r>
              <w:t xml:space="preserve">Указывается учетный номер бюджетного обязательства.</w:t>
            </w:r>
            <w:r/>
          </w:p>
        </w:tc>
      </w:tr>
      <w:tr>
        <w:trPr/>
        <w:tc>
          <w:tcPr>
            <w:shd w:val="clear" w:fill="auto" w:color="auto"/>
            <w:tcW w:w="1137" w:type="pct"/>
            <w:textDirection w:val="lrTb"/>
            <w:noWrap w:val="false"/>
          </w:tcPr>
          <w:p>
            <w:pPr>
              <w:pStyle w:val="1005"/>
              <w:ind w:left="57" w:right="57"/>
            </w:pPr>
            <w:r>
              <w:t xml:space="preserve">Признак платежа, требующего подтверждения</w:t>
            </w:r>
            <w:r/>
          </w:p>
        </w:tc>
        <w:tc>
          <w:tcPr>
            <w:shd w:val="clear" w:fill="auto" w:color="auto"/>
            <w:tcW w:w="3863" w:type="pct"/>
            <w:textDirection w:val="lrTb"/>
            <w:noWrap w:val="false"/>
          </w:tcPr>
          <w:p>
            <w:pPr>
              <w:pStyle w:val="1005"/>
              <w:ind w:left="57" w:right="57"/>
            </w:pPr>
            <w:r>
              <w:t xml:space="preserve">Признак авансового платежа.</w:t>
            </w:r>
            <w:r/>
          </w:p>
          <w:p>
            <w:pPr>
              <w:pStyle w:val="1005"/>
              <w:ind w:left="57" w:right="57"/>
            </w:pPr>
            <w:r>
              <w:t xml:space="preserve">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r/>
          </w:p>
          <w:p>
            <w:pPr>
              <w:pStyle w:val="1005"/>
              <w:ind w:left="57" w:right="57"/>
            </w:pPr>
            <w:r>
              <w:t xml:space="preserve">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r/>
          </w:p>
        </w:tc>
      </w:tr>
      <w:tr>
        <w:trPr/>
        <w:tc>
          <w:tcPr>
            <w:shd w:val="clear" w:fill="auto" w:color="auto"/>
            <w:tcW w:w="1137" w:type="pct"/>
            <w:textDirection w:val="lrTb"/>
            <w:noWrap w:val="false"/>
          </w:tcPr>
          <w:p>
            <w:pPr>
              <w:pStyle w:val="1005"/>
              <w:ind w:left="57" w:right="57"/>
            </w:pPr>
            <w:r>
              <w:t xml:space="preserve">Итого всего (сумма выплаты в рублевом эквиваленте)</w:t>
            </w:r>
            <w:r/>
          </w:p>
        </w:tc>
        <w:tc>
          <w:tcPr>
            <w:shd w:val="clear" w:fill="auto" w:color="auto"/>
            <w:tcW w:w="3863" w:type="pct"/>
            <w:textDirection w:val="lrTb"/>
            <w:noWrap w:val="false"/>
          </w:tcPr>
          <w:p>
            <w:pPr>
              <w:pStyle w:val="1005"/>
              <w:ind w:left="57" w:right="57"/>
            </w:pPr>
            <w:r>
              <w:t xml:space="preserve">Итого общая сумма по графе «всего» (сумма выплаты в рублевом эквиваленте).</w:t>
            </w:r>
            <w:r/>
          </w:p>
        </w:tc>
      </w:tr>
      <w:tr>
        <w:trPr/>
        <w:tc>
          <w:tcPr>
            <w:shd w:val="clear" w:fill="auto" w:color="auto"/>
            <w:tcW w:w="1137" w:type="pct"/>
            <w:textDirection w:val="lrTb"/>
            <w:noWrap w:val="false"/>
          </w:tcPr>
          <w:p>
            <w:pPr>
              <w:pStyle w:val="1005"/>
              <w:ind w:left="57" w:right="57"/>
            </w:pPr>
            <w:r>
              <w:t xml:space="preserve">Итого </w:t>
            </w:r>
            <w:r>
              <w:t xml:space="preserve">в том числе подтверждено сумм перечисленных платежей (сумма подтверждения в рублевом эквиваленте)</w:t>
            </w:r>
            <w:r/>
          </w:p>
        </w:tc>
        <w:tc>
          <w:tcPr>
            <w:shd w:val="clear" w:fill="auto" w:color="auto"/>
            <w:tcW w:w="3863" w:type="pct"/>
            <w:textDirection w:val="lrTb"/>
            <w:noWrap w:val="false"/>
          </w:tcPr>
          <w:p>
            <w:pPr>
              <w:pStyle w:val="1005"/>
              <w:ind w:left="57" w:right="57"/>
            </w:pPr>
            <w:r>
              <w:t xml:space="preserve">Итого общая сумма по графе «в том числе перечислено сумм аванса (сумма выплаты в рублевом эквиваленте).</w:t>
            </w:r>
            <w:r/>
          </w:p>
        </w:tc>
      </w:tr>
      <w:tr>
        <w:trPr/>
        <w:tc>
          <w:tcPr>
            <w:gridSpan w:val="2"/>
            <w:shd w:val="clear" w:fill="auto" w:color="auto"/>
            <w:tcW w:w="5000" w:type="pct"/>
            <w:textDirection w:val="lrTb"/>
            <w:noWrap w:val="false"/>
          </w:tcPr>
          <w:p>
            <w:pPr>
              <w:pStyle w:val="1005"/>
              <w:ind w:left="57" w:right="57"/>
            </w:pPr>
            <w:r>
              <w:t xml:space="preserve">Группа полей «Раздел 1: Реквизиты документа-основания»</w:t>
            </w:r>
            <w:r/>
          </w:p>
        </w:tc>
      </w:tr>
      <w:tr>
        <w:trPr/>
        <w:tc>
          <w:tcPr>
            <w:shd w:val="clear" w:fill="auto" w:color="auto"/>
            <w:tcW w:w="1137" w:type="pct"/>
            <w:textDirection w:val="lrTb"/>
            <w:noWrap w:val="false"/>
          </w:tcPr>
          <w:p>
            <w:pPr>
              <w:pStyle w:val="1005"/>
              <w:ind w:left="57" w:right="57"/>
            </w:pPr>
            <w:r>
              <w:t xml:space="preserve">Вид документа</w:t>
            </w:r>
            <w:r/>
          </w:p>
        </w:tc>
        <w:tc>
          <w:tcPr>
            <w:shd w:val="clear" w:fill="auto" w:color="auto"/>
            <w:tcW w:w="3863" w:type="pct"/>
            <w:textDirection w:val="lrTb"/>
            <w:noWrap w:val="false"/>
          </w:tcPr>
          <w:p>
            <w:pPr>
              <w:pStyle w:val="1005"/>
              <w:ind w:left="57" w:right="57"/>
            </w:pPr>
            <w:r>
              <w:t xml:space="preserve">Указывается наименование документа, являющегося основанием для возникновения денежного обязательства.</w:t>
            </w:r>
            <w:r/>
          </w:p>
        </w:tc>
      </w:tr>
      <w:tr>
        <w:trPr/>
        <w:tc>
          <w:tcPr>
            <w:shd w:val="clear" w:fill="auto" w:color="auto"/>
            <w:tcW w:w="1137" w:type="pct"/>
            <w:textDirection w:val="lrTb"/>
            <w:noWrap w:val="false"/>
          </w:tcPr>
          <w:p>
            <w:pPr>
              <w:pStyle w:val="1005"/>
              <w:ind w:left="57" w:right="57"/>
            </w:pPr>
            <w:r>
              <w:t xml:space="preserve">Номер документа</w:t>
            </w:r>
            <w:r/>
          </w:p>
        </w:tc>
        <w:tc>
          <w:tcPr>
            <w:shd w:val="clear" w:fill="auto" w:color="auto"/>
            <w:tcW w:w="3863" w:type="pct"/>
            <w:textDirection w:val="lrTb"/>
            <w:noWrap w:val="false"/>
          </w:tcPr>
          <w:p>
            <w:pPr>
              <w:pStyle w:val="1005"/>
              <w:ind w:left="57" w:right="57"/>
            </w:pPr>
            <w:r>
              <w:t xml:space="preserve">Указывается номер документа-основания (при наличии).</w:t>
            </w:r>
            <w:r/>
          </w:p>
        </w:tc>
      </w:tr>
      <w:tr>
        <w:trPr/>
        <w:tc>
          <w:tcPr>
            <w:shd w:val="clear" w:fill="auto" w:color="auto"/>
            <w:tcW w:w="1137" w:type="pct"/>
            <w:textDirection w:val="lrTb"/>
            <w:noWrap w:val="false"/>
          </w:tcPr>
          <w:p>
            <w:pPr>
              <w:pStyle w:val="1005"/>
              <w:ind w:left="57" w:right="57"/>
            </w:pPr>
            <w:r>
              <w:t xml:space="preserve">Дата документа</w:t>
            </w:r>
            <w:r/>
          </w:p>
        </w:tc>
        <w:tc>
          <w:tcPr>
            <w:shd w:val="clear" w:fill="auto" w:color="auto"/>
            <w:tcW w:w="3863" w:type="pct"/>
            <w:textDirection w:val="lrTb"/>
            <w:noWrap w:val="false"/>
          </w:tcPr>
          <w:p>
            <w:pPr>
              <w:pStyle w:val="1005"/>
              <w:ind w:left="57" w:right="57"/>
            </w:pPr>
            <w:r>
              <w:t xml:space="preserve">Указывается дата заключения (принятия) документа-основания.</w:t>
            </w:r>
            <w:r/>
          </w:p>
        </w:tc>
      </w:tr>
      <w:tr>
        <w:trPr/>
        <w:tc>
          <w:tcPr>
            <w:shd w:val="clear" w:fill="auto" w:color="auto"/>
            <w:tcW w:w="1137" w:type="pct"/>
            <w:textDirection w:val="lrTb"/>
            <w:noWrap w:val="false"/>
          </w:tcPr>
          <w:p>
            <w:pPr>
              <w:pStyle w:val="1005"/>
              <w:ind w:left="57" w:right="57"/>
            </w:pPr>
            <w:r>
              <w:t xml:space="preserve">Сумма </w:t>
            </w:r>
            <w:r/>
          </w:p>
        </w:tc>
        <w:tc>
          <w:tcPr>
            <w:shd w:val="clear" w:fill="auto" w:color="auto"/>
            <w:tcW w:w="3863" w:type="pct"/>
            <w:textDirection w:val="lrTb"/>
            <w:noWrap w:val="false"/>
          </w:tcPr>
          <w:p>
            <w:pPr>
              <w:pStyle w:val="1005"/>
              <w:ind w:left="57" w:right="57"/>
            </w:pPr>
            <w:r>
              <w:t xml:space="preserve">Сумма по документу-основанию.</w:t>
            </w:r>
            <w:r/>
          </w:p>
        </w:tc>
      </w:tr>
      <w:tr>
        <w:trPr/>
        <w:tc>
          <w:tcPr>
            <w:shd w:val="clear" w:fill="auto" w:color="auto"/>
            <w:tcW w:w="1137" w:type="pct"/>
            <w:textDirection w:val="lrTb"/>
            <w:noWrap w:val="false"/>
          </w:tcPr>
          <w:p>
            <w:pPr>
              <w:pStyle w:val="1005"/>
              <w:ind w:left="57" w:right="57"/>
            </w:pPr>
            <w:r>
              <w:t xml:space="preserve">Предмет по документу-основанию</w:t>
            </w:r>
            <w:r/>
          </w:p>
        </w:tc>
        <w:tc>
          <w:tcPr>
            <w:shd w:val="clear" w:fill="auto" w:color="auto"/>
            <w:tcW w:w="3863" w:type="pct"/>
            <w:textDirection w:val="lrTb"/>
            <w:noWrap w:val="false"/>
          </w:tcPr>
          <w:p>
            <w:pPr>
              <w:pStyle w:val="1005"/>
              <w:ind w:left="57" w:right="57"/>
            </w:pPr>
            <w:r>
              <w:t xml:space="preserve">Указывается наименование товаров (работ, услуг) в соответствии с документом, подтверждающим возникновение денежного обязательства.</w:t>
            </w:r>
            <w:r/>
          </w:p>
        </w:tc>
      </w:tr>
    </w:tbl>
    <w:p>
      <w:pPr>
        <w:pStyle w:val="994"/>
      </w:pPr>
      <w:r>
        <w:t xml:space="preserve">ЭФ документа «Сведения о денежном обязательстве», закладки «Строки (2)» представлена на рисунке</w:t>
      </w:r>
      <w:r>
        <w:t xml:space="preserve"> </w:t>
      </w:r>
      <w:r>
        <w:fldChar w:fldCharType="begin"/>
      </w:r>
      <w:r>
        <w:instrText xml:space="preserve"> REF _Ref472067371 \h </w:instrText>
      </w:r>
      <w:r>
        <w:fldChar w:fldCharType="separate"/>
      </w:r>
      <w:r>
        <w:t xml:space="preserve">114</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1828800"/>
                <wp:effectExtent l="0" t="0" r="0" b="0"/>
                <wp:docPr id="19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80"/>
                        <a:stretch/>
                      </pic:blipFill>
                      <pic:spPr bwMode="auto">
                        <a:xfrm>
                          <a:off x="0" y="0"/>
                          <a:ext cx="6126480" cy="1828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 o:spid="_x0000_s189" type="#_x0000_t75" style="mso-wrap-distance-left:0.0pt;mso-wrap-distance-top:0.0pt;mso-wrap-distance-right:0.0pt;mso-wrap-distance-bottom:0.0pt;width:482.4pt;height:144.0pt;" stroked="f">
                <v:path textboxrect="0,0,0,0"/>
                <v:imagedata r:id="rId180" o:title=""/>
              </v:shape>
            </w:pict>
          </mc:Fallback>
        </mc:AlternateContent>
      </w:r>
      <w:r/>
    </w:p>
    <w:p>
      <w:pPr>
        <w:pStyle w:val="983"/>
      </w:pPr>
      <w:r>
        <w:fldChar w:fldCharType="begin"/>
      </w:r>
      <w:r>
        <w:instrText xml:space="preserve"> SEQ Рисунок \* ARABIC </w:instrText>
      </w:r>
      <w:r>
        <w:fldChar w:fldCharType="separate"/>
      </w:r>
      <w:bookmarkStart w:id="921" w:name="_Ref472067371"/>
      <w:r/>
      <w:bookmarkStart w:id="922" w:name="_Toc88819499"/>
      <w:r>
        <w:t xml:space="preserve">114</w:t>
      </w:r>
      <w:bookmarkEnd w:id="921"/>
      <w:r>
        <w:fldChar w:fldCharType="end"/>
      </w:r>
      <w:r>
        <w:t xml:space="preserve">. ЭФ документа «Сведения о денежном обязательстве», закладки «Строки (2)»</w:t>
      </w:r>
      <w:bookmarkEnd w:id="922"/>
      <w:r/>
      <w:r/>
    </w:p>
    <w:p>
      <w:pPr>
        <w:pStyle w:val="994"/>
      </w:pPr>
      <w:r>
        <w:t xml:space="preserve">Перечень полей документа «Сведения о денежном обязательстве», закладки «Строки (2)» приведен в таблице</w:t>
      </w:r>
      <w:r>
        <w:t xml:space="preserve"> </w:t>
      </w:r>
      <w:r>
        <w:fldChar w:fldCharType="begin"/>
      </w:r>
      <w:r>
        <w:instrText xml:space="preserve"> REF _Ref472067348 \h </w:instrText>
      </w:r>
      <w:r>
        <w:fldChar w:fldCharType="separate"/>
      </w:r>
      <w:r>
        <w:t xml:space="preserve">62</w:t>
      </w:r>
      <w:r>
        <w:fldChar w:fldCharType="end"/>
      </w:r>
      <w:r>
        <w:t xml:space="preserve">.</w:t>
      </w:r>
      <w:r/>
    </w:p>
    <w:p>
      <w:pPr>
        <w:pStyle w:val="993"/>
      </w:pPr>
      <w:r>
        <w:fldChar w:fldCharType="begin"/>
      </w:r>
      <w:r>
        <w:instrText xml:space="preserve"> SEQ Таблица \* ARABIC </w:instrText>
      </w:r>
      <w:r>
        <w:fldChar w:fldCharType="separate"/>
      </w:r>
      <w:bookmarkStart w:id="923" w:name="_Ref472067348"/>
      <w:r/>
      <w:bookmarkStart w:id="924" w:name="_Toc88819248"/>
      <w:r>
        <w:t xml:space="preserve">62</w:t>
      </w:r>
      <w:bookmarkEnd w:id="923"/>
      <w:r>
        <w:fldChar w:fldCharType="end"/>
      </w:r>
      <w:r>
        <w:t xml:space="preserve">. Описание полей документа «Сведения о денежном обязательстве», закладки «Строки (2)»</w:t>
      </w:r>
      <w:bookmarkEnd w:id="924"/>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13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63"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«Раздел 2: Расшифровка документа, подтверждающего возникновение ДО»</w:t>
            </w:r>
            <w:r/>
          </w:p>
        </w:tc>
      </w:tr>
      <w:tr>
        <w:trPr/>
        <w:tc>
          <w:tcPr>
            <w:shd w:val="clear" w:fill="auto" w:color="auto"/>
            <w:tcW w:w="1137" w:type="pct"/>
            <w:textDirection w:val="lrTb"/>
            <w:noWrap w:val="false"/>
          </w:tcPr>
          <w:p>
            <w:pPr>
              <w:pStyle w:val="1005"/>
              <w:ind w:left="57" w:right="57"/>
            </w:pPr>
            <w:r>
              <w:t xml:space="preserve">№</w:t>
            </w:r>
            <w:r/>
          </w:p>
        </w:tc>
        <w:tc>
          <w:tcPr>
            <w:shd w:val="clear" w:fill="auto" w:color="auto"/>
            <w:tcW w:w="3863" w:type="pct"/>
            <w:textDirection w:val="lrTb"/>
            <w:noWrap w:val="false"/>
          </w:tcPr>
          <w:p>
            <w:pPr>
              <w:pStyle w:val="1005"/>
              <w:ind w:left="57" w:right="57"/>
            </w:pPr>
            <w:r>
              <w:t xml:space="preserve">Номер позиции. Сквозная автонумерация.</w:t>
            </w:r>
            <w:r/>
          </w:p>
        </w:tc>
      </w:tr>
      <w:tr>
        <w:trPr/>
        <w:tc>
          <w:tcPr>
            <w:shd w:val="clear" w:fill="auto" w:color="auto"/>
            <w:tcW w:w="1137" w:type="pct"/>
            <w:textDirection w:val="lrTb"/>
            <w:noWrap w:val="false"/>
          </w:tcPr>
          <w:p>
            <w:pPr>
              <w:pStyle w:val="1005"/>
              <w:ind w:left="57" w:right="57"/>
            </w:pPr>
            <w:r>
              <w:t xml:space="preserve">ОКС (КМИ)</w:t>
            </w:r>
            <w:r/>
          </w:p>
        </w:tc>
        <w:tc>
          <w:tcPr>
            <w:shd w:val="clear" w:fill="auto" w:color="auto"/>
            <w:tcW w:w="3863" w:type="pct"/>
            <w:textDirection w:val="lrTb"/>
            <w:noWrap w:val="false"/>
          </w:tcPr>
          <w:p>
            <w:pPr>
              <w:pStyle w:val="1005"/>
              <w:ind w:left="57" w:right="57"/>
            </w:pPr>
            <w:r>
              <w:t xml:space="preserve">Код объекта ОКС в соответствии со справочником «ФАИП».</w:t>
            </w:r>
            <w:r/>
          </w:p>
          <w:p>
            <w:pPr>
              <w:pStyle w:val="1005"/>
              <w:ind w:left="57" w:right="57"/>
            </w:pPr>
            <w:r>
              <w:t xml:space="preserve">Значение заполняется вручную или выбором из справочника «ФАИП». </w:t>
            </w:r>
            <w:r/>
          </w:p>
          <w:p>
            <w:pPr>
              <w:pStyle w:val="1005"/>
              <w:ind w:left="57" w:right="57"/>
            </w:pPr>
            <w:r>
              <w:t xml:space="preserve">Выводятся только записи справочника, у которых «Код объекта ОКС» заполнен, а поле «Идентификатор этапа инвестирования по объекту ФАИП» или выбором актуальной записи из справочника «Перечень мероприятий по информатизации». </w:t>
            </w:r>
            <w:r/>
          </w:p>
          <w:p>
            <w:pPr>
              <w:pStyle w:val="1005"/>
              <w:ind w:left="57" w:right="57"/>
            </w:pPr>
            <w:r>
              <w:t xml:space="preserve">Может заполняться из родительского документа</w:t>
            </w:r>
            <w:r>
              <w:t xml:space="preserve">.</w:t>
            </w:r>
            <w:r/>
          </w:p>
        </w:tc>
      </w:tr>
      <w:tr>
        <w:trPr/>
        <w:tc>
          <w:tcPr>
            <w:shd w:val="clear" w:fill="auto" w:color="auto"/>
            <w:tcW w:w="1137" w:type="pct"/>
            <w:textDirection w:val="lrTb"/>
            <w:noWrap w:val="false"/>
          </w:tcPr>
          <w:p>
            <w:pPr>
              <w:pStyle w:val="1005"/>
              <w:ind w:left="57" w:right="57"/>
            </w:pPr>
            <w:r>
              <w:t xml:space="preserve">Вид средств (код)</w:t>
            </w:r>
            <w:r/>
          </w:p>
        </w:tc>
        <w:tc>
          <w:tcPr>
            <w:shd w:val="clear" w:fill="auto" w:color="auto"/>
            <w:tcW w:w="3863" w:type="pct"/>
            <w:textDirection w:val="lrTb"/>
            <w:noWrap w:val="false"/>
          </w:tcPr>
          <w:p>
            <w:pPr>
              <w:pStyle w:val="1005"/>
              <w:ind w:left="57" w:right="57"/>
            </w:pPr>
            <w:r>
              <w:t xml:space="preserve">Вид средств для исполнения ДО.</w:t>
            </w:r>
            <w:r/>
          </w:p>
          <w:p>
            <w:pPr>
              <w:pStyle w:val="1005"/>
              <w:ind w:left="57" w:right="57"/>
            </w:pPr>
            <w:r>
              <w:t xml:space="preserve">По умолчанию указывается значение «10». Может быть изменено вручную или выбором из справочника «Источники финансирования». </w:t>
            </w:r>
            <w:r/>
          </w:p>
          <w:p>
            <w:pPr>
              <w:pStyle w:val="1005"/>
              <w:ind w:left="57" w:right="57"/>
            </w:pPr>
            <w:r>
              <w:t xml:space="preserve">Список значений ограничен следующими кодами: 10, 11.</w:t>
            </w:r>
            <w:r/>
          </w:p>
          <w:p>
            <w:pPr>
              <w:pStyle w:val="1005"/>
              <w:ind w:left="57" w:right="57"/>
            </w:pPr>
            <w:r>
              <w:t xml:space="preserve">Может заполняться из родительского документа.</w:t>
            </w:r>
            <w:r/>
          </w:p>
        </w:tc>
      </w:tr>
      <w:tr>
        <w:trPr/>
        <w:tc>
          <w:tcPr>
            <w:shd w:val="clear" w:fill="auto" w:color="auto"/>
            <w:tcW w:w="1137" w:type="pct"/>
            <w:textDirection w:val="lrTb"/>
            <w:noWrap w:val="false"/>
          </w:tcPr>
          <w:p>
            <w:pPr>
              <w:pStyle w:val="1005"/>
              <w:ind w:left="57" w:right="57"/>
            </w:pPr>
            <w:r>
              <w:t xml:space="preserve">Вид средств (наименование)</w:t>
            </w:r>
            <w:r/>
          </w:p>
        </w:tc>
        <w:tc>
          <w:tcPr>
            <w:shd w:val="clear" w:fill="auto" w:color="auto"/>
            <w:tcW w:w="3863" w:type="pct"/>
            <w:textDirection w:val="lrTb"/>
            <w:noWrap w:val="false"/>
          </w:tcPr>
          <w:p>
            <w:pPr>
              <w:pStyle w:val="1005"/>
              <w:ind w:left="57" w:right="57"/>
            </w:pPr>
            <w:r>
              <w:t xml:space="preserve">Заполняется автоматически в соответствии со справочником «Источники финансирования» при выборе реквизита «Вид средств (код)».</w:t>
            </w:r>
            <w:r/>
          </w:p>
        </w:tc>
      </w:tr>
      <w:tr>
        <w:trPr/>
        <w:tc>
          <w:tcPr>
            <w:shd w:val="clear" w:fill="auto" w:color="auto"/>
            <w:tcW w:w="1137" w:type="pct"/>
            <w:textDirection w:val="lrTb"/>
            <w:noWrap w:val="false"/>
          </w:tcPr>
          <w:p>
            <w:pPr>
              <w:pStyle w:val="1005"/>
              <w:ind w:left="57" w:right="57"/>
            </w:pPr>
            <w:r>
              <w:t xml:space="preserve">КБК</w:t>
            </w:r>
            <w:r/>
          </w:p>
        </w:tc>
        <w:tc>
          <w:tcPr>
            <w:shd w:val="clear" w:fill="auto" w:color="auto"/>
            <w:tcW w:w="3863" w:type="pct"/>
            <w:textDirection w:val="lrTb"/>
            <w:noWrap w:val="false"/>
          </w:tcPr>
          <w:p>
            <w:pPr>
              <w:pStyle w:val="1005"/>
              <w:ind w:left="57" w:right="57"/>
            </w:pPr>
            <w:r>
              <w:t xml:space="preserve">Указывается код бюджетной классификации в соответствии с действующими Указаниями по БК.</w:t>
            </w:r>
            <w:r/>
          </w:p>
          <w:p>
            <w:pPr>
              <w:pStyle w:val="1005"/>
              <w:ind w:left="57" w:right="57"/>
            </w:pPr>
            <w:r>
              <w:t xml:space="preserve">Значение вводится</w:t>
            </w:r>
            <w:r>
              <w:t xml:space="preserve"> </w:t>
            </w:r>
            <w:r>
              <w:t xml:space="preserve">вручную или выбирается из справочника КБК.</w:t>
            </w:r>
            <w:r/>
          </w:p>
          <w:p>
            <w:pPr>
              <w:pStyle w:val="1005"/>
              <w:ind w:left="57" w:right="57"/>
            </w:pPr>
            <w:r>
              <w:t xml:space="preserve">Пользователю доступны КБК, у которых значение типа – «10», «11», «12».</w:t>
            </w:r>
            <w:r/>
          </w:p>
        </w:tc>
      </w:tr>
      <w:tr>
        <w:trPr/>
        <w:tc>
          <w:tcPr>
            <w:shd w:val="clear" w:fill="auto" w:color="auto"/>
            <w:tcW w:w="1137" w:type="pct"/>
            <w:textDirection w:val="lrTb"/>
            <w:noWrap w:val="false"/>
          </w:tcPr>
          <w:p>
            <w:pPr>
              <w:pStyle w:val="1005"/>
              <w:ind w:left="57" w:right="57"/>
            </w:pPr>
            <w:r>
              <w:t xml:space="preserve">Аналит. </w:t>
            </w:r>
            <w:r>
              <w:t xml:space="preserve">К</w:t>
            </w:r>
            <w:r>
              <w:t xml:space="preserve">од</w:t>
            </w:r>
            <w:r/>
          </w:p>
        </w:tc>
        <w:tc>
          <w:tcPr>
            <w:shd w:val="clear" w:fill="auto" w:color="auto"/>
            <w:tcW w:w="3863" w:type="pct"/>
            <w:textDirection w:val="lrTb"/>
            <w:noWrap w:val="false"/>
          </w:tcPr>
          <w:p>
            <w:pPr>
              <w:pStyle w:val="1005"/>
              <w:ind w:left="57" w:right="57"/>
            </w:pPr>
            <w:r>
              <w:t xml:space="preserve">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r/>
          </w:p>
          <w:p>
            <w:pPr>
              <w:pStyle w:val="1005"/>
              <w:ind w:left="57" w:right="57"/>
            </w:pPr>
            <w:r>
              <w:t xml:space="preserve">Значение вводится вручную или выбирается из справочника кодов целей субсидий субвенций. </w:t>
            </w:r>
            <w:r/>
          </w:p>
          <w:p>
            <w:pPr>
              <w:pStyle w:val="1005"/>
              <w:ind w:left="57" w:right="57"/>
            </w:pPr>
            <w:r>
              <w:t xml:space="preserve">Может заполняться из родительского документа.</w:t>
            </w:r>
            <w:r/>
          </w:p>
        </w:tc>
      </w:tr>
      <w:tr>
        <w:trPr/>
        <w:tc>
          <w:tcPr>
            <w:shd w:val="clear" w:fill="auto" w:color="auto"/>
            <w:tcW w:w="1137" w:type="pct"/>
            <w:textDirection w:val="lrTb"/>
            <w:noWrap w:val="false"/>
          </w:tcPr>
          <w:p>
            <w:pPr>
              <w:pStyle w:val="1005"/>
              <w:ind w:left="57" w:right="57"/>
            </w:pPr>
            <w:r>
              <w:t xml:space="preserve">Срок исполнения</w:t>
            </w:r>
            <w:r/>
          </w:p>
        </w:tc>
        <w:tc>
          <w:tcPr>
            <w:shd w:val="clear" w:fill="auto" w:color="auto"/>
            <w:tcW w:w="3863" w:type="pct"/>
            <w:textDirection w:val="lrTb"/>
            <w:noWrap w:val="false"/>
          </w:tcPr>
          <w:p>
            <w:pPr>
              <w:pStyle w:val="1005"/>
              <w:ind w:left="57" w:right="57"/>
            </w:pPr>
            <w:r>
              <w:t xml:space="preserve">Указывается планируемый срок исполнения денежного обязательства</w:t>
            </w:r>
            <w:r>
              <w:t xml:space="preserve">.</w:t>
            </w:r>
            <w:r/>
          </w:p>
        </w:tc>
      </w:tr>
      <w:tr>
        <w:trPr/>
        <w:tc>
          <w:tcPr>
            <w:shd w:val="clear" w:fill="auto" w:color="auto"/>
            <w:tcW w:w="1137" w:type="pct"/>
            <w:textDirection w:val="lrTb"/>
            <w:noWrap w:val="false"/>
          </w:tcPr>
          <w:p>
            <w:pPr>
              <w:pStyle w:val="1005"/>
              <w:ind w:left="57" w:right="57"/>
            </w:pPr>
            <w:r>
              <w:t xml:space="preserve">Сумма ДО в валюте </w:t>
            </w:r>
            <w:r/>
          </w:p>
        </w:tc>
        <w:tc>
          <w:tcPr>
            <w:shd w:val="clear" w:fill="auto" w:color="auto"/>
            <w:tcW w:w="3863" w:type="pct"/>
            <w:textDirection w:val="lrTb"/>
            <w:noWrap w:val="false"/>
          </w:tcPr>
          <w:p>
            <w:pPr>
              <w:pStyle w:val="1005"/>
              <w:ind w:left="57" w:right="57"/>
            </w:pPr>
            <w:r>
              <w:t xml:space="preserve">Сумма ДО в валюте Российской Федерации (рублях) по документу-основанию.</w:t>
            </w:r>
            <w:r/>
          </w:p>
        </w:tc>
      </w:tr>
      <w:tr>
        <w:trPr/>
        <w:tc>
          <w:tcPr>
            <w:shd w:val="clear" w:fill="auto" w:color="auto"/>
            <w:tcW w:w="1137" w:type="pct"/>
            <w:textDirection w:val="lrTb"/>
            <w:noWrap w:val="false"/>
          </w:tcPr>
          <w:p>
            <w:pPr>
              <w:pStyle w:val="1005"/>
              <w:ind w:left="57" w:right="57"/>
            </w:pPr>
            <w:r>
              <w:t xml:space="preserve">Сумма ДО в руб.</w:t>
            </w:r>
            <w:r/>
          </w:p>
        </w:tc>
        <w:tc>
          <w:tcPr>
            <w:shd w:val="clear" w:fill="auto" w:color="auto"/>
            <w:tcW w:w="3863" w:type="pct"/>
            <w:textDirection w:val="lrTb"/>
            <w:noWrap w:val="false"/>
          </w:tcPr>
          <w:p>
            <w:pPr>
              <w:pStyle w:val="1005"/>
              <w:ind w:left="57" w:right="57"/>
            </w:pPr>
            <w:r>
              <w:t xml:space="preserve">Сумма по документу-основанию в валюте Российской Федерации (рублях).</w:t>
            </w:r>
            <w:r/>
          </w:p>
        </w:tc>
      </w:tr>
      <w:tr>
        <w:trPr/>
        <w:tc>
          <w:tcPr>
            <w:shd w:val="clear" w:fill="auto" w:color="auto"/>
            <w:tcW w:w="1137" w:type="pct"/>
            <w:textDirection w:val="lrTb"/>
            <w:noWrap w:val="false"/>
          </w:tcPr>
          <w:p>
            <w:pPr>
              <w:pStyle w:val="1005"/>
              <w:ind w:left="57" w:right="57"/>
            </w:pPr>
            <w:r>
              <w:t xml:space="preserve">Код валюты</w:t>
            </w:r>
            <w:r/>
          </w:p>
        </w:tc>
        <w:tc>
          <w:tcPr>
            <w:shd w:val="clear" w:fill="auto" w:color="auto"/>
            <w:tcW w:w="3863" w:type="pct"/>
            <w:textDirection w:val="lrTb"/>
            <w:noWrap w:val="false"/>
          </w:tcPr>
          <w:p>
            <w:pPr>
              <w:pStyle w:val="1005"/>
              <w:ind w:left="57" w:right="57"/>
            </w:pPr>
            <w:r>
              <w:t xml:space="preserve">Цифровой код валюты по ОКВ.</w:t>
            </w:r>
            <w:r/>
          </w:p>
          <w:p>
            <w:pPr>
              <w:pStyle w:val="1005"/>
              <w:ind w:left="57" w:right="57"/>
            </w:pPr>
            <w:r>
              <w:t xml:space="preserve">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r/>
          </w:p>
          <w:p>
            <w:pPr>
              <w:pStyle w:val="1005"/>
              <w:ind w:left="57" w:right="57"/>
            </w:pPr>
            <w:r>
              <w:t xml:space="preserve">Может заполняться из родительского документа</w:t>
            </w:r>
            <w:r/>
          </w:p>
        </w:tc>
      </w:tr>
      <w:tr>
        <w:trPr/>
        <w:tc>
          <w:tcPr>
            <w:shd w:val="clear" w:fill="auto" w:color="auto"/>
            <w:tcW w:w="1137" w:type="pct"/>
            <w:textDirection w:val="lrTb"/>
            <w:noWrap w:val="false"/>
          </w:tcPr>
          <w:p>
            <w:pPr>
              <w:pStyle w:val="1005"/>
              <w:ind w:left="57" w:right="57"/>
            </w:pPr>
            <w:r>
              <w:t xml:space="preserve">В том числе подтверждено сумм перечисленных платежей</w:t>
            </w:r>
            <w:r/>
          </w:p>
        </w:tc>
        <w:tc>
          <w:tcPr>
            <w:shd w:val="clear" w:fill="auto" w:color="auto"/>
            <w:tcW w:w="3863" w:type="pct"/>
            <w:textDirection w:val="lrTb"/>
            <w:noWrap w:val="false"/>
          </w:tcPr>
          <w:p>
            <w:pPr>
              <w:pStyle w:val="1005"/>
              <w:ind w:left="57" w:right="57"/>
            </w:pPr>
            <w:r>
              <w:t xml:space="preserve">Общая сумма перечисленного аванса по документу-основанию в валюте Российской Федерации (рублях).</w:t>
            </w:r>
            <w:r/>
          </w:p>
          <w:p>
            <w:pPr>
              <w:pStyle w:val="1005"/>
              <w:ind w:left="57" w:right="57"/>
            </w:pPr>
            <w:r>
              <w:t xml:space="preserve">При отсутствии значения указывается «0.00».</w:t>
            </w:r>
            <w:r/>
          </w:p>
        </w:tc>
      </w:tr>
    </w:tbl>
    <w:p>
      <w:pPr>
        <w:pStyle w:val="994"/>
      </w:pPr>
      <w:r>
        <w:t xml:space="preserve">ЭФ документа «Сведения о денежном обязательстве», закладки «Подписи (3)» представлена на рисунке</w:t>
      </w:r>
      <w:r>
        <w:t xml:space="preserve"> </w:t>
      </w:r>
      <w:r>
        <w:fldChar w:fldCharType="begin"/>
      </w:r>
      <w:r>
        <w:instrText xml:space="preserve"> REF _Ref472067386 \h </w:instrText>
      </w:r>
      <w:r>
        <w:fldChar w:fldCharType="separate"/>
      </w:r>
      <w:r>
        <w:t xml:space="preserve">115</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2103120"/>
                <wp:effectExtent l="0" t="0" r="0" b="0"/>
                <wp:docPr id="19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81"/>
                        <a:stretch/>
                      </pic:blipFill>
                      <pic:spPr bwMode="auto">
                        <a:xfrm>
                          <a:off x="0" y="0"/>
                          <a:ext cx="6134100" cy="21031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 o:spid="_x0000_s190" type="#_x0000_t75" style="mso-wrap-distance-left:0.0pt;mso-wrap-distance-top:0.0pt;mso-wrap-distance-right:0.0pt;mso-wrap-distance-bottom:0.0pt;width:483.0pt;height:165.6pt;" stroked="f">
                <v:path textboxrect="0,0,0,0"/>
                <v:imagedata r:id="rId181" o:title=""/>
              </v:shape>
            </w:pict>
          </mc:Fallback>
        </mc:AlternateContent>
      </w:r>
      <w:r/>
    </w:p>
    <w:p>
      <w:pPr>
        <w:pStyle w:val="983"/>
      </w:pPr>
      <w:r>
        <w:fldChar w:fldCharType="begin"/>
      </w:r>
      <w:r>
        <w:instrText xml:space="preserve"> SEQ Рисунок \* ARABIC </w:instrText>
      </w:r>
      <w:r>
        <w:fldChar w:fldCharType="separate"/>
      </w:r>
      <w:bookmarkStart w:id="925" w:name="_Ref472067386"/>
      <w:r/>
      <w:bookmarkStart w:id="926" w:name="_Toc88819500"/>
      <w:r>
        <w:t xml:space="preserve">115</w:t>
      </w:r>
      <w:bookmarkEnd w:id="925"/>
      <w:r>
        <w:fldChar w:fldCharType="end"/>
      </w:r>
      <w:r>
        <w:t xml:space="preserve">. ЭФ документа «Сведения о денежном обязательстве», закладки «Подписи (3)»</w:t>
      </w:r>
      <w:bookmarkEnd w:id="926"/>
      <w:r/>
      <w:r/>
    </w:p>
    <w:p>
      <w:pPr>
        <w:pStyle w:val="994"/>
      </w:pPr>
      <w:r>
        <w:t xml:space="preserve">Перечень полей документа «Сведения о денежном обязательстве», закладки «Подписи (3)» приведен в таблице</w:t>
      </w:r>
      <w:r>
        <w:t xml:space="preserve"> </w:t>
      </w:r>
      <w:r>
        <w:fldChar w:fldCharType="begin"/>
      </w:r>
      <w:r>
        <w:instrText xml:space="preserve"> REF _Ref472067324 \h </w:instrText>
      </w:r>
      <w:r>
        <w:fldChar w:fldCharType="separate"/>
      </w:r>
      <w:r>
        <w:t xml:space="preserve">63</w:t>
      </w:r>
      <w:r>
        <w:fldChar w:fldCharType="end"/>
      </w:r>
      <w:r>
        <w:t xml:space="preserve">.</w:t>
      </w:r>
      <w:r/>
    </w:p>
    <w:p>
      <w:pPr>
        <w:pStyle w:val="993"/>
      </w:pPr>
      <w:r>
        <w:fldChar w:fldCharType="begin"/>
      </w:r>
      <w:r>
        <w:instrText xml:space="preserve"> SEQ Таблица \* ARABIC </w:instrText>
      </w:r>
      <w:r>
        <w:fldChar w:fldCharType="separate"/>
      </w:r>
      <w:bookmarkStart w:id="927" w:name="_Ref472067324"/>
      <w:r/>
      <w:bookmarkStart w:id="928" w:name="_Toc88819249"/>
      <w:r>
        <w:t xml:space="preserve">63</w:t>
      </w:r>
      <w:bookmarkEnd w:id="927"/>
      <w:r>
        <w:fldChar w:fldCharType="end"/>
      </w:r>
      <w:r>
        <w:t xml:space="preserve">. Описание полей документа «Сведения о денежном обязательстве», закладки «Подписи (3)»</w:t>
      </w:r>
      <w:bookmarkEnd w:id="92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2937"/>
        <w:gridCol w:w="6815"/>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506"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494"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«Подписи»</w:t>
            </w:r>
            <w:r/>
          </w:p>
        </w:tc>
      </w:tr>
      <w:tr>
        <w:trPr/>
        <w:tc>
          <w:tcPr>
            <w:shd w:val="clear" w:fill="auto" w:color="auto"/>
            <w:tcW w:w="1506" w:type="pct"/>
            <w:textDirection w:val="lrTb"/>
            <w:noWrap w:val="false"/>
          </w:tcPr>
          <w:p>
            <w:pPr>
              <w:pStyle w:val="1005"/>
              <w:ind w:left="57" w:right="57"/>
            </w:pPr>
            <w:r>
              <w:t xml:space="preserve">Руководитель (уполномоченное им лицо). Должность</w:t>
            </w:r>
            <w:r/>
          </w:p>
        </w:tc>
        <w:tc>
          <w:tcPr>
            <w:shd w:val="clear" w:fill="auto" w:color="auto"/>
            <w:tcW w:w="3494" w:type="pct"/>
            <w:textDirection w:val="lrTb"/>
            <w:noWrap w:val="false"/>
          </w:tcPr>
          <w:p>
            <w:pPr>
              <w:pStyle w:val="1005"/>
              <w:ind w:left="57" w:right="57"/>
            </w:pPr>
            <w:r>
              <w:t xml:space="preserve">Должность руководителя (уполномоченного им лица) клиента или ТОФК сформировавшего данный документ.</w:t>
            </w:r>
            <w:r/>
          </w:p>
        </w:tc>
      </w:tr>
      <w:tr>
        <w:trPr/>
        <w:tc>
          <w:tcPr>
            <w:shd w:val="clear" w:fill="auto" w:color="auto"/>
            <w:tcW w:w="1506" w:type="pct"/>
            <w:textDirection w:val="lrTb"/>
            <w:noWrap w:val="false"/>
          </w:tcPr>
          <w:p>
            <w:pPr>
              <w:pStyle w:val="1005"/>
              <w:ind w:left="57" w:right="57"/>
            </w:pPr>
            <w:r>
              <w:t xml:space="preserve">Руководитель (уполномоченное им лицо). Расшифровка подписи</w:t>
            </w:r>
            <w:r/>
          </w:p>
        </w:tc>
        <w:tc>
          <w:tcPr>
            <w:shd w:val="clear" w:fill="auto" w:color="auto"/>
            <w:tcW w:w="3494" w:type="pct"/>
            <w:textDirection w:val="lrTb"/>
            <w:noWrap w:val="false"/>
          </w:tcPr>
          <w:p>
            <w:pPr>
              <w:pStyle w:val="1005"/>
              <w:ind w:left="57" w:right="57"/>
            </w:pPr>
            <w:r>
              <w:t xml:space="preserve">Расшифровка подписи руководителя (уполномоченного им лица) клиента или ТОФК сформировавшего данный документ.</w:t>
            </w:r>
            <w:r/>
          </w:p>
        </w:tc>
      </w:tr>
      <w:tr>
        <w:trPr/>
        <w:tc>
          <w:tcPr>
            <w:shd w:val="clear" w:fill="auto" w:color="auto"/>
            <w:tcW w:w="1506" w:type="pct"/>
            <w:textDirection w:val="lrTb"/>
            <w:noWrap w:val="false"/>
          </w:tcPr>
          <w:p>
            <w:pPr>
              <w:pStyle w:val="1005"/>
              <w:ind w:left="57" w:right="57"/>
            </w:pPr>
            <w:r>
              <w:t xml:space="preserve">Гл. бухгалтер (уполномоченное лицо). Должность</w:t>
            </w:r>
            <w:r/>
          </w:p>
        </w:tc>
        <w:tc>
          <w:tcPr>
            <w:shd w:val="clear" w:fill="auto" w:color="auto"/>
            <w:tcW w:w="3494" w:type="pct"/>
            <w:textDirection w:val="lrTb"/>
            <w:noWrap w:val="false"/>
          </w:tcPr>
          <w:p>
            <w:pPr>
              <w:pStyle w:val="1005"/>
              <w:ind w:left="57" w:right="57"/>
            </w:pPr>
            <w:r>
              <w:t xml:space="preserve">Должность главного бухгалтера (уполномоченного им лица) клиента или ТОФК сформировавшего данный документ.</w:t>
            </w:r>
            <w:r/>
          </w:p>
        </w:tc>
      </w:tr>
      <w:tr>
        <w:trPr/>
        <w:tc>
          <w:tcPr>
            <w:shd w:val="clear" w:fill="auto" w:color="auto"/>
            <w:tcW w:w="1506" w:type="pct"/>
            <w:textDirection w:val="lrTb"/>
            <w:noWrap w:val="false"/>
          </w:tcPr>
          <w:p>
            <w:pPr>
              <w:pStyle w:val="1005"/>
              <w:ind w:left="57" w:right="57"/>
            </w:pPr>
            <w:r>
              <w:t xml:space="preserve">Гл. бухгалтер (уполномоченное лицо). Расшифровка подписи</w:t>
            </w:r>
            <w:r/>
          </w:p>
        </w:tc>
        <w:tc>
          <w:tcPr>
            <w:shd w:val="clear" w:fill="auto" w:color="auto"/>
            <w:tcW w:w="3494" w:type="pct"/>
            <w:textDirection w:val="lrTb"/>
            <w:noWrap w:val="false"/>
          </w:tcPr>
          <w:p>
            <w:pPr>
              <w:pStyle w:val="1005"/>
              <w:ind w:left="57" w:right="57"/>
            </w:pPr>
            <w:r>
              <w:t xml:space="preserve">Расшифровка подписи главного бухгалтера (уполномоченного им лица) клиента или ТОФК сформировавшего данный документ.</w:t>
            </w:r>
            <w:r/>
          </w:p>
        </w:tc>
      </w:tr>
      <w:tr>
        <w:trPr/>
        <w:tc>
          <w:tcPr>
            <w:shd w:val="clear" w:fill="auto" w:color="auto"/>
            <w:tcW w:w="1506" w:type="pct"/>
            <w:textDirection w:val="lrTb"/>
            <w:noWrap w:val="false"/>
          </w:tcPr>
          <w:p>
            <w:pPr>
              <w:pStyle w:val="1005"/>
              <w:ind w:left="57" w:right="57"/>
            </w:pPr>
            <w:r>
              <w:t xml:space="preserve">ФИО ответственного за конфиденциальность данных</w:t>
            </w:r>
            <w:r/>
          </w:p>
        </w:tc>
        <w:tc>
          <w:tcPr>
            <w:shd w:val="clear" w:fill="auto" w:color="auto"/>
            <w:tcW w:w="3494" w:type="pct"/>
            <w:textDirection w:val="lrTb"/>
            <w:noWrap w:val="false"/>
          </w:tcPr>
          <w:p>
            <w:pPr>
              <w:pStyle w:val="1005"/>
              <w:ind w:left="57" w:right="57"/>
            </w:pPr>
            <w:r>
              <w:t xml:space="preserve">Заполняется автоматически при подписании. Поле заполняется при заполненном поле «Уровень конфиденциальности» значением «1» или «0».</w:t>
            </w:r>
            <w:r/>
          </w:p>
        </w:tc>
      </w:tr>
      <w:tr>
        <w:trPr/>
        <w:tc>
          <w:tcPr>
            <w:shd w:val="clear" w:fill="auto" w:color="auto"/>
            <w:tcW w:w="1506" w:type="pct"/>
            <w:textDirection w:val="lrTb"/>
            <w:noWrap w:val="false"/>
          </w:tcPr>
          <w:p>
            <w:pPr>
              <w:pStyle w:val="1005"/>
              <w:ind w:left="57" w:right="57"/>
            </w:pPr>
            <w:r>
              <w:t xml:space="preserve">Дата подписания</w:t>
            </w:r>
            <w:r/>
          </w:p>
        </w:tc>
        <w:tc>
          <w:tcPr>
            <w:shd w:val="clear" w:fill="auto" w:color="auto"/>
            <w:tcW w:w="3494" w:type="pct"/>
            <w:textDirection w:val="lrTb"/>
            <w:noWrap w:val="false"/>
          </w:tcPr>
          <w:p>
            <w:pPr>
              <w:pStyle w:val="1005"/>
              <w:ind w:left="57" w:right="57"/>
            </w:pPr>
            <w:r>
              <w:t xml:space="preserve">Дата подписания документа руководителем (уполномоченным им лицом).</w:t>
            </w:r>
            <w:r/>
          </w:p>
        </w:tc>
      </w:tr>
      <w:tr>
        <w:trPr/>
        <w:tc>
          <w:tcPr>
            <w:gridSpan w:val="2"/>
            <w:shd w:val="clear" w:fill="auto" w:color="auto"/>
            <w:tcW w:w="5000" w:type="pct"/>
            <w:textDirection w:val="lrTb"/>
            <w:noWrap w:val="false"/>
          </w:tcPr>
          <w:p>
            <w:pPr>
              <w:pStyle w:val="1005"/>
              <w:ind w:left="57" w:right="57"/>
            </w:pPr>
            <w:r>
              <w:t xml:space="preserve">Группа полей «Отметка органа Федерального казначейства о регистрации Сведений о денежном обязательстве»</w:t>
            </w:r>
            <w:r/>
          </w:p>
        </w:tc>
      </w:tr>
      <w:tr>
        <w:trPr/>
        <w:tc>
          <w:tcPr>
            <w:shd w:val="clear" w:fill="auto" w:color="auto"/>
            <w:tcW w:w="1506" w:type="pct"/>
            <w:textDirection w:val="lrTb"/>
            <w:noWrap w:val="false"/>
          </w:tcPr>
          <w:p>
            <w:pPr>
              <w:pStyle w:val="1005"/>
              <w:ind w:left="57" w:right="57"/>
            </w:pPr>
            <w:r>
              <w:t xml:space="preserve">Номер сведений </w:t>
            </w:r>
            <w:r/>
          </w:p>
        </w:tc>
        <w:tc>
          <w:tcPr>
            <w:shd w:val="clear" w:fill="auto" w:color="auto"/>
            <w:tcW w:w="3494" w:type="pct"/>
            <w:textDirection w:val="lrTb"/>
            <w:noWrap w:val="false"/>
          </w:tcPr>
          <w:p>
            <w:pPr>
              <w:pStyle w:val="1005"/>
              <w:ind w:left="57" w:right="57"/>
            </w:pPr>
            <w:r>
              <w:t xml:space="preserve">Номер ДО. Заполняется ОрФК.</w:t>
            </w:r>
            <w:r/>
          </w:p>
        </w:tc>
      </w:tr>
      <w:tr>
        <w:trPr/>
        <w:tc>
          <w:tcPr>
            <w:shd w:val="clear" w:fill="auto" w:color="auto"/>
            <w:tcW w:w="1506" w:type="pct"/>
            <w:textDirection w:val="lrTb"/>
            <w:noWrap w:val="false"/>
          </w:tcPr>
          <w:p>
            <w:pPr>
              <w:pStyle w:val="1005"/>
              <w:ind w:left="57" w:right="57"/>
            </w:pPr>
            <w:r>
              <w:t xml:space="preserve">Дата </w:t>
            </w:r>
            <w:r/>
          </w:p>
        </w:tc>
        <w:tc>
          <w:tcPr>
            <w:shd w:val="clear" w:fill="auto" w:color="auto"/>
            <w:tcW w:w="3494" w:type="pct"/>
            <w:textDirection w:val="lrTb"/>
            <w:noWrap w:val="false"/>
          </w:tcPr>
          <w:p>
            <w:pPr>
              <w:pStyle w:val="1005"/>
              <w:ind w:left="57" w:right="57"/>
            </w:pPr>
            <w:r>
              <w:t xml:space="preserve">Дата подписания ответственным исполнителем ФК. Заполняется в ОрФК.</w:t>
            </w:r>
            <w:r/>
          </w:p>
        </w:tc>
      </w:tr>
      <w:tr>
        <w:trPr/>
        <w:tc>
          <w:tcPr>
            <w:shd w:val="clear" w:fill="auto" w:color="auto"/>
            <w:tcW w:w="1506" w:type="pct"/>
            <w:textDirection w:val="lrTb"/>
            <w:noWrap w:val="false"/>
          </w:tcPr>
          <w:p>
            <w:pPr>
              <w:pStyle w:val="1005"/>
              <w:ind w:left="57" w:right="57"/>
            </w:pPr>
            <w:r>
              <w:t xml:space="preserve">Ответственный исполнитель. Должность</w:t>
            </w:r>
            <w:r/>
          </w:p>
        </w:tc>
        <w:tc>
          <w:tcPr>
            <w:shd w:val="clear" w:fill="auto" w:color="auto"/>
            <w:tcW w:w="3494" w:type="pct"/>
            <w:textDirection w:val="lrTb"/>
            <w:noWrap w:val="false"/>
          </w:tcPr>
          <w:p>
            <w:pPr>
              <w:pStyle w:val="1005"/>
              <w:ind w:left="57" w:right="57"/>
            </w:pPr>
            <w:r>
              <w:t xml:space="preserve">Указывается должность исполнителя. Заполняется ОрФК.</w:t>
            </w:r>
            <w:r/>
          </w:p>
        </w:tc>
      </w:tr>
      <w:tr>
        <w:trPr/>
        <w:tc>
          <w:tcPr>
            <w:shd w:val="clear" w:fill="auto" w:color="auto"/>
            <w:tcW w:w="1506" w:type="pct"/>
            <w:textDirection w:val="lrTb"/>
            <w:noWrap w:val="false"/>
          </w:tcPr>
          <w:p>
            <w:pPr>
              <w:pStyle w:val="1005"/>
              <w:ind w:left="57" w:right="57"/>
            </w:pPr>
            <w:r>
              <w:t xml:space="preserve">Ответственный исполнитель. Расшифровка подписи</w:t>
            </w:r>
            <w:r/>
          </w:p>
        </w:tc>
        <w:tc>
          <w:tcPr>
            <w:shd w:val="clear" w:fill="auto" w:color="auto"/>
            <w:tcW w:w="3494" w:type="pct"/>
            <w:textDirection w:val="lrTb"/>
            <w:noWrap w:val="false"/>
          </w:tcPr>
          <w:p>
            <w:pPr>
              <w:pStyle w:val="1005"/>
              <w:ind w:left="57" w:right="57"/>
            </w:pPr>
            <w:r>
              <w:t xml:space="preserve">Указывается ФИО ответственного исполнителя.</w:t>
            </w:r>
            <w:r/>
          </w:p>
        </w:tc>
      </w:tr>
      <w:tr>
        <w:trPr/>
        <w:tc>
          <w:tcPr>
            <w:shd w:val="clear" w:fill="auto" w:color="auto"/>
            <w:tcW w:w="1506" w:type="pct"/>
            <w:textDirection w:val="lrTb"/>
            <w:noWrap w:val="false"/>
          </w:tcPr>
          <w:p>
            <w:pPr>
              <w:pStyle w:val="1005"/>
              <w:ind w:left="57" w:right="57"/>
            </w:pPr>
            <w:r>
              <w:t xml:space="preserve">Телефон</w:t>
            </w:r>
            <w:r/>
          </w:p>
        </w:tc>
        <w:tc>
          <w:tcPr>
            <w:shd w:val="clear" w:fill="auto" w:color="auto"/>
            <w:tcW w:w="3494" w:type="pct"/>
            <w:textDirection w:val="lrTb"/>
            <w:noWrap w:val="false"/>
          </w:tcPr>
          <w:p>
            <w:pPr>
              <w:pStyle w:val="1005"/>
              <w:ind w:left="57" w:right="57"/>
            </w:pPr>
            <w:r>
              <w:t xml:space="preserve">Телефон ответственного исполнителя. Заполняется в ОрФК.</w:t>
            </w:r>
            <w:r/>
          </w:p>
        </w:tc>
      </w:tr>
    </w:tbl>
    <w:p>
      <w:pPr>
        <w:pStyle w:val="971"/>
      </w:pPr>
      <w:r/>
      <w:bookmarkStart w:id="929" w:name="_Toc88819117"/>
      <w:r>
        <w:t xml:space="preserve">Группа документов «Кассовое планирование»</w:t>
      </w:r>
      <w:bookmarkEnd w:id="801"/>
      <w:r/>
      <w:bookmarkEnd w:id="929"/>
      <w:r/>
      <w:r/>
    </w:p>
    <w:p>
      <w:pPr>
        <w:pStyle w:val="972"/>
      </w:pPr>
      <w:r/>
      <w:bookmarkStart w:id="930" w:name="_Ref414952720"/>
      <w:r/>
      <w:bookmarkStart w:id="931" w:name="_Toc422496714"/>
      <w:r/>
      <w:bookmarkStart w:id="932" w:name="_Toc88819118"/>
      <w:r>
        <w:t xml:space="preserve">Прогноз движения средств на счете бюджета</w:t>
      </w:r>
      <w:bookmarkEnd w:id="930"/>
      <w:r/>
      <w:bookmarkEnd w:id="931"/>
      <w:r/>
      <w:bookmarkEnd w:id="932"/>
      <w:r/>
      <w:r/>
    </w:p>
    <w:p>
      <w:pPr>
        <w:pStyle w:val="994"/>
      </w:pPr>
      <w:r>
        <w:t xml:space="preserve">Документ «Прогноз движения средств на счете бюджета (ф. 05010Y3)» создается в </w:t>
      </w:r>
      <w:r>
        <w:t xml:space="preserve">ППО СУФД АСФК</w:t>
      </w:r>
      <w:r>
        <w:t xml:space="preserve"> на АРМ ФО, в котором разделы с детализацией по месяцам заполняются вручную (итоговые поля заполняются автоматически), и далее направляется в ППО АСФК (Oracle Hyperion </w:t>
      </w:r>
      <w:r>
        <w:rPr>
          <w:lang w:val="en-US"/>
        </w:rPr>
        <w:t xml:space="preserve">Planning</w:t>
      </w:r>
      <w:r>
        <w:t xml:space="preserve">). В </w:t>
      </w:r>
      <w:r>
        <w:t xml:space="preserve">ППО OEBS АСФК</w:t>
      </w:r>
      <w:r>
        <w:t xml:space="preserve"> документ не поступает.</w:t>
      </w:r>
      <w:r/>
    </w:p>
    <w:p>
      <w:pPr>
        <w:pStyle w:val="994"/>
      </w:pPr>
      <w:r>
        <w:t xml:space="preserve">Для работы с документами «Прогноз движения средств на счете бюджета (ф. 05010Y3)» следует перейти в пункт меню «Документы – Кассовое планирование – Прогноз движения средств на счете бюджета (ф. 05010Y3)». Откроется ЭФ списка документов, пре</w:t>
      </w:r>
      <w:r>
        <w:t xml:space="preserve">д</w:t>
      </w:r>
      <w:r>
        <w:t xml:space="preserve">ставленная на рисунке </w:t>
      </w:r>
      <w:r>
        <w:fldChar w:fldCharType="begin"/>
      </w:r>
      <w:r>
        <w:instrText xml:space="preserve"> REF _Ref414369588 \h </w:instrText>
      </w:r>
      <w:r>
        <w:fldChar w:fldCharType="separate"/>
      </w:r>
      <w:r>
        <w:t xml:space="preserve">116</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3101340"/>
                <wp:effectExtent l="0" t="0" r="0" b="0"/>
                <wp:docPr id="19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82"/>
                        <a:stretch/>
                      </pic:blipFill>
                      <pic:spPr bwMode="auto">
                        <a:xfrm>
                          <a:off x="0" y="0"/>
                          <a:ext cx="6134100" cy="310133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 o:spid="_x0000_s191" type="#_x0000_t75" style="mso-wrap-distance-left:0.0pt;mso-wrap-distance-top:0.0pt;mso-wrap-distance-right:0.0pt;mso-wrap-distance-bottom:0.0pt;width:483.0pt;height:244.2pt;" stroked="f">
                <v:path textboxrect="0,0,0,0"/>
                <v:imagedata r:id="rId182" o:title=""/>
              </v:shape>
            </w:pict>
          </mc:Fallback>
        </mc:AlternateContent>
      </w:r>
      <w:r/>
    </w:p>
    <w:p>
      <w:pPr>
        <w:pStyle w:val="983"/>
      </w:pPr>
      <w:r>
        <w:fldChar w:fldCharType="begin"/>
      </w:r>
      <w:r>
        <w:instrText xml:space="preserve"> SEQ Рисунок \* ARABIC </w:instrText>
      </w:r>
      <w:r>
        <w:fldChar w:fldCharType="separate"/>
      </w:r>
      <w:bookmarkStart w:id="933" w:name="_Ref414369588"/>
      <w:r/>
      <w:bookmarkStart w:id="934" w:name="_Toc88819501"/>
      <w:r>
        <w:t xml:space="preserve">116</w:t>
      </w:r>
      <w:bookmarkEnd w:id="933"/>
      <w:r>
        <w:fldChar w:fldCharType="end"/>
      </w:r>
      <w:r>
        <w:t xml:space="preserve">. ЭФ списка документов «Прогноз движения средств на счете бюджета (ф. 05010Y3)»</w:t>
      </w:r>
      <w:bookmarkEnd w:id="934"/>
      <w:r/>
      <w:r/>
    </w:p>
    <w:p>
      <w:pPr>
        <w:pStyle w:val="973"/>
      </w:pPr>
      <w:r>
        <w:t xml:space="preserve">Доступные операции</w:t>
      </w:r>
      <w:r/>
    </w:p>
    <w:p>
      <w:pPr>
        <w:pStyle w:val="994"/>
      </w:pPr>
      <w:r>
        <w:t xml:space="preserve">На АРМ ФО доступны следующие операции над документом:</w:t>
      </w:r>
      <w:r/>
    </w:p>
    <w:p>
      <w:pPr>
        <w:pStyle w:val="985"/>
      </w:pPr>
      <w:r>
        <w:t xml:space="preserve">ручной ввод;</w:t>
      </w:r>
      <w:r/>
    </w:p>
    <w:p>
      <w:pPr>
        <w:pStyle w:val="985"/>
      </w:pPr>
      <w:r>
        <w:t xml:space="preserve">просмотр и редактирование;</w:t>
      </w:r>
      <w:r/>
    </w:p>
    <w:p>
      <w:pPr>
        <w:pStyle w:val="985"/>
      </w:pPr>
      <w:r>
        <w:t xml:space="preserve">копирование и удаление;</w:t>
      </w:r>
      <w:r/>
    </w:p>
    <w:p>
      <w:pPr>
        <w:pStyle w:val="985"/>
      </w:pPr>
      <w:r>
        <w:t xml:space="preserve">подписание, проверка и удаление </w:t>
      </w:r>
      <w:r>
        <w:t xml:space="preserve">ЭП</w:t>
      </w:r>
      <w:r>
        <w:t xml:space="preserve">;</w:t>
      </w:r>
      <w:r/>
    </w:p>
    <w:p>
      <w:pPr>
        <w:pStyle w:val="985"/>
      </w:pPr>
      <w:r>
        <w:t xml:space="preserve">печать;</w:t>
      </w:r>
      <w:r/>
    </w:p>
    <w:p>
      <w:pPr>
        <w:pStyle w:val="985"/>
      </w:pPr>
      <w:r>
        <w:t xml:space="preserve">отправка</w:t>
      </w:r>
      <w:r>
        <w:t xml:space="preserve"> </w:t>
      </w:r>
      <w:r>
        <w:t xml:space="preserve">с проверкой в </w:t>
      </w:r>
      <w:r>
        <w:t xml:space="preserve">ППО</w:t>
      </w:r>
      <w:r>
        <w:t xml:space="preserve"> </w:t>
      </w:r>
      <w:r>
        <w:t xml:space="preserve">АСФК</w:t>
      </w:r>
      <w:r>
        <w:t xml:space="preserve"> (</w:t>
      </w:r>
      <w:r>
        <w:t xml:space="preserve">Oracle</w:t>
      </w:r>
      <w:r>
        <w:t xml:space="preserve"> </w:t>
      </w:r>
      <w:r>
        <w:t xml:space="preserve">Hyperion</w:t>
      </w:r>
      <w:r>
        <w:t xml:space="preserve"> </w:t>
      </w:r>
      <w:r>
        <w:rPr>
          <w:lang w:val="en-US"/>
        </w:rPr>
        <w:t xml:space="preserve">Planning</w:t>
      </w:r>
      <w:r>
        <w:t xml:space="preserve">).</w:t>
      </w:r>
      <w:r/>
    </w:p>
    <w:p>
      <w:pPr>
        <w:pStyle w:val="973"/>
      </w:pPr>
      <w:r>
        <w:t xml:space="preserve">Экранная форма документа</w:t>
      </w:r>
      <w:r/>
    </w:p>
    <w:p>
      <w:pPr>
        <w:pStyle w:val="994"/>
      </w:pPr>
      <w:r>
        <w:t xml:space="preserve">ЭФ документа «Прогноз движения средств на счете бюджета (ф.</w:t>
      </w:r>
      <w:r>
        <w:t xml:space="preserve"> </w:t>
      </w:r>
      <w:r>
        <w:t xml:space="preserve">05010Y3)» предста</w:t>
      </w:r>
      <w:r>
        <w:t xml:space="preserve">в</w:t>
      </w:r>
      <w:r>
        <w:t xml:space="preserve">лена на рисунках </w:t>
      </w:r>
      <w:r>
        <w:fldChar w:fldCharType="begin"/>
      </w:r>
      <w:r>
        <w:instrText xml:space="preserve"> REF _Ref414369605 \h </w:instrText>
      </w:r>
      <w:r>
        <w:fldChar w:fldCharType="separate"/>
      </w:r>
      <w:r>
        <w:t xml:space="preserve">117</w:t>
      </w:r>
      <w:r>
        <w:fldChar w:fldCharType="end"/>
      </w:r>
      <w:r>
        <w:t xml:space="preserve">, </w:t>
      </w:r>
      <w:r>
        <w:fldChar w:fldCharType="begin"/>
      </w:r>
      <w:r>
        <w:instrText xml:space="preserve"> REF _Ref414369613 \h </w:instrText>
      </w:r>
      <w:r>
        <w:fldChar w:fldCharType="separate"/>
      </w:r>
      <w:r>
        <w:t xml:space="preserve">118</w:t>
      </w:r>
      <w:r>
        <w:fldChar w:fldCharType="end"/>
      </w:r>
      <w:r>
        <w:t xml:space="preserve">. Форма содержит следующие закладки:</w:t>
      </w:r>
      <w:r/>
    </w:p>
    <w:p>
      <w:pPr>
        <w:pStyle w:val="985"/>
      </w:pPr>
      <w:r>
        <w:t xml:space="preserve">«Основная информация»;</w:t>
      </w:r>
      <w:r/>
    </w:p>
    <w:p>
      <w:pPr>
        <w:pStyle w:val="985"/>
      </w:pPr>
      <w:r>
        <w:t xml:space="preserve">«Показатели».</w:t>
      </w:r>
      <w:r/>
    </w:p>
    <w:p>
      <w:pPr>
        <w:pStyle w:val="982"/>
      </w:pPr>
      <w:r>
        <mc:AlternateContent>
          <mc:Choice Requires="wpg">
            <w:drawing>
              <wp:inline xmlns:wp="http://schemas.openxmlformats.org/drawingml/2006/wordprocessingDrawing" distT="0" distB="0" distL="0" distR="0">
                <wp:extent cx="6126480" cy="4206240"/>
                <wp:effectExtent l="0" t="0" r="0" b="0"/>
                <wp:docPr id="19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83"/>
                        <a:stretch/>
                      </pic:blipFill>
                      <pic:spPr bwMode="auto">
                        <a:xfrm>
                          <a:off x="0" y="0"/>
                          <a:ext cx="6126480" cy="42062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 o:spid="_x0000_s192" type="#_x0000_t75" style="mso-wrap-distance-left:0.0pt;mso-wrap-distance-top:0.0pt;mso-wrap-distance-right:0.0pt;mso-wrap-distance-bottom:0.0pt;width:482.4pt;height:331.2pt;" stroked="f">
                <v:path textboxrect="0,0,0,0"/>
                <v:imagedata r:id="rId183" o:title=""/>
              </v:shape>
            </w:pict>
          </mc:Fallback>
        </mc:AlternateContent>
      </w:r>
      <w:r/>
    </w:p>
    <w:p>
      <w:pPr>
        <w:pStyle w:val="983"/>
      </w:pPr>
      <w:r>
        <w:fldChar w:fldCharType="begin"/>
      </w:r>
      <w:r>
        <w:instrText xml:space="preserve"> SEQ Рисунок \* ARABIC </w:instrText>
      </w:r>
      <w:r>
        <w:fldChar w:fldCharType="separate"/>
      </w:r>
      <w:bookmarkStart w:id="935" w:name="_Ref414369605"/>
      <w:r/>
      <w:bookmarkStart w:id="936" w:name="_Toc88819502"/>
      <w:r>
        <w:t xml:space="preserve">117</w:t>
      </w:r>
      <w:bookmarkEnd w:id="935"/>
      <w:r>
        <w:fldChar w:fldCharType="end"/>
      </w:r>
      <w:r>
        <w:t xml:space="preserve">. ЭФ документа «Прогноз движения средств на счете бюджета (ф. 05010Y3)</w:t>
      </w:r>
      <w:r>
        <w:t xml:space="preserve">», закладки «</w:t>
      </w:r>
      <w:r>
        <w:t xml:space="preserve">Основная информация»</w:t>
      </w:r>
      <w:bookmarkEnd w:id="936"/>
      <w:r/>
      <w:r/>
    </w:p>
    <w:p>
      <w:pPr>
        <w:pStyle w:val="994"/>
      </w:pPr>
      <w:r>
        <w:t xml:space="preserve">Перечень полей документа «Прогноз движен</w:t>
      </w:r>
      <w:r>
        <w:t xml:space="preserve">ия средств на счете бюджета (ф.</w:t>
      </w:r>
      <w:r>
        <w:t xml:space="preserve"> </w:t>
      </w:r>
      <w:r>
        <w:t xml:space="preserve">05010Y3)</w:t>
      </w:r>
      <w:r>
        <w:t xml:space="preserve">», закладки «</w:t>
      </w:r>
      <w:r>
        <w:t xml:space="preserve">Основная информация» приведен в таблице</w:t>
      </w:r>
      <w:r>
        <w:t xml:space="preserve"> </w:t>
      </w:r>
      <w:r>
        <w:fldChar w:fldCharType="begin"/>
      </w:r>
      <w:r>
        <w:instrText xml:space="preserve"> REF _Ref414369649 \h </w:instrText>
      </w:r>
      <w:r>
        <w:fldChar w:fldCharType="separate"/>
      </w:r>
      <w:r>
        <w:t xml:space="preserve">64</w:t>
      </w:r>
      <w:r>
        <w:fldChar w:fldCharType="end"/>
      </w:r>
      <w:r>
        <w:t xml:space="preserve">.</w:t>
      </w:r>
      <w:r/>
    </w:p>
    <w:p>
      <w:pPr>
        <w:pStyle w:val="993"/>
      </w:pPr>
      <w:r>
        <w:fldChar w:fldCharType="begin"/>
      </w:r>
      <w:r>
        <w:instrText xml:space="preserve"> SEQ Таблица \* ARABIC </w:instrText>
      </w:r>
      <w:r>
        <w:fldChar w:fldCharType="separate"/>
      </w:r>
      <w:bookmarkStart w:id="937" w:name="_Ref414369649"/>
      <w:r/>
      <w:bookmarkStart w:id="938" w:name="_Toc88819250"/>
      <w:r>
        <w:t xml:space="preserve">64</w:t>
      </w:r>
      <w:bookmarkEnd w:id="937"/>
      <w:r>
        <w:fldChar w:fldCharType="end"/>
      </w:r>
      <w:r>
        <w:t xml:space="preserve">. Описание полей документа «Прогноз движения средств на счете бюджета (ф. 05010Y3)</w:t>
      </w:r>
      <w:r>
        <w:t xml:space="preserve">», закладки «</w:t>
      </w:r>
      <w:r>
        <w:t xml:space="preserve">Основная информация»</w:t>
      </w:r>
      <w:bookmarkEnd w:id="93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3154"/>
        <w:gridCol w:w="6598"/>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61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383"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«Основные реквизиты»</w:t>
            </w:r>
            <w:r/>
          </w:p>
        </w:tc>
      </w:tr>
      <w:tr>
        <w:trPr/>
        <w:tc>
          <w:tcPr>
            <w:shd w:val="clear" w:fill="auto" w:color="auto"/>
            <w:tcW w:w="1617" w:type="pct"/>
            <w:textDirection w:val="lrTb"/>
            <w:noWrap w:val="false"/>
          </w:tcPr>
          <w:p>
            <w:pPr>
              <w:pStyle w:val="1005"/>
              <w:ind w:left="57" w:right="57"/>
            </w:pPr>
            <w:r>
              <w:t xml:space="preserve">Дата</w:t>
            </w:r>
            <w:r/>
          </w:p>
        </w:tc>
        <w:tc>
          <w:tcPr>
            <w:shd w:val="clear" w:fill="auto" w:color="auto"/>
            <w:tcW w:w="3383" w:type="pct"/>
            <w:textDirection w:val="lrTb"/>
            <w:noWrap w:val="false"/>
          </w:tcPr>
          <w:p>
            <w:pPr>
              <w:pStyle w:val="1005"/>
              <w:ind w:left="57" w:right="57"/>
            </w:pPr>
            <w:r>
              <w:t xml:space="preserve">На АРМ ФО: </w:t>
            </w:r>
            <w:r>
              <w:t xml:space="preserve">Заполняется автоматически датой по шаблону 01.MM.GGGG, где MM</w:t>
            </w:r>
            <w:r>
              <w:t xml:space="preserve"> – </w:t>
            </w:r>
            <w:r>
              <w:t xml:space="preserve">текущий месяц, GGGG</w:t>
            </w:r>
            <w:r>
              <w:t xml:space="preserve"> – </w:t>
            </w:r>
            <w:r>
              <w:t xml:space="preserve">текущий год.</w:t>
            </w:r>
            <w:r/>
          </w:p>
          <w:p>
            <w:pPr>
              <w:pStyle w:val="1005"/>
              <w:ind w:left="57" w:right="57"/>
            </w:pPr>
            <w:r>
              <w:t xml:space="preserve">Дата проставляется путем выбора из календаря или вручную, и я</w:t>
            </w:r>
            <w:r>
              <w:t xml:space="preserve">в</w:t>
            </w:r>
            <w:r>
              <w:t xml:space="preserve">ляется всегда первым днем месяца.</w:t>
            </w:r>
            <w:r/>
          </w:p>
        </w:tc>
      </w:tr>
      <w:tr>
        <w:trPr/>
        <w:tc>
          <w:tcPr>
            <w:shd w:val="clear" w:fill="auto" w:color="auto"/>
            <w:tcW w:w="1617" w:type="pct"/>
            <w:textDirection w:val="lrTb"/>
            <w:noWrap w:val="false"/>
          </w:tcPr>
          <w:p>
            <w:pPr>
              <w:pStyle w:val="1005"/>
              <w:ind w:left="57" w:right="57"/>
            </w:pPr>
            <w:r>
              <w:t xml:space="preserve">Наименование субъекта Ро</w:t>
            </w:r>
            <w:r>
              <w:t xml:space="preserve">с</w:t>
            </w:r>
            <w:r>
              <w:t xml:space="preserve">сийской Федерации</w:t>
            </w:r>
            <w:r/>
          </w:p>
        </w:tc>
        <w:tc>
          <w:tcPr>
            <w:shd w:val="clear" w:fill="auto" w:color="auto"/>
            <w:tcW w:w="3383" w:type="pct"/>
            <w:textDirection w:val="lrTb"/>
            <w:noWrap w:val="false"/>
          </w:tcPr>
          <w:p>
            <w:pPr>
              <w:pStyle w:val="1005"/>
              <w:ind w:left="57" w:right="57"/>
            </w:pPr>
            <w:r>
              <w:t xml:space="preserve">На АРМ ФО: </w:t>
            </w:r>
            <w:r>
              <w:t xml:space="preserve">Заполняется вручную. Присутствует выбор из спр</w:t>
            </w:r>
            <w:r>
              <w:t xml:space="preserve">а</w:t>
            </w:r>
            <w:r>
              <w:t xml:space="preserve">вочника «Реги</w:t>
            </w:r>
            <w:r>
              <w:t xml:space="preserve">о</w:t>
            </w:r>
            <w:r>
              <w:t xml:space="preserve">ны МФ».</w:t>
            </w:r>
            <w:r/>
          </w:p>
        </w:tc>
      </w:tr>
      <w:tr>
        <w:trPr/>
        <w:tc>
          <w:tcPr>
            <w:shd w:val="clear" w:fill="auto" w:color="auto"/>
            <w:tcW w:w="1617" w:type="pct"/>
            <w:textDirection w:val="lrTb"/>
            <w:noWrap w:val="false"/>
          </w:tcPr>
          <w:p>
            <w:pPr>
              <w:pStyle w:val="1005"/>
              <w:ind w:left="57" w:right="57"/>
            </w:pPr>
            <w:r>
              <w:t xml:space="preserve">Код субъекта Российской Ф</w:t>
            </w:r>
            <w:r>
              <w:t xml:space="preserve">е</w:t>
            </w:r>
            <w:r>
              <w:t xml:space="preserve">дерации</w:t>
            </w:r>
            <w:r/>
          </w:p>
        </w:tc>
        <w:tc>
          <w:tcPr>
            <w:shd w:val="clear" w:fill="auto" w:color="auto"/>
            <w:tcW w:w="3383" w:type="pct"/>
            <w:textDirection w:val="lrTb"/>
            <w:noWrap w:val="false"/>
          </w:tcPr>
          <w:p>
            <w:pPr>
              <w:pStyle w:val="1005"/>
              <w:ind w:left="57" w:right="57"/>
            </w:pPr>
            <w:r>
              <w:t xml:space="preserve">На АРМ ФО: </w:t>
            </w:r>
            <w:r>
              <w:t xml:space="preserve">Доступно для ручного ввода. Заполняется автомат</w:t>
            </w:r>
            <w:r>
              <w:t xml:space="preserve">и</w:t>
            </w:r>
            <w:r>
              <w:t xml:space="preserve">чески из справочника «Регионы МФ» после выбора наименования субъекта РФ кодом ФНС. Если код ФНС двузначный, то спереди д</w:t>
            </w:r>
            <w:r>
              <w:t xml:space="preserve">о</w:t>
            </w:r>
            <w:r>
              <w:t xml:space="preserve">бавляется 0.</w:t>
            </w:r>
            <w:r/>
          </w:p>
        </w:tc>
      </w:tr>
      <w:tr>
        <w:trPr/>
        <w:tc>
          <w:tcPr>
            <w:shd w:val="clear" w:fill="auto" w:color="auto"/>
            <w:tcW w:w="1617" w:type="pct"/>
            <w:textDirection w:val="lrTb"/>
            <w:noWrap w:val="false"/>
          </w:tcPr>
          <w:p>
            <w:pPr>
              <w:pStyle w:val="1005"/>
              <w:ind w:left="57" w:right="57"/>
            </w:pPr>
            <w:r>
              <w:t xml:space="preserve">Наименование УФК по суб</w:t>
            </w:r>
            <w:r>
              <w:t xml:space="preserve">ъ</w:t>
            </w:r>
            <w:r>
              <w:t xml:space="preserve">екту РФ</w:t>
            </w:r>
            <w:r/>
          </w:p>
        </w:tc>
        <w:tc>
          <w:tcPr>
            <w:shd w:val="clear" w:fill="auto" w:color="auto"/>
            <w:tcW w:w="3383" w:type="pct"/>
            <w:textDirection w:val="lrTb"/>
            <w:noWrap w:val="false"/>
          </w:tcPr>
          <w:p>
            <w:pPr>
              <w:pStyle w:val="1005"/>
              <w:ind w:left="57" w:right="57"/>
            </w:pPr>
            <w:r>
              <w:t xml:space="preserve">На АРМ ФО: </w:t>
            </w:r>
            <w:r>
              <w:t xml:space="preserve">Заполняется в соответствии с централизованным справочником «Справочник органов Федерального казначейства». Авт</w:t>
            </w:r>
            <w:r>
              <w:t xml:space="preserve">о</w:t>
            </w:r>
            <w:r>
              <w:t xml:space="preserve">матически подтягивается значение после выбора КОФК.</w:t>
            </w:r>
            <w:r/>
          </w:p>
        </w:tc>
      </w:tr>
      <w:tr>
        <w:trPr/>
        <w:tc>
          <w:tcPr>
            <w:shd w:val="clear" w:fill="auto" w:color="auto"/>
            <w:tcW w:w="1617" w:type="pct"/>
            <w:textDirection w:val="lrTb"/>
            <w:noWrap w:val="false"/>
          </w:tcPr>
          <w:p>
            <w:pPr>
              <w:pStyle w:val="1005"/>
              <w:ind w:left="57" w:right="57"/>
            </w:pPr>
            <w:r>
              <w:t xml:space="preserve">По КОФК</w:t>
            </w:r>
            <w:r/>
          </w:p>
        </w:tc>
        <w:tc>
          <w:tcPr>
            <w:shd w:val="clear" w:fill="auto" w:color="auto"/>
            <w:tcW w:w="3383" w:type="pct"/>
            <w:textDirection w:val="lrTb"/>
            <w:noWrap w:val="false"/>
          </w:tcPr>
          <w:p>
            <w:pPr>
              <w:pStyle w:val="1005"/>
              <w:ind w:left="57" w:right="57"/>
            </w:pPr>
            <w:r>
              <w:t xml:space="preserve">На АРМ ФО: </w:t>
            </w:r>
            <w:r>
              <w:t xml:space="preserve">Заполняется вручную. Присутствует выбор из спр</w:t>
            </w:r>
            <w:r>
              <w:t xml:space="preserve">а</w:t>
            </w:r>
            <w:r>
              <w:t xml:space="preserve">вочника «Спр</w:t>
            </w:r>
            <w:r>
              <w:t xml:space="preserve">а</w:t>
            </w:r>
            <w:r>
              <w:t xml:space="preserve">вочник органов Федерального казначейства».</w:t>
            </w:r>
            <w:r/>
          </w:p>
        </w:tc>
      </w:tr>
      <w:tr>
        <w:trPr/>
        <w:tc>
          <w:tcPr>
            <w:shd w:val="clear" w:fill="auto" w:color="auto"/>
            <w:tcW w:w="1617" w:type="pct"/>
            <w:textDirection w:val="lrTb"/>
            <w:noWrap w:val="false"/>
          </w:tcPr>
          <w:p>
            <w:pPr>
              <w:pStyle w:val="1005"/>
              <w:ind w:left="57" w:right="57"/>
            </w:pPr>
            <w:r>
              <w:t xml:space="preserve">Наименование бюджета</w:t>
            </w:r>
            <w:r/>
          </w:p>
        </w:tc>
        <w:tc>
          <w:tcPr>
            <w:shd w:val="clear" w:fill="auto" w:color="auto"/>
            <w:tcW w:w="3383" w:type="pct"/>
            <w:textDirection w:val="lrTb"/>
            <w:noWrap w:val="false"/>
          </w:tcPr>
          <w:p>
            <w:pPr>
              <w:pStyle w:val="1005"/>
              <w:ind w:left="57" w:right="57"/>
            </w:pPr>
            <w:r>
              <w:t xml:space="preserve">На АРМ ФО: Заполняется по умолчанию соответствующим наим</w:t>
            </w:r>
            <w:r>
              <w:t xml:space="preserve">е</w:t>
            </w:r>
            <w:r>
              <w:t xml:space="preserve">нованием из справочника «Бюджеты» на основании системной ко</w:t>
            </w:r>
            <w:r>
              <w:t xml:space="preserve">н</w:t>
            </w:r>
            <w:r>
              <w:t xml:space="preserve">станты </w:t>
            </w:r>
            <w:r>
              <w:t xml:space="preserve">SelfBudgetCode (Код бюджета)</w:t>
            </w:r>
            <w:r>
              <w:t xml:space="preserve">.</w:t>
            </w:r>
            <w:r/>
          </w:p>
          <w:p>
            <w:pPr>
              <w:pStyle w:val="1005"/>
              <w:ind w:left="57" w:right="57"/>
            </w:pPr>
            <w:r>
              <w:t xml:space="preserve">Доступен выбор из справочника «Бюджеты» и заполнение вру</w:t>
            </w:r>
            <w:r>
              <w:t xml:space="preserve">ч</w:t>
            </w:r>
            <w:r>
              <w:t xml:space="preserve">ную.</w:t>
            </w:r>
            <w:r/>
          </w:p>
        </w:tc>
      </w:tr>
      <w:tr>
        <w:trPr/>
        <w:tc>
          <w:tcPr>
            <w:shd w:val="clear" w:fill="auto" w:color="auto"/>
            <w:tcW w:w="1617" w:type="pct"/>
            <w:textDirection w:val="lrTb"/>
            <w:noWrap w:val="false"/>
          </w:tcPr>
          <w:p>
            <w:pPr>
              <w:pStyle w:val="1005"/>
              <w:ind w:left="57" w:right="57"/>
            </w:pPr>
            <w:r>
              <w:t xml:space="preserve">Единица измерения</w:t>
            </w:r>
            <w:r/>
          </w:p>
        </w:tc>
        <w:tc>
          <w:tcPr>
            <w:shd w:val="clear" w:fill="auto" w:color="auto"/>
            <w:tcW w:w="3383" w:type="pct"/>
            <w:textDirection w:val="lrTb"/>
            <w:noWrap w:val="false"/>
          </w:tcPr>
          <w:p>
            <w:pPr>
              <w:pStyle w:val="1005"/>
              <w:ind w:left="57" w:right="57"/>
            </w:pPr>
            <w:r>
              <w:t xml:space="preserve">На АРМ ФО: Единица измерения. При создании заполняется знач</w:t>
            </w:r>
            <w:r>
              <w:t xml:space="preserve">е</w:t>
            </w:r>
            <w:r>
              <w:t xml:space="preserve">нием «тыс. руб.».</w:t>
            </w:r>
            <w:r>
              <w:t xml:space="preserve"> </w:t>
            </w:r>
            <w:r>
              <w:t xml:space="preserve">Поле доступно для редактирования. </w:t>
            </w:r>
            <w:r/>
          </w:p>
          <w:p>
            <w:pPr>
              <w:pStyle w:val="1005"/>
              <w:ind w:left="57" w:right="57"/>
            </w:pPr>
            <w:r>
              <w:t xml:space="preserve">Автоматически подтягивается значение после выбора значения «Код по ОКЕИ» из справочника «ОКЕИ»</w:t>
            </w:r>
            <w:r>
              <w:t xml:space="preserve">. </w:t>
            </w:r>
            <w:r/>
          </w:p>
        </w:tc>
      </w:tr>
      <w:tr>
        <w:trPr/>
        <w:tc>
          <w:tcPr>
            <w:shd w:val="clear" w:fill="auto" w:color="auto"/>
            <w:tcW w:w="1617" w:type="pct"/>
            <w:textDirection w:val="lrTb"/>
            <w:noWrap w:val="false"/>
          </w:tcPr>
          <w:p>
            <w:pPr>
              <w:pStyle w:val="1005"/>
              <w:ind w:left="57" w:right="57"/>
            </w:pPr>
            <w:r>
              <w:t xml:space="preserve">Код по ОКЕИ</w:t>
            </w:r>
            <w:r/>
          </w:p>
        </w:tc>
        <w:tc>
          <w:tcPr>
            <w:shd w:val="clear" w:fill="auto" w:color="auto"/>
            <w:tcW w:w="3383" w:type="pct"/>
            <w:textDirection w:val="lrTb"/>
            <w:noWrap w:val="false"/>
          </w:tcPr>
          <w:p>
            <w:pPr>
              <w:pStyle w:val="1005"/>
              <w:ind w:left="57" w:right="57"/>
            </w:pPr>
            <w:r>
              <w:t xml:space="preserve">Код по ОКЕИ. На АРМ ФО:</w:t>
            </w:r>
            <w:r>
              <w:t xml:space="preserve"> </w:t>
            </w:r>
            <w:r>
              <w:t xml:space="preserve">д</w:t>
            </w:r>
            <w:r>
              <w:t xml:space="preserve">оступен выбор из справочника «ОКЕИ».</w:t>
            </w:r>
            <w:r>
              <w:t xml:space="preserve"> </w:t>
            </w:r>
            <w:r>
              <w:t xml:space="preserve">Поле доступно для ручного ввода. По умолчанию 384</w:t>
            </w:r>
            <w:r>
              <w:t xml:space="preserve">.</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Финансовый орган субъекта РФ</w:t>
            </w:r>
            <w:r>
              <w:t xml:space="preserve">»</w:t>
            </w:r>
            <w:r/>
          </w:p>
        </w:tc>
      </w:tr>
      <w:tr>
        <w:trPr/>
        <w:tc>
          <w:tcPr>
            <w:shd w:val="clear" w:fill="auto" w:color="auto"/>
            <w:tcW w:w="1617" w:type="pct"/>
            <w:textDirection w:val="lrTb"/>
            <w:noWrap w:val="false"/>
          </w:tcPr>
          <w:p>
            <w:pPr>
              <w:pStyle w:val="1005"/>
              <w:ind w:left="57" w:right="57"/>
            </w:pPr>
            <w:r>
              <w:t xml:space="preserve">Руководитель (уполном</w:t>
            </w:r>
            <w:r>
              <w:t xml:space="preserve">о</w:t>
            </w:r>
            <w:r>
              <w:t xml:space="preserve">че</w:t>
            </w:r>
            <w:r>
              <w:t xml:space="preserve">н</w:t>
            </w:r>
            <w:r>
              <w:t xml:space="preserve">ное лицо). Должность</w:t>
            </w:r>
            <w:r/>
          </w:p>
        </w:tc>
        <w:tc>
          <w:tcPr>
            <w:shd w:val="clear" w:fill="auto" w:color="auto"/>
            <w:tcW w:w="3383" w:type="pct"/>
            <w:textDirection w:val="lrTb"/>
            <w:noWrap w:val="false"/>
          </w:tcPr>
          <w:p>
            <w:pPr>
              <w:pStyle w:val="1005"/>
              <w:ind w:left="57" w:right="57"/>
            </w:pPr>
            <w:r>
              <w:t xml:space="preserve">На АРМ ФО: </w:t>
            </w:r>
            <w:r>
              <w:t xml:space="preserve">Заполняется вручную.</w:t>
            </w:r>
            <w:r/>
          </w:p>
        </w:tc>
      </w:tr>
      <w:tr>
        <w:trPr/>
        <w:tc>
          <w:tcPr>
            <w:shd w:val="clear" w:fill="auto" w:color="auto"/>
            <w:tcW w:w="1617" w:type="pct"/>
            <w:textDirection w:val="lrTb"/>
            <w:noWrap w:val="false"/>
          </w:tcPr>
          <w:p>
            <w:pPr>
              <w:pStyle w:val="1005"/>
              <w:ind w:left="57" w:right="57"/>
            </w:pPr>
            <w:r>
              <w:t xml:space="preserve">Руководитель (уполном</w:t>
            </w:r>
            <w:r>
              <w:t xml:space="preserve">о</w:t>
            </w:r>
            <w:r>
              <w:t xml:space="preserve">че</w:t>
            </w:r>
            <w:r>
              <w:t xml:space="preserve">н</w:t>
            </w:r>
            <w:r>
              <w:t xml:space="preserve">ное лицо). Расшифровка</w:t>
            </w:r>
            <w:r/>
          </w:p>
        </w:tc>
        <w:tc>
          <w:tcPr>
            <w:shd w:val="clear" w:fill="auto" w:color="auto"/>
            <w:tcW w:w="3383" w:type="pct"/>
            <w:textDirection w:val="lrTb"/>
            <w:noWrap w:val="false"/>
          </w:tcPr>
          <w:p>
            <w:pPr>
              <w:pStyle w:val="1005"/>
              <w:ind w:left="57" w:right="57"/>
            </w:pPr>
            <w:r>
              <w:t xml:space="preserve">На АРМ ФО: </w:t>
            </w:r>
            <w:r>
              <w:t xml:space="preserve">Заполняется вручную.</w:t>
            </w:r>
            <w:r/>
          </w:p>
        </w:tc>
      </w:tr>
      <w:tr>
        <w:trPr/>
        <w:tc>
          <w:tcPr>
            <w:shd w:val="clear" w:fill="auto" w:color="auto"/>
            <w:tcW w:w="1617" w:type="pct"/>
            <w:textDirection w:val="lrTb"/>
            <w:noWrap w:val="false"/>
          </w:tcPr>
          <w:p>
            <w:pPr>
              <w:pStyle w:val="1005"/>
              <w:ind w:left="57" w:right="57"/>
            </w:pPr>
            <w:r>
              <w:t xml:space="preserve">Исполнитель. Должность</w:t>
            </w:r>
            <w:r/>
          </w:p>
        </w:tc>
        <w:tc>
          <w:tcPr>
            <w:shd w:val="clear" w:fill="auto" w:color="auto"/>
            <w:tcW w:w="3383" w:type="pct"/>
            <w:textDirection w:val="lrTb"/>
            <w:noWrap w:val="false"/>
          </w:tcPr>
          <w:p>
            <w:pPr>
              <w:pStyle w:val="1005"/>
              <w:ind w:left="57" w:right="57"/>
            </w:pPr>
            <w:r>
              <w:t xml:space="preserve">На АРМ ФО: </w:t>
            </w:r>
            <w:r>
              <w:t xml:space="preserve">Заполняется вручную.</w:t>
            </w:r>
            <w:r/>
          </w:p>
        </w:tc>
      </w:tr>
      <w:tr>
        <w:trPr/>
        <w:tc>
          <w:tcPr>
            <w:shd w:val="clear" w:fill="auto" w:color="auto"/>
            <w:tcW w:w="1617" w:type="pct"/>
            <w:textDirection w:val="lrTb"/>
            <w:noWrap w:val="false"/>
          </w:tcPr>
          <w:p>
            <w:pPr>
              <w:pStyle w:val="1005"/>
              <w:ind w:left="57" w:right="57"/>
            </w:pPr>
            <w:r>
              <w:t xml:space="preserve">Исполнитель. Расшифровка</w:t>
            </w:r>
            <w:r/>
          </w:p>
        </w:tc>
        <w:tc>
          <w:tcPr>
            <w:shd w:val="clear" w:fill="auto" w:color="auto"/>
            <w:tcW w:w="3383" w:type="pct"/>
            <w:textDirection w:val="lrTb"/>
            <w:noWrap w:val="false"/>
          </w:tcPr>
          <w:p>
            <w:pPr>
              <w:pStyle w:val="1005"/>
              <w:ind w:left="57" w:right="57"/>
            </w:pPr>
            <w:r>
              <w:t xml:space="preserve">На АРМ ФО: </w:t>
            </w:r>
            <w:r>
              <w:t xml:space="preserve">Заполняется вручную.</w:t>
            </w:r>
            <w:r/>
          </w:p>
        </w:tc>
      </w:tr>
      <w:tr>
        <w:trPr/>
        <w:tc>
          <w:tcPr>
            <w:shd w:val="clear" w:fill="auto" w:color="auto"/>
            <w:tcW w:w="1617" w:type="pct"/>
            <w:textDirection w:val="lrTb"/>
            <w:noWrap w:val="false"/>
          </w:tcPr>
          <w:p>
            <w:pPr>
              <w:pStyle w:val="1005"/>
              <w:ind w:left="57" w:right="57"/>
            </w:pPr>
            <w:r>
              <w:t xml:space="preserve">Исполнитель. Телефон</w:t>
            </w:r>
            <w:r/>
          </w:p>
        </w:tc>
        <w:tc>
          <w:tcPr>
            <w:shd w:val="clear" w:fill="auto" w:color="auto"/>
            <w:tcW w:w="3383" w:type="pct"/>
            <w:textDirection w:val="lrTb"/>
            <w:noWrap w:val="false"/>
          </w:tcPr>
          <w:p>
            <w:pPr>
              <w:pStyle w:val="1005"/>
              <w:ind w:left="57" w:right="57"/>
            </w:pPr>
            <w:r>
              <w:t xml:space="preserve">На АРМ ФО: </w:t>
            </w:r>
            <w:r>
              <w:t xml:space="preserve">Заполняется вручную.</w:t>
            </w:r>
            <w:r/>
          </w:p>
        </w:tc>
      </w:tr>
      <w:tr>
        <w:trPr/>
        <w:tc>
          <w:tcPr>
            <w:shd w:val="clear" w:fill="auto" w:color="auto"/>
            <w:tcW w:w="1617" w:type="pct"/>
            <w:textDirection w:val="lrTb"/>
            <w:noWrap w:val="false"/>
          </w:tcPr>
          <w:p>
            <w:pPr>
              <w:pStyle w:val="1005"/>
              <w:ind w:left="57" w:right="57"/>
            </w:pPr>
            <w:r>
              <w:t xml:space="preserve">Дата подписания</w:t>
            </w:r>
            <w:r/>
          </w:p>
        </w:tc>
        <w:tc>
          <w:tcPr>
            <w:shd w:val="clear" w:fill="auto" w:color="auto"/>
            <w:tcW w:w="3383" w:type="pct"/>
            <w:textDirection w:val="lrTb"/>
            <w:noWrap w:val="false"/>
          </w:tcPr>
          <w:p>
            <w:pPr>
              <w:pStyle w:val="1005"/>
              <w:ind w:left="57" w:right="57"/>
            </w:pPr>
            <w:r>
              <w:t xml:space="preserve">На АРМ ФО: </w:t>
            </w:r>
            <w:r>
              <w:t xml:space="preserve">Заполняется вручную</w:t>
            </w:r>
            <w:r>
              <w:t xml:space="preserve"> или выбором из календаря.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Орган Федерального казначейства</w:t>
            </w:r>
            <w:r>
              <w:t xml:space="preserve">»</w:t>
            </w:r>
            <w:r/>
          </w:p>
        </w:tc>
      </w:tr>
      <w:tr>
        <w:trPr/>
        <w:tc>
          <w:tcPr>
            <w:shd w:val="clear" w:fill="auto" w:color="auto"/>
            <w:tcW w:w="1617" w:type="pct"/>
            <w:textDirection w:val="lrTb"/>
            <w:noWrap w:val="false"/>
          </w:tcPr>
          <w:p>
            <w:pPr>
              <w:pStyle w:val="1005"/>
              <w:ind w:left="57" w:right="57"/>
            </w:pPr>
            <w:r>
              <w:t xml:space="preserve">Руководитель УФК (уполн</w:t>
            </w:r>
            <w:r>
              <w:t xml:space="preserve">о</w:t>
            </w:r>
            <w:r>
              <w:t xml:space="preserve">моченное лицо). Должность</w:t>
            </w:r>
            <w:r/>
          </w:p>
        </w:tc>
        <w:tc>
          <w:tcPr>
            <w:shd w:val="clear" w:fill="auto" w:color="auto"/>
            <w:tcW w:w="3383" w:type="pct"/>
            <w:textDirection w:val="lrTb"/>
            <w:noWrap w:val="false"/>
          </w:tcPr>
          <w:p>
            <w:pPr>
              <w:pStyle w:val="1005"/>
              <w:ind w:left="57" w:right="57"/>
            </w:pPr>
            <w:r>
              <w:t xml:space="preserve">На АРМ ФО: не</w:t>
            </w:r>
            <w:r>
              <w:t xml:space="preserve">доступно для редактирования. </w:t>
            </w:r>
            <w:r/>
          </w:p>
          <w:p>
            <w:pPr>
              <w:pStyle w:val="1005"/>
              <w:ind w:left="57" w:right="57"/>
            </w:pPr>
            <w:r>
              <w:t xml:space="preserve">Заполняется на о</w:t>
            </w:r>
            <w:r>
              <w:t xml:space="preserve">с</w:t>
            </w:r>
            <w:r>
              <w:t xml:space="preserve">новании документа на изменение</w:t>
            </w:r>
            <w:r>
              <w:t xml:space="preserve">.</w:t>
            </w:r>
            <w:r/>
          </w:p>
        </w:tc>
      </w:tr>
      <w:tr>
        <w:trPr/>
        <w:tc>
          <w:tcPr>
            <w:shd w:val="clear" w:fill="auto" w:color="auto"/>
            <w:tcW w:w="1617" w:type="pct"/>
            <w:textDirection w:val="lrTb"/>
            <w:noWrap w:val="false"/>
          </w:tcPr>
          <w:p>
            <w:pPr>
              <w:pStyle w:val="1005"/>
              <w:ind w:left="57" w:right="57"/>
            </w:pPr>
            <w:r>
              <w:t xml:space="preserve">Руководитель УФК (уполн</w:t>
            </w:r>
            <w:r>
              <w:t xml:space="preserve">о</w:t>
            </w:r>
            <w:r>
              <w:t xml:space="preserve">моченное лицо). Расшифро</w:t>
            </w:r>
            <w:r>
              <w:t xml:space="preserve">в</w:t>
            </w:r>
            <w:r>
              <w:t xml:space="preserve">ка</w:t>
            </w:r>
            <w:r/>
          </w:p>
        </w:tc>
        <w:tc>
          <w:tcPr>
            <w:shd w:val="clear" w:fill="auto" w:color="auto"/>
            <w:tcW w:w="3383" w:type="pct"/>
            <w:textDirection w:val="lrTb"/>
            <w:noWrap w:val="false"/>
          </w:tcPr>
          <w:p>
            <w:pPr>
              <w:pStyle w:val="1005"/>
              <w:ind w:left="57" w:right="57"/>
            </w:pPr>
            <w:r>
              <w:t xml:space="preserve">На АРМ ФО: недоступно для редактирования. </w:t>
            </w:r>
            <w:r/>
          </w:p>
          <w:p>
            <w:pPr>
              <w:pStyle w:val="1005"/>
              <w:ind w:left="57" w:right="57"/>
            </w:pPr>
            <w:r>
              <w:t xml:space="preserve">Заполняется на основании документа на изменение.</w:t>
            </w:r>
            <w:r/>
          </w:p>
        </w:tc>
      </w:tr>
      <w:tr>
        <w:trPr/>
        <w:tc>
          <w:tcPr>
            <w:shd w:val="clear" w:fill="auto" w:color="auto"/>
            <w:tcW w:w="1617" w:type="pct"/>
            <w:textDirection w:val="lrTb"/>
            <w:noWrap w:val="false"/>
          </w:tcPr>
          <w:p>
            <w:pPr>
              <w:pStyle w:val="1005"/>
              <w:ind w:left="57" w:right="57"/>
            </w:pPr>
            <w:r>
              <w:t xml:space="preserve">Исполнитель. Должность</w:t>
            </w:r>
            <w:r/>
          </w:p>
        </w:tc>
        <w:tc>
          <w:tcPr>
            <w:shd w:val="clear" w:fill="auto" w:color="auto"/>
            <w:tcW w:w="3383" w:type="pct"/>
            <w:textDirection w:val="lrTb"/>
            <w:noWrap w:val="false"/>
          </w:tcPr>
          <w:p>
            <w:pPr>
              <w:pStyle w:val="1005"/>
              <w:ind w:left="57" w:right="57"/>
            </w:pPr>
            <w:r>
              <w:t xml:space="preserve">На АРМ ФО: недоступно для редактирования. </w:t>
            </w:r>
            <w:r/>
          </w:p>
          <w:p>
            <w:pPr>
              <w:pStyle w:val="1005"/>
              <w:ind w:left="57" w:right="57"/>
            </w:pPr>
            <w:r>
              <w:t xml:space="preserve">Заполняется на основании документа на изменение.</w:t>
            </w:r>
            <w:r/>
          </w:p>
        </w:tc>
      </w:tr>
      <w:tr>
        <w:trPr/>
        <w:tc>
          <w:tcPr>
            <w:shd w:val="clear" w:fill="auto" w:color="auto"/>
            <w:tcW w:w="1617" w:type="pct"/>
            <w:textDirection w:val="lrTb"/>
            <w:noWrap w:val="false"/>
          </w:tcPr>
          <w:p>
            <w:pPr>
              <w:pStyle w:val="1005"/>
              <w:ind w:left="57" w:right="57"/>
            </w:pPr>
            <w:r>
              <w:t xml:space="preserve">Исполнитель. Расшифровка</w:t>
            </w:r>
            <w:r/>
          </w:p>
        </w:tc>
        <w:tc>
          <w:tcPr>
            <w:shd w:val="clear" w:fill="auto" w:color="auto"/>
            <w:tcW w:w="3383" w:type="pct"/>
            <w:textDirection w:val="lrTb"/>
            <w:noWrap w:val="false"/>
          </w:tcPr>
          <w:p>
            <w:pPr>
              <w:pStyle w:val="1005"/>
              <w:ind w:left="57" w:right="57"/>
            </w:pPr>
            <w:r>
              <w:t xml:space="preserve">На АРМ ФО: недоступно для редактирования. </w:t>
            </w:r>
            <w:r/>
          </w:p>
          <w:p>
            <w:pPr>
              <w:pStyle w:val="1005"/>
              <w:ind w:left="57" w:right="57"/>
            </w:pPr>
            <w:r>
              <w:t xml:space="preserve">Заполняется на основании документа на изменение.</w:t>
            </w:r>
            <w:r/>
          </w:p>
        </w:tc>
      </w:tr>
      <w:tr>
        <w:trPr/>
        <w:tc>
          <w:tcPr>
            <w:shd w:val="clear" w:fill="auto" w:color="auto"/>
            <w:tcW w:w="1617" w:type="pct"/>
            <w:textDirection w:val="lrTb"/>
            <w:noWrap w:val="false"/>
          </w:tcPr>
          <w:p>
            <w:pPr>
              <w:pStyle w:val="1005"/>
              <w:ind w:left="57" w:right="57"/>
            </w:pPr>
            <w:r>
              <w:t xml:space="preserve">Исполнитель. Телефон</w:t>
            </w:r>
            <w:r/>
          </w:p>
        </w:tc>
        <w:tc>
          <w:tcPr>
            <w:shd w:val="clear" w:fill="auto" w:color="auto"/>
            <w:tcW w:w="3383" w:type="pct"/>
            <w:textDirection w:val="lrTb"/>
            <w:noWrap w:val="false"/>
          </w:tcPr>
          <w:p>
            <w:pPr>
              <w:pStyle w:val="1005"/>
              <w:ind w:left="57" w:right="57"/>
            </w:pPr>
            <w:r>
              <w:t xml:space="preserve">На АРМ ФО: недоступно для редактирования. </w:t>
            </w:r>
            <w:r/>
          </w:p>
          <w:p>
            <w:pPr>
              <w:pStyle w:val="1005"/>
              <w:ind w:left="57" w:right="57"/>
            </w:pPr>
            <w:r>
              <w:t xml:space="preserve">Заполняется на основании документа на изменение.</w:t>
            </w:r>
            <w:r/>
          </w:p>
        </w:tc>
      </w:tr>
      <w:tr>
        <w:trPr/>
        <w:tc>
          <w:tcPr>
            <w:shd w:val="clear" w:fill="auto" w:color="auto"/>
            <w:tcW w:w="1617" w:type="pct"/>
            <w:textDirection w:val="lrTb"/>
            <w:noWrap w:val="false"/>
          </w:tcPr>
          <w:p>
            <w:pPr>
              <w:pStyle w:val="1005"/>
              <w:ind w:left="57" w:right="57"/>
            </w:pPr>
            <w:r>
              <w:t xml:space="preserve">Дата подписания</w:t>
            </w:r>
            <w:r/>
          </w:p>
        </w:tc>
        <w:tc>
          <w:tcPr>
            <w:shd w:val="clear" w:fill="auto" w:color="auto"/>
            <w:tcW w:w="3383" w:type="pct"/>
            <w:textDirection w:val="lrTb"/>
            <w:noWrap w:val="false"/>
          </w:tcPr>
          <w:p>
            <w:pPr>
              <w:pStyle w:val="1005"/>
              <w:ind w:left="57" w:right="57"/>
            </w:pPr>
            <w:r>
              <w:t xml:space="preserve">На АРМ ФО: недоступно для редактирования. </w:t>
            </w:r>
            <w:r/>
          </w:p>
          <w:p>
            <w:pPr>
              <w:pStyle w:val="1005"/>
              <w:ind w:left="57" w:right="57"/>
            </w:pPr>
            <w:r>
              <w:t xml:space="preserve">Заполняется на основании документа на изменение.</w:t>
            </w:r>
            <w:r/>
          </w:p>
        </w:tc>
      </w:tr>
      <w:tr>
        <w:trPr/>
        <w:tc>
          <w:tcPr>
            <w:shd w:val="clear" w:fill="auto" w:color="auto"/>
            <w:tcW w:w="1617" w:type="pct"/>
            <w:textDirection w:val="lrTb"/>
            <w:noWrap w:val="false"/>
          </w:tcPr>
          <w:p>
            <w:pPr>
              <w:pStyle w:val="1005"/>
              <w:ind w:left="57" w:right="57"/>
            </w:pPr>
            <w:r>
              <w:t xml:space="preserve">Причина отклонения</w:t>
            </w:r>
            <w:r/>
          </w:p>
        </w:tc>
        <w:tc>
          <w:tcPr>
            <w:shd w:val="clear" w:fill="auto" w:color="auto"/>
            <w:tcW w:w="3383" w:type="pct"/>
            <w:textDirection w:val="lrTb"/>
            <w:noWrap w:val="false"/>
          </w:tcPr>
          <w:p>
            <w:pPr>
              <w:pStyle w:val="1005"/>
              <w:ind w:left="57" w:right="57"/>
            </w:pPr>
            <w:r>
              <w:t xml:space="preserve">Не</w:t>
            </w:r>
            <w:r>
              <w:t xml:space="preserve">доступно</w:t>
            </w:r>
            <w:r>
              <w:t xml:space="preserve"> </w:t>
            </w:r>
            <w:r>
              <w:t xml:space="preserve">для редактирования. </w:t>
            </w:r>
            <w:r/>
          </w:p>
          <w:p>
            <w:pPr>
              <w:pStyle w:val="1005"/>
              <w:ind w:left="57" w:right="57"/>
            </w:pPr>
            <w:r>
              <w:t xml:space="preserve">Заполняется на основании документа на изменение</w:t>
            </w:r>
            <w:r>
              <w:t xml:space="preserve">.</w:t>
            </w:r>
            <w:r/>
          </w:p>
        </w:tc>
      </w:tr>
    </w:tbl>
    <w:p>
      <w:pPr>
        <w:pStyle w:val="994"/>
      </w:pPr>
      <w:r>
        <w:t xml:space="preserve">ЭФ документа «Прогноз движен</w:t>
      </w:r>
      <w:r>
        <w:t xml:space="preserve">ия средств на счете бюджета (ф.</w:t>
      </w:r>
      <w:r>
        <w:t xml:space="preserve"> </w:t>
      </w:r>
      <w:r>
        <w:t xml:space="preserve">05010Y3)</w:t>
      </w:r>
      <w:r>
        <w:t xml:space="preserve">», закладки «</w:t>
      </w:r>
      <w:r>
        <w:t xml:space="preserve">Показатели» представлена на рисунке</w:t>
      </w:r>
      <w:r>
        <w:t xml:space="preserve"> </w:t>
      </w:r>
      <w:r>
        <w:fldChar w:fldCharType="begin"/>
      </w:r>
      <w:r>
        <w:instrText xml:space="preserve"> REF _Ref414369613 \h </w:instrText>
      </w:r>
      <w:r>
        <w:fldChar w:fldCharType="separate"/>
      </w:r>
      <w:r>
        <w:t xml:space="preserve">118</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299460"/>
                <wp:effectExtent l="0" t="0" r="0" b="0"/>
                <wp:docPr id="19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84"/>
                        <a:stretch/>
                      </pic:blipFill>
                      <pic:spPr bwMode="auto">
                        <a:xfrm>
                          <a:off x="0" y="0"/>
                          <a:ext cx="6126480" cy="32994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 o:spid="_x0000_s193" type="#_x0000_t75" style="mso-wrap-distance-left:0.0pt;mso-wrap-distance-top:0.0pt;mso-wrap-distance-right:0.0pt;mso-wrap-distance-bottom:0.0pt;width:482.4pt;height:259.8pt;" stroked="f">
                <v:path textboxrect="0,0,0,0"/>
                <v:imagedata r:id="rId184" o:title=""/>
              </v:shape>
            </w:pict>
          </mc:Fallback>
        </mc:AlternateContent>
      </w:r>
      <w:r/>
    </w:p>
    <w:p>
      <w:pPr>
        <w:pStyle w:val="983"/>
      </w:pPr>
      <w:r>
        <w:fldChar w:fldCharType="begin"/>
      </w:r>
      <w:r>
        <w:instrText xml:space="preserve"> SEQ Рисунок \* ARABIC </w:instrText>
      </w:r>
      <w:r>
        <w:fldChar w:fldCharType="separate"/>
      </w:r>
      <w:bookmarkStart w:id="939" w:name="_Ref414369613"/>
      <w:r/>
      <w:bookmarkStart w:id="940" w:name="_Toc88819503"/>
      <w:r>
        <w:t xml:space="preserve">118</w:t>
      </w:r>
      <w:bookmarkEnd w:id="939"/>
      <w:r>
        <w:fldChar w:fldCharType="end"/>
      </w:r>
      <w:r>
        <w:t xml:space="preserve">. ЭФ документа «Прогноз движения средств на счете бюджета (ф. 05010Y3)</w:t>
      </w:r>
      <w:r>
        <w:t xml:space="preserve">», закладки «</w:t>
      </w:r>
      <w:r>
        <w:t xml:space="preserve">Показатели»</w:t>
      </w:r>
      <w:bookmarkEnd w:id="940"/>
      <w:r/>
      <w:r/>
    </w:p>
    <w:p>
      <w:pPr>
        <w:pStyle w:val="994"/>
      </w:pPr>
      <w:r>
        <w:t xml:space="preserve">Перечень полей ЭФ документа «Прогноз движен</w:t>
      </w:r>
      <w:r>
        <w:t xml:space="preserve">ия средств на счете бюджета (ф.</w:t>
      </w:r>
      <w:r>
        <w:t xml:space="preserve"> </w:t>
      </w:r>
      <w:r>
        <w:t xml:space="preserve">05010Y3)</w:t>
      </w:r>
      <w:r>
        <w:t xml:space="preserve">», закладки «</w:t>
      </w:r>
      <w:r>
        <w:t xml:space="preserve">Показатели» приведен в таблице</w:t>
      </w:r>
      <w:r>
        <w:t xml:space="preserve"> </w:t>
      </w:r>
      <w:r>
        <w:fldChar w:fldCharType="begin"/>
      </w:r>
      <w:r>
        <w:instrText xml:space="preserve"> REF _Ref414369662 \h </w:instrText>
      </w:r>
      <w:r>
        <w:fldChar w:fldCharType="separate"/>
      </w:r>
      <w:r>
        <w:t xml:space="preserve">65</w:t>
      </w:r>
      <w:r>
        <w:fldChar w:fldCharType="end"/>
      </w:r>
      <w:r>
        <w:t xml:space="preserve">.</w:t>
      </w:r>
      <w:r/>
    </w:p>
    <w:p>
      <w:pPr>
        <w:pStyle w:val="993"/>
      </w:pPr>
      <w:r>
        <w:fldChar w:fldCharType="begin"/>
      </w:r>
      <w:r>
        <w:instrText xml:space="preserve"> SEQ Таблица \* ARABIC </w:instrText>
      </w:r>
      <w:r>
        <w:fldChar w:fldCharType="separate"/>
      </w:r>
      <w:bookmarkStart w:id="941" w:name="_Ref414369662"/>
      <w:r/>
      <w:bookmarkStart w:id="942" w:name="_Toc88819251"/>
      <w:r>
        <w:t xml:space="preserve">65</w:t>
      </w:r>
      <w:bookmarkEnd w:id="941"/>
      <w:r>
        <w:fldChar w:fldCharType="end"/>
      </w:r>
      <w:r>
        <w:t xml:space="preserve">. Описание полей документа «Прогноз движения средств на счете бюджета (ф. 05010Y3)</w:t>
      </w:r>
      <w:r>
        <w:t xml:space="preserve">», закладки «</w:t>
      </w:r>
      <w:r>
        <w:t xml:space="preserve">Показатели»</w:t>
      </w:r>
      <w:bookmarkEnd w:id="942"/>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1514"/>
        <w:gridCol w:w="1400"/>
        <w:gridCol w:w="6838"/>
      </w:tblGrid>
      <w:tr>
        <w:trPr>
          <w:trHeight w:val="305"/>
          <w:tblHeader/>
        </w:trPr>
        <w:tc>
          <w:tcPr>
            <w:gridSpan w:val="2"/>
            <w:shd w:val="clear" w:fill="E6E6E6" w:color="auto"/>
            <w:tcBorders>
              <w:left w:val="single" w:sz="4" w:space="0" w:color="auto"/>
              <w:top w:val="single" w:sz="4" w:space="0" w:color="auto"/>
              <w:right w:val="single" w:sz="4" w:space="0" w:color="auto"/>
              <w:bottom w:val="single" w:sz="4" w:space="0" w:color="auto"/>
            </w:tcBorders>
            <w:tcW w:w="149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506" w:type="pct"/>
            <w:vAlign w:val="center"/>
            <w:textDirection w:val="lrTb"/>
            <w:noWrap w:val="false"/>
          </w:tcPr>
          <w:p>
            <w:pPr>
              <w:pStyle w:val="1006"/>
            </w:pPr>
            <w:r>
              <w:t xml:space="preserve">Описание поля</w:t>
            </w:r>
            <w:r/>
          </w:p>
        </w:tc>
      </w:tr>
      <w:tr>
        <w:trPr>
          <w:trHeight w:val="77"/>
        </w:trPr>
        <w:tc>
          <w:tcPr>
            <w:gridSpan w:val="2"/>
            <w:shd w:val="clear" w:fill="auto" w:color="auto"/>
            <w:tcW w:w="1494" w:type="pct"/>
            <w:textDirection w:val="lrTb"/>
            <w:noWrap w:val="false"/>
          </w:tcPr>
          <w:p>
            <w:pPr>
              <w:pStyle w:val="1005"/>
              <w:ind w:left="57" w:right="57"/>
            </w:pPr>
            <w:r>
              <w:t xml:space="preserve">Показатели на</w:t>
            </w:r>
            <w:r/>
          </w:p>
        </w:tc>
        <w:tc>
          <w:tcPr>
            <w:shd w:val="clear" w:fill="auto" w:color="auto"/>
            <w:tcW w:w="3506" w:type="pct"/>
            <w:textDirection w:val="lrTb"/>
            <w:noWrap w:val="false"/>
          </w:tcPr>
          <w:p>
            <w:pPr>
              <w:pStyle w:val="1005"/>
              <w:ind w:left="57" w:right="57"/>
            </w:pPr>
            <w:r>
              <w:t xml:space="preserve">Недоступно для редактирования. Заполняется</w:t>
            </w:r>
            <w:r>
              <w:t xml:space="preserve"> и </w:t>
            </w:r>
            <w:r>
              <w:t xml:space="preserve">обновляется автомат</w:t>
            </w:r>
            <w:r>
              <w:t xml:space="preserve">и</w:t>
            </w:r>
            <w:r>
              <w:t xml:space="preserve">чески на основании поля «Дата» (вытаскивается год).</w:t>
            </w:r>
            <w:r/>
          </w:p>
        </w:tc>
      </w:tr>
      <w:tr>
        <w:trPr>
          <w:trHeight w:val="77"/>
        </w:trPr>
        <w:tc>
          <w:tcPr>
            <w:gridSpan w:val="3"/>
            <w:shd w:val="clear" w:fill="auto" w:color="auto"/>
            <w:tcW w:w="5000" w:type="pct"/>
            <w:textDirection w:val="lrTb"/>
            <w:noWrap w:val="false"/>
          </w:tcPr>
          <w:p>
            <w:pPr>
              <w:pStyle w:val="1005"/>
              <w:ind w:left="57" w:right="57"/>
            </w:pPr>
            <w:r>
              <w:t xml:space="preserve">Табличная часть «Показатели». Таблица представляет </w:t>
            </w:r>
            <w:r>
              <w:t xml:space="preserve">собой</w:t>
            </w:r>
            <w:r>
              <w:t xml:space="preserve"> компоненты </w:t>
            </w:r>
            <w:r>
              <w:rPr>
                <w:lang w:val="en-US"/>
              </w:rPr>
              <w:t xml:space="preserve">field</w:t>
            </w:r>
            <w:r>
              <w:t xml:space="preserve">, </w:t>
            </w:r>
            <w:r>
              <w:rPr>
                <w:lang w:val="en-US"/>
              </w:rPr>
              <w:t xml:space="preserve">label</w:t>
            </w:r>
            <w:r>
              <w:t xml:space="preserve"> и другие, кот</w:t>
            </w:r>
            <w:r>
              <w:t xml:space="preserve">о</w:t>
            </w:r>
            <w:r>
              <w:t xml:space="preserve">рые расположены в виде таблицы. Каждый компонент связан с ячейкой вложенной таблицы. Ссылка на эту ячейку производится по имени таблицы + Код строки в таблице + имени поля в таблице</w:t>
            </w:r>
            <w:r>
              <w:t xml:space="preserve">.</w:t>
            </w:r>
            <w:r/>
          </w:p>
          <w:p>
            <w:pPr>
              <w:pStyle w:val="1005"/>
              <w:ind w:left="57" w:right="57"/>
            </w:pPr>
            <w:r>
              <w:t xml:space="preserve">Поля закладки «Показатели» доступны для редактирования только на АРМ ФО</w:t>
            </w:r>
            <w:r/>
          </w:p>
        </w:tc>
      </w:tr>
      <w:tr>
        <w:trPr>
          <w:trHeight w:val="77"/>
        </w:trPr>
        <w:tc>
          <w:tcPr>
            <w:shd w:val="clear" w:fill="auto" w:color="auto"/>
            <w:tcW w:w="776" w:type="pct"/>
            <w:vMerge w:val="restart"/>
            <w:textDirection w:val="lrTb"/>
            <w:noWrap w:val="false"/>
          </w:tcPr>
          <w:p>
            <w:pPr>
              <w:pStyle w:val="1005"/>
              <w:ind w:left="57" w:right="57"/>
            </w:pPr>
            <w:r>
              <w:t xml:space="preserve">КАССОВЫЕ ПОСТУПЛЕНИЯ ПО ДОХОДАМ – всего</w:t>
            </w:r>
            <w:r/>
          </w:p>
        </w:tc>
        <w:tc>
          <w:tcPr>
            <w:shd w:val="clear" w:fill="auto" w:color="auto"/>
            <w:tcW w:w="718" w:type="pct"/>
            <w:textDirection w:val="lrTb"/>
            <w:noWrap w:val="false"/>
          </w:tcPr>
          <w:p>
            <w:pPr>
              <w:pStyle w:val="1005"/>
              <w:ind w:left="57" w:right="57"/>
            </w:pPr>
            <w:r>
              <w:t xml:space="preserve">Код строки</w:t>
            </w:r>
            <w:r/>
          </w:p>
        </w:tc>
        <w:tc>
          <w:tcPr>
            <w:shd w:val="clear" w:fill="auto" w:color="auto"/>
            <w:tcW w:w="3506" w:type="pct"/>
            <w:textDirection w:val="lrTb"/>
            <w:noWrap w:val="false"/>
          </w:tcPr>
          <w:p>
            <w:pPr>
              <w:pStyle w:val="1005"/>
              <w:ind w:left="57" w:right="57"/>
            </w:pPr>
            <w:r>
              <w:t xml:space="preserve">Всегда указывается значение «0100». Недоступно для редактирования.</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Закон о бюджете</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Январь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Февраль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Март</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квартал</w:t>
            </w:r>
            <w:r/>
          </w:p>
        </w:tc>
        <w:tc>
          <w:tcPr>
            <w:shd w:val="clear" w:fill="auto" w:color="auto"/>
            <w:tcW w:w="3506" w:type="pct"/>
            <w:textDirection w:val="lrTb"/>
            <w:noWrap w:val="false"/>
          </w:tcPr>
          <w:p>
            <w:pPr>
              <w:pStyle w:val="1005"/>
              <w:ind w:left="57" w:right="57"/>
            </w:pPr>
            <w:r>
              <w:t xml:space="preserve">Заполняется автоматически суммой полей «Январь», «Февраль», «Март» строки с кодом «0100».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Апрель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Май</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Июнь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w:t>
            </w:r>
            <w:r>
              <w:t xml:space="preserve">полугодие</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квартал», </w:t>
            </w:r>
            <w:r>
              <w:t xml:space="preserve">«Апрель», «Май», «Июнь», строки с кодом «0100».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Август</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Сентябрь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9 месяцев</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полугодие», «Июль», «Август», «Сентябрь», строки с кодом «0100».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Октябрь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Ноябрь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Декабрь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год</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9 месяцев», «Октябрь», «Ноябрь», «Декабрь» строки с кодом «0100».</w:t>
            </w:r>
            <w:r/>
          </w:p>
        </w:tc>
      </w:tr>
      <w:tr>
        <w:trPr>
          <w:trHeight w:val="77"/>
        </w:trPr>
        <w:tc>
          <w:tcPr>
            <w:shd w:val="clear" w:fill="auto" w:color="auto"/>
            <w:tcW w:w="776" w:type="pct"/>
            <w:vMerge w:val="restart"/>
            <w:textDirection w:val="lrTb"/>
            <w:noWrap w:val="false"/>
          </w:tcPr>
          <w:p>
            <w:pPr>
              <w:pStyle w:val="1005"/>
              <w:ind w:left="57" w:right="57"/>
            </w:pPr>
            <w:r>
              <w:t xml:space="preserve">В</w:t>
            </w:r>
            <w:r>
              <w:t xml:space="preserve"> </w:t>
            </w:r>
            <w:r>
              <w:t xml:space="preserve">том числе: межбюдже</w:t>
            </w:r>
            <w:r>
              <w:t xml:space="preserve">т</w:t>
            </w:r>
            <w:r>
              <w:t xml:space="preserve">ные тран</w:t>
            </w:r>
            <w:r>
              <w:t xml:space="preserve">с</w:t>
            </w:r>
            <w:r>
              <w:t xml:space="preserve">ферты</w:t>
            </w:r>
            <w:r/>
          </w:p>
        </w:tc>
        <w:tc>
          <w:tcPr>
            <w:shd w:val="clear" w:fill="auto" w:color="auto"/>
            <w:tcW w:w="718" w:type="pct"/>
            <w:textDirection w:val="lrTb"/>
            <w:noWrap w:val="false"/>
          </w:tcPr>
          <w:p>
            <w:pPr>
              <w:pStyle w:val="1005"/>
              <w:ind w:left="57" w:right="57"/>
            </w:pPr>
            <w:r>
              <w:t xml:space="preserve">Код строки</w:t>
            </w:r>
            <w:r/>
          </w:p>
        </w:tc>
        <w:tc>
          <w:tcPr>
            <w:shd w:val="clear" w:fill="auto" w:color="auto"/>
            <w:tcW w:w="3506" w:type="pct"/>
            <w:textDirection w:val="lrTb"/>
            <w:noWrap w:val="false"/>
          </w:tcPr>
          <w:p>
            <w:pPr>
              <w:pStyle w:val="1005"/>
              <w:ind w:left="57" w:right="57"/>
            </w:pPr>
            <w:r>
              <w:t xml:space="preserve">Всегда указывается значение «0110». Недоступно для редактирования.</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Закон о бюджете</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Январь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Февраль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Март</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квартал</w:t>
            </w:r>
            <w:r/>
          </w:p>
        </w:tc>
        <w:tc>
          <w:tcPr>
            <w:shd w:val="clear" w:fill="auto" w:color="auto"/>
            <w:tcW w:w="3506" w:type="pct"/>
            <w:textDirection w:val="lrTb"/>
            <w:noWrap w:val="false"/>
          </w:tcPr>
          <w:p>
            <w:pPr>
              <w:pStyle w:val="1005"/>
              <w:ind w:left="57" w:right="57"/>
            </w:pPr>
            <w:r>
              <w:t xml:space="preserve">Заполняется автоматически суммой полей «Январь», «Февраль», «Март» строки с кодом «0110».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Апрель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Май</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Июнь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полугодие</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квартал», «Апрель», «Май», «Июнь», строки с кодом «0110».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Август</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Сентябрь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9 месяцев</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полугодие», «Июль», «Август», «Сентябрь», строки с кодом «0110».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Октябрь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Ноябрь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Декабрь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год</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9 месяцев», «Октябрь», «Ноябрь», «Декабрь» строки с кодом «0110».</w:t>
            </w:r>
            <w:r/>
          </w:p>
        </w:tc>
      </w:tr>
      <w:tr>
        <w:trPr>
          <w:trHeight w:val="77"/>
        </w:trPr>
        <w:tc>
          <w:tcPr>
            <w:shd w:val="clear" w:fill="auto" w:color="auto"/>
            <w:tcW w:w="776" w:type="pct"/>
            <w:vMerge w:val="restart"/>
            <w:textDirection w:val="lrTb"/>
            <w:noWrap w:val="false"/>
          </w:tcPr>
          <w:p>
            <w:pPr>
              <w:pStyle w:val="1005"/>
              <w:ind w:left="57" w:right="57"/>
            </w:pPr>
            <w:r>
              <w:t xml:space="preserve">КАССОВЫЕ ВЫПЛАТЫ ПО РАСХОДАМ</w:t>
            </w:r>
            <w:r>
              <w:t xml:space="preserve"> </w:t>
            </w:r>
            <w:r>
              <w:t xml:space="preserve">– </w:t>
            </w:r>
            <w:r>
              <w:t xml:space="preserve">всего</w:t>
            </w:r>
            <w:r/>
          </w:p>
        </w:tc>
        <w:tc>
          <w:tcPr>
            <w:shd w:val="clear" w:fill="auto" w:color="auto"/>
            <w:tcW w:w="718" w:type="pct"/>
            <w:textDirection w:val="lrTb"/>
            <w:noWrap w:val="false"/>
          </w:tcPr>
          <w:p>
            <w:pPr>
              <w:pStyle w:val="1005"/>
              <w:ind w:left="57" w:right="57"/>
            </w:pPr>
            <w:r>
              <w:t xml:space="preserve">Код строки</w:t>
            </w:r>
            <w:r/>
          </w:p>
        </w:tc>
        <w:tc>
          <w:tcPr>
            <w:shd w:val="clear" w:fill="auto" w:color="auto"/>
            <w:tcW w:w="3506" w:type="pct"/>
            <w:textDirection w:val="lrTb"/>
            <w:noWrap w:val="false"/>
          </w:tcPr>
          <w:p>
            <w:pPr>
              <w:pStyle w:val="1005"/>
              <w:ind w:left="57" w:right="57"/>
            </w:pPr>
            <w:r>
              <w:t xml:space="preserve">Всегда указывается значение «0200». Недоступно для редактирования.</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Закон о бюджете</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Январь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Февраль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Март</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квартал</w:t>
            </w:r>
            <w:r/>
          </w:p>
        </w:tc>
        <w:tc>
          <w:tcPr>
            <w:shd w:val="clear" w:fill="auto" w:color="auto"/>
            <w:tcW w:w="3506" w:type="pct"/>
            <w:textDirection w:val="lrTb"/>
            <w:noWrap w:val="false"/>
          </w:tcPr>
          <w:p>
            <w:pPr>
              <w:pStyle w:val="1005"/>
              <w:ind w:left="57" w:right="57"/>
            </w:pPr>
            <w:r>
              <w:t xml:space="preserve">Заполняется автоматически суммой полей «Январь», «Февраль», «Март» строки с кодом «0200».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Апрель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Май</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Июнь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полугодие</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квартал», «Апрель», «Май», «Июнь», строки с кодом «0200».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Август</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Сентябрь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9 месяцев</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полугодие», «Июль», «Август», «Сентябрь», строки с кодом «0200».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Октябрь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Ноябрь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Декабрь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год</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9 месяцев», «Октябрь», «Ноябрь», «Декабрь» строки с кодом «0200».</w:t>
            </w:r>
            <w:r/>
          </w:p>
        </w:tc>
      </w:tr>
      <w:tr>
        <w:trPr>
          <w:trHeight w:val="77"/>
        </w:trPr>
        <w:tc>
          <w:tcPr>
            <w:shd w:val="clear" w:fill="auto" w:color="auto"/>
            <w:tcW w:w="776" w:type="pct"/>
            <w:vMerge w:val="restart"/>
            <w:textDirection w:val="lrTb"/>
            <w:noWrap w:val="false"/>
          </w:tcPr>
          <w:p>
            <w:pPr>
              <w:pStyle w:val="1005"/>
              <w:ind w:left="57" w:right="57"/>
            </w:pPr>
            <w:r>
              <w:t xml:space="preserve">В</w:t>
            </w:r>
            <w:r>
              <w:t xml:space="preserve"> том числе: межбюдже</w:t>
            </w:r>
            <w:r>
              <w:t xml:space="preserve">т</w:t>
            </w:r>
            <w:r>
              <w:t xml:space="preserve">ные тран</w:t>
            </w:r>
            <w:r>
              <w:t xml:space="preserve">с</w:t>
            </w:r>
            <w:r>
              <w:t xml:space="preserve">ферты</w:t>
            </w:r>
            <w:r/>
          </w:p>
        </w:tc>
        <w:tc>
          <w:tcPr>
            <w:shd w:val="clear" w:fill="auto" w:color="auto"/>
            <w:tcW w:w="718" w:type="pct"/>
            <w:textDirection w:val="lrTb"/>
            <w:noWrap w:val="false"/>
          </w:tcPr>
          <w:p>
            <w:pPr>
              <w:pStyle w:val="1005"/>
              <w:ind w:left="57" w:right="57"/>
            </w:pPr>
            <w:r>
              <w:t xml:space="preserve">Код строки</w:t>
            </w:r>
            <w:r/>
          </w:p>
        </w:tc>
        <w:tc>
          <w:tcPr>
            <w:shd w:val="clear" w:fill="auto" w:color="auto"/>
            <w:tcW w:w="3506" w:type="pct"/>
            <w:textDirection w:val="lrTb"/>
            <w:noWrap w:val="false"/>
          </w:tcPr>
          <w:p>
            <w:pPr>
              <w:pStyle w:val="1005"/>
              <w:ind w:left="57" w:right="57"/>
            </w:pPr>
            <w:r>
              <w:t xml:space="preserve">Всегда указывается значение «0210». Недоступно для редактирования.</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Закон о бюджете</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Январь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Февраль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Март</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квартал</w:t>
            </w:r>
            <w:r/>
          </w:p>
        </w:tc>
        <w:tc>
          <w:tcPr>
            <w:shd w:val="clear" w:fill="auto" w:color="auto"/>
            <w:tcW w:w="3506" w:type="pct"/>
            <w:textDirection w:val="lrTb"/>
            <w:noWrap w:val="false"/>
          </w:tcPr>
          <w:p>
            <w:pPr>
              <w:pStyle w:val="1005"/>
              <w:ind w:left="57" w:right="57"/>
            </w:pPr>
            <w:r>
              <w:t xml:space="preserve">Заполняется автоматически суммой полей «Январь», «Февраль», «Март» строки с кодом «02</w:t>
            </w:r>
            <w:r>
              <w:t xml:space="preserve">1</w:t>
            </w:r>
            <w:r>
              <w:t xml:space="preserve">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Апрель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Май</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Июнь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полугодие</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квартал», «Апрель», «Май», «Июнь», строки с кодом «02</w:t>
            </w:r>
            <w:r>
              <w:t xml:space="preserve">1</w:t>
            </w:r>
            <w:r>
              <w:t xml:space="preserve">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Август</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Сентябрь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9 месяцев</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полугодие», «Июль», «Август», «Сентябрь», строки с кодом «02</w:t>
            </w:r>
            <w:r>
              <w:t xml:space="preserve">1</w:t>
            </w:r>
            <w:r>
              <w:t xml:space="preserve">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Октябрь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Ноябрь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Декабрь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год</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9 месяцев», «Октябрь», «Ноябрь», «Декабрь» строки с кодом «02</w:t>
            </w:r>
            <w:r>
              <w:t xml:space="preserve">1</w:t>
            </w:r>
            <w:r>
              <w:t xml:space="preserve">0».</w:t>
            </w:r>
            <w:r/>
          </w:p>
        </w:tc>
      </w:tr>
      <w:tr>
        <w:trPr>
          <w:trHeight w:val="77"/>
        </w:trPr>
        <w:tc>
          <w:tcPr>
            <w:shd w:val="clear" w:fill="auto" w:color="auto"/>
            <w:tcW w:w="776" w:type="pct"/>
            <w:vMerge w:val="restart"/>
            <w:textDirection w:val="lrTb"/>
            <w:noWrap w:val="false"/>
          </w:tcPr>
          <w:p>
            <w:pPr>
              <w:pStyle w:val="1005"/>
              <w:ind w:left="57" w:right="57"/>
            </w:pPr>
            <w:r>
              <w:t xml:space="preserve">ДЕФИЦИТ (-), ПРОФИЦИТ (+)</w:t>
            </w:r>
            <w:r/>
          </w:p>
        </w:tc>
        <w:tc>
          <w:tcPr>
            <w:shd w:val="clear" w:fill="auto" w:color="auto"/>
            <w:tcW w:w="718" w:type="pct"/>
            <w:textDirection w:val="lrTb"/>
            <w:noWrap w:val="false"/>
          </w:tcPr>
          <w:p>
            <w:pPr>
              <w:pStyle w:val="1005"/>
              <w:ind w:left="57" w:right="57"/>
            </w:pPr>
            <w:r>
              <w:t xml:space="preserve">Код строки</w:t>
            </w:r>
            <w:r/>
          </w:p>
        </w:tc>
        <w:tc>
          <w:tcPr>
            <w:shd w:val="clear" w:fill="auto" w:color="auto"/>
            <w:tcW w:w="3506" w:type="pct"/>
            <w:textDirection w:val="lrTb"/>
            <w:noWrap w:val="false"/>
          </w:tcPr>
          <w:p>
            <w:pPr>
              <w:pStyle w:val="1005"/>
              <w:ind w:left="57" w:right="57"/>
            </w:pPr>
            <w:r>
              <w:t xml:space="preserve">Всегда указывается значение «0300». Недоступно для редактирования.</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Закон о бюджете</w:t>
            </w:r>
            <w:r/>
          </w:p>
        </w:tc>
        <w:tc>
          <w:tcPr>
            <w:shd w:val="clear" w:fill="auto" w:color="auto"/>
            <w:tcW w:w="3506" w:type="pct"/>
            <w:textDirection w:val="lrTb"/>
            <w:noWrap w:val="false"/>
          </w:tcPr>
          <w:p>
            <w:pPr>
              <w:pStyle w:val="1005"/>
              <w:ind w:left="57" w:right="57"/>
            </w:pPr>
            <w:r>
              <w:t xml:space="preserve">Заполняется автоматически значением разности полей «Закон о бю</w:t>
            </w:r>
            <w:r>
              <w:t xml:space="preserve">д</w:t>
            </w:r>
            <w:r>
              <w:t xml:space="preserve">жете» строк «0100» и «0200». Недоступно для редактирования. При подсчете, если в полях не заполнены значения – считать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Январь</w:t>
            </w:r>
            <w:r/>
          </w:p>
        </w:tc>
        <w:tc>
          <w:tcPr>
            <w:shd w:val="clear" w:fill="auto" w:color="auto"/>
            <w:tcW w:w="3506" w:type="pct"/>
            <w:textDirection w:val="lrTb"/>
            <w:noWrap w:val="false"/>
          </w:tcPr>
          <w:p>
            <w:pPr>
              <w:pStyle w:val="1005"/>
              <w:ind w:left="57" w:right="57"/>
            </w:pPr>
            <w:r>
              <w:t xml:space="preserve">Заполняется автоматически значением разности полей «Январь» строк «0100» и «0200». Не доступно для редактирования. При подсчете, е</w:t>
            </w:r>
            <w:r>
              <w:t xml:space="preserve">с</w:t>
            </w:r>
            <w:r>
              <w:t xml:space="preserve">ли в полях не заполнены значения – считать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Февраль</w:t>
            </w:r>
            <w:r/>
          </w:p>
        </w:tc>
        <w:tc>
          <w:tcPr>
            <w:shd w:val="clear" w:fill="auto" w:color="auto"/>
            <w:tcW w:w="3506" w:type="pct"/>
            <w:textDirection w:val="lrTb"/>
            <w:noWrap w:val="false"/>
          </w:tcPr>
          <w:p>
            <w:pPr>
              <w:pStyle w:val="1005"/>
              <w:ind w:left="57" w:right="57"/>
            </w:pPr>
            <w:r>
              <w:t xml:space="preserve">Заполняется автоматически значением разности полей «Февраль» строк «0100» и «0200». Не доступно для редактирования. При подсч</w:t>
            </w:r>
            <w:r>
              <w:t xml:space="preserve">е</w:t>
            </w:r>
            <w:r>
              <w:t xml:space="preserve">те, если в полях не заполнены значения – считать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Март</w:t>
            </w:r>
            <w:r/>
          </w:p>
        </w:tc>
        <w:tc>
          <w:tcPr>
            <w:shd w:val="clear" w:fill="auto" w:color="auto"/>
            <w:tcW w:w="3506" w:type="pct"/>
            <w:textDirection w:val="lrTb"/>
            <w:noWrap w:val="false"/>
          </w:tcPr>
          <w:p>
            <w:pPr>
              <w:pStyle w:val="1005"/>
              <w:ind w:left="57" w:right="57"/>
            </w:pPr>
            <w:r>
              <w:t xml:space="preserve">Заполняется автоматически значением разности полей «Март» строк «0100» и «0200». Не доступно для редактирования. При подсчете, е</w:t>
            </w:r>
            <w:r>
              <w:t xml:space="preserve">с</w:t>
            </w:r>
            <w:r>
              <w:t xml:space="preserve">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квартал</w:t>
            </w:r>
            <w:r/>
          </w:p>
        </w:tc>
        <w:tc>
          <w:tcPr>
            <w:shd w:val="clear" w:fill="auto" w:color="auto"/>
            <w:tcW w:w="3506" w:type="pct"/>
            <w:textDirection w:val="lrTb"/>
            <w:noWrap w:val="false"/>
          </w:tcPr>
          <w:p>
            <w:pPr>
              <w:pStyle w:val="1005"/>
              <w:ind w:left="57" w:right="57"/>
            </w:pPr>
            <w:r>
              <w:t xml:space="preserve">Заполняется автоматически суммой полей «Январь», «Февраль», «Март» строки с кодом «0300».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Апрель</w:t>
            </w:r>
            <w:r/>
          </w:p>
        </w:tc>
        <w:tc>
          <w:tcPr>
            <w:shd w:val="clear" w:fill="auto" w:color="auto"/>
            <w:tcW w:w="3506" w:type="pct"/>
            <w:textDirection w:val="lrTb"/>
            <w:noWrap w:val="false"/>
          </w:tcPr>
          <w:p>
            <w:pPr>
              <w:pStyle w:val="1005"/>
              <w:ind w:left="57" w:right="57"/>
            </w:pPr>
            <w:r>
              <w:t xml:space="preserve">Заполняется автоматически значением разности полей «Апрель» строк «0100» и «0200». Не доступно для редактирования. При подсчете, е</w:t>
            </w:r>
            <w:r>
              <w:t xml:space="preserve">с</w:t>
            </w:r>
            <w:r>
              <w:t xml:space="preserve">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Май</w:t>
            </w:r>
            <w:r/>
          </w:p>
        </w:tc>
        <w:tc>
          <w:tcPr>
            <w:shd w:val="clear" w:fill="auto" w:color="auto"/>
            <w:tcW w:w="3506" w:type="pct"/>
            <w:textDirection w:val="lrTb"/>
            <w:noWrap w:val="false"/>
          </w:tcPr>
          <w:p>
            <w:pPr>
              <w:pStyle w:val="1005"/>
              <w:ind w:left="57" w:right="57"/>
            </w:pPr>
            <w:r>
              <w:t xml:space="preserve">Заполняется автоматически значением разности полей «Май» строк «0100» и «0200». Не доступно для редактирования. При подсчете, е</w:t>
            </w:r>
            <w:r>
              <w:t xml:space="preserve">с</w:t>
            </w:r>
            <w:r>
              <w:t xml:space="preserve">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Июнь</w:t>
            </w:r>
            <w:r/>
          </w:p>
        </w:tc>
        <w:tc>
          <w:tcPr>
            <w:shd w:val="clear" w:fill="auto" w:color="auto"/>
            <w:tcW w:w="3506" w:type="pct"/>
            <w:textDirection w:val="lrTb"/>
            <w:noWrap w:val="false"/>
          </w:tcPr>
          <w:p>
            <w:pPr>
              <w:pStyle w:val="1005"/>
              <w:ind w:left="57" w:right="57"/>
            </w:pPr>
            <w:r>
              <w:t xml:space="preserve">Заполняется автоматически значением разности полей «Июнь» строк «0100» и «0200». Не доступно для редактирования. При подсчете, е</w:t>
            </w:r>
            <w:r>
              <w:t xml:space="preserve">с</w:t>
            </w:r>
            <w:r>
              <w:t xml:space="preserve">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полугодие</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квартал», «Апрель», «Май», «Июнь», строки с кодом «0300».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Июль</w:t>
            </w:r>
            <w:r/>
          </w:p>
        </w:tc>
        <w:tc>
          <w:tcPr>
            <w:shd w:val="clear" w:fill="auto" w:color="auto"/>
            <w:tcW w:w="3506" w:type="pct"/>
            <w:textDirection w:val="lrTb"/>
            <w:noWrap w:val="false"/>
          </w:tcPr>
          <w:p>
            <w:pPr>
              <w:pStyle w:val="1005"/>
              <w:ind w:left="57" w:right="57"/>
            </w:pPr>
            <w:r>
              <w:t xml:space="preserve">Заполняется автоматически значением разности полей «Июль» строк «0100» и «0200». Не доступно для редактирования. При подсчете, е</w:t>
            </w:r>
            <w:r>
              <w:t xml:space="preserve">с</w:t>
            </w:r>
            <w:r>
              <w:t xml:space="preserve">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Август</w:t>
            </w:r>
            <w:r/>
          </w:p>
        </w:tc>
        <w:tc>
          <w:tcPr>
            <w:shd w:val="clear" w:fill="auto" w:color="auto"/>
            <w:tcW w:w="3506" w:type="pct"/>
            <w:textDirection w:val="lrTb"/>
            <w:noWrap w:val="false"/>
          </w:tcPr>
          <w:p>
            <w:pPr>
              <w:pStyle w:val="1005"/>
              <w:ind w:left="57" w:right="57"/>
            </w:pPr>
            <w:r>
              <w:t xml:space="preserve">Заполняется автоматически значением разности полей «Август» строк «0100» и «0200». Не доступно для редактирования. При подсчете, е</w:t>
            </w:r>
            <w:r>
              <w:t xml:space="preserve">с</w:t>
            </w:r>
            <w:r>
              <w:t xml:space="preserve">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Сентябрь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разности полей «Сентябрь» строк «0100» и «0200». Не доступно для редактирования. При подсч</w:t>
            </w:r>
            <w:r>
              <w:t xml:space="preserve">е</w:t>
            </w:r>
            <w:r>
              <w:t xml:space="preserve">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9 месяцев</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полугодие», «Июль», «Август», «Сентябрь», строки с кодом «0300».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Октябрь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разности полей «Октябрь» строк «0100» и «0200». Не доступно для редактирования. При под</w:t>
            </w:r>
            <w:r>
              <w:t xml:space="preserve">сч</w:t>
            </w:r>
            <w:r>
              <w:t xml:space="preserve">е</w:t>
            </w:r>
            <w:r>
              <w:t xml:space="preserve">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Ноябрь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разности полей «Ноябрь» строк «0100» и «0200». Не доступно для редактирования. При подсчете, е</w:t>
            </w:r>
            <w:r>
              <w:t xml:space="preserve">с</w:t>
            </w:r>
            <w:r>
              <w:t xml:space="preserve">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Декабрь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разности полей «Декабрь» строк «0100» и «0200». Не доступно для редактирования. При подсч</w:t>
            </w:r>
            <w:r>
              <w:t xml:space="preserve">е</w:t>
            </w:r>
            <w:r>
              <w:t xml:space="preserve">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год</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9 месяцев», «Октябрь», «Ноябрь», «Декабрь» строки с кодом «0300».</w:t>
            </w:r>
            <w:r/>
          </w:p>
        </w:tc>
      </w:tr>
      <w:tr>
        <w:trPr>
          <w:trHeight w:val="77"/>
        </w:trPr>
        <w:tc>
          <w:tcPr>
            <w:shd w:val="clear" w:fill="auto" w:color="auto"/>
            <w:tcW w:w="776" w:type="pct"/>
            <w:vMerge w:val="restart"/>
            <w:textDirection w:val="lrTb"/>
            <w:noWrap w:val="false"/>
          </w:tcPr>
          <w:p>
            <w:pPr>
              <w:pStyle w:val="1005"/>
              <w:ind w:left="57" w:right="57"/>
            </w:pPr>
            <w:r>
              <w:t xml:space="preserve">ИСТОЧНИКИ ФИНАНСИРОВАНИЯ ДЕФИЦИТА</w:t>
            </w:r>
            <w:r/>
          </w:p>
        </w:tc>
        <w:tc>
          <w:tcPr>
            <w:shd w:val="clear" w:fill="auto" w:color="auto"/>
            <w:tcW w:w="718" w:type="pct"/>
            <w:textDirection w:val="lrTb"/>
            <w:noWrap w:val="false"/>
          </w:tcPr>
          <w:p>
            <w:pPr>
              <w:pStyle w:val="1005"/>
              <w:ind w:left="57" w:right="57"/>
            </w:pPr>
            <w:r>
              <w:t xml:space="preserve">Код строки</w:t>
            </w:r>
            <w:r/>
          </w:p>
        </w:tc>
        <w:tc>
          <w:tcPr>
            <w:shd w:val="clear" w:fill="auto" w:color="auto"/>
            <w:tcW w:w="3506" w:type="pct"/>
            <w:textDirection w:val="lrTb"/>
            <w:noWrap w:val="false"/>
          </w:tcPr>
          <w:p>
            <w:pPr>
              <w:pStyle w:val="1005"/>
              <w:ind w:left="57" w:right="57"/>
            </w:pPr>
            <w:r>
              <w:t xml:space="preserve">Всегда указывается значение «0400». Не доступно для редактиров</w:t>
            </w:r>
            <w:r>
              <w:t xml:space="preserve">а</w:t>
            </w:r>
            <w:r>
              <w:t xml:space="preserve">ния.</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Закон о бюджете</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«Закон о бюджете»: строка «0500» минус строка «0600» плюс строка «0700». Не доступно для редактирования. При подсчете, если в полях не з</w:t>
            </w:r>
            <w:r>
              <w:t xml:space="preserve">а</w:t>
            </w:r>
            <w:r>
              <w:t xml:space="preserve">полнены значения – считать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Январь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«Январь»: строка «0500» минус строка «0600» плюс строка «0700». Не доступно для редактирования. При подсчете, если в полях не заполнены знач</w:t>
            </w:r>
            <w:r>
              <w:t xml:space="preserve">е</w:t>
            </w:r>
            <w:r>
              <w:t xml:space="preserve">ния – считать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Февраль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«Февраль»: строка «0500» минус строка «0600» плюс строка «0700». Не доступно для редактирования. При подсчете, если в полях не заполнены знач</w:t>
            </w:r>
            <w:r>
              <w:t xml:space="preserve">е</w:t>
            </w:r>
            <w:r>
              <w:t xml:space="preserve">ния – считать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Март</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«Март»: строка «0500» минус строка «0600» плюс строка «0700». Не доступно для редактирования. При подсчете, если в полях не заполнены знач</w:t>
            </w:r>
            <w:r>
              <w:t xml:space="preserve">е</w:t>
            </w:r>
            <w:r>
              <w:t xml:space="preserve">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квартал</w:t>
            </w:r>
            <w:r/>
          </w:p>
        </w:tc>
        <w:tc>
          <w:tcPr>
            <w:shd w:val="clear" w:fill="auto" w:color="auto"/>
            <w:tcW w:w="3506" w:type="pct"/>
            <w:textDirection w:val="lrTb"/>
            <w:noWrap w:val="false"/>
          </w:tcPr>
          <w:p>
            <w:pPr>
              <w:pStyle w:val="1005"/>
              <w:ind w:left="57" w:right="57"/>
            </w:pPr>
            <w:r>
              <w:t xml:space="preserve">Заполняется автоматически суммой полей «Январь», «Февраль», «Март» строки с кодом «0400».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Апрель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«Апрель»: строка «0500» минус строка «0600» плюс строка «0700». Не доступно для редактирования. При подсчете, если в полях не заполнены знач</w:t>
            </w:r>
            <w:r>
              <w:t xml:space="preserve">е</w:t>
            </w:r>
            <w:r>
              <w:t xml:space="preserve">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Май</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«Май»: стр</w:t>
            </w:r>
            <w:r>
              <w:t xml:space="preserve">о</w:t>
            </w:r>
            <w:r>
              <w:t xml:space="preserve">ка «0500» минус строка «0600» плюс строка «0700».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Июнь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«Июнь»: строка «0500» минус строка «0600» плюс строка «0700». Не доступно для редактирования. При подсчете, если в полях не заполнены знач</w:t>
            </w:r>
            <w:r>
              <w:t xml:space="preserve">е</w:t>
            </w:r>
            <w:r>
              <w:t xml:space="preserve">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полугодие</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квартал», «Апрель», «Май», «Июнь», строки с кодом «0400».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Июль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«Июль»: строка «0500» минус строка «0600» плюс строка «0700». Не доступно для редактирования. При подсчете, если в полях не заполнены знач</w:t>
            </w:r>
            <w:r>
              <w:t xml:space="preserve">е</w:t>
            </w:r>
            <w:r>
              <w:t xml:space="preserve">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Август</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«Август»: строка «0500» минус строка «0600» плюс строка «0700». Не доступно для редактирования. При подсчете, если в полях не заполнены знач</w:t>
            </w:r>
            <w:r>
              <w:t xml:space="preserve">е</w:t>
            </w:r>
            <w:r>
              <w:t xml:space="preserve">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Сентябрь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«Сентябрь»: строка «0500» минус строка «0600» плюс строка «0700». Не доступно для редактирования. При подсчете, если в полях не заполнены знач</w:t>
            </w:r>
            <w:r>
              <w:t xml:space="preserve">е</w:t>
            </w:r>
            <w:r>
              <w:t xml:space="preserve">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9 месяцев</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полугодие», «Июль», «Август», «Сентябрь», строки с кодом «0400».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Октябрь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«Октябрь»: строка «0500» минус строка «0600» плюс строка «0700». Не доступно для редактирования. При подсчете, если в полях не заполнены знач</w:t>
            </w:r>
            <w:r>
              <w:t xml:space="preserve">е</w:t>
            </w:r>
            <w:r>
              <w:t xml:space="preserve">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Ноябрь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«Ноябрь»: строка «0500» минус строка «0600» плюс строка «0700». Не доступно для редактирования. При подсчете, если в полях не заполнены знач</w:t>
            </w:r>
            <w:r>
              <w:t xml:space="preserve">е</w:t>
            </w:r>
            <w:r>
              <w:t xml:space="preserve">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Декабрь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«Декабрь»: строка «0500» минус строка «0600» плюс строка «0700». Не доступно для редактирования. При подсчете, если в полях не заполнены знач</w:t>
            </w:r>
            <w:r>
              <w:t xml:space="preserve">е</w:t>
            </w:r>
            <w:r>
              <w:t xml:space="preserve">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год</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9 месяцев», «Октябрь», «Ноябрь», «Декабрь» строки с кодом «0400».</w:t>
            </w:r>
            <w:r/>
          </w:p>
        </w:tc>
      </w:tr>
      <w:tr>
        <w:trPr>
          <w:trHeight w:val="77"/>
        </w:trPr>
        <w:tc>
          <w:tcPr>
            <w:shd w:val="clear" w:fill="auto" w:color="auto"/>
            <w:tcW w:w="776" w:type="pct"/>
            <w:vMerge w:val="restart"/>
            <w:textDirection w:val="lrTb"/>
            <w:noWrap w:val="false"/>
          </w:tcPr>
          <w:p>
            <w:pPr>
              <w:pStyle w:val="1005"/>
              <w:ind w:left="57" w:right="57"/>
            </w:pPr>
            <w:r>
              <w:t xml:space="preserve">Кассовые поступления по источн</w:t>
            </w:r>
            <w:r>
              <w:t xml:space="preserve">и</w:t>
            </w:r>
            <w:r>
              <w:t xml:space="preserve">кам фина</w:t>
            </w:r>
            <w:r>
              <w:t xml:space="preserve">н</w:t>
            </w:r>
            <w:r>
              <w:t xml:space="preserve">сирования дефицита – всего</w:t>
            </w:r>
            <w:r/>
          </w:p>
        </w:tc>
        <w:tc>
          <w:tcPr>
            <w:shd w:val="clear" w:fill="auto" w:color="auto"/>
            <w:tcW w:w="718" w:type="pct"/>
            <w:textDirection w:val="lrTb"/>
            <w:noWrap w:val="false"/>
          </w:tcPr>
          <w:p>
            <w:pPr>
              <w:pStyle w:val="1005"/>
              <w:ind w:left="57" w:right="57"/>
            </w:pPr>
            <w:r>
              <w:t xml:space="preserve">Код строки</w:t>
            </w:r>
            <w:r/>
          </w:p>
        </w:tc>
        <w:tc>
          <w:tcPr>
            <w:shd w:val="clear" w:fill="auto" w:color="auto"/>
            <w:tcW w:w="3506" w:type="pct"/>
            <w:textDirection w:val="lrTb"/>
            <w:noWrap w:val="false"/>
          </w:tcPr>
          <w:p>
            <w:pPr>
              <w:pStyle w:val="1005"/>
              <w:ind w:left="57" w:right="57"/>
            </w:pPr>
            <w:r>
              <w:t xml:space="preserve">Всегда указывается значение «0500». Не доступно для редактиров</w:t>
            </w:r>
            <w:r>
              <w:t xml:space="preserve">а</w:t>
            </w:r>
            <w:r>
              <w:t xml:space="preserve">ния.</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Закон о бюджете</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«Закон о бюджете»: строка «0510» плюс строка «0520». Не доступно для реда</w:t>
            </w:r>
            <w:r>
              <w:t xml:space="preserve">к</w:t>
            </w:r>
            <w:r>
              <w:t xml:space="preserve">тирования. При подсчете, если в полях не заполнены значения – сч</w:t>
            </w:r>
            <w:r>
              <w:t xml:space="preserve">и</w:t>
            </w:r>
            <w:r>
              <w:t xml:space="preserve">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Январь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«Январь»: строка «0510» плюс строка «0520». Не доступно для редактирования. При подсчете, если в полях не заполнены значения – считать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Февраль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«Февраль»: строка «0510» плюс строка «0520». Не доступно для редактирования. При подсчете, если в полях не заполнены значения – считать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Март</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«Март»: строка «0510» плюс строка «0520».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квартал</w:t>
            </w:r>
            <w:r/>
          </w:p>
        </w:tc>
        <w:tc>
          <w:tcPr>
            <w:shd w:val="clear" w:fill="auto" w:color="auto"/>
            <w:tcW w:w="3506" w:type="pct"/>
            <w:textDirection w:val="lrTb"/>
            <w:noWrap w:val="false"/>
          </w:tcPr>
          <w:p>
            <w:pPr>
              <w:pStyle w:val="1005"/>
              <w:ind w:left="57" w:right="57"/>
            </w:pPr>
            <w:r>
              <w:t xml:space="preserve">Заполняется автоматически суммой полей «Январь», «Февраль», «Март» строки с кодом «0500».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Апрель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«Апрель»: строка «0510» плюс строка «0520».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Май</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«Май»: стр</w:t>
            </w:r>
            <w:r>
              <w:t xml:space="preserve">о</w:t>
            </w:r>
            <w:r>
              <w:t xml:space="preserve">ка «0510» плюс строка «0520».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Июнь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«Июнь»: строка «0510» плюс строка «0520».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полугодие</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квартал», «Апрель», «Май», «Июнь», строки с кодом «0500».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Июль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«Июль»: строка «0510» плюс строка «0520».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Август</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«Август»: строка «0510» плюс строка «0520».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Сентябрь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«Сентябрь»: строка «0510» плюс строка «0520».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9 месяцев</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полугодие», «Июль», «Август», «Сентябрь», строки с кодом «0500».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Октябрь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«Октябрь»: строка «0510» плюс строка «0520».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Ноябрь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«Ноябрь»: строка «0510» плюс строка «0520».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Декабрь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«Декабрь»: строка «0510» плюс строка «0520».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год</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9 месяцев», «Октябрь», «Ноябрь», «Декабрь» строки с кодом «0500».</w:t>
            </w:r>
            <w:r/>
          </w:p>
        </w:tc>
      </w:tr>
      <w:tr>
        <w:trPr>
          <w:trHeight w:val="77"/>
        </w:trPr>
        <w:tc>
          <w:tcPr>
            <w:shd w:val="clear" w:fill="auto" w:color="auto"/>
            <w:tcW w:w="776" w:type="pct"/>
            <w:vMerge w:val="restart"/>
            <w:textDirection w:val="lrTb"/>
            <w:noWrap w:val="false"/>
          </w:tcPr>
          <w:p>
            <w:pPr>
              <w:pStyle w:val="1005"/>
              <w:ind w:left="57" w:right="57"/>
            </w:pPr>
            <w:r>
              <w:t xml:space="preserve">Внутренние</w:t>
            </w:r>
            <w:r/>
          </w:p>
        </w:tc>
        <w:tc>
          <w:tcPr>
            <w:shd w:val="clear" w:fill="auto" w:color="auto"/>
            <w:tcW w:w="718" w:type="pct"/>
            <w:textDirection w:val="lrTb"/>
            <w:noWrap w:val="false"/>
          </w:tcPr>
          <w:p>
            <w:pPr>
              <w:pStyle w:val="1005"/>
              <w:ind w:left="57" w:right="57"/>
            </w:pPr>
            <w:r>
              <w:t xml:space="preserve">Код строки</w:t>
            </w:r>
            <w:r/>
          </w:p>
        </w:tc>
        <w:tc>
          <w:tcPr>
            <w:shd w:val="clear" w:fill="auto" w:color="auto"/>
            <w:tcW w:w="3506" w:type="pct"/>
            <w:textDirection w:val="lrTb"/>
            <w:noWrap w:val="false"/>
          </w:tcPr>
          <w:p>
            <w:pPr>
              <w:pStyle w:val="1005"/>
              <w:ind w:left="57" w:right="57"/>
            </w:pPr>
            <w:r>
              <w:t xml:space="preserve">Всегда указывается значение «0510». Не доступно для редактиров</w:t>
            </w:r>
            <w:r>
              <w:t xml:space="preserve">а</w:t>
            </w:r>
            <w:r>
              <w:t xml:space="preserve">ния.</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Закон о бюджете</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Январь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Февраль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Март</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квартал</w:t>
            </w:r>
            <w:r/>
          </w:p>
        </w:tc>
        <w:tc>
          <w:tcPr>
            <w:shd w:val="clear" w:fill="auto" w:color="auto"/>
            <w:tcW w:w="3506" w:type="pct"/>
            <w:textDirection w:val="lrTb"/>
            <w:noWrap w:val="false"/>
          </w:tcPr>
          <w:p>
            <w:pPr>
              <w:pStyle w:val="1005"/>
              <w:ind w:left="57" w:right="57"/>
            </w:pPr>
            <w:r>
              <w:t xml:space="preserve">Заполняется автоматически суммой полей «Январь», «Февраль», «Март» строки с кодом «0510».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Апрель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Май</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Июнь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полугодие</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квартал», «Апрель», «Май», «Июнь», строки с кодом «0510».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Август</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Сентябрь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9 месяцев</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полугодие», «Июль», «Август», «Сентябрь», строки с кодом «0510».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Октябрь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Ноябрь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Декабрь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год</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9 месяцев», «Октябрь», «Ноябрь», «Декабрь» строки с кодом «0510».</w:t>
            </w:r>
            <w:r/>
          </w:p>
        </w:tc>
      </w:tr>
      <w:tr>
        <w:trPr>
          <w:trHeight w:val="77"/>
        </w:trPr>
        <w:tc>
          <w:tcPr>
            <w:shd w:val="clear" w:fill="auto" w:color="auto"/>
            <w:tcW w:w="776" w:type="pct"/>
            <w:vMerge w:val="restart"/>
            <w:textDirection w:val="lrTb"/>
            <w:noWrap w:val="false"/>
          </w:tcPr>
          <w:p>
            <w:pPr>
              <w:pStyle w:val="1005"/>
              <w:ind w:left="57" w:right="57"/>
            </w:pPr>
            <w:r>
              <w:t xml:space="preserve">В</w:t>
            </w:r>
            <w:r>
              <w:t xml:space="preserve"> том числе: получение бюджетных кредитов на пополнение остатков средств на </w:t>
            </w:r>
            <w:r>
              <w:t xml:space="preserve">счете бюдж</w:t>
            </w:r>
            <w:r>
              <w:t xml:space="preserve">е</w:t>
            </w:r>
            <w:r>
              <w:t xml:space="preserve">та</w:t>
            </w:r>
            <w:r/>
          </w:p>
        </w:tc>
        <w:tc>
          <w:tcPr>
            <w:shd w:val="clear" w:fill="auto" w:color="auto"/>
            <w:tcW w:w="718" w:type="pct"/>
            <w:textDirection w:val="lrTb"/>
            <w:noWrap w:val="false"/>
          </w:tcPr>
          <w:p>
            <w:pPr>
              <w:pStyle w:val="1005"/>
              <w:ind w:left="57" w:right="57"/>
            </w:pPr>
            <w:r>
              <w:t xml:space="preserve">Код строки</w:t>
            </w:r>
            <w:r/>
          </w:p>
        </w:tc>
        <w:tc>
          <w:tcPr>
            <w:shd w:val="clear" w:fill="auto" w:color="auto"/>
            <w:tcW w:w="3506" w:type="pct"/>
            <w:textDirection w:val="lrTb"/>
            <w:noWrap w:val="false"/>
          </w:tcPr>
          <w:p>
            <w:pPr>
              <w:pStyle w:val="1005"/>
              <w:ind w:left="57" w:right="57"/>
            </w:pPr>
            <w:r>
              <w:t xml:space="preserve">Всегда указывается значение «0511». Не доступно для редактиров</w:t>
            </w:r>
            <w:r>
              <w:t xml:space="preserve">а</w:t>
            </w:r>
            <w:r>
              <w:t xml:space="preserve">ния.</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Закон о бюджете</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Январь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Февраль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Март</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квартал</w:t>
            </w:r>
            <w:r/>
          </w:p>
        </w:tc>
        <w:tc>
          <w:tcPr>
            <w:shd w:val="clear" w:fill="auto" w:color="auto"/>
            <w:tcW w:w="3506" w:type="pct"/>
            <w:textDirection w:val="lrTb"/>
            <w:noWrap w:val="false"/>
          </w:tcPr>
          <w:p>
            <w:pPr>
              <w:pStyle w:val="1005"/>
              <w:ind w:left="57" w:right="57"/>
            </w:pPr>
            <w:r>
              <w:t xml:space="preserve">Заполняется автоматически суммой полей «Январь», «Февраль», «Март» строки с кодом «0511».</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Апрель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Май</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Июнь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полугодие</w:t>
            </w:r>
            <w:r/>
          </w:p>
        </w:tc>
        <w:tc>
          <w:tcPr>
            <w:shd w:val="clear" w:fill="auto" w:color="auto"/>
            <w:tcW w:w="3506" w:type="pct"/>
            <w:textDirection w:val="lrTb"/>
            <w:noWrap w:val="false"/>
          </w:tcPr>
          <w:p>
            <w:pPr>
              <w:pStyle w:val="1005"/>
              <w:ind w:left="57" w:right="57"/>
            </w:pPr>
            <w:r>
              <w:t xml:space="preserve">Заполняется автоматически суммой полей </w:t>
            </w:r>
            <w:r>
              <w:t xml:space="preserve">«</w:t>
            </w:r>
            <w:r>
              <w:t xml:space="preserve">ИТОГО за 1 квартал», «Апрель», «Май», «Июнь», строки с кодом «0511».</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Август</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Сентябрь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9 месяцев</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полугодие», «Июль», «Август», «Сентябрь», строки с кодом «0511».</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Октябрь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Ноябрь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Декабрь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год</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9 месяцев», «Октябрь», «Ноябрь», «Декабрь» строки с кодом «0511».</w:t>
            </w:r>
            <w:r/>
          </w:p>
        </w:tc>
      </w:tr>
      <w:tr>
        <w:trPr>
          <w:trHeight w:val="77"/>
        </w:trPr>
        <w:tc>
          <w:tcPr>
            <w:shd w:val="clear" w:fill="auto" w:color="auto"/>
            <w:tcW w:w="776" w:type="pct"/>
            <w:vMerge w:val="restart"/>
            <w:textDirection w:val="lrTb"/>
            <w:noWrap w:val="false"/>
          </w:tcPr>
          <w:p>
            <w:pPr>
              <w:pStyle w:val="1005"/>
              <w:ind w:left="57" w:right="57"/>
            </w:pPr>
            <w:r>
              <w:t xml:space="preserve">Внешние</w:t>
            </w:r>
            <w:r/>
          </w:p>
        </w:tc>
        <w:tc>
          <w:tcPr>
            <w:shd w:val="clear" w:fill="auto" w:color="auto"/>
            <w:tcW w:w="718" w:type="pct"/>
            <w:textDirection w:val="lrTb"/>
            <w:noWrap w:val="false"/>
          </w:tcPr>
          <w:p>
            <w:pPr>
              <w:pStyle w:val="1005"/>
              <w:ind w:left="57" w:right="57"/>
            </w:pPr>
            <w:r>
              <w:t xml:space="preserve">Код строки</w:t>
            </w:r>
            <w:r/>
          </w:p>
        </w:tc>
        <w:tc>
          <w:tcPr>
            <w:shd w:val="clear" w:fill="auto" w:color="auto"/>
            <w:tcW w:w="3506" w:type="pct"/>
            <w:textDirection w:val="lrTb"/>
            <w:noWrap w:val="false"/>
          </w:tcPr>
          <w:p>
            <w:pPr>
              <w:pStyle w:val="1005"/>
              <w:ind w:left="57" w:right="57"/>
            </w:pPr>
            <w:r>
              <w:t xml:space="preserve">Всегда указывается значение «0520». Не доступно для редактиров</w:t>
            </w:r>
            <w:r>
              <w:t xml:space="preserve">а</w:t>
            </w:r>
            <w:r>
              <w:t xml:space="preserve">ния.</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Закон о бюджете</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Январь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Февраль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Март</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квартал</w:t>
            </w:r>
            <w:r/>
          </w:p>
        </w:tc>
        <w:tc>
          <w:tcPr>
            <w:shd w:val="clear" w:fill="auto" w:color="auto"/>
            <w:tcW w:w="3506" w:type="pct"/>
            <w:textDirection w:val="lrTb"/>
            <w:noWrap w:val="false"/>
          </w:tcPr>
          <w:p>
            <w:pPr>
              <w:pStyle w:val="1005"/>
              <w:ind w:left="57" w:right="57"/>
            </w:pPr>
            <w:r>
              <w:t xml:space="preserve">Заполняется автоматически суммой полей «Январь», «Февраль», «Март» строки с кодом «0520».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Апрель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Май</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Июнь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полугодие</w:t>
            </w:r>
            <w:r/>
          </w:p>
        </w:tc>
        <w:tc>
          <w:tcPr>
            <w:shd w:val="clear" w:fill="auto" w:color="auto"/>
            <w:tcW w:w="3506" w:type="pct"/>
            <w:textDirection w:val="lrTb"/>
            <w:noWrap w:val="false"/>
          </w:tcPr>
          <w:p>
            <w:pPr>
              <w:pStyle w:val="1005"/>
              <w:ind w:left="57" w:right="57"/>
            </w:pPr>
            <w:r>
              <w:t xml:space="preserve">Заполняет</w:t>
            </w:r>
            <w:r>
              <w:t xml:space="preserve">ся автоматически суммой полей «</w:t>
            </w:r>
            <w:r>
              <w:t xml:space="preserve">ИТОГО за 1 квартал», «Апрель», «Май», «Июнь», строки с кодом «0520».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Август</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Сентябрь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9 месяцев</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полугодие», «Июль», «Август», «Сентябрь», строки с кодом «0520».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Октябрь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Ноябрь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Декабрь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год</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9 месяцев», «Октябрь», «Ноябрь», «Декабрь» строки с кодом «0520».</w:t>
            </w:r>
            <w:r/>
          </w:p>
        </w:tc>
      </w:tr>
      <w:tr>
        <w:trPr>
          <w:trHeight w:val="77"/>
        </w:trPr>
        <w:tc>
          <w:tcPr>
            <w:shd w:val="clear" w:fill="auto" w:color="auto"/>
            <w:tcW w:w="776" w:type="pct"/>
            <w:vMerge w:val="restart"/>
            <w:textDirection w:val="lrTb"/>
            <w:noWrap w:val="false"/>
          </w:tcPr>
          <w:p>
            <w:pPr>
              <w:pStyle w:val="1005"/>
              <w:ind w:left="57" w:right="57"/>
            </w:pPr>
            <w:r>
              <w:t xml:space="preserve">Кассовые выплаты по источникам финансир</w:t>
            </w:r>
            <w:r>
              <w:t xml:space="preserve">о</w:t>
            </w:r>
            <w:r>
              <w:t xml:space="preserve">вания деф</w:t>
            </w:r>
            <w:r>
              <w:t xml:space="preserve">и</w:t>
            </w:r>
            <w:r>
              <w:t xml:space="preserve">цита – всего</w:t>
            </w:r>
            <w:r/>
          </w:p>
        </w:tc>
        <w:tc>
          <w:tcPr>
            <w:shd w:val="clear" w:fill="auto" w:color="auto"/>
            <w:tcW w:w="718" w:type="pct"/>
            <w:textDirection w:val="lrTb"/>
            <w:noWrap w:val="false"/>
          </w:tcPr>
          <w:p>
            <w:pPr>
              <w:pStyle w:val="1005"/>
              <w:ind w:left="57" w:right="57"/>
            </w:pPr>
            <w:r>
              <w:t xml:space="preserve">Код строки</w:t>
            </w:r>
            <w:r/>
          </w:p>
        </w:tc>
        <w:tc>
          <w:tcPr>
            <w:shd w:val="clear" w:fill="auto" w:color="auto"/>
            <w:tcW w:w="3506" w:type="pct"/>
            <w:textDirection w:val="lrTb"/>
            <w:noWrap w:val="false"/>
          </w:tcPr>
          <w:p>
            <w:pPr>
              <w:pStyle w:val="1005"/>
              <w:ind w:left="57" w:right="57"/>
            </w:pPr>
            <w:r>
              <w:t xml:space="preserve">Всегда указывается значение «0600». Не доступно для редактиров</w:t>
            </w:r>
            <w:r>
              <w:t xml:space="preserve">а</w:t>
            </w:r>
            <w:r>
              <w:t xml:space="preserve">ния.</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Закон о бюджете</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«Закон о бюджете»: строка «0610» плюс строка «0620». Не доступно для реда</w:t>
            </w:r>
            <w:r>
              <w:t xml:space="preserve">к</w:t>
            </w:r>
            <w:r>
              <w:t xml:space="preserve">тирования. При подсчете, если в полях не заполнены значения – сч</w:t>
            </w:r>
            <w:r>
              <w:t xml:space="preserve">и</w:t>
            </w:r>
            <w:r>
              <w:t xml:space="preserve">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Январь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«Январь»: строка «0610» плюс строка «0620». Не доступно для редактирования. При подсчете, если в полях не заполнены значения – считать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Февраль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«Февраль»: строка «0610» плюс строка «0620». Не доступно для редактирования. При подсчете, если в полях не заполнены значения – считать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Март</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«Март»: строка «0610» плюс строка «0620».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квартал</w:t>
            </w:r>
            <w:r/>
          </w:p>
        </w:tc>
        <w:tc>
          <w:tcPr>
            <w:shd w:val="clear" w:fill="auto" w:color="auto"/>
            <w:tcW w:w="3506" w:type="pct"/>
            <w:textDirection w:val="lrTb"/>
            <w:noWrap w:val="false"/>
          </w:tcPr>
          <w:p>
            <w:pPr>
              <w:pStyle w:val="1005"/>
              <w:ind w:left="57" w:right="57"/>
            </w:pPr>
            <w:r>
              <w:t xml:space="preserve">Заполняется автоматически суммой полей «Январь», «Февраль», «Март» строки с кодом «0600».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Апрель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«Апрель»: строка «0610» плюс строка «0620».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Май</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«Май»: стр</w:t>
            </w:r>
            <w:r>
              <w:t xml:space="preserve">о</w:t>
            </w:r>
            <w:r>
              <w:t xml:space="preserve">ка «0610» плюс строка «0620».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Июнь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«Июнь»: строка «0610» плюс строка «0620».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полугодие</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квартал», «Апрель», «Май», «Июнь», строки с кодом «0600».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Июль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«Июль»: строка «0610» плюс строка «0620».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Август</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«Август»: строка «0610» плюс строка «0620».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Сентябрь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«Сентябрь»: строка «0610» плюс строка «0620».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9 месяцев</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полугодие», «Июль», «Август», «Сентябрь», строки с кодом «0600».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Октябрь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«Октябрь»: строка «0610» плюс строка «0620».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Ноябрь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«Ноябрь»: строка «0610» плюс строка «0620».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Декабрь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«Декабрь»: строка «0610» плюс строка «0620».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год</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9 месяцев», «Октябрь», «Ноябрь», «Декабрь» строки с кодом «0600».</w:t>
            </w:r>
            <w:r/>
          </w:p>
        </w:tc>
      </w:tr>
      <w:tr>
        <w:trPr>
          <w:trHeight w:val="77"/>
        </w:trPr>
        <w:tc>
          <w:tcPr>
            <w:shd w:val="clear" w:fill="auto" w:color="auto"/>
            <w:tcW w:w="776" w:type="pct"/>
            <w:vMerge w:val="restart"/>
            <w:textDirection w:val="lrTb"/>
            <w:noWrap w:val="false"/>
          </w:tcPr>
          <w:p>
            <w:pPr>
              <w:pStyle w:val="1005"/>
              <w:ind w:left="57" w:right="57"/>
            </w:pPr>
            <w:r>
              <w:t xml:space="preserve">Внутренние</w:t>
            </w:r>
            <w:r/>
          </w:p>
        </w:tc>
        <w:tc>
          <w:tcPr>
            <w:shd w:val="clear" w:fill="auto" w:color="auto"/>
            <w:tcW w:w="718" w:type="pct"/>
            <w:textDirection w:val="lrTb"/>
            <w:noWrap w:val="false"/>
          </w:tcPr>
          <w:p>
            <w:pPr>
              <w:pStyle w:val="1005"/>
              <w:ind w:left="57" w:right="57"/>
            </w:pPr>
            <w:r>
              <w:t xml:space="preserve">Код строки</w:t>
            </w:r>
            <w:r/>
          </w:p>
        </w:tc>
        <w:tc>
          <w:tcPr>
            <w:shd w:val="clear" w:fill="auto" w:color="auto"/>
            <w:tcW w:w="3506" w:type="pct"/>
            <w:textDirection w:val="lrTb"/>
            <w:noWrap w:val="false"/>
          </w:tcPr>
          <w:p>
            <w:pPr>
              <w:pStyle w:val="1005"/>
              <w:ind w:left="57" w:right="57"/>
            </w:pPr>
            <w:r>
              <w:t xml:space="preserve">Всегда указывается значение «0610». Не доступно для редактиров</w:t>
            </w:r>
            <w:r>
              <w:t xml:space="preserve">а</w:t>
            </w:r>
            <w:r>
              <w:t xml:space="preserve">ния.</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Закон о бюджете</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Январь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Февраль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Март</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квартал</w:t>
            </w:r>
            <w:r/>
          </w:p>
        </w:tc>
        <w:tc>
          <w:tcPr>
            <w:shd w:val="clear" w:fill="auto" w:color="auto"/>
            <w:tcW w:w="3506" w:type="pct"/>
            <w:textDirection w:val="lrTb"/>
            <w:noWrap w:val="false"/>
          </w:tcPr>
          <w:p>
            <w:pPr>
              <w:pStyle w:val="1005"/>
              <w:ind w:left="57" w:right="57"/>
            </w:pPr>
            <w:r>
              <w:t xml:space="preserve">Заполняется автоматически суммой полей «Январь», «Февраль», «Март» строки с кодом «0610».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Апрель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Май</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Июнь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полугодие</w:t>
            </w:r>
            <w:r/>
          </w:p>
        </w:tc>
        <w:tc>
          <w:tcPr>
            <w:shd w:val="clear" w:fill="auto" w:color="auto"/>
            <w:tcW w:w="3506" w:type="pct"/>
            <w:textDirection w:val="lrTb"/>
            <w:noWrap w:val="false"/>
          </w:tcPr>
          <w:p>
            <w:pPr>
              <w:pStyle w:val="1005"/>
              <w:ind w:left="57" w:right="57"/>
            </w:pPr>
            <w:r>
              <w:t xml:space="preserve">Заполняет</w:t>
            </w:r>
            <w:r>
              <w:t xml:space="preserve">ся автоматически суммой полей «</w:t>
            </w:r>
            <w:r>
              <w:t xml:space="preserve">ИТОГО за 1 квартал», «Апрель», «Май», «Июнь», строки с кодом «0610».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Август</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Сентябрь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9 месяцев</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полугодие», «Июль», «Август», «Сентябрь», строки с кодом «0610».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Октябрь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Ноябрь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Декабрь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год</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9 месяцев», «Октябрь», «Ноябрь», «Декабрь» строки с кодом «0610».</w:t>
            </w:r>
            <w:r/>
          </w:p>
        </w:tc>
      </w:tr>
      <w:tr>
        <w:trPr>
          <w:trHeight w:val="77"/>
        </w:trPr>
        <w:tc>
          <w:tcPr>
            <w:shd w:val="clear" w:fill="auto" w:color="auto"/>
            <w:tcW w:w="776" w:type="pct"/>
            <w:vMerge w:val="restart"/>
            <w:textDirection w:val="lrTb"/>
            <w:noWrap w:val="false"/>
          </w:tcPr>
          <w:p>
            <w:pPr>
              <w:pStyle w:val="1005"/>
              <w:ind w:left="57" w:right="57"/>
            </w:pPr>
            <w:r>
              <w:t xml:space="preserve">В</w:t>
            </w:r>
            <w:r>
              <w:t xml:space="preserve"> том числе: возврат бю</w:t>
            </w:r>
            <w:r>
              <w:t xml:space="preserve">д</w:t>
            </w:r>
            <w:r>
              <w:t xml:space="preserve">жетных кр</w:t>
            </w:r>
            <w:r>
              <w:t xml:space="preserve">е</w:t>
            </w:r>
            <w:r>
              <w:t xml:space="preserve">дитов на п</w:t>
            </w:r>
            <w:r>
              <w:t xml:space="preserve">о</w:t>
            </w:r>
            <w:r>
              <w:t xml:space="preserve">полнение о</w:t>
            </w:r>
            <w:r>
              <w:t xml:space="preserve">с</w:t>
            </w:r>
            <w:r>
              <w:t xml:space="preserve">татков </w:t>
            </w:r>
            <w:r>
              <w:t xml:space="preserve">средств на счете</w:t>
            </w:r>
            <w:r>
              <w:t xml:space="preserve"> бюдж</w:t>
            </w:r>
            <w:r>
              <w:t xml:space="preserve">е</w:t>
            </w:r>
            <w:r>
              <w:t xml:space="preserve">та</w:t>
            </w:r>
            <w:r/>
          </w:p>
        </w:tc>
        <w:tc>
          <w:tcPr>
            <w:shd w:val="clear" w:fill="auto" w:color="auto"/>
            <w:tcW w:w="718" w:type="pct"/>
            <w:textDirection w:val="lrTb"/>
            <w:noWrap w:val="false"/>
          </w:tcPr>
          <w:p>
            <w:pPr>
              <w:pStyle w:val="1005"/>
              <w:ind w:left="57" w:right="57"/>
            </w:pPr>
            <w:r>
              <w:t xml:space="preserve">Код строки</w:t>
            </w:r>
            <w:r/>
          </w:p>
        </w:tc>
        <w:tc>
          <w:tcPr>
            <w:shd w:val="clear" w:fill="auto" w:color="auto"/>
            <w:tcW w:w="3506" w:type="pct"/>
            <w:textDirection w:val="lrTb"/>
            <w:noWrap w:val="false"/>
          </w:tcPr>
          <w:p>
            <w:pPr>
              <w:pStyle w:val="1005"/>
              <w:ind w:left="57" w:right="57"/>
            </w:pPr>
            <w:r>
              <w:t xml:space="preserve">Всегда указывается значение «0611». Не доступно для редактиров</w:t>
            </w:r>
            <w:r>
              <w:t xml:space="preserve">а</w:t>
            </w:r>
            <w:r>
              <w:t xml:space="preserve">ния.</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Закон о бюджете</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Январь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Февраль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Март</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квартал</w:t>
            </w:r>
            <w:r/>
          </w:p>
        </w:tc>
        <w:tc>
          <w:tcPr>
            <w:shd w:val="clear" w:fill="auto" w:color="auto"/>
            <w:tcW w:w="3506" w:type="pct"/>
            <w:textDirection w:val="lrTb"/>
            <w:noWrap w:val="false"/>
          </w:tcPr>
          <w:p>
            <w:pPr>
              <w:pStyle w:val="1005"/>
              <w:ind w:left="57" w:right="57"/>
            </w:pPr>
            <w:r>
              <w:t xml:space="preserve">Заполняется автоматически суммой полей «Январь», «Февраль», «Март» строки с кодом «0611».</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Апрель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Май</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Июнь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полугодие</w:t>
            </w:r>
            <w:r/>
          </w:p>
        </w:tc>
        <w:tc>
          <w:tcPr>
            <w:shd w:val="clear" w:fill="auto" w:color="auto"/>
            <w:tcW w:w="3506" w:type="pct"/>
            <w:textDirection w:val="lrTb"/>
            <w:noWrap w:val="false"/>
          </w:tcPr>
          <w:p>
            <w:pPr>
              <w:pStyle w:val="1005"/>
              <w:ind w:left="57" w:right="57"/>
            </w:pPr>
            <w:r>
              <w:t xml:space="preserve">Заполняет</w:t>
            </w:r>
            <w:r>
              <w:t xml:space="preserve">ся автоматически суммой полей «</w:t>
            </w:r>
            <w:r>
              <w:t xml:space="preserve">ИТОГО за 1 квартал», «Апрель», «Май», «Июнь», строки с кодом «0611».</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Август</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Сентябрь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9 месяцев</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полугодие», «Июль», «Август», «Сентябрь», строки с кодом «0611».</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Октябрь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Ноябрь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Декабрь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год</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9 месяцев», «Октябрь», «Ноябрь», «Декабрь» строки с кодом «0611».</w:t>
            </w:r>
            <w:r/>
          </w:p>
        </w:tc>
      </w:tr>
      <w:tr>
        <w:trPr>
          <w:trHeight w:val="77"/>
        </w:trPr>
        <w:tc>
          <w:tcPr>
            <w:shd w:val="clear" w:fill="auto" w:color="auto"/>
            <w:tcW w:w="776" w:type="pct"/>
            <w:vMerge w:val="restart"/>
            <w:textDirection w:val="lrTb"/>
            <w:noWrap w:val="false"/>
          </w:tcPr>
          <w:p>
            <w:pPr>
              <w:pStyle w:val="1005"/>
              <w:ind w:left="57" w:right="57"/>
            </w:pPr>
            <w:r>
              <w:t xml:space="preserve">Внешние</w:t>
            </w:r>
            <w:r/>
          </w:p>
        </w:tc>
        <w:tc>
          <w:tcPr>
            <w:shd w:val="clear" w:fill="auto" w:color="auto"/>
            <w:tcW w:w="718" w:type="pct"/>
            <w:textDirection w:val="lrTb"/>
            <w:noWrap w:val="false"/>
          </w:tcPr>
          <w:p>
            <w:pPr>
              <w:pStyle w:val="1005"/>
              <w:ind w:left="57" w:right="57"/>
            </w:pPr>
            <w:r>
              <w:t xml:space="preserve">Код строки</w:t>
            </w:r>
            <w:r/>
          </w:p>
        </w:tc>
        <w:tc>
          <w:tcPr>
            <w:shd w:val="clear" w:fill="auto" w:color="auto"/>
            <w:tcW w:w="3506" w:type="pct"/>
            <w:textDirection w:val="lrTb"/>
            <w:noWrap w:val="false"/>
          </w:tcPr>
          <w:p>
            <w:pPr>
              <w:pStyle w:val="1005"/>
              <w:ind w:left="57" w:right="57"/>
            </w:pPr>
            <w:r>
              <w:t xml:space="preserve">Всегда указывается значение «0620». Не доступно для редактиров</w:t>
            </w:r>
            <w:r>
              <w:t xml:space="preserve">а</w:t>
            </w:r>
            <w:r>
              <w:t xml:space="preserve">ния.</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Закон о бюджете</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Январь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Февраль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Март</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квартал</w:t>
            </w:r>
            <w:r/>
          </w:p>
        </w:tc>
        <w:tc>
          <w:tcPr>
            <w:shd w:val="clear" w:fill="auto" w:color="auto"/>
            <w:tcW w:w="3506" w:type="pct"/>
            <w:textDirection w:val="lrTb"/>
            <w:noWrap w:val="false"/>
          </w:tcPr>
          <w:p>
            <w:pPr>
              <w:pStyle w:val="1005"/>
              <w:ind w:left="57" w:right="57"/>
            </w:pPr>
            <w:r>
              <w:t xml:space="preserve">Заполняется автоматически суммой полей «Январь», «Февраль», «Март» строки с кодом «0620».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Апрель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Май</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Июнь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полугодие</w:t>
            </w:r>
            <w:r/>
          </w:p>
        </w:tc>
        <w:tc>
          <w:tcPr>
            <w:shd w:val="clear" w:fill="auto" w:color="auto"/>
            <w:tcW w:w="3506" w:type="pct"/>
            <w:textDirection w:val="lrTb"/>
            <w:noWrap w:val="false"/>
          </w:tcPr>
          <w:p>
            <w:pPr>
              <w:pStyle w:val="1005"/>
              <w:ind w:left="57" w:right="57"/>
            </w:pPr>
            <w:r>
              <w:t xml:space="preserve">Заполняет</w:t>
            </w:r>
            <w:r>
              <w:t xml:space="preserve">ся автоматически суммой полей «</w:t>
            </w:r>
            <w:r>
              <w:t xml:space="preserve">ИТОГО за 1 квартал», «Апрель», «Май», «Июнь», строки с кодом «0620».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Июль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Август</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Сентябрь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9 месяцев</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полугодие», «Июль», «Август», «Сентябрь», строки с кодом «0620».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Октябрь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Ноябрь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Декабрь</w:t>
            </w:r>
            <w:r/>
          </w:p>
        </w:tc>
        <w:tc>
          <w:tcPr>
            <w:shd w:val="clear" w:fill="auto" w:color="auto"/>
            <w:tcW w:w="3506" w:type="pct"/>
            <w:textDirection w:val="lrTb"/>
            <w:noWrap w:val="false"/>
          </w:tcPr>
          <w:p>
            <w:pPr>
              <w:pStyle w:val="1005"/>
              <w:ind w:left="57" w:right="57"/>
            </w:pPr>
            <w:r>
              <w:t xml:space="preserve">Заполняется вручную.</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год</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9 месяцев», «Октябрь», «Ноябрь», «Декабрь» строки с кодом «0620».</w:t>
            </w:r>
            <w:r/>
          </w:p>
        </w:tc>
      </w:tr>
      <w:tr>
        <w:trPr>
          <w:trHeight w:val="77"/>
        </w:trPr>
        <w:tc>
          <w:tcPr>
            <w:shd w:val="clear" w:fill="auto" w:color="auto"/>
            <w:tcW w:w="776" w:type="pct"/>
            <w:vMerge w:val="restart"/>
            <w:textDirection w:val="lrTb"/>
            <w:noWrap w:val="false"/>
          </w:tcPr>
          <w:p>
            <w:pPr>
              <w:pStyle w:val="1005"/>
              <w:ind w:left="57" w:right="57"/>
            </w:pPr>
            <w:r>
              <w:t xml:space="preserve">Изменение остатков</w:t>
            </w:r>
            <w:r/>
          </w:p>
        </w:tc>
        <w:tc>
          <w:tcPr>
            <w:shd w:val="clear" w:fill="auto" w:color="auto"/>
            <w:tcW w:w="718" w:type="pct"/>
            <w:textDirection w:val="lrTb"/>
            <w:noWrap w:val="false"/>
          </w:tcPr>
          <w:p>
            <w:pPr>
              <w:pStyle w:val="1005"/>
              <w:ind w:left="57" w:right="57"/>
            </w:pPr>
            <w:r>
              <w:t xml:space="preserve">Код строки</w:t>
            </w:r>
            <w:r/>
          </w:p>
        </w:tc>
        <w:tc>
          <w:tcPr>
            <w:shd w:val="clear" w:fill="auto" w:color="auto"/>
            <w:tcW w:w="3506" w:type="pct"/>
            <w:textDirection w:val="lrTb"/>
            <w:noWrap w:val="false"/>
          </w:tcPr>
          <w:p>
            <w:pPr>
              <w:pStyle w:val="1005"/>
              <w:ind w:left="57" w:right="57"/>
            </w:pPr>
            <w:r>
              <w:t xml:space="preserve">Всегда указывается значение «0700». Не доступно для редактиров</w:t>
            </w:r>
            <w:r>
              <w:t xml:space="preserve">а</w:t>
            </w:r>
            <w:r>
              <w:t xml:space="preserve">ния.</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Закон о бюджете</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«Закон о бюджете»: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Январь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«Январь»: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Февраль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«Февраль»: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Март</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«Март»: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квартал</w:t>
            </w:r>
            <w:r/>
          </w:p>
        </w:tc>
        <w:tc>
          <w:tcPr>
            <w:shd w:val="clear" w:fill="auto" w:color="auto"/>
            <w:tcW w:w="3506" w:type="pct"/>
            <w:textDirection w:val="lrTb"/>
            <w:noWrap w:val="false"/>
          </w:tcPr>
          <w:p>
            <w:pPr>
              <w:pStyle w:val="1005"/>
              <w:ind w:left="57" w:right="57"/>
            </w:pPr>
            <w:r>
              <w:t xml:space="preserve">Заполняется автоматически суммой полей «Январь», «Февраль», «Март» строки с кодом «0700».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Апрель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«Апрель»: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Май</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«Май»: стр</w:t>
            </w:r>
            <w:r>
              <w:t xml:space="preserve">о</w:t>
            </w:r>
            <w:r>
              <w:t xml:space="preserve">ка «0200» плюс строка «0600» минус строка «0100» плюс строка «0500».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Июнь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«Июнь»: строка «0200» плюс строка «0600» минус строка «0100» плюс строка </w:t>
            </w:r>
            <w:r>
              <w:t xml:space="preserve">«0500».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полугодие</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квартал», «Апрель», «Май», «Июнь», строки с кодом «0700».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Июль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«Июль»: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Август</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«Август»: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Сентябрь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«Сентябрь»: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9 месяцев</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1 полугодие», «Июль», «Август», «Сентябрь», строки с кодом «0700».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Октябрь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«Октябрь»: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Ноябрь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«Ноябрь»: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Декабрь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«Декабрь»: строка «0200» плюс строка «0600» минус строка «0100» плюс строка «0500».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год</w:t>
            </w:r>
            <w:r/>
          </w:p>
        </w:tc>
        <w:tc>
          <w:tcPr>
            <w:shd w:val="clear" w:fill="auto" w:color="auto"/>
            <w:tcW w:w="3506" w:type="pct"/>
            <w:textDirection w:val="lrTb"/>
            <w:noWrap w:val="false"/>
          </w:tcPr>
          <w:p>
            <w:pPr>
              <w:pStyle w:val="1005"/>
              <w:ind w:left="57" w:right="57"/>
            </w:pPr>
            <w:r>
              <w:t xml:space="preserve">Заполняется автоматически суммой полей «ИТОГО за 9 месяцев», «Октябрь», «Ноябрь», «Декабрь» строки с кодом «0700».</w:t>
            </w:r>
            <w:r/>
          </w:p>
        </w:tc>
      </w:tr>
      <w:tr>
        <w:trPr>
          <w:trHeight w:val="77"/>
        </w:trPr>
        <w:tc>
          <w:tcPr>
            <w:shd w:val="clear" w:fill="auto" w:color="auto"/>
            <w:tcW w:w="776" w:type="pct"/>
            <w:vMerge w:val="restart"/>
            <w:textDirection w:val="lrTb"/>
            <w:noWrap w:val="false"/>
          </w:tcPr>
          <w:p>
            <w:pPr>
              <w:pStyle w:val="1005"/>
              <w:ind w:left="57" w:right="57"/>
            </w:pPr>
            <w:r>
              <w:t xml:space="preserve">Остатки на счетах на н</w:t>
            </w:r>
            <w:r>
              <w:t xml:space="preserve">а</w:t>
            </w:r>
            <w:r>
              <w:t xml:space="preserve">чало периода</w:t>
            </w:r>
            <w:r/>
          </w:p>
        </w:tc>
        <w:tc>
          <w:tcPr>
            <w:shd w:val="clear" w:fill="auto" w:color="auto"/>
            <w:tcW w:w="718" w:type="pct"/>
            <w:textDirection w:val="lrTb"/>
            <w:noWrap w:val="false"/>
          </w:tcPr>
          <w:p>
            <w:pPr>
              <w:pStyle w:val="1005"/>
              <w:ind w:left="57" w:right="57"/>
            </w:pPr>
            <w:r>
              <w:t xml:space="preserve">Код строки</w:t>
            </w:r>
            <w:r/>
          </w:p>
        </w:tc>
        <w:tc>
          <w:tcPr>
            <w:shd w:val="clear" w:fill="auto" w:color="auto"/>
            <w:tcW w:w="3506" w:type="pct"/>
            <w:textDirection w:val="lrTb"/>
            <w:noWrap w:val="false"/>
          </w:tcPr>
          <w:p>
            <w:pPr>
              <w:pStyle w:val="1005"/>
              <w:ind w:left="57" w:right="57"/>
            </w:pPr>
            <w:r>
              <w:t xml:space="preserve">Всегда указывается значение «0800». Не доступно для редактиров</w:t>
            </w:r>
            <w:r>
              <w:t xml:space="preserve">а</w:t>
            </w:r>
            <w:r>
              <w:t xml:space="preserve">ния.</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Закон о бюджете</w:t>
            </w:r>
            <w:r/>
          </w:p>
        </w:tc>
        <w:tc>
          <w:tcPr>
            <w:shd w:val="clear" w:fill="auto" w:color="auto"/>
            <w:tcW w:w="3506" w:type="pct"/>
            <w:textDirection w:val="lrTb"/>
            <w:noWrap w:val="false"/>
          </w:tcPr>
          <w:p>
            <w:pPr>
              <w:pStyle w:val="1005"/>
              <w:ind w:left="57" w:right="57"/>
            </w:pPr>
            <w:r>
              <w:t xml:space="preserve">Заполняется автоматически значением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Январь</w:t>
            </w:r>
            <w:r/>
          </w:p>
        </w:tc>
        <w:tc>
          <w:tcPr>
            <w:shd w:val="clear" w:fill="auto" w:color="auto"/>
            <w:tcW w:w="3506" w:type="pct"/>
            <w:textDirection w:val="lrTb"/>
            <w:noWrap w:val="false"/>
          </w:tcPr>
          <w:p>
            <w:pPr>
              <w:pStyle w:val="1005"/>
              <w:ind w:left="57" w:right="57"/>
            </w:pPr>
            <w:r>
              <w:t xml:space="preserve">Заполняется автоматически значением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Февраль</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«Январь» строки с кодом «0900». Не доступно для редактирования. При подсчете, если в полях не заполнены значения – считать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Март</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«Февраль» строки с кодом «0900».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квартал</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«Январь», строки с кодом «0800».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Апрель</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«Март» строки с кодом </w:t>
            </w:r>
            <w:r>
              <w:t xml:space="preserve">«0900».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Май</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«Апрель» строки с кодом «0900».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Июнь</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«Май» строки с кодом «0900».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полугодие</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«Январь» строки с кодом «0800».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Июль</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«Июнь» строки с кодом «0900».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Август</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«Июль» строки с кодом «0900».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Сентябрь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«Август» строки с кодом «0900».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9 месяцев</w:t>
            </w:r>
            <w:r/>
          </w:p>
        </w:tc>
        <w:tc>
          <w:tcPr>
            <w:shd w:val="clear" w:fill="auto" w:color="auto"/>
            <w:tcW w:w="3506" w:type="pct"/>
            <w:textDirection w:val="lrTb"/>
            <w:noWrap w:val="false"/>
          </w:tcPr>
          <w:p>
            <w:pPr>
              <w:pStyle w:val="1005"/>
              <w:ind w:left="57" w:right="57"/>
            </w:pPr>
            <w:r>
              <w:t xml:space="preserve">Заполняется автоматически суммой значением поля «Январь» строки с кодом «0800».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Октябрь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«Сентябрь» строки с к</w:t>
            </w:r>
            <w:r>
              <w:t xml:space="preserve">о</w:t>
            </w:r>
            <w:r>
              <w:t xml:space="preserve">дом «0900».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Ноябрь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«Октябрь» строки с кодом «0900».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Декабрь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«Ноябрь» строки с кодом «0900».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год</w:t>
            </w:r>
            <w:r/>
          </w:p>
        </w:tc>
        <w:tc>
          <w:tcPr>
            <w:shd w:val="clear" w:fill="auto" w:color="auto"/>
            <w:tcW w:w="3506" w:type="pct"/>
            <w:textDirection w:val="lrTb"/>
            <w:noWrap w:val="false"/>
          </w:tcPr>
          <w:p>
            <w:pPr>
              <w:pStyle w:val="1005"/>
              <w:ind w:left="57" w:right="57"/>
            </w:pPr>
            <w:r>
              <w:t xml:space="preserve">Заполняется автоматически суммой значением поля «Январь» строки с кодом «0800».</w:t>
            </w:r>
            <w:r/>
          </w:p>
        </w:tc>
      </w:tr>
      <w:tr>
        <w:trPr>
          <w:trHeight w:val="77"/>
        </w:trPr>
        <w:tc>
          <w:tcPr>
            <w:shd w:val="clear" w:fill="auto" w:color="auto"/>
            <w:tcW w:w="776" w:type="pct"/>
            <w:vMerge w:val="restart"/>
            <w:textDirection w:val="lrTb"/>
            <w:noWrap w:val="false"/>
          </w:tcPr>
          <w:p>
            <w:pPr>
              <w:pStyle w:val="1005"/>
              <w:ind w:left="57" w:right="57"/>
            </w:pPr>
            <w:r>
              <w:t xml:space="preserve">Остатки на счетах на к</w:t>
            </w:r>
            <w:r>
              <w:t xml:space="preserve">о</w:t>
            </w:r>
            <w:r>
              <w:t xml:space="preserve">нец периода</w:t>
            </w:r>
            <w:r/>
          </w:p>
        </w:tc>
        <w:tc>
          <w:tcPr>
            <w:shd w:val="clear" w:fill="auto" w:color="auto"/>
            <w:tcW w:w="718" w:type="pct"/>
            <w:textDirection w:val="lrTb"/>
            <w:noWrap w:val="false"/>
          </w:tcPr>
          <w:p>
            <w:pPr>
              <w:pStyle w:val="1005"/>
              <w:ind w:left="57" w:right="57"/>
            </w:pPr>
            <w:r>
              <w:t xml:space="preserve">Код строки</w:t>
            </w:r>
            <w:r/>
          </w:p>
        </w:tc>
        <w:tc>
          <w:tcPr>
            <w:shd w:val="clear" w:fill="auto" w:color="auto"/>
            <w:tcW w:w="3506" w:type="pct"/>
            <w:textDirection w:val="lrTb"/>
            <w:noWrap w:val="false"/>
          </w:tcPr>
          <w:p>
            <w:pPr>
              <w:pStyle w:val="1005"/>
              <w:ind w:left="57" w:right="57"/>
            </w:pPr>
            <w:r>
              <w:t xml:space="preserve">Всегда указывается значение «0900». Не доступно для редактиров</w:t>
            </w:r>
            <w:r>
              <w:t xml:space="preserve">а</w:t>
            </w:r>
            <w:r>
              <w:t xml:space="preserve">ния.</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Закон о бюджете</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«Закон о бюджете»: строка «0300» плюс строка «0400» плюс строка «0800» м</w:t>
            </w:r>
            <w:r>
              <w:t xml:space="preserve">и</w:t>
            </w:r>
            <w:r>
              <w:t xml:space="preserve">нус строка «0700».</w:t>
            </w:r>
            <w:r>
              <w:t xml:space="preserve"> Не доступно для редактирования. При подсчете, если в полях не заполнены значения – считать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Январь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«Январь»: строка «0300» плюс строка «0400» плюс ст</w:t>
            </w:r>
            <w:r>
              <w:t xml:space="preserve">рока «0800» минус строка «0700»</w:t>
            </w:r>
            <w:r>
              <w:t xml:space="preserve">. Не доступно для редактирования. При подсчете, если в полях не заполнены значения – считать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Февраль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«Февраль»: строка «0300» плюс строка «0400» плюс ст</w:t>
            </w:r>
            <w:r>
              <w:t xml:space="preserve">рока «0800» минус строка «0700»</w:t>
            </w:r>
            <w:r>
              <w:t xml:space="preserve">. Не доступно для редактирования. При подсчете, если в полях не заполнены значения – считать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Март</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«Март»: строка «0300» плюс строка «0400» плюс ст</w:t>
            </w:r>
            <w:r>
              <w:t xml:space="preserve">рока «0800» минус строка «0700»</w:t>
            </w:r>
            <w:r>
              <w:t xml:space="preserve">.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квартал</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«Март» строки с кодом «0900».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Апрель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«Апрель»: строка «0300» плюс строка «0400» плюс ст</w:t>
            </w:r>
            <w:r>
              <w:t xml:space="preserve">рока «0800» минус строка «0700»</w:t>
            </w:r>
            <w:r>
              <w:t xml:space="preserve">.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Май</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«Май»: стр</w:t>
            </w:r>
            <w:r>
              <w:t xml:space="preserve">о</w:t>
            </w:r>
            <w:r>
              <w:t xml:space="preserve">ка «0300» плюс строка «0400» плюс строка «0800» мину</w:t>
            </w:r>
            <w:r>
              <w:t xml:space="preserve">с строка «0700»</w:t>
            </w:r>
            <w:r>
              <w:t xml:space="preserve">.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Июнь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«Июнь»: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полугодие</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«Июнь» строки с кодом «0900».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Июль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«Июль»: строка «0300» плюс строка «0400» плюс строка «0800» минус строка «0700».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Август</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«Август»: строка «0300» плюс строка «0400» плюс ст</w:t>
            </w:r>
            <w:r>
              <w:t xml:space="preserve">рока «0800» минус строка «0700»</w:t>
            </w:r>
            <w:r>
              <w:t xml:space="preserve">.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Сентябрь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«Сентябрь»: строка «0300» плюс строка «0400» плюс ст</w:t>
            </w:r>
            <w:r>
              <w:t xml:space="preserve">рока «0800» минус строка «0700»</w:t>
            </w:r>
            <w:r>
              <w:t xml:space="preserve">.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9 месяцев</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«Сентябрь» строки с к</w:t>
            </w:r>
            <w:r>
              <w:t xml:space="preserve">о</w:t>
            </w:r>
            <w:r>
              <w:t xml:space="preserve">дом «0900».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Октябрь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«Октябрь»: строка «0300» плюс строка «0400» плюс ст</w:t>
            </w:r>
            <w:r>
              <w:t xml:space="preserve">рока «0800» минус строка «0700»</w:t>
            </w:r>
            <w:r>
              <w:t xml:space="preserve">.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Ноябрь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«Ноябрь»: строка «0300» плюс строка «0400» плюс ст</w:t>
            </w:r>
            <w:r>
              <w:t xml:space="preserve">рока «0800» минус строка «0700»</w:t>
            </w:r>
            <w:r>
              <w:t xml:space="preserve">.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Декабрь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«Декабрь»: строка «0300» плюс строка «0400» плюс ст</w:t>
            </w:r>
            <w:r>
              <w:t xml:space="preserve">рока «0800» минус строка «0700»</w:t>
            </w:r>
            <w:r>
              <w:t xml:space="preserve">.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w:t>
            </w:r>
            <w:r>
              <w:t xml:space="preserve">год</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«Декабрь» строки с ко</w:t>
            </w:r>
            <w:r>
              <w:t xml:space="preserve">дом «0900».</w:t>
            </w:r>
            <w:r/>
          </w:p>
        </w:tc>
      </w:tr>
      <w:tr>
        <w:trPr>
          <w:trHeight w:val="77"/>
        </w:trPr>
        <w:tc>
          <w:tcPr>
            <w:shd w:val="clear" w:fill="auto" w:color="auto"/>
            <w:tcW w:w="776" w:type="pct"/>
            <w:vMerge w:val="restart"/>
            <w:textDirection w:val="lrTb"/>
            <w:noWrap w:val="false"/>
          </w:tcPr>
          <w:p>
            <w:pPr>
              <w:pStyle w:val="1005"/>
              <w:ind w:left="57" w:right="57"/>
            </w:pPr>
            <w:r>
              <w:t xml:space="preserve">Объем бю</w:t>
            </w:r>
            <w:r>
              <w:t xml:space="preserve">д</w:t>
            </w:r>
            <w:r>
              <w:t xml:space="preserve">жетных кр</w:t>
            </w:r>
            <w:r>
              <w:t xml:space="preserve">е</w:t>
            </w:r>
            <w:r>
              <w:t xml:space="preserve">дитов на п</w:t>
            </w:r>
            <w:r>
              <w:t xml:space="preserve">о</w:t>
            </w:r>
            <w:r>
              <w:t xml:space="preserve">полнение о</w:t>
            </w:r>
            <w:r>
              <w:t xml:space="preserve">с</w:t>
            </w:r>
            <w:r>
              <w:t xml:space="preserve">татков средств на </w:t>
            </w:r>
            <w:r>
              <w:t xml:space="preserve">счете бюдж</w:t>
            </w:r>
            <w:r>
              <w:t xml:space="preserve">е</w:t>
            </w:r>
            <w:r>
              <w:t xml:space="preserve">та </w:t>
            </w:r>
            <w:r>
              <w:t xml:space="preserve">на начало периода</w:t>
            </w:r>
            <w:r/>
          </w:p>
        </w:tc>
        <w:tc>
          <w:tcPr>
            <w:shd w:val="clear" w:fill="auto" w:color="auto"/>
            <w:tcW w:w="718" w:type="pct"/>
            <w:textDirection w:val="lrTb"/>
            <w:noWrap w:val="false"/>
          </w:tcPr>
          <w:p>
            <w:pPr>
              <w:pStyle w:val="1005"/>
              <w:ind w:left="57" w:right="57"/>
            </w:pPr>
            <w:r>
              <w:t xml:space="preserve">Код строки</w:t>
            </w:r>
            <w:r/>
          </w:p>
        </w:tc>
        <w:tc>
          <w:tcPr>
            <w:shd w:val="clear" w:fill="auto" w:color="auto"/>
            <w:tcW w:w="3506" w:type="pct"/>
            <w:textDirection w:val="lrTb"/>
            <w:noWrap w:val="false"/>
          </w:tcPr>
          <w:p>
            <w:pPr>
              <w:pStyle w:val="1005"/>
              <w:ind w:left="57" w:right="57"/>
            </w:pPr>
            <w:r>
              <w:t xml:space="preserve">Всегда указывается значение «1000». Не доступно для редактиров</w:t>
            </w:r>
            <w:r>
              <w:t xml:space="preserve">а</w:t>
            </w:r>
            <w:r>
              <w:t xml:space="preserve">ния.</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Закон о бюджете</w:t>
            </w:r>
            <w:r/>
          </w:p>
        </w:tc>
        <w:tc>
          <w:tcPr>
            <w:shd w:val="clear" w:fill="auto" w:color="auto"/>
            <w:tcW w:w="3506" w:type="pct"/>
            <w:textDirection w:val="lrTb"/>
            <w:noWrap w:val="false"/>
          </w:tcPr>
          <w:p>
            <w:pPr>
              <w:pStyle w:val="1005"/>
              <w:ind w:left="57" w:right="57"/>
            </w:pPr>
            <w:r>
              <w:t xml:space="preserve">Заполняется автоматически значением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Январь</w:t>
            </w:r>
            <w:r/>
          </w:p>
        </w:tc>
        <w:tc>
          <w:tcPr>
            <w:shd w:val="clear" w:fill="auto" w:color="auto"/>
            <w:tcW w:w="3506" w:type="pct"/>
            <w:textDirection w:val="lrTb"/>
            <w:noWrap w:val="false"/>
          </w:tcPr>
          <w:p>
            <w:pPr>
              <w:pStyle w:val="1005"/>
              <w:ind w:left="57" w:right="57"/>
            </w:pPr>
            <w:r>
              <w:t xml:space="preserve">Заполняется автоматически значением 0.0. </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Февраль</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«Январь» строки с кодом «1100». Не доступно для редактирования. При подсчете, если в полях не заполнены значения – считать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Март</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«Февраль» строки с кодом «1100».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квартал</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«Январь», строки с кодом «1000».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Апрель</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«Март» строки с кодом «1100».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Май</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«Апрель» строки с кодом «1100».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Июнь</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«Май» строки с кодом «1100».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полугодие</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«Январь» строки с кодом «1000».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Июль</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«Июнь» строки с кодом «1100».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Август</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«Июль» строки с кодом «1100».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Сентябрь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«Август» строки с кодом «1100».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9 месяцев</w:t>
            </w:r>
            <w:r/>
          </w:p>
        </w:tc>
        <w:tc>
          <w:tcPr>
            <w:shd w:val="clear" w:fill="auto" w:color="auto"/>
            <w:tcW w:w="3506" w:type="pct"/>
            <w:textDirection w:val="lrTb"/>
            <w:noWrap w:val="false"/>
          </w:tcPr>
          <w:p>
            <w:pPr>
              <w:pStyle w:val="1005"/>
              <w:ind w:left="57" w:right="57"/>
            </w:pPr>
            <w:r>
              <w:t xml:space="preserve">Заполняется автоматически суммой значением поля «Январь» строки с кодом «1000».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Октябрь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«Сентябрь» строки с к</w:t>
            </w:r>
            <w:r>
              <w:t xml:space="preserve">о</w:t>
            </w:r>
            <w:r>
              <w:t xml:space="preserve">дом «1100».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Ноябрь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«Октябрь» строки с кодом «1100».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Декабрь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«Ноябрь» строки с кодом «1100».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год</w:t>
            </w:r>
            <w:r/>
          </w:p>
        </w:tc>
        <w:tc>
          <w:tcPr>
            <w:shd w:val="clear" w:fill="auto" w:color="auto"/>
            <w:tcW w:w="3506" w:type="pct"/>
            <w:textDirection w:val="lrTb"/>
            <w:noWrap w:val="false"/>
          </w:tcPr>
          <w:p>
            <w:pPr>
              <w:pStyle w:val="1005"/>
              <w:ind w:left="57" w:right="57"/>
            </w:pPr>
            <w:r>
              <w:t xml:space="preserve">Заполняется автоматически суммой значением поля «Январь» строки с кодом «1000».</w:t>
            </w:r>
            <w:r/>
          </w:p>
        </w:tc>
      </w:tr>
      <w:tr>
        <w:trPr>
          <w:trHeight w:val="77"/>
        </w:trPr>
        <w:tc>
          <w:tcPr>
            <w:shd w:val="clear" w:fill="auto" w:color="auto"/>
            <w:tcW w:w="776" w:type="pct"/>
            <w:vMerge w:val="restart"/>
            <w:textDirection w:val="lrTb"/>
            <w:noWrap w:val="false"/>
          </w:tcPr>
          <w:p>
            <w:pPr>
              <w:pStyle w:val="1005"/>
              <w:ind w:left="57" w:right="57"/>
            </w:pPr>
            <w:r>
              <w:t xml:space="preserve">Объем бю</w:t>
            </w:r>
            <w:r>
              <w:t xml:space="preserve">д</w:t>
            </w:r>
            <w:r>
              <w:t xml:space="preserve">жетных кр</w:t>
            </w:r>
            <w:r>
              <w:t xml:space="preserve">е</w:t>
            </w:r>
            <w:r>
              <w:t xml:space="preserve">дитов на п</w:t>
            </w:r>
            <w:r>
              <w:t xml:space="preserve">о</w:t>
            </w:r>
            <w:r>
              <w:t xml:space="preserve">полнение о</w:t>
            </w:r>
            <w:r>
              <w:t xml:space="preserve">с</w:t>
            </w:r>
            <w:r>
              <w:t xml:space="preserve">татков средств на </w:t>
            </w:r>
            <w:r>
              <w:t xml:space="preserve">счете бюдж</w:t>
            </w:r>
            <w:r>
              <w:t xml:space="preserve">е</w:t>
            </w:r>
            <w:r>
              <w:t xml:space="preserve">та </w:t>
            </w:r>
            <w:r>
              <w:t xml:space="preserve">на конец периода</w:t>
            </w:r>
            <w:r/>
          </w:p>
        </w:tc>
        <w:tc>
          <w:tcPr>
            <w:shd w:val="clear" w:fill="auto" w:color="auto"/>
            <w:tcW w:w="718" w:type="pct"/>
            <w:textDirection w:val="lrTb"/>
            <w:noWrap w:val="false"/>
          </w:tcPr>
          <w:p>
            <w:pPr>
              <w:pStyle w:val="1005"/>
              <w:ind w:left="57" w:right="57"/>
            </w:pPr>
            <w:r>
              <w:t xml:space="preserve">Код строки</w:t>
            </w:r>
            <w:r/>
          </w:p>
        </w:tc>
        <w:tc>
          <w:tcPr>
            <w:shd w:val="clear" w:fill="auto" w:color="auto"/>
            <w:tcW w:w="3506" w:type="pct"/>
            <w:textDirection w:val="lrTb"/>
            <w:noWrap w:val="false"/>
          </w:tcPr>
          <w:p>
            <w:pPr>
              <w:pStyle w:val="1005"/>
              <w:ind w:left="57" w:right="57"/>
            </w:pPr>
            <w:r>
              <w:t xml:space="preserve">Всегда указывается значение «1100». Не доступно для редактиров</w:t>
            </w:r>
            <w:r>
              <w:t xml:space="preserve">а</w:t>
            </w:r>
            <w:r>
              <w:t xml:space="preserve">ния.</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Закон о бюджете</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«Закон о бюджете»: строка «1000» плюс строка «0511» минус строка «0611». Не доступно для редактирования. При подсчете, если в полях не з</w:t>
            </w:r>
            <w:r>
              <w:t xml:space="preserve">а</w:t>
            </w:r>
            <w:r>
              <w:t xml:space="preserve">полнены значения – считать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Январь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«Январь»: строка «1000» плюс строка «0511» минус строка «0611». Не доступно для редактирования. При подсчете, если в полях не заполнены знач</w:t>
            </w:r>
            <w:r>
              <w:t xml:space="preserve">е</w:t>
            </w:r>
            <w:r>
              <w:t xml:space="preserve">ния – считать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Февраль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«Февраль»: строка «1000» плюс строка «0511» минус строка «0611». Не доступно для редактирования. При подсчете, если в полях не заполнены знач</w:t>
            </w:r>
            <w:r>
              <w:t xml:space="preserve">е</w:t>
            </w:r>
            <w:r>
              <w:t xml:space="preserve">ния – считать как 0.0.</w:t>
            </w:r>
            <w:r/>
          </w:p>
        </w:tc>
      </w:tr>
      <w:tr>
        <w:trPr>
          <w:trHeight w:val="70"/>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Март</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«Март»: строка «1000» плюс строка «0511» минус строка «0611». Не доступно для редактирования. При подсчете, если в полях не заполнены знач</w:t>
            </w:r>
            <w:r>
              <w:t xml:space="preserve">е</w:t>
            </w:r>
            <w:r>
              <w:t xml:space="preserve">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квартал</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«Март» строки с кодом «1100».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Апрель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«Апрель»: строка «1000» плюс строка «0511» минус строка «0611». Не доступно для редактирования. При подсчете, если в полях не заполнены знач</w:t>
            </w:r>
            <w:r>
              <w:t xml:space="preserve">е</w:t>
            </w:r>
            <w:r>
              <w:t xml:space="preserve">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Май</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«Май»: стр</w:t>
            </w:r>
            <w:r>
              <w:t xml:space="preserve">о</w:t>
            </w:r>
            <w:r>
              <w:t xml:space="preserve">ка «1000» плюс строка «0511» минус строка «0611». Не доступно для редактирования. При подсчете, если в полях не заполнены значения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Июнь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«Июнь»: строка «1000» плюс строка «0511» минус строка «0611». Не доступно для редактирования. При подсчете, если в полях не заполнены знач</w:t>
            </w:r>
            <w:r>
              <w:t xml:space="preserve">е</w:t>
            </w:r>
            <w:r>
              <w:t xml:space="preserve">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1 полугодие</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«Июнь» строки с кодом «1100».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Июль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«Июль»: строка «1000» плюс строка «0511» минус строка «0611». Не доступно для редактирования. При подсчете, если в полях не заполнены знач</w:t>
            </w:r>
            <w:r>
              <w:t xml:space="preserve">е</w:t>
            </w:r>
            <w:r>
              <w:t xml:space="preserve">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Август</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«Август»: строка «1000» плюс строка «0511» минус строка «0611». Не доступно для редактирования. При подсчете, если в полях не заполнены знач</w:t>
            </w:r>
            <w:r>
              <w:t xml:space="preserve">е</w:t>
            </w:r>
            <w:r>
              <w:t xml:space="preserve">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Сентябрь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«Сентябрь»: строка «1000» плюс строка «0511» минус строка «0611». Не доступно для редактирования. При подсчете, если в полях не заполнены знач</w:t>
            </w:r>
            <w:r>
              <w:t xml:space="preserve">е</w:t>
            </w:r>
            <w:r>
              <w:t xml:space="preserve">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9 месяцев</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«Сентябрь» строки с к</w:t>
            </w:r>
            <w:r>
              <w:t xml:space="preserve">о</w:t>
            </w:r>
            <w:r>
              <w:t xml:space="preserve">дом «1100».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Октябрь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«Октябрь»: строка «1000» плюс строка «0511» минус строка «0611». Не доступно для редактирования. При подсчете, если в полях не заполнены знач</w:t>
            </w:r>
            <w:r>
              <w:t xml:space="preserve">е</w:t>
            </w:r>
            <w:r>
              <w:t xml:space="preserve">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Ноябрь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«Ноябрь»: строка «1000» плюс строка «0511» минус строка «0611». Не доступно для редактирования. При подсчете, если в полях не заполнены знач</w:t>
            </w:r>
            <w:r>
              <w:t xml:space="preserve">е</w:t>
            </w:r>
            <w:r>
              <w:t xml:space="preserve">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Декабрь</w:t>
            </w:r>
            <w:r/>
          </w:p>
        </w:tc>
        <w:tc>
          <w:tcPr>
            <w:shd w:val="clear" w:fill="auto" w:color="auto"/>
            <w:tcW w:w="3506" w:type="pct"/>
            <w:textDirection w:val="lrTb"/>
            <w:noWrap w:val="false"/>
          </w:tcPr>
          <w:p>
            <w:pPr>
              <w:pStyle w:val="1005"/>
              <w:ind w:left="57" w:right="57"/>
            </w:pPr>
            <w:r>
              <w:t xml:space="preserve">Заполняется автоматически значением выражения полей «Декабрь»: строка «1000» плюс строка «0511» минус строка «0611». Не доступно для редактирования. При подсчете, если в полях не заполнены знач</w:t>
            </w:r>
            <w:r>
              <w:t xml:space="preserve">е</w:t>
            </w:r>
            <w:r>
              <w:t xml:space="preserve">ния – считать как 0.0.</w:t>
            </w:r>
            <w:r/>
          </w:p>
        </w:tc>
      </w:tr>
      <w:tr>
        <w:trPr>
          <w:trHeight w:val="77"/>
        </w:trPr>
        <w:tc>
          <w:tcPr>
            <w:shd w:val="clear" w:fill="auto" w:color="auto"/>
            <w:tcW w:w="776" w:type="pct"/>
            <w:vMerge w:val="continue"/>
            <w:textDirection w:val="lrTb"/>
            <w:noWrap w:val="false"/>
          </w:tcPr>
          <w:p>
            <w:pPr>
              <w:pStyle w:val="1005"/>
              <w:ind w:left="57" w:right="57"/>
            </w:pPr>
            <w:r/>
            <w:r/>
          </w:p>
        </w:tc>
        <w:tc>
          <w:tcPr>
            <w:shd w:val="clear" w:fill="auto" w:color="auto"/>
            <w:tcW w:w="718" w:type="pct"/>
            <w:textDirection w:val="lrTb"/>
            <w:noWrap w:val="false"/>
          </w:tcPr>
          <w:p>
            <w:pPr>
              <w:pStyle w:val="1005"/>
              <w:ind w:left="57" w:right="57"/>
            </w:pPr>
            <w:r>
              <w:t xml:space="preserve">ИТОГО за год</w:t>
            </w:r>
            <w:r/>
          </w:p>
        </w:tc>
        <w:tc>
          <w:tcPr>
            <w:shd w:val="clear" w:fill="auto" w:color="auto"/>
            <w:tcW w:w="3506" w:type="pct"/>
            <w:textDirection w:val="lrTb"/>
            <w:noWrap w:val="false"/>
          </w:tcPr>
          <w:p>
            <w:pPr>
              <w:pStyle w:val="1005"/>
              <w:ind w:left="57" w:right="57"/>
            </w:pPr>
            <w:r>
              <w:t xml:space="preserve">Заполняется автоматически значением поля «Декабрь» строки с кодом «1100».</w:t>
            </w:r>
            <w:r/>
          </w:p>
        </w:tc>
      </w:tr>
    </w:tbl>
    <w:p>
      <w:pPr>
        <w:pStyle w:val="972"/>
      </w:pPr>
      <w:r/>
      <w:bookmarkStart w:id="943" w:name="_Ref414952713"/>
      <w:r/>
      <w:bookmarkStart w:id="944" w:name="_Toc422496715"/>
      <w:r/>
      <w:bookmarkStart w:id="945" w:name="_Toc88819119"/>
      <w:r>
        <w:t xml:space="preserve">Прогноз движения средств на счете бюджета с детализацией по дням</w:t>
      </w:r>
      <w:bookmarkEnd w:id="943"/>
      <w:r/>
      <w:bookmarkEnd w:id="944"/>
      <w:r/>
      <w:bookmarkEnd w:id="945"/>
      <w:r/>
      <w:r/>
    </w:p>
    <w:p>
      <w:pPr>
        <w:pStyle w:val="994"/>
      </w:pPr>
      <w:r>
        <w:t xml:space="preserve">Документ «</w:t>
      </w:r>
      <w:r>
        <w:t xml:space="preserve">Прогноз движения средств на счете бюджета с детализацией по дням (ф. 05010X4)</w:t>
      </w:r>
      <w:r>
        <w:t xml:space="preserve">»</w:t>
      </w:r>
      <w:r>
        <w:t xml:space="preserve"> </w:t>
      </w:r>
      <w:r>
        <w:t xml:space="preserve">создается</w:t>
      </w:r>
      <w:r>
        <w:t xml:space="preserve"> </w:t>
      </w:r>
      <w:r>
        <w:t xml:space="preserve">в </w:t>
      </w:r>
      <w:r>
        <w:t xml:space="preserve">ППО СУФД АСФК</w:t>
      </w:r>
      <w:r>
        <w:t xml:space="preserve"> на АРМ ФО</w:t>
      </w:r>
      <w:r>
        <w:t xml:space="preserve">,</w:t>
      </w:r>
      <w:r>
        <w:t xml:space="preserve"> в котором разделы </w:t>
      </w:r>
      <w:r>
        <w:t xml:space="preserve">с детализац</w:t>
      </w:r>
      <w:r>
        <w:t xml:space="preserve">и</w:t>
      </w:r>
      <w:r>
        <w:t xml:space="preserve">ей по рабочим дням месяца </w:t>
      </w:r>
      <w:r>
        <w:t xml:space="preserve">заполняются вручную (итоговые поля заполняются автоматич</w:t>
      </w:r>
      <w:r>
        <w:t xml:space="preserve">е</w:t>
      </w:r>
      <w:r>
        <w:t xml:space="preserve">ски</w:t>
      </w:r>
      <w:r>
        <w:t xml:space="preserve">),</w:t>
      </w:r>
      <w:r>
        <w:t xml:space="preserve"> и далее направляется в ППО </w:t>
      </w:r>
      <w:r>
        <w:t xml:space="preserve">АСФК (Oracle Hyperion </w:t>
      </w:r>
      <w:r>
        <w:rPr>
          <w:lang w:val="en-US"/>
        </w:rPr>
        <w:t xml:space="preserve">Planning</w:t>
      </w:r>
      <w:r>
        <w:t xml:space="preserve">). В </w:t>
      </w:r>
      <w:r>
        <w:t xml:space="preserve">ППО OEBS АСФК</w:t>
      </w:r>
      <w:r>
        <w:t xml:space="preserve"> документ не пост</w:t>
      </w:r>
      <w:r>
        <w:t xml:space="preserve">у</w:t>
      </w:r>
      <w:r>
        <w:t xml:space="preserve">пает.</w:t>
      </w:r>
      <w:r/>
    </w:p>
    <w:p>
      <w:pPr>
        <w:pStyle w:val="994"/>
      </w:pPr>
      <w:r>
        <w:t xml:space="preserve">Для работы с документами «</w:t>
      </w:r>
      <w:r>
        <w:t xml:space="preserve">Прогноз движения средств на счете бюджета с детализац</w:t>
      </w:r>
      <w:r>
        <w:t xml:space="preserve">и</w:t>
      </w:r>
      <w:r>
        <w:t xml:space="preserve">ей по дням (ф. 05010X4)</w:t>
      </w:r>
      <w:r>
        <w:t xml:space="preserve">»</w:t>
      </w:r>
      <w:r>
        <w:t xml:space="preserve"> следует перейти в пункт меню «Д</w:t>
      </w:r>
      <w:r>
        <w:t xml:space="preserve">о</w:t>
      </w:r>
      <w:r>
        <w:t xml:space="preserve">кументы – </w:t>
      </w:r>
      <w:r>
        <w:t xml:space="preserve">Кассовое планиров</w:t>
      </w:r>
      <w:r>
        <w:t xml:space="preserve">а</w:t>
      </w:r>
      <w:r>
        <w:t xml:space="preserve">ние</w:t>
      </w:r>
      <w:r>
        <w:t xml:space="preserve"> – </w:t>
      </w:r>
      <w:r>
        <w:t xml:space="preserve">Прогноз движения средств на счете бюджета с детализацией по дням (ф. 05010X4)</w:t>
      </w:r>
      <w:r>
        <w:t xml:space="preserve">». Откроется ЭФ списка д</w:t>
      </w:r>
      <w:r>
        <w:t xml:space="preserve">о</w:t>
      </w:r>
      <w:r>
        <w:t xml:space="preserve">кументов, представленная на рису</w:t>
      </w:r>
      <w:r>
        <w:t xml:space="preserve">н</w:t>
      </w:r>
      <w:r>
        <w:t xml:space="preserve">ке </w:t>
      </w:r>
      <w:r>
        <w:fldChar w:fldCharType="begin"/>
      </w:r>
      <w:r>
        <w:instrText xml:space="preserve"> REF _Ref414369567 \h </w:instrText>
      </w:r>
      <w:r>
        <w:fldChar w:fldCharType="separate"/>
      </w:r>
      <w:r>
        <w:t xml:space="preserve">119</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3291840"/>
                <wp:effectExtent l="0" t="0" r="0" b="0"/>
                <wp:docPr id="19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85"/>
                        <a:stretch/>
                      </pic:blipFill>
                      <pic:spPr bwMode="auto">
                        <a:xfrm>
                          <a:off x="0" y="0"/>
                          <a:ext cx="6134100" cy="32918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4" o:spid="_x0000_s194" type="#_x0000_t75" style="mso-wrap-distance-left:0.0pt;mso-wrap-distance-top:0.0pt;mso-wrap-distance-right:0.0pt;mso-wrap-distance-bottom:0.0pt;width:483.0pt;height:259.2pt;" stroked="f">
                <v:path textboxrect="0,0,0,0"/>
                <v:imagedata r:id="rId185" o:title=""/>
              </v:shape>
            </w:pict>
          </mc:Fallback>
        </mc:AlternateContent>
      </w:r>
      <w:r/>
    </w:p>
    <w:p>
      <w:pPr>
        <w:pStyle w:val="983"/>
      </w:pPr>
      <w:r>
        <w:fldChar w:fldCharType="begin"/>
      </w:r>
      <w:r>
        <w:instrText xml:space="preserve"> SEQ Рисунок \* ARABIC </w:instrText>
      </w:r>
      <w:r>
        <w:fldChar w:fldCharType="separate"/>
      </w:r>
      <w:bookmarkStart w:id="946" w:name="_Ref414369567"/>
      <w:r/>
      <w:bookmarkStart w:id="947" w:name="_Toc88819504"/>
      <w:r>
        <w:t xml:space="preserve">119</w:t>
      </w:r>
      <w:bookmarkEnd w:id="946"/>
      <w:r>
        <w:fldChar w:fldCharType="end"/>
      </w:r>
      <w:r>
        <w:t xml:space="preserve">. ЭФ списка документов «</w:t>
      </w:r>
      <w:r>
        <w:t xml:space="preserve">Прогноз движения средств на счете бюджета с детализацией по дням (ф. 05010X4)</w:t>
      </w:r>
      <w:r>
        <w:t xml:space="preserve">»</w:t>
      </w:r>
      <w:bookmarkEnd w:id="947"/>
      <w:r/>
      <w:r/>
    </w:p>
    <w:p>
      <w:pPr>
        <w:pStyle w:val="973"/>
      </w:pPr>
      <w:r>
        <w:t xml:space="preserve">Доступные операции</w:t>
      </w:r>
      <w:r/>
    </w:p>
    <w:p>
      <w:pPr>
        <w:pStyle w:val="994"/>
      </w:pPr>
      <w:r>
        <w:t xml:space="preserve">На АРМ ФО доступны сле</w:t>
      </w:r>
      <w:r>
        <w:t xml:space="preserve">дующие операции над документом</w:t>
      </w:r>
      <w:r>
        <w:t xml:space="preserve">:</w:t>
      </w:r>
      <w:r/>
    </w:p>
    <w:p>
      <w:pPr>
        <w:pStyle w:val="985"/>
      </w:pPr>
      <w:r>
        <w:t xml:space="preserve">ручной ввод;</w:t>
      </w:r>
      <w:r/>
    </w:p>
    <w:p>
      <w:pPr>
        <w:pStyle w:val="985"/>
      </w:pPr>
      <w:r>
        <w:t xml:space="preserve">просмотр</w:t>
      </w:r>
      <w:r>
        <w:t xml:space="preserve"> и редактирование</w:t>
      </w:r>
      <w:r>
        <w:t xml:space="preserve">;</w:t>
      </w:r>
      <w:r/>
    </w:p>
    <w:p>
      <w:pPr>
        <w:pStyle w:val="985"/>
      </w:pPr>
      <w:r>
        <w:t xml:space="preserve">копирование и удаление;</w:t>
      </w:r>
      <w:r/>
    </w:p>
    <w:p>
      <w:pPr>
        <w:pStyle w:val="985"/>
      </w:pPr>
      <w:r>
        <w:t xml:space="preserve">подписание, проверка и удаление ЭП;</w:t>
      </w:r>
      <w:r/>
    </w:p>
    <w:p>
      <w:pPr>
        <w:pStyle w:val="985"/>
      </w:pPr>
      <w:r>
        <w:t xml:space="preserve">печать</w:t>
      </w:r>
      <w:r>
        <w:t xml:space="preserve">;</w:t>
      </w:r>
      <w:r/>
    </w:p>
    <w:p>
      <w:pPr>
        <w:pStyle w:val="985"/>
      </w:pPr>
      <w:r>
        <w:t xml:space="preserve">отправка с проверкой в </w:t>
      </w:r>
      <w:r>
        <w:t xml:space="preserve">ППО</w:t>
      </w:r>
      <w:r>
        <w:t xml:space="preserve"> </w:t>
      </w:r>
      <w:r>
        <w:t xml:space="preserve">АСФК</w:t>
      </w:r>
      <w:r>
        <w:t xml:space="preserve"> (</w:t>
      </w:r>
      <w:r>
        <w:t xml:space="preserve">Oracle</w:t>
      </w:r>
      <w:r>
        <w:t xml:space="preserve"> </w:t>
      </w:r>
      <w:r>
        <w:t xml:space="preserve">Hyperion</w:t>
      </w:r>
      <w:r>
        <w:t xml:space="preserve"> </w:t>
      </w:r>
      <w:r>
        <w:rPr>
          <w:lang w:val="en-US"/>
        </w:rPr>
        <w:t xml:space="preserve">Planning</w:t>
      </w:r>
      <w:r>
        <w:t xml:space="preserve">).</w:t>
      </w:r>
      <w:r/>
    </w:p>
    <w:p>
      <w:pPr>
        <w:pStyle w:val="973"/>
      </w:pPr>
      <w:r>
        <w:t xml:space="preserve">Экранная форма документа</w:t>
      </w:r>
      <w:r/>
    </w:p>
    <w:p>
      <w:pPr>
        <w:pStyle w:val="994"/>
      </w:pPr>
      <w:r>
        <w:t xml:space="preserve">ЭФ документа «</w:t>
      </w:r>
      <w:r>
        <w:t xml:space="preserve">Прогноз движения средств на счете бюд</w:t>
      </w:r>
      <w:r>
        <w:t xml:space="preserve">жета с детализацией по дням (ф.</w:t>
      </w:r>
      <w:r>
        <w:t xml:space="preserve"> </w:t>
      </w:r>
      <w:r>
        <w:t xml:space="preserve">05010X4)</w:t>
      </w:r>
      <w:r>
        <w:t xml:space="preserve">» представлена на рисунках </w:t>
      </w:r>
      <w:r>
        <w:fldChar w:fldCharType="begin"/>
      </w:r>
      <w:r>
        <w:instrText xml:space="preserve"> REF _Ref414369419 \h </w:instrText>
      </w:r>
      <w:r>
        <w:fldChar w:fldCharType="separate"/>
      </w:r>
      <w:r>
        <w:t xml:space="preserve">120</w:t>
      </w:r>
      <w:r>
        <w:fldChar w:fldCharType="end"/>
      </w:r>
      <w:r>
        <w:t xml:space="preserve">, </w:t>
      </w:r>
      <w:r>
        <w:fldChar w:fldCharType="begin"/>
      </w:r>
      <w:r>
        <w:instrText xml:space="preserve"> REF _Ref414369425 \h </w:instrText>
      </w:r>
      <w:r>
        <w:fldChar w:fldCharType="separate"/>
      </w:r>
      <w:r>
        <w:t xml:space="preserve">121</w:t>
      </w:r>
      <w:r>
        <w:fldChar w:fldCharType="end"/>
      </w:r>
      <w:r>
        <w:t xml:space="preserve">. Форма соде</w:t>
      </w:r>
      <w:r>
        <w:t xml:space="preserve">р</w:t>
      </w:r>
      <w:r>
        <w:t xml:space="preserve">жит сл</w:t>
      </w:r>
      <w:r>
        <w:t xml:space="preserve">е</w:t>
      </w:r>
      <w:r>
        <w:t xml:space="preserve">дующие закладки:</w:t>
      </w:r>
      <w:r/>
    </w:p>
    <w:p>
      <w:pPr>
        <w:pStyle w:val="985"/>
      </w:pPr>
      <w:r>
        <w:t xml:space="preserve">«</w:t>
      </w:r>
      <w:r>
        <w:t xml:space="preserve">Общая информация</w:t>
      </w:r>
      <w:r>
        <w:t xml:space="preserve">»;</w:t>
      </w:r>
      <w:r/>
    </w:p>
    <w:p>
      <w:pPr>
        <w:pStyle w:val="985"/>
      </w:pPr>
      <w:r>
        <w:t xml:space="preserve">«</w:t>
      </w:r>
      <w:r>
        <w:t xml:space="preserve">Показатели</w:t>
      </w:r>
      <w:r>
        <w:t xml:space="preserve">».</w:t>
      </w:r>
      <w:r/>
    </w:p>
    <w:p>
      <w:pPr>
        <w:pStyle w:val="982"/>
      </w:pPr>
      <w:r>
        <mc:AlternateContent>
          <mc:Choice Requires="wpg">
            <w:drawing>
              <wp:inline xmlns:wp="http://schemas.openxmlformats.org/drawingml/2006/wordprocessingDrawing" distT="0" distB="0" distL="0" distR="0">
                <wp:extent cx="6134100" cy="3474720"/>
                <wp:effectExtent l="0" t="0" r="0" b="0"/>
                <wp:docPr id="19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86"/>
                        <a:stretch/>
                      </pic:blipFill>
                      <pic:spPr bwMode="auto">
                        <a:xfrm>
                          <a:off x="0" y="0"/>
                          <a:ext cx="6134100" cy="34747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5" o:spid="_x0000_s195" type="#_x0000_t75" style="mso-wrap-distance-left:0.0pt;mso-wrap-distance-top:0.0pt;mso-wrap-distance-right:0.0pt;mso-wrap-distance-bottom:0.0pt;width:483.0pt;height:273.6pt;" stroked="f">
                <v:path textboxrect="0,0,0,0"/>
                <v:imagedata r:id="rId186" o:title=""/>
              </v:shape>
            </w:pict>
          </mc:Fallback>
        </mc:AlternateContent>
      </w:r>
      <w:r/>
    </w:p>
    <w:p>
      <w:pPr>
        <w:pStyle w:val="983"/>
      </w:pPr>
      <w:r>
        <w:fldChar w:fldCharType="begin"/>
      </w:r>
      <w:r>
        <w:instrText xml:space="preserve"> SEQ Рисунок \* ARABIC </w:instrText>
      </w:r>
      <w:r>
        <w:fldChar w:fldCharType="separate"/>
      </w:r>
      <w:bookmarkStart w:id="948" w:name="_Ref414369419"/>
      <w:r/>
      <w:bookmarkStart w:id="949" w:name="_Toc88819505"/>
      <w:r>
        <w:t xml:space="preserve">120</w:t>
      </w:r>
      <w:bookmarkEnd w:id="948"/>
      <w:r>
        <w:fldChar w:fldCharType="end"/>
      </w:r>
      <w:r>
        <w:t xml:space="preserve">. ЭФ документа «</w:t>
      </w:r>
      <w:r>
        <w:t xml:space="preserve">Прогноз движения средств на счете бюджета с детализацией по дням (ф. 05010X4)</w:t>
      </w:r>
      <w:r>
        <w:t xml:space="preserve">», закладки «</w:t>
      </w:r>
      <w:r>
        <w:t xml:space="preserve">Общая информация</w:t>
      </w:r>
      <w:r>
        <w:t xml:space="preserve">»</w:t>
      </w:r>
      <w:bookmarkEnd w:id="949"/>
      <w:r/>
      <w:r/>
    </w:p>
    <w:p>
      <w:pPr>
        <w:pStyle w:val="994"/>
      </w:pPr>
      <w:r>
        <w:t xml:space="preserve">Перечень полей документа «</w:t>
      </w:r>
      <w:r>
        <w:t xml:space="preserve">Прогноз движения средств на счете бюджета с детализац</w:t>
      </w:r>
      <w:r>
        <w:t xml:space="preserve">и</w:t>
      </w:r>
      <w:r>
        <w:t xml:space="preserve">ей по дням (ф.</w:t>
      </w:r>
      <w:r>
        <w:t xml:space="preserve"> </w:t>
      </w:r>
      <w:r>
        <w:t xml:space="preserve">05010X4)</w:t>
      </w:r>
      <w:r>
        <w:t xml:space="preserve">», закладки «</w:t>
      </w:r>
      <w:r>
        <w:t xml:space="preserve">Общая информация</w:t>
      </w:r>
      <w:r>
        <w:t xml:space="preserve">» приведен в таблице</w:t>
      </w:r>
      <w:r>
        <w:t xml:space="preserve"> </w:t>
      </w:r>
      <w:r>
        <w:fldChar w:fldCharType="begin"/>
      </w:r>
      <w:r>
        <w:instrText xml:space="preserve"> REF _Ref414369457 \h </w:instrText>
      </w:r>
      <w:r>
        <w:fldChar w:fldCharType="separate"/>
      </w:r>
      <w:r>
        <w:t xml:space="preserve">66</w:t>
      </w:r>
      <w:r>
        <w:fldChar w:fldCharType="end"/>
      </w:r>
      <w:r>
        <w:t xml:space="preserve">.</w:t>
      </w:r>
      <w:r/>
    </w:p>
    <w:p>
      <w:pPr>
        <w:pStyle w:val="993"/>
      </w:pPr>
      <w:r>
        <w:fldChar w:fldCharType="begin"/>
      </w:r>
      <w:r>
        <w:instrText xml:space="preserve"> SEQ Таблица \* ARABIC </w:instrText>
      </w:r>
      <w:r>
        <w:fldChar w:fldCharType="separate"/>
      </w:r>
      <w:bookmarkStart w:id="950" w:name="_Ref414369457"/>
      <w:r/>
      <w:bookmarkStart w:id="951" w:name="_Toc88819252"/>
      <w:r>
        <w:t xml:space="preserve">66</w:t>
      </w:r>
      <w:bookmarkEnd w:id="950"/>
      <w:r>
        <w:fldChar w:fldCharType="end"/>
      </w:r>
      <w:r>
        <w:t xml:space="preserve">. Описание полей документа «</w:t>
      </w:r>
      <w:r>
        <w:t xml:space="preserve">Прогноз движения средств на счете бюджета с детализацией по дням (ф. 05010X4)</w:t>
      </w:r>
      <w:r>
        <w:t xml:space="preserve">», закладки «</w:t>
      </w:r>
      <w:r>
        <w:t xml:space="preserve">Общая информация</w:t>
      </w:r>
      <w:r>
        <w:t xml:space="preserve">»</w:t>
      </w:r>
      <w:bookmarkEnd w:id="951"/>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3154"/>
        <w:gridCol w:w="6598"/>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61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383"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Основные реквизиты</w:t>
            </w:r>
            <w:r>
              <w:t xml:space="preserve">»</w:t>
            </w:r>
            <w:r/>
          </w:p>
        </w:tc>
      </w:tr>
      <w:tr>
        <w:trPr/>
        <w:tc>
          <w:tcPr>
            <w:shd w:val="clear" w:fill="auto" w:color="auto"/>
            <w:tcW w:w="1617" w:type="pct"/>
            <w:textDirection w:val="lrTb"/>
            <w:noWrap w:val="false"/>
          </w:tcPr>
          <w:p>
            <w:pPr>
              <w:pStyle w:val="1005"/>
              <w:ind w:left="57" w:right="57"/>
            </w:pPr>
            <w:r>
              <w:t xml:space="preserve">Дата</w:t>
            </w:r>
            <w:r/>
          </w:p>
        </w:tc>
        <w:tc>
          <w:tcPr>
            <w:shd w:val="clear" w:fill="auto" w:color="auto"/>
            <w:tcW w:w="3383" w:type="pct"/>
            <w:textDirection w:val="lrTb"/>
            <w:noWrap w:val="false"/>
          </w:tcPr>
          <w:p>
            <w:pPr>
              <w:pStyle w:val="1005"/>
              <w:ind w:left="57" w:right="57"/>
            </w:pPr>
            <w:r>
              <w:t xml:space="preserve">На АРМ ФО: Заполняется автоматически датой</w:t>
            </w:r>
            <w:r>
              <w:t xml:space="preserve"> </w:t>
            </w:r>
            <w:r>
              <w:t xml:space="preserve">по шаблону 01.MM.GGGG, где MM</w:t>
            </w:r>
            <w:r>
              <w:t xml:space="preserve"> – </w:t>
            </w:r>
            <w:r>
              <w:t xml:space="preserve">текущий месяц, GGGG</w:t>
            </w:r>
            <w:r>
              <w:t xml:space="preserve"> – </w:t>
            </w:r>
            <w:r>
              <w:t xml:space="preserve">текущий год</w:t>
            </w:r>
            <w:r>
              <w:t xml:space="preserve">.</w:t>
            </w:r>
            <w:r/>
          </w:p>
          <w:p>
            <w:pPr>
              <w:pStyle w:val="1005"/>
              <w:ind w:left="57" w:right="57"/>
            </w:pPr>
            <w:r>
              <w:t xml:space="preserve">Дата проставляется путем выбора из календаря или вручную</w:t>
            </w:r>
            <w:r>
              <w:t xml:space="preserve">,</w:t>
            </w:r>
            <w:r>
              <w:t xml:space="preserve"> и </w:t>
            </w:r>
            <w:r>
              <w:t xml:space="preserve">я</w:t>
            </w:r>
            <w:r>
              <w:t xml:space="preserve">в</w:t>
            </w:r>
            <w:r>
              <w:t xml:space="preserve">ляется</w:t>
            </w:r>
            <w:r>
              <w:t xml:space="preserve"> всегда первым днем месяца</w:t>
            </w:r>
            <w:r>
              <w:t xml:space="preserve">.</w:t>
            </w:r>
            <w:r/>
          </w:p>
        </w:tc>
      </w:tr>
      <w:tr>
        <w:trPr/>
        <w:tc>
          <w:tcPr>
            <w:shd w:val="clear" w:fill="auto" w:color="auto"/>
            <w:tcW w:w="1617" w:type="pct"/>
            <w:textDirection w:val="lrTb"/>
            <w:noWrap w:val="false"/>
          </w:tcPr>
          <w:p>
            <w:pPr>
              <w:pStyle w:val="1005"/>
              <w:ind w:left="57" w:right="57"/>
            </w:pPr>
            <w:r>
              <w:t xml:space="preserve">Наименование субъекта Ро</w:t>
            </w:r>
            <w:r>
              <w:t xml:space="preserve">с</w:t>
            </w:r>
            <w:r>
              <w:t xml:space="preserve">сийской Ф</w:t>
            </w:r>
            <w:r>
              <w:t xml:space="preserve">е</w:t>
            </w:r>
            <w:r>
              <w:t xml:space="preserve">дерации</w:t>
            </w:r>
            <w:r/>
          </w:p>
        </w:tc>
        <w:tc>
          <w:tcPr>
            <w:shd w:val="clear" w:fill="auto" w:color="auto"/>
            <w:tcW w:w="3383" w:type="pct"/>
            <w:textDirection w:val="lrTb"/>
            <w:noWrap w:val="false"/>
          </w:tcPr>
          <w:p>
            <w:pPr>
              <w:pStyle w:val="1005"/>
              <w:ind w:left="57" w:right="57"/>
            </w:pPr>
            <w:r>
              <w:t xml:space="preserve">На АРМ ФО: </w:t>
            </w:r>
            <w:r>
              <w:t xml:space="preserve">Заполняется вручную. Присутствует выбор из спр</w:t>
            </w:r>
            <w:r>
              <w:t xml:space="preserve">а</w:t>
            </w:r>
            <w:r>
              <w:t xml:space="preserve">вочн</w:t>
            </w:r>
            <w:r>
              <w:t xml:space="preserve">и</w:t>
            </w:r>
            <w:r>
              <w:t xml:space="preserve">ка «Регионы МФ».</w:t>
            </w:r>
            <w:r/>
          </w:p>
        </w:tc>
      </w:tr>
      <w:tr>
        <w:trPr/>
        <w:tc>
          <w:tcPr>
            <w:shd w:val="clear" w:fill="auto" w:color="auto"/>
            <w:tcW w:w="1617" w:type="pct"/>
            <w:textDirection w:val="lrTb"/>
            <w:noWrap w:val="false"/>
          </w:tcPr>
          <w:p>
            <w:pPr>
              <w:pStyle w:val="1005"/>
              <w:ind w:left="57" w:right="57"/>
            </w:pPr>
            <w:r>
              <w:t xml:space="preserve">Код субъекта Российской Ф</w:t>
            </w:r>
            <w:r>
              <w:t xml:space="preserve">е</w:t>
            </w:r>
            <w:r>
              <w:t xml:space="preserve">дерации</w:t>
            </w:r>
            <w:r/>
          </w:p>
        </w:tc>
        <w:tc>
          <w:tcPr>
            <w:shd w:val="clear" w:fill="auto" w:color="auto"/>
            <w:tcW w:w="3383" w:type="pct"/>
            <w:textDirection w:val="lrTb"/>
            <w:noWrap w:val="false"/>
          </w:tcPr>
          <w:p>
            <w:pPr>
              <w:pStyle w:val="1005"/>
              <w:ind w:left="57" w:right="57"/>
            </w:pPr>
            <w:r>
              <w:t xml:space="preserve">На АРМ ФО: </w:t>
            </w:r>
            <w:r>
              <w:t xml:space="preserve">Доступно для ручного ввода. </w:t>
            </w:r>
            <w:r/>
          </w:p>
          <w:p>
            <w:pPr>
              <w:pStyle w:val="1005"/>
              <w:ind w:left="57" w:right="57"/>
            </w:pPr>
            <w:r>
              <w:t xml:space="preserve">Заполняется автоматически из справочника «Регионы МФ» после выбора наименования субъекта РФ кодом ФНС. Если код ФНС дв</w:t>
            </w:r>
            <w:r>
              <w:t xml:space="preserve">у</w:t>
            </w:r>
            <w:r>
              <w:t xml:space="preserve">значный, то сп</w:t>
            </w:r>
            <w:r>
              <w:t xml:space="preserve">е</w:t>
            </w:r>
            <w:r>
              <w:t xml:space="preserve">реди добавляется 0</w:t>
            </w:r>
            <w:r>
              <w:t xml:space="preserve">.</w:t>
            </w:r>
            <w:r/>
          </w:p>
        </w:tc>
      </w:tr>
      <w:tr>
        <w:trPr/>
        <w:tc>
          <w:tcPr>
            <w:shd w:val="clear" w:fill="auto" w:color="auto"/>
            <w:tcW w:w="1617" w:type="pct"/>
            <w:textDirection w:val="lrTb"/>
            <w:noWrap w:val="false"/>
          </w:tcPr>
          <w:p>
            <w:pPr>
              <w:pStyle w:val="1005"/>
              <w:ind w:left="57" w:right="57"/>
            </w:pPr>
            <w:r>
              <w:t xml:space="preserve">Наименование УФК по суб</w:t>
            </w:r>
            <w:r>
              <w:t xml:space="preserve">ъ</w:t>
            </w:r>
            <w:r>
              <w:t xml:space="preserve">екту РФ</w:t>
            </w:r>
            <w:r/>
          </w:p>
        </w:tc>
        <w:tc>
          <w:tcPr>
            <w:shd w:val="clear" w:fill="auto" w:color="auto"/>
            <w:tcW w:w="3383" w:type="pct"/>
            <w:textDirection w:val="lrTb"/>
            <w:noWrap w:val="false"/>
          </w:tcPr>
          <w:p>
            <w:pPr>
              <w:pStyle w:val="1005"/>
              <w:ind w:left="57" w:right="57"/>
            </w:pPr>
            <w:r>
              <w:t xml:space="preserve">На АРМ ФО: </w:t>
            </w:r>
            <w:r>
              <w:t xml:space="preserve">Заполняется в соответствии с централизованным справочником «Справочник органов Федерального к</w:t>
            </w:r>
            <w:r>
              <w:t xml:space="preserve">а</w:t>
            </w:r>
            <w:r>
              <w:t xml:space="preserve">значейства». А</w:t>
            </w:r>
            <w:r>
              <w:t xml:space="preserve">в</w:t>
            </w:r>
            <w:r>
              <w:t xml:space="preserve">томатически подтягивается значение после выбора КОФК.</w:t>
            </w:r>
            <w:r/>
          </w:p>
        </w:tc>
      </w:tr>
      <w:tr>
        <w:trPr/>
        <w:tc>
          <w:tcPr>
            <w:shd w:val="clear" w:fill="auto" w:color="auto"/>
            <w:tcW w:w="1617" w:type="pct"/>
            <w:textDirection w:val="lrTb"/>
            <w:noWrap w:val="false"/>
          </w:tcPr>
          <w:p>
            <w:pPr>
              <w:pStyle w:val="1005"/>
              <w:ind w:left="57" w:right="57"/>
            </w:pPr>
            <w:r>
              <w:t xml:space="preserve">П</w:t>
            </w:r>
            <w:r>
              <w:t xml:space="preserve">о КОФК</w:t>
            </w:r>
            <w:r/>
          </w:p>
        </w:tc>
        <w:tc>
          <w:tcPr>
            <w:shd w:val="clear" w:fill="auto" w:color="auto"/>
            <w:tcW w:w="3383" w:type="pct"/>
            <w:textDirection w:val="lrTb"/>
            <w:noWrap w:val="false"/>
          </w:tcPr>
          <w:p>
            <w:pPr>
              <w:pStyle w:val="1005"/>
              <w:ind w:left="57" w:right="57"/>
            </w:pPr>
            <w:r>
              <w:t xml:space="preserve">На АРМ ФО: </w:t>
            </w:r>
            <w:r>
              <w:t xml:space="preserve">Заполняется вручную. Присутствует выбор из спр</w:t>
            </w:r>
            <w:r>
              <w:t xml:space="preserve">а</w:t>
            </w:r>
            <w:r>
              <w:t xml:space="preserve">вочника «Справочник органов Федерального казначе</w:t>
            </w:r>
            <w:r>
              <w:t xml:space="preserve">й</w:t>
            </w:r>
            <w:r>
              <w:t xml:space="preserve">ства».</w:t>
            </w:r>
            <w:r/>
          </w:p>
        </w:tc>
      </w:tr>
      <w:tr>
        <w:trPr/>
        <w:tc>
          <w:tcPr>
            <w:shd w:val="clear" w:fill="auto" w:color="auto"/>
            <w:tcW w:w="1617" w:type="pct"/>
            <w:textDirection w:val="lrTb"/>
            <w:noWrap w:val="false"/>
          </w:tcPr>
          <w:p>
            <w:pPr>
              <w:pStyle w:val="1005"/>
              <w:ind w:left="57" w:right="57"/>
            </w:pPr>
            <w:r>
              <w:t xml:space="preserve">Наименование бюджета</w:t>
            </w:r>
            <w:r/>
          </w:p>
        </w:tc>
        <w:tc>
          <w:tcPr>
            <w:shd w:val="clear" w:fill="auto" w:color="auto"/>
            <w:tcW w:w="3383" w:type="pct"/>
            <w:textDirection w:val="lrTb"/>
            <w:noWrap w:val="false"/>
          </w:tcPr>
          <w:p>
            <w:pPr>
              <w:pStyle w:val="1005"/>
              <w:ind w:left="57" w:right="57"/>
            </w:pPr>
            <w:r>
              <w:t xml:space="preserve">На АРМ ФО: Заполняется по умолчанию соответствующим наим</w:t>
            </w:r>
            <w:r>
              <w:t xml:space="preserve">е</w:t>
            </w:r>
            <w:r>
              <w:t xml:space="preserve">нованием из справочника «Бюджеты» на основании системной ко</w:t>
            </w:r>
            <w:r>
              <w:t xml:space="preserve">н</w:t>
            </w:r>
            <w:r>
              <w:t xml:space="preserve">станты </w:t>
            </w:r>
            <w:r>
              <w:t xml:space="preserve">SelfBudgetCode (Код бюджета)</w:t>
            </w:r>
            <w:r>
              <w:t xml:space="preserve">.</w:t>
            </w:r>
            <w:r/>
          </w:p>
          <w:p>
            <w:pPr>
              <w:pStyle w:val="1005"/>
              <w:ind w:left="57" w:right="57"/>
            </w:pPr>
            <w:r>
              <w:t xml:space="preserve">Доступен выбор из справочника «Бюджеты» и заполнение вру</w:t>
            </w:r>
            <w:r>
              <w:t xml:space="preserve">ч</w:t>
            </w:r>
            <w:r>
              <w:t xml:space="preserve">ную.</w:t>
            </w:r>
            <w:r/>
          </w:p>
        </w:tc>
      </w:tr>
      <w:tr>
        <w:trPr/>
        <w:tc>
          <w:tcPr>
            <w:shd w:val="clear" w:fill="auto" w:color="auto"/>
            <w:tcW w:w="1617" w:type="pct"/>
            <w:textDirection w:val="lrTb"/>
            <w:noWrap w:val="false"/>
          </w:tcPr>
          <w:p>
            <w:pPr>
              <w:pStyle w:val="1005"/>
              <w:ind w:left="57" w:right="57"/>
            </w:pPr>
            <w:r>
              <w:t xml:space="preserve">Код по ОКЕИ</w:t>
            </w:r>
            <w:r/>
          </w:p>
        </w:tc>
        <w:tc>
          <w:tcPr>
            <w:shd w:val="clear" w:fill="auto" w:color="auto"/>
            <w:tcW w:w="3383" w:type="pct"/>
            <w:textDirection w:val="lrTb"/>
            <w:noWrap w:val="false"/>
          </w:tcPr>
          <w:p>
            <w:pPr>
              <w:pStyle w:val="1005"/>
              <w:ind w:left="57" w:right="57"/>
            </w:pPr>
            <w:r>
              <w:t xml:space="preserve">На АРМ ФО:</w:t>
            </w:r>
            <w:r>
              <w:t xml:space="preserve"> </w:t>
            </w:r>
            <w:r>
              <w:t xml:space="preserve">Доступен выбор из справочника «ОКЕИ».</w:t>
            </w:r>
            <w:r>
              <w:t xml:space="preserve"> </w:t>
            </w:r>
            <w:r>
              <w:t xml:space="preserve">Поле до</w:t>
            </w:r>
            <w:r>
              <w:t xml:space="preserve">с</w:t>
            </w:r>
            <w:r>
              <w:t xml:space="preserve">тупно для ручного ввода. По умолчанию 384</w:t>
            </w:r>
            <w:r>
              <w:t xml:space="preserve">.</w:t>
            </w:r>
            <w:r/>
          </w:p>
        </w:tc>
      </w:tr>
      <w:tr>
        <w:trPr/>
        <w:tc>
          <w:tcPr>
            <w:shd w:val="clear" w:fill="auto" w:color="auto"/>
            <w:tcW w:w="1617" w:type="pct"/>
            <w:textDirection w:val="lrTb"/>
            <w:noWrap w:val="false"/>
          </w:tcPr>
          <w:p>
            <w:pPr>
              <w:pStyle w:val="1005"/>
              <w:ind w:left="57" w:right="57"/>
            </w:pPr>
            <w:r>
              <w:t xml:space="preserve">Единица измерения</w:t>
            </w:r>
            <w:r/>
          </w:p>
        </w:tc>
        <w:tc>
          <w:tcPr>
            <w:shd w:val="clear" w:fill="auto" w:color="auto"/>
            <w:tcW w:w="3383" w:type="pct"/>
            <w:textDirection w:val="lrTb"/>
            <w:noWrap w:val="false"/>
          </w:tcPr>
          <w:p>
            <w:pPr>
              <w:pStyle w:val="1005"/>
              <w:ind w:left="57" w:right="57"/>
            </w:pPr>
            <w:r>
              <w:t xml:space="preserve">На АРМ ФО: </w:t>
            </w:r>
            <w:r>
              <w:t xml:space="preserve">При создании заполняется значением «</w:t>
            </w:r>
            <w:r>
              <w:t xml:space="preserve">тыс</w:t>
            </w:r>
            <w:r>
              <w:t xml:space="preserve">. руб.».</w:t>
            </w:r>
            <w:r>
              <w:t xml:space="preserve"> </w:t>
            </w:r>
            <w:r>
              <w:t xml:space="preserve">П</w:t>
            </w:r>
            <w:r>
              <w:t xml:space="preserve">о</w:t>
            </w:r>
            <w:r>
              <w:t xml:space="preserve">ле доступно для реда</w:t>
            </w:r>
            <w:r>
              <w:t xml:space="preserve">к</w:t>
            </w:r>
            <w:r>
              <w:t xml:space="preserve">тирования. </w:t>
            </w:r>
            <w:r/>
          </w:p>
          <w:p>
            <w:pPr>
              <w:pStyle w:val="1005"/>
              <w:ind w:left="57" w:right="57"/>
            </w:pPr>
            <w:r>
              <w:t xml:space="preserve">Автоматически подтягивается значение после выбора значения «Код по ОКЕИ» из справочника «ОКЕИ».</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Финансовый орган субъекта РФ</w:t>
            </w:r>
            <w:r>
              <w:t xml:space="preserve">»</w:t>
            </w:r>
            <w:r/>
          </w:p>
        </w:tc>
      </w:tr>
      <w:tr>
        <w:trPr/>
        <w:tc>
          <w:tcPr>
            <w:shd w:val="clear" w:fill="auto" w:color="auto"/>
            <w:tcW w:w="1617" w:type="pct"/>
            <w:textDirection w:val="lrTb"/>
            <w:noWrap w:val="false"/>
          </w:tcPr>
          <w:p>
            <w:pPr>
              <w:pStyle w:val="1005"/>
              <w:ind w:left="57" w:right="57"/>
            </w:pPr>
            <w:r>
              <w:t xml:space="preserve">Руководитель (уполном</w:t>
            </w:r>
            <w:r>
              <w:t xml:space="preserve">о</w:t>
            </w:r>
            <w:r>
              <w:t xml:space="preserve">че</w:t>
            </w:r>
            <w:r>
              <w:t xml:space="preserve">н</w:t>
            </w:r>
            <w:r>
              <w:t xml:space="preserve">ное лицо). Должность</w:t>
            </w:r>
            <w:r/>
          </w:p>
        </w:tc>
        <w:tc>
          <w:tcPr>
            <w:shd w:val="clear" w:fill="auto" w:color="auto"/>
            <w:tcW w:w="3383" w:type="pct"/>
            <w:textDirection w:val="lrTb"/>
            <w:noWrap w:val="false"/>
          </w:tcPr>
          <w:p>
            <w:pPr>
              <w:pStyle w:val="1005"/>
              <w:ind w:left="57" w:right="57"/>
            </w:pPr>
            <w:r>
              <w:t xml:space="preserve">На АРМ ФО: </w:t>
            </w:r>
            <w:r>
              <w:t xml:space="preserve">Заполняется вручную.</w:t>
            </w:r>
            <w:r/>
          </w:p>
        </w:tc>
      </w:tr>
      <w:tr>
        <w:trPr/>
        <w:tc>
          <w:tcPr>
            <w:shd w:val="clear" w:fill="auto" w:color="auto"/>
            <w:tcW w:w="1617" w:type="pct"/>
            <w:textDirection w:val="lrTb"/>
            <w:noWrap w:val="false"/>
          </w:tcPr>
          <w:p>
            <w:pPr>
              <w:pStyle w:val="1005"/>
              <w:ind w:left="57" w:right="57"/>
            </w:pPr>
            <w:r>
              <w:t xml:space="preserve">Руководитель (уполном</w:t>
            </w:r>
            <w:r>
              <w:t xml:space="preserve">о</w:t>
            </w:r>
            <w:r>
              <w:t xml:space="preserve">че</w:t>
            </w:r>
            <w:r>
              <w:t xml:space="preserve">н</w:t>
            </w:r>
            <w:r>
              <w:t xml:space="preserve">ное лицо). Расшифровка</w:t>
            </w:r>
            <w:r/>
          </w:p>
        </w:tc>
        <w:tc>
          <w:tcPr>
            <w:shd w:val="clear" w:fill="auto" w:color="auto"/>
            <w:tcW w:w="3383" w:type="pct"/>
            <w:textDirection w:val="lrTb"/>
            <w:noWrap w:val="false"/>
          </w:tcPr>
          <w:p>
            <w:pPr>
              <w:pStyle w:val="1005"/>
              <w:ind w:left="57" w:right="57"/>
            </w:pPr>
            <w:r>
              <w:t xml:space="preserve">На АРМ ФО: </w:t>
            </w:r>
            <w:r>
              <w:t xml:space="preserve">Заполняется вручную.</w:t>
            </w:r>
            <w:r/>
          </w:p>
        </w:tc>
      </w:tr>
      <w:tr>
        <w:trPr/>
        <w:tc>
          <w:tcPr>
            <w:shd w:val="clear" w:fill="auto" w:color="auto"/>
            <w:tcW w:w="1617" w:type="pct"/>
            <w:textDirection w:val="lrTb"/>
            <w:noWrap w:val="false"/>
          </w:tcPr>
          <w:p>
            <w:pPr>
              <w:pStyle w:val="1005"/>
              <w:ind w:left="57" w:right="57"/>
            </w:pPr>
            <w:r>
              <w:t xml:space="preserve">Исполнитель. Должность</w:t>
            </w:r>
            <w:r/>
          </w:p>
        </w:tc>
        <w:tc>
          <w:tcPr>
            <w:shd w:val="clear" w:fill="auto" w:color="auto"/>
            <w:tcW w:w="3383" w:type="pct"/>
            <w:textDirection w:val="lrTb"/>
            <w:noWrap w:val="false"/>
          </w:tcPr>
          <w:p>
            <w:pPr>
              <w:pStyle w:val="1005"/>
              <w:ind w:left="57" w:right="57"/>
            </w:pPr>
            <w:r>
              <w:t xml:space="preserve">На АРМ ФО: </w:t>
            </w:r>
            <w:r>
              <w:t xml:space="preserve">Заполняется вручную.</w:t>
            </w:r>
            <w:r/>
          </w:p>
        </w:tc>
      </w:tr>
      <w:tr>
        <w:trPr/>
        <w:tc>
          <w:tcPr>
            <w:shd w:val="clear" w:fill="auto" w:color="auto"/>
            <w:tcW w:w="1617" w:type="pct"/>
            <w:textDirection w:val="lrTb"/>
            <w:noWrap w:val="false"/>
          </w:tcPr>
          <w:p>
            <w:pPr>
              <w:pStyle w:val="1005"/>
              <w:ind w:left="57" w:right="57"/>
            </w:pPr>
            <w:r>
              <w:t xml:space="preserve">Исполнитель. Расшифровка</w:t>
            </w:r>
            <w:r/>
          </w:p>
        </w:tc>
        <w:tc>
          <w:tcPr>
            <w:shd w:val="clear" w:fill="auto" w:color="auto"/>
            <w:tcW w:w="3383" w:type="pct"/>
            <w:textDirection w:val="lrTb"/>
            <w:noWrap w:val="false"/>
          </w:tcPr>
          <w:p>
            <w:pPr>
              <w:pStyle w:val="1005"/>
              <w:ind w:left="57" w:right="57"/>
            </w:pPr>
            <w:r>
              <w:t xml:space="preserve">На АРМ ФО: </w:t>
            </w:r>
            <w:r>
              <w:t xml:space="preserve">Заполняется вручную.</w:t>
            </w:r>
            <w:r/>
          </w:p>
        </w:tc>
      </w:tr>
      <w:tr>
        <w:trPr/>
        <w:tc>
          <w:tcPr>
            <w:shd w:val="clear" w:fill="auto" w:color="auto"/>
            <w:tcW w:w="1617" w:type="pct"/>
            <w:textDirection w:val="lrTb"/>
            <w:noWrap w:val="false"/>
          </w:tcPr>
          <w:p>
            <w:pPr>
              <w:pStyle w:val="1005"/>
              <w:ind w:left="57" w:right="57"/>
            </w:pPr>
            <w:r>
              <w:t xml:space="preserve">Исполнитель. Телефон</w:t>
            </w:r>
            <w:r/>
          </w:p>
        </w:tc>
        <w:tc>
          <w:tcPr>
            <w:shd w:val="clear" w:fill="auto" w:color="auto"/>
            <w:tcW w:w="3383" w:type="pct"/>
            <w:textDirection w:val="lrTb"/>
            <w:noWrap w:val="false"/>
          </w:tcPr>
          <w:p>
            <w:pPr>
              <w:pStyle w:val="1005"/>
              <w:ind w:left="57" w:right="57"/>
            </w:pPr>
            <w:r>
              <w:t xml:space="preserve">На АРМ ФО: </w:t>
            </w:r>
            <w:r>
              <w:t xml:space="preserve">Заполняется вручную.</w:t>
            </w:r>
            <w:r/>
          </w:p>
        </w:tc>
      </w:tr>
      <w:tr>
        <w:trPr/>
        <w:tc>
          <w:tcPr>
            <w:shd w:val="clear" w:fill="auto" w:color="auto"/>
            <w:tcW w:w="1617" w:type="pct"/>
            <w:textDirection w:val="lrTb"/>
            <w:noWrap w:val="false"/>
          </w:tcPr>
          <w:p>
            <w:pPr>
              <w:pStyle w:val="1005"/>
              <w:ind w:left="57" w:right="57"/>
            </w:pPr>
            <w:r>
              <w:t xml:space="preserve">Дата подписания</w:t>
            </w:r>
            <w:r/>
          </w:p>
        </w:tc>
        <w:tc>
          <w:tcPr>
            <w:shd w:val="clear" w:fill="auto" w:color="auto"/>
            <w:tcW w:w="3383" w:type="pct"/>
            <w:textDirection w:val="lrTb"/>
            <w:noWrap w:val="false"/>
          </w:tcPr>
          <w:p>
            <w:pPr>
              <w:pStyle w:val="1005"/>
              <w:ind w:left="57" w:right="57"/>
            </w:pPr>
            <w:r>
              <w:t xml:space="preserve">На АРМ ФО: </w:t>
            </w:r>
            <w:r>
              <w:t xml:space="preserve">Заполняется вручную</w:t>
            </w:r>
            <w:r>
              <w:t xml:space="preserve"> или выбором из календаря.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Орган Федерального казначейства</w:t>
            </w:r>
            <w:r>
              <w:t xml:space="preserve">»</w:t>
            </w:r>
            <w:r/>
          </w:p>
        </w:tc>
      </w:tr>
      <w:tr>
        <w:trPr/>
        <w:tc>
          <w:tcPr>
            <w:shd w:val="clear" w:fill="auto" w:color="auto"/>
            <w:tcW w:w="1617" w:type="pct"/>
            <w:textDirection w:val="lrTb"/>
            <w:noWrap w:val="false"/>
          </w:tcPr>
          <w:p>
            <w:pPr>
              <w:pStyle w:val="1005"/>
              <w:ind w:left="57" w:right="57"/>
            </w:pPr>
            <w:r>
              <w:t xml:space="preserve">Руководитель УФК (уполн</w:t>
            </w:r>
            <w:r>
              <w:t xml:space="preserve">о</w:t>
            </w:r>
            <w:r>
              <w:t xml:space="preserve">м</w:t>
            </w:r>
            <w:r>
              <w:t xml:space="preserve">о</w:t>
            </w:r>
            <w:r>
              <w:t xml:space="preserve">ченное лицо). Должность</w:t>
            </w:r>
            <w:r/>
          </w:p>
        </w:tc>
        <w:tc>
          <w:tcPr>
            <w:shd w:val="clear" w:fill="auto" w:color="auto"/>
            <w:tcW w:w="3383" w:type="pct"/>
            <w:textDirection w:val="lrTb"/>
            <w:noWrap w:val="false"/>
          </w:tcPr>
          <w:p>
            <w:pPr>
              <w:pStyle w:val="1005"/>
              <w:ind w:left="57" w:right="57"/>
            </w:pPr>
            <w:r>
              <w:t xml:space="preserve">На АРМ ФО: не</w:t>
            </w:r>
            <w:r>
              <w:t xml:space="preserve">доступно для редактирования. </w:t>
            </w:r>
            <w:r/>
          </w:p>
          <w:p>
            <w:pPr>
              <w:pStyle w:val="1005"/>
              <w:ind w:left="57" w:right="57"/>
            </w:pPr>
            <w:r>
              <w:t xml:space="preserve">Заполняется на о</w:t>
            </w:r>
            <w:r>
              <w:t xml:space="preserve">с</w:t>
            </w:r>
            <w:r>
              <w:t xml:space="preserve">новании документа на изменение</w:t>
            </w:r>
            <w:r>
              <w:t xml:space="preserve">.</w:t>
            </w:r>
            <w:r/>
          </w:p>
        </w:tc>
      </w:tr>
      <w:tr>
        <w:trPr/>
        <w:tc>
          <w:tcPr>
            <w:shd w:val="clear" w:fill="auto" w:color="auto"/>
            <w:tcW w:w="1617" w:type="pct"/>
            <w:textDirection w:val="lrTb"/>
            <w:noWrap w:val="false"/>
          </w:tcPr>
          <w:p>
            <w:pPr>
              <w:pStyle w:val="1005"/>
              <w:ind w:left="57" w:right="57"/>
            </w:pPr>
            <w:r>
              <w:t xml:space="preserve">Руководитель УФК (уполн</w:t>
            </w:r>
            <w:r>
              <w:t xml:space="preserve">о</w:t>
            </w:r>
            <w:r>
              <w:t xml:space="preserve">м</w:t>
            </w:r>
            <w:r>
              <w:t xml:space="preserve">о</w:t>
            </w:r>
            <w:r>
              <w:t xml:space="preserve">ченное лицо). Расшифровка</w:t>
            </w:r>
            <w:r/>
          </w:p>
        </w:tc>
        <w:tc>
          <w:tcPr>
            <w:shd w:val="clear" w:fill="auto" w:color="auto"/>
            <w:tcW w:w="3383" w:type="pct"/>
            <w:textDirection w:val="lrTb"/>
            <w:noWrap w:val="false"/>
          </w:tcPr>
          <w:p>
            <w:pPr>
              <w:pStyle w:val="1005"/>
              <w:ind w:left="57" w:right="57"/>
            </w:pPr>
            <w:r>
              <w:t xml:space="preserve">На АРМ ФО: недоступно для редактирования. </w:t>
            </w:r>
            <w:r/>
          </w:p>
          <w:p>
            <w:pPr>
              <w:pStyle w:val="1005"/>
              <w:ind w:left="57" w:right="57"/>
            </w:pPr>
            <w:r>
              <w:t xml:space="preserve">Заполняется на основании документа на изменение.</w:t>
            </w:r>
            <w:r/>
          </w:p>
        </w:tc>
      </w:tr>
      <w:tr>
        <w:trPr/>
        <w:tc>
          <w:tcPr>
            <w:shd w:val="clear" w:fill="auto" w:color="auto"/>
            <w:tcW w:w="1617" w:type="pct"/>
            <w:textDirection w:val="lrTb"/>
            <w:noWrap w:val="false"/>
          </w:tcPr>
          <w:p>
            <w:pPr>
              <w:pStyle w:val="1005"/>
              <w:ind w:left="57" w:right="57"/>
            </w:pPr>
            <w:r>
              <w:t xml:space="preserve">Исполнитель. Должность</w:t>
            </w:r>
            <w:r/>
          </w:p>
        </w:tc>
        <w:tc>
          <w:tcPr>
            <w:shd w:val="clear" w:fill="auto" w:color="auto"/>
            <w:tcW w:w="3383" w:type="pct"/>
            <w:textDirection w:val="lrTb"/>
            <w:noWrap w:val="false"/>
          </w:tcPr>
          <w:p>
            <w:pPr>
              <w:pStyle w:val="1005"/>
              <w:ind w:left="57" w:right="57"/>
            </w:pPr>
            <w:r>
              <w:t xml:space="preserve">На АРМ ФО: недоступно для редактирования. </w:t>
            </w:r>
            <w:r/>
          </w:p>
          <w:p>
            <w:pPr>
              <w:pStyle w:val="1005"/>
              <w:ind w:left="57" w:right="57"/>
            </w:pPr>
            <w:r>
              <w:t xml:space="preserve">Заполняется на основании документа на изменение.</w:t>
            </w:r>
            <w:r/>
          </w:p>
        </w:tc>
      </w:tr>
      <w:tr>
        <w:trPr/>
        <w:tc>
          <w:tcPr>
            <w:shd w:val="clear" w:fill="auto" w:color="auto"/>
            <w:tcW w:w="1617" w:type="pct"/>
            <w:textDirection w:val="lrTb"/>
            <w:noWrap w:val="false"/>
          </w:tcPr>
          <w:p>
            <w:pPr>
              <w:pStyle w:val="1005"/>
              <w:ind w:left="57" w:right="57"/>
            </w:pPr>
            <w:r>
              <w:t xml:space="preserve">Исполнитель. Расшифровка</w:t>
            </w:r>
            <w:r/>
          </w:p>
        </w:tc>
        <w:tc>
          <w:tcPr>
            <w:shd w:val="clear" w:fill="auto" w:color="auto"/>
            <w:tcW w:w="3383" w:type="pct"/>
            <w:textDirection w:val="lrTb"/>
            <w:noWrap w:val="false"/>
          </w:tcPr>
          <w:p>
            <w:pPr>
              <w:pStyle w:val="1005"/>
              <w:ind w:left="57" w:right="57"/>
            </w:pPr>
            <w:r>
              <w:t xml:space="preserve">На АРМ ФО: недоступно для редактирования. </w:t>
            </w:r>
            <w:r/>
          </w:p>
          <w:p>
            <w:pPr>
              <w:pStyle w:val="1005"/>
              <w:ind w:left="57" w:right="57"/>
            </w:pPr>
            <w:r>
              <w:t xml:space="preserve">Заполняется на основании документа на изменение.</w:t>
            </w:r>
            <w:r/>
          </w:p>
        </w:tc>
      </w:tr>
      <w:tr>
        <w:trPr/>
        <w:tc>
          <w:tcPr>
            <w:shd w:val="clear" w:fill="auto" w:color="auto"/>
            <w:tcW w:w="1617" w:type="pct"/>
            <w:textDirection w:val="lrTb"/>
            <w:noWrap w:val="false"/>
          </w:tcPr>
          <w:p>
            <w:pPr>
              <w:pStyle w:val="1005"/>
              <w:ind w:left="57" w:right="57"/>
            </w:pPr>
            <w:r>
              <w:t xml:space="preserve">Исполнитель. Телефон</w:t>
            </w:r>
            <w:r/>
          </w:p>
        </w:tc>
        <w:tc>
          <w:tcPr>
            <w:shd w:val="clear" w:fill="auto" w:color="auto"/>
            <w:tcW w:w="3383" w:type="pct"/>
            <w:textDirection w:val="lrTb"/>
            <w:noWrap w:val="false"/>
          </w:tcPr>
          <w:p>
            <w:pPr>
              <w:pStyle w:val="1005"/>
              <w:ind w:left="57" w:right="57"/>
            </w:pPr>
            <w:r>
              <w:t xml:space="preserve">На АРМ ФО: недоступно для редактирования. </w:t>
            </w:r>
            <w:r/>
          </w:p>
          <w:p>
            <w:pPr>
              <w:pStyle w:val="1005"/>
              <w:ind w:left="57" w:right="57"/>
            </w:pPr>
            <w:r>
              <w:t xml:space="preserve">Заполняется на основании документа на изменение.</w:t>
            </w:r>
            <w:r/>
          </w:p>
        </w:tc>
      </w:tr>
      <w:tr>
        <w:trPr/>
        <w:tc>
          <w:tcPr>
            <w:shd w:val="clear" w:fill="auto" w:color="auto"/>
            <w:tcW w:w="1617" w:type="pct"/>
            <w:textDirection w:val="lrTb"/>
            <w:noWrap w:val="false"/>
          </w:tcPr>
          <w:p>
            <w:pPr>
              <w:pStyle w:val="1005"/>
              <w:ind w:left="57" w:right="57"/>
            </w:pPr>
            <w:r>
              <w:t xml:space="preserve">Дата подписания</w:t>
            </w:r>
            <w:r/>
          </w:p>
        </w:tc>
        <w:tc>
          <w:tcPr>
            <w:shd w:val="clear" w:fill="auto" w:color="auto"/>
            <w:tcW w:w="3383" w:type="pct"/>
            <w:textDirection w:val="lrTb"/>
            <w:noWrap w:val="false"/>
          </w:tcPr>
          <w:p>
            <w:pPr>
              <w:pStyle w:val="1005"/>
              <w:ind w:left="57" w:right="57"/>
            </w:pPr>
            <w:r>
              <w:t xml:space="preserve">На АРМ ФО: недоступно для редактирования. </w:t>
            </w:r>
            <w:r/>
          </w:p>
          <w:p>
            <w:pPr>
              <w:pStyle w:val="1005"/>
              <w:ind w:left="57" w:right="57"/>
            </w:pPr>
            <w:r>
              <w:t xml:space="preserve">Заполняется на основании документа на изменение.</w:t>
            </w:r>
            <w:r/>
          </w:p>
        </w:tc>
      </w:tr>
      <w:tr>
        <w:trPr/>
        <w:tc>
          <w:tcPr>
            <w:shd w:val="clear" w:fill="auto" w:color="auto"/>
            <w:tcW w:w="1617" w:type="pct"/>
            <w:textDirection w:val="lrTb"/>
            <w:noWrap w:val="false"/>
          </w:tcPr>
          <w:p>
            <w:pPr>
              <w:pStyle w:val="1005"/>
              <w:ind w:left="57" w:right="57"/>
            </w:pPr>
            <w:r>
              <w:t xml:space="preserve">Причина отклонения</w:t>
            </w:r>
            <w:r/>
          </w:p>
        </w:tc>
        <w:tc>
          <w:tcPr>
            <w:shd w:val="clear" w:fill="auto" w:color="auto"/>
            <w:tcW w:w="3383" w:type="pct"/>
            <w:textDirection w:val="lrTb"/>
            <w:noWrap w:val="false"/>
          </w:tcPr>
          <w:p>
            <w:pPr>
              <w:pStyle w:val="1005"/>
              <w:ind w:left="57" w:right="57"/>
            </w:pPr>
            <w:r>
              <w:t xml:space="preserve">Не</w:t>
            </w:r>
            <w:r>
              <w:t xml:space="preserve">доступно</w:t>
            </w:r>
            <w:r>
              <w:t xml:space="preserve"> </w:t>
            </w:r>
            <w:r>
              <w:t xml:space="preserve">для редактирования. </w:t>
            </w:r>
            <w:r/>
          </w:p>
          <w:p>
            <w:pPr>
              <w:pStyle w:val="1005"/>
              <w:ind w:left="57" w:right="57"/>
            </w:pPr>
            <w:r>
              <w:t xml:space="preserve">Заполняется на основании документа на изменение</w:t>
            </w:r>
            <w:r>
              <w:t xml:space="preserve">.</w:t>
            </w:r>
            <w:r/>
          </w:p>
        </w:tc>
      </w:tr>
    </w:tbl>
    <w:p>
      <w:pPr>
        <w:pStyle w:val="994"/>
      </w:pPr>
      <w:r>
        <w:t xml:space="preserve">ЭФ документа «</w:t>
      </w:r>
      <w:r>
        <w:t xml:space="preserve">Прогноз движения средств на счете бюд</w:t>
      </w:r>
      <w:r>
        <w:t xml:space="preserve">жета с детализацией по дням (ф.</w:t>
      </w:r>
      <w:r>
        <w:t xml:space="preserve"> </w:t>
      </w:r>
      <w:r>
        <w:t xml:space="preserve">05010X4)</w:t>
      </w:r>
      <w:r>
        <w:t xml:space="preserve">», закладки «</w:t>
      </w:r>
      <w:r>
        <w:t xml:space="preserve">Показатели</w:t>
      </w:r>
      <w:r>
        <w:t xml:space="preserve">» пре</w:t>
      </w:r>
      <w:r>
        <w:t xml:space="preserve">д</w:t>
      </w:r>
      <w:r>
        <w:t xml:space="preserve">ставлена на рисунке</w:t>
      </w:r>
      <w:r>
        <w:t xml:space="preserve"> </w:t>
      </w:r>
      <w:r>
        <w:fldChar w:fldCharType="begin"/>
      </w:r>
      <w:r>
        <w:instrText xml:space="preserve"> REF _Ref414369425 \h </w:instrText>
      </w:r>
      <w:r>
        <w:fldChar w:fldCharType="separate"/>
      </w:r>
      <w:r>
        <w:t xml:space="preserve">121</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3474720"/>
                <wp:effectExtent l="0" t="0" r="0" b="0"/>
                <wp:docPr id="19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87"/>
                        <a:stretch/>
                      </pic:blipFill>
                      <pic:spPr bwMode="auto">
                        <a:xfrm>
                          <a:off x="0" y="0"/>
                          <a:ext cx="6134100" cy="34747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6" o:spid="_x0000_s196" type="#_x0000_t75" style="mso-wrap-distance-left:0.0pt;mso-wrap-distance-top:0.0pt;mso-wrap-distance-right:0.0pt;mso-wrap-distance-bottom:0.0pt;width:483.0pt;height:273.6pt;" stroked="f">
                <v:path textboxrect="0,0,0,0"/>
                <v:imagedata r:id="rId187" o:title=""/>
              </v:shape>
            </w:pict>
          </mc:Fallback>
        </mc:AlternateContent>
      </w:r>
      <w:r/>
    </w:p>
    <w:p>
      <w:pPr>
        <w:pStyle w:val="983"/>
      </w:pPr>
      <w:r>
        <w:fldChar w:fldCharType="begin"/>
      </w:r>
      <w:r>
        <w:instrText xml:space="preserve"> SEQ Рисунок \* ARABIC </w:instrText>
      </w:r>
      <w:r>
        <w:fldChar w:fldCharType="separate"/>
      </w:r>
      <w:bookmarkStart w:id="952" w:name="_Ref414369425"/>
      <w:r/>
      <w:bookmarkStart w:id="953" w:name="_Toc88819506"/>
      <w:r>
        <w:t xml:space="preserve">121</w:t>
      </w:r>
      <w:bookmarkEnd w:id="952"/>
      <w:r>
        <w:fldChar w:fldCharType="end"/>
      </w:r>
      <w:r>
        <w:t xml:space="preserve">. ЭФ документа «</w:t>
      </w:r>
      <w:r>
        <w:t xml:space="preserve">Прогноз движения средств на счете бюджета с детализацией по дням (ф. 05010X4)</w:t>
      </w:r>
      <w:r>
        <w:t xml:space="preserve">», закладки «</w:t>
      </w:r>
      <w:r>
        <w:t xml:space="preserve">Показатели</w:t>
      </w:r>
      <w:r>
        <w:t xml:space="preserve">»</w:t>
      </w:r>
      <w:bookmarkEnd w:id="953"/>
      <w:r/>
      <w:r/>
    </w:p>
    <w:p>
      <w:pPr>
        <w:pStyle w:val="994"/>
      </w:pPr>
      <w:r>
        <w:t xml:space="preserve">Перечень полей ЭФ документа «</w:t>
      </w:r>
      <w:r>
        <w:t xml:space="preserve">Прогноз движения средств на счете бюджета с детал</w:t>
      </w:r>
      <w:r>
        <w:t xml:space="preserve">и</w:t>
      </w:r>
      <w:r>
        <w:t xml:space="preserve">зацией по дням (ф.</w:t>
      </w:r>
      <w:r>
        <w:t xml:space="preserve"> </w:t>
      </w:r>
      <w:r>
        <w:t xml:space="preserve">05010X4)</w:t>
      </w:r>
      <w:r>
        <w:t xml:space="preserve">», закладки «</w:t>
      </w:r>
      <w:r>
        <w:t xml:space="preserve">Показатели</w:t>
      </w:r>
      <w:r>
        <w:t xml:space="preserve">» приведен в таблице</w:t>
      </w:r>
      <w:r>
        <w:t xml:space="preserve"> </w:t>
      </w:r>
      <w:r>
        <w:fldChar w:fldCharType="begin"/>
      </w:r>
      <w:r>
        <w:instrText xml:space="preserve"> REF _Ref414369468 \h </w:instrText>
      </w:r>
      <w:r>
        <w:fldChar w:fldCharType="separate"/>
      </w:r>
      <w:r>
        <w:t xml:space="preserve">67</w:t>
      </w:r>
      <w:r>
        <w:fldChar w:fldCharType="end"/>
      </w:r>
      <w:r>
        <w:t xml:space="preserve">.</w:t>
      </w:r>
      <w:r/>
    </w:p>
    <w:p>
      <w:pPr>
        <w:pStyle w:val="993"/>
      </w:pPr>
      <w:r>
        <w:fldChar w:fldCharType="begin"/>
      </w:r>
      <w:r>
        <w:instrText xml:space="preserve"> SEQ Таблица \* ARABIC </w:instrText>
      </w:r>
      <w:r>
        <w:fldChar w:fldCharType="separate"/>
      </w:r>
      <w:bookmarkStart w:id="954" w:name="_Ref414369468"/>
      <w:r/>
      <w:bookmarkStart w:id="955" w:name="_Toc88819253"/>
      <w:r>
        <w:t xml:space="preserve">67</w:t>
      </w:r>
      <w:bookmarkEnd w:id="954"/>
      <w:r>
        <w:fldChar w:fldCharType="end"/>
      </w:r>
      <w:r>
        <w:t xml:space="preserve">. Описание полей документа «</w:t>
      </w:r>
      <w:r>
        <w:t xml:space="preserve">Прогноз движения средств на счете бюджета с детализацией по дням (ф. 05010X4)</w:t>
      </w:r>
      <w:r>
        <w:t xml:space="preserve">», закладки «</w:t>
      </w:r>
      <w:r>
        <w:t xml:space="preserve">Показатели</w:t>
      </w:r>
      <w:r>
        <w:t xml:space="preserve">»</w:t>
      </w:r>
      <w:bookmarkEnd w:id="955"/>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1933"/>
        <w:gridCol w:w="1402"/>
        <w:gridCol w:w="6417"/>
      </w:tblGrid>
      <w:tr>
        <w:trPr>
          <w:trHeight w:val="305"/>
          <w:tblHeader/>
        </w:trPr>
        <w:tc>
          <w:tcPr>
            <w:gridSpan w:val="2"/>
            <w:shd w:val="clear" w:fill="E6E6E6" w:color="auto"/>
            <w:tcBorders>
              <w:left w:val="single" w:sz="4" w:space="0" w:color="auto"/>
              <w:top w:val="single" w:sz="4" w:space="0" w:color="auto"/>
              <w:right w:val="single" w:sz="4" w:space="0" w:color="auto"/>
              <w:bottom w:val="single" w:sz="4" w:space="0" w:color="auto"/>
            </w:tcBorders>
            <w:tcW w:w="171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290" w:type="pct"/>
            <w:vAlign w:val="center"/>
            <w:textDirection w:val="lrTb"/>
            <w:noWrap w:val="false"/>
          </w:tcPr>
          <w:p>
            <w:pPr>
              <w:pStyle w:val="1006"/>
            </w:pPr>
            <w:r>
              <w:t xml:space="preserve">Описание поля</w:t>
            </w:r>
            <w:r/>
          </w:p>
        </w:tc>
      </w:tr>
      <w:tr>
        <w:trPr>
          <w:trHeight w:val="77"/>
        </w:trPr>
        <w:tc>
          <w:tcPr>
            <w:gridSpan w:val="3"/>
            <w:shd w:val="clear" w:fill="auto" w:color="auto"/>
            <w:tcW w:w="5000" w:type="pct"/>
            <w:textDirection w:val="lrTb"/>
            <w:noWrap w:val="false"/>
          </w:tcPr>
          <w:p>
            <w:pPr>
              <w:pStyle w:val="1005"/>
              <w:ind w:left="57" w:right="57"/>
            </w:pPr>
            <w:r>
              <w:t xml:space="preserve">Флаги «Рабочие дни». </w:t>
            </w:r>
            <w:r>
              <w:t xml:space="preserve">Галки </w:t>
            </w:r>
            <w:r>
              <w:t xml:space="preserve">проставляются автоматически с учетом текущего месяца. Если галка активна, то все поля столбца, в которых возможен ручной ввод, становятся доступными для ручного ввода. Если галка не активна, все поля столбца, в которых возможен ручной ввод, становятся недо</w:t>
            </w:r>
            <w:r>
              <w:t xml:space="preserve">с</w:t>
            </w:r>
            <w:r>
              <w:t xml:space="preserve">тупными для ручного ввода и обнуляются</w:t>
            </w:r>
            <w:r/>
          </w:p>
        </w:tc>
      </w:tr>
      <w:tr>
        <w:trPr>
          <w:trHeight w:val="77"/>
        </w:trPr>
        <w:tc>
          <w:tcPr>
            <w:gridSpan w:val="2"/>
            <w:shd w:val="clear" w:fill="auto" w:color="auto"/>
            <w:tcW w:w="1710" w:type="pct"/>
            <w:textDirection w:val="lrTb"/>
            <w:noWrap w:val="false"/>
          </w:tcPr>
          <w:p>
            <w:pPr>
              <w:pStyle w:val="1005"/>
              <w:ind w:left="57" w:right="57"/>
            </w:pPr>
            <w:r>
              <w:t xml:space="preserve">Показатели на</w:t>
            </w:r>
            <w:r/>
          </w:p>
        </w:tc>
        <w:tc>
          <w:tcPr>
            <w:shd w:val="clear" w:fill="auto" w:color="auto"/>
            <w:tcW w:w="3290" w:type="pct"/>
            <w:textDirection w:val="lrTb"/>
            <w:noWrap w:val="false"/>
          </w:tcPr>
          <w:p>
            <w:pPr>
              <w:pStyle w:val="1005"/>
              <w:ind w:left="57" w:right="57"/>
            </w:pPr>
            <w:r>
              <w:t xml:space="preserve">Поле информационное и недоступно для редактирования. Запо</w:t>
            </w:r>
            <w:r>
              <w:t xml:space="preserve">л</w:t>
            </w:r>
            <w:r>
              <w:t xml:space="preserve">няется значениями полей «Месяц» + «Год» в формате ММ.ГГГГ.</w:t>
            </w:r>
            <w:r/>
          </w:p>
          <w:p>
            <w:pPr>
              <w:pStyle w:val="1005"/>
              <w:ind w:left="57" w:right="57"/>
            </w:pPr>
            <w:r>
              <w:t xml:space="preserve">При обновлении полей «Месяц» и «Год» автоматически обновл</w:t>
            </w:r>
            <w:r>
              <w:t xml:space="preserve">я</w:t>
            </w:r>
            <w:r>
              <w:t xml:space="preserve">ется.</w:t>
            </w:r>
            <w:r/>
          </w:p>
        </w:tc>
      </w:tr>
      <w:tr>
        <w:trPr>
          <w:trHeight w:val="77"/>
        </w:trPr>
        <w:tc>
          <w:tcPr>
            <w:gridSpan w:val="2"/>
            <w:shd w:val="clear" w:fill="auto" w:color="auto"/>
            <w:tcW w:w="1710" w:type="pct"/>
            <w:textDirection w:val="lrTb"/>
            <w:noWrap w:val="false"/>
          </w:tcPr>
          <w:p>
            <w:pPr>
              <w:pStyle w:val="1005"/>
              <w:ind w:left="57" w:right="57"/>
            </w:pPr>
            <w:r>
              <w:t xml:space="preserve">Флаг 01-31</w:t>
            </w:r>
            <w:r/>
          </w:p>
        </w:tc>
        <w:tc>
          <w:tcPr>
            <w:shd w:val="clear" w:fill="auto" w:color="auto"/>
            <w:tcW w:w="3290" w:type="pct"/>
            <w:textDirection w:val="lrTb"/>
            <w:noWrap w:val="false"/>
          </w:tcPr>
          <w:p>
            <w:pPr>
              <w:pStyle w:val="1005"/>
              <w:ind w:left="57" w:right="57"/>
            </w:pPr>
            <w:r>
              <w:t xml:space="preserve">Отмеченный флаг означает, что день является рабочим (делает доступным для ввода поля столбца).</w:t>
            </w:r>
            <w:r/>
          </w:p>
          <w:p>
            <w:pPr>
              <w:pStyle w:val="1005"/>
              <w:ind w:left="57" w:right="57"/>
            </w:pPr>
            <w:r>
              <w:t xml:space="preserve">В поле «Флаг 01-31» должно проставляться автоматически знач</w:t>
            </w:r>
            <w:r>
              <w:t xml:space="preserve">е</w:t>
            </w:r>
            <w:r>
              <w:t xml:space="preserve">ние = «1» (флаг установлен) для всех дат/чисел, определённых, как рабочий день в соответствии со справочником «Федеральный календарь» указанного месяца в значении поля «Дата»</w:t>
            </w:r>
            <w:r>
              <w:t xml:space="preserve">. </w:t>
            </w:r>
            <w:r/>
          </w:p>
          <w:p>
            <w:pPr>
              <w:pStyle w:val="1005"/>
              <w:ind w:left="57" w:right="57"/>
            </w:pPr>
            <w:r>
              <w:t xml:space="preserve">Иные, даты/числа (Флаг 01-31) не помечаются флагом автомат</w:t>
            </w:r>
            <w:r>
              <w:t xml:space="preserve">и</w:t>
            </w:r>
            <w:r>
              <w:t xml:space="preserve">чески и не должно быть возможности ручного изменения</w:t>
            </w:r>
            <w:r>
              <w:t xml:space="preserve">.</w:t>
            </w:r>
            <w:r/>
          </w:p>
        </w:tc>
      </w:tr>
      <w:tr>
        <w:trPr>
          <w:trHeight w:val="77"/>
        </w:trPr>
        <w:tc>
          <w:tcPr>
            <w:gridSpan w:val="3"/>
            <w:shd w:val="clear" w:fill="auto" w:color="auto"/>
            <w:tcW w:w="5000" w:type="pct"/>
            <w:textDirection w:val="lrTb"/>
            <w:noWrap w:val="false"/>
          </w:tcPr>
          <w:p>
            <w:pPr>
              <w:pStyle w:val="1005"/>
              <w:ind w:left="57" w:right="57"/>
            </w:pPr>
            <w:r>
              <w:t xml:space="preserve">Табличная часть «Показатели». Таблица представляет </w:t>
            </w:r>
            <w:r>
              <w:t xml:space="preserve">собой</w:t>
            </w:r>
            <w:r>
              <w:t xml:space="preserve"> компоненты </w:t>
            </w:r>
            <w:r>
              <w:rPr>
                <w:lang w:val="en-US"/>
              </w:rPr>
              <w:t xml:space="preserve">field</w:t>
            </w:r>
            <w:r>
              <w:t xml:space="preserve">, </w:t>
            </w:r>
            <w:r>
              <w:rPr>
                <w:lang w:val="en-US"/>
              </w:rPr>
              <w:t xml:space="preserve">label</w:t>
            </w:r>
            <w:r>
              <w:t xml:space="preserve"> и другие, кот</w:t>
            </w:r>
            <w:r>
              <w:t xml:space="preserve">о</w:t>
            </w:r>
            <w:r>
              <w:t xml:space="preserve">рые расположены в виде таблицы. Каждый компонент связан с ячейкой вложенной таблицы. Ссылка на эту ячейку производится по имени таблицы + Код строки в таблице + имени поля в таблице</w:t>
            </w:r>
            <w:r>
              <w:t xml:space="preserve">.</w:t>
            </w:r>
            <w:r/>
          </w:p>
          <w:p>
            <w:pPr>
              <w:pStyle w:val="1005"/>
              <w:ind w:left="57" w:right="57"/>
            </w:pPr>
            <w:r>
              <w:t xml:space="preserve">Поля </w:t>
            </w:r>
            <w:r>
              <w:t xml:space="preserve">закладки</w:t>
            </w:r>
            <w:r>
              <w:t xml:space="preserve"> «Показатели» доступны для редактирования только на АРМ ФО</w:t>
            </w:r>
            <w:r/>
          </w:p>
        </w:tc>
      </w:tr>
      <w:tr>
        <w:trPr>
          <w:trHeight w:val="77"/>
        </w:trPr>
        <w:tc>
          <w:tcPr>
            <w:shd w:val="clear" w:fill="auto" w:color="auto"/>
            <w:tcW w:w="991" w:type="pct"/>
            <w:vMerge w:val="restart"/>
            <w:textDirection w:val="lrTb"/>
            <w:noWrap w:val="false"/>
          </w:tcPr>
          <w:p>
            <w:pPr>
              <w:pStyle w:val="1005"/>
              <w:ind w:left="57" w:right="57"/>
            </w:pPr>
            <w:r>
              <w:t xml:space="preserve">КАССОВЫЕ ПОСТУПЛЕНИЯ ПО ДОХОДАМ – всего</w:t>
            </w:r>
            <w:r/>
          </w:p>
        </w:tc>
        <w:tc>
          <w:tcPr>
            <w:shd w:val="clear" w:fill="auto" w:color="auto"/>
            <w:tcW w:w="719" w:type="pct"/>
            <w:textDirection w:val="lrTb"/>
            <w:noWrap w:val="false"/>
          </w:tcPr>
          <w:p>
            <w:pPr>
              <w:pStyle w:val="1005"/>
              <w:ind w:left="57" w:right="57"/>
            </w:pPr>
            <w:r>
              <w:t xml:space="preserve">Код стр</w:t>
            </w:r>
            <w:r>
              <w:t xml:space="preserve">о</w:t>
            </w:r>
            <w:r>
              <w:t xml:space="preserve">ки</w:t>
            </w:r>
            <w:r/>
          </w:p>
        </w:tc>
        <w:tc>
          <w:tcPr>
            <w:shd w:val="clear" w:fill="auto" w:color="auto"/>
            <w:tcW w:w="3290" w:type="pct"/>
            <w:textDirection w:val="lrTb"/>
            <w:noWrap w:val="false"/>
          </w:tcPr>
          <w:p>
            <w:pPr>
              <w:pStyle w:val="1005"/>
              <w:ind w:left="57" w:right="57"/>
            </w:pPr>
            <w:r>
              <w:t xml:space="preserve">Всегда указывается значение «0100». Недоступно для редактир</w:t>
            </w:r>
            <w:r>
              <w:t xml:space="preserve">о</w:t>
            </w:r>
            <w:r>
              <w:t xml:space="preserve">вания.</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Сумма на м</w:t>
            </w:r>
            <w:r>
              <w:t xml:space="preserve">е</w:t>
            </w:r>
            <w:r>
              <w:t xml:space="preserve">сяц, всего</w:t>
            </w:r>
            <w:r/>
          </w:p>
        </w:tc>
        <w:tc>
          <w:tcPr>
            <w:shd w:val="clear" w:fill="auto" w:color="auto"/>
            <w:tcW w:w="3290" w:type="pct"/>
            <w:textDirection w:val="lrTb"/>
            <w:noWrap w:val="false"/>
          </w:tcPr>
          <w:p>
            <w:pPr>
              <w:pStyle w:val="1005"/>
              <w:ind w:left="57" w:right="57"/>
            </w:pPr>
            <w:r>
              <w:t xml:space="preserve">Заполняется автоматически суммой полей 01-31 стр</w:t>
            </w:r>
            <w:r>
              <w:t xml:space="preserve">о</w:t>
            </w:r>
            <w:r>
              <w:t xml:space="preserve">ки с кодом «0100» (при подсчете, если поля 01-31 не заполнены, то считать как 0.0). </w:t>
            </w:r>
            <w:r/>
          </w:p>
          <w:p>
            <w:pPr>
              <w:pStyle w:val="1005"/>
              <w:ind w:left="57" w:right="57"/>
            </w:pPr>
            <w:r>
              <w:t xml:space="preserve">По умолчанию указывается 0.0.</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Поля 01-31</w:t>
            </w:r>
            <w:r/>
          </w:p>
        </w:tc>
        <w:tc>
          <w:tcPr>
            <w:shd w:val="clear" w:fill="auto" w:color="auto"/>
            <w:tcW w:w="3290" w:type="pct"/>
            <w:textDirection w:val="lrTb"/>
            <w:noWrap w:val="false"/>
          </w:tcPr>
          <w:p>
            <w:pPr>
              <w:pStyle w:val="1005"/>
              <w:ind w:left="57" w:right="57"/>
            </w:pPr>
            <w:r>
              <w:t xml:space="preserve">Заполняются вручную. Могут указываться отрицательные знач</w:t>
            </w:r>
            <w:r>
              <w:t xml:space="preserve">е</w:t>
            </w:r>
            <w:r>
              <w:t xml:space="preserve">ния. Доступны для редактирования и обязательны для заполн</w:t>
            </w:r>
            <w:r>
              <w:t xml:space="preserve">е</w:t>
            </w:r>
            <w:r>
              <w:t xml:space="preserve">ния, если отмечена соответс</w:t>
            </w:r>
            <w:r>
              <w:t xml:space="preserve">т</w:t>
            </w:r>
            <w:r>
              <w:t xml:space="preserve">вующая галка над столбцом.</w:t>
            </w:r>
            <w:r/>
          </w:p>
          <w:p>
            <w:pPr>
              <w:pStyle w:val="1005"/>
              <w:ind w:left="57" w:right="57"/>
            </w:pPr>
            <w:r>
              <w:t xml:space="preserve">Если галка не отмечена – недоступны для редактир</w:t>
            </w:r>
            <w:r>
              <w:t xml:space="preserve">о</w:t>
            </w:r>
            <w:r>
              <w:t xml:space="preserve">вания.</w:t>
            </w:r>
            <w:r/>
          </w:p>
        </w:tc>
      </w:tr>
      <w:tr>
        <w:trPr>
          <w:trHeight w:val="77"/>
        </w:trPr>
        <w:tc>
          <w:tcPr>
            <w:shd w:val="clear" w:fill="auto" w:color="auto"/>
            <w:tcW w:w="991" w:type="pct"/>
            <w:vMerge w:val="restart"/>
            <w:textDirection w:val="lrTb"/>
            <w:noWrap w:val="false"/>
          </w:tcPr>
          <w:p>
            <w:pPr>
              <w:pStyle w:val="1005"/>
              <w:ind w:left="57" w:right="57"/>
            </w:pPr>
            <w:r>
              <w:t xml:space="preserve">В</w:t>
            </w:r>
            <w:r>
              <w:t xml:space="preserve"> </w:t>
            </w:r>
            <w:r>
              <w:t xml:space="preserve">том числе: ме</w:t>
            </w:r>
            <w:r>
              <w:t xml:space="preserve">ж</w:t>
            </w:r>
            <w:r>
              <w:t xml:space="preserve">бюджетные трансферты</w:t>
            </w:r>
            <w:r/>
          </w:p>
        </w:tc>
        <w:tc>
          <w:tcPr>
            <w:shd w:val="clear" w:fill="auto" w:color="auto"/>
            <w:tcW w:w="719" w:type="pct"/>
            <w:textDirection w:val="lrTb"/>
            <w:noWrap w:val="false"/>
          </w:tcPr>
          <w:p>
            <w:pPr>
              <w:pStyle w:val="1005"/>
              <w:ind w:left="57" w:right="57"/>
            </w:pPr>
            <w:r>
              <w:t xml:space="preserve">Код стр</w:t>
            </w:r>
            <w:r>
              <w:t xml:space="preserve">о</w:t>
            </w:r>
            <w:r>
              <w:t xml:space="preserve">ки</w:t>
            </w:r>
            <w:r/>
          </w:p>
        </w:tc>
        <w:tc>
          <w:tcPr>
            <w:shd w:val="clear" w:fill="auto" w:color="auto"/>
            <w:tcW w:w="3290" w:type="pct"/>
            <w:textDirection w:val="lrTb"/>
            <w:noWrap w:val="false"/>
          </w:tcPr>
          <w:p>
            <w:pPr>
              <w:pStyle w:val="1005"/>
              <w:ind w:left="57" w:right="57"/>
            </w:pPr>
            <w:r>
              <w:t xml:space="preserve">Всегда указывается значение «0110». Недоступно для редактир</w:t>
            </w:r>
            <w:r>
              <w:t xml:space="preserve">о</w:t>
            </w:r>
            <w:r>
              <w:t xml:space="preserve">вания.</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Сумма на м</w:t>
            </w:r>
            <w:r>
              <w:t xml:space="preserve">е</w:t>
            </w:r>
            <w:r>
              <w:t xml:space="preserve">сяц, всего</w:t>
            </w:r>
            <w:r/>
          </w:p>
        </w:tc>
        <w:tc>
          <w:tcPr>
            <w:shd w:val="clear" w:fill="auto" w:color="auto"/>
            <w:tcW w:w="3290" w:type="pct"/>
            <w:textDirection w:val="lrTb"/>
            <w:noWrap w:val="false"/>
          </w:tcPr>
          <w:p>
            <w:pPr>
              <w:pStyle w:val="1005"/>
              <w:ind w:left="57" w:right="57"/>
            </w:pPr>
            <w:r>
              <w:t xml:space="preserve">Заполняется автоматически суммой полей 01-31 стр</w:t>
            </w:r>
            <w:r>
              <w:t xml:space="preserve">о</w:t>
            </w:r>
            <w:r>
              <w:t xml:space="preserve">ки с кодом «0110» (при подсчете, если поля 01-31 не заполнены, то считать как 0.0). </w:t>
            </w:r>
            <w:r/>
          </w:p>
          <w:p>
            <w:pPr>
              <w:pStyle w:val="1005"/>
              <w:ind w:left="57" w:right="57"/>
            </w:pPr>
            <w:r>
              <w:t xml:space="preserve">По умолчанию указывается 0.0.</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Поля 01-31</w:t>
            </w:r>
            <w:r/>
          </w:p>
        </w:tc>
        <w:tc>
          <w:tcPr>
            <w:shd w:val="clear" w:fill="auto" w:color="auto"/>
            <w:tcW w:w="3290" w:type="pct"/>
            <w:textDirection w:val="lrTb"/>
            <w:noWrap w:val="false"/>
          </w:tcPr>
          <w:p>
            <w:pPr>
              <w:pStyle w:val="1005"/>
              <w:ind w:left="57" w:right="57"/>
            </w:pPr>
            <w:r>
              <w:t xml:space="preserve">Заполняются вручную. Могут указываться отрицательные знач</w:t>
            </w:r>
            <w:r>
              <w:t xml:space="preserve">е</w:t>
            </w:r>
            <w:r>
              <w:t xml:space="preserve">ния. Доступны для редактирования и обязательны для заполн</w:t>
            </w:r>
            <w:r>
              <w:t xml:space="preserve">е</w:t>
            </w:r>
            <w:r>
              <w:t xml:space="preserve">ния, если отмечена соответс</w:t>
            </w:r>
            <w:r>
              <w:t xml:space="preserve">т</w:t>
            </w:r>
            <w:r>
              <w:t xml:space="preserve">вующая галка над столбцом. </w:t>
            </w:r>
            <w:r/>
          </w:p>
          <w:p>
            <w:pPr>
              <w:pStyle w:val="1005"/>
              <w:ind w:left="57" w:right="57"/>
            </w:pPr>
            <w:r>
              <w:t xml:space="preserve">Если галка не отмечена – недоступны для редактир</w:t>
            </w:r>
            <w:r>
              <w:t xml:space="preserve">о</w:t>
            </w:r>
            <w:r>
              <w:t xml:space="preserve">вания.</w:t>
            </w:r>
            <w:r/>
          </w:p>
        </w:tc>
      </w:tr>
      <w:tr>
        <w:trPr>
          <w:trHeight w:val="77"/>
        </w:trPr>
        <w:tc>
          <w:tcPr>
            <w:shd w:val="clear" w:fill="auto" w:color="auto"/>
            <w:tcW w:w="991" w:type="pct"/>
            <w:vMerge w:val="restart"/>
            <w:textDirection w:val="lrTb"/>
            <w:noWrap w:val="false"/>
          </w:tcPr>
          <w:p>
            <w:pPr>
              <w:pStyle w:val="1005"/>
              <w:ind w:left="57" w:right="57"/>
            </w:pPr>
            <w:r>
              <w:t xml:space="preserve">КАССОВЫЕ ВЫПЛАТЫ ПО РАСХОДАМ</w:t>
            </w:r>
            <w:r>
              <w:t xml:space="preserve"> – </w:t>
            </w:r>
            <w:r>
              <w:t xml:space="preserve">всего</w:t>
            </w:r>
            <w:r/>
          </w:p>
        </w:tc>
        <w:tc>
          <w:tcPr>
            <w:shd w:val="clear" w:fill="auto" w:color="auto"/>
            <w:tcW w:w="719" w:type="pct"/>
            <w:textDirection w:val="lrTb"/>
            <w:noWrap w:val="false"/>
          </w:tcPr>
          <w:p>
            <w:pPr>
              <w:pStyle w:val="1005"/>
              <w:ind w:left="57" w:right="57"/>
            </w:pPr>
            <w:r>
              <w:t xml:space="preserve">Код стр</w:t>
            </w:r>
            <w:r>
              <w:t xml:space="preserve">о</w:t>
            </w:r>
            <w:r>
              <w:t xml:space="preserve">ки</w:t>
            </w:r>
            <w:r/>
          </w:p>
        </w:tc>
        <w:tc>
          <w:tcPr>
            <w:shd w:val="clear" w:fill="auto" w:color="auto"/>
            <w:tcW w:w="3290" w:type="pct"/>
            <w:textDirection w:val="lrTb"/>
            <w:noWrap w:val="false"/>
          </w:tcPr>
          <w:p>
            <w:pPr>
              <w:pStyle w:val="1005"/>
              <w:ind w:left="57" w:right="57"/>
            </w:pPr>
            <w:r>
              <w:t xml:space="preserve">Всегда указывается значение «0200». Недоступно для редактир</w:t>
            </w:r>
            <w:r>
              <w:t xml:space="preserve">о</w:t>
            </w:r>
            <w:r>
              <w:t xml:space="preserve">вания.</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Сумма на м</w:t>
            </w:r>
            <w:r>
              <w:t xml:space="preserve">е</w:t>
            </w:r>
            <w:r>
              <w:t xml:space="preserve">сяц, всего</w:t>
            </w:r>
            <w:r/>
          </w:p>
        </w:tc>
        <w:tc>
          <w:tcPr>
            <w:shd w:val="clear" w:fill="auto" w:color="auto"/>
            <w:tcW w:w="3290" w:type="pct"/>
            <w:textDirection w:val="lrTb"/>
            <w:noWrap w:val="false"/>
          </w:tcPr>
          <w:p>
            <w:pPr>
              <w:pStyle w:val="1005"/>
              <w:ind w:left="57" w:right="57"/>
            </w:pPr>
            <w:r>
              <w:t xml:space="preserve">Заполняется автоматически суммой полей 01-31 стр</w:t>
            </w:r>
            <w:r>
              <w:t xml:space="preserve">о</w:t>
            </w:r>
            <w:r>
              <w:t xml:space="preserve">ки с кодом «0200» (при подсчете, если поля 01-31 не заполнены, то считать как 0.0). </w:t>
            </w:r>
            <w:r/>
          </w:p>
          <w:p>
            <w:pPr>
              <w:pStyle w:val="1005"/>
              <w:ind w:left="57" w:right="57"/>
            </w:pPr>
            <w:r>
              <w:t xml:space="preserve">По умолчанию указывается 0.0.</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Поля 01-31</w:t>
            </w:r>
            <w:r/>
          </w:p>
        </w:tc>
        <w:tc>
          <w:tcPr>
            <w:shd w:val="clear" w:fill="auto" w:color="auto"/>
            <w:tcW w:w="3290" w:type="pct"/>
            <w:textDirection w:val="lrTb"/>
            <w:noWrap w:val="false"/>
          </w:tcPr>
          <w:p>
            <w:pPr>
              <w:pStyle w:val="1005"/>
              <w:ind w:left="57" w:right="57"/>
            </w:pPr>
            <w:r>
              <w:t xml:space="preserve">Заполняются вручную. Могут указываться отрицательные знач</w:t>
            </w:r>
            <w:r>
              <w:t xml:space="preserve">е</w:t>
            </w:r>
            <w:r>
              <w:t xml:space="preserve">ния. Доступны для редактирования и обязательны для заполн</w:t>
            </w:r>
            <w:r>
              <w:t xml:space="preserve">е</w:t>
            </w:r>
            <w:r>
              <w:t xml:space="preserve">ния, если отмечена соответс</w:t>
            </w:r>
            <w:r>
              <w:t xml:space="preserve">т</w:t>
            </w:r>
            <w:r>
              <w:t xml:space="preserve">вующая галка над столбцом. </w:t>
            </w:r>
            <w:r/>
          </w:p>
          <w:p>
            <w:pPr>
              <w:pStyle w:val="1005"/>
              <w:ind w:left="57" w:right="57"/>
            </w:pPr>
            <w:r>
              <w:t xml:space="preserve">Если галка не отмечена – недоступны для редактир</w:t>
            </w:r>
            <w:r>
              <w:t xml:space="preserve">о</w:t>
            </w:r>
            <w:r>
              <w:t xml:space="preserve">вания.</w:t>
            </w:r>
            <w:r/>
          </w:p>
        </w:tc>
      </w:tr>
      <w:tr>
        <w:trPr>
          <w:trHeight w:val="77"/>
        </w:trPr>
        <w:tc>
          <w:tcPr>
            <w:shd w:val="clear" w:fill="auto" w:color="auto"/>
            <w:tcW w:w="991" w:type="pct"/>
            <w:vMerge w:val="restart"/>
            <w:textDirection w:val="lrTb"/>
            <w:noWrap w:val="false"/>
          </w:tcPr>
          <w:p>
            <w:pPr>
              <w:pStyle w:val="1005"/>
              <w:ind w:left="57" w:right="57"/>
            </w:pPr>
            <w:r>
              <w:t xml:space="preserve">В</w:t>
            </w:r>
            <w:r>
              <w:t xml:space="preserve"> </w:t>
            </w:r>
            <w:r>
              <w:t xml:space="preserve">том числе: ме</w:t>
            </w:r>
            <w:r>
              <w:t xml:space="preserve">ж</w:t>
            </w:r>
            <w:r>
              <w:t xml:space="preserve">бюджетные трансферты</w:t>
            </w:r>
            <w:r/>
          </w:p>
        </w:tc>
        <w:tc>
          <w:tcPr>
            <w:shd w:val="clear" w:fill="auto" w:color="auto"/>
            <w:tcW w:w="719" w:type="pct"/>
            <w:textDirection w:val="lrTb"/>
            <w:noWrap w:val="false"/>
          </w:tcPr>
          <w:p>
            <w:pPr>
              <w:pStyle w:val="1005"/>
              <w:ind w:left="57" w:right="57"/>
            </w:pPr>
            <w:r>
              <w:t xml:space="preserve">Код стр</w:t>
            </w:r>
            <w:r>
              <w:t xml:space="preserve">о</w:t>
            </w:r>
            <w:r>
              <w:t xml:space="preserve">ки</w:t>
            </w:r>
            <w:r/>
          </w:p>
        </w:tc>
        <w:tc>
          <w:tcPr>
            <w:shd w:val="clear" w:fill="auto" w:color="auto"/>
            <w:tcW w:w="3290" w:type="pct"/>
            <w:textDirection w:val="lrTb"/>
            <w:noWrap w:val="false"/>
          </w:tcPr>
          <w:p>
            <w:pPr>
              <w:pStyle w:val="1005"/>
              <w:ind w:left="57" w:right="57"/>
            </w:pPr>
            <w:r>
              <w:t xml:space="preserve">Всегда указывается значение </w:t>
            </w:r>
            <w:r>
              <w:t xml:space="preserve">«</w:t>
            </w:r>
            <w:r>
              <w:t xml:space="preserve">02</w:t>
            </w:r>
            <w:r>
              <w:t xml:space="preserve">1</w:t>
            </w:r>
            <w:r>
              <w:t xml:space="preserve">0</w:t>
            </w:r>
            <w:r>
              <w:t xml:space="preserve">»</w:t>
            </w:r>
            <w:r>
              <w:t xml:space="preserve">. Недоступно для редактир</w:t>
            </w:r>
            <w:r>
              <w:t xml:space="preserve">о</w:t>
            </w:r>
            <w:r>
              <w:t xml:space="preserve">вания.</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Сумма на м</w:t>
            </w:r>
            <w:r>
              <w:t xml:space="preserve">е</w:t>
            </w:r>
            <w:r>
              <w:t xml:space="preserve">сяц, всего</w:t>
            </w:r>
            <w:r/>
          </w:p>
        </w:tc>
        <w:tc>
          <w:tcPr>
            <w:shd w:val="clear" w:fill="auto" w:color="auto"/>
            <w:tcW w:w="3290" w:type="pct"/>
            <w:textDirection w:val="lrTb"/>
            <w:noWrap w:val="false"/>
          </w:tcPr>
          <w:p>
            <w:pPr>
              <w:pStyle w:val="1005"/>
              <w:ind w:left="57" w:right="57"/>
            </w:pPr>
            <w:r>
              <w:t xml:space="preserve">Заполняется автоматически суммой полей 01-31 строки с кодом «0210» (при подсчете, если поля 01-31 не заполнены, то считать как 0.0). Могут быть отрицательные значения.</w:t>
            </w:r>
            <w:r/>
          </w:p>
          <w:p>
            <w:pPr>
              <w:pStyle w:val="1005"/>
              <w:ind w:left="57" w:right="57"/>
            </w:pPr>
            <w:r>
              <w:t xml:space="preserve">По умолчанию указывается 0.0.</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Поля 01-31</w:t>
            </w:r>
            <w:r/>
          </w:p>
        </w:tc>
        <w:tc>
          <w:tcPr>
            <w:shd w:val="clear" w:fill="auto" w:color="auto"/>
            <w:tcW w:w="3290" w:type="pct"/>
            <w:textDirection w:val="lrTb"/>
            <w:noWrap w:val="false"/>
          </w:tcPr>
          <w:p>
            <w:pPr>
              <w:pStyle w:val="1005"/>
              <w:ind w:left="57" w:right="57"/>
            </w:pPr>
            <w:r>
              <w:t xml:space="preserve">Заполняются вручную. Могут указываться отрицательные знач</w:t>
            </w:r>
            <w:r>
              <w:t xml:space="preserve">е</w:t>
            </w:r>
            <w:r>
              <w:t xml:space="preserve">ния. Доступны для редактирования и обязательны для заполн</w:t>
            </w:r>
            <w:r>
              <w:t xml:space="preserve">е</w:t>
            </w:r>
            <w:r>
              <w:t xml:space="preserve">ния, если отмечена соответствующая галка над столбцом. </w:t>
            </w:r>
            <w:r/>
          </w:p>
          <w:p>
            <w:pPr>
              <w:pStyle w:val="1005"/>
              <w:ind w:left="57" w:right="57"/>
            </w:pPr>
            <w:r>
              <w:t xml:space="preserve">Если галка не отмечена – не доступны для редактирования.</w:t>
            </w:r>
            <w:r/>
          </w:p>
        </w:tc>
      </w:tr>
      <w:tr>
        <w:trPr>
          <w:trHeight w:val="77"/>
        </w:trPr>
        <w:tc>
          <w:tcPr>
            <w:shd w:val="clear" w:fill="auto" w:color="auto"/>
            <w:tcW w:w="991" w:type="pct"/>
            <w:vMerge w:val="restart"/>
            <w:textDirection w:val="lrTb"/>
            <w:noWrap w:val="false"/>
          </w:tcPr>
          <w:p>
            <w:pPr>
              <w:pStyle w:val="1005"/>
              <w:ind w:left="57" w:right="57"/>
            </w:pPr>
            <w:r>
              <w:t xml:space="preserve">ДЕФИЦИТ (-), ПРОФИЦИТ (+)</w:t>
            </w:r>
            <w:r/>
          </w:p>
        </w:tc>
        <w:tc>
          <w:tcPr>
            <w:shd w:val="clear" w:fill="auto" w:color="auto"/>
            <w:tcW w:w="719" w:type="pct"/>
            <w:textDirection w:val="lrTb"/>
            <w:noWrap w:val="false"/>
          </w:tcPr>
          <w:p>
            <w:pPr>
              <w:pStyle w:val="1005"/>
              <w:ind w:left="57" w:right="57"/>
            </w:pPr>
            <w:r>
              <w:t xml:space="preserve">Код стр</w:t>
            </w:r>
            <w:r>
              <w:t xml:space="preserve">о</w:t>
            </w:r>
            <w:r>
              <w:t xml:space="preserve">ки</w:t>
            </w:r>
            <w:r/>
          </w:p>
        </w:tc>
        <w:tc>
          <w:tcPr>
            <w:shd w:val="clear" w:fill="auto" w:color="auto"/>
            <w:tcW w:w="3290" w:type="pct"/>
            <w:textDirection w:val="lrTb"/>
            <w:noWrap w:val="false"/>
          </w:tcPr>
          <w:p>
            <w:pPr>
              <w:pStyle w:val="1005"/>
              <w:ind w:left="57" w:right="57"/>
            </w:pPr>
            <w:r>
              <w:t xml:space="preserve">Всегда указывается значение «0300». Недоступно для редактир</w:t>
            </w:r>
            <w:r>
              <w:t xml:space="preserve">о</w:t>
            </w:r>
            <w:r>
              <w:t xml:space="preserve">вания.</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Сумма на м</w:t>
            </w:r>
            <w:r>
              <w:t xml:space="preserve">е</w:t>
            </w:r>
            <w:r>
              <w:t xml:space="preserve">сяц, всего</w:t>
            </w:r>
            <w:r/>
          </w:p>
        </w:tc>
        <w:tc>
          <w:tcPr>
            <w:shd w:val="clear" w:fill="auto" w:color="auto"/>
            <w:tcW w:w="3290" w:type="pct"/>
            <w:textDirection w:val="lrTb"/>
            <w:noWrap w:val="false"/>
          </w:tcPr>
          <w:p>
            <w:pPr>
              <w:pStyle w:val="1005"/>
              <w:ind w:left="57" w:right="57"/>
            </w:pPr>
            <w:r>
              <w:t xml:space="preserve">Заполняются автоматически значением разности строк «0100» и «0200» соответствующего столбца</w:t>
            </w:r>
            <w:r>
              <w:t xml:space="preserve"> </w:t>
            </w:r>
            <w:r>
              <w:t xml:space="preserve">(при по</w:t>
            </w:r>
            <w:r>
              <w:t xml:space="preserve">д</w:t>
            </w:r>
            <w:r>
              <w:t xml:space="preserve">счете, если поля не заполнены, то их считать как 0.0). </w:t>
            </w:r>
            <w:r/>
          </w:p>
          <w:p>
            <w:pPr>
              <w:pStyle w:val="1005"/>
              <w:ind w:left="57" w:right="57"/>
            </w:pPr>
            <w:r>
              <w:t xml:space="preserve">По умолчанию указывается 0.0.</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Поля 01-31</w:t>
            </w:r>
            <w:r/>
          </w:p>
        </w:tc>
        <w:tc>
          <w:tcPr>
            <w:shd w:val="clear" w:fill="auto" w:color="auto"/>
            <w:tcW w:w="3290" w:type="pct"/>
            <w:textDirection w:val="lrTb"/>
            <w:noWrap w:val="false"/>
          </w:tcPr>
          <w:p>
            <w:pPr>
              <w:pStyle w:val="1005"/>
              <w:ind w:left="57" w:right="57"/>
            </w:pPr>
            <w:r>
              <w:t xml:space="preserve">Заполняются автоматически значением разности строк «0100» и «0200» соответствующего столбца (при по</w:t>
            </w:r>
            <w:r>
              <w:t xml:space="preserve">д</w:t>
            </w:r>
            <w:r>
              <w:t xml:space="preserve">счете, если поля не заполнены, то их считать как 0.0). </w:t>
            </w:r>
            <w:r/>
          </w:p>
          <w:p>
            <w:pPr>
              <w:pStyle w:val="1005"/>
              <w:ind w:left="57" w:right="57"/>
            </w:pPr>
            <w:r>
              <w:t xml:space="preserve">По умолчанию указывается 0.0.</w:t>
            </w:r>
            <w:r/>
          </w:p>
        </w:tc>
      </w:tr>
      <w:tr>
        <w:trPr>
          <w:trHeight w:val="77"/>
        </w:trPr>
        <w:tc>
          <w:tcPr>
            <w:shd w:val="clear" w:fill="auto" w:color="auto"/>
            <w:tcW w:w="991" w:type="pct"/>
            <w:vMerge w:val="restart"/>
            <w:textDirection w:val="lrTb"/>
            <w:noWrap w:val="false"/>
          </w:tcPr>
          <w:p>
            <w:pPr>
              <w:pStyle w:val="1005"/>
              <w:ind w:left="57" w:right="57"/>
            </w:pPr>
            <w:r>
              <w:t xml:space="preserve">ИСТОЧНИКИ ФИНАНСИРОВАНИЯ ДЕФИЦИТА</w:t>
            </w:r>
            <w:r/>
          </w:p>
        </w:tc>
        <w:tc>
          <w:tcPr>
            <w:shd w:val="clear" w:fill="auto" w:color="auto"/>
            <w:tcW w:w="719" w:type="pct"/>
            <w:textDirection w:val="lrTb"/>
            <w:noWrap w:val="false"/>
          </w:tcPr>
          <w:p>
            <w:pPr>
              <w:pStyle w:val="1005"/>
              <w:ind w:left="57" w:right="57"/>
            </w:pPr>
            <w:r>
              <w:t xml:space="preserve">Код стр</w:t>
            </w:r>
            <w:r>
              <w:t xml:space="preserve">о</w:t>
            </w:r>
            <w:r>
              <w:t xml:space="preserve">ки</w:t>
            </w:r>
            <w:r/>
          </w:p>
        </w:tc>
        <w:tc>
          <w:tcPr>
            <w:shd w:val="clear" w:fill="auto" w:color="auto"/>
            <w:tcW w:w="3290" w:type="pct"/>
            <w:textDirection w:val="lrTb"/>
            <w:noWrap w:val="false"/>
          </w:tcPr>
          <w:p>
            <w:pPr>
              <w:pStyle w:val="1005"/>
              <w:ind w:left="57" w:right="57"/>
            </w:pPr>
            <w:r>
              <w:t xml:space="preserve">Всегда указывается значение «0400». Недоступно для редактир</w:t>
            </w:r>
            <w:r>
              <w:t xml:space="preserve">о</w:t>
            </w:r>
            <w:r>
              <w:t xml:space="preserve">вания.</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Сумма на м</w:t>
            </w:r>
            <w:r>
              <w:t xml:space="preserve">е</w:t>
            </w:r>
            <w:r>
              <w:t xml:space="preserve">сяц, всего</w:t>
            </w:r>
            <w:r/>
          </w:p>
        </w:tc>
        <w:tc>
          <w:tcPr>
            <w:shd w:val="clear" w:fill="auto" w:color="auto"/>
            <w:tcW w:w="3290" w:type="pct"/>
            <w:textDirection w:val="lrTb"/>
            <w:noWrap w:val="false"/>
          </w:tcPr>
          <w:p>
            <w:pPr>
              <w:pStyle w:val="1005"/>
              <w:ind w:left="57" w:right="57"/>
            </w:pPr>
            <w:r>
              <w:t xml:space="preserve">Заполняются автоматически значением: строка «0500» минус строка «0600» плюс строка «0700» соответс</w:t>
            </w:r>
            <w:r>
              <w:t xml:space="preserve">т</w:t>
            </w:r>
            <w:r>
              <w:t xml:space="preserve">вующего столбца (при подсчете, если поля не заполн</w:t>
            </w:r>
            <w:r>
              <w:t xml:space="preserve">е</w:t>
            </w:r>
            <w:r>
              <w:t xml:space="preserve">ны, то их считать как 0.0). </w:t>
            </w:r>
            <w:r/>
          </w:p>
          <w:p>
            <w:pPr>
              <w:pStyle w:val="1005"/>
              <w:ind w:left="57" w:right="57"/>
            </w:pPr>
            <w:r>
              <w:t xml:space="preserve">По умолчанию указывается 0.0</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Поля 01-31</w:t>
            </w:r>
            <w:r/>
          </w:p>
        </w:tc>
        <w:tc>
          <w:tcPr>
            <w:shd w:val="clear" w:fill="auto" w:color="auto"/>
            <w:tcW w:w="3290" w:type="pct"/>
            <w:textDirection w:val="lrTb"/>
            <w:noWrap w:val="false"/>
          </w:tcPr>
          <w:p>
            <w:pPr>
              <w:pStyle w:val="1005"/>
              <w:ind w:left="57" w:right="57"/>
            </w:pPr>
            <w:r>
              <w:t xml:space="preserve">Заполняются автоматически значением: строка «0500» минус строка «0600» плюс строка «0700» соответс</w:t>
            </w:r>
            <w:r>
              <w:t xml:space="preserve">т</w:t>
            </w:r>
            <w:r>
              <w:t xml:space="preserve">вующего столбца (при подсчете, если поля не заполн</w:t>
            </w:r>
            <w:r>
              <w:t xml:space="preserve">е</w:t>
            </w:r>
            <w:r>
              <w:t xml:space="preserve">ны, то их считать как 0.0). </w:t>
            </w:r>
            <w:r/>
          </w:p>
          <w:p>
            <w:pPr>
              <w:pStyle w:val="1005"/>
              <w:ind w:left="57" w:right="57"/>
            </w:pPr>
            <w:r>
              <w:t xml:space="preserve">По умолчанию указывается 0.0. По умолчанию указ</w:t>
            </w:r>
            <w:r>
              <w:t xml:space="preserve">ы</w:t>
            </w:r>
            <w:r>
              <w:t xml:space="preserve">вается 0.0.</w:t>
            </w:r>
            <w:r/>
          </w:p>
        </w:tc>
      </w:tr>
      <w:tr>
        <w:trPr>
          <w:trHeight w:val="77"/>
        </w:trPr>
        <w:tc>
          <w:tcPr>
            <w:shd w:val="clear" w:fill="auto" w:color="auto"/>
            <w:tcW w:w="991" w:type="pct"/>
            <w:vMerge w:val="restart"/>
            <w:textDirection w:val="lrTb"/>
            <w:noWrap w:val="false"/>
          </w:tcPr>
          <w:p>
            <w:pPr>
              <w:pStyle w:val="1005"/>
              <w:ind w:left="57" w:right="57"/>
            </w:pPr>
            <w:r>
              <w:t xml:space="preserve">Кассовые посту</w:t>
            </w:r>
            <w:r>
              <w:t xml:space="preserve">п</w:t>
            </w:r>
            <w:r>
              <w:t xml:space="preserve">ления по исто</w:t>
            </w:r>
            <w:r>
              <w:t xml:space="preserve">ч</w:t>
            </w:r>
            <w:r>
              <w:t xml:space="preserve">никам финанс</w:t>
            </w:r>
            <w:r>
              <w:t xml:space="preserve">и</w:t>
            </w:r>
            <w:r>
              <w:t xml:space="preserve">рования дефицита – всего</w:t>
            </w:r>
            <w:r/>
          </w:p>
        </w:tc>
        <w:tc>
          <w:tcPr>
            <w:shd w:val="clear" w:fill="auto" w:color="auto"/>
            <w:tcW w:w="719" w:type="pct"/>
            <w:textDirection w:val="lrTb"/>
            <w:noWrap w:val="false"/>
          </w:tcPr>
          <w:p>
            <w:pPr>
              <w:pStyle w:val="1005"/>
              <w:ind w:left="57" w:right="57"/>
            </w:pPr>
            <w:r>
              <w:t xml:space="preserve">Код стр</w:t>
            </w:r>
            <w:r>
              <w:t xml:space="preserve">о</w:t>
            </w:r>
            <w:r>
              <w:t xml:space="preserve">ки</w:t>
            </w:r>
            <w:r/>
          </w:p>
        </w:tc>
        <w:tc>
          <w:tcPr>
            <w:shd w:val="clear" w:fill="auto" w:color="auto"/>
            <w:tcW w:w="3290" w:type="pct"/>
            <w:textDirection w:val="lrTb"/>
            <w:noWrap w:val="false"/>
          </w:tcPr>
          <w:p>
            <w:pPr>
              <w:pStyle w:val="1005"/>
              <w:ind w:left="57" w:right="57"/>
            </w:pPr>
            <w:r>
              <w:t xml:space="preserve">Всегда указывается значение «0500». Недоступно для редактир</w:t>
            </w:r>
            <w:r>
              <w:t xml:space="preserve">о</w:t>
            </w:r>
            <w:r>
              <w:t xml:space="preserve">вания.</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Сумма на м</w:t>
            </w:r>
            <w:r>
              <w:t xml:space="preserve">е</w:t>
            </w:r>
            <w:r>
              <w:t xml:space="preserve">сяц, всего</w:t>
            </w:r>
            <w:r/>
          </w:p>
        </w:tc>
        <w:tc>
          <w:tcPr>
            <w:shd w:val="clear" w:fill="auto" w:color="auto"/>
            <w:tcW w:w="3290" w:type="pct"/>
            <w:textDirection w:val="lrTb"/>
            <w:noWrap w:val="false"/>
          </w:tcPr>
          <w:p>
            <w:pPr>
              <w:pStyle w:val="1005"/>
              <w:ind w:left="57" w:right="57"/>
            </w:pPr>
            <w:r>
              <w:t xml:space="preserve">Заполняются автоматически значением: строка «0510» плюс строка «0520» соответствующего столбца (при подсчете, если п</w:t>
            </w:r>
            <w:r>
              <w:t xml:space="preserve">о</w:t>
            </w:r>
            <w:r>
              <w:t xml:space="preserve">ля не заполнены, то их считать как 0.0). </w:t>
            </w:r>
            <w:r/>
          </w:p>
          <w:p>
            <w:pPr>
              <w:pStyle w:val="1005"/>
              <w:ind w:left="57" w:right="57"/>
            </w:pPr>
            <w:r>
              <w:t xml:space="preserve">По умолчанию указывается 0.0</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Поля 01-31</w:t>
            </w:r>
            <w:r/>
          </w:p>
        </w:tc>
        <w:tc>
          <w:tcPr>
            <w:shd w:val="clear" w:fill="auto" w:color="auto"/>
            <w:tcW w:w="3290" w:type="pct"/>
            <w:textDirection w:val="lrTb"/>
            <w:noWrap w:val="false"/>
          </w:tcPr>
          <w:p>
            <w:pPr>
              <w:pStyle w:val="1005"/>
              <w:ind w:left="57" w:right="57"/>
            </w:pPr>
            <w:r>
              <w:t xml:space="preserve">Заполняются автоматически значением: строка «0510» плюс строка «0520» соответствующего столбца (при подсчете, если п</w:t>
            </w:r>
            <w:r>
              <w:t xml:space="preserve">о</w:t>
            </w:r>
            <w:r>
              <w:t xml:space="preserve">ля не заполнены, то их считать как 0.0). </w:t>
            </w:r>
            <w:r/>
          </w:p>
          <w:p>
            <w:pPr>
              <w:pStyle w:val="1005"/>
              <w:ind w:left="57" w:right="57"/>
            </w:pPr>
            <w:r>
              <w:t xml:space="preserve">По умолчанию указывается 0.0.</w:t>
            </w:r>
            <w:r/>
          </w:p>
        </w:tc>
      </w:tr>
      <w:tr>
        <w:trPr>
          <w:trHeight w:val="77"/>
        </w:trPr>
        <w:tc>
          <w:tcPr>
            <w:shd w:val="clear" w:fill="auto" w:color="auto"/>
            <w:tcW w:w="991" w:type="pct"/>
            <w:vMerge w:val="restart"/>
            <w:textDirection w:val="lrTb"/>
            <w:noWrap w:val="false"/>
          </w:tcPr>
          <w:p>
            <w:pPr>
              <w:pStyle w:val="1005"/>
              <w:ind w:left="57" w:right="57"/>
            </w:pPr>
            <w:r>
              <w:t xml:space="preserve">Внутре</w:t>
            </w:r>
            <w:r>
              <w:t xml:space="preserve">н</w:t>
            </w:r>
            <w:r>
              <w:t xml:space="preserve">ние</w:t>
            </w:r>
            <w:r/>
          </w:p>
        </w:tc>
        <w:tc>
          <w:tcPr>
            <w:shd w:val="clear" w:fill="auto" w:color="auto"/>
            <w:tcW w:w="719" w:type="pct"/>
            <w:textDirection w:val="lrTb"/>
            <w:noWrap w:val="false"/>
          </w:tcPr>
          <w:p>
            <w:pPr>
              <w:pStyle w:val="1005"/>
              <w:ind w:left="57" w:right="57"/>
            </w:pPr>
            <w:r>
              <w:t xml:space="preserve">Код стр</w:t>
            </w:r>
            <w:r>
              <w:t xml:space="preserve">о</w:t>
            </w:r>
            <w:r>
              <w:t xml:space="preserve">ки</w:t>
            </w:r>
            <w:r/>
          </w:p>
        </w:tc>
        <w:tc>
          <w:tcPr>
            <w:shd w:val="clear" w:fill="auto" w:color="auto"/>
            <w:tcW w:w="3290" w:type="pct"/>
            <w:textDirection w:val="lrTb"/>
            <w:noWrap w:val="false"/>
          </w:tcPr>
          <w:p>
            <w:pPr>
              <w:pStyle w:val="1005"/>
              <w:ind w:left="57" w:right="57"/>
            </w:pPr>
            <w:r>
              <w:t xml:space="preserve">Всегда указывается значение «0510». Недоступно для редактир</w:t>
            </w:r>
            <w:r>
              <w:t xml:space="preserve">о</w:t>
            </w:r>
            <w:r>
              <w:t xml:space="preserve">вания.</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Сумма на м</w:t>
            </w:r>
            <w:r>
              <w:t xml:space="preserve">е</w:t>
            </w:r>
            <w:r>
              <w:t xml:space="preserve">сяц, всего</w:t>
            </w:r>
            <w:r/>
          </w:p>
        </w:tc>
        <w:tc>
          <w:tcPr>
            <w:shd w:val="clear" w:fill="auto" w:color="auto"/>
            <w:tcW w:w="3290" w:type="pct"/>
            <w:textDirection w:val="lrTb"/>
            <w:noWrap w:val="false"/>
          </w:tcPr>
          <w:p>
            <w:pPr>
              <w:pStyle w:val="1005"/>
              <w:ind w:left="57" w:right="57"/>
            </w:pPr>
            <w:r>
              <w:t xml:space="preserve">Заполняется автоматически суммой полей 01-31 стр</w:t>
            </w:r>
            <w:r>
              <w:t xml:space="preserve">о</w:t>
            </w:r>
            <w:r>
              <w:t xml:space="preserve">ки с кодом «0510» (при подсчете, если поля 01-31 не заполнены, то считать как 0.0). </w:t>
            </w:r>
            <w:r/>
          </w:p>
          <w:p>
            <w:pPr>
              <w:pStyle w:val="1005"/>
              <w:ind w:left="57" w:right="57"/>
            </w:pPr>
            <w:r>
              <w:t xml:space="preserve">По умолчанию указывается 0.0.</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Поля 01-31</w:t>
            </w:r>
            <w:r/>
          </w:p>
        </w:tc>
        <w:tc>
          <w:tcPr>
            <w:shd w:val="clear" w:fill="auto" w:color="auto"/>
            <w:tcW w:w="3290" w:type="pct"/>
            <w:textDirection w:val="lrTb"/>
            <w:noWrap w:val="false"/>
          </w:tcPr>
          <w:p>
            <w:pPr>
              <w:pStyle w:val="1005"/>
              <w:ind w:left="57" w:right="57"/>
            </w:pPr>
            <w:r>
              <w:t xml:space="preserve">Заполняются вручную. Могут указываться отрицательные знач</w:t>
            </w:r>
            <w:r>
              <w:t xml:space="preserve">е</w:t>
            </w:r>
            <w:r>
              <w:t xml:space="preserve">ния. Доступны для редактирования и обязательны для заполн</w:t>
            </w:r>
            <w:r>
              <w:t xml:space="preserve">е</w:t>
            </w:r>
            <w:r>
              <w:t xml:space="preserve">ния, если отмечена соответс</w:t>
            </w:r>
            <w:r>
              <w:t xml:space="preserve">т</w:t>
            </w:r>
            <w:r>
              <w:t xml:space="preserve">вующая галка над столбцом. </w:t>
            </w:r>
            <w:r/>
          </w:p>
          <w:p>
            <w:pPr>
              <w:pStyle w:val="1005"/>
              <w:ind w:left="57" w:right="57"/>
            </w:pPr>
            <w:r>
              <w:t xml:space="preserve">Если галка не отмечена – недоступны для редактир</w:t>
            </w:r>
            <w:r>
              <w:t xml:space="preserve">о</w:t>
            </w:r>
            <w:r>
              <w:t xml:space="preserve">вания и не обязательны.</w:t>
            </w:r>
            <w:r/>
          </w:p>
        </w:tc>
      </w:tr>
      <w:tr>
        <w:trPr>
          <w:trHeight w:val="77"/>
        </w:trPr>
        <w:tc>
          <w:tcPr>
            <w:shd w:val="clear" w:fill="auto" w:color="auto"/>
            <w:tcW w:w="991" w:type="pct"/>
            <w:vMerge w:val="restart"/>
            <w:textDirection w:val="lrTb"/>
            <w:noWrap w:val="false"/>
          </w:tcPr>
          <w:p>
            <w:pPr>
              <w:pStyle w:val="1005"/>
              <w:ind w:left="57" w:right="57"/>
            </w:pPr>
            <w:r>
              <w:t xml:space="preserve">В</w:t>
            </w:r>
            <w:r>
              <w:t xml:space="preserve"> том числе: п</w:t>
            </w:r>
            <w:r>
              <w:t xml:space="preserve">о</w:t>
            </w:r>
            <w:r>
              <w:t xml:space="preserve">лучение бюдже</w:t>
            </w:r>
            <w:r>
              <w:t xml:space="preserve">т</w:t>
            </w:r>
            <w:r>
              <w:t xml:space="preserve">ных кредитов на пополнение о</w:t>
            </w:r>
            <w:r>
              <w:t xml:space="preserve">с</w:t>
            </w:r>
            <w:r>
              <w:t xml:space="preserve">татков средств на счет</w:t>
            </w:r>
            <w:r>
              <w:t xml:space="preserve">е</w:t>
            </w:r>
            <w:r>
              <w:t xml:space="preserve"> бюджета</w:t>
            </w:r>
            <w:r/>
          </w:p>
        </w:tc>
        <w:tc>
          <w:tcPr>
            <w:shd w:val="clear" w:fill="auto" w:color="auto"/>
            <w:tcW w:w="719" w:type="pct"/>
            <w:textDirection w:val="lrTb"/>
            <w:noWrap w:val="false"/>
          </w:tcPr>
          <w:p>
            <w:pPr>
              <w:pStyle w:val="1005"/>
              <w:ind w:left="57" w:right="57"/>
            </w:pPr>
            <w:r>
              <w:t xml:space="preserve">Код стр</w:t>
            </w:r>
            <w:r>
              <w:t xml:space="preserve">о</w:t>
            </w:r>
            <w:r>
              <w:t xml:space="preserve">ки</w:t>
            </w:r>
            <w:r/>
          </w:p>
        </w:tc>
        <w:tc>
          <w:tcPr>
            <w:shd w:val="clear" w:fill="auto" w:color="auto"/>
            <w:tcW w:w="3290" w:type="pct"/>
            <w:textDirection w:val="lrTb"/>
            <w:noWrap w:val="false"/>
          </w:tcPr>
          <w:p>
            <w:pPr>
              <w:pStyle w:val="1005"/>
              <w:ind w:left="57" w:right="57"/>
            </w:pPr>
            <w:r>
              <w:t xml:space="preserve">Всегда указывается значение «0511». Недоступно для редактир</w:t>
            </w:r>
            <w:r>
              <w:t xml:space="preserve">о</w:t>
            </w:r>
            <w:r>
              <w:t xml:space="preserve">вания.</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Сумма на м</w:t>
            </w:r>
            <w:r>
              <w:t xml:space="preserve">е</w:t>
            </w:r>
            <w:r>
              <w:t xml:space="preserve">сяц, всего</w:t>
            </w:r>
            <w:r/>
          </w:p>
        </w:tc>
        <w:tc>
          <w:tcPr>
            <w:shd w:val="clear" w:fill="auto" w:color="auto"/>
            <w:tcW w:w="3290" w:type="pct"/>
            <w:textDirection w:val="lrTb"/>
            <w:noWrap w:val="false"/>
          </w:tcPr>
          <w:p>
            <w:pPr>
              <w:pStyle w:val="1005"/>
              <w:ind w:left="57" w:right="57"/>
            </w:pPr>
            <w:r>
              <w:t xml:space="preserve">Заполняется автоматически суммой полей 01-31 стр</w:t>
            </w:r>
            <w:r>
              <w:t xml:space="preserve">о</w:t>
            </w:r>
            <w:r>
              <w:t xml:space="preserve">ки с кодом «0511» (при подсчете, если поля 01-31 не заполнены, то считать как 0.0). </w:t>
            </w:r>
            <w:r/>
          </w:p>
          <w:p>
            <w:pPr>
              <w:pStyle w:val="1005"/>
              <w:ind w:left="57" w:right="57"/>
            </w:pPr>
            <w:r>
              <w:t xml:space="preserve">По умолчанию указывается 0.0.</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Поля 01-31</w:t>
            </w:r>
            <w:r/>
          </w:p>
        </w:tc>
        <w:tc>
          <w:tcPr>
            <w:shd w:val="clear" w:fill="auto" w:color="auto"/>
            <w:tcW w:w="3290" w:type="pct"/>
            <w:textDirection w:val="lrTb"/>
            <w:noWrap w:val="false"/>
          </w:tcPr>
          <w:p>
            <w:pPr>
              <w:pStyle w:val="1005"/>
              <w:ind w:left="57" w:right="57"/>
            </w:pPr>
            <w:r>
              <w:t xml:space="preserve">Заполняются вручную. Могут указываться отрицательные знач</w:t>
            </w:r>
            <w:r>
              <w:t xml:space="preserve">е</w:t>
            </w:r>
            <w:r>
              <w:t xml:space="preserve">ния. Доступны для редактирования и обязательны для заполн</w:t>
            </w:r>
            <w:r>
              <w:t xml:space="preserve">е</w:t>
            </w:r>
            <w:r>
              <w:t xml:space="preserve">ния, если отмечена соответс</w:t>
            </w:r>
            <w:r>
              <w:t xml:space="preserve">т</w:t>
            </w:r>
            <w:r>
              <w:t xml:space="preserve">вующая галка над столбцом. </w:t>
            </w:r>
            <w:r/>
          </w:p>
          <w:p>
            <w:pPr>
              <w:pStyle w:val="1005"/>
              <w:ind w:left="57" w:right="57"/>
            </w:pPr>
            <w:r>
              <w:t xml:space="preserve">Если галка не отмечена – недоступны для редактир</w:t>
            </w:r>
            <w:r>
              <w:t xml:space="preserve">о</w:t>
            </w:r>
            <w:r>
              <w:t xml:space="preserve">вания и не </w:t>
            </w:r>
            <w:r>
              <w:t xml:space="preserve">обязательны.</w:t>
            </w:r>
            <w:r/>
          </w:p>
        </w:tc>
      </w:tr>
      <w:tr>
        <w:trPr>
          <w:trHeight w:val="77"/>
        </w:trPr>
        <w:tc>
          <w:tcPr>
            <w:shd w:val="clear" w:fill="auto" w:color="auto"/>
            <w:tcW w:w="991" w:type="pct"/>
            <w:vMerge w:val="restart"/>
            <w:textDirection w:val="lrTb"/>
            <w:noWrap w:val="false"/>
          </w:tcPr>
          <w:p>
            <w:pPr>
              <w:pStyle w:val="1005"/>
              <w:ind w:left="57" w:right="57"/>
            </w:pPr>
            <w:r>
              <w:t xml:space="preserve">Внешние</w:t>
            </w:r>
            <w:r/>
          </w:p>
        </w:tc>
        <w:tc>
          <w:tcPr>
            <w:shd w:val="clear" w:fill="auto" w:color="auto"/>
            <w:tcW w:w="719" w:type="pct"/>
            <w:textDirection w:val="lrTb"/>
            <w:noWrap w:val="false"/>
          </w:tcPr>
          <w:p>
            <w:pPr>
              <w:pStyle w:val="1005"/>
              <w:ind w:left="57" w:right="57"/>
            </w:pPr>
            <w:r>
              <w:t xml:space="preserve">Код стр</w:t>
            </w:r>
            <w:r>
              <w:t xml:space="preserve">о</w:t>
            </w:r>
            <w:r>
              <w:t xml:space="preserve">ки</w:t>
            </w:r>
            <w:r/>
          </w:p>
        </w:tc>
        <w:tc>
          <w:tcPr>
            <w:shd w:val="clear" w:fill="auto" w:color="auto"/>
            <w:tcW w:w="3290" w:type="pct"/>
            <w:textDirection w:val="lrTb"/>
            <w:noWrap w:val="false"/>
          </w:tcPr>
          <w:p>
            <w:pPr>
              <w:pStyle w:val="1005"/>
              <w:ind w:left="57" w:right="57"/>
            </w:pPr>
            <w:r>
              <w:t xml:space="preserve">Всегда указывается значение «0520». Недоступно для редактир</w:t>
            </w:r>
            <w:r>
              <w:t xml:space="preserve">о</w:t>
            </w:r>
            <w:r>
              <w:t xml:space="preserve">вания.</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Сумма на м</w:t>
            </w:r>
            <w:r>
              <w:t xml:space="preserve">е</w:t>
            </w:r>
            <w:r>
              <w:t xml:space="preserve">сяц, всего</w:t>
            </w:r>
            <w:r/>
          </w:p>
        </w:tc>
        <w:tc>
          <w:tcPr>
            <w:shd w:val="clear" w:fill="auto" w:color="auto"/>
            <w:tcW w:w="3290" w:type="pct"/>
            <w:textDirection w:val="lrTb"/>
            <w:noWrap w:val="false"/>
          </w:tcPr>
          <w:p>
            <w:pPr>
              <w:pStyle w:val="1005"/>
              <w:ind w:left="57" w:right="57"/>
            </w:pPr>
            <w:r>
              <w:t xml:space="preserve">Заполняется автоматически суммой полей 01-31 стр</w:t>
            </w:r>
            <w:r>
              <w:t xml:space="preserve">о</w:t>
            </w:r>
            <w:r>
              <w:t xml:space="preserve">ки с кодом «0520» (при подсчете, если поля 01-31 не заполнены, то считать как 0.0). </w:t>
            </w:r>
            <w:r/>
          </w:p>
          <w:p>
            <w:pPr>
              <w:pStyle w:val="1005"/>
              <w:ind w:left="57" w:right="57"/>
            </w:pPr>
            <w:r>
              <w:t xml:space="preserve">По умолчанию указывается 0.0.</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Поля 01-31</w:t>
            </w:r>
            <w:r/>
          </w:p>
        </w:tc>
        <w:tc>
          <w:tcPr>
            <w:shd w:val="clear" w:fill="auto" w:color="auto"/>
            <w:tcW w:w="3290" w:type="pct"/>
            <w:textDirection w:val="lrTb"/>
            <w:noWrap w:val="false"/>
          </w:tcPr>
          <w:p>
            <w:pPr>
              <w:pStyle w:val="1005"/>
              <w:ind w:left="57" w:right="57"/>
            </w:pPr>
            <w:r>
              <w:t xml:space="preserve">Заполняются вручную. Могут указываться отрицательные знач</w:t>
            </w:r>
            <w:r>
              <w:t xml:space="preserve">е</w:t>
            </w:r>
            <w:r>
              <w:t xml:space="preserve">ния. Доступны для редактирования и обязательны для заполн</w:t>
            </w:r>
            <w:r>
              <w:t xml:space="preserve">е</w:t>
            </w:r>
            <w:r>
              <w:t xml:space="preserve">ния, если отмечена соответс</w:t>
            </w:r>
            <w:r>
              <w:t xml:space="preserve">т</w:t>
            </w:r>
            <w:r>
              <w:t xml:space="preserve">вующая галка над столбцом. </w:t>
            </w:r>
            <w:r/>
          </w:p>
          <w:p>
            <w:pPr>
              <w:pStyle w:val="1005"/>
              <w:ind w:left="57" w:right="57"/>
            </w:pPr>
            <w:r>
              <w:t xml:space="preserve">Если галка не отмечена – недоступны для редактир</w:t>
            </w:r>
            <w:r>
              <w:t xml:space="preserve">о</w:t>
            </w:r>
            <w:r>
              <w:t xml:space="preserve">вания и не обязательны.</w:t>
            </w:r>
            <w:r/>
          </w:p>
        </w:tc>
      </w:tr>
      <w:tr>
        <w:trPr>
          <w:trHeight w:val="77"/>
        </w:trPr>
        <w:tc>
          <w:tcPr>
            <w:shd w:val="clear" w:fill="auto" w:color="auto"/>
            <w:tcW w:w="991" w:type="pct"/>
            <w:vMerge w:val="restart"/>
            <w:textDirection w:val="lrTb"/>
            <w:noWrap w:val="false"/>
          </w:tcPr>
          <w:p>
            <w:pPr>
              <w:pStyle w:val="1005"/>
              <w:ind w:left="57" w:right="57"/>
            </w:pPr>
            <w:r>
              <w:t xml:space="preserve">Кассовые выпл</w:t>
            </w:r>
            <w:r>
              <w:t xml:space="preserve">а</w:t>
            </w:r>
            <w:r>
              <w:t xml:space="preserve">ты по источникам финансир</w:t>
            </w:r>
            <w:r>
              <w:t xml:space="preserve">о</w:t>
            </w:r>
            <w:r>
              <w:t xml:space="preserve">вания д</w:t>
            </w:r>
            <w:r>
              <w:t xml:space="preserve">е</w:t>
            </w:r>
            <w:r>
              <w:t xml:space="preserve">фицита – всего</w:t>
            </w:r>
            <w:r/>
          </w:p>
        </w:tc>
        <w:tc>
          <w:tcPr>
            <w:shd w:val="clear" w:fill="auto" w:color="auto"/>
            <w:tcW w:w="719" w:type="pct"/>
            <w:textDirection w:val="lrTb"/>
            <w:noWrap w:val="false"/>
          </w:tcPr>
          <w:p>
            <w:pPr>
              <w:pStyle w:val="1005"/>
              <w:ind w:left="57" w:right="57"/>
            </w:pPr>
            <w:r>
              <w:t xml:space="preserve">Код стр</w:t>
            </w:r>
            <w:r>
              <w:t xml:space="preserve">о</w:t>
            </w:r>
            <w:r>
              <w:t xml:space="preserve">ки</w:t>
            </w:r>
            <w:r/>
          </w:p>
        </w:tc>
        <w:tc>
          <w:tcPr>
            <w:shd w:val="clear" w:fill="auto" w:color="auto"/>
            <w:tcW w:w="3290" w:type="pct"/>
            <w:textDirection w:val="lrTb"/>
            <w:noWrap w:val="false"/>
          </w:tcPr>
          <w:p>
            <w:pPr>
              <w:pStyle w:val="1005"/>
              <w:ind w:left="57" w:right="57"/>
            </w:pPr>
            <w:r>
              <w:t xml:space="preserve">Всегда указывается значение «0600». Недоступно для редактир</w:t>
            </w:r>
            <w:r>
              <w:t xml:space="preserve">о</w:t>
            </w:r>
            <w:r>
              <w:t xml:space="preserve">вания.</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Сумма на м</w:t>
            </w:r>
            <w:r>
              <w:t xml:space="preserve">е</w:t>
            </w:r>
            <w:r>
              <w:t xml:space="preserve">сяц, всего</w:t>
            </w:r>
            <w:r/>
          </w:p>
        </w:tc>
        <w:tc>
          <w:tcPr>
            <w:shd w:val="clear" w:fill="auto" w:color="auto"/>
            <w:tcW w:w="3290" w:type="pct"/>
            <w:textDirection w:val="lrTb"/>
            <w:noWrap w:val="false"/>
          </w:tcPr>
          <w:p>
            <w:pPr>
              <w:pStyle w:val="1005"/>
              <w:ind w:left="57" w:right="57"/>
            </w:pPr>
            <w:r>
              <w:t xml:space="preserve">Заполняются автоматически значением: строка «0610» плюс строка «0620» соответствующего столбца (при подсчете, если п</w:t>
            </w:r>
            <w:r>
              <w:t xml:space="preserve">о</w:t>
            </w:r>
            <w:r>
              <w:t xml:space="preserve">ля не заполнены, то их считать как 0.0). </w:t>
            </w:r>
            <w:r/>
          </w:p>
          <w:p>
            <w:pPr>
              <w:pStyle w:val="1005"/>
              <w:ind w:left="57" w:right="57"/>
            </w:pPr>
            <w:r>
              <w:t xml:space="preserve">По умолчанию указывается 0.0.</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Поля 01-31</w:t>
            </w:r>
            <w:r/>
          </w:p>
        </w:tc>
        <w:tc>
          <w:tcPr>
            <w:shd w:val="clear" w:fill="auto" w:color="auto"/>
            <w:tcW w:w="3290" w:type="pct"/>
            <w:textDirection w:val="lrTb"/>
            <w:noWrap w:val="false"/>
          </w:tcPr>
          <w:p>
            <w:pPr>
              <w:pStyle w:val="1005"/>
              <w:ind w:left="57" w:right="57"/>
            </w:pPr>
            <w:r>
              <w:t xml:space="preserve">Заполняются автоматически значением: строка «0610» плюс строка «0620» соответствующего столбца (при подсчете, если п</w:t>
            </w:r>
            <w:r>
              <w:t xml:space="preserve">о</w:t>
            </w:r>
            <w:r>
              <w:t xml:space="preserve">ля не заполнены, то их считать как 0.0). </w:t>
            </w:r>
            <w:r/>
          </w:p>
          <w:p>
            <w:pPr>
              <w:pStyle w:val="1005"/>
              <w:ind w:left="57" w:right="57"/>
            </w:pPr>
            <w:r>
              <w:t xml:space="preserve">По умолчанию указывается 0.0.</w:t>
            </w:r>
            <w:r/>
          </w:p>
        </w:tc>
      </w:tr>
      <w:tr>
        <w:trPr>
          <w:trHeight w:val="77"/>
        </w:trPr>
        <w:tc>
          <w:tcPr>
            <w:shd w:val="clear" w:fill="auto" w:color="auto"/>
            <w:tcW w:w="991" w:type="pct"/>
            <w:vMerge w:val="restart"/>
            <w:textDirection w:val="lrTb"/>
            <w:noWrap w:val="false"/>
          </w:tcPr>
          <w:p>
            <w:pPr>
              <w:pStyle w:val="1005"/>
              <w:ind w:left="57" w:right="57"/>
            </w:pPr>
            <w:r>
              <w:t xml:space="preserve">Внутре</w:t>
            </w:r>
            <w:r>
              <w:t xml:space="preserve">н</w:t>
            </w:r>
            <w:r>
              <w:t xml:space="preserve">ние</w:t>
            </w:r>
            <w:r/>
          </w:p>
        </w:tc>
        <w:tc>
          <w:tcPr>
            <w:shd w:val="clear" w:fill="auto" w:color="auto"/>
            <w:tcW w:w="719" w:type="pct"/>
            <w:textDirection w:val="lrTb"/>
            <w:noWrap w:val="false"/>
          </w:tcPr>
          <w:p>
            <w:pPr>
              <w:pStyle w:val="1005"/>
              <w:ind w:left="57" w:right="57"/>
            </w:pPr>
            <w:r>
              <w:t xml:space="preserve">Код стр</w:t>
            </w:r>
            <w:r>
              <w:t xml:space="preserve">о</w:t>
            </w:r>
            <w:r>
              <w:t xml:space="preserve">ки</w:t>
            </w:r>
            <w:r/>
          </w:p>
        </w:tc>
        <w:tc>
          <w:tcPr>
            <w:shd w:val="clear" w:fill="auto" w:color="auto"/>
            <w:tcW w:w="3290" w:type="pct"/>
            <w:textDirection w:val="lrTb"/>
            <w:noWrap w:val="false"/>
          </w:tcPr>
          <w:p>
            <w:pPr>
              <w:pStyle w:val="1005"/>
              <w:ind w:left="57" w:right="57"/>
            </w:pPr>
            <w:r>
              <w:t xml:space="preserve">Всегда указывается значение «0610». Недоступно для редактир</w:t>
            </w:r>
            <w:r>
              <w:t xml:space="preserve">о</w:t>
            </w:r>
            <w:r>
              <w:t xml:space="preserve">вания.</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Сумма на м</w:t>
            </w:r>
            <w:r>
              <w:t xml:space="preserve">е</w:t>
            </w:r>
            <w:r>
              <w:t xml:space="preserve">сяц, всего</w:t>
            </w:r>
            <w:r/>
          </w:p>
        </w:tc>
        <w:tc>
          <w:tcPr>
            <w:shd w:val="clear" w:fill="auto" w:color="auto"/>
            <w:tcW w:w="3290" w:type="pct"/>
            <w:textDirection w:val="lrTb"/>
            <w:noWrap w:val="false"/>
          </w:tcPr>
          <w:p>
            <w:pPr>
              <w:pStyle w:val="1005"/>
              <w:ind w:left="57" w:right="57"/>
            </w:pPr>
            <w:r>
              <w:t xml:space="preserve">Заполняется автоматически суммой полей 01-31 стр</w:t>
            </w:r>
            <w:r>
              <w:t xml:space="preserve">о</w:t>
            </w:r>
            <w:r>
              <w:t xml:space="preserve">ки с кодом «0610» (при подсчете, если поля 01-31 не заполнены, то считать как 0.0). </w:t>
            </w:r>
            <w:r/>
          </w:p>
          <w:p>
            <w:pPr>
              <w:pStyle w:val="1005"/>
              <w:ind w:left="57" w:right="57"/>
            </w:pPr>
            <w:r>
              <w:t xml:space="preserve">По умолчанию указывается 0.0.</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Поля 01-31</w:t>
            </w:r>
            <w:r/>
          </w:p>
        </w:tc>
        <w:tc>
          <w:tcPr>
            <w:shd w:val="clear" w:fill="auto" w:color="auto"/>
            <w:tcW w:w="3290" w:type="pct"/>
            <w:textDirection w:val="lrTb"/>
            <w:noWrap w:val="false"/>
          </w:tcPr>
          <w:p>
            <w:pPr>
              <w:pStyle w:val="1005"/>
              <w:ind w:left="57" w:right="57"/>
            </w:pPr>
            <w:r>
              <w:t xml:space="preserve">Заполняются вручную. Могут указываться отрицательные знач</w:t>
            </w:r>
            <w:r>
              <w:t xml:space="preserve">е</w:t>
            </w:r>
            <w:r>
              <w:t xml:space="preserve">ния. Доступны для редактирования и обязательны для заполн</w:t>
            </w:r>
            <w:r>
              <w:t xml:space="preserve">е</w:t>
            </w:r>
            <w:r>
              <w:t xml:space="preserve">ния, если отмечена соответс</w:t>
            </w:r>
            <w:r>
              <w:t xml:space="preserve">т</w:t>
            </w:r>
            <w:r>
              <w:t xml:space="preserve">вующая галка над столбцом. </w:t>
            </w:r>
            <w:r/>
          </w:p>
          <w:p>
            <w:pPr>
              <w:pStyle w:val="1005"/>
              <w:ind w:left="57" w:right="57"/>
            </w:pPr>
            <w:r>
              <w:t xml:space="preserve">Если галка не отмечена – </w:t>
            </w:r>
            <w:r>
              <w:t xml:space="preserve">недоступны для редактирования</w:t>
            </w:r>
            <w:r>
              <w:t xml:space="preserve"> и не обязательны.</w:t>
            </w:r>
            <w:r/>
          </w:p>
        </w:tc>
      </w:tr>
      <w:tr>
        <w:trPr>
          <w:trHeight w:val="77"/>
        </w:trPr>
        <w:tc>
          <w:tcPr>
            <w:shd w:val="clear" w:fill="auto" w:color="auto"/>
            <w:tcW w:w="991" w:type="pct"/>
            <w:vMerge w:val="restart"/>
            <w:textDirection w:val="lrTb"/>
            <w:noWrap w:val="false"/>
          </w:tcPr>
          <w:p>
            <w:pPr>
              <w:pStyle w:val="1005"/>
              <w:ind w:left="57" w:right="57"/>
            </w:pPr>
            <w:r>
              <w:t xml:space="preserve">В</w:t>
            </w:r>
            <w:r>
              <w:t xml:space="preserve"> том числе: во</w:t>
            </w:r>
            <w:r>
              <w:t xml:space="preserve">з</w:t>
            </w:r>
            <w:r>
              <w:t xml:space="preserve">врат бюджетных кредитов на п</w:t>
            </w:r>
            <w:r>
              <w:t xml:space="preserve">о</w:t>
            </w:r>
            <w:r>
              <w:t xml:space="preserve">полнение оста</w:t>
            </w:r>
            <w:r>
              <w:t xml:space="preserve">т</w:t>
            </w:r>
            <w:r>
              <w:t xml:space="preserve">ков средств на счет</w:t>
            </w:r>
            <w:r>
              <w:t xml:space="preserve">е</w:t>
            </w:r>
            <w:r>
              <w:t xml:space="preserve"> бюджета</w:t>
            </w:r>
            <w:r/>
          </w:p>
        </w:tc>
        <w:tc>
          <w:tcPr>
            <w:shd w:val="clear" w:fill="auto" w:color="auto"/>
            <w:tcW w:w="719" w:type="pct"/>
            <w:textDirection w:val="lrTb"/>
            <w:noWrap w:val="false"/>
          </w:tcPr>
          <w:p>
            <w:pPr>
              <w:pStyle w:val="1005"/>
              <w:ind w:left="57" w:right="57"/>
            </w:pPr>
            <w:r>
              <w:t xml:space="preserve">Код стр</w:t>
            </w:r>
            <w:r>
              <w:t xml:space="preserve">о</w:t>
            </w:r>
            <w:r>
              <w:t xml:space="preserve">ки</w:t>
            </w:r>
            <w:r/>
          </w:p>
        </w:tc>
        <w:tc>
          <w:tcPr>
            <w:shd w:val="clear" w:fill="auto" w:color="auto"/>
            <w:tcW w:w="3290" w:type="pct"/>
            <w:textDirection w:val="lrTb"/>
            <w:noWrap w:val="false"/>
          </w:tcPr>
          <w:p>
            <w:pPr>
              <w:pStyle w:val="1005"/>
              <w:ind w:left="57" w:right="57"/>
            </w:pPr>
            <w:r>
              <w:t xml:space="preserve">Всегда указывается значение «0611». </w:t>
            </w:r>
            <w:r>
              <w:t xml:space="preserve">Недоступно для редактир</w:t>
            </w:r>
            <w:r>
              <w:t xml:space="preserve">о</w:t>
            </w:r>
            <w:r>
              <w:t xml:space="preserve">вания</w:t>
            </w:r>
            <w:r>
              <w:t xml:space="preserve">.</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Сумма на м</w:t>
            </w:r>
            <w:r>
              <w:t xml:space="preserve">е</w:t>
            </w:r>
            <w:r>
              <w:t xml:space="preserve">сяц, всего</w:t>
            </w:r>
            <w:r/>
          </w:p>
        </w:tc>
        <w:tc>
          <w:tcPr>
            <w:shd w:val="clear" w:fill="auto" w:color="auto"/>
            <w:tcW w:w="3290" w:type="pct"/>
            <w:textDirection w:val="lrTb"/>
            <w:noWrap w:val="false"/>
          </w:tcPr>
          <w:p>
            <w:pPr>
              <w:pStyle w:val="1005"/>
              <w:ind w:left="57" w:right="57"/>
            </w:pPr>
            <w:r>
              <w:t xml:space="preserve">Заполняется автоматически суммой полей 01-31 стр</w:t>
            </w:r>
            <w:r>
              <w:t xml:space="preserve">о</w:t>
            </w:r>
            <w:r>
              <w:t xml:space="preserve">ки с кодом «0611» (при подсчете, если поля 01-31 не заполнены, то считать как 0.0). </w:t>
            </w:r>
            <w:r/>
          </w:p>
          <w:p>
            <w:pPr>
              <w:pStyle w:val="1005"/>
              <w:ind w:left="57" w:right="57"/>
            </w:pPr>
            <w:r>
              <w:t xml:space="preserve">По умолчанию указывается 0.0.</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Поля 01-31</w:t>
            </w:r>
            <w:r/>
          </w:p>
        </w:tc>
        <w:tc>
          <w:tcPr>
            <w:shd w:val="clear" w:fill="auto" w:color="auto"/>
            <w:tcW w:w="3290" w:type="pct"/>
            <w:textDirection w:val="lrTb"/>
            <w:noWrap w:val="false"/>
          </w:tcPr>
          <w:p>
            <w:pPr>
              <w:pStyle w:val="1005"/>
              <w:ind w:left="57" w:right="57"/>
            </w:pPr>
            <w:r>
              <w:t xml:space="preserve">Заполняются вручную. Могут указываться отрицательные знач</w:t>
            </w:r>
            <w:r>
              <w:t xml:space="preserve">е</w:t>
            </w:r>
            <w:r>
              <w:t xml:space="preserve">ния. Доступны для редактирования и обязательны для заполн</w:t>
            </w:r>
            <w:r>
              <w:t xml:space="preserve">е</w:t>
            </w:r>
            <w:r>
              <w:t xml:space="preserve">ния, если отмечена соответс</w:t>
            </w:r>
            <w:r>
              <w:t xml:space="preserve">т</w:t>
            </w:r>
            <w:r>
              <w:t xml:space="preserve">вующая галка над столбцом. </w:t>
            </w:r>
            <w:r/>
          </w:p>
          <w:p>
            <w:pPr>
              <w:pStyle w:val="1005"/>
              <w:ind w:left="57" w:right="57"/>
            </w:pPr>
            <w:r>
              <w:t xml:space="preserve">Если галка не отмечена – </w:t>
            </w:r>
            <w:r>
              <w:t xml:space="preserve">недоступны для редактирования</w:t>
            </w:r>
            <w:r>
              <w:t xml:space="preserve"> и не обязательны.</w:t>
            </w:r>
            <w:r/>
          </w:p>
        </w:tc>
      </w:tr>
      <w:tr>
        <w:trPr>
          <w:trHeight w:val="77"/>
        </w:trPr>
        <w:tc>
          <w:tcPr>
            <w:shd w:val="clear" w:fill="auto" w:color="auto"/>
            <w:tcW w:w="991" w:type="pct"/>
            <w:vMerge w:val="restart"/>
            <w:textDirection w:val="lrTb"/>
            <w:noWrap w:val="false"/>
          </w:tcPr>
          <w:p>
            <w:pPr>
              <w:pStyle w:val="1005"/>
              <w:ind w:left="57" w:right="57"/>
            </w:pPr>
            <w:r>
              <w:t xml:space="preserve">Внешние</w:t>
            </w:r>
            <w:r/>
          </w:p>
        </w:tc>
        <w:tc>
          <w:tcPr>
            <w:shd w:val="clear" w:fill="auto" w:color="auto"/>
            <w:tcW w:w="719" w:type="pct"/>
            <w:textDirection w:val="lrTb"/>
            <w:noWrap w:val="false"/>
          </w:tcPr>
          <w:p>
            <w:pPr>
              <w:pStyle w:val="1005"/>
              <w:ind w:left="57" w:right="57"/>
            </w:pPr>
            <w:r>
              <w:t xml:space="preserve">Код стр</w:t>
            </w:r>
            <w:r>
              <w:t xml:space="preserve">о</w:t>
            </w:r>
            <w:r>
              <w:t xml:space="preserve">ки</w:t>
            </w:r>
            <w:r/>
          </w:p>
        </w:tc>
        <w:tc>
          <w:tcPr>
            <w:shd w:val="clear" w:fill="auto" w:color="auto"/>
            <w:tcW w:w="3290" w:type="pct"/>
            <w:textDirection w:val="lrTb"/>
            <w:noWrap w:val="false"/>
          </w:tcPr>
          <w:p>
            <w:pPr>
              <w:pStyle w:val="1005"/>
              <w:ind w:left="57" w:right="57"/>
            </w:pPr>
            <w:r>
              <w:t xml:space="preserve">Всегда указывается значение «0620». </w:t>
            </w:r>
            <w:r>
              <w:t xml:space="preserve">Недоступно для редактир</w:t>
            </w:r>
            <w:r>
              <w:t xml:space="preserve">о</w:t>
            </w:r>
            <w:r>
              <w:t xml:space="preserve">вания</w:t>
            </w:r>
            <w:r>
              <w:t xml:space="preserve">.</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Сумма на м</w:t>
            </w:r>
            <w:r>
              <w:t xml:space="preserve">е</w:t>
            </w:r>
            <w:r>
              <w:t xml:space="preserve">сяц, всего</w:t>
            </w:r>
            <w:r/>
          </w:p>
        </w:tc>
        <w:tc>
          <w:tcPr>
            <w:shd w:val="clear" w:fill="auto" w:color="auto"/>
            <w:tcW w:w="3290" w:type="pct"/>
            <w:textDirection w:val="lrTb"/>
            <w:noWrap w:val="false"/>
          </w:tcPr>
          <w:p>
            <w:pPr>
              <w:pStyle w:val="1005"/>
              <w:ind w:left="57" w:right="57"/>
            </w:pPr>
            <w:r>
              <w:t xml:space="preserve">Заполняется автоматически суммой полей 01-31 стр</w:t>
            </w:r>
            <w:r>
              <w:t xml:space="preserve">о</w:t>
            </w:r>
            <w:r>
              <w:t xml:space="preserve">ки с кодом «0620» (при подсчете, если поля 01-31 не заполнены, то считать как 0.0). </w:t>
            </w:r>
            <w:r/>
          </w:p>
          <w:p>
            <w:pPr>
              <w:pStyle w:val="1005"/>
              <w:ind w:left="57" w:right="57"/>
            </w:pPr>
            <w:r>
              <w:t xml:space="preserve">По умолчанию указывается 0.0.</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Поля 01-31</w:t>
            </w:r>
            <w:r/>
          </w:p>
        </w:tc>
        <w:tc>
          <w:tcPr>
            <w:shd w:val="clear" w:fill="auto" w:color="auto"/>
            <w:tcW w:w="3290" w:type="pct"/>
            <w:textDirection w:val="lrTb"/>
            <w:noWrap w:val="false"/>
          </w:tcPr>
          <w:p>
            <w:pPr>
              <w:pStyle w:val="1005"/>
              <w:ind w:left="57" w:right="57"/>
            </w:pPr>
            <w:r>
              <w:t xml:space="preserve">Заполняются вручную. Могут указываться отрицательные знач</w:t>
            </w:r>
            <w:r>
              <w:t xml:space="preserve">е</w:t>
            </w:r>
            <w:r>
              <w:t xml:space="preserve">ния. Доступны для редактирования и обязательны для заполн</w:t>
            </w:r>
            <w:r>
              <w:t xml:space="preserve">е</w:t>
            </w:r>
            <w:r>
              <w:t xml:space="preserve">ния, если отмечена соответс</w:t>
            </w:r>
            <w:r>
              <w:t xml:space="preserve">т</w:t>
            </w:r>
            <w:r>
              <w:t xml:space="preserve">вующая галка над столбцом. </w:t>
            </w:r>
            <w:r/>
          </w:p>
          <w:p>
            <w:pPr>
              <w:pStyle w:val="1005"/>
              <w:ind w:left="57" w:right="57"/>
            </w:pPr>
            <w:r>
              <w:t xml:space="preserve">Если галка не отмечена – </w:t>
            </w:r>
            <w:r>
              <w:t xml:space="preserve">недоступны для редактирования</w:t>
            </w:r>
            <w:r>
              <w:t xml:space="preserve"> и не обязательны.</w:t>
            </w:r>
            <w:r/>
          </w:p>
        </w:tc>
      </w:tr>
      <w:tr>
        <w:trPr>
          <w:trHeight w:val="77"/>
        </w:trPr>
        <w:tc>
          <w:tcPr>
            <w:shd w:val="clear" w:fill="auto" w:color="auto"/>
            <w:tcW w:w="991" w:type="pct"/>
            <w:vMerge w:val="restart"/>
            <w:textDirection w:val="lrTb"/>
            <w:noWrap w:val="false"/>
          </w:tcPr>
          <w:p>
            <w:pPr>
              <w:pStyle w:val="1005"/>
              <w:ind w:left="57" w:right="57"/>
            </w:pPr>
            <w:r>
              <w:t xml:space="preserve">Изменение оста</w:t>
            </w:r>
            <w:r>
              <w:t xml:space="preserve">т</w:t>
            </w:r>
            <w:r>
              <w:t xml:space="preserve">ков</w:t>
            </w:r>
            <w:r/>
          </w:p>
        </w:tc>
        <w:tc>
          <w:tcPr>
            <w:shd w:val="clear" w:fill="auto" w:color="auto"/>
            <w:tcW w:w="719" w:type="pct"/>
            <w:textDirection w:val="lrTb"/>
            <w:noWrap w:val="false"/>
          </w:tcPr>
          <w:p>
            <w:pPr>
              <w:pStyle w:val="1005"/>
              <w:ind w:left="57" w:right="57"/>
            </w:pPr>
            <w:r>
              <w:t xml:space="preserve">Код стр</w:t>
            </w:r>
            <w:r>
              <w:t xml:space="preserve">о</w:t>
            </w:r>
            <w:r>
              <w:t xml:space="preserve">ки</w:t>
            </w:r>
            <w:r/>
          </w:p>
        </w:tc>
        <w:tc>
          <w:tcPr>
            <w:shd w:val="clear" w:fill="auto" w:color="auto"/>
            <w:tcW w:w="3290" w:type="pct"/>
            <w:textDirection w:val="lrTb"/>
            <w:noWrap w:val="false"/>
          </w:tcPr>
          <w:p>
            <w:pPr>
              <w:pStyle w:val="1005"/>
              <w:ind w:left="57" w:right="57"/>
            </w:pPr>
            <w:r>
              <w:t xml:space="preserve">Всегда указывается значение «0700». </w:t>
            </w:r>
            <w:r>
              <w:t xml:space="preserve">Недоступно для редактир</w:t>
            </w:r>
            <w:r>
              <w:t xml:space="preserve">о</w:t>
            </w:r>
            <w:r>
              <w:t xml:space="preserve">вания</w:t>
            </w:r>
            <w:r>
              <w:t xml:space="preserve">.</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Сумма на м</w:t>
            </w:r>
            <w:r>
              <w:t xml:space="preserve">е</w:t>
            </w:r>
            <w:r>
              <w:t xml:space="preserve">сяц, всего</w:t>
            </w:r>
            <w:r/>
          </w:p>
        </w:tc>
        <w:tc>
          <w:tcPr>
            <w:shd w:val="clear" w:fill="auto" w:color="auto"/>
            <w:tcW w:w="3290" w:type="pct"/>
            <w:textDirection w:val="lrTb"/>
            <w:noWrap w:val="false"/>
          </w:tcPr>
          <w:p>
            <w:pPr>
              <w:pStyle w:val="1005"/>
              <w:ind w:left="57" w:right="57"/>
            </w:pPr>
            <w:r>
              <w:t xml:space="preserve">Заполняются автоматически значением: строка «0200» плюс строка «0600» минус строка «0100» </w:t>
            </w:r>
            <w:r>
              <w:t xml:space="preserve">минус</w:t>
            </w:r>
            <w:r>
              <w:t xml:space="preserve"> строка «0500»</w:t>
            </w:r>
            <w:r>
              <w:t xml:space="preserve"> </w:t>
            </w:r>
            <w:r>
              <w:t xml:space="preserve">соотве</w:t>
            </w:r>
            <w:r>
              <w:t xml:space="preserve">т</w:t>
            </w:r>
            <w:r>
              <w:t xml:space="preserve">ствующего столбца (при подсчете, если поля не заполнены, то их считать как 0.0). </w:t>
            </w:r>
            <w:r/>
          </w:p>
          <w:p>
            <w:pPr>
              <w:pStyle w:val="1005"/>
              <w:ind w:left="57" w:right="57"/>
            </w:pPr>
            <w:r>
              <w:t xml:space="preserve">По умолчанию указывается 0.0. </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Поля 01-31</w:t>
            </w:r>
            <w:r/>
          </w:p>
        </w:tc>
        <w:tc>
          <w:tcPr>
            <w:shd w:val="clear" w:fill="auto" w:color="auto"/>
            <w:tcW w:w="3290" w:type="pct"/>
            <w:textDirection w:val="lrTb"/>
            <w:noWrap w:val="false"/>
          </w:tcPr>
          <w:p>
            <w:pPr>
              <w:pStyle w:val="1005"/>
              <w:ind w:left="57" w:right="57"/>
            </w:pPr>
            <w:r>
              <w:t xml:space="preserve">Заполняются автоматически значением: строка «0200» плюс строка «0600» минус строка «0100» </w:t>
            </w:r>
            <w:r>
              <w:t xml:space="preserve">минус</w:t>
            </w:r>
            <w:r>
              <w:t xml:space="preserve"> строка «0500» соотве</w:t>
            </w:r>
            <w:r>
              <w:t xml:space="preserve">т</w:t>
            </w:r>
            <w:r>
              <w:t xml:space="preserve">ствующего столбца (при подсчете, если поля не заполнены, то их считать как 0.0). </w:t>
            </w:r>
            <w:r/>
          </w:p>
          <w:p>
            <w:pPr>
              <w:pStyle w:val="1005"/>
              <w:ind w:left="57" w:right="57"/>
            </w:pPr>
            <w:r>
              <w:t xml:space="preserve">По умолчанию указывается 0.0.</w:t>
            </w:r>
            <w:r/>
          </w:p>
        </w:tc>
      </w:tr>
      <w:tr>
        <w:trPr>
          <w:trHeight w:val="77"/>
        </w:trPr>
        <w:tc>
          <w:tcPr>
            <w:shd w:val="clear" w:fill="auto" w:color="auto"/>
            <w:tcW w:w="991" w:type="pct"/>
            <w:vMerge w:val="restart"/>
            <w:textDirection w:val="lrTb"/>
            <w:noWrap w:val="false"/>
          </w:tcPr>
          <w:p>
            <w:pPr>
              <w:pStyle w:val="1005"/>
              <w:ind w:left="57" w:right="57"/>
            </w:pPr>
            <w:r>
              <w:t xml:space="preserve">Остатки на счетах на начало пери</w:t>
            </w:r>
            <w:r>
              <w:t xml:space="preserve">о</w:t>
            </w:r>
            <w:r>
              <w:t xml:space="preserve">да</w:t>
            </w:r>
            <w:r/>
          </w:p>
        </w:tc>
        <w:tc>
          <w:tcPr>
            <w:shd w:val="clear" w:fill="auto" w:color="auto"/>
            <w:tcW w:w="719" w:type="pct"/>
            <w:textDirection w:val="lrTb"/>
            <w:noWrap w:val="false"/>
          </w:tcPr>
          <w:p>
            <w:pPr>
              <w:pStyle w:val="1005"/>
              <w:ind w:left="57" w:right="57"/>
            </w:pPr>
            <w:r>
              <w:t xml:space="preserve">Код стр</w:t>
            </w:r>
            <w:r>
              <w:t xml:space="preserve">о</w:t>
            </w:r>
            <w:r>
              <w:t xml:space="preserve">ки</w:t>
            </w:r>
            <w:r/>
          </w:p>
        </w:tc>
        <w:tc>
          <w:tcPr>
            <w:shd w:val="clear" w:fill="auto" w:color="auto"/>
            <w:tcW w:w="3290" w:type="pct"/>
            <w:textDirection w:val="lrTb"/>
            <w:noWrap w:val="false"/>
          </w:tcPr>
          <w:p>
            <w:pPr>
              <w:pStyle w:val="1005"/>
              <w:ind w:left="57" w:right="57"/>
            </w:pPr>
            <w:r>
              <w:t xml:space="preserve">Всегда указывается значение «0800». </w:t>
            </w:r>
            <w:r>
              <w:t xml:space="preserve">Недоступно для редактир</w:t>
            </w:r>
            <w:r>
              <w:t xml:space="preserve">о</w:t>
            </w:r>
            <w:r>
              <w:t xml:space="preserve">вания</w:t>
            </w:r>
            <w:r>
              <w:t xml:space="preserve">.</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Сумма на м</w:t>
            </w:r>
            <w:r>
              <w:t xml:space="preserve">е</w:t>
            </w:r>
            <w:r>
              <w:t xml:space="preserve">сяц, всего</w:t>
            </w:r>
            <w:r/>
          </w:p>
        </w:tc>
        <w:tc>
          <w:tcPr>
            <w:shd w:val="clear" w:fill="auto" w:color="auto"/>
            <w:tcW w:w="3290" w:type="pct"/>
            <w:textDirection w:val="lrTb"/>
            <w:noWrap w:val="false"/>
          </w:tcPr>
          <w:p>
            <w:pPr>
              <w:pStyle w:val="1005"/>
              <w:ind w:left="57" w:right="57"/>
            </w:pPr>
            <w:r>
              <w:t xml:space="preserve">Поле доступно для редактирования. </w:t>
            </w:r>
            <w:r/>
          </w:p>
          <w:p>
            <w:pPr>
              <w:pStyle w:val="1005"/>
              <w:ind w:left="57" w:right="57"/>
            </w:pPr>
            <w:r>
              <w:t xml:space="preserve">По умолчанию указывается 0.0</w:t>
            </w:r>
            <w:r>
              <w:t xml:space="preserve">.</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Поля 01-31</w:t>
            </w:r>
            <w:r/>
          </w:p>
        </w:tc>
        <w:tc>
          <w:tcPr>
            <w:shd w:val="clear" w:fill="auto" w:color="auto"/>
            <w:tcW w:w="3290" w:type="pct"/>
            <w:textDirection w:val="lrTb"/>
            <w:noWrap w:val="false"/>
          </w:tcPr>
          <w:p>
            <w:pPr>
              <w:pStyle w:val="1005"/>
              <w:ind w:left="57" w:right="57"/>
            </w:pPr>
            <w:r>
              <w:t xml:space="preserve">В поле 01 указывается значение</w:t>
            </w:r>
            <w:r>
              <w:t xml:space="preserve">, </w:t>
            </w:r>
            <w:r>
              <w:t xml:space="preserve">указанное в поле «Сумма на м</w:t>
            </w:r>
            <w:r>
              <w:t xml:space="preserve">е</w:t>
            </w:r>
            <w:r>
              <w:t xml:space="preserve">сяц, всего» текущей строки</w:t>
            </w:r>
            <w:r>
              <w:t xml:space="preserve">. В полях 02-31 заполняется автомат</w:t>
            </w:r>
            <w:r>
              <w:t xml:space="preserve">и</w:t>
            </w:r>
            <w:r>
              <w:t xml:space="preserve">чески значением строки с кодом «0900» предыдущего столбца (при подсчете, если поля не заполнены, то их считать как 0.0). </w:t>
            </w:r>
            <w:r/>
          </w:p>
          <w:p>
            <w:pPr>
              <w:pStyle w:val="1005"/>
              <w:ind w:left="57" w:right="57"/>
            </w:pPr>
            <w:r>
              <w:t xml:space="preserve">По умолчанию указывается 0.0.</w:t>
            </w:r>
            <w:r/>
          </w:p>
        </w:tc>
      </w:tr>
      <w:tr>
        <w:trPr>
          <w:trHeight w:val="77"/>
        </w:trPr>
        <w:tc>
          <w:tcPr>
            <w:shd w:val="clear" w:fill="auto" w:color="auto"/>
            <w:tcW w:w="991" w:type="pct"/>
            <w:vMerge w:val="restart"/>
            <w:textDirection w:val="lrTb"/>
            <w:noWrap w:val="false"/>
          </w:tcPr>
          <w:p>
            <w:pPr>
              <w:pStyle w:val="1005"/>
              <w:ind w:left="57" w:right="57"/>
            </w:pPr>
            <w:r>
              <w:t xml:space="preserve">Остатки на счетах на конец п</w:t>
            </w:r>
            <w:r>
              <w:t xml:space="preserve">е</w:t>
            </w:r>
            <w:r>
              <w:t xml:space="preserve">риода</w:t>
            </w:r>
            <w:r/>
          </w:p>
        </w:tc>
        <w:tc>
          <w:tcPr>
            <w:shd w:val="clear" w:fill="auto" w:color="auto"/>
            <w:tcW w:w="719" w:type="pct"/>
            <w:textDirection w:val="lrTb"/>
            <w:noWrap w:val="false"/>
          </w:tcPr>
          <w:p>
            <w:pPr>
              <w:pStyle w:val="1005"/>
              <w:ind w:left="57" w:right="57"/>
            </w:pPr>
            <w:r>
              <w:t xml:space="preserve">Код стр</w:t>
            </w:r>
            <w:r>
              <w:t xml:space="preserve">о</w:t>
            </w:r>
            <w:r>
              <w:t xml:space="preserve">ки</w:t>
            </w:r>
            <w:r/>
          </w:p>
        </w:tc>
        <w:tc>
          <w:tcPr>
            <w:shd w:val="clear" w:fill="auto" w:color="auto"/>
            <w:tcW w:w="3290" w:type="pct"/>
            <w:textDirection w:val="lrTb"/>
            <w:noWrap w:val="false"/>
          </w:tcPr>
          <w:p>
            <w:pPr>
              <w:pStyle w:val="1005"/>
              <w:ind w:left="57" w:right="57"/>
            </w:pPr>
            <w:r>
              <w:t xml:space="preserve">Всегда указывается значение «0900». </w:t>
            </w:r>
            <w:r>
              <w:t xml:space="preserve">Недоступно для редактир</w:t>
            </w:r>
            <w:r>
              <w:t xml:space="preserve">о</w:t>
            </w:r>
            <w:r>
              <w:t xml:space="preserve">вания</w:t>
            </w:r>
            <w:r>
              <w:t xml:space="preserve">.</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Сумма на м</w:t>
            </w:r>
            <w:r>
              <w:t xml:space="preserve">е</w:t>
            </w:r>
            <w:r>
              <w:t xml:space="preserve">сяц, всего</w:t>
            </w:r>
            <w:r/>
          </w:p>
        </w:tc>
        <w:tc>
          <w:tcPr>
            <w:shd w:val="clear" w:fill="auto" w:color="auto"/>
            <w:tcW w:w="3290" w:type="pct"/>
            <w:textDirection w:val="lrTb"/>
            <w:noWrap w:val="false"/>
          </w:tcPr>
          <w:p>
            <w:pPr>
              <w:pStyle w:val="1005"/>
              <w:ind w:left="57" w:right="57"/>
            </w:pPr>
            <w:r>
              <w:t xml:space="preserve">Заполняются автоматически значением: строка «0300» плюс строка «0400» плюс строка «0800» минус строка «0700»</w:t>
            </w:r>
            <w:r>
              <w:t xml:space="preserve"> </w:t>
            </w:r>
            <w:r>
              <w:t xml:space="preserve">соотве</w:t>
            </w:r>
            <w:r>
              <w:t xml:space="preserve">т</w:t>
            </w:r>
            <w:r>
              <w:t xml:space="preserve">ствующего столбца (при подсчете, если поля не заполнены, то их считать как 0.0). </w:t>
            </w:r>
            <w:r/>
          </w:p>
          <w:p>
            <w:pPr>
              <w:pStyle w:val="1005"/>
              <w:ind w:left="57" w:right="57"/>
            </w:pPr>
            <w:r>
              <w:t xml:space="preserve">По умолчанию указывается 0.0. </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Поля 01-31</w:t>
            </w:r>
            <w:r/>
          </w:p>
        </w:tc>
        <w:tc>
          <w:tcPr>
            <w:shd w:val="clear" w:fill="auto" w:color="auto"/>
            <w:tcW w:w="3290" w:type="pct"/>
            <w:textDirection w:val="lrTb"/>
            <w:noWrap w:val="false"/>
          </w:tcPr>
          <w:p>
            <w:pPr>
              <w:pStyle w:val="1005"/>
              <w:ind w:left="57" w:right="57"/>
            </w:pPr>
            <w:r>
              <w:t xml:space="preserve">Заполняются автоматически значением: строка «0300» плюс строка «0400» плюс строка «0800» минус строка «0700»</w:t>
            </w:r>
            <w:r>
              <w:t xml:space="preserve"> </w:t>
            </w:r>
            <w:r>
              <w:t xml:space="preserve">соотве</w:t>
            </w:r>
            <w:r>
              <w:t xml:space="preserve">т</w:t>
            </w:r>
            <w:r>
              <w:t xml:space="preserve">ствующего столбца (при подсчете, если поля не заполнены, то их считать как 0.0). </w:t>
            </w:r>
            <w:r/>
          </w:p>
          <w:p>
            <w:pPr>
              <w:pStyle w:val="1005"/>
              <w:ind w:left="57" w:right="57"/>
            </w:pPr>
            <w:r>
              <w:t xml:space="preserve">По умолчанию указывается 0.0.</w:t>
            </w:r>
            <w:r/>
          </w:p>
        </w:tc>
      </w:tr>
      <w:tr>
        <w:trPr>
          <w:trHeight w:val="77"/>
        </w:trPr>
        <w:tc>
          <w:tcPr>
            <w:shd w:val="clear" w:fill="auto" w:color="auto"/>
            <w:tcW w:w="991" w:type="pct"/>
            <w:vMerge w:val="restart"/>
            <w:textDirection w:val="lrTb"/>
            <w:noWrap w:val="false"/>
          </w:tcPr>
          <w:p>
            <w:pPr>
              <w:pStyle w:val="1005"/>
              <w:ind w:left="57" w:right="57"/>
            </w:pPr>
            <w:r>
              <w:t xml:space="preserve">Объем бюдже</w:t>
            </w:r>
            <w:r>
              <w:t xml:space="preserve">т</w:t>
            </w:r>
            <w:r>
              <w:t xml:space="preserve">ных кредитов на пополнение о</w:t>
            </w:r>
            <w:r>
              <w:t xml:space="preserve">с</w:t>
            </w:r>
            <w:r>
              <w:t xml:space="preserve">татков средств </w:t>
            </w:r>
            <w:r>
              <w:t xml:space="preserve">на счет</w:t>
            </w:r>
            <w:r>
              <w:t xml:space="preserve">е</w:t>
            </w:r>
            <w:r>
              <w:t xml:space="preserve"> бюджета на начало периода</w:t>
            </w:r>
            <w:r/>
          </w:p>
        </w:tc>
        <w:tc>
          <w:tcPr>
            <w:shd w:val="clear" w:fill="auto" w:color="auto"/>
            <w:tcW w:w="719" w:type="pct"/>
            <w:textDirection w:val="lrTb"/>
            <w:noWrap w:val="false"/>
          </w:tcPr>
          <w:p>
            <w:pPr>
              <w:pStyle w:val="1005"/>
              <w:ind w:left="57" w:right="57"/>
            </w:pPr>
            <w:r>
              <w:t xml:space="preserve">Код стр</w:t>
            </w:r>
            <w:r>
              <w:t xml:space="preserve">о</w:t>
            </w:r>
            <w:r>
              <w:t xml:space="preserve">ки</w:t>
            </w:r>
            <w:r/>
          </w:p>
        </w:tc>
        <w:tc>
          <w:tcPr>
            <w:shd w:val="clear" w:fill="auto" w:color="auto"/>
            <w:tcW w:w="3290" w:type="pct"/>
            <w:textDirection w:val="lrTb"/>
            <w:noWrap w:val="false"/>
          </w:tcPr>
          <w:p>
            <w:pPr>
              <w:pStyle w:val="1005"/>
              <w:ind w:left="57" w:right="57"/>
            </w:pPr>
            <w:r>
              <w:t xml:space="preserve">Всегда указывается значение «1000». </w:t>
            </w:r>
            <w:r>
              <w:t xml:space="preserve">Недоступно для редактир</w:t>
            </w:r>
            <w:r>
              <w:t xml:space="preserve">о</w:t>
            </w:r>
            <w:r>
              <w:t xml:space="preserve">вания</w:t>
            </w:r>
            <w:r>
              <w:t xml:space="preserve">.</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Сумма на м</w:t>
            </w:r>
            <w:r>
              <w:t xml:space="preserve">е</w:t>
            </w:r>
            <w:r>
              <w:t xml:space="preserve">сяц, всего</w:t>
            </w:r>
            <w:r/>
          </w:p>
        </w:tc>
        <w:tc>
          <w:tcPr>
            <w:shd w:val="clear" w:fill="auto" w:color="auto"/>
            <w:tcW w:w="3290" w:type="pct"/>
            <w:textDirection w:val="lrTb"/>
            <w:noWrap w:val="false"/>
          </w:tcPr>
          <w:p>
            <w:pPr>
              <w:pStyle w:val="1005"/>
              <w:ind w:left="57" w:right="57"/>
            </w:pPr>
            <w:r>
              <w:t xml:space="preserve">Поле доступно для редактирования. </w:t>
            </w:r>
            <w:r/>
          </w:p>
          <w:p>
            <w:pPr>
              <w:pStyle w:val="1005"/>
              <w:ind w:left="57" w:right="57"/>
            </w:pPr>
            <w:r>
              <w:t xml:space="preserve">По умолчанию указывается 0.0</w:t>
            </w:r>
            <w:r>
              <w:t xml:space="preserve">.</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Поля 01-31</w:t>
            </w:r>
            <w:r/>
          </w:p>
        </w:tc>
        <w:tc>
          <w:tcPr>
            <w:shd w:val="clear" w:fill="auto" w:color="auto"/>
            <w:tcW w:w="3290" w:type="pct"/>
            <w:textDirection w:val="lrTb"/>
            <w:noWrap w:val="false"/>
          </w:tcPr>
          <w:p>
            <w:pPr>
              <w:pStyle w:val="1005"/>
              <w:ind w:left="57" w:right="57"/>
            </w:pPr>
            <w:r>
              <w:t xml:space="preserve">В поле 01 указывается значение</w:t>
            </w:r>
            <w:r>
              <w:t xml:space="preserve">, </w:t>
            </w:r>
            <w:r>
              <w:t xml:space="preserve">указанное в поле «Сумма на м</w:t>
            </w:r>
            <w:r>
              <w:t xml:space="preserve">е</w:t>
            </w:r>
            <w:r>
              <w:t xml:space="preserve">сяц, всего» текущей строки</w:t>
            </w:r>
            <w:r>
              <w:t xml:space="preserve">. В полях 02-31 заполняется автомат</w:t>
            </w:r>
            <w:r>
              <w:t xml:space="preserve">и</w:t>
            </w:r>
            <w:r>
              <w:t xml:space="preserve">чески значением строки с кодом «1100» предыдущего столбца (при подсчете, если поля не заполнены, то их считать как 0.0). </w:t>
            </w:r>
            <w:r/>
          </w:p>
          <w:p>
            <w:pPr>
              <w:pStyle w:val="1005"/>
              <w:ind w:left="57" w:right="57"/>
            </w:pPr>
            <w:r>
              <w:t xml:space="preserve">По умолчанию указывается 0.0.</w:t>
            </w:r>
            <w:r/>
          </w:p>
        </w:tc>
      </w:tr>
      <w:tr>
        <w:trPr>
          <w:trHeight w:val="77"/>
        </w:trPr>
        <w:tc>
          <w:tcPr>
            <w:shd w:val="clear" w:fill="auto" w:color="auto"/>
            <w:tcW w:w="991" w:type="pct"/>
            <w:vMerge w:val="restart"/>
            <w:textDirection w:val="lrTb"/>
            <w:noWrap w:val="false"/>
          </w:tcPr>
          <w:p>
            <w:pPr>
              <w:pStyle w:val="1005"/>
              <w:ind w:left="57" w:right="57"/>
            </w:pPr>
            <w:r>
              <w:t xml:space="preserve">Объем бюдже</w:t>
            </w:r>
            <w:r>
              <w:t xml:space="preserve">т</w:t>
            </w:r>
            <w:r>
              <w:t xml:space="preserve">ных кредитов на пополнение о</w:t>
            </w:r>
            <w:r>
              <w:t xml:space="preserve">с</w:t>
            </w:r>
            <w:r>
              <w:t xml:space="preserve">татков средств на счет</w:t>
            </w:r>
            <w:r>
              <w:t xml:space="preserve">е</w:t>
            </w:r>
            <w:r>
              <w:t xml:space="preserve"> бюджета на конец пери</w:t>
            </w:r>
            <w:r>
              <w:t xml:space="preserve">о</w:t>
            </w:r>
            <w:r>
              <w:t xml:space="preserve">да</w:t>
            </w:r>
            <w:r/>
          </w:p>
        </w:tc>
        <w:tc>
          <w:tcPr>
            <w:shd w:val="clear" w:fill="auto" w:color="auto"/>
            <w:tcW w:w="719" w:type="pct"/>
            <w:textDirection w:val="lrTb"/>
            <w:noWrap w:val="false"/>
          </w:tcPr>
          <w:p>
            <w:pPr>
              <w:pStyle w:val="1005"/>
              <w:ind w:left="57" w:right="57"/>
            </w:pPr>
            <w:r>
              <w:t xml:space="preserve">Код стр</w:t>
            </w:r>
            <w:r>
              <w:t xml:space="preserve">о</w:t>
            </w:r>
            <w:r>
              <w:t xml:space="preserve">ки</w:t>
            </w:r>
            <w:r/>
          </w:p>
        </w:tc>
        <w:tc>
          <w:tcPr>
            <w:shd w:val="clear" w:fill="auto" w:color="auto"/>
            <w:tcW w:w="3290" w:type="pct"/>
            <w:textDirection w:val="lrTb"/>
            <w:noWrap w:val="false"/>
          </w:tcPr>
          <w:p>
            <w:pPr>
              <w:pStyle w:val="1005"/>
              <w:ind w:left="57" w:right="57"/>
            </w:pPr>
            <w:r>
              <w:t xml:space="preserve">Всегда указывается значение «1100». </w:t>
            </w:r>
            <w:r>
              <w:t xml:space="preserve">Недоступно для редактир</w:t>
            </w:r>
            <w:r>
              <w:t xml:space="preserve">о</w:t>
            </w:r>
            <w:r>
              <w:t xml:space="preserve">вания</w:t>
            </w:r>
            <w:r>
              <w:t xml:space="preserve">.</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Сумма на м</w:t>
            </w:r>
            <w:r>
              <w:t xml:space="preserve">е</w:t>
            </w:r>
            <w:r>
              <w:t xml:space="preserve">сяц, всего</w:t>
            </w:r>
            <w:r/>
          </w:p>
        </w:tc>
        <w:tc>
          <w:tcPr>
            <w:shd w:val="clear" w:fill="auto" w:color="auto"/>
            <w:tcW w:w="3290" w:type="pct"/>
            <w:textDirection w:val="lrTb"/>
            <w:noWrap w:val="false"/>
          </w:tcPr>
          <w:p>
            <w:pPr>
              <w:pStyle w:val="1005"/>
              <w:ind w:left="57" w:right="57"/>
            </w:pPr>
            <w:r>
              <w:t xml:space="preserve">Заполняются автоматически значением: строка «1000» плюс строка «0511» минус строка «0611» соответс</w:t>
            </w:r>
            <w:r>
              <w:t xml:space="preserve">т</w:t>
            </w:r>
            <w:r>
              <w:t xml:space="preserve">вующего столбца (при подсчете, если поля не заполн</w:t>
            </w:r>
            <w:r>
              <w:t xml:space="preserve">е</w:t>
            </w:r>
            <w:r>
              <w:t xml:space="preserve">ны, то их считать как 0.0). </w:t>
            </w:r>
            <w:r/>
          </w:p>
          <w:p>
            <w:pPr>
              <w:pStyle w:val="1005"/>
              <w:ind w:left="57" w:right="57"/>
            </w:pPr>
            <w:r>
              <w:t xml:space="preserve">По умолчанию указывается 0.0. </w:t>
            </w:r>
            <w:r/>
          </w:p>
        </w:tc>
      </w:tr>
      <w:tr>
        <w:trPr>
          <w:trHeight w:val="77"/>
        </w:trPr>
        <w:tc>
          <w:tcPr>
            <w:shd w:val="clear" w:fill="auto" w:color="auto"/>
            <w:tcW w:w="991" w:type="pct"/>
            <w:vMerge w:val="continue"/>
            <w:textDirection w:val="lrTb"/>
            <w:noWrap w:val="false"/>
          </w:tcPr>
          <w:p>
            <w:pPr>
              <w:pStyle w:val="1005"/>
              <w:ind w:left="57" w:right="57"/>
            </w:pPr>
            <w:r/>
            <w:r/>
          </w:p>
        </w:tc>
        <w:tc>
          <w:tcPr>
            <w:shd w:val="clear" w:fill="auto" w:color="auto"/>
            <w:tcW w:w="719" w:type="pct"/>
            <w:textDirection w:val="lrTb"/>
            <w:noWrap w:val="false"/>
          </w:tcPr>
          <w:p>
            <w:pPr>
              <w:pStyle w:val="1005"/>
              <w:ind w:left="57" w:right="57"/>
            </w:pPr>
            <w:r>
              <w:t xml:space="preserve">Поля 01-31</w:t>
            </w:r>
            <w:r/>
          </w:p>
        </w:tc>
        <w:tc>
          <w:tcPr>
            <w:shd w:val="clear" w:fill="auto" w:color="auto"/>
            <w:tcW w:w="3290" w:type="pct"/>
            <w:textDirection w:val="lrTb"/>
            <w:noWrap w:val="false"/>
          </w:tcPr>
          <w:p>
            <w:pPr>
              <w:pStyle w:val="1005"/>
              <w:ind w:left="57" w:right="57"/>
            </w:pPr>
            <w:r>
              <w:t xml:space="preserve">Заполняются автоматически значением: строка «1000» плюс строка «0511» минус строка «0611» соответс</w:t>
            </w:r>
            <w:r>
              <w:t xml:space="preserve">т</w:t>
            </w:r>
            <w:r>
              <w:t xml:space="preserve">вующего столбца (при подсчете, если поля не заполн</w:t>
            </w:r>
            <w:r>
              <w:t xml:space="preserve">е</w:t>
            </w:r>
            <w:r>
              <w:t xml:space="preserve">ны, то их считать как 0.0). </w:t>
            </w:r>
            <w:r/>
          </w:p>
          <w:p>
            <w:pPr>
              <w:pStyle w:val="1005"/>
              <w:ind w:left="57" w:right="57"/>
            </w:pPr>
            <w:r>
              <w:t xml:space="preserve">По умолчанию указывается 0.0.</w:t>
            </w:r>
            <w:r/>
          </w:p>
        </w:tc>
      </w:tr>
    </w:tbl>
    <w:p>
      <w:pPr>
        <w:pStyle w:val="971"/>
      </w:pPr>
      <w:r/>
      <w:bookmarkStart w:id="956" w:name="_Toc88819120"/>
      <w:r>
        <w:t xml:space="preserve">Группа документов «Обработка и учет поступлений»</w:t>
      </w:r>
      <w:bookmarkEnd w:id="253"/>
      <w:r/>
      <w:bookmarkEnd w:id="254"/>
      <w:r/>
      <w:bookmarkEnd w:id="255"/>
      <w:r/>
      <w:bookmarkEnd w:id="256"/>
      <w:r/>
      <w:bookmarkEnd w:id="257"/>
      <w:r/>
      <w:bookmarkEnd w:id="956"/>
      <w:r/>
      <w:r/>
    </w:p>
    <w:p>
      <w:pPr>
        <w:pStyle w:val="972"/>
      </w:pPr>
      <w:r/>
      <w:bookmarkStart w:id="957" w:name="_Toc221011496"/>
      <w:r/>
      <w:bookmarkStart w:id="958" w:name="_Toc221012197"/>
      <w:r/>
      <w:bookmarkStart w:id="959" w:name="_Toc225934588"/>
      <w:r/>
      <w:bookmarkStart w:id="960" w:name="_Toc232827304"/>
      <w:r/>
      <w:bookmarkStart w:id="961" w:name="_Ref247440863"/>
      <w:r/>
      <w:bookmarkStart w:id="962" w:name="_Ref294102481"/>
      <w:r/>
      <w:bookmarkStart w:id="963" w:name="_Ref304908565"/>
      <w:r/>
      <w:bookmarkStart w:id="964" w:name="_Ref311734347"/>
      <w:r/>
      <w:bookmarkStart w:id="965" w:name="_Ref314476250"/>
      <w:r/>
      <w:bookmarkStart w:id="966" w:name="_Ref317679765"/>
      <w:r/>
      <w:bookmarkStart w:id="967" w:name="_Ref317685479"/>
      <w:r/>
      <w:bookmarkStart w:id="968" w:name="_Ref319321274"/>
      <w:r/>
      <w:bookmarkStart w:id="969" w:name="_Ref319413570"/>
      <w:r/>
      <w:bookmarkStart w:id="970" w:name="_Ref322091760"/>
      <w:r/>
      <w:bookmarkStart w:id="971" w:name="_Ref325618374"/>
      <w:r/>
      <w:bookmarkStart w:id="972" w:name="_Ref328403302"/>
      <w:r/>
      <w:bookmarkStart w:id="973" w:name="_Ref328575222"/>
      <w:r/>
      <w:bookmarkStart w:id="974" w:name="_Ref341441063"/>
      <w:r/>
      <w:bookmarkStart w:id="975" w:name="_Ref342997175"/>
      <w:r/>
      <w:bookmarkStart w:id="976" w:name="_Ref364778716"/>
      <w:r/>
      <w:bookmarkStart w:id="977" w:name="_Ref368586144"/>
      <w:r/>
      <w:bookmarkStart w:id="978" w:name="_Ref370141601"/>
      <w:r/>
      <w:bookmarkStart w:id="979" w:name="_Ref370315715"/>
      <w:r/>
      <w:bookmarkStart w:id="980" w:name="_Ref388006316"/>
      <w:r/>
      <w:bookmarkStart w:id="981" w:name="_Ref416433062"/>
      <w:r/>
      <w:bookmarkStart w:id="982" w:name="_Ref419282140"/>
      <w:r/>
      <w:bookmarkStart w:id="983" w:name="_Toc422496685"/>
      <w:r/>
      <w:bookmarkStart w:id="984" w:name="_Toc221011487"/>
      <w:r/>
      <w:bookmarkStart w:id="985" w:name="_Toc221012188"/>
      <w:r/>
      <w:bookmarkStart w:id="986" w:name="_Toc225934579"/>
      <w:r/>
      <w:bookmarkStart w:id="987" w:name="_Toc88819121"/>
      <w:r>
        <w:t xml:space="preserve">Уведомление об уточнении вида и принадлежности платежа</w:t>
      </w:r>
      <w:bookmarkEnd w:id="957"/>
      <w:r/>
      <w:bookmarkEnd w:id="958"/>
      <w:r/>
      <w:bookmarkEnd w:id="959"/>
      <w:r/>
      <w:bookmarkEnd w:id="960"/>
      <w:r/>
      <w:bookmarkEnd w:id="961"/>
      <w:r/>
      <w:bookmarkEnd w:id="962"/>
      <w:r/>
      <w:bookmarkEnd w:id="963"/>
      <w:r/>
      <w:bookmarkEnd w:id="964"/>
      <w:r/>
      <w:bookmarkEnd w:id="965"/>
      <w:r/>
      <w:bookmarkEnd w:id="966"/>
      <w:r/>
      <w:bookmarkEnd w:id="967"/>
      <w:r/>
      <w:bookmarkEnd w:id="968"/>
      <w:r/>
      <w:bookmarkEnd w:id="969"/>
      <w:r/>
      <w:bookmarkEnd w:id="970"/>
      <w:r/>
      <w:bookmarkEnd w:id="971"/>
      <w:r/>
      <w:bookmarkEnd w:id="972"/>
      <w:r/>
      <w:bookmarkEnd w:id="973"/>
      <w:r/>
      <w:bookmarkEnd w:id="974"/>
      <w:r/>
      <w:bookmarkEnd w:id="975"/>
      <w:r/>
      <w:bookmarkEnd w:id="976"/>
      <w:r/>
      <w:bookmarkEnd w:id="977"/>
      <w:r/>
      <w:bookmarkEnd w:id="978"/>
      <w:r/>
      <w:bookmarkEnd w:id="979"/>
      <w:r/>
      <w:bookmarkEnd w:id="980"/>
      <w:r/>
      <w:bookmarkEnd w:id="981"/>
      <w:r>
        <w:t xml:space="preserve"> (расходы)</w:t>
      </w:r>
      <w:bookmarkEnd w:id="982"/>
      <w:r/>
      <w:bookmarkEnd w:id="983"/>
      <w:r/>
      <w:bookmarkEnd w:id="987"/>
      <w:r/>
      <w:r/>
    </w:p>
    <w:p>
      <w:pPr>
        <w:pStyle w:val="994"/>
      </w:pPr>
      <w:r>
        <w:t xml:space="preserve">Документы «Уведомление об уточнении вида и принадлежности платежа</w:t>
      </w:r>
      <w:r>
        <w:t xml:space="preserve"> </w:t>
      </w:r>
      <w:r>
        <w:t xml:space="preserve">(расходы)</w:t>
      </w:r>
      <w:r>
        <w:t xml:space="preserve">» формируются </w:t>
      </w:r>
      <w:r>
        <w:t xml:space="preserve">ФО</w:t>
      </w:r>
      <w:r>
        <w:t xml:space="preserve"> для уточнения вида и принадлежности платежа, уточнения операций по кассовым выплатам, а также для исправления ошибок при зачислении и отражении средств на лицевых счетах, после чего направляются для санкционирования в ФО, а затем в орган ФК.</w:t>
      </w:r>
      <w:r/>
    </w:p>
    <w:p>
      <w:pPr>
        <w:pStyle w:val="994"/>
      </w:pPr>
      <w:r>
        <w:t xml:space="preserve">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вида и принадлежности платежа</w:t>
      </w:r>
      <w:r>
        <w:t xml:space="preserve"> </w:t>
      </w:r>
      <w:r>
        <w:t xml:space="preserve">(расходы)</w:t>
      </w:r>
      <w:r>
        <w:t xml:space="preserve">». Операции «Санкциониро</w:t>
      </w:r>
      <w:r>
        <w:t xml:space="preserve">вать» и «Отказать» описаны в п.</w:t>
      </w:r>
      <w:r>
        <w:t xml:space="preserve"> </w:t>
      </w:r>
      <w:r>
        <w:fldChar w:fldCharType="begin"/>
      </w:r>
      <w:r>
        <w:instrText xml:space="preserve"> REF _Ref370315297 \r \h  \* MERGEFORMAT </w:instrText>
      </w:r>
      <w:r>
        <w:fldChar w:fldCharType="separate"/>
      </w:r>
      <w:r>
        <w:t xml:space="preserve">3.3.1</w:t>
      </w:r>
      <w:r>
        <w:fldChar w:fldCharType="end"/>
      </w:r>
      <w:r>
        <w:t xml:space="preserve">.</w:t>
      </w:r>
      <w:r/>
    </w:p>
    <w:p>
      <w:pPr>
        <w:pStyle w:val="996"/>
      </w:pPr>
      <w:r>
        <w:rPr>
          <w:rStyle w:val="1001"/>
        </w:rPr>
        <w:t xml:space="preserve">Примечание.</w:t>
      </w:r>
      <w:r>
        <w:tab/>
      </w:r>
      <w:r>
        <w:t xml:space="preserve">Документ «</w:t>
      </w:r>
      <w:r>
        <w:t xml:space="preserve">Уведомление об уточнении вида и принадлежности платежа</w:t>
      </w:r>
      <w:r>
        <w:t xml:space="preserve">»</w:t>
      </w:r>
      <w:r>
        <w:t xml:space="preserve"> имеет одну структуру и один тип ПДУ при импорте и ручном вводе. Технический подтип УУК (расходы) или ПДУ (доходы) определяется после анализа содержимого и распределяется в соответствующую фильтр-папку для визуального разделения по АРМ ПБС и АРМ АП</w:t>
      </w:r>
      <w:r>
        <w:t xml:space="preserve">.</w:t>
      </w:r>
      <w:r/>
    </w:p>
    <w:p>
      <w:pPr>
        <w:pStyle w:val="994"/>
      </w:pPr>
      <w:r>
        <w:t xml:space="preserve">Для работы с документами «Уведомление об уточнении вида и принадлежности платежа</w:t>
      </w:r>
      <w:r>
        <w:t xml:space="preserve"> </w:t>
      </w:r>
      <w:r>
        <w:t xml:space="preserve">(расходы)</w:t>
      </w:r>
      <w:r>
        <w:t xml:space="preserve">» следует перейти в пункт меню «Документы – Обработка и учет поступлений – Внебанковские документы – Уведомление об уточнении вида и принадлежности платежа</w:t>
      </w:r>
      <w:r>
        <w:t xml:space="preserve"> </w:t>
      </w:r>
      <w:r>
        <w:t xml:space="preserve">(расходы)</w:t>
      </w:r>
      <w:r>
        <w:t xml:space="preserve">». Откроется ЭФ списка документов, представленная на рисунке </w:t>
      </w:r>
      <w:r>
        <w:fldChar w:fldCharType="begin"/>
      </w:r>
      <w:r>
        <w:instrText xml:space="preserve"> REF _Ref221001007 \h  \* MERGEFORMAT </w:instrText>
      </w:r>
      <w:r>
        <w:fldChar w:fldCharType="separate"/>
      </w:r>
      <w:r>
        <w:t xml:space="preserve">122</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2461260"/>
                <wp:effectExtent l="0" t="0" r="0" b="0"/>
                <wp:docPr id="19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88"/>
                        <a:stretch/>
                      </pic:blipFill>
                      <pic:spPr bwMode="auto">
                        <a:xfrm>
                          <a:off x="0" y="0"/>
                          <a:ext cx="6035039" cy="24612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 o:spid="_x0000_s197" type="#_x0000_t75" style="mso-wrap-distance-left:0.0pt;mso-wrap-distance-top:0.0pt;mso-wrap-distance-right:0.0pt;mso-wrap-distance-bottom:0.0pt;width:475.2pt;height:193.8pt;" stroked="f">
                <v:path textboxrect="0,0,0,0"/>
                <v:imagedata r:id="rId188" o:title=""/>
              </v:shape>
            </w:pict>
          </mc:Fallback>
        </mc:AlternateContent>
      </w:r>
      <w:r/>
    </w:p>
    <w:p>
      <w:pPr>
        <w:pStyle w:val="983"/>
      </w:pPr>
      <w:r>
        <w:fldChar w:fldCharType="begin"/>
      </w:r>
      <w:r>
        <w:instrText xml:space="preserve"> SEQ Рисунок \* ARABIC </w:instrText>
      </w:r>
      <w:r>
        <w:fldChar w:fldCharType="separate"/>
      </w:r>
      <w:bookmarkStart w:id="988" w:name="_Ref221001007"/>
      <w:r/>
      <w:bookmarkStart w:id="989" w:name="_Toc88819507"/>
      <w:r>
        <w:t xml:space="preserve">122</w:t>
      </w:r>
      <w:bookmarkEnd w:id="988"/>
      <w:r>
        <w:fldChar w:fldCharType="end"/>
      </w:r>
      <w:r>
        <w:t xml:space="preserve">. ЭФ списка документов «Уведомление об уточнении вида и принадлежности платежа</w:t>
      </w:r>
      <w:r>
        <w:t xml:space="preserve"> </w:t>
      </w:r>
      <w:r>
        <w:t xml:space="preserve">(расходы)</w:t>
      </w:r>
      <w:r>
        <w:t xml:space="preserve">»</w:t>
      </w:r>
      <w:bookmarkEnd w:id="989"/>
      <w:r/>
      <w:r/>
    </w:p>
    <w:p>
      <w:pPr>
        <w:pStyle w:val="973"/>
      </w:pPr>
      <w:r/>
      <w:bookmarkStart w:id="990" w:name="_Toc232827305"/>
      <w:r>
        <w:t xml:space="preserve">Доступные операции</w:t>
      </w:r>
      <w:bookmarkEnd w:id="990"/>
      <w:r/>
      <w:r/>
    </w:p>
    <w:p>
      <w:pPr>
        <w:pStyle w:val="994"/>
      </w:pPr>
      <w:r>
        <w:t xml:space="preserve">На АРМ ФО </w:t>
      </w:r>
      <w:r>
        <w:t xml:space="preserve">доступны следующие операции</w:t>
      </w:r>
      <w:r>
        <w:t xml:space="preserve"> </w:t>
      </w:r>
      <w:r>
        <w:t xml:space="preserve">над</w:t>
      </w:r>
      <w:r>
        <w:t xml:space="preserve"> документом</w:t>
      </w:r>
      <w:r>
        <w:t xml:space="preserve">: </w:t>
      </w:r>
      <w:r/>
    </w:p>
    <w:p>
      <w:pPr>
        <w:pStyle w:val="985"/>
      </w:pPr>
      <w:r>
        <w:t xml:space="preserve">ввод вручную;</w:t>
      </w:r>
      <w:r/>
    </w:p>
    <w:p>
      <w:pPr>
        <w:pStyle w:val="985"/>
      </w:pPr>
      <w:r>
        <w:t xml:space="preserve">импорт из внешней системы;</w:t>
      </w:r>
      <w:r/>
    </w:p>
    <w:p>
      <w:pPr>
        <w:pStyle w:val="985"/>
      </w:pPr>
      <w:r>
        <w:t xml:space="preserve">документарный контроль;</w:t>
      </w:r>
      <w:r/>
    </w:p>
    <w:p>
      <w:pPr>
        <w:pStyle w:val="985"/>
      </w:pPr>
      <w:r>
        <w:t xml:space="preserve">просмотр и редактирование;</w:t>
      </w:r>
      <w:r/>
    </w:p>
    <w:p>
      <w:pPr>
        <w:pStyle w:val="985"/>
      </w:pPr>
      <w:r>
        <w:t xml:space="preserve">удаление;</w:t>
      </w:r>
      <w:r/>
    </w:p>
    <w:p>
      <w:pPr>
        <w:pStyle w:val="985"/>
      </w:pPr>
      <w:r>
        <w:t xml:space="preserve">подписание </w:t>
      </w:r>
      <w:r>
        <w:t xml:space="preserve">ЭП</w:t>
      </w:r>
      <w:r>
        <w:t xml:space="preserve">;</w:t>
      </w:r>
      <w:r/>
    </w:p>
    <w:p>
      <w:pPr>
        <w:pStyle w:val="985"/>
      </w:pPr>
      <w:r>
        <w:t xml:space="preserve">печать;</w:t>
      </w:r>
      <w:r/>
    </w:p>
    <w:p>
      <w:pPr>
        <w:pStyle w:val="985"/>
      </w:pPr>
      <w:r>
        <w:t xml:space="preserve">отправка в УФК;</w:t>
      </w:r>
      <w:r/>
    </w:p>
    <w:p>
      <w:pPr>
        <w:pStyle w:val="985"/>
      </w:pPr>
      <w:r>
        <w:t xml:space="preserve">экспорт во внешние системы.</w:t>
      </w:r>
      <w:r/>
    </w:p>
    <w:p>
      <w:pPr>
        <w:pStyle w:val="974"/>
      </w:pPr>
      <w:r>
        <w:t xml:space="preserve">Создание документа на основе родительского документа</w:t>
      </w:r>
      <w:r/>
    </w:p>
    <w:p>
      <w:pPr>
        <w:pStyle w:val="994"/>
      </w:pPr>
      <w:r>
        <w:t xml:space="preserve">Документ может создаваться на основе следующих ЭД:</w:t>
      </w:r>
      <w:r/>
    </w:p>
    <w:p>
      <w:pPr>
        <w:pStyle w:val="985"/>
      </w:pPr>
      <w:r>
        <w:t xml:space="preserve">«Уведомление об уточнении вида и при</w:t>
      </w:r>
      <w:r>
        <w:t xml:space="preserve">надлежности платежа» (ПДУ, УУК);</w:t>
      </w:r>
      <w:r/>
    </w:p>
    <w:p>
      <w:pPr>
        <w:pStyle w:val="985"/>
      </w:pPr>
      <w:r>
        <w:t xml:space="preserve">«Заявка на получение наличных денег» (ЗНП);</w:t>
      </w:r>
      <w:r/>
    </w:p>
    <w:p>
      <w:pPr>
        <w:pStyle w:val="985"/>
      </w:pPr>
      <w:r>
        <w:t xml:space="preserve">«</w:t>
      </w:r>
      <w:r>
        <w:t xml:space="preserve">Платёжное поручение</w:t>
      </w:r>
      <w:r>
        <w:t xml:space="preserve">»</w:t>
      </w:r>
      <w:r>
        <w:t xml:space="preserve">;</w:t>
      </w:r>
      <w:r/>
    </w:p>
    <w:p>
      <w:pPr>
        <w:pStyle w:val="985"/>
      </w:pPr>
      <w:r>
        <w:t xml:space="preserve">«</w:t>
      </w:r>
      <w:r>
        <w:t xml:space="preserve">Заявление на проведение операций с иностранной валютой</w:t>
      </w:r>
      <w:r>
        <w:t xml:space="preserve">»</w:t>
      </w:r>
      <w:r>
        <w:t xml:space="preserve"> (ЗПО)</w:t>
      </w:r>
      <w:r>
        <w:t xml:space="preserve">;</w:t>
      </w:r>
      <w:r/>
    </w:p>
    <w:p>
      <w:pPr>
        <w:pStyle w:val="985"/>
      </w:pPr>
      <w:r>
        <w:t xml:space="preserve">«Заявка на получение денежных средств, перечисляемых на карту» (далее – ЗНБ);</w:t>
      </w:r>
      <w:r/>
    </w:p>
    <w:p>
      <w:pPr>
        <w:pStyle w:val="985"/>
      </w:pPr>
      <w:r>
        <w:t xml:space="preserve">«Заявка на кассовый расход» (ЗКР);</w:t>
      </w:r>
      <w:r/>
    </w:p>
    <w:p>
      <w:pPr>
        <w:pStyle w:val="985"/>
      </w:pPr>
      <w:r>
        <w:t xml:space="preserve">«Заявка на возврат» (ПЗВ);</w:t>
      </w:r>
      <w:r/>
    </w:p>
    <w:p>
      <w:pPr>
        <w:pStyle w:val="985"/>
      </w:pPr>
      <w:r>
        <w:t xml:space="preserve">«Запрос на выяснение принадлежности платежа» (ПЗУ</w:t>
      </w:r>
      <w:r>
        <w:t xml:space="preserve">, ПЗП</w:t>
      </w:r>
      <w:r>
        <w:t xml:space="preserve">);</w:t>
      </w:r>
      <w:r/>
    </w:p>
    <w:p>
      <w:pPr>
        <w:pStyle w:val="985"/>
      </w:pPr>
      <w:r>
        <w:t xml:space="preserve">«Справка органов ФК».</w:t>
      </w:r>
      <w:r/>
    </w:p>
    <w:p>
      <w:pPr>
        <w:pStyle w:val="994"/>
      </w:pPr>
      <w:r>
        <w:t xml:space="preserve">Для создания документа на основе родительского документа необходимо в ЭФ доку-мента нажать на кнопку </w:t>
      </w:r>
      <w:r>
        <mc:AlternateContent>
          <mc:Choice Requires="wpg">
            <w:drawing>
              <wp:inline xmlns:wp="http://schemas.openxmlformats.org/drawingml/2006/wordprocessingDrawing" distT="0" distB="0" distL="0" distR="0">
                <wp:extent cx="182880" cy="182880"/>
                <wp:effectExtent l="0" t="0" r="0" b="0"/>
                <wp:docPr id="19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76"/>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8" o:spid="_x0000_s198" type="#_x0000_t75" style="mso-wrap-distance-left:0.0pt;mso-wrap-distance-top:0.0pt;mso-wrap-distance-right:0.0pt;mso-wrap-distance-bottom:0.0pt;width:14.4pt;height:14.4pt;" stroked="f">
                <v:path textboxrect="0,0,0,0"/>
                <v:imagedata r:id="rId76" o:title=""/>
              </v:shape>
            </w:pict>
          </mc:Fallback>
        </mc:AlternateContent>
      </w:r>
      <w:r>
        <w:t xml:space="preserve"> </w:t>
      </w:r>
      <w:r>
        <w:t xml:space="preserve">(Выбрать родительский документ), выбрать тип родительского документа. </w:t>
      </w:r>
      <w:r/>
    </w:p>
    <w:p>
      <w:pPr>
        <w:pStyle w:val="994"/>
      </w:pPr>
      <w:r>
        <w:t xml:space="preserve">После выбора типа документа откроется окно «Выб</w:t>
      </w:r>
      <w:r>
        <w:t xml:space="preserve">ор записи из справочника» (рис.</w:t>
      </w:r>
      <w:r>
        <w:t xml:space="preserve"> </w:t>
      </w:r>
      <w:r>
        <w:fldChar w:fldCharType="begin"/>
      </w:r>
      <w:r>
        <w:instrText xml:space="preserve"> REF _Ref328402177 \h  \* MERGEFORMAT </w:instrText>
      </w:r>
      <w:r>
        <w:fldChar w:fldCharType="separate"/>
      </w:r>
      <w:r>
        <w:t xml:space="preserve">123</w:t>
      </w:r>
      <w:r>
        <w:fldChar w:fldCharType="end"/>
      </w:r>
      <w:r>
        <w:t xml:space="preserve">), в котором следует из перечня сформированных документов заданного типа выбрать нужный документ.</w:t>
      </w:r>
      <w:r/>
    </w:p>
    <w:p>
      <w:pPr>
        <w:pStyle w:val="982"/>
      </w:pPr>
      <w:r>
        <mc:AlternateContent>
          <mc:Choice Requires="wpg">
            <w:drawing>
              <wp:inline xmlns:wp="http://schemas.openxmlformats.org/drawingml/2006/wordprocessingDrawing" distT="0" distB="0" distL="0" distR="0">
                <wp:extent cx="5943600" cy="3566160"/>
                <wp:effectExtent l="0" t="0" r="0" b="0"/>
                <wp:docPr id="20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89"/>
                        <a:stretch/>
                      </pic:blipFill>
                      <pic:spPr bwMode="auto">
                        <a:xfrm>
                          <a:off x="0" y="0"/>
                          <a:ext cx="5943600" cy="35661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9" o:spid="_x0000_s199" type="#_x0000_t75" style="mso-wrap-distance-left:0.0pt;mso-wrap-distance-top:0.0pt;mso-wrap-distance-right:0.0pt;mso-wrap-distance-bottom:0.0pt;width:468.0pt;height:280.8pt;" stroked="f">
                <v:path textboxrect="0,0,0,0"/>
                <v:imagedata r:id="rId189" o:title=""/>
              </v:shape>
            </w:pict>
          </mc:Fallback>
        </mc:AlternateContent>
      </w:r>
      <w:r/>
    </w:p>
    <w:p>
      <w:pPr>
        <w:pStyle w:val="983"/>
      </w:pPr>
      <w:r>
        <w:fldChar w:fldCharType="begin"/>
      </w:r>
      <w:r>
        <w:instrText xml:space="preserve"> SEQ Рисунок \* ARABIC </w:instrText>
      </w:r>
      <w:r>
        <w:fldChar w:fldCharType="separate"/>
      </w:r>
      <w:bookmarkStart w:id="991" w:name="_Ref328402177"/>
      <w:r/>
      <w:bookmarkStart w:id="992" w:name="_Toc88819508"/>
      <w:r>
        <w:t xml:space="preserve">123</w:t>
      </w:r>
      <w:bookmarkEnd w:id="991"/>
      <w:r>
        <w:fldChar w:fldCharType="end"/>
      </w:r>
      <w:r>
        <w:t xml:space="preserve">. Окно «Выбор записи из справочника» для документов типа «Заявка на </w:t>
      </w:r>
      <w:r>
        <w:t xml:space="preserve">возврат</w:t>
      </w:r>
      <w:r>
        <w:t xml:space="preserve">»</w:t>
      </w:r>
      <w:bookmarkEnd w:id="992"/>
      <w:r/>
      <w:r/>
    </w:p>
    <w:p>
      <w:pPr>
        <w:pStyle w:val="994"/>
      </w:pPr>
      <w:r>
        <w:t xml:space="preserve">В результате поля формы будут заполнены значениями соответствующих полей родительского документа.</w:t>
      </w:r>
      <w:r/>
    </w:p>
    <w:p>
      <w:pPr>
        <w:pStyle w:val="973"/>
      </w:pPr>
      <w:r/>
      <w:bookmarkStart w:id="993" w:name="_Экранная_форма_документа_3"/>
      <w:r/>
      <w:bookmarkStart w:id="994" w:name="_Toc232827306"/>
      <w:r/>
      <w:bookmarkStart w:id="995" w:name="_Ref319321700"/>
      <w:r/>
      <w:bookmarkStart w:id="996" w:name="_Ref319421251"/>
      <w:r/>
      <w:bookmarkStart w:id="997" w:name="_Ref322090439"/>
      <w:r/>
      <w:bookmarkStart w:id="998" w:name="_Ref325621517"/>
      <w:r/>
      <w:bookmarkStart w:id="999" w:name="_Ref328402447"/>
      <w:r/>
      <w:bookmarkStart w:id="1000" w:name="_Ref328583333"/>
      <w:r/>
      <w:bookmarkEnd w:id="993"/>
      <w:r>
        <w:t xml:space="preserve">Экранная форма документа</w:t>
      </w:r>
      <w:bookmarkEnd w:id="994"/>
      <w:r/>
      <w:bookmarkEnd w:id="995"/>
      <w:r/>
      <w:bookmarkEnd w:id="996"/>
      <w:r/>
      <w:bookmarkEnd w:id="997"/>
      <w:r/>
      <w:bookmarkEnd w:id="998"/>
      <w:r/>
      <w:bookmarkEnd w:id="999"/>
      <w:r/>
      <w:bookmarkEnd w:id="1000"/>
      <w:r/>
      <w:r/>
    </w:p>
    <w:p>
      <w:pPr>
        <w:pStyle w:val="994"/>
      </w:pPr>
      <w:r>
        <w:t xml:space="preserve">ЭФ документа «Уведомление об уточнении вида и принадлежности платежа</w:t>
      </w:r>
      <w:r>
        <w:t xml:space="preserve"> </w:t>
      </w:r>
      <w:r>
        <w:t xml:space="preserve">(расходы)</w:t>
      </w:r>
      <w:r>
        <w:t xml:space="preserve">» представлена на рисунке</w:t>
      </w:r>
      <w:r>
        <w:t xml:space="preserve"> </w:t>
      </w:r>
      <w:r>
        <w:fldChar w:fldCharType="begin"/>
      </w:r>
      <w:r>
        <w:instrText xml:space="preserve"> REF _Ref205102344 \h  \* MERGEFORMAT </w:instrText>
      </w:r>
      <w:r>
        <w:fldChar w:fldCharType="separate"/>
      </w:r>
      <w:r>
        <w:t xml:space="preserve">124</w:t>
      </w:r>
      <w:r>
        <w:fldChar w:fldCharType="end"/>
      </w:r>
      <w:r>
        <w:t xml:space="preserve">. </w:t>
      </w:r>
      <w:r>
        <w:t xml:space="preserve">Форма содержит следующие закладки</w:t>
      </w:r>
      <w:r>
        <w:t xml:space="preserve">:</w:t>
      </w:r>
      <w:r/>
    </w:p>
    <w:p>
      <w:pPr>
        <w:pStyle w:val="985"/>
      </w:pPr>
      <w:r>
        <w:t xml:space="preserve">«Документ»:</w:t>
      </w:r>
      <w:r/>
    </w:p>
    <w:p>
      <w:pPr>
        <w:pStyle w:val="986"/>
      </w:pPr>
      <w:r>
        <w:t xml:space="preserve">«Основные атрибуты (1)»;</w:t>
      </w:r>
      <w:r/>
    </w:p>
    <w:p>
      <w:pPr>
        <w:pStyle w:val="986"/>
      </w:pPr>
      <w:r>
        <w:t xml:space="preserve">«Платежные документы (2)»;</w:t>
      </w:r>
      <w:r/>
    </w:p>
    <w:p>
      <w:pPr>
        <w:pStyle w:val="986"/>
      </w:pPr>
      <w:r>
        <w:t xml:space="preserve">«Дополнительные атрибуты (3)»;</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035040" cy="3566160"/>
                <wp:effectExtent l="0" t="0" r="0" b="0"/>
                <wp:docPr id="20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90"/>
                        <a:stretch/>
                      </pic:blipFill>
                      <pic:spPr bwMode="auto">
                        <a:xfrm>
                          <a:off x="0" y="0"/>
                          <a:ext cx="6035039" cy="35661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0" o:spid="_x0000_s200" type="#_x0000_t75" style="mso-wrap-distance-left:0.0pt;mso-wrap-distance-top:0.0pt;mso-wrap-distance-right:0.0pt;mso-wrap-distance-bottom:0.0pt;width:475.2pt;height:280.8pt;" stroked="f">
                <v:path textboxrect="0,0,0,0"/>
                <v:imagedata r:id="rId190" o:title=""/>
              </v:shape>
            </w:pict>
          </mc:Fallback>
        </mc:AlternateContent>
      </w:r>
      <w:r/>
    </w:p>
    <w:p>
      <w:pPr>
        <w:pStyle w:val="983"/>
      </w:pPr>
      <w:r/>
      <w:bookmarkStart w:id="1001" w:name="_Ref225930414"/>
      <w:r>
        <w:fldChar w:fldCharType="begin"/>
      </w:r>
      <w:r>
        <w:instrText xml:space="preserve"> SEQ Рисунок \* ARABIC </w:instrText>
      </w:r>
      <w:r>
        <w:fldChar w:fldCharType="separate"/>
      </w:r>
      <w:bookmarkStart w:id="1002" w:name="_Ref205102344"/>
      <w:r/>
      <w:bookmarkStart w:id="1003" w:name="_Toc88819509"/>
      <w:r>
        <w:t xml:space="preserve">124</w:t>
      </w:r>
      <w:bookmarkEnd w:id="1002"/>
      <w:r>
        <w:fldChar w:fldCharType="end"/>
      </w:r>
      <w:bookmarkEnd w:id="1001"/>
      <w:r>
        <w:t xml:space="preserve">. ЭФ документа «Уведомление об уточнении вида и принадлежности платежа</w:t>
      </w:r>
      <w:r>
        <w:t xml:space="preserve">», закладки «</w:t>
      </w:r>
      <w:r>
        <w:t xml:space="preserve">Документ</w:t>
      </w:r>
      <w:r>
        <w:t xml:space="preserve">», вкладки «</w:t>
      </w:r>
      <w:r>
        <w:t xml:space="preserve">Основные атрибуты (1)»</w:t>
      </w:r>
      <w:bookmarkEnd w:id="1003"/>
      <w:r/>
      <w:r/>
    </w:p>
    <w:p>
      <w:pPr>
        <w:pStyle w:val="994"/>
      </w:pPr>
      <w:r>
        <w:t xml:space="preserve">При импорте документа из внешней системы поля документа автоматическ</w:t>
      </w:r>
      <w:r>
        <w:t xml:space="preserve">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r/>
    </w:p>
    <w:p>
      <w:pPr>
        <w:pStyle w:val="994"/>
      </w:pPr>
      <w:r>
        <w:t xml:space="preserve">Перечень полей </w:t>
      </w:r>
      <w:r>
        <w:t xml:space="preserve">документа «Уведомление об уточнении вида и принадлежности платежа (расходы)», закладки «Документ», вкладки «Основные атрибуты (1)»</w:t>
      </w:r>
      <w:r>
        <w:t xml:space="preserve"> </w:t>
      </w:r>
      <w:r>
        <w:t xml:space="preserve">приведен в таблице</w:t>
      </w:r>
      <w:r>
        <w:t xml:space="preserve"> </w:t>
      </w:r>
      <w:r>
        <w:fldChar w:fldCharType="begin"/>
      </w:r>
      <w:r>
        <w:instrText xml:space="preserve"> REF _Ref317609376 \h  \* MERGEFORMAT </w:instrText>
      </w:r>
      <w:r>
        <w:fldChar w:fldCharType="separate"/>
      </w:r>
      <w:r>
        <w:t xml:space="preserve">68</w:t>
      </w:r>
      <w:r>
        <w:fldChar w:fldCharType="end"/>
      </w:r>
      <w:r>
        <w:t xml:space="preserve">.</w:t>
      </w:r>
      <w:r/>
    </w:p>
    <w:p>
      <w:pPr>
        <w:pStyle w:val="993"/>
      </w:pPr>
      <w:r>
        <w:fldChar w:fldCharType="begin"/>
      </w:r>
      <w:r>
        <w:instrText xml:space="preserve"> SEQ Таблица \* ARABIC </w:instrText>
      </w:r>
      <w:r>
        <w:fldChar w:fldCharType="separate"/>
      </w:r>
      <w:bookmarkStart w:id="1004" w:name="_Ref317609376"/>
      <w:r/>
      <w:bookmarkStart w:id="1005" w:name="_Toc88819254"/>
      <w:r>
        <w:t xml:space="preserve">68</w:t>
      </w:r>
      <w:bookmarkEnd w:id="1004"/>
      <w:r>
        <w:fldChar w:fldCharType="end"/>
      </w:r>
      <w:r>
        <w:t xml:space="preserve">. Описание полей документа «Уведомление об уточнении вида и принадлежности платежа</w:t>
      </w:r>
      <w:r>
        <w:t xml:space="preserve"> </w:t>
      </w:r>
      <w:r>
        <w:t xml:space="preserve">(расходы)</w:t>
      </w:r>
      <w:r>
        <w:t xml:space="preserve">», закладки «</w:t>
      </w:r>
      <w:r>
        <w:t xml:space="preserve">Документ</w:t>
      </w:r>
      <w:r>
        <w:t xml:space="preserve">», вкладки «</w:t>
      </w:r>
      <w:r>
        <w:t xml:space="preserve">Основные атрибуты (1)»</w:t>
      </w:r>
      <w:bookmarkEnd w:id="1005"/>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33"/>
        <w:gridCol w:w="7519"/>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14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60" w:type="pct"/>
            <w:vAlign w:val="center"/>
            <w:textDirection w:val="lrTb"/>
            <w:noWrap w:val="false"/>
          </w:tcPr>
          <w:p>
            <w:pPr>
              <w:pStyle w:val="1006"/>
            </w:pPr>
            <w:r>
              <w:t xml:space="preserve">Описание</w:t>
            </w:r>
            <w:r>
              <w:t xml:space="preserve"> поля</w:t>
            </w:r>
            <w:r/>
          </w:p>
        </w:tc>
      </w:tr>
      <w:tr>
        <w:trPr/>
        <w:tc>
          <w:tcPr>
            <w:shd w:val="clear" w:fill="auto" w:color="auto"/>
            <w:tcW w:w="1140" w:type="pct"/>
            <w:textDirection w:val="lrTb"/>
            <w:noWrap w:val="false"/>
          </w:tcPr>
          <w:p>
            <w:pPr>
              <w:pStyle w:val="1005"/>
              <w:ind w:left="57" w:right="57"/>
            </w:pPr>
            <w:r>
              <w:t xml:space="preserve">Номер документа</w:t>
            </w:r>
            <w:r/>
          </w:p>
        </w:tc>
        <w:tc>
          <w:tcPr>
            <w:shd w:val="clear" w:fill="auto" w:color="auto"/>
            <w:tcW w:w="3860" w:type="pct"/>
            <w:textDirection w:val="lrTb"/>
            <w:noWrap w:val="false"/>
          </w:tcPr>
          <w:p>
            <w:pPr>
              <w:pStyle w:val="1005"/>
              <w:ind w:left="57" w:right="57"/>
            </w:pPr>
            <w:r>
              <w:t xml:space="preserve">Значение рассчитывается автоматически на основании настроек для тек</w:t>
            </w:r>
            <w:r>
              <w:t xml:space="preserve">у</w:t>
            </w:r>
            <w:r>
              <w:t xml:space="preserve">щ</w:t>
            </w:r>
            <w:r>
              <w:t xml:space="preserve">е</w:t>
            </w:r>
            <w:r>
              <w:t xml:space="preserve">го типа документа в справочнике «Параметры автонумерации докуме</w:t>
            </w:r>
            <w:r>
              <w:t xml:space="preserve">н</w:t>
            </w:r>
            <w:r>
              <w:t xml:space="preserve">тов».</w:t>
            </w:r>
            <w:r>
              <w:t xml:space="preserve"> </w:t>
            </w:r>
            <w:r>
              <w:t xml:space="preserve">Может быть заполнено вручную.</w:t>
            </w:r>
            <w:r/>
          </w:p>
          <w:p>
            <w:pPr>
              <w:pStyle w:val="1005"/>
              <w:ind w:left="57" w:right="57"/>
            </w:pPr>
            <w:r>
              <w:t xml:space="preserve">В случае если значение было изменено вручную и не соответствует автом</w:t>
            </w:r>
            <w:r>
              <w:t xml:space="preserve">а</w:t>
            </w:r>
            <w:r>
              <w:t xml:space="preserve">тически вычисленному значению, правильный порядковый номер может быть проставлен по нажатию кнопки.</w:t>
            </w:r>
            <w:r/>
          </w:p>
        </w:tc>
      </w:tr>
      <w:tr>
        <w:trPr/>
        <w:tc>
          <w:tcPr>
            <w:shd w:val="clear" w:fill="auto" w:color="auto"/>
            <w:tcW w:w="1140" w:type="pct"/>
            <w:textDirection w:val="lrTb"/>
            <w:noWrap w:val="false"/>
          </w:tcPr>
          <w:p>
            <w:pPr>
              <w:pStyle w:val="1005"/>
              <w:ind w:left="57" w:right="57"/>
            </w:pPr>
            <w:r>
              <w:t xml:space="preserve">Дата документа </w:t>
            </w:r>
            <w:r/>
          </w:p>
        </w:tc>
        <w:tc>
          <w:tcPr>
            <w:shd w:val="clear" w:fill="auto" w:color="auto"/>
            <w:tcW w:w="3860" w:type="pct"/>
            <w:textDirection w:val="lrTb"/>
            <w:noWrap w:val="false"/>
          </w:tcPr>
          <w:p>
            <w:pPr>
              <w:pStyle w:val="1005"/>
              <w:ind w:left="57" w:right="57"/>
            </w:pPr>
            <w:r>
              <w:t xml:space="preserve">По умолчанию – текущая дата. Привязан системный кале</w:t>
            </w:r>
            <w:r>
              <w:t xml:space="preserve">ндарь. Маска вв</w:t>
            </w:r>
            <w:r>
              <w:t xml:space="preserve">о</w:t>
            </w:r>
            <w:r>
              <w:t xml:space="preserve">да «DD.MM.YYYY».</w:t>
            </w:r>
            <w:r/>
          </w:p>
        </w:tc>
      </w:tr>
      <w:tr>
        <w:trPr/>
        <w:tc>
          <w:tcPr>
            <w:shd w:val="clear" w:fill="auto" w:color="auto"/>
            <w:tcW w:w="1140" w:type="pct"/>
            <w:textDirection w:val="lrTb"/>
            <w:noWrap w:val="false"/>
          </w:tcPr>
          <w:p>
            <w:pPr>
              <w:pStyle w:val="1005"/>
              <w:ind w:left="57" w:right="57"/>
            </w:pPr>
            <w:r>
              <w:t xml:space="preserve">Единица измерения</w:t>
            </w:r>
            <w:r/>
          </w:p>
        </w:tc>
        <w:tc>
          <w:tcPr>
            <w:shd w:val="clear" w:fill="auto" w:color="auto"/>
            <w:tcW w:w="3860" w:type="pct"/>
            <w:textDirection w:val="lrTb"/>
            <w:noWrap w:val="false"/>
          </w:tcPr>
          <w:p>
            <w:pPr>
              <w:pStyle w:val="1005"/>
              <w:ind w:left="57" w:right="57"/>
            </w:pPr>
            <w:r>
              <w:t xml:space="preserve">По умолчанию «Руб».</w:t>
            </w:r>
            <w:r/>
          </w:p>
        </w:tc>
      </w:tr>
      <w:tr>
        <w:trPr/>
        <w:tc>
          <w:tcPr>
            <w:shd w:val="clear" w:fill="auto" w:color="auto"/>
            <w:tcW w:w="1140" w:type="pct"/>
            <w:textDirection w:val="lrTb"/>
            <w:noWrap w:val="false"/>
          </w:tcPr>
          <w:p>
            <w:pPr>
              <w:pStyle w:val="1005"/>
              <w:ind w:left="57" w:right="57"/>
            </w:pPr>
            <w:r>
              <w:t xml:space="preserve">Статус</w:t>
            </w:r>
            <w:r/>
          </w:p>
        </w:tc>
        <w:tc>
          <w:tcPr>
            <w:shd w:val="clear" w:fill="auto" w:color="auto"/>
            <w:tcW w:w="3860" w:type="pct"/>
            <w:textDirection w:val="lrTb"/>
            <w:noWrap w:val="false"/>
          </w:tcPr>
          <w:p>
            <w:pPr>
              <w:pStyle w:val="1005"/>
              <w:ind w:left="57" w:right="57"/>
            </w:pPr>
            <w:r>
              <w:t xml:space="preserve">Код бизнес-с</w:t>
            </w:r>
            <w:r>
              <w:t xml:space="preserve">татус</w:t>
            </w:r>
            <w:r>
              <w:t xml:space="preserve">а документа</w:t>
            </w:r>
            <w:r>
              <w:t xml:space="preserve">.</w:t>
            </w:r>
            <w:r/>
          </w:p>
        </w:tc>
      </w:tr>
      <w:tr>
        <w:trPr/>
        <w:tc>
          <w:tcPr>
            <w:shd w:val="clear" w:fill="auto" w:color="auto"/>
            <w:tcW w:w="1140" w:type="pct"/>
            <w:textDirection w:val="lrTb"/>
            <w:noWrap w:val="false"/>
          </w:tcPr>
          <w:p>
            <w:pPr>
              <w:pStyle w:val="1005"/>
              <w:ind w:left="57" w:right="57"/>
            </w:pPr>
            <w:r>
              <w:t xml:space="preserve">Уровень конфиденциальности</w:t>
            </w:r>
            <w:r/>
          </w:p>
        </w:tc>
        <w:tc>
          <w:tcPr>
            <w:shd w:val="clear" w:fill="auto" w:color="auto"/>
            <w:tcW w:w="3860" w:type="pct"/>
            <w:textDirection w:val="lrTb"/>
            <w:noWrap w:val="false"/>
          </w:tcPr>
          <w:p>
            <w:pPr>
              <w:pStyle w:val="1005"/>
              <w:ind w:left="57" w:right="57"/>
            </w:pPr>
            <w:r>
              <w:t xml:space="preserve">Заполняется вручную. По умолчанию не заполнено.</w:t>
            </w:r>
            <w:r/>
          </w:p>
          <w:p>
            <w:pPr>
              <w:pStyle w:val="1005"/>
              <w:ind w:left="57" w:right="57"/>
            </w:pPr>
            <w:r>
              <w:t xml:space="preserve">Заполняется клиентом значением «1» (</w:t>
            </w:r>
            <w:r>
              <w:t xml:space="preserve">ДСП</w:t>
            </w:r>
            <w:r>
              <w:t xml:space="preserve">) или «0» (не секретно)</w:t>
            </w:r>
            <w:r>
              <w:t xml:space="preserve">.</w:t>
            </w:r>
            <w:r/>
          </w:p>
        </w:tc>
      </w:tr>
      <w:tr>
        <w:trPr/>
        <w:tc>
          <w:tcPr>
            <w:gridSpan w:val="2"/>
            <w:shd w:val="clear" w:fill="auto" w:color="auto"/>
            <w:tcW w:w="5000" w:type="pct"/>
            <w:textDirection w:val="lrTb"/>
            <w:noWrap w:val="false"/>
          </w:tcPr>
          <w:p>
            <w:pPr>
              <w:pStyle w:val="1005"/>
              <w:ind w:left="57" w:right="57"/>
            </w:pPr>
            <w:r>
              <w:t xml:space="preserve">В</w:t>
            </w:r>
            <w:r>
              <w:t xml:space="preserve">кладка «Основные атрибуты (1)</w:t>
            </w:r>
            <w:r>
              <w:t xml:space="preserve">»</w:t>
            </w:r>
            <w:r/>
          </w:p>
        </w:tc>
      </w:tr>
      <w:tr>
        <w:trPr/>
        <w:tc>
          <w:tcPr>
            <w:shd w:val="clear" w:fill="auto" w:color="auto"/>
            <w:tcW w:w="1140" w:type="pct"/>
            <w:textDirection w:val="lrTb"/>
            <w:noWrap w:val="false"/>
          </w:tcPr>
          <w:p>
            <w:pPr>
              <w:pStyle w:val="1005"/>
              <w:ind w:left="57" w:right="57"/>
            </w:pPr>
            <w:r>
              <w:t xml:space="preserve">Дата</w:t>
            </w:r>
            <w:r/>
          </w:p>
        </w:tc>
        <w:tc>
          <w:tcPr>
            <w:shd w:val="clear" w:fill="auto" w:color="auto"/>
            <w:tcW w:w="3860" w:type="pct"/>
            <w:textDirection w:val="lrTb"/>
            <w:noWrap w:val="false"/>
          </w:tcPr>
          <w:p>
            <w:pPr>
              <w:pStyle w:val="1005"/>
              <w:ind w:left="57" w:right="57"/>
            </w:pPr>
            <w:r>
              <w:t xml:space="preserve">Автоматически подставляется значение из поля «Дата д</w:t>
            </w:r>
            <w:r>
              <w:t xml:space="preserve">окумента».</w:t>
            </w:r>
            <w:r/>
          </w:p>
        </w:tc>
      </w:tr>
      <w:tr>
        <w:trPr/>
        <w:tc>
          <w:tcPr>
            <w:shd w:val="clear" w:fill="auto" w:color="auto"/>
            <w:tcW w:w="1140" w:type="pct"/>
            <w:textDirection w:val="lrTb"/>
            <w:noWrap w:val="false"/>
          </w:tcPr>
          <w:p>
            <w:pPr>
              <w:pStyle w:val="1005"/>
              <w:ind w:left="57" w:right="57"/>
            </w:pPr>
            <w:r>
              <w:t xml:space="preserve">ПБС/АД/АИФ</w:t>
            </w:r>
            <w:r/>
          </w:p>
        </w:tc>
        <w:tc>
          <w:tcPr>
            <w:shd w:val="clear" w:fill="auto" w:color="auto"/>
            <w:tcW w:w="3860" w:type="pct"/>
            <w:textDirection w:val="lrTb"/>
            <w:noWrap w:val="false"/>
          </w:tcPr>
          <w:p>
            <w:pPr>
              <w:pStyle w:val="1005"/>
              <w:ind w:left="57" w:right="57"/>
            </w:pPr>
            <w:r>
              <w:t xml:space="preserve">Если SelfSRCode (Код по СР) заполнено и Переход на СР = 1, то поле заполняется значением актуальной записи справочника СР, найденной по коду = SelfSRCode (Код по СР).</w:t>
            </w:r>
            <w:r/>
          </w:p>
          <w:p>
            <w:pPr>
              <w:pStyle w:val="1005"/>
              <w:ind w:left="57" w:right="57"/>
            </w:pPr>
            <w:r>
              <w:t xml:space="preserve">Иначе поле заполняется по-старому: полным наименованием актуальной записи РУБП/ПУБП/НУБП/УП, найденной по SelfBUCode (Код собственного БУ) и SelfBudgetCode (Код бюджета).</w:t>
            </w:r>
            <w:r/>
          </w:p>
          <w:p>
            <w:pPr>
              <w:pStyle w:val="1005"/>
              <w:ind w:left="57" w:right="57"/>
            </w:pPr>
            <w:r>
              <w:t xml:space="preserve">Варианты заполнения значения поля:</w:t>
            </w:r>
            <w:r/>
          </w:p>
          <w:p>
            <w:pPr>
              <w:pStyle w:val="1008"/>
              <w:numPr>
                <w:ilvl w:val="0"/>
                <w:numId w:val="76"/>
              </w:numPr>
            </w:pPr>
            <w:r>
              <w:t xml:space="preserve">Из родительского документа, если соответствующее значение в РД заполнено.</w:t>
            </w:r>
            <w:r/>
          </w:p>
          <w:p>
            <w:pPr>
              <w:pStyle w:val="1008"/>
            </w:pPr>
            <w:r>
              <w:t xml:space="preserve">По системной константе «Код собственного БУ» или «Код по СР» или значения поля «по Сводному реестру».</w:t>
            </w:r>
            <w:r/>
          </w:p>
          <w:p>
            <w:pPr>
              <w:pStyle w:val="1008"/>
            </w:pPr>
            <w:r>
              <w:t xml:space="preserve">Вручную.</w:t>
            </w:r>
            <w:r/>
          </w:p>
        </w:tc>
      </w:tr>
      <w:tr>
        <w:trPr/>
        <w:tc>
          <w:tcPr>
            <w:shd w:val="clear" w:fill="auto" w:color="auto"/>
            <w:tcW w:w="1140" w:type="pct"/>
            <w:textDirection w:val="lrTb"/>
            <w:noWrap w:val="false"/>
          </w:tcPr>
          <w:p>
            <w:pPr>
              <w:pStyle w:val="1005"/>
              <w:ind w:left="57" w:right="57"/>
            </w:pPr>
            <w:r>
              <w:t xml:space="preserve">По Сводному реестру</w:t>
            </w:r>
            <w:r/>
          </w:p>
        </w:tc>
        <w:tc>
          <w:tcPr>
            <w:shd w:val="clear" w:fill="auto" w:color="auto"/>
            <w:tcW w:w="3860" w:type="pct"/>
            <w:textDirection w:val="lrTb"/>
            <w:noWrap w:val="false"/>
          </w:tcPr>
          <w:p>
            <w:pPr>
              <w:pStyle w:val="1005"/>
              <w:ind w:left="57" w:right="57"/>
            </w:pPr>
            <w:r>
              <w:t xml:space="preserve">Если SelfSRCode (Код по СР) заполнено, то</w:t>
            </w:r>
            <w:r>
              <w:t xml:space="preserve"> </w:t>
            </w:r>
            <w:r>
              <w:t xml:space="preserve">поле заполняется значением константы SelfSRCode (Код по СР), иначе поле заполняется по-старому: </w:t>
            </w:r>
            <w:r/>
          </w:p>
          <w:p>
            <w:pPr>
              <w:pStyle w:val="1007"/>
            </w:pPr>
            <w:r>
              <w:t xml:space="preserve">на АРМ ФО </w:t>
            </w:r>
            <w:r>
              <w:t xml:space="preserve">–</w:t>
            </w:r>
            <w:r>
              <w:t xml:space="preserve"> не заполняется.</w:t>
            </w:r>
            <w:r/>
          </w:p>
          <w:p>
            <w:pPr>
              <w:pStyle w:val="1005"/>
              <w:ind w:left="57" w:right="57"/>
            </w:pPr>
            <w:r>
              <w:t xml:space="preserve">Варианты заполнения значения поля:</w:t>
            </w:r>
            <w:r/>
          </w:p>
          <w:p>
            <w:pPr>
              <w:pStyle w:val="1008"/>
              <w:numPr>
                <w:ilvl w:val="0"/>
                <w:numId w:val="77"/>
              </w:numPr>
            </w:pPr>
            <w:r>
              <w:t xml:space="preserve">Из родительского документа, если соответствующее значение в РД заполнено.</w:t>
            </w:r>
            <w:r/>
          </w:p>
          <w:p>
            <w:pPr>
              <w:pStyle w:val="1008"/>
            </w:pPr>
            <w:r>
              <w:t xml:space="preserve">По системной константе «Код собственного БУ» (SelfBUCode, =5 знаков) или «Код по СР» (SelfSRCode, =8 знаков). </w:t>
            </w:r>
            <w:r/>
          </w:p>
          <w:p>
            <w:pPr>
              <w:pStyle w:val="1008"/>
            </w:pPr>
            <w:r>
              <w:t xml:space="preserve">Из справочников СРРПБС/ПУБП или СР.</w:t>
            </w:r>
            <w:r/>
          </w:p>
          <w:p>
            <w:pPr>
              <w:pStyle w:val="1008"/>
            </w:pPr>
            <w:r>
              <w:t xml:space="preserve">Вручную.</w:t>
            </w:r>
            <w:r/>
          </w:p>
        </w:tc>
      </w:tr>
      <w:tr>
        <w:trPr/>
        <w:tc>
          <w:tcPr>
            <w:shd w:val="clear" w:fill="auto" w:color="auto"/>
            <w:tcW w:w="1140" w:type="pct"/>
            <w:textDirection w:val="lrTb"/>
            <w:noWrap w:val="false"/>
          </w:tcPr>
          <w:p>
            <w:pPr>
              <w:pStyle w:val="1005"/>
              <w:ind w:left="57" w:right="57"/>
            </w:pPr>
            <w:r>
              <w:t xml:space="preserve">ГРБС/ГАДБ/ГАИФ</w:t>
            </w:r>
            <w:r/>
          </w:p>
        </w:tc>
        <w:tc>
          <w:tcPr>
            <w:shd w:val="clear" w:fill="auto" w:color="auto"/>
            <w:tcW w:w="3860" w:type="pct"/>
            <w:textDirection w:val="lrTb"/>
            <w:noWrap w:val="false"/>
          </w:tcPr>
          <w:p>
            <w:pPr>
              <w:pStyle w:val="1005"/>
              <w:ind w:left="57" w:right="57"/>
            </w:pPr>
            <w:r>
              <w:t xml:space="preserve">Заполняется и</w:t>
            </w:r>
            <w:r>
              <w:t xml:space="preserve">з родительского документа (если есть).</w:t>
            </w:r>
            <w:r/>
          </w:p>
          <w:p>
            <w:pPr>
              <w:pStyle w:val="1005"/>
              <w:ind w:left="57" w:right="57"/>
            </w:pPr>
            <w:r>
              <w:t xml:space="preserve">На </w:t>
            </w:r>
            <w:r>
              <w:t xml:space="preserve">АРМ ФО</w:t>
            </w:r>
            <w:r>
              <w:t xml:space="preserve"> (если тип указанного лицевого счета - «04»): а</w:t>
            </w:r>
            <w:r>
              <w:t xml:space="preserve">в</w:t>
            </w:r>
            <w:r>
              <w:t xml:space="preserve">т</w:t>
            </w:r>
            <w:r>
              <w:t xml:space="preserve">о</w:t>
            </w:r>
            <w:r>
              <w:t xml:space="preserve">матически в соответствии с кодом «Глава по БК» </w:t>
            </w:r>
            <w:r>
              <w:t xml:space="preserve">и бюджетом </w:t>
            </w:r>
            <w:r>
              <w:t xml:space="preserve">из справочника «В</w:t>
            </w:r>
            <w:r>
              <w:t xml:space="preserve">е</w:t>
            </w:r>
            <w:r>
              <w:t xml:space="preserve">домс</w:t>
            </w:r>
            <w:r>
              <w:t xml:space="preserve">т</w:t>
            </w:r>
            <w:r>
              <w:t xml:space="preserve">ва» из поля «Полное наименование», может быть отредактировано вручную.</w:t>
            </w:r>
            <w:r/>
          </w:p>
          <w:p>
            <w:pPr>
              <w:pStyle w:val="1005"/>
              <w:ind w:left="57" w:right="57"/>
            </w:pPr>
            <w:r>
              <w:t xml:space="preserve">На АРМ ФО не з</w:t>
            </w:r>
            <w:r>
              <w:t xml:space="preserve">аполняется, в</w:t>
            </w:r>
            <w:r>
              <w:t xml:space="preserve"> случае если тип указанного лицевого счета - «02» или «12».</w:t>
            </w:r>
            <w:r/>
          </w:p>
        </w:tc>
      </w:tr>
      <w:tr>
        <w:trPr/>
        <w:tc>
          <w:tcPr>
            <w:shd w:val="clear" w:fill="auto" w:color="auto"/>
            <w:tcW w:w="1140" w:type="pct"/>
            <w:textDirection w:val="lrTb"/>
            <w:noWrap w:val="false"/>
          </w:tcPr>
          <w:p>
            <w:pPr>
              <w:pStyle w:val="1005"/>
              <w:ind w:left="57" w:right="57"/>
            </w:pPr>
            <w:r>
              <w:t xml:space="preserve">Глава по БК</w:t>
            </w:r>
            <w:r/>
          </w:p>
        </w:tc>
        <w:tc>
          <w:tcPr>
            <w:shd w:val="clear" w:fill="auto" w:color="auto"/>
            <w:tcW w:w="3860" w:type="pct"/>
            <w:textDirection w:val="lrTb"/>
            <w:noWrap w:val="false"/>
          </w:tcPr>
          <w:p>
            <w:pPr>
              <w:pStyle w:val="1005"/>
              <w:ind w:left="57" w:right="57"/>
            </w:pPr>
            <w:r>
              <w:t xml:space="preserve">Заполняется и</w:t>
            </w:r>
            <w:r>
              <w:t xml:space="preserve">з </w:t>
            </w:r>
            <w:r>
              <w:t xml:space="preserve">родительского документа (если есть).</w:t>
            </w:r>
            <w:r/>
          </w:p>
          <w:p>
            <w:pPr>
              <w:pStyle w:val="1005"/>
              <w:ind w:left="57" w:right="57"/>
            </w:pPr>
            <w:r>
              <w:t xml:space="preserve">Привязан справочник Ведомств.</w:t>
            </w:r>
            <w:r/>
          </w:p>
          <w:p>
            <w:pPr>
              <w:pStyle w:val="1005"/>
              <w:ind w:left="57" w:right="57"/>
            </w:pPr>
            <w:r>
              <w:t xml:space="preserve">Для АРМ ФО заполняется автоматически.</w:t>
            </w:r>
            <w:r/>
          </w:p>
          <w:p>
            <w:pPr>
              <w:pStyle w:val="1005"/>
              <w:ind w:left="57" w:right="57"/>
            </w:pPr>
            <w:r>
              <w:t xml:space="preserve">Может быть изменено выбором из справочника «Ведомс</w:t>
            </w:r>
            <w:r>
              <w:t xml:space="preserve">тва», отфильтр</w:t>
            </w:r>
            <w:r>
              <w:t xml:space="preserve">о</w:t>
            </w:r>
            <w:r>
              <w:t xml:space="preserve">ванного по коду бюджета или вручную.</w:t>
            </w:r>
            <w:r/>
          </w:p>
          <w:p>
            <w:pPr>
              <w:pStyle w:val="1005"/>
              <w:ind w:left="57" w:right="57"/>
            </w:pPr>
            <w:r>
              <w:t xml:space="preserve">На АРМ ФО не заполняется, </w:t>
            </w:r>
            <w:r>
              <w:t xml:space="preserve">в</w:t>
            </w:r>
            <w:r>
              <w:t xml:space="preserve"> случае если тип указанного лицевого счета - «02» или «12».</w:t>
            </w:r>
            <w:r/>
          </w:p>
        </w:tc>
      </w:tr>
      <w:tr>
        <w:trPr/>
        <w:tc>
          <w:tcPr>
            <w:shd w:val="clear" w:fill="auto" w:color="auto"/>
            <w:tcW w:w="1140" w:type="pct"/>
            <w:textDirection w:val="lrTb"/>
            <w:noWrap w:val="false"/>
          </w:tcPr>
          <w:p>
            <w:pPr>
              <w:pStyle w:val="1005"/>
              <w:ind w:left="57" w:right="57"/>
            </w:pPr>
            <w:r>
              <w:t xml:space="preserve">Наименование бюдж</w:t>
            </w:r>
            <w:r>
              <w:t xml:space="preserve">е</w:t>
            </w:r>
            <w:r>
              <w:t xml:space="preserve">та</w:t>
            </w:r>
            <w:r/>
          </w:p>
        </w:tc>
        <w:tc>
          <w:tcPr>
            <w:shd w:val="clear" w:fill="auto" w:color="auto"/>
            <w:tcW w:w="3860" w:type="pct"/>
            <w:textDirection w:val="lrTb"/>
            <w:noWrap w:val="false"/>
          </w:tcPr>
          <w:p>
            <w:pPr>
              <w:pStyle w:val="1005"/>
              <w:ind w:left="57" w:right="57"/>
            </w:pPr>
            <w:r>
              <w:t xml:space="preserve">Автоматически по коду бюджета.</w:t>
            </w:r>
            <w:r/>
          </w:p>
          <w:p>
            <w:pPr>
              <w:pStyle w:val="1005"/>
              <w:ind w:left="57" w:right="57"/>
            </w:pPr>
            <w:r>
              <w:t xml:space="preserve">Привязан справочник Бюджетов</w:t>
            </w:r>
            <w:r>
              <w:t xml:space="preserve">.</w:t>
            </w:r>
            <w:r/>
          </w:p>
        </w:tc>
      </w:tr>
      <w:tr>
        <w:trPr/>
        <w:tc>
          <w:tcPr>
            <w:shd w:val="clear" w:fill="auto" w:color="auto"/>
            <w:tcW w:w="1140" w:type="pct"/>
            <w:textDirection w:val="lrTb"/>
            <w:noWrap w:val="false"/>
          </w:tcPr>
          <w:p>
            <w:pPr>
              <w:pStyle w:val="1005"/>
              <w:ind w:left="57" w:right="57"/>
            </w:pPr>
            <w:r>
              <w:t xml:space="preserve">Финансовый орган</w:t>
            </w:r>
            <w:r/>
          </w:p>
        </w:tc>
        <w:tc>
          <w:tcPr>
            <w:shd w:val="clear" w:fill="auto" w:color="auto"/>
            <w:tcW w:w="3860" w:type="pct"/>
            <w:textDirection w:val="lrTb"/>
            <w:noWrap w:val="false"/>
          </w:tcPr>
          <w:p>
            <w:pPr>
              <w:pStyle w:val="1005"/>
              <w:ind w:left="57" w:right="57"/>
            </w:pPr>
            <w:r>
              <w:t xml:space="preserve">Наименование финансового органа.</w:t>
            </w:r>
            <w:r/>
          </w:p>
          <w:p>
            <w:pPr>
              <w:pStyle w:val="1005"/>
              <w:ind w:left="57" w:right="57"/>
            </w:pPr>
            <w:r>
              <w:t xml:space="preserve">Привязан справочник Финорганов.</w:t>
            </w:r>
            <w:r/>
          </w:p>
          <w:p>
            <w:pPr>
              <w:pStyle w:val="1005"/>
              <w:ind w:left="57" w:right="57"/>
            </w:pPr>
            <w:r>
              <w:t xml:space="preserve">На АРМ ФО</w:t>
            </w:r>
            <w:r>
              <w:t xml:space="preserve">:</w:t>
            </w:r>
            <w:r>
              <w:t xml:space="preserve"> </w:t>
            </w:r>
            <w:r>
              <w:t xml:space="preserve">А</w:t>
            </w:r>
            <w:r>
              <w:t xml:space="preserve">втоматически подтягивается «Наименование» из справо</w:t>
            </w:r>
            <w:r>
              <w:t xml:space="preserve">ч</w:t>
            </w:r>
            <w:r>
              <w:t xml:space="preserve">ника «Финорганов», соответствующее коду собственного ФО (из систе</w:t>
            </w:r>
            <w:r>
              <w:t xml:space="preserve">м</w:t>
            </w:r>
            <w:r>
              <w:t xml:space="preserve">ной ко</w:t>
            </w:r>
            <w:r>
              <w:t xml:space="preserve">н</w:t>
            </w:r>
            <w:r>
              <w:t xml:space="preserve">станты).</w:t>
            </w:r>
            <w:r/>
          </w:p>
          <w:p>
            <w:pPr>
              <w:pStyle w:val="1005"/>
              <w:ind w:left="57" w:right="57"/>
            </w:pPr>
            <w:r>
              <w:t xml:space="preserve">Не заполняется при вводе ГТВБФ и ГВБФ.</w:t>
            </w:r>
            <w:r/>
          </w:p>
        </w:tc>
      </w:tr>
      <w:tr>
        <w:trPr/>
        <w:tc>
          <w:tcPr>
            <w:shd w:val="clear" w:fill="auto" w:color="auto"/>
            <w:tcW w:w="1140" w:type="pct"/>
            <w:textDirection w:val="lrTb"/>
            <w:noWrap w:val="false"/>
          </w:tcPr>
          <w:p>
            <w:pPr>
              <w:pStyle w:val="1005"/>
              <w:ind w:left="57" w:right="57"/>
            </w:pPr>
            <w:r>
              <w:t xml:space="preserve">Номер </w:t>
            </w:r>
            <w:r>
              <w:t xml:space="preserve">лицевого сч</w:t>
            </w:r>
            <w:r>
              <w:t xml:space="preserve">е</w:t>
            </w:r>
            <w:r>
              <w:t xml:space="preserve">та</w:t>
            </w:r>
            <w:r/>
          </w:p>
        </w:tc>
        <w:tc>
          <w:tcPr>
            <w:shd w:val="clear" w:fill="auto" w:color="auto"/>
            <w:tcW w:w="3860" w:type="pct"/>
            <w:textDirection w:val="lrTb"/>
            <w:noWrap w:val="false"/>
          </w:tcPr>
          <w:p>
            <w:pPr>
              <w:pStyle w:val="1005"/>
              <w:ind w:left="57" w:right="57"/>
            </w:pPr>
            <w:r>
              <w:t xml:space="preserve">Заполняется и</w:t>
            </w:r>
            <w:r>
              <w:t xml:space="preserve">з родительского документа (если есть).</w:t>
            </w:r>
            <w:r/>
          </w:p>
          <w:p>
            <w:pPr>
              <w:pStyle w:val="1005"/>
              <w:ind w:left="57" w:right="57"/>
            </w:pPr>
            <w:r>
              <w:t xml:space="preserve">Привязан справочник «Информация о ЛС».</w:t>
            </w:r>
            <w:r/>
          </w:p>
          <w:p>
            <w:pPr>
              <w:pStyle w:val="1005"/>
              <w:ind w:left="57" w:right="57"/>
            </w:pPr>
            <w:r>
              <w:t xml:space="preserve">Для АРМ ФО</w:t>
            </w:r>
            <w:r>
              <w:t xml:space="preserve">:</w:t>
            </w:r>
            <w:r>
              <w:t xml:space="preserve"> </w:t>
            </w:r>
            <w:r>
              <w:t xml:space="preserve">указывается ЛС типа 02</w:t>
            </w:r>
            <w:r>
              <w:t xml:space="preserve">.</w:t>
            </w:r>
            <w:r/>
          </w:p>
          <w:p>
            <w:pPr>
              <w:pStyle w:val="1005"/>
              <w:ind w:left="57" w:right="57"/>
            </w:pPr>
            <w:r>
              <w:t xml:space="preserve">Ва</w:t>
            </w:r>
            <w:r>
              <w:t xml:space="preserve">рианты заполнения значения поля</w:t>
            </w:r>
            <w:r>
              <w:t xml:space="preserve">:</w:t>
            </w:r>
            <w:r/>
          </w:p>
          <w:p>
            <w:pPr>
              <w:pStyle w:val="1008"/>
              <w:numPr>
                <w:ilvl w:val="0"/>
                <w:numId w:val="90"/>
              </w:numPr>
            </w:pPr>
            <w:r>
              <w:t xml:space="preserve">Из родительского документа, если соответствующее значение в РД заполнено.</w:t>
            </w:r>
            <w:r/>
          </w:p>
          <w:p>
            <w:pPr>
              <w:pStyle w:val="1008"/>
            </w:pPr>
            <w:r>
              <w:t xml:space="preserve">Автоматически или выбором из справочника. </w:t>
            </w:r>
            <w:r/>
          </w:p>
          <w:p>
            <w:pPr>
              <w:pStyle w:val="1008"/>
            </w:pPr>
            <w:r>
              <w:t xml:space="preserve">Вручную.</w:t>
            </w:r>
            <w:r/>
          </w:p>
        </w:tc>
      </w:tr>
      <w:tr>
        <w:trPr/>
        <w:tc>
          <w:tcPr>
            <w:shd w:val="clear" w:fill="auto" w:color="auto"/>
            <w:tcW w:w="1140" w:type="pct"/>
            <w:textDirection w:val="lrTb"/>
            <w:noWrap w:val="false"/>
          </w:tcPr>
          <w:p>
            <w:pPr>
              <w:pStyle w:val="1005"/>
              <w:ind w:left="57" w:right="57"/>
            </w:pPr>
            <w:r>
              <w:t xml:space="preserve">П</w:t>
            </w:r>
            <w:r>
              <w:t xml:space="preserve">о ОКПО</w:t>
            </w:r>
            <w:r/>
          </w:p>
        </w:tc>
        <w:tc>
          <w:tcPr>
            <w:shd w:val="clear" w:fill="auto" w:color="auto"/>
            <w:tcW w:w="3860" w:type="pct"/>
            <w:textDirection w:val="lrTb"/>
            <w:noWrap w:val="false"/>
          </w:tcPr>
          <w:p>
            <w:pPr>
              <w:pStyle w:val="1005"/>
              <w:ind w:left="57" w:right="57"/>
            </w:pPr>
            <w:r>
              <w:t xml:space="preserve">Привязан справочник Финорганов.</w:t>
            </w:r>
            <w:r/>
          </w:p>
          <w:p>
            <w:pPr>
              <w:pStyle w:val="1008"/>
              <w:numPr>
                <w:ilvl w:val="0"/>
                <w:numId w:val="43"/>
              </w:numPr>
            </w:pPr>
            <w:r>
              <w:t xml:space="preserve">Заполняется из родительского документа (если есть).</w:t>
            </w:r>
            <w:r/>
          </w:p>
          <w:p>
            <w:pPr>
              <w:pStyle w:val="1008"/>
            </w:pPr>
            <w:r>
              <w:t xml:space="preserve">Заполняется автоматически кодом ОКПО соответствующего актуального ФО (поиск по коду ФО) из справочника «Финансовые органы».</w:t>
            </w:r>
            <w:r/>
          </w:p>
          <w:p>
            <w:pPr>
              <w:pStyle w:val="1008"/>
            </w:pPr>
            <w:r>
              <w:t xml:space="preserve">Может быть отредактировано вручную или выбором из справочника</w:t>
            </w:r>
            <w:r>
              <w:t xml:space="preserve"> </w:t>
            </w:r>
            <w:r>
              <w:t xml:space="preserve">«Финансовые органы».</w:t>
            </w:r>
            <w:r/>
          </w:p>
        </w:tc>
      </w:tr>
      <w:tr>
        <w:trPr/>
        <w:tc>
          <w:tcPr>
            <w:shd w:val="clear" w:fill="auto" w:color="auto"/>
            <w:tcW w:w="1140" w:type="pct"/>
            <w:textDirection w:val="lrTb"/>
            <w:noWrap w:val="false"/>
          </w:tcPr>
          <w:p>
            <w:pPr>
              <w:pStyle w:val="1005"/>
              <w:ind w:left="57" w:right="57"/>
            </w:pPr>
            <w:r>
              <w:t xml:space="preserve">Кому: Федеральное к</w:t>
            </w:r>
            <w:r>
              <w:t xml:space="preserve">а</w:t>
            </w:r>
            <w:r>
              <w:t xml:space="preserve">значейство, орган Фед</w:t>
            </w:r>
            <w:r>
              <w:t xml:space="preserve">е</w:t>
            </w:r>
            <w:r>
              <w:t xml:space="preserve">рального казн</w:t>
            </w:r>
            <w:r>
              <w:t xml:space="preserve">а</w:t>
            </w:r>
            <w:r>
              <w:t xml:space="preserve">чейства</w:t>
            </w:r>
            <w:r/>
          </w:p>
        </w:tc>
        <w:tc>
          <w:tcPr>
            <w:shd w:val="clear" w:fill="auto" w:color="auto"/>
            <w:tcW w:w="3860" w:type="pct"/>
            <w:textDirection w:val="lrTb"/>
            <w:noWrap w:val="false"/>
          </w:tcPr>
          <w:p>
            <w:pPr>
              <w:pStyle w:val="1005"/>
              <w:ind w:left="57" w:right="57"/>
            </w:pPr>
            <w:r>
              <w:t xml:space="preserve">Заполняется </w:t>
            </w:r>
            <w:r>
              <w:t xml:space="preserve">а</w:t>
            </w:r>
            <w:r>
              <w:t xml:space="preserve">втоматически из справочника «Органы казначейства» на о</w:t>
            </w:r>
            <w:r>
              <w:t xml:space="preserve">с</w:t>
            </w:r>
            <w:r>
              <w:t xml:space="preserve">н</w:t>
            </w:r>
            <w:r>
              <w:t xml:space="preserve">о</w:t>
            </w:r>
            <w:r>
              <w:t xml:space="preserve">вании поля «Код получателя по КОФК».</w:t>
            </w:r>
            <w:r/>
          </w:p>
        </w:tc>
      </w:tr>
      <w:tr>
        <w:trPr/>
        <w:tc>
          <w:tcPr>
            <w:shd w:val="clear" w:fill="auto" w:color="auto"/>
            <w:tcW w:w="1140" w:type="pct"/>
            <w:textDirection w:val="lrTb"/>
            <w:noWrap w:val="false"/>
          </w:tcPr>
          <w:p>
            <w:pPr>
              <w:pStyle w:val="1005"/>
              <w:ind w:left="57" w:right="57"/>
            </w:pPr>
            <w:r>
              <w:t xml:space="preserve">П</w:t>
            </w:r>
            <w:r>
              <w:t xml:space="preserve">о КОФК</w:t>
            </w:r>
            <w:r/>
          </w:p>
        </w:tc>
        <w:tc>
          <w:tcPr>
            <w:shd w:val="clear" w:fill="auto" w:color="auto"/>
            <w:tcW w:w="3860" w:type="pct"/>
            <w:textDirection w:val="lrTb"/>
            <w:noWrap w:val="false"/>
          </w:tcPr>
          <w:p>
            <w:pPr>
              <w:pStyle w:val="1005"/>
              <w:ind w:left="57" w:right="57"/>
            </w:pPr>
            <w:r>
              <w:t xml:space="preserve">Код получателя по КОФК</w:t>
            </w:r>
            <w:r>
              <w:t xml:space="preserve">.</w:t>
            </w:r>
            <w:r>
              <w:t xml:space="preserve"> </w:t>
            </w:r>
            <w:r/>
          </w:p>
          <w:p>
            <w:pPr>
              <w:pStyle w:val="1005"/>
              <w:ind w:left="57" w:right="57"/>
            </w:pPr>
            <w:r>
              <w:t xml:space="preserve">Проверяется значение константы</w:t>
            </w:r>
            <w:r>
              <w:t xml:space="preserve"> </w:t>
            </w:r>
            <w:r>
              <w:t xml:space="preserve">«</w:t>
            </w:r>
            <w:r>
              <w:t xml:space="preserve">SelfTOFKcode (Код собственного ТОФК)</w:t>
            </w:r>
            <w:r>
              <w:t xml:space="preserve">»:</w:t>
            </w:r>
            <w:r>
              <w:t xml:space="preserve"> </w:t>
            </w:r>
            <w:r/>
          </w:p>
          <w:p>
            <w:pPr>
              <w:pStyle w:val="1007"/>
            </w:pPr>
            <w:r>
              <w:t xml:space="preserve">е</w:t>
            </w:r>
            <w:r>
              <w:t xml:space="preserve">сли оно равно ххуу, то по умолчанию проставляется значение ко</w:t>
            </w:r>
            <w:r>
              <w:t xml:space="preserve">н</w:t>
            </w:r>
            <w:r>
              <w:t xml:space="preserve">ста</w:t>
            </w:r>
            <w:r>
              <w:t xml:space="preserve">н</w:t>
            </w:r>
            <w:r>
              <w:t xml:space="preserve">ты «</w:t>
            </w:r>
            <w:r>
              <w:t xml:space="preserve">HigherTOFKcode (Код вышестоящего ТОФК)</w:t>
            </w:r>
            <w:r>
              <w:t xml:space="preserve">», равный хх00; </w:t>
            </w:r>
            <w:r/>
          </w:p>
          <w:p>
            <w:pPr>
              <w:pStyle w:val="1007"/>
            </w:pPr>
            <w:r>
              <w:t xml:space="preserve">если равн</w:t>
            </w:r>
            <w:r>
              <w:t xml:space="preserve">о</w:t>
            </w:r>
            <w:r>
              <w:t xml:space="preserve"> хх00, то по умолчанию проставляется значение «</w:t>
            </w:r>
            <w:r>
              <w:t xml:space="preserve">SelfTOFKcode (Код собственного ТОФК)</w:t>
            </w:r>
            <w:r>
              <w:t xml:space="preserve">».</w:t>
            </w:r>
            <w:r/>
          </w:p>
        </w:tc>
      </w:tr>
      <w:tr>
        <w:trPr/>
        <w:tc>
          <w:tcPr>
            <w:shd w:val="clear" w:fill="auto" w:color="auto"/>
            <w:tcW w:w="1140" w:type="pct"/>
            <w:textDirection w:val="lrTb"/>
            <w:noWrap w:val="false"/>
          </w:tcPr>
          <w:p>
            <w:pPr>
              <w:pStyle w:val="1005"/>
              <w:ind w:left="57" w:right="57"/>
            </w:pPr>
            <w:r>
              <w:t xml:space="preserve">Плательщик</w:t>
            </w:r>
            <w:r/>
          </w:p>
        </w:tc>
        <w:tc>
          <w:tcPr>
            <w:shd w:val="clear" w:fill="auto" w:color="auto"/>
            <w:tcW w:w="3860" w:type="pct"/>
            <w:textDirection w:val="lrTb"/>
            <w:noWrap w:val="false"/>
          </w:tcPr>
          <w:p>
            <w:pPr>
              <w:pStyle w:val="1005"/>
              <w:ind w:left="57" w:right="57"/>
            </w:pPr>
            <w:r>
              <w:t xml:space="preserve">Заполняется и</w:t>
            </w:r>
            <w:r>
              <w:t xml:space="preserve">з родительского документа, если указано в пере</w:t>
            </w:r>
            <w:r>
              <w:t xml:space="preserve">ч</w:t>
            </w:r>
            <w:r>
              <w:t xml:space="preserve">не</w:t>
            </w:r>
            <w:r>
              <w:t xml:space="preserve">.</w:t>
            </w:r>
            <w:r/>
          </w:p>
          <w:p>
            <w:pPr>
              <w:pStyle w:val="1005"/>
              <w:ind w:left="57" w:right="57"/>
            </w:pPr>
            <w:r>
              <w:t xml:space="preserve">И</w:t>
            </w:r>
            <w:r>
              <w:t xml:space="preserve">наче </w:t>
            </w:r>
            <w:r>
              <w:t xml:space="preserve">–</w:t>
            </w:r>
            <w:r>
              <w:t xml:space="preserve"> вручную</w:t>
            </w:r>
            <w:r>
              <w:t xml:space="preserve"> (до 500 знаков)</w:t>
            </w:r>
            <w:r>
              <w:t xml:space="preserve">. </w:t>
            </w:r>
            <w:r>
              <w:t xml:space="preserve">Прикреплен справочник поставщиков.</w:t>
            </w:r>
            <w:r/>
          </w:p>
        </w:tc>
      </w:tr>
      <w:tr>
        <w:trPr/>
        <w:tc>
          <w:tcPr>
            <w:shd w:val="clear" w:fill="auto" w:color="auto"/>
            <w:tcW w:w="1140" w:type="pct"/>
            <w:textDirection w:val="lrTb"/>
            <w:noWrap w:val="false"/>
          </w:tcPr>
          <w:p>
            <w:pPr>
              <w:pStyle w:val="1005"/>
              <w:ind w:left="57" w:right="57"/>
            </w:pPr>
            <w:r>
              <w:t xml:space="preserve">Паспортные данные плател</w:t>
            </w:r>
            <w:r>
              <w:t xml:space="preserve">ьщика</w:t>
            </w:r>
            <w:r/>
          </w:p>
        </w:tc>
        <w:tc>
          <w:tcPr>
            <w:shd w:val="clear" w:fill="auto" w:color="auto"/>
            <w:tcW w:w="3860" w:type="pct"/>
            <w:textDirection w:val="lrTb"/>
            <w:noWrap w:val="false"/>
          </w:tcPr>
          <w:p>
            <w:pPr>
              <w:pStyle w:val="1005"/>
              <w:ind w:left="57" w:right="57"/>
            </w:pPr>
            <w:r>
              <w:t xml:space="preserve">Заполняется в</w:t>
            </w:r>
            <w:r>
              <w:t xml:space="preserve">ручную.</w:t>
            </w:r>
            <w:r/>
          </w:p>
        </w:tc>
      </w:tr>
      <w:tr>
        <w:trPr/>
        <w:tc>
          <w:tcPr>
            <w:shd w:val="clear" w:fill="auto" w:color="auto"/>
            <w:tcW w:w="1140" w:type="pct"/>
            <w:textDirection w:val="lrTb"/>
            <w:noWrap w:val="false"/>
          </w:tcPr>
          <w:p>
            <w:pPr>
              <w:pStyle w:val="1005"/>
              <w:ind w:left="57" w:right="57"/>
            </w:pPr>
            <w:r>
              <w:t xml:space="preserve">ИНН</w:t>
            </w:r>
            <w:r/>
          </w:p>
        </w:tc>
        <w:tc>
          <w:tcPr>
            <w:shd w:val="clear" w:fill="auto" w:color="auto"/>
            <w:tcW w:w="3860" w:type="pct"/>
            <w:textDirection w:val="lrTb"/>
            <w:noWrap w:val="false"/>
          </w:tcPr>
          <w:p>
            <w:pPr>
              <w:pStyle w:val="1005"/>
              <w:ind w:left="57" w:right="57"/>
            </w:pPr>
            <w:r>
              <w:t xml:space="preserve">ИНН плательщика</w:t>
            </w:r>
            <w:r>
              <w:t xml:space="preserve">.</w:t>
            </w:r>
            <w:r/>
          </w:p>
          <w:p>
            <w:pPr>
              <w:pStyle w:val="1005"/>
              <w:ind w:left="57" w:right="57"/>
            </w:pPr>
            <w:r>
              <w:t xml:space="preserve">Из родительского до</w:t>
            </w:r>
            <w:r>
              <w:t xml:space="preserve">кумента, если указано в перечне.</w:t>
            </w:r>
            <w:r/>
          </w:p>
          <w:p>
            <w:pPr>
              <w:pStyle w:val="1005"/>
              <w:ind w:left="57" w:right="57"/>
            </w:pPr>
            <w:r>
              <w:t xml:space="preserve">Может подтягива</w:t>
            </w:r>
            <w:r>
              <w:t xml:space="preserve">ться из справочника поставщиков.</w:t>
            </w:r>
            <w:r/>
          </w:p>
          <w:p>
            <w:pPr>
              <w:pStyle w:val="1005"/>
              <w:ind w:left="57" w:right="57"/>
            </w:pPr>
            <w:r>
              <w:t xml:space="preserve">Иначе </w:t>
            </w:r>
            <w:r>
              <w:t xml:space="preserve">–</w:t>
            </w:r>
            <w:r>
              <w:t xml:space="preserve"> </w:t>
            </w:r>
            <w:r>
              <w:t xml:space="preserve">вручную.</w:t>
            </w:r>
            <w:r/>
          </w:p>
        </w:tc>
      </w:tr>
      <w:tr>
        <w:trPr/>
        <w:tc>
          <w:tcPr>
            <w:shd w:val="clear" w:fill="auto" w:color="auto"/>
            <w:tcW w:w="1140" w:type="pct"/>
            <w:textDirection w:val="lrTb"/>
            <w:noWrap w:val="false"/>
          </w:tcPr>
          <w:p>
            <w:pPr>
              <w:pStyle w:val="1005"/>
              <w:ind w:left="57" w:right="57"/>
            </w:pPr>
            <w:r>
              <w:t xml:space="preserve">КПП</w:t>
            </w:r>
            <w:r/>
          </w:p>
        </w:tc>
        <w:tc>
          <w:tcPr>
            <w:shd w:val="clear" w:fill="auto" w:color="auto"/>
            <w:tcW w:w="3860" w:type="pct"/>
            <w:textDirection w:val="lrTb"/>
            <w:noWrap w:val="false"/>
          </w:tcPr>
          <w:p>
            <w:pPr>
              <w:pStyle w:val="1005"/>
              <w:ind w:left="57" w:right="57"/>
            </w:pPr>
            <w:r>
              <w:t xml:space="preserve">КПП плательщика</w:t>
            </w:r>
            <w:r>
              <w:t xml:space="preserve">.</w:t>
            </w:r>
            <w:r/>
          </w:p>
          <w:p>
            <w:pPr>
              <w:pStyle w:val="1005"/>
              <w:ind w:left="57" w:right="57"/>
            </w:pPr>
            <w:r>
              <w:t xml:space="preserve">Из родительского документа, если указано в перечне</w:t>
            </w:r>
            <w:r>
              <w:t xml:space="preserve">.</w:t>
            </w:r>
            <w:r/>
          </w:p>
          <w:p>
            <w:pPr>
              <w:pStyle w:val="1005"/>
              <w:ind w:left="57" w:right="57"/>
            </w:pPr>
            <w:r>
              <w:t xml:space="preserve">Может подтягиваться из справочника поставщиков</w:t>
            </w:r>
            <w:r>
              <w:t xml:space="preserve">.</w:t>
            </w:r>
            <w:r/>
          </w:p>
          <w:p>
            <w:pPr>
              <w:pStyle w:val="1005"/>
              <w:ind w:left="57" w:right="57"/>
            </w:pPr>
            <w:r>
              <w:t xml:space="preserve">Иначе </w:t>
            </w:r>
            <w:r>
              <w:t xml:space="preserve">–</w:t>
            </w:r>
            <w:r>
              <w:t xml:space="preserve"> </w:t>
            </w:r>
            <w:r>
              <w:t xml:space="preserve">вручную.</w:t>
            </w:r>
            <w:r/>
          </w:p>
        </w:tc>
      </w:tr>
      <w:tr>
        <w:trPr/>
        <w:tc>
          <w:tcPr>
            <w:shd w:val="clear" w:fill="auto" w:color="auto"/>
            <w:tcW w:w="1140" w:type="pct"/>
            <w:textDirection w:val="lrTb"/>
            <w:noWrap w:val="false"/>
          </w:tcPr>
          <w:p>
            <w:pPr>
              <w:pStyle w:val="1005"/>
              <w:ind w:left="57" w:right="57"/>
            </w:pPr>
            <w:r>
              <w:t xml:space="preserve">Номер банковского сч</w:t>
            </w:r>
            <w:r>
              <w:t xml:space="preserve">е</w:t>
            </w:r>
            <w:r>
              <w:t xml:space="preserve">та плательщ</w:t>
            </w:r>
            <w:r>
              <w:t xml:space="preserve">ика</w:t>
            </w:r>
            <w:r/>
          </w:p>
        </w:tc>
        <w:tc>
          <w:tcPr>
            <w:shd w:val="clear" w:fill="auto" w:color="auto"/>
            <w:tcW w:w="3860" w:type="pct"/>
            <w:textDirection w:val="lrTb"/>
            <w:noWrap w:val="false"/>
          </w:tcPr>
          <w:p>
            <w:pPr>
              <w:pStyle w:val="1005"/>
              <w:ind w:left="57" w:right="57"/>
            </w:pPr>
            <w:r>
              <w:t xml:space="preserve">Из родительского документа, если указано в перечне</w:t>
            </w:r>
            <w:r>
              <w:t xml:space="preserve">.</w:t>
            </w:r>
            <w:r/>
          </w:p>
          <w:p>
            <w:pPr>
              <w:pStyle w:val="1005"/>
              <w:ind w:left="57" w:right="57"/>
            </w:pPr>
            <w:r>
              <w:t xml:space="preserve">Может подтягиваться из справочника </w:t>
            </w:r>
            <w:r>
              <w:t xml:space="preserve">«</w:t>
            </w:r>
            <w:r>
              <w:t xml:space="preserve">Банковские счета п</w:t>
            </w:r>
            <w:r>
              <w:t xml:space="preserve">оставщиков</w:t>
            </w:r>
            <w:r>
              <w:t xml:space="preserve">»</w:t>
            </w:r>
            <w:r>
              <w:t xml:space="preserve">, и</w:t>
            </w:r>
            <w:r>
              <w:t xml:space="preserve">наче </w:t>
            </w:r>
            <w:r>
              <w:t xml:space="preserve">–</w:t>
            </w:r>
            <w:r>
              <w:t xml:space="preserve"> </w:t>
            </w:r>
            <w:r>
              <w:t xml:space="preserve">вручную.</w:t>
            </w:r>
            <w:r/>
          </w:p>
        </w:tc>
      </w:tr>
      <w:tr>
        <w:trPr/>
        <w:tc>
          <w:tcPr>
            <w:shd w:val="clear" w:fill="auto" w:color="auto"/>
            <w:tcW w:w="1140" w:type="pct"/>
            <w:textDirection w:val="lrTb"/>
            <w:noWrap w:val="false"/>
          </w:tcPr>
          <w:p>
            <w:pPr>
              <w:pStyle w:val="1005"/>
              <w:ind w:left="57" w:right="57"/>
            </w:pPr>
            <w:r>
              <w:t xml:space="preserve">Номер запроса</w:t>
            </w:r>
            <w:r/>
          </w:p>
        </w:tc>
        <w:tc>
          <w:tcPr>
            <w:shd w:val="clear" w:fill="auto" w:color="auto"/>
            <w:tcW w:w="3860" w:type="pct"/>
            <w:textDirection w:val="lrTb"/>
            <w:noWrap w:val="false"/>
          </w:tcPr>
          <w:p>
            <w:pPr>
              <w:pStyle w:val="1005"/>
              <w:ind w:left="57" w:right="57"/>
            </w:pPr>
            <w:r>
              <w:t xml:space="preserve">Заполняется и</w:t>
            </w:r>
            <w:r>
              <w:t xml:space="preserve">з родительского документа, если указано в перечне</w:t>
            </w:r>
            <w:r>
              <w:t xml:space="preserve">, </w:t>
            </w:r>
            <w:r>
              <w:t xml:space="preserve">или вру</w:t>
            </w:r>
            <w:r>
              <w:t xml:space="preserve">ч</w:t>
            </w:r>
            <w:r>
              <w:t xml:space="preserve">ную.</w:t>
            </w:r>
            <w:r/>
          </w:p>
        </w:tc>
      </w:tr>
      <w:tr>
        <w:trPr/>
        <w:tc>
          <w:tcPr>
            <w:shd w:val="clear" w:fill="auto" w:color="auto"/>
            <w:tcW w:w="1140" w:type="pct"/>
            <w:textDirection w:val="lrTb"/>
            <w:noWrap w:val="false"/>
          </w:tcPr>
          <w:p>
            <w:pPr>
              <w:pStyle w:val="1005"/>
              <w:ind w:left="57" w:right="57"/>
            </w:pPr>
            <w:r>
              <w:t xml:space="preserve">Дата запроса</w:t>
            </w:r>
            <w:r/>
          </w:p>
        </w:tc>
        <w:tc>
          <w:tcPr>
            <w:shd w:val="clear" w:fill="auto" w:color="auto"/>
            <w:tcW w:w="3860" w:type="pct"/>
            <w:textDirection w:val="lrTb"/>
            <w:noWrap w:val="false"/>
          </w:tcPr>
          <w:p>
            <w:pPr>
              <w:pStyle w:val="1005"/>
              <w:ind w:left="57" w:right="57"/>
            </w:pPr>
            <w:r>
              <w:t xml:space="preserve">Заполняется и</w:t>
            </w:r>
            <w:r>
              <w:t xml:space="preserve">з родительского документа, если указано в перечне</w:t>
            </w:r>
            <w:r>
              <w:t xml:space="preserve">, </w:t>
            </w:r>
            <w:r>
              <w:t xml:space="preserve">или вру</w:t>
            </w:r>
            <w:r>
              <w:t xml:space="preserve">ч</w:t>
            </w:r>
            <w:r>
              <w:t xml:space="preserve">ную.</w:t>
            </w:r>
            <w:r/>
          </w:p>
        </w:tc>
      </w:tr>
      <w:tr>
        <w:trPr/>
        <w:tc>
          <w:tcPr>
            <w:shd w:val="clear" w:fill="auto" w:color="auto"/>
            <w:tcW w:w="1140" w:type="pct"/>
            <w:textDirection w:val="lrTb"/>
            <w:noWrap w:val="false"/>
          </w:tcPr>
          <w:p>
            <w:pPr>
              <w:pStyle w:val="1005"/>
              <w:ind w:left="57" w:right="57"/>
            </w:pPr>
            <w:r>
              <w:t xml:space="preserve">Вид средств</w:t>
            </w:r>
            <w:r/>
          </w:p>
        </w:tc>
        <w:tc>
          <w:tcPr>
            <w:shd w:val="clear" w:fill="auto" w:color="auto"/>
            <w:tcW w:w="3860" w:type="pct"/>
            <w:textDirection w:val="lrTb"/>
            <w:noWrap w:val="false"/>
          </w:tcPr>
          <w:p>
            <w:pPr>
              <w:pStyle w:val="1005"/>
              <w:ind w:left="57" w:right="57"/>
            </w:pPr>
            <w:r>
              <w:t xml:space="preserve">Если значение поля «Технический тип документа» = «ПДУ», то поле не до</w:t>
            </w:r>
            <w:r>
              <w:t xml:space="preserve">с</w:t>
            </w:r>
            <w:r>
              <w:t xml:space="preserve">тупно для заполнения.</w:t>
            </w:r>
            <w:r/>
          </w:p>
          <w:p>
            <w:pPr>
              <w:pStyle w:val="1005"/>
              <w:ind w:left="57" w:right="57"/>
            </w:pPr>
            <w:r>
              <w:t xml:space="preserve">Иначе может быть изменено пользователем вручную или выбором из спр</w:t>
            </w:r>
            <w:r>
              <w:t xml:space="preserve">а</w:t>
            </w:r>
            <w:r>
              <w:t xml:space="preserve">вочника «Источники финансирования». Список значений, доступных для выбора пользователем ограничен следующими кодами: 10, 11, 14, 30.</w:t>
            </w:r>
            <w:r/>
          </w:p>
        </w:tc>
      </w:tr>
    </w:tbl>
    <w:p>
      <w:pPr>
        <w:pStyle w:val="994"/>
      </w:pPr>
      <w:r>
        <w:t xml:space="preserve">В</w:t>
      </w:r>
      <w:r>
        <w:t xml:space="preserve">кладка «Платежные документы (2)» (рис. </w:t>
      </w:r>
      <w:r>
        <w:fldChar w:fldCharType="begin"/>
      </w:r>
      <w:r>
        <w:instrText xml:space="preserve"> REF _Ref205267673 \h  \* MERGEFORMAT </w:instrText>
      </w:r>
      <w:r>
        <w:fldChar w:fldCharType="separate"/>
      </w:r>
      <w:r>
        <w:t xml:space="preserve">125</w:t>
      </w:r>
      <w:r>
        <w:fldChar w:fldCharType="end"/>
      </w:r>
      <w:r>
        <w:t xml:space="preserve">), расположенная на закладке «Доку</w:t>
      </w:r>
      <w:r>
        <w:t xml:space="preserve">мент» (см.</w:t>
      </w:r>
      <w:r>
        <w:t xml:space="preserve"> </w:t>
      </w:r>
      <w:r>
        <w:t xml:space="preserve">рис. </w:t>
      </w:r>
      <w:r>
        <w:fldChar w:fldCharType="begin"/>
      </w:r>
      <w:r>
        <w:instrText xml:space="preserve"> REF _Ref205102344 \h  \* MERGEFORMAT </w:instrText>
      </w:r>
      <w:r>
        <w:fldChar w:fldCharType="separate"/>
      </w:r>
      <w:r>
        <w:t xml:space="preserve">124</w:t>
      </w:r>
      <w:r>
        <w:fldChar w:fldCharType="end"/>
      </w:r>
      <w:r>
        <w:t xml:space="preserve">) </w:t>
      </w:r>
      <w:r>
        <w:t xml:space="preserve">содержит:</w:t>
      </w:r>
      <w:r/>
    </w:p>
    <w:p>
      <w:pPr>
        <w:pStyle w:val="985"/>
      </w:pPr>
      <w:r>
        <w:t xml:space="preserve">Т</w:t>
      </w:r>
      <w:r>
        <w:t xml:space="preserve">абличный блок «Реквизиты платежного документа». </w:t>
      </w:r>
      <w:r/>
    </w:p>
    <w:p>
      <w:pPr>
        <w:pStyle w:val="1029"/>
      </w:pPr>
      <w:r>
        <w:t xml:space="preserve">Содержит строки с реквизитами платежных документов, по которым требуется уточнение. В полях «Назначение платежа», «Примечание» отображаются значения соответствующих полей текущей строки.</w:t>
      </w:r>
      <w:r/>
    </w:p>
    <w:p>
      <w:pPr>
        <w:pStyle w:val="985"/>
      </w:pPr>
      <w:r>
        <w:t xml:space="preserve">П</w:t>
      </w:r>
      <w:r>
        <w:t xml:space="preserve">оле «Уточняемая сумма» к табличному блоку «Реквизиты платежного документа». </w:t>
      </w:r>
      <w:r/>
    </w:p>
    <w:p>
      <w:pPr>
        <w:pStyle w:val="1029"/>
      </w:pPr>
      <w:r>
        <w:t xml:space="preserve">Значение общей суммы рассчитывается автоматически</w:t>
      </w:r>
      <w:r>
        <w:t xml:space="preserve">,</w:t>
      </w:r>
      <w:r>
        <w:t xml:space="preserve"> суммируя поля реквизитов</w:t>
      </w:r>
      <w:r>
        <w:t xml:space="preserve"> </w:t>
      </w:r>
      <w:r>
        <w:t xml:space="preserve">«Сумма» по всем строкам раздела «Реквизиты платежного документа».</w:t>
      </w:r>
      <w:r/>
    </w:p>
    <w:p>
      <w:pPr>
        <w:pStyle w:val="985"/>
      </w:pPr>
      <w:r>
        <w:t xml:space="preserve">Т</w:t>
      </w:r>
      <w:r>
        <w:t xml:space="preserve">абличный блок «Изменить на реквизиты». </w:t>
      </w:r>
      <w:r/>
    </w:p>
    <w:p>
      <w:pPr>
        <w:pStyle w:val="1029"/>
      </w:pPr>
      <w:r>
        <w:t xml:space="preserve">Содержит строки с уточненными реквизитами платежного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r/>
    </w:p>
    <w:p>
      <w:pPr>
        <w:pStyle w:val="985"/>
      </w:pPr>
      <w:r>
        <w:t xml:space="preserve">П</w:t>
      </w:r>
      <w:r>
        <w:t xml:space="preserve">оле «Уточненная сумма» к табличному блоку «Изменить на реквизиты». </w:t>
      </w:r>
      <w:r/>
    </w:p>
    <w:p>
      <w:pPr>
        <w:pStyle w:val="1029"/>
      </w:pPr>
      <w:r>
        <w:t xml:space="preserve">Значение общей суммы рассчитывается автоматически</w:t>
      </w:r>
      <w:r>
        <w:t xml:space="preserve">,</w:t>
      </w:r>
      <w:r>
        <w:t xml:space="preserve"> суммируя поля реквизитов</w:t>
      </w:r>
      <w:r>
        <w:t xml:space="preserve"> </w:t>
      </w:r>
      <w:r>
        <w:t xml:space="preserve">«Сумма» по всем строкам раздела «Изменить на реквизиты».</w:t>
      </w:r>
      <w:r/>
    </w:p>
    <w:p>
      <w:pPr>
        <w:pStyle w:val="994"/>
      </w:pPr>
      <w:r>
        <w:t xml:space="preserve">ЭФ документа «Уведомление об уточнении вида и принадлежности платежа (расходы)», закладки «Документ», вкладки «Платежные документы (2)»</w:t>
      </w:r>
      <w:r>
        <w:t xml:space="preserve"> представлена на рисунке</w:t>
      </w:r>
      <w:r>
        <w:t xml:space="preserve"> </w:t>
      </w:r>
      <w:r>
        <w:fldChar w:fldCharType="begin"/>
      </w:r>
      <w:r>
        <w:instrText xml:space="preserve"> REF _Ref205267673 \h  \* MERGEFORMAT </w:instrText>
      </w:r>
      <w:r>
        <w:fldChar w:fldCharType="separate"/>
      </w:r>
      <w:r>
        <w:t xml:space="preserve">125</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558540"/>
                <wp:effectExtent l="0" t="0" r="0" b="0"/>
                <wp:docPr id="20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91"/>
                        <a:stretch/>
                      </pic:blipFill>
                      <pic:spPr bwMode="auto">
                        <a:xfrm>
                          <a:off x="0" y="0"/>
                          <a:ext cx="6126480" cy="35585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1" o:spid="_x0000_s201" type="#_x0000_t75" style="mso-wrap-distance-left:0.0pt;mso-wrap-distance-top:0.0pt;mso-wrap-distance-right:0.0pt;mso-wrap-distance-bottom:0.0pt;width:482.4pt;height:280.2pt;" stroked="f">
                <v:path textboxrect="0,0,0,0"/>
                <v:imagedata r:id="rId191" o:title=""/>
              </v:shape>
            </w:pict>
          </mc:Fallback>
        </mc:AlternateContent>
      </w:r>
      <w:r/>
    </w:p>
    <w:p>
      <w:pPr>
        <w:pStyle w:val="983"/>
      </w:pPr>
      <w:r>
        <w:fldChar w:fldCharType="begin"/>
      </w:r>
      <w:r>
        <w:instrText xml:space="preserve"> SEQ Рисунок \* ARABIC </w:instrText>
      </w:r>
      <w:r>
        <w:fldChar w:fldCharType="separate"/>
      </w:r>
      <w:bookmarkStart w:id="1006" w:name="_Ref205267673"/>
      <w:r/>
      <w:bookmarkStart w:id="1007" w:name="_Toc88819510"/>
      <w:r>
        <w:t xml:space="preserve">125</w:t>
      </w:r>
      <w:bookmarkEnd w:id="1006"/>
      <w:r>
        <w:fldChar w:fldCharType="end"/>
      </w:r>
      <w:r>
        <w:t xml:space="preserve">. ЭФ документа «</w:t>
      </w:r>
      <w:r>
        <w:t xml:space="preserve">Уведомление об уточнении вида и принадлежности платежа</w:t>
      </w:r>
      <w:r>
        <w:t xml:space="preserve"> </w:t>
      </w:r>
      <w:r>
        <w:t xml:space="preserve">(расходы)</w:t>
      </w:r>
      <w:r>
        <w:t xml:space="preserve">», закладки «</w:t>
      </w:r>
      <w:r>
        <w:t xml:space="preserve">Документ</w:t>
      </w:r>
      <w:r>
        <w:t xml:space="preserve">», вкладки «</w:t>
      </w:r>
      <w:r>
        <w:t xml:space="preserve">Платежные документы (2)»</w:t>
      </w:r>
      <w:bookmarkEnd w:id="1007"/>
      <w:r/>
      <w:r/>
    </w:p>
    <w:p>
      <w:pPr>
        <w:pStyle w:val="994"/>
      </w:pPr>
      <w:r>
        <w:t xml:space="preserve">Перечень полей </w:t>
      </w:r>
      <w:r>
        <w:t xml:space="preserve">документа «Уведомление об уточнении вида и принадлежности платежа (расходы)», закладки «Документ», вкладки «Платежные документы (2)»</w:t>
      </w:r>
      <w:r>
        <w:t xml:space="preserve"> приведен в </w:t>
      </w:r>
      <w:r>
        <w:t xml:space="preserve">таблице</w:t>
      </w:r>
      <w:r>
        <w:t xml:space="preserve"> </w:t>
      </w:r>
      <w:r>
        <w:fldChar w:fldCharType="begin"/>
      </w:r>
      <w:r>
        <w:instrText xml:space="preserve"> REF _Ref373686695 \h </w:instrText>
      </w:r>
      <w:r>
        <w:fldChar w:fldCharType="separate"/>
      </w:r>
      <w:r>
        <w:t xml:space="preserve">69</w:t>
      </w:r>
      <w:r>
        <w:fldChar w:fldCharType="end"/>
      </w:r>
      <w:r>
        <w:t xml:space="preserve">.</w:t>
      </w:r>
      <w:r/>
    </w:p>
    <w:p>
      <w:pPr>
        <w:pStyle w:val="993"/>
      </w:pPr>
      <w:r>
        <w:fldChar w:fldCharType="begin"/>
      </w:r>
      <w:r>
        <w:instrText xml:space="preserve"> SEQ Таблица \* ARABIC </w:instrText>
      </w:r>
      <w:r>
        <w:fldChar w:fldCharType="separate"/>
      </w:r>
      <w:bookmarkStart w:id="1008" w:name="_Ref373686695"/>
      <w:r/>
      <w:bookmarkStart w:id="1009" w:name="_Toc88819255"/>
      <w:r>
        <w:t xml:space="preserve">69</w:t>
      </w:r>
      <w:bookmarkEnd w:id="1008"/>
      <w:r>
        <w:fldChar w:fldCharType="end"/>
      </w:r>
      <w:r>
        <w:t xml:space="preserve">. Описание полей документа </w:t>
      </w:r>
      <w:r>
        <w:t xml:space="preserve">«Уведомление об уточнении вида и принадлежности платежа</w:t>
      </w:r>
      <w:r>
        <w:t xml:space="preserve">», закладки «</w:t>
      </w:r>
      <w:r>
        <w:t xml:space="preserve">Д</w:t>
      </w:r>
      <w:r>
        <w:t xml:space="preserve">о</w:t>
      </w:r>
      <w:r>
        <w:t xml:space="preserve">кумент</w:t>
      </w:r>
      <w:r>
        <w:t xml:space="preserve">», в</w:t>
      </w:r>
      <w:r>
        <w:t xml:space="preserve">кладки «</w:t>
      </w:r>
      <w:r>
        <w:t xml:space="preserve">Платежные документы (2)»</w:t>
      </w:r>
      <w:bookmarkEnd w:id="1009"/>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37"/>
        <w:gridCol w:w="7415"/>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198"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02"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w:t>
            </w:r>
            <w:r>
              <w:t xml:space="preserve">руппа полей «</w:t>
            </w:r>
            <w:r>
              <w:t xml:space="preserve">Реквизиты платежного документа</w:t>
            </w:r>
            <w:r>
              <w:t xml:space="preserve">»</w:t>
            </w:r>
            <w:r/>
          </w:p>
        </w:tc>
      </w:tr>
      <w:tr>
        <w:trPr/>
        <w:tc>
          <w:tcPr>
            <w:shd w:val="clear" w:fill="auto" w:color="auto"/>
            <w:tcW w:w="1198" w:type="pct"/>
            <w:textDirection w:val="lrTb"/>
            <w:noWrap w:val="false"/>
          </w:tcPr>
          <w:p>
            <w:pPr>
              <w:pStyle w:val="1005"/>
              <w:ind w:left="57" w:right="57"/>
            </w:pPr>
            <w:r>
              <w:t xml:space="preserve">Номер п/п</w:t>
            </w:r>
            <w:r/>
          </w:p>
        </w:tc>
        <w:tc>
          <w:tcPr>
            <w:shd w:val="clear" w:fill="auto" w:color="auto"/>
            <w:tcW w:w="3802" w:type="pct"/>
            <w:textDirection w:val="lrTb"/>
            <w:noWrap w:val="false"/>
          </w:tcPr>
          <w:p>
            <w:pPr>
              <w:pStyle w:val="1005"/>
              <w:ind w:left="57" w:right="57"/>
            </w:pPr>
            <w:r>
              <w:t xml:space="preserve">Автонумерация строк с «1».</w:t>
            </w:r>
            <w:r/>
          </w:p>
        </w:tc>
      </w:tr>
      <w:tr>
        <w:trPr/>
        <w:tc>
          <w:tcPr>
            <w:shd w:val="clear" w:fill="auto" w:color="auto"/>
            <w:tcW w:w="1198" w:type="pct"/>
            <w:textDirection w:val="lrTb"/>
            <w:noWrap w:val="false"/>
          </w:tcPr>
          <w:p>
            <w:pPr>
              <w:pStyle w:val="1005"/>
              <w:ind w:left="57" w:right="57"/>
            </w:pPr>
            <w:r>
              <w:t xml:space="preserve">Наименование</w:t>
            </w:r>
            <w:r/>
          </w:p>
        </w:tc>
        <w:tc>
          <w:tcPr>
            <w:shd w:val="clear" w:fill="auto" w:color="auto"/>
            <w:tcW w:w="3802" w:type="pct"/>
            <w:textDirection w:val="lrTb"/>
            <w:noWrap w:val="false"/>
          </w:tcPr>
          <w:p>
            <w:pPr>
              <w:pStyle w:val="1005"/>
              <w:ind w:left="57" w:right="57"/>
            </w:pPr>
            <w:r>
              <w:t xml:space="preserve">Наименование документа.</w:t>
            </w:r>
            <w:r/>
          </w:p>
          <w:p>
            <w:pPr>
              <w:pStyle w:val="1005"/>
              <w:ind w:left="57" w:right="57"/>
            </w:pPr>
            <w:r>
              <w:t xml:space="preserve">По умолчанию – пустое значение.</w:t>
            </w:r>
            <w:r>
              <w:t xml:space="preserve"> </w:t>
            </w:r>
            <w:r>
              <w:t xml:space="preserve">Выбирается из списка:</w:t>
            </w:r>
            <w:r/>
          </w:p>
          <w:p>
            <w:pPr>
              <w:pStyle w:val="1007"/>
            </w:pPr>
            <w:r>
              <w:t xml:space="preserve">«</w:t>
            </w:r>
            <w:r>
              <w:t xml:space="preserve">Платежное поручение</w:t>
            </w:r>
            <w:r>
              <w:t xml:space="preserve">»</w:t>
            </w:r>
            <w:r>
              <w:t xml:space="preserve">;</w:t>
            </w:r>
            <w:r/>
          </w:p>
          <w:p>
            <w:pPr>
              <w:pStyle w:val="1007"/>
            </w:pPr>
            <w:r>
              <w:t xml:space="preserve">«</w:t>
            </w:r>
            <w:r>
              <w:t xml:space="preserve">Заявка на получение наличных денег</w:t>
            </w:r>
            <w:r>
              <w:t xml:space="preserve">»</w:t>
            </w:r>
            <w:r>
              <w:t xml:space="preserve">;</w:t>
            </w:r>
            <w:r/>
          </w:p>
          <w:p>
            <w:pPr>
              <w:pStyle w:val="1007"/>
            </w:pPr>
            <w:r>
              <w:t xml:space="preserve">«</w:t>
            </w:r>
            <w:r>
              <w:t xml:space="preserve">Заявка на получение денежных средств, перечисляемых на ка</w:t>
            </w:r>
            <w:r>
              <w:t xml:space="preserve">р</w:t>
            </w:r>
            <w:r>
              <w:t xml:space="preserve">ту</w:t>
            </w:r>
            <w:r>
              <w:t xml:space="preserve">»</w:t>
            </w:r>
            <w:r>
              <w:t xml:space="preserve">;</w:t>
            </w:r>
            <w:r/>
          </w:p>
          <w:p>
            <w:pPr>
              <w:pStyle w:val="1007"/>
            </w:pPr>
            <w:r>
              <w:t xml:space="preserve">«</w:t>
            </w:r>
            <w:r>
              <w:t xml:space="preserve">Заявка на кассовый расход</w:t>
            </w:r>
            <w:r>
              <w:t xml:space="preserve">»</w:t>
            </w:r>
            <w:r>
              <w:t xml:space="preserve">;</w:t>
            </w:r>
            <w:r/>
          </w:p>
          <w:p>
            <w:pPr>
              <w:pStyle w:val="1007"/>
            </w:pPr>
            <w:r>
              <w:t xml:space="preserve">«</w:t>
            </w:r>
            <w:r>
              <w:t xml:space="preserve">Сводная заявка на кассовый расход (для уплаты налогов)</w:t>
            </w:r>
            <w:r>
              <w:t xml:space="preserve">»</w:t>
            </w:r>
            <w:r>
              <w:t xml:space="preserve">;</w:t>
            </w:r>
            <w:r/>
          </w:p>
          <w:p>
            <w:pPr>
              <w:pStyle w:val="1007"/>
            </w:pPr>
            <w:r>
              <w:t xml:space="preserve">«</w:t>
            </w:r>
            <w:r>
              <w:t xml:space="preserve">Уведомление об уточнении вида и принадлежности платежа</w:t>
            </w:r>
            <w:r>
              <w:t xml:space="preserve">»</w:t>
            </w:r>
            <w:r>
              <w:t xml:space="preserve">;</w:t>
            </w:r>
            <w:r/>
          </w:p>
          <w:p>
            <w:pPr>
              <w:pStyle w:val="1007"/>
            </w:pPr>
            <w:r>
              <w:t xml:space="preserve">«</w:t>
            </w:r>
            <w:r>
              <w:t xml:space="preserve">Заявка на возврат</w:t>
            </w:r>
            <w:r>
              <w:t xml:space="preserve">»</w:t>
            </w:r>
            <w:r>
              <w:t xml:space="preserve">;</w:t>
            </w:r>
            <w:r/>
          </w:p>
          <w:p>
            <w:pPr>
              <w:pStyle w:val="1007"/>
            </w:pPr>
            <w:r>
              <w:t xml:space="preserve">«</w:t>
            </w:r>
            <w:r>
              <w:t xml:space="preserve">Акт приемки</w:t>
            </w:r>
            <w:r>
              <w:t xml:space="preserve">-</w:t>
            </w:r>
            <w:r>
              <w:t xml:space="preserve">передачи</w:t>
            </w:r>
            <w:r>
              <w:t xml:space="preserve">»</w:t>
            </w:r>
            <w:r>
              <w:t xml:space="preserve">;</w:t>
            </w:r>
            <w:r/>
          </w:p>
          <w:p>
            <w:pPr>
              <w:pStyle w:val="1007"/>
            </w:pPr>
            <w:r>
              <w:t xml:space="preserve">«</w:t>
            </w:r>
            <w:r>
              <w:t xml:space="preserve">Бухгалтерская справка ф. 0504833</w:t>
            </w:r>
            <w:r>
              <w:t xml:space="preserve">»</w:t>
            </w:r>
            <w:r>
              <w:t xml:space="preserve">; </w:t>
            </w:r>
            <w:r/>
          </w:p>
          <w:p>
            <w:pPr>
              <w:pStyle w:val="1007"/>
            </w:pPr>
            <w:r>
              <w:t xml:space="preserve">«</w:t>
            </w:r>
            <w:r>
              <w:t xml:space="preserve">Справка о</w:t>
            </w:r>
            <w:r>
              <w:t xml:space="preserve">ргана Федерального казначейства</w:t>
            </w:r>
            <w:r>
              <w:t xml:space="preserve">»</w:t>
            </w:r>
            <w:r>
              <w:t xml:space="preserve">;</w:t>
            </w:r>
            <w:r/>
          </w:p>
          <w:p>
            <w:pPr>
              <w:pStyle w:val="1007"/>
            </w:pPr>
            <w:r>
              <w:t xml:space="preserve">«</w:t>
            </w:r>
            <w:r>
              <w:t xml:space="preserve">Заявление на проведение операций с иностранной валютой</w:t>
            </w:r>
            <w:r>
              <w:t xml:space="preserve">»</w:t>
            </w:r>
            <w:r>
              <w:t xml:space="preserve">;</w:t>
            </w:r>
            <w:r/>
          </w:p>
          <w:p>
            <w:pPr>
              <w:pStyle w:val="1007"/>
            </w:pPr>
            <w:r>
              <w:t xml:space="preserve">«</w:t>
            </w:r>
            <w:r>
              <w:t xml:space="preserve">Извещение о п</w:t>
            </w:r>
            <w:r>
              <w:t xml:space="preserve">оступлении в иностранной валюте</w:t>
            </w:r>
            <w:r>
              <w:t xml:space="preserve">»</w:t>
            </w:r>
            <w:r>
              <w:t xml:space="preserve">;</w:t>
            </w:r>
            <w:r/>
          </w:p>
          <w:p>
            <w:pPr>
              <w:pStyle w:val="1007"/>
            </w:pPr>
            <w:r>
              <w:t xml:space="preserve">«</w:t>
            </w:r>
            <w:r>
              <w:t xml:space="preserve">Распоряжение о перечислении денежных средств на банков</w:t>
            </w:r>
            <w:r>
              <w:t xml:space="preserve">ские карты «Мир» физических лиц»;</w:t>
            </w:r>
            <w:r/>
          </w:p>
          <w:p>
            <w:pPr>
              <w:pStyle w:val="1007"/>
            </w:pPr>
            <w:r>
              <w:t xml:space="preserve">«Поручение о перечислении на счет».</w:t>
            </w:r>
            <w:r/>
          </w:p>
        </w:tc>
      </w:tr>
      <w:tr>
        <w:trPr/>
        <w:tc>
          <w:tcPr>
            <w:shd w:val="clear" w:fill="auto" w:color="auto"/>
            <w:tcW w:w="1198" w:type="pct"/>
            <w:textDirection w:val="lrTb"/>
            <w:noWrap w:val="false"/>
          </w:tcPr>
          <w:p>
            <w:pPr>
              <w:pStyle w:val="1005"/>
              <w:ind w:left="57" w:right="57"/>
            </w:pPr>
            <w:r>
              <w:t xml:space="preserve">Номер док</w:t>
            </w:r>
            <w:r>
              <w:t xml:space="preserve">у</w:t>
            </w:r>
            <w:r>
              <w:t xml:space="preserve">мента</w:t>
            </w:r>
            <w:r/>
          </w:p>
        </w:tc>
        <w:tc>
          <w:tcPr>
            <w:shd w:val="clear" w:fill="auto" w:color="auto"/>
            <w:tcW w:w="3802" w:type="pct"/>
            <w:textDirection w:val="lrTb"/>
            <w:noWrap w:val="false"/>
          </w:tcPr>
          <w:p>
            <w:pPr>
              <w:pStyle w:val="1005"/>
              <w:ind w:left="57" w:right="57"/>
            </w:pPr>
            <w:r>
              <w:t xml:space="preserve">Значение подтягивается автоматически из родительского док</w:t>
            </w:r>
            <w:r>
              <w:t xml:space="preserve">у</w:t>
            </w:r>
            <w:r>
              <w:t xml:space="preserve">мента из поля «Номер» группы полей «Платежный документ» Запроса на выяснение пл</w:t>
            </w:r>
            <w:r>
              <w:t xml:space="preserve">а</w:t>
            </w:r>
            <w:r>
              <w:t xml:space="preserve">тежа из поля «Номер платежного документа» Заявки на касс</w:t>
            </w:r>
            <w:r>
              <w:t xml:space="preserve">о</w:t>
            </w:r>
            <w:r>
              <w:t xml:space="preserve">вый расход.</w:t>
            </w:r>
            <w:r/>
          </w:p>
          <w:p>
            <w:pPr>
              <w:pStyle w:val="1005"/>
              <w:ind w:left="57" w:right="57"/>
            </w:pPr>
            <w:r>
              <w:t xml:space="preserve">Значение</w:t>
            </w:r>
            <w:r>
              <w:t xml:space="preserve"> вводится в</w:t>
            </w:r>
            <w:r>
              <w:t xml:space="preserve">ручную</w:t>
            </w:r>
            <w:r>
              <w:t xml:space="preserve"> (до 20 символов)</w:t>
            </w:r>
            <w:r>
              <w:t xml:space="preserve">.</w:t>
            </w:r>
            <w:r/>
          </w:p>
        </w:tc>
      </w:tr>
      <w:tr>
        <w:trPr/>
        <w:tc>
          <w:tcPr>
            <w:shd w:val="clear" w:fill="auto" w:color="auto"/>
            <w:tcW w:w="1198" w:type="pct"/>
            <w:textDirection w:val="lrTb"/>
            <w:noWrap w:val="false"/>
          </w:tcPr>
          <w:p>
            <w:pPr>
              <w:pStyle w:val="1005"/>
              <w:ind w:left="57" w:right="57"/>
            </w:pPr>
            <w:r>
              <w:t xml:space="preserve">Дата документа</w:t>
            </w:r>
            <w:r/>
          </w:p>
        </w:tc>
        <w:tc>
          <w:tcPr>
            <w:shd w:val="clear" w:fill="auto" w:color="auto"/>
            <w:tcW w:w="3802" w:type="pct"/>
            <w:textDirection w:val="lrTb"/>
            <w:noWrap w:val="false"/>
          </w:tcPr>
          <w:p>
            <w:pPr>
              <w:pStyle w:val="1005"/>
              <w:ind w:left="57" w:right="57"/>
            </w:pPr>
            <w:r>
              <w:t xml:space="preserve">Значение подтягивается автоматически из родительского документа из поля «Дата» группы полей «Платежный документ» Запроса на выясн</w:t>
            </w:r>
            <w:r>
              <w:t xml:space="preserve">е</w:t>
            </w:r>
            <w:r>
              <w:t xml:space="preserve">ние платежа из поля «Дата платежного документа» Заявки на кассовый ра</w:t>
            </w:r>
            <w:r>
              <w:t xml:space="preserve">с</w:t>
            </w:r>
            <w:r>
              <w:t xml:space="preserve">ход.</w:t>
            </w:r>
            <w:r/>
          </w:p>
          <w:p>
            <w:pPr>
              <w:pStyle w:val="1005"/>
              <w:ind w:left="57" w:right="57"/>
            </w:pPr>
            <w:r>
              <w:t xml:space="preserve">Значение вводится в</w:t>
            </w:r>
            <w:r>
              <w:t xml:space="preserve">ручную</w:t>
            </w:r>
            <w:r>
              <w:t xml:space="preserve">.</w:t>
            </w:r>
            <w:r/>
          </w:p>
        </w:tc>
      </w:tr>
      <w:tr>
        <w:trPr/>
        <w:tc>
          <w:tcPr>
            <w:shd w:val="clear" w:fill="auto" w:color="auto"/>
            <w:tcW w:w="1198" w:type="pct"/>
            <w:textDirection w:val="lrTb"/>
            <w:noWrap w:val="false"/>
          </w:tcPr>
          <w:p>
            <w:pPr>
              <w:pStyle w:val="1005"/>
              <w:ind w:left="57" w:right="57"/>
            </w:pPr>
            <w:r>
              <w:t xml:space="preserve">Наименование получ</w:t>
            </w:r>
            <w:r>
              <w:t xml:space="preserve">а</w:t>
            </w:r>
            <w:r>
              <w:t xml:space="preserve">теля</w:t>
            </w:r>
            <w:r/>
          </w:p>
        </w:tc>
        <w:tc>
          <w:tcPr>
            <w:shd w:val="clear" w:fill="auto" w:color="auto"/>
            <w:tcW w:w="3802" w:type="pct"/>
            <w:textDirection w:val="lrTb"/>
            <w:noWrap w:val="false"/>
          </w:tcPr>
          <w:p>
            <w:pPr>
              <w:pStyle w:val="1005"/>
              <w:ind w:left="57" w:right="57"/>
            </w:pPr>
            <w:r>
              <w:t xml:space="preserve">Значение вводится вручную</w:t>
            </w:r>
            <w:r>
              <w:t xml:space="preserve"> (до 500 символов)</w:t>
            </w:r>
            <w:r>
              <w:t xml:space="preserve">.</w:t>
            </w:r>
            <w:r/>
          </w:p>
          <w:p>
            <w:pPr>
              <w:pStyle w:val="1005"/>
              <w:ind w:left="57" w:right="57"/>
            </w:pPr>
            <w:r>
              <w:t xml:space="preserve">Из справочников</w:t>
            </w:r>
            <w:r>
              <w:t xml:space="preserve"> СРРПБС и СР</w:t>
            </w:r>
            <w:r>
              <w:t xml:space="preserve">.</w:t>
            </w:r>
            <w:r/>
          </w:p>
          <w:p>
            <w:pPr>
              <w:pStyle w:val="1005"/>
              <w:ind w:left="57" w:right="57"/>
            </w:pPr>
            <w:r>
              <w:t xml:space="preserve">Правила доступности кнопок:</w:t>
            </w:r>
            <w:r/>
          </w:p>
          <w:p>
            <w:pPr>
              <w:pStyle w:val="1007"/>
            </w:pPr>
            <w:r>
              <w:t xml:space="preserve">выбор только из СРРПБС, если текущая системная дата &lt; значения настройки «Дата начала перехода на СР».</w:t>
            </w:r>
            <w:r/>
          </w:p>
          <w:p>
            <w:pPr>
              <w:pStyle w:val="1007"/>
            </w:pPr>
            <w:r>
              <w:t xml:space="preserve">выбор из СРРПБС и СР, если текущая системная дата =&gt; значения «Дата начала перехода на СР».</w:t>
            </w:r>
            <w:r/>
          </w:p>
          <w:p>
            <w:pPr>
              <w:pStyle w:val="1007"/>
            </w:pPr>
            <w:r>
              <w:t xml:space="preserve">выбор только из СР, если текущая системная дата =&gt; значения «Дата завершения перехода на СР».</w:t>
            </w:r>
            <w:r/>
          </w:p>
        </w:tc>
      </w:tr>
      <w:tr>
        <w:trPr/>
        <w:tc>
          <w:tcPr>
            <w:shd w:val="clear" w:fill="auto" w:color="auto"/>
            <w:tcW w:w="1198" w:type="pct"/>
            <w:textDirection w:val="lrTb"/>
            <w:noWrap w:val="false"/>
          </w:tcPr>
          <w:p>
            <w:pPr>
              <w:pStyle w:val="1005"/>
              <w:ind w:left="57" w:right="57"/>
            </w:pPr>
            <w:r>
              <w:t xml:space="preserve">ИНН получат</w:t>
            </w:r>
            <w:r>
              <w:t xml:space="preserve">е</w:t>
            </w:r>
            <w:r>
              <w:t xml:space="preserve">ля</w:t>
            </w:r>
            <w:r/>
          </w:p>
        </w:tc>
        <w:tc>
          <w:tcPr>
            <w:shd w:val="clear" w:fill="auto" w:color="auto"/>
            <w:tcW w:w="3802" w:type="pct"/>
            <w:textDirection w:val="lrTb"/>
            <w:noWrap w:val="false"/>
          </w:tcPr>
          <w:p>
            <w:pPr>
              <w:pStyle w:val="1005"/>
              <w:ind w:left="57" w:right="57"/>
            </w:pPr>
            <w:r>
              <w:t xml:space="preserve">Значение подтягивается при выборе родительского документа из поля </w:t>
            </w:r>
            <w:r>
              <w:t xml:space="preserve">«ИНН получателя» Запроса на выяснение платежа.</w:t>
            </w:r>
            <w:r/>
          </w:p>
          <w:p>
            <w:pPr>
              <w:pStyle w:val="1005"/>
              <w:ind w:left="57" w:right="57"/>
            </w:pPr>
            <w:r>
              <w:t xml:space="preserve">Подтягивается автоматически при выборе значения в поле «Н</w:t>
            </w:r>
            <w:r>
              <w:t xml:space="preserve">а</w:t>
            </w:r>
            <w:r>
              <w:t xml:space="preserve">именование получателя» из справочника СРРПБС или из спр</w:t>
            </w:r>
            <w:r>
              <w:t xml:space="preserve">а</w:t>
            </w:r>
            <w:r>
              <w:t xml:space="preserve">вочника СР.</w:t>
            </w:r>
            <w:r/>
          </w:p>
          <w:p>
            <w:pPr>
              <w:pStyle w:val="1005"/>
              <w:ind w:left="57" w:right="57"/>
            </w:pPr>
            <w:r>
              <w:t xml:space="preserve">Значение вводится в</w:t>
            </w:r>
            <w:r>
              <w:t xml:space="preserve">ручную. </w:t>
            </w:r>
            <w:r/>
          </w:p>
        </w:tc>
      </w:tr>
      <w:tr>
        <w:trPr/>
        <w:tc>
          <w:tcPr>
            <w:shd w:val="clear" w:fill="auto" w:color="auto"/>
            <w:tcW w:w="1198" w:type="pct"/>
            <w:textDirection w:val="lrTb"/>
            <w:noWrap w:val="false"/>
          </w:tcPr>
          <w:p>
            <w:pPr>
              <w:pStyle w:val="1005"/>
              <w:ind w:left="57" w:right="57"/>
            </w:pPr>
            <w:r>
              <w:t xml:space="preserve">КПП получат</w:t>
            </w:r>
            <w:r>
              <w:t xml:space="preserve">е</w:t>
            </w:r>
            <w:r>
              <w:t xml:space="preserve">ля</w:t>
            </w:r>
            <w:r/>
          </w:p>
        </w:tc>
        <w:tc>
          <w:tcPr>
            <w:shd w:val="clear" w:fill="auto" w:color="auto"/>
            <w:tcW w:w="3802" w:type="pct"/>
            <w:textDirection w:val="lrTb"/>
            <w:noWrap w:val="false"/>
          </w:tcPr>
          <w:p>
            <w:pPr>
              <w:pStyle w:val="1005"/>
              <w:ind w:left="57" w:right="57"/>
            </w:pPr>
            <w:r>
              <w:t xml:space="preserve">Значение подтягивается при выборе родительского документа из поля «КПП получателя» Запроса на выяснение платежа.</w:t>
            </w:r>
            <w:r/>
          </w:p>
          <w:p>
            <w:pPr>
              <w:pStyle w:val="1005"/>
              <w:ind w:left="57" w:right="57"/>
            </w:pPr>
            <w:r>
              <w:t xml:space="preserve">Подтягивается автоматически при выборе значения в поле «Н</w:t>
            </w:r>
            <w:r>
              <w:t xml:space="preserve">а</w:t>
            </w:r>
            <w:r>
              <w:t xml:space="preserve">именование получателя» из справочника СРРПБС или из спр</w:t>
            </w:r>
            <w:r>
              <w:t xml:space="preserve">а</w:t>
            </w:r>
            <w:r>
              <w:t xml:space="preserve">вочника СР.</w:t>
            </w:r>
            <w:r/>
          </w:p>
          <w:p>
            <w:pPr>
              <w:pStyle w:val="1005"/>
              <w:ind w:left="57" w:right="57"/>
            </w:pPr>
            <w:r>
              <w:t xml:space="preserve">Значение вводится в</w:t>
            </w:r>
            <w:r>
              <w:t xml:space="preserve">ручную. </w:t>
            </w:r>
            <w:r/>
          </w:p>
        </w:tc>
      </w:tr>
      <w:tr>
        <w:trPr/>
        <w:tc>
          <w:tcPr>
            <w:shd w:val="clear" w:fill="auto" w:color="auto"/>
            <w:tcW w:w="1198" w:type="pct"/>
            <w:textDirection w:val="lrTb"/>
            <w:noWrap w:val="false"/>
          </w:tcPr>
          <w:p>
            <w:pPr>
              <w:pStyle w:val="1005"/>
              <w:ind w:left="57" w:right="57"/>
            </w:pPr>
            <w:r>
              <w:t xml:space="preserve">Код по БК</w:t>
            </w:r>
            <w:r/>
          </w:p>
        </w:tc>
        <w:tc>
          <w:tcPr>
            <w:shd w:val="clear" w:fill="auto" w:color="auto"/>
            <w:tcW w:w="3802" w:type="pct"/>
            <w:textDirection w:val="lrTb"/>
            <w:noWrap w:val="false"/>
          </w:tcPr>
          <w:p>
            <w:pPr>
              <w:pStyle w:val="1005"/>
              <w:ind w:left="57" w:right="57"/>
            </w:pPr>
            <w:r>
              <w:t xml:space="preserve">Значение подтягивается автоматически из поля «КБК» </w:t>
            </w:r>
            <w:r>
              <w:t xml:space="preserve">«</w:t>
            </w:r>
            <w:r>
              <w:t xml:space="preserve">Запроса на выяснение платежа», из поля «Код по БК получателя» </w:t>
            </w:r>
            <w:r>
              <w:t xml:space="preserve">«</w:t>
            </w:r>
            <w:r>
              <w:t xml:space="preserve">Заявки на кассовый расход</w:t>
            </w:r>
            <w:r>
              <w:t xml:space="preserve">»</w:t>
            </w:r>
            <w:r>
              <w:t xml:space="preserve">.</w:t>
            </w:r>
            <w:r/>
          </w:p>
          <w:p>
            <w:pPr>
              <w:pStyle w:val="1005"/>
              <w:ind w:left="57" w:right="57"/>
            </w:pPr>
            <w:r>
              <w:t xml:space="preserve">Привязан справочник КБК.</w:t>
            </w:r>
            <w:r/>
          </w:p>
          <w:p>
            <w:pPr>
              <w:pStyle w:val="1005"/>
              <w:ind w:left="57" w:right="57"/>
            </w:pPr>
            <w:r>
              <w:t xml:space="preserve">На АРМ ФО с типом 20, 21, 10, 11, 30, 31, 32.</w:t>
            </w:r>
            <w:r/>
          </w:p>
        </w:tc>
      </w:tr>
      <w:tr>
        <w:trPr/>
        <w:tc>
          <w:tcPr>
            <w:shd w:val="clear" w:fill="auto" w:color="auto"/>
            <w:tcW w:w="1198" w:type="pct"/>
            <w:textDirection w:val="lrTb"/>
            <w:noWrap w:val="false"/>
          </w:tcPr>
          <w:p>
            <w:pPr>
              <w:pStyle w:val="1005"/>
              <w:ind w:left="57" w:right="57"/>
            </w:pPr>
            <w:r>
              <w:t xml:space="preserve">Код цели су</w:t>
            </w:r>
            <w:r>
              <w:t xml:space="preserve">б</w:t>
            </w:r>
            <w:r>
              <w:t xml:space="preserve">сидий / субве</w:t>
            </w:r>
            <w:r>
              <w:t xml:space="preserve">н</w:t>
            </w:r>
            <w:r>
              <w:t xml:space="preserve">ций</w:t>
            </w:r>
            <w:r/>
          </w:p>
        </w:tc>
        <w:tc>
          <w:tcPr>
            <w:shd w:val="clear" w:fill="auto" w:color="auto"/>
            <w:tcW w:w="3802" w:type="pct"/>
            <w:textDirection w:val="lrTb"/>
            <w:noWrap w:val="false"/>
          </w:tcPr>
          <w:p>
            <w:pPr>
              <w:pStyle w:val="1005"/>
              <w:ind w:left="57" w:right="57"/>
            </w:pPr>
            <w:r>
              <w:t xml:space="preserve">Значение заполняется из</w:t>
            </w:r>
            <w:r>
              <w:t xml:space="preserve"> родите</w:t>
            </w:r>
            <w:r>
              <w:t xml:space="preserve">льского документа, и</w:t>
            </w:r>
            <w:r>
              <w:t xml:space="preserve">наче</w:t>
            </w:r>
            <w:r>
              <w:t xml:space="preserve"> </w:t>
            </w:r>
            <w:r>
              <w:t xml:space="preserve">–</w:t>
            </w:r>
            <w:r>
              <w:t xml:space="preserve"> вручную.</w:t>
            </w:r>
            <w:r/>
          </w:p>
          <w:p>
            <w:pPr>
              <w:pStyle w:val="1005"/>
              <w:ind w:left="57" w:right="57"/>
            </w:pPr>
            <w:r>
              <w:t xml:space="preserve">Привязан справочник Кодов целей субсидий/субвенций.</w:t>
            </w:r>
            <w:r/>
          </w:p>
        </w:tc>
      </w:tr>
      <w:tr>
        <w:trPr/>
        <w:tc>
          <w:tcPr>
            <w:shd w:val="clear" w:fill="auto" w:color="auto"/>
            <w:tcW w:w="1198" w:type="pct"/>
            <w:textDirection w:val="lrTb"/>
            <w:noWrap w:val="false"/>
          </w:tcPr>
          <w:p>
            <w:pPr>
              <w:pStyle w:val="1005"/>
              <w:ind w:left="57" w:right="57"/>
            </w:pPr>
            <w:r>
              <w:t xml:space="preserve">Код по ОКТМО</w:t>
            </w:r>
            <w:r/>
          </w:p>
        </w:tc>
        <w:tc>
          <w:tcPr>
            <w:shd w:val="clear" w:fill="auto" w:color="auto"/>
            <w:tcW w:w="3802" w:type="pct"/>
            <w:textDirection w:val="lrTb"/>
            <w:noWrap w:val="false"/>
          </w:tcPr>
          <w:p>
            <w:pPr>
              <w:pStyle w:val="1005"/>
              <w:ind w:left="57" w:right="57"/>
            </w:pPr>
            <w:r>
              <w:t xml:space="preserve">Значение вводится вручную или из справочника ОКТМО (ОКАТО).</w:t>
            </w:r>
            <w:r>
              <w:t xml:space="preserve"> </w:t>
            </w:r>
            <w:r>
              <w:t xml:space="preserve">Для в</w:t>
            </w:r>
            <w:r>
              <w:t xml:space="preserve">ы</w:t>
            </w:r>
            <w:r>
              <w:t xml:space="preserve">бора предлагаются все записи справочника, в период действия которых п</w:t>
            </w:r>
            <w:r>
              <w:t xml:space="preserve">о</w:t>
            </w:r>
            <w:r>
              <w:t xml:space="preserve">падает дата, указанная в поле DocDate.</w:t>
            </w:r>
            <w:r/>
          </w:p>
        </w:tc>
      </w:tr>
      <w:tr>
        <w:trPr/>
        <w:tc>
          <w:tcPr>
            <w:shd w:val="clear" w:fill="auto" w:color="auto"/>
            <w:tcW w:w="1198" w:type="pct"/>
            <w:textDirection w:val="lrTb"/>
            <w:noWrap w:val="false"/>
          </w:tcPr>
          <w:p>
            <w:pPr>
              <w:pStyle w:val="1005"/>
              <w:ind w:left="57" w:right="57"/>
            </w:pPr>
            <w:r>
              <w:t xml:space="preserve">Сумма в рублях</w:t>
            </w:r>
            <w:r/>
          </w:p>
        </w:tc>
        <w:tc>
          <w:tcPr>
            <w:shd w:val="clear" w:fill="auto" w:color="auto"/>
            <w:tcW w:w="3802" w:type="pct"/>
            <w:textDirection w:val="lrTb"/>
            <w:noWrap w:val="false"/>
          </w:tcPr>
          <w:p>
            <w:pPr>
              <w:pStyle w:val="1005"/>
              <w:ind w:left="57" w:right="57"/>
            </w:pPr>
            <w:r>
              <w:t xml:space="preserve">Значение подтягивается автоматически из поля «Сумма» Запроса на выясн</w:t>
            </w:r>
            <w:r>
              <w:t xml:space="preserve">е</w:t>
            </w:r>
            <w:r>
              <w:t xml:space="preserve">ние платежа или из поля «Сумма в руб</w:t>
            </w:r>
            <w:r>
              <w:t xml:space="preserve">лях» Заявки на кассовый расход.</w:t>
            </w:r>
            <w:r/>
          </w:p>
        </w:tc>
      </w:tr>
      <w:tr>
        <w:trPr/>
        <w:tc>
          <w:tcPr>
            <w:shd w:val="clear" w:fill="auto" w:color="auto"/>
            <w:tcW w:w="1198" w:type="pct"/>
            <w:textDirection w:val="lrTb"/>
            <w:noWrap w:val="false"/>
          </w:tcPr>
          <w:p>
            <w:pPr>
              <w:pStyle w:val="1005"/>
              <w:ind w:left="57" w:right="57"/>
            </w:pPr>
            <w:r>
              <w:t xml:space="preserve">Примечание</w:t>
            </w:r>
            <w:r/>
          </w:p>
        </w:tc>
        <w:tc>
          <w:tcPr>
            <w:shd w:val="clear" w:fill="auto" w:color="auto"/>
            <w:tcW w:w="3802" w:type="pct"/>
            <w:textDirection w:val="lrTb"/>
            <w:noWrap w:val="false"/>
          </w:tcPr>
          <w:p>
            <w:pPr>
              <w:pStyle w:val="1005"/>
              <w:ind w:left="57" w:right="57"/>
            </w:pPr>
            <w:r>
              <w:t xml:space="preserve">Значение вводится в</w:t>
            </w:r>
            <w:r>
              <w:t xml:space="preserve">ручную.</w:t>
            </w:r>
            <w:r/>
          </w:p>
          <w:p>
            <w:pPr>
              <w:pStyle w:val="1005"/>
              <w:ind w:left="57" w:right="57"/>
            </w:pPr>
            <w:r>
              <w:t xml:space="preserve">При формировании доходного УВВиПП из родительского документа «Запрос на выяснение платежа»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r/>
          </w:p>
        </w:tc>
      </w:tr>
      <w:tr>
        <w:trPr/>
        <w:tc>
          <w:tcPr>
            <w:shd w:val="clear" w:fill="auto" w:color="auto"/>
            <w:tcW w:w="1198" w:type="pct"/>
            <w:textDirection w:val="lrTb"/>
            <w:noWrap w:val="false"/>
          </w:tcPr>
          <w:p>
            <w:pPr>
              <w:pStyle w:val="1005"/>
              <w:ind w:left="57" w:right="57"/>
            </w:pPr>
            <w:r>
              <w:t xml:space="preserve">Назначение платежа</w:t>
            </w:r>
            <w:r/>
          </w:p>
        </w:tc>
        <w:tc>
          <w:tcPr>
            <w:shd w:val="clear" w:fill="auto" w:color="auto"/>
            <w:tcW w:w="3802" w:type="pct"/>
            <w:textDirection w:val="lrTb"/>
            <w:noWrap w:val="false"/>
          </w:tcPr>
          <w:p>
            <w:pPr>
              <w:pStyle w:val="1005"/>
              <w:ind w:left="57" w:right="57"/>
            </w:pPr>
            <w:r>
              <w:t xml:space="preserve">Значение заполняется из</w:t>
            </w:r>
            <w:r>
              <w:t xml:space="preserve"> родите</w:t>
            </w:r>
            <w:r>
              <w:t xml:space="preserve">льского документа, и</w:t>
            </w:r>
            <w:r>
              <w:t xml:space="preserve">наче</w:t>
            </w:r>
            <w:r>
              <w:t xml:space="preserve"> </w:t>
            </w:r>
            <w:r>
              <w:t xml:space="preserve">–</w:t>
            </w:r>
            <w:r>
              <w:t xml:space="preserve"> вручную</w:t>
            </w:r>
            <w:r>
              <w:t xml:space="preserve"> (до 500 символов)</w:t>
            </w:r>
            <w:r>
              <w:t xml:space="preserve">.</w:t>
            </w:r>
            <w:r/>
          </w:p>
        </w:tc>
      </w:tr>
      <w:tr>
        <w:trPr/>
        <w:tc>
          <w:tcPr>
            <w:shd w:val="clear" w:fill="auto" w:color="auto"/>
            <w:tcW w:w="1198" w:type="pct"/>
            <w:textDirection w:val="lrTb"/>
            <w:noWrap w:val="false"/>
          </w:tcPr>
          <w:p>
            <w:pPr>
              <w:pStyle w:val="1005"/>
              <w:ind w:left="57" w:right="57"/>
            </w:pPr>
            <w:r>
              <w:t xml:space="preserve">Уточняемая сумма</w:t>
            </w:r>
            <w:r/>
          </w:p>
        </w:tc>
        <w:tc>
          <w:tcPr>
            <w:shd w:val="clear" w:fill="auto" w:color="auto"/>
            <w:tcW w:w="3802" w:type="pct"/>
            <w:textDirection w:val="lrTb"/>
            <w:noWrap w:val="false"/>
          </w:tcPr>
          <w:p>
            <w:pPr>
              <w:pStyle w:val="1005"/>
              <w:ind w:left="57" w:right="57"/>
            </w:pPr>
            <w:r>
              <w:t xml:space="preserve">Значение общей суммы рассчитывается автоматически</w:t>
            </w:r>
            <w:r>
              <w:t xml:space="preserve">,</w:t>
            </w:r>
            <w:r>
              <w:t xml:space="preserve"> суммируя поля ре</w:t>
            </w:r>
            <w:r>
              <w:t xml:space="preserve">к</w:t>
            </w:r>
            <w:r>
              <w:t xml:space="preserve">визитов</w:t>
            </w:r>
            <w:r>
              <w:t xml:space="preserve"> «Сумма» по всем строкам раздела «Реквизиты платежного докуме</w:t>
            </w:r>
            <w:r>
              <w:t xml:space="preserve">н</w:t>
            </w:r>
            <w:r>
              <w:t xml:space="preserve">та»</w:t>
            </w:r>
            <w:r>
              <w:t xml:space="preserve">.</w:t>
            </w:r>
            <w:r/>
          </w:p>
        </w:tc>
      </w:tr>
      <w:tr>
        <w:trPr/>
        <w:tc>
          <w:tcPr>
            <w:gridSpan w:val="2"/>
            <w:shd w:val="clear" w:fill="auto" w:color="auto"/>
            <w:tcW w:w="5000" w:type="pct"/>
            <w:textDirection w:val="lrTb"/>
            <w:noWrap w:val="false"/>
          </w:tcPr>
          <w:p>
            <w:pPr>
              <w:pStyle w:val="1005"/>
              <w:ind w:left="57" w:right="57"/>
            </w:pPr>
            <w:r>
              <w:t xml:space="preserve">Г</w:t>
            </w:r>
            <w:r>
              <w:t xml:space="preserve">руппа полей «</w:t>
            </w:r>
            <w:r>
              <w:t xml:space="preserve">Изменить на реквизиты</w:t>
            </w:r>
            <w:r>
              <w:t xml:space="preserve">»</w:t>
            </w:r>
            <w:r/>
          </w:p>
        </w:tc>
      </w:tr>
      <w:tr>
        <w:trPr/>
        <w:tc>
          <w:tcPr>
            <w:shd w:val="clear" w:fill="auto" w:color="auto"/>
            <w:tcW w:w="1198" w:type="pct"/>
            <w:textDirection w:val="lrTb"/>
            <w:noWrap w:val="false"/>
          </w:tcPr>
          <w:p>
            <w:pPr>
              <w:pStyle w:val="1005"/>
              <w:ind w:left="57" w:right="57"/>
            </w:pPr>
            <w:r>
              <w:t xml:space="preserve">Номер п/п </w:t>
            </w:r>
            <w:r/>
          </w:p>
        </w:tc>
        <w:tc>
          <w:tcPr>
            <w:shd w:val="clear" w:fill="auto" w:color="auto"/>
            <w:tcW w:w="3802" w:type="pct"/>
            <w:textDirection w:val="lrTb"/>
            <w:noWrap w:val="false"/>
          </w:tcPr>
          <w:p>
            <w:pPr>
              <w:pStyle w:val="1005"/>
              <w:ind w:left="57" w:right="57"/>
            </w:pPr>
            <w:r>
              <w:t xml:space="preserve">Автонумерация строк с «1».</w:t>
            </w:r>
            <w:r/>
          </w:p>
        </w:tc>
      </w:tr>
      <w:tr>
        <w:trPr/>
        <w:tc>
          <w:tcPr>
            <w:shd w:val="clear" w:fill="auto" w:color="auto"/>
            <w:tcW w:w="1198" w:type="pct"/>
            <w:textDirection w:val="lrTb"/>
            <w:noWrap w:val="false"/>
          </w:tcPr>
          <w:p>
            <w:pPr>
              <w:pStyle w:val="1005"/>
              <w:ind w:left="57" w:right="57"/>
            </w:pPr>
            <w:r>
              <w:t xml:space="preserve">Наименование получ</w:t>
            </w:r>
            <w:r>
              <w:t xml:space="preserve">а</w:t>
            </w:r>
            <w:r>
              <w:t xml:space="preserve">теля</w:t>
            </w:r>
            <w:r/>
          </w:p>
        </w:tc>
        <w:tc>
          <w:tcPr>
            <w:shd w:val="clear" w:fill="auto" w:color="auto"/>
            <w:tcW w:w="3802" w:type="pct"/>
            <w:textDirection w:val="lrTb"/>
            <w:noWrap w:val="false"/>
          </w:tcPr>
          <w:p>
            <w:pPr>
              <w:pStyle w:val="1005"/>
              <w:ind w:left="57" w:right="57"/>
            </w:pPr>
            <w:r>
              <w:t xml:space="preserve">Значение вводится вручную</w:t>
            </w:r>
            <w:r/>
          </w:p>
          <w:p>
            <w:pPr>
              <w:pStyle w:val="1005"/>
              <w:ind w:left="57" w:right="57"/>
            </w:pPr>
            <w:r>
              <w:t xml:space="preserve">Из справочник</w:t>
            </w:r>
            <w:r>
              <w:t xml:space="preserve">ов</w:t>
            </w:r>
            <w:r>
              <w:t xml:space="preserve"> СРРПБС и СР</w:t>
            </w:r>
            <w:r>
              <w:t xml:space="preserve">:</w:t>
            </w:r>
            <w:r/>
          </w:p>
          <w:p>
            <w:pPr>
              <w:pStyle w:val="1007"/>
            </w:pPr>
            <w:r>
              <w:t xml:space="preserve">если длина полного наименования &lt;</w:t>
            </w:r>
            <w:r>
              <w:t xml:space="preserve"> </w:t>
            </w:r>
            <w:r>
              <w:t xml:space="preserve">160 символов, то в документ подт</w:t>
            </w:r>
            <w:r>
              <w:t xml:space="preserve">я</w:t>
            </w:r>
            <w:r>
              <w:t xml:space="preserve">гивается полное наименование</w:t>
            </w:r>
            <w:r>
              <w:t xml:space="preserve">;</w:t>
            </w:r>
            <w:r/>
          </w:p>
          <w:p>
            <w:pPr>
              <w:pStyle w:val="1007"/>
            </w:pPr>
            <w:r>
              <w:t xml:space="preserve">если длина полного наименования &gt;</w:t>
            </w:r>
            <w:r>
              <w:t xml:space="preserve"> </w:t>
            </w:r>
            <w:r>
              <w:t xml:space="preserve">160 символов, то в документ подт</w:t>
            </w:r>
            <w:r>
              <w:t xml:space="preserve">я</w:t>
            </w:r>
            <w:r>
              <w:t xml:space="preserve">гивается краткое наименование</w:t>
            </w:r>
            <w:r>
              <w:t xml:space="preserve">.</w:t>
            </w:r>
            <w:r/>
          </w:p>
        </w:tc>
      </w:tr>
      <w:tr>
        <w:trPr/>
        <w:tc>
          <w:tcPr>
            <w:shd w:val="clear" w:fill="auto" w:color="auto"/>
            <w:tcW w:w="1198" w:type="pct"/>
            <w:textDirection w:val="lrTb"/>
            <w:noWrap w:val="false"/>
          </w:tcPr>
          <w:p>
            <w:pPr>
              <w:pStyle w:val="1005"/>
              <w:ind w:left="57" w:right="57"/>
            </w:pPr>
            <w:r>
              <w:t xml:space="preserve">ИНН получат</w:t>
            </w:r>
            <w:r>
              <w:t xml:space="preserve">е</w:t>
            </w:r>
            <w:r>
              <w:t xml:space="preserve">ля</w:t>
            </w:r>
            <w:r/>
          </w:p>
        </w:tc>
        <w:tc>
          <w:tcPr>
            <w:shd w:val="clear" w:fill="auto" w:color="auto"/>
            <w:tcW w:w="3802" w:type="pct"/>
            <w:textDirection w:val="lrTb"/>
            <w:noWrap w:val="false"/>
          </w:tcPr>
          <w:p>
            <w:pPr>
              <w:pStyle w:val="1005"/>
              <w:ind w:left="57" w:right="57"/>
            </w:pPr>
            <w:r>
              <w:t xml:space="preserve">Подтягивается автоматически при выборе значения в поле «Н</w:t>
            </w:r>
            <w:r>
              <w:t xml:space="preserve">а</w:t>
            </w:r>
            <w:r>
              <w:t xml:space="preserve">именование получателя» из справочника СРРПБС или из спр</w:t>
            </w:r>
            <w:r>
              <w:t xml:space="preserve">а</w:t>
            </w:r>
            <w:r>
              <w:t xml:space="preserve">вочника СР.</w:t>
            </w:r>
            <w:r/>
          </w:p>
          <w:p>
            <w:pPr>
              <w:pStyle w:val="1005"/>
              <w:ind w:left="57" w:right="57"/>
            </w:pPr>
            <w:r>
              <w:t xml:space="preserve">Значение вводится в</w:t>
            </w:r>
            <w:r>
              <w:t xml:space="preserve">ручную</w:t>
            </w:r>
            <w:r>
              <w:t xml:space="preserve">. </w:t>
            </w:r>
            <w:r/>
          </w:p>
          <w:p>
            <w:pPr>
              <w:pStyle w:val="1005"/>
              <w:ind w:left="57" w:right="57"/>
            </w:pPr>
            <w:r>
              <w:t xml:space="preserve">Значение заполняется и</w:t>
            </w:r>
            <w:r>
              <w:t xml:space="preserve">з родительского документа Запрос на выяснение пл</w:t>
            </w:r>
            <w:r>
              <w:t xml:space="preserve">а</w:t>
            </w:r>
            <w:r>
              <w:t xml:space="preserve">тежа из п</w:t>
            </w:r>
            <w:r>
              <w:t xml:space="preserve">о</w:t>
            </w:r>
            <w:r>
              <w:t xml:space="preserve">ля «ИНН получателя»</w:t>
            </w:r>
            <w:r>
              <w:t xml:space="preserve">.</w:t>
            </w:r>
            <w:r/>
          </w:p>
        </w:tc>
      </w:tr>
      <w:tr>
        <w:trPr/>
        <w:tc>
          <w:tcPr>
            <w:shd w:val="clear" w:fill="auto" w:color="auto"/>
            <w:tcW w:w="1198" w:type="pct"/>
            <w:textDirection w:val="lrTb"/>
            <w:noWrap w:val="false"/>
          </w:tcPr>
          <w:p>
            <w:pPr>
              <w:pStyle w:val="1005"/>
              <w:ind w:left="57" w:right="57"/>
            </w:pPr>
            <w:r>
              <w:t xml:space="preserve">КПП получат</w:t>
            </w:r>
            <w:r>
              <w:t xml:space="preserve">е</w:t>
            </w:r>
            <w:r>
              <w:t xml:space="preserve">ля </w:t>
            </w:r>
            <w:r/>
          </w:p>
        </w:tc>
        <w:tc>
          <w:tcPr>
            <w:shd w:val="clear" w:fill="auto" w:color="auto"/>
            <w:tcW w:w="3802" w:type="pct"/>
            <w:textDirection w:val="lrTb"/>
            <w:noWrap w:val="false"/>
          </w:tcPr>
          <w:p>
            <w:pPr>
              <w:pStyle w:val="1005"/>
              <w:ind w:left="57" w:right="57"/>
            </w:pPr>
            <w:r>
              <w:t xml:space="preserve">Подтягивается автоматически при выборе значения в поле «Н</w:t>
            </w:r>
            <w:r>
              <w:t xml:space="preserve">а</w:t>
            </w:r>
            <w:r>
              <w:t xml:space="preserve">именование получателя» из справочника СРРПБС или из спр</w:t>
            </w:r>
            <w:r>
              <w:t xml:space="preserve">а</w:t>
            </w:r>
            <w:r>
              <w:t xml:space="preserve">вочника СР.</w:t>
            </w:r>
            <w:r/>
          </w:p>
          <w:p>
            <w:pPr>
              <w:pStyle w:val="1005"/>
              <w:ind w:left="57" w:right="57"/>
            </w:pPr>
            <w:r>
              <w:t xml:space="preserve">Значение вводится в</w:t>
            </w:r>
            <w:r>
              <w:t xml:space="preserve">ручную</w:t>
            </w:r>
            <w:r>
              <w:t xml:space="preserve">. </w:t>
            </w:r>
            <w:r/>
          </w:p>
          <w:p>
            <w:pPr>
              <w:pStyle w:val="1005"/>
              <w:ind w:left="57" w:right="57"/>
            </w:pPr>
            <w:r>
              <w:t xml:space="preserve">Значение заполняется и</w:t>
            </w:r>
            <w:r>
              <w:t xml:space="preserve">з родительского документа Запрос на выяснение пл</w:t>
            </w:r>
            <w:r>
              <w:t xml:space="preserve">а</w:t>
            </w:r>
            <w:r>
              <w:t xml:space="preserve">тежа из поля «КПП получателя»</w:t>
            </w:r>
            <w:r>
              <w:t xml:space="preserve">.</w:t>
            </w:r>
            <w:r/>
          </w:p>
        </w:tc>
      </w:tr>
      <w:tr>
        <w:trPr/>
        <w:tc>
          <w:tcPr>
            <w:shd w:val="clear" w:fill="auto" w:color="auto"/>
            <w:tcW w:w="1198" w:type="pct"/>
            <w:textDirection w:val="lrTb"/>
            <w:noWrap w:val="false"/>
          </w:tcPr>
          <w:p>
            <w:pPr>
              <w:pStyle w:val="1005"/>
              <w:ind w:left="57" w:right="57"/>
            </w:pPr>
            <w:r>
              <w:t xml:space="preserve">Код по ОКТМО</w:t>
            </w:r>
            <w:r/>
          </w:p>
        </w:tc>
        <w:tc>
          <w:tcPr>
            <w:shd w:val="clear" w:fill="auto" w:color="auto"/>
            <w:tcW w:w="3802" w:type="pct"/>
            <w:textDirection w:val="lrTb"/>
            <w:noWrap w:val="false"/>
          </w:tcPr>
          <w:p>
            <w:pPr>
              <w:pStyle w:val="1005"/>
              <w:ind w:left="57" w:right="57"/>
            </w:pPr>
            <w:r>
              <w:t xml:space="preserve">Значение вводится в</w:t>
            </w:r>
            <w:r>
              <w:t xml:space="preserve">ручную</w:t>
            </w:r>
            <w:r>
              <w:t xml:space="preserve">. Привязан справочник ОКТМО (ОКАТО). Для выбора предлагаю</w:t>
            </w:r>
            <w:r>
              <w:t xml:space="preserve">т</w:t>
            </w:r>
            <w:r>
              <w:t xml:space="preserve">ся все записи справочника, в период действия которых попадает дата, ук</w:t>
            </w:r>
            <w:r>
              <w:t xml:space="preserve">а</w:t>
            </w:r>
            <w:r>
              <w:t xml:space="preserve">занная в поле DocDate.</w:t>
            </w:r>
            <w:r/>
          </w:p>
        </w:tc>
      </w:tr>
      <w:tr>
        <w:trPr/>
        <w:tc>
          <w:tcPr>
            <w:shd w:val="clear" w:fill="auto" w:color="auto"/>
            <w:tcW w:w="1198" w:type="pct"/>
            <w:textDirection w:val="lrTb"/>
            <w:noWrap w:val="false"/>
          </w:tcPr>
          <w:p>
            <w:pPr>
              <w:pStyle w:val="1005"/>
              <w:ind w:left="57" w:right="57"/>
            </w:pPr>
            <w:r>
              <w:t xml:space="preserve">Лицевой счет</w:t>
            </w:r>
            <w:r/>
          </w:p>
        </w:tc>
        <w:tc>
          <w:tcPr>
            <w:shd w:val="clear" w:fill="auto" w:color="auto"/>
            <w:tcW w:w="3802" w:type="pct"/>
            <w:textDirection w:val="lrTb"/>
            <w:noWrap w:val="false"/>
          </w:tcPr>
          <w:p>
            <w:pPr>
              <w:pStyle w:val="1005"/>
              <w:ind w:left="57" w:right="57"/>
            </w:pPr>
            <w:r>
              <w:t xml:space="preserve">Привязан справочник «Информация о ЛС».</w:t>
            </w:r>
            <w:r/>
          </w:p>
          <w:p>
            <w:pPr>
              <w:pStyle w:val="1005"/>
              <w:ind w:left="57" w:right="57"/>
            </w:pPr>
            <w:r>
              <w:t xml:space="preserve">Для АРМ ФО, выбирается из справочника «Информация о ЛС», отфильтр</w:t>
            </w:r>
            <w:r>
              <w:t xml:space="preserve">о</w:t>
            </w:r>
            <w:r>
              <w:t xml:space="preserve">ванного по «Типу лицевого счета» = 02.</w:t>
            </w:r>
            <w:r/>
          </w:p>
        </w:tc>
      </w:tr>
      <w:tr>
        <w:trPr/>
        <w:tc>
          <w:tcPr>
            <w:shd w:val="clear" w:fill="auto" w:color="auto"/>
            <w:tcW w:w="1198" w:type="pct"/>
            <w:textDirection w:val="lrTb"/>
            <w:noWrap w:val="false"/>
          </w:tcPr>
          <w:p>
            <w:pPr>
              <w:pStyle w:val="1005"/>
              <w:ind w:left="57" w:right="57"/>
            </w:pPr>
            <w:r>
              <w:t xml:space="preserve">Код по БК</w:t>
            </w:r>
            <w:r/>
          </w:p>
        </w:tc>
        <w:tc>
          <w:tcPr>
            <w:shd w:val="clear" w:fill="auto" w:color="auto"/>
            <w:tcW w:w="3802" w:type="pct"/>
            <w:textDirection w:val="lrTb"/>
            <w:noWrap w:val="false"/>
          </w:tcPr>
          <w:p>
            <w:pPr>
              <w:pStyle w:val="1005"/>
              <w:ind w:left="57" w:right="57"/>
            </w:pPr>
            <w:r>
              <w:t xml:space="preserve">Значение подтягивается автоматически из поля «КБК» Запроса на выяснение платежа», из поля «Код по БК получателя» Заявки на кассовый расход.</w:t>
            </w:r>
            <w:r/>
          </w:p>
          <w:p>
            <w:pPr>
              <w:pStyle w:val="1005"/>
              <w:ind w:left="57" w:right="57"/>
            </w:pPr>
            <w:r>
              <w:t xml:space="preserve">Привязан справочник КБК.</w:t>
            </w:r>
            <w:r/>
          </w:p>
          <w:p>
            <w:pPr>
              <w:pStyle w:val="1005"/>
              <w:ind w:left="57" w:right="57"/>
            </w:pPr>
            <w:r>
              <w:t xml:space="preserve">На АРМ ФО с типом 20, 21, 10, 11, 30, 31, 32.</w:t>
            </w:r>
            <w:r/>
          </w:p>
        </w:tc>
      </w:tr>
      <w:tr>
        <w:trPr/>
        <w:tc>
          <w:tcPr>
            <w:shd w:val="clear" w:fill="auto" w:color="auto"/>
            <w:tcW w:w="1198" w:type="pct"/>
            <w:textDirection w:val="lrTb"/>
            <w:noWrap w:val="false"/>
          </w:tcPr>
          <w:p>
            <w:pPr>
              <w:pStyle w:val="1005"/>
              <w:ind w:left="57" w:right="57"/>
            </w:pPr>
            <w:r>
              <w:t xml:space="preserve">Код цели су</w:t>
            </w:r>
            <w:r>
              <w:t xml:space="preserve">б</w:t>
            </w:r>
            <w:r>
              <w:t xml:space="preserve">сидий / субве</w:t>
            </w:r>
            <w:r>
              <w:t xml:space="preserve">н</w:t>
            </w:r>
            <w:r>
              <w:t xml:space="preserve">ций</w:t>
            </w:r>
            <w:r/>
          </w:p>
        </w:tc>
        <w:tc>
          <w:tcPr>
            <w:shd w:val="clear" w:fill="auto" w:color="auto"/>
            <w:tcW w:w="3802" w:type="pct"/>
            <w:textDirection w:val="lrTb"/>
            <w:noWrap w:val="false"/>
          </w:tcPr>
          <w:p>
            <w:pPr>
              <w:pStyle w:val="1005"/>
              <w:ind w:left="57" w:right="57"/>
            </w:pPr>
            <w:r>
              <w:t xml:space="preserve">Значение вводится в</w:t>
            </w:r>
            <w:r>
              <w:t xml:space="preserve">ручную</w:t>
            </w:r>
            <w:r>
              <w:t xml:space="preserve">. </w:t>
            </w:r>
            <w:r/>
          </w:p>
          <w:p>
            <w:pPr>
              <w:pStyle w:val="1005"/>
              <w:ind w:left="57" w:right="57"/>
            </w:pPr>
            <w:r>
              <w:t xml:space="preserve">Привязан справочник Целей субвенций/субсидий.</w:t>
            </w:r>
            <w:r/>
          </w:p>
        </w:tc>
      </w:tr>
      <w:tr>
        <w:trPr/>
        <w:tc>
          <w:tcPr>
            <w:shd w:val="clear" w:fill="auto" w:color="auto"/>
            <w:tcW w:w="1198" w:type="pct"/>
            <w:textDirection w:val="lrTb"/>
            <w:noWrap w:val="false"/>
          </w:tcPr>
          <w:p>
            <w:pPr>
              <w:pStyle w:val="1005"/>
              <w:ind w:left="57" w:right="57"/>
            </w:pPr>
            <w:r>
              <w:t xml:space="preserve">Сумма в рублях</w:t>
            </w:r>
            <w:r/>
          </w:p>
        </w:tc>
        <w:tc>
          <w:tcPr>
            <w:shd w:val="clear" w:fill="auto" w:color="auto"/>
            <w:tcW w:w="3802" w:type="pct"/>
            <w:textDirection w:val="lrTb"/>
            <w:noWrap w:val="false"/>
          </w:tcPr>
          <w:p>
            <w:pPr>
              <w:pStyle w:val="1005"/>
              <w:ind w:left="57" w:right="57"/>
            </w:pPr>
            <w:r>
              <w:t xml:space="preserve">Значение вводится в</w:t>
            </w:r>
            <w:r>
              <w:t xml:space="preserve">ручную</w:t>
            </w:r>
            <w:r>
              <w:t xml:space="preserve">.</w:t>
            </w:r>
            <w:r/>
          </w:p>
        </w:tc>
      </w:tr>
      <w:tr>
        <w:trPr/>
        <w:tc>
          <w:tcPr>
            <w:shd w:val="clear" w:fill="auto" w:color="auto"/>
            <w:tcW w:w="1198" w:type="pct"/>
            <w:textDirection w:val="lrTb"/>
            <w:noWrap w:val="false"/>
          </w:tcPr>
          <w:p>
            <w:pPr>
              <w:pStyle w:val="1005"/>
              <w:ind w:left="57" w:right="57"/>
            </w:pPr>
            <w:r>
              <w:t xml:space="preserve">Назначение платежа</w:t>
            </w:r>
            <w:r/>
          </w:p>
        </w:tc>
        <w:tc>
          <w:tcPr>
            <w:shd w:val="clear" w:fill="auto" w:color="auto"/>
            <w:tcW w:w="3802" w:type="pct"/>
            <w:textDirection w:val="lrTb"/>
            <w:noWrap w:val="false"/>
          </w:tcPr>
          <w:p>
            <w:pPr>
              <w:pStyle w:val="1005"/>
              <w:ind w:left="57" w:right="57"/>
            </w:pPr>
            <w:r>
              <w:t xml:space="preserve">Значение вводится в</w:t>
            </w:r>
            <w:r>
              <w:t xml:space="preserve">ручную</w:t>
            </w:r>
            <w:r>
              <w:t xml:space="preserve"> или из шаблона назначений платежа.</w:t>
            </w:r>
            <w:r/>
          </w:p>
        </w:tc>
      </w:tr>
      <w:tr>
        <w:trPr/>
        <w:tc>
          <w:tcPr>
            <w:shd w:val="clear" w:fill="auto" w:color="auto"/>
            <w:tcW w:w="1198" w:type="pct"/>
            <w:textDirection w:val="lrTb"/>
            <w:noWrap w:val="false"/>
          </w:tcPr>
          <w:p>
            <w:pPr>
              <w:pStyle w:val="1005"/>
              <w:ind w:left="57" w:right="57"/>
            </w:pPr>
            <w:r>
              <w:t xml:space="preserve">Вид средств</w:t>
            </w:r>
            <w:r/>
          </w:p>
        </w:tc>
        <w:tc>
          <w:tcPr>
            <w:shd w:val="clear" w:fill="auto" w:color="auto"/>
            <w:tcW w:w="3802" w:type="pct"/>
            <w:textDirection w:val="lrTb"/>
            <w:noWrap w:val="false"/>
          </w:tcPr>
          <w:p>
            <w:pPr>
              <w:pStyle w:val="1005"/>
              <w:ind w:left="57" w:right="57"/>
            </w:pPr>
            <w:r>
              <w:t xml:space="preserve">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14.</w:t>
            </w:r>
            <w:r/>
          </w:p>
        </w:tc>
      </w:tr>
      <w:tr>
        <w:trPr/>
        <w:tc>
          <w:tcPr>
            <w:shd w:val="clear" w:fill="auto" w:color="auto"/>
            <w:tcW w:w="1198" w:type="pct"/>
            <w:textDirection w:val="lrTb"/>
            <w:noWrap w:val="false"/>
          </w:tcPr>
          <w:p>
            <w:pPr>
              <w:pStyle w:val="1005"/>
              <w:ind w:left="57" w:right="57"/>
            </w:pPr>
            <w:r>
              <w:t xml:space="preserve">Уточненная сумма</w:t>
            </w:r>
            <w:r/>
          </w:p>
        </w:tc>
        <w:tc>
          <w:tcPr>
            <w:shd w:val="clear" w:fill="auto" w:color="auto"/>
            <w:tcW w:w="3802" w:type="pct"/>
            <w:textDirection w:val="lrTb"/>
            <w:noWrap w:val="false"/>
          </w:tcPr>
          <w:p>
            <w:pPr>
              <w:pStyle w:val="1005"/>
              <w:ind w:left="57" w:right="57"/>
            </w:pPr>
            <w:r>
              <w:t xml:space="preserve">Значение общей суммы рассчитывается автоматически</w:t>
            </w:r>
            <w:r>
              <w:t xml:space="preserve">,</w:t>
            </w:r>
            <w:r>
              <w:t xml:space="preserve"> суммируя поля ре</w:t>
            </w:r>
            <w:r>
              <w:t xml:space="preserve">к</w:t>
            </w:r>
            <w:r>
              <w:t xml:space="preserve">визитов</w:t>
            </w:r>
            <w:r>
              <w:t xml:space="preserve"> «Сумма» по всем строкам раздела «Изменить на реквизиты».</w:t>
            </w:r>
            <w:r/>
          </w:p>
        </w:tc>
      </w:tr>
    </w:tbl>
    <w:p>
      <w:pPr>
        <w:pStyle w:val="994"/>
      </w:pPr>
      <w:r>
        <w:t xml:space="preserve">Для добавления записи в блок «Реквизиты платежного док</w:t>
      </w:r>
      <w:r>
        <w:t xml:space="preserve">умента» (см.</w:t>
      </w:r>
      <w:r>
        <w:t xml:space="preserve"> </w:t>
      </w:r>
      <w:r>
        <w:t xml:space="preserve">рис.</w:t>
      </w:r>
      <w:r>
        <w:t xml:space="preserve"> </w:t>
      </w:r>
      <w:r>
        <w:fldChar w:fldCharType="begin"/>
      </w:r>
      <w:r>
        <w:instrText xml:space="preserve"> REF _Ref205267673 \h  \* MERGEFORMAT </w:instrText>
      </w:r>
      <w:r>
        <w:fldChar w:fldCharType="separate"/>
      </w:r>
      <w:r>
        <w:t xml:space="preserve">125</w:t>
      </w:r>
      <w:r>
        <w:fldChar w:fldCharType="end"/>
      </w:r>
      <w:r>
        <w:t xml:space="preserve">) следует нажать на кнопку </w:t>
      </w:r>
      <w:r>
        <mc:AlternateContent>
          <mc:Choice Requires="wpg">
            <w:drawing>
              <wp:inline xmlns:wp="http://schemas.openxmlformats.org/drawingml/2006/wordprocessingDrawing" distT="0" distB="0" distL="0" distR="0">
                <wp:extent cx="182880" cy="182880"/>
                <wp:effectExtent l="0" t="0" r="0" b="0"/>
                <wp:docPr id="20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rcRect l="0" t="-14536" r="0" b="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2" o:spid="_x0000_s202" type="#_x0000_t75" style="mso-wrap-distance-left:0.0pt;mso-wrap-distance-top:0.0pt;mso-wrap-distance-right:0.0pt;mso-wrap-distance-bottom:0.0pt;width:14.4pt;height:14.4pt;" stroked="f">
                <v:path textboxrect="0,0,0,0"/>
                <v:imagedata r:id="rId80" o:title=""/>
              </v:shape>
            </w:pict>
          </mc:Fallback>
        </mc:AlternateContent>
      </w:r>
      <w:r>
        <w:t xml:space="preserve"> </w:t>
      </w:r>
      <w:r>
        <w:t xml:space="preserve">(Добавить новую строку)</w:t>
      </w:r>
      <w:r>
        <w:t xml:space="preserve">. Открое</w:t>
      </w:r>
      <w:r>
        <w:t xml:space="preserve">тся форма «Добавление записи»</w:t>
      </w:r>
      <w:r>
        <w:t xml:space="preserve"> (рис.</w:t>
      </w:r>
      <w:r>
        <w:t xml:space="preserve"> </w:t>
      </w:r>
      <w:r>
        <w:fldChar w:fldCharType="begin"/>
      </w:r>
      <w:r>
        <w:instrText xml:space="preserve"> REF _Ref205267692 \h  \* MERGEFORMAT </w:instrText>
      </w:r>
      <w:r>
        <w:fldChar w:fldCharType="separate"/>
      </w:r>
      <w:r>
        <w:t xml:space="preserve">126</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3566160"/>
                <wp:effectExtent l="0" t="0" r="0" b="0"/>
                <wp:docPr id="20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92"/>
                        <a:stretch/>
                      </pic:blipFill>
                      <pic:spPr bwMode="auto">
                        <a:xfrm>
                          <a:off x="0" y="0"/>
                          <a:ext cx="6118860" cy="35661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3" o:spid="_x0000_s203" type="#_x0000_t75" style="mso-wrap-distance-left:0.0pt;mso-wrap-distance-top:0.0pt;mso-wrap-distance-right:0.0pt;mso-wrap-distance-bottom:0.0pt;width:481.8pt;height:280.8pt;" stroked="f">
                <v:path textboxrect="0,0,0,0"/>
                <v:imagedata r:id="rId192" o:title=""/>
              </v:shape>
            </w:pict>
          </mc:Fallback>
        </mc:AlternateContent>
      </w:r>
      <w:r/>
    </w:p>
    <w:p>
      <w:pPr>
        <w:pStyle w:val="983"/>
      </w:pPr>
      <w:r>
        <w:fldChar w:fldCharType="begin"/>
      </w:r>
      <w:r>
        <w:instrText xml:space="preserve"> SEQ Рисунок \* ARABIC </w:instrText>
      </w:r>
      <w:r>
        <w:fldChar w:fldCharType="separate"/>
      </w:r>
      <w:bookmarkStart w:id="1010" w:name="_Ref205267692"/>
      <w:r/>
      <w:bookmarkStart w:id="1011" w:name="_Toc88819511"/>
      <w:r>
        <w:t xml:space="preserve">126</w:t>
      </w:r>
      <w:bookmarkEnd w:id="1010"/>
      <w:r>
        <w:fldChar w:fldCharType="end"/>
      </w:r>
      <w:r>
        <w:t xml:space="preserve">. Форма «Добавление записи» (в блок «Реквизиты платежного документа»)</w:t>
      </w:r>
      <w:bookmarkEnd w:id="1011"/>
      <w:r/>
      <w:r/>
    </w:p>
    <w:p>
      <w:pPr>
        <w:pStyle w:val="994"/>
      </w:pPr>
      <w:r>
        <w:t xml:space="preserve">На форме </w:t>
      </w:r>
      <w:r>
        <w:t xml:space="preserve">«</w:t>
      </w:r>
      <w:r>
        <w:t xml:space="preserve">Добавление записи</w:t>
      </w:r>
      <w:r>
        <w:t xml:space="preserve">»</w:t>
      </w:r>
      <w:r>
        <w:t xml:space="preserve"> заполн</w:t>
      </w:r>
      <w:r>
        <w:t xml:space="preserve">ить</w:t>
      </w:r>
      <w:r>
        <w:t xml:space="preserve"> </w:t>
      </w:r>
      <w:r>
        <w:t xml:space="preserve">вышеуказанные </w:t>
      </w:r>
      <w:r>
        <w:t xml:space="preserve">поля</w:t>
      </w:r>
      <w:r>
        <w:t xml:space="preserve"> блок</w:t>
      </w:r>
      <w:r>
        <w:t xml:space="preserve">а</w:t>
      </w:r>
      <w:r>
        <w:t xml:space="preserve"> </w:t>
      </w:r>
      <w:r>
        <w:t xml:space="preserve">«</w:t>
      </w:r>
      <w:r>
        <w:t xml:space="preserve">Реквизиты пл</w:t>
      </w:r>
      <w:r>
        <w:t xml:space="preserve">а</w:t>
      </w:r>
      <w:r>
        <w:t xml:space="preserve">тежного документа</w:t>
      </w:r>
      <w:r>
        <w:t xml:space="preserve">». </w:t>
      </w:r>
      <w:r>
        <w:t xml:space="preserve">Нажать на </w:t>
      </w:r>
      <w:r>
        <w:t xml:space="preserve">кнопку «Ok»</w:t>
      </w:r>
      <w:r>
        <w:t xml:space="preserve"> для сохранения строки и выхода из формы. В таблице </w:t>
      </w:r>
      <w:r>
        <w:t xml:space="preserve">«</w:t>
      </w:r>
      <w:r>
        <w:t xml:space="preserve">Рекв</w:t>
      </w:r>
      <w:r>
        <w:t xml:space="preserve">и</w:t>
      </w:r>
      <w:r>
        <w:t xml:space="preserve">зиты платежных документов</w:t>
      </w:r>
      <w:r>
        <w:t xml:space="preserve">»</w:t>
      </w:r>
      <w:r>
        <w:t xml:space="preserve"> появится добавленная запись</w:t>
      </w:r>
      <w:r>
        <w:t xml:space="preserve">.</w:t>
      </w:r>
      <w:r>
        <w:t xml:space="preserve"> </w:t>
      </w:r>
      <w:r>
        <w:t xml:space="preserve">Для потокового ввода строк наж</w:t>
      </w:r>
      <w:r>
        <w:t xml:space="preserve">а</w:t>
      </w:r>
      <w:r>
        <w:t xml:space="preserve">ть кнопку </w:t>
      </w:r>
      <w:r>
        <w:t xml:space="preserve">«</w:t>
      </w:r>
      <w:r>
        <w:t xml:space="preserve">Сохранить и создать</w:t>
      </w:r>
      <w:r>
        <w:t xml:space="preserve">»</w:t>
      </w:r>
      <w:r>
        <w:t xml:space="preserve">.</w:t>
      </w:r>
      <w:r/>
    </w:p>
    <w:p>
      <w:pPr>
        <w:pStyle w:val="994"/>
      </w:pPr>
      <w:r>
        <w:t xml:space="preserve">Для добавления записи в блок «Изменить на реквизиты» следует нажать на кнопку </w:t>
      </w:r>
      <w:r>
        <mc:AlternateContent>
          <mc:Choice Requires="wpg">
            <w:drawing>
              <wp:inline xmlns:wp="http://schemas.openxmlformats.org/drawingml/2006/wordprocessingDrawing" distT="0" distB="0" distL="0" distR="0">
                <wp:extent cx="182880" cy="182880"/>
                <wp:effectExtent l="0" t="0" r="0" b="0"/>
                <wp:docPr id="20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rcRect l="0" t="-14536" r="0" b="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4" o:spid="_x0000_s204" type="#_x0000_t75" style="mso-wrap-distance-left:0.0pt;mso-wrap-distance-top:0.0pt;mso-wrap-distance-right:0.0pt;mso-wrap-distance-bottom:0.0pt;width:14.4pt;height:14.4pt;" stroked="f">
                <v:path textboxrect="0,0,0,0"/>
                <v:imagedata r:id="rId80" o:title=""/>
              </v:shape>
            </w:pict>
          </mc:Fallback>
        </mc:AlternateContent>
      </w:r>
      <w:r>
        <w:t xml:space="preserve"> </w:t>
      </w:r>
      <w:r>
        <w:t xml:space="preserve">(Добавить новую строку)</w:t>
      </w:r>
      <w:r>
        <w:t xml:space="preserve">. Открое</w:t>
      </w:r>
      <w:r>
        <w:t xml:space="preserve">тся форма «Добавление записи»</w:t>
      </w:r>
      <w:r>
        <w:t xml:space="preserve"> (рис.</w:t>
      </w:r>
      <w:r>
        <w:t xml:space="preserve"> </w:t>
      </w:r>
      <w:r>
        <w:fldChar w:fldCharType="begin"/>
      </w:r>
      <w:r>
        <w:instrText xml:space="preserve"> REF _Ref205267709 \h  \* MERGEFORMAT </w:instrText>
      </w:r>
      <w:r>
        <w:fldChar w:fldCharType="separate"/>
      </w:r>
      <w:r>
        <w:t xml:space="preserve">127</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3299460"/>
                <wp:effectExtent l="0" t="0" r="0" b="0"/>
                <wp:docPr id="20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93"/>
                        <a:stretch/>
                      </pic:blipFill>
                      <pic:spPr bwMode="auto">
                        <a:xfrm>
                          <a:off x="0" y="0"/>
                          <a:ext cx="6035039" cy="32994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5" o:spid="_x0000_s205" type="#_x0000_t75" style="mso-wrap-distance-left:0.0pt;mso-wrap-distance-top:0.0pt;mso-wrap-distance-right:0.0pt;mso-wrap-distance-bottom:0.0pt;width:475.2pt;height:259.8pt;" stroked="f">
                <v:path textboxrect="0,0,0,0"/>
                <v:imagedata r:id="rId193" o:title=""/>
              </v:shape>
            </w:pict>
          </mc:Fallback>
        </mc:AlternateContent>
      </w:r>
      <w:r/>
    </w:p>
    <w:p>
      <w:pPr>
        <w:pStyle w:val="983"/>
      </w:pPr>
      <w:r>
        <w:fldChar w:fldCharType="begin"/>
      </w:r>
      <w:r>
        <w:instrText xml:space="preserve"> SEQ Рисунок \* ARABIC </w:instrText>
      </w:r>
      <w:r>
        <w:fldChar w:fldCharType="separate"/>
      </w:r>
      <w:bookmarkStart w:id="1012" w:name="_Ref205267709"/>
      <w:r/>
      <w:bookmarkStart w:id="1013" w:name="_Toc88819512"/>
      <w:r>
        <w:t xml:space="preserve">127</w:t>
      </w:r>
      <w:bookmarkEnd w:id="1012"/>
      <w:r>
        <w:fldChar w:fldCharType="end"/>
      </w:r>
      <w:r>
        <w:t xml:space="preserve">. </w:t>
      </w:r>
      <w:r>
        <w:t xml:space="preserve">Форма «Добавление записи»</w:t>
      </w:r>
      <w:r>
        <w:t xml:space="preserve"> (в блок «Изменить на реквизиты»)</w:t>
      </w:r>
      <w:bookmarkEnd w:id="1013"/>
      <w:r/>
      <w:r/>
    </w:p>
    <w:p>
      <w:pPr>
        <w:pStyle w:val="994"/>
      </w:pPr>
      <w:r>
        <w:t xml:space="preserve">На форме «Добавление записи» </w:t>
      </w:r>
      <w:r>
        <w:t xml:space="preserve">заполн</w:t>
      </w:r>
      <w:r>
        <w:t xml:space="preserve">ить вышеуказанные поля блока</w:t>
      </w:r>
      <w:r>
        <w:t xml:space="preserve"> </w:t>
      </w:r>
      <w:r>
        <w:t xml:space="preserve">«Изменить на реквизиты»</w:t>
      </w:r>
      <w:r>
        <w:t xml:space="preserve">. </w:t>
      </w:r>
      <w:r>
        <w:t xml:space="preserve">Нажать на </w:t>
      </w:r>
      <w:r>
        <w:t xml:space="preserve">кнопку «Ok»</w:t>
      </w:r>
      <w:r>
        <w:t xml:space="preserve"> для сохранения строки и выхода из формы. В таблице «Изм</w:t>
      </w:r>
      <w:r>
        <w:t xml:space="preserve">енить на реквизиты» появится добавленная запись</w:t>
      </w:r>
      <w:r>
        <w:t xml:space="preserve">.</w:t>
      </w:r>
      <w:r/>
    </w:p>
    <w:p>
      <w:pPr>
        <w:pStyle w:val="994"/>
      </w:pPr>
      <w:r>
        <w:t xml:space="preserve">ЭФ документа «Уведомление об уточнении вида и принадлежности платежа (расходы)», закладки «Документ», вкладки «Дополнительные атрибуты (3)»</w:t>
      </w:r>
      <w:r>
        <w:t xml:space="preserve"> представлена н</w:t>
      </w:r>
      <w:r>
        <w:t xml:space="preserve">а рисунке</w:t>
      </w:r>
      <w:r>
        <w:t xml:space="preserve"> </w:t>
      </w:r>
      <w:r>
        <w:fldChar w:fldCharType="begin"/>
      </w:r>
      <w:r>
        <w:instrText xml:space="preserve"> REF _Ref205267725 \h  \* MERGEFORMAT </w:instrText>
      </w:r>
      <w:r>
        <w:fldChar w:fldCharType="separate"/>
      </w:r>
      <w:r>
        <w:t xml:space="preserve">128</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3291840"/>
                <wp:effectExtent l="0" t="0" r="0" b="0"/>
                <wp:docPr id="20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94"/>
                        <a:stretch/>
                      </pic:blipFill>
                      <pic:spPr bwMode="auto">
                        <a:xfrm>
                          <a:off x="0" y="0"/>
                          <a:ext cx="6134100" cy="32918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6" o:spid="_x0000_s206" type="#_x0000_t75" style="mso-wrap-distance-left:0.0pt;mso-wrap-distance-top:0.0pt;mso-wrap-distance-right:0.0pt;mso-wrap-distance-bottom:0.0pt;width:483.0pt;height:259.2pt;" stroked="f">
                <v:path textboxrect="0,0,0,0"/>
                <v:imagedata r:id="rId194" o:title=""/>
              </v:shape>
            </w:pict>
          </mc:Fallback>
        </mc:AlternateContent>
      </w:r>
      <w:r/>
    </w:p>
    <w:p>
      <w:pPr>
        <w:pStyle w:val="983"/>
      </w:pPr>
      <w:r>
        <w:fldChar w:fldCharType="begin"/>
      </w:r>
      <w:r>
        <w:instrText xml:space="preserve"> SEQ Рисунок \* ARABIC </w:instrText>
      </w:r>
      <w:r>
        <w:fldChar w:fldCharType="separate"/>
      </w:r>
      <w:bookmarkStart w:id="1014" w:name="_Ref205267725"/>
      <w:r/>
      <w:bookmarkStart w:id="1015" w:name="_Toc88819513"/>
      <w:r>
        <w:t xml:space="preserve">128</w:t>
      </w:r>
      <w:bookmarkEnd w:id="1014"/>
      <w:r>
        <w:fldChar w:fldCharType="end"/>
      </w:r>
      <w:r>
        <w:t xml:space="preserve">. ЭФ документа «</w:t>
      </w:r>
      <w:r>
        <w:t xml:space="preserve">Уведомление об уточнении вида и принадлежности платежа</w:t>
      </w:r>
      <w:r>
        <w:t xml:space="preserve"> </w:t>
      </w:r>
      <w:r>
        <w:t xml:space="preserve">(расходы)</w:t>
      </w:r>
      <w:r>
        <w:t xml:space="preserve">», закладки «</w:t>
      </w:r>
      <w:r>
        <w:t xml:space="preserve">Документ</w:t>
      </w:r>
      <w:r>
        <w:t xml:space="preserve">», вкладки «</w:t>
      </w:r>
      <w:r>
        <w:t xml:space="preserve">Дополнительные атрибуты (3)»</w:t>
      </w:r>
      <w:bookmarkEnd w:id="1015"/>
      <w:r/>
      <w:r/>
    </w:p>
    <w:p>
      <w:pPr>
        <w:pStyle w:val="994"/>
      </w:pPr>
      <w:r>
        <w:t xml:space="preserve">Перечень полей </w:t>
      </w:r>
      <w:r>
        <w:t xml:space="preserve">документа «Уведомление об уточнении вида и принадлежности платежа (расходы)», закладки «Документ», вкладки «Дополнительные атрибуты (3)»</w:t>
      </w:r>
      <w:r>
        <w:t xml:space="preserve"> </w:t>
      </w:r>
      <w:r>
        <w:t xml:space="preserve">приведен в таблице</w:t>
      </w:r>
      <w:r>
        <w:t xml:space="preserve"> </w:t>
      </w:r>
      <w:r>
        <w:fldChar w:fldCharType="begin"/>
      </w:r>
      <w:r>
        <w:instrText xml:space="preserve"> REF _Ref341438197 \h  \* MERGEFORMAT </w:instrText>
      </w:r>
      <w:r>
        <w:fldChar w:fldCharType="separate"/>
      </w:r>
      <w:r>
        <w:t xml:space="preserve">70</w:t>
      </w:r>
      <w:r>
        <w:fldChar w:fldCharType="end"/>
      </w:r>
      <w:r>
        <w:t xml:space="preserve">.</w:t>
      </w:r>
      <w:r/>
    </w:p>
    <w:p>
      <w:pPr>
        <w:pStyle w:val="993"/>
      </w:pPr>
      <w:r>
        <w:fldChar w:fldCharType="begin"/>
      </w:r>
      <w:r>
        <w:instrText xml:space="preserve"> SEQ Таблица \* ARABIC </w:instrText>
      </w:r>
      <w:r>
        <w:fldChar w:fldCharType="separate"/>
      </w:r>
      <w:bookmarkStart w:id="1016" w:name="_Ref341438197"/>
      <w:r/>
      <w:bookmarkStart w:id="1017" w:name="_Toc88819256"/>
      <w:r>
        <w:t xml:space="preserve">70</w:t>
      </w:r>
      <w:bookmarkEnd w:id="1016"/>
      <w:r>
        <w:fldChar w:fldCharType="end"/>
      </w:r>
      <w:r>
        <w:t xml:space="preserve">. Описание полей документа «Уведомление об уточнении вида и принадлежности платежа</w:t>
      </w:r>
      <w:r>
        <w:t xml:space="preserve"> </w:t>
      </w:r>
      <w:r>
        <w:t xml:space="preserve">(расходы)</w:t>
      </w:r>
      <w:r>
        <w:t xml:space="preserve">», закладки «</w:t>
      </w:r>
      <w:r>
        <w:t xml:space="preserve">Документ</w:t>
      </w:r>
      <w:r>
        <w:t xml:space="preserve">», вкладки «</w:t>
      </w:r>
      <w:r>
        <w:t xml:space="preserve">Дополнительные атрибуты (3)»</w:t>
      </w:r>
      <w:bookmarkEnd w:id="1017"/>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417"/>
        <w:gridCol w:w="6335"/>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752"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248"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Группа полей «Сведения о регистр</w:t>
            </w:r>
            <w:r>
              <w:t xml:space="preserve">ации документа»</w:t>
            </w:r>
            <w:r/>
          </w:p>
        </w:tc>
      </w:tr>
      <w:tr>
        <w:trPr/>
        <w:tc>
          <w:tcPr>
            <w:shd w:val="clear" w:fill="auto" w:color="auto"/>
            <w:tcW w:w="1752" w:type="pct"/>
            <w:textDirection w:val="lrTb"/>
            <w:noWrap w:val="false"/>
          </w:tcPr>
          <w:p>
            <w:pPr>
              <w:pStyle w:val="1005"/>
              <w:ind w:left="57" w:right="57"/>
            </w:pPr>
            <w:r>
              <w:t xml:space="preserve">Регистрационный номер</w:t>
            </w:r>
            <w:r/>
          </w:p>
        </w:tc>
        <w:tc>
          <w:tcPr>
            <w:shd w:val="clear" w:fill="auto" w:color="auto"/>
            <w:tcW w:w="3248" w:type="pct"/>
            <w:textDirection w:val="lrTb"/>
            <w:noWrap w:val="false"/>
          </w:tcPr>
          <w:p>
            <w:pPr>
              <w:pStyle w:val="1005"/>
              <w:ind w:left="57" w:right="57"/>
            </w:pPr>
            <w:r>
              <w:t xml:space="preserve">Доставляется из OEBS</w:t>
            </w:r>
            <w:r>
              <w:t xml:space="preserve">.</w:t>
            </w:r>
            <w:r/>
          </w:p>
        </w:tc>
      </w:tr>
      <w:tr>
        <w:trPr/>
        <w:tc>
          <w:tcPr>
            <w:shd w:val="clear" w:fill="auto" w:color="auto"/>
            <w:tcW w:w="1752" w:type="pct"/>
            <w:textDirection w:val="lrTb"/>
            <w:noWrap w:val="false"/>
          </w:tcPr>
          <w:p>
            <w:pPr>
              <w:pStyle w:val="1005"/>
              <w:ind w:left="57" w:right="57"/>
            </w:pPr>
            <w:r>
              <w:t xml:space="preserve">Дата регистр</w:t>
            </w:r>
            <w:r>
              <w:t xml:space="preserve">ации</w:t>
            </w:r>
            <w:r/>
          </w:p>
        </w:tc>
        <w:tc>
          <w:tcPr>
            <w:shd w:val="clear" w:fill="auto" w:color="auto"/>
            <w:tcW w:w="3248" w:type="pct"/>
            <w:textDirection w:val="lrTb"/>
            <w:noWrap w:val="false"/>
          </w:tcPr>
          <w:p>
            <w:pPr>
              <w:pStyle w:val="1005"/>
              <w:ind w:left="57" w:right="57"/>
            </w:pPr>
            <w:r>
              <w:t xml:space="preserve">Доставляется из OEBS</w:t>
            </w:r>
            <w:r>
              <w:t xml:space="preserve">.</w:t>
            </w:r>
            <w:r/>
          </w:p>
        </w:tc>
      </w:tr>
      <w:tr>
        <w:trPr/>
        <w:tc>
          <w:tcPr>
            <w:gridSpan w:val="2"/>
            <w:shd w:val="clear" w:fill="auto" w:color="auto"/>
            <w:tcW w:w="5000" w:type="pct"/>
            <w:textDirection w:val="lrTb"/>
            <w:noWrap w:val="false"/>
          </w:tcPr>
          <w:p>
            <w:pPr>
              <w:pStyle w:val="1005"/>
              <w:ind w:left="57" w:right="57"/>
            </w:pPr>
            <w:r>
              <w:t xml:space="preserve">Группа полей «Статусы документа»</w:t>
            </w:r>
            <w:r/>
          </w:p>
        </w:tc>
      </w:tr>
      <w:tr>
        <w:trPr/>
        <w:tc>
          <w:tcPr>
            <w:shd w:val="clear" w:fill="auto" w:color="auto"/>
            <w:tcW w:w="1752" w:type="pct"/>
            <w:textDirection w:val="lrTb"/>
            <w:noWrap w:val="false"/>
          </w:tcPr>
          <w:p>
            <w:pPr>
              <w:pStyle w:val="1005"/>
              <w:ind w:left="57" w:right="57"/>
            </w:pPr>
            <w:r>
              <w:t xml:space="preserve">Бизнес-статус</w:t>
            </w:r>
            <w:r/>
          </w:p>
        </w:tc>
        <w:tc>
          <w:tcPr>
            <w:shd w:val="clear" w:fill="auto" w:color="auto"/>
            <w:tcW w:w="3248" w:type="pct"/>
            <w:textDirection w:val="lrTb"/>
            <w:noWrap w:val="false"/>
          </w:tcPr>
          <w:p>
            <w:pPr>
              <w:pStyle w:val="1005"/>
              <w:ind w:left="57" w:right="57"/>
            </w:pPr>
            <w:r>
              <w:t xml:space="preserve">Код и наименование</w:t>
            </w:r>
            <w:r>
              <w:t xml:space="preserve"> </w:t>
            </w:r>
            <w:r>
              <w:t xml:space="preserve">б</w:t>
            </w:r>
            <w:r>
              <w:t xml:space="preserve">изнес-статус</w:t>
            </w:r>
            <w:r>
              <w:t xml:space="preserve">а документа</w:t>
            </w:r>
            <w:r>
              <w:t xml:space="preserve">.</w:t>
            </w:r>
            <w:r/>
          </w:p>
        </w:tc>
      </w:tr>
      <w:tr>
        <w:trPr/>
        <w:tc>
          <w:tcPr>
            <w:shd w:val="clear" w:fill="auto" w:color="auto"/>
            <w:tcW w:w="1752" w:type="pct"/>
            <w:textDirection w:val="lrTb"/>
            <w:noWrap w:val="false"/>
          </w:tcPr>
          <w:p>
            <w:pPr>
              <w:pStyle w:val="1005"/>
              <w:ind w:left="57" w:right="57"/>
            </w:pPr>
            <w:r>
              <w:t xml:space="preserve">Статус передачи</w:t>
            </w:r>
            <w:r/>
          </w:p>
        </w:tc>
        <w:tc>
          <w:tcPr>
            <w:shd w:val="clear" w:fill="auto" w:color="auto"/>
            <w:tcW w:w="3248" w:type="pct"/>
            <w:textDirection w:val="lrTb"/>
            <w:noWrap w:val="false"/>
          </w:tcPr>
          <w:p>
            <w:pPr>
              <w:pStyle w:val="1005"/>
              <w:ind w:left="57" w:right="57"/>
            </w:pPr>
            <w:r>
              <w:t xml:space="preserve">Код и наименование</w:t>
            </w:r>
            <w:r>
              <w:t xml:space="preserve"> </w:t>
            </w:r>
            <w:r>
              <w:t xml:space="preserve">с</w:t>
            </w:r>
            <w:r>
              <w:t xml:space="preserve">татус</w:t>
            </w:r>
            <w:r>
              <w:t xml:space="preserve">а</w:t>
            </w:r>
            <w:r>
              <w:t xml:space="preserve"> передачи</w:t>
            </w:r>
            <w:r>
              <w:t xml:space="preserve">.</w:t>
            </w:r>
            <w:r/>
          </w:p>
        </w:tc>
      </w:tr>
      <w:tr>
        <w:trPr/>
        <w:tc>
          <w:tcPr>
            <w:shd w:val="clear" w:fill="auto" w:color="auto"/>
            <w:tcW w:w="1752" w:type="pct"/>
            <w:textDirection w:val="lrTb"/>
            <w:noWrap w:val="false"/>
          </w:tcPr>
          <w:p>
            <w:pPr>
              <w:pStyle w:val="1005"/>
              <w:ind w:left="57" w:right="57"/>
            </w:pPr>
            <w:r>
              <w:t xml:space="preserve">Статус утве</w:t>
            </w:r>
            <w:r>
              <w:t xml:space="preserve">рждения</w:t>
            </w:r>
            <w:r/>
          </w:p>
        </w:tc>
        <w:tc>
          <w:tcPr>
            <w:shd w:val="clear" w:fill="auto" w:color="auto"/>
            <w:tcW w:w="3248" w:type="pct"/>
            <w:textDirection w:val="lrTb"/>
            <w:noWrap w:val="false"/>
          </w:tcPr>
          <w:p>
            <w:pPr>
              <w:pStyle w:val="1005"/>
              <w:ind w:left="57" w:right="57"/>
            </w:pPr>
            <w:r>
              <w:t xml:space="preserve">Код и наименование</w:t>
            </w:r>
            <w:r>
              <w:t xml:space="preserve"> </w:t>
            </w:r>
            <w:r>
              <w:t xml:space="preserve">с</w:t>
            </w:r>
            <w:r>
              <w:t xml:space="preserve">татус</w:t>
            </w:r>
            <w:r>
              <w:t xml:space="preserve">а</w:t>
            </w:r>
            <w:r>
              <w:t xml:space="preserve"> утверждения</w:t>
            </w:r>
            <w:r>
              <w:t xml:space="preserve">.</w:t>
            </w:r>
            <w:r/>
          </w:p>
        </w:tc>
      </w:tr>
      <w:tr>
        <w:trPr/>
        <w:tc>
          <w:tcPr>
            <w:gridSpan w:val="2"/>
            <w:shd w:val="clear" w:fill="auto" w:color="auto"/>
            <w:tcW w:w="5000" w:type="pct"/>
            <w:textDirection w:val="lrTb"/>
            <w:noWrap w:val="false"/>
          </w:tcPr>
          <w:p>
            <w:pPr>
              <w:pStyle w:val="1005"/>
              <w:ind w:left="57" w:right="57"/>
            </w:pPr>
            <w:r>
              <w:t xml:space="preserve">Группа полей «Подписи»</w:t>
            </w:r>
            <w:r/>
          </w:p>
        </w:tc>
      </w:tr>
      <w:tr>
        <w:trPr/>
        <w:tc>
          <w:tcPr>
            <w:shd w:val="clear" w:fill="auto" w:color="auto"/>
            <w:tcW w:w="1752" w:type="pct"/>
            <w:textDirection w:val="lrTb"/>
            <w:noWrap w:val="false"/>
          </w:tcPr>
          <w:p>
            <w:pPr>
              <w:pStyle w:val="1005"/>
              <w:ind w:left="57" w:right="57"/>
            </w:pPr>
            <w:r>
              <w:t xml:space="preserve">Руководитель (уполномоченное лицо): Дол</w:t>
            </w:r>
            <w:r>
              <w:t xml:space="preserve">жность</w:t>
            </w:r>
            <w:r/>
          </w:p>
        </w:tc>
        <w:tc>
          <w:tcPr>
            <w:shd w:val="clear" w:fill="auto" w:color="auto"/>
            <w:tcW w:w="3248" w:type="pct"/>
            <w:textDirection w:val="lrTb"/>
            <w:noWrap w:val="false"/>
          </w:tcPr>
          <w:p>
            <w:pPr>
              <w:pStyle w:val="1005"/>
              <w:ind w:left="57" w:right="57"/>
            </w:pPr>
            <w:r>
              <w:t xml:space="preserve">Заполняется автоматически при подписании ЭП данными подп</w:t>
            </w:r>
            <w:r>
              <w:t xml:space="preserve">и</w:t>
            </w:r>
            <w:r>
              <w:t xml:space="preserve">санта</w:t>
            </w:r>
            <w:r>
              <w:t xml:space="preserve">.</w:t>
            </w:r>
            <w:r/>
          </w:p>
        </w:tc>
      </w:tr>
      <w:tr>
        <w:trPr/>
        <w:tc>
          <w:tcPr>
            <w:shd w:val="clear" w:fill="auto" w:color="auto"/>
            <w:tcW w:w="1752" w:type="pct"/>
            <w:textDirection w:val="lrTb"/>
            <w:noWrap w:val="false"/>
          </w:tcPr>
          <w:p>
            <w:pPr>
              <w:pStyle w:val="1005"/>
              <w:ind w:left="57" w:right="57"/>
            </w:pPr>
            <w:r>
              <w:t xml:space="preserve">Руководитель (уполномоченное </w:t>
            </w:r>
            <w:r>
              <w:t xml:space="preserve">лицо): Расшифровка по</w:t>
            </w:r>
            <w:r>
              <w:t xml:space="preserve">дписи</w:t>
            </w:r>
            <w:r/>
          </w:p>
        </w:tc>
        <w:tc>
          <w:tcPr>
            <w:shd w:val="clear" w:fill="auto" w:color="auto"/>
            <w:tcW w:w="3248" w:type="pct"/>
            <w:textDirection w:val="lrTb"/>
            <w:noWrap w:val="false"/>
          </w:tcPr>
          <w:p>
            <w:pPr>
              <w:pStyle w:val="1005"/>
              <w:ind w:left="57" w:right="57"/>
            </w:pPr>
            <w:r>
              <w:t xml:space="preserve">Заполняется автоматически при подписании ЭП данными под</w:t>
            </w:r>
            <w:r>
              <w:t xml:space="preserve">п</w:t>
            </w:r>
            <w:r>
              <w:t xml:space="preserve">и</w:t>
            </w:r>
            <w:r>
              <w:t xml:space="preserve">санта</w:t>
            </w:r>
            <w:r>
              <w:t xml:space="preserve">. Привязан справочник Сотрудников</w:t>
            </w:r>
            <w:r>
              <w:t xml:space="preserve">.</w:t>
            </w:r>
            <w:r/>
          </w:p>
        </w:tc>
      </w:tr>
      <w:tr>
        <w:trPr/>
        <w:tc>
          <w:tcPr>
            <w:shd w:val="clear" w:fill="auto" w:color="auto"/>
            <w:tcW w:w="1752" w:type="pct"/>
            <w:textDirection w:val="lrTb"/>
            <w:noWrap w:val="false"/>
          </w:tcPr>
          <w:p>
            <w:pPr>
              <w:pStyle w:val="1005"/>
              <w:ind w:left="57" w:right="57"/>
            </w:pPr>
            <w:r>
              <w:t xml:space="preserve">Ответственный и</w:t>
            </w:r>
            <w:r>
              <w:t xml:space="preserve">сполнитель: Должность</w:t>
            </w:r>
            <w:r/>
          </w:p>
        </w:tc>
        <w:tc>
          <w:tcPr>
            <w:shd w:val="clear" w:fill="auto" w:color="auto"/>
            <w:tcW w:w="3248" w:type="pct"/>
            <w:textDirection w:val="lrTb"/>
            <w:noWrap w:val="false"/>
          </w:tcPr>
          <w:p>
            <w:pPr>
              <w:pStyle w:val="1005"/>
              <w:ind w:left="57" w:right="57"/>
            </w:pPr>
            <w:r>
              <w:t xml:space="preserve">Автоматически из справочника Сотрудников, соответс</w:t>
            </w:r>
            <w:r>
              <w:t xml:space="preserve">т</w:t>
            </w:r>
            <w:r>
              <w:t xml:space="preserve">венно п</w:t>
            </w:r>
            <w:r>
              <w:t xml:space="preserve">о</w:t>
            </w:r>
            <w:r>
              <w:t xml:space="preserve">лю «Расшифровка подписи исполнителя»</w:t>
            </w:r>
            <w:r>
              <w:t xml:space="preserve">.</w:t>
            </w:r>
            <w:r/>
          </w:p>
        </w:tc>
      </w:tr>
      <w:tr>
        <w:trPr/>
        <w:tc>
          <w:tcPr>
            <w:shd w:val="clear" w:fill="auto" w:color="auto"/>
            <w:tcW w:w="1752" w:type="pct"/>
            <w:textDirection w:val="lrTb"/>
            <w:noWrap w:val="false"/>
          </w:tcPr>
          <w:p>
            <w:pPr>
              <w:pStyle w:val="1005"/>
              <w:ind w:left="57" w:right="57"/>
            </w:pPr>
            <w:r>
              <w:t xml:space="preserve">Ответственный и</w:t>
            </w:r>
            <w:r>
              <w:t xml:space="preserve">сполнитель: Должность</w:t>
            </w:r>
            <w:r>
              <w:t xml:space="preserve">: Расшифровка подп</w:t>
            </w:r>
            <w:r>
              <w:t xml:space="preserve">и</w:t>
            </w:r>
            <w:r>
              <w:t xml:space="preserve">си</w:t>
            </w:r>
            <w:r/>
          </w:p>
        </w:tc>
        <w:tc>
          <w:tcPr>
            <w:shd w:val="clear" w:fill="auto" w:color="auto"/>
            <w:tcW w:w="3248" w:type="pct"/>
            <w:textDirection w:val="lrTb"/>
            <w:noWrap w:val="false"/>
          </w:tcPr>
          <w:p>
            <w:pPr>
              <w:pStyle w:val="1005"/>
              <w:ind w:left="57" w:right="57"/>
            </w:pPr>
            <w:r>
              <w:t xml:space="preserve">Заполняется </w:t>
            </w:r>
            <w:r>
              <w:t xml:space="preserve">в</w:t>
            </w:r>
            <w:r>
              <w:t xml:space="preserve">ручную. Привязан справочник Сотрудн</w:t>
            </w:r>
            <w:r>
              <w:t xml:space="preserve">и</w:t>
            </w:r>
            <w:r>
              <w:t xml:space="preserve">ков</w:t>
            </w:r>
            <w:r>
              <w:t xml:space="preserve">.</w:t>
            </w:r>
            <w:r/>
          </w:p>
        </w:tc>
      </w:tr>
      <w:tr>
        <w:trPr/>
        <w:tc>
          <w:tcPr>
            <w:shd w:val="clear" w:fill="auto" w:color="auto"/>
            <w:tcW w:w="1752" w:type="pct"/>
            <w:textDirection w:val="lrTb"/>
            <w:noWrap w:val="false"/>
          </w:tcPr>
          <w:p>
            <w:pPr>
              <w:pStyle w:val="1005"/>
              <w:ind w:left="57" w:right="57"/>
            </w:pPr>
            <w:r>
              <w:t xml:space="preserve">Ответственный и</w:t>
            </w:r>
            <w:r>
              <w:t xml:space="preserve">сполнитель</w:t>
            </w:r>
            <w:r>
              <w:t xml:space="preserve">: Т</w:t>
            </w:r>
            <w:r>
              <w:t xml:space="preserve">е</w:t>
            </w:r>
            <w:r>
              <w:t xml:space="preserve">лефон</w:t>
            </w:r>
            <w:r/>
          </w:p>
        </w:tc>
        <w:tc>
          <w:tcPr>
            <w:shd w:val="clear" w:fill="auto" w:color="auto"/>
            <w:tcW w:w="3248" w:type="pct"/>
            <w:textDirection w:val="lrTb"/>
            <w:noWrap w:val="false"/>
          </w:tcPr>
          <w:p>
            <w:pPr>
              <w:pStyle w:val="1005"/>
              <w:ind w:left="57" w:right="57"/>
            </w:pPr>
            <w:r>
              <w:t xml:space="preserve">Автоматически из справочника Сотрудников, соответс</w:t>
            </w:r>
            <w:r>
              <w:t xml:space="preserve">т</w:t>
            </w:r>
            <w:r>
              <w:t xml:space="preserve">венно п</w:t>
            </w:r>
            <w:r>
              <w:t xml:space="preserve">о</w:t>
            </w:r>
            <w:r>
              <w:t xml:space="preserve">лю «Расшифровка подписи руководителя»</w:t>
            </w:r>
            <w:r>
              <w:t xml:space="preserve">.</w:t>
            </w:r>
            <w:r/>
          </w:p>
        </w:tc>
      </w:tr>
      <w:tr>
        <w:trPr/>
        <w:tc>
          <w:tcPr>
            <w:shd w:val="clear" w:fill="auto" w:color="auto"/>
            <w:tcW w:w="1752" w:type="pct"/>
            <w:textDirection w:val="lrTb"/>
            <w:noWrap w:val="false"/>
          </w:tcPr>
          <w:p>
            <w:pPr>
              <w:pStyle w:val="1005"/>
              <w:ind w:left="57" w:right="57"/>
            </w:pPr>
            <w:r>
              <w:t xml:space="preserve">Д</w:t>
            </w:r>
            <w:r>
              <w:t xml:space="preserve">ата</w:t>
            </w:r>
            <w:r/>
          </w:p>
        </w:tc>
        <w:tc>
          <w:tcPr>
            <w:shd w:val="clear" w:fill="auto" w:color="auto"/>
            <w:tcW w:w="3248" w:type="pct"/>
            <w:textDirection w:val="lrTb"/>
            <w:noWrap w:val="false"/>
          </w:tcPr>
          <w:p>
            <w:pPr>
              <w:pStyle w:val="1005"/>
              <w:ind w:left="57" w:right="57"/>
            </w:pPr>
            <w:r>
              <w:t xml:space="preserve">Дата подписания документа.</w:t>
            </w:r>
            <w:r/>
          </w:p>
          <w:p>
            <w:pPr>
              <w:pStyle w:val="1005"/>
              <w:ind w:left="57" w:right="57"/>
            </w:pPr>
            <w:r>
              <w:t xml:space="preserve">Заполняется автоматически при подписании ЭП данными подп</w:t>
            </w:r>
            <w:r>
              <w:t xml:space="preserve">и</w:t>
            </w:r>
            <w:r>
              <w:t xml:space="preserve">санта</w:t>
            </w:r>
            <w:r>
              <w:t xml:space="preserve">.</w:t>
            </w:r>
            <w:r>
              <w:t xml:space="preserve"> </w:t>
            </w:r>
            <w:r>
              <w:t xml:space="preserve">Привязан системный кале</w:t>
            </w:r>
            <w:r>
              <w:t xml:space="preserve">ндарь</w:t>
            </w:r>
            <w:r>
              <w:t xml:space="preserve">.</w:t>
            </w:r>
            <w:r/>
          </w:p>
        </w:tc>
      </w:tr>
      <w:tr>
        <w:trPr/>
        <w:tc>
          <w:tcPr>
            <w:shd w:val="clear" w:fill="auto" w:color="auto"/>
            <w:tcW w:w="1752" w:type="pct"/>
            <w:textDirection w:val="lrTb"/>
            <w:noWrap w:val="false"/>
          </w:tcPr>
          <w:p>
            <w:pPr>
              <w:pStyle w:val="1005"/>
              <w:ind w:left="57" w:right="57"/>
            </w:pPr>
            <w:r>
              <w:t xml:space="preserve">ФИО ответственного за конфиденциальность данных</w:t>
            </w:r>
            <w:r/>
          </w:p>
        </w:tc>
        <w:tc>
          <w:tcPr>
            <w:shd w:val="clear" w:fill="auto" w:color="auto"/>
            <w:tcW w:w="3248" w:type="pct"/>
            <w:textDirection w:val="lrTb"/>
            <w:noWrap w:val="false"/>
          </w:tcPr>
          <w:p>
            <w:pPr>
              <w:pStyle w:val="1005"/>
              <w:ind w:left="57" w:right="57"/>
            </w:pPr>
            <w:r>
              <w:t xml:space="preserve">Заполняется автоматически при подписании. Поле заполняется, если в поле «Уровень конфиденциальност</w:t>
            </w:r>
            <w:r>
              <w:t xml:space="preserve">и» указано значение «1» или «0»</w:t>
            </w:r>
            <w:r>
              <w:t xml:space="preserve">.</w:t>
            </w:r>
            <w:r>
              <w:t xml:space="preserve"> </w:t>
            </w:r>
            <w:r/>
          </w:p>
        </w:tc>
      </w:tr>
      <w:tr>
        <w:trPr/>
        <w:tc>
          <w:tcPr>
            <w:gridSpan w:val="2"/>
            <w:shd w:val="clear" w:fill="auto" w:color="auto"/>
            <w:tcW w:w="5000" w:type="pct"/>
            <w:textDirection w:val="lrTb"/>
            <w:noWrap w:val="false"/>
          </w:tcPr>
          <w:p>
            <w:pPr>
              <w:pStyle w:val="1005"/>
              <w:ind w:left="57" w:right="57"/>
            </w:pPr>
            <w:r>
              <w:t xml:space="preserve">Группа полей «Отметка ФК, органа ФК о принятии Уведомления об уточнении вида и принадле</w:t>
            </w:r>
            <w:r>
              <w:t xml:space="preserve">жн</w:t>
            </w:r>
            <w:r>
              <w:t xml:space="preserve">о</w:t>
            </w:r>
            <w:r>
              <w:t xml:space="preserve">сти платежа»</w:t>
            </w:r>
            <w:r/>
          </w:p>
        </w:tc>
      </w:tr>
      <w:tr>
        <w:trPr/>
        <w:tc>
          <w:tcPr>
            <w:shd w:val="clear" w:fill="auto" w:color="auto"/>
            <w:tcW w:w="1752" w:type="pct"/>
            <w:textDirection w:val="lrTb"/>
            <w:noWrap w:val="false"/>
          </w:tcPr>
          <w:p>
            <w:pPr>
              <w:pStyle w:val="1005"/>
              <w:ind w:left="57" w:right="57"/>
            </w:pPr>
            <w:r>
              <w:t xml:space="preserve">Руководитель (уполномоченное лицо): Дол</w:t>
            </w:r>
            <w:r>
              <w:t xml:space="preserve">жность</w:t>
            </w:r>
            <w:r/>
          </w:p>
        </w:tc>
        <w:tc>
          <w:tcPr>
            <w:shd w:val="clear" w:fill="auto" w:color="auto"/>
            <w:tcW w:w="3248" w:type="pct"/>
            <w:textDirection w:val="lrTb"/>
            <w:noWrap w:val="false"/>
          </w:tcPr>
          <w:p>
            <w:pPr>
              <w:pStyle w:val="1005"/>
              <w:ind w:left="57" w:right="57"/>
            </w:pPr>
            <w:r>
              <w:t xml:space="preserve">Доставляется из OEBS.</w:t>
            </w:r>
            <w:r/>
          </w:p>
        </w:tc>
      </w:tr>
      <w:tr>
        <w:trPr/>
        <w:tc>
          <w:tcPr>
            <w:shd w:val="clear" w:fill="auto" w:color="auto"/>
            <w:tcW w:w="1752" w:type="pct"/>
            <w:textDirection w:val="lrTb"/>
            <w:noWrap w:val="false"/>
          </w:tcPr>
          <w:p>
            <w:pPr>
              <w:pStyle w:val="1005"/>
              <w:ind w:left="57" w:right="57"/>
            </w:pPr>
            <w:r>
              <w:t xml:space="preserve">Руководитель (уполномоченное лицо): Расшифровка по</w:t>
            </w:r>
            <w:r>
              <w:t xml:space="preserve">дписи</w:t>
            </w:r>
            <w:r/>
          </w:p>
        </w:tc>
        <w:tc>
          <w:tcPr>
            <w:shd w:val="clear" w:fill="auto" w:color="auto"/>
            <w:tcW w:w="3248" w:type="pct"/>
            <w:textDirection w:val="lrTb"/>
            <w:noWrap w:val="false"/>
          </w:tcPr>
          <w:p>
            <w:pPr>
              <w:pStyle w:val="1005"/>
              <w:ind w:left="57" w:right="57"/>
            </w:pPr>
            <w:r>
              <w:t xml:space="preserve">Доставляется из OEBS.</w:t>
            </w:r>
            <w:r/>
          </w:p>
        </w:tc>
      </w:tr>
      <w:tr>
        <w:trPr/>
        <w:tc>
          <w:tcPr>
            <w:shd w:val="clear" w:fill="auto" w:color="auto"/>
            <w:tcW w:w="1752" w:type="pct"/>
            <w:textDirection w:val="lrTb"/>
            <w:noWrap w:val="false"/>
          </w:tcPr>
          <w:p>
            <w:pPr>
              <w:pStyle w:val="1005"/>
              <w:ind w:left="57" w:right="57"/>
            </w:pPr>
            <w:r>
              <w:t xml:space="preserve">Ответственный исполн</w:t>
            </w:r>
            <w:r>
              <w:t xml:space="preserve">итель: </w:t>
            </w:r>
            <w:r>
              <w:t xml:space="preserve">Должность</w:t>
            </w:r>
            <w:r/>
          </w:p>
        </w:tc>
        <w:tc>
          <w:tcPr>
            <w:shd w:val="clear" w:fill="auto" w:color="auto"/>
            <w:tcW w:w="3248" w:type="pct"/>
            <w:textDirection w:val="lrTb"/>
            <w:noWrap w:val="false"/>
          </w:tcPr>
          <w:p>
            <w:pPr>
              <w:pStyle w:val="1005"/>
              <w:ind w:left="57" w:right="57"/>
            </w:pPr>
            <w:r>
              <w:t xml:space="preserve">Доставляется из OEBS.</w:t>
            </w:r>
            <w:r/>
          </w:p>
        </w:tc>
      </w:tr>
      <w:tr>
        <w:trPr/>
        <w:tc>
          <w:tcPr>
            <w:shd w:val="clear" w:fill="auto" w:color="auto"/>
            <w:tcW w:w="1752" w:type="pct"/>
            <w:textDirection w:val="lrTb"/>
            <w:noWrap w:val="false"/>
          </w:tcPr>
          <w:p>
            <w:pPr>
              <w:pStyle w:val="1005"/>
              <w:ind w:left="57" w:right="57"/>
            </w:pPr>
            <w:r>
              <w:t xml:space="preserve">Ответственный исполн</w:t>
            </w:r>
            <w:r>
              <w:t xml:space="preserve">итель: </w:t>
            </w:r>
            <w:r>
              <w:t xml:space="preserve">Ра</w:t>
            </w:r>
            <w:r>
              <w:t xml:space="preserve">с</w:t>
            </w:r>
            <w:r>
              <w:t xml:space="preserve">шифровка подписи</w:t>
            </w:r>
            <w:r/>
          </w:p>
        </w:tc>
        <w:tc>
          <w:tcPr>
            <w:shd w:val="clear" w:fill="auto" w:color="auto"/>
            <w:tcW w:w="3248" w:type="pct"/>
            <w:textDirection w:val="lrTb"/>
            <w:noWrap w:val="false"/>
          </w:tcPr>
          <w:p>
            <w:pPr>
              <w:pStyle w:val="1005"/>
              <w:ind w:left="57" w:right="57"/>
            </w:pPr>
            <w:r>
              <w:t xml:space="preserve">Доставляется из OEBS.</w:t>
            </w:r>
            <w:r/>
          </w:p>
        </w:tc>
      </w:tr>
      <w:tr>
        <w:trPr/>
        <w:tc>
          <w:tcPr>
            <w:shd w:val="clear" w:fill="auto" w:color="auto"/>
            <w:tcW w:w="1752" w:type="pct"/>
            <w:textDirection w:val="lrTb"/>
            <w:noWrap w:val="false"/>
          </w:tcPr>
          <w:p>
            <w:pPr>
              <w:pStyle w:val="1005"/>
              <w:ind w:left="57" w:right="57"/>
            </w:pPr>
            <w:r>
              <w:t xml:space="preserve">Ответственный исполн</w:t>
            </w:r>
            <w:r>
              <w:t xml:space="preserve">итель: </w:t>
            </w:r>
            <w:r>
              <w:t xml:space="preserve">Т</w:t>
            </w:r>
            <w:r>
              <w:t xml:space="preserve">е</w:t>
            </w:r>
            <w:r>
              <w:t xml:space="preserve">лефон</w:t>
            </w:r>
            <w:r/>
          </w:p>
        </w:tc>
        <w:tc>
          <w:tcPr>
            <w:shd w:val="clear" w:fill="auto" w:color="auto"/>
            <w:tcW w:w="3248" w:type="pct"/>
            <w:textDirection w:val="lrTb"/>
            <w:noWrap w:val="false"/>
          </w:tcPr>
          <w:p>
            <w:pPr>
              <w:pStyle w:val="1005"/>
              <w:ind w:left="57" w:right="57"/>
            </w:pPr>
            <w:r>
              <w:t xml:space="preserve">Доставляется из OEBS.</w:t>
            </w:r>
            <w:r/>
          </w:p>
        </w:tc>
      </w:tr>
    </w:tbl>
    <w:p>
      <w:pPr>
        <w:pStyle w:val="972"/>
      </w:pPr>
      <w:r/>
      <w:bookmarkStart w:id="1018" w:name="_Ref272416333"/>
      <w:r/>
      <w:bookmarkStart w:id="1019" w:name="_Toc368331352"/>
      <w:r/>
      <w:bookmarkStart w:id="1020" w:name="_Toc422496686"/>
      <w:r/>
      <w:bookmarkStart w:id="1021" w:name="_Toc88819122"/>
      <w:r>
        <w:t xml:space="preserve">Уведомление об уточнении операций клиента</w:t>
      </w:r>
      <w:bookmarkEnd w:id="1018"/>
      <w:r/>
      <w:bookmarkEnd w:id="1019"/>
      <w:r/>
      <w:bookmarkEnd w:id="1020"/>
      <w:r/>
      <w:bookmarkEnd w:id="1021"/>
      <w:r/>
      <w:r/>
    </w:p>
    <w:p>
      <w:pPr>
        <w:pStyle w:val="994"/>
      </w:pPr>
      <w:r>
        <w:t xml:space="preserve">Документ «Уведомление об уточнении операций клиента» формируется для возможности уточнения невыясненных поступлений и произведенных кассовых операций на лицевых счетах НУБП.</w:t>
      </w:r>
      <w:r/>
    </w:p>
    <w:p>
      <w:pPr>
        <w:pStyle w:val="994"/>
      </w:pPr>
      <w:r>
        <w:t xml:space="preserve">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операций клиента». Операции «Санкциониро</w:t>
      </w:r>
      <w:r>
        <w:t xml:space="preserve">вать» и «Отказать» описаны в п.</w:t>
      </w:r>
      <w:r>
        <w:t xml:space="preserve"> </w:t>
      </w:r>
      <w:r>
        <w:fldChar w:fldCharType="begin"/>
      </w:r>
      <w:r>
        <w:instrText xml:space="preserve"> REF _Ref370315339 \r \h  \* MERGEFORMAT </w:instrText>
      </w:r>
      <w:r>
        <w:fldChar w:fldCharType="separate"/>
      </w:r>
      <w:r>
        <w:t xml:space="preserve">3.3.1</w:t>
      </w:r>
      <w:r>
        <w:fldChar w:fldCharType="end"/>
      </w:r>
      <w:r>
        <w:t xml:space="preserve">.</w:t>
      </w:r>
      <w:r/>
    </w:p>
    <w:p>
      <w:pPr>
        <w:pStyle w:val="994"/>
      </w:pPr>
      <w:r>
        <w:t xml:space="preserve">Для работы с д</w:t>
      </w:r>
      <w:r>
        <w:t xml:space="preserve">окументами «Уведомление об уточнении операций клиента» следует перейти в пункт меню «Документы – Обработка и учет поступлений – Внебанковские документы – Уведомление об уточнении операций клиента». Откроется ЭФ списка документов, представленная на рисунке </w:t>
      </w:r>
      <w:r>
        <w:fldChar w:fldCharType="begin"/>
      </w:r>
      <w:r>
        <w:instrText xml:space="preserve"> REF _Ref272408331 \h  \* MERGEFORMAT </w:instrText>
      </w:r>
      <w:r>
        <w:fldChar w:fldCharType="separate"/>
      </w:r>
      <w:r>
        <w:t xml:space="preserve">129</w:t>
      </w:r>
      <w:r>
        <w:fldChar w:fldCharType="end"/>
      </w:r>
      <w:r>
        <w:t xml:space="preserve">.</w:t>
      </w:r>
      <w:r/>
    </w:p>
    <w:p>
      <w:pPr>
        <w:pStyle w:val="982"/>
      </w:pPr>
      <w:r>
        <mc:AlternateContent>
          <mc:Choice Requires="wpg">
            <w:drawing>
              <wp:inline xmlns:wp="http://schemas.openxmlformats.org/drawingml/2006/wordprocessingDrawing" distT="0" distB="0" distL="0" distR="0">
                <wp:extent cx="6027420" cy="2186940"/>
                <wp:effectExtent l="0" t="0" r="0" b="0"/>
                <wp:docPr id="20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95"/>
                        <a:stretch/>
                      </pic:blipFill>
                      <pic:spPr bwMode="auto">
                        <a:xfrm>
                          <a:off x="0" y="0"/>
                          <a:ext cx="6027420" cy="21869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7" o:spid="_x0000_s207" type="#_x0000_t75" style="mso-wrap-distance-left:0.0pt;mso-wrap-distance-top:0.0pt;mso-wrap-distance-right:0.0pt;mso-wrap-distance-bottom:0.0pt;width:474.6pt;height:172.2pt;" stroked="f">
                <v:path textboxrect="0,0,0,0"/>
                <v:imagedata r:id="rId195" o:title=""/>
              </v:shape>
            </w:pict>
          </mc:Fallback>
        </mc:AlternateContent>
      </w:r>
      <w:r/>
    </w:p>
    <w:p>
      <w:pPr>
        <w:pStyle w:val="983"/>
      </w:pPr>
      <w:r>
        <w:fldChar w:fldCharType="begin"/>
      </w:r>
      <w:r>
        <w:instrText xml:space="preserve"> SEQ Рисунок \* ARABIC </w:instrText>
      </w:r>
      <w:r>
        <w:fldChar w:fldCharType="separate"/>
      </w:r>
      <w:bookmarkStart w:id="1022" w:name="_Ref272408331"/>
      <w:r/>
      <w:bookmarkStart w:id="1023" w:name="_Toc88819514"/>
      <w:r>
        <w:t xml:space="preserve">129</w:t>
      </w:r>
      <w:bookmarkEnd w:id="1022"/>
      <w:r>
        <w:fldChar w:fldCharType="end"/>
      </w:r>
      <w:r>
        <w:t xml:space="preserve">. ЭФ списка документов «Уведомление об уточнении операций клиента»</w:t>
      </w:r>
      <w:bookmarkEnd w:id="1023"/>
      <w:r/>
      <w:r/>
    </w:p>
    <w:p>
      <w:pPr>
        <w:pStyle w:val="973"/>
      </w:pPr>
      <w:r>
        <w:t xml:space="preserve">Доступные операции</w:t>
      </w:r>
      <w:r/>
    </w:p>
    <w:p>
      <w:pPr>
        <w:pStyle w:val="994"/>
      </w:pPr>
      <w:r>
        <w:t xml:space="preserve">На АРМ ФО доступны следу</w:t>
      </w:r>
      <w:r>
        <w:t xml:space="preserve">ющие операции над документо</w:t>
      </w:r>
      <w:r>
        <w:t xml:space="preserve">м:</w:t>
      </w:r>
      <w:r/>
    </w:p>
    <w:p>
      <w:pPr>
        <w:pStyle w:val="985"/>
      </w:pPr>
      <w:r>
        <w:t xml:space="preserve">просмотр;</w:t>
      </w:r>
      <w:r/>
    </w:p>
    <w:p>
      <w:pPr>
        <w:pStyle w:val="985"/>
      </w:pPr>
      <w:r>
        <w:t xml:space="preserve">печать;</w:t>
      </w:r>
      <w:r/>
    </w:p>
    <w:p>
      <w:pPr>
        <w:pStyle w:val="985"/>
      </w:pPr>
      <w:r>
        <w:t xml:space="preserve">формирование и проверка ЭП;</w:t>
      </w:r>
      <w:r/>
    </w:p>
    <w:p>
      <w:pPr>
        <w:pStyle w:val="985"/>
      </w:pPr>
      <w:r>
        <w:t xml:space="preserve">документарный контроль;</w:t>
      </w:r>
      <w:r/>
    </w:p>
    <w:p>
      <w:pPr>
        <w:pStyle w:val="985"/>
      </w:pPr>
      <w:r>
        <w:t xml:space="preserve">отказ;</w:t>
      </w:r>
      <w:r/>
    </w:p>
    <w:p>
      <w:pPr>
        <w:pStyle w:val="985"/>
      </w:pPr>
      <w:r>
        <w:t xml:space="preserve">отправка в УФК.</w:t>
      </w:r>
      <w:r/>
    </w:p>
    <w:p>
      <w:pPr>
        <w:pStyle w:val="973"/>
      </w:pPr>
      <w:r/>
      <w:bookmarkStart w:id="1024" w:name="_Экранная_форма_документа_2"/>
      <w:r/>
      <w:bookmarkEnd w:id="1024"/>
      <w:r>
        <w:t xml:space="preserve">Экранная форма документа</w:t>
      </w:r>
      <w:r/>
    </w:p>
    <w:p>
      <w:pPr>
        <w:pStyle w:val="994"/>
      </w:pPr>
      <w:r>
        <w:t xml:space="preserve">ЭФ документа «Уведомление об уточнении операций клиента» представлена на рисунках</w:t>
      </w:r>
      <w:r>
        <w:t xml:space="preserve"> </w:t>
      </w:r>
      <w:r>
        <w:fldChar w:fldCharType="begin"/>
      </w:r>
      <w:r>
        <w:instrText xml:space="preserve"> REF _Ref272408334 \h  \* MERGEFORMAT </w:instrText>
      </w:r>
      <w:r>
        <w:fldChar w:fldCharType="separate"/>
      </w:r>
      <w:r>
        <w:t xml:space="preserve">130</w:t>
      </w:r>
      <w:r>
        <w:fldChar w:fldCharType="end"/>
      </w:r>
      <w:r>
        <w:t xml:space="preserve">, </w:t>
      </w:r>
      <w:r>
        <w:fldChar w:fldCharType="begin"/>
      </w:r>
      <w:r>
        <w:instrText xml:space="preserve"> REF _Ref272408338 \h  \* MERGEFORMAT </w:instrText>
      </w:r>
      <w:r>
        <w:fldChar w:fldCharType="separate"/>
      </w:r>
      <w:r>
        <w:t xml:space="preserve">131</w:t>
      </w:r>
      <w:r>
        <w:fldChar w:fldCharType="end"/>
      </w:r>
      <w:r>
        <w:t xml:space="preserve"> и </w:t>
      </w:r>
      <w:r>
        <w:fldChar w:fldCharType="begin"/>
      </w:r>
      <w:r>
        <w:instrText xml:space="preserve"> REF _Ref272408343 \h  \* MERGEFORMAT </w:instrText>
      </w:r>
      <w:r>
        <w:fldChar w:fldCharType="separate"/>
      </w:r>
      <w:r>
        <w:t xml:space="preserve">134</w:t>
      </w:r>
      <w:r>
        <w:fldChar w:fldCharType="end"/>
      </w:r>
      <w:r>
        <w:t xml:space="preserve">. Форма содержит следующие закладки:</w:t>
      </w:r>
      <w:r/>
    </w:p>
    <w:p>
      <w:pPr>
        <w:pStyle w:val="985"/>
      </w:pPr>
      <w:r>
        <w:t xml:space="preserve">«Документ (1)»</w:t>
      </w:r>
      <w:r>
        <w:t xml:space="preserve">;</w:t>
      </w:r>
      <w:r/>
    </w:p>
    <w:p>
      <w:pPr>
        <w:pStyle w:val="985"/>
      </w:pPr>
      <w:r>
        <w:t xml:space="preserve">«Платежные документы (2)»;</w:t>
      </w:r>
      <w:r/>
    </w:p>
    <w:p>
      <w:pPr>
        <w:pStyle w:val="985"/>
      </w:pPr>
      <w:r>
        <w:t xml:space="preserve">«Дополнительные атрибуты (3)»</w:t>
      </w:r>
      <w:r>
        <w:t xml:space="preserve">;</w:t>
      </w:r>
      <w:r/>
    </w:p>
    <w:p>
      <w:pPr>
        <w:pStyle w:val="985"/>
      </w:pPr>
      <w:r>
        <w:t xml:space="preserve">«Системные атрибуты»</w:t>
      </w:r>
      <w:r>
        <w:t xml:space="preserve">;</w:t>
      </w:r>
      <w:r/>
    </w:p>
    <w:p>
      <w:pPr>
        <w:pStyle w:val="985"/>
      </w:pPr>
      <w:r>
        <w:t xml:space="preserve">«Протоколы».</w:t>
      </w:r>
      <w:r/>
    </w:p>
    <w:p>
      <w:pPr>
        <w:pStyle w:val="982"/>
        <w:rPr>
          <w:rStyle w:val="1001"/>
        </w:rPr>
      </w:pPr>
      <w:r/>
      <w:bookmarkStart w:id="1025" w:name="_Toc221011492"/>
      <w:r/>
      <w:bookmarkStart w:id="1026" w:name="_Toc221012193"/>
      <w:r/>
      <w:bookmarkStart w:id="1027" w:name="_Toc225934584"/>
      <w:r/>
      <w:bookmarkStart w:id="1028" w:name="_Toc232827316"/>
      <w:r/>
      <w:bookmarkStart w:id="1029" w:name="_Ref247440876"/>
      <w:r/>
      <w:bookmarkStart w:id="1030" w:name="_Ref295392554"/>
      <w:r/>
      <w:bookmarkStart w:id="1031" w:name="_Ref304906525"/>
      <w:r/>
      <w:bookmarkStart w:id="1032" w:name="_Ref312915766"/>
      <w:r/>
      <w:bookmarkStart w:id="1033" w:name="_Ref314149242"/>
      <w:r/>
      <w:bookmarkStart w:id="1034" w:name="_Ref315360334"/>
      <w:r/>
      <w:bookmarkStart w:id="1035" w:name="_Ref318381000"/>
      <w:r/>
      <w:bookmarkStart w:id="1036" w:name="_Ref359500251"/>
      <w:r/>
      <w:bookmarkStart w:id="1037" w:name="_Ref368676686"/>
      <w:r/>
      <w:bookmarkStart w:id="1038" w:name="_Ref369868516"/>
      <w:r/>
      <w:bookmarkStart w:id="1039" w:name="_Ref370315806"/>
      <w:r/>
      <w:bookmarkStart w:id="1040" w:name="_Ref370323772"/>
      <w:r/>
      <w:bookmarkStart w:id="1041" w:name="_Ref377484762"/>
      <w:r/>
      <w:bookmarkStart w:id="1042" w:name="_Ref378599883"/>
      <w:r/>
      <w:bookmarkStart w:id="1043" w:name="_Ref378785043"/>
      <w:r/>
      <w:bookmarkStart w:id="1044" w:name="_Ref383800389"/>
      <w:r/>
      <w:bookmarkStart w:id="1045" w:name="_Toc221011489"/>
      <w:r/>
      <w:bookmarkStart w:id="1046" w:name="_Toc221012190"/>
      <w:r/>
      <w:bookmarkStart w:id="1047" w:name="_Toc225934581"/>
      <w:r/>
      <w:bookmarkEnd w:id="984"/>
      <w:r/>
      <w:bookmarkEnd w:id="985"/>
      <w:r/>
      <w:bookmarkEnd w:id="986"/>
      <w:r>
        <mc:AlternateContent>
          <mc:Choice Requires="wpg">
            <w:drawing>
              <wp:inline xmlns:wp="http://schemas.openxmlformats.org/drawingml/2006/wordprocessingDrawing" distT="0" distB="0" distL="0" distR="0">
                <wp:extent cx="6126480" cy="1927860"/>
                <wp:effectExtent l="0" t="0" r="0" b="0"/>
                <wp:docPr id="20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96"/>
                        <a:stretch/>
                      </pic:blipFill>
                      <pic:spPr bwMode="auto">
                        <a:xfrm>
                          <a:off x="0" y="0"/>
                          <a:ext cx="6126480" cy="19278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8" o:spid="_x0000_s208" type="#_x0000_t75" style="mso-wrap-distance-left:0.0pt;mso-wrap-distance-top:0.0pt;mso-wrap-distance-right:0.0pt;mso-wrap-distance-bottom:0.0pt;width:482.4pt;height:151.8pt;" stroked="f">
                <v:path textboxrect="0,0,0,0"/>
                <v:imagedata r:id="rId196" o:title=""/>
              </v:shape>
            </w:pict>
          </mc:Fallback>
        </mc:AlternateContent>
      </w:r>
      <w:r/>
    </w:p>
    <w:p>
      <w:pPr>
        <w:pStyle w:val="983"/>
      </w:pPr>
      <w:r>
        <w:fldChar w:fldCharType="begin"/>
      </w:r>
      <w:r>
        <w:instrText xml:space="preserve"> SEQ Рисунок \* ARABIC </w:instrText>
      </w:r>
      <w:r>
        <w:fldChar w:fldCharType="separate"/>
      </w:r>
      <w:bookmarkStart w:id="1048" w:name="_Ref272408334"/>
      <w:r/>
      <w:bookmarkStart w:id="1049" w:name="_Toc88819515"/>
      <w:r>
        <w:t xml:space="preserve">130</w:t>
      </w:r>
      <w:bookmarkEnd w:id="1048"/>
      <w:r>
        <w:fldChar w:fldCharType="end"/>
      </w:r>
      <w:r>
        <w:t xml:space="preserve">. ЭФ документа «Уведомление об уточнении операций клиента</w:t>
      </w:r>
      <w:r>
        <w:t xml:space="preserve">», закладки «</w:t>
      </w:r>
      <w:r>
        <w:t xml:space="preserve">Документ (1)»</w:t>
      </w:r>
      <w:bookmarkEnd w:id="1049"/>
      <w:r/>
      <w:r/>
    </w:p>
    <w:p>
      <w:pPr>
        <w:pStyle w:val="994"/>
      </w:pPr>
      <w:r>
        <w:t xml:space="preserve">Для ручного ввода документа следует на ЭФ документа заполнить поля, доступные для редактирования</w:t>
      </w:r>
      <w:r>
        <w:t xml:space="preserve">. </w:t>
      </w:r>
      <w:r/>
    </w:p>
    <w:p>
      <w:pPr>
        <w:pStyle w:val="994"/>
      </w:pPr>
      <w:r>
        <w:t xml:space="preserve">Перечень полей </w:t>
      </w:r>
      <w:r>
        <w:t xml:space="preserve">документа «Уведомление об уточнении операций клиента», закладки «Документ (1)»</w:t>
      </w:r>
      <w:r>
        <w:t xml:space="preserve"> </w:t>
      </w:r>
      <w:r>
        <w:t xml:space="preserve">приведен в </w:t>
      </w:r>
      <w:r>
        <w:t xml:space="preserve">таблице </w:t>
      </w:r>
      <w:r>
        <w:fldChar w:fldCharType="begin"/>
      </w:r>
      <w:r>
        <w:instrText xml:space="preserve"> REF _Ref317609462 \h  \* MERGEFORMAT </w:instrText>
      </w:r>
      <w:r>
        <w:fldChar w:fldCharType="separate"/>
      </w:r>
      <w:r>
        <w:t xml:space="preserve">71</w:t>
      </w:r>
      <w:r>
        <w:fldChar w:fldCharType="end"/>
      </w:r>
      <w:r>
        <w:t xml:space="preserve">.</w:t>
      </w:r>
      <w:r/>
    </w:p>
    <w:p>
      <w:pPr>
        <w:pStyle w:val="993"/>
      </w:pPr>
      <w:r>
        <w:fldChar w:fldCharType="begin"/>
      </w:r>
      <w:r>
        <w:instrText xml:space="preserve"> SEQ Таблица \* ARABIC </w:instrText>
      </w:r>
      <w:r>
        <w:fldChar w:fldCharType="separate"/>
      </w:r>
      <w:bookmarkStart w:id="1050" w:name="_Ref317609462"/>
      <w:r/>
      <w:bookmarkStart w:id="1051" w:name="_Toc88819257"/>
      <w:r>
        <w:t xml:space="preserve">71</w:t>
      </w:r>
      <w:bookmarkEnd w:id="1050"/>
      <w:r>
        <w:fldChar w:fldCharType="end"/>
      </w:r>
      <w:r>
        <w:t xml:space="preserve">. Описание полей документа «Уведомление об уточнении операций клиента</w:t>
      </w:r>
      <w:r>
        <w:t xml:space="preserve">», закладки «</w:t>
      </w:r>
      <w:r>
        <w:t xml:space="preserve">Док</w:t>
      </w:r>
      <w:r>
        <w:t xml:space="preserve">у</w:t>
      </w:r>
      <w:r>
        <w:t xml:space="preserve">мент (1)»</w:t>
      </w:r>
      <w:bookmarkEnd w:id="1051"/>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93"/>
        <w:gridCol w:w="7359"/>
      </w:tblGrid>
      <w:tr>
        <w:trPr>
          <w:trHeight w:val="20"/>
          <w:tblHeader/>
        </w:trPr>
        <w:tc>
          <w:tcPr>
            <w:shd w:val="clear" w:fill="E6E6E6" w:color="auto"/>
            <w:tcBorders>
              <w:left w:val="single" w:sz="4" w:space="0" w:color="auto"/>
              <w:top w:val="single" w:sz="4" w:space="0" w:color="auto"/>
              <w:right w:val="single" w:sz="4" w:space="0" w:color="auto"/>
              <w:bottom w:val="single" w:sz="4" w:space="0" w:color="auto"/>
            </w:tcBorders>
            <w:tcW w:w="122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73" w:type="pct"/>
            <w:vAlign w:val="center"/>
            <w:textDirection w:val="lrTb"/>
            <w:noWrap w:val="false"/>
          </w:tcPr>
          <w:p>
            <w:pPr>
              <w:pStyle w:val="1006"/>
            </w:pPr>
            <w:r>
              <w:t xml:space="preserve">Описание</w:t>
            </w:r>
            <w:r>
              <w:t xml:space="preserve"> поля</w:t>
            </w:r>
            <w:r/>
          </w:p>
        </w:tc>
      </w:tr>
      <w:tr>
        <w:trPr>
          <w:trHeight w:val="20"/>
        </w:trPr>
        <w:tc>
          <w:tcPr>
            <w:shd w:val="clear" w:fill="auto" w:color="auto"/>
            <w:tcW w:w="1227" w:type="pct"/>
            <w:textDirection w:val="lrTb"/>
            <w:noWrap w:val="false"/>
          </w:tcPr>
          <w:p>
            <w:pPr>
              <w:pStyle w:val="1005"/>
              <w:ind w:left="57" w:right="57"/>
            </w:pPr>
            <w:r>
              <w:t xml:space="preserve">Номер документа</w:t>
            </w:r>
            <w:r/>
          </w:p>
        </w:tc>
        <w:tc>
          <w:tcPr>
            <w:shd w:val="clear" w:fill="auto" w:color="auto"/>
            <w:tcW w:w="3773" w:type="pct"/>
            <w:textDirection w:val="lrTb"/>
            <w:noWrap w:val="false"/>
          </w:tcPr>
          <w:p>
            <w:pPr>
              <w:pStyle w:val="1005"/>
              <w:ind w:left="57" w:right="57"/>
            </w:pPr>
            <w:r>
              <w:t xml:space="preserve">Вручную.</w:t>
            </w:r>
            <w:r/>
          </w:p>
        </w:tc>
      </w:tr>
      <w:tr>
        <w:trPr>
          <w:trHeight w:val="20"/>
        </w:trPr>
        <w:tc>
          <w:tcPr>
            <w:shd w:val="clear" w:fill="auto" w:color="auto"/>
            <w:tcW w:w="1227" w:type="pct"/>
            <w:textDirection w:val="lrTb"/>
            <w:noWrap w:val="false"/>
          </w:tcPr>
          <w:p>
            <w:pPr>
              <w:pStyle w:val="1005"/>
              <w:ind w:left="57" w:right="57"/>
            </w:pPr>
            <w:r>
              <w:t xml:space="preserve">Дата документа</w:t>
            </w:r>
            <w:r/>
          </w:p>
        </w:tc>
        <w:tc>
          <w:tcPr>
            <w:shd w:val="clear" w:fill="auto" w:color="auto"/>
            <w:tcW w:w="3773" w:type="pct"/>
            <w:textDirection w:val="lrTb"/>
            <w:noWrap w:val="false"/>
          </w:tcPr>
          <w:p>
            <w:pPr>
              <w:pStyle w:val="1005"/>
              <w:ind w:left="57" w:right="57"/>
            </w:pPr>
            <w:r>
              <w:t xml:space="preserve">По умолчанию – текущая дата. </w:t>
            </w:r>
            <w:r/>
          </w:p>
          <w:p>
            <w:pPr>
              <w:pStyle w:val="1005"/>
              <w:ind w:left="57" w:right="57"/>
            </w:pPr>
            <w:r>
              <w:t xml:space="preserve">Привязан системный календарь. </w:t>
            </w:r>
            <w:r/>
          </w:p>
          <w:p>
            <w:pPr>
              <w:pStyle w:val="1005"/>
              <w:ind w:left="57" w:right="57"/>
            </w:pPr>
            <w:r>
              <w:t xml:space="preserve">Маска ввода </w:t>
            </w:r>
            <w:r>
              <w:t xml:space="preserve">«DD.MM.YYYY».</w:t>
            </w:r>
            <w:r/>
          </w:p>
          <w:p>
            <w:pPr>
              <w:pStyle w:val="1005"/>
              <w:ind w:left="57" w:right="57"/>
            </w:pPr>
            <w:r>
              <w:t xml:space="preserve">Используется для выбора шаблона печати</w:t>
            </w:r>
            <w:r>
              <w:t xml:space="preserve">.</w:t>
            </w:r>
            <w:r/>
          </w:p>
        </w:tc>
      </w:tr>
      <w:tr>
        <w:trPr>
          <w:trHeight w:val="20"/>
        </w:trPr>
        <w:tc>
          <w:tcPr>
            <w:shd w:val="clear" w:fill="auto" w:color="auto"/>
            <w:tcW w:w="1227" w:type="pct"/>
            <w:textDirection w:val="lrTb"/>
            <w:noWrap w:val="false"/>
          </w:tcPr>
          <w:p>
            <w:pPr>
              <w:pStyle w:val="1005"/>
              <w:ind w:left="57" w:right="57"/>
            </w:pPr>
            <w:r>
              <w:t xml:space="preserve">Единица измерения</w:t>
            </w:r>
            <w:r/>
          </w:p>
        </w:tc>
        <w:tc>
          <w:tcPr>
            <w:shd w:val="clear" w:fill="auto" w:color="auto"/>
            <w:tcW w:w="3773" w:type="pct"/>
            <w:textDirection w:val="lrTb"/>
            <w:noWrap w:val="false"/>
          </w:tcPr>
          <w:p>
            <w:pPr>
              <w:pStyle w:val="1005"/>
              <w:ind w:left="57" w:right="57"/>
            </w:pPr>
            <w:r>
              <w:t xml:space="preserve">По умолчанию </w:t>
            </w:r>
            <w:r>
              <w:t xml:space="preserve">«Руб».</w:t>
            </w:r>
            <w:r/>
          </w:p>
        </w:tc>
      </w:tr>
      <w:tr>
        <w:trPr>
          <w:trHeight w:val="20"/>
        </w:trPr>
        <w:tc>
          <w:tcPr>
            <w:shd w:val="clear" w:fill="auto" w:color="auto"/>
            <w:tcW w:w="1227" w:type="pct"/>
            <w:textDirection w:val="lrTb"/>
            <w:noWrap w:val="false"/>
          </w:tcPr>
          <w:p>
            <w:pPr>
              <w:pStyle w:val="1005"/>
              <w:ind w:left="57" w:right="57"/>
            </w:pPr>
            <w:r>
              <w:t xml:space="preserve">Статус</w:t>
            </w:r>
            <w:r/>
          </w:p>
        </w:tc>
        <w:tc>
          <w:tcPr>
            <w:shd w:val="clear" w:fill="auto" w:color="auto"/>
            <w:tcW w:w="3773" w:type="pct"/>
            <w:textDirection w:val="lrTb"/>
            <w:noWrap w:val="false"/>
          </w:tcPr>
          <w:p>
            <w:pPr>
              <w:pStyle w:val="1005"/>
              <w:ind w:left="57" w:right="57"/>
            </w:pPr>
            <w:r>
              <w:t xml:space="preserve">Статус документа.</w:t>
            </w:r>
            <w:r/>
          </w:p>
        </w:tc>
      </w:tr>
      <w:tr>
        <w:trPr>
          <w:trHeight w:val="20"/>
        </w:trPr>
        <w:tc>
          <w:tcPr>
            <w:shd w:val="clear" w:fill="auto" w:color="auto"/>
            <w:tcW w:w="1227" w:type="pct"/>
            <w:textDirection w:val="lrTb"/>
            <w:noWrap w:val="false"/>
          </w:tcPr>
          <w:p>
            <w:pPr>
              <w:pStyle w:val="1005"/>
              <w:ind w:left="57" w:right="57"/>
            </w:pPr>
            <w:r>
              <w:t xml:space="preserve">Номер ПЗУ</w:t>
            </w:r>
            <w:r/>
          </w:p>
        </w:tc>
        <w:tc>
          <w:tcPr>
            <w:shd w:val="clear" w:fill="auto" w:color="auto"/>
            <w:tcW w:w="3773" w:type="pct"/>
            <w:textDirection w:val="lrTb"/>
            <w:noWrap w:val="false"/>
          </w:tcPr>
          <w:p>
            <w:pPr>
              <w:pStyle w:val="1005"/>
              <w:ind w:left="57" w:right="57"/>
            </w:pPr>
            <w:r>
              <w:t xml:space="preserve">Указывается номер документа «Запрос на выяснение принадлежности платежа» (ф. 0531808). Поле заполняется вручную или при импорте файла ТФФ. Поле доступно для редактирования. Не включается в ЭП.</w:t>
            </w:r>
            <w:r/>
          </w:p>
        </w:tc>
      </w:tr>
      <w:tr>
        <w:trPr>
          <w:trHeight w:val="20"/>
        </w:trPr>
        <w:tc>
          <w:tcPr>
            <w:shd w:val="clear" w:fill="auto" w:color="auto"/>
            <w:tcW w:w="1227" w:type="pct"/>
            <w:textDirection w:val="lrTb"/>
            <w:noWrap w:val="false"/>
          </w:tcPr>
          <w:p>
            <w:pPr>
              <w:pStyle w:val="1005"/>
              <w:ind w:left="57" w:right="57"/>
            </w:pPr>
            <w:r>
              <w:t xml:space="preserve">Дата ПЗУ</w:t>
            </w:r>
            <w:r/>
          </w:p>
        </w:tc>
        <w:tc>
          <w:tcPr>
            <w:shd w:val="clear" w:fill="auto" w:color="auto"/>
            <w:tcW w:w="3773" w:type="pct"/>
            <w:textDirection w:val="lrTb"/>
            <w:noWrap w:val="false"/>
          </w:tcPr>
          <w:p>
            <w:pPr>
              <w:pStyle w:val="1005"/>
              <w:ind w:left="57" w:right="57"/>
            </w:pPr>
            <w:r>
              <w:t xml:space="preserve">Указывается д</w:t>
            </w:r>
            <w:r>
              <w:t xml:space="preserve">ата, на которую сформирован документ «Запрос на выяснение принадлежности платежа» (ф. 0531808). Дата отражается в формате «ДД.ММ.ГГГГ» в кодовой зоне. Поле заполняется вручную или при импорте файла ТФФ. Поле доступно для редактирования. Не включается в ЭП.</w:t>
            </w:r>
            <w:r/>
          </w:p>
        </w:tc>
      </w:tr>
      <w:tr>
        <w:trPr>
          <w:trHeight w:val="20"/>
        </w:trPr>
        <w:tc>
          <w:tcPr>
            <w:gridSpan w:val="2"/>
            <w:shd w:val="clear" w:fill="auto" w:color="auto"/>
            <w:tcW w:w="5000" w:type="pct"/>
            <w:textDirection w:val="lrTb"/>
            <w:noWrap w:val="false"/>
          </w:tcPr>
          <w:p>
            <w:pPr>
              <w:pStyle w:val="1005"/>
              <w:ind w:left="57" w:right="57"/>
            </w:pPr>
            <w:r>
              <w:t xml:space="preserve">Закладка </w:t>
            </w:r>
            <w:r>
              <w:t xml:space="preserve">«Документ (1)»</w:t>
            </w:r>
            <w:r/>
          </w:p>
        </w:tc>
      </w:tr>
      <w:tr>
        <w:trPr>
          <w:trHeight w:val="20"/>
        </w:trPr>
        <w:tc>
          <w:tcPr>
            <w:shd w:val="clear" w:fill="auto" w:color="auto"/>
            <w:tcW w:w="1227" w:type="pct"/>
            <w:textDirection w:val="lrTb"/>
            <w:noWrap w:val="false"/>
          </w:tcPr>
          <w:p>
            <w:pPr>
              <w:pStyle w:val="1005"/>
              <w:ind w:left="57" w:right="57"/>
            </w:pPr>
            <w:r>
              <w:t xml:space="preserve">Клиент</w:t>
            </w:r>
            <w:r/>
          </w:p>
        </w:tc>
        <w:tc>
          <w:tcPr>
            <w:shd w:val="clear" w:fill="auto" w:color="auto"/>
            <w:tcW w:w="3773" w:type="pct"/>
            <w:textDirection w:val="lrTb"/>
            <w:noWrap w:val="false"/>
          </w:tcPr>
          <w:p>
            <w:pPr>
              <w:pStyle w:val="1005"/>
              <w:ind w:left="57" w:right="57"/>
            </w:pPr>
            <w:r>
              <w:t xml:space="preserve">Зап</w:t>
            </w:r>
            <w:r>
              <w:t xml:space="preserve">олняется</w:t>
            </w:r>
            <w:r>
              <w:t xml:space="preserve"> автоматически н</w:t>
            </w:r>
            <w:r>
              <w:t xml:space="preserve">а основании системной константы.</w:t>
            </w:r>
            <w:r/>
          </w:p>
          <w:p>
            <w:pPr>
              <w:pStyle w:val="1005"/>
              <w:ind w:left="57" w:right="57"/>
            </w:pPr>
            <w:r>
              <w:t xml:space="preserve">Прикреплен справочник:</w:t>
            </w:r>
            <w:r/>
          </w:p>
          <w:p>
            <w:pPr>
              <w:pStyle w:val="1008"/>
              <w:numPr>
                <w:ilvl w:val="0"/>
                <w:numId w:val="123"/>
              </w:numPr>
            </w:pPr>
            <w:r>
              <w:t xml:space="preserve">НУБП, если Признак перехода на СР = 0. </w:t>
            </w:r>
            <w:r/>
          </w:p>
          <w:p>
            <w:pPr>
              <w:pStyle w:val="1008"/>
            </w:pPr>
            <w:r>
              <w:t xml:space="preserve">СР, если Признак перехода на СР = 1.</w:t>
            </w:r>
            <w:r/>
          </w:p>
          <w:p>
            <w:pPr>
              <w:pStyle w:val="1005"/>
              <w:ind w:left="57" w:right="57"/>
            </w:pPr>
            <w:r>
              <w:t xml:space="preserve">Список записей для выбора из справочника СР</w:t>
            </w:r>
            <w:r>
              <w:t xml:space="preserve"> </w:t>
            </w:r>
            <w:r>
              <w:t xml:space="preserve">ограничен по параметрам:</w:t>
            </w:r>
            <w:r/>
          </w:p>
          <w:p>
            <w:pPr>
              <w:pStyle w:val="1007"/>
            </w:pPr>
            <w:r>
              <w:t xml:space="preserve">Код типа организации = 05, 20, 09;</w:t>
            </w:r>
            <w:r/>
          </w:p>
          <w:p>
            <w:pPr>
              <w:pStyle w:val="1007"/>
              <w:numPr>
                <w:ilvl w:val="0"/>
                <w:numId w:val="0"/>
              </w:numPr>
            </w:pPr>
            <w:r>
              <w:t xml:space="preserve">Код типа организации = 03 с Кодом типа учреждения = 2 или 3.</w:t>
            </w:r>
            <w:r/>
          </w:p>
        </w:tc>
      </w:tr>
      <w:tr>
        <w:trPr>
          <w:trHeight w:val="20"/>
        </w:trPr>
        <w:tc>
          <w:tcPr>
            <w:shd w:val="clear" w:fill="auto" w:color="auto"/>
            <w:tcW w:w="1227" w:type="pct"/>
            <w:textDirection w:val="lrTb"/>
            <w:noWrap w:val="false"/>
          </w:tcPr>
          <w:p>
            <w:pPr>
              <w:pStyle w:val="1005"/>
              <w:ind w:left="57" w:right="57"/>
            </w:pPr>
            <w:r>
              <w:t xml:space="preserve">По ОКПО</w:t>
            </w:r>
            <w:r/>
          </w:p>
        </w:tc>
        <w:tc>
          <w:tcPr>
            <w:shd w:val="clear" w:fill="auto" w:color="auto"/>
            <w:tcW w:w="3773" w:type="pct"/>
            <w:textDirection w:val="lrTb"/>
            <w:noWrap w:val="false"/>
          </w:tcPr>
          <w:p>
            <w:pPr>
              <w:pStyle w:val="1005"/>
              <w:ind w:left="57" w:right="57"/>
            </w:pPr>
            <w:r>
              <w:t xml:space="preserve">Заполняется автоматически по умолчанию значением поля «ОКПО» на основании системной константы.</w:t>
            </w:r>
            <w:r/>
          </w:p>
          <w:p>
            <w:pPr>
              <w:pStyle w:val="1005"/>
              <w:ind w:left="57" w:right="57"/>
            </w:pPr>
            <w:r>
              <w:t xml:space="preserve">Доступно заполнение из справочников НУБП или СР значением поля «ОКПО» из соответствующей записи справочника с учётом:</w:t>
            </w:r>
            <w:r/>
          </w:p>
          <w:p>
            <w:pPr>
              <w:pStyle w:val="1008"/>
              <w:numPr>
                <w:ilvl w:val="0"/>
                <w:numId w:val="124"/>
              </w:numPr>
            </w:pPr>
            <w:r>
              <w:t xml:space="preserve"> НУБП, если Признак перехода на СР = 0. </w:t>
            </w:r>
            <w:r/>
          </w:p>
          <w:p>
            <w:pPr>
              <w:pStyle w:val="1008"/>
            </w:pPr>
            <w:r>
              <w:t xml:space="preserve">СР, если Признак перехода на СР = 1.</w:t>
            </w:r>
            <w:r/>
          </w:p>
          <w:p>
            <w:pPr>
              <w:pStyle w:val="1005"/>
              <w:ind w:left="57" w:right="57"/>
            </w:pPr>
            <w:r>
              <w:t xml:space="preserve">Список записей для выбора из справочника СР</w:t>
            </w:r>
            <w:r>
              <w:t xml:space="preserve"> </w:t>
            </w:r>
            <w:r>
              <w:t xml:space="preserve">ограничен по параметрам:</w:t>
            </w:r>
            <w:r/>
          </w:p>
          <w:p>
            <w:pPr>
              <w:pStyle w:val="1007"/>
            </w:pPr>
            <w:r>
              <w:t xml:space="preserve">Код типа организации = 05, 20, 09;</w:t>
            </w:r>
            <w:r/>
          </w:p>
          <w:p>
            <w:pPr>
              <w:pStyle w:val="1007"/>
            </w:pPr>
            <w:r>
              <w:t xml:space="preserve">Код типа организации = 03 с Кодом типа учреждения = 2 или 3</w:t>
            </w:r>
            <w:r>
              <w:t xml:space="preserve">.</w:t>
            </w:r>
            <w:r/>
          </w:p>
        </w:tc>
      </w:tr>
      <w:tr>
        <w:trPr>
          <w:trHeight w:val="20"/>
        </w:trPr>
        <w:tc>
          <w:tcPr>
            <w:shd w:val="clear" w:fill="auto" w:color="auto"/>
            <w:tcW w:w="1227" w:type="pct"/>
            <w:textDirection w:val="lrTb"/>
            <w:noWrap w:val="false"/>
          </w:tcPr>
          <w:p>
            <w:pPr>
              <w:pStyle w:val="1005"/>
              <w:ind w:left="57" w:right="57"/>
            </w:pPr>
            <w:r>
              <w:t xml:space="preserve">Орган Федерального к</w:t>
            </w:r>
            <w:r>
              <w:t xml:space="preserve">азначейства</w:t>
            </w:r>
            <w:r/>
          </w:p>
        </w:tc>
        <w:tc>
          <w:tcPr>
            <w:shd w:val="clear" w:fill="auto" w:color="auto"/>
            <w:tcW w:w="3773" w:type="pct"/>
            <w:textDirection w:val="lrTb"/>
            <w:noWrap w:val="false"/>
          </w:tcPr>
          <w:p>
            <w:pPr>
              <w:pStyle w:val="1005"/>
              <w:ind w:left="57" w:right="57"/>
            </w:pPr>
            <w:r>
              <w:t xml:space="preserve">Привязан справочник Органов Федерального к</w:t>
            </w:r>
            <w:r>
              <w:t xml:space="preserve">азначейства.</w:t>
            </w:r>
            <w:r/>
          </w:p>
          <w:p>
            <w:pPr>
              <w:pStyle w:val="1005"/>
              <w:ind w:left="57" w:right="57"/>
            </w:pPr>
            <w:r>
              <w:t xml:space="preserve">Автоматически подтягивается </w:t>
            </w:r>
            <w:r>
              <w:t xml:space="preserve">«Наименование» из справочника «Органов Федерального казначейства», в соответствии с кодом ОрФК, указанным в поле «КОФК». </w:t>
            </w:r>
            <w:r/>
          </w:p>
        </w:tc>
      </w:tr>
      <w:tr>
        <w:trPr>
          <w:trHeight w:val="20"/>
        </w:trPr>
        <w:tc>
          <w:tcPr>
            <w:shd w:val="clear" w:fill="auto" w:color="auto"/>
            <w:tcW w:w="1227" w:type="pct"/>
            <w:textDirection w:val="lrTb"/>
            <w:noWrap w:val="false"/>
          </w:tcPr>
          <w:p>
            <w:pPr>
              <w:pStyle w:val="1005"/>
              <w:ind w:left="57" w:right="57"/>
            </w:pPr>
            <w:r>
              <w:t xml:space="preserve">По КОФК</w:t>
            </w:r>
            <w:r/>
          </w:p>
        </w:tc>
        <w:tc>
          <w:tcPr>
            <w:shd w:val="clear" w:fill="auto" w:color="auto"/>
            <w:tcW w:w="3773" w:type="pct"/>
            <w:textDirection w:val="lrTb"/>
            <w:noWrap w:val="false"/>
          </w:tcPr>
          <w:p>
            <w:pPr>
              <w:pStyle w:val="1005"/>
              <w:ind w:left="57" w:right="57"/>
            </w:pPr>
            <w:r>
              <w:t xml:space="preserve">Проверяется значение константы</w:t>
            </w:r>
            <w:r>
              <w:t xml:space="preserve"> </w:t>
            </w:r>
            <w:r>
              <w:t xml:space="preserve">«Код собственного ТОФК»</w:t>
            </w:r>
            <w:r>
              <w:t xml:space="preserve">. </w:t>
            </w:r>
            <w:r/>
          </w:p>
          <w:p>
            <w:pPr>
              <w:pStyle w:val="1005"/>
              <w:ind w:left="57" w:right="57"/>
            </w:pPr>
            <w:r>
              <w:t xml:space="preserve">Если оно равно ххуу, то по умолчанию проставляется значение конста</w:t>
            </w:r>
            <w:r>
              <w:t xml:space="preserve">нты </w:t>
            </w:r>
            <w:r>
              <w:t xml:space="preserve">«Код вышестоящего ТОФК»</w:t>
            </w:r>
            <w:r>
              <w:t xml:space="preserve">, равный хх00; если равна хх00, то по умолча</w:t>
            </w:r>
            <w:r>
              <w:t xml:space="preserve">нию пр</w:t>
            </w:r>
            <w:r>
              <w:t xml:space="preserve">о</w:t>
            </w:r>
            <w:r>
              <w:t xml:space="preserve">ставляется значение </w:t>
            </w:r>
            <w:r>
              <w:t xml:space="preserve">«Код собственного ТОФК»</w:t>
            </w:r>
            <w:r>
              <w:t xml:space="preserve">.</w:t>
            </w:r>
            <w:r/>
          </w:p>
        </w:tc>
      </w:tr>
      <w:tr>
        <w:trPr>
          <w:trHeight w:val="20"/>
        </w:trPr>
        <w:tc>
          <w:tcPr>
            <w:shd w:val="clear" w:fill="auto" w:color="auto"/>
            <w:tcW w:w="1227" w:type="pct"/>
            <w:textDirection w:val="lrTb"/>
            <w:noWrap w:val="false"/>
          </w:tcPr>
          <w:p>
            <w:pPr>
              <w:pStyle w:val="1005"/>
              <w:ind w:left="57" w:right="57"/>
            </w:pPr>
            <w:r>
              <w:t xml:space="preserve">Дата</w:t>
            </w:r>
            <w:r/>
          </w:p>
        </w:tc>
        <w:tc>
          <w:tcPr>
            <w:shd w:val="clear" w:fill="auto" w:color="auto"/>
            <w:tcW w:w="3773" w:type="pct"/>
            <w:textDirection w:val="lrTb"/>
            <w:noWrap w:val="false"/>
          </w:tcPr>
          <w:p>
            <w:pPr>
              <w:pStyle w:val="1005"/>
              <w:ind w:left="57" w:right="57"/>
            </w:pPr>
            <w:r>
              <w:t xml:space="preserve">Автоматически подставляется значение из поля </w:t>
            </w:r>
            <w:r>
              <w:t xml:space="preserve">«Дата документа».</w:t>
            </w:r>
            <w:r/>
          </w:p>
          <w:p>
            <w:pPr>
              <w:pStyle w:val="1005"/>
              <w:ind w:left="57" w:right="57"/>
            </w:pPr>
            <w:r>
              <w:t xml:space="preserve">Привязан системный календарь. Маска ввода </w:t>
            </w:r>
            <w:r>
              <w:t xml:space="preserve">«DD.MM.YYYY».</w:t>
            </w:r>
            <w:r/>
          </w:p>
        </w:tc>
      </w:tr>
      <w:tr>
        <w:trPr>
          <w:trHeight w:val="20"/>
        </w:trPr>
        <w:tc>
          <w:tcPr>
            <w:shd w:val="clear" w:fill="auto" w:color="auto"/>
            <w:tcW w:w="1227" w:type="pct"/>
            <w:textDirection w:val="lrTb"/>
            <w:noWrap w:val="false"/>
          </w:tcPr>
          <w:p>
            <w:pPr>
              <w:pStyle w:val="1005"/>
              <w:ind w:left="57" w:right="57"/>
            </w:pPr>
            <w:r>
              <w:t xml:space="preserve">Номер ЛС</w:t>
            </w:r>
            <w:r/>
          </w:p>
        </w:tc>
        <w:tc>
          <w:tcPr>
            <w:shd w:val="clear" w:fill="auto" w:color="auto"/>
            <w:tcW w:w="3773" w:type="pct"/>
            <w:textDirection w:val="lrTb"/>
            <w:noWrap w:val="false"/>
          </w:tcPr>
          <w:p>
            <w:pPr>
              <w:pStyle w:val="1005"/>
              <w:ind w:left="57" w:right="57"/>
            </w:pPr>
            <w:r>
              <w:t xml:space="preserve">Привязан справочник </w:t>
            </w:r>
            <w:r>
              <w:t xml:space="preserve">«Информация о ЛС».</w:t>
            </w:r>
            <w:r/>
          </w:p>
          <w:p>
            <w:pPr>
              <w:pStyle w:val="1005"/>
              <w:ind w:left="57" w:right="57"/>
            </w:pPr>
            <w:r>
              <w:t xml:space="preserve">Автоматически соответственно системной константе</w:t>
            </w:r>
            <w:r>
              <w:t xml:space="preserve"> «</w:t>
            </w:r>
            <w:r>
              <w:t xml:space="preserve">Код собственного БУ</w:t>
            </w:r>
            <w:r>
              <w:t xml:space="preserve">»</w:t>
            </w:r>
            <w:r>
              <w:t xml:space="preserve"> и с</w:t>
            </w:r>
            <w:r>
              <w:t xml:space="preserve">оответствующему ему типу лицевого счета с кодами «41», «20», «21», «22», «30», «31», «32» может быть отредакти</w:t>
            </w:r>
            <w:r>
              <w:t xml:space="preserve">рован вручную или выбором из справочника «Информация о ЛС» (выбор значений справочника ограничен указанным кодом клиента и кодом типа ЛС = «41», «20», «21», «22», «30», «31», «32»). При наличии нескольких счетов у клиентов поле «Номер ЛС» оставлять пустым.</w:t>
            </w:r>
            <w:r/>
          </w:p>
        </w:tc>
      </w:tr>
    </w:tbl>
    <w:p>
      <w:pPr>
        <w:pStyle w:val="994"/>
      </w:pPr>
      <w:r>
        <w:t xml:space="preserve">Закладка </w:t>
      </w:r>
      <w:r>
        <w:t xml:space="preserve">«Платежные документы» (рис. </w:t>
      </w:r>
      <w:r>
        <w:fldChar w:fldCharType="begin"/>
      </w:r>
      <w:r>
        <w:instrText xml:space="preserve"> REF _Ref272408338 \h  \* MERGEFORMAT </w:instrText>
      </w:r>
      <w:r>
        <w:fldChar w:fldCharType="separate"/>
      </w:r>
      <w:r>
        <w:t xml:space="preserve">131</w:t>
      </w:r>
      <w:r>
        <w:fldChar w:fldCharType="end"/>
      </w:r>
      <w:r>
        <w:t xml:space="preserve">) содержит два табличных блока:</w:t>
      </w:r>
      <w:r/>
    </w:p>
    <w:p>
      <w:pPr>
        <w:pStyle w:val="1156"/>
      </w:pPr>
      <w:r>
        <w:t xml:space="preserve">«</w:t>
      </w:r>
      <w:r>
        <w:t xml:space="preserve">Реквизиты платежного документа». </w:t>
      </w:r>
      <w:r/>
    </w:p>
    <w:p>
      <w:pPr>
        <w:pStyle w:val="991"/>
      </w:pPr>
      <w:r>
        <w:t xml:space="preserve">Блок содержит строки с реквизитами платежных документов, по которым требуе</w:t>
      </w:r>
      <w:r>
        <w:t xml:space="preserve">тся уточнение. В полях «Назначение платежа», «Примечание» отображаются значения соответствующих полей текущей строки.</w:t>
      </w:r>
      <w:r/>
    </w:p>
    <w:p>
      <w:pPr>
        <w:pStyle w:val="1156"/>
      </w:pPr>
      <w:r>
        <w:t xml:space="preserve">«</w:t>
      </w:r>
      <w:r>
        <w:t xml:space="preserve">Изменить на реквизиты».</w:t>
      </w:r>
      <w:r/>
    </w:p>
    <w:p>
      <w:pPr>
        <w:pStyle w:val="991"/>
      </w:pPr>
      <w:r>
        <w:t xml:space="preserve">Блок содержит строки с уточненными реквизитами платежного документа, в</w:t>
      </w:r>
      <w:r>
        <w:t xml:space="preserve">ыбранного в блоке «Реквизиты платежного документа». В поле «Назначение платежа» отображается соответствующее значение уточненного реквизита.</w:t>
      </w:r>
      <w:r/>
    </w:p>
    <w:p>
      <w:pPr>
        <w:pStyle w:val="994"/>
      </w:pPr>
      <w:r>
        <w:t xml:space="preserve">ЭФ документа «Уведомление об уточнении операций клиента», закладки «Платежные документы (2)»</w:t>
      </w:r>
      <w:r>
        <w:t xml:space="preserve"> представлена на рисунке </w:t>
      </w:r>
      <w:r>
        <w:fldChar w:fldCharType="begin"/>
      </w:r>
      <w:r>
        <w:instrText xml:space="preserve"> REF _Ref272408338 \h  \* MERGEFORMAT </w:instrText>
      </w:r>
      <w:r>
        <w:fldChar w:fldCharType="separate"/>
      </w:r>
      <w:r>
        <w:t xml:space="preserve">131</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3657600"/>
                <wp:effectExtent l="0" t="0" r="0" b="0"/>
                <wp:docPr id="21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97"/>
                        <a:stretch/>
                      </pic:blipFill>
                      <pic:spPr bwMode="auto">
                        <a:xfrm>
                          <a:off x="0" y="0"/>
                          <a:ext cx="6035039" cy="3657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 o:spid="_x0000_s209" type="#_x0000_t75" style="mso-wrap-distance-left:0.0pt;mso-wrap-distance-top:0.0pt;mso-wrap-distance-right:0.0pt;mso-wrap-distance-bottom:0.0pt;width:475.2pt;height:288.0pt;" stroked="f">
                <v:path textboxrect="0,0,0,0"/>
                <v:imagedata r:id="rId197" o:title=""/>
              </v:shape>
            </w:pict>
          </mc:Fallback>
        </mc:AlternateContent>
      </w:r>
      <w:r/>
    </w:p>
    <w:p>
      <w:pPr>
        <w:pStyle w:val="983"/>
      </w:pPr>
      <w:r>
        <w:fldChar w:fldCharType="begin"/>
      </w:r>
      <w:r>
        <w:instrText xml:space="preserve"> SEQ Рисунок \* ARABIC </w:instrText>
      </w:r>
      <w:r>
        <w:fldChar w:fldCharType="separate"/>
      </w:r>
      <w:bookmarkStart w:id="1052" w:name="_Ref272408338"/>
      <w:r/>
      <w:bookmarkStart w:id="1053" w:name="_Toc88819516"/>
      <w:r>
        <w:t xml:space="preserve">131</w:t>
      </w:r>
      <w:bookmarkEnd w:id="1052"/>
      <w:r>
        <w:fldChar w:fldCharType="end"/>
      </w:r>
      <w:r>
        <w:t xml:space="preserve">. ЭФ документа «Уведомление об уточнении операций клиента</w:t>
      </w:r>
      <w:r>
        <w:t xml:space="preserve">», закладки «</w:t>
      </w:r>
      <w:r>
        <w:t xml:space="preserve">Платежные документы (2)»</w:t>
      </w:r>
      <w:bookmarkEnd w:id="1053"/>
      <w:r/>
      <w:r/>
    </w:p>
    <w:p>
      <w:pPr>
        <w:pStyle w:val="994"/>
      </w:pPr>
      <w:r>
        <w:t xml:space="preserve">Перечень </w:t>
      </w:r>
      <w:r>
        <w:t xml:space="preserve">полей документа «Уведомление об уточнении операций клиента</w:t>
      </w:r>
      <w:r>
        <w:t xml:space="preserve">», закладки «</w:t>
      </w:r>
      <w:r>
        <w:t xml:space="preserve">Платежные документы (2)» </w:t>
      </w:r>
      <w:r>
        <w:t xml:space="preserve">приведен в таблице</w:t>
      </w:r>
      <w:r>
        <w:t xml:space="preserve"> </w:t>
      </w:r>
      <w:r>
        <w:fldChar w:fldCharType="begin"/>
      </w:r>
      <w:r>
        <w:instrText xml:space="preserve"> REF _Ref314824088 \h </w:instrText>
      </w:r>
      <w:r>
        <w:instrText xml:space="preserve"> \* MERGEFORMAT </w:instrText>
      </w:r>
      <w:r>
        <w:fldChar w:fldCharType="separate"/>
      </w:r>
      <w:r>
        <w:t xml:space="preserve">72</w:t>
      </w:r>
      <w:r>
        <w:fldChar w:fldCharType="end"/>
      </w:r>
      <w:r>
        <w:t xml:space="preserve">.</w:t>
      </w:r>
      <w:r/>
    </w:p>
    <w:p>
      <w:pPr>
        <w:pStyle w:val="993"/>
      </w:pPr>
      <w:r>
        <w:fldChar w:fldCharType="begin"/>
      </w:r>
      <w:r>
        <w:instrText xml:space="preserve"> SEQ Таблица \* ARABIC </w:instrText>
      </w:r>
      <w:r>
        <w:fldChar w:fldCharType="separate"/>
      </w:r>
      <w:bookmarkStart w:id="1054" w:name="_Ref314824088"/>
      <w:r/>
      <w:bookmarkStart w:id="1055" w:name="_Toc88819258"/>
      <w:r>
        <w:t xml:space="preserve">72</w:t>
      </w:r>
      <w:bookmarkEnd w:id="1054"/>
      <w:r>
        <w:fldChar w:fldCharType="end"/>
      </w:r>
      <w:r>
        <w:t xml:space="preserve">. Описание полей документа «Уведомление об уточнении операций клиента</w:t>
      </w:r>
      <w:r>
        <w:t xml:space="preserve">», закладки «</w:t>
      </w:r>
      <w:r>
        <w:t xml:space="preserve">Пл</w:t>
      </w:r>
      <w:r>
        <w:t xml:space="preserve">а</w:t>
      </w:r>
      <w:r>
        <w:t xml:space="preserve">тежные документы (2)»</w:t>
      </w:r>
      <w:bookmarkEnd w:id="1055"/>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467"/>
        <w:gridCol w:w="7285"/>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265"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35"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«Реквизиты платежного документа»</w:t>
            </w:r>
            <w:r/>
          </w:p>
        </w:tc>
      </w:tr>
      <w:tr>
        <w:trPr/>
        <w:tc>
          <w:tcPr>
            <w:shd w:val="clear" w:fill="auto" w:color="auto"/>
            <w:tcW w:w="1265" w:type="pct"/>
            <w:textDirection w:val="lrTb"/>
            <w:noWrap w:val="false"/>
          </w:tcPr>
          <w:p>
            <w:pPr>
              <w:pStyle w:val="1005"/>
              <w:ind w:left="57" w:right="57"/>
            </w:pPr>
            <w:r>
              <w:t xml:space="preserve">№ п/п</w:t>
            </w:r>
            <w:r/>
          </w:p>
        </w:tc>
        <w:tc>
          <w:tcPr>
            <w:shd w:val="clear" w:fill="auto" w:color="auto"/>
            <w:tcW w:w="3735" w:type="pct"/>
            <w:textDirection w:val="lrTb"/>
            <w:noWrap w:val="false"/>
          </w:tcPr>
          <w:p>
            <w:pPr>
              <w:pStyle w:val="1005"/>
              <w:ind w:left="57" w:right="57"/>
            </w:pPr>
            <w:r>
              <w:t xml:space="preserve">Автонумерация строк с </w:t>
            </w:r>
            <w:r>
              <w:t xml:space="preserve">«1».</w:t>
            </w:r>
            <w:r/>
          </w:p>
        </w:tc>
      </w:tr>
      <w:tr>
        <w:trPr/>
        <w:tc>
          <w:tcPr>
            <w:shd w:val="clear" w:fill="auto" w:color="auto"/>
            <w:tcW w:w="1265" w:type="pct"/>
            <w:textDirection w:val="lrTb"/>
            <w:noWrap w:val="false"/>
          </w:tcPr>
          <w:p>
            <w:pPr>
              <w:pStyle w:val="1005"/>
              <w:ind w:left="57" w:right="57"/>
            </w:pPr>
            <w:r>
              <w:t xml:space="preserve">Наименование</w:t>
            </w:r>
            <w:r/>
          </w:p>
        </w:tc>
        <w:tc>
          <w:tcPr>
            <w:shd w:val="clear" w:fill="auto" w:color="auto"/>
            <w:tcW w:w="3735" w:type="pct"/>
            <w:textDirection w:val="lrTb"/>
            <w:noWrap w:val="false"/>
          </w:tcPr>
          <w:p>
            <w:pPr>
              <w:pStyle w:val="1005"/>
              <w:ind w:left="57" w:right="57"/>
            </w:pPr>
            <w:r>
              <w:t xml:space="preserve">Выбирается из списка:</w:t>
            </w:r>
            <w:r/>
          </w:p>
          <w:p>
            <w:pPr>
              <w:pStyle w:val="1007"/>
            </w:pPr>
            <w:r>
              <w:t xml:space="preserve">«Заявка на возврат»;</w:t>
            </w:r>
            <w:r/>
          </w:p>
          <w:p>
            <w:pPr>
              <w:pStyle w:val="1007"/>
            </w:pPr>
            <w:r>
              <w:t xml:space="preserve">«Заявка на кассовый расход»;</w:t>
            </w:r>
            <w:r/>
          </w:p>
          <w:p>
            <w:pPr>
              <w:pStyle w:val="1007"/>
            </w:pPr>
            <w:r>
              <w:t xml:space="preserve">«Заявка на получение наличных денег»;</w:t>
            </w:r>
            <w:r/>
          </w:p>
          <w:p>
            <w:pPr>
              <w:pStyle w:val="1007"/>
            </w:pPr>
            <w:r>
              <w:t xml:space="preserve">«Заявка на получение денежных средств, перечисляемых на карту»;</w:t>
            </w:r>
            <w:r/>
          </w:p>
          <w:p>
            <w:pPr>
              <w:pStyle w:val="1007"/>
            </w:pPr>
            <w:r>
              <w:t xml:space="preserve">«Платежное поручение»;</w:t>
            </w:r>
            <w:r/>
          </w:p>
          <w:p>
            <w:pPr>
              <w:pStyle w:val="1007"/>
            </w:pPr>
            <w:r>
              <w:t xml:space="preserve">«Бухгалтерская справка ф. 0504833»; (новое значение должно быть в списке начиная с системной даты 01.10.2015, ранее должно быть в списке старое значение – «Справка ф. 0504833»)</w:t>
            </w:r>
            <w:r>
              <w:t xml:space="preserve">;</w:t>
            </w:r>
            <w:r/>
          </w:p>
          <w:p>
            <w:pPr>
              <w:pStyle w:val="1007"/>
            </w:pPr>
            <w:r>
              <w:t xml:space="preserve">«Уведомление об уточнении операций клиента»;</w:t>
            </w:r>
            <w:r/>
          </w:p>
          <w:p>
            <w:pPr>
              <w:pStyle w:val="1007"/>
            </w:pPr>
            <w:r>
              <w:t xml:space="preserve">«Сводная заявка на кассовый расход (для уплаты налогов)»;</w:t>
            </w:r>
            <w:r/>
          </w:p>
          <w:p>
            <w:pPr>
              <w:pStyle w:val="1007"/>
            </w:pPr>
            <w:r>
              <w:t xml:space="preserve">«</w:t>
            </w:r>
            <w:r>
              <w:t xml:space="preserve">Заявка для обеспечения наличными денежными средствами</w:t>
            </w:r>
            <w:r>
              <w:t xml:space="preserve">»</w:t>
            </w:r>
            <w:r>
              <w:t xml:space="preserve">;</w:t>
            </w:r>
            <w:r/>
          </w:p>
          <w:p>
            <w:pPr>
              <w:pStyle w:val="1007"/>
            </w:pPr>
            <w:r>
              <w:t xml:space="preserve">«Поручение о перечислении на счет».</w:t>
            </w:r>
            <w:r/>
          </w:p>
          <w:p>
            <w:pPr>
              <w:pStyle w:val="1005"/>
              <w:ind w:left="57" w:right="57"/>
            </w:pPr>
            <w:r>
              <w:t xml:space="preserve">По умолчанию – пустое значение.</w:t>
            </w:r>
            <w:r/>
          </w:p>
        </w:tc>
      </w:tr>
      <w:tr>
        <w:trPr/>
        <w:tc>
          <w:tcPr>
            <w:shd w:val="clear" w:fill="auto" w:color="auto"/>
            <w:tcW w:w="1265" w:type="pct"/>
            <w:textDirection w:val="lrTb"/>
            <w:noWrap w:val="false"/>
          </w:tcPr>
          <w:p>
            <w:pPr>
              <w:pStyle w:val="1005"/>
              <w:ind w:left="57" w:right="57"/>
            </w:pPr>
            <w:r>
              <w:t xml:space="preserve">Номер</w:t>
            </w:r>
            <w:r/>
          </w:p>
        </w:tc>
        <w:tc>
          <w:tcPr>
            <w:shd w:val="clear" w:fill="auto" w:color="auto"/>
            <w:tcW w:w="3735" w:type="pct"/>
            <w:textDirection w:val="lrTb"/>
            <w:noWrap w:val="false"/>
          </w:tcPr>
          <w:p>
            <w:pPr>
              <w:pStyle w:val="1005"/>
              <w:ind w:left="57" w:right="57"/>
            </w:pPr>
            <w:r>
              <w:t xml:space="preserve">Вручную.</w:t>
            </w:r>
            <w:r/>
          </w:p>
        </w:tc>
      </w:tr>
      <w:tr>
        <w:trPr/>
        <w:tc>
          <w:tcPr>
            <w:shd w:val="clear" w:fill="auto" w:color="auto"/>
            <w:tcW w:w="1265" w:type="pct"/>
            <w:textDirection w:val="lrTb"/>
            <w:noWrap w:val="false"/>
          </w:tcPr>
          <w:p>
            <w:pPr>
              <w:pStyle w:val="1005"/>
              <w:ind w:left="57" w:right="57"/>
            </w:pPr>
            <w:r>
              <w:t xml:space="preserve">Дата</w:t>
            </w:r>
            <w:r/>
          </w:p>
        </w:tc>
        <w:tc>
          <w:tcPr>
            <w:shd w:val="clear" w:fill="auto" w:color="auto"/>
            <w:tcW w:w="3735" w:type="pct"/>
            <w:textDirection w:val="lrTb"/>
            <w:noWrap w:val="false"/>
          </w:tcPr>
          <w:p>
            <w:pPr>
              <w:pStyle w:val="1005"/>
              <w:ind w:left="57" w:right="57"/>
            </w:pPr>
            <w:r>
              <w:t xml:space="preserve">Вручную</w:t>
            </w:r>
            <w:r>
              <w:t xml:space="preserve">.</w:t>
            </w:r>
            <w:r/>
          </w:p>
          <w:p>
            <w:pPr>
              <w:pStyle w:val="1005"/>
              <w:ind w:left="57" w:right="57"/>
            </w:pPr>
            <w:r>
              <w:t xml:space="preserve">Привязан системный календарь. </w:t>
            </w:r>
            <w:r/>
          </w:p>
          <w:p>
            <w:pPr>
              <w:pStyle w:val="1005"/>
              <w:ind w:left="57" w:right="57"/>
            </w:pPr>
            <w:r>
              <w:t xml:space="preserve">Маска ввода </w:t>
            </w:r>
            <w:r>
              <w:t xml:space="preserve">«DD.MM.YYYY».</w:t>
            </w:r>
            <w:r/>
          </w:p>
        </w:tc>
      </w:tr>
      <w:tr>
        <w:trPr/>
        <w:tc>
          <w:tcPr>
            <w:shd w:val="clear" w:fill="auto" w:color="auto"/>
            <w:tcW w:w="1265" w:type="pct"/>
            <w:textDirection w:val="lrTb"/>
            <w:noWrap w:val="false"/>
          </w:tcPr>
          <w:p>
            <w:pPr>
              <w:pStyle w:val="1005"/>
              <w:ind w:left="57" w:right="57"/>
            </w:pPr>
            <w:r>
              <w:t xml:space="preserve">Наименование получ</w:t>
            </w:r>
            <w:r>
              <w:t xml:space="preserve">ателя</w:t>
            </w:r>
            <w:r/>
          </w:p>
        </w:tc>
        <w:tc>
          <w:tcPr>
            <w:shd w:val="clear" w:fill="auto" w:color="auto"/>
            <w:tcW w:w="3735" w:type="pct"/>
            <w:textDirection w:val="lrTb"/>
            <w:noWrap w:val="false"/>
          </w:tcPr>
          <w:p>
            <w:pPr>
              <w:pStyle w:val="1005"/>
              <w:ind w:left="57" w:right="57"/>
            </w:pPr>
            <w:r>
              <w:t xml:space="preserve">Значение заполняется автоматически значением поля </w:t>
            </w:r>
            <w:r>
              <w:t xml:space="preserve">«Наименование получателя» таблицы «Платежные документы».</w:t>
            </w:r>
            <w:r/>
          </w:p>
        </w:tc>
      </w:tr>
      <w:tr>
        <w:trPr/>
        <w:tc>
          <w:tcPr>
            <w:shd w:val="clear" w:fill="auto" w:color="auto"/>
            <w:tcW w:w="1265" w:type="pct"/>
            <w:textDirection w:val="lrTb"/>
            <w:noWrap w:val="false"/>
          </w:tcPr>
          <w:p>
            <w:pPr>
              <w:pStyle w:val="1005"/>
              <w:ind w:left="57" w:right="57"/>
            </w:pPr>
            <w:r>
              <w:t xml:space="preserve">ИНН</w:t>
            </w:r>
            <w:r/>
          </w:p>
        </w:tc>
        <w:tc>
          <w:tcPr>
            <w:shd w:val="clear" w:fill="auto" w:color="auto"/>
            <w:tcW w:w="3735" w:type="pct"/>
            <w:textDirection w:val="lrTb"/>
            <w:noWrap w:val="false"/>
          </w:tcPr>
          <w:p>
            <w:pPr>
              <w:pStyle w:val="1005"/>
              <w:ind w:left="57" w:right="57"/>
            </w:pPr>
            <w:r>
              <w:t xml:space="preserve">Вручную.</w:t>
            </w:r>
            <w:r/>
          </w:p>
        </w:tc>
      </w:tr>
      <w:tr>
        <w:trPr/>
        <w:tc>
          <w:tcPr>
            <w:shd w:val="clear" w:fill="auto" w:color="auto"/>
            <w:tcW w:w="1265" w:type="pct"/>
            <w:textDirection w:val="lrTb"/>
            <w:noWrap w:val="false"/>
          </w:tcPr>
          <w:p>
            <w:pPr>
              <w:pStyle w:val="1005"/>
              <w:ind w:left="57" w:right="57"/>
            </w:pPr>
            <w:r>
              <w:t xml:space="preserve">КПП</w:t>
            </w:r>
            <w:r/>
          </w:p>
        </w:tc>
        <w:tc>
          <w:tcPr>
            <w:shd w:val="clear" w:fill="auto" w:color="auto"/>
            <w:tcW w:w="3735" w:type="pct"/>
            <w:textDirection w:val="lrTb"/>
            <w:noWrap w:val="false"/>
          </w:tcPr>
          <w:p>
            <w:pPr>
              <w:pStyle w:val="1005"/>
              <w:ind w:left="57" w:right="57"/>
            </w:pPr>
            <w:r>
              <w:t xml:space="preserve">Вручную.</w:t>
            </w:r>
            <w:r/>
          </w:p>
        </w:tc>
      </w:tr>
      <w:tr>
        <w:trPr/>
        <w:tc>
          <w:tcPr>
            <w:shd w:val="clear" w:fill="auto" w:color="auto"/>
            <w:tcW w:w="1265" w:type="pct"/>
            <w:textDirection w:val="lrTb"/>
            <w:noWrap w:val="false"/>
          </w:tcPr>
          <w:p>
            <w:pPr>
              <w:pStyle w:val="1005"/>
              <w:ind w:left="57" w:right="57"/>
            </w:pPr>
            <w:r>
              <w:t xml:space="preserve">ФАИП</w:t>
            </w:r>
            <w:r/>
          </w:p>
        </w:tc>
        <w:tc>
          <w:tcPr>
            <w:shd w:val="clear" w:fill="auto" w:color="auto"/>
            <w:tcW w:w="3735" w:type="pct"/>
            <w:textDirection w:val="lrTb"/>
            <w:noWrap w:val="false"/>
          </w:tcPr>
          <w:p>
            <w:pPr>
              <w:pStyle w:val="1005"/>
              <w:ind w:left="57" w:right="57"/>
            </w:pPr>
            <w:r>
              <w:t xml:space="preserve">Поле заполняется вручную или при импорте файла ТФФ. Поле доступно для редактирования.</w:t>
            </w:r>
            <w:r/>
          </w:p>
        </w:tc>
      </w:tr>
      <w:tr>
        <w:trPr/>
        <w:tc>
          <w:tcPr>
            <w:shd w:val="clear" w:fill="auto" w:color="auto"/>
            <w:tcW w:w="1265" w:type="pct"/>
            <w:textDirection w:val="lrTb"/>
            <w:noWrap w:val="false"/>
          </w:tcPr>
          <w:p>
            <w:pPr>
              <w:pStyle w:val="1005"/>
              <w:ind w:left="57" w:right="57"/>
            </w:pPr>
            <w:r>
              <w:t xml:space="preserve">Номер КОО</w:t>
            </w:r>
            <w:r/>
          </w:p>
        </w:tc>
        <w:tc>
          <w:tcPr>
            <w:shd w:val="clear" w:fill="auto" w:color="auto"/>
            <w:tcW w:w="3735" w:type="pct"/>
            <w:textDirection w:val="lrTb"/>
            <w:noWrap w:val="false"/>
          </w:tcPr>
          <w:p>
            <w:pPr>
              <w:pStyle w:val="1005"/>
              <w:ind w:left="57" w:right="57"/>
            </w:pPr>
            <w:r>
              <w:t xml:space="preserve">Поле заполняется вручную или при импорте файла ТФФ. Поле доступно для редактирования. </w:t>
            </w:r>
            <w:r/>
          </w:p>
        </w:tc>
      </w:tr>
      <w:tr>
        <w:trPr/>
        <w:tc>
          <w:tcPr>
            <w:shd w:val="clear" w:fill="auto" w:color="auto"/>
            <w:tcW w:w="1265" w:type="pct"/>
            <w:textDirection w:val="lrTb"/>
            <w:noWrap w:val="false"/>
          </w:tcPr>
          <w:p>
            <w:pPr>
              <w:pStyle w:val="1005"/>
              <w:ind w:left="57" w:right="57"/>
            </w:pPr>
            <w:r>
              <w:t xml:space="preserve">ИГК</w:t>
            </w:r>
            <w:r/>
          </w:p>
        </w:tc>
        <w:tc>
          <w:tcPr>
            <w:shd w:val="clear" w:fill="auto" w:color="auto"/>
            <w:tcW w:w="3735" w:type="pct"/>
            <w:textDirection w:val="lrTb"/>
            <w:noWrap w:val="false"/>
          </w:tcPr>
          <w:p>
            <w:pPr>
              <w:pStyle w:val="1005"/>
              <w:ind w:left="57" w:right="57"/>
            </w:pPr>
            <w:r>
              <w:t xml:space="preserve">Указывается идентификатор документа, обосновывающего обязательство.</w:t>
            </w:r>
            <w:r/>
          </w:p>
          <w:p>
            <w:pPr>
              <w:pStyle w:val="1005"/>
              <w:ind w:left="57" w:right="57"/>
            </w:pPr>
            <w:r>
              <w:t xml:space="preserve">Поле заполняется вручную или при импорте файла ТФФ. Поле доступно для редактирования.</w:t>
            </w:r>
            <w:r/>
          </w:p>
        </w:tc>
      </w:tr>
      <w:tr>
        <w:trPr/>
        <w:tc>
          <w:tcPr>
            <w:shd w:val="clear" w:fill="auto" w:color="auto"/>
            <w:tcW w:w="1265" w:type="pct"/>
            <w:textDirection w:val="lrTb"/>
            <w:noWrap w:val="false"/>
          </w:tcPr>
          <w:p>
            <w:pPr>
              <w:pStyle w:val="1005"/>
              <w:ind w:left="57" w:right="57"/>
            </w:pPr>
            <w:r>
              <w:t xml:space="preserve">Аналитический код раздела</w:t>
            </w:r>
            <w:r/>
          </w:p>
        </w:tc>
        <w:tc>
          <w:tcPr>
            <w:shd w:val="clear" w:fill="auto" w:color="auto"/>
            <w:tcW w:w="3735" w:type="pct"/>
            <w:textDirection w:val="lrTb"/>
            <w:noWrap w:val="false"/>
          </w:tcPr>
          <w:p>
            <w:pPr>
              <w:pStyle w:val="1005"/>
              <w:ind w:left="57" w:right="57"/>
            </w:pPr>
            <w:r>
              <w:t xml:space="preserve">Указывается аналитический код раздела для л/с с кодом 71. Поле для л/с с кодом 41 не заполняется.</w:t>
            </w:r>
            <w:r/>
          </w:p>
        </w:tc>
      </w:tr>
      <w:tr>
        <w:trPr/>
        <w:tc>
          <w:tcPr>
            <w:shd w:val="clear" w:fill="auto" w:color="auto"/>
            <w:tcW w:w="1265" w:type="pct"/>
            <w:textDirection w:val="lrTb"/>
            <w:noWrap w:val="false"/>
          </w:tcPr>
          <w:p>
            <w:pPr>
              <w:pStyle w:val="1005"/>
              <w:ind w:left="57" w:right="57"/>
            </w:pPr>
            <w:r>
              <w:t xml:space="preserve">Вид уточняемой операции (код)</w:t>
            </w:r>
            <w:r/>
          </w:p>
        </w:tc>
        <w:tc>
          <w:tcPr>
            <w:shd w:val="clear" w:fill="auto" w:color="auto"/>
            <w:tcW w:w="3735" w:type="pct"/>
            <w:vMerge w:val="restart"/>
            <w:textDirection w:val="lrTb"/>
            <w:noWrap w:val="false"/>
          </w:tcPr>
          <w:p>
            <w:pPr>
              <w:pStyle w:val="1005"/>
              <w:ind w:left="57" w:right="57"/>
            </w:pPr>
            <w:r>
              <w:t xml:space="preserve">Выбор из списка возможных значений:</w:t>
            </w:r>
            <w:r/>
          </w:p>
          <w:p>
            <w:pPr>
              <w:pStyle w:val="1007"/>
            </w:pPr>
            <w:r>
              <w:t xml:space="preserve">1 – поступление;</w:t>
            </w:r>
            <w:r/>
          </w:p>
          <w:p>
            <w:pPr>
              <w:pStyle w:val="1007"/>
            </w:pPr>
            <w:r>
              <w:t xml:space="preserve">2 – возврат поступлений;</w:t>
            </w:r>
            <w:r/>
          </w:p>
          <w:p>
            <w:pPr>
              <w:pStyle w:val="1007"/>
            </w:pPr>
            <w:r>
              <w:t xml:space="preserve">3 – кассовый расход;</w:t>
            </w:r>
            <w:r/>
          </w:p>
          <w:p>
            <w:pPr>
              <w:pStyle w:val="1007"/>
            </w:pPr>
            <w:r>
              <w:t xml:space="preserve">4 – восстановление кассового расхода.</w:t>
            </w:r>
            <w:r/>
          </w:p>
          <w:p>
            <w:pPr>
              <w:pStyle w:val="1005"/>
              <w:ind w:left="57" w:right="57"/>
            </w:pPr>
            <w:r>
              <w:t xml:space="preserve">П</w:t>
            </w:r>
            <w:r>
              <w:t xml:space="preserve">о умолчанию пустая строка, есть возможность вернутся к значению – «пуст</w:t>
            </w:r>
            <w:r>
              <w:t xml:space="preserve">о» считать поле не заполненным.</w:t>
            </w:r>
            <w:r/>
          </w:p>
        </w:tc>
      </w:tr>
      <w:tr>
        <w:trPr/>
        <w:tc>
          <w:tcPr>
            <w:shd w:val="clear" w:fill="auto" w:color="auto"/>
            <w:tcW w:w="1265" w:type="pct"/>
            <w:textDirection w:val="lrTb"/>
            <w:noWrap w:val="false"/>
          </w:tcPr>
          <w:p>
            <w:pPr>
              <w:pStyle w:val="1005"/>
              <w:ind w:left="57" w:right="57"/>
            </w:pPr>
            <w:r>
              <w:t xml:space="preserve">Вид уточняемый о</w:t>
            </w:r>
            <w:r>
              <w:t xml:space="preserve">перации (наименование)</w:t>
            </w:r>
            <w:r/>
          </w:p>
        </w:tc>
        <w:tc>
          <w:tcPr>
            <w:shd w:val="clear" w:fill="auto" w:color="auto"/>
            <w:tcW w:w="3735" w:type="pct"/>
            <w:vMerge w:val="continue"/>
            <w:textDirection w:val="lrTb"/>
            <w:noWrap w:val="false"/>
          </w:tcPr>
          <w:p>
            <w:pPr>
              <w:pStyle w:val="1005"/>
              <w:ind w:left="57" w:right="57"/>
            </w:pPr>
            <w:r/>
            <w:r/>
          </w:p>
        </w:tc>
      </w:tr>
      <w:tr>
        <w:trPr/>
        <w:tc>
          <w:tcPr>
            <w:shd w:val="clear" w:fill="auto" w:color="auto"/>
            <w:tcW w:w="1265" w:type="pct"/>
            <w:textDirection w:val="lrTb"/>
            <w:noWrap w:val="false"/>
          </w:tcPr>
          <w:p>
            <w:pPr>
              <w:pStyle w:val="1005"/>
              <w:ind w:left="57" w:right="57"/>
            </w:pPr>
            <w:r>
              <w:t xml:space="preserve">Код классификации опер</w:t>
            </w:r>
            <w:r>
              <w:t xml:space="preserve">ации</w:t>
            </w:r>
            <w:r/>
          </w:p>
        </w:tc>
        <w:tc>
          <w:tcPr>
            <w:shd w:val="clear" w:fill="auto" w:color="auto"/>
            <w:tcW w:w="3735" w:type="pct"/>
            <w:textDirection w:val="lrTb"/>
            <w:noWrap w:val="false"/>
          </w:tcPr>
          <w:p>
            <w:pPr>
              <w:pStyle w:val="1005"/>
              <w:ind w:left="57" w:right="57"/>
            </w:pPr>
            <w:r>
              <w:t xml:space="preserve">Заполняется вручную двадцатизначный код: 1-17 – знач</w:t>
            </w:r>
            <w:r>
              <w:t xml:space="preserve">ением «0», 18-20 – кодом КОСГУ.</w:t>
            </w:r>
            <w:r/>
          </w:p>
          <w:p>
            <w:pPr>
              <w:pStyle w:val="1005"/>
              <w:ind w:left="57" w:right="57"/>
            </w:pPr>
            <w:r>
              <w:t xml:space="preserve">Для АУ не заполняется</w:t>
            </w:r>
            <w:r>
              <w:t xml:space="preserve">.</w:t>
            </w:r>
            <w:r/>
          </w:p>
        </w:tc>
      </w:tr>
      <w:tr>
        <w:trPr/>
        <w:tc>
          <w:tcPr>
            <w:shd w:val="clear" w:fill="auto" w:color="auto"/>
            <w:tcW w:w="1265" w:type="pct"/>
            <w:textDirection w:val="lrTb"/>
            <w:noWrap w:val="false"/>
          </w:tcPr>
          <w:p>
            <w:pPr>
              <w:pStyle w:val="1005"/>
              <w:ind w:left="57" w:right="57"/>
            </w:pPr>
            <w:r>
              <w:t xml:space="preserve">Код цели</w:t>
            </w:r>
            <w:r/>
          </w:p>
        </w:tc>
        <w:tc>
          <w:tcPr>
            <w:shd w:val="clear" w:fill="auto" w:color="auto"/>
            <w:tcW w:w="3735" w:type="pct"/>
            <w:textDirection w:val="lrTb"/>
            <w:noWrap w:val="false"/>
          </w:tcPr>
          <w:p>
            <w:pPr>
              <w:pStyle w:val="1005"/>
              <w:ind w:left="57" w:right="57"/>
            </w:pPr>
            <w:r>
              <w:t xml:space="preserve">Вручную.</w:t>
            </w:r>
            <w:r/>
          </w:p>
          <w:p>
            <w:pPr>
              <w:pStyle w:val="1005"/>
              <w:ind w:left="57" w:right="57"/>
            </w:pPr>
            <w:r>
              <w:t xml:space="preserve">При указании в документе 21 ЛС или 31 ЛС значение может вводиться вручную или пользователю предоставлен выбор значения из списка справочников: «Коды целей субсидий/субвенций», «Коды субсидий НУБП».</w:t>
            </w:r>
            <w:r/>
          </w:p>
          <w:p>
            <w:pPr>
              <w:pStyle w:val="1005"/>
              <w:ind w:left="57" w:right="57"/>
            </w:pPr>
            <w:r>
              <w:t xml:space="preserve">При указании в документе 41 ЛС значение может вводиться вручную или пользователю предоставлен выбор значения из списка справочника «Коды субсидий НУБП».</w:t>
            </w:r>
            <w:r/>
          </w:p>
          <w:p>
            <w:pPr>
              <w:pStyle w:val="1005"/>
              <w:ind w:left="57" w:right="57"/>
            </w:pPr>
            <w:r>
              <w:t xml:space="preserve">На ОФК-</w:t>
            </w:r>
            <w:r>
              <w:rPr>
                <w:lang w:val="en-US"/>
              </w:rPr>
              <w:t xml:space="preserve">offline</w:t>
            </w:r>
            <w:r>
              <w:t xml:space="preserve"> значение вводится вручную.</w:t>
            </w:r>
            <w:r/>
          </w:p>
        </w:tc>
      </w:tr>
      <w:tr>
        <w:trPr/>
        <w:tc>
          <w:tcPr>
            <w:shd w:val="clear" w:fill="auto" w:color="auto"/>
            <w:tcW w:w="1265" w:type="pct"/>
            <w:textDirection w:val="lrTb"/>
            <w:noWrap w:val="false"/>
          </w:tcPr>
          <w:p>
            <w:pPr>
              <w:pStyle w:val="1005"/>
              <w:ind w:left="57" w:right="57"/>
            </w:pPr>
            <w:r>
              <w:t xml:space="preserve">Сумма</w:t>
            </w:r>
            <w:r/>
          </w:p>
        </w:tc>
        <w:tc>
          <w:tcPr>
            <w:shd w:val="clear" w:fill="auto" w:color="auto"/>
            <w:tcW w:w="3735" w:type="pct"/>
            <w:textDirection w:val="lrTb"/>
            <w:noWrap w:val="false"/>
          </w:tcPr>
          <w:p>
            <w:pPr>
              <w:pStyle w:val="1005"/>
              <w:ind w:left="57" w:right="57"/>
            </w:pPr>
            <w:r>
              <w:t xml:space="preserve">Вручную.</w:t>
            </w:r>
            <w:r/>
          </w:p>
        </w:tc>
      </w:tr>
      <w:tr>
        <w:trPr/>
        <w:tc>
          <w:tcPr>
            <w:shd w:val="clear" w:fill="auto" w:color="auto"/>
            <w:tcW w:w="1265" w:type="pct"/>
            <w:textDirection w:val="lrTb"/>
            <w:noWrap w:val="false"/>
          </w:tcPr>
          <w:p>
            <w:pPr>
              <w:pStyle w:val="1005"/>
              <w:ind w:left="57" w:right="57"/>
            </w:pPr>
            <w:r>
              <w:t xml:space="preserve">Назначение платежа</w:t>
            </w:r>
            <w:r/>
          </w:p>
        </w:tc>
        <w:tc>
          <w:tcPr>
            <w:shd w:val="clear" w:fill="auto" w:color="auto"/>
            <w:tcW w:w="3735" w:type="pct"/>
            <w:textDirection w:val="lrTb"/>
            <w:noWrap w:val="false"/>
          </w:tcPr>
          <w:p>
            <w:pPr>
              <w:pStyle w:val="1005"/>
              <w:ind w:left="57" w:right="57"/>
            </w:pPr>
            <w:r>
              <w:t xml:space="preserve">Вручную.</w:t>
            </w:r>
            <w:r/>
          </w:p>
        </w:tc>
      </w:tr>
      <w:tr>
        <w:trPr/>
        <w:tc>
          <w:tcPr>
            <w:shd w:val="clear" w:fill="auto" w:color="auto"/>
            <w:tcW w:w="1265" w:type="pct"/>
            <w:textDirection w:val="lrTb"/>
            <w:noWrap w:val="false"/>
          </w:tcPr>
          <w:p>
            <w:pPr>
              <w:pStyle w:val="1005"/>
              <w:ind w:left="57" w:right="57"/>
            </w:pPr>
            <w:r>
              <w:t xml:space="preserve">Примечание</w:t>
            </w:r>
            <w:r/>
          </w:p>
        </w:tc>
        <w:tc>
          <w:tcPr>
            <w:shd w:val="clear" w:fill="auto" w:color="auto"/>
            <w:tcW w:w="3735" w:type="pct"/>
            <w:textDirection w:val="lrTb"/>
            <w:noWrap w:val="false"/>
          </w:tcPr>
          <w:p>
            <w:pPr>
              <w:pStyle w:val="1005"/>
              <w:ind w:left="57" w:right="57"/>
            </w:pPr>
            <w:r>
              <w:t xml:space="preserve">Вручную.</w:t>
            </w:r>
            <w:r/>
          </w:p>
        </w:tc>
      </w:tr>
      <w:tr>
        <w:trPr/>
        <w:tc>
          <w:tcPr>
            <w:shd w:val="clear" w:fill="auto" w:color="auto"/>
            <w:tcW w:w="1265" w:type="pct"/>
            <w:textDirection w:val="lrTb"/>
            <w:noWrap w:val="false"/>
          </w:tcPr>
          <w:p>
            <w:pPr>
              <w:pStyle w:val="1005"/>
              <w:ind w:left="57" w:right="57"/>
            </w:pPr>
            <w:r>
              <w:t xml:space="preserve">Уточняемая сумма</w:t>
            </w:r>
            <w:r/>
          </w:p>
        </w:tc>
        <w:tc>
          <w:tcPr>
            <w:shd w:val="clear" w:fill="auto" w:color="auto"/>
            <w:tcW w:w="3735" w:type="pct"/>
            <w:textDirection w:val="lrTb"/>
            <w:noWrap w:val="false"/>
          </w:tcPr>
          <w:p>
            <w:pPr>
              <w:pStyle w:val="1005"/>
              <w:ind w:left="57" w:right="57"/>
            </w:pPr>
            <w:r>
              <w:t xml:space="preserve">Значение общей суммы рассчитывается автоматически, суммируя поля р</w:t>
            </w:r>
            <w:r>
              <w:t xml:space="preserve">е</w:t>
            </w:r>
            <w:r>
              <w:t xml:space="preserve">квизитов</w:t>
            </w:r>
            <w:r>
              <w:t xml:space="preserve"> </w:t>
            </w:r>
            <w:r>
              <w:t xml:space="preserve">«Сумма» по всем строкам раздела «Реквизиты платежного док</w:t>
            </w:r>
            <w:r>
              <w:t xml:space="preserve">у</w:t>
            </w:r>
            <w:r>
              <w:t xml:space="preserve">мента».</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«Изменить на реквизиты»</w:t>
            </w:r>
            <w:r/>
          </w:p>
        </w:tc>
      </w:tr>
      <w:tr>
        <w:trPr/>
        <w:tc>
          <w:tcPr>
            <w:shd w:val="clear" w:fill="auto" w:color="auto"/>
            <w:tcW w:w="1265" w:type="pct"/>
            <w:textDirection w:val="lrTb"/>
            <w:noWrap w:val="false"/>
          </w:tcPr>
          <w:p>
            <w:pPr>
              <w:pStyle w:val="1005"/>
              <w:ind w:left="57" w:right="57"/>
            </w:pPr>
            <w:r>
              <w:t xml:space="preserve">№ п/п</w:t>
            </w:r>
            <w:r/>
          </w:p>
        </w:tc>
        <w:tc>
          <w:tcPr>
            <w:shd w:val="clear" w:fill="auto" w:color="auto"/>
            <w:tcW w:w="3735" w:type="pct"/>
            <w:textDirection w:val="lrTb"/>
            <w:noWrap w:val="false"/>
          </w:tcPr>
          <w:p>
            <w:pPr>
              <w:pStyle w:val="1005"/>
              <w:ind w:left="57" w:right="57"/>
            </w:pPr>
            <w:r>
              <w:t xml:space="preserve">Автонумерация строк с </w:t>
            </w:r>
            <w:r>
              <w:t xml:space="preserve">«1».</w:t>
            </w:r>
            <w:r/>
          </w:p>
        </w:tc>
      </w:tr>
      <w:tr>
        <w:trPr/>
        <w:tc>
          <w:tcPr>
            <w:shd w:val="clear" w:fill="auto" w:color="auto"/>
            <w:tcW w:w="1265" w:type="pct"/>
            <w:textDirection w:val="lrTb"/>
            <w:noWrap w:val="false"/>
          </w:tcPr>
          <w:p>
            <w:pPr>
              <w:pStyle w:val="1005"/>
              <w:ind w:left="57" w:right="57"/>
            </w:pPr>
            <w:r>
              <w:t xml:space="preserve">Наименование получ</w:t>
            </w:r>
            <w:r>
              <w:t xml:space="preserve">ателя</w:t>
            </w:r>
            <w:r/>
          </w:p>
        </w:tc>
        <w:tc>
          <w:tcPr>
            <w:shd w:val="clear" w:fill="auto" w:color="auto"/>
            <w:tcW w:w="3735" w:type="pct"/>
            <w:textDirection w:val="lrTb"/>
            <w:noWrap w:val="false"/>
          </w:tcPr>
          <w:p>
            <w:pPr>
              <w:pStyle w:val="1005"/>
              <w:ind w:left="57" w:right="57"/>
            </w:pPr>
            <w:r>
              <w:t xml:space="preserve">Значение вводится вручную</w:t>
            </w:r>
            <w:r>
              <w:t xml:space="preserve">.</w:t>
            </w:r>
            <w:r/>
          </w:p>
        </w:tc>
      </w:tr>
      <w:tr>
        <w:trPr/>
        <w:tc>
          <w:tcPr>
            <w:shd w:val="clear" w:fill="auto" w:color="auto"/>
            <w:tcW w:w="1265" w:type="pct"/>
            <w:textDirection w:val="lrTb"/>
            <w:noWrap w:val="false"/>
          </w:tcPr>
          <w:p>
            <w:pPr>
              <w:pStyle w:val="1005"/>
              <w:ind w:left="57" w:right="57"/>
            </w:pPr>
            <w:r>
              <w:t xml:space="preserve">ИНН</w:t>
            </w:r>
            <w:r/>
          </w:p>
        </w:tc>
        <w:tc>
          <w:tcPr>
            <w:shd w:val="clear" w:fill="auto" w:color="auto"/>
            <w:tcW w:w="3735" w:type="pct"/>
            <w:textDirection w:val="lrTb"/>
            <w:noWrap w:val="false"/>
          </w:tcPr>
          <w:p>
            <w:pPr>
              <w:pStyle w:val="1005"/>
              <w:ind w:left="57" w:right="57"/>
            </w:pPr>
            <w:r>
              <w:t xml:space="preserve">Вручную.</w:t>
            </w:r>
            <w:r/>
          </w:p>
        </w:tc>
      </w:tr>
      <w:tr>
        <w:trPr/>
        <w:tc>
          <w:tcPr>
            <w:shd w:val="clear" w:fill="auto" w:color="auto"/>
            <w:tcW w:w="1265" w:type="pct"/>
            <w:textDirection w:val="lrTb"/>
            <w:noWrap w:val="false"/>
          </w:tcPr>
          <w:p>
            <w:pPr>
              <w:pStyle w:val="1005"/>
              <w:ind w:left="57" w:right="57"/>
            </w:pPr>
            <w:r>
              <w:t xml:space="preserve">КПП</w:t>
            </w:r>
            <w:r/>
          </w:p>
        </w:tc>
        <w:tc>
          <w:tcPr>
            <w:shd w:val="clear" w:fill="auto" w:color="auto"/>
            <w:tcW w:w="3735" w:type="pct"/>
            <w:textDirection w:val="lrTb"/>
            <w:noWrap w:val="false"/>
          </w:tcPr>
          <w:p>
            <w:pPr>
              <w:pStyle w:val="1005"/>
              <w:ind w:left="57" w:right="57"/>
            </w:pPr>
            <w:r>
              <w:t xml:space="preserve">Вручную.</w:t>
            </w:r>
            <w:r/>
          </w:p>
        </w:tc>
      </w:tr>
      <w:tr>
        <w:trPr/>
        <w:tc>
          <w:tcPr>
            <w:shd w:val="clear" w:fill="auto" w:color="auto"/>
            <w:tcW w:w="1265" w:type="pct"/>
            <w:textDirection w:val="lrTb"/>
            <w:noWrap w:val="false"/>
          </w:tcPr>
          <w:p>
            <w:pPr>
              <w:pStyle w:val="1005"/>
              <w:ind w:left="57" w:right="57"/>
            </w:pPr>
            <w:r>
              <w:t xml:space="preserve">ФАИП</w:t>
            </w:r>
            <w:r/>
          </w:p>
        </w:tc>
        <w:tc>
          <w:tcPr>
            <w:shd w:val="clear" w:fill="auto" w:color="auto"/>
            <w:tcW w:w="3735" w:type="pct"/>
            <w:textDirection w:val="lrTb"/>
            <w:noWrap w:val="false"/>
          </w:tcPr>
          <w:p>
            <w:pPr>
              <w:pStyle w:val="1005"/>
              <w:ind w:left="57" w:right="57"/>
            </w:pPr>
            <w:r>
              <w:t xml:space="preserve">Поле заполняется вручную или при импорте файла ТФФ. Поле доступно для редактирования.</w:t>
            </w:r>
            <w:r/>
          </w:p>
        </w:tc>
      </w:tr>
      <w:tr>
        <w:trPr/>
        <w:tc>
          <w:tcPr>
            <w:shd w:val="clear" w:fill="auto" w:color="auto"/>
            <w:tcW w:w="1265" w:type="pct"/>
            <w:textDirection w:val="lrTb"/>
            <w:noWrap w:val="false"/>
          </w:tcPr>
          <w:p>
            <w:pPr>
              <w:pStyle w:val="1005"/>
              <w:ind w:left="57" w:right="57"/>
            </w:pPr>
            <w:r>
              <w:t xml:space="preserve">Номер КОО</w:t>
            </w:r>
            <w:r/>
          </w:p>
        </w:tc>
        <w:tc>
          <w:tcPr>
            <w:shd w:val="clear" w:fill="auto" w:color="auto"/>
            <w:tcW w:w="3735" w:type="pct"/>
            <w:textDirection w:val="lrTb"/>
            <w:noWrap w:val="false"/>
          </w:tcPr>
          <w:p>
            <w:pPr>
              <w:pStyle w:val="1005"/>
              <w:ind w:left="57" w:right="57"/>
            </w:pPr>
            <w:r>
              <w:t xml:space="preserve">Поле заполняется вручную или при импорте файла ТФФ. Поле доступно для редактирования. </w:t>
            </w:r>
            <w:r/>
          </w:p>
        </w:tc>
      </w:tr>
      <w:tr>
        <w:trPr/>
        <w:tc>
          <w:tcPr>
            <w:shd w:val="clear" w:fill="auto" w:color="auto"/>
            <w:tcW w:w="1265" w:type="pct"/>
            <w:textDirection w:val="lrTb"/>
            <w:noWrap w:val="false"/>
          </w:tcPr>
          <w:p>
            <w:pPr>
              <w:pStyle w:val="1005"/>
              <w:ind w:left="57" w:right="57"/>
            </w:pPr>
            <w:r>
              <w:t xml:space="preserve">ИГК</w:t>
            </w:r>
            <w:r/>
          </w:p>
        </w:tc>
        <w:tc>
          <w:tcPr>
            <w:shd w:val="clear" w:fill="auto" w:color="auto"/>
            <w:tcW w:w="3735" w:type="pct"/>
            <w:textDirection w:val="lrTb"/>
            <w:noWrap w:val="false"/>
          </w:tcPr>
          <w:p>
            <w:pPr>
              <w:pStyle w:val="1005"/>
              <w:ind w:left="57" w:right="57"/>
            </w:pPr>
            <w:r>
              <w:t xml:space="preserve">Указывается идентификатор документа, обосновывающего обязательство.</w:t>
            </w:r>
            <w:r/>
          </w:p>
          <w:p>
            <w:pPr>
              <w:pStyle w:val="1005"/>
              <w:ind w:left="57" w:right="57"/>
            </w:pPr>
            <w:r>
              <w:t xml:space="preserve">Поле заполняется вручную или при импорте файла ТФФ. Поле доступно для редактирования.</w:t>
            </w:r>
            <w:r/>
          </w:p>
        </w:tc>
      </w:tr>
      <w:tr>
        <w:trPr/>
        <w:tc>
          <w:tcPr>
            <w:shd w:val="clear" w:fill="auto" w:color="auto"/>
            <w:tcW w:w="1265" w:type="pct"/>
            <w:textDirection w:val="lrTb"/>
            <w:noWrap w:val="false"/>
          </w:tcPr>
          <w:p>
            <w:pPr>
              <w:pStyle w:val="1005"/>
              <w:ind w:left="57" w:right="57"/>
            </w:pPr>
            <w:r>
              <w:t xml:space="preserve">Аналитический код раздела</w:t>
            </w:r>
            <w:r/>
          </w:p>
        </w:tc>
        <w:tc>
          <w:tcPr>
            <w:shd w:val="clear" w:fill="auto" w:color="auto"/>
            <w:tcW w:w="3735" w:type="pct"/>
            <w:textDirection w:val="lrTb"/>
            <w:noWrap w:val="false"/>
          </w:tcPr>
          <w:p>
            <w:pPr>
              <w:pStyle w:val="1005"/>
              <w:ind w:left="57" w:right="57"/>
            </w:pPr>
            <w:r>
              <w:t xml:space="preserve">Указывается аналитический код раздела для л/с с кодом 71. Поле для л/с с кодом 41 не заполняется.</w:t>
            </w:r>
            <w:r/>
          </w:p>
        </w:tc>
      </w:tr>
      <w:tr>
        <w:trPr/>
        <w:tc>
          <w:tcPr>
            <w:shd w:val="clear" w:fill="auto" w:color="auto"/>
            <w:tcW w:w="1265" w:type="pct"/>
            <w:textDirection w:val="lrTb"/>
            <w:noWrap w:val="false"/>
          </w:tcPr>
          <w:p>
            <w:pPr>
              <w:pStyle w:val="1005"/>
              <w:ind w:left="57" w:right="57"/>
            </w:pPr>
            <w:r>
              <w:t xml:space="preserve">Код классификации опер</w:t>
            </w:r>
            <w:r>
              <w:t xml:space="preserve">ации</w:t>
            </w:r>
            <w:r/>
          </w:p>
        </w:tc>
        <w:tc>
          <w:tcPr>
            <w:shd w:val="clear" w:fill="auto" w:color="auto"/>
            <w:tcW w:w="3735" w:type="pct"/>
            <w:textDirection w:val="lrTb"/>
            <w:noWrap w:val="false"/>
          </w:tcPr>
          <w:p>
            <w:pPr>
              <w:pStyle w:val="1005"/>
              <w:ind w:left="57" w:right="57"/>
            </w:pPr>
            <w:r>
              <w:t xml:space="preserve">Заполняется вручную двадцатизначный код: 1-17 – знач</w:t>
            </w:r>
            <w:r>
              <w:t xml:space="preserve">ением «0», 18-20 – кодом КОСГУ.</w:t>
            </w:r>
            <w:r/>
          </w:p>
          <w:p>
            <w:pPr>
              <w:pStyle w:val="1005"/>
              <w:ind w:left="57" w:right="57"/>
            </w:pPr>
            <w:r>
              <w:t xml:space="preserve">Для АУ не заполняется</w:t>
            </w:r>
            <w:r>
              <w:t xml:space="preserve">.</w:t>
            </w:r>
            <w:r/>
          </w:p>
        </w:tc>
      </w:tr>
      <w:tr>
        <w:trPr/>
        <w:tc>
          <w:tcPr>
            <w:shd w:val="clear" w:fill="auto" w:color="auto"/>
            <w:tcW w:w="1265" w:type="pct"/>
            <w:textDirection w:val="lrTb"/>
            <w:noWrap w:val="false"/>
          </w:tcPr>
          <w:p>
            <w:pPr>
              <w:pStyle w:val="1005"/>
              <w:ind w:left="57" w:right="57"/>
            </w:pPr>
            <w:r>
              <w:t xml:space="preserve">Код цели</w:t>
            </w:r>
            <w:r/>
          </w:p>
        </w:tc>
        <w:tc>
          <w:tcPr>
            <w:shd w:val="clear" w:fill="auto" w:color="auto"/>
            <w:tcW w:w="3735" w:type="pct"/>
            <w:textDirection w:val="lrTb"/>
            <w:noWrap w:val="false"/>
          </w:tcPr>
          <w:p>
            <w:pPr>
              <w:pStyle w:val="1005"/>
              <w:ind w:left="57" w:right="57"/>
            </w:pPr>
            <w:r>
              <w:t xml:space="preserve">Вручную или выбором из справочника кодов целей субсидий/субвенций.</w:t>
            </w:r>
            <w:r/>
          </w:p>
          <w:p>
            <w:pPr>
              <w:pStyle w:val="1005"/>
              <w:ind w:left="57" w:right="57"/>
            </w:pPr>
            <w:r>
              <w:t xml:space="preserve">При указании в документе 21 ЛС или 31 ЛС значение может вводиться вручную или пользователю предоставлен выбор значения из списка справочников: «Коды целей субсидий/субвенций», «Коды субсидий НУБП».</w:t>
            </w:r>
            <w:r/>
          </w:p>
          <w:p>
            <w:pPr>
              <w:pStyle w:val="1005"/>
              <w:ind w:left="57" w:right="57"/>
            </w:pPr>
            <w:r>
              <w:t xml:space="preserve">При типе ЛС = 20, 22 и 30, 32 – поле не заполняется (может быть указано </w:t>
            </w:r>
            <w:r>
              <w:t xml:space="preserve">значение «-»).</w:t>
            </w:r>
            <w:r/>
          </w:p>
          <w:p>
            <w:pPr>
              <w:pStyle w:val="1005"/>
              <w:ind w:left="57" w:right="57"/>
            </w:pPr>
            <w:r>
              <w:t xml:space="preserve">При указании в документе 41 ЛС значение может вводиться вручную или пользователю предоставлен выбор значения из списка справочника «Коды субсидий НУБП».</w:t>
            </w:r>
            <w:r/>
          </w:p>
          <w:p>
            <w:pPr>
              <w:pStyle w:val="1005"/>
              <w:ind w:left="57" w:right="57"/>
            </w:pPr>
            <w:r>
              <w:t xml:space="preserve">На ОФК-</w:t>
            </w:r>
            <w:r>
              <w:rPr>
                <w:lang w:val="en-US"/>
              </w:rPr>
              <w:t xml:space="preserve">offline</w:t>
            </w:r>
            <w:r>
              <w:t xml:space="preserve"> значение вводится вручную.</w:t>
            </w:r>
            <w:r>
              <w:t xml:space="preserve"> </w:t>
            </w:r>
            <w:r/>
          </w:p>
        </w:tc>
      </w:tr>
      <w:tr>
        <w:trPr/>
        <w:tc>
          <w:tcPr>
            <w:shd w:val="clear" w:fill="auto" w:color="auto"/>
            <w:tcW w:w="1265" w:type="pct"/>
            <w:textDirection w:val="lrTb"/>
            <w:noWrap w:val="false"/>
          </w:tcPr>
          <w:p>
            <w:pPr>
              <w:pStyle w:val="1005"/>
              <w:ind w:left="57" w:right="57"/>
            </w:pPr>
            <w:r>
              <w:t xml:space="preserve">Сумма</w:t>
            </w:r>
            <w:r/>
          </w:p>
        </w:tc>
        <w:tc>
          <w:tcPr>
            <w:shd w:val="clear" w:fill="auto" w:color="auto"/>
            <w:tcW w:w="3735" w:type="pct"/>
            <w:textDirection w:val="lrTb"/>
            <w:noWrap w:val="false"/>
          </w:tcPr>
          <w:p>
            <w:pPr>
              <w:pStyle w:val="1005"/>
              <w:ind w:left="57" w:right="57"/>
            </w:pPr>
            <w:r>
              <w:t xml:space="preserve">Вручную.</w:t>
            </w:r>
            <w:r/>
          </w:p>
        </w:tc>
      </w:tr>
      <w:tr>
        <w:trPr/>
        <w:tc>
          <w:tcPr>
            <w:shd w:val="clear" w:fill="auto" w:color="auto"/>
            <w:tcW w:w="1265" w:type="pct"/>
            <w:textDirection w:val="lrTb"/>
            <w:noWrap w:val="false"/>
          </w:tcPr>
          <w:p>
            <w:pPr>
              <w:pStyle w:val="1005"/>
              <w:ind w:left="57" w:right="57"/>
            </w:pPr>
            <w:r>
              <w:t xml:space="preserve">Назначение платежа</w:t>
            </w:r>
            <w:r/>
          </w:p>
        </w:tc>
        <w:tc>
          <w:tcPr>
            <w:shd w:val="clear" w:fill="auto" w:color="auto"/>
            <w:tcW w:w="3735" w:type="pct"/>
            <w:textDirection w:val="lrTb"/>
            <w:noWrap w:val="false"/>
          </w:tcPr>
          <w:p>
            <w:pPr>
              <w:pStyle w:val="1005"/>
              <w:ind w:left="57" w:right="57"/>
            </w:pPr>
            <w:r>
              <w:t xml:space="preserve">Вручную.</w:t>
            </w:r>
            <w:r/>
          </w:p>
        </w:tc>
      </w:tr>
      <w:tr>
        <w:trPr/>
        <w:tc>
          <w:tcPr>
            <w:shd w:val="clear" w:fill="auto" w:color="auto"/>
            <w:tcW w:w="1265" w:type="pct"/>
            <w:textDirection w:val="lrTb"/>
            <w:noWrap w:val="false"/>
          </w:tcPr>
          <w:p>
            <w:pPr>
              <w:pStyle w:val="1005"/>
              <w:ind w:left="57" w:right="57"/>
            </w:pPr>
            <w:r>
              <w:t xml:space="preserve">Примечание</w:t>
            </w:r>
            <w:r/>
          </w:p>
        </w:tc>
        <w:tc>
          <w:tcPr>
            <w:shd w:val="clear" w:fill="auto" w:color="auto"/>
            <w:tcW w:w="3735" w:type="pct"/>
            <w:textDirection w:val="lrTb"/>
            <w:noWrap w:val="false"/>
          </w:tcPr>
          <w:p>
            <w:pPr>
              <w:pStyle w:val="1005"/>
              <w:ind w:left="57" w:right="57"/>
            </w:pPr>
            <w:r>
              <w:t xml:space="preserve">Вручную.</w:t>
            </w:r>
            <w:r/>
          </w:p>
        </w:tc>
      </w:tr>
      <w:tr>
        <w:trPr/>
        <w:tc>
          <w:tcPr>
            <w:shd w:val="clear" w:fill="auto" w:color="auto"/>
            <w:tcW w:w="1265" w:type="pct"/>
            <w:textDirection w:val="lrTb"/>
            <w:noWrap w:val="false"/>
          </w:tcPr>
          <w:p>
            <w:pPr>
              <w:pStyle w:val="1005"/>
              <w:ind w:left="57" w:right="57"/>
            </w:pPr>
            <w:r>
              <w:t xml:space="preserve">Уточнённая сумма</w:t>
            </w:r>
            <w:r/>
          </w:p>
        </w:tc>
        <w:tc>
          <w:tcPr>
            <w:shd w:val="clear" w:fill="auto" w:color="auto"/>
            <w:tcW w:w="3735" w:type="pct"/>
            <w:textDirection w:val="lrTb"/>
            <w:noWrap w:val="false"/>
          </w:tcPr>
          <w:p>
            <w:pPr>
              <w:pStyle w:val="1005"/>
              <w:ind w:left="57" w:right="57"/>
            </w:pPr>
            <w:r>
              <w:t xml:space="preserve">Значение общей суммы рассчитывается автоматически, суммируя поля р</w:t>
            </w:r>
            <w:r>
              <w:t xml:space="preserve">е</w:t>
            </w:r>
            <w:r>
              <w:t xml:space="preserve">квизитов</w:t>
            </w:r>
            <w:r>
              <w:t xml:space="preserve"> </w:t>
            </w:r>
            <w:r>
              <w:t xml:space="preserve">«Сумма» по всем строкам раздела «Изменить на реквизиты».</w:t>
            </w:r>
            <w:r/>
          </w:p>
        </w:tc>
      </w:tr>
    </w:tbl>
    <w:p>
      <w:pPr>
        <w:pStyle w:val="994"/>
      </w:pPr>
      <w:r>
        <w:t xml:space="preserve">Для добавления записи в блок «Реквизиты </w:t>
      </w:r>
      <w:r>
        <w:t xml:space="preserve">платежного документа» (см.</w:t>
      </w:r>
      <w:r>
        <w:t xml:space="preserve"> </w:t>
      </w:r>
      <w:r>
        <w:t xml:space="preserve">рис.</w:t>
      </w:r>
      <w:r>
        <w:t xml:space="preserve"> </w:t>
      </w:r>
      <w:r>
        <w:fldChar w:fldCharType="begin"/>
      </w:r>
      <w:r>
        <w:instrText xml:space="preserve"> REF _Ref272408338 \h  \* MERGEFORMAT </w:instrText>
      </w:r>
      <w:r>
        <w:fldChar w:fldCharType="separate"/>
      </w:r>
      <w:r>
        <w:t xml:space="preserve">131</w:t>
      </w:r>
      <w:r>
        <w:fldChar w:fldCharType="end"/>
      </w:r>
      <w:r>
        <w:t xml:space="preserve">) след</w:t>
      </w:r>
      <w:r>
        <w:t xml:space="preserve">у</w:t>
      </w:r>
      <w:r>
        <w:t xml:space="preserve">ет нажать на кнопку </w:t>
      </w:r>
      <w:r>
        <mc:AlternateContent>
          <mc:Choice Requires="wpg">
            <w:drawing>
              <wp:inline xmlns:wp="http://schemas.openxmlformats.org/drawingml/2006/wordprocessingDrawing" distT="0" distB="0" distL="0" distR="0">
                <wp:extent cx="182880" cy="182880"/>
                <wp:effectExtent l="0" t="0" r="0" b="0"/>
                <wp:docPr id="21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 o:spid="_x0000_s210" type="#_x0000_t75" style="mso-wrap-distance-left:0.0pt;mso-wrap-distance-top:0.0pt;mso-wrap-distance-right:0.0pt;mso-wrap-distance-bottom:0.0pt;width:14.4pt;height:14.4pt;" stroked="f">
                <v:path textboxrect="0,0,0,0"/>
                <v:imagedata r:id="rId80" o:title=""/>
              </v:shape>
            </w:pict>
          </mc:Fallback>
        </mc:AlternateContent>
      </w:r>
      <w:r>
        <w:t xml:space="preserve"> </w:t>
      </w:r>
      <w:r>
        <w:t xml:space="preserve">(Добавить новую строку)</w:t>
      </w:r>
      <w:r>
        <w:t xml:space="preserve">. Открое</w:t>
      </w:r>
      <w:r>
        <w:t xml:space="preserve">тся форма «Добавление записи»</w:t>
      </w:r>
      <w:r>
        <w:t xml:space="preserve"> </w:t>
      </w:r>
      <w:r>
        <w:t xml:space="preserve">(рис. </w:t>
      </w:r>
      <w:r>
        <w:fldChar w:fldCharType="begin"/>
      </w:r>
      <w:r>
        <w:instrText xml:space="preserve"> REF _Ref272408339 \h  \* MERGEFORMAT </w:instrText>
      </w:r>
      <w:r>
        <w:fldChar w:fldCharType="separate"/>
      </w:r>
      <w:r>
        <w:t xml:space="preserve">132</w:t>
      </w:r>
      <w:r>
        <w:fldChar w:fldCharType="end"/>
      </w:r>
      <w:r>
        <w:t xml:space="preserve">).</w:t>
      </w:r>
      <w:r/>
    </w:p>
    <w:p>
      <w:pPr>
        <w:pStyle w:val="982"/>
      </w:pPr>
      <w:r>
        <mc:AlternateContent>
          <mc:Choice Requires="wpg">
            <w:drawing>
              <wp:inline xmlns:wp="http://schemas.openxmlformats.org/drawingml/2006/wordprocessingDrawing" distT="0" distB="0" distL="0" distR="0">
                <wp:extent cx="6027420" cy="4853940"/>
                <wp:effectExtent l="0" t="0" r="0" b="0"/>
                <wp:docPr id="21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98"/>
                        <a:stretch/>
                      </pic:blipFill>
                      <pic:spPr bwMode="auto">
                        <a:xfrm>
                          <a:off x="0" y="0"/>
                          <a:ext cx="6027420" cy="48539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1" o:spid="_x0000_s211" type="#_x0000_t75" style="mso-wrap-distance-left:0.0pt;mso-wrap-distance-top:0.0pt;mso-wrap-distance-right:0.0pt;mso-wrap-distance-bottom:0.0pt;width:474.6pt;height:382.2pt;" stroked="f">
                <v:path textboxrect="0,0,0,0"/>
                <v:imagedata r:id="rId198" o:title=""/>
              </v:shape>
            </w:pict>
          </mc:Fallback>
        </mc:AlternateContent>
      </w:r>
      <w:r/>
    </w:p>
    <w:p>
      <w:pPr>
        <w:pStyle w:val="983"/>
      </w:pPr>
      <w:r>
        <w:fldChar w:fldCharType="begin"/>
      </w:r>
      <w:r>
        <w:instrText xml:space="preserve"> SEQ Рисунок \* ARABIC </w:instrText>
      </w:r>
      <w:r>
        <w:fldChar w:fldCharType="separate"/>
      </w:r>
      <w:bookmarkStart w:id="1056" w:name="_Ref272408339"/>
      <w:r/>
      <w:bookmarkStart w:id="1057" w:name="_Toc88819517"/>
      <w:r>
        <w:t xml:space="preserve">132</w:t>
      </w:r>
      <w:bookmarkEnd w:id="1056"/>
      <w:r>
        <w:fldChar w:fldCharType="end"/>
      </w:r>
      <w:r>
        <w:t xml:space="preserve">. Форма «Добавление записи» (в блок «Реквизиты платежного документа»)</w:t>
      </w:r>
      <w:bookmarkEnd w:id="1057"/>
      <w:r/>
      <w:r/>
    </w:p>
    <w:p>
      <w:pPr>
        <w:pStyle w:val="994"/>
      </w:pPr>
      <w:r>
        <w:t xml:space="preserve">Поля заполняются в соответствии с таблицей</w:t>
      </w:r>
      <w:r>
        <w:t xml:space="preserve"> </w:t>
      </w:r>
      <w:r>
        <w:fldChar w:fldCharType="begin"/>
      </w:r>
      <w:r>
        <w:instrText xml:space="preserve"> REF _Ref314824088 \h  \* MERGEFORMAT </w:instrText>
      </w:r>
      <w:r>
        <w:fldChar w:fldCharType="separate"/>
      </w:r>
      <w:r>
        <w:t xml:space="preserve">72</w:t>
      </w:r>
      <w:r>
        <w:fldChar w:fldCharType="end"/>
      </w:r>
      <w:r>
        <w:t xml:space="preserve">.</w:t>
      </w:r>
      <w:r>
        <w:t xml:space="preserve"> </w:t>
      </w:r>
      <w:r>
        <w:t xml:space="preserve">Нажать на </w:t>
      </w:r>
      <w:r>
        <w:t xml:space="preserve">кнопку «Ok»</w:t>
      </w:r>
      <w:r>
        <w:t xml:space="preserve"> для сохранения строки и выхода из формы. В </w:t>
      </w:r>
      <w:r>
        <w:t xml:space="preserve">табл</w:t>
      </w:r>
      <w:r>
        <w:t xml:space="preserve">и</w:t>
      </w:r>
      <w:r>
        <w:t xml:space="preserve">це </w:t>
      </w:r>
      <w:r>
        <w:t xml:space="preserve">«Реквизиты платежных документов» появится добавленная запись.</w:t>
      </w:r>
      <w:r/>
    </w:p>
    <w:p>
      <w:pPr>
        <w:pStyle w:val="996"/>
      </w:pPr>
      <w:r>
        <w:rPr>
          <w:rStyle w:val="1001"/>
        </w:rPr>
        <w:t xml:space="preserve">Примечание</w:t>
      </w:r>
      <w:r>
        <w:t xml:space="preserve">.</w:t>
      </w:r>
      <w:r>
        <w:tab/>
        <w:t xml:space="preserve">Для потокового ввода строк рекомендуется нажимать кнопку «Сохранить и создать» вместо </w:t>
      </w:r>
      <w:r>
        <w:t xml:space="preserve">«Ok»</w:t>
      </w:r>
      <w:r>
        <w:t xml:space="preserve">.</w:t>
      </w:r>
      <w:r/>
    </w:p>
    <w:p>
      <w:pPr>
        <w:pStyle w:val="994"/>
      </w:pPr>
      <w:r>
        <w:t xml:space="preserve">Для добавления записи в блок «Изменить на реквизиты» </w:t>
      </w:r>
      <w:r>
        <w:t xml:space="preserve">(рис. </w:t>
      </w:r>
      <w:r>
        <w:fldChar w:fldCharType="begin"/>
      </w:r>
      <w:r>
        <w:instrText xml:space="preserve"> REF _Ref272408338 \h  \* MERGEFORMAT </w:instrText>
      </w:r>
      <w:r>
        <w:fldChar w:fldCharType="separate"/>
      </w:r>
      <w:r>
        <w:t xml:space="preserve">131</w:t>
      </w:r>
      <w:r>
        <w:fldChar w:fldCharType="end"/>
      </w:r>
      <w:r>
        <w:t xml:space="preserve">) следует нажать на кнопку </w:t>
      </w:r>
      <w:r>
        <mc:AlternateContent>
          <mc:Choice Requires="wpg">
            <w:drawing>
              <wp:inline xmlns:wp="http://schemas.openxmlformats.org/drawingml/2006/wordprocessingDrawing" distT="0" distB="0" distL="0" distR="0">
                <wp:extent cx="182880" cy="182880"/>
                <wp:effectExtent l="0" t="0" r="0" b="0"/>
                <wp:docPr id="21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2" o:spid="_x0000_s212" type="#_x0000_t75" style="mso-wrap-distance-left:0.0pt;mso-wrap-distance-top:0.0pt;mso-wrap-distance-right:0.0pt;mso-wrap-distance-bottom:0.0pt;width:14.4pt;height:14.4pt;" stroked="f">
                <v:path textboxrect="0,0,0,0"/>
                <v:imagedata r:id="rId80" o:title=""/>
              </v:shape>
            </w:pict>
          </mc:Fallback>
        </mc:AlternateContent>
      </w:r>
      <w:r>
        <w:t xml:space="preserve"> </w:t>
      </w:r>
      <w:r>
        <w:t xml:space="preserve">(Добавить новую строку)</w:t>
      </w:r>
      <w:r>
        <w:t xml:space="preserve">. Открое</w:t>
      </w:r>
      <w:r>
        <w:t xml:space="preserve">тся форма «Добавление записи»</w:t>
      </w:r>
      <w:r>
        <w:t xml:space="preserve"> </w:t>
      </w:r>
      <w:r>
        <w:t xml:space="preserve">(рис. </w:t>
      </w:r>
      <w:r>
        <w:fldChar w:fldCharType="begin"/>
      </w:r>
      <w:r>
        <w:instrText xml:space="preserve"> REF _Ref272408342 \h  \* MERGEFORMAT </w:instrText>
      </w:r>
      <w:r>
        <w:fldChar w:fldCharType="separate"/>
      </w:r>
      <w:r>
        <w:t xml:space="preserve">133</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2834640"/>
                <wp:effectExtent l="0" t="0" r="0" b="0"/>
                <wp:docPr id="21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99"/>
                        <a:stretch/>
                      </pic:blipFill>
                      <pic:spPr bwMode="auto">
                        <a:xfrm>
                          <a:off x="0" y="0"/>
                          <a:ext cx="6035039" cy="28346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3" o:spid="_x0000_s213" type="#_x0000_t75" style="mso-wrap-distance-left:0.0pt;mso-wrap-distance-top:0.0pt;mso-wrap-distance-right:0.0pt;mso-wrap-distance-bottom:0.0pt;width:475.2pt;height:223.2pt;" stroked="f">
                <v:path textboxrect="0,0,0,0"/>
                <v:imagedata r:id="rId199" o:title=""/>
              </v:shape>
            </w:pict>
          </mc:Fallback>
        </mc:AlternateContent>
      </w:r>
      <w:r/>
    </w:p>
    <w:p>
      <w:pPr>
        <w:pStyle w:val="983"/>
      </w:pPr>
      <w:r>
        <w:fldChar w:fldCharType="begin"/>
      </w:r>
      <w:r>
        <w:instrText xml:space="preserve"> SEQ Рисунок \* ARABIC </w:instrText>
      </w:r>
      <w:r>
        <w:fldChar w:fldCharType="separate"/>
      </w:r>
      <w:bookmarkStart w:id="1058" w:name="_Ref272408342"/>
      <w:r/>
      <w:bookmarkStart w:id="1059" w:name="_Toc88819518"/>
      <w:r>
        <w:t xml:space="preserve">133</w:t>
      </w:r>
      <w:bookmarkEnd w:id="1058"/>
      <w:r>
        <w:fldChar w:fldCharType="end"/>
      </w:r>
      <w:r>
        <w:t xml:space="preserve">. </w:t>
      </w:r>
      <w:r>
        <w:t xml:space="preserve">Форма «Добавление записи»</w:t>
      </w:r>
      <w:r>
        <w:t xml:space="preserve"> (в блок «Изменить на реквизиты»)</w:t>
      </w:r>
      <w:bookmarkEnd w:id="1059"/>
      <w:r/>
      <w:r/>
    </w:p>
    <w:p>
      <w:pPr>
        <w:pStyle w:val="994"/>
      </w:pPr>
      <w:r>
        <w:t xml:space="preserve">Поля заполняются в соответствии с таблицей</w:t>
      </w:r>
      <w:r>
        <w:t xml:space="preserve"> </w:t>
      </w:r>
      <w:r>
        <w:fldChar w:fldCharType="begin"/>
      </w:r>
      <w:r>
        <w:instrText xml:space="preserve"> REF _Ref314824088 \h  \* MERGEFORMAT </w:instrText>
      </w:r>
      <w:r>
        <w:fldChar w:fldCharType="separate"/>
      </w:r>
      <w:r>
        <w:t xml:space="preserve">72</w:t>
      </w:r>
      <w:r>
        <w:fldChar w:fldCharType="end"/>
      </w:r>
      <w:r>
        <w:t xml:space="preserve">.</w:t>
      </w:r>
      <w:r>
        <w:t xml:space="preserve"> </w:t>
      </w:r>
      <w:r>
        <w:t xml:space="preserve">Нажать на </w:t>
      </w:r>
      <w:r>
        <w:t xml:space="preserve">кнопку «Ok»</w:t>
      </w:r>
      <w:r>
        <w:t xml:space="preserve"> для сохранения строки и выхода из формы. В </w:t>
      </w:r>
      <w:r>
        <w:t xml:space="preserve">табл</w:t>
      </w:r>
      <w:r>
        <w:t xml:space="preserve">и</w:t>
      </w:r>
      <w:r>
        <w:t xml:space="preserve">це </w:t>
      </w:r>
      <w:r>
        <w:t xml:space="preserve">«Изменить на реквизиты» появится добавленная запись.</w:t>
      </w:r>
      <w:r/>
    </w:p>
    <w:p>
      <w:pPr>
        <w:pStyle w:val="994"/>
      </w:pPr>
      <w:r>
        <w:t xml:space="preserve">ЭФ </w:t>
      </w:r>
      <w:r>
        <w:t xml:space="preserve">документа «Уведомление об уточнении операций клиента», закладки «Дополнительные атрибуты (3)»</w:t>
      </w:r>
      <w:r>
        <w:t xml:space="preserve"> </w:t>
      </w:r>
      <w:r>
        <w:t xml:space="preserve">представлена </w:t>
      </w:r>
      <w:r>
        <w:t xml:space="preserve">н</w:t>
      </w:r>
      <w:r>
        <w:t xml:space="preserve">а рисунке </w:t>
      </w:r>
      <w:r>
        <w:fldChar w:fldCharType="begin"/>
      </w:r>
      <w:r>
        <w:instrText xml:space="preserve"> REF _Ref272408343 \h  \* MERGEFORMAT </w:instrText>
      </w:r>
      <w:r>
        <w:fldChar w:fldCharType="separate"/>
      </w:r>
      <w:r>
        <w:t xml:space="preserve">134</w:t>
      </w:r>
      <w:r>
        <w:fldChar w:fldCharType="end"/>
      </w:r>
      <w:r>
        <w:t xml:space="preserve">. </w:t>
      </w:r>
      <w:r/>
    </w:p>
    <w:p>
      <w:pPr>
        <w:pStyle w:val="982"/>
      </w:pPr>
      <w:r>
        <mc:AlternateContent>
          <mc:Choice Requires="wpg">
            <w:drawing>
              <wp:inline xmlns:wp="http://schemas.openxmlformats.org/drawingml/2006/wordprocessingDrawing" distT="0" distB="0" distL="0" distR="0">
                <wp:extent cx="6126480" cy="2293620"/>
                <wp:effectExtent l="0" t="0" r="0" b="0"/>
                <wp:docPr id="21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00"/>
                        <a:stretch/>
                      </pic:blipFill>
                      <pic:spPr bwMode="auto">
                        <a:xfrm>
                          <a:off x="0" y="0"/>
                          <a:ext cx="6126480" cy="22936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4" o:spid="_x0000_s214" type="#_x0000_t75" style="mso-wrap-distance-left:0.0pt;mso-wrap-distance-top:0.0pt;mso-wrap-distance-right:0.0pt;mso-wrap-distance-bottom:0.0pt;width:482.4pt;height:180.6pt;" stroked="f">
                <v:path textboxrect="0,0,0,0"/>
                <v:imagedata r:id="rId200" o:title=""/>
              </v:shape>
            </w:pict>
          </mc:Fallback>
        </mc:AlternateContent>
      </w:r>
      <w:r/>
    </w:p>
    <w:p>
      <w:pPr>
        <w:pStyle w:val="983"/>
      </w:pPr>
      <w:r>
        <w:fldChar w:fldCharType="begin"/>
      </w:r>
      <w:r>
        <w:instrText xml:space="preserve"> SEQ Рисунок \* ARABIC </w:instrText>
      </w:r>
      <w:r>
        <w:fldChar w:fldCharType="separate"/>
      </w:r>
      <w:bookmarkStart w:id="1060" w:name="_Ref272408343"/>
      <w:r/>
      <w:bookmarkStart w:id="1061" w:name="_Toc88819519"/>
      <w:r>
        <w:t xml:space="preserve">134</w:t>
      </w:r>
      <w:bookmarkEnd w:id="1060"/>
      <w:r>
        <w:fldChar w:fldCharType="end"/>
      </w:r>
      <w:r>
        <w:t xml:space="preserve">. ЭФ документа «Уведомление об уточнении операций клиента</w:t>
      </w:r>
      <w:r>
        <w:t xml:space="preserve">», закладки «</w:t>
      </w:r>
      <w:r>
        <w:t xml:space="preserve">Дополнительные атрибуты (3)»</w:t>
      </w:r>
      <w:bookmarkEnd w:id="1061"/>
      <w:r/>
      <w:r/>
    </w:p>
    <w:p>
      <w:pPr>
        <w:pStyle w:val="994"/>
      </w:pPr>
      <w:r>
        <w:t xml:space="preserve">Перечень полей документа «Уведомление об уточнении операций клиента</w:t>
      </w:r>
      <w:r>
        <w:t xml:space="preserve">», закладки «</w:t>
      </w:r>
      <w:r>
        <w:t xml:space="preserve">Дополнительные атрибуты (3)» </w:t>
      </w:r>
      <w:r>
        <w:t xml:space="preserve">приведен в таблице</w:t>
      </w:r>
      <w:r>
        <w:t xml:space="preserve"> </w:t>
      </w:r>
      <w:r>
        <w:fldChar w:fldCharType="begin"/>
      </w:r>
      <w:r>
        <w:instrText xml:space="preserve"> REF _Ref314825984 \h  \* MERGEFORMAT </w:instrText>
      </w:r>
      <w:r>
        <w:fldChar w:fldCharType="separate"/>
      </w:r>
      <w:r>
        <w:t xml:space="preserve">73</w:t>
      </w:r>
      <w:r>
        <w:fldChar w:fldCharType="end"/>
      </w:r>
      <w:r>
        <w:t xml:space="preserve">.</w:t>
      </w:r>
      <w:r/>
    </w:p>
    <w:p>
      <w:pPr>
        <w:pStyle w:val="993"/>
      </w:pPr>
      <w:r>
        <w:fldChar w:fldCharType="begin"/>
      </w:r>
      <w:r>
        <w:instrText xml:space="preserve"> SEQ Таблица \* ARABIC </w:instrText>
      </w:r>
      <w:r>
        <w:fldChar w:fldCharType="separate"/>
      </w:r>
      <w:bookmarkStart w:id="1062" w:name="_Ref314825984"/>
      <w:r/>
      <w:bookmarkStart w:id="1063" w:name="_Toc88819259"/>
      <w:r>
        <w:t xml:space="preserve">73</w:t>
      </w:r>
      <w:bookmarkEnd w:id="1062"/>
      <w:r>
        <w:fldChar w:fldCharType="end"/>
      </w:r>
      <w:r>
        <w:t xml:space="preserve">. Описание полей документа «Уведомление об уточнении операций клиента</w:t>
      </w:r>
      <w:r>
        <w:t xml:space="preserve">», закладки «</w:t>
      </w:r>
      <w:r>
        <w:t xml:space="preserve">Д</w:t>
      </w:r>
      <w:r>
        <w:t xml:space="preserve">о</w:t>
      </w:r>
      <w:r>
        <w:t xml:space="preserve">полнительные атрибуты (3)»</w:t>
      </w:r>
      <w:bookmarkEnd w:id="1063"/>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4168"/>
        <w:gridCol w:w="5584"/>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213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863"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«Сведения о регистрации»</w:t>
            </w:r>
            <w:r/>
          </w:p>
        </w:tc>
      </w:tr>
      <w:tr>
        <w:trPr/>
        <w:tc>
          <w:tcPr>
            <w:shd w:val="clear" w:fill="auto" w:color="auto"/>
            <w:tcW w:w="2137" w:type="pct"/>
            <w:textDirection w:val="lrTb"/>
            <w:noWrap w:val="false"/>
          </w:tcPr>
          <w:p>
            <w:pPr>
              <w:pStyle w:val="1005"/>
              <w:ind w:left="57" w:right="57"/>
            </w:pPr>
            <w:r>
              <w:t xml:space="preserve">Регистрационный номер</w:t>
            </w:r>
            <w:r/>
          </w:p>
        </w:tc>
        <w:tc>
          <w:tcPr>
            <w:shd w:val="clear" w:fill="auto" w:color="auto"/>
            <w:tcW w:w="2863" w:type="pct"/>
            <w:textDirection w:val="lrTb"/>
            <w:noWrap w:val="false"/>
          </w:tcPr>
          <w:p>
            <w:pPr>
              <w:pStyle w:val="1005"/>
              <w:ind w:left="57" w:right="57"/>
            </w:pPr>
            <w:r>
              <w:t xml:space="preserve">Доставляется из OEBS</w:t>
            </w:r>
            <w:r>
              <w:t xml:space="preserve">.</w:t>
            </w:r>
            <w:r/>
          </w:p>
        </w:tc>
      </w:tr>
      <w:tr>
        <w:trPr/>
        <w:tc>
          <w:tcPr>
            <w:shd w:val="clear" w:fill="auto" w:color="auto"/>
            <w:tcW w:w="2137" w:type="pct"/>
            <w:textDirection w:val="lrTb"/>
            <w:noWrap w:val="false"/>
          </w:tcPr>
          <w:p>
            <w:pPr>
              <w:pStyle w:val="1005"/>
              <w:ind w:left="57" w:right="57"/>
            </w:pPr>
            <w:r>
              <w:t xml:space="preserve">Дата регистрации</w:t>
            </w:r>
            <w:r/>
          </w:p>
        </w:tc>
        <w:tc>
          <w:tcPr>
            <w:shd w:val="clear" w:fill="auto" w:color="auto"/>
            <w:tcW w:w="2863" w:type="pct"/>
            <w:textDirection w:val="lrTb"/>
            <w:noWrap w:val="false"/>
          </w:tcPr>
          <w:p>
            <w:pPr>
              <w:pStyle w:val="1005"/>
              <w:ind w:left="57" w:right="57"/>
            </w:pPr>
            <w:r>
              <w:t xml:space="preserve">Доставляется из OEBS</w:t>
            </w:r>
            <w:r>
              <w:t xml:space="preserve">.</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«Статус»</w:t>
            </w:r>
            <w:r/>
          </w:p>
        </w:tc>
      </w:tr>
      <w:tr>
        <w:trPr/>
        <w:tc>
          <w:tcPr>
            <w:shd w:val="clear" w:fill="auto" w:color="auto"/>
            <w:tcW w:w="2137" w:type="pct"/>
            <w:textDirection w:val="lrTb"/>
            <w:noWrap w:val="false"/>
          </w:tcPr>
          <w:p>
            <w:pPr>
              <w:pStyle w:val="1005"/>
              <w:ind w:left="57" w:right="57"/>
            </w:pPr>
            <w:r>
              <w:t xml:space="preserve">Бизнес-статус</w:t>
            </w:r>
            <w:r/>
          </w:p>
        </w:tc>
        <w:tc>
          <w:tcPr>
            <w:shd w:val="clear" w:fill="auto" w:color="auto"/>
            <w:tcW w:w="2863" w:type="pct"/>
            <w:textDirection w:val="lrTb"/>
            <w:noWrap w:val="false"/>
          </w:tcPr>
          <w:p>
            <w:pPr>
              <w:pStyle w:val="1005"/>
              <w:ind w:left="57" w:right="57"/>
            </w:pPr>
            <w:r>
              <w:t xml:space="preserve">Бизнес-статус. Код и наименование.</w:t>
            </w:r>
            <w:r/>
          </w:p>
        </w:tc>
      </w:tr>
      <w:tr>
        <w:trPr/>
        <w:tc>
          <w:tcPr>
            <w:shd w:val="clear" w:fill="auto" w:color="auto"/>
            <w:tcW w:w="2137" w:type="pct"/>
            <w:textDirection w:val="lrTb"/>
            <w:noWrap w:val="false"/>
          </w:tcPr>
          <w:p>
            <w:pPr>
              <w:pStyle w:val="1005"/>
              <w:ind w:left="57" w:right="57"/>
            </w:pPr>
            <w:r>
              <w:t xml:space="preserve">Статус утверждения</w:t>
            </w:r>
            <w:r/>
          </w:p>
        </w:tc>
        <w:tc>
          <w:tcPr>
            <w:shd w:val="clear" w:fill="auto" w:color="auto"/>
            <w:tcW w:w="2863" w:type="pct"/>
            <w:textDirection w:val="lrTb"/>
            <w:noWrap w:val="false"/>
          </w:tcPr>
          <w:p>
            <w:pPr>
              <w:pStyle w:val="1005"/>
              <w:ind w:left="57" w:right="57"/>
            </w:pPr>
            <w:r>
              <w:t xml:space="preserve">Статус утверждения. Код и наименование.</w:t>
            </w:r>
            <w:r/>
          </w:p>
        </w:tc>
      </w:tr>
      <w:tr>
        <w:trPr/>
        <w:tc>
          <w:tcPr>
            <w:shd w:val="clear" w:fill="auto" w:color="auto"/>
            <w:tcW w:w="2137" w:type="pct"/>
            <w:textDirection w:val="lrTb"/>
            <w:noWrap w:val="false"/>
          </w:tcPr>
          <w:p>
            <w:pPr>
              <w:pStyle w:val="1005"/>
              <w:ind w:left="57" w:right="57"/>
            </w:pPr>
            <w:r>
              <w:t xml:space="preserve">Статус передачи</w:t>
            </w:r>
            <w:r/>
          </w:p>
        </w:tc>
        <w:tc>
          <w:tcPr>
            <w:shd w:val="clear" w:fill="auto" w:color="auto"/>
            <w:tcW w:w="2863" w:type="pct"/>
            <w:textDirection w:val="lrTb"/>
            <w:noWrap w:val="false"/>
          </w:tcPr>
          <w:p>
            <w:pPr>
              <w:pStyle w:val="1005"/>
              <w:ind w:left="57" w:right="57"/>
            </w:pPr>
            <w:r>
              <w:t xml:space="preserve">Статус передачи. Код и наименование.</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«Подписи»</w:t>
            </w:r>
            <w:r/>
          </w:p>
        </w:tc>
      </w:tr>
      <w:tr>
        <w:trPr/>
        <w:tc>
          <w:tcPr>
            <w:shd w:val="clear" w:fill="auto" w:color="auto"/>
            <w:tcW w:w="2137" w:type="pct"/>
            <w:textDirection w:val="lrTb"/>
            <w:noWrap w:val="false"/>
          </w:tcPr>
          <w:p>
            <w:pPr>
              <w:pStyle w:val="1005"/>
              <w:ind w:left="57" w:right="57"/>
            </w:pPr>
            <w:r>
              <w:t xml:space="preserve">Руководитель (уполномоченное лицо): Должность</w:t>
            </w:r>
            <w:r/>
          </w:p>
        </w:tc>
        <w:tc>
          <w:tcPr>
            <w:shd w:val="clear" w:fill="auto" w:color="auto"/>
            <w:tcW w:w="2863" w:type="pct"/>
            <w:textDirection w:val="lrTb"/>
            <w:noWrap w:val="false"/>
          </w:tcPr>
          <w:p>
            <w:pPr>
              <w:pStyle w:val="1005"/>
              <w:ind w:left="57" w:right="57"/>
            </w:pPr>
            <w:r>
              <w:t xml:space="preserve">Автоматически из справочника Сотрудников, соотве</w:t>
            </w:r>
            <w:r>
              <w:t xml:space="preserve">тственно полю «Расшифровка подписи руководителя».</w:t>
            </w:r>
            <w:r/>
          </w:p>
        </w:tc>
      </w:tr>
      <w:tr>
        <w:trPr/>
        <w:tc>
          <w:tcPr>
            <w:shd w:val="clear" w:fill="auto" w:color="auto"/>
            <w:tcW w:w="2137" w:type="pct"/>
            <w:textDirection w:val="lrTb"/>
            <w:noWrap w:val="false"/>
          </w:tcPr>
          <w:p>
            <w:pPr>
              <w:pStyle w:val="1005"/>
              <w:ind w:left="57" w:right="57"/>
            </w:pPr>
            <w:r>
              <w:t xml:space="preserve">Руководитель (уполномоченное лицо): Расшифровка по</w:t>
            </w:r>
            <w:r>
              <w:t xml:space="preserve">дписи</w:t>
            </w:r>
            <w:r/>
          </w:p>
        </w:tc>
        <w:tc>
          <w:tcPr>
            <w:shd w:val="clear" w:fill="auto" w:color="auto"/>
            <w:tcW w:w="2863" w:type="pct"/>
            <w:textDirection w:val="lrTb"/>
            <w:noWrap w:val="false"/>
          </w:tcPr>
          <w:p>
            <w:pPr>
              <w:pStyle w:val="1005"/>
              <w:ind w:left="57" w:right="57"/>
            </w:pPr>
            <w:r>
              <w:t xml:space="preserve">Вручную. </w:t>
            </w:r>
            <w:r/>
          </w:p>
          <w:p>
            <w:pPr>
              <w:pStyle w:val="1005"/>
              <w:ind w:left="57" w:right="57"/>
            </w:pPr>
            <w:r>
              <w:t xml:space="preserve">Привязан справочник Сотрудников.</w:t>
            </w:r>
            <w:r/>
          </w:p>
        </w:tc>
      </w:tr>
      <w:tr>
        <w:trPr/>
        <w:tc>
          <w:tcPr>
            <w:shd w:val="clear" w:fill="auto" w:color="auto"/>
            <w:tcW w:w="2137" w:type="pct"/>
            <w:textDirection w:val="lrTb"/>
            <w:noWrap w:val="false"/>
          </w:tcPr>
          <w:p>
            <w:pPr>
              <w:pStyle w:val="1005"/>
              <w:ind w:left="57" w:right="57"/>
            </w:pPr>
            <w:r>
              <w:t xml:space="preserve">Ответственный исполнитель: Дол</w:t>
            </w:r>
            <w:r>
              <w:t xml:space="preserve">жность</w:t>
            </w:r>
            <w:r/>
          </w:p>
        </w:tc>
        <w:tc>
          <w:tcPr>
            <w:shd w:val="clear" w:fill="auto" w:color="auto"/>
            <w:tcW w:w="2863" w:type="pct"/>
            <w:textDirection w:val="lrTb"/>
            <w:noWrap w:val="false"/>
          </w:tcPr>
          <w:p>
            <w:pPr>
              <w:pStyle w:val="1005"/>
              <w:ind w:left="57" w:right="57"/>
            </w:pPr>
            <w:r>
              <w:t xml:space="preserve">Автоматически из справочника Сотрудников, соотве</w:t>
            </w:r>
            <w:r>
              <w:t xml:space="preserve">тственно полю «Расшифровка подписи исполнителя».</w:t>
            </w:r>
            <w:r/>
          </w:p>
        </w:tc>
      </w:tr>
      <w:tr>
        <w:trPr/>
        <w:tc>
          <w:tcPr>
            <w:shd w:val="clear" w:fill="auto" w:color="auto"/>
            <w:tcW w:w="2137" w:type="pct"/>
            <w:textDirection w:val="lrTb"/>
            <w:noWrap w:val="false"/>
          </w:tcPr>
          <w:p>
            <w:pPr>
              <w:pStyle w:val="1005"/>
              <w:ind w:left="57" w:right="57"/>
            </w:pPr>
            <w:r>
              <w:t xml:space="preserve">Ответственный исполнитель: Расши</w:t>
            </w:r>
            <w:r>
              <w:t xml:space="preserve">фровка подписи</w:t>
            </w:r>
            <w:r/>
          </w:p>
        </w:tc>
        <w:tc>
          <w:tcPr>
            <w:shd w:val="clear" w:fill="auto" w:color="auto"/>
            <w:tcW w:w="2863" w:type="pct"/>
            <w:textDirection w:val="lrTb"/>
            <w:noWrap w:val="false"/>
          </w:tcPr>
          <w:p>
            <w:pPr>
              <w:pStyle w:val="1005"/>
              <w:ind w:left="57" w:right="57"/>
            </w:pPr>
            <w:r>
              <w:t xml:space="preserve">Вручную. </w:t>
            </w:r>
            <w:r/>
          </w:p>
          <w:p>
            <w:pPr>
              <w:pStyle w:val="1005"/>
              <w:ind w:left="57" w:right="57"/>
            </w:pPr>
            <w:r>
              <w:t xml:space="preserve">Привязан справочник Сотрудников.</w:t>
            </w:r>
            <w:r/>
          </w:p>
        </w:tc>
      </w:tr>
      <w:tr>
        <w:trPr/>
        <w:tc>
          <w:tcPr>
            <w:shd w:val="clear" w:fill="auto" w:color="auto"/>
            <w:tcW w:w="2137" w:type="pct"/>
            <w:textDirection w:val="lrTb"/>
            <w:noWrap w:val="false"/>
          </w:tcPr>
          <w:p>
            <w:pPr>
              <w:pStyle w:val="1005"/>
              <w:ind w:left="57" w:right="57"/>
            </w:pPr>
            <w:r>
              <w:t xml:space="preserve">Ответственный исполн</w:t>
            </w:r>
            <w:r>
              <w:t xml:space="preserve">итель: Телефон</w:t>
            </w:r>
            <w:r/>
          </w:p>
        </w:tc>
        <w:tc>
          <w:tcPr>
            <w:shd w:val="clear" w:fill="auto" w:color="auto"/>
            <w:tcW w:w="2863" w:type="pct"/>
            <w:textDirection w:val="lrTb"/>
            <w:noWrap w:val="false"/>
          </w:tcPr>
          <w:p>
            <w:pPr>
              <w:pStyle w:val="1005"/>
              <w:ind w:left="57" w:right="57"/>
            </w:pPr>
            <w:r>
              <w:t xml:space="preserve">Автоматически из справочника Сотрудников, соотве</w:t>
            </w:r>
            <w:r>
              <w:t xml:space="preserve">тственно полю «Расшифровка подписи руководителя».</w:t>
            </w:r>
            <w:r/>
          </w:p>
        </w:tc>
      </w:tr>
      <w:tr>
        <w:trPr/>
        <w:tc>
          <w:tcPr>
            <w:shd w:val="clear" w:fill="auto" w:color="auto"/>
            <w:tcW w:w="2137" w:type="pct"/>
            <w:textDirection w:val="lrTb"/>
            <w:noWrap w:val="false"/>
          </w:tcPr>
          <w:p>
            <w:pPr>
              <w:pStyle w:val="1005"/>
              <w:ind w:left="57" w:right="57"/>
            </w:pPr>
            <w:r>
              <w:t xml:space="preserve">Дата</w:t>
            </w:r>
            <w:r/>
          </w:p>
        </w:tc>
        <w:tc>
          <w:tcPr>
            <w:shd w:val="clear" w:fill="auto" w:color="auto"/>
            <w:tcW w:w="2863" w:type="pct"/>
            <w:textDirection w:val="lrTb"/>
            <w:noWrap w:val="false"/>
          </w:tcPr>
          <w:p>
            <w:pPr>
              <w:pStyle w:val="1005"/>
              <w:ind w:left="57" w:right="57"/>
            </w:pPr>
            <w:r>
              <w:t xml:space="preserve">По умолчанию текущая дата. </w:t>
            </w:r>
            <w:r/>
          </w:p>
          <w:p>
            <w:pPr>
              <w:pStyle w:val="1005"/>
              <w:ind w:left="57" w:right="57"/>
            </w:pPr>
            <w:r>
              <w:t xml:space="preserve">Привязан системный календарь. </w:t>
            </w:r>
            <w:r/>
          </w:p>
          <w:p>
            <w:pPr>
              <w:pStyle w:val="1005"/>
              <w:ind w:left="57" w:right="57"/>
            </w:pPr>
            <w:r>
              <w:t xml:space="preserve">Маска ввода </w:t>
            </w:r>
            <w:r>
              <w:t xml:space="preserve">«</w:t>
            </w:r>
            <w:r>
              <w:t xml:space="preserve">DD.MM.YYYY</w:t>
            </w:r>
            <w:r>
              <w:t xml:space="preserve">»</w:t>
            </w:r>
            <w:r>
              <w:t xml:space="preserve">.</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«Отметка органа ФК»</w:t>
            </w:r>
            <w:r/>
          </w:p>
        </w:tc>
      </w:tr>
      <w:tr>
        <w:trPr/>
        <w:tc>
          <w:tcPr>
            <w:shd w:val="clear" w:fill="auto" w:color="auto"/>
            <w:tcW w:w="2137" w:type="pct"/>
            <w:textDirection w:val="lrTb"/>
            <w:noWrap w:val="false"/>
          </w:tcPr>
          <w:p>
            <w:pPr>
              <w:pStyle w:val="1005"/>
              <w:ind w:left="57" w:right="57"/>
            </w:pPr>
            <w:r>
              <w:t xml:space="preserve">Руководитель (уполномоченное лицо): должность</w:t>
            </w:r>
            <w:r/>
          </w:p>
        </w:tc>
        <w:tc>
          <w:tcPr>
            <w:shd w:val="clear" w:fill="auto" w:color="auto"/>
            <w:tcW w:w="2863" w:type="pct"/>
            <w:textDirection w:val="lrTb"/>
            <w:noWrap w:val="false"/>
          </w:tcPr>
          <w:p>
            <w:pPr>
              <w:pStyle w:val="1005"/>
              <w:ind w:left="57" w:right="57"/>
            </w:pPr>
            <w:r>
              <w:t xml:space="preserve">Доставляется из OEBS</w:t>
            </w:r>
            <w:r>
              <w:t xml:space="preserve">.</w:t>
            </w:r>
            <w:r/>
          </w:p>
        </w:tc>
      </w:tr>
      <w:tr>
        <w:trPr/>
        <w:tc>
          <w:tcPr>
            <w:shd w:val="clear" w:fill="auto" w:color="auto"/>
            <w:tcW w:w="2137" w:type="pct"/>
            <w:textDirection w:val="lrTb"/>
            <w:noWrap w:val="false"/>
          </w:tcPr>
          <w:p>
            <w:pPr>
              <w:pStyle w:val="1005"/>
              <w:ind w:left="57" w:right="57"/>
            </w:pPr>
            <w:r>
              <w:t xml:space="preserve">Руководитель (уполномоченное лицо): Расшифровка по</w:t>
            </w:r>
            <w:r>
              <w:t xml:space="preserve">дписи</w:t>
            </w:r>
            <w:r/>
          </w:p>
        </w:tc>
        <w:tc>
          <w:tcPr>
            <w:shd w:val="clear" w:fill="auto" w:color="auto"/>
            <w:tcW w:w="2863" w:type="pct"/>
            <w:textDirection w:val="lrTb"/>
            <w:noWrap w:val="false"/>
          </w:tcPr>
          <w:p>
            <w:pPr>
              <w:pStyle w:val="1005"/>
              <w:ind w:left="57" w:right="57"/>
            </w:pPr>
            <w:r>
              <w:t xml:space="preserve">Доставляется из OEBS</w:t>
            </w:r>
            <w:r>
              <w:t xml:space="preserve">.</w:t>
            </w:r>
            <w:r/>
          </w:p>
        </w:tc>
      </w:tr>
      <w:tr>
        <w:trPr/>
        <w:tc>
          <w:tcPr>
            <w:shd w:val="clear" w:fill="auto" w:color="auto"/>
            <w:tcW w:w="2137" w:type="pct"/>
            <w:textDirection w:val="lrTb"/>
            <w:noWrap w:val="false"/>
          </w:tcPr>
          <w:p>
            <w:pPr>
              <w:pStyle w:val="1005"/>
              <w:ind w:left="57" w:right="57"/>
            </w:pPr>
            <w:r>
              <w:t xml:space="preserve">Ответственный исполнитель: дол</w:t>
            </w:r>
            <w:r>
              <w:t xml:space="preserve">жность</w:t>
            </w:r>
            <w:r/>
          </w:p>
        </w:tc>
        <w:tc>
          <w:tcPr>
            <w:shd w:val="clear" w:fill="auto" w:color="auto"/>
            <w:tcW w:w="2863" w:type="pct"/>
            <w:textDirection w:val="lrTb"/>
            <w:noWrap w:val="false"/>
          </w:tcPr>
          <w:p>
            <w:pPr>
              <w:pStyle w:val="1005"/>
              <w:ind w:left="57" w:right="57"/>
            </w:pPr>
            <w:r>
              <w:t xml:space="preserve">Доставляется из OEBS</w:t>
            </w:r>
            <w:r>
              <w:t xml:space="preserve">.</w:t>
            </w:r>
            <w:r/>
          </w:p>
        </w:tc>
      </w:tr>
      <w:tr>
        <w:trPr/>
        <w:tc>
          <w:tcPr>
            <w:shd w:val="clear" w:fill="auto" w:color="auto"/>
            <w:tcW w:w="2137" w:type="pct"/>
            <w:textDirection w:val="lrTb"/>
            <w:noWrap w:val="false"/>
          </w:tcPr>
          <w:p>
            <w:pPr>
              <w:pStyle w:val="1005"/>
              <w:ind w:left="57" w:right="57"/>
            </w:pPr>
            <w:r>
              <w:t xml:space="preserve">Ответственный исполнитель: расши</w:t>
            </w:r>
            <w:r>
              <w:t xml:space="preserve">фровка подписи</w:t>
            </w:r>
            <w:r/>
          </w:p>
        </w:tc>
        <w:tc>
          <w:tcPr>
            <w:shd w:val="clear" w:fill="auto" w:color="auto"/>
            <w:tcW w:w="2863" w:type="pct"/>
            <w:textDirection w:val="lrTb"/>
            <w:noWrap w:val="false"/>
          </w:tcPr>
          <w:p>
            <w:pPr>
              <w:pStyle w:val="1005"/>
              <w:ind w:left="57" w:right="57"/>
            </w:pPr>
            <w:r>
              <w:t xml:space="preserve">Доставляется из OEBS</w:t>
            </w:r>
            <w:r>
              <w:t xml:space="preserve">.</w:t>
            </w:r>
            <w:r/>
          </w:p>
        </w:tc>
      </w:tr>
      <w:tr>
        <w:trPr/>
        <w:tc>
          <w:tcPr>
            <w:shd w:val="clear" w:fill="auto" w:color="auto"/>
            <w:tcW w:w="2137" w:type="pct"/>
            <w:textDirection w:val="lrTb"/>
            <w:noWrap w:val="false"/>
          </w:tcPr>
          <w:p>
            <w:pPr>
              <w:pStyle w:val="1005"/>
              <w:ind w:left="57" w:right="57"/>
            </w:pPr>
            <w:r>
              <w:t xml:space="preserve">Ответственный исполн</w:t>
            </w:r>
            <w:r>
              <w:t xml:space="preserve">итель: Телефон</w:t>
            </w:r>
            <w:r/>
          </w:p>
        </w:tc>
        <w:tc>
          <w:tcPr>
            <w:shd w:val="clear" w:fill="auto" w:color="auto"/>
            <w:tcW w:w="2863" w:type="pct"/>
            <w:textDirection w:val="lrTb"/>
            <w:noWrap w:val="false"/>
          </w:tcPr>
          <w:p>
            <w:pPr>
              <w:pStyle w:val="1005"/>
              <w:ind w:left="57" w:right="57"/>
            </w:pPr>
            <w:r>
              <w:t xml:space="preserve">Доставляется из OEBS</w:t>
            </w:r>
            <w:r>
              <w:t xml:space="preserve">.</w:t>
            </w:r>
            <w:r/>
          </w:p>
        </w:tc>
      </w:tr>
    </w:tbl>
    <w:p>
      <w:pPr>
        <w:pStyle w:val="972"/>
      </w:pPr>
      <w:r/>
      <w:bookmarkStart w:id="1064" w:name="_Ref420320397"/>
      <w:r/>
      <w:bookmarkStart w:id="1065" w:name="_Ref420330470"/>
      <w:r/>
      <w:bookmarkStart w:id="1066" w:name="_Ref420330620"/>
      <w:r/>
      <w:bookmarkStart w:id="1067" w:name="_Ref420330662"/>
      <w:r/>
      <w:bookmarkStart w:id="1068" w:name="_Ref420330728"/>
      <w:r/>
      <w:bookmarkStart w:id="1069" w:name="_Ref420330845"/>
      <w:r/>
      <w:bookmarkStart w:id="1070" w:name="_Ref420330895"/>
      <w:r/>
      <w:bookmarkStart w:id="1071" w:name="_Ref420330963"/>
      <w:r/>
      <w:bookmarkStart w:id="1072" w:name="_Ref420331057"/>
      <w:r/>
      <w:bookmarkStart w:id="1073" w:name="_Toc422496687"/>
      <w:r/>
      <w:bookmarkStart w:id="1074" w:name="_Toc88819123"/>
      <w:r>
        <w:t xml:space="preserve">Заявка на возврат</w:t>
      </w:r>
      <w:bookmarkEnd w:id="1025"/>
      <w:r/>
      <w:bookmarkEnd w:id="1026"/>
      <w:r/>
      <w:bookmarkEnd w:id="1027"/>
      <w:r/>
      <w:bookmarkEnd w:id="1028"/>
      <w:r/>
      <w:bookmarkEnd w:id="1029"/>
      <w:r/>
      <w:bookmarkEnd w:id="1030"/>
      <w:r/>
      <w:bookmarkEnd w:id="1031"/>
      <w:r/>
      <w:bookmarkEnd w:id="1032"/>
      <w:r/>
      <w:bookmarkEnd w:id="1033"/>
      <w:r/>
      <w:bookmarkEnd w:id="1034"/>
      <w:r/>
      <w:bookmarkEnd w:id="1035"/>
      <w:r/>
      <w:bookmarkEnd w:id="1036"/>
      <w:r/>
      <w:bookmarkEnd w:id="1037"/>
      <w:r/>
      <w:bookmarkEnd w:id="1038"/>
      <w:r/>
      <w:bookmarkEnd w:id="1039"/>
      <w:r/>
      <w:bookmarkEnd w:id="1040"/>
      <w:r/>
      <w:bookmarkEnd w:id="1041"/>
      <w:r/>
      <w:bookmarkEnd w:id="1042"/>
      <w:r/>
      <w:bookmarkEnd w:id="1043"/>
      <w:r/>
      <w:bookmarkEnd w:id="1044"/>
      <w:r/>
      <w:bookmarkEnd w:id="1064"/>
      <w:r/>
      <w:bookmarkEnd w:id="1065"/>
      <w:r/>
      <w:bookmarkEnd w:id="1066"/>
      <w:r/>
      <w:bookmarkEnd w:id="1067"/>
      <w:r/>
      <w:bookmarkEnd w:id="1068"/>
      <w:r/>
      <w:bookmarkEnd w:id="1069"/>
      <w:r/>
      <w:bookmarkEnd w:id="1070"/>
      <w:r/>
      <w:bookmarkEnd w:id="1071"/>
      <w:r/>
      <w:bookmarkEnd w:id="1072"/>
      <w:r/>
      <w:bookmarkEnd w:id="1073"/>
      <w:r/>
      <w:bookmarkEnd w:id="1074"/>
      <w:r/>
      <w:r/>
    </w:p>
    <w:p>
      <w:pPr>
        <w:pStyle w:val="994"/>
      </w:pPr>
      <w:r>
        <w:t xml:space="preserve">В случае необходимости возврата излишне уплаченных средств плательщику ЭД «Заявка на возврат» поступает в ФО от клиентов (ПБС, АИФДБ, АУ, БУ) про</w:t>
      </w:r>
      <w:r>
        <w:t xml:space="preserve">ходит санкционирование и направляется в ОрФК, где открыт лицевой счет клиента ФО. В случае отказа ФО документ не проходит процедуру санкционирования. Документ может быть отправлен и без санкционирования в зависимости от принятой схемы обслуживания бюджета.</w:t>
      </w:r>
      <w:r/>
    </w:p>
    <w:p>
      <w:pPr>
        <w:pStyle w:val="994"/>
      </w:pPr>
      <w:r>
        <w:t xml:space="preserve">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w:t>
      </w:r>
      <w:r>
        <w:t xml:space="preserve">рования ЭД «Заявка на возврат». Операции «Санкциониро</w:t>
      </w:r>
      <w:r>
        <w:t xml:space="preserve">вать» и «Отказать» описаны в п.</w:t>
      </w:r>
      <w:r>
        <w:t xml:space="preserve"> </w:t>
      </w:r>
      <w:r>
        <w:fldChar w:fldCharType="begin"/>
      </w:r>
      <w:r>
        <w:instrText xml:space="preserve"> REF _Ref370315261 \r \h  \* MERGEFORMAT </w:instrText>
      </w:r>
      <w:r>
        <w:fldChar w:fldCharType="separate"/>
      </w:r>
      <w:r>
        <w:t xml:space="preserve">3.3.1</w:t>
      </w:r>
      <w:r>
        <w:fldChar w:fldCharType="end"/>
      </w:r>
      <w:r>
        <w:t xml:space="preserve">.</w:t>
      </w:r>
      <w:r/>
    </w:p>
    <w:p>
      <w:pPr>
        <w:pStyle w:val="994"/>
      </w:pPr>
      <w:r>
        <w:t xml:space="preserve">Для работы с документами «Заявка на возврат» следует перейти в пункт меню «Документы – Обработка и учет поступлений – Документы на возврат – Заявка на возврат». Откроется ЭФ списка документов, представленная на рисунке </w:t>
      </w:r>
      <w:r>
        <w:fldChar w:fldCharType="begin"/>
      </w:r>
      <w:r>
        <w:instrText xml:space="preserve"> REF _Ref220997960 \h  \* MERGEFORMAT </w:instrText>
      </w:r>
      <w:r>
        <w:fldChar w:fldCharType="separate"/>
      </w:r>
      <w:r>
        <w:t xml:space="preserve">135</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3482340"/>
                <wp:effectExtent l="0" t="0" r="0" b="0"/>
                <wp:docPr id="21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01"/>
                        <a:stretch/>
                      </pic:blipFill>
                      <pic:spPr bwMode="auto">
                        <a:xfrm>
                          <a:off x="0" y="0"/>
                          <a:ext cx="6118860" cy="34823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5" o:spid="_x0000_s215" type="#_x0000_t75" style="mso-wrap-distance-left:0.0pt;mso-wrap-distance-top:0.0pt;mso-wrap-distance-right:0.0pt;mso-wrap-distance-bottom:0.0pt;width:481.8pt;height:274.2pt;" stroked="f">
                <v:path textboxrect="0,0,0,0"/>
                <v:imagedata r:id="rId201" o:title=""/>
              </v:shape>
            </w:pict>
          </mc:Fallback>
        </mc:AlternateContent>
      </w:r>
      <w:r/>
    </w:p>
    <w:p>
      <w:pPr>
        <w:pStyle w:val="983"/>
      </w:pPr>
      <w:r>
        <w:fldChar w:fldCharType="begin"/>
      </w:r>
      <w:r>
        <w:instrText xml:space="preserve"> SEQ Рисунок \* ARABIC </w:instrText>
      </w:r>
      <w:r>
        <w:fldChar w:fldCharType="separate"/>
      </w:r>
      <w:bookmarkStart w:id="1075" w:name="_Ref220997960"/>
      <w:r/>
      <w:bookmarkStart w:id="1076" w:name="_Toc88819520"/>
      <w:r>
        <w:t xml:space="preserve">135</w:t>
      </w:r>
      <w:bookmarkEnd w:id="1075"/>
      <w:r>
        <w:fldChar w:fldCharType="end"/>
      </w:r>
      <w:r>
        <w:t xml:space="preserve">. ЭФ списка документов «Заявка на возврат»</w:t>
      </w:r>
      <w:bookmarkEnd w:id="1076"/>
      <w:r/>
      <w:r/>
    </w:p>
    <w:p>
      <w:pPr>
        <w:pStyle w:val="973"/>
      </w:pPr>
      <w:r/>
      <w:bookmarkStart w:id="1077" w:name="_Toc232827317"/>
      <w:r>
        <w:t xml:space="preserve">Доступные операции</w:t>
      </w:r>
      <w:bookmarkEnd w:id="1077"/>
      <w:r/>
      <w:r/>
    </w:p>
    <w:p>
      <w:pPr>
        <w:pStyle w:val="994"/>
      </w:pPr>
      <w:r>
        <w:t xml:space="preserve">На АРМ ФО </w:t>
      </w:r>
      <w:r>
        <w:t xml:space="preserve">доступны следу</w:t>
      </w:r>
      <w:r>
        <w:t xml:space="preserve">ющие операции над документо</w:t>
      </w:r>
      <w:r>
        <w:t xml:space="preserve">м</w:t>
      </w:r>
      <w:r>
        <w:t xml:space="preserve">:</w:t>
      </w:r>
      <w:r/>
    </w:p>
    <w:p>
      <w:pPr>
        <w:pStyle w:val="985"/>
      </w:pPr>
      <w:r/>
      <w:bookmarkStart w:id="1078" w:name="_Toc232827318"/>
      <w:r/>
      <w:bookmarkStart w:id="1079" w:name="_Ref403134119"/>
      <w:r>
        <w:t xml:space="preserve">ввод вручную;</w:t>
      </w:r>
      <w:r/>
    </w:p>
    <w:p>
      <w:pPr>
        <w:pStyle w:val="985"/>
      </w:pPr>
      <w:r>
        <w:t xml:space="preserve">создание путем копирования документа;</w:t>
      </w:r>
      <w:r/>
    </w:p>
    <w:p>
      <w:pPr>
        <w:pStyle w:val="985"/>
      </w:pPr>
      <w:r>
        <w:t xml:space="preserve">импорт из внешней системы;</w:t>
      </w:r>
      <w:r/>
    </w:p>
    <w:p>
      <w:pPr>
        <w:pStyle w:val="985"/>
      </w:pPr>
      <w:r>
        <w:t xml:space="preserve">просмотр и редактирование;</w:t>
      </w:r>
      <w:r/>
    </w:p>
    <w:p>
      <w:pPr>
        <w:pStyle w:val="985"/>
      </w:pPr>
      <w:r>
        <w:t xml:space="preserve">удаление;</w:t>
      </w:r>
      <w:r/>
    </w:p>
    <w:p>
      <w:pPr>
        <w:pStyle w:val="985"/>
      </w:pPr>
      <w:r>
        <w:t xml:space="preserve">подписание, просмотр и снятие ЭП;</w:t>
      </w:r>
      <w:r/>
    </w:p>
    <w:p>
      <w:pPr>
        <w:pStyle w:val="985"/>
      </w:pPr>
      <w:r>
        <w:t xml:space="preserve">печать;</w:t>
      </w:r>
      <w:r/>
    </w:p>
    <w:p>
      <w:pPr>
        <w:pStyle w:val="985"/>
      </w:pPr>
      <w:r>
        <w:t xml:space="preserve">экспорт во внешнюю систему;</w:t>
      </w:r>
      <w:r/>
    </w:p>
    <w:p>
      <w:pPr>
        <w:pStyle w:val="985"/>
      </w:pPr>
      <w:r>
        <w:t xml:space="preserve">отправка в УФК</w:t>
      </w:r>
      <w:r>
        <w:t xml:space="preserve">;</w:t>
      </w:r>
      <w:r/>
    </w:p>
    <w:p>
      <w:pPr>
        <w:pStyle w:val="985"/>
      </w:pPr>
      <w:r>
        <w:t xml:space="preserve">санкционирование</w:t>
      </w:r>
      <w:r>
        <w:t xml:space="preserve">.</w:t>
      </w:r>
      <w:r/>
    </w:p>
    <w:p>
      <w:pPr>
        <w:pStyle w:val="973"/>
      </w:pPr>
      <w:r>
        <w:t xml:space="preserve">Экранная форма документа</w:t>
      </w:r>
      <w:bookmarkEnd w:id="1078"/>
      <w:r/>
      <w:bookmarkEnd w:id="1079"/>
      <w:r/>
      <w:r/>
    </w:p>
    <w:p>
      <w:pPr>
        <w:pStyle w:val="994"/>
      </w:pPr>
      <w:r/>
      <w:bookmarkStart w:id="1080" w:name="_Toc232827331"/>
      <w:r/>
      <w:bookmarkStart w:id="1081" w:name="_Ref247440901"/>
      <w:r/>
      <w:bookmarkStart w:id="1082" w:name="_Toc249273680"/>
      <w:r/>
      <w:bookmarkStart w:id="1083" w:name="_Ref249339041"/>
      <w:r/>
      <w:bookmarkStart w:id="1084" w:name="_Ref309948593"/>
      <w:r>
        <w:t xml:space="preserve">ЭФ документа «Заявка на возврат» представлена на рисунках </w:t>
      </w:r>
      <w:r>
        <w:fldChar w:fldCharType="begin"/>
      </w:r>
      <w:r>
        <w:instrText xml:space="preserve"> REF _Ref205102224 \h  \* MERGEFORMAT </w:instrText>
      </w:r>
      <w:r>
        <w:fldChar w:fldCharType="separate"/>
      </w:r>
      <w:r>
        <w:t xml:space="preserve">136</w:t>
      </w:r>
      <w:r>
        <w:fldChar w:fldCharType="end"/>
      </w:r>
      <w:r>
        <w:t xml:space="preserve"> и </w:t>
      </w:r>
      <w:r>
        <w:fldChar w:fldCharType="begin"/>
      </w:r>
      <w:r>
        <w:instrText xml:space="preserve"> REF _Ref205257943 \h  \* MERGEFORMAT </w:instrText>
      </w:r>
      <w:r>
        <w:fldChar w:fldCharType="separate"/>
      </w:r>
      <w:r>
        <w:t xml:space="preserve">137</w:t>
      </w:r>
      <w:r>
        <w:fldChar w:fldCharType="end"/>
      </w:r>
      <w:r>
        <w:t xml:space="preserve">. </w:t>
      </w:r>
      <w:r>
        <w:t xml:space="preserve">Форма содержит следующие закладки</w:t>
      </w:r>
      <w:r>
        <w:t xml:space="preserve">:</w:t>
      </w:r>
      <w:r/>
    </w:p>
    <w:p>
      <w:pPr>
        <w:pStyle w:val="985"/>
      </w:pPr>
      <w:r>
        <w:t xml:space="preserve">«Раздел 1, 2 (1)»;</w:t>
      </w:r>
      <w:r/>
    </w:p>
    <w:p>
      <w:pPr>
        <w:pStyle w:val="985"/>
      </w:pPr>
      <w:r>
        <w:t xml:space="preserve">«Раздел 3 (2)»;</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035040" cy="5120640"/>
                <wp:effectExtent l="0" t="0" r="0" b="0"/>
                <wp:docPr id="21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02"/>
                        <a:stretch/>
                      </pic:blipFill>
                      <pic:spPr bwMode="auto">
                        <a:xfrm>
                          <a:off x="0" y="0"/>
                          <a:ext cx="6035039" cy="51206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6" o:spid="_x0000_s216" type="#_x0000_t75" style="mso-wrap-distance-left:0.0pt;mso-wrap-distance-top:0.0pt;mso-wrap-distance-right:0.0pt;mso-wrap-distance-bottom:0.0pt;width:475.2pt;height:403.2pt;" stroked="f">
                <v:path textboxrect="0,0,0,0"/>
                <v:imagedata r:id="rId202" o:title=""/>
              </v:shape>
            </w:pict>
          </mc:Fallback>
        </mc:AlternateContent>
      </w:r>
      <w:r/>
    </w:p>
    <w:p>
      <w:pPr>
        <w:pStyle w:val="983"/>
      </w:pPr>
      <w:r>
        <w:fldChar w:fldCharType="begin"/>
      </w:r>
      <w:r>
        <w:instrText xml:space="preserve"> SEQ Рисунок \* ARABIC </w:instrText>
      </w:r>
      <w:r>
        <w:fldChar w:fldCharType="separate"/>
      </w:r>
      <w:bookmarkStart w:id="1085" w:name="_Ref205102224"/>
      <w:r/>
      <w:bookmarkStart w:id="1086" w:name="_Toc88819521"/>
      <w:r>
        <w:t xml:space="preserve">136</w:t>
      </w:r>
      <w:bookmarkEnd w:id="1085"/>
      <w:r>
        <w:fldChar w:fldCharType="end"/>
      </w:r>
      <w:r>
        <w:t xml:space="preserve">. ЭФ документа «Заявка на возврат</w:t>
      </w:r>
      <w:r>
        <w:t xml:space="preserve">», закладки «</w:t>
      </w:r>
      <w:r>
        <w:t xml:space="preserve">Раздел 1, 2 (1)»</w:t>
      </w:r>
      <w:bookmarkEnd w:id="1086"/>
      <w:r/>
      <w:r/>
    </w:p>
    <w:p>
      <w:pPr>
        <w:pStyle w:val="994"/>
      </w:pPr>
      <w:r>
        <w:t xml:space="preserve">При импорте документа из внешней системы поля документа автоматически</w:t>
      </w:r>
      <w:r>
        <w:t xml:space="preserve">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r/>
    </w:p>
    <w:p>
      <w:pPr>
        <w:pStyle w:val="994"/>
      </w:pPr>
      <w:r>
        <w:t xml:space="preserve">Перечень полей </w:t>
      </w:r>
      <w:r>
        <w:t xml:space="preserve">документа «Заявка на возврат», закладки «Раздел 1, 2 (1)»</w:t>
      </w:r>
      <w:r>
        <w:t xml:space="preserve"> приведен в таблице</w:t>
      </w:r>
      <w:r>
        <w:t xml:space="preserve"> </w:t>
      </w:r>
      <w:r>
        <w:fldChar w:fldCharType="begin"/>
      </w:r>
      <w:r>
        <w:instrText xml:space="preserve"> REF _Ref317609795 \h  \* MERGEFORMAT </w:instrText>
      </w:r>
      <w:r>
        <w:fldChar w:fldCharType="separate"/>
      </w:r>
      <w:r>
        <w:t xml:space="preserve">74</w:t>
      </w:r>
      <w:r>
        <w:fldChar w:fldCharType="end"/>
      </w:r>
      <w:r>
        <w:t xml:space="preserve">.</w:t>
      </w:r>
      <w:r/>
    </w:p>
    <w:p>
      <w:pPr>
        <w:pStyle w:val="993"/>
      </w:pPr>
      <w:r/>
      <w:bookmarkStart w:id="1087" w:name="_Ref246921635"/>
      <w:r>
        <w:fldChar w:fldCharType="begin"/>
      </w:r>
      <w:r>
        <w:instrText xml:space="preserve"> SEQ Таблица \* ARABIC </w:instrText>
      </w:r>
      <w:r>
        <w:fldChar w:fldCharType="separate"/>
      </w:r>
      <w:bookmarkStart w:id="1088" w:name="_Ref317609795"/>
      <w:r/>
      <w:bookmarkStart w:id="1089" w:name="_Toc88819260"/>
      <w:r>
        <w:t xml:space="preserve">74</w:t>
      </w:r>
      <w:bookmarkEnd w:id="1088"/>
      <w:r>
        <w:fldChar w:fldCharType="end"/>
      </w:r>
      <w:r>
        <w:t xml:space="preserve">. Описание полей </w:t>
      </w:r>
      <w:bookmarkEnd w:id="1087"/>
      <w:r>
        <w:t xml:space="preserve">документа «Заявка на возврат», закладки «Раздел 1, 2 (1)»</w:t>
      </w:r>
      <w:bookmarkEnd w:id="1089"/>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33"/>
        <w:gridCol w:w="7519"/>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111"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89" w:type="pct"/>
            <w:vAlign w:val="center"/>
            <w:textDirection w:val="lrTb"/>
            <w:noWrap w:val="false"/>
          </w:tcPr>
          <w:p>
            <w:pPr>
              <w:pStyle w:val="1006"/>
            </w:pPr>
            <w:r>
              <w:t xml:space="preserve">Описание поля</w:t>
            </w:r>
            <w:r/>
          </w:p>
        </w:tc>
      </w:tr>
      <w:tr>
        <w:trPr/>
        <w:tc>
          <w:tcPr>
            <w:shd w:val="clear" w:fill="auto" w:color="auto"/>
            <w:tcW w:w="1111" w:type="pct"/>
            <w:textDirection w:val="lrTb"/>
            <w:noWrap w:val="false"/>
          </w:tcPr>
          <w:p>
            <w:pPr>
              <w:pStyle w:val="1005"/>
              <w:ind w:left="57" w:right="57"/>
            </w:pPr>
            <w:r>
              <w:t xml:space="preserve">Номер заявки</w:t>
            </w:r>
            <w:r/>
          </w:p>
        </w:tc>
        <w:tc>
          <w:tcPr>
            <w:shd w:val="clear" w:fill="auto" w:color="auto"/>
            <w:tcW w:w="3889" w:type="pct"/>
            <w:textDirection w:val="lrTb"/>
            <w:noWrap w:val="false"/>
          </w:tcPr>
          <w:p>
            <w:pPr>
              <w:pStyle w:val="1005"/>
              <w:ind w:left="57" w:right="57"/>
            </w:pPr>
            <w:r>
              <w:t xml:space="preserve">Номер заявки.</w:t>
            </w:r>
            <w:r/>
          </w:p>
          <w:p>
            <w:pPr>
              <w:pStyle w:val="1005"/>
              <w:ind w:left="57" w:right="57"/>
            </w:pPr>
            <w:r>
              <w:t xml:space="preserve">Вводится вручную.</w:t>
            </w:r>
            <w:r/>
          </w:p>
        </w:tc>
      </w:tr>
      <w:tr>
        <w:trPr/>
        <w:tc>
          <w:tcPr>
            <w:shd w:val="clear" w:fill="auto" w:color="auto"/>
            <w:tcW w:w="1111" w:type="pct"/>
            <w:textDirection w:val="lrTb"/>
            <w:noWrap w:val="false"/>
          </w:tcPr>
          <w:p>
            <w:pPr>
              <w:pStyle w:val="1005"/>
              <w:ind w:left="57" w:right="57"/>
            </w:pPr>
            <w:r>
              <w:t xml:space="preserve">Дата заявки</w:t>
            </w:r>
            <w:r/>
          </w:p>
        </w:tc>
        <w:tc>
          <w:tcPr>
            <w:shd w:val="clear" w:fill="auto" w:color="auto"/>
            <w:tcW w:w="3889" w:type="pct"/>
            <w:textDirection w:val="lrTb"/>
            <w:noWrap w:val="false"/>
          </w:tcPr>
          <w:p>
            <w:pPr>
              <w:pStyle w:val="1005"/>
              <w:ind w:left="57" w:right="57"/>
            </w:pPr>
            <w:r>
              <w:t xml:space="preserve">Дата заявки. </w:t>
            </w:r>
            <w:r/>
          </w:p>
          <w:p>
            <w:pPr>
              <w:pStyle w:val="1005"/>
              <w:ind w:left="57" w:right="57"/>
            </w:pPr>
            <w:r>
              <w:t xml:space="preserve">Автоматически устанавливается текущая дата.</w:t>
            </w:r>
            <w:r/>
          </w:p>
          <w:p>
            <w:pPr>
              <w:pStyle w:val="1005"/>
              <w:ind w:left="57" w:right="57"/>
            </w:pPr>
            <w:r>
              <w:t xml:space="preserve">Значение даты может быть выбрано с помощью системного календаря.</w:t>
            </w:r>
            <w:r/>
          </w:p>
        </w:tc>
      </w:tr>
      <w:tr>
        <w:trPr/>
        <w:tc>
          <w:tcPr>
            <w:shd w:val="clear" w:fill="auto" w:color="auto"/>
            <w:tcW w:w="1111" w:type="pct"/>
            <w:textDirection w:val="lrTb"/>
            <w:noWrap w:val="false"/>
          </w:tcPr>
          <w:p>
            <w:pPr>
              <w:pStyle w:val="1005"/>
              <w:ind w:left="57" w:right="57"/>
            </w:pPr>
            <w:r>
              <w:t xml:space="preserve">Ед.</w:t>
            </w:r>
            <w:r>
              <w:t xml:space="preserve">Изм.</w:t>
            </w:r>
            <w:r/>
          </w:p>
        </w:tc>
        <w:tc>
          <w:tcPr>
            <w:shd w:val="clear" w:fill="auto" w:color="auto"/>
            <w:tcW w:w="3889" w:type="pct"/>
            <w:textDirection w:val="lrTb"/>
            <w:noWrap w:val="false"/>
          </w:tcPr>
          <w:p>
            <w:pPr>
              <w:pStyle w:val="1005"/>
              <w:ind w:left="57" w:right="57"/>
            </w:pPr>
            <w:r>
              <w:t xml:space="preserve">Единица измерения.</w:t>
            </w:r>
            <w:r/>
          </w:p>
          <w:p>
            <w:pPr>
              <w:pStyle w:val="1005"/>
              <w:ind w:left="57" w:right="57"/>
            </w:pPr>
            <w:r>
              <w:t xml:space="preserve">По умолчанию установлено «Руб». </w:t>
            </w:r>
            <w:r/>
          </w:p>
          <w:p>
            <w:pPr>
              <w:pStyle w:val="1005"/>
              <w:ind w:left="57" w:right="57"/>
            </w:pPr>
            <w:r>
              <w:t xml:space="preserve">Поле закрыто на редактирование.</w:t>
            </w:r>
            <w:r/>
          </w:p>
        </w:tc>
      </w:tr>
      <w:tr>
        <w:trPr/>
        <w:tc>
          <w:tcPr>
            <w:shd w:val="clear" w:fill="auto" w:color="auto"/>
            <w:tcW w:w="1111" w:type="pct"/>
            <w:textDirection w:val="lrTb"/>
            <w:noWrap w:val="false"/>
          </w:tcPr>
          <w:p>
            <w:pPr>
              <w:pStyle w:val="1005"/>
              <w:ind w:left="57" w:right="57"/>
            </w:pPr>
            <w:r>
              <w:t xml:space="preserve">Статус</w:t>
            </w:r>
            <w:r/>
          </w:p>
        </w:tc>
        <w:tc>
          <w:tcPr>
            <w:shd w:val="clear" w:fill="auto" w:color="auto"/>
            <w:tcW w:w="3889" w:type="pct"/>
            <w:textDirection w:val="lrTb"/>
            <w:noWrap w:val="false"/>
          </w:tcPr>
          <w:p>
            <w:pPr>
              <w:pStyle w:val="1005"/>
              <w:ind w:left="57" w:right="57"/>
            </w:pPr>
            <w:r>
              <w:t xml:space="preserve">Код статуса документа. </w:t>
            </w:r>
            <w:r/>
          </w:p>
          <w:p>
            <w:pPr>
              <w:pStyle w:val="1005"/>
              <w:ind w:left="57" w:right="57"/>
            </w:pPr>
            <w:r>
              <w:t xml:space="preserve">Заполняется автоматически в результате обработки документа или присылается из учетной системы (в случае обработки документа в учетной системе).</w:t>
            </w:r>
            <w:r/>
          </w:p>
        </w:tc>
      </w:tr>
      <w:tr>
        <w:trPr/>
        <w:tc>
          <w:tcPr>
            <w:shd w:val="clear" w:fill="auto" w:color="auto"/>
            <w:tcW w:w="1111" w:type="pct"/>
            <w:textDirection w:val="lrTb"/>
            <w:noWrap w:val="false"/>
          </w:tcPr>
          <w:p>
            <w:pPr>
              <w:pStyle w:val="1005"/>
              <w:ind w:left="57" w:right="57"/>
            </w:pPr>
            <w:r>
              <w:t xml:space="preserve">Уровень конфиденциальности</w:t>
            </w:r>
            <w:r/>
          </w:p>
        </w:tc>
        <w:tc>
          <w:tcPr>
            <w:shd w:val="clear" w:fill="auto" w:color="auto"/>
            <w:tcW w:w="3889" w:type="pct"/>
            <w:textDirection w:val="lrTb"/>
            <w:noWrap w:val="false"/>
          </w:tcPr>
          <w:p>
            <w:pPr>
              <w:pStyle w:val="1005"/>
              <w:ind w:left="57" w:right="57"/>
            </w:pPr>
            <w:r>
              <w:t xml:space="preserve">Заполняется пользователем вручную. По умолчанию пустое значение.</w:t>
            </w:r>
            <w:r/>
          </w:p>
          <w:p>
            <w:pPr>
              <w:pStyle w:val="1005"/>
              <w:ind w:left="57" w:right="57"/>
            </w:pPr>
            <w:r>
              <w:t xml:space="preserve">Поле заполняется значением «1» (</w:t>
            </w:r>
            <w:r>
              <w:t xml:space="preserve">ДСП</w:t>
            </w:r>
            <w:r>
              <w:t xml:space="preserve">) или «0» (не секретно) при указании:</w:t>
            </w:r>
            <w:r/>
          </w:p>
          <w:p>
            <w:pPr>
              <w:pStyle w:val="1007"/>
            </w:pPr>
            <w:r>
              <w:t xml:space="preserve">лицевого счета клиента с признаком обслуживания в ЗК;</w:t>
            </w:r>
            <w:r/>
          </w:p>
          <w:p>
            <w:pPr>
              <w:pStyle w:val="1007"/>
            </w:pPr>
            <w:r>
              <w:t xml:space="preserve">кода по Сводному реестру, для которого в справочнике СР присутствует поле «Признак контура» со значением «S» (закрытый);</w:t>
            </w:r>
            <w:r/>
          </w:p>
          <w:p>
            <w:pPr>
              <w:pStyle w:val="1007"/>
            </w:pPr>
            <w:r>
              <w:t xml:space="preserve">вместо наименования указан код организации по СР.</w:t>
            </w:r>
            <w:r/>
          </w:p>
        </w:tc>
      </w:tr>
      <w:tr>
        <w:trPr/>
        <w:tc>
          <w:tcPr>
            <w:gridSpan w:val="2"/>
            <w:shd w:val="clear" w:fill="auto" w:color="auto"/>
            <w:tcW w:w="5000" w:type="pct"/>
            <w:textDirection w:val="lrTb"/>
            <w:noWrap w:val="false"/>
          </w:tcPr>
          <w:p>
            <w:pPr>
              <w:pStyle w:val="1005"/>
              <w:ind w:left="57" w:right="57"/>
            </w:pPr>
            <w:r>
              <w:t xml:space="preserve">Закладка «Раздел 1, 2 (1)</w:t>
            </w:r>
            <w:r>
              <w:t xml:space="preserve">»</w:t>
            </w:r>
            <w:r/>
          </w:p>
        </w:tc>
      </w:tr>
      <w:tr>
        <w:trPr/>
        <w:tc>
          <w:tcPr>
            <w:shd w:val="clear" w:fill="auto" w:color="auto"/>
            <w:tcW w:w="1111" w:type="pct"/>
            <w:textDirection w:val="lrTb"/>
            <w:noWrap w:val="false"/>
          </w:tcPr>
          <w:p>
            <w:pPr>
              <w:pStyle w:val="1005"/>
              <w:ind w:left="57" w:right="57"/>
            </w:pPr>
            <w:r>
              <w:t xml:space="preserve">ПБС/АД/АИФ</w:t>
            </w:r>
            <w:r/>
          </w:p>
        </w:tc>
        <w:tc>
          <w:tcPr>
            <w:shd w:val="clear" w:fill="auto" w:color="auto"/>
            <w:tcW w:w="3889" w:type="pct"/>
            <w:textDirection w:val="lrTb"/>
            <w:noWrap w:val="false"/>
          </w:tcPr>
          <w:p>
            <w:pPr>
              <w:pStyle w:val="1005"/>
              <w:ind w:left="57" w:right="57"/>
            </w:pPr>
            <w:r>
              <w:t xml:space="preserve">Наименование ПБС (АД, АИФ).</w:t>
            </w:r>
            <w:r/>
          </w:p>
          <w:p>
            <w:pPr>
              <w:pStyle w:val="1005"/>
              <w:ind w:left="57" w:right="57"/>
            </w:pPr>
            <w:r>
              <w:t xml:space="preserve">Если </w:t>
            </w:r>
            <w:r>
              <w:t xml:space="preserve">«</w:t>
            </w:r>
            <w:r>
              <w:t xml:space="preserve">Код по СР</w:t>
            </w:r>
            <w:r>
              <w:t xml:space="preserve">»</w:t>
            </w:r>
            <w:r>
              <w:t xml:space="preserve"> заполнена, то поле заполняется из полного наименования записи СР, найденной по коду = </w:t>
            </w:r>
            <w:r>
              <w:t xml:space="preserve">«</w:t>
            </w:r>
            <w:r>
              <w:t xml:space="preserve">Код по СР</w:t>
            </w:r>
            <w:r>
              <w:t xml:space="preserve">»</w:t>
            </w:r>
            <w:r>
              <w:t xml:space="preserve">. </w:t>
            </w:r>
            <w:r/>
          </w:p>
          <w:p>
            <w:pPr>
              <w:pStyle w:val="1005"/>
              <w:ind w:left="57" w:right="57"/>
            </w:pPr>
            <w:r>
              <w:t xml:space="preserve">Иначе поле заполняется полным</w:t>
            </w:r>
            <w:r>
              <w:t xml:space="preserve"> </w:t>
            </w:r>
            <w:r>
              <w:t xml:space="preserve">наименованием из справочника РУБП/ПУБП/НУБП по константам </w:t>
            </w:r>
            <w:r>
              <w:t xml:space="preserve">«Код собственного БУ»</w:t>
            </w:r>
            <w:r>
              <w:t xml:space="preserve"> и </w:t>
            </w:r>
            <w:r>
              <w:t xml:space="preserve">«</w:t>
            </w:r>
            <w:r>
              <w:t xml:space="preserve">Код бюджета</w:t>
            </w:r>
            <w:r>
              <w:t xml:space="preserve">»</w:t>
            </w:r>
            <w:r>
              <w:t xml:space="preserve">.</w:t>
            </w:r>
            <w:r/>
          </w:p>
        </w:tc>
      </w:tr>
      <w:tr>
        <w:trPr/>
        <w:tc>
          <w:tcPr>
            <w:shd w:val="clear" w:fill="auto" w:color="auto"/>
            <w:tcW w:w="1111" w:type="pct"/>
            <w:textDirection w:val="lrTb"/>
            <w:noWrap w:val="false"/>
          </w:tcPr>
          <w:p>
            <w:pPr>
              <w:pStyle w:val="1005"/>
              <w:ind w:left="57" w:right="57"/>
            </w:pPr>
            <w:r>
              <w:t xml:space="preserve">ГРБС/ГАДБ/ГАИФ</w:t>
            </w:r>
            <w:r/>
          </w:p>
        </w:tc>
        <w:tc>
          <w:tcPr>
            <w:shd w:val="clear" w:fill="auto" w:color="auto"/>
            <w:tcW w:w="3889" w:type="pct"/>
            <w:textDirection w:val="lrTb"/>
            <w:noWrap w:val="false"/>
          </w:tcPr>
          <w:p>
            <w:pPr>
              <w:pStyle w:val="1005"/>
              <w:ind w:left="57" w:right="57"/>
            </w:pPr>
            <w:r>
              <w:t xml:space="preserve">Наименование ГРБС (ГАДБ, ГАИФ) по справочнику ведомств. </w:t>
            </w:r>
            <w:r/>
          </w:p>
          <w:p>
            <w:pPr>
              <w:pStyle w:val="1005"/>
              <w:ind w:left="57" w:right="57"/>
            </w:pPr>
            <w:r>
              <w:t xml:space="preserve">Подтягивается по коду главы и бюджету из справочника Ведомств, из поля «Полное наименование». Может быть изменено вручную.</w:t>
            </w:r>
            <w:r/>
          </w:p>
          <w:p>
            <w:pPr>
              <w:pStyle w:val="1008"/>
              <w:numPr>
                <w:ilvl w:val="0"/>
                <w:numId w:val="78"/>
              </w:numPr>
            </w:pPr>
            <w:r>
              <w:t xml:space="preserve">При значении поля «Переход на СР» = 1.</w:t>
            </w:r>
            <w:r/>
          </w:p>
          <w:p>
            <w:pPr>
              <w:pStyle w:val="1005"/>
              <w:ind w:left="57" w:right="57"/>
            </w:pPr>
            <w:r>
              <w:t xml:space="preserve">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r/>
          </w:p>
          <w:p>
            <w:pPr>
              <w:pStyle w:val="1005"/>
              <w:ind w:left="57" w:right="57"/>
            </w:pPr>
            <w:r>
              <w:t xml:space="preserve">В СР находится актуальная запись по </w:t>
            </w:r>
            <w:r>
              <w:t xml:space="preserve">«Код собственного БУ»</w:t>
            </w:r>
            <w:r>
              <w:t xml:space="preserve"> и </w:t>
            </w:r>
            <w:r>
              <w:t xml:space="preserve">«</w:t>
            </w:r>
            <w:r>
              <w:t xml:space="preserve">Код бюджета</w:t>
            </w:r>
            <w:r>
              <w:t xml:space="preserve">»</w:t>
            </w:r>
            <w:r>
              <w:t xml:space="preserve">.</w:t>
            </w:r>
            <w:r/>
          </w:p>
          <w:p>
            <w:pPr>
              <w:pStyle w:val="1008"/>
            </w:pPr>
            <w:r>
              <w:t xml:space="preserve">При значении поля «Переход на СР» = 0.</w:t>
            </w:r>
            <w:r/>
          </w:p>
          <w:p>
            <w:pPr>
              <w:pStyle w:val="1005"/>
              <w:ind w:left="57" w:right="57"/>
            </w:pPr>
            <w:r>
              <w:t xml:space="preserve">Заполняется</w:t>
            </w:r>
            <w:r>
              <w:t xml:space="preserve"> </w:t>
            </w:r>
            <w:r>
              <w:t xml:space="preserve">автоматически из справочника НУБП (из поля «Учредитель (наименование)») на основании кода</w:t>
            </w:r>
            <w:r>
              <w:t xml:space="preserve">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r/>
          </w:p>
          <w:p>
            <w:pPr>
              <w:pStyle w:val="1005"/>
              <w:ind w:left="57" w:right="57"/>
            </w:pPr>
            <w:r>
              <w:t xml:space="preserve">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r/>
          </w:p>
          <w:p>
            <w:pPr>
              <w:pStyle w:val="1005"/>
              <w:ind w:left="57" w:right="57"/>
            </w:pPr>
            <w:r>
              <w:t xml:space="preserve">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r/>
          </w:p>
          <w:p>
            <w:pPr>
              <w:pStyle w:val="1005"/>
              <w:ind w:left="57" w:right="57"/>
            </w:pPr>
            <w:r>
              <w:t xml:space="preserve">Поле может не заполняться в соответствии с отдельными указаниями ФК в целях обеспечения режима секретности.</w:t>
            </w:r>
            <w:r/>
          </w:p>
        </w:tc>
      </w:tr>
      <w:tr>
        <w:trPr/>
        <w:tc>
          <w:tcPr>
            <w:shd w:val="clear" w:fill="auto" w:color="auto"/>
            <w:tcW w:w="1111" w:type="pct"/>
            <w:textDirection w:val="lrTb"/>
            <w:noWrap w:val="false"/>
          </w:tcPr>
          <w:p>
            <w:pPr>
              <w:pStyle w:val="1005"/>
              <w:ind w:left="57" w:right="57"/>
            </w:pPr>
            <w:r>
              <w:t xml:space="preserve">Наименование бюджета</w:t>
            </w:r>
            <w:r/>
          </w:p>
        </w:tc>
        <w:tc>
          <w:tcPr>
            <w:shd w:val="clear" w:fill="auto" w:color="auto"/>
            <w:tcW w:w="3889" w:type="pct"/>
            <w:textDirection w:val="lrTb"/>
            <w:noWrap w:val="false"/>
          </w:tcPr>
          <w:p>
            <w:pPr>
              <w:pStyle w:val="1005"/>
              <w:ind w:left="57" w:right="57"/>
            </w:pPr>
            <w:r>
              <w:t xml:space="preserve">Значение поля подтягивается автоматически из </w:t>
            </w:r>
            <w:r>
              <w:t xml:space="preserve">справочника «Бюджеты» </w:t>
            </w:r>
            <w:r>
              <w:t xml:space="preserve">на основании значения </w:t>
            </w:r>
            <w:r>
              <w:t xml:space="preserve">«</w:t>
            </w:r>
            <w:r>
              <w:t xml:space="preserve">Код бюджета</w:t>
            </w:r>
            <w:r>
              <w:t xml:space="preserve">»</w:t>
            </w:r>
            <w:r>
              <w:t xml:space="preserve"> из системной константы</w:t>
            </w:r>
            <w:r>
              <w:t xml:space="preserve">.</w:t>
            </w:r>
            <w:r/>
          </w:p>
          <w:p>
            <w:pPr>
              <w:pStyle w:val="1005"/>
              <w:ind w:left="57" w:right="57"/>
            </w:pPr>
            <w:r>
              <w:t xml:space="preserve">Значение может быть введено вручную или из </w:t>
            </w:r>
            <w:r>
              <w:t xml:space="preserve">справочника «Бюджеты»</w:t>
            </w:r>
            <w:r>
              <w:t xml:space="preserve">.</w:t>
            </w:r>
            <w:r/>
          </w:p>
          <w:p>
            <w:pPr>
              <w:pStyle w:val="1005"/>
              <w:ind w:left="57" w:right="57"/>
            </w:pPr>
            <w:r>
              <w:t xml:space="preserve">При вводе Заявки от АУ/БУ – не заполняется</w:t>
            </w:r>
            <w:r>
              <w:t xml:space="preserve">.</w:t>
            </w:r>
            <w:r/>
          </w:p>
        </w:tc>
      </w:tr>
      <w:tr>
        <w:trPr/>
        <w:tc>
          <w:tcPr>
            <w:shd w:val="clear" w:fill="auto" w:color="auto"/>
            <w:tcW w:w="1111" w:type="pct"/>
            <w:textDirection w:val="lrTb"/>
            <w:noWrap w:val="false"/>
          </w:tcPr>
          <w:p>
            <w:pPr>
              <w:pStyle w:val="1005"/>
              <w:ind w:left="57" w:right="57"/>
            </w:pPr>
            <w:r>
              <w:t xml:space="preserve">Финансовый орган</w:t>
            </w:r>
            <w:r/>
          </w:p>
        </w:tc>
        <w:tc>
          <w:tcPr>
            <w:shd w:val="clear" w:fill="auto" w:color="auto"/>
            <w:tcW w:w="3889" w:type="pct"/>
            <w:textDirection w:val="lrTb"/>
            <w:noWrap w:val="false"/>
          </w:tcPr>
          <w:p>
            <w:pPr>
              <w:pStyle w:val="1005"/>
              <w:ind w:left="57" w:right="57"/>
            </w:pPr>
            <w:r>
              <w:t xml:space="preserve">Наименование ФО по справочнику </w:t>
            </w:r>
            <w:r>
              <w:t xml:space="preserve">«Финансовые органы»</w:t>
            </w:r>
            <w:r>
              <w:t xml:space="preserve">.</w:t>
            </w:r>
            <w:r/>
          </w:p>
          <w:p>
            <w:pPr>
              <w:pStyle w:val="1005"/>
              <w:ind w:left="57" w:right="57"/>
            </w:pPr>
            <w:r>
              <w:t xml:space="preserve">Значение поля заполняется автоматически по бюджету из спр</w:t>
            </w:r>
            <w:r>
              <w:t xml:space="preserve">авочника</w:t>
            </w:r>
            <w:r>
              <w:t xml:space="preserve"> «Фи</w:t>
            </w:r>
            <w:r>
              <w:t xml:space="preserve">нансовые органы»</w:t>
            </w:r>
            <w:r>
              <w:t xml:space="preserve">.</w:t>
            </w:r>
            <w:r/>
          </w:p>
          <w:p>
            <w:pPr>
              <w:pStyle w:val="1005"/>
              <w:ind w:left="57" w:right="57"/>
            </w:pPr>
            <w:r>
              <w:t xml:space="preserve">Может быть </w:t>
            </w:r>
            <w:r>
              <w:t xml:space="preserve">введено вручную или из справочника </w:t>
            </w:r>
            <w:r>
              <w:t xml:space="preserve">«Финансовые о</w:t>
            </w:r>
            <w:r>
              <w:t xml:space="preserve">р</w:t>
            </w:r>
            <w:r>
              <w:t xml:space="preserve">ганы»</w:t>
            </w:r>
            <w:r>
              <w:t xml:space="preserve">.</w:t>
            </w:r>
            <w:r/>
          </w:p>
          <w:p>
            <w:pPr>
              <w:pStyle w:val="1005"/>
              <w:ind w:left="57" w:right="57"/>
            </w:pPr>
            <w:r>
              <w:t xml:space="preserve">При вводе Заявки от АУ/БУ – не заполняется</w:t>
            </w:r>
            <w:r>
              <w:t xml:space="preserve">.</w:t>
            </w:r>
            <w:r/>
          </w:p>
          <w:p>
            <w:pPr>
              <w:pStyle w:val="1005"/>
              <w:ind w:left="57" w:right="57"/>
            </w:pPr>
            <w:r>
              <w:t xml:space="preserve">Поле не заполняется для ТГВБВ и ГВБФ.</w:t>
            </w:r>
            <w:r/>
          </w:p>
        </w:tc>
      </w:tr>
      <w:tr>
        <w:trPr/>
        <w:tc>
          <w:tcPr>
            <w:shd w:val="clear" w:fill="auto" w:color="auto"/>
            <w:tcW w:w="1111" w:type="pct"/>
            <w:textDirection w:val="lrTb"/>
            <w:noWrap w:val="false"/>
          </w:tcPr>
          <w:p>
            <w:pPr>
              <w:pStyle w:val="1005"/>
              <w:ind w:left="57" w:right="57"/>
            </w:pPr>
            <w:r>
              <w:t xml:space="preserve">П</w:t>
            </w:r>
            <w:r>
              <w:t xml:space="preserve">о ОКПО</w:t>
            </w:r>
            <w:r/>
          </w:p>
        </w:tc>
        <w:tc>
          <w:tcPr>
            <w:shd w:val="clear" w:fill="auto" w:color="auto"/>
            <w:tcW w:w="3889" w:type="pct"/>
            <w:textDirection w:val="lrTb"/>
            <w:noWrap w:val="false"/>
          </w:tcPr>
          <w:p>
            <w:pPr>
              <w:pStyle w:val="1005"/>
              <w:ind w:left="57" w:right="57"/>
            </w:pPr>
            <w:r>
              <w:t xml:space="preserve">Заполняется автоматически ОКПО соответствующего актуального ФО (поиск по коду ФО) из </w:t>
            </w:r>
            <w:r>
              <w:t xml:space="preserve">справочника </w:t>
            </w:r>
            <w:r>
              <w:t xml:space="preserve">«Финансовые о</w:t>
            </w:r>
            <w:r>
              <w:t xml:space="preserve">р</w:t>
            </w:r>
            <w:r>
              <w:t xml:space="preserve">ганы»</w:t>
            </w:r>
            <w:r>
              <w:t xml:space="preserve">.</w:t>
            </w:r>
            <w:r/>
          </w:p>
          <w:p>
            <w:pPr>
              <w:pStyle w:val="1005"/>
              <w:ind w:left="57" w:right="57"/>
            </w:pPr>
            <w:r>
              <w:t xml:space="preserve">Может быть отредактировано вручную/из </w:t>
            </w:r>
            <w:r>
              <w:t xml:space="preserve">справочника «Финансовые органы»</w:t>
            </w:r>
            <w:r>
              <w:t xml:space="preserve">.</w:t>
            </w:r>
            <w:r/>
          </w:p>
        </w:tc>
      </w:tr>
      <w:tr>
        <w:trPr/>
        <w:tc>
          <w:tcPr>
            <w:shd w:val="clear" w:fill="auto" w:color="auto"/>
            <w:tcW w:w="1111" w:type="pct"/>
            <w:textDirection w:val="lrTb"/>
            <w:noWrap w:val="false"/>
          </w:tcPr>
          <w:p>
            <w:pPr>
              <w:pStyle w:val="1005"/>
              <w:ind w:left="57" w:right="57"/>
            </w:pPr>
            <w:r>
              <w:t xml:space="preserve">Наименование органа Федерального казначейства</w:t>
            </w:r>
            <w:r/>
          </w:p>
        </w:tc>
        <w:tc>
          <w:tcPr>
            <w:shd w:val="clear" w:fill="auto" w:color="auto"/>
            <w:tcW w:w="3889" w:type="pct"/>
            <w:textDirection w:val="lrTb"/>
            <w:noWrap w:val="false"/>
          </w:tcPr>
          <w:p>
            <w:pPr>
              <w:pStyle w:val="1005"/>
              <w:ind w:left="57" w:right="57"/>
            </w:pPr>
            <w:r>
              <w:t xml:space="preserve">Наименование ТОФК по КОФК.</w:t>
            </w:r>
            <w:r/>
          </w:p>
          <w:p>
            <w:pPr>
              <w:pStyle w:val="1005"/>
              <w:ind w:left="57" w:right="57"/>
            </w:pPr>
            <w:r>
              <w:t xml:space="preserve">Заполняется автоматически по коду КОФК из справочника Органов ФК. </w:t>
            </w:r>
            <w:r/>
          </w:p>
          <w:p>
            <w:pPr>
              <w:pStyle w:val="1005"/>
              <w:ind w:left="57" w:right="57"/>
            </w:pPr>
            <w:r>
              <w:t xml:space="preserve">Может быть изменено вручную.</w:t>
            </w:r>
            <w:r/>
          </w:p>
        </w:tc>
      </w:tr>
      <w:tr>
        <w:trPr/>
        <w:tc>
          <w:tcPr>
            <w:shd w:val="clear" w:fill="auto" w:color="auto"/>
            <w:tcW w:w="1111" w:type="pct"/>
            <w:textDirection w:val="lrTb"/>
            <w:noWrap w:val="false"/>
          </w:tcPr>
          <w:p>
            <w:pPr>
              <w:pStyle w:val="1005"/>
              <w:ind w:left="57" w:right="57"/>
            </w:pPr>
            <w:r>
              <w:t xml:space="preserve">Дата</w:t>
            </w:r>
            <w:r/>
          </w:p>
        </w:tc>
        <w:tc>
          <w:tcPr>
            <w:shd w:val="clear" w:fill="auto" w:color="auto"/>
            <w:tcW w:w="3889" w:type="pct"/>
            <w:textDirection w:val="lrTb"/>
            <w:noWrap w:val="false"/>
          </w:tcPr>
          <w:p>
            <w:pPr>
              <w:pStyle w:val="1005"/>
              <w:ind w:left="57" w:right="57"/>
            </w:pPr>
            <w:r>
              <w:t xml:space="preserve">Текущая операционная дата.</w:t>
            </w:r>
            <w:r/>
          </w:p>
          <w:p>
            <w:pPr>
              <w:pStyle w:val="1005"/>
              <w:ind w:left="57" w:right="57"/>
            </w:pPr>
            <w:r>
              <w:t xml:space="preserve">Заполняется автоматически по дате заголовка документа. </w:t>
            </w:r>
            <w:r/>
          </w:p>
          <w:p>
            <w:pPr>
              <w:pStyle w:val="1005"/>
              <w:ind w:left="57" w:right="57"/>
            </w:pPr>
            <w:r>
              <w:t xml:space="preserve">Закрыто на редактирование.</w:t>
            </w:r>
            <w:r/>
          </w:p>
        </w:tc>
      </w:tr>
      <w:tr>
        <w:trPr/>
        <w:tc>
          <w:tcPr>
            <w:shd w:val="clear" w:fill="auto" w:color="auto"/>
            <w:tcW w:w="1111" w:type="pct"/>
            <w:textDirection w:val="lrTb"/>
            <w:noWrap w:val="false"/>
          </w:tcPr>
          <w:p>
            <w:pPr>
              <w:pStyle w:val="1005"/>
              <w:ind w:left="57" w:right="57"/>
            </w:pPr>
            <w:r>
              <w:t xml:space="preserve">Код по Сводному реестру</w:t>
            </w:r>
            <w:r/>
          </w:p>
        </w:tc>
        <w:tc>
          <w:tcPr>
            <w:shd w:val="clear" w:fill="auto" w:color="auto"/>
            <w:tcW w:w="3889" w:type="pct"/>
            <w:textDirection w:val="lrTb"/>
            <w:noWrap w:val="false"/>
          </w:tcPr>
          <w:p>
            <w:pPr>
              <w:pStyle w:val="1005"/>
              <w:ind w:left="57" w:right="57"/>
            </w:pPr>
            <w:r>
              <w:t xml:space="preserve">Код ПБС (АД, АИФ) по Сводному реестру. </w:t>
            </w:r>
            <w:r/>
          </w:p>
          <w:p>
            <w:pPr>
              <w:pStyle w:val="1005"/>
              <w:ind w:left="57" w:right="57"/>
            </w:pPr>
            <w:r>
              <w:t xml:space="preserve">При смене лицевого счета перезаполняется из справочника Лицевых счетов (только для ФБ).</w:t>
            </w:r>
            <w:r/>
          </w:p>
          <w:p>
            <w:pPr>
              <w:pStyle w:val="1005"/>
              <w:ind w:left="57" w:right="57"/>
            </w:pPr>
            <w:r>
              <w:t xml:space="preserve">При выборе значения кода клиента автоматически заполняется/перезаполняется поле «Наименование клиента» и наоборот. </w:t>
            </w:r>
            <w:r/>
          </w:p>
          <w:p>
            <w:pPr>
              <w:pStyle w:val="1005"/>
              <w:ind w:left="57" w:right="57"/>
            </w:pPr>
            <w:r>
              <w:t xml:space="preserve">Выбор осуществляется:</w:t>
            </w:r>
            <w:r/>
          </w:p>
          <w:p>
            <w:pPr>
              <w:pStyle w:val="1008"/>
              <w:numPr>
                <w:ilvl w:val="0"/>
                <w:numId w:val="79"/>
              </w:numPr>
            </w:pPr>
            <w:r>
              <w:t xml:space="preserve">До даты завершения перехода на СР: </w:t>
            </w:r>
            <w:r/>
          </w:p>
          <w:p>
            <w:pPr>
              <w:pStyle w:val="1005"/>
              <w:ind w:left="57" w:right="57"/>
            </w:pPr>
            <w:r>
              <w:t xml:space="preserve">Из справочника СРРПБС (поле «РУБП»), отфильтрованного по бюджету и Коду главы.</w:t>
            </w:r>
            <w:r/>
          </w:p>
          <w:p>
            <w:pPr>
              <w:pStyle w:val="1008"/>
            </w:pPr>
            <w:r>
              <w:t xml:space="preserve">После даты завершения перехода на СР: </w:t>
            </w:r>
            <w:r/>
          </w:p>
          <w:p>
            <w:pPr>
              <w:pStyle w:val="1005"/>
              <w:ind w:left="57" w:right="57"/>
            </w:pPr>
            <w:r>
              <w:t xml:space="preserve">Из справочника СР (поле «Код»), отфильтрованного по бюджету и Коду главы.</w:t>
            </w:r>
            <w:r/>
          </w:p>
          <w:p>
            <w:pPr>
              <w:pStyle w:val="1008"/>
            </w:pPr>
            <w:r>
              <w:t xml:space="preserve">Если бюджет не ФБ и Дата НПА наступила независимо от перехода на СР (поле не очищается).</w:t>
            </w:r>
            <w:r/>
          </w:p>
          <w:p>
            <w:pPr>
              <w:pStyle w:val="1005"/>
              <w:ind w:left="57" w:right="57"/>
            </w:pPr>
            <w:r>
              <w:t xml:space="preserve">Доступ к справочникам:</w:t>
            </w:r>
            <w:r/>
          </w:p>
          <w:p>
            <w:pPr>
              <w:pStyle w:val="1008"/>
              <w:numPr>
                <w:ilvl w:val="0"/>
                <w:numId w:val="80"/>
              </w:numPr>
            </w:pPr>
            <w:r>
              <w:t xml:space="preserve">СРРПБС: если поле переход на СР = 0.</w:t>
            </w:r>
            <w:r/>
          </w:p>
          <w:p>
            <w:pPr>
              <w:pStyle w:val="1008"/>
            </w:pPr>
            <w:r>
              <w:t xml:space="preserve">СР, если поле Переход на СР = 1.</w:t>
            </w:r>
            <w:r/>
          </w:p>
          <w:p>
            <w:pPr>
              <w:pStyle w:val="1005"/>
              <w:ind w:left="57" w:right="57"/>
            </w:pPr>
            <w:r>
              <w:t xml:space="preserve">Может быть изменено вручную.</w:t>
            </w:r>
            <w:r/>
          </w:p>
          <w:p>
            <w:pPr>
              <w:pStyle w:val="1005"/>
              <w:ind w:left="57" w:right="57"/>
            </w:pPr>
            <w:r>
              <w:t xml:space="preserve">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r/>
          </w:p>
          <w:p>
            <w:pPr>
              <w:pStyle w:val="1005"/>
              <w:ind w:left="57" w:right="57"/>
            </w:pPr>
            <w:r>
              <w:t xml:space="preserve">Не заполняется при вводе ТГВБФ и ГВБФ.</w:t>
            </w:r>
            <w:r/>
          </w:p>
        </w:tc>
      </w:tr>
      <w:tr>
        <w:trPr>
          <w:trHeight w:val="1693"/>
        </w:trPr>
        <w:tc>
          <w:tcPr>
            <w:shd w:val="clear" w:fill="auto" w:color="auto"/>
            <w:tcW w:w="1111" w:type="pct"/>
            <w:textDirection w:val="lrTb"/>
            <w:noWrap w:val="false"/>
          </w:tcPr>
          <w:p>
            <w:pPr>
              <w:pStyle w:val="1005"/>
              <w:ind w:left="57" w:right="57"/>
            </w:pPr>
            <w:r>
              <w:t xml:space="preserve">ИНН</w:t>
            </w:r>
            <w:r/>
          </w:p>
        </w:tc>
        <w:tc>
          <w:tcPr>
            <w:shd w:val="clear" w:fill="auto" w:color="auto"/>
            <w:tcW w:w="3889" w:type="pct"/>
            <w:textDirection w:val="lrTb"/>
            <w:noWrap w:val="false"/>
          </w:tcPr>
          <w:p>
            <w:pPr>
              <w:pStyle w:val="1005"/>
              <w:ind w:left="57" w:right="57"/>
            </w:pPr>
            <w:r>
              <w:t xml:space="preserve">ИНН ПБС (АД, АИФ).</w:t>
            </w:r>
            <w:r/>
          </w:p>
          <w:p>
            <w:pPr>
              <w:pStyle w:val="1005"/>
              <w:ind w:left="57" w:right="57"/>
            </w:pPr>
            <w:r>
              <w:t xml:space="preserve">Поле заполняется автоматически после заполнения поля «По сводному реестру» из справочника СРРПБС.</w:t>
            </w:r>
            <w:r/>
          </w:p>
          <w:p>
            <w:pPr>
              <w:pStyle w:val="1005"/>
              <w:ind w:left="57" w:right="57"/>
            </w:pPr>
            <w:r>
              <w:t xml:space="preserve">Может быть изменено вру</w:t>
            </w:r>
            <w:r>
              <w:t xml:space="preserve">чную.</w:t>
            </w:r>
            <w:r/>
          </w:p>
          <w:p>
            <w:pPr>
              <w:pStyle w:val="1005"/>
              <w:ind w:left="57" w:right="57"/>
            </w:pPr>
            <w:r>
              <w:t xml:space="preserve">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r/>
          </w:p>
        </w:tc>
      </w:tr>
      <w:tr>
        <w:trPr/>
        <w:tc>
          <w:tcPr>
            <w:shd w:val="clear" w:fill="auto" w:color="auto"/>
            <w:tcW w:w="1111" w:type="pct"/>
            <w:textDirection w:val="lrTb"/>
            <w:noWrap w:val="false"/>
          </w:tcPr>
          <w:p>
            <w:pPr>
              <w:pStyle w:val="1005"/>
              <w:ind w:left="57" w:right="57"/>
            </w:pPr>
            <w:r>
              <w:t xml:space="preserve">КПП</w:t>
            </w:r>
            <w:r/>
          </w:p>
        </w:tc>
        <w:tc>
          <w:tcPr>
            <w:shd w:val="clear" w:fill="auto" w:color="auto"/>
            <w:tcW w:w="3889" w:type="pct"/>
            <w:textDirection w:val="lrTb"/>
            <w:noWrap w:val="false"/>
          </w:tcPr>
          <w:p>
            <w:pPr>
              <w:pStyle w:val="1005"/>
              <w:ind w:left="57" w:right="57"/>
            </w:pPr>
            <w:r>
              <w:t xml:space="preserve">КПП ПБС (АД, АИФ).</w:t>
            </w:r>
            <w:r/>
          </w:p>
          <w:p>
            <w:pPr>
              <w:pStyle w:val="1005"/>
              <w:ind w:left="57" w:right="57"/>
            </w:pPr>
            <w:r>
              <w:t xml:space="preserve">Заполняется автоматически после заполнения поля «ИНН» из справочника СРРПБС.</w:t>
            </w:r>
            <w:r/>
          </w:p>
          <w:p>
            <w:pPr>
              <w:pStyle w:val="1005"/>
              <w:ind w:left="57" w:right="57"/>
            </w:pPr>
            <w:r>
              <w:t xml:space="preserve">Может быть изменено вручную.</w:t>
            </w:r>
            <w:r/>
          </w:p>
          <w:p>
            <w:pPr>
              <w:pStyle w:val="1005"/>
              <w:ind w:left="57" w:right="57"/>
            </w:pPr>
            <w:r>
              <w:t xml:space="preserve">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r/>
          </w:p>
        </w:tc>
      </w:tr>
      <w:tr>
        <w:trPr/>
        <w:tc>
          <w:tcPr>
            <w:shd w:val="clear" w:fill="auto" w:color="auto"/>
            <w:tcW w:w="1111" w:type="pct"/>
            <w:textDirection w:val="lrTb"/>
            <w:noWrap w:val="false"/>
          </w:tcPr>
          <w:p>
            <w:pPr>
              <w:pStyle w:val="1005"/>
              <w:ind w:left="57" w:right="57"/>
            </w:pPr>
            <w:r>
              <w:t xml:space="preserve">Номер лицевого счета</w:t>
            </w:r>
            <w:r/>
          </w:p>
        </w:tc>
        <w:tc>
          <w:tcPr>
            <w:shd w:val="clear" w:fill="auto" w:color="auto"/>
            <w:tcW w:w="3889" w:type="pct"/>
            <w:textDirection w:val="lrTb"/>
            <w:noWrap w:val="false"/>
          </w:tcPr>
          <w:p>
            <w:pPr>
              <w:pStyle w:val="1005"/>
              <w:ind w:left="57" w:right="57"/>
            </w:pPr>
            <w:r>
              <w:t xml:space="preserve">Номер лицевого счета ПБС (АД, АИФ).</w:t>
            </w:r>
            <w:r/>
          </w:p>
          <w:p>
            <w:pPr>
              <w:pStyle w:val="1005"/>
              <w:ind w:left="57" w:right="57"/>
            </w:pPr>
            <w:r>
              <w:t xml:space="preserve">Заполняется</w:t>
            </w:r>
            <w:r>
              <w:t xml:space="preserve"> автоматически по системной константе </w:t>
            </w:r>
            <w:r>
              <w:t xml:space="preserve">«</w:t>
            </w:r>
            <w:r>
              <w:t xml:space="preserve">Код собс</w:t>
            </w:r>
            <w:r>
              <w:t xml:space="preserve">т</w:t>
            </w:r>
            <w:r>
              <w:t xml:space="preserve">венного БУ</w:t>
            </w:r>
            <w:r>
              <w:t xml:space="preserve">»</w:t>
            </w:r>
            <w:r>
              <w:t xml:space="preserve"> и соо</w:t>
            </w:r>
            <w:r>
              <w:t xml:space="preserve">т</w:t>
            </w:r>
            <w:r>
              <w:t xml:space="preserve">ветствующему типу лицевого счета: для ФО</w:t>
            </w:r>
            <w:r>
              <w:t xml:space="preserve"> – «</w:t>
            </w:r>
            <w:r>
              <w:t xml:space="preserve">02</w:t>
            </w:r>
            <w:r>
              <w:t xml:space="preserve">»</w:t>
            </w:r>
            <w:r>
              <w:t xml:space="preserve">. Если счетов найдено несколько, то на экран </w:t>
            </w:r>
            <w:r>
              <w:t xml:space="preserve">выдается </w:t>
            </w:r>
            <w:r>
              <w:t xml:space="preserve">окно выбор</w:t>
            </w:r>
            <w:r>
              <w:t xml:space="preserve">а</w:t>
            </w:r>
            <w:r>
              <w:t xml:space="preserve"> из справочника со всеми на</w:t>
            </w:r>
            <w:r>
              <w:t xml:space="preserve">й</w:t>
            </w:r>
            <w:r>
              <w:t xml:space="preserve">денными счетами.</w:t>
            </w:r>
            <w:r/>
          </w:p>
          <w:p>
            <w:pPr>
              <w:pStyle w:val="1005"/>
              <w:ind w:left="57" w:right="57"/>
            </w:pPr>
            <w:r>
              <w:t xml:space="preserve">Может быть отредактирован вручную или выбором из справо</w:t>
            </w:r>
            <w:r>
              <w:t xml:space="preserve">чника </w:t>
            </w:r>
            <w:r>
              <w:t xml:space="preserve">«</w:t>
            </w:r>
            <w:r>
              <w:t xml:space="preserve">И</w:t>
            </w:r>
            <w:r>
              <w:t xml:space="preserve">н</w:t>
            </w:r>
            <w:r>
              <w:t xml:space="preserve">фо</w:t>
            </w:r>
            <w:r>
              <w:t xml:space="preserve">р</w:t>
            </w:r>
            <w:r>
              <w:t xml:space="preserve">мация о ЛС</w:t>
            </w:r>
            <w:r>
              <w:t xml:space="preserve">»</w:t>
            </w:r>
            <w:r>
              <w:t xml:space="preserve">.</w:t>
            </w:r>
            <w:r/>
          </w:p>
        </w:tc>
      </w:tr>
      <w:tr>
        <w:trPr/>
        <w:tc>
          <w:tcPr>
            <w:shd w:val="clear" w:fill="auto" w:color="auto"/>
            <w:tcW w:w="1111" w:type="pct"/>
            <w:textDirection w:val="lrTb"/>
            <w:noWrap w:val="false"/>
          </w:tcPr>
          <w:p>
            <w:pPr>
              <w:pStyle w:val="1005"/>
              <w:ind w:left="57" w:right="57"/>
            </w:pPr>
            <w:r>
              <w:t xml:space="preserve">Глава по БК</w:t>
            </w:r>
            <w:r/>
          </w:p>
        </w:tc>
        <w:tc>
          <w:tcPr>
            <w:shd w:val="clear" w:fill="auto" w:color="auto"/>
            <w:tcW w:w="3889" w:type="pct"/>
            <w:textDirection w:val="lrTb"/>
            <w:noWrap w:val="false"/>
          </w:tcPr>
          <w:p>
            <w:pPr>
              <w:pStyle w:val="1005"/>
              <w:ind w:left="57" w:right="57"/>
            </w:pPr>
            <w:r>
              <w:t xml:space="preserve">По умолчанию – «</w:t>
            </w:r>
            <w:r>
              <w:t xml:space="preserve">Собственный код ведомства</w:t>
            </w:r>
            <w:r>
              <w:t xml:space="preserve">» из системной константы.</w:t>
            </w:r>
            <w:r/>
          </w:p>
          <w:p>
            <w:pPr>
              <w:pStyle w:val="1005"/>
              <w:ind w:left="57" w:right="57"/>
            </w:pPr>
            <w:r>
              <w:t xml:space="preserve">Привязан справочник Ведомств.</w:t>
            </w:r>
            <w:r/>
          </w:p>
          <w:p>
            <w:pPr>
              <w:pStyle w:val="1005"/>
              <w:ind w:left="57" w:right="57"/>
            </w:pPr>
            <w:r>
              <w:t xml:space="preserve">При вводе Заявки от АУ/БУ Глава по БК не заполн</w:t>
            </w:r>
            <w:r>
              <w:t xml:space="preserve">яется.</w:t>
            </w:r>
            <w:r/>
          </w:p>
          <w:p>
            <w:pPr>
              <w:pStyle w:val="1005"/>
              <w:ind w:left="57" w:right="57"/>
            </w:pPr>
            <w:r>
              <w:t xml:space="preserve">Поле может не заполняться в соответствии с отдельными указаниями ФК в целях обеспечения режима секретности.</w:t>
            </w:r>
            <w:r/>
          </w:p>
        </w:tc>
      </w:tr>
      <w:tr>
        <w:trPr/>
        <w:tc>
          <w:tcPr>
            <w:shd w:val="clear" w:fill="auto" w:color="auto"/>
            <w:tcW w:w="1111" w:type="pct"/>
            <w:textDirection w:val="lrTb"/>
            <w:noWrap w:val="false"/>
          </w:tcPr>
          <w:p>
            <w:pPr>
              <w:pStyle w:val="1005"/>
              <w:ind w:left="57" w:right="57"/>
            </w:pPr>
            <w:r>
              <w:t xml:space="preserve">П</w:t>
            </w:r>
            <w:r>
              <w:t xml:space="preserve">о КОФК</w:t>
            </w:r>
            <w:r/>
          </w:p>
        </w:tc>
        <w:tc>
          <w:tcPr>
            <w:shd w:val="clear" w:fill="auto" w:color="auto"/>
            <w:tcW w:w="3889" w:type="pct"/>
            <w:textDirection w:val="lrTb"/>
            <w:noWrap w:val="false"/>
          </w:tcPr>
          <w:p>
            <w:pPr>
              <w:pStyle w:val="1005"/>
              <w:ind w:left="57" w:right="57"/>
            </w:pPr>
            <w:r>
              <w:t xml:space="preserve">Код ТОФК по КОФК.</w:t>
            </w:r>
            <w:r/>
          </w:p>
          <w:p>
            <w:pPr>
              <w:pStyle w:val="1005"/>
              <w:ind w:left="57" w:right="57"/>
            </w:pPr>
            <w:r>
              <w:t xml:space="preserve">Проверяется уровень значения константы «</w:t>
            </w:r>
            <w:r>
              <w:t xml:space="preserve">Код собственного ТОФК</w:t>
            </w:r>
            <w:r>
              <w:t xml:space="preserve">». Если уровень </w:t>
            </w:r>
            <w:r>
              <w:t xml:space="preserve">равен</w:t>
            </w:r>
            <w:r>
              <w:t xml:space="preserve"> ОФК, то по умолчанию проставляется значение константы «</w:t>
            </w:r>
            <w:r>
              <w:t xml:space="preserve">Код вышестоящего ТОФК</w:t>
            </w:r>
            <w:r>
              <w:t xml:space="preserve">», равный уровню УФК; если уровень константы равен УФК и выше, то по умолчанию проставляется значение «</w:t>
            </w:r>
            <w:r>
              <w:t xml:space="preserve">Код собственного ТОФК</w:t>
            </w:r>
            <w:r>
              <w:t xml:space="preserve">».</w:t>
            </w:r>
            <w:r/>
          </w:p>
          <w:p>
            <w:pPr>
              <w:pStyle w:val="1005"/>
              <w:ind w:left="57" w:right="57"/>
            </w:pPr>
            <w:r>
              <w:t xml:space="preserve">Привязан справочник органов ФК.</w:t>
            </w:r>
            <w:r/>
          </w:p>
        </w:tc>
      </w:tr>
      <w:tr>
        <w:trPr/>
        <w:tc>
          <w:tcPr>
            <w:shd w:val="clear" w:fill="auto" w:color="auto"/>
            <w:tcW w:w="1111" w:type="pct"/>
            <w:textDirection w:val="lrTb"/>
            <w:noWrap w:val="false"/>
          </w:tcPr>
          <w:p>
            <w:pPr>
              <w:pStyle w:val="1005"/>
              <w:ind w:left="57" w:right="57"/>
            </w:pPr>
            <w:r>
              <w:t xml:space="preserve">Причина отказа</w:t>
            </w:r>
            <w:r/>
          </w:p>
        </w:tc>
        <w:tc>
          <w:tcPr>
            <w:shd w:val="clear" w:fill="auto" w:color="auto"/>
            <w:tcW w:w="3889" w:type="pct"/>
            <w:textDirection w:val="lrTb"/>
            <w:noWrap w:val="false"/>
          </w:tcPr>
          <w:p>
            <w:pPr>
              <w:pStyle w:val="1005"/>
              <w:ind w:left="57" w:right="57"/>
            </w:pPr>
            <w:r>
              <w:t xml:space="preserve">Причина отказа ФО.</w:t>
            </w:r>
            <w:r/>
          </w:p>
        </w:tc>
      </w:tr>
      <w:tr>
        <w:trPr/>
        <w:tc>
          <w:tcPr>
            <w:shd w:val="clear" w:fill="auto" w:color="auto"/>
            <w:tcW w:w="1111" w:type="pct"/>
            <w:textDirection w:val="lrTb"/>
            <w:noWrap w:val="false"/>
          </w:tcPr>
          <w:p>
            <w:pPr>
              <w:pStyle w:val="1005"/>
              <w:ind w:left="57" w:right="57"/>
            </w:pPr>
            <w:r>
              <w:t xml:space="preserve">Код объекта по ФАИП</w:t>
            </w:r>
            <w:r/>
          </w:p>
        </w:tc>
        <w:tc>
          <w:tcPr>
            <w:shd w:val="clear" w:fill="auto" w:color="auto"/>
            <w:tcW w:w="3889" w:type="pct"/>
            <w:textDirection w:val="lrTb"/>
            <w:noWrap w:val="false"/>
          </w:tcPr>
          <w:p>
            <w:pPr>
              <w:pStyle w:val="1005"/>
              <w:ind w:left="57" w:right="57"/>
            </w:pPr>
            <w:r>
              <w:t xml:space="preserve">Заполняется вручную/из справочника ФАИП.</w:t>
            </w:r>
            <w:r/>
          </w:p>
          <w:p>
            <w:pPr>
              <w:pStyle w:val="1005"/>
              <w:ind w:left="57" w:right="57"/>
            </w:pPr>
            <w:r>
              <w:t xml:space="preserve">Для выбора из справочника доступны все записи, у которых признак актуальности указан «Да» и значение поля «Дата с» </w:t>
            </w:r>
            <w:r>
              <w:t xml:space="preserve">меньше или равна</w:t>
            </w:r>
            <w:r>
              <w:t xml:space="preserve"> дате документа, если указан ЛС с кодом 21, 31 или 41.</w:t>
            </w:r>
            <w:r/>
          </w:p>
          <w:p>
            <w:pPr>
              <w:pStyle w:val="1005"/>
              <w:ind w:left="57" w:right="57"/>
            </w:pPr>
            <w:r>
              <w:t xml:space="preserve">Иначе, для выбора из справочника доступны только актуальные записи на дату документа.</w:t>
            </w:r>
            <w:r/>
          </w:p>
          <w:p>
            <w:pPr>
              <w:pStyle w:val="1005"/>
              <w:ind w:left="57" w:right="57"/>
            </w:pPr>
            <w:r>
              <w:t xml:space="preserve">Для всех документов, за исключением документов по л/с с кодом 20, 21, 22, 30, 31, 32, 41, добавлен</w:t>
            </w:r>
            <w:r>
              <w:t xml:space="preserve"> </w:t>
            </w:r>
            <w:r>
              <w:t xml:space="preserve">выбор значений из справочника «Перечень кодов мероприятий по информатизации».</w:t>
            </w:r>
            <w:r/>
          </w:p>
        </w:tc>
      </w:tr>
      <w:tr>
        <w:trPr>
          <w:trHeight w:val="305"/>
        </w:trPr>
        <w:tc>
          <w:tcPr>
            <w:gridSpan w:val="2"/>
            <w:shd w:val="clear" w:fill="auto" w:color="auto"/>
            <w:tcW w:w="5000" w:type="pct"/>
            <w:textDirection w:val="lrTb"/>
            <w:noWrap w:val="false"/>
          </w:tcPr>
          <w:p>
            <w:pPr>
              <w:pStyle w:val="1005"/>
              <w:ind w:left="57" w:right="57"/>
            </w:pPr>
            <w:r>
              <w:t xml:space="preserve">Закладка «Раздел 1, 2 (1)</w:t>
            </w:r>
            <w:r>
              <w:t xml:space="preserve">», группа полей «</w:t>
            </w:r>
            <w:r>
              <w:t xml:space="preserve">Раздел 1. Реквизиты документа»</w:t>
            </w:r>
            <w:r/>
          </w:p>
        </w:tc>
      </w:tr>
      <w:tr>
        <w:trPr/>
        <w:tc>
          <w:tcPr>
            <w:shd w:val="clear" w:fill="auto" w:color="auto"/>
            <w:tcW w:w="1111" w:type="pct"/>
            <w:textDirection w:val="lrTb"/>
            <w:noWrap w:val="false"/>
          </w:tcPr>
          <w:p>
            <w:pPr>
              <w:pStyle w:val="1005"/>
              <w:ind w:left="57" w:right="57"/>
            </w:pPr>
            <w:r>
              <w:t xml:space="preserve">Код по БК</w:t>
            </w:r>
            <w:r/>
          </w:p>
        </w:tc>
        <w:tc>
          <w:tcPr>
            <w:shd w:val="clear" w:fill="auto" w:color="auto"/>
            <w:tcW w:w="3889" w:type="pct"/>
            <w:textDirection w:val="lrTb"/>
            <w:noWrap w:val="false"/>
          </w:tcPr>
          <w:p>
            <w:pPr>
              <w:pStyle w:val="1005"/>
              <w:ind w:left="57" w:right="57"/>
            </w:pPr>
            <w:r>
              <w:t xml:space="preserve">Вручную из справочника КБК.</w:t>
            </w:r>
            <w:r/>
          </w:p>
          <w:p>
            <w:pPr>
              <w:pStyle w:val="1005"/>
              <w:ind w:left="57" w:right="57"/>
            </w:pPr>
            <w:r>
              <w:t xml:space="preserve">Доступны значения с типом: «10», «20», «21», «31», «32».</w:t>
            </w:r>
            <w:r/>
          </w:p>
          <w:p>
            <w:pPr>
              <w:pStyle w:val="1005"/>
              <w:ind w:left="57" w:right="57"/>
            </w:pPr>
            <w:r>
              <w:t xml:space="preserve">При вводе заявки от АУ/БУ в поле «КБК» указывается: с 1 по 17 знаки – «0», с 18 по 20 – К</w:t>
            </w:r>
            <w:r>
              <w:t xml:space="preserve">од поступлений/источников</w:t>
            </w:r>
            <w:r>
              <w:t xml:space="preserve"> (К</w:t>
            </w:r>
            <w:r>
              <w:t xml:space="preserve">од поступлений/источников</w:t>
            </w:r>
            <w:r>
              <w:t xml:space="preserve"> – значение</w:t>
            </w:r>
            <w:r>
              <w:t xml:space="preserve">,</w:t>
            </w:r>
            <w:r>
              <w:t xml:space="preserve"> соответствующее справочнику «Экономическая классификация»).</w:t>
            </w:r>
            <w:r/>
          </w:p>
          <w:p>
            <w:pPr>
              <w:pStyle w:val="1005"/>
              <w:ind w:left="57" w:right="57"/>
            </w:pPr>
            <w:r>
              <w:t xml:space="preserve">Поле не заполняется, в случае если в поле «Номер лицевого счета» заголово</w:t>
            </w:r>
            <w:r>
              <w:t xml:space="preserve">чной части указан лс с кодом 30.</w:t>
            </w:r>
            <w:r/>
          </w:p>
        </w:tc>
      </w:tr>
      <w:tr>
        <w:trPr/>
        <w:tc>
          <w:tcPr>
            <w:shd w:val="clear" w:fill="auto" w:color="auto"/>
            <w:tcW w:w="1111" w:type="pct"/>
            <w:textDirection w:val="lrTb"/>
            <w:noWrap w:val="false"/>
          </w:tcPr>
          <w:p>
            <w:pPr>
              <w:pStyle w:val="1005"/>
              <w:ind w:left="57" w:right="57"/>
            </w:pPr>
            <w:r>
              <w:t xml:space="preserve">Вид средств для осуществления возврата</w:t>
            </w:r>
            <w:r/>
          </w:p>
        </w:tc>
        <w:tc>
          <w:tcPr>
            <w:shd w:val="clear" w:fill="auto" w:color="auto"/>
            <w:tcW w:w="3889" w:type="pct"/>
            <w:textDirection w:val="lrTb"/>
            <w:noWrap w:val="false"/>
          </w:tcPr>
          <w:p>
            <w:pPr>
              <w:pStyle w:val="1005"/>
              <w:ind w:left="57" w:right="57"/>
            </w:pPr>
            <w:r>
              <w:t xml:space="preserve">Может быть изменено пользователем вручную или выбором из справочника «Источники финансирования». Список значений, доступных для выбора пользователем ограничен следующими кодами: 10, 11, 20, 21, 30, 40, 70, 80, </w:t>
            </w:r>
            <w:r>
              <w:t xml:space="preserve">90.</w:t>
            </w:r>
            <w:r/>
          </w:p>
        </w:tc>
      </w:tr>
      <w:tr>
        <w:trPr/>
        <w:tc>
          <w:tcPr>
            <w:shd w:val="clear" w:fill="auto" w:color="auto"/>
            <w:tcW w:w="1111" w:type="pct"/>
            <w:textDirection w:val="lrTb"/>
            <w:noWrap w:val="false"/>
          </w:tcPr>
          <w:p>
            <w:pPr>
              <w:pStyle w:val="1005"/>
              <w:ind w:left="57" w:right="57"/>
            </w:pPr>
            <w:r>
              <w:t xml:space="preserve">Код по ОКТМО</w:t>
            </w:r>
            <w:r/>
          </w:p>
        </w:tc>
        <w:tc>
          <w:tcPr>
            <w:shd w:val="clear" w:fill="auto" w:color="auto"/>
            <w:tcW w:w="3889" w:type="pct"/>
            <w:textDirection w:val="lrTb"/>
            <w:noWrap w:val="false"/>
          </w:tcPr>
          <w:p>
            <w:pPr>
              <w:pStyle w:val="1005"/>
              <w:ind w:left="57" w:right="57"/>
            </w:pPr>
            <w:r>
              <w:t xml:space="preserve">Заполняется вручную. </w:t>
            </w:r>
            <w:r/>
          </w:p>
          <w:p>
            <w:pPr>
              <w:pStyle w:val="1005"/>
              <w:ind w:left="57" w:right="57"/>
            </w:pPr>
            <w:r>
              <w:t xml:space="preserve">Привязан справочник ОКТМО.</w:t>
            </w:r>
            <w:r/>
          </w:p>
          <w:p>
            <w:pPr>
              <w:pStyle w:val="1005"/>
              <w:ind w:left="57" w:right="57"/>
            </w:pPr>
            <w:r>
              <w:t xml:space="preserve">Поле заполняется только при формировании АД.</w:t>
            </w:r>
            <w:r/>
          </w:p>
        </w:tc>
      </w:tr>
      <w:tr>
        <w:trPr/>
        <w:tc>
          <w:tcPr>
            <w:shd w:val="clear" w:fill="auto" w:color="auto"/>
            <w:tcW w:w="1111" w:type="pct"/>
            <w:textDirection w:val="lrTb"/>
            <w:noWrap w:val="false"/>
          </w:tcPr>
          <w:p>
            <w:pPr>
              <w:pStyle w:val="1005"/>
              <w:ind w:left="57" w:right="57"/>
            </w:pPr>
            <w:r>
              <w:t xml:space="preserve">Сумма в валюте, в которой должен быть произведен возврат</w:t>
            </w:r>
            <w:r/>
          </w:p>
        </w:tc>
        <w:tc>
          <w:tcPr>
            <w:shd w:val="clear" w:fill="auto" w:color="auto"/>
            <w:tcW w:w="3889" w:type="pct"/>
            <w:textDirection w:val="lrTb"/>
            <w:noWrap w:val="false"/>
          </w:tcPr>
          <w:p>
            <w:pPr>
              <w:pStyle w:val="1005"/>
              <w:ind w:left="57" w:right="57"/>
            </w:pPr>
            <w:r>
              <w:t xml:space="preserve">Значение атрибута «Сумма» документа, на основании которого создан документ «Заявка на возврат».</w:t>
            </w:r>
            <w:r/>
          </w:p>
          <w:p>
            <w:pPr>
              <w:pStyle w:val="1005"/>
              <w:ind w:left="57" w:right="57"/>
            </w:pPr>
            <w:r>
              <w:t xml:space="preserve">Сумма в валюте, необходимая для осуществления возврата.</w:t>
            </w:r>
            <w:r/>
          </w:p>
          <w:p>
            <w:pPr>
              <w:pStyle w:val="1005"/>
              <w:ind w:left="57" w:right="57"/>
            </w:pPr>
            <w:r>
              <w:t xml:space="preserve">Заполняется вручную.</w:t>
            </w:r>
            <w:r/>
          </w:p>
        </w:tc>
      </w:tr>
      <w:tr>
        <w:trPr/>
        <w:tc>
          <w:tcPr>
            <w:shd w:val="clear" w:fill="auto" w:color="auto"/>
            <w:tcW w:w="1111" w:type="pct"/>
            <w:textDirection w:val="lrTb"/>
            <w:noWrap w:val="false"/>
          </w:tcPr>
          <w:p>
            <w:pPr>
              <w:pStyle w:val="1005"/>
              <w:ind w:left="57" w:right="57"/>
            </w:pPr>
            <w:r>
              <w:t xml:space="preserve">Код валюты по ОКВ</w:t>
            </w:r>
            <w:r/>
          </w:p>
        </w:tc>
        <w:tc>
          <w:tcPr>
            <w:shd w:val="clear" w:fill="auto" w:color="auto"/>
            <w:tcW w:w="3889" w:type="pct"/>
            <w:textDirection w:val="lrTb"/>
            <w:noWrap w:val="false"/>
          </w:tcPr>
          <w:p>
            <w:pPr>
              <w:pStyle w:val="1005"/>
              <w:ind w:left="57" w:right="57"/>
            </w:pPr>
            <w:r>
              <w:t xml:space="preserve">Код валюты по общероссийскому классификатору валют.</w:t>
            </w:r>
            <w:r/>
          </w:p>
          <w:p>
            <w:pPr>
              <w:pStyle w:val="1005"/>
              <w:ind w:left="57" w:right="57"/>
            </w:pPr>
            <w:r>
              <w:t xml:space="preserve">По умолчанию – «643».</w:t>
            </w:r>
            <w:r/>
          </w:p>
          <w:p>
            <w:pPr>
              <w:pStyle w:val="1005"/>
              <w:ind w:left="57" w:right="57"/>
            </w:pPr>
            <w:r>
              <w:t xml:space="preserve">Привязан справочник валют (подтягивается цифровой код валюты).</w:t>
            </w:r>
            <w:r/>
          </w:p>
        </w:tc>
      </w:tr>
      <w:tr>
        <w:trPr/>
        <w:tc>
          <w:tcPr>
            <w:shd w:val="clear" w:fill="auto" w:color="auto"/>
            <w:tcW w:w="1111" w:type="pct"/>
            <w:textDirection w:val="lrTb"/>
            <w:noWrap w:val="false"/>
          </w:tcPr>
          <w:p>
            <w:pPr>
              <w:pStyle w:val="1005"/>
              <w:ind w:left="57" w:right="57"/>
            </w:pPr>
            <w:r>
              <w:t xml:space="preserve">Сумма в рублях</w:t>
            </w:r>
            <w:r/>
          </w:p>
        </w:tc>
        <w:tc>
          <w:tcPr>
            <w:shd w:val="clear" w:fill="auto" w:color="auto"/>
            <w:tcW w:w="3889" w:type="pct"/>
            <w:textDirection w:val="lrTb"/>
            <w:noWrap w:val="false"/>
          </w:tcPr>
          <w:p>
            <w:pPr>
              <w:pStyle w:val="1005"/>
              <w:ind w:left="57" w:right="57"/>
            </w:pPr>
            <w:r>
              <w:t xml:space="preserve">Сумма в рублях.</w:t>
            </w:r>
            <w:r/>
          </w:p>
          <w:p>
            <w:pPr>
              <w:pStyle w:val="1005"/>
              <w:ind w:left="57" w:right="57"/>
            </w:pPr>
            <w:r>
              <w:t xml:space="preserve">Заполняется вручную.</w:t>
            </w:r>
            <w:r/>
          </w:p>
        </w:tc>
      </w:tr>
      <w:tr>
        <w:trPr/>
        <w:tc>
          <w:tcPr>
            <w:shd w:val="clear" w:fill="auto" w:color="auto"/>
            <w:tcW w:w="1111" w:type="pct"/>
            <w:textDirection w:val="lrTb"/>
            <w:noWrap w:val="false"/>
          </w:tcPr>
          <w:p>
            <w:pPr>
              <w:pStyle w:val="1005"/>
              <w:ind w:left="57" w:right="57"/>
            </w:pPr>
            <w:r>
              <w:t xml:space="preserve">Очередность платежа</w:t>
            </w:r>
            <w:r/>
          </w:p>
        </w:tc>
        <w:tc>
          <w:tcPr>
            <w:shd w:val="clear" w:fill="auto" w:color="auto"/>
            <w:tcW w:w="3889" w:type="pct"/>
            <w:textDirection w:val="lrTb"/>
            <w:noWrap w:val="false"/>
          </w:tcPr>
          <w:p>
            <w:pPr>
              <w:pStyle w:val="1005"/>
              <w:ind w:left="57" w:right="57"/>
            </w:pPr>
            <w:r>
              <w:t xml:space="preserve">Очередность платежа.</w:t>
            </w:r>
            <w:r/>
          </w:p>
          <w:p>
            <w:pPr>
              <w:pStyle w:val="1005"/>
              <w:ind w:left="57" w:right="57"/>
            </w:pPr>
            <w:r>
              <w:t xml:space="preserve">Значение по умолчанию «5». </w:t>
            </w:r>
            <w:r/>
          </w:p>
          <w:p>
            <w:pPr>
              <w:pStyle w:val="1005"/>
              <w:ind w:left="57" w:right="57"/>
            </w:pPr>
            <w:r>
              <w:t xml:space="preserve">Может быть изменено пользователем выбором из выпадающего списка: 1, 2, 3, 4, 5.</w:t>
            </w:r>
            <w:r/>
          </w:p>
        </w:tc>
      </w:tr>
      <w:tr>
        <w:trPr/>
        <w:tc>
          <w:tcPr>
            <w:shd w:val="clear" w:fill="auto" w:color="auto"/>
            <w:tcW w:w="1111" w:type="pct"/>
            <w:textDirection w:val="lrTb"/>
            <w:noWrap w:val="false"/>
          </w:tcPr>
          <w:p>
            <w:pPr>
              <w:pStyle w:val="1005"/>
              <w:ind w:left="57" w:right="57"/>
            </w:pPr>
            <w:r>
              <w:t xml:space="preserve">Вид платежа</w:t>
            </w:r>
            <w:r/>
          </w:p>
        </w:tc>
        <w:tc>
          <w:tcPr>
            <w:shd w:val="clear" w:fill="auto" w:color="auto"/>
            <w:tcW w:w="3889" w:type="pct"/>
            <w:textDirection w:val="lrTb"/>
            <w:noWrap w:val="false"/>
          </w:tcPr>
          <w:p>
            <w:pPr>
              <w:pStyle w:val="1005"/>
              <w:ind w:left="57" w:right="57"/>
            </w:pPr>
            <w:r>
              <w:t xml:space="preserve">Вид платежа. </w:t>
            </w:r>
            <w:r/>
          </w:p>
          <w:p>
            <w:pPr>
              <w:pStyle w:val="1005"/>
              <w:ind w:left="57" w:right="57"/>
            </w:pPr>
            <w:r>
              <w:t xml:space="preserve">Для пользователя на статусе «Черновик» доступны значения «»,</w:t>
            </w:r>
            <w:r/>
          </w:p>
          <w:p>
            <w:pPr>
              <w:pStyle w:val="1005"/>
              <w:ind w:left="57" w:right="57"/>
            </w:pPr>
            <w:r>
              <w:t xml:space="preserve">«срочно».</w:t>
            </w:r>
            <w:r/>
          </w:p>
          <w:p>
            <w:pPr>
              <w:pStyle w:val="1005"/>
              <w:ind w:left="57" w:right="57"/>
            </w:pPr>
            <w:r>
              <w:t xml:space="preserve">По умолчанию проставляется пустое значение «».</w:t>
            </w:r>
            <w:r/>
          </w:p>
        </w:tc>
      </w:tr>
      <w:tr>
        <w:trPr/>
        <w:tc>
          <w:tcPr>
            <w:shd w:val="clear" w:fill="auto" w:color="auto"/>
            <w:tcW w:w="1111" w:type="pct"/>
            <w:textDirection w:val="lrTb"/>
            <w:noWrap w:val="false"/>
          </w:tcPr>
          <w:p>
            <w:pPr>
              <w:pStyle w:val="1005"/>
              <w:ind w:left="57" w:right="57"/>
            </w:pPr>
            <w:r>
              <w:t xml:space="preserve">Назначение платежа (примечание)</w:t>
            </w:r>
            <w:r/>
          </w:p>
        </w:tc>
        <w:tc>
          <w:tcPr>
            <w:shd w:val="clear" w:fill="auto" w:color="auto"/>
            <w:tcW w:w="3889" w:type="pct"/>
            <w:textDirection w:val="lrTb"/>
            <w:noWrap w:val="false"/>
          </w:tcPr>
          <w:p>
            <w:pPr>
              <w:pStyle w:val="1005"/>
              <w:ind w:left="57" w:right="57"/>
            </w:pPr>
            <w:r>
              <w:t xml:space="preserve">Назначение платежа (примечание).</w:t>
            </w:r>
            <w:r/>
          </w:p>
          <w:p>
            <w:pPr>
              <w:pStyle w:val="1005"/>
              <w:ind w:left="57" w:right="57"/>
            </w:pPr>
            <w:r>
              <w:t xml:space="preserve">Вручную или из шаблона назначений платежа.</w:t>
            </w:r>
            <w:r/>
          </w:p>
        </w:tc>
      </w:tr>
      <w:tr>
        <w:trPr/>
        <w:tc>
          <w:tcPr>
            <w:shd w:val="clear" w:fill="auto" w:color="auto"/>
            <w:tcW w:w="1111" w:type="pct"/>
            <w:textDirection w:val="lrTb"/>
            <w:noWrap w:val="false"/>
          </w:tcPr>
          <w:p>
            <w:pPr>
              <w:pStyle w:val="1005"/>
              <w:ind w:left="57" w:right="57"/>
            </w:pPr>
            <w:r>
              <w:t xml:space="preserve">КЦ (аналитический код)</w:t>
            </w:r>
            <w:r/>
          </w:p>
        </w:tc>
        <w:tc>
          <w:tcPr>
            <w:shd w:val="clear" w:fill="auto" w:color="auto"/>
            <w:tcW w:w="3889" w:type="pct"/>
            <w:textDirection w:val="lrTb"/>
            <w:noWrap w:val="false"/>
          </w:tcPr>
          <w:p>
            <w:pPr>
              <w:pStyle w:val="1005"/>
              <w:ind w:left="57" w:right="57"/>
            </w:pPr>
            <w:r>
              <w:t xml:space="preserve">Код цели.</w:t>
            </w:r>
            <w:r/>
          </w:p>
          <w:p>
            <w:pPr>
              <w:pStyle w:val="1005"/>
              <w:ind w:left="57" w:right="57"/>
            </w:pPr>
            <w:r>
              <w:t xml:space="preserve">Может быть изменено пользователем вручную или выбором из справочника «Цели субсидий/субвенций».</w:t>
            </w:r>
            <w:r/>
          </w:p>
          <w:p>
            <w:pPr>
              <w:pStyle w:val="1005"/>
              <w:ind w:left="57" w:right="57"/>
            </w:pPr>
            <w:r>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 </w:t>
            </w:r>
            <w:r/>
          </w:p>
          <w:p>
            <w:pPr>
              <w:pStyle w:val="1005"/>
              <w:ind w:left="57" w:right="57"/>
            </w:pPr>
            <w:r>
              <w:t xml:space="preserve">При указании в документе</w:t>
            </w:r>
            <w:r>
              <w:t xml:space="preserve"> </w:t>
            </w:r>
            <w:r>
              <w:t xml:space="preserve">41 типа ЛС значение может вводиться вручную или пользователю должен быть предоставлен выбор значения из списка справочника</w:t>
            </w:r>
            <w:r>
              <w:t xml:space="preserve"> </w:t>
            </w:r>
            <w:r>
              <w:t xml:space="preserve">«Коды субсидий НУБП».</w:t>
            </w:r>
            <w:r/>
          </w:p>
        </w:tc>
      </w:tr>
      <w:tr>
        <w:trPr/>
        <w:tc>
          <w:tcPr>
            <w:gridSpan w:val="2"/>
            <w:shd w:val="clear" w:fill="auto" w:color="auto"/>
            <w:tcW w:w="5000" w:type="pct"/>
            <w:textDirection w:val="lrTb"/>
            <w:noWrap w:val="false"/>
          </w:tcPr>
          <w:p>
            <w:pPr>
              <w:pStyle w:val="1005"/>
              <w:ind w:left="57" w:right="57"/>
            </w:pPr>
            <w:r>
              <w:t xml:space="preserve">Закладка «Раздел 1, 2 (1)</w:t>
            </w:r>
            <w:r>
              <w:t xml:space="preserve">», группа полей «</w:t>
            </w:r>
            <w:r>
              <w:t xml:space="preserve">Раздел 2. Реквизиты документа-основания»</w:t>
            </w:r>
            <w:r/>
          </w:p>
        </w:tc>
      </w:tr>
      <w:tr>
        <w:trPr/>
        <w:tc>
          <w:tcPr>
            <w:shd w:val="clear" w:fill="auto" w:color="auto"/>
            <w:tcW w:w="1111" w:type="pct"/>
            <w:textDirection w:val="lrTb"/>
            <w:noWrap w:val="false"/>
          </w:tcPr>
          <w:p>
            <w:pPr>
              <w:pStyle w:val="1005"/>
              <w:ind w:left="57" w:right="57"/>
            </w:pPr>
            <w:r>
              <w:t xml:space="preserve">Вид</w:t>
            </w:r>
            <w:r/>
          </w:p>
        </w:tc>
        <w:tc>
          <w:tcPr>
            <w:shd w:val="clear" w:fill="auto" w:color="auto"/>
            <w:tcW w:w="3889" w:type="pct"/>
            <w:textDirection w:val="lrTb"/>
            <w:noWrap w:val="false"/>
          </w:tcPr>
          <w:p>
            <w:pPr>
              <w:pStyle w:val="1005"/>
              <w:ind w:left="57" w:right="57"/>
            </w:pPr>
            <w:r>
              <w:t xml:space="preserve">Вид документа-основания.</w:t>
            </w:r>
            <w:r/>
          </w:p>
          <w:p>
            <w:pPr>
              <w:pStyle w:val="1005"/>
              <w:ind w:left="57" w:right="57"/>
            </w:pPr>
            <w:r>
              <w:t xml:space="preserve">Заполняется в</w:t>
            </w:r>
            <w:r>
              <w:t xml:space="preserve">ручную.</w:t>
            </w:r>
            <w:r/>
          </w:p>
        </w:tc>
      </w:tr>
      <w:tr>
        <w:trPr/>
        <w:tc>
          <w:tcPr>
            <w:shd w:val="clear" w:fill="auto" w:color="auto"/>
            <w:tcW w:w="1111" w:type="pct"/>
            <w:textDirection w:val="lrTb"/>
            <w:noWrap w:val="false"/>
          </w:tcPr>
          <w:p>
            <w:pPr>
              <w:pStyle w:val="1005"/>
              <w:ind w:left="57" w:right="57"/>
            </w:pPr>
            <w:r>
              <w:t xml:space="preserve">Номер</w:t>
            </w:r>
            <w:r/>
          </w:p>
        </w:tc>
        <w:tc>
          <w:tcPr>
            <w:shd w:val="clear" w:fill="auto" w:color="auto"/>
            <w:tcW w:w="3889" w:type="pct"/>
            <w:textDirection w:val="lrTb"/>
            <w:noWrap w:val="false"/>
          </w:tcPr>
          <w:p>
            <w:pPr>
              <w:pStyle w:val="1005"/>
              <w:ind w:left="57" w:right="57"/>
            </w:pPr>
            <w:r>
              <w:t xml:space="preserve">Номер документа-основания.</w:t>
            </w:r>
            <w:r/>
          </w:p>
          <w:p>
            <w:pPr>
              <w:pStyle w:val="1005"/>
              <w:ind w:left="57" w:right="57"/>
            </w:pPr>
            <w:r>
              <w:t xml:space="preserve">Заполняется в</w:t>
            </w:r>
            <w:r>
              <w:t xml:space="preserve">ручную.</w:t>
            </w:r>
            <w:r/>
          </w:p>
        </w:tc>
      </w:tr>
      <w:tr>
        <w:trPr/>
        <w:tc>
          <w:tcPr>
            <w:shd w:val="clear" w:fill="auto" w:color="auto"/>
            <w:tcW w:w="1111" w:type="pct"/>
            <w:textDirection w:val="lrTb"/>
            <w:noWrap w:val="false"/>
          </w:tcPr>
          <w:p>
            <w:pPr>
              <w:pStyle w:val="1005"/>
              <w:ind w:left="57" w:right="57"/>
            </w:pPr>
            <w:r>
              <w:t xml:space="preserve">Дата</w:t>
            </w:r>
            <w:r/>
          </w:p>
        </w:tc>
        <w:tc>
          <w:tcPr>
            <w:shd w:val="clear" w:fill="auto" w:color="auto"/>
            <w:tcW w:w="3889" w:type="pct"/>
            <w:textDirection w:val="lrTb"/>
            <w:noWrap w:val="false"/>
          </w:tcPr>
          <w:p>
            <w:pPr>
              <w:pStyle w:val="1005"/>
              <w:ind w:left="57" w:right="57"/>
            </w:pPr>
            <w:r>
              <w:t xml:space="preserve">Дата документа-основания. Возможен выбор значения из системного календаря.</w:t>
            </w:r>
            <w:r/>
          </w:p>
          <w:p>
            <w:pPr>
              <w:pStyle w:val="1005"/>
              <w:ind w:left="57" w:right="57"/>
            </w:pPr>
            <w:r>
              <w:t xml:space="preserve">Заполняется в</w:t>
            </w:r>
            <w:r>
              <w:t xml:space="preserve">ручную.</w:t>
            </w:r>
            <w:r/>
          </w:p>
        </w:tc>
      </w:tr>
      <w:tr>
        <w:trPr/>
        <w:tc>
          <w:tcPr>
            <w:shd w:val="clear" w:fill="auto" w:color="auto"/>
            <w:tcW w:w="1111" w:type="pct"/>
            <w:textDirection w:val="lrTb"/>
            <w:noWrap w:val="false"/>
          </w:tcPr>
          <w:p>
            <w:pPr>
              <w:pStyle w:val="1005"/>
              <w:ind w:left="57" w:right="57"/>
            </w:pPr>
            <w:r>
              <w:t xml:space="preserve">ГУИД ПД</w:t>
            </w:r>
            <w:r/>
          </w:p>
        </w:tc>
        <w:tc>
          <w:tcPr>
            <w:shd w:val="clear" w:fill="auto" w:color="auto"/>
            <w:tcW w:w="3889" w:type="pct"/>
            <w:textDirection w:val="lrTb"/>
            <w:noWrap w:val="false"/>
          </w:tcPr>
          <w:p>
            <w:pPr>
              <w:pStyle w:val="1005"/>
              <w:ind w:left="57" w:right="57"/>
            </w:pPr>
            <w:r>
              <w:t xml:space="preserve">ГУИД возвращаем</w:t>
            </w:r>
            <w:r>
              <w:t xml:space="preserve">о</w:t>
            </w:r>
            <w:r>
              <w:t xml:space="preserve">го расчетного док</w:t>
            </w:r>
            <w:r>
              <w:t xml:space="preserve">у</w:t>
            </w:r>
            <w:r>
              <w:t xml:space="preserve">мента</w:t>
            </w:r>
            <w:r>
              <w:t xml:space="preserve">.</w:t>
            </w:r>
            <w:r/>
          </w:p>
          <w:p>
            <w:pPr>
              <w:pStyle w:val="1005"/>
              <w:ind w:left="57" w:right="57"/>
            </w:pPr>
            <w:r>
              <w:t xml:space="preserve">Заполняется при импорте, доступно на визуальной форме для ручного ввода</w:t>
            </w:r>
            <w:r>
              <w:t xml:space="preserve">.</w:t>
            </w:r>
            <w:r/>
          </w:p>
        </w:tc>
      </w:tr>
      <w:tr>
        <w:trPr/>
        <w:tc>
          <w:tcPr>
            <w:gridSpan w:val="2"/>
            <w:shd w:val="clear" w:fill="auto" w:color="auto"/>
            <w:tcW w:w="5000" w:type="pct"/>
            <w:textDirection w:val="lrTb"/>
            <w:noWrap w:val="false"/>
          </w:tcPr>
          <w:p>
            <w:pPr>
              <w:pStyle w:val="1005"/>
              <w:ind w:left="57" w:right="57"/>
            </w:pPr>
            <w:r>
              <w:t xml:space="preserve">Закладка </w:t>
            </w:r>
            <w:r>
              <w:t xml:space="preserve">«</w:t>
            </w:r>
            <w:r>
              <w:t xml:space="preserve">Раздел 1, 2 (1)</w:t>
            </w:r>
            <w:r>
              <w:t xml:space="preserve">»</w:t>
            </w:r>
            <w:r>
              <w:t xml:space="preserve">. Группа полей </w:t>
            </w:r>
            <w:r>
              <w:t xml:space="preserve">«</w:t>
            </w:r>
            <w:r>
              <w:t xml:space="preserve">Раздел 2. Реквизиты документа-основания</w:t>
            </w:r>
            <w:r>
              <w:t xml:space="preserve"> (список)»</w:t>
            </w:r>
            <w:r/>
          </w:p>
        </w:tc>
      </w:tr>
      <w:tr>
        <w:trPr/>
        <w:tc>
          <w:tcPr>
            <w:shd w:val="clear" w:fill="auto" w:color="auto"/>
            <w:tcW w:w="1111" w:type="pct"/>
            <w:textDirection w:val="lrTb"/>
            <w:noWrap w:val="false"/>
          </w:tcPr>
          <w:p>
            <w:pPr>
              <w:pStyle w:val="1005"/>
              <w:ind w:left="57" w:right="57"/>
            </w:pPr>
            <w:r>
              <w:t xml:space="preserve">Вид</w:t>
            </w:r>
            <w:r/>
          </w:p>
        </w:tc>
        <w:tc>
          <w:tcPr>
            <w:shd w:val="clear" w:fill="auto" w:color="auto"/>
            <w:tcW w:w="3889" w:type="pct"/>
            <w:textDirection w:val="lrTb"/>
            <w:noWrap w:val="false"/>
          </w:tcPr>
          <w:p>
            <w:pPr>
              <w:pStyle w:val="1005"/>
              <w:ind w:left="57" w:right="57"/>
            </w:pPr>
            <w:r>
              <w:t xml:space="preserve">Заполняется только </w:t>
            </w:r>
            <w:r>
              <w:t xml:space="preserve">на АРМ </w:t>
            </w:r>
            <w:r>
              <w:t xml:space="preserve">АДБ при импорте или путем ручного ввода.</w:t>
            </w:r>
            <w:r/>
          </w:p>
        </w:tc>
      </w:tr>
      <w:tr>
        <w:trPr/>
        <w:tc>
          <w:tcPr>
            <w:shd w:val="clear" w:fill="auto" w:color="auto"/>
            <w:tcW w:w="1111" w:type="pct"/>
            <w:textDirection w:val="lrTb"/>
            <w:noWrap w:val="false"/>
          </w:tcPr>
          <w:p>
            <w:pPr>
              <w:pStyle w:val="1005"/>
              <w:ind w:left="57" w:right="57"/>
            </w:pPr>
            <w:r>
              <w:t xml:space="preserve">Номер</w:t>
            </w:r>
            <w:r/>
          </w:p>
        </w:tc>
        <w:tc>
          <w:tcPr>
            <w:shd w:val="clear" w:fill="auto" w:color="auto"/>
            <w:tcW w:w="3889" w:type="pct"/>
            <w:textDirection w:val="lrTb"/>
            <w:noWrap w:val="false"/>
          </w:tcPr>
          <w:p>
            <w:pPr>
              <w:pStyle w:val="1005"/>
              <w:ind w:left="57" w:right="57"/>
            </w:pPr>
            <w:r>
              <w:t xml:space="preserve">Заполняется только </w:t>
            </w:r>
            <w:r>
              <w:t xml:space="preserve">на АРМ </w:t>
            </w:r>
            <w:r>
              <w:t xml:space="preserve">АДБ при импорте или путем ручного ввода.</w:t>
            </w:r>
            <w:r/>
          </w:p>
        </w:tc>
      </w:tr>
      <w:tr>
        <w:trPr/>
        <w:tc>
          <w:tcPr>
            <w:shd w:val="clear" w:fill="auto" w:color="auto"/>
            <w:tcW w:w="1111" w:type="pct"/>
            <w:textDirection w:val="lrTb"/>
            <w:noWrap w:val="false"/>
          </w:tcPr>
          <w:p>
            <w:pPr>
              <w:pStyle w:val="1005"/>
              <w:ind w:left="57" w:right="57"/>
            </w:pPr>
            <w:r>
              <w:t xml:space="preserve">Дата</w:t>
            </w:r>
            <w:r/>
          </w:p>
        </w:tc>
        <w:tc>
          <w:tcPr>
            <w:shd w:val="clear" w:fill="auto" w:color="auto"/>
            <w:tcW w:w="3889" w:type="pct"/>
            <w:textDirection w:val="lrTb"/>
            <w:noWrap w:val="false"/>
          </w:tcPr>
          <w:p>
            <w:pPr>
              <w:pStyle w:val="1005"/>
              <w:ind w:left="57" w:right="57"/>
            </w:pPr>
            <w:r>
              <w:t xml:space="preserve">Заполняется только </w:t>
            </w:r>
            <w:r>
              <w:t xml:space="preserve">на АРМ </w:t>
            </w:r>
            <w:r>
              <w:t xml:space="preserve">АДБ при импорте или путем ручного ввода.</w:t>
            </w:r>
            <w:r/>
          </w:p>
        </w:tc>
      </w:tr>
      <w:tr>
        <w:trPr/>
        <w:tc>
          <w:tcPr>
            <w:shd w:val="clear" w:fill="auto" w:color="auto"/>
            <w:tcW w:w="1111" w:type="pct"/>
            <w:textDirection w:val="lrTb"/>
            <w:noWrap w:val="false"/>
          </w:tcPr>
          <w:p>
            <w:pPr>
              <w:pStyle w:val="1005"/>
              <w:ind w:left="57" w:right="57"/>
            </w:pPr>
            <w:r>
              <w:t xml:space="preserve">Сумма</w:t>
            </w:r>
            <w:r/>
          </w:p>
        </w:tc>
        <w:tc>
          <w:tcPr>
            <w:shd w:val="clear" w:fill="auto" w:color="auto"/>
            <w:tcW w:w="3889" w:type="pct"/>
            <w:textDirection w:val="lrTb"/>
            <w:noWrap w:val="false"/>
          </w:tcPr>
          <w:p>
            <w:pPr>
              <w:pStyle w:val="1005"/>
              <w:ind w:left="57" w:right="57"/>
            </w:pPr>
            <w:r>
              <w:t xml:space="preserve">Заполняется только </w:t>
            </w:r>
            <w:r>
              <w:t xml:space="preserve">на АРМ </w:t>
            </w:r>
            <w:r>
              <w:t xml:space="preserve">АДБ при импорте или путем ручного ввода.</w:t>
            </w:r>
            <w:r/>
          </w:p>
        </w:tc>
      </w:tr>
      <w:tr>
        <w:trPr/>
        <w:tc>
          <w:tcPr>
            <w:shd w:val="clear" w:fill="auto" w:color="auto"/>
            <w:tcW w:w="1111" w:type="pct"/>
            <w:textDirection w:val="lrTb"/>
            <w:noWrap w:val="false"/>
          </w:tcPr>
          <w:p>
            <w:pPr>
              <w:pStyle w:val="1005"/>
              <w:ind w:left="57" w:right="57"/>
            </w:pPr>
            <w:r>
              <w:t xml:space="preserve">ГУИД ПД</w:t>
            </w:r>
            <w:r/>
          </w:p>
        </w:tc>
        <w:tc>
          <w:tcPr>
            <w:shd w:val="clear" w:fill="auto" w:color="auto"/>
            <w:tcW w:w="3889" w:type="pct"/>
            <w:textDirection w:val="lrTb"/>
            <w:noWrap w:val="false"/>
          </w:tcPr>
          <w:p>
            <w:pPr>
              <w:pStyle w:val="1005"/>
              <w:ind w:left="57" w:right="57"/>
            </w:pPr>
            <w:r>
              <w:t xml:space="preserve">Заполняется только </w:t>
            </w:r>
            <w:r>
              <w:t xml:space="preserve">на АРМ </w:t>
            </w:r>
            <w:r>
              <w:t xml:space="preserve">АДБ при импорте или путем ручного ввода.</w:t>
            </w:r>
            <w:r/>
          </w:p>
        </w:tc>
      </w:tr>
    </w:tbl>
    <w:p>
      <w:pPr>
        <w:pStyle w:val="994"/>
      </w:pPr>
      <w:r>
        <w:t xml:space="preserve">ЭФ документа «Заявка на возврат», закладки «Раздел 3 (2)»</w:t>
      </w:r>
      <w:r>
        <w:t xml:space="preserve"> представлена н</w:t>
      </w:r>
      <w:r>
        <w:t xml:space="preserve">а рисунке</w:t>
      </w:r>
      <w:r>
        <w:t xml:space="preserve"> </w:t>
      </w:r>
      <w:r>
        <w:fldChar w:fldCharType="begin"/>
      </w:r>
      <w:r>
        <w:instrText xml:space="preserve"> REF _Ref205257943 \h  \* MERGEFORMAT </w:instrText>
      </w:r>
      <w:r>
        <w:fldChar w:fldCharType="separate"/>
      </w:r>
      <w:r>
        <w:t xml:space="preserve">137</w:t>
      </w:r>
      <w:r>
        <w:fldChar w:fldCharType="end"/>
      </w:r>
      <w:r>
        <w:t xml:space="preserve">. </w:t>
      </w:r>
      <w:r/>
    </w:p>
    <w:p>
      <w:pPr>
        <w:pStyle w:val="982"/>
      </w:pPr>
      <w:r>
        <mc:AlternateContent>
          <mc:Choice Requires="wpg">
            <w:drawing>
              <wp:inline xmlns:wp="http://schemas.openxmlformats.org/drawingml/2006/wordprocessingDrawing" distT="0" distB="0" distL="0" distR="0">
                <wp:extent cx="5943600" cy="2644140"/>
                <wp:effectExtent l="0" t="0" r="0" b="0"/>
                <wp:docPr id="21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03"/>
                        <a:stretch/>
                      </pic:blipFill>
                      <pic:spPr bwMode="auto">
                        <a:xfrm>
                          <a:off x="0" y="0"/>
                          <a:ext cx="5943600" cy="26441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 o:spid="_x0000_s217" type="#_x0000_t75" style="mso-wrap-distance-left:0.0pt;mso-wrap-distance-top:0.0pt;mso-wrap-distance-right:0.0pt;mso-wrap-distance-bottom:0.0pt;width:468.0pt;height:208.2pt;" stroked="f">
                <v:path textboxrect="0,0,0,0"/>
                <v:imagedata r:id="rId203" o:title=""/>
              </v:shape>
            </w:pict>
          </mc:Fallback>
        </mc:AlternateContent>
      </w:r>
      <w:r/>
    </w:p>
    <w:p>
      <w:pPr>
        <w:pStyle w:val="983"/>
      </w:pPr>
      <w:r>
        <w:fldChar w:fldCharType="begin"/>
      </w:r>
      <w:r>
        <w:instrText xml:space="preserve"> SEQ Рисунок \* ARABIC </w:instrText>
      </w:r>
      <w:r>
        <w:fldChar w:fldCharType="separate"/>
      </w:r>
      <w:bookmarkStart w:id="1090" w:name="_Ref205257943"/>
      <w:r/>
      <w:bookmarkStart w:id="1091" w:name="_Toc88819522"/>
      <w:r>
        <w:t xml:space="preserve">137</w:t>
      </w:r>
      <w:bookmarkEnd w:id="1090"/>
      <w:r>
        <w:fldChar w:fldCharType="end"/>
      </w:r>
      <w:r>
        <w:t xml:space="preserve">. ЭФ документа «Заявка на возврат</w:t>
      </w:r>
      <w:r>
        <w:t xml:space="preserve">», закладки «</w:t>
      </w:r>
      <w:r>
        <w:t xml:space="preserve">Раздел 3 (2)»</w:t>
      </w:r>
      <w:bookmarkEnd w:id="1091"/>
      <w:r/>
      <w:r/>
    </w:p>
    <w:p>
      <w:pPr>
        <w:pStyle w:val="994"/>
      </w:pPr>
      <w:r>
        <w:t xml:space="preserve">Перечень </w:t>
      </w:r>
      <w:r>
        <w:t xml:space="preserve">полей документа «Заявка на возврат</w:t>
      </w:r>
      <w:r>
        <w:t xml:space="preserve">», закладки «</w:t>
      </w:r>
      <w:r>
        <w:t xml:space="preserve">Раздел 3 (2)»</w:t>
      </w:r>
      <w:r>
        <w:t xml:space="preserve"> приведен в</w:t>
      </w:r>
      <w:r>
        <w:t xml:space="preserve"> таблице</w:t>
      </w:r>
      <w:r>
        <w:t xml:space="preserve"> </w:t>
      </w:r>
      <w:r>
        <w:fldChar w:fldCharType="begin"/>
      </w:r>
      <w:r>
        <w:instrText xml:space="preserve"> REF _Ref317609911 \h  \* MERGEFORMAT </w:instrText>
      </w:r>
      <w:r>
        <w:fldChar w:fldCharType="separate"/>
      </w:r>
      <w:r>
        <w:t xml:space="preserve">75</w:t>
      </w:r>
      <w:r>
        <w:fldChar w:fldCharType="end"/>
      </w:r>
      <w:r>
        <w:t xml:space="preserve">.</w:t>
      </w:r>
      <w:r/>
    </w:p>
    <w:p>
      <w:pPr>
        <w:pStyle w:val="993"/>
      </w:pPr>
      <w:r>
        <w:fldChar w:fldCharType="begin"/>
      </w:r>
      <w:r>
        <w:instrText xml:space="preserve"> SEQ Таблица \* ARABIC </w:instrText>
      </w:r>
      <w:r>
        <w:fldChar w:fldCharType="separate"/>
      </w:r>
      <w:bookmarkStart w:id="1092" w:name="_Ref317609911"/>
      <w:r/>
      <w:bookmarkStart w:id="1093" w:name="_Toc88819261"/>
      <w:r>
        <w:t xml:space="preserve">75</w:t>
      </w:r>
      <w:bookmarkEnd w:id="1092"/>
      <w:r>
        <w:fldChar w:fldCharType="end"/>
      </w:r>
      <w:r>
        <w:t xml:space="preserve">. Описание полей документа «Заявка на возврат</w:t>
      </w:r>
      <w:r>
        <w:t xml:space="preserve">», закладки «</w:t>
      </w:r>
      <w:r>
        <w:t xml:space="preserve">Раздел 3 (2)»</w:t>
      </w:r>
      <w:bookmarkEnd w:id="1093"/>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021"/>
        <w:gridCol w:w="6731"/>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549"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451"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«Раздел 3. Реквизиты получателя»</w:t>
            </w:r>
            <w:r/>
          </w:p>
        </w:tc>
      </w:tr>
      <w:tr>
        <w:trPr/>
        <w:tc>
          <w:tcPr>
            <w:shd w:val="clear" w:fill="auto" w:color="auto"/>
            <w:tcW w:w="1549" w:type="pct"/>
            <w:textDirection w:val="lrTb"/>
            <w:noWrap w:val="false"/>
          </w:tcPr>
          <w:p>
            <w:pPr>
              <w:pStyle w:val="1005"/>
              <w:ind w:left="57" w:right="57"/>
            </w:pPr>
            <w:r>
              <w:t xml:space="preserve">Наименование получателя</w:t>
            </w:r>
            <w:r/>
          </w:p>
        </w:tc>
        <w:tc>
          <w:tcPr>
            <w:shd w:val="clear" w:fill="auto" w:color="auto"/>
            <w:tcW w:w="3451" w:type="pct"/>
            <w:textDirection w:val="lrTb"/>
            <w:noWrap w:val="false"/>
          </w:tcPr>
          <w:p>
            <w:pPr>
              <w:pStyle w:val="1005"/>
              <w:ind w:left="57" w:right="57"/>
            </w:pPr>
            <w:r>
              <w:t xml:space="preserve">Наименование получателя (ФИО – для физического лица).</w:t>
            </w:r>
            <w:r/>
          </w:p>
          <w:p>
            <w:pPr>
              <w:pStyle w:val="1005"/>
              <w:ind w:left="57" w:right="57"/>
            </w:pPr>
            <w:r>
              <w:t xml:space="preserve">Вручную из справочника Поставщиков.</w:t>
            </w:r>
            <w:r/>
          </w:p>
        </w:tc>
      </w:tr>
      <w:tr>
        <w:trPr/>
        <w:tc>
          <w:tcPr>
            <w:shd w:val="clear" w:fill="auto" w:color="auto"/>
            <w:tcW w:w="1549" w:type="pct"/>
            <w:textDirection w:val="lrTb"/>
            <w:noWrap w:val="false"/>
          </w:tcPr>
          <w:p>
            <w:pPr>
              <w:pStyle w:val="1005"/>
              <w:ind w:left="57" w:right="57"/>
            </w:pPr>
            <w:r>
              <w:t xml:space="preserve">ИНН</w:t>
            </w:r>
            <w:r/>
          </w:p>
        </w:tc>
        <w:tc>
          <w:tcPr>
            <w:shd w:val="clear" w:fill="auto" w:color="auto"/>
            <w:tcW w:w="3451" w:type="pct"/>
            <w:textDirection w:val="lrTb"/>
            <w:noWrap w:val="false"/>
          </w:tcPr>
          <w:p>
            <w:pPr>
              <w:pStyle w:val="1005"/>
              <w:ind w:left="57" w:right="57"/>
            </w:pPr>
            <w:r>
              <w:t xml:space="preserve">ИНН получателя.</w:t>
            </w:r>
            <w:r/>
          </w:p>
          <w:p>
            <w:pPr>
              <w:pStyle w:val="1005"/>
              <w:ind w:left="57" w:right="57"/>
            </w:pPr>
            <w:r>
              <w:t xml:space="preserve">Автоматически при выборе наименования получателя из справочника Поставщиков. Может быть изменено вручную.</w:t>
            </w:r>
            <w:r/>
          </w:p>
        </w:tc>
      </w:tr>
      <w:tr>
        <w:trPr/>
        <w:tc>
          <w:tcPr>
            <w:shd w:val="clear" w:fill="auto" w:color="auto"/>
            <w:tcW w:w="1549" w:type="pct"/>
            <w:textDirection w:val="lrTb"/>
            <w:noWrap w:val="false"/>
          </w:tcPr>
          <w:p>
            <w:pPr>
              <w:pStyle w:val="1005"/>
              <w:ind w:left="57" w:right="57"/>
            </w:pPr>
            <w:r>
              <w:t xml:space="preserve">КПП</w:t>
            </w:r>
            <w:r/>
          </w:p>
        </w:tc>
        <w:tc>
          <w:tcPr>
            <w:shd w:val="clear" w:fill="auto" w:color="auto"/>
            <w:tcW w:w="3451" w:type="pct"/>
            <w:textDirection w:val="lrTb"/>
            <w:noWrap w:val="false"/>
          </w:tcPr>
          <w:p>
            <w:pPr>
              <w:pStyle w:val="1005"/>
              <w:ind w:left="57" w:right="57"/>
            </w:pPr>
            <w:r>
              <w:t xml:space="preserve">КПП получателя.</w:t>
            </w:r>
            <w:r/>
          </w:p>
          <w:p>
            <w:pPr>
              <w:pStyle w:val="1005"/>
              <w:ind w:left="57" w:right="57"/>
            </w:pPr>
            <w:r>
              <w:t xml:space="preserve">Автоматически при выборе наименования получателя из справочника Поставщиков. Может быть изменено вручную.</w:t>
            </w:r>
            <w:r/>
          </w:p>
        </w:tc>
      </w:tr>
      <w:tr>
        <w:trPr/>
        <w:tc>
          <w:tcPr>
            <w:shd w:val="clear" w:fill="auto" w:color="auto"/>
            <w:tcW w:w="1549" w:type="pct"/>
            <w:textDirection w:val="lrTb"/>
            <w:noWrap w:val="false"/>
          </w:tcPr>
          <w:p>
            <w:pPr>
              <w:pStyle w:val="1005"/>
              <w:ind w:left="57" w:right="57"/>
            </w:pPr>
            <w:r>
              <w:t xml:space="preserve">Лиц. </w:t>
            </w:r>
            <w:r>
              <w:t xml:space="preserve">С</w:t>
            </w:r>
            <w:r>
              <w:t xml:space="preserve">ч.</w:t>
            </w:r>
            <w:r/>
          </w:p>
        </w:tc>
        <w:tc>
          <w:tcPr>
            <w:shd w:val="clear" w:fill="auto" w:color="auto"/>
            <w:tcW w:w="3451" w:type="pct"/>
            <w:textDirection w:val="lrTb"/>
            <w:noWrap w:val="false"/>
          </w:tcPr>
          <w:p>
            <w:pPr>
              <w:pStyle w:val="1005"/>
              <w:ind w:left="57" w:right="57"/>
            </w:pPr>
            <w:r>
              <w:t xml:space="preserve">Номер лицевого счета получателя.</w:t>
            </w:r>
            <w:r/>
          </w:p>
          <w:p>
            <w:pPr>
              <w:pStyle w:val="1005"/>
              <w:ind w:left="57" w:right="57"/>
            </w:pPr>
            <w:r>
              <w:t xml:space="preserve">Значение вводится вручную или из </w:t>
            </w:r>
            <w:r>
              <w:t xml:space="preserve">справочника «Информация о ЛС»</w:t>
            </w:r>
            <w:r>
              <w:t xml:space="preserve">.</w:t>
            </w:r>
            <w:r/>
          </w:p>
        </w:tc>
      </w:tr>
      <w:tr>
        <w:trPr/>
        <w:tc>
          <w:tcPr>
            <w:shd w:val="clear" w:fill="auto" w:color="auto"/>
            <w:tcW w:w="1549" w:type="pct"/>
            <w:textDirection w:val="lrTb"/>
            <w:noWrap w:val="false"/>
          </w:tcPr>
          <w:p>
            <w:pPr>
              <w:pStyle w:val="1005"/>
              <w:ind w:left="57" w:right="57"/>
            </w:pPr>
            <w:r>
              <w:t xml:space="preserve">Банковский счет</w:t>
            </w:r>
            <w:r/>
          </w:p>
        </w:tc>
        <w:tc>
          <w:tcPr>
            <w:shd w:val="clear" w:fill="auto" w:color="auto"/>
            <w:tcW w:w="3451" w:type="pct"/>
            <w:textDirection w:val="lrTb"/>
            <w:noWrap w:val="false"/>
          </w:tcPr>
          <w:p>
            <w:pPr>
              <w:pStyle w:val="1005"/>
              <w:ind w:left="57" w:right="57"/>
            </w:pPr>
            <w:r>
              <w:t xml:space="preserve">Номер банковского счета получателя.</w:t>
            </w:r>
            <w:r/>
          </w:p>
          <w:p>
            <w:pPr>
              <w:pStyle w:val="1005"/>
              <w:ind w:left="57" w:right="57"/>
            </w:pPr>
            <w:r>
              <w:t xml:space="preserve">Значение вводится вручную или выбирается из банковских счетов поставщиков.</w:t>
            </w:r>
            <w:r/>
          </w:p>
        </w:tc>
      </w:tr>
      <w:tr>
        <w:trPr/>
        <w:tc>
          <w:tcPr>
            <w:shd w:val="clear" w:fill="auto" w:color="auto"/>
            <w:tcW w:w="1549" w:type="pct"/>
            <w:textDirection w:val="lrTb"/>
            <w:noWrap w:val="false"/>
          </w:tcPr>
          <w:p>
            <w:pPr>
              <w:pStyle w:val="1005"/>
              <w:ind w:left="57" w:right="57"/>
            </w:pPr>
            <w:r>
              <w:t xml:space="preserve">БИК/SWIFT</w:t>
            </w:r>
            <w:r/>
          </w:p>
        </w:tc>
        <w:tc>
          <w:tcPr>
            <w:shd w:val="clear" w:fill="auto" w:color="auto"/>
            <w:tcW w:w="3451" w:type="pct"/>
            <w:textDirection w:val="lrTb"/>
            <w:noWrap w:val="false"/>
          </w:tcPr>
          <w:p>
            <w:pPr>
              <w:pStyle w:val="1005"/>
              <w:ind w:left="57" w:right="57"/>
            </w:pPr>
            <w:r>
              <w:t xml:space="preserve">Значение подтягивается автоматически после заполнения поля «Банковский счет» из справочника банковских счетов поставщиков из поля «Где открыт», соответствующее выбранному банковскому счету.</w:t>
            </w:r>
            <w:r/>
          </w:p>
          <w:p>
            <w:pPr>
              <w:pStyle w:val="1005"/>
              <w:ind w:left="57" w:right="57"/>
            </w:pPr>
            <w:r>
              <w:t xml:space="preserve">Вручную.</w:t>
            </w:r>
            <w:r/>
          </w:p>
          <w:p>
            <w:pPr>
              <w:pStyle w:val="1005"/>
              <w:ind w:left="57" w:right="57"/>
            </w:pPr>
            <w:r>
              <w:t xml:space="preserve">Привязан справочник Банки.</w:t>
            </w:r>
            <w:r/>
          </w:p>
        </w:tc>
      </w:tr>
      <w:tr>
        <w:trPr/>
        <w:tc>
          <w:tcPr>
            <w:shd w:val="clear" w:fill="auto" w:color="auto"/>
            <w:tcW w:w="1549" w:type="pct"/>
            <w:textDirection w:val="lrTb"/>
            <w:noWrap w:val="false"/>
          </w:tcPr>
          <w:p>
            <w:pPr>
              <w:pStyle w:val="1005"/>
              <w:ind w:left="57" w:right="57"/>
            </w:pPr>
            <w:r>
              <w:t xml:space="preserve">Кор.счет</w:t>
            </w:r>
            <w:r/>
          </w:p>
        </w:tc>
        <w:tc>
          <w:tcPr>
            <w:shd w:val="clear" w:fill="auto" w:color="auto"/>
            <w:tcW w:w="3451" w:type="pct"/>
            <w:textDirection w:val="lrTb"/>
            <w:noWrap w:val="false"/>
          </w:tcPr>
          <w:p>
            <w:pPr>
              <w:pStyle w:val="1005"/>
              <w:ind w:left="57" w:right="57"/>
            </w:pPr>
            <w:r>
              <w:t xml:space="preserve">Номер корреспондентского счета банка получателя.</w:t>
            </w:r>
            <w:r/>
          </w:p>
          <w:p>
            <w:pPr>
              <w:pStyle w:val="1005"/>
              <w:ind w:left="57" w:right="57"/>
            </w:pPr>
            <w:r>
              <w:t xml:space="preserve">В случае если в поле «Банк.счет» указан Казначейский счет (знач</w:t>
            </w:r>
            <w:r>
              <w:t xml:space="preserve">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r/>
          </w:p>
          <w:p>
            <w:pPr>
              <w:pStyle w:val="1005"/>
              <w:ind w:left="57" w:right="57"/>
            </w:pPr>
            <w:r>
              <w:t xml:space="preserve">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t xml:space="preserve"> </w:t>
            </w:r>
            <w:r/>
          </w:p>
          <w:p>
            <w:pPr>
              <w:pStyle w:val="1005"/>
              <w:ind w:left="57" w:right="57"/>
            </w:pPr>
            <w:r>
              <w:t xml:space="preserve">Может быть изменено вручную.</w:t>
            </w:r>
            <w:r/>
          </w:p>
        </w:tc>
      </w:tr>
      <w:tr>
        <w:trPr/>
        <w:tc>
          <w:tcPr>
            <w:shd w:val="clear" w:fill="auto" w:color="auto"/>
            <w:tcW w:w="1549" w:type="pct"/>
            <w:textDirection w:val="lrTb"/>
            <w:noWrap w:val="false"/>
          </w:tcPr>
          <w:p>
            <w:pPr>
              <w:pStyle w:val="1005"/>
              <w:ind w:left="57" w:right="57"/>
            </w:pPr>
            <w:r>
              <w:t xml:space="preserve">Наим. </w:t>
            </w:r>
            <w:r>
              <w:t xml:space="preserve">Б</w:t>
            </w:r>
            <w:r>
              <w:t xml:space="preserve">анка</w:t>
            </w:r>
            <w:r/>
          </w:p>
        </w:tc>
        <w:tc>
          <w:tcPr>
            <w:shd w:val="clear" w:fill="auto" w:color="auto"/>
            <w:tcW w:w="3451" w:type="pct"/>
            <w:textDirection w:val="lrTb"/>
            <w:noWrap w:val="false"/>
          </w:tcPr>
          <w:p>
            <w:pPr>
              <w:pStyle w:val="1005"/>
              <w:ind w:left="57" w:right="57"/>
            </w:pPr>
            <w:r>
              <w:t xml:space="preserve">Наименование банка получателя.</w:t>
            </w:r>
            <w:r/>
          </w:p>
          <w:p>
            <w:pPr>
              <w:pStyle w:val="1005"/>
              <w:ind w:left="57" w:right="57"/>
            </w:pPr>
            <w:r>
              <w:t xml:space="preserve">Автоматически после заполнения поля «БИК /SWIFT» из справочника </w:t>
            </w:r>
            <w:r>
              <w:t xml:space="preserve">«Справочник б</w:t>
            </w:r>
            <w:r>
              <w:t xml:space="preserve">анков</w:t>
            </w:r>
            <w:r>
              <w:t xml:space="preserve">»</w:t>
            </w:r>
            <w:r>
              <w:t xml:space="preserve"> из поля «Платежное наименование банка </w:t>
            </w:r>
            <w:r>
              <w:t xml:space="preserve">составное</w:t>
            </w:r>
            <w:r>
              <w:t xml:space="preserve">». Может быть изменено вручную.</w:t>
            </w:r>
            <w:r/>
          </w:p>
        </w:tc>
      </w:tr>
      <w:tr>
        <w:trPr/>
        <w:tc>
          <w:tcPr>
            <w:shd w:val="clear" w:fill="auto" w:color="auto"/>
            <w:tcW w:w="1549" w:type="pct"/>
            <w:textDirection w:val="lrTb"/>
            <w:noWrap w:val="false"/>
          </w:tcPr>
          <w:p>
            <w:pPr>
              <w:pStyle w:val="1005"/>
              <w:ind w:left="57" w:right="57"/>
            </w:pPr>
            <w:r>
              <w:t xml:space="preserve">Код по БК</w:t>
            </w:r>
            <w:r/>
          </w:p>
        </w:tc>
        <w:tc>
          <w:tcPr>
            <w:shd w:val="clear" w:fill="auto" w:color="auto"/>
            <w:tcW w:w="3451" w:type="pct"/>
            <w:textDirection w:val="lrTb"/>
            <w:noWrap w:val="false"/>
          </w:tcPr>
          <w:p>
            <w:pPr>
              <w:pStyle w:val="1005"/>
              <w:ind w:left="57" w:right="57"/>
            </w:pPr>
            <w:r>
              <w:t xml:space="preserve">Вручную. Привязан справочник КБК.</w:t>
            </w:r>
            <w:r/>
          </w:p>
        </w:tc>
      </w:tr>
      <w:tr>
        <w:trPr/>
        <w:tc>
          <w:tcPr>
            <w:shd w:val="clear" w:fill="auto" w:color="auto"/>
            <w:tcW w:w="1549" w:type="pct"/>
            <w:textDirection w:val="lrTb"/>
            <w:noWrap w:val="false"/>
          </w:tcPr>
          <w:p>
            <w:pPr>
              <w:pStyle w:val="1005"/>
              <w:ind w:left="57" w:right="57"/>
            </w:pPr>
            <w:r>
              <w:t xml:space="preserve">Код по ОКТМО</w:t>
            </w:r>
            <w:r/>
          </w:p>
        </w:tc>
        <w:tc>
          <w:tcPr>
            <w:shd w:val="clear" w:fill="auto" w:color="auto"/>
            <w:tcW w:w="3451" w:type="pct"/>
            <w:textDirection w:val="lrTb"/>
            <w:noWrap w:val="false"/>
          </w:tcPr>
          <w:p>
            <w:pPr>
              <w:pStyle w:val="1005"/>
              <w:ind w:left="57" w:right="57"/>
            </w:pPr>
            <w:r>
              <w:t xml:space="preserve">Вручную. Привязан справочник ОКТМО.</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«Подписи»</w:t>
            </w:r>
            <w:r/>
          </w:p>
        </w:tc>
      </w:tr>
      <w:tr>
        <w:trPr>
          <w:trHeight w:val="77"/>
        </w:trPr>
        <w:tc>
          <w:tcPr>
            <w:shd w:val="clear" w:fill="auto" w:color="auto"/>
            <w:tcW w:w="1549" w:type="pct"/>
            <w:textDirection w:val="lrTb"/>
            <w:noWrap w:val="false"/>
          </w:tcPr>
          <w:p>
            <w:pPr>
              <w:pStyle w:val="1005"/>
              <w:ind w:left="57" w:right="57"/>
            </w:pPr>
            <w:r>
              <w:t xml:space="preserve">Руководитель (уполномоченное им лицо). Должность</w:t>
            </w:r>
            <w:r/>
          </w:p>
        </w:tc>
        <w:tc>
          <w:tcPr>
            <w:shd w:val="clear" w:fill="auto" w:color="auto"/>
            <w:tcW w:w="3451" w:type="pct"/>
            <w:textDirection w:val="lrTb"/>
            <w:noWrap w:val="false"/>
          </w:tcPr>
          <w:p>
            <w:pPr>
              <w:pStyle w:val="1005"/>
              <w:ind w:left="57" w:right="57"/>
            </w:pPr>
            <w:r>
              <w:t xml:space="preserve">Наименование должности руководителя.</w:t>
            </w:r>
            <w:r/>
          </w:p>
          <w:p>
            <w:pPr>
              <w:pStyle w:val="1005"/>
              <w:ind w:left="57" w:right="57"/>
            </w:pPr>
            <w:r>
              <w:t xml:space="preserve">Для АРМ. Заполняется автоматически при подписании ЭП данными подписанта.</w:t>
            </w:r>
            <w:r/>
          </w:p>
        </w:tc>
      </w:tr>
      <w:tr>
        <w:trPr>
          <w:trHeight w:val="77"/>
        </w:trPr>
        <w:tc>
          <w:tcPr>
            <w:shd w:val="clear" w:fill="auto" w:color="auto"/>
            <w:tcW w:w="1549" w:type="pct"/>
            <w:textDirection w:val="lrTb"/>
            <w:noWrap w:val="false"/>
          </w:tcPr>
          <w:p>
            <w:pPr>
              <w:pStyle w:val="1005"/>
              <w:ind w:left="57" w:right="57"/>
            </w:pPr>
            <w:r>
              <w:t xml:space="preserve">Руководитель (уполномоченное им лицо). Расшифровка подписи</w:t>
            </w:r>
            <w:r/>
          </w:p>
        </w:tc>
        <w:tc>
          <w:tcPr>
            <w:shd w:val="clear" w:fill="auto" w:color="auto"/>
            <w:tcW w:w="3451" w:type="pct"/>
            <w:textDirection w:val="lrTb"/>
            <w:noWrap w:val="false"/>
          </w:tcPr>
          <w:p>
            <w:pPr>
              <w:pStyle w:val="1005"/>
              <w:ind w:left="57" w:right="57"/>
            </w:pPr>
            <w:r>
              <w:t xml:space="preserve">ФИО руководителя.</w:t>
            </w:r>
            <w:r/>
          </w:p>
          <w:p>
            <w:pPr>
              <w:pStyle w:val="1005"/>
              <w:ind w:left="57" w:right="57"/>
            </w:pPr>
            <w:r>
              <w:t xml:space="preserve">Для АРМ. Заполняется автоматически при подписании ЭП данными подписанта.</w:t>
            </w:r>
            <w:r/>
          </w:p>
        </w:tc>
      </w:tr>
      <w:tr>
        <w:trPr>
          <w:trHeight w:val="77"/>
        </w:trPr>
        <w:tc>
          <w:tcPr>
            <w:shd w:val="clear" w:fill="auto" w:color="auto"/>
            <w:tcW w:w="1549" w:type="pct"/>
            <w:textDirection w:val="lrTb"/>
            <w:noWrap w:val="false"/>
          </w:tcPr>
          <w:p>
            <w:pPr>
              <w:pStyle w:val="1005"/>
              <w:ind w:left="57" w:right="57"/>
            </w:pPr>
            <w:r>
              <w:t xml:space="preserve">Главный бухгалтер (уполномоченное им лицо). Должность</w:t>
            </w:r>
            <w:r/>
          </w:p>
        </w:tc>
        <w:tc>
          <w:tcPr>
            <w:shd w:val="clear" w:fill="auto" w:color="auto"/>
            <w:tcW w:w="3451" w:type="pct"/>
            <w:textDirection w:val="lrTb"/>
            <w:noWrap w:val="false"/>
          </w:tcPr>
          <w:p>
            <w:pPr>
              <w:pStyle w:val="1005"/>
              <w:ind w:left="57" w:right="57"/>
            </w:pPr>
            <w:r>
              <w:t xml:space="preserve">Наименование должности ответственного исполнителя.</w:t>
            </w:r>
            <w:r/>
          </w:p>
          <w:p>
            <w:pPr>
              <w:pStyle w:val="1005"/>
              <w:ind w:left="57" w:right="57"/>
            </w:pPr>
            <w:r>
              <w:t xml:space="preserve">Для АРМ. Заполняется автоматически при подписании ЭП данными подписанта.</w:t>
            </w:r>
            <w:r/>
          </w:p>
        </w:tc>
      </w:tr>
      <w:tr>
        <w:trPr>
          <w:trHeight w:val="77"/>
        </w:trPr>
        <w:tc>
          <w:tcPr>
            <w:shd w:val="clear" w:fill="auto" w:color="auto"/>
            <w:tcW w:w="1549" w:type="pct"/>
            <w:textDirection w:val="lrTb"/>
            <w:noWrap w:val="false"/>
          </w:tcPr>
          <w:p>
            <w:pPr>
              <w:pStyle w:val="1005"/>
              <w:ind w:left="57" w:right="57"/>
            </w:pPr>
            <w:r>
              <w:t xml:space="preserve">Главный бухгалтер (уполномоченное им лицо). Расшифровка подписи</w:t>
            </w:r>
            <w:r/>
          </w:p>
        </w:tc>
        <w:tc>
          <w:tcPr>
            <w:shd w:val="clear" w:fill="auto" w:color="auto"/>
            <w:tcW w:w="3451" w:type="pct"/>
            <w:textDirection w:val="lrTb"/>
            <w:noWrap w:val="false"/>
          </w:tcPr>
          <w:p>
            <w:pPr>
              <w:pStyle w:val="1005"/>
              <w:ind w:left="57" w:right="57"/>
            </w:pPr>
            <w:r>
              <w:t xml:space="preserve">ФИО ответственного исполнителя.</w:t>
            </w:r>
            <w:r/>
          </w:p>
          <w:p>
            <w:pPr>
              <w:pStyle w:val="1005"/>
              <w:ind w:left="57" w:right="57"/>
            </w:pPr>
            <w:r>
              <w:t xml:space="preserve">Для АРМ. Заполняется автоматически при подписании ЭП данными подписанта.</w:t>
            </w:r>
            <w:r/>
          </w:p>
        </w:tc>
      </w:tr>
      <w:tr>
        <w:trPr>
          <w:trHeight w:val="77"/>
        </w:trPr>
        <w:tc>
          <w:tcPr>
            <w:shd w:val="clear" w:fill="auto" w:color="auto"/>
            <w:tcW w:w="1549" w:type="pct"/>
            <w:textDirection w:val="lrTb"/>
            <w:noWrap w:val="false"/>
          </w:tcPr>
          <w:p>
            <w:pPr>
              <w:pStyle w:val="1005"/>
              <w:ind w:left="57" w:right="57"/>
            </w:pPr>
            <w:r>
              <w:t xml:space="preserve">Дата</w:t>
            </w:r>
            <w:r/>
          </w:p>
        </w:tc>
        <w:tc>
          <w:tcPr>
            <w:shd w:val="clear" w:fill="auto" w:color="auto"/>
            <w:tcW w:w="3451" w:type="pct"/>
            <w:textDirection w:val="lrTb"/>
            <w:noWrap w:val="false"/>
          </w:tcPr>
          <w:p>
            <w:pPr>
              <w:pStyle w:val="1005"/>
              <w:ind w:left="57" w:right="57"/>
            </w:pPr>
            <w:r>
              <w:t xml:space="preserve">Дата подписания документа главным бухгалтером.</w:t>
            </w:r>
            <w:r/>
          </w:p>
          <w:p>
            <w:pPr>
              <w:pStyle w:val="1005"/>
              <w:ind w:left="57" w:right="57"/>
            </w:pPr>
            <w:r>
              <w:t xml:space="preserve">Для АРМ. Заполняется автоматически при подписании ЭП данными подписанта. Привязан системный календарь</w:t>
            </w:r>
            <w:r>
              <w:t xml:space="preserve">.</w:t>
            </w:r>
            <w:r/>
          </w:p>
        </w:tc>
      </w:tr>
      <w:tr>
        <w:trPr>
          <w:trHeight w:val="77"/>
        </w:trPr>
        <w:tc>
          <w:tcPr>
            <w:shd w:val="clear" w:fill="auto" w:color="auto"/>
            <w:tcW w:w="1549" w:type="pct"/>
            <w:textDirection w:val="lrTb"/>
            <w:noWrap w:val="false"/>
          </w:tcPr>
          <w:p>
            <w:pPr>
              <w:pStyle w:val="1005"/>
              <w:ind w:left="57" w:right="57"/>
            </w:pPr>
            <w:r>
              <w:t xml:space="preserve">ФИО ответственного за конфиденциальность данных</w:t>
            </w:r>
            <w:r>
              <w:tab/>
            </w:r>
            <w:r/>
          </w:p>
        </w:tc>
        <w:tc>
          <w:tcPr>
            <w:shd w:val="clear" w:fill="auto" w:color="auto"/>
            <w:tcW w:w="3451" w:type="pct"/>
            <w:textDirection w:val="lrTb"/>
            <w:noWrap w:val="false"/>
          </w:tcPr>
          <w:p>
            <w:pPr>
              <w:pStyle w:val="1005"/>
              <w:ind w:left="57" w:right="57"/>
            </w:pPr>
            <w:r>
              <w:t xml:space="preserve">Заполняется автоматически при подписании. Поле заполняется, если в поле «Уровень конфиденциальности» указано значение «1» или </w:t>
            </w:r>
            <w:r>
              <w:t xml:space="preserve">«0».</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«Отметка территориального органа Федерального казначейства о постановке на учет заявки на возврат»</w:t>
            </w:r>
            <w:r/>
          </w:p>
        </w:tc>
      </w:tr>
      <w:tr>
        <w:trPr>
          <w:trHeight w:val="77"/>
        </w:trPr>
        <w:tc>
          <w:tcPr>
            <w:shd w:val="clear" w:fill="auto" w:color="auto"/>
            <w:tcW w:w="1549" w:type="pct"/>
            <w:textDirection w:val="lrTb"/>
            <w:noWrap w:val="false"/>
          </w:tcPr>
          <w:p>
            <w:pPr>
              <w:pStyle w:val="1005"/>
              <w:ind w:left="57" w:right="57"/>
            </w:pPr>
            <w:r>
              <w:t xml:space="preserve">Номер заявки</w:t>
            </w:r>
            <w:r/>
          </w:p>
        </w:tc>
        <w:tc>
          <w:tcPr>
            <w:shd w:val="clear" w:fill="auto" w:color="auto"/>
            <w:tcW w:w="3451" w:type="pct"/>
            <w:textDirection w:val="lrTb"/>
            <w:noWrap w:val="false"/>
          </w:tcPr>
          <w:p>
            <w:pPr>
              <w:pStyle w:val="1005"/>
              <w:ind w:left="57" w:right="57"/>
            </w:pPr>
            <w:r>
              <w:t xml:space="preserve">Регистрационный номер заявки в ТОФК.</w:t>
            </w:r>
            <w:r/>
          </w:p>
          <w:p>
            <w:pPr>
              <w:pStyle w:val="1005"/>
              <w:ind w:left="57" w:right="57"/>
            </w:pPr>
            <w:r>
              <w:t xml:space="preserve">Значение доставляется из OEBS</w:t>
            </w:r>
            <w:r>
              <w:t xml:space="preserve">.</w:t>
            </w:r>
            <w:r/>
          </w:p>
        </w:tc>
      </w:tr>
      <w:tr>
        <w:trPr>
          <w:trHeight w:val="77"/>
        </w:trPr>
        <w:tc>
          <w:tcPr>
            <w:shd w:val="clear" w:fill="auto" w:color="auto"/>
            <w:tcW w:w="1549" w:type="pct"/>
            <w:textDirection w:val="lrTb"/>
            <w:noWrap w:val="false"/>
          </w:tcPr>
          <w:p>
            <w:pPr>
              <w:pStyle w:val="1005"/>
              <w:ind w:left="57" w:right="57"/>
            </w:pPr>
            <w:r>
              <w:t xml:space="preserve">Дата регистрации</w:t>
            </w:r>
            <w:r/>
          </w:p>
        </w:tc>
        <w:tc>
          <w:tcPr>
            <w:shd w:val="clear" w:fill="auto" w:color="auto"/>
            <w:tcW w:w="3451" w:type="pct"/>
            <w:textDirection w:val="lrTb"/>
            <w:noWrap w:val="false"/>
          </w:tcPr>
          <w:p>
            <w:pPr>
              <w:pStyle w:val="1005"/>
              <w:ind w:left="57" w:right="57"/>
            </w:pPr>
            <w:r>
              <w:t xml:space="preserve">Дата регистрации документа в ТОФК.</w:t>
            </w:r>
            <w:r/>
          </w:p>
          <w:p>
            <w:pPr>
              <w:pStyle w:val="1005"/>
              <w:ind w:left="57" w:right="57"/>
            </w:pPr>
            <w:r>
              <w:t xml:space="preserve">Значение доставляется из OEBS</w:t>
            </w:r>
            <w:r>
              <w:t xml:space="preserve">.</w:t>
            </w:r>
            <w:r/>
          </w:p>
        </w:tc>
      </w:tr>
      <w:tr>
        <w:trPr>
          <w:trHeight w:val="77"/>
        </w:trPr>
        <w:tc>
          <w:tcPr>
            <w:shd w:val="clear" w:fill="auto" w:color="auto"/>
            <w:tcW w:w="1549" w:type="pct"/>
            <w:textDirection w:val="lrTb"/>
            <w:noWrap w:val="false"/>
          </w:tcPr>
          <w:p>
            <w:pPr>
              <w:pStyle w:val="1005"/>
              <w:ind w:left="57" w:right="57"/>
            </w:pPr>
            <w:r>
              <w:t xml:space="preserve">Ответственный исполнитель. Должность</w:t>
            </w:r>
            <w:r/>
          </w:p>
        </w:tc>
        <w:tc>
          <w:tcPr>
            <w:shd w:val="clear" w:fill="auto" w:color="auto"/>
            <w:tcW w:w="3451" w:type="pct"/>
            <w:textDirection w:val="lrTb"/>
            <w:noWrap w:val="false"/>
          </w:tcPr>
          <w:p>
            <w:pPr>
              <w:pStyle w:val="1005"/>
              <w:ind w:left="57" w:right="57"/>
            </w:pPr>
            <w:r>
              <w:t xml:space="preserve">Наименование должности ответственного исполнителя в ТОФК. </w:t>
            </w:r>
            <w:r/>
          </w:p>
          <w:p>
            <w:pPr>
              <w:pStyle w:val="1005"/>
              <w:ind w:left="57" w:right="57"/>
            </w:pPr>
            <w:r>
              <w:t xml:space="preserve">Значение доставляется из OEBS</w:t>
            </w:r>
            <w:r>
              <w:t xml:space="preserve">.</w:t>
            </w:r>
            <w:r/>
          </w:p>
        </w:tc>
      </w:tr>
      <w:tr>
        <w:trPr>
          <w:trHeight w:val="77"/>
        </w:trPr>
        <w:tc>
          <w:tcPr>
            <w:shd w:val="clear" w:fill="auto" w:color="auto"/>
            <w:tcW w:w="1549" w:type="pct"/>
            <w:textDirection w:val="lrTb"/>
            <w:noWrap w:val="false"/>
          </w:tcPr>
          <w:p>
            <w:pPr>
              <w:pStyle w:val="1005"/>
              <w:ind w:left="57" w:right="57"/>
            </w:pPr>
            <w:r>
              <w:t xml:space="preserve">Ответственный исполнитель. Расшифровка подписи</w:t>
            </w:r>
            <w:r/>
          </w:p>
        </w:tc>
        <w:tc>
          <w:tcPr>
            <w:shd w:val="clear" w:fill="auto" w:color="auto"/>
            <w:tcW w:w="3451" w:type="pct"/>
            <w:textDirection w:val="lrTb"/>
            <w:noWrap w:val="false"/>
          </w:tcPr>
          <w:p>
            <w:pPr>
              <w:pStyle w:val="1005"/>
              <w:ind w:left="57" w:right="57"/>
            </w:pPr>
            <w:r>
              <w:t xml:space="preserve">ФИО ответственного исполнителя в ТОФК. Значение доставляется из OEBS</w:t>
            </w:r>
            <w:r>
              <w:t xml:space="preserve">.</w:t>
            </w:r>
            <w:r/>
          </w:p>
        </w:tc>
      </w:tr>
      <w:tr>
        <w:trPr>
          <w:trHeight w:val="77"/>
        </w:trPr>
        <w:tc>
          <w:tcPr>
            <w:shd w:val="clear" w:fill="auto" w:color="auto"/>
            <w:tcW w:w="1549" w:type="pct"/>
            <w:textDirection w:val="lrTb"/>
            <w:noWrap w:val="false"/>
          </w:tcPr>
          <w:p>
            <w:pPr>
              <w:pStyle w:val="1005"/>
              <w:ind w:left="57" w:right="57"/>
            </w:pPr>
            <w:r>
              <w:t xml:space="preserve">Телефон</w:t>
            </w:r>
            <w:r/>
          </w:p>
        </w:tc>
        <w:tc>
          <w:tcPr>
            <w:shd w:val="clear" w:fill="auto" w:color="auto"/>
            <w:tcW w:w="3451" w:type="pct"/>
            <w:textDirection w:val="lrTb"/>
            <w:noWrap w:val="false"/>
          </w:tcPr>
          <w:p>
            <w:pPr>
              <w:pStyle w:val="1005"/>
              <w:ind w:left="57" w:right="57"/>
            </w:pPr>
            <w:r>
              <w:t xml:space="preserve">Номер телефона ответственного исполнителя в ТОФК. Значение доставляется из OEBS</w:t>
            </w:r>
            <w:r>
              <w:t xml:space="preserve">.</w:t>
            </w:r>
            <w:r/>
          </w:p>
        </w:tc>
      </w:tr>
    </w:tbl>
    <w:p>
      <w:pPr>
        <w:pStyle w:val="972"/>
      </w:pPr>
      <w:r/>
      <w:bookmarkStart w:id="1094" w:name="_Ref404870225"/>
      <w:r/>
      <w:bookmarkStart w:id="1095" w:name="_Ref404870282"/>
      <w:r/>
      <w:bookmarkStart w:id="1096" w:name="_Ref404870310"/>
      <w:r/>
      <w:bookmarkStart w:id="1097" w:name="_Toc422496688"/>
      <w:r/>
      <w:bookmarkStart w:id="1098" w:name="_Ref52887327"/>
      <w:r/>
      <w:bookmarkStart w:id="1099" w:name="_Toc88819124"/>
      <w:r>
        <w:t xml:space="preserve">Реестр </w:t>
      </w:r>
      <w:bookmarkEnd w:id="1080"/>
      <w:r/>
      <w:bookmarkEnd w:id="1081"/>
      <w:r/>
      <w:bookmarkEnd w:id="1082"/>
      <w:r/>
      <w:bookmarkEnd w:id="1083"/>
      <w:r/>
      <w:bookmarkEnd w:id="1084"/>
      <w:r/>
      <w:bookmarkEnd w:id="1094"/>
      <w:r/>
      <w:bookmarkEnd w:id="1095"/>
      <w:r/>
      <w:bookmarkEnd w:id="1096"/>
      <w:r/>
      <w:bookmarkEnd w:id="1097"/>
      <w:r>
        <w:t xml:space="preserve">передаваемых (принимаемых) платежей</w:t>
      </w:r>
      <w:bookmarkEnd w:id="1098"/>
      <w:r/>
      <w:bookmarkEnd w:id="1099"/>
      <w:r/>
      <w:r/>
    </w:p>
    <w:p>
      <w:pPr>
        <w:pStyle w:val="994"/>
      </w:pPr>
      <w:r>
        <w:t xml:space="preserve">Документ «</w:t>
      </w:r>
      <w:r>
        <w:t xml:space="preserve">Реестр </w:t>
      </w:r>
      <w:r>
        <w:t xml:space="preserve">передаваемых (принимаемых) платежей</w:t>
      </w:r>
      <w:r>
        <w:t xml:space="preserve">» предназначен для передачи информации о зачислении платежей, поступивших в бюджет, минуя счет ФК для учета поступлений и их распределения между бюджетами.</w:t>
      </w:r>
      <w:r/>
    </w:p>
    <w:p>
      <w:pPr>
        <w:pStyle w:val="994"/>
      </w:pPr>
      <w:r>
        <w:t xml:space="preserve">Если </w:t>
      </w:r>
      <w:r>
        <w:t xml:space="preserve">казначейское</w:t>
      </w:r>
      <w:r>
        <w:t xml:space="preserve"> обслуживание бюджета осуществляет УФК, то реестр формируется автоматически при обработке банковской выписки, регистрируется и отправляется в ФО.</w:t>
      </w:r>
      <w:r/>
    </w:p>
    <w:p>
      <w:pPr>
        <w:pStyle w:val="994"/>
      </w:pPr>
      <w:r>
        <w:t xml:space="preserve">Если </w:t>
      </w:r>
      <w:r>
        <w:t xml:space="preserve">казначейское</w:t>
      </w:r>
      <w:r>
        <w:t xml:space="preserve"> </w:t>
      </w:r>
      <w:r>
        <w:t xml:space="preserve">обслуживание бюджета осуществляет ФО, реестр формируется в ФО, а затем ФО направляет его в ОрФК.</w:t>
      </w:r>
      <w:r/>
    </w:p>
    <w:p>
      <w:pPr>
        <w:pStyle w:val="994"/>
      </w:pPr>
      <w:r>
        <w:t xml:space="preserve">Для работы с документами «</w:t>
      </w:r>
      <w:r>
        <w:t xml:space="preserve">Реестр передаваемых (принимаемых) платежей</w:t>
      </w:r>
      <w:r>
        <w:t xml:space="preserve">» следует перейти в пункт меню «Документы – Обработка и учет поступлений – </w:t>
      </w:r>
      <w:r>
        <w:t xml:space="preserve">Реестр</w:t>
      </w:r>
      <w:r>
        <w:t xml:space="preserve">ы</w:t>
      </w:r>
      <w:r>
        <w:t xml:space="preserve"> передаваемых (принимаемых) платежей</w:t>
      </w:r>
      <w:r>
        <w:t xml:space="preserve"> </w:t>
      </w:r>
      <w:r>
        <w:t xml:space="preserve">– </w:t>
      </w:r>
      <w:r>
        <w:t xml:space="preserve">Реестр передаваемых (принимаемых) платежей</w:t>
      </w:r>
      <w:r>
        <w:t xml:space="preserve">». Откроется ЭФ списка документов, представленная на рисунке </w:t>
      </w:r>
      <w:r>
        <w:fldChar w:fldCharType="begin"/>
      </w:r>
      <w:r>
        <w:instrText xml:space="preserve"> REF _Ref230431002 \h  \* MERGEFORMAT </w:instrText>
      </w:r>
      <w:r>
        <w:fldChar w:fldCharType="separate"/>
      </w:r>
      <w:r>
        <w:t xml:space="preserve">138</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2743200"/>
                <wp:effectExtent l="0" t="0" r="0" b="0"/>
                <wp:docPr id="21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04"/>
                        <a:stretch/>
                      </pic:blipFill>
                      <pic:spPr bwMode="auto">
                        <a:xfrm>
                          <a:off x="0" y="0"/>
                          <a:ext cx="6118860" cy="27432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8" o:spid="_x0000_s218" type="#_x0000_t75" style="mso-wrap-distance-left:0.0pt;mso-wrap-distance-top:0.0pt;mso-wrap-distance-right:0.0pt;mso-wrap-distance-bottom:0.0pt;width:481.8pt;height:216.0pt;" stroked="f">
                <v:path textboxrect="0,0,0,0"/>
                <v:imagedata r:id="rId204" o:title=""/>
              </v:shape>
            </w:pict>
          </mc:Fallback>
        </mc:AlternateContent>
      </w:r>
      <w:r/>
    </w:p>
    <w:p>
      <w:pPr>
        <w:pStyle w:val="983"/>
      </w:pPr>
      <w:r>
        <w:fldChar w:fldCharType="begin"/>
      </w:r>
      <w:r>
        <w:instrText xml:space="preserve"> SEQ Рисунок \* ARABIC </w:instrText>
      </w:r>
      <w:r>
        <w:fldChar w:fldCharType="separate"/>
      </w:r>
      <w:bookmarkStart w:id="1100" w:name="_Ref230431002"/>
      <w:r/>
      <w:bookmarkStart w:id="1101" w:name="_Toc88819523"/>
      <w:r>
        <w:t xml:space="preserve">138</w:t>
      </w:r>
      <w:bookmarkEnd w:id="1100"/>
      <w:r>
        <w:fldChar w:fldCharType="end"/>
      </w:r>
      <w:r>
        <w:t xml:space="preserve">. ЭФ списка документов «</w:t>
      </w:r>
      <w:r>
        <w:t xml:space="preserve">Реестр передаваемых (принимаемых) платежей</w:t>
      </w:r>
      <w:r>
        <w:t xml:space="preserve">»</w:t>
      </w:r>
      <w:bookmarkEnd w:id="1101"/>
      <w:r/>
      <w:r/>
    </w:p>
    <w:p>
      <w:pPr>
        <w:pStyle w:val="973"/>
      </w:pPr>
      <w:r>
        <w:t xml:space="preserve">Доступные операции</w:t>
      </w:r>
      <w:r/>
    </w:p>
    <w:p>
      <w:pPr>
        <w:pStyle w:val="994"/>
      </w:pPr>
      <w:r>
        <w:t xml:space="preserve">На АРМ ФО доступны следующие операции над документом:</w:t>
      </w:r>
      <w:r/>
    </w:p>
    <w:p>
      <w:pPr>
        <w:pStyle w:val="985"/>
      </w:pPr>
      <w:r>
        <w:t xml:space="preserve">Для входящих документов:</w:t>
      </w:r>
      <w:r/>
    </w:p>
    <w:p>
      <w:pPr>
        <w:pStyle w:val="986"/>
      </w:pPr>
      <w:r>
        <w:t xml:space="preserve">просмотр;</w:t>
      </w:r>
      <w:r/>
    </w:p>
    <w:p>
      <w:pPr>
        <w:pStyle w:val="986"/>
      </w:pPr>
      <w:r>
        <w:t xml:space="preserve">печать;</w:t>
      </w:r>
      <w:r/>
    </w:p>
    <w:p>
      <w:pPr>
        <w:pStyle w:val="986"/>
      </w:pPr>
      <w:r>
        <w:t xml:space="preserve">экспорт во внешние системы (документ выгружается вместе с документом «Информация из расчетных документов, прилагаемых к реестру платежей, поступивших в бюджет, минуя счет органа Федерального казначейства»).</w:t>
      </w:r>
      <w:r/>
    </w:p>
    <w:p>
      <w:pPr>
        <w:pStyle w:val="973"/>
      </w:pPr>
      <w:r>
        <w:t xml:space="preserve">Экранная форма документа</w:t>
      </w:r>
      <w:r/>
    </w:p>
    <w:p>
      <w:pPr>
        <w:pStyle w:val="994"/>
      </w:pPr>
      <w:r>
        <w:t xml:space="preserve">ЭФ документа «</w:t>
      </w:r>
      <w:r>
        <w:t xml:space="preserve">Реестр передаваемых (принимаемых) платежей</w:t>
      </w:r>
      <w:r>
        <w:t xml:space="preserve">» представлена на рисунках </w:t>
      </w:r>
      <w:r>
        <w:fldChar w:fldCharType="begin"/>
      </w:r>
      <w:r>
        <w:instrText xml:space="preserve"> REF _Ref230431472 \h  \* MERGEFORMAT </w:instrText>
      </w:r>
      <w:r>
        <w:fldChar w:fldCharType="separate"/>
      </w:r>
      <w:r>
        <w:t xml:space="preserve">139</w:t>
      </w:r>
      <w:r>
        <w:fldChar w:fldCharType="end"/>
      </w:r>
      <w:r>
        <w:t xml:space="preserve"> и </w:t>
      </w:r>
      <w:r>
        <w:fldChar w:fldCharType="begin"/>
      </w:r>
      <w:r>
        <w:instrText xml:space="preserve"> REF _Ref230434907 \h  \* MERGEFORMAT </w:instrText>
      </w:r>
      <w:r>
        <w:fldChar w:fldCharType="separate"/>
      </w:r>
      <w:r>
        <w:t xml:space="preserve">141</w:t>
      </w:r>
      <w:r>
        <w:fldChar w:fldCharType="end"/>
      </w:r>
      <w:r>
        <w:t xml:space="preserve">. </w:t>
      </w:r>
      <w:r>
        <w:t xml:space="preserve">Форма содержит следующие закладки</w:t>
      </w:r>
      <w:r>
        <w:t xml:space="preserve">:</w:t>
      </w:r>
      <w:r/>
    </w:p>
    <w:p>
      <w:pPr>
        <w:pStyle w:val="985"/>
      </w:pPr>
      <w:r>
        <w:t xml:space="preserve">«Основные атрибуты (1)»;</w:t>
      </w:r>
      <w:r/>
    </w:p>
    <w:p>
      <w:pPr>
        <w:pStyle w:val="985"/>
      </w:pPr>
      <w:r>
        <w:t xml:space="preserve">«Дополнительные атрибуты (2)»;</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126480" cy="5120640"/>
                <wp:effectExtent l="0" t="0" r="0" b="0"/>
                <wp:docPr id="22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05"/>
                        <a:stretch/>
                      </pic:blipFill>
                      <pic:spPr bwMode="auto">
                        <a:xfrm>
                          <a:off x="0" y="0"/>
                          <a:ext cx="6126480" cy="51206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9" o:spid="_x0000_s219" type="#_x0000_t75" style="mso-wrap-distance-left:0.0pt;mso-wrap-distance-top:0.0pt;mso-wrap-distance-right:0.0pt;mso-wrap-distance-bottom:0.0pt;width:482.4pt;height:403.2pt;" stroked="f">
                <v:path textboxrect="0,0,0,0"/>
                <v:imagedata r:id="rId205" o:title=""/>
              </v:shape>
            </w:pict>
          </mc:Fallback>
        </mc:AlternateContent>
      </w:r>
      <w:r/>
    </w:p>
    <w:p>
      <w:pPr>
        <w:pStyle w:val="983"/>
      </w:pPr>
      <w:r>
        <w:fldChar w:fldCharType="begin"/>
      </w:r>
      <w:r>
        <w:instrText xml:space="preserve"> SEQ Рисунок \* ARABIC </w:instrText>
      </w:r>
      <w:r>
        <w:fldChar w:fldCharType="separate"/>
      </w:r>
      <w:bookmarkStart w:id="1102" w:name="_Ref230431472"/>
      <w:r/>
      <w:bookmarkStart w:id="1103" w:name="_Toc88819524"/>
      <w:r>
        <w:t xml:space="preserve">139</w:t>
      </w:r>
      <w:bookmarkEnd w:id="1102"/>
      <w:r>
        <w:fldChar w:fldCharType="end"/>
      </w:r>
      <w:r>
        <w:t xml:space="preserve">. ЭФ документа «</w:t>
      </w:r>
      <w:r>
        <w:t xml:space="preserve">Реестр передаваемых (принимаемых) платежей</w:t>
      </w:r>
      <w:r>
        <w:t xml:space="preserve">», закладки «</w:t>
      </w:r>
      <w:r>
        <w:t xml:space="preserve">Основные атрибуты (1)»</w:t>
      </w:r>
      <w:bookmarkEnd w:id="1103"/>
      <w:r/>
      <w:r/>
    </w:p>
    <w:p>
      <w:pPr>
        <w:pStyle w:val="994"/>
      </w:pPr>
      <w:r>
        <w:t xml:space="preserve">При импорте документа из внешней системы поля документа автоматически</w:t>
      </w:r>
      <w:r>
        <w:t xml:space="preserve">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r/>
    </w:p>
    <w:p>
      <w:pPr>
        <w:pStyle w:val="994"/>
      </w:pPr>
      <w:r>
        <w:t xml:space="preserve">Перечень полей </w:t>
      </w:r>
      <w:r>
        <w:t xml:space="preserve">документа «</w:t>
      </w:r>
      <w:r>
        <w:t xml:space="preserve">Реестр передаваемых (принимаемых) платежей</w:t>
      </w:r>
      <w:r>
        <w:t xml:space="preserve">», закладки «Основные атрибуты (1)»</w:t>
      </w:r>
      <w:r>
        <w:t xml:space="preserve"> </w:t>
      </w:r>
      <w:r>
        <w:t xml:space="preserve">приведен в таблице</w:t>
      </w:r>
      <w:r>
        <w:t xml:space="preserve"> </w:t>
      </w:r>
      <w:r>
        <w:fldChar w:fldCharType="begin"/>
      </w:r>
      <w:r>
        <w:instrText xml:space="preserve"> REF _Ref317610221 \h  \* MERGEFORMAT </w:instrText>
      </w:r>
      <w:r>
        <w:fldChar w:fldCharType="separate"/>
      </w:r>
      <w:r>
        <w:t xml:space="preserve">76</w:t>
      </w:r>
      <w:r>
        <w:fldChar w:fldCharType="end"/>
      </w:r>
      <w:r>
        <w:t xml:space="preserve">.</w:t>
      </w:r>
      <w:r/>
    </w:p>
    <w:p>
      <w:pPr>
        <w:pStyle w:val="993"/>
      </w:pPr>
      <w:r>
        <w:fldChar w:fldCharType="begin"/>
      </w:r>
      <w:r>
        <w:instrText xml:space="preserve"> SEQ Таблица \* ARABIC </w:instrText>
      </w:r>
      <w:r>
        <w:fldChar w:fldCharType="separate"/>
      </w:r>
      <w:bookmarkStart w:id="1104" w:name="_Ref317610221"/>
      <w:r/>
      <w:bookmarkStart w:id="1105" w:name="_Toc88819262"/>
      <w:r>
        <w:t xml:space="preserve">76</w:t>
      </w:r>
      <w:bookmarkEnd w:id="1104"/>
      <w:r>
        <w:fldChar w:fldCharType="end"/>
      </w:r>
      <w:r>
        <w:t xml:space="preserve">. Описание полей </w:t>
      </w:r>
      <w:r>
        <w:t xml:space="preserve">документа «</w:t>
      </w:r>
      <w:r>
        <w:t xml:space="preserve">Реестр передаваемых (принимаемых) платежей</w:t>
      </w:r>
      <w:r>
        <w:t xml:space="preserve">», закладки «Основные атрибуты (1)»</w:t>
      </w:r>
      <w:bookmarkEnd w:id="1105"/>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93"/>
        <w:gridCol w:w="7359"/>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22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73" w:type="pct"/>
            <w:vAlign w:val="center"/>
            <w:textDirection w:val="lrTb"/>
            <w:noWrap w:val="false"/>
          </w:tcPr>
          <w:p>
            <w:pPr>
              <w:pStyle w:val="1006"/>
            </w:pPr>
            <w:r>
              <w:t xml:space="preserve">Описание поля</w:t>
            </w:r>
            <w:r/>
          </w:p>
        </w:tc>
      </w:tr>
      <w:tr>
        <w:trPr/>
        <w:tc>
          <w:tcPr>
            <w:shd w:val="clear" w:fill="auto" w:color="auto"/>
            <w:tcW w:w="1227" w:type="pct"/>
            <w:textDirection w:val="lrTb"/>
            <w:noWrap w:val="false"/>
          </w:tcPr>
          <w:p>
            <w:pPr>
              <w:pStyle w:val="1005"/>
              <w:ind w:left="57" w:right="57"/>
            </w:pPr>
            <w:r>
              <w:t xml:space="preserve">Номер документа</w:t>
            </w:r>
            <w:r/>
          </w:p>
        </w:tc>
        <w:tc>
          <w:tcPr>
            <w:shd w:val="clear" w:fill="auto" w:color="auto"/>
            <w:tcW w:w="3773" w:type="pct"/>
            <w:textDirection w:val="lrTb"/>
            <w:noWrap w:val="false"/>
          </w:tcPr>
          <w:p>
            <w:pPr>
              <w:pStyle w:val="1005"/>
              <w:ind w:left="57" w:right="57"/>
            </w:pPr>
            <w:r>
              <w:t xml:space="preserve">Номер документа.</w:t>
            </w:r>
            <w:r/>
          </w:p>
        </w:tc>
      </w:tr>
      <w:tr>
        <w:trPr/>
        <w:tc>
          <w:tcPr>
            <w:shd w:val="clear" w:fill="auto" w:color="auto"/>
            <w:tcW w:w="1227" w:type="pct"/>
            <w:textDirection w:val="lrTb"/>
            <w:noWrap w:val="false"/>
          </w:tcPr>
          <w:p>
            <w:pPr>
              <w:pStyle w:val="1005"/>
              <w:ind w:left="57" w:right="57"/>
            </w:pPr>
            <w:r>
              <w:t xml:space="preserve">Дата документа</w:t>
            </w:r>
            <w:r/>
          </w:p>
        </w:tc>
        <w:tc>
          <w:tcPr>
            <w:shd w:val="clear" w:fill="auto" w:color="auto"/>
            <w:tcW w:w="3773" w:type="pct"/>
            <w:textDirection w:val="lrTb"/>
            <w:noWrap w:val="false"/>
          </w:tcPr>
          <w:p>
            <w:pPr>
              <w:pStyle w:val="1005"/>
              <w:ind w:left="57" w:right="57"/>
            </w:pPr>
            <w:r>
              <w:t xml:space="preserve">Дата документа. Значение даты может быть выбрано с помощью системного календаря.</w:t>
            </w:r>
            <w:r/>
          </w:p>
        </w:tc>
      </w:tr>
      <w:tr>
        <w:trPr/>
        <w:tc>
          <w:tcPr>
            <w:shd w:val="clear" w:fill="auto" w:color="auto"/>
            <w:tcW w:w="1227" w:type="pct"/>
            <w:textDirection w:val="lrTb"/>
            <w:noWrap w:val="false"/>
          </w:tcPr>
          <w:p>
            <w:pPr>
              <w:pStyle w:val="1005"/>
              <w:ind w:left="57" w:right="57"/>
            </w:pPr>
            <w:r>
              <w:t xml:space="preserve">Ед. изм.</w:t>
            </w:r>
            <w:r/>
          </w:p>
        </w:tc>
        <w:tc>
          <w:tcPr>
            <w:shd w:val="clear" w:fill="auto" w:color="auto"/>
            <w:tcW w:w="3773" w:type="pct"/>
            <w:textDirection w:val="lrTb"/>
            <w:noWrap w:val="false"/>
          </w:tcPr>
          <w:p>
            <w:pPr>
              <w:pStyle w:val="1005"/>
              <w:ind w:left="57" w:right="57"/>
            </w:pPr>
            <w:r>
              <w:t xml:space="preserve">Единица измерения.</w:t>
            </w:r>
            <w:r/>
          </w:p>
        </w:tc>
      </w:tr>
      <w:tr>
        <w:trPr/>
        <w:tc>
          <w:tcPr>
            <w:shd w:val="clear" w:fill="auto" w:color="auto"/>
            <w:tcW w:w="1227" w:type="pct"/>
            <w:textDirection w:val="lrTb"/>
            <w:noWrap w:val="false"/>
          </w:tcPr>
          <w:p>
            <w:pPr>
              <w:pStyle w:val="1005"/>
              <w:ind w:left="57" w:right="57"/>
            </w:pPr>
            <w:r>
              <w:t xml:space="preserve">Бизнес-статус</w:t>
            </w:r>
            <w:r/>
          </w:p>
        </w:tc>
        <w:tc>
          <w:tcPr>
            <w:shd w:val="clear" w:fill="auto" w:color="auto"/>
            <w:tcW w:w="3773" w:type="pct"/>
            <w:textDirection w:val="lrTb"/>
            <w:noWrap w:val="false"/>
          </w:tcPr>
          <w:p>
            <w:pPr>
              <w:pStyle w:val="1005"/>
              <w:ind w:left="57" w:right="57"/>
            </w:pPr>
            <w:r>
              <w:t xml:space="preserve">Код статуса документа. </w:t>
            </w:r>
            <w:r/>
          </w:p>
          <w:p>
            <w:pPr>
              <w:pStyle w:val="1005"/>
              <w:ind w:left="57" w:right="57"/>
            </w:pPr>
            <w:r>
              <w:t xml:space="preserve">Заполняется автоматически в результате обработки документа или присылается из учетной системы (в случае обработки документа в учетной системе).</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 (1)</w:t>
            </w:r>
            <w:r>
              <w:t xml:space="preserve">»</w:t>
            </w:r>
            <w:r/>
          </w:p>
        </w:tc>
      </w:tr>
      <w:tr>
        <w:trPr/>
        <w:tc>
          <w:tcPr>
            <w:shd w:val="clear" w:fill="auto" w:color="auto"/>
            <w:tcW w:w="1227" w:type="pct"/>
            <w:textDirection w:val="lrTb"/>
            <w:noWrap w:val="false"/>
          </w:tcPr>
          <w:p>
            <w:pPr>
              <w:pStyle w:val="1005"/>
              <w:ind w:left="57" w:right="57"/>
            </w:pPr>
            <w:r>
              <w:t xml:space="preserve">Дата</w:t>
            </w:r>
            <w:r/>
          </w:p>
        </w:tc>
        <w:tc>
          <w:tcPr>
            <w:shd w:val="clear" w:fill="auto" w:color="auto"/>
            <w:tcW w:w="3773" w:type="pct"/>
            <w:textDirection w:val="lrTb"/>
            <w:noWrap w:val="false"/>
          </w:tcPr>
          <w:p>
            <w:pPr>
              <w:pStyle w:val="1005"/>
              <w:ind w:left="57" w:right="57"/>
            </w:pPr>
            <w:r>
              <w:t xml:space="preserve">Текущая операционная дата.</w:t>
            </w:r>
            <w:r/>
          </w:p>
        </w:tc>
      </w:tr>
      <w:tr>
        <w:trPr/>
        <w:tc>
          <w:tcPr>
            <w:shd w:val="clear" w:fill="auto" w:color="auto"/>
            <w:tcW w:w="1227" w:type="pct"/>
            <w:textDirection w:val="lrTb"/>
            <w:noWrap w:val="false"/>
          </w:tcPr>
          <w:p>
            <w:pPr>
              <w:pStyle w:val="1005"/>
              <w:ind w:left="57" w:right="57"/>
            </w:pPr>
            <w:r>
              <w:t xml:space="preserve">Наименование бюджета</w:t>
            </w:r>
            <w:r/>
          </w:p>
        </w:tc>
        <w:tc>
          <w:tcPr>
            <w:shd w:val="clear" w:fill="auto" w:color="auto"/>
            <w:tcW w:w="3773" w:type="pct"/>
            <w:textDirection w:val="lrTb"/>
            <w:noWrap w:val="false"/>
          </w:tcPr>
          <w:p>
            <w:pPr>
              <w:pStyle w:val="1005"/>
              <w:ind w:left="57" w:right="57"/>
            </w:pPr>
            <w:r>
              <w:t xml:space="preserve">Наименование бюджета, в который поступили платежи.</w:t>
            </w:r>
            <w:r/>
          </w:p>
          <w:p>
            <w:pPr>
              <w:pStyle w:val="1005"/>
              <w:ind w:left="57" w:right="57"/>
            </w:pPr>
            <w:r>
              <w:t xml:space="preserve">Может быть изменено пользователем выбором из </w:t>
            </w:r>
            <w:r>
              <w:t xml:space="preserve">справочника «Бюджеты»</w:t>
            </w:r>
            <w:r>
              <w:t xml:space="preserve">.</w:t>
            </w:r>
            <w:r/>
          </w:p>
        </w:tc>
      </w:tr>
      <w:tr>
        <w:trPr/>
        <w:tc>
          <w:tcPr>
            <w:shd w:val="clear" w:fill="auto" w:color="auto"/>
            <w:tcW w:w="1227" w:type="pct"/>
            <w:textDirection w:val="lrTb"/>
            <w:noWrap w:val="false"/>
          </w:tcPr>
          <w:p>
            <w:pPr>
              <w:pStyle w:val="1005"/>
              <w:ind w:left="57" w:right="57"/>
            </w:pPr>
            <w:r>
              <w:t xml:space="preserve">Номер счёта</w:t>
            </w:r>
            <w:r/>
          </w:p>
        </w:tc>
        <w:tc>
          <w:tcPr>
            <w:shd w:val="clear" w:fill="auto" w:color="auto"/>
            <w:tcW w:w="3773" w:type="pct"/>
            <w:textDirection w:val="lrTb"/>
            <w:noWrap w:val="false"/>
          </w:tcPr>
          <w:p>
            <w:pPr>
              <w:pStyle w:val="1005"/>
              <w:ind w:left="57" w:right="57"/>
            </w:pPr>
            <w:r>
              <w:t xml:space="preserve">Банковский счет, на который были зачислены платежи.</w:t>
            </w:r>
            <w:r/>
          </w:p>
          <w:p>
            <w:pPr>
              <w:pStyle w:val="1005"/>
              <w:ind w:left="57" w:right="57"/>
            </w:pPr>
            <w:r>
              <w:t xml:space="preserve">Значение поля заполняется вручную из справочника «Банковских счетов бюджетополучателей</w:t>
            </w:r>
            <w:r>
              <w:t xml:space="preserve">»</w:t>
            </w:r>
            <w:r>
              <w:t xml:space="preserve">.</w:t>
            </w:r>
            <w:r/>
          </w:p>
          <w:p>
            <w:pPr>
              <w:pStyle w:val="1005"/>
              <w:ind w:left="57" w:right="57"/>
            </w:pPr>
            <w:r>
              <w:t xml:space="preserve">Может быть отредактировано вручную.</w:t>
            </w:r>
            <w:r/>
          </w:p>
        </w:tc>
      </w:tr>
      <w:tr>
        <w:trPr/>
        <w:tc>
          <w:tcPr>
            <w:shd w:val="clear" w:fill="auto" w:color="auto"/>
            <w:tcW w:w="1227" w:type="pct"/>
            <w:textDirection w:val="lrTb"/>
            <w:noWrap w:val="false"/>
          </w:tcPr>
          <w:p>
            <w:pPr>
              <w:pStyle w:val="1005"/>
              <w:ind w:left="57" w:right="57"/>
            </w:pPr>
            <w:r>
              <w:t xml:space="preserve">ОКТМО бюджета</w:t>
            </w:r>
            <w:r/>
          </w:p>
        </w:tc>
        <w:tc>
          <w:tcPr>
            <w:shd w:val="clear" w:fill="auto" w:color="auto"/>
            <w:tcW w:w="3773" w:type="pct"/>
            <w:textDirection w:val="lrTb"/>
            <w:noWrap w:val="false"/>
          </w:tcPr>
          <w:p>
            <w:pPr>
              <w:pStyle w:val="1005"/>
              <w:ind w:left="57" w:right="57"/>
            </w:pPr>
            <w:r>
              <w:t xml:space="preserve">Значение заполняется вручную.</w:t>
            </w:r>
            <w:r/>
          </w:p>
        </w:tc>
      </w:tr>
      <w:tr>
        <w:trPr/>
        <w:tc>
          <w:tcPr>
            <w:shd w:val="clear" w:fill="auto" w:color="auto"/>
            <w:tcW w:w="1227" w:type="pct"/>
            <w:textDirection w:val="lrTb"/>
            <w:noWrap w:val="false"/>
          </w:tcPr>
          <w:p>
            <w:pPr>
              <w:pStyle w:val="1005"/>
              <w:ind w:left="57" w:right="57"/>
            </w:pPr>
            <w:r>
              <w:t xml:space="preserve">Наименование органа ФК</w:t>
            </w:r>
            <w:r/>
          </w:p>
        </w:tc>
        <w:tc>
          <w:tcPr>
            <w:shd w:val="clear" w:fill="auto" w:color="auto"/>
            <w:tcW w:w="3773" w:type="pct"/>
            <w:textDirection w:val="lrTb"/>
            <w:noWrap w:val="false"/>
          </w:tcPr>
          <w:p>
            <w:pPr>
              <w:pStyle w:val="1005"/>
              <w:ind w:left="57" w:right="57"/>
            </w:pPr>
            <w:r>
              <w:t xml:space="preserve">Наименование ТОФК.</w:t>
            </w:r>
            <w:r/>
          </w:p>
        </w:tc>
      </w:tr>
      <w:tr>
        <w:trPr/>
        <w:tc>
          <w:tcPr>
            <w:shd w:val="clear" w:fill="auto" w:color="auto"/>
            <w:tcW w:w="1227" w:type="pct"/>
            <w:textDirection w:val="lrTb"/>
            <w:noWrap w:val="false"/>
          </w:tcPr>
          <w:p>
            <w:pPr>
              <w:pStyle w:val="1005"/>
              <w:ind w:left="57" w:right="57"/>
            </w:pPr>
            <w:r>
              <w:t xml:space="preserve">П</w:t>
            </w:r>
            <w:r>
              <w:t xml:space="preserve">о КОФК</w:t>
            </w:r>
            <w:r/>
          </w:p>
        </w:tc>
        <w:tc>
          <w:tcPr>
            <w:shd w:val="clear" w:fill="auto" w:color="auto"/>
            <w:tcW w:w="3773" w:type="pct"/>
            <w:textDirection w:val="lrTb"/>
            <w:noWrap w:val="false"/>
          </w:tcPr>
          <w:p>
            <w:pPr>
              <w:pStyle w:val="1005"/>
              <w:ind w:left="57" w:right="57"/>
            </w:pPr>
            <w:r>
              <w:t xml:space="preserve">Код ТОФК по КОФК.</w:t>
            </w:r>
            <w:r/>
          </w:p>
          <w:p>
            <w:pPr>
              <w:pStyle w:val="1005"/>
              <w:ind w:left="57" w:right="57"/>
            </w:pPr>
            <w:r>
              <w:t xml:space="preserve">Поле может быть отредактировано вручную, или путём выбора из справочника Органов ФК.</w:t>
            </w:r>
            <w:r/>
          </w:p>
        </w:tc>
      </w:tr>
      <w:tr>
        <w:trPr/>
        <w:tc>
          <w:tcPr>
            <w:gridSpan w:val="2"/>
            <w:shd w:val="clear" w:fill="auto" w:color="auto"/>
            <w:tcW w:w="5000" w:type="pct"/>
            <w:textDirection w:val="lrTb"/>
            <w:noWrap w:val="false"/>
          </w:tcPr>
          <w:p>
            <w:pPr>
              <w:pStyle w:val="1005"/>
              <w:ind w:left="57" w:right="57"/>
            </w:pPr>
            <w:r>
              <w:t xml:space="preserve">За</w:t>
            </w:r>
            <w:r>
              <w:t xml:space="preserve">кладка «Основные атрибуты (1)», группа полей </w:t>
            </w:r>
            <w:r>
              <w:t xml:space="preserve">«Основные атрибуты»</w:t>
            </w:r>
            <w:r/>
          </w:p>
        </w:tc>
      </w:tr>
      <w:tr>
        <w:trPr/>
        <w:tc>
          <w:tcPr>
            <w:shd w:val="clear" w:fill="auto" w:color="auto"/>
            <w:tcW w:w="1227" w:type="pct"/>
            <w:textDirection w:val="lrTb"/>
            <w:noWrap w:val="false"/>
          </w:tcPr>
          <w:p>
            <w:pPr>
              <w:pStyle w:val="1005"/>
              <w:ind w:left="57" w:right="57"/>
            </w:pPr>
            <w:r>
              <w:t xml:space="preserve">Дата выписки</w:t>
            </w:r>
            <w:r/>
          </w:p>
        </w:tc>
        <w:tc>
          <w:tcPr>
            <w:shd w:val="clear" w:fill="auto" w:color="auto"/>
            <w:tcW w:w="3773" w:type="pct"/>
            <w:textDirection w:val="lrTb"/>
            <w:noWrap w:val="false"/>
          </w:tcPr>
          <w:p>
            <w:pPr>
              <w:pStyle w:val="1005"/>
              <w:ind w:left="57" w:right="57"/>
            </w:pPr>
            <w:r>
              <w:t xml:space="preserve">Дата выписки.</w:t>
            </w:r>
            <w:r/>
          </w:p>
          <w:p>
            <w:pPr>
              <w:pStyle w:val="1005"/>
              <w:ind w:left="57" w:right="57"/>
            </w:pPr>
            <w:r>
              <w:t xml:space="preserve">По умолчанию – текущая дата.</w:t>
            </w:r>
            <w:r/>
          </w:p>
          <w:p>
            <w:pPr>
              <w:pStyle w:val="1005"/>
              <w:ind w:left="57" w:right="57"/>
            </w:pPr>
            <w:r>
              <w:t xml:space="preserve">Привязан системный календарь.</w:t>
            </w:r>
            <w:r/>
          </w:p>
          <w:p>
            <w:pPr>
              <w:pStyle w:val="1005"/>
              <w:ind w:left="57" w:right="57"/>
            </w:pPr>
            <w:r>
              <w:t xml:space="preserve">Маска «DD.MM.YYYY».</w:t>
            </w:r>
            <w:r/>
          </w:p>
        </w:tc>
      </w:tr>
      <w:tr>
        <w:trPr/>
        <w:tc>
          <w:tcPr>
            <w:shd w:val="clear" w:fill="auto" w:color="auto"/>
            <w:tcW w:w="1227" w:type="pct"/>
            <w:textDirection w:val="lrTb"/>
            <w:noWrap w:val="false"/>
          </w:tcPr>
          <w:p>
            <w:pPr>
              <w:pStyle w:val="1005"/>
              <w:ind w:left="57" w:right="57"/>
            </w:pPr>
            <w:r>
              <w:t xml:space="preserve">Номер расчетного документа</w:t>
            </w:r>
            <w:r/>
          </w:p>
        </w:tc>
        <w:tc>
          <w:tcPr>
            <w:shd w:val="clear" w:fill="auto" w:color="auto"/>
            <w:tcW w:w="3773" w:type="pct"/>
            <w:textDirection w:val="lrTb"/>
            <w:noWrap w:val="false"/>
          </w:tcPr>
          <w:p>
            <w:pPr>
              <w:pStyle w:val="1005"/>
              <w:ind w:left="57" w:right="57"/>
            </w:pPr>
            <w:r>
              <w:t xml:space="preserve">Номер расчетного документа.</w:t>
            </w:r>
            <w:r/>
          </w:p>
        </w:tc>
      </w:tr>
      <w:tr>
        <w:trPr/>
        <w:tc>
          <w:tcPr>
            <w:shd w:val="clear" w:fill="auto" w:color="auto"/>
            <w:tcW w:w="1227" w:type="pct"/>
            <w:textDirection w:val="lrTb"/>
            <w:noWrap w:val="false"/>
          </w:tcPr>
          <w:p>
            <w:pPr>
              <w:pStyle w:val="1005"/>
              <w:ind w:left="57" w:right="57"/>
            </w:pPr>
            <w:r>
              <w:t xml:space="preserve">Дата расчетного документа</w:t>
            </w:r>
            <w:r/>
          </w:p>
        </w:tc>
        <w:tc>
          <w:tcPr>
            <w:shd w:val="clear" w:fill="auto" w:color="auto"/>
            <w:tcW w:w="3773" w:type="pct"/>
            <w:textDirection w:val="lrTb"/>
            <w:noWrap w:val="false"/>
          </w:tcPr>
          <w:p>
            <w:pPr>
              <w:pStyle w:val="1005"/>
              <w:ind w:left="57" w:right="57"/>
            </w:pPr>
            <w:r>
              <w:t xml:space="preserve">Дата расчетного документа.</w:t>
            </w:r>
            <w:r/>
          </w:p>
          <w:p>
            <w:pPr>
              <w:pStyle w:val="1005"/>
              <w:ind w:left="57" w:right="57"/>
            </w:pPr>
            <w:r>
              <w:t xml:space="preserve">По умолчанию – текущая дата. </w:t>
            </w:r>
            <w:r/>
          </w:p>
          <w:p>
            <w:pPr>
              <w:pStyle w:val="1005"/>
              <w:ind w:left="57" w:right="57"/>
            </w:pPr>
            <w:r>
              <w:t xml:space="preserve">Привязан системный календарь.</w:t>
            </w:r>
            <w:r/>
          </w:p>
          <w:p>
            <w:pPr>
              <w:pStyle w:val="1005"/>
              <w:ind w:left="57" w:right="57"/>
            </w:pPr>
            <w:r>
              <w:t xml:space="preserve">Маска «DD.MM.YYYY».</w:t>
            </w:r>
            <w:r/>
          </w:p>
        </w:tc>
      </w:tr>
      <w:tr>
        <w:trPr/>
        <w:tc>
          <w:tcPr>
            <w:shd w:val="clear" w:fill="auto" w:color="auto"/>
            <w:tcW w:w="1227" w:type="pct"/>
            <w:textDirection w:val="lrTb"/>
            <w:noWrap w:val="false"/>
          </w:tcPr>
          <w:p>
            <w:pPr>
              <w:pStyle w:val="1005"/>
              <w:ind w:left="57" w:right="57"/>
            </w:pPr>
            <w:r>
              <w:t xml:space="preserve">ИНН плательщика</w:t>
            </w:r>
            <w:r/>
          </w:p>
        </w:tc>
        <w:tc>
          <w:tcPr>
            <w:shd w:val="clear" w:fill="auto" w:color="auto"/>
            <w:tcW w:w="3773" w:type="pct"/>
            <w:textDirection w:val="lrTb"/>
            <w:noWrap w:val="false"/>
          </w:tcPr>
          <w:p>
            <w:pPr>
              <w:pStyle w:val="1005"/>
              <w:ind w:left="57" w:right="57"/>
            </w:pPr>
            <w:r>
              <w:t xml:space="preserve">ИНН плательщика.</w:t>
            </w:r>
            <w:r/>
          </w:p>
          <w:p>
            <w:pPr>
              <w:pStyle w:val="1005"/>
              <w:ind w:left="57" w:right="57"/>
            </w:pPr>
            <w:r>
              <w:t xml:space="preserve">Значение поля заполняется вручную, либо выбирается из справочника «Поставщиков».</w:t>
            </w:r>
            <w:r/>
          </w:p>
        </w:tc>
      </w:tr>
      <w:tr>
        <w:trPr/>
        <w:tc>
          <w:tcPr>
            <w:shd w:val="clear" w:fill="auto" w:color="auto"/>
            <w:tcW w:w="1227" w:type="pct"/>
            <w:textDirection w:val="lrTb"/>
            <w:noWrap w:val="false"/>
          </w:tcPr>
          <w:p>
            <w:pPr>
              <w:pStyle w:val="1005"/>
              <w:ind w:left="57" w:right="57"/>
            </w:pPr>
            <w:r>
              <w:t xml:space="preserve">КПП плательщика</w:t>
            </w:r>
            <w:r/>
          </w:p>
        </w:tc>
        <w:tc>
          <w:tcPr>
            <w:shd w:val="clear" w:fill="auto" w:color="auto"/>
            <w:tcW w:w="3773" w:type="pct"/>
            <w:textDirection w:val="lrTb"/>
            <w:noWrap w:val="false"/>
          </w:tcPr>
          <w:p>
            <w:pPr>
              <w:pStyle w:val="1005"/>
              <w:ind w:left="57" w:right="57"/>
            </w:pPr>
            <w:r>
              <w:t xml:space="preserve">КПП плательщика.</w:t>
            </w:r>
            <w:r/>
          </w:p>
          <w:p>
            <w:pPr>
              <w:pStyle w:val="1005"/>
              <w:ind w:left="57" w:right="57"/>
            </w:pPr>
            <w:r>
              <w:t xml:space="preserve">Значение поля заполняется автоматически по ИНН плательщика из справочника поставщиков. </w:t>
            </w:r>
            <w:r/>
          </w:p>
          <w:p>
            <w:pPr>
              <w:pStyle w:val="1005"/>
              <w:ind w:left="57" w:right="57"/>
            </w:pPr>
            <w:r>
              <w:t xml:space="preserve">Может быть отредактировано вручную.</w:t>
            </w:r>
            <w:r/>
          </w:p>
        </w:tc>
      </w:tr>
      <w:tr>
        <w:trPr/>
        <w:tc>
          <w:tcPr>
            <w:shd w:val="clear" w:fill="auto" w:color="auto"/>
            <w:tcW w:w="1227" w:type="pct"/>
            <w:textDirection w:val="lrTb"/>
            <w:noWrap w:val="false"/>
          </w:tcPr>
          <w:p>
            <w:pPr>
              <w:pStyle w:val="1005"/>
              <w:ind w:left="57" w:right="57"/>
            </w:pPr>
            <w:r>
              <w:t xml:space="preserve">ИНН получателя</w:t>
            </w:r>
            <w:r/>
          </w:p>
        </w:tc>
        <w:tc>
          <w:tcPr>
            <w:shd w:val="clear" w:fill="auto" w:color="auto"/>
            <w:tcW w:w="3773" w:type="pct"/>
            <w:textDirection w:val="lrTb"/>
            <w:noWrap w:val="false"/>
          </w:tcPr>
          <w:p>
            <w:pPr>
              <w:pStyle w:val="1005"/>
              <w:ind w:left="57" w:right="57"/>
            </w:pPr>
            <w:r>
              <w:t xml:space="preserve">ИНН получателя.</w:t>
            </w:r>
            <w:r/>
          </w:p>
          <w:p>
            <w:pPr>
              <w:pStyle w:val="1005"/>
              <w:ind w:left="57" w:right="57"/>
            </w:pPr>
            <w:r>
              <w:t xml:space="preserve">По умолчанию – ИНН из </w:t>
            </w:r>
            <w:r>
              <w:t xml:space="preserve">справочника «Финансовые органы»</w:t>
            </w:r>
            <w:r>
              <w:t xml:space="preserve"> в соответствии в Кодом собственного БУ из системной константы. </w:t>
            </w:r>
            <w:r/>
          </w:p>
          <w:p>
            <w:pPr>
              <w:pStyle w:val="1005"/>
              <w:ind w:left="57" w:right="57"/>
            </w:pPr>
            <w:r>
              <w:t xml:space="preserve">Привязан справочник Финорганов. </w:t>
            </w:r>
            <w:r/>
          </w:p>
          <w:p>
            <w:pPr>
              <w:pStyle w:val="1005"/>
              <w:ind w:left="57" w:right="57"/>
            </w:pPr>
            <w:r>
              <w:t xml:space="preserve">Может быть отредактировано вручную.</w:t>
            </w:r>
            <w:r/>
          </w:p>
        </w:tc>
      </w:tr>
      <w:tr>
        <w:trPr/>
        <w:tc>
          <w:tcPr>
            <w:shd w:val="clear" w:fill="auto" w:color="auto"/>
            <w:tcW w:w="1227" w:type="pct"/>
            <w:textDirection w:val="lrTb"/>
            <w:noWrap w:val="false"/>
          </w:tcPr>
          <w:p>
            <w:pPr>
              <w:pStyle w:val="1005"/>
              <w:ind w:left="57" w:right="57"/>
            </w:pPr>
            <w:r>
              <w:t xml:space="preserve">КПП получателя</w:t>
            </w:r>
            <w:r/>
          </w:p>
        </w:tc>
        <w:tc>
          <w:tcPr>
            <w:shd w:val="clear" w:fill="auto" w:color="auto"/>
            <w:tcW w:w="3773" w:type="pct"/>
            <w:textDirection w:val="lrTb"/>
            <w:noWrap w:val="false"/>
          </w:tcPr>
          <w:p>
            <w:pPr>
              <w:pStyle w:val="1005"/>
              <w:ind w:left="57" w:right="57"/>
            </w:pPr>
            <w:r>
              <w:t xml:space="preserve">КПП получателя.</w:t>
            </w:r>
            <w:r/>
          </w:p>
          <w:p>
            <w:pPr>
              <w:pStyle w:val="1005"/>
              <w:ind w:left="57" w:right="57"/>
            </w:pPr>
            <w:r>
              <w:t xml:space="preserve">По умолчанию – КПП из </w:t>
            </w:r>
            <w:r>
              <w:t xml:space="preserve">справочника «Финансовые органы»</w:t>
            </w:r>
            <w:r>
              <w:t xml:space="preserve">, соответствующее ИНН получателя.</w:t>
            </w:r>
            <w:r/>
          </w:p>
          <w:p>
            <w:pPr>
              <w:pStyle w:val="1005"/>
              <w:ind w:left="57" w:right="57"/>
            </w:pPr>
            <w:r>
              <w:t xml:space="preserve">Может быть отредактировано вручную.</w:t>
            </w:r>
            <w:r/>
          </w:p>
        </w:tc>
      </w:tr>
      <w:tr>
        <w:trPr/>
        <w:tc>
          <w:tcPr>
            <w:shd w:val="clear" w:fill="auto" w:color="auto"/>
            <w:tcW w:w="1227" w:type="pct"/>
            <w:textDirection w:val="lrTb"/>
            <w:noWrap w:val="false"/>
          </w:tcPr>
          <w:p>
            <w:pPr>
              <w:pStyle w:val="1005"/>
              <w:ind w:left="57" w:right="57"/>
            </w:pPr>
            <w:r>
              <w:t xml:space="preserve">Код по БК</w:t>
            </w:r>
            <w:r/>
          </w:p>
        </w:tc>
        <w:tc>
          <w:tcPr>
            <w:shd w:val="clear" w:fill="auto" w:color="auto"/>
            <w:tcW w:w="3773" w:type="pct"/>
            <w:textDirection w:val="lrTb"/>
            <w:noWrap w:val="false"/>
          </w:tcPr>
          <w:p>
            <w:pPr>
              <w:pStyle w:val="1005"/>
              <w:ind w:left="57" w:right="57"/>
            </w:pPr>
            <w:r>
              <w:t xml:space="preserve">Код бюджетной классификации.</w:t>
            </w:r>
            <w:r/>
          </w:p>
          <w:p>
            <w:pPr>
              <w:pStyle w:val="1005"/>
              <w:ind w:left="57" w:right="57"/>
            </w:pPr>
            <w:r>
              <w:t xml:space="preserve">Значение поля выбирается из справочника «КБК», отфильтрованного по типу КБК</w:t>
            </w:r>
            <w:r>
              <w:t xml:space="preserve"> </w:t>
            </w:r>
            <w:r>
              <w:t xml:space="preserve">=</w:t>
            </w:r>
            <w:r>
              <w:t xml:space="preserve"> </w:t>
            </w:r>
            <w:r>
              <w:t xml:space="preserve">20. </w:t>
            </w:r>
            <w:r/>
          </w:p>
          <w:p>
            <w:pPr>
              <w:pStyle w:val="1005"/>
              <w:ind w:left="57" w:right="57"/>
            </w:pPr>
            <w:r>
              <w:t xml:space="preserve">Может быть отредактировано вручную.</w:t>
            </w:r>
            <w:r/>
          </w:p>
        </w:tc>
      </w:tr>
      <w:tr>
        <w:trPr/>
        <w:tc>
          <w:tcPr>
            <w:shd w:val="clear" w:fill="auto" w:color="auto"/>
            <w:tcW w:w="1227" w:type="pct"/>
            <w:textDirection w:val="lrTb"/>
            <w:noWrap w:val="false"/>
          </w:tcPr>
          <w:p>
            <w:pPr>
              <w:pStyle w:val="1005"/>
              <w:ind w:left="57" w:right="57"/>
            </w:pPr>
            <w:r>
              <w:t xml:space="preserve">Код по ОКТМО</w:t>
            </w:r>
            <w:r/>
          </w:p>
        </w:tc>
        <w:tc>
          <w:tcPr>
            <w:shd w:val="clear" w:fill="auto" w:color="auto"/>
            <w:tcW w:w="3773" w:type="pct"/>
            <w:textDirection w:val="lrTb"/>
            <w:noWrap w:val="false"/>
          </w:tcPr>
          <w:p>
            <w:pPr>
              <w:pStyle w:val="1005"/>
              <w:ind w:left="57" w:right="57"/>
            </w:pPr>
            <w:r>
              <w:t xml:space="preserve">Значение поля выбирается из справочника «ОКАТО/ОКТМО». </w:t>
            </w:r>
            <w:r/>
          </w:p>
          <w:p>
            <w:pPr>
              <w:pStyle w:val="1005"/>
              <w:ind w:left="57" w:right="57"/>
            </w:pPr>
            <w:r>
              <w:t xml:space="preserve">Может быть отредактировано вручную.</w:t>
            </w:r>
            <w:r/>
          </w:p>
        </w:tc>
      </w:tr>
      <w:tr>
        <w:trPr/>
        <w:tc>
          <w:tcPr>
            <w:shd w:val="clear" w:fill="auto" w:color="auto"/>
            <w:tcW w:w="1227" w:type="pct"/>
            <w:textDirection w:val="lrTb"/>
            <w:noWrap w:val="false"/>
          </w:tcPr>
          <w:p>
            <w:pPr>
              <w:pStyle w:val="1005"/>
              <w:ind w:left="57" w:right="57"/>
            </w:pPr>
            <w:r>
              <w:t xml:space="preserve">Сумма</w:t>
            </w:r>
            <w:r/>
          </w:p>
        </w:tc>
        <w:tc>
          <w:tcPr>
            <w:shd w:val="clear" w:fill="auto" w:color="auto"/>
            <w:tcW w:w="3773" w:type="pct"/>
            <w:textDirection w:val="lrTb"/>
            <w:noWrap w:val="false"/>
          </w:tcPr>
          <w:p>
            <w:pPr>
              <w:pStyle w:val="1005"/>
              <w:ind w:left="57" w:right="57"/>
            </w:pPr>
            <w:r>
              <w:t xml:space="preserve">Сумма поступления.</w:t>
            </w:r>
            <w:r/>
          </w:p>
          <w:p>
            <w:pPr>
              <w:pStyle w:val="1005"/>
              <w:ind w:left="57" w:right="57"/>
            </w:pPr>
            <w:r>
              <w:t xml:space="preserve">Значение поля заполняется вручную.</w:t>
            </w:r>
            <w:r/>
          </w:p>
        </w:tc>
      </w:tr>
      <w:tr>
        <w:trPr/>
        <w:tc>
          <w:tcPr>
            <w:shd w:val="clear" w:fill="auto" w:color="auto"/>
            <w:tcW w:w="1227" w:type="pct"/>
            <w:textDirection w:val="lrTb"/>
            <w:noWrap w:val="false"/>
          </w:tcPr>
          <w:p>
            <w:pPr>
              <w:pStyle w:val="1005"/>
              <w:ind w:left="57" w:right="57"/>
            </w:pPr>
            <w:r>
              <w:t xml:space="preserve">Итого</w:t>
            </w:r>
            <w:r/>
          </w:p>
        </w:tc>
        <w:tc>
          <w:tcPr>
            <w:shd w:val="clear" w:fill="auto" w:color="auto"/>
            <w:tcW w:w="3773" w:type="pct"/>
            <w:textDirection w:val="lrTb"/>
            <w:noWrap w:val="false"/>
          </w:tcPr>
          <w:p>
            <w:pPr>
              <w:pStyle w:val="1005"/>
              <w:ind w:left="57" w:right="57"/>
            </w:pPr>
            <w:r>
              <w:t xml:space="preserve">Расчетное поле. Общая сумма по всем строкам таблицы по полю «Сумма».</w:t>
            </w:r>
            <w:r/>
          </w:p>
        </w:tc>
      </w:tr>
    </w:tbl>
    <w:p>
      <w:pPr>
        <w:pStyle w:val="994"/>
      </w:pPr>
      <w:r>
        <w:t xml:space="preserve">В поле табличного блока «Основные атрибуты» формируется список платежей, включенных в реестр. Описание полей блока «Основные атрибуты» </w:t>
      </w:r>
      <w:r>
        <w:t xml:space="preserve">приведен в таблице</w:t>
      </w:r>
      <w:r>
        <w:t xml:space="preserve"> </w:t>
      </w:r>
      <w:r>
        <w:fldChar w:fldCharType="begin"/>
      </w:r>
      <w:r>
        <w:instrText xml:space="preserve"> REF _Ref317610221 \h  \* MERGEFORMAT </w:instrText>
      </w:r>
      <w:r>
        <w:fldChar w:fldCharType="separate"/>
      </w:r>
      <w:r>
        <w:t xml:space="preserve">76</w:t>
      </w:r>
      <w:r>
        <w:fldChar w:fldCharType="end"/>
      </w:r>
      <w:r>
        <w:t xml:space="preserve">.</w:t>
      </w:r>
      <w:r/>
    </w:p>
    <w:p>
      <w:pPr>
        <w:pStyle w:val="994"/>
      </w:pPr>
      <w:r>
        <w:t xml:space="preserve">Для добавления записи, содержащей реквизиты платежа, в список следует нажать на кнопку </w:t>
      </w:r>
      <w:r>
        <mc:AlternateContent>
          <mc:Choice Requires="wpg">
            <w:drawing>
              <wp:inline xmlns:wp="http://schemas.openxmlformats.org/drawingml/2006/wordprocessingDrawing" distT="0" distB="0" distL="0" distR="0">
                <wp:extent cx="182880" cy="182880"/>
                <wp:effectExtent l="0" t="0" r="0" b="0"/>
                <wp:docPr id="22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0" o:spid="_x0000_s220" type="#_x0000_t75" style="mso-wrap-distance-left:0.0pt;mso-wrap-distance-top:0.0pt;mso-wrap-distance-right:0.0pt;mso-wrap-distance-bottom:0.0pt;width:14.4pt;height:14.4pt;" stroked="f">
                <v:path textboxrect="0,0,0,0"/>
                <v:imagedata r:id="rId80" o:title=""/>
              </v:shape>
            </w:pict>
          </mc:Fallback>
        </mc:AlternateContent>
      </w:r>
      <w:r>
        <w:t xml:space="preserve"> </w:t>
      </w:r>
      <w:r>
        <w:t xml:space="preserve">(Добавить новую строку)</w:t>
      </w:r>
      <w:r>
        <w:t xml:space="preserve">. Открое</w:t>
      </w:r>
      <w:r>
        <w:t xml:space="preserve">тся форма «Добавление записи»</w:t>
      </w:r>
      <w:r>
        <w:t xml:space="preserve"> (рис. </w:t>
      </w:r>
      <w:r>
        <w:fldChar w:fldCharType="begin"/>
      </w:r>
      <w:r>
        <w:instrText xml:space="preserve"> REF _Ref230433840 \h  \* MERGEFORMAT </w:instrText>
      </w:r>
      <w:r>
        <w:fldChar w:fldCharType="separate"/>
      </w:r>
      <w:r>
        <w:t xml:space="preserve">140</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3482340"/>
                <wp:effectExtent l="0" t="0" r="0" b="0"/>
                <wp:docPr id="22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06"/>
                        <a:stretch/>
                      </pic:blipFill>
                      <pic:spPr bwMode="auto">
                        <a:xfrm>
                          <a:off x="0" y="0"/>
                          <a:ext cx="6035039" cy="34823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1" o:spid="_x0000_s221" type="#_x0000_t75" style="mso-wrap-distance-left:0.0pt;mso-wrap-distance-top:0.0pt;mso-wrap-distance-right:0.0pt;mso-wrap-distance-bottom:0.0pt;width:475.2pt;height:274.2pt;" stroked="f">
                <v:path textboxrect="0,0,0,0"/>
                <v:imagedata r:id="rId206" o:title=""/>
              </v:shape>
            </w:pict>
          </mc:Fallback>
        </mc:AlternateContent>
      </w:r>
      <w:r/>
    </w:p>
    <w:p>
      <w:pPr>
        <w:pStyle w:val="983"/>
      </w:pPr>
      <w:r>
        <w:fldChar w:fldCharType="begin"/>
      </w:r>
      <w:r>
        <w:instrText xml:space="preserve"> SEQ Рисунок \* ARABIC </w:instrText>
      </w:r>
      <w:r>
        <w:fldChar w:fldCharType="separate"/>
      </w:r>
      <w:bookmarkStart w:id="1106" w:name="_Ref230433840"/>
      <w:r/>
      <w:bookmarkStart w:id="1107" w:name="_Toc88819525"/>
      <w:r>
        <w:t xml:space="preserve">140</w:t>
      </w:r>
      <w:bookmarkEnd w:id="1106"/>
      <w:r>
        <w:fldChar w:fldCharType="end"/>
      </w:r>
      <w:r>
        <w:t xml:space="preserve">. </w:t>
      </w:r>
      <w:r>
        <w:t xml:space="preserve">Форма «Добавление записи»</w:t>
      </w:r>
      <w:bookmarkEnd w:id="1107"/>
      <w:r/>
      <w:r/>
    </w:p>
    <w:p>
      <w:pPr>
        <w:pStyle w:val="994"/>
      </w:pPr>
      <w:r>
        <w:t xml:space="preserve">На форме «Добавление записи» вручную заполняются поля:</w:t>
      </w:r>
      <w:r/>
    </w:p>
    <w:p>
      <w:pPr>
        <w:pStyle w:val="985"/>
      </w:pPr>
      <w:r>
        <w:t xml:space="preserve">«Дата вып</w:t>
      </w:r>
      <w:r>
        <w:t xml:space="preserve">иски» – дата банковской выписки;</w:t>
      </w:r>
      <w:r/>
    </w:p>
    <w:p>
      <w:pPr>
        <w:pStyle w:val="985"/>
      </w:pPr>
      <w:r>
        <w:t xml:space="preserve">«Номер расчетного документа»;</w:t>
      </w:r>
      <w:r/>
    </w:p>
    <w:p>
      <w:pPr>
        <w:pStyle w:val="985"/>
      </w:pPr>
      <w:r>
        <w:t xml:space="preserve">«Дата расчетного документа»;</w:t>
      </w:r>
      <w:r/>
    </w:p>
    <w:p>
      <w:pPr>
        <w:pStyle w:val="985"/>
      </w:pPr>
      <w:r>
        <w:t xml:space="preserve">г</w:t>
      </w:r>
      <w:r>
        <w:t xml:space="preserve">руппа полей «Плательщик»:</w:t>
      </w:r>
      <w:r/>
    </w:p>
    <w:p>
      <w:pPr>
        <w:pStyle w:val="986"/>
      </w:pPr>
      <w:r>
        <w:t xml:space="preserve">«ИНН» – ИНН плательщика;</w:t>
      </w:r>
      <w:r/>
    </w:p>
    <w:p>
      <w:pPr>
        <w:pStyle w:val="986"/>
      </w:pPr>
      <w:r>
        <w:t xml:space="preserve">«КПП» – КПП плательщика;</w:t>
      </w:r>
      <w:r/>
    </w:p>
    <w:p>
      <w:pPr>
        <w:pStyle w:val="985"/>
      </w:pPr>
      <w:r>
        <w:t xml:space="preserve">г</w:t>
      </w:r>
      <w:r>
        <w:t xml:space="preserve">руппа полей «Получатель»:</w:t>
      </w:r>
      <w:r/>
    </w:p>
    <w:p>
      <w:pPr>
        <w:pStyle w:val="986"/>
      </w:pPr>
      <w:r>
        <w:t xml:space="preserve">«ИНН» – ИНН получателя;</w:t>
      </w:r>
      <w:r/>
    </w:p>
    <w:p>
      <w:pPr>
        <w:pStyle w:val="986"/>
      </w:pPr>
      <w:r>
        <w:t xml:space="preserve">«КПП» – КПП получателя;</w:t>
      </w:r>
      <w:r/>
    </w:p>
    <w:p>
      <w:pPr>
        <w:pStyle w:val="985"/>
      </w:pPr>
      <w:r>
        <w:t xml:space="preserve">«Код по Б</w:t>
      </w:r>
      <w:r>
        <w:t xml:space="preserve">К»;</w:t>
      </w:r>
      <w:r/>
    </w:p>
    <w:p>
      <w:pPr>
        <w:pStyle w:val="985"/>
      </w:pPr>
      <w:r>
        <w:t xml:space="preserve">«Код по ОКТМО»;</w:t>
      </w:r>
      <w:r/>
    </w:p>
    <w:p>
      <w:pPr>
        <w:pStyle w:val="985"/>
      </w:pPr>
      <w:r>
        <w:t xml:space="preserve">«Сумма» – сумма платежа в рублях.</w:t>
      </w:r>
      <w:r/>
    </w:p>
    <w:p>
      <w:pPr>
        <w:pStyle w:val="994"/>
      </w:pPr>
      <w:r>
        <w:t xml:space="preserve">Нажать на </w:t>
      </w:r>
      <w:r>
        <w:t xml:space="preserve">кнопку «Ok»</w:t>
      </w:r>
      <w:r>
        <w:t xml:space="preserve"> для сохранения строки и выхода из формы. В списке платежей появится добавленная запись.</w:t>
      </w:r>
      <w:r/>
    </w:p>
    <w:p>
      <w:pPr>
        <w:pStyle w:val="994"/>
      </w:pPr>
      <w:r>
        <w:t xml:space="preserve">ЭФ документа «</w:t>
      </w:r>
      <w:r>
        <w:t xml:space="preserve">Реестр передаваемых (принимаемых) платежей</w:t>
      </w:r>
      <w:r>
        <w:t xml:space="preserve">», закладки «</w:t>
      </w:r>
      <w:r>
        <w:t xml:space="preserve">Дополнительные атрибуты (2)» представлена на рисунке</w:t>
      </w:r>
      <w:r>
        <w:t xml:space="preserve"> </w:t>
      </w:r>
      <w:r>
        <w:fldChar w:fldCharType="begin"/>
      </w:r>
      <w:r>
        <w:instrText xml:space="preserve"> REF _Ref230434907 \h  \* MERGEFORMAT </w:instrText>
      </w:r>
      <w:r>
        <w:fldChar w:fldCharType="separate"/>
      </w:r>
      <w:r>
        <w:t xml:space="preserve">141</w:t>
      </w:r>
      <w:r>
        <w:fldChar w:fldCharType="end"/>
      </w:r>
      <w:r>
        <w:t xml:space="preserve">. </w:t>
      </w:r>
      <w:r/>
    </w:p>
    <w:p>
      <w:pPr>
        <w:pStyle w:val="982"/>
      </w:pPr>
      <w:r>
        <mc:AlternateContent>
          <mc:Choice Requires="wpg">
            <w:drawing>
              <wp:inline xmlns:wp="http://schemas.openxmlformats.org/drawingml/2006/wordprocessingDrawing" distT="0" distB="0" distL="0" distR="0">
                <wp:extent cx="6172200" cy="2491740"/>
                <wp:effectExtent l="0" t="0" r="0" b="0"/>
                <wp:docPr id="22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07"/>
                        <a:stretch/>
                      </pic:blipFill>
                      <pic:spPr bwMode="auto">
                        <a:xfrm>
                          <a:off x="0" y="0"/>
                          <a:ext cx="6172200" cy="24917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2" o:spid="_x0000_s222" type="#_x0000_t75" style="mso-wrap-distance-left:0.0pt;mso-wrap-distance-top:0.0pt;mso-wrap-distance-right:0.0pt;mso-wrap-distance-bottom:0.0pt;width:486.0pt;height:196.2pt;" stroked="f">
                <v:path textboxrect="0,0,0,0"/>
                <v:imagedata r:id="rId207" o:title=""/>
              </v:shape>
            </w:pict>
          </mc:Fallback>
        </mc:AlternateContent>
      </w:r>
      <w:r/>
    </w:p>
    <w:p>
      <w:pPr>
        <w:pStyle w:val="983"/>
      </w:pPr>
      <w:r>
        <w:fldChar w:fldCharType="begin"/>
      </w:r>
      <w:r>
        <w:instrText xml:space="preserve"> SEQ Рисунок \* ARABIC </w:instrText>
      </w:r>
      <w:r>
        <w:fldChar w:fldCharType="separate"/>
      </w:r>
      <w:bookmarkStart w:id="1108" w:name="_Ref230434907"/>
      <w:r/>
      <w:bookmarkStart w:id="1109" w:name="_Toc88819526"/>
      <w:r>
        <w:t xml:space="preserve">141</w:t>
      </w:r>
      <w:bookmarkEnd w:id="1108"/>
      <w:r>
        <w:fldChar w:fldCharType="end"/>
      </w:r>
      <w:r>
        <w:t xml:space="preserve">. ЭФ документа «</w:t>
      </w:r>
      <w:r>
        <w:t xml:space="preserve">Реестр передаваемых (принимаемых) платежей</w:t>
      </w:r>
      <w:r>
        <w:t xml:space="preserve">», закладки «</w:t>
      </w:r>
      <w:r>
        <w:t xml:space="preserve">Дополнительные атрибуты (2)»</w:t>
      </w:r>
      <w:bookmarkEnd w:id="1109"/>
      <w:r/>
      <w:r/>
    </w:p>
    <w:p>
      <w:pPr>
        <w:pStyle w:val="994"/>
      </w:pPr>
      <w:r>
        <w:t xml:space="preserve">Перечень полей документа «</w:t>
      </w:r>
      <w:r>
        <w:t xml:space="preserve">Реестр передаваемых (принимаемых) платежей</w:t>
      </w:r>
      <w:r>
        <w:t xml:space="preserve">», закладки «</w:t>
      </w:r>
      <w:r>
        <w:t xml:space="preserve">Дополнительные атрибуты (2)» приведен в таблице</w:t>
      </w:r>
      <w:r>
        <w:t xml:space="preserve"> </w:t>
      </w:r>
      <w:r>
        <w:fldChar w:fldCharType="begin"/>
      </w:r>
      <w:r>
        <w:instrText xml:space="preserve"> REF _Ref370826307 \h  \* MERGEFORMAT </w:instrText>
      </w:r>
      <w:r>
        <w:fldChar w:fldCharType="separate"/>
      </w:r>
      <w:r>
        <w:t xml:space="preserve">77</w:t>
      </w:r>
      <w:r>
        <w:fldChar w:fldCharType="end"/>
      </w:r>
      <w:r>
        <w:t xml:space="preserve">. </w:t>
      </w:r>
      <w:r/>
    </w:p>
    <w:p>
      <w:pPr>
        <w:pStyle w:val="993"/>
      </w:pPr>
      <w:r>
        <w:fldChar w:fldCharType="begin"/>
      </w:r>
      <w:r>
        <w:instrText xml:space="preserve"> SEQ Таблица \* ARABIC </w:instrText>
      </w:r>
      <w:r>
        <w:fldChar w:fldCharType="separate"/>
      </w:r>
      <w:bookmarkStart w:id="1110" w:name="_Ref370826307"/>
      <w:r/>
      <w:bookmarkStart w:id="1111" w:name="_Toc88819263"/>
      <w:r>
        <w:t xml:space="preserve">77</w:t>
      </w:r>
      <w:bookmarkEnd w:id="1110"/>
      <w:r>
        <w:fldChar w:fldCharType="end"/>
      </w:r>
      <w:r>
        <w:t xml:space="preserve">. Описание полей документа «</w:t>
      </w:r>
      <w:r>
        <w:t xml:space="preserve">Реестр передаваемых (принимаемых) платежей</w:t>
      </w:r>
      <w:r>
        <w:t xml:space="preserve">», закладки «</w:t>
      </w:r>
      <w:r>
        <w:t xml:space="preserve">Дополнительные атрибуты (2)»</w:t>
      </w:r>
      <w:bookmarkEnd w:id="1111"/>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991"/>
        <w:gridCol w:w="5761"/>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046"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954" w:type="pct"/>
            <w:vAlign w:val="center"/>
            <w:textDirection w:val="lrTb"/>
            <w:noWrap w:val="false"/>
          </w:tcPr>
          <w:p>
            <w:pPr>
              <w:pStyle w:val="1006"/>
            </w:pPr>
            <w:r>
              <w:t xml:space="preserve">Описание поля</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«Сведения о регистрации документа» </w:t>
            </w:r>
            <w:r/>
          </w:p>
        </w:tc>
      </w:tr>
      <w:tr>
        <w:trPr>
          <w:trHeight w:val="77"/>
        </w:trPr>
        <w:tc>
          <w:tcPr>
            <w:shd w:val="clear" w:fill="auto" w:color="auto"/>
            <w:tcW w:w="2046" w:type="pct"/>
            <w:textDirection w:val="lrTb"/>
            <w:noWrap w:val="false"/>
          </w:tcPr>
          <w:p>
            <w:pPr>
              <w:pStyle w:val="1005"/>
              <w:ind w:left="57" w:right="57"/>
            </w:pPr>
            <w:r>
              <w:t xml:space="preserve">Регистрационный номер</w:t>
            </w:r>
            <w:r/>
          </w:p>
        </w:tc>
        <w:tc>
          <w:tcPr>
            <w:shd w:val="clear" w:fill="auto" w:color="auto"/>
            <w:tcW w:w="2954" w:type="pct"/>
            <w:textDirection w:val="lrTb"/>
            <w:noWrap w:val="false"/>
          </w:tcPr>
          <w:p>
            <w:pPr>
              <w:pStyle w:val="1005"/>
              <w:ind w:left="57" w:right="57"/>
            </w:pPr>
            <w:r>
              <w:t xml:space="preserve">Регистрационный номер документа. </w:t>
            </w:r>
            <w:r/>
          </w:p>
          <w:p>
            <w:pPr>
              <w:pStyle w:val="1005"/>
              <w:ind w:left="57" w:right="57"/>
            </w:pPr>
            <w:r>
              <w:t xml:space="preserve">Значение доставляется из OEBS.</w:t>
            </w:r>
            <w:r/>
          </w:p>
        </w:tc>
      </w:tr>
      <w:tr>
        <w:trPr>
          <w:trHeight w:val="77"/>
        </w:trPr>
        <w:tc>
          <w:tcPr>
            <w:shd w:val="clear" w:fill="auto" w:color="auto"/>
            <w:tcW w:w="2046" w:type="pct"/>
            <w:textDirection w:val="lrTb"/>
            <w:noWrap w:val="false"/>
          </w:tcPr>
          <w:p>
            <w:pPr>
              <w:pStyle w:val="1005"/>
              <w:ind w:left="57" w:right="57"/>
            </w:pPr>
            <w:r>
              <w:t xml:space="preserve">Дата регистрации</w:t>
            </w:r>
            <w:r/>
          </w:p>
        </w:tc>
        <w:tc>
          <w:tcPr>
            <w:shd w:val="clear" w:fill="auto" w:color="auto"/>
            <w:tcW w:w="2954" w:type="pct"/>
            <w:textDirection w:val="lrTb"/>
            <w:noWrap w:val="false"/>
          </w:tcPr>
          <w:p>
            <w:pPr>
              <w:pStyle w:val="1005"/>
              <w:ind w:left="57" w:right="57"/>
            </w:pPr>
            <w:r>
              <w:t xml:space="preserve">Дата регистрации документа. </w:t>
            </w:r>
            <w:r/>
          </w:p>
          <w:p>
            <w:pPr>
              <w:pStyle w:val="1005"/>
              <w:ind w:left="57" w:right="57"/>
            </w:pPr>
            <w:r>
              <w:t xml:space="preserve">Значение доставляется из OEBS.</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«Статусы документа»</w:t>
            </w:r>
            <w:r/>
          </w:p>
        </w:tc>
      </w:tr>
      <w:tr>
        <w:trPr>
          <w:trHeight w:val="584"/>
        </w:trPr>
        <w:tc>
          <w:tcPr>
            <w:shd w:val="clear" w:fill="auto" w:color="auto"/>
            <w:tcW w:w="2046" w:type="pct"/>
            <w:textDirection w:val="lrTb"/>
            <w:noWrap w:val="false"/>
          </w:tcPr>
          <w:p>
            <w:pPr>
              <w:pStyle w:val="1005"/>
              <w:ind w:left="57" w:right="57"/>
            </w:pPr>
            <w:r>
              <w:t xml:space="preserve">Бизнес-cтатус</w:t>
            </w:r>
            <w:r/>
          </w:p>
        </w:tc>
        <w:tc>
          <w:tcPr>
            <w:shd w:val="clear" w:fill="auto" w:color="auto"/>
            <w:tcW w:w="2954" w:type="pct"/>
            <w:textDirection w:val="lrTb"/>
            <w:noWrap w:val="false"/>
          </w:tcPr>
          <w:p>
            <w:pPr>
              <w:pStyle w:val="1005"/>
              <w:ind w:left="57" w:right="57"/>
            </w:pPr>
            <w:r>
              <w:t xml:space="preserve">Код и наименование бизнес-статуса документа. </w:t>
            </w:r>
            <w:r/>
          </w:p>
          <w:p>
            <w:pPr>
              <w:pStyle w:val="1005"/>
              <w:ind w:left="57" w:right="57"/>
            </w:pPr>
            <w:r>
              <w:t xml:space="preserve">Заполняется автоматически при обработке документа.</w:t>
            </w:r>
            <w:r/>
          </w:p>
        </w:tc>
      </w:tr>
      <w:tr>
        <w:trPr>
          <w:trHeight w:val="77"/>
        </w:trPr>
        <w:tc>
          <w:tcPr>
            <w:shd w:val="clear" w:fill="auto" w:color="auto"/>
            <w:tcW w:w="2046" w:type="pct"/>
            <w:textDirection w:val="lrTb"/>
            <w:noWrap w:val="false"/>
          </w:tcPr>
          <w:p>
            <w:pPr>
              <w:pStyle w:val="1005"/>
              <w:ind w:left="57" w:right="57"/>
            </w:pPr>
            <w:r>
              <w:t xml:space="preserve">Статус передачи</w:t>
            </w:r>
            <w:r/>
          </w:p>
        </w:tc>
        <w:tc>
          <w:tcPr>
            <w:shd w:val="clear" w:fill="auto" w:color="auto"/>
            <w:tcW w:w="2954" w:type="pct"/>
            <w:textDirection w:val="lrTb"/>
            <w:noWrap w:val="false"/>
          </w:tcPr>
          <w:p>
            <w:pPr>
              <w:pStyle w:val="1005"/>
              <w:ind w:left="57" w:right="57"/>
            </w:pPr>
            <w:r>
              <w:t xml:space="preserve">Код и наименование статуса передачи документа. </w:t>
            </w:r>
            <w:r/>
          </w:p>
          <w:p>
            <w:pPr>
              <w:pStyle w:val="1005"/>
              <w:ind w:left="57" w:right="57"/>
            </w:pPr>
            <w:r>
              <w:t xml:space="preserve">Заполняется автоматически при обработке документа.</w:t>
            </w:r>
            <w:r/>
          </w:p>
        </w:tc>
      </w:tr>
      <w:tr>
        <w:trPr>
          <w:trHeight w:val="77"/>
        </w:trPr>
        <w:tc>
          <w:tcPr>
            <w:shd w:val="clear" w:fill="auto" w:color="auto"/>
            <w:tcW w:w="2046" w:type="pct"/>
            <w:textDirection w:val="lrTb"/>
            <w:noWrap w:val="false"/>
          </w:tcPr>
          <w:p>
            <w:pPr>
              <w:pStyle w:val="1005"/>
              <w:ind w:left="57" w:right="57"/>
            </w:pPr>
            <w:r>
              <w:t xml:space="preserve">Статус утверждения</w:t>
            </w:r>
            <w:r/>
          </w:p>
        </w:tc>
        <w:tc>
          <w:tcPr>
            <w:shd w:val="clear" w:fill="auto" w:color="auto"/>
            <w:tcW w:w="2954" w:type="pct"/>
            <w:textDirection w:val="lrTb"/>
            <w:noWrap w:val="false"/>
          </w:tcPr>
          <w:p>
            <w:pPr>
              <w:pStyle w:val="1005"/>
              <w:ind w:left="57" w:right="57"/>
            </w:pPr>
            <w:r>
              <w:t xml:space="preserve">Код и наименование статуса утверждения документа. </w:t>
            </w:r>
            <w:r/>
          </w:p>
          <w:p>
            <w:pPr>
              <w:pStyle w:val="1005"/>
              <w:ind w:left="57" w:right="57"/>
            </w:pPr>
            <w:r>
              <w:t xml:space="preserve">Заполняется автоматически при обработке документа.</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«Подписи»</w:t>
            </w:r>
            <w:r/>
          </w:p>
        </w:tc>
      </w:tr>
      <w:tr>
        <w:trPr>
          <w:trHeight w:val="77"/>
        </w:trPr>
        <w:tc>
          <w:tcPr>
            <w:shd w:val="clear" w:fill="auto" w:color="auto"/>
            <w:tcW w:w="2046" w:type="pct"/>
            <w:textDirection w:val="lrTb"/>
            <w:noWrap w:val="false"/>
          </w:tcPr>
          <w:p>
            <w:pPr>
              <w:pStyle w:val="1005"/>
              <w:ind w:left="57" w:right="57"/>
            </w:pPr>
            <w:r>
              <w:t xml:space="preserve">Руководитель (уполномоченное лицо). Должность</w:t>
            </w:r>
            <w:r/>
          </w:p>
        </w:tc>
        <w:tc>
          <w:tcPr>
            <w:shd w:val="clear" w:fill="auto" w:color="auto"/>
            <w:tcW w:w="2954" w:type="pct"/>
            <w:textDirection w:val="lrTb"/>
            <w:noWrap w:val="false"/>
          </w:tcPr>
          <w:p>
            <w:pPr>
              <w:pStyle w:val="1005"/>
              <w:ind w:left="57" w:right="57"/>
            </w:pPr>
            <w:r>
              <w:t xml:space="preserve">Для АРМ. Заполняется автоматически при подписании ЭП данными подписанта.</w:t>
            </w:r>
            <w:r/>
          </w:p>
        </w:tc>
      </w:tr>
      <w:tr>
        <w:trPr>
          <w:trHeight w:val="77"/>
        </w:trPr>
        <w:tc>
          <w:tcPr>
            <w:shd w:val="clear" w:fill="auto" w:color="auto"/>
            <w:tcW w:w="2046" w:type="pct"/>
            <w:textDirection w:val="lrTb"/>
            <w:noWrap w:val="false"/>
          </w:tcPr>
          <w:p>
            <w:pPr>
              <w:pStyle w:val="1005"/>
              <w:ind w:left="57" w:right="57"/>
            </w:pPr>
            <w:r>
              <w:t xml:space="preserve">Руководитель (уполномоченное лицо). Расшифровка подписи</w:t>
            </w:r>
            <w:r/>
          </w:p>
        </w:tc>
        <w:tc>
          <w:tcPr>
            <w:shd w:val="clear" w:fill="auto" w:color="auto"/>
            <w:tcW w:w="2954" w:type="pct"/>
            <w:textDirection w:val="lrTb"/>
            <w:noWrap w:val="false"/>
          </w:tcPr>
          <w:p>
            <w:pPr>
              <w:pStyle w:val="1005"/>
              <w:ind w:left="57" w:right="57"/>
            </w:pPr>
            <w:r>
              <w:t xml:space="preserve">Для АРМ. Заполняется автоматически при подписании ЭП данными подписанта.</w:t>
            </w:r>
            <w:r/>
          </w:p>
        </w:tc>
      </w:tr>
      <w:tr>
        <w:trPr>
          <w:trHeight w:val="77"/>
        </w:trPr>
        <w:tc>
          <w:tcPr>
            <w:shd w:val="clear" w:fill="auto" w:color="auto"/>
            <w:tcW w:w="2046" w:type="pct"/>
            <w:textDirection w:val="lrTb"/>
            <w:noWrap w:val="false"/>
          </w:tcPr>
          <w:p>
            <w:pPr>
              <w:pStyle w:val="1005"/>
              <w:ind w:left="57" w:right="57"/>
            </w:pPr>
            <w:r>
              <w:t xml:space="preserve">Ответственный исполнитель. Должность</w:t>
            </w:r>
            <w:r/>
          </w:p>
        </w:tc>
        <w:tc>
          <w:tcPr>
            <w:shd w:val="clear" w:fill="auto" w:color="auto"/>
            <w:tcW w:w="2954" w:type="pct"/>
            <w:textDirection w:val="lrTb"/>
            <w:noWrap w:val="false"/>
          </w:tcPr>
          <w:p>
            <w:pPr>
              <w:pStyle w:val="1005"/>
              <w:ind w:left="57" w:right="57"/>
            </w:pPr>
            <w:r>
              <w:t xml:space="preserve">Значение поля подтягивается по ФИО из справочника «Список сотрудников».</w:t>
            </w:r>
            <w:r/>
          </w:p>
          <w:p>
            <w:pPr>
              <w:pStyle w:val="1005"/>
              <w:ind w:left="57" w:right="57"/>
            </w:pPr>
            <w:r>
              <w:t xml:space="preserve">Может быть отредактировано вручную.</w:t>
            </w:r>
            <w:r/>
          </w:p>
        </w:tc>
      </w:tr>
      <w:tr>
        <w:trPr>
          <w:trHeight w:val="77"/>
        </w:trPr>
        <w:tc>
          <w:tcPr>
            <w:shd w:val="clear" w:fill="auto" w:color="auto"/>
            <w:tcW w:w="2046" w:type="pct"/>
            <w:textDirection w:val="lrTb"/>
            <w:noWrap w:val="false"/>
          </w:tcPr>
          <w:p>
            <w:pPr>
              <w:pStyle w:val="1005"/>
              <w:ind w:left="57" w:right="57"/>
            </w:pPr>
            <w:r>
              <w:t xml:space="preserve">Ответственный исполнитель. Расшифровка подписи</w:t>
            </w:r>
            <w:r/>
          </w:p>
        </w:tc>
        <w:tc>
          <w:tcPr>
            <w:shd w:val="clear" w:fill="auto" w:color="auto"/>
            <w:tcW w:w="2954" w:type="pct"/>
            <w:textDirection w:val="lrTb"/>
            <w:noWrap w:val="false"/>
          </w:tcPr>
          <w:p>
            <w:pPr>
              <w:pStyle w:val="1005"/>
              <w:ind w:left="57" w:right="57"/>
            </w:pPr>
            <w:r>
              <w:t xml:space="preserve">Значение поля автоматически заполняется при открытии формы по ФИО пользователя, который вошёл в систему. </w:t>
            </w:r>
            <w:r/>
          </w:p>
          <w:p>
            <w:pPr>
              <w:pStyle w:val="1005"/>
              <w:ind w:left="57" w:right="57"/>
            </w:pPr>
            <w:r>
              <w:t xml:space="preserve">Может быть отредактировано вручную, либо выбором из </w:t>
            </w:r>
            <w:r>
              <w:t xml:space="preserve">справочника «Список сотрудников».</w:t>
            </w:r>
            <w:r/>
          </w:p>
        </w:tc>
      </w:tr>
      <w:tr>
        <w:trPr>
          <w:trHeight w:val="77"/>
        </w:trPr>
        <w:tc>
          <w:tcPr>
            <w:shd w:val="clear" w:fill="auto" w:color="auto"/>
            <w:tcW w:w="2046" w:type="pct"/>
            <w:textDirection w:val="lrTb"/>
            <w:noWrap w:val="false"/>
          </w:tcPr>
          <w:p>
            <w:pPr>
              <w:pStyle w:val="1005"/>
              <w:ind w:left="57" w:right="57"/>
            </w:pPr>
            <w:r>
              <w:t xml:space="preserve">Дата</w:t>
            </w:r>
            <w:r/>
          </w:p>
        </w:tc>
        <w:tc>
          <w:tcPr>
            <w:shd w:val="clear" w:fill="auto" w:color="auto"/>
            <w:tcW w:w="2954" w:type="pct"/>
            <w:textDirection w:val="lrTb"/>
            <w:noWrap w:val="false"/>
          </w:tcPr>
          <w:p>
            <w:pPr>
              <w:pStyle w:val="1005"/>
              <w:ind w:left="57" w:right="57"/>
            </w:pPr>
            <w:r>
              <w:t xml:space="preserve">Дата подписания документа ответственным исполнителем. </w:t>
            </w:r>
            <w:r/>
          </w:p>
          <w:p>
            <w:pPr>
              <w:pStyle w:val="1005"/>
              <w:ind w:left="57" w:right="57"/>
            </w:pPr>
            <w:r>
              <w:t xml:space="preserve">По умолчанию текущая дата, может быть изменена путём выбора из системного календаря дат.</w:t>
            </w:r>
            <w:r/>
          </w:p>
        </w:tc>
      </w:tr>
      <w:tr>
        <w:trPr>
          <w:trHeight w:val="77"/>
        </w:trPr>
        <w:tc>
          <w:tcPr>
            <w:shd w:val="clear" w:fill="auto" w:color="auto"/>
            <w:tcW w:w="2046" w:type="pct"/>
            <w:textDirection w:val="lrTb"/>
            <w:noWrap w:val="false"/>
          </w:tcPr>
          <w:p>
            <w:pPr>
              <w:pStyle w:val="1005"/>
              <w:ind w:left="57" w:right="57"/>
            </w:pPr>
            <w:r>
              <w:t xml:space="preserve">Ответственный исполнитель. Телефон</w:t>
            </w:r>
            <w:r/>
          </w:p>
        </w:tc>
        <w:tc>
          <w:tcPr>
            <w:shd w:val="clear" w:fill="auto" w:color="auto"/>
            <w:tcW w:w="2954" w:type="pct"/>
            <w:textDirection w:val="lrTb"/>
            <w:noWrap w:val="false"/>
          </w:tcPr>
          <w:p>
            <w:pPr>
              <w:pStyle w:val="1005"/>
              <w:ind w:left="57" w:right="57"/>
            </w:pPr>
            <w:r>
              <w:t xml:space="preserve">Значение поля подтягивается по ФИО из справочника «Список сотрудников».</w:t>
            </w:r>
            <w:r/>
          </w:p>
          <w:p>
            <w:pPr>
              <w:pStyle w:val="1005"/>
              <w:ind w:left="57" w:right="57"/>
            </w:pPr>
            <w:r>
              <w:t xml:space="preserve">Может быть отредактировано вручную.</w:t>
            </w:r>
            <w:r/>
          </w:p>
        </w:tc>
      </w:tr>
    </w:tbl>
    <w:p>
      <w:pPr>
        <w:pStyle w:val="972"/>
      </w:pPr>
      <w:r/>
      <w:bookmarkStart w:id="1112" w:name="_Ref59717787"/>
      <w:r/>
      <w:bookmarkStart w:id="1113" w:name="_Ref59718104"/>
      <w:r/>
      <w:bookmarkStart w:id="1114" w:name="_Ref59718146"/>
      <w:r/>
      <w:bookmarkStart w:id="1115" w:name="_Ref59718255"/>
      <w:r/>
      <w:bookmarkStart w:id="1116" w:name="_Ref59719043"/>
      <w:r/>
      <w:bookmarkStart w:id="1117" w:name="_Toc232827334"/>
      <w:r/>
      <w:bookmarkStart w:id="1118" w:name="_Ref247440906"/>
      <w:r/>
      <w:bookmarkStart w:id="1119" w:name="_Toc249273681"/>
      <w:r/>
      <w:bookmarkStart w:id="1120" w:name="_Ref249339044"/>
      <w:r/>
      <w:bookmarkStart w:id="1121" w:name="_Toc88819125"/>
      <w:r>
        <w:t xml:space="preserve">Информация из расчетных документов, прилагаемых к реестру платежей минуя счет 40101</w:t>
      </w:r>
      <w:bookmarkEnd w:id="1112"/>
      <w:r/>
      <w:bookmarkEnd w:id="1113"/>
      <w:r/>
      <w:bookmarkEnd w:id="1114"/>
      <w:r/>
      <w:bookmarkEnd w:id="1115"/>
      <w:r/>
      <w:bookmarkEnd w:id="1116"/>
      <w:r/>
      <w:bookmarkEnd w:id="1121"/>
      <w:r/>
      <w:r/>
    </w:p>
    <w:p>
      <w:pPr>
        <w:pStyle w:val="994"/>
      </w:pPr>
      <w:r>
        <w:t xml:space="preserve">Документ «Информация из расчетных документ</w:t>
      </w:r>
      <w:r>
        <w:t xml:space="preserve">ов, прилагаемых к реестру платежей, поступивших в бюджет, минуя счет органа Федерального казначейства» (далее – Информация из расчетных документов) предоставляется ФО в качестве копии документа, служащего основанием для отражения операций на лицевом счете.</w:t>
      </w:r>
      <w:r/>
    </w:p>
    <w:p>
      <w:pPr>
        <w:pStyle w:val="994"/>
      </w:pPr>
      <w:r>
        <w:t xml:space="preserve">Ввод документа может осуществляться на АРМ ФО и доставляться на АРМ ОФК и в оперзале ОФК (на АРМ ОФК вручную с бумажного документа).</w:t>
      </w:r>
      <w:r/>
    </w:p>
    <w:p>
      <w:pPr>
        <w:pStyle w:val="994"/>
      </w:pPr>
      <w:r>
        <w:t xml:space="preserve">Для работы с документами «Информация из расчетных документов</w:t>
      </w:r>
      <w:r>
        <w:t xml:space="preserve">» следует перейти в пункт меню «Документы – Обработка и учет поступлений – Информация из расчетных документов – Информация из расчетных документов, прилагаемых к реестру платежей минуя счет 40101». Откроется ЭФ списка документов, представленная на рисунке </w:t>
      </w:r>
      <w:r>
        <w:fldChar w:fldCharType="begin"/>
      </w:r>
      <w:r>
        <w:instrText xml:space="preserve"> REF _Ref277780611 \h  \* MERGEFORMAT </w:instrText>
      </w:r>
      <w:r>
        <w:fldChar w:fldCharType="separate"/>
      </w:r>
      <w:r>
        <w:t xml:space="preserve">142</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4297680"/>
                <wp:effectExtent l="0" t="0" r="0" b="0"/>
                <wp:docPr id="22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08"/>
                        <a:stretch/>
                      </pic:blipFill>
                      <pic:spPr bwMode="auto">
                        <a:xfrm>
                          <a:off x="0" y="0"/>
                          <a:ext cx="6126480" cy="42976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3" o:spid="_x0000_s223" type="#_x0000_t75" style="mso-wrap-distance-left:0.0pt;mso-wrap-distance-top:0.0pt;mso-wrap-distance-right:0.0pt;mso-wrap-distance-bottom:0.0pt;width:482.4pt;height:338.4pt;" stroked="f">
                <v:path textboxrect="0,0,0,0"/>
                <v:imagedata r:id="rId208" o:title=""/>
              </v:shape>
            </w:pict>
          </mc:Fallback>
        </mc:AlternateContent>
      </w:r>
      <w:r/>
    </w:p>
    <w:p>
      <w:pPr>
        <w:pStyle w:val="983"/>
      </w:pPr>
      <w:r>
        <w:fldChar w:fldCharType="begin"/>
      </w:r>
      <w:r>
        <w:instrText xml:space="preserve"> SEQ Рисунок \* ARABIC </w:instrText>
      </w:r>
      <w:r>
        <w:fldChar w:fldCharType="separate"/>
      </w:r>
      <w:bookmarkStart w:id="1122" w:name="_Ref277780611"/>
      <w:r/>
      <w:bookmarkStart w:id="1123" w:name="_Toc88819527"/>
      <w:r>
        <w:t xml:space="preserve">142</w:t>
      </w:r>
      <w:bookmarkEnd w:id="1122"/>
      <w:r>
        <w:fldChar w:fldCharType="end"/>
      </w:r>
      <w:r>
        <w:t xml:space="preserve">. ЭФ списка документов «</w:t>
      </w:r>
      <w:r>
        <w:t xml:space="preserve">Информация из расчетных документов, прилагаемых к реестру платежей минуя счет 40101</w:t>
      </w:r>
      <w:r>
        <w:t xml:space="preserve">»</w:t>
      </w:r>
      <w:bookmarkEnd w:id="1123"/>
      <w:r/>
      <w:r/>
    </w:p>
    <w:p>
      <w:pPr>
        <w:pStyle w:val="973"/>
      </w:pPr>
      <w:r>
        <w:t xml:space="preserve">Доступные операции</w:t>
      </w:r>
      <w:r/>
    </w:p>
    <w:p>
      <w:pPr>
        <w:pStyle w:val="994"/>
      </w:pPr>
      <w:r>
        <w:t xml:space="preserve">На АРМ ФО доступны следующие операции над документом:</w:t>
      </w:r>
      <w:r/>
    </w:p>
    <w:p>
      <w:pPr>
        <w:pStyle w:val="985"/>
      </w:pPr>
      <w:r>
        <w:t xml:space="preserve">ввод вручную;</w:t>
      </w:r>
      <w:r/>
    </w:p>
    <w:p>
      <w:pPr>
        <w:pStyle w:val="985"/>
      </w:pPr>
      <w:r>
        <w:t xml:space="preserve">создание</w:t>
      </w:r>
      <w:r>
        <w:t xml:space="preserve"> из родительского документа;</w:t>
      </w:r>
      <w:r/>
    </w:p>
    <w:p>
      <w:pPr>
        <w:pStyle w:val="985"/>
      </w:pPr>
      <w:r>
        <w:t xml:space="preserve">просмотр и редактирование;</w:t>
      </w:r>
      <w:r/>
    </w:p>
    <w:p>
      <w:pPr>
        <w:pStyle w:val="985"/>
      </w:pPr>
      <w:r>
        <w:t xml:space="preserve">импорт из внешней системы;</w:t>
      </w:r>
      <w:r/>
    </w:p>
    <w:p>
      <w:pPr>
        <w:pStyle w:val="985"/>
      </w:pPr>
      <w:r>
        <w:t xml:space="preserve">документарный контроль;</w:t>
      </w:r>
      <w:r/>
    </w:p>
    <w:p>
      <w:pPr>
        <w:pStyle w:val="985"/>
      </w:pPr>
      <w:r>
        <w:t xml:space="preserve">копирование и </w:t>
      </w:r>
      <w:r>
        <w:t xml:space="preserve">удаление;</w:t>
      </w:r>
      <w:r/>
    </w:p>
    <w:p>
      <w:pPr>
        <w:pStyle w:val="985"/>
      </w:pPr>
      <w:r>
        <w:t xml:space="preserve">подписание, проверка и удаление</w:t>
      </w:r>
      <w:r>
        <w:t xml:space="preserve"> </w:t>
      </w:r>
      <w:r>
        <w:t xml:space="preserve">ЭП</w:t>
      </w:r>
      <w:r>
        <w:t xml:space="preserve">;</w:t>
      </w:r>
      <w:r/>
    </w:p>
    <w:p>
      <w:pPr>
        <w:pStyle w:val="985"/>
      </w:pPr>
      <w:r>
        <w:t xml:space="preserve">печать;</w:t>
      </w:r>
      <w:r/>
    </w:p>
    <w:p>
      <w:pPr>
        <w:pStyle w:val="985"/>
      </w:pPr>
      <w:r>
        <w:t xml:space="preserve">отправка в УФК.</w:t>
      </w:r>
      <w:r/>
    </w:p>
    <w:p>
      <w:pPr>
        <w:pStyle w:val="973"/>
      </w:pPr>
      <w:r>
        <w:t xml:space="preserve">Экранная форма документа</w:t>
      </w:r>
      <w:r/>
    </w:p>
    <w:p>
      <w:pPr>
        <w:pStyle w:val="994"/>
      </w:pPr>
      <w:r>
        <w:t xml:space="preserve">ЭФ документа «Информация из расчетных документов, прилагаемых к реестру платежей минуя счет 40101» представлена на рисунках </w:t>
      </w:r>
      <w:r>
        <w:fldChar w:fldCharType="begin"/>
      </w:r>
      <w:r>
        <w:instrText xml:space="preserve"> REF _Ref277780613 \h  \* MERGEFORMAT </w:instrText>
      </w:r>
      <w:r>
        <w:fldChar w:fldCharType="separate"/>
      </w:r>
      <w:r>
        <w:t xml:space="preserve">143</w:t>
      </w:r>
      <w:r>
        <w:fldChar w:fldCharType="end"/>
      </w:r>
      <w:r>
        <w:t xml:space="preserve"> и </w:t>
      </w:r>
      <w:r>
        <w:fldChar w:fldCharType="begin"/>
      </w:r>
      <w:r>
        <w:instrText xml:space="preserve"> REF _Ref277780614 \h  \* MERGEFORMAT </w:instrText>
      </w:r>
      <w:r>
        <w:fldChar w:fldCharType="separate"/>
      </w:r>
      <w:r>
        <w:t xml:space="preserve">144</w:t>
      </w:r>
      <w:r>
        <w:fldChar w:fldCharType="end"/>
      </w:r>
      <w:r>
        <w:t xml:space="preserve">. Форма содержит следующие закладки:</w:t>
      </w:r>
      <w:r/>
    </w:p>
    <w:p>
      <w:pPr>
        <w:pStyle w:val="985"/>
      </w:pPr>
      <w:r>
        <w:t xml:space="preserve">«Документ»:</w:t>
      </w:r>
      <w:r/>
    </w:p>
    <w:p>
      <w:pPr>
        <w:pStyle w:val="986"/>
      </w:pPr>
      <w:r>
        <w:t xml:space="preserve">«Основные атрибуты»;</w:t>
      </w:r>
      <w:r/>
    </w:p>
    <w:p>
      <w:pPr>
        <w:pStyle w:val="986"/>
      </w:pPr>
      <w:r>
        <w:t xml:space="preserve">«БК и налоговые показатели»;</w:t>
      </w:r>
      <w:r/>
    </w:p>
    <w:p>
      <w:pPr>
        <w:pStyle w:val="985"/>
      </w:pPr>
      <w:r>
        <w:t xml:space="preserve">«Дополнительные атрибуты»;</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134100" cy="5760720"/>
                <wp:effectExtent l="0" t="0" r="0" b="0"/>
                <wp:docPr id="22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09"/>
                        <a:stretch/>
                      </pic:blipFill>
                      <pic:spPr bwMode="auto">
                        <a:xfrm>
                          <a:off x="0" y="0"/>
                          <a:ext cx="6134100" cy="57607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4" o:spid="_x0000_s224" type="#_x0000_t75" style="mso-wrap-distance-left:0.0pt;mso-wrap-distance-top:0.0pt;mso-wrap-distance-right:0.0pt;mso-wrap-distance-bottom:0.0pt;width:483.0pt;height:453.6pt;" stroked="f">
                <v:path textboxrect="0,0,0,0"/>
                <v:imagedata r:id="rId209" o:title=""/>
              </v:shape>
            </w:pict>
          </mc:Fallback>
        </mc:AlternateContent>
      </w:r>
      <w:r/>
    </w:p>
    <w:p>
      <w:pPr>
        <w:pStyle w:val="983"/>
      </w:pPr>
      <w:r>
        <w:fldChar w:fldCharType="begin"/>
      </w:r>
      <w:r>
        <w:instrText xml:space="preserve"> SEQ Рисунок \* ARABIC </w:instrText>
      </w:r>
      <w:r>
        <w:fldChar w:fldCharType="separate"/>
      </w:r>
      <w:bookmarkStart w:id="1124" w:name="_Ref277780613"/>
      <w:r/>
      <w:bookmarkStart w:id="1125" w:name="_Toc88819528"/>
      <w:r>
        <w:t xml:space="preserve">143</w:t>
      </w:r>
      <w:bookmarkEnd w:id="1124"/>
      <w:r>
        <w:fldChar w:fldCharType="end"/>
      </w:r>
      <w:r>
        <w:t xml:space="preserve">. ЭФ документа «Информация из расчетных документов, прилагаемых к реестру платежей минуя счет 40101</w:t>
      </w:r>
      <w:r>
        <w:t xml:space="preserve">», закладки</w:t>
      </w:r>
      <w:r>
        <w:t xml:space="preserve"> </w:t>
      </w:r>
      <w:r>
        <w:t xml:space="preserve">«</w:t>
      </w:r>
      <w:r>
        <w:t xml:space="preserve">Основные атрибуты»</w:t>
      </w:r>
      <w:bookmarkEnd w:id="1125"/>
      <w:r/>
      <w:r/>
    </w:p>
    <w:p>
      <w:pPr>
        <w:pStyle w:val="994"/>
      </w:pPr>
      <w:r>
        <w:t xml:space="preserve">При импорте документа из внешней системы поля документа автоматическ</w:t>
      </w:r>
      <w:r>
        <w:t xml:space="preserve">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r/>
    </w:p>
    <w:p>
      <w:pPr>
        <w:pStyle w:val="994"/>
      </w:pPr>
      <w:r>
        <w:t xml:space="preserve">Перечень полей </w:t>
      </w:r>
      <w:r>
        <w:t xml:space="preserve">документа «Информация из расчетных документов», закладки «Основные атрибуты»</w:t>
      </w:r>
      <w:r>
        <w:t xml:space="preserve"> </w:t>
      </w:r>
      <w:r>
        <w:t xml:space="preserve">приведен в таблице</w:t>
      </w:r>
      <w:r>
        <w:t xml:space="preserve"> </w:t>
      </w:r>
      <w:r>
        <w:fldChar w:fldCharType="begin"/>
      </w:r>
      <w:r>
        <w:instrText xml:space="preserve"> REF _Ref317610320 \h  \* MERGEFORMAT </w:instrText>
      </w:r>
      <w:r>
        <w:fldChar w:fldCharType="separate"/>
      </w:r>
      <w:r>
        <w:t xml:space="preserve">78</w:t>
      </w:r>
      <w:r>
        <w:fldChar w:fldCharType="end"/>
      </w:r>
      <w:r>
        <w:t xml:space="preserve">.</w:t>
      </w:r>
      <w:r/>
    </w:p>
    <w:p>
      <w:pPr>
        <w:pStyle w:val="993"/>
      </w:pPr>
      <w:r>
        <w:fldChar w:fldCharType="begin"/>
      </w:r>
      <w:r>
        <w:instrText xml:space="preserve"> SEQ Таблица \* ARABIC </w:instrText>
      </w:r>
      <w:r>
        <w:fldChar w:fldCharType="separate"/>
      </w:r>
      <w:bookmarkStart w:id="1126" w:name="_Ref317610320"/>
      <w:r/>
      <w:bookmarkStart w:id="1127" w:name="_Toc88819264"/>
      <w:r>
        <w:t xml:space="preserve">78</w:t>
      </w:r>
      <w:bookmarkEnd w:id="1126"/>
      <w:r>
        <w:fldChar w:fldCharType="end"/>
      </w:r>
      <w:r>
        <w:t xml:space="preserve">. Описание полей документа «Информация из расчетных документов</w:t>
      </w:r>
      <w:r>
        <w:t xml:space="preserve">», закладки «</w:t>
      </w:r>
      <w:r>
        <w:t xml:space="preserve">Основные атрибуты»</w:t>
      </w:r>
      <w:bookmarkEnd w:id="1127"/>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93"/>
        <w:gridCol w:w="7359"/>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22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73" w:type="pct"/>
            <w:vAlign w:val="center"/>
            <w:textDirection w:val="lrTb"/>
            <w:noWrap w:val="false"/>
          </w:tcPr>
          <w:p>
            <w:pPr>
              <w:pStyle w:val="1006"/>
            </w:pPr>
            <w:r>
              <w:t xml:space="preserve">Описание поля</w:t>
            </w:r>
            <w:r/>
          </w:p>
        </w:tc>
      </w:tr>
      <w:tr>
        <w:trPr/>
        <w:tc>
          <w:tcPr>
            <w:shd w:val="clear" w:fill="auto" w:color="auto"/>
            <w:tcW w:w="1227" w:type="pct"/>
            <w:textDirection w:val="lrTb"/>
            <w:noWrap w:val="false"/>
          </w:tcPr>
          <w:p>
            <w:pPr>
              <w:pStyle w:val="1005"/>
              <w:ind w:left="57" w:right="57"/>
            </w:pPr>
            <w:r>
              <w:t xml:space="preserve">Номер реестра</w:t>
            </w:r>
            <w:r/>
          </w:p>
        </w:tc>
        <w:tc>
          <w:tcPr>
            <w:shd w:val="clear" w:fill="auto" w:color="auto"/>
            <w:tcW w:w="3773" w:type="pct"/>
            <w:textDirection w:val="lrTb"/>
            <w:noWrap w:val="false"/>
          </w:tcPr>
          <w:p>
            <w:pPr>
              <w:pStyle w:val="1005"/>
              <w:ind w:left="57" w:right="57"/>
            </w:pPr>
            <w:r>
              <w:t xml:space="preserve">Номер реестра платежей.</w:t>
            </w:r>
            <w:r/>
          </w:p>
        </w:tc>
      </w:tr>
      <w:tr>
        <w:trPr/>
        <w:tc>
          <w:tcPr>
            <w:shd w:val="clear" w:fill="auto" w:color="auto"/>
            <w:tcW w:w="1227" w:type="pct"/>
            <w:textDirection w:val="lrTb"/>
            <w:noWrap w:val="false"/>
          </w:tcPr>
          <w:p>
            <w:pPr>
              <w:pStyle w:val="1005"/>
              <w:ind w:left="57" w:right="57"/>
            </w:pPr>
            <w:r>
              <w:t xml:space="preserve">Дата реестра</w:t>
            </w:r>
            <w:r/>
          </w:p>
        </w:tc>
        <w:tc>
          <w:tcPr>
            <w:shd w:val="clear" w:fill="auto" w:color="auto"/>
            <w:tcW w:w="3773" w:type="pct"/>
            <w:textDirection w:val="lrTb"/>
            <w:noWrap w:val="false"/>
          </w:tcPr>
          <w:p>
            <w:pPr>
              <w:pStyle w:val="1005"/>
              <w:ind w:left="57" w:right="57"/>
            </w:pPr>
            <w:r>
              <w:t xml:space="preserve">Дата реестра платежей. </w:t>
            </w:r>
            <w:r/>
          </w:p>
          <w:p>
            <w:pPr>
              <w:pStyle w:val="1005"/>
              <w:ind w:left="57" w:right="57"/>
            </w:pPr>
            <w:r>
              <w:t xml:space="preserve">Значение даты может быть выбрано вручную или с помощью системного календаря.</w:t>
            </w:r>
            <w:r/>
          </w:p>
        </w:tc>
      </w:tr>
      <w:tr>
        <w:trPr/>
        <w:tc>
          <w:tcPr>
            <w:shd w:val="clear" w:fill="auto" w:color="auto"/>
            <w:tcW w:w="1227" w:type="pct"/>
            <w:textDirection w:val="lrTb"/>
            <w:noWrap w:val="false"/>
          </w:tcPr>
          <w:p>
            <w:pPr>
              <w:pStyle w:val="1005"/>
              <w:ind w:left="57" w:right="57"/>
            </w:pPr>
            <w:r>
              <w:t xml:space="preserve">Кол-во документов</w:t>
            </w:r>
            <w:r/>
          </w:p>
        </w:tc>
        <w:tc>
          <w:tcPr>
            <w:shd w:val="clear" w:fill="auto" w:color="auto"/>
            <w:tcW w:w="3773" w:type="pct"/>
            <w:textDirection w:val="lrTb"/>
            <w:noWrap w:val="false"/>
          </w:tcPr>
          <w:p>
            <w:pPr>
              <w:pStyle w:val="1005"/>
              <w:ind w:left="57" w:right="57"/>
            </w:pPr>
            <w:r>
              <w:t xml:space="preserve">Количество документов по числу строк в таблице «Платежные документы». </w:t>
            </w:r>
            <w:r/>
          </w:p>
          <w:p>
            <w:pPr>
              <w:pStyle w:val="1005"/>
              <w:ind w:left="57" w:right="57"/>
            </w:pPr>
            <w:r>
              <w:t xml:space="preserve">Поле заполняется автоматически.</w:t>
            </w:r>
            <w:r/>
          </w:p>
        </w:tc>
      </w:tr>
      <w:tr>
        <w:trPr/>
        <w:tc>
          <w:tcPr>
            <w:shd w:val="clear" w:fill="auto" w:color="auto"/>
            <w:tcW w:w="1227" w:type="pct"/>
            <w:textDirection w:val="lrTb"/>
            <w:noWrap w:val="false"/>
          </w:tcPr>
          <w:p>
            <w:pPr>
              <w:pStyle w:val="1005"/>
              <w:ind w:left="57" w:right="57"/>
            </w:pPr>
            <w:r>
              <w:t xml:space="preserve">Сумма</w:t>
            </w:r>
            <w:r/>
          </w:p>
        </w:tc>
        <w:tc>
          <w:tcPr>
            <w:shd w:val="clear" w:fill="auto" w:color="auto"/>
            <w:tcW w:w="3773" w:type="pct"/>
            <w:textDirection w:val="lrTb"/>
            <w:noWrap w:val="false"/>
          </w:tcPr>
          <w:p>
            <w:pPr>
              <w:pStyle w:val="1005"/>
              <w:ind w:left="57" w:right="57"/>
            </w:pPr>
            <w:r>
              <w:t xml:space="preserve">Суммарное значение по платежным документам.</w:t>
            </w:r>
            <w:r/>
          </w:p>
        </w:tc>
      </w:tr>
      <w:tr>
        <w:trPr/>
        <w:tc>
          <w:tcPr>
            <w:shd w:val="clear" w:fill="auto" w:color="auto"/>
            <w:tcW w:w="1227" w:type="pct"/>
            <w:textDirection w:val="lrTb"/>
            <w:noWrap w:val="false"/>
          </w:tcPr>
          <w:p>
            <w:pPr>
              <w:pStyle w:val="1005"/>
              <w:ind w:left="57" w:right="57"/>
            </w:pPr>
            <w:r>
              <w:t xml:space="preserve">Статус</w:t>
            </w:r>
            <w:r/>
          </w:p>
        </w:tc>
        <w:tc>
          <w:tcPr>
            <w:shd w:val="clear" w:fill="auto" w:color="auto"/>
            <w:tcW w:w="3773" w:type="pct"/>
            <w:textDirection w:val="lrTb"/>
            <w:noWrap w:val="false"/>
          </w:tcPr>
          <w:p>
            <w:pPr>
              <w:pStyle w:val="1005"/>
              <w:ind w:left="57" w:right="57"/>
            </w:pPr>
            <w:r>
              <w:t xml:space="preserve">Код статуса документа. </w:t>
            </w:r>
            <w:r/>
          </w:p>
          <w:p>
            <w:pPr>
              <w:pStyle w:val="1005"/>
              <w:ind w:left="57" w:right="57"/>
            </w:pPr>
            <w:r>
              <w:t xml:space="preserve">Заполняется автоматически в результате обработки документа или присылается из учетной системы (в случае обработки документа в учетной системе).</w:t>
            </w:r>
            <w:r/>
          </w:p>
        </w:tc>
      </w:tr>
      <w:tr>
        <w:trPr/>
        <w:tc>
          <w:tcPr>
            <w:shd w:val="clear" w:fill="auto" w:color="auto"/>
            <w:tcW w:w="1227" w:type="pct"/>
            <w:textDirection w:val="lrTb"/>
            <w:noWrap w:val="false"/>
          </w:tcPr>
          <w:p>
            <w:pPr>
              <w:pStyle w:val="1005"/>
              <w:ind w:left="57" w:right="57"/>
            </w:pPr>
            <w:r>
              <w:t xml:space="preserve">Бюджет</w:t>
            </w:r>
            <w:r/>
          </w:p>
        </w:tc>
        <w:tc>
          <w:tcPr>
            <w:shd w:val="clear" w:fill="auto" w:color="auto"/>
            <w:tcW w:w="3773" w:type="pct"/>
            <w:textDirection w:val="lrTb"/>
            <w:noWrap w:val="false"/>
          </w:tcPr>
          <w:p>
            <w:pPr>
              <w:pStyle w:val="1005"/>
              <w:ind w:left="57" w:right="57"/>
            </w:pPr>
            <w:r>
              <w:t xml:space="preserve">Наименование бюджета.</w:t>
            </w:r>
            <w:r/>
          </w:p>
        </w:tc>
      </w:tr>
      <w:tr>
        <w:trPr/>
        <w:tc>
          <w:tcPr>
            <w:shd w:val="clear" w:fill="auto" w:color="auto"/>
            <w:tcW w:w="1227" w:type="pct"/>
            <w:textDirection w:val="lrTb"/>
            <w:noWrap w:val="false"/>
          </w:tcPr>
          <w:p>
            <w:pPr>
              <w:pStyle w:val="1005"/>
              <w:ind w:left="57" w:right="57"/>
            </w:pPr>
            <w:r>
              <w:t xml:space="preserve">Клиент</w:t>
            </w:r>
            <w:r/>
          </w:p>
        </w:tc>
        <w:tc>
          <w:tcPr>
            <w:shd w:val="clear" w:fill="auto" w:color="auto"/>
            <w:tcW w:w="3773" w:type="pct"/>
            <w:textDirection w:val="lrTb"/>
            <w:noWrap w:val="false"/>
          </w:tcPr>
          <w:p>
            <w:pPr>
              <w:pStyle w:val="1005"/>
              <w:ind w:left="57" w:right="57"/>
            </w:pPr>
            <w:r>
              <w:t xml:space="preserve">Наименование клиента.</w:t>
            </w:r>
            <w:r/>
          </w:p>
          <w:p>
            <w:pPr>
              <w:pStyle w:val="1005"/>
              <w:ind w:left="57" w:right="57"/>
            </w:pPr>
            <w:r>
              <w:t xml:space="preserve">Если SelfSRcode заполнена и Переход на СР = 1, то поле заполняется из полного наименования записи СР, найденной по коду = SelfSRcode. </w:t>
            </w:r>
            <w:r/>
          </w:p>
          <w:p>
            <w:pPr>
              <w:pStyle w:val="1005"/>
              <w:ind w:left="57" w:right="57"/>
            </w:pPr>
            <w:r>
              <w:t xml:space="preserve">Иначе поле заполняется полным</w:t>
            </w:r>
            <w:r>
              <w:t xml:space="preserve"> </w:t>
            </w:r>
            <w:r>
              <w:t xml:space="preserve">наименованием из справочника РУБП/ПУБП/НУБП по константам </w:t>
            </w:r>
            <w:r>
              <w:rPr>
                <w:rStyle w:val="1400"/>
                <w:lang w:val="ru-RU"/>
              </w:rPr>
              <w:t xml:space="preserve">SelfBUcode</w:t>
            </w:r>
            <w:r>
              <w:t xml:space="preserve"> и SelfBudgetCode</w:t>
            </w:r>
            <w:r>
              <w:t xml:space="preserve">.</w:t>
            </w:r>
            <w:r/>
          </w:p>
        </w:tc>
      </w:tr>
      <w:tr>
        <w:trPr/>
        <w:tc>
          <w:tcPr>
            <w:shd w:val="clear" w:fill="auto" w:color="auto"/>
            <w:tcW w:w="1227" w:type="pct"/>
            <w:textDirection w:val="lrTb"/>
            <w:noWrap w:val="false"/>
          </w:tcPr>
          <w:p>
            <w:pPr>
              <w:pStyle w:val="1005"/>
              <w:ind w:left="57" w:right="57"/>
            </w:pPr>
            <w:r>
              <w:t xml:space="preserve">П</w:t>
            </w:r>
            <w:r>
              <w:t xml:space="preserve">о ПУБП</w:t>
            </w:r>
            <w:r/>
          </w:p>
        </w:tc>
        <w:tc>
          <w:tcPr>
            <w:shd w:val="clear" w:fill="auto" w:color="auto"/>
            <w:tcW w:w="3773" w:type="pct"/>
            <w:textDirection w:val="lrTb"/>
            <w:noWrap w:val="false"/>
          </w:tcPr>
          <w:p>
            <w:pPr>
              <w:pStyle w:val="1005"/>
              <w:ind w:left="57" w:right="57"/>
            </w:pPr>
            <w:r>
              <w:t xml:space="preserve">Код клиента по ПУБП.</w:t>
            </w:r>
            <w:r/>
          </w:p>
          <w:p>
            <w:pPr>
              <w:pStyle w:val="1005"/>
              <w:ind w:left="57" w:right="57"/>
            </w:pPr>
            <w:r>
              <w:t xml:space="preserve">Если SelfSRcode заполнена и Переход на СР = 1, то поле заполняется значением константы SelfSRcode. </w:t>
            </w:r>
            <w:r/>
          </w:p>
          <w:p>
            <w:pPr>
              <w:pStyle w:val="1005"/>
              <w:ind w:left="57" w:right="57"/>
            </w:pPr>
            <w:r>
              <w:t xml:space="preserve">Иначе – поле заполняется из системной константы, поле «SelfBUCode».</w:t>
            </w:r>
            <w:r/>
          </w:p>
          <w:p>
            <w:pPr>
              <w:pStyle w:val="1005"/>
              <w:ind w:left="57" w:right="57"/>
            </w:pPr>
            <w:r>
              <w:t xml:space="preserve">Может быть изменено пользователем вручную или выбором из справочника ПУБП.</w:t>
            </w:r>
            <w:r/>
          </w:p>
        </w:tc>
      </w:tr>
      <w:tr>
        <w:trPr/>
        <w:tc>
          <w:tcPr>
            <w:shd w:val="clear" w:fill="auto" w:color="auto"/>
            <w:tcW w:w="1227" w:type="pct"/>
            <w:textDirection w:val="lrTb"/>
            <w:noWrap w:val="false"/>
          </w:tcPr>
          <w:p>
            <w:pPr>
              <w:pStyle w:val="1005"/>
              <w:ind w:left="57" w:right="57"/>
            </w:pPr>
            <w:r>
              <w:t xml:space="preserve">Орган ФК</w:t>
            </w:r>
            <w:r/>
          </w:p>
        </w:tc>
        <w:tc>
          <w:tcPr>
            <w:shd w:val="clear" w:fill="auto" w:color="auto"/>
            <w:tcW w:w="3773" w:type="pct"/>
            <w:textDirection w:val="lrTb"/>
            <w:noWrap w:val="false"/>
          </w:tcPr>
          <w:p>
            <w:pPr>
              <w:pStyle w:val="1005"/>
              <w:ind w:left="57" w:right="57"/>
            </w:pPr>
            <w:r>
              <w:t xml:space="preserve">Наименование ТОФК, в котором обслуживается ФО.</w:t>
            </w:r>
            <w:r/>
          </w:p>
          <w:p>
            <w:pPr>
              <w:pStyle w:val="1005"/>
              <w:ind w:left="57" w:right="57"/>
            </w:pPr>
            <w:r>
              <w:t xml:space="preserve">Заполняется из родительского документа.</w:t>
            </w:r>
            <w:r/>
          </w:p>
          <w:p>
            <w:pPr>
              <w:pStyle w:val="1005"/>
              <w:ind w:left="57" w:right="57"/>
            </w:pPr>
            <w:r>
              <w:t xml:space="preserve">Значение поля подтягивается по полю «по КОФК» из справочника органов ФК из поля «Полное наименование».</w:t>
            </w:r>
            <w:r/>
          </w:p>
          <w:p>
            <w:pPr>
              <w:pStyle w:val="1005"/>
              <w:ind w:left="57" w:right="57"/>
            </w:pPr>
            <w:r>
              <w:t xml:space="preserve">Может быть изменено пользователем вручную.</w:t>
            </w:r>
            <w:r/>
          </w:p>
        </w:tc>
      </w:tr>
      <w:tr>
        <w:trPr/>
        <w:tc>
          <w:tcPr>
            <w:shd w:val="clear" w:fill="auto" w:color="auto"/>
            <w:tcW w:w="1227" w:type="pct"/>
            <w:textDirection w:val="lrTb"/>
            <w:noWrap w:val="false"/>
          </w:tcPr>
          <w:p>
            <w:pPr>
              <w:pStyle w:val="1005"/>
              <w:ind w:left="57" w:right="57"/>
            </w:pPr>
            <w:r>
              <w:t xml:space="preserve">П</w:t>
            </w:r>
            <w:r>
              <w:t xml:space="preserve">о КОФК</w:t>
            </w:r>
            <w:r/>
          </w:p>
        </w:tc>
        <w:tc>
          <w:tcPr>
            <w:shd w:val="clear" w:fill="auto" w:color="auto"/>
            <w:tcW w:w="3773" w:type="pct"/>
            <w:textDirection w:val="lrTb"/>
            <w:noWrap w:val="false"/>
          </w:tcPr>
          <w:p>
            <w:pPr>
              <w:pStyle w:val="1005"/>
              <w:ind w:left="57" w:right="57"/>
            </w:pPr>
            <w:r>
              <w:t xml:space="preserve">Код ТОФК, в котором обслуживается ФО, по КОФК.</w:t>
            </w:r>
            <w:r/>
          </w:p>
          <w:p>
            <w:pPr>
              <w:pStyle w:val="1005"/>
              <w:ind w:left="57" w:right="57"/>
            </w:pPr>
            <w:r>
              <w:t xml:space="preserve">Заполняется из родительского документа.</w:t>
            </w:r>
            <w:r/>
          </w:p>
          <w:p>
            <w:pPr>
              <w:pStyle w:val="1005"/>
              <w:ind w:left="57" w:right="57"/>
            </w:pPr>
            <w:r>
              <w:t xml:space="preserve">Если значение вводится на АРМ ФО: проверяется значение константы код </w:t>
            </w:r>
            <w:r>
              <w:t xml:space="preserve">собственного </w:t>
            </w:r>
            <w:r>
              <w:t xml:space="preserve">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r/>
          </w:p>
          <w:p>
            <w:pPr>
              <w:pStyle w:val="1005"/>
              <w:ind w:left="57" w:right="57"/>
            </w:pPr>
            <w:r>
              <w:t xml:space="preserve">Может быть изменено пользователем вручную или выбором из справочника «Органы ФК».</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«Платежные документы» (заполняется после сохранения значений, введенных в поля на вкладке «Основные атрибуты»)</w:t>
            </w:r>
            <w:r/>
          </w:p>
        </w:tc>
      </w:tr>
      <w:tr>
        <w:trPr/>
        <w:tc>
          <w:tcPr>
            <w:shd w:val="clear" w:fill="auto" w:color="auto"/>
            <w:tcW w:w="1227" w:type="pct"/>
            <w:textDirection w:val="lrTb"/>
            <w:noWrap w:val="false"/>
          </w:tcPr>
          <w:p>
            <w:pPr>
              <w:pStyle w:val="1005"/>
              <w:ind w:left="57" w:right="57"/>
            </w:pPr>
            <w:r>
              <w:t xml:space="preserve">№ п/п</w:t>
            </w:r>
            <w:r/>
          </w:p>
        </w:tc>
        <w:tc>
          <w:tcPr>
            <w:shd w:val="clear" w:fill="auto" w:color="auto"/>
            <w:tcW w:w="3773" w:type="pct"/>
            <w:textDirection w:val="lrTb"/>
            <w:noWrap w:val="false"/>
          </w:tcPr>
          <w:p>
            <w:pPr>
              <w:pStyle w:val="1005"/>
              <w:ind w:left="57" w:right="57"/>
            </w:pPr>
            <w:r>
              <w:t xml:space="preserve">Номер по порядку.</w:t>
            </w:r>
            <w:r/>
          </w:p>
          <w:p>
            <w:pPr>
              <w:pStyle w:val="1005"/>
              <w:ind w:left="57" w:right="57"/>
            </w:pPr>
            <w:r>
              <w:t xml:space="preserve">Автозаполнение.</w:t>
            </w:r>
            <w:r/>
          </w:p>
        </w:tc>
      </w:tr>
      <w:tr>
        <w:trPr/>
        <w:tc>
          <w:tcPr>
            <w:shd w:val="clear" w:fill="auto" w:color="auto"/>
            <w:tcW w:w="1227" w:type="pct"/>
            <w:textDirection w:val="lrTb"/>
            <w:noWrap w:val="false"/>
          </w:tcPr>
          <w:p>
            <w:pPr>
              <w:pStyle w:val="1005"/>
              <w:ind w:left="57" w:right="57"/>
            </w:pPr>
            <w:r>
              <w:t xml:space="preserve">Номер</w:t>
            </w:r>
            <w:r/>
          </w:p>
        </w:tc>
        <w:tc>
          <w:tcPr>
            <w:shd w:val="clear" w:fill="auto" w:color="auto"/>
            <w:tcW w:w="3773" w:type="pct"/>
            <w:textDirection w:val="lrTb"/>
            <w:noWrap w:val="false"/>
          </w:tcPr>
          <w:p>
            <w:pPr>
              <w:pStyle w:val="1005"/>
              <w:ind w:left="57" w:right="57"/>
            </w:pPr>
            <w:r>
              <w:t xml:space="preserve">Номер платежного поручения.</w:t>
            </w:r>
            <w:r/>
          </w:p>
          <w:p>
            <w:pPr>
              <w:pStyle w:val="1005"/>
              <w:ind w:left="57" w:right="57"/>
            </w:pPr>
            <w:r>
              <w:t xml:space="preserve">Соответствует значению поля «Номер» закладки «Основные атрибуты».</w:t>
            </w:r>
            <w:r/>
          </w:p>
        </w:tc>
      </w:tr>
      <w:tr>
        <w:trPr/>
        <w:tc>
          <w:tcPr>
            <w:shd w:val="clear" w:fill="auto" w:color="auto"/>
            <w:tcW w:w="1227" w:type="pct"/>
            <w:textDirection w:val="lrTb"/>
            <w:noWrap w:val="false"/>
          </w:tcPr>
          <w:p>
            <w:pPr>
              <w:pStyle w:val="1005"/>
              <w:ind w:left="57" w:right="57"/>
            </w:pPr>
            <w:r>
              <w:t xml:space="preserve">Дата</w:t>
            </w:r>
            <w:r/>
          </w:p>
        </w:tc>
        <w:tc>
          <w:tcPr>
            <w:shd w:val="clear" w:fill="auto" w:color="auto"/>
            <w:tcW w:w="3773" w:type="pct"/>
            <w:textDirection w:val="lrTb"/>
            <w:noWrap w:val="false"/>
          </w:tcPr>
          <w:p>
            <w:pPr>
              <w:pStyle w:val="1005"/>
              <w:ind w:left="57" w:right="57"/>
            </w:pPr>
            <w:r>
              <w:t xml:space="preserve">Дата платежного поручения.</w:t>
            </w:r>
            <w:r/>
          </w:p>
          <w:p>
            <w:pPr>
              <w:pStyle w:val="1005"/>
              <w:ind w:left="57" w:right="57"/>
            </w:pPr>
            <w:r>
              <w:t xml:space="preserve">Соответствует значению поля «Дата» закладки «Основные атрибуты».</w:t>
            </w:r>
            <w:r/>
          </w:p>
        </w:tc>
      </w:tr>
      <w:tr>
        <w:trPr/>
        <w:tc>
          <w:tcPr>
            <w:shd w:val="clear" w:fill="auto" w:color="auto"/>
            <w:tcW w:w="1227" w:type="pct"/>
            <w:textDirection w:val="lrTb"/>
            <w:noWrap w:val="false"/>
          </w:tcPr>
          <w:p>
            <w:pPr>
              <w:pStyle w:val="1005"/>
              <w:ind w:left="57" w:right="57"/>
            </w:pPr>
            <w:r>
              <w:t xml:space="preserve">Сумма</w:t>
            </w:r>
            <w:r/>
          </w:p>
        </w:tc>
        <w:tc>
          <w:tcPr>
            <w:shd w:val="clear" w:fill="auto" w:color="auto"/>
            <w:tcW w:w="3773" w:type="pct"/>
            <w:textDirection w:val="lrTb"/>
            <w:noWrap w:val="false"/>
          </w:tcPr>
          <w:p>
            <w:pPr>
              <w:pStyle w:val="1005"/>
              <w:ind w:left="57" w:right="57"/>
            </w:pPr>
            <w:r>
              <w:t xml:space="preserve">Сумма по платежному поручению.</w:t>
            </w:r>
            <w:r/>
          </w:p>
          <w:p>
            <w:pPr>
              <w:pStyle w:val="1005"/>
              <w:ind w:left="57" w:right="57"/>
            </w:pPr>
            <w:r>
              <w:t xml:space="preserve">Соответствует значению поля «Сумма» закладки «Основные атрибуты».</w:t>
            </w:r>
            <w:r/>
          </w:p>
        </w:tc>
      </w:tr>
      <w:tr>
        <w:trPr/>
        <w:tc>
          <w:tcPr>
            <w:shd w:val="clear" w:fill="auto" w:color="auto"/>
            <w:tcW w:w="1227" w:type="pct"/>
            <w:textDirection w:val="lrTb"/>
            <w:noWrap w:val="false"/>
          </w:tcPr>
          <w:p>
            <w:pPr>
              <w:pStyle w:val="1005"/>
              <w:ind w:left="57" w:right="57"/>
            </w:pPr>
            <w:r>
              <w:t xml:space="preserve">ИНН плательщика</w:t>
            </w:r>
            <w:r/>
          </w:p>
        </w:tc>
        <w:tc>
          <w:tcPr>
            <w:shd w:val="clear" w:fill="auto" w:color="auto"/>
            <w:tcW w:w="3773" w:type="pct"/>
            <w:textDirection w:val="lrTb"/>
            <w:noWrap w:val="false"/>
          </w:tcPr>
          <w:p>
            <w:pPr>
              <w:pStyle w:val="1005"/>
              <w:ind w:left="57" w:right="57"/>
            </w:pPr>
            <w:r>
              <w:t xml:space="preserve">ИНН плательщика.</w:t>
            </w:r>
            <w:r/>
          </w:p>
          <w:p>
            <w:pPr>
              <w:pStyle w:val="1005"/>
              <w:ind w:left="57" w:right="57"/>
            </w:pPr>
            <w:r>
              <w:t xml:space="preserve">Соответствует значению поля «ИНН» группы полей «Реквизиты плательщика» закладки «Основные атрибуты».</w:t>
            </w:r>
            <w:r/>
          </w:p>
        </w:tc>
      </w:tr>
      <w:tr>
        <w:trPr/>
        <w:tc>
          <w:tcPr>
            <w:shd w:val="clear" w:fill="auto" w:color="auto"/>
            <w:tcW w:w="1227" w:type="pct"/>
            <w:textDirection w:val="lrTb"/>
            <w:noWrap w:val="false"/>
          </w:tcPr>
          <w:p>
            <w:pPr>
              <w:pStyle w:val="1005"/>
              <w:ind w:left="57" w:right="57"/>
            </w:pPr>
            <w:r>
              <w:t xml:space="preserve">КПП плательщика</w:t>
            </w:r>
            <w:r/>
          </w:p>
        </w:tc>
        <w:tc>
          <w:tcPr>
            <w:shd w:val="clear" w:fill="auto" w:color="auto"/>
            <w:tcW w:w="3773" w:type="pct"/>
            <w:textDirection w:val="lrTb"/>
            <w:noWrap w:val="false"/>
          </w:tcPr>
          <w:p>
            <w:pPr>
              <w:pStyle w:val="1005"/>
              <w:ind w:left="57" w:right="57"/>
            </w:pPr>
            <w:r>
              <w:t xml:space="preserve">КПП плательщика.</w:t>
            </w:r>
            <w:r/>
          </w:p>
          <w:p>
            <w:pPr>
              <w:pStyle w:val="1005"/>
              <w:ind w:left="57" w:right="57"/>
            </w:pPr>
            <w:r>
              <w:t xml:space="preserve">Соответствует значению поля «КПП» группы полей «Реквизиты плательщика» закладки «Основные атрибуты».</w:t>
            </w:r>
            <w:r/>
          </w:p>
        </w:tc>
      </w:tr>
      <w:tr>
        <w:trPr/>
        <w:tc>
          <w:tcPr>
            <w:shd w:val="clear" w:fill="auto" w:color="auto"/>
            <w:tcW w:w="1227" w:type="pct"/>
            <w:textDirection w:val="lrTb"/>
            <w:noWrap w:val="false"/>
          </w:tcPr>
          <w:p>
            <w:pPr>
              <w:pStyle w:val="1005"/>
              <w:ind w:left="57" w:right="57"/>
            </w:pPr>
            <w:r>
              <w:t xml:space="preserve">ИНН получателя</w:t>
            </w:r>
            <w:r/>
          </w:p>
        </w:tc>
        <w:tc>
          <w:tcPr>
            <w:shd w:val="clear" w:fill="auto" w:color="auto"/>
            <w:tcW w:w="3773" w:type="pct"/>
            <w:textDirection w:val="lrTb"/>
            <w:noWrap w:val="false"/>
          </w:tcPr>
          <w:p>
            <w:pPr>
              <w:pStyle w:val="1005"/>
              <w:ind w:left="57" w:right="57"/>
            </w:pPr>
            <w:r>
              <w:t xml:space="preserve">Наименование получателя.</w:t>
            </w:r>
            <w:r/>
          </w:p>
          <w:p>
            <w:pPr>
              <w:pStyle w:val="1005"/>
              <w:ind w:left="57" w:right="57"/>
            </w:pPr>
            <w:r>
              <w:t xml:space="preserve">Соответствует значению поля «ИНН» группы полей «Реквизиты получателя» закладки «Основные атрибуты».</w:t>
            </w:r>
            <w:r/>
          </w:p>
        </w:tc>
      </w:tr>
      <w:tr>
        <w:trPr/>
        <w:tc>
          <w:tcPr>
            <w:shd w:val="clear" w:fill="auto" w:color="auto"/>
            <w:tcW w:w="1227" w:type="pct"/>
            <w:textDirection w:val="lrTb"/>
            <w:noWrap w:val="false"/>
          </w:tcPr>
          <w:p>
            <w:pPr>
              <w:pStyle w:val="1005"/>
              <w:ind w:left="57" w:right="57"/>
            </w:pPr>
            <w:r>
              <w:t xml:space="preserve">ИНН получателя</w:t>
            </w:r>
            <w:r/>
          </w:p>
        </w:tc>
        <w:tc>
          <w:tcPr>
            <w:shd w:val="clear" w:fill="auto" w:color="auto"/>
            <w:tcW w:w="3773" w:type="pct"/>
            <w:textDirection w:val="lrTb"/>
            <w:noWrap w:val="false"/>
          </w:tcPr>
          <w:p>
            <w:pPr>
              <w:pStyle w:val="1005"/>
              <w:ind w:left="57" w:right="57"/>
            </w:pPr>
            <w:r>
              <w:t xml:space="preserve">ИНН получателя.</w:t>
            </w:r>
            <w:r/>
          </w:p>
          <w:p>
            <w:pPr>
              <w:pStyle w:val="1005"/>
              <w:ind w:left="57" w:right="57"/>
            </w:pPr>
            <w:r>
              <w:t xml:space="preserve">Соответствует значению поля «КПП» группы полей «Реквизиты получателя» закладки «Основные атрибуты».</w:t>
            </w:r>
            <w:r/>
          </w:p>
        </w:tc>
      </w:tr>
      <w:tr>
        <w:trPr/>
        <w:tc>
          <w:tcPr>
            <w:gridSpan w:val="2"/>
            <w:shd w:val="clear" w:fill="auto" w:color="auto"/>
            <w:tcW w:w="5000" w:type="pct"/>
            <w:textDirection w:val="lrTb"/>
            <w:noWrap w:val="false"/>
          </w:tcPr>
          <w:p>
            <w:pPr>
              <w:pStyle w:val="1005"/>
              <w:ind w:left="57" w:right="57"/>
            </w:pPr>
            <w:r>
              <w:t xml:space="preserve">За</w:t>
            </w:r>
            <w:r>
              <w:t xml:space="preserve">кладка «Основные атрибуты</w:t>
            </w:r>
            <w:r>
              <w:t xml:space="preserve">»</w:t>
            </w:r>
            <w:r/>
          </w:p>
        </w:tc>
      </w:tr>
      <w:tr>
        <w:trPr/>
        <w:tc>
          <w:tcPr>
            <w:shd w:val="clear" w:fill="auto" w:color="auto"/>
            <w:tcW w:w="1227" w:type="pct"/>
            <w:textDirection w:val="lrTb"/>
            <w:noWrap w:val="false"/>
          </w:tcPr>
          <w:p>
            <w:pPr>
              <w:pStyle w:val="1005"/>
              <w:ind w:left="57" w:right="57"/>
            </w:pPr>
            <w:r>
              <w:t xml:space="preserve">Номер</w:t>
            </w:r>
            <w:r/>
          </w:p>
        </w:tc>
        <w:tc>
          <w:tcPr>
            <w:shd w:val="clear" w:fill="auto" w:color="auto"/>
            <w:tcW w:w="3773" w:type="pct"/>
            <w:textDirection w:val="lrTb"/>
            <w:noWrap w:val="false"/>
          </w:tcPr>
          <w:p>
            <w:pPr>
              <w:pStyle w:val="1005"/>
              <w:ind w:left="57" w:right="57"/>
            </w:pPr>
            <w:r>
              <w:t xml:space="preserve">Номер платежного документа.</w:t>
            </w:r>
            <w:r/>
          </w:p>
          <w:p>
            <w:pPr>
              <w:pStyle w:val="1005"/>
              <w:ind w:left="57" w:right="57"/>
            </w:pPr>
            <w:r>
              <w:t xml:space="preserve">Из родительского документа либо заполняется вручную.</w:t>
            </w:r>
            <w:r/>
          </w:p>
        </w:tc>
      </w:tr>
      <w:tr>
        <w:trPr/>
        <w:tc>
          <w:tcPr>
            <w:shd w:val="clear" w:fill="auto" w:color="auto"/>
            <w:tcW w:w="1227" w:type="pct"/>
            <w:textDirection w:val="lrTb"/>
            <w:noWrap w:val="false"/>
          </w:tcPr>
          <w:p>
            <w:pPr>
              <w:pStyle w:val="1005"/>
              <w:ind w:left="57" w:right="57"/>
            </w:pPr>
            <w:r>
              <w:t xml:space="preserve">Дата</w:t>
            </w:r>
            <w:r/>
          </w:p>
        </w:tc>
        <w:tc>
          <w:tcPr>
            <w:shd w:val="clear" w:fill="auto" w:color="auto"/>
            <w:tcW w:w="3773" w:type="pct"/>
            <w:textDirection w:val="lrTb"/>
            <w:noWrap w:val="false"/>
          </w:tcPr>
          <w:p>
            <w:pPr>
              <w:pStyle w:val="1005"/>
              <w:ind w:left="57" w:right="57"/>
            </w:pPr>
            <w:r>
              <w:t xml:space="preserve">Дата платежного документа. </w:t>
            </w:r>
            <w:r/>
          </w:p>
          <w:p>
            <w:pPr>
              <w:pStyle w:val="1005"/>
              <w:ind w:left="57" w:right="57"/>
            </w:pPr>
            <w:r>
              <w:t xml:space="preserve">Значение даты может быть введено вручную или выбрано с помощью системного календаря.</w:t>
            </w:r>
            <w:r/>
          </w:p>
        </w:tc>
      </w:tr>
      <w:tr>
        <w:trPr/>
        <w:tc>
          <w:tcPr>
            <w:shd w:val="clear" w:fill="auto" w:color="auto"/>
            <w:tcW w:w="1227" w:type="pct"/>
            <w:textDirection w:val="lrTb"/>
            <w:noWrap w:val="false"/>
          </w:tcPr>
          <w:p>
            <w:pPr>
              <w:pStyle w:val="1005"/>
              <w:ind w:left="57" w:right="57"/>
            </w:pPr>
            <w:r>
              <w:t xml:space="preserve">Сумма</w:t>
            </w:r>
            <w:r/>
          </w:p>
        </w:tc>
        <w:tc>
          <w:tcPr>
            <w:shd w:val="clear" w:fill="auto" w:color="auto"/>
            <w:tcW w:w="3773" w:type="pct"/>
            <w:textDirection w:val="lrTb"/>
            <w:noWrap w:val="false"/>
          </w:tcPr>
          <w:p>
            <w:pPr>
              <w:pStyle w:val="1005"/>
              <w:ind w:left="57" w:right="57"/>
            </w:pPr>
            <w:r>
              <w:t xml:space="preserve">Общая сумма платежного документа.</w:t>
            </w:r>
            <w:r/>
          </w:p>
          <w:p>
            <w:pPr>
              <w:pStyle w:val="1005"/>
              <w:ind w:left="57" w:right="57"/>
            </w:pPr>
            <w:r>
              <w:t xml:space="preserve">Из родительского документа или заполняется вручную.</w:t>
            </w:r>
            <w:r/>
          </w:p>
        </w:tc>
      </w:tr>
      <w:tr>
        <w:trPr/>
        <w:tc>
          <w:tcPr>
            <w:shd w:val="clear" w:fill="auto" w:color="auto"/>
            <w:tcW w:w="1227" w:type="pct"/>
            <w:textDirection w:val="lrTb"/>
            <w:noWrap w:val="false"/>
          </w:tcPr>
          <w:p>
            <w:pPr>
              <w:pStyle w:val="1005"/>
              <w:ind w:left="57" w:right="57"/>
            </w:pPr>
            <w:r>
              <w:t xml:space="preserve">Поступило в банк плат.</w:t>
            </w:r>
            <w:r/>
          </w:p>
        </w:tc>
        <w:tc>
          <w:tcPr>
            <w:shd w:val="clear" w:fill="auto" w:color="auto"/>
            <w:tcW w:w="3773" w:type="pct"/>
            <w:textDirection w:val="lrTb"/>
            <w:noWrap w:val="false"/>
          </w:tcPr>
          <w:p>
            <w:pPr>
              <w:pStyle w:val="1005"/>
              <w:ind w:left="57" w:right="57"/>
            </w:pPr>
            <w:r>
              <w:t xml:space="preserve">Дата поступления суммы в банк плательщика. </w:t>
            </w:r>
            <w:r/>
          </w:p>
          <w:p>
            <w:pPr>
              <w:pStyle w:val="1005"/>
              <w:ind w:left="57" w:right="57"/>
            </w:pPr>
            <w:r>
              <w:t xml:space="preserve">Значение даты может быть введено вручную или выбрано с помощью системного календаря.</w:t>
            </w:r>
            <w:r/>
          </w:p>
        </w:tc>
      </w:tr>
      <w:tr>
        <w:trPr/>
        <w:tc>
          <w:tcPr>
            <w:shd w:val="clear" w:fill="auto" w:color="auto"/>
            <w:tcW w:w="1227" w:type="pct"/>
            <w:textDirection w:val="lrTb"/>
            <w:noWrap w:val="false"/>
          </w:tcPr>
          <w:p>
            <w:pPr>
              <w:pStyle w:val="1005"/>
              <w:ind w:left="57" w:right="57"/>
            </w:pPr>
            <w:r>
              <w:t xml:space="preserve">Списано со счета плат.</w:t>
            </w:r>
            <w:r/>
          </w:p>
        </w:tc>
        <w:tc>
          <w:tcPr>
            <w:shd w:val="clear" w:fill="auto" w:color="auto"/>
            <w:tcW w:w="3773" w:type="pct"/>
            <w:textDirection w:val="lrTb"/>
            <w:noWrap w:val="false"/>
          </w:tcPr>
          <w:p>
            <w:pPr>
              <w:pStyle w:val="1005"/>
              <w:ind w:left="57" w:right="57"/>
            </w:pPr>
            <w:r>
              <w:t xml:space="preserve">Дата списания суммы со счета плательщика. </w:t>
            </w:r>
            <w:r/>
          </w:p>
          <w:p>
            <w:pPr>
              <w:pStyle w:val="1005"/>
              <w:ind w:left="57" w:right="57"/>
            </w:pPr>
            <w:r>
              <w:t xml:space="preserve">Значение даты может быть введено вручную или выбрано с помощью системного календаря.</w:t>
            </w:r>
            <w:r/>
          </w:p>
        </w:tc>
      </w:tr>
      <w:tr>
        <w:trPr/>
        <w:tc>
          <w:tcPr>
            <w:shd w:val="clear" w:fill="auto" w:color="auto"/>
            <w:tcW w:w="1227" w:type="pct"/>
            <w:textDirection w:val="lrTb"/>
            <w:noWrap w:val="false"/>
          </w:tcPr>
          <w:p>
            <w:pPr>
              <w:pStyle w:val="1005"/>
              <w:ind w:left="57" w:right="57"/>
            </w:pPr>
            <w:r>
              <w:t xml:space="preserve">Вид платежа</w:t>
            </w:r>
            <w:r/>
          </w:p>
        </w:tc>
        <w:tc>
          <w:tcPr>
            <w:shd w:val="clear" w:fill="auto" w:color="auto"/>
            <w:tcW w:w="3773" w:type="pct"/>
            <w:textDirection w:val="lrTb"/>
            <w:noWrap w:val="false"/>
          </w:tcPr>
          <w:p>
            <w:pPr>
              <w:pStyle w:val="1005"/>
              <w:ind w:left="57" w:right="57"/>
            </w:pPr>
            <w:r>
              <w:t xml:space="preserve">По умолчанию проставляется значение «3». </w:t>
            </w:r>
            <w:r/>
          </w:p>
          <w:p>
            <w:pPr>
              <w:pStyle w:val="1005"/>
              <w:ind w:left="57" w:right="57"/>
            </w:pPr>
            <w:r>
              <w:t xml:space="preserve">Может быть изменено пользователем выбором из списка: </w:t>
            </w:r>
            <w:r/>
          </w:p>
          <w:p>
            <w:pPr>
              <w:pStyle w:val="1007"/>
            </w:pPr>
            <w:r>
              <w:t xml:space="preserve">«0 – пусто»;</w:t>
            </w:r>
            <w:r/>
          </w:p>
          <w:p>
            <w:pPr>
              <w:pStyle w:val="1007"/>
            </w:pPr>
            <w:r>
              <w:t xml:space="preserve">«1 – почтой»; </w:t>
            </w:r>
            <w:r/>
          </w:p>
          <w:p>
            <w:pPr>
              <w:pStyle w:val="1007"/>
            </w:pPr>
            <w:r>
              <w:t xml:space="preserve">«2 – телеграфом»; </w:t>
            </w:r>
            <w:r/>
          </w:p>
          <w:p>
            <w:pPr>
              <w:pStyle w:val="1007"/>
            </w:pPr>
            <w:r>
              <w:t xml:space="preserve">«</w:t>
            </w:r>
            <w:r>
              <w:rPr>
                <w:rStyle w:val="1400"/>
              </w:rPr>
              <w:t xml:space="preserve">3 – </w:t>
            </w:r>
            <w:r>
              <w:rPr>
                <w:rStyle w:val="1400"/>
                <w:lang w:val="ru-RU"/>
              </w:rPr>
              <w:t xml:space="preserve">электронно</w:t>
            </w:r>
            <w:r>
              <w:t xml:space="preserve">»;</w:t>
            </w:r>
            <w:r/>
          </w:p>
          <w:p>
            <w:pPr>
              <w:pStyle w:val="1007"/>
            </w:pPr>
            <w:r>
              <w:t xml:space="preserve">«4 – срочно».</w:t>
            </w:r>
            <w:r/>
          </w:p>
          <w:p>
            <w:pPr>
              <w:pStyle w:val="1005"/>
              <w:ind w:left="57" w:right="57"/>
            </w:pPr>
            <w:r>
              <w:t xml:space="preserve">На визуальную форму подтягивается код значения.</w:t>
            </w:r>
            <w:r/>
          </w:p>
        </w:tc>
      </w:tr>
      <w:tr>
        <w:trPr/>
        <w:tc>
          <w:tcPr>
            <w:shd w:val="clear" w:fill="auto" w:color="auto"/>
            <w:tcW w:w="1227" w:type="pct"/>
            <w:textDirection w:val="lrTb"/>
            <w:noWrap w:val="false"/>
          </w:tcPr>
          <w:p>
            <w:pPr>
              <w:pStyle w:val="1005"/>
              <w:ind w:left="57" w:right="57"/>
            </w:pPr>
            <w:r>
              <w:t xml:space="preserve">Очередность платежа</w:t>
            </w:r>
            <w:r/>
          </w:p>
        </w:tc>
        <w:tc>
          <w:tcPr>
            <w:shd w:val="clear" w:fill="auto" w:color="auto"/>
            <w:tcW w:w="3773" w:type="pct"/>
            <w:textDirection w:val="lrTb"/>
            <w:noWrap w:val="false"/>
          </w:tcPr>
          <w:p>
            <w:pPr>
              <w:pStyle w:val="1005"/>
              <w:ind w:left="57" w:right="57"/>
            </w:pPr>
            <w:r>
              <w:t xml:space="preserve">Очередность платежа. </w:t>
            </w:r>
            <w:r/>
          </w:p>
          <w:p>
            <w:pPr>
              <w:pStyle w:val="1005"/>
              <w:ind w:left="57" w:right="57"/>
            </w:pPr>
            <w:r>
              <w:t xml:space="preserve">Значение по умолчанию «5». Может быть изменено выбором из списка: «1», «2», «3», «4», «5».</w:t>
            </w:r>
            <w:r/>
          </w:p>
        </w:tc>
      </w:tr>
      <w:tr>
        <w:trPr/>
        <w:tc>
          <w:tcPr>
            <w:shd w:val="clear" w:fill="auto" w:color="auto"/>
            <w:tcW w:w="1227" w:type="pct"/>
            <w:textDirection w:val="lrTb"/>
            <w:noWrap w:val="false"/>
          </w:tcPr>
          <w:p>
            <w:pPr>
              <w:pStyle w:val="1005"/>
              <w:ind w:left="57" w:right="57"/>
            </w:pPr>
            <w:r>
              <w:t xml:space="preserve">Назначение платежа</w:t>
            </w:r>
            <w:r/>
          </w:p>
        </w:tc>
        <w:tc>
          <w:tcPr>
            <w:shd w:val="clear" w:fill="auto" w:color="auto"/>
            <w:tcW w:w="3773" w:type="pct"/>
            <w:textDirection w:val="lrTb"/>
            <w:noWrap w:val="false"/>
          </w:tcPr>
          <w:p>
            <w:pPr>
              <w:pStyle w:val="1005"/>
              <w:ind w:left="57" w:right="57"/>
            </w:pPr>
            <w:r>
              <w:t xml:space="preserve">Назначение платежа. </w:t>
            </w:r>
            <w:r/>
          </w:p>
          <w:p>
            <w:pPr>
              <w:pStyle w:val="1005"/>
              <w:ind w:left="57" w:right="57"/>
            </w:pPr>
            <w:r>
              <w:t xml:space="preserve">Значение вводится вручную.</w:t>
            </w:r>
            <w:r/>
          </w:p>
        </w:tc>
      </w:tr>
      <w:tr>
        <w:trPr/>
        <w:tc>
          <w:tcPr>
            <w:shd w:val="clear" w:fill="auto" w:color="auto"/>
            <w:tcW w:w="1227" w:type="pct"/>
            <w:textDirection w:val="lrTb"/>
            <w:noWrap w:val="false"/>
          </w:tcPr>
          <w:p>
            <w:pPr>
              <w:pStyle w:val="1005"/>
              <w:ind w:left="57" w:right="57"/>
            </w:pPr>
            <w:r>
              <w:t xml:space="preserve">Номер част. </w:t>
            </w:r>
            <w:r>
              <w:t xml:space="preserve">П</w:t>
            </w:r>
            <w:r>
              <w:t xml:space="preserve">латежа</w:t>
            </w:r>
            <w:r/>
          </w:p>
        </w:tc>
        <w:tc>
          <w:tcPr>
            <w:shd w:val="clear" w:fill="auto" w:color="auto"/>
            <w:tcW w:w="3773" w:type="pct"/>
            <w:textDirection w:val="lrTb"/>
            <w:noWrap w:val="false"/>
          </w:tcPr>
          <w:p>
            <w:pPr>
              <w:pStyle w:val="1005"/>
              <w:ind w:left="57" w:right="57"/>
            </w:pPr>
            <w:r>
              <w:t xml:space="preserve">Номер част. </w:t>
            </w:r>
            <w:r>
              <w:t xml:space="preserve">П</w:t>
            </w:r>
            <w:r>
              <w:t xml:space="preserve">латежа.</w:t>
            </w:r>
            <w:r/>
          </w:p>
          <w:p>
            <w:pPr>
              <w:pStyle w:val="1005"/>
              <w:ind w:left="57" w:right="57"/>
            </w:pPr>
            <w:r>
              <w:t xml:space="preserve">Значение вводится вручную.</w:t>
            </w:r>
            <w:r/>
          </w:p>
        </w:tc>
      </w:tr>
      <w:tr>
        <w:trPr/>
        <w:tc>
          <w:tcPr>
            <w:shd w:val="clear" w:fill="auto" w:color="auto"/>
            <w:tcW w:w="1227" w:type="pct"/>
            <w:textDirection w:val="lrTb"/>
            <w:noWrap w:val="false"/>
          </w:tcPr>
          <w:p>
            <w:pPr>
              <w:pStyle w:val="1005"/>
              <w:ind w:left="57" w:right="57"/>
            </w:pPr>
            <w:r>
              <w:t xml:space="preserve">Срок платежа</w:t>
            </w:r>
            <w:r/>
          </w:p>
        </w:tc>
        <w:tc>
          <w:tcPr>
            <w:shd w:val="clear" w:fill="auto" w:color="auto"/>
            <w:tcW w:w="3773" w:type="pct"/>
            <w:textDirection w:val="lrTb"/>
            <w:noWrap w:val="false"/>
          </w:tcPr>
          <w:p>
            <w:pPr>
              <w:pStyle w:val="1005"/>
              <w:ind w:left="57" w:right="57"/>
            </w:pPr>
            <w:r>
              <w:t xml:space="preserve">Срок платежа. </w:t>
            </w:r>
            <w:r/>
          </w:p>
          <w:p>
            <w:pPr>
              <w:pStyle w:val="1005"/>
              <w:ind w:left="57" w:right="57"/>
            </w:pPr>
            <w:r>
              <w:t xml:space="preserve">Значение даты может быть введено вручную или выбрано с помощью системного календаря.</w:t>
            </w:r>
            <w:r/>
          </w:p>
        </w:tc>
      </w:tr>
      <w:tr>
        <w:trPr/>
        <w:tc>
          <w:tcPr>
            <w:shd w:val="clear" w:fill="auto" w:color="auto"/>
            <w:tcW w:w="1227" w:type="pct"/>
            <w:textDirection w:val="lrTb"/>
            <w:noWrap w:val="false"/>
          </w:tcPr>
          <w:p>
            <w:pPr>
              <w:pStyle w:val="1005"/>
              <w:ind w:left="57" w:right="57"/>
            </w:pPr>
            <w:r>
              <w:t xml:space="preserve">Шифр </w:t>
            </w:r>
            <w:r>
              <w:rPr>
                <w:rStyle w:val="1400"/>
              </w:rPr>
              <w:t xml:space="preserve">п.д.</w:t>
            </w:r>
            <w:r/>
          </w:p>
        </w:tc>
        <w:tc>
          <w:tcPr>
            <w:shd w:val="clear" w:fill="auto" w:color="auto"/>
            <w:tcW w:w="3773" w:type="pct"/>
            <w:textDirection w:val="lrTb"/>
            <w:noWrap w:val="false"/>
          </w:tcPr>
          <w:p>
            <w:pPr>
              <w:pStyle w:val="1005"/>
              <w:ind w:left="57" w:right="57"/>
            </w:pPr>
            <w:r>
              <w:t xml:space="preserve">Шифр платежного документа.</w:t>
            </w:r>
            <w:r/>
          </w:p>
          <w:p>
            <w:pPr>
              <w:pStyle w:val="1005"/>
              <w:ind w:left="57" w:right="57"/>
            </w:pPr>
            <w:r>
              <w:t xml:space="preserve">Значение вводится вручную.</w:t>
            </w:r>
            <w:r/>
          </w:p>
        </w:tc>
      </w:tr>
      <w:tr>
        <w:trPr/>
        <w:tc>
          <w:tcPr>
            <w:shd w:val="clear" w:fill="auto" w:color="auto"/>
            <w:tcW w:w="1227" w:type="pct"/>
            <w:textDirection w:val="lrTb"/>
            <w:noWrap w:val="false"/>
          </w:tcPr>
          <w:p>
            <w:pPr>
              <w:pStyle w:val="1005"/>
              <w:ind w:left="57" w:right="57"/>
            </w:pPr>
            <w:r>
              <w:t xml:space="preserve">Номер п.д.</w:t>
            </w:r>
            <w:r/>
          </w:p>
        </w:tc>
        <w:tc>
          <w:tcPr>
            <w:shd w:val="clear" w:fill="auto" w:color="auto"/>
            <w:tcW w:w="3773" w:type="pct"/>
            <w:textDirection w:val="lrTb"/>
            <w:noWrap w:val="false"/>
          </w:tcPr>
          <w:p>
            <w:pPr>
              <w:pStyle w:val="1005"/>
              <w:ind w:left="57" w:right="57"/>
            </w:pPr>
            <w:r>
              <w:t xml:space="preserve">Номер платежного документа.</w:t>
            </w:r>
            <w:r/>
          </w:p>
          <w:p>
            <w:pPr>
              <w:pStyle w:val="1005"/>
              <w:ind w:left="57" w:right="57"/>
            </w:pPr>
            <w:r>
              <w:t xml:space="preserve">Значение вводится вручную.</w:t>
            </w:r>
            <w:r/>
          </w:p>
        </w:tc>
      </w:tr>
      <w:tr>
        <w:trPr/>
        <w:tc>
          <w:tcPr>
            <w:shd w:val="clear" w:fill="auto" w:color="auto"/>
            <w:tcW w:w="1227" w:type="pct"/>
            <w:textDirection w:val="lrTb"/>
            <w:noWrap w:val="false"/>
          </w:tcPr>
          <w:p>
            <w:pPr>
              <w:pStyle w:val="1005"/>
              <w:ind w:left="57" w:right="57"/>
            </w:pPr>
            <w:r>
              <w:t xml:space="preserve">Дата п.д.</w:t>
            </w:r>
            <w:r/>
          </w:p>
        </w:tc>
        <w:tc>
          <w:tcPr>
            <w:shd w:val="clear" w:fill="auto" w:color="auto"/>
            <w:tcW w:w="3773" w:type="pct"/>
            <w:textDirection w:val="lrTb"/>
            <w:noWrap w:val="false"/>
          </w:tcPr>
          <w:p>
            <w:pPr>
              <w:pStyle w:val="1005"/>
              <w:ind w:left="57" w:right="57"/>
            </w:pPr>
            <w:r>
              <w:t xml:space="preserve">Дата платежного документа. </w:t>
            </w:r>
            <w:r/>
          </w:p>
          <w:p>
            <w:pPr>
              <w:pStyle w:val="1005"/>
              <w:ind w:left="57" w:right="57"/>
            </w:pPr>
            <w:r>
              <w:t xml:space="preserve">Значение вводится вручную или выбирается из системного календаря.</w:t>
            </w:r>
            <w:r/>
          </w:p>
        </w:tc>
      </w:tr>
      <w:tr>
        <w:trPr/>
        <w:tc>
          <w:tcPr>
            <w:shd w:val="clear" w:fill="auto" w:color="auto"/>
            <w:tcW w:w="1227" w:type="pct"/>
            <w:textDirection w:val="lrTb"/>
            <w:noWrap w:val="false"/>
          </w:tcPr>
          <w:p>
            <w:pPr>
              <w:pStyle w:val="1005"/>
              <w:ind w:left="57" w:right="57"/>
            </w:pPr>
            <w:r>
              <w:t xml:space="preserve">Вид операции</w:t>
            </w:r>
            <w:r/>
          </w:p>
        </w:tc>
        <w:tc>
          <w:tcPr>
            <w:shd w:val="clear" w:fill="auto" w:color="auto"/>
            <w:tcW w:w="3773" w:type="pct"/>
            <w:textDirection w:val="lrTb"/>
            <w:noWrap w:val="false"/>
          </w:tcPr>
          <w:p>
            <w:pPr>
              <w:pStyle w:val="1005"/>
              <w:ind w:left="57" w:right="57"/>
            </w:pPr>
            <w:r>
              <w:t xml:space="preserve">Вид операции.</w:t>
            </w:r>
            <w:r/>
          </w:p>
          <w:p>
            <w:pPr>
              <w:pStyle w:val="1005"/>
              <w:ind w:left="57" w:right="57"/>
            </w:pPr>
            <w:r>
              <w:t xml:space="preserve">Значение вводится вручную.</w:t>
            </w:r>
            <w:r/>
          </w:p>
        </w:tc>
      </w:tr>
      <w:tr>
        <w:trPr/>
        <w:tc>
          <w:tcPr>
            <w:shd w:val="clear" w:fill="auto" w:color="auto"/>
            <w:tcW w:w="1227" w:type="pct"/>
            <w:textDirection w:val="lrTb"/>
            <w:noWrap w:val="false"/>
          </w:tcPr>
          <w:p>
            <w:pPr>
              <w:pStyle w:val="1005"/>
              <w:ind w:left="57" w:right="57"/>
            </w:pPr>
            <w:r>
              <w:t xml:space="preserve">Содержание операции</w:t>
            </w:r>
            <w:r/>
          </w:p>
        </w:tc>
        <w:tc>
          <w:tcPr>
            <w:shd w:val="clear" w:fill="auto" w:color="auto"/>
            <w:tcW w:w="3773" w:type="pct"/>
            <w:textDirection w:val="lrTb"/>
            <w:noWrap w:val="false"/>
          </w:tcPr>
          <w:p>
            <w:pPr>
              <w:pStyle w:val="1005"/>
              <w:ind w:left="57" w:right="57"/>
            </w:pPr>
            <w:r>
              <w:t xml:space="preserve">Содержание операции.</w:t>
            </w:r>
            <w:r/>
          </w:p>
          <w:p>
            <w:pPr>
              <w:pStyle w:val="1005"/>
              <w:ind w:left="57" w:right="57"/>
            </w:pPr>
            <w:r>
              <w:t xml:space="preserve">Значение вводится вручную.</w:t>
            </w:r>
            <w:r/>
          </w:p>
        </w:tc>
      </w:tr>
      <w:tr>
        <w:trPr/>
        <w:tc>
          <w:tcPr>
            <w:shd w:val="clear" w:fill="auto" w:color="auto"/>
            <w:tcW w:w="1227" w:type="pct"/>
            <w:textDirection w:val="lrTb"/>
            <w:noWrap w:val="false"/>
          </w:tcPr>
          <w:p>
            <w:pPr>
              <w:pStyle w:val="1005"/>
              <w:ind w:left="57" w:right="57"/>
            </w:pPr>
            <w:r>
              <w:t xml:space="preserve">Сумма остатка</w:t>
            </w:r>
            <w:r/>
          </w:p>
        </w:tc>
        <w:tc>
          <w:tcPr>
            <w:shd w:val="clear" w:fill="auto" w:color="auto"/>
            <w:tcW w:w="3773" w:type="pct"/>
            <w:textDirection w:val="lrTb"/>
            <w:noWrap w:val="false"/>
          </w:tcPr>
          <w:p>
            <w:pPr>
              <w:pStyle w:val="1005"/>
              <w:ind w:left="57" w:right="57"/>
            </w:pPr>
            <w:r>
              <w:t xml:space="preserve">Сумма остатка.</w:t>
            </w:r>
            <w:r/>
          </w:p>
          <w:p>
            <w:pPr>
              <w:pStyle w:val="1005"/>
              <w:ind w:left="57" w:right="57"/>
            </w:pPr>
            <w:r>
              <w:t xml:space="preserve">Значение вводится вручную.</w:t>
            </w:r>
            <w:r/>
          </w:p>
        </w:tc>
      </w:tr>
      <w:tr>
        <w:trPr/>
        <w:tc>
          <w:tcPr>
            <w:shd w:val="clear" w:fill="auto" w:color="auto"/>
            <w:tcW w:w="1227" w:type="pct"/>
            <w:textDirection w:val="lrTb"/>
            <w:noWrap w:val="false"/>
          </w:tcPr>
          <w:p>
            <w:pPr>
              <w:pStyle w:val="1005"/>
              <w:ind w:left="57" w:right="57"/>
            </w:pPr>
            <w:r>
              <w:t xml:space="preserve">Дата выписки</w:t>
            </w:r>
            <w:r/>
          </w:p>
        </w:tc>
        <w:tc>
          <w:tcPr>
            <w:shd w:val="clear" w:fill="auto" w:color="auto"/>
            <w:tcW w:w="3773" w:type="pct"/>
            <w:textDirection w:val="lrTb"/>
            <w:noWrap w:val="false"/>
          </w:tcPr>
          <w:p>
            <w:pPr>
              <w:pStyle w:val="1005"/>
              <w:ind w:left="57" w:right="57"/>
            </w:pPr>
            <w:r>
              <w:t xml:space="preserve">Дата выписки. </w:t>
            </w:r>
            <w:r/>
          </w:p>
          <w:p>
            <w:pPr>
              <w:pStyle w:val="1005"/>
              <w:ind w:left="57" w:right="57"/>
            </w:pPr>
            <w:r>
              <w:t xml:space="preserve">Значение даты вводится из родительского документа</w:t>
            </w:r>
            <w:r>
              <w:t xml:space="preserve">,</w:t>
            </w:r>
            <w:r>
              <w:t xml:space="preserve"> либо вручную или выб</w:t>
            </w:r>
            <w:r>
              <w:t xml:space="preserve">ирается</w:t>
            </w:r>
            <w:r>
              <w:t xml:space="preserve"> с помощью системного календаря. </w:t>
            </w:r>
            <w:r/>
          </w:p>
        </w:tc>
      </w:tr>
      <w:tr>
        <w:trPr/>
        <w:tc>
          <w:tcPr>
            <w:gridSpan w:val="2"/>
            <w:shd w:val="clear" w:fill="auto" w:color="auto"/>
            <w:tcW w:w="5000" w:type="pct"/>
            <w:textDirection w:val="lrTb"/>
            <w:noWrap w:val="false"/>
          </w:tcPr>
          <w:p>
            <w:pPr>
              <w:pStyle w:val="1005"/>
              <w:ind w:left="57" w:right="57"/>
            </w:pPr>
            <w:r>
              <w:t xml:space="preserve">За</w:t>
            </w:r>
            <w:r>
              <w:t xml:space="preserve">кладка «Основные атрибуты</w:t>
            </w:r>
            <w:r>
              <w:t xml:space="preserve">», группа полей «</w:t>
            </w:r>
            <w:r>
              <w:t xml:space="preserve">Реквизиты плательщика»</w:t>
            </w:r>
            <w:r/>
          </w:p>
        </w:tc>
      </w:tr>
      <w:tr>
        <w:trPr>
          <w:trHeight w:val="329"/>
        </w:trPr>
        <w:tc>
          <w:tcPr>
            <w:shd w:val="clear" w:fill="auto" w:color="auto"/>
            <w:tcW w:w="1227" w:type="pct"/>
            <w:textDirection w:val="lrTb"/>
            <w:noWrap w:val="false"/>
          </w:tcPr>
          <w:p>
            <w:pPr>
              <w:pStyle w:val="1005"/>
              <w:ind w:left="57" w:right="57"/>
            </w:pPr>
            <w:r>
              <w:t xml:space="preserve">ИНН</w:t>
            </w:r>
            <w:r/>
          </w:p>
        </w:tc>
        <w:tc>
          <w:tcPr>
            <w:shd w:val="clear" w:fill="auto" w:color="auto"/>
            <w:tcW w:w="3773" w:type="pct"/>
            <w:textDirection w:val="lrTb"/>
            <w:noWrap w:val="false"/>
          </w:tcPr>
          <w:p>
            <w:pPr>
              <w:pStyle w:val="1005"/>
              <w:ind w:left="57" w:right="57"/>
            </w:pPr>
            <w:r>
              <w:t xml:space="preserve">ИНН плательщика.</w:t>
            </w:r>
            <w:r/>
          </w:p>
          <w:p>
            <w:pPr>
              <w:pStyle w:val="1005"/>
              <w:ind w:left="57" w:right="57"/>
            </w:pPr>
            <w:r>
              <w:t xml:space="preserve">Из родительского документа либо значение вводится вручную.</w:t>
            </w:r>
            <w:r/>
          </w:p>
        </w:tc>
      </w:tr>
      <w:tr>
        <w:trPr/>
        <w:tc>
          <w:tcPr>
            <w:shd w:val="clear" w:fill="auto" w:color="auto"/>
            <w:tcW w:w="1227" w:type="pct"/>
            <w:textDirection w:val="lrTb"/>
            <w:noWrap w:val="false"/>
          </w:tcPr>
          <w:p>
            <w:pPr>
              <w:pStyle w:val="1005"/>
              <w:ind w:left="57" w:right="57"/>
            </w:pPr>
            <w:r>
              <w:t xml:space="preserve">КПП</w:t>
            </w:r>
            <w:r/>
          </w:p>
        </w:tc>
        <w:tc>
          <w:tcPr>
            <w:shd w:val="clear" w:fill="auto" w:color="auto"/>
            <w:tcW w:w="3773" w:type="pct"/>
            <w:textDirection w:val="lrTb"/>
            <w:noWrap w:val="false"/>
          </w:tcPr>
          <w:p>
            <w:pPr>
              <w:pStyle w:val="1005"/>
              <w:ind w:left="57" w:right="57"/>
            </w:pPr>
            <w:r>
              <w:t xml:space="preserve">КПП плательщика.</w:t>
            </w:r>
            <w:r/>
          </w:p>
          <w:p>
            <w:pPr>
              <w:pStyle w:val="1005"/>
              <w:ind w:left="57" w:right="57"/>
            </w:pPr>
            <w:r>
              <w:t xml:space="preserve">Из родительского документа либо значение вводится вручную.</w:t>
            </w:r>
            <w:r/>
          </w:p>
        </w:tc>
      </w:tr>
      <w:tr>
        <w:trPr/>
        <w:tc>
          <w:tcPr>
            <w:shd w:val="clear" w:fill="auto" w:color="auto"/>
            <w:tcW w:w="1227" w:type="pct"/>
            <w:textDirection w:val="lrTb"/>
            <w:noWrap w:val="false"/>
          </w:tcPr>
          <w:p>
            <w:pPr>
              <w:pStyle w:val="1005"/>
              <w:ind w:left="57" w:right="57"/>
            </w:pPr>
            <w:r>
              <w:t xml:space="preserve">Банк.счет</w:t>
            </w:r>
            <w:r/>
          </w:p>
        </w:tc>
        <w:tc>
          <w:tcPr>
            <w:shd w:val="clear" w:fill="auto" w:color="auto"/>
            <w:tcW w:w="3773" w:type="pct"/>
            <w:textDirection w:val="lrTb"/>
            <w:noWrap w:val="false"/>
          </w:tcPr>
          <w:p>
            <w:pPr>
              <w:pStyle w:val="1005"/>
              <w:ind w:left="57" w:right="57"/>
            </w:pPr>
            <w:r>
              <w:t xml:space="preserve">Номер банковского счета.</w:t>
            </w:r>
            <w:r/>
          </w:p>
          <w:p>
            <w:pPr>
              <w:pStyle w:val="1005"/>
              <w:ind w:left="57" w:right="57"/>
            </w:pPr>
            <w:r>
              <w:t xml:space="preserve">Значение вводится вручную.</w:t>
            </w:r>
            <w:r/>
          </w:p>
        </w:tc>
      </w:tr>
      <w:tr>
        <w:trPr/>
        <w:tc>
          <w:tcPr>
            <w:shd w:val="clear" w:fill="auto" w:color="auto"/>
            <w:tcW w:w="1227" w:type="pct"/>
            <w:textDirection w:val="lrTb"/>
            <w:noWrap w:val="false"/>
          </w:tcPr>
          <w:p>
            <w:pPr>
              <w:pStyle w:val="1005"/>
              <w:ind w:left="57" w:right="57"/>
            </w:pPr>
            <w:r>
              <w:t xml:space="preserve">БИК</w:t>
            </w:r>
            <w:r/>
          </w:p>
        </w:tc>
        <w:tc>
          <w:tcPr>
            <w:shd w:val="clear" w:fill="auto" w:color="auto"/>
            <w:tcW w:w="3773" w:type="pct"/>
            <w:textDirection w:val="lrTb"/>
            <w:noWrap w:val="false"/>
          </w:tcPr>
          <w:p>
            <w:pPr>
              <w:pStyle w:val="1005"/>
              <w:ind w:left="57" w:right="57"/>
            </w:pPr>
            <w:r>
              <w:t xml:space="preserve">БИК банка, где открыт счет ОрФК.</w:t>
            </w:r>
            <w:r/>
          </w:p>
          <w:p>
            <w:pPr>
              <w:pStyle w:val="1005"/>
              <w:ind w:left="57" w:right="57"/>
            </w:pPr>
            <w:r>
              <w:t xml:space="preserve">Значение вводится вручную.</w:t>
            </w:r>
            <w:r/>
          </w:p>
        </w:tc>
      </w:tr>
      <w:tr>
        <w:trPr/>
        <w:tc>
          <w:tcPr>
            <w:shd w:val="clear" w:fill="auto" w:color="auto"/>
            <w:tcW w:w="1227" w:type="pct"/>
            <w:textDirection w:val="lrTb"/>
            <w:noWrap w:val="false"/>
          </w:tcPr>
          <w:p>
            <w:pPr>
              <w:pStyle w:val="1005"/>
              <w:ind w:left="57" w:right="57"/>
            </w:pPr>
            <w:r>
              <w:t xml:space="preserve">Кор. </w:t>
            </w:r>
            <w:r>
              <w:t xml:space="preserve">С</w:t>
            </w:r>
            <w:r>
              <w:t xml:space="preserve">чет</w:t>
            </w:r>
            <w:r/>
          </w:p>
        </w:tc>
        <w:tc>
          <w:tcPr>
            <w:shd w:val="clear" w:fill="auto" w:color="auto"/>
            <w:tcW w:w="3773" w:type="pct"/>
            <w:textDirection w:val="lrTb"/>
            <w:noWrap w:val="false"/>
          </w:tcPr>
          <w:p>
            <w:pPr>
              <w:pStyle w:val="1005"/>
              <w:ind w:left="57" w:right="57"/>
            </w:pPr>
            <w:r>
              <w:t xml:space="preserve">Номер корреспондирующего счета банка.</w:t>
            </w:r>
            <w:r/>
          </w:p>
          <w:p>
            <w:pPr>
              <w:pStyle w:val="1005"/>
              <w:ind w:left="57" w:right="57"/>
            </w:pPr>
            <w:r>
              <w:t xml:space="preserve">Значение вводится вручную.</w:t>
            </w:r>
            <w:r/>
          </w:p>
        </w:tc>
      </w:tr>
      <w:tr>
        <w:trPr>
          <w:trHeight w:val="585"/>
        </w:trPr>
        <w:tc>
          <w:tcPr>
            <w:shd w:val="clear" w:fill="auto" w:color="auto"/>
            <w:tcW w:w="1227" w:type="pct"/>
            <w:textDirection w:val="lrTb"/>
            <w:noWrap w:val="false"/>
          </w:tcPr>
          <w:p>
            <w:pPr>
              <w:pStyle w:val="1005"/>
              <w:ind w:left="57" w:right="57"/>
            </w:pPr>
            <w:r>
              <w:t xml:space="preserve">Банк</w:t>
            </w:r>
            <w:r/>
          </w:p>
        </w:tc>
        <w:tc>
          <w:tcPr>
            <w:shd w:val="clear" w:fill="auto" w:color="auto"/>
            <w:tcW w:w="3773" w:type="pct"/>
            <w:textDirection w:val="lrTb"/>
            <w:noWrap w:val="false"/>
          </w:tcPr>
          <w:p>
            <w:pPr>
              <w:pStyle w:val="1005"/>
              <w:ind w:left="57" w:right="57"/>
            </w:pPr>
            <w:r>
              <w:t xml:space="preserve">Наименование банка плательщика.</w:t>
            </w:r>
            <w:r/>
          </w:p>
          <w:p>
            <w:pPr>
              <w:pStyle w:val="1005"/>
              <w:ind w:left="57" w:right="57"/>
            </w:pPr>
            <w:r>
              <w:t xml:space="preserve">Значение вводится вручную.</w:t>
            </w:r>
            <w:r/>
          </w:p>
        </w:tc>
      </w:tr>
      <w:tr>
        <w:trPr>
          <w:trHeight w:val="315"/>
        </w:trPr>
        <w:tc>
          <w:tcPr>
            <w:shd w:val="clear" w:fill="auto" w:color="auto"/>
            <w:tcW w:w="1227" w:type="pct"/>
            <w:textDirection w:val="lrTb"/>
            <w:noWrap w:val="false"/>
          </w:tcPr>
          <w:p>
            <w:pPr>
              <w:pStyle w:val="1005"/>
              <w:ind w:left="57" w:right="57"/>
            </w:pPr>
            <w:r>
              <w:t xml:space="preserve">Наименование</w:t>
            </w:r>
            <w:r/>
          </w:p>
        </w:tc>
        <w:tc>
          <w:tcPr>
            <w:shd w:val="clear" w:fill="auto" w:color="auto"/>
            <w:tcW w:w="3773" w:type="pct"/>
            <w:textDirection w:val="lrTb"/>
            <w:noWrap w:val="false"/>
          </w:tcPr>
          <w:p>
            <w:pPr>
              <w:pStyle w:val="1005"/>
              <w:ind w:left="57" w:right="57"/>
            </w:pPr>
            <w:r>
              <w:t xml:space="preserve">Наименование плательщика.</w:t>
            </w:r>
            <w:r/>
          </w:p>
          <w:p>
            <w:pPr>
              <w:pStyle w:val="1005"/>
              <w:ind w:left="57" w:right="57"/>
            </w:pPr>
            <w:r>
              <w:t xml:space="preserve">Значение вводится вручную.</w:t>
            </w:r>
            <w:r/>
          </w:p>
        </w:tc>
      </w:tr>
      <w:tr>
        <w:trPr/>
        <w:tc>
          <w:tcPr>
            <w:gridSpan w:val="2"/>
            <w:shd w:val="clear" w:fill="auto" w:color="auto"/>
            <w:tcW w:w="5000" w:type="pct"/>
            <w:textDirection w:val="lrTb"/>
            <w:noWrap w:val="false"/>
          </w:tcPr>
          <w:p>
            <w:pPr>
              <w:pStyle w:val="1005"/>
              <w:ind w:left="57" w:right="57"/>
            </w:pPr>
            <w:r>
              <w:t xml:space="preserve">Закладка </w:t>
            </w:r>
            <w:r>
              <w:t xml:space="preserve">«Основные атрибуты</w:t>
            </w:r>
            <w:r>
              <w:t xml:space="preserve">», группа полей «</w:t>
            </w:r>
            <w:r>
              <w:t xml:space="preserve">Реквизиты получателя»</w:t>
            </w:r>
            <w:r/>
          </w:p>
        </w:tc>
      </w:tr>
      <w:tr>
        <w:trPr>
          <w:trHeight w:val="201"/>
        </w:trPr>
        <w:tc>
          <w:tcPr>
            <w:shd w:val="clear" w:fill="auto" w:color="auto"/>
            <w:tcW w:w="1227" w:type="pct"/>
            <w:textDirection w:val="lrTb"/>
            <w:noWrap w:val="false"/>
          </w:tcPr>
          <w:p>
            <w:pPr>
              <w:pStyle w:val="1005"/>
              <w:ind w:left="57" w:right="57"/>
            </w:pPr>
            <w:r>
              <w:t xml:space="preserve">ИНН</w:t>
            </w:r>
            <w:r/>
          </w:p>
        </w:tc>
        <w:tc>
          <w:tcPr>
            <w:shd w:val="clear" w:fill="auto" w:color="auto"/>
            <w:tcW w:w="3773" w:type="pct"/>
            <w:textDirection w:val="lrTb"/>
            <w:noWrap w:val="false"/>
          </w:tcPr>
          <w:p>
            <w:pPr>
              <w:pStyle w:val="1005"/>
              <w:ind w:left="57" w:right="57"/>
            </w:pPr>
            <w:r>
              <w:t xml:space="preserve">ИНН получателя.</w:t>
            </w:r>
            <w:r/>
          </w:p>
          <w:p>
            <w:pPr>
              <w:pStyle w:val="1005"/>
              <w:ind w:left="57" w:right="57"/>
            </w:pPr>
            <w:r>
              <w:t xml:space="preserve">Из родительского документа либо значение вводится вручную.</w:t>
            </w:r>
            <w:r/>
          </w:p>
        </w:tc>
      </w:tr>
      <w:tr>
        <w:trPr/>
        <w:tc>
          <w:tcPr>
            <w:shd w:val="clear" w:fill="auto" w:color="auto"/>
            <w:tcW w:w="1227" w:type="pct"/>
            <w:textDirection w:val="lrTb"/>
            <w:noWrap w:val="false"/>
          </w:tcPr>
          <w:p>
            <w:pPr>
              <w:pStyle w:val="1005"/>
              <w:ind w:left="57" w:right="57"/>
            </w:pPr>
            <w:r>
              <w:t xml:space="preserve">КПП</w:t>
            </w:r>
            <w:r/>
          </w:p>
        </w:tc>
        <w:tc>
          <w:tcPr>
            <w:shd w:val="clear" w:fill="auto" w:color="auto"/>
            <w:tcW w:w="3773" w:type="pct"/>
            <w:textDirection w:val="lrTb"/>
            <w:noWrap w:val="false"/>
          </w:tcPr>
          <w:p>
            <w:pPr>
              <w:pStyle w:val="1005"/>
              <w:ind w:left="57" w:right="57"/>
            </w:pPr>
            <w:r>
              <w:t xml:space="preserve">КПП получателя.</w:t>
            </w:r>
            <w:r/>
          </w:p>
          <w:p>
            <w:pPr>
              <w:pStyle w:val="1005"/>
              <w:ind w:left="57" w:right="57"/>
            </w:pPr>
            <w:r>
              <w:t xml:space="preserve">Из родительского документа либо значение вводится вручную.</w:t>
            </w:r>
            <w:r/>
          </w:p>
        </w:tc>
      </w:tr>
      <w:tr>
        <w:trPr/>
        <w:tc>
          <w:tcPr>
            <w:shd w:val="clear" w:fill="auto" w:color="auto"/>
            <w:tcW w:w="1227" w:type="pct"/>
            <w:textDirection w:val="lrTb"/>
            <w:noWrap w:val="false"/>
          </w:tcPr>
          <w:p>
            <w:pPr>
              <w:pStyle w:val="1005"/>
              <w:ind w:left="57" w:right="57"/>
            </w:pPr>
            <w:r>
              <w:t xml:space="preserve">Банк.счет</w:t>
            </w:r>
            <w:r/>
          </w:p>
        </w:tc>
        <w:tc>
          <w:tcPr>
            <w:shd w:val="clear" w:fill="auto" w:color="auto"/>
            <w:tcW w:w="3773" w:type="pct"/>
            <w:textDirection w:val="lrTb"/>
            <w:noWrap w:val="false"/>
          </w:tcPr>
          <w:p>
            <w:pPr>
              <w:pStyle w:val="1005"/>
              <w:ind w:left="57" w:right="57"/>
            </w:pPr>
            <w:r>
              <w:t xml:space="preserve">Номер банковского счета получателя.</w:t>
            </w:r>
            <w:r/>
          </w:p>
          <w:p>
            <w:pPr>
              <w:pStyle w:val="1005"/>
              <w:ind w:left="57" w:right="57"/>
            </w:pPr>
            <w:r>
              <w:t xml:space="preserve">Значение вводится вручную.</w:t>
            </w:r>
            <w:r/>
          </w:p>
        </w:tc>
      </w:tr>
      <w:tr>
        <w:trPr/>
        <w:tc>
          <w:tcPr>
            <w:shd w:val="clear" w:fill="auto" w:color="auto"/>
            <w:tcW w:w="1227" w:type="pct"/>
            <w:textDirection w:val="lrTb"/>
            <w:noWrap w:val="false"/>
          </w:tcPr>
          <w:p>
            <w:pPr>
              <w:pStyle w:val="1005"/>
              <w:ind w:left="57" w:right="57"/>
            </w:pPr>
            <w:r>
              <w:t xml:space="preserve">БИК</w:t>
            </w:r>
            <w:r/>
          </w:p>
        </w:tc>
        <w:tc>
          <w:tcPr>
            <w:shd w:val="clear" w:fill="auto" w:color="auto"/>
            <w:tcW w:w="3773" w:type="pct"/>
            <w:textDirection w:val="lrTb"/>
            <w:noWrap w:val="false"/>
          </w:tcPr>
          <w:p>
            <w:pPr>
              <w:pStyle w:val="1005"/>
              <w:ind w:left="57" w:right="57"/>
            </w:pPr>
            <w:r>
              <w:t xml:space="preserve">БИК банка, где открыт счет ОрФК.</w:t>
            </w:r>
            <w:r/>
          </w:p>
          <w:p>
            <w:pPr>
              <w:pStyle w:val="1005"/>
              <w:ind w:left="57" w:right="57"/>
            </w:pPr>
            <w:r>
              <w:t xml:space="preserve">Значение вводится вручную.</w:t>
            </w:r>
            <w:r/>
          </w:p>
        </w:tc>
      </w:tr>
      <w:tr>
        <w:trPr/>
        <w:tc>
          <w:tcPr>
            <w:shd w:val="clear" w:fill="auto" w:color="auto"/>
            <w:tcW w:w="1227" w:type="pct"/>
            <w:textDirection w:val="lrTb"/>
            <w:noWrap w:val="false"/>
          </w:tcPr>
          <w:p>
            <w:pPr>
              <w:pStyle w:val="1005"/>
              <w:ind w:left="57" w:right="57"/>
            </w:pPr>
            <w:r>
              <w:t xml:space="preserve">Кор. </w:t>
            </w:r>
            <w:r>
              <w:t xml:space="preserve">С</w:t>
            </w:r>
            <w:r>
              <w:t xml:space="preserve">чет</w:t>
            </w:r>
            <w:r/>
          </w:p>
        </w:tc>
        <w:tc>
          <w:tcPr>
            <w:shd w:val="clear" w:fill="auto" w:color="auto"/>
            <w:tcW w:w="3773" w:type="pct"/>
            <w:textDirection w:val="lrTb"/>
            <w:noWrap w:val="false"/>
          </w:tcPr>
          <w:p>
            <w:pPr>
              <w:pStyle w:val="1005"/>
              <w:ind w:left="57" w:right="57"/>
            </w:pPr>
            <w:r>
              <w:t xml:space="preserve">Номер корреспондирующего счета банка.</w:t>
            </w:r>
            <w:r/>
          </w:p>
          <w:p>
            <w:pPr>
              <w:pStyle w:val="1005"/>
              <w:ind w:left="57" w:right="57"/>
            </w:pPr>
            <w:r>
              <w:t xml:space="preserve">Значение вводится вручную.</w:t>
            </w:r>
            <w:r/>
          </w:p>
        </w:tc>
      </w:tr>
      <w:tr>
        <w:trPr>
          <w:trHeight w:val="440"/>
        </w:trPr>
        <w:tc>
          <w:tcPr>
            <w:shd w:val="clear" w:fill="auto" w:color="auto"/>
            <w:tcW w:w="1227" w:type="pct"/>
            <w:textDirection w:val="lrTb"/>
            <w:noWrap w:val="false"/>
          </w:tcPr>
          <w:p>
            <w:pPr>
              <w:pStyle w:val="1005"/>
              <w:ind w:left="57" w:right="57"/>
            </w:pPr>
            <w:r>
              <w:t xml:space="preserve">Банк</w:t>
            </w:r>
            <w:r/>
          </w:p>
        </w:tc>
        <w:tc>
          <w:tcPr>
            <w:shd w:val="clear" w:fill="auto" w:color="auto"/>
            <w:tcW w:w="3773" w:type="pct"/>
            <w:textDirection w:val="lrTb"/>
            <w:noWrap w:val="false"/>
          </w:tcPr>
          <w:p>
            <w:pPr>
              <w:pStyle w:val="1005"/>
              <w:ind w:left="57" w:right="57"/>
            </w:pPr>
            <w:r>
              <w:t xml:space="preserve">Наименование банка получателя.</w:t>
            </w:r>
            <w:r/>
          </w:p>
          <w:p>
            <w:pPr>
              <w:pStyle w:val="1005"/>
              <w:ind w:left="57" w:right="57"/>
            </w:pPr>
            <w:r>
              <w:t xml:space="preserve">Значение вводится вручную.</w:t>
            </w:r>
            <w:r/>
          </w:p>
        </w:tc>
      </w:tr>
      <w:tr>
        <w:trPr>
          <w:trHeight w:val="338"/>
        </w:trPr>
        <w:tc>
          <w:tcPr>
            <w:shd w:val="clear" w:fill="auto" w:color="auto"/>
            <w:tcW w:w="1227" w:type="pct"/>
            <w:textDirection w:val="lrTb"/>
            <w:noWrap w:val="false"/>
          </w:tcPr>
          <w:p>
            <w:pPr>
              <w:pStyle w:val="1005"/>
              <w:ind w:left="57" w:right="57"/>
            </w:pPr>
            <w:r>
              <w:t xml:space="preserve">Наименование</w:t>
            </w:r>
            <w:r/>
          </w:p>
        </w:tc>
        <w:tc>
          <w:tcPr>
            <w:shd w:val="clear" w:fill="auto" w:color="auto"/>
            <w:tcW w:w="3773" w:type="pct"/>
            <w:textDirection w:val="lrTb"/>
            <w:noWrap w:val="false"/>
          </w:tcPr>
          <w:p>
            <w:pPr>
              <w:pStyle w:val="1005"/>
              <w:ind w:left="57" w:right="57"/>
            </w:pPr>
            <w:r>
              <w:t xml:space="preserve">Наименование получателя.</w:t>
            </w:r>
            <w:r/>
          </w:p>
          <w:p>
            <w:pPr>
              <w:pStyle w:val="1005"/>
              <w:ind w:left="57" w:right="57"/>
            </w:pPr>
            <w:r>
              <w:t xml:space="preserve">Значение вводится вручную.</w:t>
            </w:r>
            <w:r/>
          </w:p>
        </w:tc>
      </w:tr>
    </w:tbl>
    <w:p>
      <w:pPr>
        <w:pStyle w:val="994"/>
      </w:pPr>
      <w:r>
        <w:t xml:space="preserve">В табличное поле «Платежные докум</w:t>
      </w:r>
      <w:r>
        <w:t xml:space="preserve">енты» (см.</w:t>
      </w:r>
      <w:r>
        <w:t xml:space="preserve"> </w:t>
      </w:r>
      <w:r>
        <w:t xml:space="preserve">рис. </w:t>
      </w:r>
      <w:r>
        <w:fldChar w:fldCharType="begin"/>
      </w:r>
      <w:r>
        <w:instrText xml:space="preserve"> REF _Ref277780613 \h  \* MERGEFORMAT </w:instrText>
      </w:r>
      <w:r>
        <w:fldChar w:fldCharType="separate"/>
      </w:r>
      <w:r>
        <w:t xml:space="preserve">143</w:t>
      </w:r>
      <w:r>
        <w:fldChar w:fldCharType="end"/>
      </w:r>
      <w:r>
        <w:t xml:space="preserve">) добавляются строки с данными платежных поручений, включенных в пакет. Поля таблицы «Платежные документы» </w:t>
      </w:r>
      <w:r>
        <w:t xml:space="preserve">приведен в таблице</w:t>
      </w:r>
      <w:r>
        <w:t xml:space="preserve"> </w:t>
      </w:r>
      <w:r>
        <w:fldChar w:fldCharType="begin"/>
      </w:r>
      <w:r>
        <w:instrText xml:space="preserve"> REF _Ref317610320 \h  \* MERGEFORMAT </w:instrText>
      </w:r>
      <w:r>
        <w:fldChar w:fldCharType="separate"/>
      </w:r>
      <w:r>
        <w:t xml:space="preserve">78</w:t>
      </w:r>
      <w:r>
        <w:fldChar w:fldCharType="end"/>
      </w:r>
      <w:r>
        <w:t xml:space="preserve">. После нажатия на кнопку </w:t>
      </w:r>
      <w:r>
        <mc:AlternateContent>
          <mc:Choice Requires="wpg">
            <w:drawing>
              <wp:inline xmlns:wp="http://schemas.openxmlformats.org/drawingml/2006/wordprocessingDrawing" distT="0" distB="0" distL="0" distR="0">
                <wp:extent cx="182880" cy="182880"/>
                <wp:effectExtent l="0" t="0" r="0" b="0"/>
                <wp:docPr id="22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5" o:spid="_x0000_s225" type="#_x0000_t75" style="mso-wrap-distance-left:0.0pt;mso-wrap-distance-top:0.0pt;mso-wrap-distance-right:0.0pt;mso-wrap-distance-bottom:0.0pt;width:14.4pt;height:14.4pt;" stroked="f">
                <v:path textboxrect="0,0,0,0"/>
                <v:imagedata r:id="rId80" o:title=""/>
              </v:shape>
            </w:pict>
          </mc:Fallback>
        </mc:AlternateContent>
      </w:r>
      <w:r>
        <w:t xml:space="preserve"> </w:t>
      </w:r>
      <w:r>
        <w:t xml:space="preserve">(Добавить новую строку)</w:t>
      </w:r>
      <w:r>
        <w:t xml:space="preserve"> становятся активными закладки «Основные атрибуты» и «БК и налоговые показателя» для ввода данных платежного поручения.</w:t>
      </w:r>
      <w:r/>
    </w:p>
    <w:p>
      <w:pPr>
        <w:pStyle w:val="994"/>
      </w:pPr>
      <w:r>
        <w:t xml:space="preserve">Для ввода платежного поручения необходимо нажать на кнопку </w:t>
      </w:r>
      <w:r>
        <mc:AlternateContent>
          <mc:Choice Requires="wpg">
            <w:drawing>
              <wp:inline xmlns:wp="http://schemas.openxmlformats.org/drawingml/2006/wordprocessingDrawing" distT="0" distB="0" distL="0" distR="0">
                <wp:extent cx="182880" cy="182880"/>
                <wp:effectExtent l="0" t="0" r="0" b="0"/>
                <wp:docPr id="22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6" o:spid="_x0000_s226" type="#_x0000_t75" style="mso-wrap-distance-left:0.0pt;mso-wrap-distance-top:0.0pt;mso-wrap-distance-right:0.0pt;mso-wrap-distance-bottom:0.0pt;width:14.4pt;height:14.4pt;" stroked="f">
                <v:path textboxrect="0,0,0,0"/>
                <v:imagedata r:id="rId80" o:title=""/>
              </v:shape>
            </w:pict>
          </mc:Fallback>
        </mc:AlternateContent>
      </w:r>
      <w:r>
        <w:t xml:space="preserve"> </w:t>
      </w:r>
      <w:r>
        <w:t xml:space="preserve">(Добавить новую строку)</w:t>
      </w:r>
      <w:r>
        <w:t xml:space="preserve"> и заполнить поля закладок «Основные атрибуты» и «БК и налоговые показателя».</w:t>
      </w:r>
      <w:r/>
    </w:p>
    <w:p>
      <w:pPr>
        <w:pStyle w:val="994"/>
      </w:pPr>
      <w:r>
        <w:t xml:space="preserve">ЭФ документа «Информация из расчетных документов, прилагаемых к реестру платежей минуя счет 40101</w:t>
      </w:r>
      <w:r>
        <w:t xml:space="preserve">», закладки «</w:t>
      </w:r>
      <w:r>
        <w:t xml:space="preserve">БК и налоговые показатели»</w:t>
      </w:r>
      <w:r>
        <w:t xml:space="preserve"> </w:t>
      </w:r>
      <w:r>
        <w:t xml:space="preserve">представлена </w:t>
      </w:r>
      <w:r>
        <w:t xml:space="preserve">н</w:t>
      </w:r>
      <w:r>
        <w:t xml:space="preserve">а рисунке</w:t>
      </w:r>
      <w:r>
        <w:t xml:space="preserve"> </w:t>
      </w:r>
      <w:r>
        <w:fldChar w:fldCharType="begin"/>
      </w:r>
      <w:r>
        <w:instrText xml:space="preserve"> REF _Ref277780614 \h  \* MERGEFORMAT </w:instrText>
      </w:r>
      <w:r>
        <w:fldChar w:fldCharType="separate"/>
      </w:r>
      <w:r>
        <w:t xml:space="preserve">144</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101340"/>
                <wp:effectExtent l="0" t="0" r="0" b="0"/>
                <wp:docPr id="22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10"/>
                        <a:stretch/>
                      </pic:blipFill>
                      <pic:spPr bwMode="auto">
                        <a:xfrm>
                          <a:off x="0" y="0"/>
                          <a:ext cx="6126480" cy="310133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7" o:spid="_x0000_s227" type="#_x0000_t75" style="mso-wrap-distance-left:0.0pt;mso-wrap-distance-top:0.0pt;mso-wrap-distance-right:0.0pt;mso-wrap-distance-bottom:0.0pt;width:482.4pt;height:244.2pt;" stroked="f">
                <v:path textboxrect="0,0,0,0"/>
                <v:imagedata r:id="rId210" o:title=""/>
              </v:shape>
            </w:pict>
          </mc:Fallback>
        </mc:AlternateContent>
      </w:r>
      <w:r/>
    </w:p>
    <w:p>
      <w:pPr>
        <w:pStyle w:val="983"/>
      </w:pPr>
      <w:r>
        <w:fldChar w:fldCharType="begin"/>
      </w:r>
      <w:r>
        <w:instrText xml:space="preserve"> SEQ Рисунок \* ARABIC </w:instrText>
      </w:r>
      <w:r>
        <w:fldChar w:fldCharType="separate"/>
      </w:r>
      <w:bookmarkStart w:id="1128" w:name="_Ref277780614"/>
      <w:r/>
      <w:bookmarkStart w:id="1129" w:name="_Toc88819529"/>
      <w:r>
        <w:t xml:space="preserve">144</w:t>
      </w:r>
      <w:bookmarkEnd w:id="1128"/>
      <w:r>
        <w:fldChar w:fldCharType="end"/>
      </w:r>
      <w:r>
        <w:t xml:space="preserve">. ЭФ документа «Информация из расчетных документов, прилагаемых к реестру платежей минуя счет 40101</w:t>
      </w:r>
      <w:r>
        <w:t xml:space="preserve">», закладки</w:t>
      </w:r>
      <w:r>
        <w:t xml:space="preserve"> </w:t>
      </w:r>
      <w:r>
        <w:t xml:space="preserve">«</w:t>
      </w:r>
      <w:r>
        <w:t xml:space="preserve">БК и налоговые показатели»</w:t>
      </w:r>
      <w:bookmarkEnd w:id="1129"/>
      <w:r/>
      <w:r/>
    </w:p>
    <w:p>
      <w:pPr>
        <w:pStyle w:val="994"/>
      </w:pPr>
      <w:r>
        <w:t xml:space="preserve">Перечень полей документа «Информация из расчетных документов, прилагаемых к реестру платежей минуя счет 40101</w:t>
      </w:r>
      <w:r>
        <w:t xml:space="preserve">», закладки «</w:t>
      </w:r>
      <w:r>
        <w:t xml:space="preserve">БК и налоговые показатели» приведен в таблице</w:t>
      </w:r>
      <w:r>
        <w:t xml:space="preserve"> </w:t>
      </w:r>
      <w:r>
        <w:fldChar w:fldCharType="begin"/>
      </w:r>
      <w:r>
        <w:instrText xml:space="preserve"> REF _Ref371098498 \h  \* MERGEFORMAT </w:instrText>
      </w:r>
      <w:r>
        <w:fldChar w:fldCharType="separate"/>
      </w:r>
      <w:r>
        <w:t xml:space="preserve">79</w:t>
      </w:r>
      <w:r>
        <w:fldChar w:fldCharType="end"/>
      </w:r>
      <w:r>
        <w:t xml:space="preserve">.</w:t>
      </w:r>
      <w:r/>
    </w:p>
    <w:p>
      <w:pPr>
        <w:pStyle w:val="993"/>
      </w:pPr>
      <w:r>
        <w:fldChar w:fldCharType="begin"/>
      </w:r>
      <w:r>
        <w:instrText xml:space="preserve"> SEQ Таблица \* ARABIC </w:instrText>
      </w:r>
      <w:r>
        <w:fldChar w:fldCharType="separate"/>
      </w:r>
      <w:bookmarkStart w:id="1130" w:name="_Ref371098498"/>
      <w:r/>
      <w:bookmarkStart w:id="1131" w:name="_Toc88819265"/>
      <w:r>
        <w:t xml:space="preserve">79</w:t>
      </w:r>
      <w:bookmarkEnd w:id="1130"/>
      <w:r>
        <w:fldChar w:fldCharType="end"/>
      </w:r>
      <w:r>
        <w:t xml:space="preserve">. </w:t>
      </w:r>
      <w:r>
        <w:t xml:space="preserve">О</w:t>
      </w:r>
      <w:r>
        <w:t xml:space="preserve">писание полей документа «</w:t>
      </w:r>
      <w:r>
        <w:t xml:space="preserve">Информация из расчетных документов, прилагаемых к реестру платежей минуя счет 40101», закладки</w:t>
      </w:r>
      <w:r>
        <w:t xml:space="preserve"> </w:t>
      </w:r>
      <w:r>
        <w:t xml:space="preserve">«БК и налоговые показатели»</w:t>
      </w:r>
      <w:bookmarkEnd w:id="1131"/>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452"/>
        <w:gridCol w:w="7300"/>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25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43" w:type="pct"/>
            <w:vAlign w:val="center"/>
            <w:textDirection w:val="lrTb"/>
            <w:noWrap w:val="false"/>
          </w:tcPr>
          <w:p>
            <w:pPr>
              <w:pStyle w:val="1006"/>
            </w:pPr>
            <w:r>
              <w:t xml:space="preserve">Описание поля</w:t>
            </w:r>
            <w:r/>
          </w:p>
        </w:tc>
      </w:tr>
      <w:tr>
        <w:trPr/>
        <w:tc>
          <w:tcPr>
            <w:shd w:val="clear" w:fill="auto" w:color="auto"/>
            <w:tcW w:w="1257" w:type="pct"/>
            <w:textDirection w:val="lrTb"/>
            <w:noWrap w:val="false"/>
          </w:tcPr>
          <w:p>
            <w:pPr>
              <w:pStyle w:val="1005"/>
              <w:ind w:left="57" w:right="57"/>
            </w:pPr>
            <w:r>
              <w:t xml:space="preserve">Статус</w:t>
            </w:r>
            <w:r/>
          </w:p>
        </w:tc>
        <w:tc>
          <w:tcPr>
            <w:shd w:val="clear" w:fill="auto" w:color="auto"/>
            <w:tcW w:w="3743" w:type="pct"/>
            <w:textDirection w:val="lrTb"/>
            <w:noWrap w:val="false"/>
          </w:tcPr>
          <w:p>
            <w:pPr>
              <w:pStyle w:val="1005"/>
              <w:ind w:left="57" w:right="57"/>
            </w:pPr>
            <w:r>
              <w:t xml:space="preserve">Статус налогоплательщика. </w:t>
            </w:r>
            <w:r/>
          </w:p>
          <w:p>
            <w:pPr>
              <w:pStyle w:val="1005"/>
              <w:ind w:left="57" w:right="57"/>
            </w:pPr>
            <w:r>
              <w:t xml:space="preserve">Указывается информация согласно п</w:t>
            </w:r>
            <w:r>
              <w:t xml:space="preserve">.</w:t>
            </w:r>
            <w:r>
              <w:t xml:space="preserve"> 2.10 положения 2-П ЦБ. </w:t>
            </w:r>
            <w:r>
              <w:t xml:space="preserve">Возможные значения: «01», «02»,.., «20»</w:t>
            </w:r>
            <w:r>
              <w:t xml:space="preserve">.</w:t>
            </w:r>
            <w:r/>
          </w:p>
        </w:tc>
      </w:tr>
      <w:tr>
        <w:trPr/>
        <w:tc>
          <w:tcPr>
            <w:shd w:val="clear" w:fill="auto" w:color="auto"/>
            <w:tcW w:w="1257" w:type="pct"/>
            <w:textDirection w:val="lrTb"/>
            <w:noWrap w:val="false"/>
          </w:tcPr>
          <w:p>
            <w:pPr>
              <w:pStyle w:val="1005"/>
              <w:ind w:left="57" w:right="57"/>
            </w:pPr>
            <w:r>
              <w:t xml:space="preserve">КБК</w:t>
            </w:r>
            <w:r/>
          </w:p>
        </w:tc>
        <w:tc>
          <w:tcPr>
            <w:shd w:val="clear" w:fill="auto" w:color="auto"/>
            <w:tcW w:w="3743" w:type="pct"/>
            <w:textDirection w:val="lrTb"/>
            <w:noWrap w:val="false"/>
          </w:tcPr>
          <w:p>
            <w:pPr>
              <w:pStyle w:val="1005"/>
              <w:ind w:left="57" w:right="57"/>
            </w:pPr>
            <w:r>
              <w:t xml:space="preserve">Код бюджетной классификации доходов (20 символов)</w:t>
            </w:r>
            <w:r>
              <w:t xml:space="preserve">.</w:t>
            </w:r>
            <w:r/>
          </w:p>
        </w:tc>
      </w:tr>
      <w:tr>
        <w:trPr/>
        <w:tc>
          <w:tcPr>
            <w:shd w:val="clear" w:fill="auto" w:color="auto"/>
            <w:tcW w:w="1257" w:type="pct"/>
            <w:textDirection w:val="lrTb"/>
            <w:noWrap w:val="false"/>
          </w:tcPr>
          <w:p>
            <w:pPr>
              <w:pStyle w:val="1005"/>
              <w:ind w:left="57" w:right="57"/>
            </w:pPr>
            <w:r>
              <w:t xml:space="preserve">Код по ОКТМО</w:t>
            </w:r>
            <w:r/>
          </w:p>
        </w:tc>
        <w:tc>
          <w:tcPr>
            <w:shd w:val="clear" w:fill="auto" w:color="auto"/>
            <w:tcW w:w="3743" w:type="pct"/>
            <w:textDirection w:val="lrTb"/>
            <w:noWrap w:val="false"/>
          </w:tcPr>
          <w:p>
            <w:pPr>
              <w:pStyle w:val="1005"/>
              <w:ind w:left="57" w:right="57"/>
            </w:pPr>
            <w:r>
              <w:t xml:space="preserve">Значение вводится вручную.</w:t>
            </w:r>
            <w:r/>
          </w:p>
        </w:tc>
      </w:tr>
      <w:tr>
        <w:trPr/>
        <w:tc>
          <w:tcPr>
            <w:shd w:val="clear" w:fill="auto" w:color="auto"/>
            <w:tcW w:w="1257" w:type="pct"/>
            <w:textDirection w:val="lrTb"/>
            <w:noWrap w:val="false"/>
          </w:tcPr>
          <w:p>
            <w:pPr>
              <w:pStyle w:val="1005"/>
              <w:ind w:left="57" w:right="57"/>
            </w:pPr>
            <w:r>
              <w:t xml:space="preserve">Основан. </w:t>
            </w:r>
            <w:r>
              <w:t xml:space="preserve">П</w:t>
            </w:r>
            <w:r>
              <w:t xml:space="preserve">лат.</w:t>
            </w:r>
            <w:r/>
          </w:p>
        </w:tc>
        <w:tc>
          <w:tcPr>
            <w:shd w:val="clear" w:fill="auto" w:color="auto"/>
            <w:tcW w:w="3743" w:type="pct"/>
            <w:textDirection w:val="lrTb"/>
            <w:noWrap w:val="false"/>
          </w:tcPr>
          <w:p>
            <w:pPr>
              <w:pStyle w:val="1005"/>
              <w:ind w:left="57" w:right="57"/>
            </w:pPr>
            <w:r>
              <w:t xml:space="preserve">Значение вводится вручную.</w:t>
            </w:r>
            <w:r/>
          </w:p>
        </w:tc>
      </w:tr>
      <w:tr>
        <w:trPr/>
        <w:tc>
          <w:tcPr>
            <w:shd w:val="clear" w:fill="auto" w:color="auto"/>
            <w:tcW w:w="1257" w:type="pct"/>
            <w:textDirection w:val="lrTb"/>
            <w:noWrap w:val="false"/>
          </w:tcPr>
          <w:p>
            <w:pPr>
              <w:pStyle w:val="1005"/>
              <w:ind w:left="57" w:right="57"/>
            </w:pPr>
            <w:r>
              <w:t xml:space="preserve">Налоговый период</w:t>
            </w:r>
            <w:r/>
          </w:p>
        </w:tc>
        <w:tc>
          <w:tcPr>
            <w:shd w:val="clear" w:fill="auto" w:color="auto"/>
            <w:tcW w:w="3743" w:type="pct"/>
            <w:textDirection w:val="lrTb"/>
            <w:noWrap w:val="false"/>
          </w:tcPr>
          <w:p>
            <w:pPr>
              <w:pStyle w:val="1005"/>
              <w:ind w:left="57" w:right="57"/>
            </w:pPr>
            <w:r>
              <w:t xml:space="preserve">Значение вводится вручную.</w:t>
            </w:r>
            <w:r/>
          </w:p>
        </w:tc>
      </w:tr>
      <w:tr>
        <w:trPr/>
        <w:tc>
          <w:tcPr>
            <w:shd w:val="clear" w:fill="auto" w:color="auto"/>
            <w:tcW w:w="1257" w:type="pct"/>
            <w:textDirection w:val="lrTb"/>
            <w:noWrap w:val="false"/>
          </w:tcPr>
          <w:p>
            <w:pPr>
              <w:pStyle w:val="1005"/>
              <w:ind w:left="57" w:right="57"/>
            </w:pPr>
            <w:r>
              <w:t xml:space="preserve">Номер док.</w:t>
            </w:r>
            <w:r/>
          </w:p>
        </w:tc>
        <w:tc>
          <w:tcPr>
            <w:shd w:val="clear" w:fill="auto" w:color="auto"/>
            <w:tcW w:w="3743" w:type="pct"/>
            <w:textDirection w:val="lrTb"/>
            <w:noWrap w:val="false"/>
          </w:tcPr>
          <w:p>
            <w:pPr>
              <w:pStyle w:val="1005"/>
              <w:ind w:left="57" w:right="57"/>
            </w:pPr>
            <w:r>
              <w:t xml:space="preserve">Номер документа.</w:t>
            </w:r>
            <w:r/>
          </w:p>
          <w:p>
            <w:pPr>
              <w:pStyle w:val="1005"/>
              <w:ind w:left="57" w:right="57"/>
            </w:pPr>
            <w:r>
              <w:t xml:space="preserve">Значение вводится вручную.</w:t>
            </w:r>
            <w:r/>
          </w:p>
        </w:tc>
      </w:tr>
      <w:tr>
        <w:trPr/>
        <w:tc>
          <w:tcPr>
            <w:shd w:val="clear" w:fill="auto" w:color="auto"/>
            <w:tcW w:w="1257" w:type="pct"/>
            <w:textDirection w:val="lrTb"/>
            <w:noWrap w:val="false"/>
          </w:tcPr>
          <w:p>
            <w:pPr>
              <w:pStyle w:val="1005"/>
              <w:ind w:left="57" w:right="57"/>
            </w:pPr>
            <w:r>
              <w:t xml:space="preserve">Дата док.</w:t>
            </w:r>
            <w:r/>
          </w:p>
        </w:tc>
        <w:tc>
          <w:tcPr>
            <w:shd w:val="clear" w:fill="auto" w:color="auto"/>
            <w:tcW w:w="3743" w:type="pct"/>
            <w:textDirection w:val="lrTb"/>
            <w:noWrap w:val="false"/>
          </w:tcPr>
          <w:p>
            <w:pPr>
              <w:pStyle w:val="1005"/>
              <w:ind w:left="57" w:right="57"/>
            </w:pPr>
            <w:r>
              <w:t xml:space="preserve">Дата документа. </w:t>
            </w:r>
            <w:r/>
          </w:p>
          <w:p>
            <w:pPr>
              <w:pStyle w:val="1005"/>
              <w:ind w:left="57" w:right="57"/>
            </w:pPr>
            <w:r>
              <w:t xml:space="preserve">Значение вводится вручную.</w:t>
            </w:r>
            <w:r/>
          </w:p>
        </w:tc>
      </w:tr>
      <w:tr>
        <w:trPr/>
        <w:tc>
          <w:tcPr>
            <w:shd w:val="clear" w:fill="auto" w:color="auto"/>
            <w:tcW w:w="1257" w:type="pct"/>
            <w:textDirection w:val="lrTb"/>
            <w:noWrap w:val="false"/>
          </w:tcPr>
          <w:p>
            <w:pPr>
              <w:pStyle w:val="1005"/>
              <w:ind w:left="57" w:right="57"/>
            </w:pPr>
            <w:r>
              <w:t xml:space="preserve">Тип платежа</w:t>
            </w:r>
            <w:r/>
          </w:p>
        </w:tc>
        <w:tc>
          <w:tcPr>
            <w:shd w:val="clear" w:fill="auto" w:color="auto"/>
            <w:tcW w:w="3743" w:type="pct"/>
            <w:textDirection w:val="lrTb"/>
            <w:noWrap w:val="false"/>
          </w:tcPr>
          <w:p>
            <w:pPr>
              <w:pStyle w:val="1005"/>
              <w:ind w:left="57" w:right="57"/>
            </w:pPr>
            <w:r>
              <w:t xml:space="preserve">Значение вводится вручную.</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w:t>
            </w:r>
            <w:r>
              <w:t xml:space="preserve">Расшифровка платежного документа</w:t>
            </w:r>
            <w:r>
              <w:t xml:space="preserve">»</w:t>
            </w:r>
            <w:r/>
          </w:p>
        </w:tc>
      </w:tr>
      <w:tr>
        <w:trPr/>
        <w:tc>
          <w:tcPr>
            <w:shd w:val="clear" w:fill="auto" w:color="auto"/>
            <w:tcW w:w="1257" w:type="pct"/>
            <w:textDirection w:val="lrTb"/>
            <w:noWrap w:val="false"/>
          </w:tcPr>
          <w:p>
            <w:pPr>
              <w:pStyle w:val="1005"/>
              <w:ind w:left="57" w:right="57"/>
            </w:pPr>
            <w:r>
              <w:t xml:space="preserve">№ п/п</w:t>
            </w:r>
            <w:r/>
          </w:p>
        </w:tc>
        <w:tc>
          <w:tcPr>
            <w:shd w:val="clear" w:fill="auto" w:color="auto"/>
            <w:tcW w:w="3743" w:type="pct"/>
            <w:textDirection w:val="lrTb"/>
            <w:noWrap w:val="false"/>
          </w:tcPr>
          <w:p>
            <w:pPr>
              <w:pStyle w:val="1005"/>
              <w:ind w:left="57" w:right="57"/>
            </w:pPr>
            <w:r>
              <w:t xml:space="preserve">Номер по порядку.</w:t>
            </w:r>
            <w:r/>
          </w:p>
          <w:p>
            <w:pPr>
              <w:pStyle w:val="1005"/>
              <w:ind w:left="57" w:right="57"/>
            </w:pPr>
            <w:r>
              <w:t xml:space="preserve">Заполняется автоматически.</w:t>
            </w:r>
            <w:r/>
          </w:p>
        </w:tc>
      </w:tr>
      <w:tr>
        <w:trPr/>
        <w:tc>
          <w:tcPr>
            <w:shd w:val="clear" w:fill="auto" w:color="auto"/>
            <w:tcW w:w="1257" w:type="pct"/>
            <w:textDirection w:val="lrTb"/>
            <w:noWrap w:val="false"/>
          </w:tcPr>
          <w:p>
            <w:pPr>
              <w:pStyle w:val="1005"/>
              <w:ind w:left="57" w:right="57"/>
            </w:pPr>
            <w:r>
              <w:t xml:space="preserve">КБК</w:t>
            </w:r>
            <w:r/>
          </w:p>
        </w:tc>
        <w:tc>
          <w:tcPr>
            <w:shd w:val="clear" w:fill="auto" w:color="auto"/>
            <w:tcW w:w="3743" w:type="pct"/>
            <w:textDirection w:val="lrTb"/>
            <w:noWrap w:val="false"/>
          </w:tcPr>
          <w:p>
            <w:pPr>
              <w:pStyle w:val="1005"/>
              <w:ind w:left="57" w:right="57"/>
            </w:pPr>
            <w:r>
              <w:t xml:space="preserve">Код бюджетной классификации плательщика.</w:t>
            </w:r>
            <w:r/>
          </w:p>
          <w:p>
            <w:pPr>
              <w:pStyle w:val="1005"/>
              <w:ind w:left="57" w:right="57"/>
            </w:pPr>
            <w:r>
              <w:t xml:space="preserve">Из родительского документа либо значение вводится вручную.</w:t>
            </w:r>
            <w:r/>
          </w:p>
        </w:tc>
      </w:tr>
      <w:tr>
        <w:trPr/>
        <w:tc>
          <w:tcPr>
            <w:shd w:val="clear" w:fill="auto" w:color="auto"/>
            <w:tcW w:w="1257" w:type="pct"/>
            <w:textDirection w:val="lrTb"/>
            <w:noWrap w:val="false"/>
          </w:tcPr>
          <w:p>
            <w:pPr>
              <w:pStyle w:val="1005"/>
              <w:ind w:left="57" w:right="57"/>
            </w:pPr>
            <w:r>
              <w:t xml:space="preserve">Сумма</w:t>
            </w:r>
            <w:r/>
          </w:p>
        </w:tc>
        <w:tc>
          <w:tcPr>
            <w:shd w:val="clear" w:fill="auto" w:color="auto"/>
            <w:tcW w:w="3743" w:type="pct"/>
            <w:textDirection w:val="lrTb"/>
            <w:noWrap w:val="false"/>
          </w:tcPr>
          <w:p>
            <w:pPr>
              <w:pStyle w:val="1005"/>
              <w:ind w:left="57" w:right="57"/>
            </w:pPr>
            <w:r>
              <w:t xml:space="preserve">Сумма по строке платежного поручения.</w:t>
            </w:r>
            <w:r/>
          </w:p>
        </w:tc>
      </w:tr>
      <w:tr>
        <w:trPr/>
        <w:tc>
          <w:tcPr>
            <w:shd w:val="clear" w:fill="auto" w:color="auto"/>
            <w:tcW w:w="1257" w:type="pct"/>
            <w:textDirection w:val="lrTb"/>
            <w:noWrap w:val="false"/>
          </w:tcPr>
          <w:p>
            <w:pPr>
              <w:pStyle w:val="1005"/>
              <w:ind w:left="57" w:right="57"/>
            </w:pPr>
            <w:r>
              <w:t xml:space="preserve">Код цели</w:t>
            </w:r>
            <w:r/>
          </w:p>
        </w:tc>
        <w:tc>
          <w:tcPr>
            <w:shd w:val="clear" w:fill="auto" w:color="auto"/>
            <w:tcW w:w="3743" w:type="pct"/>
            <w:textDirection w:val="lrTb"/>
            <w:noWrap w:val="false"/>
          </w:tcPr>
          <w:p>
            <w:pPr>
              <w:pStyle w:val="1005"/>
              <w:ind w:left="57" w:right="57"/>
            </w:pPr>
            <w:r>
              <w:t xml:space="preserve">Код цели субсидий/субвенций.</w:t>
            </w:r>
            <w:r/>
          </w:p>
        </w:tc>
      </w:tr>
      <w:tr>
        <w:trPr/>
        <w:tc>
          <w:tcPr>
            <w:shd w:val="clear" w:fill="auto" w:color="auto"/>
            <w:tcW w:w="1257" w:type="pct"/>
            <w:textDirection w:val="lrTb"/>
            <w:noWrap w:val="false"/>
          </w:tcPr>
          <w:p>
            <w:pPr>
              <w:pStyle w:val="1005"/>
              <w:ind w:left="57" w:right="57"/>
            </w:pPr>
            <w:r>
              <w:t xml:space="preserve">Код по ОКТМО</w:t>
            </w:r>
            <w:r/>
          </w:p>
        </w:tc>
        <w:tc>
          <w:tcPr>
            <w:shd w:val="clear" w:fill="auto" w:color="auto"/>
            <w:tcW w:w="3743" w:type="pct"/>
            <w:textDirection w:val="lrTb"/>
            <w:noWrap w:val="false"/>
          </w:tcPr>
          <w:p>
            <w:pPr>
              <w:pStyle w:val="1005"/>
              <w:ind w:left="57" w:right="57"/>
            </w:pPr>
            <w:r>
              <w:t xml:space="preserve">Из родительского документа. </w:t>
            </w:r>
            <w:r/>
          </w:p>
          <w:p>
            <w:pPr>
              <w:pStyle w:val="1005"/>
              <w:ind w:left="57" w:right="57"/>
            </w:pPr>
            <w:r>
              <w:t xml:space="preserve">Значение заполняется вручную, либо выбирается из справочника «ОКАТО/ОКТМО».</w:t>
            </w:r>
            <w:r/>
          </w:p>
        </w:tc>
      </w:tr>
      <w:tr>
        <w:trPr/>
        <w:tc>
          <w:tcPr>
            <w:shd w:val="clear" w:fill="auto" w:color="auto"/>
            <w:tcW w:w="1257" w:type="pct"/>
            <w:textDirection w:val="lrTb"/>
            <w:noWrap w:val="false"/>
          </w:tcPr>
          <w:p>
            <w:pPr>
              <w:pStyle w:val="1005"/>
              <w:ind w:left="57" w:right="57"/>
            </w:pPr>
            <w:r>
              <w:t xml:space="preserve">Сумма</w:t>
            </w:r>
            <w:r/>
          </w:p>
        </w:tc>
        <w:tc>
          <w:tcPr>
            <w:shd w:val="clear" w:fill="auto" w:color="auto"/>
            <w:tcW w:w="3743" w:type="pct"/>
            <w:textDirection w:val="lrTb"/>
            <w:noWrap w:val="false"/>
          </w:tcPr>
          <w:p>
            <w:pPr>
              <w:pStyle w:val="1005"/>
              <w:ind w:left="57" w:right="57"/>
            </w:pPr>
            <w:r>
              <w:t xml:space="preserve">Из родительского документа либо значение вводится вручную.</w:t>
            </w:r>
            <w:r/>
          </w:p>
        </w:tc>
      </w:tr>
      <w:tr>
        <w:trPr/>
        <w:tc>
          <w:tcPr>
            <w:shd w:val="clear" w:fill="auto" w:color="auto"/>
            <w:tcW w:w="1257" w:type="pct"/>
            <w:textDirection w:val="lrTb"/>
            <w:noWrap w:val="false"/>
          </w:tcPr>
          <w:p>
            <w:pPr>
              <w:pStyle w:val="1005"/>
              <w:ind w:left="57" w:right="57"/>
            </w:pPr>
            <w:r>
              <w:t xml:space="preserve">Направление платежа</w:t>
            </w:r>
            <w:r>
              <w:tab/>
            </w:r>
            <w:r/>
          </w:p>
        </w:tc>
        <w:tc>
          <w:tcPr>
            <w:shd w:val="clear" w:fill="auto" w:color="auto"/>
            <w:tcW w:w="3743" w:type="pct"/>
            <w:textDirection w:val="lrTb"/>
            <w:noWrap w:val="false"/>
          </w:tcPr>
          <w:p>
            <w:pPr>
              <w:pStyle w:val="1005"/>
              <w:ind w:left="57" w:right="57"/>
            </w:pPr>
            <w:r>
              <w:t xml:space="preserve">Значение выбирается из списка:</w:t>
            </w:r>
            <w:r/>
          </w:p>
          <w:p>
            <w:pPr>
              <w:pStyle w:val="1007"/>
            </w:pPr>
            <w:r>
              <w:t xml:space="preserve">0 – зачисление;</w:t>
            </w:r>
            <w:r/>
          </w:p>
          <w:p>
            <w:pPr>
              <w:pStyle w:val="1007"/>
            </w:pPr>
            <w:r>
              <w:t xml:space="preserve">1 – списание.</w:t>
            </w:r>
            <w:r/>
          </w:p>
          <w:p>
            <w:pPr>
              <w:pStyle w:val="1005"/>
              <w:ind w:left="57" w:right="57"/>
            </w:pPr>
            <w:r>
              <w:t xml:space="preserve">На визуальную форму подтягивается код значения.</w:t>
            </w:r>
            <w:r/>
          </w:p>
        </w:tc>
      </w:tr>
    </w:tbl>
    <w:p>
      <w:pPr>
        <w:pStyle w:val="994"/>
      </w:pPr>
      <w:r>
        <w:t xml:space="preserve">В поле табличного блока (см.</w:t>
      </w:r>
      <w:r>
        <w:t xml:space="preserve"> </w:t>
      </w:r>
      <w:r>
        <w:t xml:space="preserve">рис. </w:t>
      </w:r>
      <w:r>
        <w:fldChar w:fldCharType="begin"/>
      </w:r>
      <w:r>
        <w:instrText xml:space="preserve"> REF _Ref277780614 \h  \* MERGEFORMAT </w:instrText>
      </w:r>
      <w:r>
        <w:fldChar w:fldCharType="separate"/>
      </w:r>
      <w:r>
        <w:t xml:space="preserve">144</w:t>
      </w:r>
      <w:r>
        <w:fldChar w:fldCharType="end"/>
      </w:r>
      <w:r>
        <w:t xml:space="preserve">) на закладке «БК и налоговые показатели» вводятся строки расшифровки суммы платежного документа по БК. </w:t>
      </w:r>
      <w:r>
        <w:t xml:space="preserve">Поля табличного блока приведены в таблице</w:t>
      </w:r>
      <w:r>
        <w:t xml:space="preserve"> </w:t>
      </w:r>
      <w:r>
        <w:fldChar w:fldCharType="begin"/>
      </w:r>
      <w:r>
        <w:instrText xml:space="preserve"> REF _Ref371098498 \h  \* MERGEFORMAT </w:instrText>
      </w:r>
      <w:r>
        <w:fldChar w:fldCharType="separate"/>
      </w:r>
      <w:r>
        <w:t xml:space="preserve">79</w:t>
      </w:r>
      <w:r>
        <w:fldChar w:fldCharType="end"/>
      </w:r>
      <w:r>
        <w:t xml:space="preserve">.</w:t>
      </w:r>
      <w:r/>
    </w:p>
    <w:p>
      <w:pPr>
        <w:pStyle w:val="982"/>
      </w:pPr>
      <w:r>
        <mc:AlternateContent>
          <mc:Choice Requires="wpg">
            <w:drawing>
              <wp:inline xmlns:wp="http://schemas.openxmlformats.org/drawingml/2006/wordprocessingDrawing" distT="0" distB="0" distL="0" distR="0">
                <wp:extent cx="6042660" cy="2377440"/>
                <wp:effectExtent l="0" t="0" r="0" b="0"/>
                <wp:docPr id="22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11"/>
                        <a:stretch/>
                      </pic:blipFill>
                      <pic:spPr bwMode="auto">
                        <a:xfrm>
                          <a:off x="0" y="0"/>
                          <a:ext cx="6042660" cy="23774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8" o:spid="_x0000_s228" type="#_x0000_t75" style="mso-wrap-distance-left:0.0pt;mso-wrap-distance-top:0.0pt;mso-wrap-distance-right:0.0pt;mso-wrap-distance-bottom:0.0pt;width:475.8pt;height:187.2pt;" stroked="f">
                <v:path textboxrect="0,0,0,0"/>
                <v:imagedata r:id="rId211" o:title=""/>
              </v:shape>
            </w:pict>
          </mc:Fallback>
        </mc:AlternateContent>
      </w:r>
      <w:r/>
    </w:p>
    <w:p>
      <w:pPr>
        <w:pStyle w:val="983"/>
      </w:pPr>
      <w:r>
        <w:fldChar w:fldCharType="begin"/>
      </w:r>
      <w:r>
        <w:instrText xml:space="preserve"> SEQ Рисунок \* ARABIC </w:instrText>
      </w:r>
      <w:r>
        <w:fldChar w:fldCharType="separate"/>
      </w:r>
      <w:bookmarkStart w:id="1132" w:name="_Ref277780615"/>
      <w:r/>
      <w:bookmarkStart w:id="1133" w:name="_Toc88819530"/>
      <w:r>
        <w:t xml:space="preserve">145</w:t>
      </w:r>
      <w:bookmarkEnd w:id="1132"/>
      <w:r>
        <w:fldChar w:fldCharType="end"/>
      </w:r>
      <w:r>
        <w:t xml:space="preserve">. </w:t>
      </w:r>
      <w:r>
        <w:t xml:space="preserve">Форма «Добавление записи»</w:t>
      </w:r>
      <w:bookmarkEnd w:id="1133"/>
      <w:r/>
      <w:r/>
    </w:p>
    <w:p>
      <w:pPr>
        <w:pStyle w:val="994"/>
      </w:pPr>
      <w:r>
        <w:t xml:space="preserve">Для добавления строки расшифровки по БК следует нажать на кнопку </w:t>
      </w:r>
      <w:r>
        <mc:AlternateContent>
          <mc:Choice Requires="wpg">
            <w:drawing>
              <wp:inline xmlns:wp="http://schemas.openxmlformats.org/drawingml/2006/wordprocessingDrawing" distT="0" distB="0" distL="0" distR="0">
                <wp:extent cx="182880" cy="182880"/>
                <wp:effectExtent l="0" t="0" r="0" b="0"/>
                <wp:docPr id="23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9" o:spid="_x0000_s229" type="#_x0000_t75" style="mso-wrap-distance-left:0.0pt;mso-wrap-distance-top:0.0pt;mso-wrap-distance-right:0.0pt;mso-wrap-distance-bottom:0.0pt;width:14.4pt;height:14.4pt;" stroked="f">
                <v:path textboxrect="0,0,0,0"/>
                <v:imagedata r:id="rId80" o:title=""/>
              </v:shape>
            </w:pict>
          </mc:Fallback>
        </mc:AlternateContent>
      </w:r>
      <w:r>
        <w:t xml:space="preserve"> </w:t>
      </w:r>
      <w:r>
        <w:t xml:space="preserve">(Добавить новую строку)</w:t>
      </w:r>
      <w:r>
        <w:t xml:space="preserve">. Открое</w:t>
      </w:r>
      <w:r>
        <w:t xml:space="preserve">тся форма «Добавление записи»</w:t>
      </w:r>
      <w:r>
        <w:t xml:space="preserve"> (см.</w:t>
      </w:r>
      <w:r>
        <w:t xml:space="preserve"> </w:t>
      </w:r>
      <w:r>
        <w:t xml:space="preserve">рис. </w:t>
      </w:r>
      <w:r>
        <w:fldChar w:fldCharType="begin"/>
      </w:r>
      <w:r>
        <w:instrText xml:space="preserve"> REF _Ref277780615 \h  \* MERGEFORMAT </w:instrText>
      </w:r>
      <w:r>
        <w:fldChar w:fldCharType="separate"/>
      </w:r>
      <w:r>
        <w:t xml:space="preserve">145</w:t>
      </w:r>
      <w:r>
        <w:fldChar w:fldCharType="end"/>
      </w:r>
      <w:r>
        <w:t xml:space="preserve">), в которой вручную вводятся следующие реквизиты:</w:t>
      </w:r>
      <w:r/>
    </w:p>
    <w:p>
      <w:pPr>
        <w:pStyle w:val="985"/>
      </w:pPr>
      <w:r>
        <w:t xml:space="preserve">«КБК» – КБК плательщика; поле обязательно для заполнения;</w:t>
      </w:r>
      <w:r/>
    </w:p>
    <w:p>
      <w:pPr>
        <w:pStyle w:val="985"/>
      </w:pPr>
      <w:r>
        <w:t xml:space="preserve">«Код цели» – код цели субсидий/субвенций;</w:t>
      </w:r>
      <w:r/>
    </w:p>
    <w:p>
      <w:pPr>
        <w:pStyle w:val="985"/>
      </w:pPr>
      <w:r>
        <w:t xml:space="preserve">«Код по ОКТМО» – код по ОКТМО; поле обязательно для заполнения;</w:t>
      </w:r>
      <w:r/>
    </w:p>
    <w:p>
      <w:pPr>
        <w:pStyle w:val="985"/>
      </w:pPr>
      <w:r>
        <w:t xml:space="preserve">«Сумма»;</w:t>
      </w:r>
      <w:r/>
    </w:p>
    <w:p>
      <w:pPr>
        <w:pStyle w:val="985"/>
      </w:pPr>
      <w:r>
        <w:t xml:space="preserve">«Направление платежа» – код направления платежа; возможные значения: «0» (зачисление), «1» (списание</w:t>
      </w:r>
      <w:r>
        <w:t xml:space="preserve">).</w:t>
      </w:r>
      <w:r/>
    </w:p>
    <w:p>
      <w:pPr>
        <w:pStyle w:val="994"/>
      </w:pPr>
      <w:r>
        <w:t xml:space="preserve">Для сохранения заполненной строки следует нажать на </w:t>
      </w:r>
      <w:r>
        <w:t xml:space="preserve">кнопку «Ok»</w:t>
      </w:r>
      <w:r>
        <w:t xml:space="preserve"> – в списке появится созданная запись. При потоковом вводе строк нажимается кнопка «Сохранить и создать</w:t>
      </w:r>
      <w:r>
        <w:t xml:space="preserve">».</w:t>
      </w:r>
      <w:r/>
    </w:p>
    <w:p>
      <w:pPr>
        <w:pStyle w:val="994"/>
      </w:pPr>
      <w:r>
        <w:t xml:space="preserve">Для сохранения введенных данных платежных поручений следует нажать на кнопку </w:t>
      </w:r>
      <w:r>
        <mc:AlternateContent>
          <mc:Choice Requires="wpg">
            <w:drawing>
              <wp:inline xmlns:wp="http://schemas.openxmlformats.org/drawingml/2006/wordprocessingDrawing" distT="0" distB="0" distL="0" distR="0">
                <wp:extent cx="274320" cy="274320"/>
                <wp:effectExtent l="0" t="0" r="0" b="0"/>
                <wp:docPr id="23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6"/>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 o:spid="_x0000_s230" type="#_x0000_t75" style="mso-wrap-distance-left:0.0pt;mso-wrap-distance-top:0.0pt;mso-wrap-distance-right:0.0pt;mso-wrap-distance-bottom:0.0pt;width:21.6pt;height:21.6pt;" stroked="f">
                <v:path textboxrect="0,0,0,0"/>
                <v:imagedata r:id="rId16" o:title=""/>
              </v:shape>
            </w:pict>
          </mc:Fallback>
        </mc:AlternateContent>
      </w:r>
      <w:r>
        <w:t xml:space="preserve"> </w:t>
      </w:r>
      <w:r>
        <w:t xml:space="preserve">(Сохранить)</w:t>
      </w:r>
      <w:r>
        <w:t xml:space="preserve"> на панели инструментов таблицы «Платежные </w:t>
      </w:r>
      <w:r>
        <w:t xml:space="preserve">поручения» (см.</w:t>
      </w:r>
      <w:r>
        <w:t xml:space="preserve"> </w:t>
      </w:r>
      <w:r>
        <w:t xml:space="preserve">рис. </w:t>
      </w:r>
      <w:r>
        <w:fldChar w:fldCharType="begin"/>
      </w:r>
      <w:r>
        <w:instrText xml:space="preserve"> REF _Ref277780613 \h  \* MERGEFORMAT </w:instrText>
      </w:r>
      <w:r>
        <w:fldChar w:fldCharType="separate"/>
      </w:r>
      <w:r>
        <w:t xml:space="preserve">143</w:t>
      </w:r>
      <w:r>
        <w:fldChar w:fldCharType="end"/>
      </w:r>
      <w:r>
        <w:t xml:space="preserve">).</w:t>
      </w:r>
      <w:r/>
    </w:p>
    <w:p>
      <w:pPr>
        <w:pStyle w:val="972"/>
      </w:pPr>
      <w:r/>
      <w:bookmarkStart w:id="1134" w:name="_Ref370835955"/>
      <w:r/>
      <w:bookmarkStart w:id="1135" w:name="_Toc422496690"/>
      <w:r/>
      <w:bookmarkStart w:id="1136" w:name="_Toc88819126"/>
      <w:r>
        <w:t xml:space="preserve">Справка органов ФК</w:t>
      </w:r>
      <w:bookmarkEnd w:id="1117"/>
      <w:r/>
      <w:bookmarkEnd w:id="1118"/>
      <w:r/>
      <w:bookmarkEnd w:id="1119"/>
      <w:r/>
      <w:bookmarkEnd w:id="1120"/>
      <w:r/>
      <w:bookmarkEnd w:id="1134"/>
      <w:r/>
      <w:bookmarkEnd w:id="1135"/>
      <w:r/>
      <w:bookmarkEnd w:id="1136"/>
      <w:r/>
      <w:r/>
    </w:p>
    <w:p>
      <w:pPr>
        <w:pStyle w:val="994"/>
      </w:pPr>
      <w:r>
        <w:t xml:space="preserve">Документ «Справка органов ФК», прилагаемый </w:t>
      </w:r>
      <w:r>
        <w:t xml:space="preserve">к выписке из лицевого счета бюджета, предоставляется органами ФК в качестве документа, служащего основанием для отражения операций на ЛС бюджета при частичном исполнении документов «Уведомление об уточнении вида и принадлежности платежа» и «Уведомление об </w:t>
      </w:r>
      <w:r>
        <w:t xml:space="preserve">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а так же в случае осуществления внебанковской операции без документа ФО.</w:t>
      </w:r>
      <w:r/>
    </w:p>
    <w:p>
      <w:pPr>
        <w:pStyle w:val="994"/>
      </w:pPr>
      <w:r>
        <w:t xml:space="preserve">Справка органов ФК формируется в учетной системе УФК и рассылается через ОФК в ФО.</w:t>
      </w:r>
      <w:r/>
    </w:p>
    <w:p>
      <w:pPr>
        <w:pStyle w:val="994"/>
      </w:pPr>
      <w:r>
        <w:t xml:space="preserve">Для работы с документами «Справка органов ФК» следует перейти в пункт меню «Документы – Обработка и учет поступлений – Справка органов ФК». Откроется ЭФ списка документов, представленная на рисунке </w:t>
      </w:r>
      <w:r>
        <w:fldChar w:fldCharType="begin"/>
      </w:r>
      <w:r>
        <w:instrText xml:space="preserve"> REF _Ref230438211 \h  \* MERGEFORMAT </w:instrText>
      </w:r>
      <w:r>
        <w:fldChar w:fldCharType="separate"/>
      </w:r>
      <w:r>
        <w:t xml:space="preserve">146</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3482340"/>
                <wp:effectExtent l="0" t="0" r="0" b="0"/>
                <wp:docPr id="23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12"/>
                        <a:stretch/>
                      </pic:blipFill>
                      <pic:spPr bwMode="auto">
                        <a:xfrm>
                          <a:off x="0" y="0"/>
                          <a:ext cx="6118860" cy="34823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1" o:spid="_x0000_s231" type="#_x0000_t75" style="mso-wrap-distance-left:0.0pt;mso-wrap-distance-top:0.0pt;mso-wrap-distance-right:0.0pt;mso-wrap-distance-bottom:0.0pt;width:481.8pt;height:274.2pt;" stroked="f">
                <v:path textboxrect="0,0,0,0"/>
                <v:imagedata r:id="rId212" o:title=""/>
              </v:shape>
            </w:pict>
          </mc:Fallback>
        </mc:AlternateContent>
      </w:r>
      <w:r/>
    </w:p>
    <w:p>
      <w:pPr>
        <w:pStyle w:val="983"/>
      </w:pPr>
      <w:r>
        <w:fldChar w:fldCharType="begin"/>
      </w:r>
      <w:r>
        <w:instrText xml:space="preserve"> SEQ Рисунок \* ARABIC </w:instrText>
      </w:r>
      <w:r>
        <w:fldChar w:fldCharType="separate"/>
      </w:r>
      <w:bookmarkStart w:id="1137" w:name="_Ref230438211"/>
      <w:r/>
      <w:bookmarkStart w:id="1138" w:name="_Toc88819531"/>
      <w:r>
        <w:t xml:space="preserve">146</w:t>
      </w:r>
      <w:bookmarkEnd w:id="1137"/>
      <w:r>
        <w:fldChar w:fldCharType="end"/>
      </w:r>
      <w:r>
        <w:t xml:space="preserve">. ЭФ списка документов «Справка органов ФК»</w:t>
      </w:r>
      <w:bookmarkEnd w:id="1138"/>
      <w:r/>
      <w:r/>
    </w:p>
    <w:p>
      <w:pPr>
        <w:pStyle w:val="973"/>
      </w:pPr>
      <w:r>
        <w:t xml:space="preserve">Доступные операции</w:t>
      </w:r>
      <w:r/>
    </w:p>
    <w:p>
      <w:pPr>
        <w:pStyle w:val="994"/>
      </w:pPr>
      <w:r>
        <w:t xml:space="preserve">На АРМ ФО доступны сл</w:t>
      </w:r>
      <w:r>
        <w:t xml:space="preserve">едующие операции над документом</w:t>
      </w:r>
      <w:r>
        <w:t xml:space="preserve">:</w:t>
      </w:r>
      <w:r/>
    </w:p>
    <w:p>
      <w:pPr>
        <w:pStyle w:val="985"/>
      </w:pPr>
      <w:r>
        <w:t xml:space="preserve">просмотр;</w:t>
      </w:r>
      <w:r/>
    </w:p>
    <w:p>
      <w:pPr>
        <w:pStyle w:val="985"/>
      </w:pPr>
      <w:r>
        <w:t xml:space="preserve">печать.</w:t>
      </w:r>
      <w:r/>
    </w:p>
    <w:p>
      <w:pPr>
        <w:pStyle w:val="973"/>
      </w:pPr>
      <w:r/>
      <w:bookmarkStart w:id="1139" w:name="_Toc232827336"/>
      <w:r>
        <w:t xml:space="preserve">Экранная форма документа</w:t>
      </w:r>
      <w:r/>
    </w:p>
    <w:p>
      <w:pPr>
        <w:pStyle w:val="994"/>
      </w:pPr>
      <w:r>
        <w:t xml:space="preserve">ЭФ документа «Справка органов ФК» представлена на рисунках </w:t>
      </w:r>
      <w:r>
        <w:fldChar w:fldCharType="begin"/>
      </w:r>
      <w:r>
        <w:instrText xml:space="preserve"> REF _Ref246997695 \h  \* MERGEFORMAT </w:instrText>
      </w:r>
      <w:r>
        <w:fldChar w:fldCharType="separate"/>
      </w:r>
      <w:r>
        <w:t xml:space="preserve">147</w:t>
      </w:r>
      <w:r>
        <w:fldChar w:fldCharType="end"/>
      </w:r>
      <w:r>
        <w:t xml:space="preserve"> и </w:t>
      </w:r>
      <w:r>
        <w:fldChar w:fldCharType="begin"/>
      </w:r>
      <w:r>
        <w:instrText xml:space="preserve"> REF _Ref230439291 \h  \* MERGEFORMAT </w:instrText>
      </w:r>
      <w:r>
        <w:fldChar w:fldCharType="separate"/>
      </w:r>
      <w:r>
        <w:t xml:space="preserve">148</w:t>
      </w:r>
      <w:r>
        <w:fldChar w:fldCharType="end"/>
      </w:r>
      <w:r>
        <w:t xml:space="preserve">. Форма содержит следующие закладки:</w:t>
      </w:r>
      <w:r/>
    </w:p>
    <w:p>
      <w:pPr>
        <w:pStyle w:val="985"/>
      </w:pPr>
      <w:r>
        <w:t xml:space="preserve">«Документ»;</w:t>
      </w:r>
      <w:r/>
    </w:p>
    <w:p>
      <w:pPr>
        <w:pStyle w:val="985"/>
      </w:pPr>
      <w:r>
        <w:t xml:space="preserve">«Дополнительные атрибуты»;</w:t>
      </w:r>
      <w:r/>
    </w:p>
    <w:p>
      <w:pPr>
        <w:pStyle w:val="985"/>
      </w:pPr>
      <w:r>
        <w:t xml:space="preserve">«Системные атрибуты»;</w:t>
      </w:r>
      <w:r/>
    </w:p>
    <w:p>
      <w:pPr>
        <w:pStyle w:val="985"/>
      </w:pPr>
      <w:r>
        <w:t xml:space="preserve">«Протоколы».</w:t>
      </w:r>
      <w:bookmarkEnd w:id="1139"/>
      <w:r/>
    </w:p>
    <w:p>
      <w:pPr>
        <w:pStyle w:val="982"/>
      </w:pPr>
      <w:r>
        <mc:AlternateContent>
          <mc:Choice Requires="wpg">
            <w:drawing>
              <wp:inline xmlns:wp="http://schemas.openxmlformats.org/drawingml/2006/wordprocessingDrawing" distT="0" distB="0" distL="0" distR="0">
                <wp:extent cx="6126480" cy="2926080"/>
                <wp:effectExtent l="0" t="0" r="0" b="0"/>
                <wp:docPr id="23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13"/>
                        <a:stretch/>
                      </pic:blipFill>
                      <pic:spPr bwMode="auto">
                        <a:xfrm>
                          <a:off x="0" y="0"/>
                          <a:ext cx="6126480" cy="29260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2" o:spid="_x0000_s232" type="#_x0000_t75" style="mso-wrap-distance-left:0.0pt;mso-wrap-distance-top:0.0pt;mso-wrap-distance-right:0.0pt;mso-wrap-distance-bottom:0.0pt;width:482.4pt;height:230.4pt;" stroked="f">
                <v:path textboxrect="0,0,0,0"/>
                <v:imagedata r:id="rId213" o:title=""/>
              </v:shape>
            </w:pict>
          </mc:Fallback>
        </mc:AlternateContent>
      </w:r>
      <w:r/>
    </w:p>
    <w:p>
      <w:pPr>
        <w:pStyle w:val="983"/>
      </w:pPr>
      <w:r>
        <w:fldChar w:fldCharType="begin"/>
      </w:r>
      <w:r>
        <w:instrText xml:space="preserve"> SEQ Рисунок \* ARABIC </w:instrText>
      </w:r>
      <w:r>
        <w:fldChar w:fldCharType="separate"/>
      </w:r>
      <w:bookmarkStart w:id="1140" w:name="_Ref246997695"/>
      <w:r/>
      <w:bookmarkStart w:id="1141" w:name="_Toc88819532"/>
      <w:r>
        <w:t xml:space="preserve">147</w:t>
      </w:r>
      <w:bookmarkEnd w:id="1140"/>
      <w:r>
        <w:fldChar w:fldCharType="end"/>
      </w:r>
      <w:r>
        <w:t xml:space="preserve">. ЭФ документа «Справка органов ФК</w:t>
      </w:r>
      <w:r>
        <w:t xml:space="preserve">», закладки «</w:t>
      </w:r>
      <w:r>
        <w:t xml:space="preserve">Документ»</w:t>
      </w:r>
      <w:bookmarkEnd w:id="1141"/>
      <w:r/>
      <w:r/>
    </w:p>
    <w:p>
      <w:pPr>
        <w:pStyle w:val="994"/>
      </w:pPr>
      <w:r>
        <w:t xml:space="preserve">Перечень полей документа «Справка органов ФК</w:t>
      </w:r>
      <w:r>
        <w:t xml:space="preserve">», закладки «</w:t>
      </w:r>
      <w:r>
        <w:t xml:space="preserve">Документ» приведен в таблице</w:t>
      </w:r>
      <w:r>
        <w:t xml:space="preserve"> </w:t>
      </w:r>
      <w:r>
        <w:fldChar w:fldCharType="begin"/>
      </w:r>
      <w:r>
        <w:instrText xml:space="preserve"> REF _Ref370835709 \h  \* MERGEFORMAT </w:instrText>
      </w:r>
      <w:r>
        <w:fldChar w:fldCharType="separate"/>
      </w:r>
      <w:r>
        <w:t xml:space="preserve">80</w:t>
      </w:r>
      <w:r>
        <w:fldChar w:fldCharType="end"/>
      </w:r>
      <w:r>
        <w:t xml:space="preserve">.</w:t>
      </w:r>
      <w:r/>
    </w:p>
    <w:p>
      <w:pPr>
        <w:pStyle w:val="993"/>
      </w:pPr>
      <w:r>
        <w:fldChar w:fldCharType="begin"/>
      </w:r>
      <w:r>
        <w:instrText xml:space="preserve"> SEQ Таблица \* ARABIC </w:instrText>
      </w:r>
      <w:r>
        <w:fldChar w:fldCharType="separate"/>
      </w:r>
      <w:bookmarkStart w:id="1142" w:name="_Ref370835709"/>
      <w:r/>
      <w:bookmarkStart w:id="1143" w:name="_Toc88819266"/>
      <w:r>
        <w:t xml:space="preserve">80</w:t>
      </w:r>
      <w:bookmarkEnd w:id="1142"/>
      <w:r>
        <w:fldChar w:fldCharType="end"/>
      </w:r>
      <w:r>
        <w:t xml:space="preserve">. Описание полей документа «Справка органов ФК</w:t>
      </w:r>
      <w:r>
        <w:t xml:space="preserve">», закладки «</w:t>
      </w:r>
      <w:r>
        <w:t xml:space="preserve">Документ»</w:t>
      </w:r>
      <w:bookmarkEnd w:id="1143"/>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177"/>
        <w:gridCol w:w="6575"/>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629"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371" w:type="pct"/>
            <w:vAlign w:val="center"/>
            <w:textDirection w:val="lrTb"/>
            <w:noWrap w:val="false"/>
          </w:tcPr>
          <w:p>
            <w:pPr>
              <w:pStyle w:val="1006"/>
            </w:pPr>
            <w:r>
              <w:t xml:space="preserve">Описание поля</w:t>
            </w:r>
            <w:r/>
          </w:p>
        </w:tc>
      </w:tr>
      <w:tr>
        <w:trPr/>
        <w:tc>
          <w:tcPr>
            <w:shd w:val="clear" w:fill="auto" w:color="auto"/>
            <w:tcW w:w="1629" w:type="pct"/>
            <w:textDirection w:val="lrTb"/>
            <w:noWrap w:val="false"/>
          </w:tcPr>
          <w:p>
            <w:pPr>
              <w:pStyle w:val="1005"/>
              <w:ind w:left="57" w:right="57"/>
            </w:pPr>
            <w:r>
              <w:t xml:space="preserve">Номер</w:t>
            </w:r>
            <w:r/>
          </w:p>
        </w:tc>
        <w:tc>
          <w:tcPr>
            <w:shd w:val="clear" w:fill="auto" w:color="auto"/>
            <w:tcW w:w="3371" w:type="pct"/>
            <w:textDirection w:val="lrTb"/>
            <w:noWrap w:val="false"/>
          </w:tcPr>
          <w:p>
            <w:pPr>
              <w:pStyle w:val="1005"/>
              <w:ind w:left="57" w:right="57"/>
            </w:pPr>
            <w:r>
              <w:t xml:space="preserve">Номер документа, присвоенный в ОрФК</w:t>
            </w:r>
            <w:r>
              <w:t xml:space="preserve">.</w:t>
            </w:r>
            <w:r/>
          </w:p>
        </w:tc>
      </w:tr>
      <w:tr>
        <w:trPr/>
        <w:tc>
          <w:tcPr>
            <w:shd w:val="clear" w:fill="auto" w:color="auto"/>
            <w:tcW w:w="1629" w:type="pct"/>
            <w:textDirection w:val="lrTb"/>
            <w:noWrap w:val="false"/>
          </w:tcPr>
          <w:p>
            <w:pPr>
              <w:pStyle w:val="1005"/>
              <w:ind w:left="57" w:right="57"/>
            </w:pPr>
            <w:r>
              <w:t xml:space="preserve">Дата</w:t>
            </w:r>
            <w:r/>
          </w:p>
        </w:tc>
        <w:tc>
          <w:tcPr>
            <w:shd w:val="clear" w:fill="auto" w:color="auto"/>
            <w:tcW w:w="3371" w:type="pct"/>
            <w:textDirection w:val="lrTb"/>
            <w:noWrap w:val="false"/>
          </w:tcPr>
          <w:p>
            <w:pPr>
              <w:pStyle w:val="1005"/>
              <w:ind w:left="57" w:right="57"/>
            </w:pPr>
            <w:r>
              <w:t xml:space="preserve">Дата формирования документа</w:t>
            </w:r>
            <w:r>
              <w:t xml:space="preserve">.</w:t>
            </w:r>
            <w:r/>
          </w:p>
        </w:tc>
      </w:tr>
      <w:tr>
        <w:trPr/>
        <w:tc>
          <w:tcPr>
            <w:shd w:val="clear" w:fill="auto" w:color="auto"/>
            <w:tcW w:w="1629" w:type="pct"/>
            <w:textDirection w:val="lrTb"/>
            <w:noWrap w:val="false"/>
          </w:tcPr>
          <w:p>
            <w:pPr>
              <w:pStyle w:val="1005"/>
              <w:ind w:left="57" w:right="57"/>
            </w:pPr>
            <w:r>
              <w:t xml:space="preserve">Ед. изм.</w:t>
            </w:r>
            <w:r/>
          </w:p>
        </w:tc>
        <w:tc>
          <w:tcPr>
            <w:shd w:val="clear" w:fill="auto" w:color="auto"/>
            <w:tcW w:w="3371" w:type="pct"/>
            <w:textDirection w:val="lrTb"/>
            <w:noWrap w:val="false"/>
          </w:tcPr>
          <w:p>
            <w:pPr>
              <w:pStyle w:val="1005"/>
              <w:ind w:left="57" w:right="57"/>
            </w:pPr>
            <w:r>
              <w:t xml:space="preserve">Единица измерения</w:t>
            </w:r>
            <w:r>
              <w:t xml:space="preserve">.</w:t>
            </w:r>
            <w:r/>
          </w:p>
        </w:tc>
      </w:tr>
      <w:tr>
        <w:trPr/>
        <w:tc>
          <w:tcPr>
            <w:shd w:val="clear" w:fill="auto" w:color="auto"/>
            <w:tcW w:w="1629" w:type="pct"/>
            <w:textDirection w:val="lrTb"/>
            <w:noWrap w:val="false"/>
          </w:tcPr>
          <w:p>
            <w:pPr>
              <w:pStyle w:val="1005"/>
              <w:ind w:left="57" w:right="57"/>
            </w:pPr>
            <w:r>
              <w:t xml:space="preserve">Статус</w:t>
            </w:r>
            <w:r/>
          </w:p>
        </w:tc>
        <w:tc>
          <w:tcPr>
            <w:shd w:val="clear" w:fill="auto" w:color="auto"/>
            <w:tcW w:w="3371" w:type="pct"/>
            <w:textDirection w:val="lrTb"/>
            <w:noWrap w:val="false"/>
          </w:tcPr>
          <w:p>
            <w:pPr>
              <w:pStyle w:val="1005"/>
              <w:ind w:left="57" w:right="57"/>
            </w:pPr>
            <w:r>
              <w:t xml:space="preserve">Код статуса документа</w:t>
            </w:r>
            <w:r>
              <w:t xml:space="preserve">.</w:t>
            </w:r>
            <w:r/>
          </w:p>
        </w:tc>
      </w:tr>
      <w:tr>
        <w:trPr/>
        <w:tc>
          <w:tcPr>
            <w:shd w:val="clear" w:fill="auto" w:color="auto"/>
            <w:tcW w:w="1629" w:type="pct"/>
            <w:textDirection w:val="lrTb"/>
            <w:noWrap w:val="false"/>
          </w:tcPr>
          <w:p>
            <w:pPr>
              <w:pStyle w:val="1005"/>
              <w:ind w:left="57" w:right="57"/>
            </w:pPr>
            <w:r>
              <w:t xml:space="preserve">Дата</w:t>
            </w:r>
            <w:r/>
          </w:p>
        </w:tc>
        <w:tc>
          <w:tcPr>
            <w:shd w:val="clear" w:fill="auto" w:color="auto"/>
            <w:tcW w:w="3371" w:type="pct"/>
            <w:textDirection w:val="lrTb"/>
            <w:noWrap w:val="false"/>
          </w:tcPr>
          <w:p>
            <w:pPr>
              <w:pStyle w:val="1005"/>
              <w:ind w:left="57" w:right="57"/>
            </w:pPr>
            <w:r>
              <w:t xml:space="preserve">Текущая операционная дата</w:t>
            </w:r>
            <w:r>
              <w:t xml:space="preserve">.</w:t>
            </w:r>
            <w:r/>
          </w:p>
        </w:tc>
      </w:tr>
      <w:tr>
        <w:trPr/>
        <w:tc>
          <w:tcPr>
            <w:shd w:val="clear" w:fill="auto" w:color="auto"/>
            <w:tcW w:w="1629" w:type="pct"/>
            <w:textDirection w:val="lrTb"/>
            <w:noWrap w:val="false"/>
          </w:tcPr>
          <w:p>
            <w:pPr>
              <w:pStyle w:val="1005"/>
              <w:ind w:left="57" w:right="57"/>
            </w:pPr>
            <w:r>
              <w:t xml:space="preserve">Орган ФК</w:t>
            </w:r>
            <w:r/>
          </w:p>
        </w:tc>
        <w:tc>
          <w:tcPr>
            <w:shd w:val="clear" w:fill="auto" w:color="auto"/>
            <w:tcW w:w="3371" w:type="pct"/>
            <w:textDirection w:val="lrTb"/>
            <w:noWrap w:val="false"/>
          </w:tcPr>
          <w:p>
            <w:pPr>
              <w:pStyle w:val="1005"/>
              <w:ind w:left="57" w:right="57"/>
            </w:pPr>
            <w:r>
              <w:t xml:space="preserve">Наименование ОрФК</w:t>
            </w:r>
            <w:r>
              <w:t xml:space="preserve">.</w:t>
            </w:r>
            <w:r/>
          </w:p>
        </w:tc>
      </w:tr>
      <w:tr>
        <w:trPr/>
        <w:tc>
          <w:tcPr>
            <w:shd w:val="clear" w:fill="auto" w:color="auto"/>
            <w:tcW w:w="1629" w:type="pct"/>
            <w:textDirection w:val="lrTb"/>
            <w:noWrap w:val="false"/>
          </w:tcPr>
          <w:p>
            <w:pPr>
              <w:pStyle w:val="1005"/>
              <w:ind w:left="57" w:right="57"/>
            </w:pPr>
            <w:r>
              <w:t xml:space="preserve">По КОФК</w:t>
            </w:r>
            <w:r/>
          </w:p>
        </w:tc>
        <w:tc>
          <w:tcPr>
            <w:shd w:val="clear" w:fill="auto" w:color="auto"/>
            <w:tcW w:w="3371" w:type="pct"/>
            <w:textDirection w:val="lrTb"/>
            <w:noWrap w:val="false"/>
          </w:tcPr>
          <w:p>
            <w:pPr>
              <w:pStyle w:val="1005"/>
              <w:ind w:left="57" w:right="57"/>
            </w:pPr>
            <w:r>
              <w:t xml:space="preserve">Код ОрФК по КОФК</w:t>
            </w:r>
            <w:r>
              <w:t xml:space="preserve">.</w:t>
            </w:r>
            <w:r/>
          </w:p>
        </w:tc>
      </w:tr>
      <w:tr>
        <w:trPr/>
        <w:tc>
          <w:tcPr>
            <w:shd w:val="clear" w:fill="auto" w:color="auto"/>
            <w:tcW w:w="1629" w:type="pct"/>
            <w:textDirection w:val="lrTb"/>
            <w:noWrap w:val="false"/>
          </w:tcPr>
          <w:p>
            <w:pPr>
              <w:pStyle w:val="1005"/>
              <w:ind w:left="57" w:right="57"/>
            </w:pPr>
            <w:r>
              <w:t xml:space="preserve">Структурное подраздел</w:t>
            </w:r>
            <w:r>
              <w:t xml:space="preserve">е</w:t>
            </w:r>
            <w:r>
              <w:t xml:space="preserve">ние</w:t>
            </w:r>
            <w:r/>
          </w:p>
        </w:tc>
        <w:tc>
          <w:tcPr>
            <w:shd w:val="clear" w:fill="auto" w:color="auto"/>
            <w:tcW w:w="3371" w:type="pct"/>
            <w:textDirection w:val="lrTb"/>
            <w:noWrap w:val="false"/>
          </w:tcPr>
          <w:p>
            <w:pPr>
              <w:pStyle w:val="1005"/>
              <w:ind w:left="57" w:right="57"/>
            </w:pPr>
            <w:r>
              <w:t xml:space="preserve">Структурное подразделение ОрФК, к которому принадлежит с</w:t>
            </w:r>
            <w:r>
              <w:t xml:space="preserve">о</w:t>
            </w:r>
            <w:r>
              <w:t xml:space="preserve">тру</w:t>
            </w:r>
            <w:r>
              <w:t xml:space="preserve">дник, оформляющий документ.</w:t>
            </w:r>
            <w:r/>
          </w:p>
        </w:tc>
      </w:tr>
      <w:tr>
        <w:trPr/>
        <w:tc>
          <w:tcPr>
            <w:gridSpan w:val="2"/>
            <w:shd w:val="clear" w:fill="auto" w:color="auto"/>
            <w:tcW w:w="5000" w:type="pct"/>
            <w:textDirection w:val="lrTb"/>
            <w:noWrap w:val="false"/>
          </w:tcPr>
          <w:p>
            <w:pPr>
              <w:pStyle w:val="1005"/>
              <w:ind w:left="57" w:right="57"/>
            </w:pPr>
            <w:r>
              <w:t xml:space="preserve">Т</w:t>
            </w:r>
            <w:r>
              <w:t xml:space="preserve">абличный блок, содержащий данные платежных документов</w:t>
            </w:r>
            <w:r/>
          </w:p>
        </w:tc>
      </w:tr>
      <w:tr>
        <w:trPr/>
        <w:tc>
          <w:tcPr>
            <w:shd w:val="clear" w:fill="auto" w:color="auto"/>
            <w:tcW w:w="1629" w:type="pct"/>
            <w:textDirection w:val="lrTb"/>
            <w:noWrap w:val="false"/>
          </w:tcPr>
          <w:p>
            <w:pPr>
              <w:pStyle w:val="1005"/>
              <w:ind w:left="57" w:right="57"/>
            </w:pPr>
            <w:r>
              <w:t xml:space="preserve">ИНН плательщика</w:t>
            </w:r>
            <w:r/>
          </w:p>
        </w:tc>
        <w:tc>
          <w:tcPr>
            <w:shd w:val="clear" w:fill="auto" w:color="auto"/>
            <w:tcW w:w="3371" w:type="pct"/>
            <w:textDirection w:val="lrTb"/>
            <w:noWrap w:val="false"/>
          </w:tcPr>
          <w:p>
            <w:pPr>
              <w:pStyle w:val="1005"/>
              <w:ind w:left="57" w:right="57"/>
            </w:pPr>
            <w:r>
              <w:t xml:space="preserve">ИНН плательщика</w:t>
            </w:r>
            <w:r>
              <w:t xml:space="preserve">.</w:t>
            </w:r>
            <w:r/>
          </w:p>
        </w:tc>
      </w:tr>
      <w:tr>
        <w:trPr/>
        <w:tc>
          <w:tcPr>
            <w:shd w:val="clear" w:fill="auto" w:color="auto"/>
            <w:tcW w:w="1629" w:type="pct"/>
            <w:textDirection w:val="lrTb"/>
            <w:noWrap w:val="false"/>
          </w:tcPr>
          <w:p>
            <w:pPr>
              <w:pStyle w:val="1005"/>
              <w:ind w:left="57" w:right="57"/>
            </w:pPr>
            <w:r>
              <w:t xml:space="preserve">КПП плательщика</w:t>
            </w:r>
            <w:r/>
          </w:p>
        </w:tc>
        <w:tc>
          <w:tcPr>
            <w:shd w:val="clear" w:fill="auto" w:color="auto"/>
            <w:tcW w:w="3371" w:type="pct"/>
            <w:textDirection w:val="lrTb"/>
            <w:noWrap w:val="false"/>
          </w:tcPr>
          <w:p>
            <w:pPr>
              <w:pStyle w:val="1005"/>
              <w:ind w:left="57" w:right="57"/>
            </w:pPr>
            <w:r>
              <w:t xml:space="preserve">КПП плательщика</w:t>
            </w:r>
            <w:r>
              <w:t xml:space="preserve">.</w:t>
            </w:r>
            <w:r/>
          </w:p>
        </w:tc>
      </w:tr>
      <w:tr>
        <w:trPr/>
        <w:tc>
          <w:tcPr>
            <w:shd w:val="clear" w:fill="auto" w:color="auto"/>
            <w:tcW w:w="1629" w:type="pct"/>
            <w:textDirection w:val="lrTb"/>
            <w:noWrap w:val="false"/>
          </w:tcPr>
          <w:p>
            <w:pPr>
              <w:pStyle w:val="1005"/>
              <w:ind w:left="57" w:right="57"/>
            </w:pPr>
            <w:r>
              <w:t xml:space="preserve">Содержание операции</w:t>
            </w:r>
            <w:r/>
          </w:p>
        </w:tc>
        <w:tc>
          <w:tcPr>
            <w:shd w:val="clear" w:fill="auto" w:color="auto"/>
            <w:tcW w:w="3371" w:type="pct"/>
            <w:textDirection w:val="lrTb"/>
            <w:noWrap w:val="false"/>
          </w:tcPr>
          <w:p>
            <w:pPr>
              <w:pStyle w:val="1005"/>
              <w:ind w:left="57" w:right="57"/>
            </w:pPr>
            <w:r>
              <w:t xml:space="preserve">Содержание операции. </w:t>
            </w:r>
            <w:r/>
          </w:p>
          <w:p>
            <w:pPr>
              <w:pStyle w:val="1005"/>
              <w:ind w:left="57" w:right="57"/>
            </w:pPr>
            <w:r>
              <w:t xml:space="preserve">Возможные значения: </w:t>
            </w:r>
            <w:r/>
          </w:p>
          <w:p>
            <w:pPr>
              <w:pStyle w:val="1007"/>
            </w:pPr>
            <w:r>
              <w:t xml:space="preserve">«</w:t>
            </w:r>
            <w:r>
              <w:t xml:space="preserve">Исправление ошибочных записей</w:t>
            </w:r>
            <w:r>
              <w:t xml:space="preserve">»</w:t>
            </w:r>
            <w:r>
              <w:t xml:space="preserve">; </w:t>
            </w:r>
            <w:r/>
          </w:p>
          <w:p>
            <w:pPr>
              <w:pStyle w:val="1007"/>
            </w:pPr>
            <w:r>
              <w:t xml:space="preserve">«</w:t>
            </w:r>
            <w:r>
              <w:t xml:space="preserve">Корректировка записей</w:t>
            </w:r>
            <w:r>
              <w:t xml:space="preserve">»</w:t>
            </w:r>
            <w:r>
              <w:t xml:space="preserve">; </w:t>
            </w:r>
            <w:r/>
          </w:p>
          <w:p>
            <w:pPr>
              <w:pStyle w:val="1007"/>
            </w:pPr>
            <w:r>
              <w:t xml:space="preserve">«</w:t>
            </w:r>
            <w:r>
              <w:t xml:space="preserve">Уточнение платежа</w:t>
            </w:r>
            <w:r>
              <w:t xml:space="preserve">»</w:t>
            </w:r>
            <w:r>
              <w:t xml:space="preserve">; </w:t>
            </w:r>
            <w:r/>
          </w:p>
          <w:p>
            <w:pPr>
              <w:pStyle w:val="1007"/>
            </w:pPr>
            <w:r>
              <w:t xml:space="preserve">«</w:t>
            </w:r>
            <w:r>
              <w:t xml:space="preserve">Аннулирование уведомления в иностранной вал</w:t>
            </w:r>
            <w:r>
              <w:t xml:space="preserve">ю</w:t>
            </w:r>
            <w:r>
              <w:t xml:space="preserve">те</w:t>
            </w:r>
            <w:r>
              <w:t xml:space="preserve">»</w:t>
            </w:r>
            <w:r>
              <w:t xml:space="preserve">.</w:t>
            </w:r>
            <w:r/>
          </w:p>
        </w:tc>
      </w:tr>
      <w:tr>
        <w:trPr/>
        <w:tc>
          <w:tcPr>
            <w:shd w:val="clear" w:fill="auto" w:color="auto"/>
            <w:tcW w:w="1629" w:type="pct"/>
            <w:textDirection w:val="lrTb"/>
            <w:noWrap w:val="false"/>
          </w:tcPr>
          <w:p>
            <w:pPr>
              <w:pStyle w:val="1005"/>
              <w:ind w:left="57" w:right="57"/>
            </w:pPr>
            <w:r>
              <w:t xml:space="preserve">Наименование докуме</w:t>
            </w:r>
            <w:r>
              <w:t xml:space="preserve">нта</w:t>
            </w:r>
            <w:r/>
          </w:p>
        </w:tc>
        <w:tc>
          <w:tcPr>
            <w:shd w:val="clear" w:fill="auto" w:color="auto"/>
            <w:tcW w:w="3371" w:type="pct"/>
            <w:textDirection w:val="lrTb"/>
            <w:noWrap w:val="false"/>
          </w:tcPr>
          <w:p>
            <w:pPr>
              <w:pStyle w:val="1005"/>
              <w:ind w:left="57" w:right="57"/>
            </w:pPr>
            <w:r>
              <w:t xml:space="preserve">Наименование документа, на основании которого формируется д</w:t>
            </w:r>
            <w:r>
              <w:t xml:space="preserve">о</w:t>
            </w:r>
            <w:r>
              <w:t xml:space="preserve">к</w:t>
            </w:r>
            <w:r>
              <w:t xml:space="preserve">у</w:t>
            </w:r>
            <w:r>
              <w:t xml:space="preserve">мент </w:t>
            </w:r>
            <w:r>
              <w:t xml:space="preserve">«</w:t>
            </w:r>
            <w:r>
              <w:t xml:space="preserve">Справка органа ФК</w:t>
            </w:r>
            <w:r>
              <w:t xml:space="preserve">»</w:t>
            </w:r>
            <w:r>
              <w:t xml:space="preserve">. </w:t>
            </w:r>
            <w:r/>
          </w:p>
          <w:p>
            <w:pPr>
              <w:pStyle w:val="1005"/>
              <w:ind w:left="57" w:right="57"/>
            </w:pPr>
            <w:r>
              <w:t xml:space="preserve">Возможные значения: </w:t>
            </w:r>
            <w:r/>
          </w:p>
          <w:p>
            <w:pPr>
              <w:pStyle w:val="1007"/>
            </w:pPr>
            <w:r>
              <w:t xml:space="preserve">«</w:t>
            </w:r>
            <w:r>
              <w:t xml:space="preserve">Ув</w:t>
            </w:r>
            <w:r>
              <w:t xml:space="preserve">е</w:t>
            </w:r>
            <w:r>
              <w:t xml:space="preserve">домление о зачете</w:t>
            </w:r>
            <w:r>
              <w:t xml:space="preserve">»</w:t>
            </w:r>
            <w:r>
              <w:t xml:space="preserve">; </w:t>
            </w:r>
            <w:r/>
          </w:p>
          <w:p>
            <w:pPr>
              <w:pStyle w:val="1007"/>
            </w:pPr>
            <w:r>
              <w:t xml:space="preserve">«</w:t>
            </w:r>
            <w:r>
              <w:t xml:space="preserve">Уведомление об уточнении вида и принадлежности плат</w:t>
            </w:r>
            <w:r>
              <w:t xml:space="preserve">е</w:t>
            </w:r>
            <w:r>
              <w:t xml:space="preserve">жа</w:t>
            </w:r>
            <w:r>
              <w:t xml:space="preserve">»</w:t>
            </w:r>
            <w:r>
              <w:t xml:space="preserve">; </w:t>
            </w:r>
            <w:r/>
          </w:p>
          <w:p>
            <w:pPr>
              <w:pStyle w:val="1007"/>
            </w:pPr>
            <w:r>
              <w:t xml:space="preserve">«</w:t>
            </w:r>
            <w:r>
              <w:t xml:space="preserve">Справка органа Федерального казначейства</w:t>
            </w:r>
            <w:r>
              <w:t xml:space="preserve">»</w:t>
            </w:r>
            <w:r>
              <w:t xml:space="preserve">; </w:t>
            </w:r>
            <w:r/>
          </w:p>
          <w:p>
            <w:pPr>
              <w:pStyle w:val="1007"/>
            </w:pPr>
            <w:r>
              <w:t xml:space="preserve">«</w:t>
            </w:r>
            <w:r>
              <w:t xml:space="preserve">Служебная з</w:t>
            </w:r>
            <w:r>
              <w:t xml:space="preserve">а</w:t>
            </w:r>
            <w:r>
              <w:t xml:space="preserve">писка</w:t>
            </w:r>
            <w:r>
              <w:t xml:space="preserve">»</w:t>
            </w:r>
            <w:r>
              <w:t xml:space="preserve">; </w:t>
            </w:r>
            <w:r/>
          </w:p>
          <w:p>
            <w:pPr>
              <w:pStyle w:val="1007"/>
            </w:pPr>
            <w:r>
              <w:t xml:space="preserve">«</w:t>
            </w:r>
            <w:r>
              <w:t xml:space="preserve">Приказ</w:t>
            </w:r>
            <w:r>
              <w:t xml:space="preserve">»</w:t>
            </w:r>
            <w:r>
              <w:t xml:space="preserve">.</w:t>
            </w:r>
            <w:r/>
          </w:p>
        </w:tc>
      </w:tr>
      <w:tr>
        <w:trPr/>
        <w:tc>
          <w:tcPr>
            <w:shd w:val="clear" w:fill="auto" w:color="auto"/>
            <w:tcW w:w="1629" w:type="pct"/>
            <w:textDirection w:val="lrTb"/>
            <w:noWrap w:val="false"/>
          </w:tcPr>
          <w:p>
            <w:pPr>
              <w:pStyle w:val="1005"/>
              <w:ind w:left="57" w:right="57"/>
            </w:pPr>
            <w:r>
              <w:t xml:space="preserve">Номер документа</w:t>
            </w:r>
            <w:r/>
          </w:p>
        </w:tc>
        <w:tc>
          <w:tcPr>
            <w:shd w:val="clear" w:fill="auto" w:color="auto"/>
            <w:tcW w:w="3371" w:type="pct"/>
            <w:textDirection w:val="lrTb"/>
            <w:noWrap w:val="false"/>
          </w:tcPr>
          <w:p>
            <w:pPr>
              <w:pStyle w:val="1005"/>
              <w:ind w:left="57" w:right="57"/>
            </w:pPr>
            <w:r>
              <w:t xml:space="preserve">Номер документа, на основании которого формируется документ </w:t>
            </w:r>
            <w:r>
              <w:t xml:space="preserve">«</w:t>
            </w:r>
            <w:r>
              <w:t xml:space="preserve">Справка органа ФК</w:t>
            </w:r>
            <w:r>
              <w:t xml:space="preserve">»</w:t>
            </w:r>
            <w:r>
              <w:t xml:space="preserve">.</w:t>
            </w:r>
            <w:r/>
          </w:p>
        </w:tc>
      </w:tr>
      <w:tr>
        <w:trPr/>
        <w:tc>
          <w:tcPr>
            <w:shd w:val="clear" w:fill="auto" w:color="auto"/>
            <w:tcW w:w="1629" w:type="pct"/>
            <w:textDirection w:val="lrTb"/>
            <w:noWrap w:val="false"/>
          </w:tcPr>
          <w:p>
            <w:pPr>
              <w:pStyle w:val="1005"/>
              <w:ind w:left="57" w:right="57"/>
            </w:pPr>
            <w:r>
              <w:t xml:space="preserve">Дата документа</w:t>
            </w:r>
            <w:r/>
          </w:p>
        </w:tc>
        <w:tc>
          <w:tcPr>
            <w:shd w:val="clear" w:fill="auto" w:color="auto"/>
            <w:tcW w:w="3371" w:type="pct"/>
            <w:textDirection w:val="lrTb"/>
            <w:noWrap w:val="false"/>
          </w:tcPr>
          <w:p>
            <w:pPr>
              <w:pStyle w:val="1005"/>
              <w:ind w:left="57" w:right="57"/>
            </w:pPr>
            <w:r>
              <w:t xml:space="preserve">Дата документа, на основании которого формируется документ </w:t>
            </w:r>
            <w:r>
              <w:t xml:space="preserve">«</w:t>
            </w:r>
            <w:r>
              <w:t xml:space="preserve">Спра</w:t>
            </w:r>
            <w:r>
              <w:t xml:space="preserve">в</w:t>
            </w:r>
            <w:r>
              <w:t xml:space="preserve">ка органа ФК</w:t>
            </w:r>
            <w:r>
              <w:t xml:space="preserve">»</w:t>
            </w:r>
            <w:r>
              <w:t xml:space="preserve">.</w:t>
            </w:r>
            <w:r/>
          </w:p>
        </w:tc>
      </w:tr>
      <w:tr>
        <w:trPr/>
        <w:tc>
          <w:tcPr>
            <w:shd w:val="clear" w:fill="auto" w:color="auto"/>
            <w:tcW w:w="1629" w:type="pct"/>
            <w:textDirection w:val="lrTb"/>
            <w:noWrap w:val="false"/>
          </w:tcPr>
          <w:p>
            <w:pPr>
              <w:pStyle w:val="1005"/>
              <w:ind w:left="57" w:right="57"/>
            </w:pPr>
            <w:r>
              <w:t xml:space="preserve">Номер расчетного счета</w:t>
            </w:r>
            <w:r/>
          </w:p>
        </w:tc>
        <w:tc>
          <w:tcPr>
            <w:shd w:val="clear" w:fill="auto" w:color="auto"/>
            <w:tcW w:w="3371" w:type="pct"/>
            <w:textDirection w:val="lrTb"/>
            <w:noWrap w:val="false"/>
          </w:tcPr>
          <w:p>
            <w:pPr>
              <w:pStyle w:val="1005"/>
              <w:ind w:left="57" w:right="57"/>
            </w:pPr>
            <w:r>
              <w:t xml:space="preserve">Номер счета пл</w:t>
            </w:r>
            <w:r>
              <w:t xml:space="preserve">ательщика.</w:t>
            </w:r>
            <w:r/>
          </w:p>
        </w:tc>
      </w:tr>
      <w:tr>
        <w:trPr/>
        <w:tc>
          <w:tcPr>
            <w:shd w:val="clear" w:fill="auto" w:color="auto"/>
            <w:tcW w:w="1629" w:type="pct"/>
            <w:textDirection w:val="lrTb"/>
            <w:noWrap w:val="false"/>
          </w:tcPr>
          <w:p>
            <w:pPr>
              <w:pStyle w:val="1005"/>
              <w:ind w:left="57" w:right="57"/>
            </w:pPr>
            <w:r>
              <w:t xml:space="preserve">ИНН администратора</w:t>
            </w:r>
            <w:r/>
          </w:p>
        </w:tc>
        <w:tc>
          <w:tcPr>
            <w:shd w:val="clear" w:fill="auto" w:color="auto"/>
            <w:tcW w:w="3371" w:type="pct"/>
            <w:textDirection w:val="lrTb"/>
            <w:noWrap w:val="false"/>
          </w:tcPr>
          <w:p>
            <w:pPr>
              <w:pStyle w:val="1005"/>
              <w:ind w:left="57" w:right="57"/>
            </w:pPr>
            <w:r>
              <w:t xml:space="preserve">ИНН АДБ</w:t>
            </w:r>
            <w:r>
              <w:t xml:space="preserve">.</w:t>
            </w:r>
            <w:r/>
          </w:p>
        </w:tc>
      </w:tr>
      <w:tr>
        <w:trPr/>
        <w:tc>
          <w:tcPr>
            <w:shd w:val="clear" w:fill="auto" w:color="auto"/>
            <w:tcW w:w="1629" w:type="pct"/>
            <w:textDirection w:val="lrTb"/>
            <w:noWrap w:val="false"/>
          </w:tcPr>
          <w:p>
            <w:pPr>
              <w:pStyle w:val="1005"/>
              <w:ind w:left="57" w:right="57"/>
            </w:pPr>
            <w:r>
              <w:t xml:space="preserve">КПП администратора</w:t>
            </w:r>
            <w:r/>
          </w:p>
        </w:tc>
        <w:tc>
          <w:tcPr>
            <w:shd w:val="clear" w:fill="auto" w:color="auto"/>
            <w:tcW w:w="3371" w:type="pct"/>
            <w:textDirection w:val="lrTb"/>
            <w:noWrap w:val="false"/>
          </w:tcPr>
          <w:p>
            <w:pPr>
              <w:pStyle w:val="1005"/>
              <w:ind w:left="57" w:right="57"/>
            </w:pPr>
            <w:r>
              <w:t xml:space="preserve">КПП АДБ</w:t>
            </w:r>
            <w:r>
              <w:t xml:space="preserve">.</w:t>
            </w:r>
            <w:r/>
          </w:p>
        </w:tc>
      </w:tr>
      <w:tr>
        <w:trPr/>
        <w:tc>
          <w:tcPr>
            <w:shd w:val="clear" w:fill="auto" w:color="auto"/>
            <w:tcW w:w="1629" w:type="pct"/>
            <w:textDirection w:val="lrTb"/>
            <w:noWrap w:val="false"/>
          </w:tcPr>
          <w:p>
            <w:pPr>
              <w:pStyle w:val="1005"/>
              <w:ind w:left="57" w:right="57"/>
            </w:pPr>
            <w:r>
              <w:t xml:space="preserve">ОКАТО</w:t>
            </w:r>
            <w:r/>
          </w:p>
        </w:tc>
        <w:tc>
          <w:tcPr>
            <w:shd w:val="clear" w:fill="auto" w:color="auto"/>
            <w:tcW w:w="3371" w:type="pct"/>
            <w:textDirection w:val="lrTb"/>
            <w:noWrap w:val="false"/>
          </w:tcPr>
          <w:p>
            <w:pPr>
              <w:pStyle w:val="1005"/>
              <w:ind w:left="57" w:right="57"/>
            </w:pPr>
            <w:r>
              <w:t xml:space="preserve">Код ОКАТО строки документа</w:t>
            </w:r>
            <w:r>
              <w:t xml:space="preserve">.</w:t>
            </w:r>
            <w:r/>
          </w:p>
        </w:tc>
      </w:tr>
      <w:tr>
        <w:trPr/>
        <w:tc>
          <w:tcPr>
            <w:shd w:val="clear" w:fill="auto" w:color="auto"/>
            <w:tcW w:w="1629" w:type="pct"/>
            <w:textDirection w:val="lrTb"/>
            <w:noWrap w:val="false"/>
          </w:tcPr>
          <w:p>
            <w:pPr>
              <w:pStyle w:val="1005"/>
              <w:ind w:left="57" w:right="57"/>
            </w:pPr>
            <w:r>
              <w:t xml:space="preserve">КБК</w:t>
            </w:r>
            <w:r/>
          </w:p>
        </w:tc>
        <w:tc>
          <w:tcPr>
            <w:shd w:val="clear" w:fill="auto" w:color="auto"/>
            <w:tcW w:w="3371" w:type="pct"/>
            <w:textDirection w:val="lrTb"/>
            <w:noWrap w:val="false"/>
          </w:tcPr>
          <w:p>
            <w:pPr>
              <w:pStyle w:val="1005"/>
              <w:ind w:left="57" w:right="57"/>
            </w:pPr>
            <w:r>
              <w:t xml:space="preserve">Код КБК строки документа</w:t>
            </w:r>
            <w:r>
              <w:t xml:space="preserve">.</w:t>
            </w:r>
            <w:r/>
          </w:p>
        </w:tc>
      </w:tr>
      <w:tr>
        <w:trPr/>
        <w:tc>
          <w:tcPr>
            <w:shd w:val="clear" w:fill="auto" w:color="auto"/>
            <w:tcW w:w="1629" w:type="pct"/>
            <w:textDirection w:val="lrTb"/>
            <w:noWrap w:val="false"/>
          </w:tcPr>
          <w:p>
            <w:pPr>
              <w:pStyle w:val="1005"/>
              <w:ind w:left="57" w:right="57"/>
            </w:pPr>
            <w:r>
              <w:t xml:space="preserve">Сумма</w:t>
            </w:r>
            <w:r/>
          </w:p>
        </w:tc>
        <w:tc>
          <w:tcPr>
            <w:shd w:val="clear" w:fill="auto" w:color="auto"/>
            <w:tcW w:w="3371" w:type="pct"/>
            <w:textDirection w:val="lrTb"/>
            <w:noWrap w:val="false"/>
          </w:tcPr>
          <w:p>
            <w:pPr>
              <w:pStyle w:val="1005"/>
              <w:ind w:left="57" w:right="57"/>
            </w:pPr>
            <w:r>
              <w:t xml:space="preserve">Сумма</w:t>
            </w:r>
            <w:r>
              <w:t xml:space="preserve">.</w:t>
            </w:r>
            <w:r/>
          </w:p>
        </w:tc>
      </w:tr>
    </w:tbl>
    <w:p>
      <w:pPr>
        <w:pStyle w:val="994"/>
      </w:pPr>
      <w:r>
        <w:t xml:space="preserve">ЭФ документа «Справка органов ФК</w:t>
      </w:r>
      <w:r>
        <w:t xml:space="preserve">», закладки «</w:t>
      </w:r>
      <w:r>
        <w:t xml:space="preserve">Дополнительные атрибуты» представлена на рисунке</w:t>
      </w:r>
      <w:r>
        <w:t xml:space="preserve"> </w:t>
      </w:r>
      <w:r>
        <w:fldChar w:fldCharType="begin"/>
      </w:r>
      <w:r>
        <w:instrText xml:space="preserve"> REF _Ref230439291 \h  \* MERGEFORMAT </w:instrText>
      </w:r>
      <w:r>
        <w:fldChar w:fldCharType="separate"/>
      </w:r>
      <w:r>
        <w:t xml:space="preserve">148</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377440"/>
                <wp:effectExtent l="0" t="0" r="0" b="0"/>
                <wp:docPr id="23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14"/>
                        <a:stretch/>
                      </pic:blipFill>
                      <pic:spPr bwMode="auto">
                        <a:xfrm>
                          <a:off x="0" y="0"/>
                          <a:ext cx="6126480" cy="23774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3" o:spid="_x0000_s233" type="#_x0000_t75" style="mso-wrap-distance-left:0.0pt;mso-wrap-distance-top:0.0pt;mso-wrap-distance-right:0.0pt;mso-wrap-distance-bottom:0.0pt;width:482.4pt;height:187.2pt;" stroked="f">
                <v:path textboxrect="0,0,0,0"/>
                <v:imagedata r:id="rId214" o:title=""/>
              </v:shape>
            </w:pict>
          </mc:Fallback>
        </mc:AlternateContent>
      </w:r>
      <w:r/>
    </w:p>
    <w:p>
      <w:pPr>
        <w:pStyle w:val="983"/>
      </w:pPr>
      <w:r>
        <w:fldChar w:fldCharType="begin"/>
      </w:r>
      <w:r>
        <w:instrText xml:space="preserve"> SEQ Рисунок \* ARABIC </w:instrText>
      </w:r>
      <w:r>
        <w:fldChar w:fldCharType="separate"/>
      </w:r>
      <w:bookmarkStart w:id="1144" w:name="_Ref230439291"/>
      <w:r/>
      <w:bookmarkStart w:id="1145" w:name="_Toc88819533"/>
      <w:r>
        <w:t xml:space="preserve">148</w:t>
      </w:r>
      <w:bookmarkEnd w:id="1144"/>
      <w:r>
        <w:fldChar w:fldCharType="end"/>
      </w:r>
      <w:r>
        <w:t xml:space="preserve">. ЭФ документа «Справка органов ФК</w:t>
      </w:r>
      <w:r>
        <w:t xml:space="preserve">», закладки «</w:t>
      </w:r>
      <w:r>
        <w:t xml:space="preserve">Дополнительные атрибуты»</w:t>
      </w:r>
      <w:bookmarkEnd w:id="1145"/>
      <w:r/>
      <w:r/>
    </w:p>
    <w:p>
      <w:pPr>
        <w:pStyle w:val="994"/>
      </w:pPr>
      <w:r>
        <w:t xml:space="preserve">Перечень полей документа «Справка органов ФК</w:t>
      </w:r>
      <w:r>
        <w:t xml:space="preserve">», закладки «</w:t>
      </w:r>
      <w:r>
        <w:t xml:space="preserve">Дополнительные атрибуты» приведен в таблице</w:t>
      </w:r>
      <w:r>
        <w:t xml:space="preserve"> </w:t>
      </w:r>
      <w:r>
        <w:fldChar w:fldCharType="begin"/>
      </w:r>
      <w:r>
        <w:instrText xml:space="preserve"> REF _Ref246997710 \h  \* MERGEFORMAT </w:instrText>
      </w:r>
      <w:r>
        <w:fldChar w:fldCharType="separate"/>
      </w:r>
      <w:r>
        <w:t xml:space="preserve">81</w:t>
      </w:r>
      <w:r>
        <w:fldChar w:fldCharType="end"/>
      </w:r>
      <w:r>
        <w:t xml:space="preserve">.</w:t>
      </w:r>
      <w:r/>
    </w:p>
    <w:p>
      <w:pPr>
        <w:pStyle w:val="993"/>
      </w:pPr>
      <w:r>
        <w:fldChar w:fldCharType="begin"/>
      </w:r>
      <w:r>
        <w:instrText xml:space="preserve"> SEQ Таблица \* ARABIC </w:instrText>
      </w:r>
      <w:r>
        <w:fldChar w:fldCharType="separate"/>
      </w:r>
      <w:bookmarkStart w:id="1146" w:name="_Ref246997710"/>
      <w:r/>
      <w:bookmarkStart w:id="1147" w:name="_Toc88819267"/>
      <w:r>
        <w:t xml:space="preserve">81</w:t>
      </w:r>
      <w:bookmarkEnd w:id="1146"/>
      <w:r>
        <w:fldChar w:fldCharType="end"/>
      </w:r>
      <w:r>
        <w:t xml:space="preserve">. Описание полей документа «Справка органов ФК</w:t>
      </w:r>
      <w:r>
        <w:t xml:space="preserve">», закладки «</w:t>
      </w:r>
      <w:r>
        <w:t xml:space="preserve">Дополнительные атрибуты»</w:t>
      </w:r>
      <w:bookmarkEnd w:id="1147"/>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4316"/>
        <w:gridCol w:w="5436"/>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213"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787" w:type="pct"/>
            <w:vAlign w:val="center"/>
            <w:textDirection w:val="lrTb"/>
            <w:noWrap w:val="false"/>
          </w:tcPr>
          <w:p>
            <w:pPr>
              <w:pStyle w:val="1006"/>
            </w:pPr>
            <w:r>
              <w:t xml:space="preserve">Описание поля</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«Статусы документа»</w:t>
            </w:r>
            <w:r/>
          </w:p>
        </w:tc>
      </w:tr>
      <w:tr>
        <w:trPr>
          <w:trHeight w:val="77"/>
        </w:trPr>
        <w:tc>
          <w:tcPr>
            <w:shd w:val="clear" w:fill="auto" w:color="auto"/>
            <w:tcW w:w="2213" w:type="pct"/>
            <w:textDirection w:val="lrTb"/>
            <w:noWrap w:val="false"/>
          </w:tcPr>
          <w:p>
            <w:pPr>
              <w:pStyle w:val="1005"/>
              <w:ind w:left="57" w:right="57"/>
            </w:pPr>
            <w:r>
              <w:t xml:space="preserve">Бизнес-cтатус</w:t>
            </w:r>
            <w:r/>
          </w:p>
        </w:tc>
        <w:tc>
          <w:tcPr>
            <w:shd w:val="clear" w:fill="auto" w:color="auto"/>
            <w:tcW w:w="2787" w:type="pct"/>
            <w:textDirection w:val="lrTb"/>
            <w:noWrap w:val="false"/>
          </w:tcPr>
          <w:p>
            <w:pPr>
              <w:pStyle w:val="1005"/>
              <w:ind w:left="57" w:right="57"/>
            </w:pPr>
            <w:r>
              <w:t xml:space="preserve">Код и наименование бизнес-статуса документа. </w:t>
            </w:r>
            <w:r/>
          </w:p>
          <w:p>
            <w:pPr>
              <w:pStyle w:val="1005"/>
              <w:ind w:left="57" w:right="57"/>
            </w:pPr>
            <w:r>
              <w:t xml:space="preserve">Заполняется автоматически при обработке документа.</w:t>
            </w:r>
            <w:r/>
          </w:p>
        </w:tc>
      </w:tr>
      <w:tr>
        <w:trPr>
          <w:trHeight w:val="77"/>
        </w:trPr>
        <w:tc>
          <w:tcPr>
            <w:shd w:val="clear" w:fill="auto" w:color="auto"/>
            <w:tcW w:w="2213" w:type="pct"/>
            <w:textDirection w:val="lrTb"/>
            <w:noWrap w:val="false"/>
          </w:tcPr>
          <w:p>
            <w:pPr>
              <w:pStyle w:val="1005"/>
              <w:ind w:left="57" w:right="57"/>
            </w:pPr>
            <w:r>
              <w:t xml:space="preserve">Статус передачи</w:t>
            </w:r>
            <w:r/>
          </w:p>
        </w:tc>
        <w:tc>
          <w:tcPr>
            <w:shd w:val="clear" w:fill="auto" w:color="auto"/>
            <w:tcW w:w="2787" w:type="pct"/>
            <w:textDirection w:val="lrTb"/>
            <w:noWrap w:val="false"/>
          </w:tcPr>
          <w:p>
            <w:pPr>
              <w:pStyle w:val="1005"/>
              <w:ind w:left="57" w:right="57"/>
            </w:pPr>
            <w:r>
              <w:t xml:space="preserve">Код и наименование статуса передачи документа. </w:t>
            </w:r>
            <w:r/>
          </w:p>
          <w:p>
            <w:pPr>
              <w:pStyle w:val="1005"/>
              <w:ind w:left="57" w:right="57"/>
            </w:pPr>
            <w:r>
              <w:t xml:space="preserve">Заполняется автоматически при обработке документа.</w:t>
            </w:r>
            <w:r/>
          </w:p>
        </w:tc>
      </w:tr>
      <w:tr>
        <w:trPr>
          <w:trHeight w:val="77"/>
        </w:trPr>
        <w:tc>
          <w:tcPr>
            <w:shd w:val="clear" w:fill="auto" w:color="auto"/>
            <w:tcW w:w="2213" w:type="pct"/>
            <w:textDirection w:val="lrTb"/>
            <w:noWrap w:val="false"/>
          </w:tcPr>
          <w:p>
            <w:pPr>
              <w:pStyle w:val="1005"/>
              <w:ind w:left="57" w:right="57"/>
            </w:pPr>
            <w:r>
              <w:t xml:space="preserve">Статус утверждения</w:t>
            </w:r>
            <w:r/>
          </w:p>
        </w:tc>
        <w:tc>
          <w:tcPr>
            <w:shd w:val="clear" w:fill="auto" w:color="auto"/>
            <w:tcW w:w="2787" w:type="pct"/>
            <w:textDirection w:val="lrTb"/>
            <w:noWrap w:val="false"/>
          </w:tcPr>
          <w:p>
            <w:pPr>
              <w:pStyle w:val="1005"/>
              <w:ind w:left="57" w:right="57"/>
            </w:pPr>
            <w:r>
              <w:t xml:space="preserve">Код и наименование статуса утверждения документа. </w:t>
            </w:r>
            <w:r/>
          </w:p>
          <w:p>
            <w:pPr>
              <w:pStyle w:val="1005"/>
              <w:ind w:left="57" w:right="57"/>
            </w:pPr>
            <w:r>
              <w:t xml:space="preserve">Заполняется автоматически при обработке документа.</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«Подписи»</w:t>
            </w:r>
            <w:r/>
          </w:p>
        </w:tc>
      </w:tr>
      <w:tr>
        <w:trPr>
          <w:trHeight w:val="77"/>
        </w:trPr>
        <w:tc>
          <w:tcPr>
            <w:shd w:val="clear" w:fill="auto" w:color="auto"/>
            <w:tcW w:w="2213" w:type="pct"/>
            <w:textDirection w:val="lrTb"/>
            <w:noWrap w:val="false"/>
          </w:tcPr>
          <w:p>
            <w:pPr>
              <w:pStyle w:val="1005"/>
              <w:ind w:left="57" w:right="57"/>
            </w:pPr>
            <w:r>
              <w:t xml:space="preserve">Руководитель. Должность</w:t>
            </w:r>
            <w:r/>
          </w:p>
        </w:tc>
        <w:tc>
          <w:tcPr>
            <w:shd w:val="clear" w:fill="auto" w:color="auto"/>
            <w:tcW w:w="2787" w:type="pct"/>
            <w:textDirection w:val="lrTb"/>
            <w:noWrap w:val="false"/>
          </w:tcPr>
          <w:p>
            <w:pPr>
              <w:pStyle w:val="1005"/>
              <w:ind w:left="57" w:right="57"/>
            </w:pPr>
            <w:r>
              <w:t xml:space="preserve">Должность руководителя.</w:t>
            </w:r>
            <w:r/>
          </w:p>
        </w:tc>
      </w:tr>
      <w:tr>
        <w:trPr>
          <w:trHeight w:val="77"/>
        </w:trPr>
        <w:tc>
          <w:tcPr>
            <w:shd w:val="clear" w:fill="auto" w:color="auto"/>
            <w:tcW w:w="2213" w:type="pct"/>
            <w:textDirection w:val="lrTb"/>
            <w:noWrap w:val="false"/>
          </w:tcPr>
          <w:p>
            <w:pPr>
              <w:pStyle w:val="1005"/>
              <w:ind w:left="57" w:right="57"/>
            </w:pPr>
            <w:r>
              <w:t xml:space="preserve">Руководитель. Расшифровка подписи</w:t>
            </w:r>
            <w:r/>
          </w:p>
        </w:tc>
        <w:tc>
          <w:tcPr>
            <w:shd w:val="clear" w:fill="auto" w:color="auto"/>
            <w:tcW w:w="2787" w:type="pct"/>
            <w:textDirection w:val="lrTb"/>
            <w:noWrap w:val="false"/>
          </w:tcPr>
          <w:p>
            <w:pPr>
              <w:pStyle w:val="1005"/>
              <w:ind w:left="57" w:right="57"/>
            </w:pPr>
            <w:r>
              <w:t xml:space="preserve">ФИО руководителя.</w:t>
            </w:r>
            <w:r/>
          </w:p>
        </w:tc>
      </w:tr>
      <w:tr>
        <w:trPr>
          <w:trHeight w:val="77"/>
        </w:trPr>
        <w:tc>
          <w:tcPr>
            <w:shd w:val="clear" w:fill="auto" w:color="auto"/>
            <w:tcW w:w="2213" w:type="pct"/>
            <w:textDirection w:val="lrTb"/>
            <w:noWrap w:val="false"/>
          </w:tcPr>
          <w:p>
            <w:pPr>
              <w:pStyle w:val="1005"/>
              <w:ind w:left="57" w:right="57"/>
            </w:pPr>
            <w:r>
              <w:t xml:space="preserve">Главный бухгалтер. Должность</w:t>
            </w:r>
            <w:r/>
          </w:p>
        </w:tc>
        <w:tc>
          <w:tcPr>
            <w:shd w:val="clear" w:fill="auto" w:color="auto"/>
            <w:tcW w:w="2787" w:type="pct"/>
            <w:textDirection w:val="lrTb"/>
            <w:noWrap w:val="false"/>
          </w:tcPr>
          <w:p>
            <w:pPr>
              <w:pStyle w:val="1005"/>
              <w:ind w:left="57" w:right="57"/>
            </w:pPr>
            <w:r>
              <w:t xml:space="preserve">Должность главного бухгалтера.</w:t>
            </w:r>
            <w:r/>
          </w:p>
        </w:tc>
      </w:tr>
      <w:tr>
        <w:trPr>
          <w:trHeight w:val="77"/>
        </w:trPr>
        <w:tc>
          <w:tcPr>
            <w:shd w:val="clear" w:fill="auto" w:color="auto"/>
            <w:tcW w:w="2213" w:type="pct"/>
            <w:textDirection w:val="lrTb"/>
            <w:noWrap w:val="false"/>
          </w:tcPr>
          <w:p>
            <w:pPr>
              <w:pStyle w:val="1005"/>
              <w:ind w:left="57" w:right="57"/>
            </w:pPr>
            <w:r>
              <w:t xml:space="preserve">Главный бухгалтер. Расшифровка подписи</w:t>
            </w:r>
            <w:r/>
          </w:p>
        </w:tc>
        <w:tc>
          <w:tcPr>
            <w:shd w:val="clear" w:fill="auto" w:color="auto"/>
            <w:tcW w:w="2787" w:type="pct"/>
            <w:textDirection w:val="lrTb"/>
            <w:noWrap w:val="false"/>
          </w:tcPr>
          <w:p>
            <w:pPr>
              <w:pStyle w:val="1005"/>
              <w:ind w:left="57" w:right="57"/>
            </w:pPr>
            <w:r>
              <w:t xml:space="preserve">ФИО главного бухгалтера.</w:t>
            </w:r>
            <w:r/>
          </w:p>
        </w:tc>
      </w:tr>
      <w:tr>
        <w:trPr>
          <w:trHeight w:val="77"/>
        </w:trPr>
        <w:tc>
          <w:tcPr>
            <w:shd w:val="clear" w:fill="auto" w:color="auto"/>
            <w:tcW w:w="2213" w:type="pct"/>
            <w:textDirection w:val="lrTb"/>
            <w:noWrap w:val="false"/>
          </w:tcPr>
          <w:p>
            <w:pPr>
              <w:pStyle w:val="1005"/>
              <w:ind w:left="57" w:right="57"/>
            </w:pPr>
            <w:r>
              <w:t xml:space="preserve">Ответственный исполнитель. Должность</w:t>
            </w:r>
            <w:r/>
          </w:p>
        </w:tc>
        <w:tc>
          <w:tcPr>
            <w:shd w:val="clear" w:fill="auto" w:color="auto"/>
            <w:tcW w:w="2787" w:type="pct"/>
            <w:textDirection w:val="lrTb"/>
            <w:noWrap w:val="false"/>
          </w:tcPr>
          <w:p>
            <w:pPr>
              <w:pStyle w:val="1005"/>
              <w:ind w:left="57" w:right="57"/>
            </w:pPr>
            <w:r>
              <w:t xml:space="preserve">Должность ответственного исполнителя.</w:t>
            </w:r>
            <w:r/>
          </w:p>
        </w:tc>
      </w:tr>
      <w:tr>
        <w:trPr>
          <w:trHeight w:val="77"/>
        </w:trPr>
        <w:tc>
          <w:tcPr>
            <w:shd w:val="clear" w:fill="auto" w:color="auto"/>
            <w:tcW w:w="2213" w:type="pct"/>
            <w:textDirection w:val="lrTb"/>
            <w:noWrap w:val="false"/>
          </w:tcPr>
          <w:p>
            <w:pPr>
              <w:pStyle w:val="1005"/>
              <w:ind w:left="57" w:right="57"/>
            </w:pPr>
            <w:r>
              <w:t xml:space="preserve">Ответственный исполнитель. Расшифровка подписи</w:t>
            </w:r>
            <w:r/>
          </w:p>
        </w:tc>
        <w:tc>
          <w:tcPr>
            <w:shd w:val="clear" w:fill="auto" w:color="auto"/>
            <w:tcW w:w="2787" w:type="pct"/>
            <w:textDirection w:val="lrTb"/>
            <w:noWrap w:val="false"/>
          </w:tcPr>
          <w:p>
            <w:pPr>
              <w:pStyle w:val="1005"/>
              <w:ind w:left="57" w:right="57"/>
            </w:pPr>
            <w:r>
              <w:t xml:space="preserve">ФИО ответственного исполнителя.</w:t>
            </w:r>
            <w:r/>
          </w:p>
        </w:tc>
      </w:tr>
      <w:tr>
        <w:trPr>
          <w:trHeight w:val="77"/>
        </w:trPr>
        <w:tc>
          <w:tcPr>
            <w:shd w:val="clear" w:fill="auto" w:color="auto"/>
            <w:tcW w:w="2213" w:type="pct"/>
            <w:textDirection w:val="lrTb"/>
            <w:noWrap w:val="false"/>
          </w:tcPr>
          <w:p>
            <w:pPr>
              <w:pStyle w:val="1005"/>
              <w:ind w:left="57" w:right="57"/>
            </w:pPr>
            <w:r>
              <w:t xml:space="preserve">Ответственный исполнитель. Телефон</w:t>
            </w:r>
            <w:r/>
          </w:p>
        </w:tc>
        <w:tc>
          <w:tcPr>
            <w:shd w:val="clear" w:fill="auto" w:color="auto"/>
            <w:tcW w:w="2787" w:type="pct"/>
            <w:textDirection w:val="lrTb"/>
            <w:noWrap w:val="false"/>
          </w:tcPr>
          <w:p>
            <w:pPr>
              <w:pStyle w:val="1005"/>
              <w:ind w:left="57" w:right="57"/>
            </w:pPr>
            <w:r>
              <w:t xml:space="preserve">Номер телефона исполнителя.</w:t>
            </w:r>
            <w:r/>
          </w:p>
        </w:tc>
      </w:tr>
    </w:tbl>
    <w:p>
      <w:pPr>
        <w:pStyle w:val="971"/>
      </w:pPr>
      <w:r/>
      <w:bookmarkStart w:id="1148" w:name="_Toc221011504"/>
      <w:r/>
      <w:bookmarkStart w:id="1149" w:name="_Toc221012205"/>
      <w:r/>
      <w:bookmarkStart w:id="1150" w:name="_Toc225934596"/>
      <w:r/>
      <w:bookmarkStart w:id="1151" w:name="_Toc232827337"/>
      <w:r/>
      <w:bookmarkStart w:id="1152" w:name="_Toc422496691"/>
      <w:r/>
      <w:bookmarkStart w:id="1153" w:name="_Toc88819127"/>
      <w:r/>
      <w:bookmarkEnd w:id="1045"/>
      <w:r/>
      <w:bookmarkEnd w:id="1046"/>
      <w:r/>
      <w:bookmarkEnd w:id="1047"/>
      <w:r>
        <w:t xml:space="preserve">Группа документов «Отзыв документа»</w:t>
      </w:r>
      <w:bookmarkEnd w:id="1148"/>
      <w:r/>
      <w:bookmarkEnd w:id="1149"/>
      <w:r/>
      <w:bookmarkEnd w:id="1150"/>
      <w:r/>
      <w:bookmarkEnd w:id="1151"/>
      <w:r/>
      <w:bookmarkEnd w:id="1152"/>
      <w:r/>
      <w:bookmarkEnd w:id="1153"/>
      <w:r/>
      <w:r/>
    </w:p>
    <w:p>
      <w:pPr>
        <w:pStyle w:val="972"/>
      </w:pPr>
      <w:r/>
      <w:bookmarkStart w:id="1154" w:name="_Toc58787421"/>
      <w:r/>
      <w:bookmarkStart w:id="1155" w:name="_Ref58796768"/>
      <w:r/>
      <w:bookmarkStart w:id="1156" w:name="_Ref59717896"/>
      <w:r/>
      <w:bookmarkStart w:id="1157" w:name="_Ref59717966"/>
      <w:r/>
      <w:bookmarkStart w:id="1158" w:name="_Ref59717994"/>
      <w:r/>
      <w:bookmarkStart w:id="1159" w:name="_Ref59718037"/>
      <w:r/>
      <w:bookmarkStart w:id="1160" w:name="_Ref59718068"/>
      <w:r/>
      <w:bookmarkStart w:id="1161" w:name="_Ref59718303"/>
      <w:r/>
      <w:bookmarkStart w:id="1162" w:name="_Ref59718344"/>
      <w:r/>
      <w:bookmarkStart w:id="1163" w:name="_Ref59718405"/>
      <w:r/>
      <w:bookmarkStart w:id="1164" w:name="_Ref59718435"/>
      <w:r/>
      <w:bookmarkStart w:id="1165" w:name="_Ref59718554"/>
      <w:r/>
      <w:bookmarkStart w:id="1166" w:name="_Ref59718583"/>
      <w:r/>
      <w:bookmarkStart w:id="1167" w:name="_Ref59718612"/>
      <w:r/>
      <w:bookmarkStart w:id="1168" w:name="_Ref59718868"/>
      <w:r/>
      <w:bookmarkStart w:id="1169" w:name="_Ref59719082"/>
      <w:r/>
      <w:bookmarkStart w:id="1170" w:name="_Ref60089794"/>
      <w:r/>
      <w:bookmarkStart w:id="1171" w:name="_Ref68183263"/>
      <w:r/>
      <w:bookmarkStart w:id="1172" w:name="_Toc221011508"/>
      <w:r/>
      <w:bookmarkStart w:id="1173" w:name="_Toc221012208"/>
      <w:r/>
      <w:bookmarkStart w:id="1174" w:name="_Toc88819128"/>
      <w:r>
        <w:t xml:space="preserve">Запрос на отзыв распоряжения (запрос на аннулирование)</w:t>
      </w:r>
      <w:bookmarkEnd w:id="1154"/>
      <w:r/>
      <w:bookmarkEnd w:id="1155"/>
      <w:r/>
      <w:bookmarkEnd w:id="1156"/>
      <w:r/>
      <w:bookmarkEnd w:id="1157"/>
      <w:r/>
      <w:bookmarkEnd w:id="1158"/>
      <w:r/>
      <w:bookmarkEnd w:id="1159"/>
      <w:r/>
      <w:bookmarkEnd w:id="1160"/>
      <w:r/>
      <w:bookmarkEnd w:id="1161"/>
      <w:r/>
      <w:bookmarkEnd w:id="1162"/>
      <w:r/>
      <w:bookmarkEnd w:id="1163"/>
      <w:r/>
      <w:bookmarkEnd w:id="1164"/>
      <w:r/>
      <w:bookmarkEnd w:id="1165"/>
      <w:r/>
      <w:bookmarkEnd w:id="1166"/>
      <w:r/>
      <w:bookmarkEnd w:id="1167"/>
      <w:r/>
      <w:bookmarkEnd w:id="1168"/>
      <w:r/>
      <w:bookmarkEnd w:id="1169"/>
      <w:r/>
      <w:bookmarkEnd w:id="1170"/>
      <w:r/>
      <w:bookmarkEnd w:id="1171"/>
      <w:r/>
      <w:bookmarkEnd w:id="1174"/>
      <w:r/>
      <w:r/>
    </w:p>
    <w:p>
      <w:pPr>
        <w:pStyle w:val="994"/>
      </w:pPr>
      <w:r>
        <w:t xml:space="preserve">Документ </w:t>
      </w:r>
      <w:r>
        <w:t xml:space="preserve">«</w:t>
      </w:r>
      <w:r>
        <w:t xml:space="preserve">Запрос на отзыв распоряжения (запрос на аннулирование)</w:t>
      </w:r>
      <w:r>
        <w:t xml:space="preserve">»</w:t>
      </w:r>
      <w:r>
        <w:t xml:space="preserve"> служит для доведения до ОрФК информации о необходимости аннулирования ранее переданного от АДБ документа </w:t>
      </w:r>
      <w:r>
        <w:t xml:space="preserve">«</w:t>
      </w:r>
      <w:r>
        <w:t xml:space="preserve">Заявка на платеж</w:t>
      </w:r>
      <w:r>
        <w:t xml:space="preserve">»</w:t>
      </w:r>
      <w:r>
        <w:t xml:space="preserve"> (на возврат).</w:t>
      </w:r>
      <w:r/>
    </w:p>
    <w:p>
      <w:pPr>
        <w:pStyle w:val="994"/>
      </w:pPr>
      <w:r>
        <w:t xml:space="preserve">Документ, находящийся в СУФД, может быть отменен </w:t>
      </w:r>
      <w:r>
        <w:t xml:space="preserve">с помощью Заявки на отмену документа</w:t>
      </w:r>
      <w:r>
        <w:t xml:space="preserve"> в следующих случаях:</w:t>
      </w:r>
      <w:r/>
    </w:p>
    <w:p>
      <w:pPr>
        <w:pStyle w:val="1156"/>
      </w:pPr>
      <w:r>
        <w:t xml:space="preserve">Документ создан на АРМ СУФД/оперзале ОФК, передан на транзитный или конечный узел СУФД и еще не выгружен в </w:t>
      </w:r>
      <w:r>
        <w:rPr>
          <w:lang w:val="en-US"/>
        </w:rPr>
        <w:t xml:space="preserve">OEBS</w:t>
      </w:r>
      <w:r>
        <w:t xml:space="preserve">.</w:t>
      </w:r>
      <w:r/>
    </w:p>
    <w:p>
      <w:pPr>
        <w:pStyle w:val="1156"/>
      </w:pPr>
      <w:r>
        <w:t xml:space="preserve">Документ создан на АРМ СУФД/оперзале ОФК, доставлен до транзитного/конечного узла СУФД и выгружен в </w:t>
      </w:r>
      <w:r>
        <w:rPr>
          <w:lang w:val="en-US"/>
        </w:rPr>
        <w:t xml:space="preserve">OEBS</w:t>
      </w:r>
      <w:r>
        <w:t xml:space="preserve">.</w:t>
      </w:r>
      <w:r/>
    </w:p>
    <w:p>
      <w:pPr>
        <w:pStyle w:val="994"/>
      </w:pPr>
      <w:r>
        <w:t xml:space="preserve">В случае если отзываемый документ был создан в СУФД, запрос на аннулирование заявки и</w:t>
      </w:r>
      <w:r>
        <w:t xml:space="preserve">меет право создать или БУ</w:t>
      </w:r>
      <w:r>
        <w:t xml:space="preserve">, которое создало документ в АС</w:t>
      </w:r>
      <w:r>
        <w:t xml:space="preserve">ФК</w:t>
      </w:r>
      <w:r>
        <w:t xml:space="preserve">,</w:t>
      </w:r>
      <w:r>
        <w:t xml:space="preserve"> или </w:t>
      </w:r>
      <w:r>
        <w:t xml:space="preserve">О</w:t>
      </w:r>
      <w:r>
        <w:t xml:space="preserve">ФК</w:t>
      </w:r>
      <w:r>
        <w:t xml:space="preserve">,</w:t>
      </w:r>
      <w:r>
        <w:t xml:space="preserve"> в котором обслуживается БУ</w:t>
      </w:r>
      <w:r>
        <w:t xml:space="preserve">.</w:t>
      </w:r>
      <w:r/>
    </w:p>
    <w:p>
      <w:pPr>
        <w:pStyle w:val="994"/>
      </w:pPr>
      <w:r>
        <w:t xml:space="preserve">Документ</w:t>
      </w:r>
      <w:r>
        <w:t xml:space="preserve"> «</w:t>
      </w:r>
      <w:r>
        <w:t xml:space="preserve">Запрос на отзыв распоряжения (запрос на аннулирование)</w:t>
      </w:r>
      <w:r>
        <w:t xml:space="preserve">»</w:t>
      </w:r>
      <w:r>
        <w:t xml:space="preserve"> повторяет маршрут отзываемого документа.</w:t>
      </w:r>
      <w:r>
        <w:t xml:space="preserve"> </w:t>
      </w:r>
      <w:r>
        <w:t xml:space="preserve">Для каждой группы (при необходимости типа) отменяемых документов создается отдельный тип заявки на отмену</w:t>
      </w:r>
      <w:r>
        <w:t xml:space="preserve">.</w:t>
      </w:r>
      <w:r/>
    </w:p>
    <w:p>
      <w:pPr>
        <w:pStyle w:val="994"/>
      </w:pPr>
      <w:r>
        <w:t xml:space="preserve">Документ</w:t>
      </w:r>
      <w:r>
        <w:t xml:space="preserve"> «</w:t>
      </w:r>
      <w:r>
        <w:t xml:space="preserve">Запрос на отзыв распоряжения (запрос на аннулирование)</w:t>
      </w:r>
      <w:r>
        <w:t xml:space="preserve">»</w:t>
      </w:r>
      <w:r>
        <w:t xml:space="preserve"> может быть создан в СУФД для отмены следующих типов заявок</w:t>
      </w:r>
      <w:r>
        <w:t xml:space="preserve">, до момента отправки их в банк (все статусы, кроме 000, 450, 880, 888, 999)</w:t>
      </w:r>
      <w:r>
        <w:t xml:space="preserve">: </w:t>
      </w:r>
      <w:r/>
    </w:p>
    <w:p>
      <w:pPr>
        <w:pStyle w:val="985"/>
      </w:pPr>
      <w:r>
        <w:t xml:space="preserve">ЗКР (</w:t>
      </w:r>
      <w:r>
        <w:t xml:space="preserve">Заявк</w:t>
      </w:r>
      <w:r>
        <w:t xml:space="preserve">а</w:t>
      </w:r>
      <w:r>
        <w:t xml:space="preserve"> на кассовый расход);</w:t>
      </w:r>
      <w:r/>
    </w:p>
    <w:p>
      <w:pPr>
        <w:pStyle w:val="985"/>
      </w:pPr>
      <w:r>
        <w:t xml:space="preserve">ЗКР, уточняющий тип ЗКС</w:t>
      </w:r>
      <w:r>
        <w:t xml:space="preserve"> (</w:t>
      </w:r>
      <w:r>
        <w:t xml:space="preserve">Заявк</w:t>
      </w:r>
      <w:r>
        <w:t xml:space="preserve">а</w:t>
      </w:r>
      <w:r>
        <w:t xml:space="preserve"> на кассовый расход (сокращенн</w:t>
      </w:r>
      <w:r>
        <w:t xml:space="preserve">ая</w:t>
      </w:r>
      <w:r>
        <w:t xml:space="preserve">)</w:t>
      </w:r>
      <w:r>
        <w:t xml:space="preserve">)</w:t>
      </w:r>
      <w:r>
        <w:t xml:space="preserve">;</w:t>
      </w:r>
      <w:r/>
    </w:p>
    <w:p>
      <w:pPr>
        <w:pStyle w:val="985"/>
      </w:pPr>
      <w:r>
        <w:t xml:space="preserve">ЗНП (</w:t>
      </w:r>
      <w:r>
        <w:t xml:space="preserve">Заявк</w:t>
      </w:r>
      <w:r>
        <w:t xml:space="preserve">а</w:t>
      </w:r>
      <w:r>
        <w:t xml:space="preserve"> на получение наличных денег);</w:t>
      </w:r>
      <w:r/>
    </w:p>
    <w:p>
      <w:pPr>
        <w:pStyle w:val="985"/>
      </w:pPr>
      <w:r>
        <w:t xml:space="preserve">ПЗВ (</w:t>
      </w:r>
      <w:r>
        <w:t xml:space="preserve">Заявк</w:t>
      </w:r>
      <w:r>
        <w:t xml:space="preserve">а</w:t>
      </w:r>
      <w:r>
        <w:t xml:space="preserve"> на возврат);</w:t>
      </w:r>
      <w:r/>
    </w:p>
    <w:p>
      <w:pPr>
        <w:pStyle w:val="985"/>
      </w:pPr>
      <w:r>
        <w:t xml:space="preserve">ЗПП (</w:t>
      </w:r>
      <w:r>
        <w:t xml:space="preserve">Платежно</w:t>
      </w:r>
      <w:r>
        <w:t xml:space="preserve">е поручение</w:t>
      </w:r>
      <w:r>
        <w:t xml:space="preserve">);</w:t>
      </w:r>
      <w:r/>
    </w:p>
    <w:p>
      <w:pPr>
        <w:pStyle w:val="985"/>
      </w:pPr>
      <w:r>
        <w:t xml:space="preserve">ЗНБ </w:t>
      </w:r>
      <w:r>
        <w:t xml:space="preserve">(Заявка на получение денежных средств, перечисляемых на карту); </w:t>
      </w:r>
      <w:r/>
    </w:p>
    <w:p>
      <w:pPr>
        <w:pStyle w:val="985"/>
      </w:pPr>
      <w:r>
        <w:t xml:space="preserve">ЗСВ (Сводная заявка на кассовый расход (для уплаты налогов));</w:t>
      </w:r>
      <w:r/>
    </w:p>
    <w:p>
      <w:pPr>
        <w:pStyle w:val="985"/>
      </w:pPr>
      <w:r>
        <w:t xml:space="preserve">РКД (</w:t>
      </w:r>
      <w:r>
        <w:t xml:space="preserve">Расшифровка сумм неиспользованных (внесенных через банкомат или пункт выдачи наличных денежных средств)</w:t>
      </w:r>
      <w:r>
        <w:t xml:space="preserve"> средств)).</w:t>
      </w:r>
      <w:r/>
    </w:p>
    <w:p>
      <w:pPr>
        <w:pStyle w:val="996"/>
      </w:pPr>
      <w:r>
        <w:rPr>
          <w:rStyle w:val="1001"/>
        </w:rPr>
        <w:t xml:space="preserve">Примечание.</w:t>
      </w:r>
      <w:r>
        <w:tab/>
        <w:t xml:space="preserve">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w:t>
      </w:r>
      <w:r>
        <w:t xml:space="preserve">«</w:t>
      </w:r>
      <w:r>
        <w:t xml:space="preserve">Черновик</w:t>
      </w:r>
      <w:r>
        <w:t xml:space="preserve">»</w:t>
      </w:r>
      <w:r>
        <w:t xml:space="preserve"> и удаления.</w:t>
      </w:r>
      <w:r/>
    </w:p>
    <w:p>
      <w:pPr>
        <w:pStyle w:val="994"/>
      </w:pPr>
      <w:r>
        <w:t xml:space="preserve">Для работы с документами «</w:t>
      </w:r>
      <w:r>
        <w:t xml:space="preserve">Запрос на отзыв распоряжения (запрос на аннулирование)</w:t>
      </w:r>
      <w:r>
        <w:t xml:space="preserve">» следует перейти в пункт меню «Документы – Отзыв документа – </w:t>
      </w:r>
      <w:r>
        <w:t xml:space="preserve">Запрос на отзыв распоряжения (запрос на аннулирование)</w:t>
      </w:r>
      <w:r>
        <w:t xml:space="preserve">». Откроется ЭФ списка документов, представленная на рисунке </w:t>
      </w:r>
      <w:r>
        <w:fldChar w:fldCharType="begin"/>
      </w:r>
      <w:r>
        <w:instrText xml:space="preserve"> REF _Ref221011602 \h  \* MERGEFORMAT </w:instrText>
      </w:r>
      <w:r>
        <w:fldChar w:fldCharType="separate"/>
      </w:r>
      <w:r>
        <w:t xml:space="preserve">149</w:t>
      </w:r>
      <w:r>
        <w:fldChar w:fldCharType="end"/>
      </w:r>
      <w:r>
        <w:t xml:space="preserve">.</w:t>
      </w:r>
      <w:r/>
    </w:p>
    <w:p>
      <w:pPr>
        <w:pStyle w:val="982"/>
      </w:pPr>
      <w:r>
        <mc:AlternateContent>
          <mc:Choice Requires="wpg">
            <w:drawing>
              <wp:inline xmlns:wp="http://schemas.openxmlformats.org/drawingml/2006/wordprocessingDrawing" distT="0" distB="0" distL="0" distR="0">
                <wp:extent cx="6309360" cy="2476500"/>
                <wp:effectExtent l="0" t="0" r="0" b="0"/>
                <wp:docPr id="23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15"/>
                        <a:stretch/>
                      </pic:blipFill>
                      <pic:spPr bwMode="auto">
                        <a:xfrm>
                          <a:off x="0" y="0"/>
                          <a:ext cx="6309360" cy="24765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4" o:spid="_x0000_s234" type="#_x0000_t75" style="mso-wrap-distance-left:0.0pt;mso-wrap-distance-top:0.0pt;mso-wrap-distance-right:0.0pt;mso-wrap-distance-bottom:0.0pt;width:496.8pt;height:195.0pt;" stroked="f">
                <v:path textboxrect="0,0,0,0"/>
                <v:imagedata r:id="rId215" o:title=""/>
              </v:shape>
            </w:pict>
          </mc:Fallback>
        </mc:AlternateContent>
      </w:r>
      <w:r/>
    </w:p>
    <w:p>
      <w:pPr>
        <w:pStyle w:val="983"/>
      </w:pPr>
      <w:r>
        <w:fldChar w:fldCharType="begin"/>
      </w:r>
      <w:r>
        <w:instrText xml:space="preserve"> SEQ Рисунок \* ARABIC </w:instrText>
      </w:r>
      <w:r>
        <w:fldChar w:fldCharType="separate"/>
      </w:r>
      <w:bookmarkStart w:id="1175" w:name="_Ref221011602"/>
      <w:r/>
      <w:bookmarkStart w:id="1176" w:name="_Toc88819534"/>
      <w:r>
        <w:t xml:space="preserve">149</w:t>
      </w:r>
      <w:bookmarkEnd w:id="1175"/>
      <w:r>
        <w:fldChar w:fldCharType="end"/>
      </w:r>
      <w:r>
        <w:t xml:space="preserve">. ЭФ списка документов «</w:t>
      </w:r>
      <w:r>
        <w:t xml:space="preserve">Запрос на отзыв распоряжения (запрос на аннулирование)</w:t>
      </w:r>
      <w:r>
        <w:t xml:space="preserve">»</w:t>
      </w:r>
      <w:bookmarkEnd w:id="1176"/>
      <w:r/>
      <w:r/>
    </w:p>
    <w:p>
      <w:pPr>
        <w:pStyle w:val="973"/>
      </w:pPr>
      <w:r>
        <w:t xml:space="preserve">Доступные операции</w:t>
      </w:r>
      <w:r/>
    </w:p>
    <w:p>
      <w:pPr>
        <w:pStyle w:val="994"/>
      </w:pPr>
      <w:r>
        <w:t xml:space="preserve">На АРМ ФО </w:t>
      </w:r>
      <w:r>
        <w:t xml:space="preserve">доступны следу</w:t>
      </w:r>
      <w:r>
        <w:t xml:space="preserve">ющие операции над документо</w:t>
      </w:r>
      <w:r>
        <w:t xml:space="preserve">м</w:t>
      </w:r>
      <w:r>
        <w:t xml:space="preserve">:</w:t>
      </w:r>
      <w:r/>
    </w:p>
    <w:p>
      <w:pPr>
        <w:pStyle w:val="985"/>
      </w:pPr>
      <w:r>
        <w:t xml:space="preserve">ввод вручную;</w:t>
      </w:r>
      <w:r/>
    </w:p>
    <w:p>
      <w:pPr>
        <w:pStyle w:val="985"/>
      </w:pPr>
      <w:r>
        <w:t xml:space="preserve">создание на основе родительского документа;</w:t>
      </w:r>
      <w:r/>
    </w:p>
    <w:p>
      <w:pPr>
        <w:pStyle w:val="985"/>
      </w:pPr>
      <w:r>
        <w:t xml:space="preserve">импорт из внешней системы;</w:t>
      </w:r>
      <w:r/>
    </w:p>
    <w:p>
      <w:pPr>
        <w:pStyle w:val="985"/>
      </w:pPr>
      <w:r>
        <w:t xml:space="preserve">просмотр и редактирование;</w:t>
      </w:r>
      <w:r/>
    </w:p>
    <w:p>
      <w:pPr>
        <w:pStyle w:val="985"/>
      </w:pPr>
      <w:r>
        <w:t xml:space="preserve">удаление;</w:t>
      </w:r>
      <w:r/>
    </w:p>
    <w:p>
      <w:pPr>
        <w:pStyle w:val="985"/>
      </w:pPr>
      <w:r>
        <w:t xml:space="preserve">подписание, проверка и удаление </w:t>
      </w:r>
      <w:r>
        <w:t xml:space="preserve">ЭП</w:t>
      </w:r>
      <w:r>
        <w:t xml:space="preserve">;</w:t>
      </w:r>
      <w:r/>
    </w:p>
    <w:p>
      <w:pPr>
        <w:pStyle w:val="985"/>
      </w:pPr>
      <w:r>
        <w:t xml:space="preserve">печать;</w:t>
      </w:r>
      <w:r/>
    </w:p>
    <w:p>
      <w:pPr>
        <w:pStyle w:val="985"/>
      </w:pPr>
      <w:r>
        <w:t xml:space="preserve">экспорт во внешнюю систему</w:t>
      </w:r>
      <w:r>
        <w:t xml:space="preserve">;</w:t>
      </w:r>
      <w:r/>
    </w:p>
    <w:p>
      <w:pPr>
        <w:pStyle w:val="985"/>
      </w:pPr>
      <w:r>
        <w:t xml:space="preserve">отправка в ОФК (УФК).</w:t>
      </w:r>
      <w:r/>
    </w:p>
    <w:p>
      <w:pPr>
        <w:pStyle w:val="974"/>
      </w:pPr>
      <w:r>
        <w:t xml:space="preserve">Создание документа на основе родительского документа</w:t>
      </w:r>
      <w:r/>
    </w:p>
    <w:p>
      <w:pPr>
        <w:pStyle w:val="994"/>
      </w:pPr>
      <w:r>
        <w:t xml:space="preserve">Документ может создаваться на основе следующих ЭД:</w:t>
      </w:r>
      <w:r/>
    </w:p>
    <w:p>
      <w:pPr>
        <w:pStyle w:val="985"/>
      </w:pPr>
      <w:r>
        <w:t xml:space="preserve">«Заявка на кассовый расход (сокращенная)»</w:t>
      </w:r>
      <w:r>
        <w:t xml:space="preserve">;</w:t>
      </w:r>
      <w:r/>
    </w:p>
    <w:p>
      <w:pPr>
        <w:pStyle w:val="985"/>
      </w:pPr>
      <w:r>
        <w:t xml:space="preserve">«Заявка на получение наличных денег»</w:t>
      </w:r>
      <w:r>
        <w:t xml:space="preserve">;</w:t>
      </w:r>
      <w:r/>
    </w:p>
    <w:p>
      <w:pPr>
        <w:pStyle w:val="985"/>
      </w:pPr>
      <w:r>
        <w:t xml:space="preserve">«</w:t>
      </w:r>
      <w:r>
        <w:t xml:space="preserve">Объявление на взнос наличных</w:t>
      </w:r>
      <w:r>
        <w:t xml:space="preserve">»</w:t>
      </w:r>
      <w:r>
        <w:t xml:space="preserve">;</w:t>
      </w:r>
      <w:r/>
    </w:p>
    <w:p>
      <w:pPr>
        <w:pStyle w:val="985"/>
      </w:pPr>
      <w:r>
        <w:t xml:space="preserve">«Расшифровка сумм неиспользованных средств»</w:t>
      </w:r>
      <w:r>
        <w:t xml:space="preserve">;</w:t>
      </w:r>
      <w:r/>
    </w:p>
    <w:p>
      <w:pPr>
        <w:pStyle w:val="985"/>
      </w:pPr>
      <w:r>
        <w:t xml:space="preserve">«Платежное поручение»</w:t>
      </w:r>
      <w:r>
        <w:t xml:space="preserve">;</w:t>
      </w:r>
      <w:r/>
    </w:p>
    <w:p>
      <w:pPr>
        <w:pStyle w:val="985"/>
      </w:pPr>
      <w:r>
        <w:t xml:space="preserve">«Заявка на получение денежных средств, перечисляемых на карту»</w:t>
      </w:r>
      <w:r>
        <w:t xml:space="preserve">;</w:t>
      </w:r>
      <w:r/>
    </w:p>
    <w:p>
      <w:pPr>
        <w:pStyle w:val="985"/>
      </w:pPr>
      <w:r>
        <w:t xml:space="preserve">«Распоряжение на получение денежных средств на карты «Мир» физических лиц»</w:t>
      </w:r>
      <w:r>
        <w:t xml:space="preserve">;</w:t>
      </w:r>
      <w:r/>
    </w:p>
    <w:p>
      <w:pPr>
        <w:pStyle w:val="985"/>
      </w:pPr>
      <w:r>
        <w:t xml:space="preserve">«Заявка на кассовый расход»</w:t>
      </w:r>
      <w:r>
        <w:t xml:space="preserve">;</w:t>
      </w:r>
      <w:r/>
    </w:p>
    <w:p>
      <w:pPr>
        <w:pStyle w:val="985"/>
      </w:pPr>
      <w:r>
        <w:t xml:space="preserve">«Заявка на возврат»</w:t>
      </w:r>
      <w:r>
        <w:t xml:space="preserve">;</w:t>
      </w:r>
      <w:r/>
    </w:p>
    <w:p>
      <w:pPr>
        <w:pStyle w:val="985"/>
      </w:pPr>
      <w:r>
        <w:t xml:space="preserve">«Сводная заявка на кассов</w:t>
      </w:r>
      <w:r>
        <w:t xml:space="preserve">ый расход (для уплаты налогов)»;</w:t>
      </w:r>
      <w:r/>
    </w:p>
    <w:p>
      <w:pPr>
        <w:pStyle w:val="985"/>
      </w:pPr>
      <w:r>
        <w:t xml:space="preserve">«</w:t>
      </w:r>
      <w:r>
        <w:t xml:space="preserve">Обеспечение наличными денежными средствами</w:t>
      </w:r>
      <w:r>
        <w:t xml:space="preserve">»</w:t>
      </w:r>
      <w:r>
        <w:t xml:space="preserve">.</w:t>
      </w:r>
      <w:r/>
    </w:p>
    <w:p>
      <w:pPr>
        <w:pStyle w:val="994"/>
      </w:pPr>
      <w:r>
        <w:t xml:space="preserve">Для создания документа на основе родительского документа необходимо в ЭФ док</w:t>
      </w:r>
      <w:r>
        <w:t xml:space="preserve">у</w:t>
      </w:r>
      <w:r>
        <w:t xml:space="preserve">мента нажать на кнопку </w:t>
      </w:r>
      <w:r>
        <mc:AlternateContent>
          <mc:Choice Requires="wpg">
            <w:drawing>
              <wp:inline xmlns:wp="http://schemas.openxmlformats.org/drawingml/2006/wordprocessingDrawing" distT="0" distB="0" distL="0" distR="0">
                <wp:extent cx="182880" cy="182880"/>
                <wp:effectExtent l="0" t="0" r="0" b="0"/>
                <wp:docPr id="23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76"/>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5" o:spid="_x0000_s235" type="#_x0000_t75" style="mso-wrap-distance-left:0.0pt;mso-wrap-distance-top:0.0pt;mso-wrap-distance-right:0.0pt;mso-wrap-distance-bottom:0.0pt;width:14.4pt;height:14.4pt;" stroked="f">
                <v:path textboxrect="0,0,0,0"/>
                <v:imagedata r:id="rId76" o:title=""/>
              </v:shape>
            </w:pict>
          </mc:Fallback>
        </mc:AlternateContent>
      </w:r>
      <w:r>
        <w:t xml:space="preserve"> (Выбрать родительский документ), выбрать тип родительского документа, а затем сам родительский док</w:t>
      </w:r>
      <w:r>
        <w:t xml:space="preserve">у</w:t>
      </w:r>
      <w:r>
        <w:t xml:space="preserve">мент. </w:t>
      </w:r>
      <w:r>
        <w:t xml:space="preserve">Поля формы заполн</w:t>
      </w:r>
      <w:r>
        <w:t xml:space="preserve">ятся</w:t>
      </w:r>
      <w:r>
        <w:t xml:space="preserve"> значениями соо</w:t>
      </w:r>
      <w:r>
        <w:t xml:space="preserve">т</w:t>
      </w:r>
      <w:r>
        <w:t xml:space="preserve">ветствующих полей род</w:t>
      </w:r>
      <w:r>
        <w:t xml:space="preserve">и</w:t>
      </w:r>
      <w:r>
        <w:t xml:space="preserve">тельского документа</w:t>
      </w:r>
      <w:r>
        <w:t xml:space="preserve">.</w:t>
      </w:r>
      <w:r/>
    </w:p>
    <w:p>
      <w:pPr>
        <w:pStyle w:val="973"/>
      </w:pPr>
      <w:r>
        <w:t xml:space="preserve">Экранная форма документа</w:t>
      </w:r>
      <w:r/>
    </w:p>
    <w:p>
      <w:pPr>
        <w:pStyle w:val="994"/>
      </w:pPr>
      <w:r>
        <w:t xml:space="preserve">ЭФ документа «</w:t>
      </w:r>
      <w:r>
        <w:t xml:space="preserve">Запрос на отзыв распоряжения (запрос на аннулирование)</w:t>
      </w:r>
      <w:r>
        <w:t xml:space="preserve">» представлена на рисунке </w:t>
      </w:r>
      <w:r>
        <w:fldChar w:fldCharType="begin"/>
      </w:r>
      <w:r>
        <w:instrText xml:space="preserve"> REF _Ref205102580 \h  \* MERGEFORMAT </w:instrText>
      </w:r>
      <w:r>
        <w:fldChar w:fldCharType="separate"/>
      </w:r>
      <w:r>
        <w:t xml:space="preserve">150</w:t>
      </w:r>
      <w:r>
        <w:fldChar w:fldCharType="end"/>
      </w:r>
      <w:r>
        <w:t xml:space="preserve">. Форма содержит следующие закладки:</w:t>
      </w:r>
      <w:r/>
    </w:p>
    <w:p>
      <w:pPr>
        <w:pStyle w:val="985"/>
      </w:pPr>
      <w:r>
        <w:t xml:space="preserve">«Основные»;</w:t>
      </w:r>
      <w:r/>
    </w:p>
    <w:p>
      <w:pPr>
        <w:pStyle w:val="985"/>
      </w:pPr>
      <w:r>
        <w:t xml:space="preserve">«Протоколы»;</w:t>
      </w:r>
      <w:r/>
    </w:p>
    <w:p>
      <w:pPr>
        <w:pStyle w:val="985"/>
      </w:pPr>
      <w:r>
        <w:t xml:space="preserve">«Системные атрибуты».</w:t>
      </w:r>
      <w:r/>
    </w:p>
    <w:p>
      <w:pPr>
        <w:pStyle w:val="982"/>
      </w:pPr>
      <w:r>
        <mc:AlternateContent>
          <mc:Choice Requires="wpg">
            <w:drawing>
              <wp:inline xmlns:wp="http://schemas.openxmlformats.org/drawingml/2006/wordprocessingDrawing" distT="0" distB="0" distL="0" distR="0">
                <wp:extent cx="6118860" cy="3383280"/>
                <wp:effectExtent l="0" t="0" r="0" b="0"/>
                <wp:docPr id="23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16"/>
                        <a:stretch/>
                      </pic:blipFill>
                      <pic:spPr bwMode="auto">
                        <a:xfrm>
                          <a:off x="0" y="0"/>
                          <a:ext cx="6118860" cy="33832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6" o:spid="_x0000_s236" type="#_x0000_t75" style="mso-wrap-distance-left:0.0pt;mso-wrap-distance-top:0.0pt;mso-wrap-distance-right:0.0pt;mso-wrap-distance-bottom:0.0pt;width:481.8pt;height:266.4pt;" stroked="f">
                <v:path textboxrect="0,0,0,0"/>
                <v:imagedata r:id="rId216" o:title=""/>
              </v:shape>
            </w:pict>
          </mc:Fallback>
        </mc:AlternateContent>
      </w:r>
      <w:r/>
    </w:p>
    <w:p>
      <w:pPr>
        <w:pStyle w:val="983"/>
      </w:pPr>
      <w:r>
        <w:fldChar w:fldCharType="begin"/>
      </w:r>
      <w:r>
        <w:instrText xml:space="preserve"> SEQ Рисунок \* ARABIC </w:instrText>
      </w:r>
      <w:r>
        <w:fldChar w:fldCharType="separate"/>
      </w:r>
      <w:bookmarkStart w:id="1177" w:name="_Ref205102580"/>
      <w:r/>
      <w:bookmarkStart w:id="1178" w:name="_Toc88819535"/>
      <w:r>
        <w:t xml:space="preserve">150</w:t>
      </w:r>
      <w:bookmarkEnd w:id="1177"/>
      <w:r>
        <w:fldChar w:fldCharType="end"/>
      </w:r>
      <w:r>
        <w:t xml:space="preserve">. ЭФ документа «</w:t>
      </w:r>
      <w:r>
        <w:t xml:space="preserve">Запрос на отзыв распоряжения (запрос на аннулирование)</w:t>
      </w:r>
      <w:r>
        <w:t xml:space="preserve">»</w:t>
      </w:r>
      <w:bookmarkEnd w:id="1178"/>
      <w:r/>
      <w:r/>
    </w:p>
    <w:p>
      <w:pPr>
        <w:pStyle w:val="994"/>
      </w:pPr>
      <w:r>
        <w:t xml:space="preserve">При импорте документа из внешней системы поля документа автоматическ</w:t>
      </w:r>
      <w:r>
        <w:t xml:space="preserve">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r/>
    </w:p>
    <w:p>
      <w:pPr>
        <w:pStyle w:val="994"/>
      </w:pPr>
      <w:r>
        <w:t xml:space="preserve">Перечень полей </w:t>
      </w:r>
      <w:r>
        <w:t xml:space="preserve">документа «</w:t>
      </w:r>
      <w:r>
        <w:t xml:space="preserve">Запрос на отзыв распоряжения (запрос на аннулирование)</w:t>
      </w:r>
      <w:r>
        <w:t xml:space="preserve">»</w:t>
      </w:r>
      <w:r>
        <w:t xml:space="preserve"> </w:t>
      </w:r>
      <w:r>
        <w:t xml:space="preserve">приведен в таблице</w:t>
      </w:r>
      <w:r>
        <w:t xml:space="preserve"> </w:t>
      </w:r>
      <w:r>
        <w:fldChar w:fldCharType="begin"/>
      </w:r>
      <w:r>
        <w:instrText xml:space="preserve"> REF _Ref247001092 \h  \* MERGEFORMAT </w:instrText>
      </w:r>
      <w:r>
        <w:fldChar w:fldCharType="separate"/>
      </w:r>
      <w:r>
        <w:t xml:space="preserve">82</w:t>
      </w:r>
      <w:r>
        <w:fldChar w:fldCharType="end"/>
      </w:r>
      <w:r>
        <w:t xml:space="preserve">.</w:t>
      </w:r>
      <w:r/>
    </w:p>
    <w:p>
      <w:pPr>
        <w:pStyle w:val="993"/>
      </w:pPr>
      <w:r>
        <w:fldChar w:fldCharType="begin"/>
      </w:r>
      <w:r>
        <w:instrText xml:space="preserve"> SEQ Таблица \* ARABIC </w:instrText>
      </w:r>
      <w:r>
        <w:fldChar w:fldCharType="separate"/>
      </w:r>
      <w:bookmarkStart w:id="1179" w:name="_Ref247001092"/>
      <w:r/>
      <w:bookmarkStart w:id="1180" w:name="_Toc88819268"/>
      <w:r>
        <w:t xml:space="preserve">82</w:t>
      </w:r>
      <w:bookmarkEnd w:id="1179"/>
      <w:r>
        <w:fldChar w:fldCharType="end"/>
      </w:r>
      <w:r>
        <w:t xml:space="preserve">. Описание полей документа «</w:t>
      </w:r>
      <w:r>
        <w:t xml:space="preserve">Запрос на отзыв распоряжения (запрос на аннулирование)</w:t>
      </w:r>
      <w:r>
        <w:t xml:space="preserve">»</w:t>
      </w:r>
      <w:bookmarkEnd w:id="1180"/>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33"/>
        <w:gridCol w:w="7519"/>
      </w:tblGrid>
      <w:tr>
        <w:trPr>
          <w:trHeight w:val="70"/>
          <w:tblHeader/>
        </w:trPr>
        <w:tc>
          <w:tcPr>
            <w:shd w:val="clear" w:fill="E6E6E6" w:color="auto"/>
            <w:tcBorders>
              <w:left w:val="single" w:sz="4" w:space="0" w:color="auto"/>
              <w:top w:val="single" w:sz="4" w:space="0" w:color="auto"/>
              <w:right w:val="single" w:sz="4" w:space="0" w:color="auto"/>
              <w:bottom w:val="single" w:sz="4" w:space="0" w:color="auto"/>
            </w:tcBorders>
            <w:tcW w:w="112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80" w:type="pct"/>
            <w:vAlign w:val="center"/>
            <w:textDirection w:val="lrTb"/>
            <w:noWrap w:val="false"/>
          </w:tcPr>
          <w:p>
            <w:pPr>
              <w:pStyle w:val="1006"/>
            </w:pPr>
            <w:r>
              <w:t xml:space="preserve">Описание поля</w:t>
            </w:r>
            <w:r/>
          </w:p>
        </w:tc>
      </w:tr>
      <w:tr>
        <w:trPr/>
        <w:tc>
          <w:tcPr>
            <w:shd w:val="clear" w:fill="auto" w:color="auto"/>
            <w:tcW w:w="1120" w:type="pct"/>
            <w:textDirection w:val="lrTb"/>
            <w:noWrap w:val="false"/>
          </w:tcPr>
          <w:p>
            <w:pPr>
              <w:pStyle w:val="1005"/>
              <w:ind w:left="57" w:right="57"/>
            </w:pPr>
            <w:r>
              <w:t xml:space="preserve">Номер</w:t>
            </w:r>
            <w:r/>
          </w:p>
        </w:tc>
        <w:tc>
          <w:tcPr>
            <w:shd w:val="clear" w:fill="auto" w:color="auto"/>
            <w:tcW w:w="3880" w:type="pct"/>
            <w:textDirection w:val="lrTb"/>
            <w:noWrap w:val="false"/>
          </w:tcPr>
          <w:p>
            <w:pPr>
              <w:pStyle w:val="1005"/>
              <w:ind w:left="57" w:right="57"/>
            </w:pPr>
            <w:r>
              <w:t xml:space="preserve">Значение рассчитывается автоматически на основании настроек для текущего типа документа в справочнике «Параметры автонумерации документов».</w:t>
            </w:r>
            <w:r>
              <w:t xml:space="preserve"> </w:t>
            </w:r>
            <w:r/>
          </w:p>
          <w:p>
            <w:pPr>
              <w:pStyle w:val="1005"/>
              <w:ind w:left="57" w:right="57"/>
            </w:pPr>
            <w:r>
              <w:t xml:space="preserve">Может быть заполнено вручную.</w:t>
            </w:r>
            <w:r/>
          </w:p>
          <w:p>
            <w:pPr>
              <w:pStyle w:val="1005"/>
              <w:ind w:left="57" w:right="57"/>
            </w:pPr>
            <w:r>
              <w:t xml:space="preserve">В случае если значение было изменено вручную и не соответствует автоматически вычисленному значению, правильный порядковый номер может </w:t>
            </w:r>
            <w:r>
              <w:t xml:space="preserve">быть проставлен по нажатию кнопки.</w:t>
            </w:r>
            <w:r/>
          </w:p>
        </w:tc>
      </w:tr>
      <w:tr>
        <w:trPr/>
        <w:tc>
          <w:tcPr>
            <w:shd w:val="clear" w:fill="auto" w:color="auto"/>
            <w:tcW w:w="1120" w:type="pct"/>
            <w:textDirection w:val="lrTb"/>
            <w:noWrap w:val="false"/>
          </w:tcPr>
          <w:p>
            <w:pPr>
              <w:pStyle w:val="1005"/>
              <w:ind w:left="57" w:right="57"/>
            </w:pPr>
            <w:r>
              <w:t xml:space="preserve">Дата</w:t>
            </w:r>
            <w:r/>
          </w:p>
        </w:tc>
        <w:tc>
          <w:tcPr>
            <w:shd w:val="clear" w:fill="auto" w:color="auto"/>
            <w:tcW w:w="3880" w:type="pct"/>
            <w:textDirection w:val="lrTb"/>
            <w:noWrap w:val="false"/>
          </w:tcPr>
          <w:p>
            <w:pPr>
              <w:pStyle w:val="1005"/>
              <w:ind w:left="57" w:right="57"/>
            </w:pPr>
            <w:r>
              <w:t xml:space="preserve">Значение по умолчанию – текущая дата. </w:t>
            </w:r>
            <w:r/>
          </w:p>
          <w:p>
            <w:pPr>
              <w:pStyle w:val="1005"/>
              <w:ind w:left="57" w:right="57"/>
            </w:pPr>
            <w:r>
              <w:t xml:space="preserve">Значение может быть выбрано из системного календаря.</w:t>
            </w:r>
            <w:r/>
          </w:p>
        </w:tc>
      </w:tr>
      <w:tr>
        <w:trPr/>
        <w:tc>
          <w:tcPr>
            <w:shd w:val="clear" w:fill="auto" w:color="auto"/>
            <w:tcW w:w="1120" w:type="pct"/>
            <w:textDirection w:val="lrTb"/>
            <w:noWrap w:val="false"/>
          </w:tcPr>
          <w:p>
            <w:pPr>
              <w:pStyle w:val="1005"/>
              <w:ind w:left="57" w:right="57"/>
            </w:pPr>
            <w:r>
              <w:t xml:space="preserve">Статус</w:t>
            </w:r>
            <w:r/>
          </w:p>
        </w:tc>
        <w:tc>
          <w:tcPr>
            <w:shd w:val="clear" w:fill="auto" w:color="auto"/>
            <w:tcW w:w="3880" w:type="pct"/>
            <w:textDirection w:val="lrTb"/>
            <w:noWrap w:val="false"/>
          </w:tcPr>
          <w:p>
            <w:pPr>
              <w:pStyle w:val="1005"/>
              <w:ind w:left="57" w:right="57"/>
            </w:pPr>
            <w:r>
              <w:t xml:space="preserve">Значение заполняется автоматически или передается из </w:t>
            </w:r>
            <w:r>
              <w:rPr>
                <w:lang w:val="en-US"/>
              </w:rPr>
              <w:t xml:space="preserve">OEBS</w:t>
            </w:r>
            <w:r>
              <w:t xml:space="preserve">.</w:t>
            </w:r>
            <w:r/>
          </w:p>
        </w:tc>
      </w:tr>
      <w:tr>
        <w:trPr/>
        <w:tc>
          <w:tcPr>
            <w:shd w:val="clear" w:fill="auto" w:color="auto"/>
            <w:tcW w:w="1120" w:type="pct"/>
            <w:textDirection w:val="lrTb"/>
            <w:noWrap w:val="false"/>
          </w:tcPr>
          <w:p>
            <w:pPr>
              <w:pStyle w:val="1005"/>
              <w:ind w:left="57" w:right="57"/>
            </w:pPr>
            <w:r>
              <w:t xml:space="preserve">Наименование</w:t>
            </w:r>
            <w:r/>
          </w:p>
        </w:tc>
        <w:tc>
          <w:tcPr>
            <w:shd w:val="clear" w:fill="auto" w:color="auto"/>
            <w:tcW w:w="3880" w:type="pct"/>
            <w:textDirection w:val="lrTb"/>
            <w:noWrap w:val="false"/>
          </w:tcPr>
          <w:p>
            <w:pPr>
              <w:pStyle w:val="1005"/>
              <w:ind w:left="57" w:right="57"/>
            </w:pPr>
            <w:r>
              <w:t xml:space="preserve">Наименование</w:t>
            </w:r>
            <w:r>
              <w:t xml:space="preserve"> клиента.</w:t>
            </w:r>
            <w:r/>
          </w:p>
          <w:p>
            <w:pPr>
              <w:pStyle w:val="1005"/>
              <w:ind w:left="57" w:right="57"/>
            </w:pPr>
            <w:r>
              <w:t xml:space="preserve">Если «Код по СР» заполнено и Пере</w:t>
            </w:r>
            <w:r>
              <w:t xml:space="preserve">ход на СР = 1, то поле заполняется значением актуальной записи справочника СР, найденной по коду = «Код по СР», иначе поле заполняется по-старому: полным наименованием актуальной записи РУБП/ПУБП/НУБП/УП, найденной по «Код собственного БУ» и «Код бюджета».</w:t>
            </w:r>
            <w:r>
              <w:t xml:space="preserve"> </w:t>
            </w:r>
            <w:r/>
          </w:p>
          <w:p>
            <w:pPr>
              <w:pStyle w:val="1005"/>
              <w:ind w:left="57" w:right="57"/>
            </w:pPr>
            <w:r>
              <w:t xml:space="preserve">При выборе </w:t>
            </w:r>
            <w:r>
              <w:t xml:space="preserve">пользователем </w:t>
            </w:r>
            <w:r>
              <w:t xml:space="preserve">родительского (отменяемого) документа значение заполняется автоматически из указанного родительского документа.</w:t>
            </w:r>
            <w:r/>
          </w:p>
          <w:p>
            <w:pPr>
              <w:pStyle w:val="1005"/>
              <w:ind w:left="57" w:right="57"/>
            </w:pPr>
            <w:r>
              <w:t xml:space="preserve">Может быть изменено вручную.</w:t>
            </w:r>
            <w:r/>
          </w:p>
        </w:tc>
      </w:tr>
      <w:tr>
        <w:trPr/>
        <w:tc>
          <w:tcPr>
            <w:shd w:val="clear" w:fill="auto" w:color="auto"/>
            <w:tcW w:w="1120" w:type="pct"/>
            <w:textDirection w:val="lrTb"/>
            <w:noWrap w:val="false"/>
          </w:tcPr>
          <w:p>
            <w:pPr>
              <w:pStyle w:val="1005"/>
              <w:ind w:left="57" w:right="57"/>
            </w:pPr>
            <w:r>
              <w:t xml:space="preserve">По сводному реестру</w:t>
            </w:r>
            <w:r/>
          </w:p>
        </w:tc>
        <w:tc>
          <w:tcPr>
            <w:shd w:val="clear" w:fill="auto" w:color="auto"/>
            <w:tcW w:w="3880" w:type="pct"/>
            <w:textDirection w:val="lrTb"/>
            <w:noWrap w:val="false"/>
          </w:tcPr>
          <w:p>
            <w:pPr>
              <w:pStyle w:val="1005"/>
              <w:ind w:left="57" w:right="57"/>
            </w:pPr>
            <w:r>
              <w:t xml:space="preserve">Если «Код по СР» заполнен, то поле заполняется значением константы «Код по СР», иначе поле заполняется по-старому</w:t>
            </w:r>
            <w:r>
              <w:t xml:space="preserve">. На АРМ ФО </w:t>
            </w:r>
            <w:r>
              <w:t xml:space="preserve">не заполняется.</w:t>
            </w:r>
            <w:r/>
          </w:p>
        </w:tc>
      </w:tr>
      <w:tr>
        <w:trPr/>
        <w:tc>
          <w:tcPr>
            <w:shd w:val="clear" w:fill="auto" w:color="auto"/>
            <w:tcW w:w="1120" w:type="pct"/>
            <w:textDirection w:val="lrTb"/>
            <w:noWrap w:val="false"/>
          </w:tcPr>
          <w:p>
            <w:pPr>
              <w:pStyle w:val="1005"/>
              <w:ind w:left="57" w:right="57"/>
            </w:pPr>
            <w:r>
              <w:t xml:space="preserve">Номер лицевого счета</w:t>
            </w:r>
            <w:r/>
          </w:p>
        </w:tc>
        <w:tc>
          <w:tcPr>
            <w:shd w:val="clear" w:fill="auto" w:color="auto"/>
            <w:tcW w:w="3880" w:type="pct"/>
            <w:textDirection w:val="lrTb"/>
            <w:noWrap w:val="false"/>
          </w:tcPr>
          <w:p>
            <w:pPr>
              <w:pStyle w:val="1005"/>
              <w:ind w:left="57" w:right="57"/>
            </w:pPr>
            <w:r>
              <w:t xml:space="preserve">На АРМ ФО: выбирается из справочника «Информация о ЛС». </w:t>
            </w:r>
            <w:r/>
          </w:p>
          <w:p>
            <w:pPr>
              <w:pStyle w:val="1005"/>
              <w:ind w:left="57" w:right="57"/>
            </w:pPr>
            <w:r>
              <w:t xml:space="preserve">При выборе </w:t>
            </w:r>
            <w:r>
              <w:t xml:space="preserve">пользователем </w:t>
            </w:r>
            <w:r>
              <w:t xml:space="preserve">родительского (отменяемого) документа значение заполняется автоматически из указанного родительского документа.</w:t>
            </w:r>
            <w:r/>
          </w:p>
          <w:p>
            <w:pPr>
              <w:pStyle w:val="1005"/>
              <w:ind w:left="57" w:right="57"/>
            </w:pPr>
            <w:r>
              <w:t xml:space="preserve">При указании в поле «Лицевой счет» 05 и 14 типа ЛС (для 05 ЛС в записи справочника ЛС должны быть заполнены поля раздела «Дополнительные реквизиты ЛС по переданным полномочиям», и отмечен чекбокс НУБП на вкладке «Дополнительные реквизиты (5)») перезаполн</w:t>
            </w:r>
            <w:r>
              <w:t xml:space="preserve">яются</w:t>
            </w:r>
            <w:r>
              <w:t xml:space="preserve"> следующие поля:</w:t>
            </w:r>
            <w:r/>
          </w:p>
          <w:p>
            <w:pPr>
              <w:pStyle w:val="1007"/>
            </w:pPr>
            <w:r>
              <w:t xml:space="preserve">бюджет (код бюджета из справочника «Информация о ЛС», затем наименование бюджета из справочника «Бюджеты»);</w:t>
            </w:r>
            <w:r/>
          </w:p>
          <w:p>
            <w:pPr>
              <w:pStyle w:val="1007"/>
            </w:pPr>
            <w:r>
              <w:t xml:space="preserve">финорган (код по коду бюджета из справочника финорганов);</w:t>
            </w:r>
            <w:r/>
          </w:p>
          <w:p>
            <w:pPr>
              <w:pStyle w:val="1007"/>
            </w:pPr>
            <w:r>
              <w:t xml:space="preserve">финорган (наименование из справочника финорганов);</w:t>
            </w:r>
            <w:r/>
          </w:p>
          <w:p>
            <w:pPr>
              <w:pStyle w:val="1007"/>
            </w:pPr>
            <w:r>
              <w:t xml:space="preserve">наименование клиента (полное наименование владельца ЛС из справочника «Информация о ЛС»);</w:t>
            </w:r>
            <w:r/>
          </w:p>
          <w:p>
            <w:pPr>
              <w:pStyle w:val="1007"/>
            </w:pPr>
            <w:r>
              <w:t xml:space="preserve">код по сводному реестру (До даты завершения перехода на СР </w:t>
            </w:r>
            <w:r>
              <w:t xml:space="preserve">–</w:t>
            </w:r>
            <w:r>
              <w:t xml:space="preserve"> заполняется только в случае указания федерального бюджета – из справочника «Информация о ЛС»);</w:t>
            </w:r>
            <w:r/>
          </w:p>
          <w:p>
            <w:pPr>
              <w:pStyle w:val="1007"/>
            </w:pPr>
            <w:r>
              <w:t xml:space="preserve">глава по БК (ведомство из справочника «Информация о ЛС»);</w:t>
            </w:r>
            <w:r/>
          </w:p>
          <w:p>
            <w:pPr>
              <w:pStyle w:val="1007"/>
            </w:pPr>
            <w:r>
              <w:t xml:space="preserve">ГРБС/ГАДБ/ГАИФ (наименование из справочника «Ведомства»).</w:t>
            </w:r>
            <w:r/>
          </w:p>
          <w:p>
            <w:pPr>
              <w:pStyle w:val="1005"/>
              <w:ind w:left="57" w:right="57"/>
            </w:pPr>
            <w:r>
              <w:t xml:space="preserve">При указании в поле «Лицевой счет» 02 типа ЛС затираются значения в полях документа: «Глава по БК», «ГРБС/ГАДБ/ГАИФ».</w:t>
            </w:r>
            <w:r/>
          </w:p>
          <w:p>
            <w:pPr>
              <w:pStyle w:val="1005"/>
              <w:ind w:left="57" w:right="57"/>
            </w:pPr>
            <w:r>
              <w:t xml:space="preserve">Не заполняется при предоставлении документа от ФО по счетам № 03224, 03234, 03225, 03222, 03232 с признаком «Отдельный счет», в справочнике «Книга регистрации казначейских счетов».</w:t>
            </w:r>
            <w:r/>
          </w:p>
        </w:tc>
      </w:tr>
      <w:tr>
        <w:trPr/>
        <w:tc>
          <w:tcPr>
            <w:shd w:val="clear" w:fill="auto" w:color="auto"/>
            <w:tcW w:w="1120" w:type="pct"/>
            <w:textDirection w:val="lrTb"/>
            <w:noWrap w:val="false"/>
          </w:tcPr>
          <w:p>
            <w:pPr>
              <w:pStyle w:val="1005"/>
              <w:ind w:left="57" w:right="57"/>
            </w:pPr>
            <w:r>
              <w:t xml:space="preserve">Глава по БК</w:t>
            </w:r>
            <w:r/>
          </w:p>
        </w:tc>
        <w:tc>
          <w:tcPr>
            <w:shd w:val="clear" w:fill="auto" w:color="auto"/>
            <w:tcW w:w="3880" w:type="pct"/>
            <w:textDirection w:val="lrTb"/>
            <w:noWrap w:val="false"/>
          </w:tcPr>
          <w:p>
            <w:pPr>
              <w:pStyle w:val="1005"/>
              <w:ind w:left="57" w:right="57"/>
            </w:pPr>
            <w:r>
              <w:t xml:space="preserve">Может быть изменено выбо</w:t>
            </w:r>
            <w:r>
              <w:t xml:space="preserve">ром из справочника «Ведомства».</w:t>
            </w:r>
            <w:r/>
          </w:p>
          <w:p>
            <w:pPr>
              <w:pStyle w:val="1005"/>
              <w:ind w:left="57" w:right="57"/>
            </w:pPr>
            <w:r>
              <w:t xml:space="preserve">При выборе родительского (отменяемого) документа значение заполняется автоматически из указанного родительского документа.</w:t>
            </w:r>
            <w:r/>
          </w:p>
          <w:p>
            <w:pPr>
              <w:pStyle w:val="1005"/>
              <w:ind w:left="57" w:right="57"/>
            </w:pPr>
            <w:r>
              <w:t xml:space="preserve">Может быть отредактировано вручную.</w:t>
            </w:r>
            <w:r/>
          </w:p>
          <w:p>
            <w:pPr>
              <w:pStyle w:val="1005"/>
              <w:ind w:left="57" w:right="57"/>
            </w:pPr>
            <w:r>
              <w:t xml:space="preserve">Не заполняется при предоставлении документа по 02 счету.</w:t>
            </w:r>
            <w:r/>
          </w:p>
        </w:tc>
      </w:tr>
      <w:tr>
        <w:trPr/>
        <w:tc>
          <w:tcPr>
            <w:shd w:val="clear" w:fill="auto" w:color="auto"/>
            <w:tcW w:w="1120" w:type="pct"/>
            <w:textDirection w:val="lrTb"/>
            <w:noWrap w:val="false"/>
          </w:tcPr>
          <w:p>
            <w:pPr>
              <w:pStyle w:val="1005"/>
              <w:ind w:left="57" w:right="57"/>
            </w:pPr>
            <w:r>
              <w:t xml:space="preserve">ГРБС/ГАДБ/ГАИФ</w:t>
            </w:r>
            <w:r/>
          </w:p>
        </w:tc>
        <w:tc>
          <w:tcPr>
            <w:shd w:val="clear" w:fill="auto" w:color="auto"/>
            <w:tcW w:w="3880" w:type="pct"/>
            <w:textDirection w:val="lrTb"/>
            <w:noWrap w:val="false"/>
          </w:tcPr>
          <w:p>
            <w:pPr>
              <w:pStyle w:val="1005"/>
              <w:ind w:left="57" w:right="57"/>
            </w:pPr>
            <w:r>
              <w:t xml:space="preserve">Н</w:t>
            </w:r>
            <w:r>
              <w:t xml:space="preserve">а АРМ ФО значение поля подтягивается по «Глава по БК» из </w:t>
            </w:r>
            <w:r>
              <w:t xml:space="preserve">справочника «Ведомства»</w:t>
            </w:r>
            <w:r>
              <w:t xml:space="preserve"> из поля «Полное наименование» (с учетом бюджета).</w:t>
            </w:r>
            <w:r/>
          </w:p>
          <w:p>
            <w:pPr>
              <w:pStyle w:val="1005"/>
              <w:ind w:left="57" w:right="57"/>
            </w:pPr>
            <w:r>
              <w:t xml:space="preserve">При выборе родительского (отменяемого) документа значение заполняется автоматически из указанного родительского документа. </w:t>
            </w:r>
            <w:r/>
          </w:p>
          <w:p>
            <w:pPr>
              <w:pStyle w:val="1005"/>
              <w:ind w:left="57" w:right="57"/>
            </w:pPr>
            <w:r>
              <w:t xml:space="preserve">Может быть отредактировано вручную.</w:t>
            </w:r>
            <w:r/>
          </w:p>
          <w:p>
            <w:pPr>
              <w:pStyle w:val="1005"/>
              <w:ind w:left="57" w:right="57"/>
            </w:pPr>
            <w:r>
              <w:t xml:space="preserve">Не заполняется при предоставлении документа по 02 счету.</w:t>
            </w:r>
            <w:r/>
          </w:p>
        </w:tc>
      </w:tr>
      <w:tr>
        <w:trPr/>
        <w:tc>
          <w:tcPr>
            <w:shd w:val="clear" w:fill="auto" w:color="auto"/>
            <w:tcW w:w="1120" w:type="pct"/>
            <w:textDirection w:val="lrTb"/>
            <w:noWrap w:val="false"/>
          </w:tcPr>
          <w:p>
            <w:pPr>
              <w:pStyle w:val="1005"/>
              <w:ind w:left="57" w:right="57"/>
            </w:pPr>
            <w:r>
              <w:t xml:space="preserve">Бюджет</w:t>
            </w:r>
            <w:r>
              <w:t xml:space="preserve"> (наименование)</w:t>
            </w:r>
            <w:r/>
          </w:p>
        </w:tc>
        <w:tc>
          <w:tcPr>
            <w:shd w:val="clear" w:fill="auto" w:color="auto"/>
            <w:tcW w:w="3880" w:type="pct"/>
            <w:textDirection w:val="lrTb"/>
            <w:noWrap w:val="false"/>
          </w:tcPr>
          <w:p>
            <w:pPr>
              <w:pStyle w:val="1005"/>
              <w:ind w:left="57" w:right="57"/>
            </w:pPr>
            <w:r>
              <w:t xml:space="preserve">Значение подтягивается автоматически по полю «Номер лицевого счета» или из родительского документа.</w:t>
            </w:r>
            <w:r/>
          </w:p>
          <w:p>
            <w:pPr>
              <w:pStyle w:val="1005"/>
              <w:ind w:left="57" w:right="57"/>
            </w:pPr>
            <w:r>
              <w:t xml:space="preserve">Может быть отредактировано вручную или выбором из справочника «Бюджеты».</w:t>
            </w:r>
            <w:r/>
          </w:p>
          <w:p>
            <w:pPr>
              <w:pStyle w:val="1005"/>
              <w:ind w:left="57" w:right="57"/>
            </w:pPr>
            <w:r>
              <w:t xml:space="preserve">Для АУ/БУ, 41 ЛС не заполняется.</w:t>
            </w:r>
            <w:r/>
          </w:p>
        </w:tc>
      </w:tr>
      <w:tr>
        <w:trPr/>
        <w:tc>
          <w:tcPr>
            <w:shd w:val="clear" w:fill="auto" w:color="auto"/>
            <w:tcW w:w="1120" w:type="pct"/>
            <w:textDirection w:val="lrTb"/>
            <w:noWrap w:val="false"/>
          </w:tcPr>
          <w:p>
            <w:pPr>
              <w:pStyle w:val="1005"/>
              <w:ind w:left="57" w:right="57"/>
            </w:pPr>
            <w:r>
              <w:t xml:space="preserve">Финансовый орган</w:t>
            </w:r>
            <w:r>
              <w:t xml:space="preserve"> (наименование)</w:t>
            </w:r>
            <w:r/>
          </w:p>
        </w:tc>
        <w:tc>
          <w:tcPr>
            <w:shd w:val="clear" w:fill="auto" w:color="auto"/>
            <w:tcW w:w="3880" w:type="pct"/>
            <w:textDirection w:val="lrTb"/>
            <w:noWrap w:val="false"/>
          </w:tcPr>
          <w:p>
            <w:pPr>
              <w:pStyle w:val="1005"/>
              <w:ind w:left="57" w:right="57"/>
            </w:pPr>
            <w:r>
              <w:t xml:space="preserve">Заполняется автоматически по коду финоргана.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r/>
          </w:p>
          <w:p>
            <w:pPr>
              <w:pStyle w:val="1005"/>
              <w:ind w:left="57" w:right="57"/>
            </w:pPr>
            <w:r>
              <w:t xml:space="preserve">Не заполняется для УБП ТГВБФ.</w:t>
            </w:r>
            <w:r/>
          </w:p>
          <w:p>
            <w:pPr>
              <w:pStyle w:val="1005"/>
              <w:ind w:left="57" w:right="57"/>
            </w:pPr>
            <w:r>
              <w:t xml:space="preserve">Для</w:t>
            </w:r>
            <w:r>
              <w:t xml:space="preserve"> </w:t>
            </w:r>
            <w:r>
              <w:t xml:space="preserve">документа по бюджету ГВБФ автоматически не заполняется, может быть изменено вручную или выбором из справочника «Финансовые органы».</w:t>
            </w:r>
            <w:r/>
          </w:p>
        </w:tc>
      </w:tr>
      <w:tr>
        <w:trPr/>
        <w:tc>
          <w:tcPr>
            <w:shd w:val="clear" w:fill="auto" w:color="auto"/>
            <w:tcW w:w="1120" w:type="pct"/>
            <w:textDirection w:val="lrTb"/>
            <w:noWrap w:val="false"/>
          </w:tcPr>
          <w:p>
            <w:pPr>
              <w:pStyle w:val="1005"/>
              <w:ind w:left="57" w:right="57"/>
            </w:pPr>
            <w:r>
              <w:t xml:space="preserve">По КОФК</w:t>
            </w:r>
            <w:r/>
          </w:p>
        </w:tc>
        <w:tc>
          <w:tcPr>
            <w:shd w:val="clear" w:fill="auto" w:color="auto"/>
            <w:tcW w:w="3880" w:type="pct"/>
            <w:textDirection w:val="lrTb"/>
            <w:noWrap w:val="false"/>
          </w:tcPr>
          <w:p>
            <w:pPr>
              <w:pStyle w:val="1005"/>
              <w:ind w:left="57" w:right="57"/>
            </w:pPr>
            <w:r>
              <w:t xml:space="preserve">На АРМ </w:t>
            </w:r>
            <w:r>
              <w:t xml:space="preserve">ФО</w:t>
            </w:r>
            <w:r>
              <w:t xml:space="preserve">: проверяется значение константы</w:t>
            </w:r>
            <w:r>
              <w:t xml:space="preserve"> «Код собственного ТОФК»</w:t>
            </w:r>
            <w:r>
              <w:t xml:space="preserve">:</w:t>
            </w:r>
            <w:r/>
          </w:p>
          <w:p>
            <w:pPr>
              <w:pStyle w:val="1007"/>
            </w:pPr>
            <w:r>
              <w:t xml:space="preserve">если оно равно ххуу, то по умолчанию проставляется значение конста</w:t>
            </w:r>
            <w:r>
              <w:t xml:space="preserve">н</w:t>
            </w:r>
            <w:r>
              <w:t xml:space="preserve">ты код вышестоящего ТОФК равный хх00; </w:t>
            </w:r>
            <w:r/>
          </w:p>
          <w:p>
            <w:pPr>
              <w:pStyle w:val="1007"/>
            </w:pPr>
            <w:r>
              <w:t xml:space="preserve">если равна хх00, то по умолчанию проставляется значение </w:t>
            </w:r>
            <w:r>
              <w:t xml:space="preserve">«Код собственного ТОФК»</w:t>
            </w:r>
            <w:r>
              <w:t xml:space="preserve">. </w:t>
            </w:r>
            <w:r/>
          </w:p>
          <w:p>
            <w:pPr>
              <w:pStyle w:val="1005"/>
              <w:ind w:left="57" w:right="57"/>
            </w:pPr>
            <w:r>
              <w:t xml:space="preserve">Может быть изменено вручную или выбором из справочника КОФК (Органы ФК).</w:t>
            </w:r>
            <w:r/>
          </w:p>
          <w:p>
            <w:pPr>
              <w:pStyle w:val="1005"/>
              <w:ind w:left="57" w:right="57"/>
            </w:pPr>
            <w:r>
              <w:t xml:space="preserve">Значение подтягивается автоматически при выборе родительского (отменяемого) документа. </w:t>
            </w:r>
            <w:r/>
          </w:p>
        </w:tc>
      </w:tr>
      <w:tr>
        <w:trPr/>
        <w:tc>
          <w:tcPr>
            <w:shd w:val="clear" w:fill="auto" w:color="auto"/>
            <w:tcW w:w="1120" w:type="pct"/>
            <w:textDirection w:val="lrTb"/>
            <w:noWrap w:val="false"/>
          </w:tcPr>
          <w:p>
            <w:pPr>
              <w:pStyle w:val="1005"/>
              <w:ind w:left="57" w:right="57"/>
            </w:pPr>
            <w:r>
              <w:t xml:space="preserve">ФК, орган ФК</w:t>
            </w:r>
            <w:r/>
          </w:p>
        </w:tc>
        <w:tc>
          <w:tcPr>
            <w:shd w:val="clear" w:fill="auto" w:color="auto"/>
            <w:tcW w:w="3880" w:type="pct"/>
            <w:textDirection w:val="lrTb"/>
            <w:noWrap w:val="false"/>
          </w:tcPr>
          <w:p>
            <w:pPr>
              <w:pStyle w:val="1005"/>
              <w:ind w:left="57" w:right="57"/>
            </w:pPr>
            <w:r>
              <w:t xml:space="preserve">Значение подтягивается автоматически после заполнения поля «по КОФК». Может быть изменено пользователем вручную. </w:t>
            </w:r>
            <w:r/>
          </w:p>
          <w:p>
            <w:pPr>
              <w:pStyle w:val="1005"/>
              <w:ind w:left="57" w:right="57"/>
            </w:pPr>
            <w:r>
              <w:t xml:space="preserve">Значение подтягивается автоматически при выборе родительского (отменяемого) документа.</w:t>
            </w:r>
            <w:r/>
          </w:p>
        </w:tc>
      </w:tr>
      <w:tr>
        <w:trPr/>
        <w:tc>
          <w:tcPr>
            <w:shd w:val="clear" w:fill="auto" w:color="auto"/>
            <w:tcW w:w="1120" w:type="pct"/>
            <w:textDirection w:val="lrTb"/>
            <w:noWrap w:val="false"/>
          </w:tcPr>
          <w:p>
            <w:pPr>
              <w:pStyle w:val="1005"/>
              <w:ind w:left="57" w:right="57"/>
            </w:pPr>
            <w:r>
              <w:t xml:space="preserve">Тип аннулируемого документа</w:t>
            </w:r>
            <w:r/>
          </w:p>
        </w:tc>
        <w:tc>
          <w:tcPr>
            <w:shd w:val="clear" w:fill="auto" w:color="auto"/>
            <w:tcW w:w="3880" w:type="pct"/>
            <w:textDirection w:val="lrTb"/>
            <w:noWrap w:val="false"/>
          </w:tcPr>
          <w:p>
            <w:pPr>
              <w:pStyle w:val="1005"/>
              <w:ind w:left="57" w:right="57"/>
            </w:pPr>
            <w:r>
              <w:t xml:space="preserve">Значение выбирается из списка значений:</w:t>
            </w:r>
            <w:r/>
          </w:p>
          <w:p>
            <w:pPr>
              <w:pStyle w:val="1007"/>
            </w:pPr>
            <w:r>
              <w:t xml:space="preserve">«</w:t>
            </w:r>
            <w:r>
              <w:t xml:space="preserve">Заявка на получение денежных средств, перечисляемых на карту</w:t>
            </w:r>
            <w:r>
              <w:t xml:space="preserve">»</w:t>
            </w:r>
            <w:r>
              <w:t xml:space="preserve">;</w:t>
            </w:r>
            <w:r/>
          </w:p>
          <w:p>
            <w:pPr>
              <w:pStyle w:val="1007"/>
            </w:pPr>
            <w:r>
              <w:t xml:space="preserve">«</w:t>
            </w:r>
            <w:r>
              <w:t xml:space="preserve">Заявка на кассовый расход (ЗКР)</w:t>
            </w:r>
            <w:r>
              <w:t xml:space="preserve">»</w:t>
            </w:r>
            <w:r>
              <w:t xml:space="preserve">;</w:t>
            </w:r>
            <w:r/>
          </w:p>
          <w:p>
            <w:pPr>
              <w:pStyle w:val="1007"/>
            </w:pPr>
            <w:r>
              <w:t xml:space="preserve">«</w:t>
            </w:r>
            <w:r>
              <w:t xml:space="preserve">Заявка на кассовый расход (сокращенная) (ЗКС)</w:t>
            </w:r>
            <w:r>
              <w:t xml:space="preserve">»</w:t>
            </w:r>
            <w:r>
              <w:t xml:space="preserve">;</w:t>
            </w:r>
            <w:r/>
          </w:p>
          <w:p>
            <w:pPr>
              <w:pStyle w:val="1007"/>
            </w:pPr>
            <w:r>
              <w:t xml:space="preserve">«</w:t>
            </w:r>
            <w:r>
              <w:t xml:space="preserve">Заявка на получение наличных денег</w:t>
            </w:r>
            <w:r>
              <w:t xml:space="preserve">»</w:t>
            </w:r>
            <w:r>
              <w:t xml:space="preserve">;</w:t>
            </w:r>
            <w:r/>
          </w:p>
          <w:p>
            <w:pPr>
              <w:pStyle w:val="1007"/>
            </w:pPr>
            <w:r>
              <w:t xml:space="preserve">«</w:t>
            </w:r>
            <w:r>
              <w:t xml:space="preserve">Заявка на возврат</w:t>
            </w:r>
            <w:r>
              <w:t xml:space="preserve">»</w:t>
            </w:r>
            <w:r>
              <w:t xml:space="preserve">;</w:t>
            </w:r>
            <w:r/>
          </w:p>
          <w:p>
            <w:pPr>
              <w:pStyle w:val="1007"/>
            </w:pPr>
            <w:r>
              <w:t xml:space="preserve">«</w:t>
            </w:r>
            <w:r>
              <w:t xml:space="preserve">Платежное </w:t>
            </w:r>
            <w:r>
              <w:t xml:space="preserve">поручение</w:t>
            </w:r>
            <w:r>
              <w:t xml:space="preserve">»</w:t>
            </w:r>
            <w:r>
              <w:t xml:space="preserve">;</w:t>
            </w:r>
            <w:r/>
          </w:p>
          <w:p>
            <w:pPr>
              <w:pStyle w:val="1007"/>
            </w:pPr>
            <w:r>
              <w:t xml:space="preserve">«</w:t>
            </w:r>
            <w:r>
              <w:t xml:space="preserve">Сводная заявка на кассовый расход (для уплаты налогов)</w:t>
            </w:r>
            <w:r>
              <w:t xml:space="preserve">»</w:t>
            </w:r>
            <w:r>
              <w:t xml:space="preserve">;</w:t>
            </w:r>
            <w:r/>
          </w:p>
          <w:p>
            <w:pPr>
              <w:pStyle w:val="1007"/>
            </w:pPr>
            <w:r>
              <w:t xml:space="preserve">«</w:t>
            </w:r>
            <w:r>
              <w:t xml:space="preserve">Расшифровка сумм неиспользованных (внесенных через банкомат или пункт выдачи нал</w:t>
            </w:r>
            <w:r>
              <w:t xml:space="preserve">ичных денежных ср</w:t>
            </w:r>
            <w:r>
              <w:t xml:space="preserve">едств) средств</w:t>
            </w:r>
            <w:r>
              <w:t xml:space="preserve">»</w:t>
            </w:r>
            <w:r>
              <w:t xml:space="preserve">;</w:t>
            </w:r>
            <w:r/>
          </w:p>
          <w:p>
            <w:pPr>
              <w:pStyle w:val="1007"/>
            </w:pPr>
            <w:r>
              <w:t xml:space="preserve">«</w:t>
            </w:r>
            <w:r>
              <w:t xml:space="preserve">Распоряжение о перечислении денежных средств на банков</w:t>
            </w:r>
            <w:r>
              <w:t xml:space="preserve">ские карты «Мир» физических лиц</w:t>
            </w:r>
            <w:r>
              <w:t xml:space="preserve">»</w:t>
            </w:r>
            <w:r>
              <w:t xml:space="preserve">;</w:t>
            </w:r>
            <w:r/>
          </w:p>
          <w:p>
            <w:pPr>
              <w:pStyle w:val="1007"/>
            </w:pPr>
            <w:r>
              <w:t xml:space="preserve">«</w:t>
            </w:r>
            <w:r>
              <w:t xml:space="preserve">Заявка для обеспечения наличными средствами</w:t>
            </w:r>
            <w:r>
              <w:t xml:space="preserve">»</w:t>
            </w:r>
            <w:r>
              <w:t xml:space="preserve">;</w:t>
            </w:r>
            <w:r/>
          </w:p>
          <w:p>
            <w:pPr>
              <w:pStyle w:val="1007"/>
            </w:pPr>
            <w:r>
              <w:t xml:space="preserve">«</w:t>
            </w:r>
            <w:r>
              <w:t xml:space="preserve">Обеспечение на взнос наличных</w:t>
            </w:r>
            <w:r>
              <w:t xml:space="preserve">»</w:t>
            </w:r>
            <w:r>
              <w:t xml:space="preserve">;</w:t>
            </w:r>
            <w:r/>
          </w:p>
          <w:p>
            <w:pPr>
              <w:pStyle w:val="1007"/>
            </w:pPr>
            <w:r>
              <w:t xml:space="preserve">«Уведомление об уточнении вида и принадлежности платежа» (УУК, ПДУ);</w:t>
            </w:r>
            <w:r/>
          </w:p>
          <w:p>
            <w:pPr>
              <w:pStyle w:val="1007"/>
            </w:pPr>
            <w:r>
              <w:t xml:space="preserve">«Уведомление об уточнении операций клиента».</w:t>
            </w:r>
            <w:r/>
          </w:p>
          <w:p>
            <w:pPr>
              <w:pStyle w:val="1005"/>
              <w:ind w:left="57" w:right="57"/>
            </w:pPr>
            <w:r>
              <w:t xml:space="preserve">При выборе пользователем родительского (отменяемого) документа значение подтягивается из указанного родительского документа.</w:t>
            </w:r>
            <w:r/>
          </w:p>
          <w:p>
            <w:pPr>
              <w:pStyle w:val="1005"/>
              <w:ind w:left="57" w:right="57"/>
            </w:pPr>
            <w:r>
              <w:t xml:space="preserve">Если заполнено при родительском заполнении-нередактируемо.</w:t>
            </w:r>
            <w:r/>
          </w:p>
        </w:tc>
      </w:tr>
      <w:tr>
        <w:trPr/>
        <w:tc>
          <w:tcPr>
            <w:shd w:val="clear" w:fill="auto" w:color="auto"/>
            <w:tcW w:w="1120" w:type="pct"/>
            <w:textDirection w:val="lrTb"/>
            <w:noWrap w:val="false"/>
          </w:tcPr>
          <w:p>
            <w:pPr>
              <w:pStyle w:val="1005"/>
              <w:ind w:left="57" w:right="57"/>
            </w:pPr>
            <w:r>
              <w:t xml:space="preserve">Внутренний номер аннулируемого документа</w:t>
            </w:r>
            <w:r/>
          </w:p>
        </w:tc>
        <w:tc>
          <w:tcPr>
            <w:shd w:val="clear" w:fill="auto" w:color="auto"/>
            <w:tcW w:w="3880" w:type="pct"/>
            <w:textDirection w:val="lrTb"/>
            <w:noWrap w:val="false"/>
          </w:tcPr>
          <w:p>
            <w:pPr>
              <w:pStyle w:val="1005"/>
              <w:ind w:left="57" w:right="57"/>
            </w:pPr>
            <w:r>
              <w:t xml:space="preserve">Значение подтягивается автоматически из родительского (отменяемого) документа из поля «Н</w:t>
            </w:r>
            <w:r>
              <w:t xml:space="preserve">омер заявки» (клиентский номер), для </w:t>
            </w:r>
            <w:r>
              <w:t xml:space="preserve">«</w:t>
            </w:r>
            <w:r>
              <w:t xml:space="preserve">Распоряжения</w:t>
            </w:r>
            <w:r>
              <w:t xml:space="preserve">»</w:t>
            </w:r>
            <w:r>
              <w:t xml:space="preserve"> из поля </w:t>
            </w:r>
            <w:r>
              <w:t xml:space="preserve">«</w:t>
            </w:r>
            <w:r>
              <w:t xml:space="preserve">Номер</w:t>
            </w:r>
            <w:r>
              <w:t xml:space="preserve">»</w:t>
            </w:r>
            <w:r>
              <w:t xml:space="preserve">.</w:t>
            </w:r>
            <w:r/>
          </w:p>
          <w:p>
            <w:pPr>
              <w:pStyle w:val="1005"/>
              <w:ind w:left="57" w:right="57"/>
            </w:pPr>
            <w:r>
              <w:t xml:space="preserve">Может быть отредактировано вручную.</w:t>
            </w:r>
            <w:r/>
          </w:p>
          <w:p>
            <w:pPr>
              <w:pStyle w:val="1005"/>
              <w:ind w:left="57" w:right="57"/>
            </w:pPr>
            <w:r>
              <w:t xml:space="preserve">Если заполнено при родительском заполнении-нередактируемо.</w:t>
            </w:r>
            <w:r/>
          </w:p>
        </w:tc>
      </w:tr>
      <w:tr>
        <w:trPr/>
        <w:tc>
          <w:tcPr>
            <w:shd w:val="clear" w:fill="auto" w:color="auto"/>
            <w:tcW w:w="1120" w:type="pct"/>
            <w:textDirection w:val="lrTb"/>
            <w:noWrap w:val="false"/>
          </w:tcPr>
          <w:p>
            <w:pPr>
              <w:pStyle w:val="1005"/>
              <w:ind w:left="57" w:right="57"/>
            </w:pPr>
            <w:r>
              <w:t xml:space="preserve">Дата регистрации аннулируемого документа</w:t>
            </w:r>
            <w:r/>
          </w:p>
        </w:tc>
        <w:tc>
          <w:tcPr>
            <w:shd w:val="clear" w:fill="auto" w:color="auto"/>
            <w:tcW w:w="3880" w:type="pct"/>
            <w:textDirection w:val="lrTb"/>
            <w:noWrap w:val="false"/>
          </w:tcPr>
          <w:p>
            <w:pPr>
              <w:pStyle w:val="1005"/>
              <w:ind w:left="57" w:right="57"/>
            </w:pPr>
            <w:r>
              <w:t xml:space="preserve">Значени</w:t>
            </w:r>
            <w:r>
              <w:t xml:space="preserve">е</w:t>
            </w:r>
            <w:r>
              <w:t xml:space="preserve"> подтягивается автоматически из родительского (отменяемого) документа</w:t>
            </w:r>
            <w:r>
              <w:t xml:space="preserve">,</w:t>
            </w:r>
            <w:r>
              <w:t xml:space="preserve"> из поля «Дата».</w:t>
            </w:r>
            <w:r/>
          </w:p>
          <w:p>
            <w:pPr>
              <w:pStyle w:val="1005"/>
              <w:ind w:left="57" w:right="57"/>
            </w:pPr>
            <w:r>
              <w:t xml:space="preserve">Может быть отредактировано вручную, либо выбором из системного календаря.</w:t>
            </w:r>
            <w:r/>
          </w:p>
          <w:p>
            <w:pPr>
              <w:pStyle w:val="1005"/>
              <w:ind w:left="57" w:right="57"/>
            </w:pPr>
            <w:r>
              <w:t xml:space="preserve">Если заполнено при родительском заполнении-нередактируемо.</w:t>
            </w:r>
            <w:r/>
          </w:p>
        </w:tc>
      </w:tr>
      <w:tr>
        <w:trPr/>
        <w:tc>
          <w:tcPr>
            <w:shd w:val="clear" w:fill="auto" w:color="auto"/>
            <w:tcW w:w="1120" w:type="pct"/>
            <w:textDirection w:val="lrTb"/>
            <w:noWrap w:val="false"/>
          </w:tcPr>
          <w:p>
            <w:pPr>
              <w:pStyle w:val="1005"/>
              <w:ind w:left="57" w:right="57"/>
            </w:pPr>
            <w:r>
              <w:t xml:space="preserve">Примечание</w:t>
            </w:r>
            <w:r/>
          </w:p>
        </w:tc>
        <w:tc>
          <w:tcPr>
            <w:shd w:val="clear" w:fill="auto" w:color="auto"/>
            <w:tcW w:w="3880" w:type="pct"/>
            <w:textDirection w:val="lrTb"/>
            <w:noWrap w:val="false"/>
          </w:tcPr>
          <w:p>
            <w:pPr>
              <w:pStyle w:val="1005"/>
              <w:ind w:left="57" w:right="57"/>
            </w:pPr>
            <w:r>
              <w:t xml:space="preserve">Заполняется вручную.</w:t>
            </w:r>
            <w:r/>
          </w:p>
          <w:p>
            <w:pPr>
              <w:pStyle w:val="1005"/>
              <w:ind w:left="57" w:right="57"/>
            </w:pPr>
            <w:r>
              <w:t xml:space="preserve">При указании (или автоматическом заполнении) в документе</w:t>
            </w:r>
            <w:r>
              <w:t xml:space="preserve">,</w:t>
            </w:r>
            <w:r>
              <w:t xml:space="preserve"> в поле «Тип аннулируемого документа» значения «Заявка для обеспечения наличными денежными средствами» или</w:t>
            </w:r>
            <w:r>
              <w:t xml:space="preserve"> </w:t>
            </w:r>
            <w:r>
              <w:t xml:space="preserve">«Объявление на взнос наличных денег» требуется добавлять в поле «Примечание»</w:t>
            </w:r>
            <w:r>
              <w:t xml:space="preserve">,</w:t>
            </w:r>
            <w:r>
              <w:t xml:space="preserve"> в скобках перед текстом значение «(Заявка для обеспечения наличными денежными средствами)» или</w:t>
            </w:r>
            <w:r>
              <w:t xml:space="preserve"> </w:t>
            </w:r>
            <w:r>
              <w:t xml:space="preserve">«(Объявление на взнос наличных денег)», соответственно.</w:t>
            </w:r>
            <w:r/>
          </w:p>
        </w:tc>
      </w:tr>
      <w:tr>
        <w:trPr/>
        <w:tc>
          <w:tcPr>
            <w:shd w:val="clear" w:fill="auto" w:color="auto"/>
            <w:tcW w:w="1120" w:type="pct"/>
            <w:textDirection w:val="lrTb"/>
            <w:noWrap w:val="false"/>
          </w:tcPr>
          <w:p>
            <w:pPr>
              <w:pStyle w:val="1005"/>
              <w:ind w:left="57" w:right="57"/>
            </w:pPr>
            <w:r>
              <w:t xml:space="preserve">Уровень конфиденциальности</w:t>
            </w:r>
            <w:r/>
          </w:p>
        </w:tc>
        <w:tc>
          <w:tcPr>
            <w:shd w:val="clear" w:fill="auto" w:color="auto"/>
            <w:tcW w:w="3880" w:type="pct"/>
            <w:textDirection w:val="lrTb"/>
            <w:noWrap w:val="false"/>
          </w:tcPr>
          <w:p>
            <w:pPr>
              <w:pStyle w:val="1005"/>
              <w:ind w:left="57" w:right="57"/>
            </w:pPr>
            <w:r>
              <w:t xml:space="preserve">Заполняется вручную. По умолчанию не заполнено.</w:t>
            </w:r>
            <w:r/>
          </w:p>
          <w:p>
            <w:pPr>
              <w:pStyle w:val="1005"/>
              <w:ind w:left="57" w:right="57"/>
            </w:pPr>
            <w:r>
              <w:t xml:space="preserve">Поле заполняется </w:t>
            </w:r>
            <w:r>
              <w:t xml:space="preserve">значением </w:t>
            </w:r>
            <w:r>
              <w:t xml:space="preserve">«</w:t>
            </w:r>
            <w:r>
              <w:t xml:space="preserve">1</w:t>
            </w:r>
            <w:r>
              <w:t xml:space="preserve">»</w:t>
            </w:r>
            <w:r>
              <w:t xml:space="preserve"> (</w:t>
            </w:r>
            <w:r>
              <w:t xml:space="preserve">ДСП</w:t>
            </w:r>
            <w:r>
              <w:t xml:space="preserve">)</w:t>
            </w:r>
            <w:r>
              <w:t xml:space="preserve"> или </w:t>
            </w:r>
            <w:r>
              <w:t xml:space="preserve">«0» (не секретно).</w:t>
            </w:r>
            <w:r/>
          </w:p>
        </w:tc>
      </w:tr>
      <w:tr>
        <w:trPr/>
        <w:tc>
          <w:tcPr>
            <w:gridSpan w:val="2"/>
            <w:shd w:val="clear" w:fill="auto" w:color="auto"/>
            <w:tcW w:w="5000" w:type="pct"/>
            <w:textDirection w:val="lrTb"/>
            <w:noWrap w:val="false"/>
          </w:tcPr>
          <w:p>
            <w:pPr>
              <w:pStyle w:val="1005"/>
              <w:ind w:left="57" w:right="57"/>
            </w:pPr>
            <w:r>
              <w:t xml:space="preserve">Группа полей «Подписи»</w:t>
            </w:r>
            <w:r/>
          </w:p>
        </w:tc>
      </w:tr>
      <w:tr>
        <w:trPr/>
        <w:tc>
          <w:tcPr>
            <w:shd w:val="clear" w:fill="auto" w:color="auto"/>
            <w:tcW w:w="1120" w:type="pct"/>
            <w:textDirection w:val="lrTb"/>
            <w:noWrap w:val="false"/>
          </w:tcPr>
          <w:p>
            <w:pPr>
              <w:pStyle w:val="1005"/>
              <w:ind w:left="57" w:right="57"/>
            </w:pPr>
            <w:r>
              <w:t xml:space="preserve">Руководитель (уполномоченное им лицо). Должность</w:t>
            </w:r>
            <w:r/>
          </w:p>
        </w:tc>
        <w:tc>
          <w:tcPr>
            <w:shd w:val="clear" w:fill="auto" w:color="auto"/>
            <w:tcW w:w="3880" w:type="pct"/>
            <w:textDirection w:val="lrTb"/>
            <w:noWrap w:val="false"/>
          </w:tcPr>
          <w:p>
            <w:pPr>
              <w:pStyle w:val="1005"/>
              <w:ind w:left="57" w:right="57"/>
            </w:pPr>
            <w:r>
              <w:t xml:space="preserve">Выбирается из списка сотрудников, либо вводится вручную.</w:t>
            </w:r>
            <w:r/>
          </w:p>
          <w:p>
            <w:pPr>
              <w:pStyle w:val="1005"/>
              <w:ind w:left="57" w:right="57"/>
            </w:pPr>
            <w:r>
              <w:t xml:space="preserve">Характер контроля предупредительный.</w:t>
            </w:r>
            <w:r/>
          </w:p>
        </w:tc>
      </w:tr>
      <w:tr>
        <w:trPr/>
        <w:tc>
          <w:tcPr>
            <w:shd w:val="clear" w:fill="auto" w:color="auto"/>
            <w:tcW w:w="1120" w:type="pct"/>
            <w:textDirection w:val="lrTb"/>
            <w:noWrap w:val="false"/>
          </w:tcPr>
          <w:p>
            <w:pPr>
              <w:pStyle w:val="1005"/>
              <w:ind w:left="57" w:right="57"/>
            </w:pPr>
            <w:r>
              <w:t xml:space="preserve">Руководитель (уполномоченное им лицо). Расшифровка подписи</w:t>
            </w:r>
            <w:r/>
          </w:p>
        </w:tc>
        <w:tc>
          <w:tcPr>
            <w:shd w:val="clear" w:fill="auto" w:color="auto"/>
            <w:tcW w:w="3880" w:type="pct"/>
            <w:textDirection w:val="lrTb"/>
            <w:noWrap w:val="false"/>
          </w:tcPr>
          <w:p>
            <w:pPr>
              <w:pStyle w:val="1005"/>
              <w:ind w:left="57" w:right="57"/>
            </w:pPr>
            <w:r>
              <w:t xml:space="preserve">Выбирается из списка сотрудников, либо вводится вручную.</w:t>
            </w:r>
            <w:r/>
          </w:p>
        </w:tc>
      </w:tr>
      <w:tr>
        <w:trPr/>
        <w:tc>
          <w:tcPr>
            <w:shd w:val="clear" w:fill="auto" w:color="auto"/>
            <w:tcW w:w="1120" w:type="pct"/>
            <w:textDirection w:val="lrTb"/>
            <w:noWrap w:val="false"/>
          </w:tcPr>
          <w:p>
            <w:pPr>
              <w:pStyle w:val="1005"/>
              <w:ind w:left="57" w:right="57"/>
            </w:pPr>
            <w:r>
              <w:t xml:space="preserve">Главный бухгалтер (уполномоченное лицо). Должность</w:t>
            </w:r>
            <w:r/>
          </w:p>
        </w:tc>
        <w:tc>
          <w:tcPr>
            <w:shd w:val="clear" w:fill="auto" w:color="auto"/>
            <w:tcW w:w="3880" w:type="pct"/>
            <w:textDirection w:val="lrTb"/>
            <w:noWrap w:val="false"/>
          </w:tcPr>
          <w:p>
            <w:pPr>
              <w:pStyle w:val="1005"/>
              <w:ind w:left="57" w:right="57"/>
            </w:pPr>
            <w:r>
              <w:t xml:space="preserve">Выбирается из списка сотрудников, либо вводится вручную.</w:t>
            </w:r>
            <w:r/>
          </w:p>
        </w:tc>
      </w:tr>
      <w:tr>
        <w:trPr/>
        <w:tc>
          <w:tcPr>
            <w:shd w:val="clear" w:fill="auto" w:color="auto"/>
            <w:tcW w:w="1120" w:type="pct"/>
            <w:textDirection w:val="lrTb"/>
            <w:noWrap w:val="false"/>
          </w:tcPr>
          <w:p>
            <w:pPr>
              <w:pStyle w:val="1005"/>
              <w:ind w:left="57" w:right="57"/>
            </w:pPr>
            <w:r>
              <w:t xml:space="preserve">Главный бухгалтер (уполномоченное лицо). Расшифровка подписи</w:t>
            </w:r>
            <w:r/>
          </w:p>
        </w:tc>
        <w:tc>
          <w:tcPr>
            <w:shd w:val="clear" w:fill="auto" w:color="auto"/>
            <w:tcW w:w="3880" w:type="pct"/>
            <w:textDirection w:val="lrTb"/>
            <w:noWrap w:val="false"/>
          </w:tcPr>
          <w:p>
            <w:pPr>
              <w:pStyle w:val="1005"/>
              <w:ind w:left="57" w:right="57"/>
            </w:pPr>
            <w:r>
              <w:t xml:space="preserve">Выбирается из списка сотрудников, либо вводится вручную.</w:t>
            </w:r>
            <w:r/>
          </w:p>
        </w:tc>
      </w:tr>
      <w:tr>
        <w:trPr/>
        <w:tc>
          <w:tcPr>
            <w:shd w:val="clear" w:fill="auto" w:color="auto"/>
            <w:tcW w:w="1120" w:type="pct"/>
            <w:textDirection w:val="lrTb"/>
            <w:noWrap w:val="false"/>
          </w:tcPr>
          <w:p>
            <w:pPr>
              <w:pStyle w:val="1005"/>
              <w:ind w:left="57" w:right="57"/>
            </w:pPr>
            <w:r>
              <w:t xml:space="preserve">Главный бухгалтер (уполномоченное лицо). </w:t>
            </w:r>
            <w:r>
              <w:t xml:space="preserve">Дата подписания</w:t>
            </w:r>
            <w:r/>
          </w:p>
        </w:tc>
        <w:tc>
          <w:tcPr>
            <w:shd w:val="clear" w:fill="auto" w:color="auto"/>
            <w:tcW w:w="3880" w:type="pct"/>
            <w:textDirection w:val="lrTb"/>
            <w:noWrap w:val="false"/>
          </w:tcPr>
          <w:p>
            <w:pPr>
              <w:pStyle w:val="1005"/>
              <w:ind w:left="57" w:right="57"/>
            </w:pPr>
            <w:r>
              <w:t xml:space="preserve">Значение вводится вручную или выбирается из системного календаря.</w:t>
            </w:r>
            <w:r/>
          </w:p>
        </w:tc>
      </w:tr>
      <w:tr>
        <w:trPr/>
        <w:tc>
          <w:tcPr>
            <w:shd w:val="clear" w:fill="auto" w:color="auto"/>
            <w:tcW w:w="1120" w:type="pct"/>
            <w:textDirection w:val="lrTb"/>
            <w:noWrap w:val="false"/>
          </w:tcPr>
          <w:p>
            <w:pPr>
              <w:pStyle w:val="1005"/>
              <w:ind w:left="57" w:right="57"/>
            </w:pPr>
            <w:r>
              <w:t xml:space="preserve">ФИО ответственного за конфиденциальность данных</w:t>
            </w:r>
            <w:r/>
          </w:p>
        </w:tc>
        <w:tc>
          <w:tcPr>
            <w:shd w:val="clear" w:fill="auto" w:color="auto"/>
            <w:tcW w:w="3880" w:type="pct"/>
            <w:textDirection w:val="lrTb"/>
            <w:noWrap w:val="false"/>
          </w:tcPr>
          <w:p>
            <w:pPr>
              <w:pStyle w:val="1005"/>
              <w:ind w:left="57" w:right="57"/>
            </w:pPr>
            <w:r>
              <w:t xml:space="preserve">Заполняется автоматически при подписании. Поле заполняется, если в поле «Уровень конфиденциальности» указано значение «1» или «0»</w:t>
            </w:r>
            <w:r>
              <w:t xml:space="preserve">. </w:t>
            </w:r>
            <w:r/>
          </w:p>
        </w:tc>
      </w:tr>
      <w:tr>
        <w:trPr/>
        <w:tc>
          <w:tcPr>
            <w:gridSpan w:val="2"/>
            <w:shd w:val="clear" w:fill="auto" w:color="auto"/>
            <w:tcW w:w="5000" w:type="pct"/>
            <w:textDirection w:val="lrTb"/>
            <w:noWrap w:val="false"/>
          </w:tcPr>
          <w:p>
            <w:pPr>
              <w:pStyle w:val="1005"/>
              <w:ind w:left="57" w:right="57"/>
            </w:pPr>
            <w:r>
              <w:t xml:space="preserve">Группа полей «Отметка органа ФК о регистрации Запроса на аннулирование заявки (консолидиро</w:t>
            </w:r>
            <w:r>
              <w:t xml:space="preserve">ванной заявки)»</w:t>
            </w:r>
            <w:r/>
          </w:p>
        </w:tc>
      </w:tr>
      <w:tr>
        <w:trPr/>
        <w:tc>
          <w:tcPr>
            <w:shd w:val="clear" w:fill="auto" w:color="auto"/>
            <w:tcW w:w="1120" w:type="pct"/>
            <w:textDirection w:val="lrTb"/>
            <w:noWrap w:val="false"/>
          </w:tcPr>
          <w:p>
            <w:pPr>
              <w:pStyle w:val="1005"/>
              <w:ind w:left="57" w:right="57"/>
            </w:pPr>
            <w:r>
              <w:t xml:space="preserve">Номер запроса</w:t>
            </w:r>
            <w:r/>
          </w:p>
        </w:tc>
        <w:tc>
          <w:tcPr>
            <w:shd w:val="clear" w:fill="auto" w:color="auto"/>
            <w:tcW w:w="3880"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OEBS.</w:t>
            </w:r>
            <w:r/>
          </w:p>
        </w:tc>
      </w:tr>
      <w:tr>
        <w:trPr/>
        <w:tc>
          <w:tcPr>
            <w:shd w:val="clear" w:fill="auto" w:color="auto"/>
            <w:tcW w:w="1120" w:type="pct"/>
            <w:textDirection w:val="lrTb"/>
            <w:noWrap w:val="false"/>
          </w:tcPr>
          <w:p>
            <w:pPr>
              <w:pStyle w:val="1005"/>
              <w:ind w:left="57" w:right="57"/>
            </w:pPr>
            <w:r>
              <w:t xml:space="preserve">Дата регистрации</w:t>
            </w:r>
            <w:r/>
          </w:p>
        </w:tc>
        <w:tc>
          <w:tcPr>
            <w:shd w:val="clear" w:fill="auto" w:color="auto"/>
            <w:tcW w:w="3880"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OEBS.</w:t>
            </w:r>
            <w:r/>
          </w:p>
        </w:tc>
      </w:tr>
      <w:tr>
        <w:trPr/>
        <w:tc>
          <w:tcPr>
            <w:shd w:val="clear" w:fill="auto" w:color="auto"/>
            <w:tcW w:w="1120" w:type="pct"/>
            <w:textDirection w:val="lrTb"/>
            <w:noWrap w:val="false"/>
          </w:tcPr>
          <w:p>
            <w:pPr>
              <w:pStyle w:val="1005"/>
              <w:ind w:left="57" w:right="57"/>
            </w:pPr>
            <w:r>
              <w:t xml:space="preserve">Ответственный исполнитель. Должность</w:t>
            </w:r>
            <w:r/>
          </w:p>
        </w:tc>
        <w:tc>
          <w:tcPr>
            <w:shd w:val="clear" w:fill="auto" w:color="auto"/>
            <w:tcW w:w="3880"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OEBS.</w:t>
            </w:r>
            <w:r/>
          </w:p>
        </w:tc>
      </w:tr>
      <w:tr>
        <w:trPr/>
        <w:tc>
          <w:tcPr>
            <w:shd w:val="clear" w:fill="auto" w:color="auto"/>
            <w:tcW w:w="1120" w:type="pct"/>
            <w:textDirection w:val="lrTb"/>
            <w:noWrap w:val="false"/>
          </w:tcPr>
          <w:p>
            <w:pPr>
              <w:pStyle w:val="1005"/>
              <w:ind w:left="57" w:right="57"/>
            </w:pPr>
            <w:r>
              <w:t xml:space="preserve">Ответственный исполнитель. Расшифровка подписи</w:t>
            </w:r>
            <w:r/>
          </w:p>
        </w:tc>
        <w:tc>
          <w:tcPr>
            <w:shd w:val="clear" w:fill="auto" w:color="auto"/>
            <w:tcW w:w="3880"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OEBS.</w:t>
            </w:r>
            <w:r/>
          </w:p>
        </w:tc>
      </w:tr>
      <w:tr>
        <w:trPr/>
        <w:tc>
          <w:tcPr>
            <w:shd w:val="clear" w:fill="auto" w:color="auto"/>
            <w:tcW w:w="1120" w:type="pct"/>
            <w:textDirection w:val="lrTb"/>
            <w:noWrap w:val="false"/>
          </w:tcPr>
          <w:p>
            <w:pPr>
              <w:pStyle w:val="1005"/>
              <w:ind w:left="57" w:right="57"/>
            </w:pPr>
            <w:r>
              <w:t xml:space="preserve">Ответственный исполнитель. Телефон</w:t>
            </w:r>
            <w:r/>
          </w:p>
        </w:tc>
        <w:tc>
          <w:tcPr>
            <w:shd w:val="clear" w:fill="auto" w:color="auto"/>
            <w:tcW w:w="3880" w:type="pct"/>
            <w:textDirection w:val="lrTb"/>
            <w:noWrap w:val="false"/>
          </w:tcPr>
          <w:p>
            <w:pPr>
              <w:pStyle w:val="1005"/>
              <w:ind w:left="57" w:right="57"/>
            </w:pPr>
            <w:r>
              <w:t xml:space="preserve">Поле закрыто на редактирование.</w:t>
            </w:r>
            <w:r/>
          </w:p>
          <w:p>
            <w:pPr>
              <w:pStyle w:val="1005"/>
              <w:ind w:left="57" w:right="57"/>
            </w:pPr>
            <w:r>
              <w:t xml:space="preserve">Значение заполняется в OEBS.</w:t>
            </w:r>
            <w:r/>
          </w:p>
        </w:tc>
      </w:tr>
      <w:tr>
        <w:trPr/>
        <w:tc>
          <w:tcPr>
            <w:shd w:val="clear" w:fill="auto" w:color="auto"/>
            <w:tcW w:w="1120" w:type="pct"/>
            <w:textDirection w:val="lrTb"/>
            <w:noWrap w:val="false"/>
          </w:tcPr>
          <w:p>
            <w:pPr>
              <w:pStyle w:val="1005"/>
              <w:ind w:left="57" w:right="57"/>
            </w:pPr>
            <w:r>
              <w:t xml:space="preserve">Глобальный уникальный идентификатор аннулируемого документа</w:t>
            </w:r>
            <w:r/>
          </w:p>
        </w:tc>
        <w:tc>
          <w:tcPr>
            <w:shd w:val="clear" w:fill="auto" w:color="auto"/>
            <w:tcW w:w="3880" w:type="pct"/>
            <w:textDirection w:val="lrTb"/>
            <w:noWrap w:val="false"/>
          </w:tcPr>
          <w:p>
            <w:pPr>
              <w:pStyle w:val="1005"/>
              <w:ind w:left="57" w:right="57"/>
            </w:pPr>
            <w:r>
              <w:t xml:space="preserve">Заполняется а</w:t>
            </w:r>
            <w:r>
              <w:t xml:space="preserve">втоматически при вводе документа от ФО по счетам № 03224, 03234, 03225, 03222, 03232 с признаком «Отдельный счет», в справочнике «Книга регистрации казначейских счетов», на основании родительского документа.</w:t>
            </w:r>
            <w:r/>
          </w:p>
          <w:p>
            <w:pPr>
              <w:pStyle w:val="1005"/>
              <w:ind w:left="57" w:right="57"/>
            </w:pPr>
            <w:r>
              <w:t xml:space="preserve">Доступно для заполнения вручную, при вводе документа от ФО по счетам № 03224, 03234, 03225, 03222, 03232 с признаком «Отдельный счет» в справочнике «Книга регистрации казначейских счетов».</w:t>
            </w:r>
            <w:r/>
          </w:p>
        </w:tc>
      </w:tr>
    </w:tbl>
    <w:p>
      <w:pPr>
        <w:pStyle w:val="971"/>
      </w:pPr>
      <w:r/>
      <w:bookmarkStart w:id="1181" w:name="_Toc225934601"/>
      <w:r/>
      <w:bookmarkStart w:id="1182" w:name="_Toc232827349"/>
      <w:r/>
      <w:bookmarkStart w:id="1183" w:name="_Ref382923366"/>
      <w:r/>
      <w:bookmarkStart w:id="1184" w:name="_Toc422496695"/>
      <w:r/>
      <w:bookmarkStart w:id="1185" w:name="_Toc88819129"/>
      <w:r>
        <w:t xml:space="preserve">Группа документов «Реорганизация»</w:t>
      </w:r>
      <w:bookmarkEnd w:id="1172"/>
      <w:r/>
      <w:bookmarkEnd w:id="1173"/>
      <w:r/>
      <w:bookmarkEnd w:id="1181"/>
      <w:r/>
      <w:bookmarkEnd w:id="1182"/>
      <w:r/>
      <w:bookmarkEnd w:id="1183"/>
      <w:r/>
      <w:bookmarkEnd w:id="1184"/>
      <w:r/>
      <w:bookmarkEnd w:id="1185"/>
      <w:r/>
      <w:r/>
    </w:p>
    <w:p>
      <w:pPr>
        <w:pStyle w:val="972"/>
      </w:pPr>
      <w:r/>
      <w:bookmarkStart w:id="1186" w:name="_Ref357699450"/>
      <w:r/>
      <w:bookmarkStart w:id="1187" w:name="_Ref357699451"/>
      <w:r/>
      <w:bookmarkStart w:id="1188" w:name="_Toc403040544"/>
      <w:r/>
      <w:bookmarkStart w:id="1189" w:name="_Toc422496696"/>
      <w:r/>
      <w:bookmarkStart w:id="1190" w:name="_Toc249273702"/>
      <w:r/>
      <w:bookmarkStart w:id="1191" w:name="_Toc88819130"/>
      <w:r>
        <w:t xml:space="preserve">Акт приемки-передачи принятых на учет обязательств при реорганизации участников бюджетного процесса</w:t>
      </w:r>
      <w:bookmarkEnd w:id="1186"/>
      <w:r/>
      <w:bookmarkEnd w:id="1187"/>
      <w:r/>
      <w:bookmarkEnd w:id="1188"/>
      <w:r/>
      <w:bookmarkEnd w:id="1189"/>
      <w:r/>
      <w:bookmarkEnd w:id="1191"/>
      <w:r/>
      <w:r/>
    </w:p>
    <w:p>
      <w:pPr>
        <w:pStyle w:val="994"/>
      </w:pPr>
      <w:r>
        <w:t xml:space="preserve">Документ «Акт приемки-передачи принятых на учет обязательств при реорганизации участников бюджетного процесса» предназначен для передачи полномочий одного ПБС другому ПБС по принятым ранее обязательствам при реорганизации участников бюджетного процесса.</w:t>
      </w:r>
      <w:r/>
    </w:p>
    <w:p>
      <w:pPr>
        <w:pStyle w:val="994"/>
      </w:pPr>
      <w:r>
        <w:t xml:space="preserve">На АРМ ПБС документ «Акт приемки-передачи принятых на учет обязательств при реорганизации участников бюджетного процесса» может быть исходящим и входящим.</w:t>
      </w:r>
      <w:r/>
    </w:p>
    <w:p>
      <w:pPr>
        <w:pStyle w:val="994"/>
      </w:pPr>
      <w:r>
        <w:t xml:space="preserve">Для работы с документами «Акт приемки-передачи принятых на учет обязательств при реоргани</w:t>
      </w:r>
      <w:r>
        <w:t xml:space="preserve">зации участников бюджетного процесса» следует перейти в пункт меню «Документы – Реорганизация – Акт приемки-передачи принятых на учет обязательств при реорганизации участников бюджетного процесса». Откроется ЭФ списка документов, представленная на рисунке </w:t>
      </w:r>
      <w:r>
        <w:fldChar w:fldCharType="begin"/>
      </w:r>
      <w:r>
        <w:instrText xml:space="preserve"> REF _Ref221012897 \h  \* MERGEFORMAT </w:instrText>
      </w:r>
      <w:r>
        <w:fldChar w:fldCharType="separate"/>
      </w:r>
      <w:r>
        <w:t xml:space="preserve">151</w:t>
      </w:r>
      <w:r>
        <w:fldChar w:fldCharType="end"/>
      </w:r>
      <w:r>
        <w:t xml:space="preserve">.</w:t>
      </w:r>
      <w:r/>
    </w:p>
    <w:p>
      <w:pPr>
        <w:pStyle w:val="996"/>
      </w:pPr>
      <w:r>
        <w:rPr>
          <w:rStyle w:val="1001"/>
        </w:rPr>
        <w:t xml:space="preserve">Внимание!</w:t>
      </w:r>
      <w:r>
        <w:tab/>
        <w:t xml:space="preserve">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r/>
    </w:p>
    <w:p>
      <w:pPr>
        <w:pStyle w:val="994"/>
      </w:pPr>
      <w:r/>
      <w:r/>
    </w:p>
    <w:p>
      <w:pPr>
        <w:pStyle w:val="982"/>
      </w:pPr>
      <w:r>
        <mc:AlternateContent>
          <mc:Choice Requires="wpg">
            <w:drawing>
              <wp:inline xmlns:wp="http://schemas.openxmlformats.org/drawingml/2006/wordprocessingDrawing" distT="0" distB="0" distL="0" distR="0">
                <wp:extent cx="6134100" cy="3566160"/>
                <wp:effectExtent l="0" t="0" r="0" b="0"/>
                <wp:docPr id="23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17"/>
                        <a:stretch/>
                      </pic:blipFill>
                      <pic:spPr bwMode="auto">
                        <a:xfrm>
                          <a:off x="0" y="0"/>
                          <a:ext cx="6134100" cy="35661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7" o:spid="_x0000_s237" type="#_x0000_t75" style="mso-wrap-distance-left:0.0pt;mso-wrap-distance-top:0.0pt;mso-wrap-distance-right:0.0pt;mso-wrap-distance-bottom:0.0pt;width:483.0pt;height:280.8pt;" stroked="f">
                <v:path textboxrect="0,0,0,0"/>
                <v:imagedata r:id="rId217" o:title=""/>
              </v:shape>
            </w:pict>
          </mc:Fallback>
        </mc:AlternateContent>
      </w:r>
      <w:r/>
    </w:p>
    <w:p>
      <w:pPr>
        <w:pStyle w:val="983"/>
      </w:pPr>
      <w:r>
        <w:fldChar w:fldCharType="begin"/>
      </w:r>
      <w:r>
        <w:instrText xml:space="preserve"> SEQ Рисунок \* ARABIC </w:instrText>
      </w:r>
      <w:r>
        <w:fldChar w:fldCharType="separate"/>
      </w:r>
      <w:bookmarkStart w:id="1192" w:name="_Ref221012897"/>
      <w:r/>
      <w:bookmarkStart w:id="1193" w:name="_Toc88819536"/>
      <w:r>
        <w:t xml:space="preserve">151</w:t>
      </w:r>
      <w:bookmarkEnd w:id="1192"/>
      <w:r>
        <w:fldChar w:fldCharType="end"/>
      </w:r>
      <w:r>
        <w:t xml:space="preserve">. ЭФ списка документов «Акт приемки-передачи принятых на учет обязательств при реорганизации участников бюджетного процесса»</w:t>
      </w:r>
      <w:bookmarkEnd w:id="1193"/>
      <w:r/>
      <w:r/>
    </w:p>
    <w:p>
      <w:pPr>
        <w:pStyle w:val="973"/>
      </w:pPr>
      <w:r/>
      <w:bookmarkStart w:id="1194" w:name="_Toc232827351"/>
      <w:r>
        <w:t xml:space="preserve">Доступные операции</w:t>
      </w:r>
      <w:bookmarkEnd w:id="1194"/>
      <w:r/>
      <w:r/>
    </w:p>
    <w:p>
      <w:pPr>
        <w:pStyle w:val="994"/>
      </w:pPr>
      <w:r>
        <w:t xml:space="preserve">На АРМ </w:t>
      </w:r>
      <w:r>
        <w:t xml:space="preserve">ФО</w:t>
      </w:r>
      <w:r>
        <w:t xml:space="preserve"> доступны следующие операции над документом:</w:t>
      </w:r>
      <w:r/>
    </w:p>
    <w:p>
      <w:pPr>
        <w:pStyle w:val="985"/>
      </w:pPr>
      <w:r>
        <w:t xml:space="preserve">Для исходящих документов:</w:t>
      </w:r>
      <w:r/>
    </w:p>
    <w:p>
      <w:pPr>
        <w:pStyle w:val="986"/>
      </w:pPr>
      <w:r>
        <w:t xml:space="preserve">ввод вручную;</w:t>
      </w:r>
      <w:r/>
    </w:p>
    <w:p>
      <w:pPr>
        <w:pStyle w:val="986"/>
      </w:pPr>
      <w:r>
        <w:t xml:space="preserve">импорт из внешней системы;</w:t>
      </w:r>
      <w:r/>
    </w:p>
    <w:p>
      <w:pPr>
        <w:pStyle w:val="986"/>
      </w:pPr>
      <w:r>
        <w:t xml:space="preserve">просмотр и редактирование;</w:t>
      </w:r>
      <w:r/>
    </w:p>
    <w:p>
      <w:pPr>
        <w:pStyle w:val="986"/>
      </w:pPr>
      <w:r>
        <w:t xml:space="preserve">удаление;</w:t>
      </w:r>
      <w:r/>
    </w:p>
    <w:p>
      <w:pPr>
        <w:pStyle w:val="986"/>
      </w:pPr>
      <w:r>
        <w:t xml:space="preserve">подписание, просмотр и удаление </w:t>
      </w:r>
      <w:r>
        <w:t xml:space="preserve">ЭП</w:t>
      </w:r>
      <w:r>
        <w:t xml:space="preserve">;</w:t>
      </w:r>
      <w:r/>
    </w:p>
    <w:p>
      <w:pPr>
        <w:pStyle w:val="986"/>
      </w:pPr>
      <w:r>
        <w:t xml:space="preserve">печать;</w:t>
      </w:r>
      <w:r/>
    </w:p>
    <w:p>
      <w:pPr>
        <w:pStyle w:val="986"/>
      </w:pPr>
      <w:r>
        <w:t xml:space="preserve">отправка в учетную систему УФК</w:t>
      </w:r>
      <w:r>
        <w:t xml:space="preserve">;</w:t>
      </w:r>
      <w:r/>
    </w:p>
    <w:p>
      <w:pPr>
        <w:pStyle w:val="986"/>
      </w:pPr>
      <w:r>
        <w:t xml:space="preserve">откат статуса передачи</w:t>
      </w:r>
      <w:r>
        <w:t xml:space="preserve">.</w:t>
      </w:r>
      <w:r/>
    </w:p>
    <w:p>
      <w:pPr>
        <w:pStyle w:val="985"/>
      </w:pPr>
      <w:r>
        <w:t xml:space="preserve">Для входящих документов:</w:t>
      </w:r>
      <w:r/>
    </w:p>
    <w:p>
      <w:pPr>
        <w:pStyle w:val="986"/>
      </w:pPr>
      <w:r>
        <w:t xml:space="preserve">просмотр;</w:t>
      </w:r>
      <w:r/>
    </w:p>
    <w:p>
      <w:pPr>
        <w:pStyle w:val="986"/>
      </w:pPr>
      <w:r>
        <w:t xml:space="preserve">проверка </w:t>
      </w:r>
      <w:r>
        <w:t xml:space="preserve">ЭП</w:t>
      </w:r>
      <w:r>
        <w:t xml:space="preserve">; </w:t>
      </w:r>
      <w:r/>
    </w:p>
    <w:p>
      <w:pPr>
        <w:pStyle w:val="986"/>
      </w:pPr>
      <w:r>
        <w:t xml:space="preserve">печать.</w:t>
      </w:r>
      <w:r/>
    </w:p>
    <w:p>
      <w:pPr>
        <w:pStyle w:val="973"/>
      </w:pPr>
      <w:r/>
      <w:bookmarkStart w:id="1195" w:name="_Toc232827352"/>
      <w:r/>
      <w:bookmarkStart w:id="1196" w:name="_Ref239875597"/>
      <w:r>
        <w:t xml:space="preserve">Экранная форма документа</w:t>
      </w:r>
      <w:bookmarkEnd w:id="1195"/>
      <w:r/>
      <w:bookmarkEnd w:id="1196"/>
      <w:r/>
      <w:r/>
    </w:p>
    <w:p>
      <w:pPr>
        <w:pStyle w:val="994"/>
      </w:pPr>
      <w:r>
        <w:t xml:space="preserve">ЭФ документа «Акт приемки-передачи принятых на учет обязательств при реорганизации участников бюджетного процесса» представлена на рисунках </w:t>
      </w:r>
      <w:r>
        <w:fldChar w:fldCharType="begin"/>
      </w:r>
      <w:r>
        <w:instrText xml:space="preserve"> REF _Ref230612069 \h  \* MERGEFORMAT </w:instrText>
      </w:r>
      <w:r>
        <w:fldChar w:fldCharType="separate"/>
      </w:r>
      <w:r>
        <w:t xml:space="preserve">152</w:t>
      </w:r>
      <w:r>
        <w:fldChar w:fldCharType="end"/>
      </w:r>
      <w:r>
        <w:t xml:space="preserve"> и </w:t>
      </w:r>
      <w:r>
        <w:fldChar w:fldCharType="begin"/>
      </w:r>
      <w:r>
        <w:instrText xml:space="preserve"> REF _Ref230616754 \h  \* MERGEFORMAT </w:instrText>
      </w:r>
      <w:r>
        <w:fldChar w:fldCharType="separate"/>
      </w:r>
      <w:r>
        <w:t xml:space="preserve">155</w:t>
      </w:r>
      <w:r>
        <w:fldChar w:fldCharType="end"/>
      </w:r>
      <w:r>
        <w:t xml:space="preserve">. Форма содержит следующие закладки:</w:t>
      </w:r>
      <w:r/>
    </w:p>
    <w:p>
      <w:pPr>
        <w:pStyle w:val="985"/>
      </w:pPr>
      <w:r>
        <w:t xml:space="preserve">«Документ»;</w:t>
      </w:r>
      <w:r/>
    </w:p>
    <w:p>
      <w:pPr>
        <w:pStyle w:val="985"/>
      </w:pPr>
      <w:r>
        <w:t xml:space="preserve">«Подписи/</w:t>
      </w:r>
      <w:r>
        <w:rPr>
          <w:rStyle w:val="1400"/>
        </w:rPr>
        <w:t xml:space="preserve">Доп.</w:t>
      </w:r>
      <w:r>
        <w:rPr>
          <w:rStyle w:val="1400"/>
        </w:rPr>
        <w:t xml:space="preserve"> </w:t>
      </w:r>
      <w:r>
        <w:rPr>
          <w:rStyle w:val="1400"/>
        </w:rPr>
        <w:t xml:space="preserve">А</w:t>
      </w:r>
      <w:r>
        <w:rPr>
          <w:rStyle w:val="1400"/>
        </w:rPr>
        <w:t xml:space="preserve">трибуты</w:t>
      </w:r>
      <w:r>
        <w:t xml:space="preserve">»;</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134100" cy="4572000"/>
                <wp:effectExtent l="0" t="0" r="0" b="0"/>
                <wp:docPr id="23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18"/>
                        <a:stretch/>
                      </pic:blipFill>
                      <pic:spPr bwMode="auto">
                        <a:xfrm>
                          <a:off x="0" y="0"/>
                          <a:ext cx="6134100" cy="45720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8" o:spid="_x0000_s238" type="#_x0000_t75" style="mso-wrap-distance-left:0.0pt;mso-wrap-distance-top:0.0pt;mso-wrap-distance-right:0.0pt;mso-wrap-distance-bottom:0.0pt;width:483.0pt;height:360.0pt;" stroked="f">
                <v:path textboxrect="0,0,0,0"/>
                <v:imagedata r:id="rId218" o:title=""/>
              </v:shape>
            </w:pict>
          </mc:Fallback>
        </mc:AlternateContent>
      </w:r>
      <w:r/>
    </w:p>
    <w:p>
      <w:pPr>
        <w:pStyle w:val="983"/>
      </w:pPr>
      <w:r>
        <w:fldChar w:fldCharType="begin"/>
      </w:r>
      <w:r>
        <w:instrText xml:space="preserve"> SEQ Рисунок \* ARABIC </w:instrText>
      </w:r>
      <w:r>
        <w:fldChar w:fldCharType="separate"/>
      </w:r>
      <w:bookmarkStart w:id="1197" w:name="_Ref230612069"/>
      <w:r/>
      <w:bookmarkStart w:id="1198" w:name="_Toc88819537"/>
      <w:r>
        <w:t xml:space="preserve">152</w:t>
      </w:r>
      <w:bookmarkEnd w:id="1197"/>
      <w:r>
        <w:fldChar w:fldCharType="end"/>
      </w:r>
      <w:r>
        <w:t xml:space="preserve">. ЭФ документа «Акт приемки-передачи принятых на учет обязательств при реорганизации участников бюджетного процесса</w:t>
      </w:r>
      <w:r>
        <w:t xml:space="preserve">», закладки «</w:t>
      </w:r>
      <w:r>
        <w:t xml:space="preserve">Документ»</w:t>
      </w:r>
      <w:bookmarkEnd w:id="1198"/>
      <w:r/>
      <w:r/>
    </w:p>
    <w:p>
      <w:pPr>
        <w:pStyle w:val="994"/>
      </w:pPr>
      <w:r>
        <w:t xml:space="preserve">При импорте документа из внешней системы поля документа автоматическ</w:t>
      </w:r>
      <w:r>
        <w:t xml:space="preserve">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w:t>
      </w:r>
      <w:r/>
    </w:p>
    <w:p>
      <w:pPr>
        <w:pStyle w:val="994"/>
      </w:pPr>
      <w:r>
        <w:t xml:space="preserve"> Перечень полей</w:t>
      </w:r>
      <w:r>
        <w:t xml:space="preserve"> </w:t>
      </w:r>
      <w:r>
        <w:t xml:space="preserve">документа «Акт приемки-передачи принятых на учет обязательств при реорганизации участников бюджетного процесса», закладки «Документ»</w:t>
      </w:r>
      <w:r>
        <w:t xml:space="preserve"> </w:t>
      </w:r>
      <w:r>
        <w:t xml:space="preserve">приведен в таблице </w:t>
      </w:r>
      <w:r>
        <w:fldChar w:fldCharType="begin"/>
      </w:r>
      <w:r>
        <w:instrText xml:space="preserve"> REF _Ref317610771 \h  \* MERGEFORMAT </w:instrText>
      </w:r>
      <w:r>
        <w:fldChar w:fldCharType="separate"/>
      </w:r>
      <w:r>
        <w:t xml:space="preserve">83</w:t>
      </w:r>
      <w:r>
        <w:fldChar w:fldCharType="end"/>
      </w:r>
      <w:r>
        <w:t xml:space="preserve">.</w:t>
      </w:r>
      <w:r/>
    </w:p>
    <w:p>
      <w:pPr>
        <w:pStyle w:val="993"/>
      </w:pPr>
      <w:r>
        <w:fldChar w:fldCharType="begin"/>
      </w:r>
      <w:r>
        <w:instrText xml:space="preserve"> SEQ Таблица \* ARABIC </w:instrText>
      </w:r>
      <w:r>
        <w:fldChar w:fldCharType="separate"/>
      </w:r>
      <w:bookmarkStart w:id="1199" w:name="_Ref317610771"/>
      <w:r/>
      <w:bookmarkStart w:id="1200" w:name="_Toc88819269"/>
      <w:r>
        <w:t xml:space="preserve">83</w:t>
      </w:r>
      <w:bookmarkEnd w:id="1199"/>
      <w:r>
        <w:fldChar w:fldCharType="end"/>
      </w:r>
      <w:r>
        <w:t xml:space="preserve">. Описание полей документа «Акт приемки-передачи принятых на учет обязательств при реорганизации участников бюджетного </w:t>
      </w:r>
      <w:r>
        <w:t xml:space="preserve">процесса», закладки «Документ»</w:t>
      </w:r>
      <w:bookmarkEnd w:id="1200"/>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37"/>
        <w:gridCol w:w="7415"/>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2337" w:type="dxa"/>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7415" w:type="dxa"/>
            <w:vAlign w:val="center"/>
            <w:textDirection w:val="lrTb"/>
            <w:noWrap w:val="false"/>
          </w:tcPr>
          <w:p>
            <w:pPr>
              <w:pStyle w:val="1006"/>
            </w:pPr>
            <w:r>
              <w:t xml:space="preserve">Описание поля</w:t>
            </w:r>
            <w:r/>
          </w:p>
        </w:tc>
      </w:tr>
      <w:tr>
        <w:trPr/>
        <w:tc>
          <w:tcPr>
            <w:shd w:val="clear" w:fill="auto" w:color="auto"/>
            <w:tcW w:w="2337" w:type="dxa"/>
            <w:textDirection w:val="lrTb"/>
            <w:noWrap w:val="false"/>
          </w:tcPr>
          <w:p>
            <w:pPr>
              <w:pStyle w:val="1005"/>
              <w:ind w:left="57" w:right="57"/>
            </w:pPr>
            <w:r>
              <w:t xml:space="preserve">Дата акта</w:t>
            </w:r>
            <w:r/>
          </w:p>
        </w:tc>
        <w:tc>
          <w:tcPr>
            <w:shd w:val="clear" w:fill="auto" w:color="auto"/>
            <w:tcW w:w="7415" w:type="dxa"/>
            <w:textDirection w:val="lrTb"/>
            <w:noWrap w:val="false"/>
          </w:tcPr>
          <w:p>
            <w:pPr>
              <w:pStyle w:val="1005"/>
              <w:ind w:left="57" w:right="57"/>
            </w:pPr>
            <w:r>
              <w:t xml:space="preserve">Дата формирования акта. </w:t>
            </w:r>
            <w:r/>
          </w:p>
          <w:p>
            <w:pPr>
              <w:pStyle w:val="1005"/>
              <w:ind w:left="57" w:right="57"/>
            </w:pPr>
            <w:r>
              <w:t xml:space="preserve">Может быть изменено вручную или с помощью календаря.</w:t>
            </w:r>
            <w:r/>
          </w:p>
        </w:tc>
      </w:tr>
      <w:tr>
        <w:trPr/>
        <w:tc>
          <w:tcPr>
            <w:shd w:val="clear" w:fill="auto" w:color="auto"/>
            <w:tcW w:w="2337" w:type="dxa"/>
            <w:textDirection w:val="lrTb"/>
            <w:noWrap w:val="false"/>
          </w:tcPr>
          <w:p>
            <w:pPr>
              <w:pStyle w:val="1005"/>
              <w:ind w:left="57" w:right="57"/>
            </w:pPr>
            <w:r>
              <w:t xml:space="preserve">Статус</w:t>
            </w:r>
            <w:r/>
          </w:p>
        </w:tc>
        <w:tc>
          <w:tcPr>
            <w:shd w:val="clear" w:fill="auto" w:color="auto"/>
            <w:tcW w:w="7415" w:type="dxa"/>
            <w:textDirection w:val="lrTb"/>
            <w:noWrap w:val="false"/>
          </w:tcPr>
          <w:p>
            <w:pPr>
              <w:pStyle w:val="1005"/>
              <w:ind w:left="57" w:right="57"/>
            </w:pPr>
            <w:r>
              <w:t xml:space="preserve">Код бизнес-статуса документа.</w:t>
            </w:r>
            <w:r/>
          </w:p>
        </w:tc>
      </w:tr>
      <w:tr>
        <w:trPr/>
        <w:tc>
          <w:tcPr>
            <w:gridSpan w:val="2"/>
            <w:shd w:val="clear" w:fill="auto" w:color="auto"/>
            <w:tcW w:w="9752" w:type="dxa"/>
            <w:textDirection w:val="lrTb"/>
            <w:noWrap w:val="false"/>
          </w:tcPr>
          <w:p>
            <w:pPr>
              <w:pStyle w:val="1005"/>
              <w:ind w:left="57" w:right="57"/>
            </w:pPr>
            <w:r>
              <w:t xml:space="preserve">Группа полей «Наименования»</w:t>
            </w:r>
            <w:r/>
          </w:p>
        </w:tc>
      </w:tr>
      <w:tr>
        <w:trPr/>
        <w:tc>
          <w:tcPr>
            <w:shd w:val="clear" w:fill="auto" w:color="auto"/>
            <w:tcW w:w="2337" w:type="dxa"/>
            <w:textDirection w:val="lrTb"/>
            <w:noWrap w:val="false"/>
          </w:tcPr>
          <w:p>
            <w:pPr>
              <w:pStyle w:val="1005"/>
              <w:ind w:left="57" w:right="57"/>
            </w:pPr>
            <w:r>
              <w:t xml:space="preserve">УБП, передающий обязательства</w:t>
            </w:r>
            <w:r/>
          </w:p>
        </w:tc>
        <w:tc>
          <w:tcPr>
            <w:shd w:val="clear" w:fill="auto" w:color="auto"/>
            <w:tcW w:w="7415" w:type="dxa"/>
            <w:textDirection w:val="lrTb"/>
            <w:noWrap w:val="false"/>
          </w:tcPr>
          <w:p>
            <w:pPr>
              <w:pStyle w:val="1005"/>
              <w:ind w:left="57" w:right="57"/>
            </w:pPr>
            <w:r>
              <w:t xml:space="preserve">Наименование учреждения отправителя.</w:t>
            </w:r>
            <w:r/>
          </w:p>
          <w:p>
            <w:pPr>
              <w:pStyle w:val="1008"/>
              <w:numPr>
                <w:ilvl w:val="0"/>
                <w:numId w:val="61"/>
              </w:numPr>
            </w:pPr>
            <w:r>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r/>
          </w:p>
          <w:p>
            <w:pPr>
              <w:pStyle w:val="1008"/>
            </w:pPr>
            <w:r>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r/>
          </w:p>
          <w:p>
            <w:pPr>
              <w:pStyle w:val="1005"/>
              <w:ind w:left="57" w:right="57"/>
            </w:pPr>
            <w:r>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r/>
          </w:p>
        </w:tc>
      </w:tr>
      <w:tr>
        <w:trPr/>
        <w:tc>
          <w:tcPr>
            <w:shd w:val="clear" w:fill="auto" w:color="auto"/>
            <w:tcW w:w="2337" w:type="dxa"/>
            <w:textDirection w:val="lrTb"/>
            <w:noWrap w:val="false"/>
          </w:tcPr>
          <w:p>
            <w:pPr>
              <w:pStyle w:val="1005"/>
              <w:ind w:left="57" w:right="57"/>
            </w:pPr>
            <w:r>
              <w:t xml:space="preserve">УБП, принимающий обязательства</w:t>
            </w:r>
            <w:r/>
          </w:p>
        </w:tc>
        <w:tc>
          <w:tcPr>
            <w:shd w:val="clear" w:fill="auto" w:color="auto"/>
            <w:tcW w:w="7415" w:type="dxa"/>
            <w:textDirection w:val="lrTb"/>
            <w:noWrap w:val="false"/>
          </w:tcPr>
          <w:p>
            <w:pPr>
              <w:pStyle w:val="1005"/>
              <w:ind w:left="57" w:right="57"/>
            </w:pPr>
            <w:r>
              <w:t xml:space="preserve">Наименование учреждения получателя.</w:t>
            </w:r>
            <w:r/>
          </w:p>
          <w:p>
            <w:pPr>
              <w:pStyle w:val="1008"/>
              <w:numPr>
                <w:ilvl w:val="0"/>
                <w:numId w:val="62"/>
              </w:numPr>
            </w:pPr>
            <w:r>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r/>
          </w:p>
          <w:p>
            <w:pPr>
              <w:pStyle w:val="1008"/>
            </w:pPr>
            <w:r>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r/>
          </w:p>
          <w:p>
            <w:pPr>
              <w:pStyle w:val="1005"/>
              <w:ind w:left="57" w:right="57"/>
            </w:pPr>
            <w:r>
              <w:t xml:space="preserve">*До даты НПА поиск в СР по значению «Учетный номер клиента» = Код РУБП получателя; после даты НПА – по значению «Код организации по СР» = Код РУБП получателя.</w:t>
            </w:r>
            <w:r/>
          </w:p>
        </w:tc>
      </w:tr>
      <w:tr>
        <w:trPr/>
        <w:tc>
          <w:tcPr>
            <w:shd w:val="clear" w:fill="auto" w:color="auto"/>
            <w:tcW w:w="2337" w:type="dxa"/>
            <w:textDirection w:val="lrTb"/>
            <w:noWrap w:val="false"/>
          </w:tcPr>
          <w:p>
            <w:pPr>
              <w:pStyle w:val="1005"/>
              <w:ind w:left="57" w:right="57"/>
            </w:pPr>
            <w:r>
              <w:t xml:space="preserve">Орган ФК УБП, передающего обязательства</w:t>
            </w:r>
            <w:r/>
          </w:p>
        </w:tc>
        <w:tc>
          <w:tcPr>
            <w:shd w:val="clear" w:fill="auto" w:color="auto"/>
            <w:tcW w:w="7415" w:type="dxa"/>
            <w:textDirection w:val="lrTb"/>
            <w:noWrap w:val="false"/>
          </w:tcPr>
          <w:p>
            <w:pPr>
              <w:pStyle w:val="1005"/>
              <w:ind w:left="57" w:right="57"/>
            </w:pPr>
            <w:r>
              <w:t xml:space="preserve">Наименование органа ФК отправителя.</w:t>
            </w:r>
            <w:r/>
          </w:p>
          <w:p>
            <w:pPr>
              <w:pStyle w:val="1005"/>
              <w:ind w:left="57" w:right="57"/>
            </w:pPr>
            <w:r>
              <w:t xml:space="preserve">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r/>
          </w:p>
        </w:tc>
      </w:tr>
      <w:tr>
        <w:trPr/>
        <w:tc>
          <w:tcPr>
            <w:shd w:val="clear" w:fill="auto" w:color="auto"/>
            <w:tcW w:w="2337" w:type="dxa"/>
            <w:textDirection w:val="lrTb"/>
            <w:noWrap w:val="false"/>
          </w:tcPr>
          <w:p>
            <w:pPr>
              <w:pStyle w:val="1005"/>
              <w:ind w:left="57" w:right="57"/>
            </w:pPr>
            <w:r>
              <w:t xml:space="preserve">Орган ФК УБП, принимающего обязательства</w:t>
            </w:r>
            <w:r/>
          </w:p>
        </w:tc>
        <w:tc>
          <w:tcPr>
            <w:shd w:val="clear" w:fill="auto" w:color="auto"/>
            <w:tcW w:w="7415" w:type="dxa"/>
            <w:textDirection w:val="lrTb"/>
            <w:noWrap w:val="false"/>
          </w:tcPr>
          <w:p>
            <w:pPr>
              <w:pStyle w:val="1005"/>
              <w:ind w:left="57" w:right="57"/>
            </w:pPr>
            <w:r>
              <w:t xml:space="preserve">Наименование органа ФК получателя.</w:t>
            </w:r>
            <w:r/>
          </w:p>
          <w:p>
            <w:pPr>
              <w:pStyle w:val="1005"/>
              <w:ind w:left="57" w:right="57"/>
            </w:pPr>
            <w:r>
              <w:t xml:space="preserve">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r/>
          </w:p>
        </w:tc>
      </w:tr>
      <w:tr>
        <w:trPr/>
        <w:tc>
          <w:tcPr>
            <w:shd w:val="clear" w:fill="auto" w:color="auto"/>
            <w:tcW w:w="2337" w:type="dxa"/>
            <w:textDirection w:val="lrTb"/>
            <w:noWrap w:val="false"/>
          </w:tcPr>
          <w:p>
            <w:pPr>
              <w:pStyle w:val="1005"/>
              <w:ind w:left="57" w:right="57"/>
            </w:pPr>
            <w:r>
              <w:t xml:space="preserve">Основания для передачи</w:t>
            </w:r>
            <w:r/>
          </w:p>
        </w:tc>
        <w:tc>
          <w:tcPr>
            <w:shd w:val="clear" w:fill="auto" w:color="auto"/>
            <w:tcW w:w="7415" w:type="dxa"/>
            <w:textDirection w:val="lrTb"/>
            <w:noWrap w:val="false"/>
          </w:tcPr>
          <w:p>
            <w:pPr>
              <w:pStyle w:val="1005"/>
              <w:ind w:left="57" w:right="57"/>
            </w:pPr>
            <w:r>
              <w:t xml:space="preserve">Наименование документа-основания для передачи БО.</w:t>
            </w:r>
            <w:r/>
          </w:p>
          <w:p>
            <w:pPr>
              <w:pStyle w:val="1005"/>
              <w:ind w:left="57" w:right="57"/>
            </w:pPr>
            <w:r>
              <w:t xml:space="preserve">Поле заполняется вручную.</w:t>
            </w:r>
            <w:r/>
          </w:p>
        </w:tc>
      </w:tr>
      <w:tr>
        <w:trPr/>
        <w:tc>
          <w:tcPr>
            <w:shd w:val="clear" w:fill="auto" w:color="auto"/>
            <w:tcW w:w="2337" w:type="dxa"/>
            <w:textDirection w:val="lrTb"/>
            <w:noWrap w:val="false"/>
          </w:tcPr>
          <w:p>
            <w:pPr>
              <w:pStyle w:val="1005"/>
              <w:ind w:left="57" w:right="57"/>
            </w:pPr>
            <w:r>
              <w:t xml:space="preserve">Наименование бюджета (заполняется для БС/МБ)</w:t>
            </w:r>
            <w:r/>
          </w:p>
        </w:tc>
        <w:tc>
          <w:tcPr>
            <w:shd w:val="clear" w:fill="auto" w:color="auto"/>
            <w:tcW w:w="7415" w:type="dxa"/>
            <w:textDirection w:val="lrTb"/>
            <w:noWrap w:val="false"/>
          </w:tcPr>
          <w:p>
            <w:pPr>
              <w:pStyle w:val="1005"/>
              <w:ind w:left="57" w:right="57"/>
            </w:pPr>
            <w:r>
              <w:t xml:space="preserve">Значение вводится вручную или выбирается из справочника «Бюджеты», заполняется для бюджетов субъектов и местных бюджетов. </w:t>
            </w:r>
            <w:r/>
          </w:p>
          <w:p>
            <w:pPr>
              <w:pStyle w:val="1005"/>
              <w:ind w:left="57" w:right="57"/>
            </w:pPr>
            <w:r>
              <w:t xml:space="preserve">При очистке поля «Наименование бюджета» заполняется код бюджета документа из константы </w:t>
            </w:r>
            <w:r>
              <w:t xml:space="preserve">SelfBudgetCode (Код бюджета)</w:t>
            </w:r>
            <w:r>
              <w:t xml:space="preserve">.</w:t>
            </w:r>
            <w:r/>
          </w:p>
        </w:tc>
      </w:tr>
      <w:tr>
        <w:trPr/>
        <w:tc>
          <w:tcPr>
            <w:gridSpan w:val="2"/>
            <w:shd w:val="clear" w:fill="auto" w:color="auto"/>
            <w:tcW w:w="9752" w:type="dxa"/>
            <w:textDirection w:val="lrTb"/>
            <w:noWrap w:val="false"/>
          </w:tcPr>
          <w:p>
            <w:pPr>
              <w:pStyle w:val="1005"/>
              <w:ind w:left="57" w:right="57"/>
            </w:pPr>
            <w:r>
              <w:t xml:space="preserve">Группа полей «Коды»</w:t>
            </w:r>
            <w:r/>
          </w:p>
        </w:tc>
      </w:tr>
      <w:tr>
        <w:trPr/>
        <w:tc>
          <w:tcPr>
            <w:shd w:val="clear" w:fill="auto" w:color="auto"/>
            <w:tcW w:w="2337" w:type="dxa"/>
            <w:textDirection w:val="lrTb"/>
            <w:noWrap w:val="false"/>
          </w:tcPr>
          <w:p>
            <w:pPr>
              <w:pStyle w:val="1005"/>
              <w:ind w:left="57" w:right="57"/>
            </w:pPr>
            <w:r>
              <w:t xml:space="preserve">по Сводному реестру</w:t>
            </w:r>
            <w:r/>
          </w:p>
        </w:tc>
        <w:tc>
          <w:tcPr>
            <w:shd w:val="clear" w:fill="auto" w:color="auto"/>
            <w:tcW w:w="7415" w:type="dxa"/>
            <w:textDirection w:val="lrTb"/>
            <w:noWrap w:val="false"/>
          </w:tcPr>
          <w:p>
            <w:pPr>
              <w:pStyle w:val="1005"/>
              <w:ind w:left="57" w:right="57"/>
            </w:pPr>
            <w:r>
              <w:t xml:space="preserve">Код УБП-отправителя.</w:t>
            </w:r>
            <w:r/>
          </w:p>
          <w:p>
            <w:pPr>
              <w:pStyle w:val="1008"/>
              <w:numPr>
                <w:ilvl w:val="0"/>
                <w:numId w:val="63"/>
              </w:numPr>
            </w:pPr>
            <w:r>
              <w:t xml:space="preserve">«Код собственного БУ» (SelfBUCode) системной таблицы system_const, если «Признак перехода на СР» = 0 и бюджет = ФБ. </w:t>
            </w:r>
            <w:r/>
          </w:p>
          <w:p>
            <w:pPr>
              <w:pStyle w:val="1008"/>
            </w:pPr>
            <w:r>
              <w:t xml:space="preserve">«Код собственного БУ» (SelfBUCode) системной таблицы system_const, если Дата НПА не наступила и «Признак перехода на СР» = 1 и бюджет = ФБ. </w:t>
            </w:r>
            <w:r/>
          </w:p>
          <w:p>
            <w:pPr>
              <w:pStyle w:val="1008"/>
            </w:pPr>
            <w:r>
              <w:t xml:space="preserve">«Код собственного СР» (</w:t>
            </w:r>
            <w:r>
              <w:t xml:space="preserve">SelfSRCode (Код по СР)</w:t>
            </w:r>
            <w:r>
              <w:t xml:space="preserve">) системной таблицы system_const, если Дата НПА наступила и «Признак перехода на СР» = 1. </w:t>
            </w:r>
            <w:r/>
          </w:p>
          <w:p>
            <w:pPr>
              <w:pStyle w:val="1005"/>
              <w:ind w:left="57" w:right="57"/>
            </w:pPr>
            <w:r>
              <w:t xml:space="preserve">Может быть заполнено вручную. Поле ограничено на ввод (5 или 8 символов).</w:t>
            </w:r>
            <w:r/>
          </w:p>
          <w:p>
            <w:pPr>
              <w:pStyle w:val="1008"/>
              <w:numPr>
                <w:ilvl w:val="0"/>
                <w:numId w:val="64"/>
              </w:numPr>
            </w:pPr>
            <w:r>
              <w:t xml:space="preserve">До даты начала перехода на СР: доступны кнопки выбора из справочников:</w:t>
            </w:r>
            <w:r/>
          </w:p>
          <w:p>
            <w:pPr>
              <w:pStyle w:val="1007"/>
            </w:pPr>
            <w:r>
              <w:t xml:space="preserve">СРРПБС (если бюджет пустой или = ФБ); </w:t>
            </w:r>
            <w:r/>
          </w:p>
          <w:p>
            <w:pPr>
              <w:pStyle w:val="1007"/>
            </w:pPr>
            <w:r>
              <w:t xml:space="preserve">ПУБП (если бюджет указан и отличен от ФБ).</w:t>
            </w:r>
            <w:r/>
          </w:p>
          <w:p>
            <w:pPr>
              <w:pStyle w:val="1008"/>
            </w:pPr>
            <w:r>
              <w:t xml:space="preserve">До даты окончания перехода на СР: доступны кнопки выбора из справочников:</w:t>
            </w:r>
            <w:r/>
          </w:p>
          <w:p>
            <w:pPr>
              <w:pStyle w:val="1007"/>
            </w:pPr>
            <w:r>
              <w:t xml:space="preserve">СРРПБС (если бюджет пустой или = ФБ и Переход = 0); </w:t>
            </w:r>
            <w:r/>
          </w:p>
          <w:p>
            <w:pPr>
              <w:pStyle w:val="1007"/>
            </w:pPr>
            <w:r>
              <w:t xml:space="preserve">ПУБП (если бюджет указан и отличен от ФБ и Переход = 0);</w:t>
            </w:r>
            <w:r/>
          </w:p>
          <w:p>
            <w:pPr>
              <w:pStyle w:val="1007"/>
            </w:pPr>
            <w:r>
              <w:t xml:space="preserve">СР (Переход = 1).</w:t>
            </w:r>
            <w:r/>
          </w:p>
          <w:p>
            <w:pPr>
              <w:pStyle w:val="1008"/>
            </w:pPr>
            <w:r>
              <w:t xml:space="preserve">После даты окончания перехода на СР: доступна только кнопка выбора из СР.</w:t>
            </w:r>
            <w:r/>
          </w:p>
          <w:p>
            <w:pPr>
              <w:pStyle w:val="1005"/>
              <w:ind w:left="57" w:right="57"/>
            </w:pPr>
            <w:r>
              <w:t xml:space="preserve">До даты НПА:</w:t>
            </w:r>
            <w:r/>
          </w:p>
          <w:p>
            <w:pPr>
              <w:pStyle w:val="1008"/>
              <w:numPr>
                <w:ilvl w:val="0"/>
                <w:numId w:val="65"/>
              </w:numPr>
            </w:pPr>
            <w:r>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r/>
          </w:p>
          <w:p>
            <w:pPr>
              <w:pStyle w:val="1008"/>
            </w:pPr>
            <w:r>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w:t>
            </w:r>
            <w:r>
              <w:t xml:space="preserve">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r/>
          </w:p>
          <w:p>
            <w:pPr>
              <w:pStyle w:val="1005"/>
              <w:ind w:left="57" w:right="57"/>
            </w:pPr>
            <w:r>
              <w:t xml:space="preserve">После даты НПА:</w:t>
            </w:r>
            <w:r/>
          </w:p>
          <w:p>
            <w:pPr>
              <w:pStyle w:val="1008"/>
              <w:numPr>
                <w:ilvl w:val="0"/>
                <w:numId w:val="66"/>
              </w:numPr>
            </w:pPr>
            <w:r>
              <w:t xml:space="preserve">Может быть заполнено выбором из справочника: </w:t>
            </w:r>
            <w:r/>
          </w:p>
          <w:p>
            <w:pPr>
              <w:pStyle w:val="1007"/>
            </w:pPr>
            <w:r>
              <w:t xml:space="preserve">«СРРПБС» («Переход на СР» = 0) , если поле «Наименование бюджета» не заполнено или заполнено и указан ФБ;</w:t>
            </w:r>
            <w:r/>
          </w:p>
          <w:p>
            <w:pPr>
              <w:pStyle w:val="1007"/>
            </w:pPr>
            <w:r>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r/>
          </w:p>
          <w:p>
            <w:pPr>
              <w:pStyle w:val="1007"/>
            </w:pPr>
            <w:r>
              <w:t xml:space="preserve">СР, значением поля «Код организации по СР» («Переход на СР» = 1).</w:t>
            </w:r>
            <w:r/>
          </w:p>
        </w:tc>
      </w:tr>
      <w:tr>
        <w:trPr/>
        <w:tc>
          <w:tcPr>
            <w:shd w:val="clear" w:fill="auto" w:color="auto"/>
            <w:tcW w:w="2337" w:type="dxa"/>
            <w:textDirection w:val="lrTb"/>
            <w:noWrap w:val="false"/>
          </w:tcPr>
          <w:p>
            <w:pPr>
              <w:pStyle w:val="1005"/>
              <w:ind w:left="57" w:right="57"/>
            </w:pPr>
            <w:r>
              <w:t xml:space="preserve">П</w:t>
            </w:r>
            <w:r>
              <w:t xml:space="preserve">о Сводному реестру</w:t>
            </w:r>
            <w:r/>
          </w:p>
        </w:tc>
        <w:tc>
          <w:tcPr>
            <w:shd w:val="clear" w:fill="auto" w:color="auto"/>
            <w:tcW w:w="7415" w:type="dxa"/>
            <w:textDirection w:val="lrTb"/>
            <w:noWrap w:val="false"/>
          </w:tcPr>
          <w:p>
            <w:pPr>
              <w:pStyle w:val="1005"/>
              <w:ind w:left="57" w:right="57"/>
            </w:pPr>
            <w:r>
              <w:t xml:space="preserve">Код УБП-получателя.</w:t>
            </w:r>
            <w:r/>
          </w:p>
          <w:p>
            <w:pPr>
              <w:pStyle w:val="1005"/>
              <w:ind w:left="57" w:right="57"/>
            </w:pPr>
            <w:r>
              <w:t xml:space="preserve">Может быть заполнен вручную. Поле ограничено на ввод (5 или 8 символов).</w:t>
            </w:r>
            <w:r/>
          </w:p>
          <w:p>
            <w:pPr>
              <w:pStyle w:val="1008"/>
              <w:numPr>
                <w:ilvl w:val="0"/>
                <w:numId w:val="67"/>
              </w:numPr>
            </w:pPr>
            <w:r>
              <w:t xml:space="preserve">До даты начала перехода на СР: доступны кнопки выбора из справочников:</w:t>
            </w:r>
            <w:r/>
          </w:p>
          <w:p>
            <w:pPr>
              <w:pStyle w:val="1007"/>
            </w:pPr>
            <w:r>
              <w:t xml:space="preserve">СРРПБС (если бюджет пустой или = ФБ); </w:t>
            </w:r>
            <w:r/>
          </w:p>
          <w:p>
            <w:pPr>
              <w:pStyle w:val="1007"/>
            </w:pPr>
            <w:r>
              <w:t xml:space="preserve">ПУБП (если бюджет указан и отличен от ФБ).</w:t>
            </w:r>
            <w:r/>
          </w:p>
          <w:p>
            <w:pPr>
              <w:pStyle w:val="1008"/>
            </w:pPr>
            <w:r>
              <w:t xml:space="preserve">До даты окончания перехода на СР: доступны одновременно 2 кнопки выбора из справочников:</w:t>
            </w:r>
            <w:r/>
          </w:p>
          <w:p>
            <w:pPr>
              <w:pStyle w:val="1007"/>
            </w:pPr>
            <w:r>
              <w:t xml:space="preserve">СРРПБС (если бюджет пустой или = ФБ) и СР; </w:t>
            </w:r>
            <w:r/>
          </w:p>
          <w:p>
            <w:pPr>
              <w:pStyle w:val="1007"/>
            </w:pPr>
            <w:r>
              <w:t xml:space="preserve">ПУБП (если бюджет указан и отличен от ФБ) и СР.</w:t>
            </w:r>
            <w:r/>
          </w:p>
          <w:p>
            <w:pPr>
              <w:pStyle w:val="1008"/>
            </w:pPr>
            <w:r>
              <w:t xml:space="preserve">После даты окончания перехода на СР: доступна только кнопка выбора из СР.</w:t>
            </w:r>
            <w:r/>
          </w:p>
          <w:p>
            <w:pPr>
              <w:pStyle w:val="1005"/>
              <w:ind w:left="57" w:right="57"/>
            </w:pPr>
            <w:r>
              <w:t xml:space="preserve">До даты НПА:</w:t>
            </w:r>
            <w:r/>
          </w:p>
          <w:p>
            <w:pPr>
              <w:pStyle w:val="1008"/>
              <w:numPr>
                <w:ilvl w:val="0"/>
                <w:numId w:val="68"/>
              </w:numPr>
            </w:pPr>
            <w:r>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r/>
          </w:p>
          <w:p>
            <w:pPr>
              <w:pStyle w:val="1008"/>
            </w:pPr>
            <w:r>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w:t>
            </w:r>
            <w:r>
              <w:t xml:space="preserve">По коду по сводному реестру выбранной записи заполняется только наименование УБП поле «УБП, принимающий выплаты».</w:t>
            </w:r>
            <w:r/>
          </w:p>
          <w:p>
            <w:pPr>
              <w:pStyle w:val="1005"/>
              <w:ind w:left="57" w:right="57"/>
            </w:pPr>
            <w:r>
              <w:t xml:space="preserve">После даты НПА:</w:t>
            </w:r>
            <w:r/>
          </w:p>
          <w:p>
            <w:pPr>
              <w:pStyle w:val="1008"/>
              <w:numPr>
                <w:ilvl w:val="0"/>
                <w:numId w:val="69"/>
              </w:numPr>
            </w:pPr>
            <w:r>
              <w:t xml:space="preserve">Может быть заполнено выбором из справочника: </w:t>
            </w:r>
            <w:r/>
          </w:p>
          <w:p>
            <w:pPr>
              <w:pStyle w:val="1007"/>
            </w:pPr>
            <w:r>
              <w:t xml:space="preserve">«СРРПБС», если поле «Наименование бюджета» не заполнено или заполнено и указан ФБ;</w:t>
            </w:r>
            <w:r/>
          </w:p>
          <w:p>
            <w:pPr>
              <w:pStyle w:val="1007"/>
            </w:pPr>
            <w:r>
              <w:t xml:space="preserve">если поле «Наименование бюджета» заполнено и отлично от значения «Федеральный бюджет», то для выбора из справо</w:t>
            </w:r>
            <w:r>
              <w:t xml:space="preserve">чника необходимо привязать справочник «ПУБП», при этом в поле «Код по сводному 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r/>
          </w:p>
          <w:p>
            <w:pPr>
              <w:pStyle w:val="1007"/>
            </w:pPr>
            <w:r>
              <w:t xml:space="preserve">СР, значением поля «Код организации по СР».</w:t>
            </w:r>
            <w:r/>
          </w:p>
        </w:tc>
      </w:tr>
      <w:tr>
        <w:trPr/>
        <w:tc>
          <w:tcPr>
            <w:shd w:val="clear" w:fill="auto" w:color="auto"/>
            <w:tcW w:w="2337" w:type="dxa"/>
            <w:textDirection w:val="lrTb"/>
            <w:noWrap w:val="false"/>
          </w:tcPr>
          <w:p>
            <w:pPr>
              <w:pStyle w:val="1005"/>
              <w:ind w:left="57" w:right="57"/>
            </w:pPr>
            <w:r>
              <w:t xml:space="preserve">по КОФК</w:t>
            </w:r>
            <w:r/>
          </w:p>
        </w:tc>
        <w:tc>
          <w:tcPr>
            <w:shd w:val="clear" w:fill="auto" w:color="auto"/>
            <w:tcW w:w="7415" w:type="dxa"/>
            <w:textDirection w:val="lrTb"/>
            <w:noWrap w:val="false"/>
          </w:tcPr>
          <w:p>
            <w:pPr>
              <w:pStyle w:val="1005"/>
              <w:ind w:left="57" w:right="57"/>
            </w:pPr>
            <w:r>
              <w:t xml:space="preserve">КОФК отправителя.</w:t>
            </w:r>
            <w:r/>
          </w:p>
          <w:p>
            <w:pPr>
              <w:pStyle w:val="1005"/>
              <w:ind w:left="57" w:right="57"/>
            </w:pPr>
            <w:r>
              <w:t xml:space="preserve">На АРМ ФО: проверяется значение константы</w:t>
            </w:r>
            <w:r>
              <w:t xml:space="preserve"> </w:t>
            </w:r>
            <w:r>
              <w:t xml:space="preserve">код собственного ТОФК:</w:t>
            </w:r>
            <w:r/>
          </w:p>
          <w:p>
            <w:pPr>
              <w:pStyle w:val="1007"/>
            </w:pPr>
            <w:r>
              <w:t xml:space="preserve">если оно равно ххуу, то по умолчанию проставляется значение константы код вышестоящего ТОФК равный хх00; </w:t>
            </w:r>
            <w:r/>
          </w:p>
          <w:p>
            <w:pPr>
              <w:pStyle w:val="1007"/>
            </w:pPr>
            <w:r>
              <w:t xml:space="preserve">если равна хх00, то по умолчанию проставляется значение код собственного ТОФК. </w:t>
            </w:r>
            <w:r/>
          </w:p>
          <w:p>
            <w:pPr>
              <w:pStyle w:val="1005"/>
              <w:ind w:left="57" w:right="57"/>
            </w:pPr>
            <w:r>
              <w:t xml:space="preserve">Может быть отредактировано вручную или из Справочника органов Федерального казначейства. Поле ограничено на ввод (4 символов).</w:t>
            </w:r>
            <w:r/>
          </w:p>
        </w:tc>
      </w:tr>
      <w:tr>
        <w:trPr/>
        <w:tc>
          <w:tcPr>
            <w:shd w:val="clear" w:fill="auto" w:color="auto"/>
            <w:tcW w:w="2337" w:type="dxa"/>
            <w:textDirection w:val="lrTb"/>
            <w:noWrap w:val="false"/>
          </w:tcPr>
          <w:p>
            <w:pPr>
              <w:pStyle w:val="1005"/>
              <w:ind w:left="57" w:right="57"/>
            </w:pPr>
            <w:r>
              <w:t xml:space="preserve">П</w:t>
            </w:r>
            <w:r>
              <w:t xml:space="preserve">о КОФК</w:t>
            </w:r>
            <w:r/>
          </w:p>
        </w:tc>
        <w:tc>
          <w:tcPr>
            <w:shd w:val="clear" w:fill="auto" w:color="auto"/>
            <w:tcW w:w="7415" w:type="dxa"/>
            <w:textDirection w:val="lrTb"/>
            <w:noWrap w:val="false"/>
          </w:tcPr>
          <w:p>
            <w:pPr>
              <w:pStyle w:val="1005"/>
              <w:ind w:left="57" w:right="57"/>
            </w:pPr>
            <w:r>
              <w:t xml:space="preserve">КОФК получателя.</w:t>
            </w:r>
            <w:r/>
          </w:p>
          <w:p>
            <w:pPr>
              <w:pStyle w:val="1005"/>
              <w:ind w:left="57" w:right="57"/>
            </w:pPr>
            <w:r>
              <w:t xml:space="preserve">Заполняется вручную или из Справочника органов Федерального казначейства. Поле ограничено на ввод (4 символов).</w:t>
            </w:r>
            <w:r/>
          </w:p>
        </w:tc>
      </w:tr>
      <w:tr>
        <w:trPr/>
        <w:tc>
          <w:tcPr>
            <w:shd w:val="clear" w:fill="auto" w:color="auto"/>
            <w:tcW w:w="2337" w:type="dxa"/>
            <w:textDirection w:val="lrTb"/>
            <w:noWrap w:val="false"/>
          </w:tcPr>
          <w:p>
            <w:pPr>
              <w:pStyle w:val="1005"/>
              <w:ind w:left="57" w:right="57"/>
            </w:pPr>
            <w:r>
              <w:t xml:space="preserve">Номер ЛС </w:t>
            </w:r>
            <w:r>
              <w:rPr>
                <w:rStyle w:val="1400"/>
              </w:rPr>
              <w:t xml:space="preserve">принимающ.</w:t>
            </w:r>
            <w:r/>
          </w:p>
        </w:tc>
        <w:tc>
          <w:tcPr>
            <w:shd w:val="clear" w:fill="auto" w:color="auto"/>
            <w:tcW w:w="7415" w:type="dxa"/>
            <w:textDirection w:val="lrTb"/>
            <w:noWrap w:val="false"/>
          </w:tcPr>
          <w:p>
            <w:pPr>
              <w:pStyle w:val="1005"/>
              <w:ind w:left="57" w:right="57"/>
            </w:pPr>
            <w:r>
              <w:t xml:space="preserve">Выбор из справочника «Информация из л/с»</w:t>
            </w:r>
            <w:r>
              <w:t xml:space="preserve">.</w:t>
            </w:r>
            <w:r/>
          </w:p>
          <w:p>
            <w:pPr>
              <w:pStyle w:val="1005"/>
              <w:ind w:left="57" w:right="57"/>
            </w:pPr>
            <w:r>
              <w:t xml:space="preserve">По значению поля определяется сегмент секретности получателя. Если поле заполнено, </w:t>
            </w:r>
            <w:r>
              <w:t xml:space="preserve">есть </w:t>
            </w:r>
            <w:r>
              <w:t xml:space="preserve">номер л/с в справочнике и у него контур = 2, то в маску получателя пишется = S.E, иначе – N.E.</w:t>
            </w:r>
            <w:r/>
          </w:p>
        </w:tc>
      </w:tr>
      <w:tr>
        <w:trPr/>
        <w:tc>
          <w:tcPr>
            <w:gridSpan w:val="2"/>
            <w:shd w:val="clear" w:fill="auto" w:color="auto"/>
            <w:tcW w:w="9752" w:type="dxa"/>
            <w:textDirection w:val="lrTb"/>
            <w:noWrap w:val="false"/>
          </w:tcPr>
          <w:p>
            <w:pPr>
              <w:pStyle w:val="1005"/>
              <w:ind w:left="57" w:right="57"/>
            </w:pPr>
            <w:r>
              <w:t xml:space="preserve">Группа полей «Реквизиты документа-основания»</w:t>
            </w:r>
            <w:r/>
          </w:p>
        </w:tc>
      </w:tr>
      <w:tr>
        <w:trPr/>
        <w:tc>
          <w:tcPr>
            <w:shd w:val="clear" w:fill="auto" w:color="auto"/>
            <w:tcW w:w="2337" w:type="dxa"/>
            <w:textDirection w:val="lrTb"/>
            <w:noWrap w:val="false"/>
          </w:tcPr>
          <w:p>
            <w:pPr>
              <w:pStyle w:val="1005"/>
              <w:ind w:left="57" w:right="57"/>
            </w:pPr>
            <w:r>
              <w:t xml:space="preserve">Учетный номер БО</w:t>
            </w:r>
            <w:r/>
          </w:p>
        </w:tc>
        <w:tc>
          <w:tcPr>
            <w:shd w:val="clear" w:fill="auto" w:color="auto"/>
            <w:tcW w:w="7415" w:type="dxa"/>
            <w:textDirection w:val="lrTb"/>
            <w:noWrap w:val="false"/>
          </w:tcPr>
          <w:p>
            <w:pPr>
              <w:pStyle w:val="1005"/>
              <w:ind w:left="57" w:right="57"/>
            </w:pPr>
            <w:r>
              <w:t xml:space="preserve">Учетный номер БО.</w:t>
            </w:r>
            <w:r/>
          </w:p>
          <w:p>
            <w:pPr>
              <w:pStyle w:val="1005"/>
              <w:ind w:left="57" w:right="57"/>
            </w:pPr>
            <w:r>
              <w:t xml:space="preserve">Поле заполняется вручную.</w:t>
            </w:r>
            <w:r/>
          </w:p>
        </w:tc>
      </w:tr>
      <w:tr>
        <w:trPr/>
        <w:tc>
          <w:tcPr>
            <w:shd w:val="clear" w:fill="auto" w:color="auto"/>
            <w:tcW w:w="2337" w:type="dxa"/>
            <w:textDirection w:val="lrTb"/>
            <w:noWrap w:val="false"/>
          </w:tcPr>
          <w:p>
            <w:pPr>
              <w:pStyle w:val="1005"/>
              <w:ind w:left="57" w:right="57"/>
            </w:pPr>
            <w:r>
              <w:t xml:space="preserve">Вид</w:t>
            </w:r>
            <w:r/>
          </w:p>
        </w:tc>
        <w:tc>
          <w:tcPr>
            <w:shd w:val="clear" w:fill="auto" w:color="auto"/>
            <w:tcW w:w="7415" w:type="dxa"/>
            <w:textDirection w:val="lrTb"/>
            <w:noWrap w:val="false"/>
          </w:tcPr>
          <w:p>
            <w:pPr>
              <w:pStyle w:val="1005"/>
              <w:ind w:left="57" w:right="57"/>
            </w:pPr>
            <w:r>
              <w:t xml:space="preserve">Тип документа-основания.</w:t>
            </w:r>
            <w:r/>
          </w:p>
          <w:p>
            <w:pPr>
              <w:pStyle w:val="1005"/>
              <w:ind w:left="57" w:right="57"/>
            </w:pPr>
            <w:r>
              <w:t xml:space="preserve">По умолчанию – пустое значение. </w:t>
            </w:r>
            <w:r/>
          </w:p>
          <w:p>
            <w:pPr>
              <w:pStyle w:val="1005"/>
              <w:ind w:left="57" w:right="57"/>
            </w:pPr>
            <w:r>
              <w:t xml:space="preserve">Поле недоступно для ручного ввода и редактирования.</w:t>
            </w:r>
            <w:r/>
          </w:p>
        </w:tc>
      </w:tr>
      <w:tr>
        <w:trPr/>
        <w:tc>
          <w:tcPr>
            <w:shd w:val="clear" w:fill="auto" w:color="auto"/>
            <w:tcW w:w="2337" w:type="dxa"/>
            <w:textDirection w:val="lrTb"/>
            <w:noWrap w:val="false"/>
          </w:tcPr>
          <w:p>
            <w:pPr>
              <w:pStyle w:val="1005"/>
              <w:ind w:left="57" w:right="57"/>
            </w:pPr>
            <w:r>
              <w:t xml:space="preserve">Номер</w:t>
            </w:r>
            <w:r/>
          </w:p>
        </w:tc>
        <w:tc>
          <w:tcPr>
            <w:shd w:val="clear" w:fill="auto" w:color="auto"/>
            <w:tcW w:w="7415" w:type="dxa"/>
            <w:textDirection w:val="lrTb"/>
            <w:noWrap w:val="false"/>
          </w:tcPr>
          <w:p>
            <w:pPr>
              <w:pStyle w:val="1005"/>
              <w:ind w:left="57" w:right="57"/>
            </w:pPr>
            <w:r>
              <w:t xml:space="preserve">Номер документа-основания.</w:t>
            </w:r>
            <w:r/>
          </w:p>
          <w:p>
            <w:pPr>
              <w:pStyle w:val="1005"/>
              <w:ind w:left="57" w:right="57"/>
            </w:pPr>
            <w:r>
              <w:t xml:space="preserve">Поле заполняется вручную.</w:t>
            </w:r>
            <w:r/>
          </w:p>
        </w:tc>
      </w:tr>
      <w:tr>
        <w:trPr/>
        <w:tc>
          <w:tcPr>
            <w:shd w:val="clear" w:fill="auto" w:color="auto"/>
            <w:tcW w:w="2337" w:type="dxa"/>
            <w:textDirection w:val="lrTb"/>
            <w:noWrap w:val="false"/>
          </w:tcPr>
          <w:p>
            <w:pPr>
              <w:pStyle w:val="1005"/>
              <w:ind w:left="57" w:right="57"/>
            </w:pPr>
            <w:r>
              <w:t xml:space="preserve">Дата</w:t>
            </w:r>
            <w:r/>
          </w:p>
        </w:tc>
        <w:tc>
          <w:tcPr>
            <w:shd w:val="clear" w:fill="auto" w:color="auto"/>
            <w:tcW w:w="7415" w:type="dxa"/>
            <w:textDirection w:val="lrTb"/>
            <w:noWrap w:val="false"/>
          </w:tcPr>
          <w:p>
            <w:pPr>
              <w:pStyle w:val="1005"/>
              <w:ind w:left="57" w:right="57"/>
            </w:pPr>
            <w:r>
              <w:t xml:space="preserve">Дата документа-основания.</w:t>
            </w:r>
            <w:r/>
          </w:p>
          <w:p>
            <w:pPr>
              <w:pStyle w:val="1005"/>
              <w:ind w:left="57" w:right="57"/>
            </w:pPr>
            <w:r>
              <w:t xml:space="preserve">Поле заполняется вручную или выбирается из системного календаря.</w:t>
            </w:r>
            <w:r/>
          </w:p>
        </w:tc>
      </w:tr>
      <w:tr>
        <w:trPr/>
        <w:tc>
          <w:tcPr>
            <w:shd w:val="clear" w:fill="auto" w:color="auto"/>
            <w:tcW w:w="2337" w:type="dxa"/>
            <w:textDirection w:val="lrTb"/>
            <w:noWrap w:val="false"/>
          </w:tcPr>
          <w:p>
            <w:pPr>
              <w:pStyle w:val="1005"/>
              <w:ind w:left="57" w:right="57"/>
            </w:pPr>
            <w:r>
              <w:t xml:space="preserve">Дата начала действия</w:t>
            </w:r>
            <w:r/>
          </w:p>
        </w:tc>
        <w:tc>
          <w:tcPr>
            <w:shd w:val="clear" w:fill="auto" w:color="auto"/>
            <w:tcW w:w="7415" w:type="dxa"/>
            <w:textDirection w:val="lrTb"/>
            <w:noWrap w:val="false"/>
          </w:tcPr>
          <w:p>
            <w:pPr>
              <w:pStyle w:val="1005"/>
              <w:ind w:left="57" w:right="57"/>
            </w:pPr>
            <w:r>
              <w:t xml:space="preserve">Дата начала действия БО.</w:t>
            </w:r>
            <w:r/>
          </w:p>
          <w:p>
            <w:pPr>
              <w:pStyle w:val="1005"/>
              <w:ind w:left="57" w:right="57"/>
            </w:pPr>
            <w:r>
              <w:t xml:space="preserve">По умолчанию – пустое значение. Поле недоступно для ручного ввода и редактирования.</w:t>
            </w:r>
            <w:r/>
          </w:p>
        </w:tc>
      </w:tr>
      <w:tr>
        <w:trPr/>
        <w:tc>
          <w:tcPr>
            <w:shd w:val="clear" w:fill="auto" w:color="auto"/>
            <w:tcW w:w="2337" w:type="dxa"/>
            <w:textDirection w:val="lrTb"/>
            <w:noWrap w:val="false"/>
          </w:tcPr>
          <w:p>
            <w:pPr>
              <w:pStyle w:val="1005"/>
              <w:ind w:left="57" w:right="57"/>
            </w:pPr>
            <w:r>
              <w:t xml:space="preserve">Дата окончания действия</w:t>
            </w:r>
            <w:r/>
          </w:p>
        </w:tc>
        <w:tc>
          <w:tcPr>
            <w:shd w:val="clear" w:fill="auto" w:color="auto"/>
            <w:tcW w:w="7415" w:type="dxa"/>
            <w:textDirection w:val="lrTb"/>
            <w:noWrap w:val="false"/>
          </w:tcPr>
          <w:p>
            <w:pPr>
              <w:pStyle w:val="1005"/>
              <w:ind w:left="57" w:right="57"/>
            </w:pPr>
            <w:r>
              <w:t xml:space="preserve">Дата окончания действия БО.</w:t>
            </w:r>
            <w:r/>
          </w:p>
          <w:p>
            <w:pPr>
              <w:pStyle w:val="1005"/>
              <w:ind w:left="57" w:right="57"/>
            </w:pPr>
            <w:r>
              <w:t xml:space="preserve">По умолчанию – пустое значение. Поле недоступно для ручного ввода и редактирования.</w:t>
            </w:r>
            <w:r/>
          </w:p>
        </w:tc>
      </w:tr>
      <w:tr>
        <w:trPr/>
        <w:tc>
          <w:tcPr>
            <w:shd w:val="clear" w:fill="auto" w:color="auto"/>
            <w:tcW w:w="2337" w:type="dxa"/>
            <w:textDirection w:val="lrTb"/>
            <w:noWrap w:val="false"/>
          </w:tcPr>
          <w:p>
            <w:pPr>
              <w:pStyle w:val="1005"/>
              <w:ind w:left="57" w:right="57"/>
            </w:pPr>
            <w:r>
              <w:t xml:space="preserve">Сумма</w:t>
            </w:r>
            <w:r/>
          </w:p>
        </w:tc>
        <w:tc>
          <w:tcPr>
            <w:shd w:val="clear" w:fill="auto" w:color="auto"/>
            <w:tcW w:w="7415" w:type="dxa"/>
            <w:textDirection w:val="lrTb"/>
            <w:noWrap w:val="false"/>
          </w:tcPr>
          <w:p>
            <w:pPr>
              <w:pStyle w:val="1005"/>
              <w:ind w:left="57" w:right="57"/>
            </w:pPr>
            <w:r>
              <w:t xml:space="preserve">Поле заполняется вручную.</w:t>
            </w:r>
            <w:r/>
          </w:p>
        </w:tc>
      </w:tr>
      <w:tr>
        <w:trPr/>
        <w:tc>
          <w:tcPr>
            <w:gridSpan w:val="2"/>
            <w:shd w:val="clear" w:fill="auto" w:color="auto"/>
            <w:tcW w:w="9752" w:type="dxa"/>
            <w:textDirection w:val="lrTb"/>
            <w:noWrap w:val="false"/>
          </w:tcPr>
          <w:p>
            <w:pPr>
              <w:pStyle w:val="1005"/>
              <w:ind w:left="57" w:right="57"/>
            </w:pPr>
            <w:r>
              <w:t xml:space="preserve">Группа полей «Бюджетные обязательства» (является вложенной таблицей для строки табличного блока «Реквизиты документа-основания»)</w:t>
            </w:r>
            <w:r/>
          </w:p>
        </w:tc>
      </w:tr>
      <w:tr>
        <w:trPr/>
        <w:tc>
          <w:tcPr>
            <w:shd w:val="clear" w:fill="auto" w:color="auto"/>
            <w:tcW w:w="2337" w:type="dxa"/>
            <w:textDirection w:val="lrTb"/>
            <w:noWrap w:val="false"/>
          </w:tcPr>
          <w:p>
            <w:pPr>
              <w:pStyle w:val="1005"/>
              <w:ind w:left="57" w:right="57"/>
            </w:pPr>
            <w:r>
              <w:t xml:space="preserve">Порядковый номер строки</w:t>
            </w:r>
            <w:r/>
          </w:p>
        </w:tc>
        <w:tc>
          <w:tcPr>
            <w:shd w:val="clear" w:fill="auto" w:color="auto"/>
            <w:tcW w:w="7415" w:type="dxa"/>
            <w:textDirection w:val="lrTb"/>
            <w:noWrap w:val="false"/>
          </w:tcPr>
          <w:p>
            <w:pPr>
              <w:pStyle w:val="1005"/>
              <w:ind w:left="57" w:right="57"/>
            </w:pPr>
            <w:r>
              <w:t xml:space="preserve">Автозаполнение.</w:t>
            </w:r>
            <w:r/>
          </w:p>
        </w:tc>
      </w:tr>
      <w:tr>
        <w:trPr/>
        <w:tc>
          <w:tcPr>
            <w:shd w:val="clear" w:fill="auto" w:color="auto"/>
            <w:tcW w:w="2337" w:type="dxa"/>
            <w:textDirection w:val="lrTb"/>
            <w:noWrap w:val="false"/>
          </w:tcPr>
          <w:p>
            <w:pPr>
              <w:pStyle w:val="1005"/>
              <w:ind w:left="57" w:right="57"/>
            </w:pPr>
            <w:r>
              <w:t xml:space="preserve">Наименование объекта ФАИП</w:t>
            </w:r>
            <w:r/>
          </w:p>
        </w:tc>
        <w:tc>
          <w:tcPr>
            <w:shd w:val="clear" w:fill="auto" w:color="auto"/>
            <w:tcW w:w="7415" w:type="dxa"/>
            <w:textDirection w:val="lrTb"/>
            <w:noWrap w:val="false"/>
          </w:tcPr>
          <w:p>
            <w:pPr>
              <w:pStyle w:val="1005"/>
              <w:ind w:left="57" w:right="57"/>
            </w:pPr>
            <w:r>
              <w:t xml:space="preserve">Наименование объекта ФАИП.</w:t>
            </w:r>
            <w:r/>
          </w:p>
          <w:p>
            <w:pPr>
              <w:pStyle w:val="1005"/>
              <w:ind w:left="57" w:right="57"/>
            </w:pPr>
            <w:r>
              <w:t xml:space="preserve">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r/>
          </w:p>
        </w:tc>
      </w:tr>
      <w:tr>
        <w:trPr/>
        <w:tc>
          <w:tcPr>
            <w:shd w:val="clear" w:fill="auto" w:color="auto"/>
            <w:tcW w:w="2337" w:type="dxa"/>
            <w:textDirection w:val="lrTb"/>
            <w:noWrap w:val="false"/>
          </w:tcPr>
          <w:p>
            <w:pPr>
              <w:pStyle w:val="1005"/>
              <w:ind w:left="57" w:right="57"/>
            </w:pPr>
            <w:r>
              <w:t xml:space="preserve">Код объекта ФАИП</w:t>
            </w:r>
            <w:r/>
          </w:p>
        </w:tc>
        <w:tc>
          <w:tcPr>
            <w:shd w:val="clear" w:fill="auto" w:color="auto"/>
            <w:tcW w:w="7415" w:type="dxa"/>
            <w:textDirection w:val="lrTb"/>
            <w:noWrap w:val="false"/>
          </w:tcPr>
          <w:p>
            <w:pPr>
              <w:pStyle w:val="1005"/>
              <w:ind w:left="57" w:right="57"/>
            </w:pPr>
            <w:r>
              <w:t xml:space="preserve">Значение поля заполняется вручную или из справочника «Федеральная адресная инвестиционная программа». </w:t>
            </w:r>
            <w:r/>
          </w:p>
        </w:tc>
      </w:tr>
      <w:tr>
        <w:trPr/>
        <w:tc>
          <w:tcPr>
            <w:shd w:val="clear" w:fill="auto" w:color="auto"/>
            <w:tcW w:w="2337" w:type="dxa"/>
            <w:textDirection w:val="lrTb"/>
            <w:noWrap w:val="false"/>
          </w:tcPr>
          <w:p>
            <w:pPr>
              <w:pStyle w:val="1005"/>
              <w:ind w:left="57" w:right="57"/>
            </w:pPr>
            <w:r>
              <w:t xml:space="preserve">КБК передающего</w:t>
            </w:r>
            <w:r/>
          </w:p>
        </w:tc>
        <w:tc>
          <w:tcPr>
            <w:shd w:val="clear" w:fill="auto" w:color="auto"/>
            <w:tcW w:w="7415" w:type="dxa"/>
            <w:textDirection w:val="lrTb"/>
            <w:noWrap w:val="false"/>
          </w:tcPr>
          <w:p>
            <w:pPr>
              <w:pStyle w:val="1005"/>
              <w:ind w:left="57" w:right="57"/>
            </w:pPr>
            <w:r>
              <w:t xml:space="preserve">КБК УБП-отправителя.</w:t>
            </w:r>
            <w:r/>
          </w:p>
          <w:p>
            <w:pPr>
              <w:pStyle w:val="1005"/>
              <w:ind w:left="57" w:right="57"/>
            </w:pPr>
            <w:r>
              <w:t xml:space="preserve">Значение вводится вручную или выбирается из справочника КБК. </w:t>
            </w:r>
            <w:r/>
          </w:p>
          <w:p>
            <w:pPr>
              <w:pStyle w:val="1005"/>
              <w:ind w:left="57" w:right="57"/>
            </w:pPr>
            <w:r>
              <w:t xml:space="preserve">Д</w:t>
            </w:r>
            <w:r>
              <w:t xml:space="preserve">оступны КБК</w:t>
            </w:r>
            <w:r>
              <w:t xml:space="preserve">,</w:t>
            </w:r>
            <w:r>
              <w:t xml:space="preserve"> у которых значение типа – «10», «11», «12».</w:t>
            </w:r>
            <w:r/>
          </w:p>
        </w:tc>
      </w:tr>
      <w:tr>
        <w:trPr/>
        <w:tc>
          <w:tcPr>
            <w:shd w:val="clear" w:fill="auto" w:color="auto"/>
            <w:tcW w:w="2337" w:type="dxa"/>
            <w:textDirection w:val="lrTb"/>
            <w:noWrap w:val="false"/>
          </w:tcPr>
          <w:p>
            <w:pPr>
              <w:pStyle w:val="1005"/>
              <w:ind w:left="57" w:right="57"/>
            </w:pPr>
            <w:r>
              <w:t xml:space="preserve">КБК принимающего</w:t>
            </w:r>
            <w:r/>
          </w:p>
        </w:tc>
        <w:tc>
          <w:tcPr>
            <w:shd w:val="clear" w:fill="auto" w:color="auto"/>
            <w:tcW w:w="7415" w:type="dxa"/>
            <w:textDirection w:val="lrTb"/>
            <w:noWrap w:val="false"/>
          </w:tcPr>
          <w:p>
            <w:pPr>
              <w:pStyle w:val="1005"/>
              <w:ind w:left="57" w:right="57"/>
            </w:pPr>
            <w:r>
              <w:t xml:space="preserve">КБК УБП-получателя.</w:t>
            </w:r>
            <w:r/>
          </w:p>
          <w:p>
            <w:pPr>
              <w:pStyle w:val="1005"/>
              <w:ind w:left="57" w:right="57"/>
            </w:pPr>
            <w:r>
              <w:t xml:space="preserve">Значение вводится вручную или выбирается из справочника КБК. </w:t>
            </w:r>
            <w:r/>
          </w:p>
          <w:p>
            <w:pPr>
              <w:pStyle w:val="1005"/>
              <w:ind w:left="57" w:right="57"/>
            </w:pPr>
            <w:r>
              <w:t xml:space="preserve">Д</w:t>
            </w:r>
            <w:r>
              <w:t xml:space="preserve">оступны КБК</w:t>
            </w:r>
            <w:r>
              <w:t xml:space="preserve">,</w:t>
            </w:r>
            <w:r>
              <w:t xml:space="preserve"> у которых значение типа – «10», «11», «12».</w:t>
            </w:r>
            <w:r/>
          </w:p>
        </w:tc>
      </w:tr>
      <w:tr>
        <w:trPr/>
        <w:tc>
          <w:tcPr>
            <w:shd w:val="clear" w:fill="auto" w:color="auto"/>
            <w:tcW w:w="2337" w:type="dxa"/>
            <w:textDirection w:val="lrTb"/>
            <w:noWrap w:val="false"/>
          </w:tcPr>
          <w:p>
            <w:pPr>
              <w:pStyle w:val="1005"/>
              <w:ind w:left="57" w:right="57"/>
            </w:pPr>
            <w:r>
              <w:t xml:space="preserve">Вид средств</w:t>
            </w:r>
            <w:r/>
          </w:p>
        </w:tc>
        <w:tc>
          <w:tcPr>
            <w:shd w:val="clear" w:fill="auto" w:color="auto"/>
            <w:tcW w:w="7415" w:type="dxa"/>
            <w:textDirection w:val="lrTb"/>
            <w:noWrap w:val="false"/>
          </w:tcPr>
          <w:p>
            <w:pPr>
              <w:pStyle w:val="1005"/>
              <w:ind w:left="57" w:right="57"/>
            </w:pPr>
            <w:r>
              <w:t xml:space="preserve">Поле заполняется вручную или выбирается из справочника «Источники финансирования» (наименование).</w:t>
            </w:r>
            <w:r/>
          </w:p>
        </w:tc>
      </w:tr>
      <w:tr>
        <w:trPr/>
        <w:tc>
          <w:tcPr>
            <w:shd w:val="clear" w:fill="auto" w:color="auto"/>
            <w:tcW w:w="2337" w:type="dxa"/>
            <w:textDirection w:val="lrTb"/>
            <w:noWrap w:val="false"/>
          </w:tcPr>
          <w:p>
            <w:pPr>
              <w:pStyle w:val="1005"/>
              <w:ind w:left="57" w:right="57"/>
            </w:pPr>
            <w:r>
              <w:t xml:space="preserve">Учтено</w:t>
            </w:r>
            <w:r/>
          </w:p>
        </w:tc>
        <w:tc>
          <w:tcPr>
            <w:shd w:val="clear" w:fill="auto" w:color="auto"/>
            <w:tcW w:w="7415" w:type="dxa"/>
            <w:textDirection w:val="lrTb"/>
            <w:noWrap w:val="false"/>
          </w:tcPr>
          <w:p>
            <w:pPr>
              <w:pStyle w:val="1005"/>
              <w:ind w:left="57" w:right="57"/>
            </w:pPr>
            <w:r>
              <w:t xml:space="preserve">Сумма учтенных средств по принятым на учет БО.</w:t>
            </w:r>
            <w:r/>
          </w:p>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w:t>
            </w:r>
            <w:r/>
          </w:p>
        </w:tc>
      </w:tr>
      <w:tr>
        <w:trPr/>
        <w:tc>
          <w:tcPr>
            <w:shd w:val="clear" w:fill="auto" w:color="auto"/>
            <w:tcW w:w="2337" w:type="dxa"/>
            <w:textDirection w:val="lrTb"/>
            <w:noWrap w:val="false"/>
          </w:tcPr>
          <w:p>
            <w:pPr>
              <w:pStyle w:val="1005"/>
              <w:ind w:left="57" w:right="57"/>
            </w:pPr>
            <w:r>
              <w:t xml:space="preserve">Исполн.</w:t>
            </w:r>
            <w:r/>
          </w:p>
        </w:tc>
        <w:tc>
          <w:tcPr>
            <w:shd w:val="clear" w:fill="auto" w:color="auto"/>
            <w:tcW w:w="7415" w:type="dxa"/>
            <w:textDirection w:val="lrTb"/>
            <w:noWrap w:val="false"/>
          </w:tcPr>
          <w:p>
            <w:pPr>
              <w:pStyle w:val="1005"/>
              <w:ind w:left="57" w:right="57"/>
            </w:pPr>
            <w:r>
              <w:t xml:space="preserve">Сумма исполненных БО.</w:t>
            </w:r>
            <w:r/>
          </w:p>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w:t>
            </w:r>
            <w:r/>
          </w:p>
        </w:tc>
      </w:tr>
      <w:tr>
        <w:trPr/>
        <w:tc>
          <w:tcPr>
            <w:shd w:val="clear" w:fill="auto" w:color="auto"/>
            <w:tcW w:w="2337" w:type="dxa"/>
            <w:textDirection w:val="lrTb"/>
            <w:noWrap w:val="false"/>
          </w:tcPr>
          <w:p>
            <w:pPr>
              <w:pStyle w:val="1005"/>
              <w:ind w:left="57" w:right="57"/>
            </w:pPr>
            <w:r>
              <w:t xml:space="preserve">Сумма 1 год</w:t>
            </w:r>
            <w:r/>
          </w:p>
        </w:tc>
        <w:tc>
          <w:tcPr>
            <w:shd w:val="clear" w:fill="auto" w:color="auto"/>
            <w:tcW w:w="7415" w:type="dxa"/>
            <w:textDirection w:val="lrTb"/>
            <w:noWrap w:val="false"/>
          </w:tcPr>
          <w:p>
            <w:pPr>
              <w:pStyle w:val="1005"/>
              <w:ind w:left="57" w:right="57"/>
            </w:pPr>
            <w:r>
              <w:t xml:space="preserve">Сумма БО на 1 год планового периода.</w:t>
            </w:r>
            <w:r/>
          </w:p>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w:t>
            </w:r>
            <w:r/>
          </w:p>
        </w:tc>
      </w:tr>
      <w:tr>
        <w:trPr/>
        <w:tc>
          <w:tcPr>
            <w:shd w:val="clear" w:fill="auto" w:color="auto"/>
            <w:tcW w:w="2337" w:type="dxa"/>
            <w:textDirection w:val="lrTb"/>
            <w:noWrap w:val="false"/>
          </w:tcPr>
          <w:p>
            <w:pPr>
              <w:pStyle w:val="1005"/>
              <w:ind w:left="57" w:right="57"/>
            </w:pPr>
            <w:r>
              <w:t xml:space="preserve">Сумма 2 год</w:t>
            </w:r>
            <w:r/>
          </w:p>
        </w:tc>
        <w:tc>
          <w:tcPr>
            <w:shd w:val="clear" w:fill="auto" w:color="auto"/>
            <w:tcW w:w="7415" w:type="dxa"/>
            <w:textDirection w:val="lrTb"/>
            <w:noWrap w:val="false"/>
          </w:tcPr>
          <w:p>
            <w:pPr>
              <w:pStyle w:val="1005"/>
              <w:ind w:left="57" w:right="57"/>
            </w:pPr>
            <w:r>
              <w:t xml:space="preserve">Сумма БО на 2 год планового периода.</w:t>
            </w:r>
            <w:r/>
          </w:p>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w:t>
            </w:r>
            <w:r/>
          </w:p>
        </w:tc>
      </w:tr>
      <w:tr>
        <w:trPr/>
        <w:tc>
          <w:tcPr>
            <w:shd w:val="clear" w:fill="auto" w:color="auto"/>
            <w:tcW w:w="2337" w:type="dxa"/>
            <w:textDirection w:val="lrTb"/>
            <w:noWrap w:val="false"/>
          </w:tcPr>
          <w:p>
            <w:pPr>
              <w:pStyle w:val="1005"/>
              <w:ind w:left="57" w:right="57"/>
            </w:pPr>
            <w:r>
              <w:t xml:space="preserve">Сумма 3 год</w:t>
            </w:r>
            <w:r/>
          </w:p>
        </w:tc>
        <w:tc>
          <w:tcPr>
            <w:shd w:val="clear" w:fill="auto" w:color="auto"/>
            <w:tcW w:w="7415" w:type="dxa"/>
            <w:textDirection w:val="lrTb"/>
            <w:noWrap w:val="false"/>
          </w:tcPr>
          <w:p>
            <w:pPr>
              <w:pStyle w:val="1005"/>
              <w:ind w:left="57" w:right="57"/>
            </w:pPr>
            <w:r>
              <w:t xml:space="preserve">Сумма БО на 3 год планового периода.</w:t>
            </w:r>
            <w:r/>
          </w:p>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w:t>
            </w:r>
            <w:r/>
          </w:p>
        </w:tc>
      </w:tr>
      <w:tr>
        <w:trPr/>
        <w:tc>
          <w:tcPr>
            <w:shd w:val="clear" w:fill="auto" w:color="auto"/>
            <w:tcW w:w="2337" w:type="dxa"/>
            <w:textDirection w:val="lrTb"/>
            <w:noWrap w:val="false"/>
          </w:tcPr>
          <w:p>
            <w:pPr>
              <w:pStyle w:val="1005"/>
              <w:ind w:left="57" w:right="57"/>
            </w:pPr>
            <w:r>
              <w:t xml:space="preserve">Сумма 4 год</w:t>
            </w:r>
            <w:r/>
          </w:p>
        </w:tc>
        <w:tc>
          <w:tcPr>
            <w:shd w:val="clear" w:fill="auto" w:color="auto"/>
            <w:tcW w:w="7415" w:type="dxa"/>
            <w:textDirection w:val="lrTb"/>
            <w:noWrap w:val="false"/>
          </w:tcPr>
          <w:p>
            <w:pPr>
              <w:pStyle w:val="1005"/>
              <w:ind w:left="57" w:right="57"/>
            </w:pPr>
            <w:r>
              <w:t xml:space="preserve">Сумма БО на 4 год планового периода.</w:t>
            </w:r>
            <w:r/>
          </w:p>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w:t>
            </w:r>
            <w:r/>
          </w:p>
        </w:tc>
      </w:tr>
      <w:tr>
        <w:trPr/>
        <w:tc>
          <w:tcPr>
            <w:shd w:val="clear" w:fill="auto" w:color="auto"/>
            <w:tcW w:w="2337" w:type="dxa"/>
            <w:textDirection w:val="lrTb"/>
            <w:noWrap w:val="false"/>
          </w:tcPr>
          <w:p>
            <w:pPr>
              <w:pStyle w:val="1005"/>
              <w:ind w:left="57" w:right="57"/>
            </w:pPr>
            <w:r>
              <w:t xml:space="preserve">Последующие годы</w:t>
            </w:r>
            <w:r/>
          </w:p>
        </w:tc>
        <w:tc>
          <w:tcPr>
            <w:shd w:val="clear" w:fill="auto" w:color="auto"/>
            <w:tcW w:w="7415" w:type="dxa"/>
            <w:textDirection w:val="lrTb"/>
            <w:noWrap w:val="false"/>
          </w:tcPr>
          <w:p>
            <w:pPr>
              <w:pStyle w:val="1005"/>
              <w:ind w:left="57" w:right="57"/>
            </w:pPr>
            <w:r>
              <w:t xml:space="preserve">Поле заполняется вручную.</w:t>
            </w:r>
            <w:r/>
          </w:p>
          <w:p>
            <w:pPr>
              <w:pStyle w:val="1005"/>
              <w:ind w:left="57" w:right="57"/>
            </w:pPr>
            <w:r>
              <w:t xml:space="preserve">По умолчанию поле заполняется значением «0.00».</w:t>
            </w:r>
            <w:r/>
          </w:p>
          <w:p>
            <w:pPr>
              <w:pStyle w:val="1005"/>
              <w:ind w:left="57" w:right="57"/>
            </w:pPr>
            <w:r>
              <w:t xml:space="preserve">Может быть изменено пользователем.</w:t>
            </w:r>
            <w:r/>
          </w:p>
        </w:tc>
      </w:tr>
      <w:tr>
        <w:trPr/>
        <w:tc>
          <w:tcPr>
            <w:shd w:val="clear" w:fill="auto" w:color="auto"/>
            <w:tcW w:w="2337" w:type="dxa"/>
            <w:textDirection w:val="lrTb"/>
            <w:noWrap w:val="false"/>
          </w:tcPr>
          <w:p>
            <w:pPr>
              <w:pStyle w:val="1005"/>
              <w:ind w:left="57" w:right="57"/>
            </w:pPr>
            <w:r>
              <w:t xml:space="preserve">Порядковый номер строки, генерируемый </w:t>
            </w:r>
            <w:r>
              <w:t xml:space="preserve">автоматически.</w:t>
            </w:r>
            <w:r/>
          </w:p>
        </w:tc>
        <w:tc>
          <w:tcPr>
            <w:shd w:val="clear" w:fill="auto" w:color="auto"/>
            <w:tcW w:w="7415" w:type="dxa"/>
            <w:textDirection w:val="lrTb"/>
            <w:noWrap w:val="false"/>
          </w:tcPr>
          <w:p>
            <w:pPr>
              <w:pStyle w:val="1005"/>
              <w:ind w:left="57" w:right="57"/>
            </w:pPr>
            <w:r>
              <w:t xml:space="preserve">Автозаполнение.</w:t>
            </w:r>
            <w:r/>
          </w:p>
        </w:tc>
      </w:tr>
      <w:tr>
        <w:trPr/>
        <w:tc>
          <w:tcPr>
            <w:gridSpan w:val="2"/>
            <w:shd w:val="clear" w:fill="auto" w:color="auto"/>
            <w:tcW w:w="9752" w:type="dxa"/>
            <w:textDirection w:val="lrTb"/>
            <w:noWrap w:val="false"/>
          </w:tcPr>
          <w:p>
            <w:pPr>
              <w:pStyle w:val="1005"/>
              <w:ind w:left="57" w:right="57"/>
            </w:pPr>
            <w:r>
              <w:t xml:space="preserve">Группа полей «Итого» (выводится суммарное значение всех полей «ИТОГО» таблицы КБК, относящихся к выбранному (конкретному) обязательству)</w:t>
            </w:r>
            <w:r/>
          </w:p>
        </w:tc>
      </w:tr>
      <w:tr>
        <w:trPr/>
        <w:tc>
          <w:tcPr>
            <w:shd w:val="clear" w:fill="auto" w:color="auto"/>
            <w:tcW w:w="2337" w:type="dxa"/>
            <w:textDirection w:val="lrTb"/>
            <w:noWrap w:val="false"/>
          </w:tcPr>
          <w:p>
            <w:pPr>
              <w:pStyle w:val="1005"/>
              <w:ind w:left="57" w:right="57"/>
            </w:pPr>
            <w:r>
              <w:t xml:space="preserve">Учтено</w:t>
            </w:r>
            <w:r/>
          </w:p>
        </w:tc>
        <w:tc>
          <w:tcPr>
            <w:shd w:val="clear" w:fill="auto" w:color="auto"/>
            <w:tcW w:w="7415" w:type="dxa"/>
            <w:textDirection w:val="lrTb"/>
            <w:noWrap w:val="false"/>
          </w:tcPr>
          <w:p>
            <w:pPr>
              <w:pStyle w:val="1005"/>
              <w:ind w:left="57" w:right="57"/>
            </w:pPr>
            <w:r>
              <w:t xml:space="preserve">Выводится суммарное значение всех полей «УЧТЕНО» таблице КБК, относящихся к выбранному (конкретному) обязательству.</w:t>
            </w:r>
            <w:r/>
          </w:p>
        </w:tc>
      </w:tr>
      <w:tr>
        <w:trPr/>
        <w:tc>
          <w:tcPr>
            <w:shd w:val="clear" w:fill="auto" w:color="auto"/>
            <w:tcW w:w="2337" w:type="dxa"/>
            <w:textDirection w:val="lrTb"/>
            <w:noWrap w:val="false"/>
          </w:tcPr>
          <w:p>
            <w:pPr>
              <w:pStyle w:val="1005"/>
              <w:ind w:left="57" w:right="57"/>
            </w:pPr>
            <w:r>
              <w:rPr>
                <w:rStyle w:val="1400"/>
              </w:rPr>
              <w:t xml:space="preserve">Исполн</w:t>
            </w:r>
            <w:r>
              <w:t xml:space="preserve">.</w:t>
            </w:r>
            <w:r/>
          </w:p>
        </w:tc>
        <w:tc>
          <w:tcPr>
            <w:shd w:val="clear" w:fill="auto" w:color="auto"/>
            <w:tcW w:w="7415" w:type="dxa"/>
            <w:textDirection w:val="lrTb"/>
            <w:noWrap w:val="false"/>
          </w:tcPr>
          <w:p>
            <w:pPr>
              <w:pStyle w:val="1005"/>
              <w:ind w:left="57" w:right="57"/>
            </w:pPr>
            <w:r>
              <w:t xml:space="preserve">Выводится суммарное значение всех полей «</w:t>
            </w:r>
            <w:r>
              <w:rPr>
                <w:rStyle w:val="1400"/>
                <w:lang w:val="ru-RU"/>
              </w:rPr>
              <w:t xml:space="preserve">Исполн</w:t>
            </w:r>
            <w:r>
              <w:t xml:space="preserve">.» таблице КБК, относящихся к выбранному (конкретному) обязательству.</w:t>
            </w:r>
            <w:r/>
          </w:p>
        </w:tc>
      </w:tr>
      <w:tr>
        <w:trPr/>
        <w:tc>
          <w:tcPr>
            <w:shd w:val="clear" w:fill="auto" w:color="auto"/>
            <w:tcW w:w="2337" w:type="dxa"/>
            <w:textDirection w:val="lrTb"/>
            <w:noWrap w:val="false"/>
          </w:tcPr>
          <w:p>
            <w:pPr>
              <w:pStyle w:val="1005"/>
              <w:ind w:left="57" w:right="57"/>
            </w:pPr>
            <w:r>
              <w:t xml:space="preserve">Сумма 1 год</w:t>
            </w:r>
            <w:r/>
          </w:p>
        </w:tc>
        <w:tc>
          <w:tcPr>
            <w:shd w:val="clear" w:fill="auto" w:color="auto"/>
            <w:tcW w:w="7415" w:type="dxa"/>
            <w:textDirection w:val="lrTb"/>
            <w:noWrap w:val="false"/>
          </w:tcPr>
          <w:p>
            <w:pPr>
              <w:pStyle w:val="1005"/>
              <w:ind w:left="57" w:right="57"/>
            </w:pPr>
            <w:r>
              <w:t xml:space="preserve">Выводится суммарное значение всех строк «Сумма 1 год» таблице КБК, относящихся к выбранному (конкретному) обязательству.</w:t>
            </w:r>
            <w:r/>
          </w:p>
        </w:tc>
      </w:tr>
      <w:tr>
        <w:trPr/>
        <w:tc>
          <w:tcPr>
            <w:shd w:val="clear" w:fill="auto" w:color="auto"/>
            <w:tcW w:w="2337" w:type="dxa"/>
            <w:textDirection w:val="lrTb"/>
            <w:noWrap w:val="false"/>
          </w:tcPr>
          <w:p>
            <w:pPr>
              <w:pStyle w:val="1005"/>
              <w:ind w:left="57" w:right="57"/>
            </w:pPr>
            <w:r>
              <w:t xml:space="preserve">Сумма 2 год</w:t>
            </w:r>
            <w:r/>
          </w:p>
        </w:tc>
        <w:tc>
          <w:tcPr>
            <w:shd w:val="clear" w:fill="auto" w:color="auto"/>
            <w:tcW w:w="7415" w:type="dxa"/>
            <w:textDirection w:val="lrTb"/>
            <w:noWrap w:val="false"/>
          </w:tcPr>
          <w:p>
            <w:pPr>
              <w:pStyle w:val="1005"/>
              <w:ind w:left="57" w:right="57"/>
            </w:pPr>
            <w:r>
              <w:t xml:space="preserve">Выводится суммарное значение всех строк «Сумма 2 год» таблице КБК, относящихся к выбранному (конкретному) обязательству.</w:t>
            </w:r>
            <w:r/>
          </w:p>
        </w:tc>
      </w:tr>
      <w:tr>
        <w:trPr/>
        <w:tc>
          <w:tcPr>
            <w:shd w:val="clear" w:fill="auto" w:color="auto"/>
            <w:tcW w:w="2337" w:type="dxa"/>
            <w:textDirection w:val="lrTb"/>
            <w:noWrap w:val="false"/>
          </w:tcPr>
          <w:p>
            <w:pPr>
              <w:pStyle w:val="1005"/>
              <w:ind w:left="57" w:right="57"/>
            </w:pPr>
            <w:r>
              <w:t xml:space="preserve">Сумма 3 год</w:t>
            </w:r>
            <w:r/>
          </w:p>
        </w:tc>
        <w:tc>
          <w:tcPr>
            <w:shd w:val="clear" w:fill="auto" w:color="auto"/>
            <w:tcW w:w="7415" w:type="dxa"/>
            <w:textDirection w:val="lrTb"/>
            <w:noWrap w:val="false"/>
          </w:tcPr>
          <w:p>
            <w:pPr>
              <w:pStyle w:val="1005"/>
              <w:ind w:left="57" w:right="57"/>
            </w:pPr>
            <w:r>
              <w:t xml:space="preserve">Выводится суммарное значение всех строк «Сумма 3 год» таблице КБК, относящихся к выбранному (конкретному) обязательству.</w:t>
            </w:r>
            <w:r/>
          </w:p>
        </w:tc>
      </w:tr>
      <w:tr>
        <w:trPr/>
        <w:tc>
          <w:tcPr>
            <w:shd w:val="clear" w:fill="auto" w:color="auto"/>
            <w:tcW w:w="2337" w:type="dxa"/>
            <w:textDirection w:val="lrTb"/>
            <w:noWrap w:val="false"/>
          </w:tcPr>
          <w:p>
            <w:pPr>
              <w:pStyle w:val="1005"/>
              <w:ind w:left="57" w:right="57"/>
            </w:pPr>
            <w:r>
              <w:t xml:space="preserve">Сумма 4 год</w:t>
            </w:r>
            <w:r/>
          </w:p>
        </w:tc>
        <w:tc>
          <w:tcPr>
            <w:shd w:val="clear" w:fill="auto" w:color="auto"/>
            <w:tcW w:w="7415" w:type="dxa"/>
            <w:textDirection w:val="lrTb"/>
            <w:noWrap w:val="false"/>
          </w:tcPr>
          <w:p>
            <w:pPr>
              <w:pStyle w:val="1005"/>
              <w:ind w:left="57" w:right="57"/>
            </w:pPr>
            <w:r>
              <w:t xml:space="preserve">Выводится суммарное значение всех строк «Сумма 4 год» таблице КБК, относящихся к выбранному (конкретному) обязательству.</w:t>
            </w:r>
            <w:r/>
          </w:p>
        </w:tc>
      </w:tr>
      <w:tr>
        <w:trPr/>
        <w:tc>
          <w:tcPr>
            <w:shd w:val="clear" w:fill="auto" w:color="auto"/>
            <w:tcW w:w="2337" w:type="dxa"/>
            <w:textDirection w:val="lrTb"/>
            <w:noWrap w:val="false"/>
          </w:tcPr>
          <w:p>
            <w:pPr>
              <w:pStyle w:val="1005"/>
              <w:ind w:left="57" w:right="57"/>
            </w:pPr>
            <w:r>
              <w:t xml:space="preserve">Последующие годы</w:t>
            </w:r>
            <w:r>
              <w:t xml:space="preserve"> </w:t>
            </w:r>
            <w:r/>
          </w:p>
        </w:tc>
        <w:tc>
          <w:tcPr>
            <w:shd w:val="clear" w:fill="auto" w:color="auto"/>
            <w:tcW w:w="7415" w:type="dxa"/>
            <w:textDirection w:val="lrTb"/>
            <w:noWrap w:val="false"/>
          </w:tcPr>
          <w:p>
            <w:pPr>
              <w:pStyle w:val="1005"/>
              <w:ind w:left="57" w:right="57"/>
            </w:pPr>
            <w:r>
              <w:t xml:space="preserve">Выводится суммарное значение всех строк «Последующие годы» таблице КБК, относящихся к выбранному (конкретному) обязательству.</w:t>
            </w:r>
            <w:r/>
          </w:p>
        </w:tc>
      </w:tr>
    </w:tbl>
    <w:p>
      <w:pPr>
        <w:pStyle w:val="994"/>
      </w:pPr>
      <w:r>
        <w:t xml:space="preserve">В первом табличном блоке закладки «Документ» содержится таблица с информацией по БО, поля которой </w:t>
      </w:r>
      <w:r>
        <w:t xml:space="preserve">приведен в таблице</w:t>
      </w:r>
      <w:r>
        <w:t xml:space="preserve"> </w:t>
      </w:r>
      <w:r>
        <w:fldChar w:fldCharType="begin"/>
      </w:r>
      <w:r>
        <w:instrText xml:space="preserve"> REF _Ref317610771 \h  \* MERGEFORMAT </w:instrText>
      </w:r>
      <w:r>
        <w:fldChar w:fldCharType="separate"/>
      </w:r>
      <w:r>
        <w:t xml:space="preserve">83</w:t>
      </w:r>
      <w:r>
        <w:fldChar w:fldCharType="end"/>
      </w:r>
      <w:r>
        <w:t xml:space="preserve">. Для добавления записи в таблицу следует нажать на кнопку </w:t>
      </w:r>
      <w:r>
        <mc:AlternateContent>
          <mc:Choice Requires="wpg">
            <w:drawing>
              <wp:inline xmlns:wp="http://schemas.openxmlformats.org/drawingml/2006/wordprocessingDrawing" distT="0" distB="0" distL="0" distR="0">
                <wp:extent cx="182880" cy="182880"/>
                <wp:effectExtent l="0" t="0" r="0" b="0"/>
                <wp:docPr id="24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9" o:spid="_x0000_s239" type="#_x0000_t75" style="mso-wrap-distance-left:0.0pt;mso-wrap-distance-top:0.0pt;mso-wrap-distance-right:0.0pt;mso-wrap-distance-bottom:0.0pt;width:14.4pt;height:14.4pt;" stroked="f">
                <v:path textboxrect="0,0,0,0"/>
                <v:imagedata r:id="rId80" o:title=""/>
              </v:shape>
            </w:pict>
          </mc:Fallback>
        </mc:AlternateContent>
      </w:r>
      <w:r>
        <w:t xml:space="preserve"> </w:t>
      </w:r>
      <w:r>
        <w:t xml:space="preserve">(Добавить новую строку)</w:t>
      </w:r>
      <w:r>
        <w:t xml:space="preserve">. Открое</w:t>
      </w:r>
      <w:r>
        <w:t xml:space="preserve">тся форма «Добавление записи»</w:t>
      </w:r>
      <w:r>
        <w:t xml:space="preserve"> (рис. </w:t>
      </w:r>
      <w:r>
        <w:fldChar w:fldCharType="begin"/>
      </w:r>
      <w:r>
        <w:instrText xml:space="preserve"> REF _Ref230615355 \h  \* MERGEFORMAT </w:instrText>
      </w:r>
      <w:r>
        <w:fldChar w:fldCharType="separate"/>
      </w:r>
      <w:r>
        <w:t xml:space="preserve">153</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011680"/>
                <wp:effectExtent l="0" t="0" r="0" b="0"/>
                <wp:docPr id="24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19"/>
                        <a:stretch/>
                      </pic:blipFill>
                      <pic:spPr bwMode="auto">
                        <a:xfrm>
                          <a:off x="0" y="0"/>
                          <a:ext cx="6126480" cy="20116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0" o:spid="_x0000_s240" type="#_x0000_t75" style="mso-wrap-distance-left:0.0pt;mso-wrap-distance-top:0.0pt;mso-wrap-distance-right:0.0pt;mso-wrap-distance-bottom:0.0pt;width:482.4pt;height:158.4pt;" stroked="f">
                <v:path textboxrect="0,0,0,0"/>
                <v:imagedata r:id="rId219" o:title=""/>
              </v:shape>
            </w:pict>
          </mc:Fallback>
        </mc:AlternateContent>
      </w:r>
      <w:r/>
    </w:p>
    <w:p>
      <w:pPr>
        <w:pStyle w:val="983"/>
      </w:pPr>
      <w:r>
        <w:fldChar w:fldCharType="begin"/>
      </w:r>
      <w:r>
        <w:instrText xml:space="preserve"> SEQ Рисунок \* ARABIC </w:instrText>
      </w:r>
      <w:r>
        <w:fldChar w:fldCharType="separate"/>
      </w:r>
      <w:bookmarkStart w:id="1201" w:name="_Ref230615355"/>
      <w:r/>
      <w:bookmarkStart w:id="1202" w:name="_Toc88819538"/>
      <w:r>
        <w:t xml:space="preserve">153</w:t>
      </w:r>
      <w:bookmarkEnd w:id="1201"/>
      <w:r>
        <w:fldChar w:fldCharType="end"/>
      </w:r>
      <w:r>
        <w:t xml:space="preserve">. </w:t>
      </w:r>
      <w:r>
        <w:t xml:space="preserve">Форма «Добавление записи»</w:t>
      </w:r>
      <w:r>
        <w:t xml:space="preserve"> </w:t>
      </w:r>
      <w:r>
        <w:t xml:space="preserve">(Реквизиты документа-основания)</w:t>
      </w:r>
      <w:bookmarkEnd w:id="1202"/>
      <w:r/>
      <w:r/>
    </w:p>
    <w:p>
      <w:pPr>
        <w:pStyle w:val="994"/>
      </w:pPr>
      <w:r>
        <w:t xml:space="preserve">На форме «Добавление записи» вручную заполняются следующие поля:</w:t>
      </w:r>
      <w:r/>
    </w:p>
    <w:p>
      <w:pPr>
        <w:pStyle w:val="985"/>
      </w:pPr>
      <w:r>
        <w:t xml:space="preserve">«Учетный номер обязательства»;</w:t>
      </w:r>
      <w:r/>
    </w:p>
    <w:p>
      <w:pPr>
        <w:pStyle w:val="985"/>
      </w:pPr>
      <w:r>
        <w:t xml:space="preserve">«Вид» – вид БО;</w:t>
      </w:r>
      <w:r/>
    </w:p>
    <w:p>
      <w:pPr>
        <w:pStyle w:val="985"/>
      </w:pPr>
      <w:r>
        <w:t xml:space="preserve">«Ном</w:t>
      </w:r>
      <w:r>
        <w:t xml:space="preserve">ер» – номер документа-основания;</w:t>
      </w:r>
      <w:r/>
    </w:p>
    <w:p>
      <w:pPr>
        <w:pStyle w:val="985"/>
      </w:pPr>
      <w:r>
        <w:t xml:space="preserve">«Д</w:t>
      </w:r>
      <w:r>
        <w:t xml:space="preserve">ата» – дата документа-основания;</w:t>
      </w:r>
      <w:r/>
    </w:p>
    <w:p>
      <w:pPr>
        <w:pStyle w:val="985"/>
      </w:pPr>
      <w:r>
        <w:t xml:space="preserve">«Дата начала дейс</w:t>
      </w:r>
      <w:r>
        <w:t xml:space="preserve">твия» – дата начала действия БО;</w:t>
      </w:r>
      <w:r/>
    </w:p>
    <w:p>
      <w:pPr>
        <w:pStyle w:val="985"/>
      </w:pPr>
      <w:r>
        <w:t xml:space="preserve">«Дата окончания действи</w:t>
      </w:r>
      <w:r>
        <w:t xml:space="preserve">я» – дата окончания действия БО;</w:t>
      </w:r>
      <w:r/>
    </w:p>
    <w:p>
      <w:pPr>
        <w:pStyle w:val="985"/>
      </w:pPr>
      <w:r>
        <w:t xml:space="preserve">«Сумма» – сумма по БО.</w:t>
      </w:r>
      <w:r/>
    </w:p>
    <w:p>
      <w:pPr>
        <w:pStyle w:val="994"/>
      </w:pPr>
      <w:r>
        <w:t xml:space="preserve">Для сохранения записи и выхода из формы нажать на </w:t>
      </w:r>
      <w:r>
        <w:t xml:space="preserve">кнопку «Ok»</w:t>
      </w:r>
      <w:r>
        <w:t xml:space="preserve">. </w:t>
      </w:r>
      <w:r>
        <w:t xml:space="preserve">В таблице </w:t>
      </w:r>
      <w:r>
        <w:t xml:space="preserve">БО появится добавленная запись.</w:t>
      </w:r>
      <w:r/>
    </w:p>
    <w:p>
      <w:pPr>
        <w:pStyle w:val="994"/>
      </w:pPr>
      <w:r>
        <w:t xml:space="preserve">Во втором табличном блоке закладки «Документ» содержится таблица с информацией по КБК, которая является вложенной для строки таблицы по БО. Описание полей табличного блока </w:t>
      </w:r>
      <w:r>
        <w:t xml:space="preserve">приведен в таблице</w:t>
      </w:r>
      <w:r>
        <w:t xml:space="preserve"> </w:t>
      </w:r>
      <w:r>
        <w:fldChar w:fldCharType="begin"/>
      </w:r>
      <w:r>
        <w:instrText xml:space="preserve"> REF _Ref317610771 \h  \* MERGEFORMAT </w:instrText>
      </w:r>
      <w:r>
        <w:fldChar w:fldCharType="separate"/>
      </w:r>
      <w:r>
        <w:t xml:space="preserve">83</w:t>
      </w:r>
      <w:r>
        <w:fldChar w:fldCharType="end"/>
      </w:r>
      <w:r>
        <w:t xml:space="preserve">. В таблице</w:t>
      </w:r>
      <w:r>
        <w:t xml:space="preserve"> </w:t>
      </w:r>
      <w:r>
        <w:t xml:space="preserve">отражаю</w:t>
      </w:r>
      <w:r>
        <w:t xml:space="preserve">тся данные выделенной в таблице </w:t>
      </w:r>
      <w:r>
        <w:t xml:space="preserve">БО строки с информацией по БО. Для добавления записи в таблицу по КБК следует нажать на кнопку </w:t>
      </w:r>
      <w:r>
        <mc:AlternateContent>
          <mc:Choice Requires="wpg">
            <w:drawing>
              <wp:inline xmlns:wp="http://schemas.openxmlformats.org/drawingml/2006/wordprocessingDrawing" distT="0" distB="0" distL="0" distR="0">
                <wp:extent cx="274320" cy="274320"/>
                <wp:effectExtent l="0" t="0" r="0" b="0"/>
                <wp:docPr id="24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1" o:spid="_x0000_s241" type="#_x0000_t75" style="mso-wrap-distance-left:0.0pt;mso-wrap-distance-top:0.0pt;mso-wrap-distance-right:0.0pt;mso-wrap-distance-bottom:0.0pt;width:21.6pt;height:21.6pt;" stroked="f">
                <v:path textboxrect="0,0,0,0"/>
                <v:imagedata r:id="rId80" o:title=""/>
              </v:shape>
            </w:pict>
          </mc:Fallback>
        </mc:AlternateContent>
      </w:r>
      <w:r>
        <w:t xml:space="preserve"> </w:t>
      </w:r>
      <w:r>
        <w:t xml:space="preserve">(Добавить новую строку)</w:t>
      </w:r>
      <w:r>
        <w:t xml:space="preserve">. Открое</w:t>
      </w:r>
      <w:r>
        <w:t xml:space="preserve">тся форма «Добавление записи»</w:t>
      </w:r>
      <w:r>
        <w:t xml:space="preserve"> показанная на рисунке </w:t>
      </w:r>
      <w:r>
        <w:fldChar w:fldCharType="begin"/>
      </w:r>
      <w:r>
        <w:instrText xml:space="preserve"> REF _Ref230616190 \h  \* MERGEFORMAT </w:instrText>
      </w:r>
      <w:r>
        <w:fldChar w:fldCharType="separate"/>
      </w:r>
      <w:r>
        <w:t xml:space="preserve">154</w:t>
      </w:r>
      <w:r>
        <w:fldChar w:fldCharType="end"/>
      </w:r>
      <w:r>
        <w:t xml:space="preserve">. Для сохранения записи и выхода из формы нажать на </w:t>
      </w:r>
      <w:r>
        <w:t xml:space="preserve">кнопку «Ok»</w:t>
      </w:r>
      <w:r>
        <w:t xml:space="preserve">. В табли</w:t>
      </w:r>
      <w:r>
        <w:t xml:space="preserve">це </w:t>
      </w:r>
      <w:r>
        <w:t xml:space="preserve">КБК появится добавленная запись.</w:t>
      </w:r>
      <w:r/>
    </w:p>
    <w:p>
      <w:pPr>
        <w:pStyle w:val="982"/>
      </w:pPr>
      <w:r>
        <mc:AlternateContent>
          <mc:Choice Requires="wpg">
            <w:drawing>
              <wp:inline xmlns:wp="http://schemas.openxmlformats.org/drawingml/2006/wordprocessingDrawing" distT="0" distB="0" distL="0" distR="0">
                <wp:extent cx="6118860" cy="3101340"/>
                <wp:effectExtent l="0" t="0" r="0" b="0"/>
                <wp:docPr id="24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20"/>
                        <a:stretch/>
                      </pic:blipFill>
                      <pic:spPr bwMode="auto">
                        <a:xfrm>
                          <a:off x="0" y="0"/>
                          <a:ext cx="6118860" cy="310133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2" o:spid="_x0000_s242" type="#_x0000_t75" style="mso-wrap-distance-left:0.0pt;mso-wrap-distance-top:0.0pt;mso-wrap-distance-right:0.0pt;mso-wrap-distance-bottom:0.0pt;width:481.8pt;height:244.2pt;" stroked="f">
                <v:path textboxrect="0,0,0,0"/>
                <v:imagedata r:id="rId220" o:title=""/>
              </v:shape>
            </w:pict>
          </mc:Fallback>
        </mc:AlternateContent>
      </w:r>
      <w:r/>
    </w:p>
    <w:p>
      <w:pPr>
        <w:pStyle w:val="983"/>
      </w:pPr>
      <w:r>
        <w:fldChar w:fldCharType="begin"/>
      </w:r>
      <w:r>
        <w:instrText xml:space="preserve"> SEQ Рисунок \* ARABIC </w:instrText>
      </w:r>
      <w:r>
        <w:fldChar w:fldCharType="separate"/>
      </w:r>
      <w:bookmarkStart w:id="1203" w:name="_Ref230616190"/>
      <w:r/>
      <w:bookmarkStart w:id="1204" w:name="_Toc88819539"/>
      <w:r>
        <w:t xml:space="preserve">154</w:t>
      </w:r>
      <w:bookmarkEnd w:id="1203"/>
      <w:r>
        <w:fldChar w:fldCharType="end"/>
      </w:r>
      <w:r>
        <w:t xml:space="preserve">. </w:t>
      </w:r>
      <w:r>
        <w:t xml:space="preserve">Форма «Добавление записи»</w:t>
      </w:r>
      <w:r>
        <w:t xml:space="preserve"> </w:t>
      </w:r>
      <w:r>
        <w:t xml:space="preserve">(</w:t>
      </w:r>
      <w:r>
        <w:t xml:space="preserve">Бюджетные обязательства</w:t>
      </w:r>
      <w:r>
        <w:t xml:space="preserve">)</w:t>
      </w:r>
      <w:bookmarkEnd w:id="1204"/>
      <w:r/>
      <w:r/>
    </w:p>
    <w:p>
      <w:pPr>
        <w:pStyle w:val="994"/>
      </w:pPr>
      <w:r>
        <w:t xml:space="preserve">В группе полей «Итого» в нижней части закладки «Документ» выводится суммарное значение соответствующих полей таблицы КБК.</w:t>
      </w:r>
      <w:r/>
    </w:p>
    <w:p>
      <w:pPr>
        <w:pStyle w:val="994"/>
      </w:pPr>
      <w:r>
        <w:t xml:space="preserve">ЭФ </w:t>
      </w:r>
      <w:r>
        <w:t xml:space="preserve">документа «Акт приемки-передачи принятых на учет обязательств при реорганизации участников бюджетного процесса», закладки «Подписи/Доп.атрибуты»</w:t>
      </w:r>
      <w:r>
        <w:t xml:space="preserve"> </w:t>
      </w:r>
      <w:r>
        <w:t xml:space="preserve">представлена </w:t>
      </w:r>
      <w:r>
        <w:t xml:space="preserve">н</w:t>
      </w:r>
      <w:r>
        <w:t xml:space="preserve">а рисунке</w:t>
      </w:r>
      <w:r>
        <w:t xml:space="preserve"> </w:t>
      </w:r>
      <w:r>
        <w:fldChar w:fldCharType="begin"/>
      </w:r>
      <w:r>
        <w:instrText xml:space="preserve"> REF _Ref230616754 \h  \* MERGEFORMAT </w:instrText>
      </w:r>
      <w:r>
        <w:fldChar w:fldCharType="separate"/>
      </w:r>
      <w:r>
        <w:t xml:space="preserve">155</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2560320"/>
                <wp:effectExtent l="0" t="0" r="0" b="0"/>
                <wp:docPr id="24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21"/>
                        <a:stretch/>
                      </pic:blipFill>
                      <pic:spPr bwMode="auto">
                        <a:xfrm>
                          <a:off x="0" y="0"/>
                          <a:ext cx="6035039" cy="2560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3" o:spid="_x0000_s243" type="#_x0000_t75" style="mso-wrap-distance-left:0.0pt;mso-wrap-distance-top:0.0pt;mso-wrap-distance-right:0.0pt;mso-wrap-distance-bottom:0.0pt;width:475.2pt;height:201.6pt;" stroked="f">
                <v:path textboxrect="0,0,0,0"/>
                <v:imagedata r:id="rId221" o:title=""/>
              </v:shape>
            </w:pict>
          </mc:Fallback>
        </mc:AlternateContent>
      </w:r>
      <w:r/>
    </w:p>
    <w:p>
      <w:pPr>
        <w:pStyle w:val="983"/>
      </w:pPr>
      <w:r>
        <w:fldChar w:fldCharType="begin"/>
      </w:r>
      <w:r>
        <w:instrText xml:space="preserve"> SEQ Рисунок \* ARABIC </w:instrText>
      </w:r>
      <w:r>
        <w:fldChar w:fldCharType="separate"/>
      </w:r>
      <w:bookmarkStart w:id="1205" w:name="_Ref230616754"/>
      <w:r/>
      <w:bookmarkStart w:id="1206" w:name="_Toc88819540"/>
      <w:r>
        <w:t xml:space="preserve">155</w:t>
      </w:r>
      <w:bookmarkEnd w:id="1205"/>
      <w:r>
        <w:fldChar w:fldCharType="end"/>
      </w:r>
      <w:r>
        <w:t xml:space="preserve">. ЭФ документа «Акт приемки-передачи принятых на учет обязательств при реорганизации участников бюджетного процесса</w:t>
      </w:r>
      <w:r>
        <w:t xml:space="preserve">», закладки «</w:t>
      </w:r>
      <w:r>
        <w:t xml:space="preserve">Подписи/Доп.</w:t>
      </w:r>
      <w:r>
        <w:t xml:space="preserve"> </w:t>
      </w:r>
      <w:r>
        <w:t xml:space="preserve">атрибуты»</w:t>
      </w:r>
      <w:bookmarkEnd w:id="1206"/>
      <w:r/>
      <w:r/>
    </w:p>
    <w:p>
      <w:pPr>
        <w:pStyle w:val="994"/>
      </w:pPr>
      <w:r>
        <w:t xml:space="preserve">Перечень полей</w:t>
      </w:r>
      <w:r>
        <w:t xml:space="preserve"> </w:t>
      </w:r>
      <w:r>
        <w:t xml:space="preserve">документа «Акт приемки-передачи принятых на учет обязательств при реорганизации участников бюджетного процесса», закладки «Подписи/Доп.</w:t>
      </w:r>
      <w:r>
        <w:t xml:space="preserve"> </w:t>
      </w:r>
      <w:r>
        <w:t xml:space="preserve">атрибуты»</w:t>
      </w:r>
      <w:r>
        <w:t xml:space="preserve"> приведен в таблице </w:t>
      </w:r>
      <w:r>
        <w:fldChar w:fldCharType="begin"/>
      </w:r>
      <w:r>
        <w:instrText xml:space="preserve"> REF _Ref357520240 \h  \* MERGEFORMAT </w:instrText>
      </w:r>
      <w:r>
        <w:fldChar w:fldCharType="separate"/>
      </w:r>
      <w:r>
        <w:t xml:space="preserve">84</w:t>
      </w:r>
      <w:r>
        <w:fldChar w:fldCharType="end"/>
      </w:r>
      <w:r>
        <w:t xml:space="preserve">.</w:t>
      </w:r>
      <w:r/>
    </w:p>
    <w:p>
      <w:pPr>
        <w:pStyle w:val="993"/>
      </w:pPr>
      <w:r>
        <w:fldChar w:fldCharType="begin"/>
      </w:r>
      <w:r>
        <w:instrText xml:space="preserve"> SEQ Таблица \* ARABIC </w:instrText>
      </w:r>
      <w:r>
        <w:fldChar w:fldCharType="separate"/>
      </w:r>
      <w:bookmarkStart w:id="1207" w:name="_Ref357520240"/>
      <w:r/>
      <w:bookmarkStart w:id="1208" w:name="_Toc88819270"/>
      <w:r>
        <w:t xml:space="preserve">84</w:t>
      </w:r>
      <w:bookmarkEnd w:id="1207"/>
      <w:r>
        <w:fldChar w:fldCharType="end"/>
      </w:r>
      <w:r>
        <w:t xml:space="preserve">. Описание полей </w:t>
      </w:r>
      <w:r>
        <w:t xml:space="preserve">документа «Акт приемки-передачи принятых на учет обязательств при реорганизации участников бюджетного процесса», закладки «Подписи/Доп.</w:t>
      </w:r>
      <w:r>
        <w:t xml:space="preserve"> </w:t>
      </w:r>
      <w:r>
        <w:t xml:space="preserve">атрибуты»</w:t>
      </w:r>
      <w:bookmarkEnd w:id="120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906"/>
        <w:gridCol w:w="6846"/>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2907" w:type="dxa"/>
            <w:vAlign w:val="center"/>
            <w:textDirection w:val="lrTb"/>
            <w:noWrap w:val="false"/>
          </w:tcPr>
          <w:p>
            <w:pPr>
              <w:pStyle w:val="1006"/>
            </w:pPr>
            <w:r/>
            <w:bookmarkStart w:id="1209" w:name="_Toc422496697"/>
            <w:r/>
            <w:bookmarkStart w:id="1210" w:name="_Ref437874469"/>
            <w:r/>
            <w:bookmarkStart w:id="1211" w:name="_Ref468721632"/>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6848" w:type="dxa"/>
            <w:vAlign w:val="center"/>
            <w:textDirection w:val="lrTb"/>
            <w:noWrap w:val="false"/>
          </w:tcPr>
          <w:p>
            <w:pPr>
              <w:pStyle w:val="1006"/>
            </w:pPr>
            <w:r>
              <w:t xml:space="preserve">Описание поля</w:t>
            </w:r>
            <w:r/>
          </w:p>
        </w:tc>
      </w:tr>
      <w:tr>
        <w:trPr/>
        <w:tc>
          <w:tcPr>
            <w:gridSpan w:val="2"/>
            <w:shd w:val="clear" w:fill="auto" w:color="auto"/>
            <w:tcW w:w="9755" w:type="dxa"/>
            <w:textDirection w:val="lrTb"/>
            <w:noWrap w:val="false"/>
          </w:tcPr>
          <w:p>
            <w:pPr>
              <w:pStyle w:val="1005"/>
              <w:ind w:left="57" w:right="57"/>
            </w:pPr>
            <w:r>
              <w:t xml:space="preserve">Группа полей «Статусы документа»</w:t>
            </w:r>
            <w:r/>
          </w:p>
        </w:tc>
      </w:tr>
      <w:tr>
        <w:trPr/>
        <w:tc>
          <w:tcPr>
            <w:shd w:val="clear" w:fill="auto" w:color="auto"/>
            <w:tcW w:w="2907" w:type="dxa"/>
            <w:textDirection w:val="lrTb"/>
            <w:noWrap w:val="false"/>
          </w:tcPr>
          <w:p>
            <w:pPr>
              <w:pStyle w:val="1005"/>
              <w:ind w:left="57" w:right="57"/>
            </w:pPr>
            <w:r>
              <w:t xml:space="preserve">Бизнес-cтатус</w:t>
            </w:r>
            <w:r/>
          </w:p>
        </w:tc>
        <w:tc>
          <w:tcPr>
            <w:shd w:val="clear" w:fill="auto" w:color="auto"/>
            <w:tcW w:w="6848" w:type="dxa"/>
            <w:textDirection w:val="lrTb"/>
            <w:noWrap w:val="false"/>
          </w:tcPr>
          <w:p>
            <w:pPr>
              <w:pStyle w:val="1005"/>
              <w:ind w:left="57" w:right="57"/>
            </w:pPr>
            <w:r>
              <w:t xml:space="preserve">Код и наименование бизнес-статуса документа. </w:t>
            </w:r>
            <w:r/>
          </w:p>
          <w:p>
            <w:pPr>
              <w:pStyle w:val="1005"/>
              <w:ind w:left="57" w:right="57"/>
            </w:pPr>
            <w:r>
              <w:t xml:space="preserve">Закрыто для редактирования.</w:t>
            </w:r>
            <w:r/>
          </w:p>
          <w:p>
            <w:pPr>
              <w:pStyle w:val="1005"/>
              <w:ind w:left="57" w:right="57"/>
            </w:pPr>
            <w:r>
              <w:t xml:space="preserve">Код заполняется автоматически при обработке документа или присылается из OEBS. Равен значению поля «Статус» закладки «Документ».</w:t>
            </w:r>
            <w:r/>
          </w:p>
          <w:p>
            <w:pPr>
              <w:pStyle w:val="1005"/>
              <w:ind w:left="57" w:right="57"/>
            </w:pPr>
            <w:r>
              <w:t xml:space="preserve">Наименование поля заполняется по коду из справочника.</w:t>
            </w:r>
            <w:r/>
          </w:p>
        </w:tc>
      </w:tr>
      <w:tr>
        <w:trPr/>
        <w:tc>
          <w:tcPr>
            <w:shd w:val="clear" w:fill="auto" w:color="auto"/>
            <w:tcW w:w="2907" w:type="dxa"/>
            <w:textDirection w:val="lrTb"/>
            <w:noWrap w:val="false"/>
          </w:tcPr>
          <w:p>
            <w:pPr>
              <w:pStyle w:val="1005"/>
              <w:ind w:left="57" w:right="57"/>
            </w:pPr>
            <w:r>
              <w:t xml:space="preserve">Статус передачи</w:t>
            </w:r>
            <w:r/>
          </w:p>
        </w:tc>
        <w:tc>
          <w:tcPr>
            <w:shd w:val="clear" w:fill="auto" w:color="auto"/>
            <w:tcW w:w="6848" w:type="dxa"/>
            <w:textDirection w:val="lrTb"/>
            <w:noWrap w:val="false"/>
          </w:tcPr>
          <w:p>
            <w:pPr>
              <w:pStyle w:val="1005"/>
              <w:ind w:left="57" w:right="57"/>
            </w:pPr>
            <w:r>
              <w:t xml:space="preserve">Код и наименование статуса передачи документа.</w:t>
            </w:r>
            <w:r/>
          </w:p>
          <w:p>
            <w:pPr>
              <w:pStyle w:val="1005"/>
              <w:ind w:left="57" w:right="57"/>
            </w:pPr>
            <w:r>
              <w:t xml:space="preserve">Заполняется автоматически при обработке документа. Закрыто для редактирования.</w:t>
            </w:r>
            <w:r/>
          </w:p>
        </w:tc>
      </w:tr>
      <w:tr>
        <w:trPr/>
        <w:tc>
          <w:tcPr>
            <w:shd w:val="clear" w:fill="auto" w:color="auto"/>
            <w:tcW w:w="2907" w:type="dxa"/>
            <w:textDirection w:val="lrTb"/>
            <w:noWrap w:val="false"/>
          </w:tcPr>
          <w:p>
            <w:pPr>
              <w:pStyle w:val="1005"/>
              <w:ind w:left="57" w:right="57"/>
            </w:pPr>
            <w:r>
              <w:t xml:space="preserve">Статус утверждения</w:t>
            </w:r>
            <w:r/>
          </w:p>
        </w:tc>
        <w:tc>
          <w:tcPr>
            <w:shd w:val="clear" w:fill="auto" w:color="auto"/>
            <w:tcW w:w="6848" w:type="dxa"/>
            <w:textDirection w:val="lrTb"/>
            <w:noWrap w:val="false"/>
          </w:tcPr>
          <w:p>
            <w:pPr>
              <w:pStyle w:val="1005"/>
              <w:ind w:left="57" w:right="57"/>
            </w:pPr>
            <w:r>
              <w:t xml:space="preserve">Код и наименование статуса утверждения документа. </w:t>
            </w:r>
            <w:r/>
          </w:p>
          <w:p>
            <w:pPr>
              <w:pStyle w:val="1005"/>
              <w:ind w:left="57" w:right="57"/>
            </w:pPr>
            <w:r>
              <w:t xml:space="preserve">Заполняется автоматически при утверждении документа. Закрыто для редактирования.</w:t>
            </w:r>
            <w:r/>
          </w:p>
        </w:tc>
      </w:tr>
      <w:tr>
        <w:trPr/>
        <w:tc>
          <w:tcPr>
            <w:gridSpan w:val="2"/>
            <w:shd w:val="clear" w:fill="auto" w:color="auto"/>
            <w:tcW w:w="9755" w:type="dxa"/>
            <w:textDirection w:val="lrTb"/>
            <w:noWrap w:val="false"/>
          </w:tcPr>
          <w:p>
            <w:pPr>
              <w:pStyle w:val="1005"/>
              <w:ind w:left="57" w:right="57"/>
            </w:pPr>
            <w:r>
              <w:t xml:space="preserve">Группа полей «Передающая сторона»</w:t>
            </w:r>
            <w:r/>
          </w:p>
        </w:tc>
      </w:tr>
      <w:tr>
        <w:trPr/>
        <w:tc>
          <w:tcPr>
            <w:shd w:val="clear" w:fill="auto" w:color="auto"/>
            <w:tcW w:w="2907" w:type="dxa"/>
            <w:textDirection w:val="lrTb"/>
            <w:noWrap w:val="false"/>
          </w:tcPr>
          <w:p>
            <w:pPr>
              <w:pStyle w:val="1005"/>
              <w:ind w:left="57" w:right="57"/>
            </w:pPr>
            <w:r>
              <w:t xml:space="preserve">Руководитель (уполномоченное лицо). Должность</w:t>
            </w:r>
            <w:r/>
          </w:p>
        </w:tc>
        <w:tc>
          <w:tcPr>
            <w:shd w:val="clear" w:fill="auto" w:color="auto"/>
            <w:tcW w:w="6848" w:type="dxa"/>
            <w:textDirection w:val="lrTb"/>
            <w:noWrap w:val="false"/>
          </w:tcPr>
          <w:p>
            <w:pPr>
              <w:pStyle w:val="1005"/>
              <w:ind w:left="57" w:right="57"/>
            </w:pPr>
            <w:r>
              <w:t xml:space="preserve">Наименование должности руководителя УБП, передающего акт.</w:t>
            </w:r>
            <w:r/>
          </w:p>
          <w:p>
            <w:pPr>
              <w:pStyle w:val="1005"/>
              <w:ind w:left="57" w:right="57"/>
            </w:pPr>
            <w:r>
              <w:t xml:space="preserve">Заполняется вручную или выбирается</w:t>
            </w:r>
            <w:r>
              <w:t xml:space="preserve"> </w:t>
            </w:r>
            <w:r>
              <w:t xml:space="preserve">из справочника «Сотрудники».</w:t>
            </w:r>
            <w:r/>
          </w:p>
        </w:tc>
      </w:tr>
      <w:tr>
        <w:trPr/>
        <w:tc>
          <w:tcPr>
            <w:shd w:val="clear" w:fill="auto" w:color="auto"/>
            <w:tcW w:w="2907" w:type="dxa"/>
            <w:textDirection w:val="lrTb"/>
            <w:noWrap w:val="false"/>
          </w:tcPr>
          <w:p>
            <w:pPr>
              <w:pStyle w:val="1005"/>
              <w:ind w:left="57" w:right="57"/>
            </w:pPr>
            <w:r>
              <w:t xml:space="preserve">Руководитель (уполномоченное лицо). Расшифровка подписи</w:t>
            </w:r>
            <w:r/>
          </w:p>
        </w:tc>
        <w:tc>
          <w:tcPr>
            <w:shd w:val="clear" w:fill="auto" w:color="auto"/>
            <w:tcW w:w="6848" w:type="dxa"/>
            <w:textDirection w:val="lrTb"/>
            <w:noWrap w:val="false"/>
          </w:tcPr>
          <w:p>
            <w:pPr>
              <w:pStyle w:val="1005"/>
              <w:ind w:left="57" w:right="57"/>
            </w:pPr>
            <w:r>
              <w:t xml:space="preserve">ФИО руководителя УБП, передающего акт. </w:t>
            </w:r>
            <w:r/>
          </w:p>
          <w:p>
            <w:pPr>
              <w:pStyle w:val="1005"/>
              <w:ind w:left="57" w:right="57"/>
            </w:pPr>
            <w:r>
              <w:t xml:space="preserve">Заполняется вручную или выбирается</w:t>
            </w:r>
            <w:r>
              <w:t xml:space="preserve"> </w:t>
            </w:r>
            <w:r>
              <w:t xml:space="preserve">из справочника «Сотрудники».</w:t>
            </w:r>
            <w:r/>
          </w:p>
        </w:tc>
      </w:tr>
      <w:tr>
        <w:trPr/>
        <w:tc>
          <w:tcPr>
            <w:shd w:val="clear" w:fill="auto" w:color="auto"/>
            <w:tcW w:w="2907" w:type="dxa"/>
            <w:textDirection w:val="lrTb"/>
            <w:noWrap w:val="false"/>
          </w:tcPr>
          <w:p>
            <w:pPr>
              <w:pStyle w:val="1005"/>
              <w:ind w:left="57" w:right="57"/>
            </w:pPr>
            <w:r>
              <w:t xml:space="preserve">Главный бухгалтер (уполномоченное лицо). Должность</w:t>
            </w:r>
            <w:r/>
          </w:p>
        </w:tc>
        <w:tc>
          <w:tcPr>
            <w:shd w:val="clear" w:fill="auto" w:color="auto"/>
            <w:tcW w:w="6848" w:type="dxa"/>
            <w:textDirection w:val="lrTb"/>
            <w:noWrap w:val="false"/>
          </w:tcPr>
          <w:p>
            <w:pPr>
              <w:pStyle w:val="1005"/>
              <w:ind w:left="57" w:right="57"/>
            </w:pPr>
            <w:r>
              <w:t xml:space="preserve">Наименование должности главного бухгалтера УБП, передающего акт. </w:t>
            </w:r>
            <w:r/>
          </w:p>
          <w:p>
            <w:pPr>
              <w:pStyle w:val="1005"/>
              <w:ind w:left="57" w:right="57"/>
            </w:pPr>
            <w:r>
              <w:t xml:space="preserve">Заполняется вручную или выбирается</w:t>
            </w:r>
            <w:r>
              <w:t xml:space="preserve"> </w:t>
            </w:r>
            <w:r>
              <w:t xml:space="preserve">из справочника «Сотрудники».</w:t>
            </w:r>
            <w:r/>
          </w:p>
        </w:tc>
      </w:tr>
      <w:tr>
        <w:trPr/>
        <w:tc>
          <w:tcPr>
            <w:shd w:val="clear" w:fill="auto" w:color="auto"/>
            <w:tcW w:w="2907" w:type="dxa"/>
            <w:textDirection w:val="lrTb"/>
            <w:noWrap w:val="false"/>
          </w:tcPr>
          <w:p>
            <w:pPr>
              <w:pStyle w:val="1005"/>
              <w:ind w:left="57" w:right="57"/>
            </w:pPr>
            <w:r>
              <w:t xml:space="preserve">Главный бухгалтер (уполномоченное лицо). Расшифровка подписи</w:t>
            </w:r>
            <w:r/>
          </w:p>
        </w:tc>
        <w:tc>
          <w:tcPr>
            <w:shd w:val="clear" w:fill="auto" w:color="auto"/>
            <w:tcW w:w="6848" w:type="dxa"/>
            <w:textDirection w:val="lrTb"/>
            <w:noWrap w:val="false"/>
          </w:tcPr>
          <w:p>
            <w:pPr>
              <w:pStyle w:val="1005"/>
              <w:ind w:left="57" w:right="57"/>
            </w:pPr>
            <w:r>
              <w:t xml:space="preserve">ФИО главного бухгалтера УБП, передающего акт. </w:t>
            </w:r>
            <w:r/>
          </w:p>
          <w:p>
            <w:pPr>
              <w:pStyle w:val="1005"/>
              <w:ind w:left="57" w:right="57"/>
            </w:pPr>
            <w:r>
              <w:t xml:space="preserve">Заполняется вручную или выбирается</w:t>
            </w:r>
            <w:r>
              <w:t xml:space="preserve"> </w:t>
            </w:r>
            <w:r>
              <w:t xml:space="preserve">из справочника «Сотрудники».</w:t>
            </w:r>
            <w:r/>
          </w:p>
        </w:tc>
      </w:tr>
      <w:tr>
        <w:trPr/>
        <w:tc>
          <w:tcPr>
            <w:shd w:val="clear" w:fill="auto" w:color="auto"/>
            <w:tcW w:w="2907" w:type="dxa"/>
            <w:textDirection w:val="lrTb"/>
            <w:noWrap w:val="false"/>
          </w:tcPr>
          <w:p>
            <w:pPr>
              <w:pStyle w:val="1005"/>
              <w:ind w:left="57" w:right="57"/>
            </w:pPr>
            <w:r>
              <w:t xml:space="preserve">Дата подписания</w:t>
            </w:r>
            <w:r/>
          </w:p>
        </w:tc>
        <w:tc>
          <w:tcPr>
            <w:shd w:val="clear" w:fill="auto" w:color="auto"/>
            <w:tcW w:w="6848" w:type="dxa"/>
            <w:textDirection w:val="lrTb"/>
            <w:noWrap w:val="false"/>
          </w:tcPr>
          <w:p>
            <w:pPr>
              <w:pStyle w:val="1005"/>
              <w:ind w:left="57" w:right="57"/>
            </w:pPr>
            <w:r>
              <w:t xml:space="preserve">Дата отправления.</w:t>
            </w:r>
            <w:r/>
          </w:p>
          <w:p>
            <w:pPr>
              <w:pStyle w:val="1005"/>
              <w:ind w:left="57" w:right="57"/>
            </w:pPr>
            <w:r>
              <w:t xml:space="preserve">По умолчанию текущая дата. Значение может быть отредактировано пользователем вручную или путем выбора новой даты из календаря.</w:t>
            </w:r>
            <w:r/>
          </w:p>
        </w:tc>
      </w:tr>
      <w:tr>
        <w:trPr/>
        <w:tc>
          <w:tcPr>
            <w:gridSpan w:val="2"/>
            <w:shd w:val="clear" w:fill="auto" w:color="auto"/>
            <w:tcW w:w="9755" w:type="dxa"/>
            <w:textDirection w:val="lrTb"/>
            <w:noWrap w:val="false"/>
          </w:tcPr>
          <w:p>
            <w:pPr>
              <w:pStyle w:val="1005"/>
              <w:ind w:left="57" w:right="57"/>
            </w:pPr>
            <w:r>
              <w:t xml:space="preserve">Группа полей «Принимающая сторона»</w:t>
            </w:r>
            <w:r/>
          </w:p>
        </w:tc>
      </w:tr>
      <w:tr>
        <w:trPr/>
        <w:tc>
          <w:tcPr>
            <w:shd w:val="clear" w:fill="auto" w:color="auto"/>
            <w:tcW w:w="2907" w:type="dxa"/>
            <w:textDirection w:val="lrTb"/>
            <w:noWrap w:val="false"/>
          </w:tcPr>
          <w:p>
            <w:pPr>
              <w:pStyle w:val="1005"/>
              <w:ind w:left="57" w:right="57"/>
            </w:pPr>
            <w:r>
              <w:t xml:space="preserve">Руководитель (уполномоченное лицо). Должность</w:t>
            </w:r>
            <w:r/>
          </w:p>
        </w:tc>
        <w:tc>
          <w:tcPr>
            <w:shd w:val="clear" w:fill="auto" w:color="auto"/>
            <w:tcW w:w="6848" w:type="dxa"/>
            <w:textDirection w:val="lrTb"/>
            <w:noWrap w:val="false"/>
          </w:tcPr>
          <w:p>
            <w:pPr>
              <w:pStyle w:val="1005"/>
              <w:ind w:left="57" w:right="57"/>
            </w:pPr>
            <w:r>
              <w:t xml:space="preserve">Наименование должности руководителя УБП, принимающего акт. </w:t>
            </w:r>
            <w:r/>
          </w:p>
          <w:p>
            <w:pPr>
              <w:pStyle w:val="1005"/>
              <w:ind w:left="57" w:right="57"/>
            </w:pPr>
            <w:r>
              <w:t xml:space="preserve">Заполняется вручную. </w:t>
            </w:r>
            <w:r/>
          </w:p>
        </w:tc>
      </w:tr>
      <w:tr>
        <w:trPr/>
        <w:tc>
          <w:tcPr>
            <w:shd w:val="clear" w:fill="auto" w:color="auto"/>
            <w:tcW w:w="2907" w:type="dxa"/>
            <w:textDirection w:val="lrTb"/>
            <w:noWrap w:val="false"/>
          </w:tcPr>
          <w:p>
            <w:pPr>
              <w:pStyle w:val="1005"/>
              <w:ind w:left="57" w:right="57"/>
            </w:pPr>
            <w:r>
              <w:t xml:space="preserve">Руководитель (уполномоченное лицо). Расшифровка подписи</w:t>
            </w:r>
            <w:r/>
          </w:p>
        </w:tc>
        <w:tc>
          <w:tcPr>
            <w:shd w:val="clear" w:fill="auto" w:color="auto"/>
            <w:tcW w:w="6848" w:type="dxa"/>
            <w:textDirection w:val="lrTb"/>
            <w:noWrap w:val="false"/>
          </w:tcPr>
          <w:p>
            <w:pPr>
              <w:pStyle w:val="1005"/>
              <w:ind w:left="57" w:right="57"/>
            </w:pPr>
            <w:r>
              <w:t xml:space="preserve">ФИО руководителя УБП, принимающего акт.</w:t>
            </w:r>
            <w:r/>
          </w:p>
          <w:p>
            <w:pPr>
              <w:pStyle w:val="1005"/>
              <w:ind w:left="57" w:right="57"/>
            </w:pPr>
            <w:r>
              <w:t xml:space="preserve">Заполняется вручную.</w:t>
            </w:r>
            <w:r/>
          </w:p>
        </w:tc>
      </w:tr>
      <w:tr>
        <w:trPr/>
        <w:tc>
          <w:tcPr>
            <w:shd w:val="clear" w:fill="auto" w:color="auto"/>
            <w:tcW w:w="2907" w:type="dxa"/>
            <w:textDirection w:val="lrTb"/>
            <w:noWrap w:val="false"/>
          </w:tcPr>
          <w:p>
            <w:pPr>
              <w:pStyle w:val="1005"/>
              <w:ind w:left="57" w:right="57"/>
            </w:pPr>
            <w:r>
              <w:t xml:space="preserve">Главный бухгалтер (уполномоченное лицо). Должность</w:t>
            </w:r>
            <w:r/>
          </w:p>
        </w:tc>
        <w:tc>
          <w:tcPr>
            <w:shd w:val="clear" w:fill="auto" w:color="auto"/>
            <w:tcW w:w="6848" w:type="dxa"/>
            <w:textDirection w:val="lrTb"/>
            <w:noWrap w:val="false"/>
          </w:tcPr>
          <w:p>
            <w:pPr>
              <w:pStyle w:val="1005"/>
              <w:ind w:left="57" w:right="57"/>
            </w:pPr>
            <w:r>
              <w:t xml:space="preserve">Наименование должности главного бухгалтера УБП, принимающего акт.</w:t>
            </w:r>
            <w:r/>
          </w:p>
          <w:p>
            <w:pPr>
              <w:pStyle w:val="1005"/>
              <w:ind w:left="57" w:right="57"/>
            </w:pPr>
            <w:r>
              <w:t xml:space="preserve">Заполняется вручную.</w:t>
            </w:r>
            <w:r/>
          </w:p>
        </w:tc>
      </w:tr>
      <w:tr>
        <w:trPr/>
        <w:tc>
          <w:tcPr>
            <w:shd w:val="clear" w:fill="auto" w:color="auto"/>
            <w:tcW w:w="2907" w:type="dxa"/>
            <w:textDirection w:val="lrTb"/>
            <w:noWrap w:val="false"/>
          </w:tcPr>
          <w:p>
            <w:pPr>
              <w:pStyle w:val="1005"/>
              <w:ind w:left="57" w:right="57"/>
            </w:pPr>
            <w:r>
              <w:t xml:space="preserve">Главный бухгалтер (уполномоченное лицо). Расшифровка подписи</w:t>
            </w:r>
            <w:r/>
          </w:p>
        </w:tc>
        <w:tc>
          <w:tcPr>
            <w:shd w:val="clear" w:fill="auto" w:color="auto"/>
            <w:tcW w:w="6848" w:type="dxa"/>
            <w:textDirection w:val="lrTb"/>
            <w:noWrap w:val="false"/>
          </w:tcPr>
          <w:p>
            <w:pPr>
              <w:pStyle w:val="1005"/>
              <w:ind w:left="57" w:right="57"/>
            </w:pPr>
            <w:r>
              <w:t xml:space="preserve">ФИО главного бухгалтера УБП, принимающего акт.</w:t>
            </w:r>
            <w:r/>
          </w:p>
          <w:p>
            <w:pPr>
              <w:pStyle w:val="1005"/>
              <w:ind w:left="57" w:right="57"/>
            </w:pPr>
            <w:r>
              <w:t xml:space="preserve">Заполняется вручную.</w:t>
            </w:r>
            <w:r/>
          </w:p>
        </w:tc>
      </w:tr>
      <w:tr>
        <w:trPr/>
        <w:tc>
          <w:tcPr>
            <w:shd w:val="clear" w:fill="auto" w:color="auto"/>
            <w:tcW w:w="2907" w:type="dxa"/>
            <w:textDirection w:val="lrTb"/>
            <w:noWrap w:val="false"/>
          </w:tcPr>
          <w:p>
            <w:pPr>
              <w:pStyle w:val="1005"/>
              <w:ind w:left="57" w:right="57"/>
            </w:pPr>
            <w:r>
              <w:t xml:space="preserve">Дата подписания</w:t>
            </w:r>
            <w:r/>
          </w:p>
        </w:tc>
        <w:tc>
          <w:tcPr>
            <w:shd w:val="clear" w:fill="auto" w:color="auto"/>
            <w:tcW w:w="6848" w:type="dxa"/>
            <w:textDirection w:val="lrTb"/>
            <w:noWrap w:val="false"/>
          </w:tcPr>
          <w:p>
            <w:pPr>
              <w:pStyle w:val="1005"/>
              <w:ind w:left="57" w:right="57"/>
            </w:pPr>
            <w:r>
              <w:t xml:space="preserve">Дата получения.</w:t>
            </w:r>
            <w:r/>
          </w:p>
          <w:p>
            <w:pPr>
              <w:pStyle w:val="1005"/>
              <w:ind w:left="57" w:right="57"/>
            </w:pPr>
            <w:r>
              <w:t xml:space="preserve">Заполняется вручную или путем выбора из календаря.</w:t>
            </w:r>
            <w:r/>
          </w:p>
        </w:tc>
      </w:tr>
      <w:tr>
        <w:trPr/>
        <w:tc>
          <w:tcPr>
            <w:shd w:val="clear" w:fill="auto" w:color="auto"/>
            <w:tcW w:w="2907" w:type="dxa"/>
            <w:textDirection w:val="lrTb"/>
            <w:noWrap w:val="false"/>
          </w:tcPr>
          <w:p>
            <w:pPr>
              <w:pStyle w:val="1005"/>
              <w:ind w:left="57" w:right="57"/>
            </w:pPr>
            <w:r>
              <w:t xml:space="preserve">Дата регистрации в органе ФК отправителя</w:t>
            </w:r>
            <w:r/>
          </w:p>
        </w:tc>
        <w:tc>
          <w:tcPr>
            <w:shd w:val="clear" w:fill="auto" w:color="auto"/>
            <w:tcW w:w="6848" w:type="dxa"/>
            <w:textDirection w:val="lrTb"/>
            <w:noWrap w:val="false"/>
          </w:tcPr>
          <w:p>
            <w:pPr>
              <w:pStyle w:val="1005"/>
              <w:ind w:left="57" w:right="57"/>
            </w:pPr>
            <w:r>
              <w:t xml:space="preserve">Дата регистрации в органе ФК отправителя. </w:t>
            </w:r>
            <w:r/>
          </w:p>
          <w:p>
            <w:pPr>
              <w:pStyle w:val="1005"/>
              <w:ind w:left="57" w:right="57"/>
            </w:pPr>
            <w:r>
              <w:t xml:space="preserve">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r/>
          </w:p>
        </w:tc>
      </w:tr>
      <w:tr>
        <w:trPr/>
        <w:tc>
          <w:tcPr>
            <w:shd w:val="clear" w:fill="auto" w:color="auto"/>
            <w:tcW w:w="2907" w:type="dxa"/>
            <w:textDirection w:val="lrTb"/>
            <w:noWrap w:val="false"/>
          </w:tcPr>
          <w:p>
            <w:pPr>
              <w:pStyle w:val="1005"/>
              <w:ind w:left="57" w:right="57"/>
            </w:pPr>
            <w:r>
              <w:t xml:space="preserve">Дата регистрации в органе ФК получателя</w:t>
            </w:r>
            <w:r/>
          </w:p>
        </w:tc>
        <w:tc>
          <w:tcPr>
            <w:shd w:val="clear" w:fill="auto" w:color="auto"/>
            <w:tcW w:w="6848" w:type="dxa"/>
            <w:textDirection w:val="lrTb"/>
            <w:noWrap w:val="false"/>
          </w:tcPr>
          <w:p>
            <w:pPr>
              <w:pStyle w:val="1005"/>
              <w:ind w:left="57" w:right="57"/>
            </w:pPr>
            <w:r>
              <w:t xml:space="preserve">Дата регистрации в органе ФК получателя. </w:t>
            </w:r>
            <w:r/>
          </w:p>
          <w:p>
            <w:pPr>
              <w:pStyle w:val="1005"/>
              <w:ind w:left="57" w:right="57"/>
            </w:pPr>
            <w:r>
              <w:t xml:space="preserve">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r/>
          </w:p>
        </w:tc>
      </w:tr>
    </w:tbl>
    <w:p>
      <w:pPr>
        <w:pStyle w:val="972"/>
      </w:pPr>
      <w:r/>
      <w:bookmarkStart w:id="1212" w:name="_Ref468884232"/>
      <w:r/>
      <w:bookmarkStart w:id="1213" w:name="_Toc88819131"/>
      <w:r>
        <w:t xml:space="preserve">Акт приемки-передачи показателей лицевого счета бюджета</w:t>
      </w:r>
      <w:bookmarkEnd w:id="1209"/>
      <w:r/>
      <w:bookmarkEnd w:id="1210"/>
      <w:r/>
      <w:bookmarkEnd w:id="1211"/>
      <w:r/>
      <w:bookmarkEnd w:id="1212"/>
      <w:r/>
      <w:bookmarkEnd w:id="1213"/>
      <w:r/>
      <w:r/>
    </w:p>
    <w:p>
      <w:pPr>
        <w:pStyle w:val="994"/>
      </w:pPr>
      <w:r>
        <w:t xml:space="preserve">Документ «Акт приемки-передачи показателей лицевого счета бюджета» предназначен для передачи показателей лицевого счета бюджета в случае образования нового ФО.</w:t>
      </w:r>
      <w:r/>
    </w:p>
    <w:p>
      <w:pPr>
        <w:pStyle w:val="994"/>
      </w:pPr>
      <w:r>
        <w:t xml:space="preserve">Документ создается ФО, передающим показатели ЛС, согласовывается с ФО, принимающим показатели ЛС, и в согласованном виде направляется в ОрФК, который передает документ.</w:t>
      </w:r>
      <w:r/>
    </w:p>
    <w:p>
      <w:pPr>
        <w:pStyle w:val="994"/>
      </w:pPr>
      <w:r>
        <w:t xml:space="preserve">Для работы с документами «Акт приемки-передачи показателей лицевого счета бюджета» следует перейти в пункт меню «Документы – Реорганизация – Акт приемки-передачи показателей ЛС бюджета». Откроется ЭФ списка документов, представленная на рисунке </w:t>
      </w:r>
      <w:r>
        <w:fldChar w:fldCharType="begin"/>
      </w:r>
      <w:r>
        <w:instrText xml:space="preserve"> REF _Ref388365570 \h </w:instrText>
      </w:r>
      <w:r>
        <w:instrText xml:space="preserve"> \* MERGEFORMAT </w:instrText>
      </w:r>
      <w:r>
        <w:fldChar w:fldCharType="separate"/>
      </w:r>
      <w:r>
        <w:t xml:space="preserve">156</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3749040"/>
                <wp:effectExtent l="0" t="0" r="0" b="0"/>
                <wp:docPr id="24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22"/>
                        <a:stretch/>
                      </pic:blipFill>
                      <pic:spPr bwMode="auto">
                        <a:xfrm>
                          <a:off x="0" y="0"/>
                          <a:ext cx="6035039" cy="37490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4" o:spid="_x0000_s244" type="#_x0000_t75" style="mso-wrap-distance-left:0.0pt;mso-wrap-distance-top:0.0pt;mso-wrap-distance-right:0.0pt;mso-wrap-distance-bottom:0.0pt;width:475.2pt;height:295.2pt;" stroked="f">
                <v:path textboxrect="0,0,0,0"/>
                <v:imagedata r:id="rId222" o:title=""/>
              </v:shape>
            </w:pict>
          </mc:Fallback>
        </mc:AlternateContent>
      </w:r>
      <w:r/>
    </w:p>
    <w:p>
      <w:pPr>
        <w:pStyle w:val="983"/>
      </w:pPr>
      <w:r>
        <w:fldChar w:fldCharType="begin"/>
      </w:r>
      <w:r>
        <w:instrText xml:space="preserve"> SEQ Рисунок \* ARABIC </w:instrText>
      </w:r>
      <w:r>
        <w:fldChar w:fldCharType="separate"/>
      </w:r>
      <w:bookmarkStart w:id="1214" w:name="_Ref388365570"/>
      <w:r/>
      <w:bookmarkStart w:id="1215" w:name="_Toc88819541"/>
      <w:r>
        <w:t xml:space="preserve">156</w:t>
      </w:r>
      <w:bookmarkEnd w:id="1214"/>
      <w:r>
        <w:fldChar w:fldCharType="end"/>
      </w:r>
      <w:r>
        <w:t xml:space="preserve">. ЭФ списка документов «Акт приемки-передачи показателей лицевого счета бюджета»</w:t>
      </w:r>
      <w:bookmarkEnd w:id="1215"/>
      <w:r/>
      <w:r/>
    </w:p>
    <w:p>
      <w:pPr>
        <w:pStyle w:val="973"/>
      </w:pPr>
      <w:r>
        <w:t xml:space="preserve">Доступные операции</w:t>
      </w:r>
      <w:r/>
    </w:p>
    <w:p>
      <w:pPr>
        <w:pStyle w:val="994"/>
      </w:pPr>
      <w:r>
        <w:t xml:space="preserve">На АРМ ФО доступны следующие операции над документом:</w:t>
      </w:r>
      <w:r/>
    </w:p>
    <w:p>
      <w:pPr>
        <w:pStyle w:val="985"/>
      </w:pPr>
      <w:r>
        <w:t xml:space="preserve">Для входящих документов:</w:t>
      </w:r>
      <w:r/>
    </w:p>
    <w:p>
      <w:pPr>
        <w:pStyle w:val="986"/>
      </w:pPr>
      <w:r>
        <w:t xml:space="preserve">просмотр;</w:t>
      </w:r>
      <w:r/>
    </w:p>
    <w:p>
      <w:pPr>
        <w:pStyle w:val="986"/>
      </w:pPr>
      <w:r>
        <w:t xml:space="preserve">печать</w:t>
      </w:r>
      <w:r>
        <w:t xml:space="preserve">;</w:t>
      </w:r>
      <w:r/>
    </w:p>
    <w:p>
      <w:pPr>
        <w:pStyle w:val="986"/>
      </w:pPr>
      <w:r>
        <w:t xml:space="preserve">загрузка из OEBS</w:t>
      </w:r>
      <w:r>
        <w:t xml:space="preserve">.</w:t>
      </w:r>
      <w:r/>
    </w:p>
    <w:p>
      <w:pPr>
        <w:pStyle w:val="985"/>
      </w:pPr>
      <w:r>
        <w:t xml:space="preserve">Для исходящих документов:</w:t>
      </w:r>
      <w:r/>
    </w:p>
    <w:p>
      <w:pPr>
        <w:pStyle w:val="986"/>
      </w:pPr>
      <w:r>
        <w:t xml:space="preserve">создание вручную</w:t>
      </w:r>
      <w:r>
        <w:t xml:space="preserve">;</w:t>
      </w:r>
      <w:r/>
    </w:p>
    <w:p>
      <w:pPr>
        <w:pStyle w:val="986"/>
      </w:pPr>
      <w:r>
        <w:t xml:space="preserve">просмотр и редактирование;</w:t>
      </w:r>
      <w:r/>
    </w:p>
    <w:p>
      <w:pPr>
        <w:pStyle w:val="986"/>
      </w:pPr>
      <w:r>
        <w:t xml:space="preserve">копирование и </w:t>
      </w:r>
      <w:r>
        <w:t xml:space="preserve">удаление;</w:t>
      </w:r>
      <w:r/>
    </w:p>
    <w:p>
      <w:pPr>
        <w:pStyle w:val="986"/>
      </w:pPr>
      <w:r>
        <w:t xml:space="preserve">импорт</w:t>
      </w:r>
      <w:r>
        <w:t xml:space="preserve"> из внешней системы</w:t>
      </w:r>
      <w:r>
        <w:t xml:space="preserve">;</w:t>
      </w:r>
      <w:r/>
    </w:p>
    <w:p>
      <w:pPr>
        <w:pStyle w:val="986"/>
      </w:pPr>
      <w:r>
        <w:t xml:space="preserve">подписание</w:t>
      </w:r>
      <w:r>
        <w:t xml:space="preserve">, проверка и удаление</w:t>
      </w:r>
      <w:r>
        <w:t xml:space="preserve"> </w:t>
      </w:r>
      <w:r>
        <w:t xml:space="preserve">ЭП</w:t>
      </w:r>
      <w:r>
        <w:t xml:space="preserve">;</w:t>
      </w:r>
      <w:r/>
    </w:p>
    <w:p>
      <w:pPr>
        <w:pStyle w:val="986"/>
      </w:pPr>
      <w:r>
        <w:t xml:space="preserve">печать</w:t>
      </w:r>
      <w:r>
        <w:t xml:space="preserve">;</w:t>
      </w:r>
      <w:r/>
    </w:p>
    <w:p>
      <w:pPr>
        <w:pStyle w:val="986"/>
      </w:pPr>
      <w:r>
        <w:t xml:space="preserve">откат статуса;</w:t>
      </w:r>
      <w:r/>
    </w:p>
    <w:p>
      <w:pPr>
        <w:pStyle w:val="986"/>
      </w:pPr>
      <w:r>
        <w:t xml:space="preserve">выгрузка в OEBS;</w:t>
      </w:r>
      <w:r/>
    </w:p>
    <w:p>
      <w:pPr>
        <w:pStyle w:val="986"/>
      </w:pPr>
      <w:r>
        <w:t xml:space="preserve">отправка в ОрФК.</w:t>
      </w:r>
      <w:r/>
    </w:p>
    <w:p>
      <w:pPr>
        <w:pStyle w:val="973"/>
      </w:pPr>
      <w:r>
        <w:t xml:space="preserve">Экранная форма документа</w:t>
      </w:r>
      <w:r/>
    </w:p>
    <w:p>
      <w:pPr>
        <w:pStyle w:val="994"/>
      </w:pPr>
      <w:r>
        <w:t xml:space="preserve">ЭФ документа «Акт приемки-передачи показателей ЛС бюджета» представлена на рисунках </w:t>
      </w:r>
      <w:r>
        <w:fldChar w:fldCharType="begin"/>
      </w:r>
      <w:r>
        <w:instrText xml:space="preserve"> REF _Ref388365493 \h </w:instrText>
      </w:r>
      <w:r>
        <w:instrText xml:space="preserve"> \* MERGEFORMAT </w:instrText>
      </w:r>
      <w:r>
        <w:fldChar w:fldCharType="separate"/>
      </w:r>
      <w:r>
        <w:t xml:space="preserve">157</w:t>
      </w:r>
      <w:r>
        <w:fldChar w:fldCharType="end"/>
      </w:r>
      <w:r>
        <w:t xml:space="preserve"> и </w:t>
      </w:r>
      <w:r>
        <w:fldChar w:fldCharType="begin"/>
      </w:r>
      <w:r>
        <w:instrText xml:space="preserve"> REF _Ref388365109 \h </w:instrText>
      </w:r>
      <w:r>
        <w:instrText xml:space="preserve"> \* MERGEFORMAT </w:instrText>
      </w:r>
      <w:r>
        <w:fldChar w:fldCharType="separate"/>
      </w:r>
      <w:r>
        <w:t xml:space="preserve">162</w:t>
      </w:r>
      <w:r>
        <w:fldChar w:fldCharType="end"/>
      </w:r>
      <w:r>
        <w:t xml:space="preserve">. Форма содержит следующие закладки:</w:t>
      </w:r>
      <w:r/>
    </w:p>
    <w:p>
      <w:pPr>
        <w:pStyle w:val="985"/>
      </w:pPr>
      <w:r>
        <w:t xml:space="preserve">«Документ»:</w:t>
      </w:r>
      <w:r/>
    </w:p>
    <w:p>
      <w:pPr>
        <w:pStyle w:val="986"/>
      </w:pPr>
      <w:r>
        <w:t xml:space="preserve">«Раздел 1.1. Остатки на лицевом счете»;</w:t>
      </w:r>
      <w:r/>
    </w:p>
    <w:p>
      <w:pPr>
        <w:pStyle w:val="986"/>
      </w:pPr>
      <w:r>
        <w:t xml:space="preserve">«Раздел 1.2. Операции с бюджетными средствами»;</w:t>
      </w:r>
      <w:r/>
    </w:p>
    <w:p>
      <w:pPr>
        <w:pStyle w:val="986"/>
      </w:pPr>
      <w:r>
        <w:t xml:space="preserve">«Раздел 1.3. Предельные объемы финансирования»;</w:t>
      </w:r>
      <w:r/>
    </w:p>
    <w:p>
      <w:pPr>
        <w:pStyle w:val="985"/>
      </w:pPr>
      <w:r>
        <w:t xml:space="preserve">«Дополнительные атрибут</w:t>
      </w:r>
      <w:r>
        <w:t xml:space="preserve">ы»;</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126480" cy="3025140"/>
                <wp:effectExtent l="0" t="0" r="0" b="0"/>
                <wp:docPr id="24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23"/>
                        <a:stretch/>
                      </pic:blipFill>
                      <pic:spPr bwMode="auto">
                        <a:xfrm>
                          <a:off x="0" y="0"/>
                          <a:ext cx="6126480" cy="30251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5" o:spid="_x0000_s245" type="#_x0000_t75" style="mso-wrap-distance-left:0.0pt;mso-wrap-distance-top:0.0pt;mso-wrap-distance-right:0.0pt;mso-wrap-distance-bottom:0.0pt;width:482.4pt;height:238.2pt;" stroked="f">
                <v:path textboxrect="0,0,0,0"/>
                <v:imagedata r:id="rId223" o:title=""/>
              </v:shape>
            </w:pict>
          </mc:Fallback>
        </mc:AlternateContent>
      </w:r>
      <w:r/>
    </w:p>
    <w:p>
      <w:pPr>
        <w:pStyle w:val="983"/>
      </w:pPr>
      <w:r>
        <w:fldChar w:fldCharType="begin"/>
      </w:r>
      <w:r>
        <w:instrText xml:space="preserve"> SEQ Рисунок \* ARABIC </w:instrText>
      </w:r>
      <w:r>
        <w:fldChar w:fldCharType="separate"/>
      </w:r>
      <w:bookmarkStart w:id="1216" w:name="_Ref388365493"/>
      <w:r/>
      <w:bookmarkStart w:id="1217" w:name="_Toc88819542"/>
      <w:r>
        <w:t xml:space="preserve">157</w:t>
      </w:r>
      <w:bookmarkEnd w:id="1216"/>
      <w:r>
        <w:fldChar w:fldCharType="end"/>
      </w:r>
      <w:r>
        <w:t xml:space="preserve">. ЭФ документа «Акт приемки-передачи показателей лицевого счета бюджета</w:t>
      </w:r>
      <w:r>
        <w:t xml:space="preserve">», закладки «</w:t>
      </w:r>
      <w:r>
        <w:t xml:space="preserve">Документ</w:t>
      </w:r>
      <w:r>
        <w:t xml:space="preserve">», в</w:t>
      </w:r>
      <w:r>
        <w:t xml:space="preserve">кладки «</w:t>
      </w:r>
      <w:r>
        <w:t xml:space="preserve">Раздел 1.1. Остатки на лицевом счете»</w:t>
      </w:r>
      <w:bookmarkEnd w:id="1217"/>
      <w:r/>
      <w:r/>
    </w:p>
    <w:p>
      <w:pPr>
        <w:pStyle w:val="994"/>
      </w:pPr>
      <w:r>
        <w:t xml:space="preserve">Для ручного ввода документа следует на ЭФ документа заполнить поля, доступные для редактирования. </w:t>
      </w:r>
      <w:r/>
    </w:p>
    <w:p>
      <w:pPr>
        <w:pStyle w:val="994"/>
      </w:pPr>
      <w:r>
        <w:t xml:space="preserve">Перечень полей </w:t>
      </w:r>
      <w:r>
        <w:t xml:space="preserve">документа «Акт приемки-передачи показателей лицевого счета бюджета», закладки «Документ», вкладки «Раздел 1.1. Остатки на лицевом счете»</w:t>
      </w:r>
      <w:r>
        <w:t xml:space="preserve"> </w:t>
      </w:r>
      <w:r>
        <w:t xml:space="preserve">приведен в таблице</w:t>
      </w:r>
      <w:r>
        <w:t xml:space="preserve"> </w:t>
      </w:r>
      <w:r>
        <w:fldChar w:fldCharType="begin"/>
      </w:r>
      <w:r>
        <w:instrText xml:space="preserve"> REF _Ref388365452 \h </w:instrText>
      </w:r>
      <w:r>
        <w:instrText xml:space="preserve"> \* MERGEFORMAT </w:instrText>
      </w:r>
      <w:r>
        <w:fldChar w:fldCharType="separate"/>
      </w:r>
      <w:r>
        <w:t xml:space="preserve">85</w:t>
      </w:r>
      <w:r>
        <w:fldChar w:fldCharType="end"/>
      </w:r>
      <w:r>
        <w:t xml:space="preserve">.</w:t>
      </w:r>
      <w:r/>
    </w:p>
    <w:p>
      <w:pPr>
        <w:pStyle w:val="993"/>
      </w:pPr>
      <w:r>
        <w:fldChar w:fldCharType="begin"/>
      </w:r>
      <w:r>
        <w:instrText xml:space="preserve"> SEQ Таблица \* ARABIC </w:instrText>
      </w:r>
      <w:r>
        <w:fldChar w:fldCharType="separate"/>
      </w:r>
      <w:bookmarkStart w:id="1218" w:name="_Ref388365452"/>
      <w:r/>
      <w:bookmarkStart w:id="1219" w:name="_Toc88819271"/>
      <w:r>
        <w:t xml:space="preserve">85</w:t>
      </w:r>
      <w:bookmarkEnd w:id="1218"/>
      <w:r>
        <w:fldChar w:fldCharType="end"/>
      </w:r>
      <w:r>
        <w:t xml:space="preserve">. Описание полей документа «Акт приемки-передачи показателей лицевого счета бюджета</w:t>
      </w:r>
      <w:r>
        <w:t xml:space="preserve">», закладки «</w:t>
      </w:r>
      <w:r>
        <w:t xml:space="preserve">Документ</w:t>
      </w:r>
      <w:r>
        <w:t xml:space="preserve">», в</w:t>
      </w:r>
      <w:r>
        <w:t xml:space="preserve">кладки «</w:t>
      </w:r>
      <w:r>
        <w:t xml:space="preserve">Раздел 1.1. Остатки на лицевом счете»</w:t>
      </w:r>
      <w:bookmarkEnd w:id="1219"/>
      <w:r/>
      <w:r/>
    </w:p>
    <w:tbl>
      <w:tblPr>
        <w:tblW w:w="5056"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2394"/>
        <w:gridCol w:w="7467"/>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21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86" w:type="pct"/>
            <w:vAlign w:val="center"/>
            <w:textDirection w:val="lrTb"/>
            <w:noWrap w:val="false"/>
          </w:tcPr>
          <w:p>
            <w:pPr>
              <w:pStyle w:val="1006"/>
            </w:pPr>
            <w:r>
              <w:t xml:space="preserve">Описание поля</w:t>
            </w:r>
            <w:r/>
          </w:p>
        </w:tc>
      </w:tr>
      <w:tr>
        <w:trPr/>
        <w:tc>
          <w:tcPr>
            <w:shd w:val="clear" w:fill="auto" w:color="auto"/>
            <w:tcW w:w="1214" w:type="pct"/>
            <w:textDirection w:val="lrTb"/>
            <w:noWrap w:val="false"/>
          </w:tcPr>
          <w:p>
            <w:pPr>
              <w:pStyle w:val="1005"/>
              <w:ind w:left="57" w:right="57"/>
            </w:pPr>
            <w:r>
              <w:t xml:space="preserve">Номер</w:t>
            </w:r>
            <w:r/>
          </w:p>
        </w:tc>
        <w:tc>
          <w:tcPr>
            <w:shd w:val="clear" w:fill="auto" w:color="auto"/>
            <w:tcW w:w="3786" w:type="pct"/>
            <w:textDirection w:val="lrTb"/>
            <w:noWrap w:val="false"/>
          </w:tcPr>
          <w:p>
            <w:pPr>
              <w:pStyle w:val="1005"/>
              <w:ind w:left="57" w:right="57"/>
            </w:pPr>
            <w:r>
              <w:t xml:space="preserve">Номер ЛС реорганизуемого Финансового органа. </w:t>
            </w:r>
            <w:r/>
          </w:p>
          <w:p>
            <w:pPr>
              <w:pStyle w:val="1005"/>
              <w:ind w:left="57" w:right="57"/>
            </w:pPr>
            <w:r>
              <w:t xml:space="preserve">Заполняется вручную или выбором из справочника ЛС</w:t>
            </w:r>
            <w:r>
              <w:t xml:space="preserve">.</w:t>
            </w:r>
            <w:r/>
          </w:p>
        </w:tc>
      </w:tr>
      <w:tr>
        <w:trPr/>
        <w:tc>
          <w:tcPr>
            <w:shd w:val="clear" w:fill="auto" w:color="auto"/>
            <w:tcW w:w="1214" w:type="pct"/>
            <w:textDirection w:val="lrTb"/>
            <w:noWrap w:val="false"/>
          </w:tcPr>
          <w:p>
            <w:pPr>
              <w:pStyle w:val="1005"/>
              <w:ind w:left="57" w:right="57"/>
            </w:pPr>
            <w:r>
              <w:t xml:space="preserve">Дата акта</w:t>
            </w:r>
            <w:r/>
          </w:p>
        </w:tc>
        <w:tc>
          <w:tcPr>
            <w:shd w:val="clear" w:fill="auto" w:color="auto"/>
            <w:tcW w:w="3786" w:type="pct"/>
            <w:textDirection w:val="lrTb"/>
            <w:noWrap w:val="false"/>
          </w:tcPr>
          <w:p>
            <w:pPr>
              <w:pStyle w:val="1005"/>
              <w:ind w:left="57" w:right="57"/>
            </w:pPr>
            <w:r>
              <w:t xml:space="preserve">Дата формирования акта. </w:t>
            </w:r>
            <w:r/>
          </w:p>
          <w:p>
            <w:pPr>
              <w:pStyle w:val="1005"/>
              <w:ind w:left="57" w:right="57"/>
            </w:pPr>
            <w:r>
              <w:t xml:space="preserve">По умолчанию текущая дата, значение может быть отредактировано пользователем вручную или путем выбора новой даты из календаря дат</w:t>
            </w:r>
            <w:r>
              <w:t xml:space="preserve">.</w:t>
            </w:r>
            <w:r/>
          </w:p>
        </w:tc>
      </w:tr>
      <w:tr>
        <w:trPr/>
        <w:tc>
          <w:tcPr>
            <w:shd w:val="clear" w:fill="auto" w:color="auto"/>
            <w:tcW w:w="1214" w:type="pct"/>
            <w:textDirection w:val="lrTb"/>
            <w:noWrap w:val="false"/>
          </w:tcPr>
          <w:p>
            <w:pPr>
              <w:pStyle w:val="1005"/>
              <w:ind w:left="57" w:right="57"/>
            </w:pPr>
            <w:r>
              <w:t xml:space="preserve">Статус</w:t>
            </w:r>
            <w:r/>
          </w:p>
        </w:tc>
        <w:tc>
          <w:tcPr>
            <w:shd w:val="clear" w:fill="auto" w:color="auto"/>
            <w:tcW w:w="3786" w:type="pct"/>
            <w:textDirection w:val="lrTb"/>
            <w:noWrap w:val="false"/>
          </w:tcPr>
          <w:p>
            <w:pPr>
              <w:pStyle w:val="1005"/>
              <w:ind w:left="57" w:right="57"/>
            </w:pPr>
            <w:r>
              <w:t xml:space="preserve">Код бизнес-статуса документа.</w:t>
            </w:r>
            <w:r/>
          </w:p>
          <w:p>
            <w:pPr>
              <w:pStyle w:val="1005"/>
              <w:ind w:left="57" w:right="57"/>
            </w:pPr>
            <w:r>
              <w:t xml:space="preserve">Значение заполняется автоматически при обработке или передается из OEBS</w:t>
            </w:r>
            <w:r>
              <w:t xml:space="preserve">.</w:t>
            </w:r>
            <w:r/>
          </w:p>
        </w:tc>
      </w:tr>
      <w:tr>
        <w:trPr/>
        <w:tc>
          <w:tcPr>
            <w:gridSpan w:val="2"/>
            <w:shd w:val="clear" w:fill="auto" w:color="auto"/>
            <w:tcW w:w="5000" w:type="pct"/>
            <w:textDirection w:val="lrTb"/>
            <w:noWrap w:val="false"/>
          </w:tcPr>
          <w:p>
            <w:pPr>
              <w:pStyle w:val="1005"/>
              <w:ind w:left="57" w:right="57"/>
            </w:pPr>
            <w:r>
              <w:t xml:space="preserve">Г</w:t>
            </w:r>
            <w:r>
              <w:t xml:space="preserve">руппа полей «</w:t>
            </w:r>
            <w:r>
              <w:t xml:space="preserve">Наименования»</w:t>
            </w:r>
            <w:r/>
          </w:p>
        </w:tc>
      </w:tr>
      <w:tr>
        <w:trPr/>
        <w:tc>
          <w:tcPr>
            <w:shd w:val="clear" w:fill="auto" w:color="auto"/>
            <w:tcW w:w="1214" w:type="pct"/>
            <w:textDirection w:val="lrTb"/>
            <w:noWrap w:val="false"/>
          </w:tcPr>
          <w:p>
            <w:pPr>
              <w:pStyle w:val="1005"/>
              <w:ind w:left="57" w:right="57"/>
            </w:pPr>
            <w:r>
              <w:t xml:space="preserve">Бюджет передающий</w:t>
            </w:r>
            <w:r/>
          </w:p>
        </w:tc>
        <w:tc>
          <w:tcPr>
            <w:shd w:val="clear" w:fill="auto" w:color="auto"/>
            <w:tcW w:w="3786" w:type="pct"/>
            <w:textDirection w:val="lrTb"/>
            <w:noWrap w:val="false"/>
          </w:tcPr>
          <w:p>
            <w:pPr>
              <w:pStyle w:val="1005"/>
              <w:ind w:left="57" w:right="57"/>
            </w:pPr>
            <w:r>
              <w:t xml:space="preserve">Наименование бюджета ФО, передающего акт. </w:t>
            </w:r>
            <w:r/>
          </w:p>
          <w:p>
            <w:pPr>
              <w:pStyle w:val="1005"/>
              <w:ind w:left="57" w:right="57"/>
            </w:pPr>
            <w:r>
              <w:t xml:space="preserve">Заполняется автоматически из справочника «Бюджеты» на основании кода, указанного в системной константе </w:t>
            </w:r>
            <w:r>
              <w:t xml:space="preserve">SelfBudgetCode (Код бюджета)</w:t>
            </w:r>
            <w:r>
              <w:t xml:space="preserve">, </w:t>
            </w:r>
            <w:r>
              <w:t xml:space="preserve">м</w:t>
            </w:r>
            <w:r>
              <w:t xml:space="preserve">ожет быть изменено вручную или выбором из справочника Бюджетов</w:t>
            </w:r>
            <w:r>
              <w:t xml:space="preserve">.</w:t>
            </w:r>
            <w:r/>
          </w:p>
        </w:tc>
      </w:tr>
      <w:tr>
        <w:trPr/>
        <w:tc>
          <w:tcPr>
            <w:shd w:val="clear" w:fill="auto" w:color="auto"/>
            <w:tcW w:w="1214" w:type="pct"/>
            <w:textDirection w:val="lrTb"/>
            <w:noWrap w:val="false"/>
          </w:tcPr>
          <w:p>
            <w:pPr>
              <w:pStyle w:val="1005"/>
              <w:ind w:left="57" w:right="57"/>
            </w:pPr>
            <w:r>
              <w:t xml:space="preserve">Финансовый орган передающий</w:t>
            </w:r>
            <w:r/>
          </w:p>
        </w:tc>
        <w:tc>
          <w:tcPr>
            <w:shd w:val="clear" w:fill="auto" w:color="auto"/>
            <w:tcW w:w="3786" w:type="pct"/>
            <w:textDirection w:val="lrTb"/>
            <w:noWrap w:val="false"/>
          </w:tcPr>
          <w:p>
            <w:pPr>
              <w:pStyle w:val="1005"/>
              <w:ind w:left="57" w:right="57"/>
            </w:pPr>
            <w:r>
              <w:t xml:space="preserve">Наименование ФО, передающего акт. </w:t>
            </w:r>
            <w:r/>
          </w:p>
          <w:p>
            <w:pPr>
              <w:pStyle w:val="1005"/>
              <w:ind w:left="57" w:right="57"/>
            </w:pPr>
            <w:r>
              <w:t xml:space="preserve">Заполняется автоматически наименованием с актуальным кодом ФО, соответствующим бюджету в справочнике «Финансовые органы». Может быть </w:t>
            </w:r>
            <w:r>
              <w:t xml:space="preserve">изменено вручную или выбрано из справочника «Финансовые органы»</w:t>
            </w:r>
            <w:r>
              <w:t xml:space="preserve">.</w:t>
            </w:r>
            <w:r/>
          </w:p>
        </w:tc>
      </w:tr>
      <w:tr>
        <w:trPr/>
        <w:tc>
          <w:tcPr>
            <w:shd w:val="clear" w:fill="auto" w:color="auto"/>
            <w:tcW w:w="1214" w:type="pct"/>
            <w:textDirection w:val="lrTb"/>
            <w:noWrap w:val="false"/>
          </w:tcPr>
          <w:p>
            <w:pPr>
              <w:pStyle w:val="1005"/>
              <w:ind w:left="57" w:right="57"/>
            </w:pPr>
            <w:r>
              <w:t xml:space="preserve">Орган ФК-передающий</w:t>
            </w:r>
            <w:r/>
          </w:p>
        </w:tc>
        <w:tc>
          <w:tcPr>
            <w:shd w:val="clear" w:fill="auto" w:color="auto"/>
            <w:tcW w:w="3786" w:type="pct"/>
            <w:textDirection w:val="lrTb"/>
            <w:noWrap w:val="false"/>
          </w:tcPr>
          <w:p>
            <w:pPr>
              <w:pStyle w:val="1005"/>
              <w:ind w:left="57" w:right="57"/>
            </w:pPr>
            <w:r>
              <w:t xml:space="preserve">Наименование органа ФК для ФО, передающего акт. </w:t>
            </w:r>
            <w:r/>
          </w:p>
          <w:p>
            <w:pPr>
              <w:pStyle w:val="1005"/>
              <w:ind w:left="57" w:right="57"/>
            </w:pPr>
            <w:r>
              <w:t xml:space="preserve">Заполняется автоматически после выбора значения из справочника для поля «по КОФК» для органа ФК, передающего акт.</w:t>
            </w:r>
            <w:r/>
          </w:p>
        </w:tc>
      </w:tr>
      <w:tr>
        <w:trPr/>
        <w:tc>
          <w:tcPr>
            <w:shd w:val="clear" w:fill="auto" w:color="auto"/>
            <w:tcW w:w="1214" w:type="pct"/>
            <w:textDirection w:val="lrTb"/>
            <w:noWrap w:val="false"/>
          </w:tcPr>
          <w:p>
            <w:pPr>
              <w:pStyle w:val="1005"/>
              <w:ind w:left="57" w:right="57"/>
            </w:pPr>
            <w:r>
              <w:t xml:space="preserve">Бюджет принимающий</w:t>
            </w:r>
            <w:r/>
          </w:p>
        </w:tc>
        <w:tc>
          <w:tcPr>
            <w:shd w:val="clear" w:fill="auto" w:color="auto"/>
            <w:tcW w:w="3786" w:type="pct"/>
            <w:textDirection w:val="lrTb"/>
            <w:noWrap w:val="false"/>
          </w:tcPr>
          <w:p>
            <w:pPr>
              <w:pStyle w:val="1005"/>
              <w:ind w:left="57" w:right="57"/>
            </w:pPr>
            <w:r>
              <w:t xml:space="preserve">Наименование бюджета ФО, принимающего акт. </w:t>
            </w:r>
            <w:r/>
          </w:p>
          <w:p>
            <w:pPr>
              <w:pStyle w:val="1005"/>
              <w:ind w:left="57" w:right="57"/>
            </w:pPr>
            <w:r>
              <w:t xml:space="preserve">Поле выбирается из справочника «Бюджеты», может быть отредактировано вручную.</w:t>
            </w:r>
            <w:r/>
          </w:p>
        </w:tc>
      </w:tr>
      <w:tr>
        <w:trPr/>
        <w:tc>
          <w:tcPr>
            <w:shd w:val="clear" w:fill="auto" w:color="auto"/>
            <w:tcW w:w="1214" w:type="pct"/>
            <w:textDirection w:val="lrTb"/>
            <w:noWrap w:val="false"/>
          </w:tcPr>
          <w:p>
            <w:pPr>
              <w:pStyle w:val="1005"/>
              <w:ind w:left="57" w:right="57"/>
            </w:pPr>
            <w:r>
              <w:t xml:space="preserve">Финансовый орган принимающий</w:t>
            </w:r>
            <w:r/>
          </w:p>
        </w:tc>
        <w:tc>
          <w:tcPr>
            <w:shd w:val="clear" w:fill="auto" w:color="auto"/>
            <w:tcW w:w="3786" w:type="pct"/>
            <w:textDirection w:val="lrTb"/>
            <w:noWrap w:val="false"/>
          </w:tcPr>
          <w:p>
            <w:pPr>
              <w:pStyle w:val="1005"/>
              <w:ind w:left="57" w:right="57"/>
            </w:pPr>
            <w:r>
              <w:t xml:space="preserve">Наименование ФО, принимающего акт. </w:t>
            </w:r>
            <w:r/>
          </w:p>
          <w:p>
            <w:pPr>
              <w:pStyle w:val="1005"/>
              <w:ind w:left="57" w:right="57"/>
            </w:pPr>
            <w:r>
              <w:t xml:space="preserve">Поле выбирается из справочника «Финансовые органы», может быть отредактировано вручную.</w:t>
            </w:r>
            <w:r/>
          </w:p>
        </w:tc>
      </w:tr>
      <w:tr>
        <w:trPr/>
        <w:tc>
          <w:tcPr>
            <w:shd w:val="clear" w:fill="auto" w:color="auto"/>
            <w:tcW w:w="1214" w:type="pct"/>
            <w:textDirection w:val="lrTb"/>
            <w:noWrap w:val="false"/>
          </w:tcPr>
          <w:p>
            <w:pPr>
              <w:pStyle w:val="1005"/>
              <w:ind w:left="57" w:right="57"/>
            </w:pPr>
            <w:r>
              <w:t xml:space="preserve">Орган ФК-принимающий</w:t>
            </w:r>
            <w:r/>
          </w:p>
        </w:tc>
        <w:tc>
          <w:tcPr>
            <w:shd w:val="clear" w:fill="auto" w:color="auto"/>
            <w:tcW w:w="3786" w:type="pct"/>
            <w:textDirection w:val="lrTb"/>
            <w:noWrap w:val="false"/>
          </w:tcPr>
          <w:p>
            <w:pPr>
              <w:pStyle w:val="1005"/>
              <w:ind w:left="57" w:right="57"/>
            </w:pPr>
            <w:r>
              <w:t xml:space="preserve">Наименование ор</w:t>
            </w:r>
            <w:r>
              <w:t xml:space="preserve">г</w:t>
            </w:r>
            <w:r>
              <w:t xml:space="preserve">ана ФК получателя</w:t>
            </w:r>
            <w:r>
              <w:t xml:space="preserve">, принимающего акт. </w:t>
            </w:r>
            <w:r/>
          </w:p>
          <w:p>
            <w:pPr>
              <w:pStyle w:val="1005"/>
              <w:ind w:left="57" w:right="57"/>
            </w:pPr>
            <w:r>
              <w:t xml:space="preserve">Подтягивается автоматически из справочника «</w:t>
            </w:r>
            <w:r>
              <w:t xml:space="preserve">Справочник органов Федерального казначейства</w:t>
            </w:r>
            <w:r>
              <w:t xml:space="preserve">» на основании поля «КОФК».</w:t>
            </w:r>
            <w:r/>
          </w:p>
        </w:tc>
      </w:tr>
      <w:tr>
        <w:trPr/>
        <w:tc>
          <w:tcPr>
            <w:shd w:val="clear" w:fill="auto" w:color="auto"/>
            <w:tcW w:w="1214" w:type="pct"/>
            <w:textDirection w:val="lrTb"/>
            <w:noWrap w:val="false"/>
          </w:tcPr>
          <w:p>
            <w:pPr>
              <w:pStyle w:val="1005"/>
              <w:ind w:left="57" w:right="57"/>
            </w:pPr>
            <w:r>
              <w:t xml:space="preserve">Основания для передачи</w:t>
            </w:r>
            <w:r/>
          </w:p>
        </w:tc>
        <w:tc>
          <w:tcPr>
            <w:shd w:val="clear" w:fill="auto" w:color="auto"/>
            <w:tcW w:w="3786" w:type="pct"/>
            <w:textDirection w:val="lrTb"/>
            <w:noWrap w:val="false"/>
          </w:tcPr>
          <w:p>
            <w:pPr>
              <w:pStyle w:val="1005"/>
              <w:ind w:left="57" w:right="57"/>
            </w:pPr>
            <w:r>
              <w:t xml:space="preserve">Поле заполняется вручную</w:t>
            </w:r>
            <w:r>
              <w:t xml:space="preserve">.</w:t>
            </w:r>
            <w:r/>
          </w:p>
        </w:tc>
      </w:tr>
      <w:tr>
        <w:trPr/>
        <w:tc>
          <w:tcPr>
            <w:gridSpan w:val="2"/>
            <w:shd w:val="clear" w:fill="auto" w:color="auto"/>
            <w:tcW w:w="5000" w:type="pct"/>
            <w:textDirection w:val="lrTb"/>
            <w:noWrap w:val="false"/>
          </w:tcPr>
          <w:p>
            <w:pPr>
              <w:pStyle w:val="1005"/>
              <w:ind w:left="57" w:right="57"/>
            </w:pPr>
            <w:r>
              <w:t xml:space="preserve">Г</w:t>
            </w:r>
            <w:r>
              <w:t xml:space="preserve">руппа полей «</w:t>
            </w:r>
            <w:r>
              <w:t xml:space="preserve">Коды»</w:t>
            </w:r>
            <w:r/>
          </w:p>
        </w:tc>
      </w:tr>
      <w:tr>
        <w:trPr/>
        <w:tc>
          <w:tcPr>
            <w:shd w:val="clear" w:fill="auto" w:color="auto"/>
            <w:tcW w:w="1214" w:type="pct"/>
            <w:textDirection w:val="lrTb"/>
            <w:noWrap w:val="false"/>
          </w:tcPr>
          <w:p>
            <w:pPr>
              <w:pStyle w:val="1005"/>
              <w:ind w:left="57" w:right="57"/>
            </w:pPr>
            <w:r>
              <w:t xml:space="preserve">по ОКТМО</w:t>
            </w:r>
            <w:r/>
          </w:p>
        </w:tc>
        <w:tc>
          <w:tcPr>
            <w:shd w:val="clear" w:fill="auto" w:color="auto"/>
            <w:tcW w:w="3786" w:type="pct"/>
            <w:textDirection w:val="lrTb"/>
            <w:noWrap w:val="false"/>
          </w:tcPr>
          <w:p>
            <w:pPr>
              <w:pStyle w:val="1005"/>
              <w:ind w:left="57" w:right="57"/>
            </w:pPr>
            <w:r>
              <w:t xml:space="preserve">Код бюджета по ОКТМО отправителя</w:t>
            </w:r>
            <w:r>
              <w:t xml:space="preserve">.</w:t>
            </w:r>
            <w:r/>
          </w:p>
          <w:p>
            <w:pPr>
              <w:pStyle w:val="1005"/>
              <w:ind w:left="57" w:right="57"/>
            </w:pPr>
            <w:r>
              <w:t xml:space="preserve">Заполняется автоматически из справочника «Бюджеты» на основании кода, указанного в системной константе </w:t>
            </w:r>
            <w:r>
              <w:t xml:space="preserve">SelfBudgetCode (Код бюджета)</w:t>
            </w:r>
            <w:r>
              <w:t xml:space="preserve">. Может быть изменено вручную или выбором из </w:t>
            </w:r>
            <w:r>
              <w:t xml:space="preserve">справочника «Бюджеты»</w:t>
            </w:r>
            <w:r>
              <w:t xml:space="preserve">.</w:t>
            </w:r>
            <w:r/>
          </w:p>
        </w:tc>
      </w:tr>
      <w:tr>
        <w:trPr/>
        <w:tc>
          <w:tcPr>
            <w:shd w:val="clear" w:fill="auto" w:color="auto"/>
            <w:tcW w:w="1214" w:type="pct"/>
            <w:textDirection w:val="lrTb"/>
            <w:noWrap w:val="false"/>
          </w:tcPr>
          <w:p>
            <w:pPr>
              <w:pStyle w:val="1005"/>
              <w:ind w:left="57" w:right="57"/>
            </w:pPr>
            <w:r>
              <w:t xml:space="preserve">П</w:t>
            </w:r>
            <w:r>
              <w:t xml:space="preserve">о ОКПО</w:t>
            </w:r>
            <w:r/>
          </w:p>
        </w:tc>
        <w:tc>
          <w:tcPr>
            <w:shd w:val="clear" w:fill="auto" w:color="auto"/>
            <w:tcW w:w="3786" w:type="pct"/>
            <w:textDirection w:val="lrTb"/>
            <w:noWrap w:val="false"/>
          </w:tcPr>
          <w:p>
            <w:pPr>
              <w:pStyle w:val="1005"/>
              <w:ind w:left="57" w:right="57"/>
            </w:pPr>
            <w:r>
              <w:t xml:space="preserve">Заполняется автоматически из справочника «Финансовые органы», из поля «ОКПО» по соответствующему значению поля «Финансовый орган передающий» текущего документа. Может быть изменено вручную или выбрано из справочника «Финансовые органы».</w:t>
            </w:r>
            <w:r/>
          </w:p>
        </w:tc>
      </w:tr>
      <w:tr>
        <w:trPr/>
        <w:tc>
          <w:tcPr>
            <w:shd w:val="clear" w:fill="auto" w:color="auto"/>
            <w:tcW w:w="1214" w:type="pct"/>
            <w:textDirection w:val="lrTb"/>
            <w:noWrap w:val="false"/>
          </w:tcPr>
          <w:p>
            <w:pPr>
              <w:pStyle w:val="1005"/>
              <w:ind w:left="57" w:right="57"/>
            </w:pPr>
            <w:r>
              <w:t xml:space="preserve">П</w:t>
            </w:r>
            <w:r>
              <w:t xml:space="preserve">о КОФК</w:t>
            </w:r>
            <w:r/>
          </w:p>
        </w:tc>
        <w:tc>
          <w:tcPr>
            <w:shd w:val="clear" w:fill="auto" w:color="auto"/>
            <w:tcW w:w="3786" w:type="pct"/>
            <w:textDirection w:val="lrTb"/>
            <w:noWrap w:val="false"/>
          </w:tcPr>
          <w:p>
            <w:pPr>
              <w:pStyle w:val="1005"/>
              <w:ind w:left="57" w:right="57"/>
            </w:pPr>
            <w:r>
              <w:t xml:space="preserve">КО</w:t>
            </w:r>
            <w:r>
              <w:t xml:space="preserve">ФК отправителя. </w:t>
            </w:r>
            <w:r/>
          </w:p>
          <w:p>
            <w:pPr>
              <w:pStyle w:val="1005"/>
              <w:ind w:left="57" w:right="57"/>
            </w:pPr>
            <w:r>
              <w:t xml:space="preserve">Проверяется значение константы код собственного ТОФК:</w:t>
            </w:r>
            <w:r/>
          </w:p>
          <w:p>
            <w:pPr>
              <w:pStyle w:val="1007"/>
            </w:pPr>
            <w:r>
              <w:t xml:space="preserve">если оно равно ххуу, то по умолчанию проставляется значение константы код вышестоящего ТОФК равный хх00; </w:t>
            </w:r>
            <w:r/>
          </w:p>
          <w:p>
            <w:pPr>
              <w:pStyle w:val="1007"/>
            </w:pPr>
            <w:r>
              <w:t xml:space="preserve">если равна хх00, то по умолчанию проставляется значение код собственного ТОФК. </w:t>
            </w:r>
            <w:r/>
          </w:p>
          <w:p>
            <w:pPr>
              <w:pStyle w:val="1005"/>
              <w:ind w:left="57" w:right="57"/>
            </w:pPr>
            <w:r>
              <w:t xml:space="preserve">Может быть отредактировано вручную или из справочника «Справочник органов Федерального Казначейства».</w:t>
            </w:r>
            <w:r/>
          </w:p>
        </w:tc>
      </w:tr>
      <w:tr>
        <w:trPr/>
        <w:tc>
          <w:tcPr>
            <w:shd w:val="clear" w:fill="auto" w:color="auto"/>
            <w:tcW w:w="1214" w:type="pct"/>
            <w:textDirection w:val="lrTb"/>
            <w:noWrap w:val="false"/>
          </w:tcPr>
          <w:p>
            <w:pPr>
              <w:pStyle w:val="1005"/>
              <w:ind w:left="57" w:right="57"/>
            </w:pPr>
            <w:r>
              <w:t xml:space="preserve">П</w:t>
            </w:r>
            <w:r>
              <w:t xml:space="preserve">о ОКТМО</w:t>
            </w:r>
            <w:r/>
          </w:p>
        </w:tc>
        <w:tc>
          <w:tcPr>
            <w:shd w:val="clear" w:fill="auto" w:color="auto"/>
            <w:tcW w:w="3786" w:type="pct"/>
            <w:textDirection w:val="lrTb"/>
            <w:noWrap w:val="false"/>
          </w:tcPr>
          <w:p>
            <w:pPr>
              <w:pStyle w:val="1005"/>
              <w:ind w:left="57" w:right="57"/>
            </w:pPr>
            <w:r>
              <w:t xml:space="preserve">Код бюджета по ОКТМО </w:t>
            </w:r>
            <w:r>
              <w:t xml:space="preserve">получателя.</w:t>
            </w:r>
            <w:r/>
          </w:p>
          <w:p>
            <w:pPr>
              <w:pStyle w:val="1005"/>
              <w:ind w:left="57" w:right="57"/>
            </w:pPr>
            <w:r>
              <w:t xml:space="preserve">Поле выбирается из справочника «Бюджеты», может быть отредактировано вручную.</w:t>
            </w:r>
            <w:r/>
          </w:p>
        </w:tc>
      </w:tr>
      <w:tr>
        <w:trPr/>
        <w:tc>
          <w:tcPr>
            <w:shd w:val="clear" w:fill="auto" w:color="auto"/>
            <w:tcW w:w="1214" w:type="pct"/>
            <w:textDirection w:val="lrTb"/>
            <w:noWrap w:val="false"/>
          </w:tcPr>
          <w:p>
            <w:pPr>
              <w:pStyle w:val="1005"/>
              <w:ind w:left="57" w:right="57"/>
            </w:pPr>
            <w:r>
              <w:t xml:space="preserve">П</w:t>
            </w:r>
            <w:r>
              <w:t xml:space="preserve">о ОКПО</w:t>
            </w:r>
            <w:r/>
          </w:p>
        </w:tc>
        <w:tc>
          <w:tcPr>
            <w:shd w:val="clear" w:fill="auto" w:color="auto"/>
            <w:tcW w:w="3786" w:type="pct"/>
            <w:textDirection w:val="lrTb"/>
            <w:noWrap w:val="false"/>
          </w:tcPr>
          <w:p>
            <w:pPr>
              <w:pStyle w:val="1005"/>
              <w:ind w:left="57" w:right="57"/>
            </w:pPr>
            <w:r>
              <w:t xml:space="preserve">Заполняется автоматически из справочника «Финансовые органы», из поля «ОКПО» по соответствующему значению поля «Финансовый орган принимающий» текущего документа. Может быть изменено вручную или выбрано из справочника «Финансовые органы».</w:t>
            </w:r>
            <w:r/>
          </w:p>
        </w:tc>
      </w:tr>
      <w:tr>
        <w:trPr/>
        <w:tc>
          <w:tcPr>
            <w:shd w:val="clear" w:fill="auto" w:color="auto"/>
            <w:tcW w:w="1214" w:type="pct"/>
            <w:textDirection w:val="lrTb"/>
            <w:noWrap w:val="false"/>
          </w:tcPr>
          <w:p>
            <w:pPr>
              <w:pStyle w:val="1005"/>
              <w:ind w:left="57" w:right="57"/>
            </w:pPr>
            <w:r>
              <w:t xml:space="preserve">П</w:t>
            </w:r>
            <w:r>
              <w:t xml:space="preserve">о КОФК</w:t>
            </w:r>
            <w:r/>
          </w:p>
        </w:tc>
        <w:tc>
          <w:tcPr>
            <w:shd w:val="clear" w:fill="auto" w:color="auto"/>
            <w:tcW w:w="3786" w:type="pct"/>
            <w:textDirection w:val="lrTb"/>
            <w:noWrap w:val="false"/>
          </w:tcPr>
          <w:p>
            <w:pPr>
              <w:pStyle w:val="1005"/>
              <w:ind w:left="57" w:right="57"/>
            </w:pPr>
            <w:r>
              <w:t xml:space="preserve">КОФК получателя</w:t>
            </w:r>
            <w:r>
              <w:t xml:space="preserve">. </w:t>
            </w:r>
            <w:r/>
          </w:p>
          <w:p>
            <w:pPr>
              <w:pStyle w:val="1005"/>
              <w:ind w:left="57" w:right="57"/>
            </w:pPr>
            <w:r>
              <w:t xml:space="preserve">Заполняется вручную или из справочника «</w:t>
            </w:r>
            <w:r>
              <w:t xml:space="preserve">Справочник органов Федерального казначейства</w:t>
            </w:r>
            <w:r>
              <w:t xml:space="preserve">».</w:t>
            </w:r>
            <w:r/>
          </w:p>
        </w:tc>
      </w:tr>
      <w:tr>
        <w:trPr/>
        <w:tc>
          <w:tcPr>
            <w:gridSpan w:val="2"/>
            <w:shd w:val="clear" w:fill="auto" w:color="auto"/>
            <w:tcW w:w="5000" w:type="pct"/>
            <w:textDirection w:val="lrTb"/>
            <w:noWrap w:val="false"/>
          </w:tcPr>
          <w:p>
            <w:pPr>
              <w:pStyle w:val="1005"/>
              <w:ind w:left="57" w:right="57"/>
            </w:pPr>
            <w:r>
              <w:t xml:space="preserve">В</w:t>
            </w:r>
            <w:r>
              <w:t xml:space="preserve">кладка «Раздел 1.1. Остатки на лицевом счете»</w:t>
            </w:r>
            <w:r/>
          </w:p>
        </w:tc>
      </w:tr>
      <w:tr>
        <w:trPr/>
        <w:tc>
          <w:tcPr>
            <w:shd w:val="clear" w:fill="auto" w:color="auto"/>
            <w:tcW w:w="1214" w:type="pct"/>
            <w:textDirection w:val="lrTb"/>
            <w:noWrap w:val="false"/>
          </w:tcPr>
          <w:p>
            <w:pPr>
              <w:pStyle w:val="1005"/>
              <w:ind w:left="57" w:right="57"/>
            </w:pPr>
            <w:r>
              <w:t xml:space="preserve">Остаток на начало го</w:t>
            </w:r>
            <w:r>
              <w:t xml:space="preserve">да</w:t>
            </w:r>
            <w:r/>
          </w:p>
        </w:tc>
        <w:tc>
          <w:tcPr>
            <w:shd w:val="clear" w:fill="auto" w:color="auto"/>
            <w:tcW w:w="3786" w:type="pct"/>
            <w:textDirection w:val="lrTb"/>
            <w:noWrap w:val="false"/>
          </w:tcPr>
          <w:p>
            <w:pPr>
              <w:pStyle w:val="1005"/>
              <w:ind w:left="57" w:right="57"/>
            </w:pPr>
            <w:r>
              <w:t xml:space="preserve">Сумма остатков денежных средств на ЛС бюджета на начало года. </w:t>
            </w:r>
            <w:r/>
          </w:p>
          <w:p>
            <w:pPr>
              <w:pStyle w:val="1005"/>
              <w:ind w:left="57" w:right="57"/>
            </w:pPr>
            <w:r>
              <w:t xml:space="preserve">Поле заполняется вручную.</w:t>
            </w:r>
            <w:r/>
          </w:p>
        </w:tc>
      </w:tr>
      <w:tr>
        <w:trPr/>
        <w:tc>
          <w:tcPr>
            <w:shd w:val="clear" w:fill="auto" w:color="auto"/>
            <w:tcW w:w="1214" w:type="pct"/>
            <w:textDirection w:val="lrTb"/>
            <w:noWrap w:val="false"/>
          </w:tcPr>
          <w:p>
            <w:pPr>
              <w:pStyle w:val="1005"/>
              <w:ind w:left="57" w:right="57"/>
            </w:pPr>
            <w:r>
              <w:t xml:space="preserve">Остаток на отчетную дату</w:t>
            </w:r>
            <w:r/>
          </w:p>
        </w:tc>
        <w:tc>
          <w:tcPr>
            <w:shd w:val="clear" w:fill="auto" w:color="auto"/>
            <w:tcW w:w="3786" w:type="pct"/>
            <w:textDirection w:val="lrTb"/>
            <w:noWrap w:val="false"/>
          </w:tcPr>
          <w:p>
            <w:pPr>
              <w:pStyle w:val="1005"/>
              <w:ind w:left="57" w:right="57"/>
            </w:pPr>
            <w:r>
              <w:t xml:space="preserve">Сумма остатков денежных средств на ЛС бюджета на отчетную дату. </w:t>
            </w:r>
            <w:r/>
          </w:p>
          <w:p>
            <w:pPr>
              <w:pStyle w:val="1005"/>
              <w:ind w:left="57" w:right="57"/>
            </w:pPr>
            <w:r>
              <w:t xml:space="preserve">Поле заполняется вручную.</w:t>
            </w:r>
            <w:r/>
          </w:p>
        </w:tc>
      </w:tr>
    </w:tbl>
    <w:p>
      <w:pPr>
        <w:pStyle w:val="994"/>
      </w:pPr>
      <w:r>
        <w:t xml:space="preserve">На вложенной закладке «Раздел 1.2. Операции с бюджетными средствами» (рис. </w:t>
      </w:r>
      <w:r>
        <w:fldChar w:fldCharType="begin"/>
      </w:r>
      <w:r>
        <w:instrText xml:space="preserve"> REF _Ref388365382 \h  \* MERGEFORMAT </w:instrText>
      </w:r>
      <w:r>
        <w:fldChar w:fldCharType="separate"/>
      </w:r>
      <w:r>
        <w:t xml:space="preserve">158</w:t>
      </w:r>
      <w:r>
        <w:fldChar w:fldCharType="end"/>
      </w:r>
      <w:r>
        <w:t xml:space="preserve">) вводятся суммы по операциям с бюджетными средствами с информацией по КБК.</w:t>
      </w:r>
      <w:r/>
    </w:p>
    <w:p>
      <w:pPr>
        <w:pStyle w:val="982"/>
      </w:pPr>
      <w:r>
        <mc:AlternateContent>
          <mc:Choice Requires="wpg">
            <w:drawing>
              <wp:inline xmlns:wp="http://schemas.openxmlformats.org/drawingml/2006/wordprocessingDrawing" distT="0" distB="0" distL="0" distR="0">
                <wp:extent cx="6118860" cy="2011680"/>
                <wp:effectExtent l="0" t="0" r="0" b="0"/>
                <wp:docPr id="24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24"/>
                        <a:stretch/>
                      </pic:blipFill>
                      <pic:spPr bwMode="auto">
                        <a:xfrm>
                          <a:off x="0" y="0"/>
                          <a:ext cx="6118860" cy="20116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6" o:spid="_x0000_s246" type="#_x0000_t75" style="mso-wrap-distance-left:0.0pt;mso-wrap-distance-top:0.0pt;mso-wrap-distance-right:0.0pt;mso-wrap-distance-bottom:0.0pt;width:481.8pt;height:158.4pt;" stroked="f">
                <v:path textboxrect="0,0,0,0"/>
                <v:imagedata r:id="rId224" o:title=""/>
              </v:shape>
            </w:pict>
          </mc:Fallback>
        </mc:AlternateContent>
      </w:r>
      <w:r/>
    </w:p>
    <w:p>
      <w:pPr>
        <w:pStyle w:val="983"/>
      </w:pPr>
      <w:r>
        <w:fldChar w:fldCharType="begin"/>
      </w:r>
      <w:r>
        <w:instrText xml:space="preserve"> SEQ Рисунок \* ARABIC </w:instrText>
      </w:r>
      <w:r>
        <w:fldChar w:fldCharType="separate"/>
      </w:r>
      <w:bookmarkStart w:id="1220" w:name="_Ref388365382"/>
      <w:r/>
      <w:bookmarkStart w:id="1221" w:name="_Toc88819543"/>
      <w:r>
        <w:t xml:space="preserve">158</w:t>
      </w:r>
      <w:bookmarkEnd w:id="1220"/>
      <w:r>
        <w:fldChar w:fldCharType="end"/>
      </w:r>
      <w:r>
        <w:t xml:space="preserve">. ЭФ документа «Акт приемки-передачи показателей лицевого счета бюджета</w:t>
      </w:r>
      <w:r>
        <w:t xml:space="preserve">», закладки «</w:t>
      </w:r>
      <w:r>
        <w:t xml:space="preserve">Документ</w:t>
      </w:r>
      <w:r>
        <w:t xml:space="preserve">», </w:t>
      </w:r>
      <w:r>
        <w:t xml:space="preserve">в</w:t>
      </w:r>
      <w:r>
        <w:t xml:space="preserve">кладки «</w:t>
      </w:r>
      <w:r>
        <w:t xml:space="preserve">Раздел 1.2. Операции с бюджетными средствами»</w:t>
      </w:r>
      <w:bookmarkEnd w:id="1221"/>
      <w:r/>
      <w:r/>
    </w:p>
    <w:p>
      <w:pPr>
        <w:pStyle w:val="994"/>
      </w:pPr>
      <w:r>
        <w:t xml:space="preserve">Перечень полей документа «Акт приемки-передачи показателей лицевого счета бюджета</w:t>
      </w:r>
      <w:r>
        <w:t xml:space="preserve">», закладки «</w:t>
      </w:r>
      <w:r>
        <w:t xml:space="preserve">Документ</w:t>
      </w:r>
      <w:r>
        <w:t xml:space="preserve">», в</w:t>
      </w:r>
      <w:r>
        <w:t xml:space="preserve">кладки «</w:t>
      </w:r>
      <w:r>
        <w:t xml:space="preserve">Раздел 1.2. Операции с бюджетными средствами» приведен в таблице</w:t>
      </w:r>
      <w:r>
        <w:t xml:space="preserve"> </w:t>
      </w:r>
      <w:r>
        <w:fldChar w:fldCharType="begin"/>
      </w:r>
      <w:r>
        <w:instrText xml:space="preserve"> REF _Ref388355249 \h </w:instrText>
      </w:r>
      <w:r>
        <w:instrText xml:space="preserve"> \* MERGEFORMAT </w:instrText>
      </w:r>
      <w:r>
        <w:fldChar w:fldCharType="separate"/>
      </w:r>
      <w:r>
        <w:t xml:space="preserve">86</w:t>
      </w:r>
      <w:r>
        <w:fldChar w:fldCharType="end"/>
      </w:r>
      <w:r>
        <w:t xml:space="preserve">.</w:t>
      </w:r>
      <w:r/>
    </w:p>
    <w:p>
      <w:pPr>
        <w:pStyle w:val="993"/>
      </w:pPr>
      <w:r>
        <w:fldChar w:fldCharType="begin"/>
      </w:r>
      <w:r>
        <w:instrText xml:space="preserve"> SEQ Таблица \* ARABIC </w:instrText>
      </w:r>
      <w:r>
        <w:fldChar w:fldCharType="separate"/>
      </w:r>
      <w:bookmarkStart w:id="1222" w:name="_Ref388355249"/>
      <w:r/>
      <w:bookmarkStart w:id="1223" w:name="_Toc88819272"/>
      <w:r>
        <w:t xml:space="preserve">86</w:t>
      </w:r>
      <w:bookmarkEnd w:id="1222"/>
      <w:r>
        <w:fldChar w:fldCharType="end"/>
      </w:r>
      <w:r>
        <w:t xml:space="preserve">. Описание полей документа «Акт приемки-передачи показателей лицевого счета бюджета</w:t>
      </w:r>
      <w:r>
        <w:t xml:space="preserve">», закладки «</w:t>
      </w:r>
      <w:r>
        <w:t xml:space="preserve">Документ</w:t>
      </w:r>
      <w:r>
        <w:t xml:space="preserve">», </w:t>
      </w:r>
      <w:r>
        <w:t xml:space="preserve">в</w:t>
      </w:r>
      <w:r>
        <w:t xml:space="preserve">кладки «</w:t>
      </w:r>
      <w:r>
        <w:t xml:space="preserve">Раздел 1.2. Операции с бюджетными средствами»</w:t>
      </w:r>
      <w:bookmarkEnd w:id="1223"/>
      <w:r/>
      <w:r/>
    </w:p>
    <w:tbl>
      <w:tblPr>
        <w:tblW w:w="5058"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2666"/>
        <w:gridCol w:w="7199"/>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351"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649" w:type="pct"/>
            <w:vAlign w:val="center"/>
            <w:textDirection w:val="lrTb"/>
            <w:noWrap w:val="false"/>
          </w:tcPr>
          <w:p>
            <w:pPr>
              <w:pStyle w:val="1006"/>
            </w:pPr>
            <w:r>
              <w:t xml:space="preserve">Описание поля</w:t>
            </w:r>
            <w:r/>
          </w:p>
        </w:tc>
      </w:tr>
      <w:tr>
        <w:trPr/>
        <w:tc>
          <w:tcPr>
            <w:shd w:val="clear" w:fill="auto" w:color="auto"/>
            <w:tcW w:w="1351" w:type="pct"/>
            <w:textDirection w:val="lrTb"/>
            <w:noWrap w:val="false"/>
          </w:tcPr>
          <w:p>
            <w:pPr>
              <w:pStyle w:val="1005"/>
              <w:ind w:left="57" w:right="57"/>
            </w:pPr>
            <w:r>
              <w:t xml:space="preserve">Код по БК</w:t>
            </w:r>
            <w:r/>
          </w:p>
        </w:tc>
        <w:tc>
          <w:tcPr>
            <w:shd w:val="clear" w:fill="auto" w:color="auto"/>
            <w:tcW w:w="3649" w:type="pct"/>
            <w:textDirection w:val="lrTb"/>
            <w:noWrap w:val="false"/>
          </w:tcPr>
          <w:p>
            <w:pPr>
              <w:pStyle w:val="1005"/>
              <w:ind w:left="57" w:right="57"/>
            </w:pPr>
            <w:r>
              <w:t xml:space="preserve">Код по бюджетной классификации платежного документа.</w:t>
            </w:r>
            <w:r/>
          </w:p>
          <w:p>
            <w:pPr>
              <w:pStyle w:val="1005"/>
              <w:ind w:left="57" w:right="57"/>
            </w:pPr>
            <w:r>
              <w:t xml:space="preserve">Значение вводится</w:t>
            </w:r>
            <w:r>
              <w:t xml:space="preserve"> </w:t>
            </w:r>
            <w:r>
              <w:t xml:space="preserve">вручную или выбирается из справочника </w:t>
            </w:r>
            <w:r>
              <w:t xml:space="preserve">«Коды бюджетной классификации»</w:t>
            </w:r>
            <w:r>
              <w:t xml:space="preserve">.</w:t>
            </w:r>
            <w:r/>
          </w:p>
        </w:tc>
      </w:tr>
      <w:tr>
        <w:trPr/>
        <w:tc>
          <w:tcPr>
            <w:shd w:val="clear" w:fill="auto" w:color="auto"/>
            <w:tcW w:w="1351" w:type="pct"/>
            <w:textDirection w:val="lrTb"/>
            <w:noWrap w:val="false"/>
          </w:tcPr>
          <w:p>
            <w:pPr>
              <w:pStyle w:val="1005"/>
              <w:ind w:left="57" w:right="57"/>
            </w:pPr>
            <w:r>
              <w:t xml:space="preserve">Поступления: Всего</w:t>
            </w:r>
            <w:r/>
          </w:p>
        </w:tc>
        <w:tc>
          <w:tcPr>
            <w:shd w:val="clear" w:fill="auto" w:color="auto"/>
            <w:tcW w:w="3649" w:type="pct"/>
            <w:textDirection w:val="lrTb"/>
            <w:noWrap w:val="false"/>
          </w:tcPr>
          <w:p>
            <w:pPr>
              <w:pStyle w:val="1005"/>
              <w:ind w:left="57" w:right="57"/>
            </w:pPr>
            <w:r>
              <w:t xml:space="preserve">Поле заполняется вручную</w:t>
            </w:r>
            <w:r>
              <w:t xml:space="preserve">.</w:t>
            </w:r>
            <w:r/>
          </w:p>
        </w:tc>
      </w:tr>
      <w:tr>
        <w:trPr/>
        <w:tc>
          <w:tcPr>
            <w:shd w:val="clear" w:fill="auto" w:color="auto"/>
            <w:tcW w:w="1351" w:type="pct"/>
            <w:textDirection w:val="lrTb"/>
            <w:noWrap w:val="false"/>
          </w:tcPr>
          <w:p>
            <w:pPr>
              <w:pStyle w:val="1005"/>
              <w:ind w:left="57" w:right="57"/>
            </w:pPr>
            <w:r>
              <w:t xml:space="preserve">Поступления: из них субсидии, субвенции</w:t>
            </w:r>
            <w:r/>
          </w:p>
        </w:tc>
        <w:tc>
          <w:tcPr>
            <w:shd w:val="clear" w:fill="auto" w:color="auto"/>
            <w:tcW w:w="3649" w:type="pct"/>
            <w:textDirection w:val="lrTb"/>
            <w:noWrap w:val="false"/>
          </w:tcPr>
          <w:p>
            <w:pPr>
              <w:pStyle w:val="1005"/>
              <w:ind w:left="57" w:right="57"/>
            </w:pPr>
            <w:r>
              <w:t xml:space="preserve">Поле заполняется вручную</w:t>
            </w:r>
            <w:r>
              <w:t xml:space="preserve">.</w:t>
            </w:r>
            <w:r/>
          </w:p>
        </w:tc>
      </w:tr>
      <w:tr>
        <w:trPr/>
        <w:tc>
          <w:tcPr>
            <w:shd w:val="clear" w:fill="auto" w:color="auto"/>
            <w:tcW w:w="1351" w:type="pct"/>
            <w:textDirection w:val="lrTb"/>
            <w:noWrap w:val="false"/>
          </w:tcPr>
          <w:p>
            <w:pPr>
              <w:pStyle w:val="1005"/>
              <w:ind w:left="57" w:right="57"/>
            </w:pPr>
            <w:r>
              <w:t xml:space="preserve">Выплаты: всего</w:t>
            </w:r>
            <w:r/>
          </w:p>
        </w:tc>
        <w:tc>
          <w:tcPr>
            <w:shd w:val="clear" w:fill="auto" w:color="auto"/>
            <w:tcW w:w="3649" w:type="pct"/>
            <w:textDirection w:val="lrTb"/>
            <w:noWrap w:val="false"/>
          </w:tcPr>
          <w:p>
            <w:pPr>
              <w:pStyle w:val="1005"/>
              <w:ind w:left="57" w:right="57"/>
            </w:pPr>
            <w:r>
              <w:t xml:space="preserve">Общая сумма выплат бюджетных средств с лицевого счета бюджета по данной операции с бюджетными средствами.</w:t>
            </w:r>
            <w:r/>
          </w:p>
          <w:p>
            <w:pPr>
              <w:pStyle w:val="1005"/>
              <w:ind w:left="57" w:right="57"/>
            </w:pPr>
            <w:r>
              <w:t xml:space="preserve">Поле заполняется вручную</w:t>
            </w:r>
            <w:r>
              <w:t xml:space="preserve">.</w:t>
            </w:r>
            <w:r/>
          </w:p>
        </w:tc>
      </w:tr>
      <w:tr>
        <w:trPr/>
        <w:tc>
          <w:tcPr>
            <w:shd w:val="clear" w:fill="auto" w:color="auto"/>
            <w:tcW w:w="1351" w:type="pct"/>
            <w:textDirection w:val="lrTb"/>
            <w:noWrap w:val="false"/>
          </w:tcPr>
          <w:p>
            <w:pPr>
              <w:pStyle w:val="1005"/>
              <w:ind w:left="57" w:right="57"/>
            </w:pPr>
            <w:r>
              <w:t xml:space="preserve">Выплаты: из них субсидии</w:t>
            </w:r>
            <w:r/>
          </w:p>
        </w:tc>
        <w:tc>
          <w:tcPr>
            <w:shd w:val="clear" w:fill="auto" w:color="auto"/>
            <w:tcW w:w="3649" w:type="pct"/>
            <w:textDirection w:val="lrTb"/>
            <w:noWrap w:val="false"/>
          </w:tcPr>
          <w:p>
            <w:pPr>
              <w:pStyle w:val="1005"/>
              <w:ind w:left="57" w:right="57"/>
            </w:pPr>
            <w:r>
              <w:t xml:space="preserve">Сумма выплат бюджетных средств с лицевого счета бюджета по данной операции с бюджетными средствами, из них субсидии, субвенции.</w:t>
            </w:r>
            <w:r/>
          </w:p>
          <w:p>
            <w:pPr>
              <w:pStyle w:val="1005"/>
              <w:ind w:left="57" w:right="57"/>
            </w:pPr>
            <w:r>
              <w:t xml:space="preserve">Поле заполняется вручную</w:t>
            </w:r>
            <w:r>
              <w:t xml:space="preserve">.</w:t>
            </w:r>
            <w:r/>
          </w:p>
        </w:tc>
      </w:tr>
      <w:tr>
        <w:trPr/>
        <w:tc>
          <w:tcPr>
            <w:shd w:val="clear" w:fill="auto" w:color="auto"/>
            <w:tcW w:w="1351" w:type="pct"/>
            <w:textDirection w:val="lrTb"/>
            <w:noWrap w:val="false"/>
          </w:tcPr>
          <w:p>
            <w:pPr>
              <w:pStyle w:val="1005"/>
              <w:ind w:left="57" w:right="57"/>
            </w:pPr>
            <w:r>
              <w:t xml:space="preserve">Итого доходов</w:t>
            </w:r>
            <w:r/>
          </w:p>
        </w:tc>
        <w:tc>
          <w:tcPr>
            <w:shd w:val="clear" w:fill="auto" w:color="auto"/>
            <w:tcW w:w="3649" w:type="pct"/>
            <w:textDirection w:val="lrTb"/>
            <w:noWrap w:val="false"/>
          </w:tcPr>
          <w:p>
            <w:pPr>
              <w:pStyle w:val="1005"/>
              <w:ind w:left="57" w:right="57"/>
            </w:pPr>
            <w:r>
              <w:t xml:space="preserve">Поле заполняется вручную</w:t>
            </w:r>
            <w:r>
              <w:t xml:space="preserve">.</w:t>
            </w:r>
            <w:r/>
          </w:p>
        </w:tc>
      </w:tr>
      <w:tr>
        <w:trPr/>
        <w:tc>
          <w:tcPr>
            <w:shd w:val="clear" w:fill="auto" w:color="auto"/>
            <w:tcW w:w="1351" w:type="pct"/>
            <w:textDirection w:val="lrTb"/>
            <w:noWrap w:val="false"/>
          </w:tcPr>
          <w:p>
            <w:pPr>
              <w:pStyle w:val="1005"/>
              <w:ind w:left="57" w:right="57"/>
            </w:pPr>
            <w:r>
              <w:t xml:space="preserve">Итого расходов</w:t>
            </w:r>
            <w:r/>
          </w:p>
        </w:tc>
        <w:tc>
          <w:tcPr>
            <w:shd w:val="clear" w:fill="auto" w:color="auto"/>
            <w:tcW w:w="3649" w:type="pct"/>
            <w:textDirection w:val="lrTb"/>
            <w:noWrap w:val="false"/>
          </w:tcPr>
          <w:p>
            <w:pPr>
              <w:pStyle w:val="1005"/>
              <w:ind w:left="57" w:right="57"/>
            </w:pPr>
            <w:r>
              <w:t xml:space="preserve">Поле заполняется вручную</w:t>
            </w:r>
            <w:r>
              <w:t xml:space="preserve">.</w:t>
            </w:r>
            <w:r/>
          </w:p>
        </w:tc>
      </w:tr>
      <w:tr>
        <w:trPr/>
        <w:tc>
          <w:tcPr>
            <w:shd w:val="clear" w:fill="auto" w:color="auto"/>
            <w:tcW w:w="1351" w:type="pct"/>
            <w:textDirection w:val="lrTb"/>
            <w:noWrap w:val="false"/>
          </w:tcPr>
          <w:p>
            <w:pPr>
              <w:pStyle w:val="1005"/>
              <w:ind w:left="57" w:right="57"/>
            </w:pPr>
            <w:r>
              <w:t xml:space="preserve">Итого ист. </w:t>
            </w:r>
            <w:r>
              <w:t xml:space="preserve">Ф</w:t>
            </w:r>
            <w:r>
              <w:t xml:space="preserve">ин. </w:t>
            </w:r>
            <w:r>
              <w:t xml:space="preserve">Д</w:t>
            </w:r>
            <w:r>
              <w:t xml:space="preserve">ефицита</w:t>
            </w:r>
            <w:r/>
          </w:p>
        </w:tc>
        <w:tc>
          <w:tcPr>
            <w:shd w:val="clear" w:fill="auto" w:color="auto"/>
            <w:tcW w:w="3649" w:type="pct"/>
            <w:textDirection w:val="lrTb"/>
            <w:noWrap w:val="false"/>
          </w:tcPr>
          <w:p>
            <w:pPr>
              <w:pStyle w:val="1005"/>
              <w:ind w:left="57" w:right="57"/>
            </w:pPr>
            <w:r>
              <w:t xml:space="preserve">Поле заполняется вручную</w:t>
            </w:r>
            <w:r>
              <w:t xml:space="preserve">.</w:t>
            </w:r>
            <w:r/>
          </w:p>
        </w:tc>
      </w:tr>
      <w:tr>
        <w:trPr/>
        <w:tc>
          <w:tcPr>
            <w:shd w:val="clear" w:fill="auto" w:color="auto"/>
            <w:tcW w:w="1351" w:type="pct"/>
            <w:textDirection w:val="lrTb"/>
            <w:noWrap w:val="false"/>
          </w:tcPr>
          <w:p>
            <w:pPr>
              <w:pStyle w:val="1005"/>
              <w:ind w:left="57" w:right="57"/>
            </w:pPr>
            <w:r>
              <w:t xml:space="preserve">Примечание</w:t>
            </w:r>
            <w:r/>
          </w:p>
        </w:tc>
        <w:tc>
          <w:tcPr>
            <w:shd w:val="clear" w:fill="auto" w:color="auto"/>
            <w:tcW w:w="3649" w:type="pct"/>
            <w:textDirection w:val="lrTb"/>
            <w:noWrap w:val="false"/>
          </w:tcPr>
          <w:p>
            <w:pPr>
              <w:pStyle w:val="1005"/>
              <w:ind w:left="57" w:right="57"/>
            </w:pPr>
            <w:r>
              <w:t xml:space="preserve">Следует указывать только код целей субсидий или не указывать ничего.</w:t>
            </w:r>
            <w:r/>
          </w:p>
          <w:p>
            <w:pPr>
              <w:pStyle w:val="1005"/>
              <w:ind w:left="57" w:right="57"/>
            </w:pPr>
            <w:r>
              <w:t xml:space="preserve">Поле заполняется вручную</w:t>
            </w:r>
            <w:r>
              <w:t xml:space="preserve">.</w:t>
            </w:r>
            <w:r/>
          </w:p>
        </w:tc>
      </w:tr>
      <w:tr>
        <w:trPr/>
        <w:tc>
          <w:tcPr>
            <w:shd w:val="clear" w:fill="auto" w:color="auto"/>
            <w:tcW w:w="1351" w:type="pct"/>
            <w:textDirection w:val="lrTb"/>
            <w:noWrap w:val="false"/>
          </w:tcPr>
          <w:p>
            <w:pPr>
              <w:pStyle w:val="1005"/>
              <w:ind w:left="57" w:right="57"/>
            </w:pPr>
            <w:r>
              <w:t xml:space="preserve">Выплаты: всего. Итого</w:t>
            </w:r>
            <w:r/>
          </w:p>
        </w:tc>
        <w:tc>
          <w:tcPr>
            <w:shd w:val="clear" w:fill="auto" w:color="auto"/>
            <w:tcW w:w="3649" w:type="pct"/>
            <w:textDirection w:val="lrTb"/>
            <w:noWrap w:val="false"/>
          </w:tcPr>
          <w:p>
            <w:pPr>
              <w:pStyle w:val="1005"/>
              <w:ind w:left="57" w:right="57"/>
            </w:pPr>
            <w:r>
              <w:t xml:space="preserve">Итоговая сумма выплат бюджетных средств с лицевого счета бюджета всем операциям с бюджетными средствами.</w:t>
            </w:r>
            <w:r/>
          </w:p>
          <w:p>
            <w:pPr>
              <w:pStyle w:val="1005"/>
              <w:ind w:left="57" w:right="57"/>
            </w:pPr>
            <w:r>
              <w:t xml:space="preserve">Поле заполняется вручную</w:t>
            </w:r>
            <w:r>
              <w:t xml:space="preserve">.</w:t>
            </w:r>
            <w:r/>
          </w:p>
        </w:tc>
      </w:tr>
      <w:tr>
        <w:trPr/>
        <w:tc>
          <w:tcPr>
            <w:shd w:val="clear" w:fill="auto" w:color="auto"/>
            <w:tcW w:w="1351" w:type="pct"/>
            <w:textDirection w:val="lrTb"/>
            <w:noWrap w:val="false"/>
          </w:tcPr>
          <w:p>
            <w:pPr>
              <w:pStyle w:val="1005"/>
              <w:ind w:left="57" w:right="57"/>
            </w:pPr>
            <w:r>
              <w:t xml:space="preserve">Выплаты: из них субсидии. Итого</w:t>
            </w:r>
            <w:r/>
          </w:p>
        </w:tc>
        <w:tc>
          <w:tcPr>
            <w:shd w:val="clear" w:fill="auto" w:color="auto"/>
            <w:tcW w:w="3649" w:type="pct"/>
            <w:textDirection w:val="lrTb"/>
            <w:noWrap w:val="false"/>
          </w:tcPr>
          <w:p>
            <w:pPr>
              <w:pStyle w:val="1005"/>
              <w:ind w:left="57" w:right="57"/>
            </w:pPr>
            <w:r>
              <w:t xml:space="preserve">Итоговая сумма выплат бюджетных средств с лицевого счета бюджета всем операциям с бюджетными средствами, из них субсидии, субвенции.</w:t>
            </w:r>
            <w:r/>
          </w:p>
          <w:p>
            <w:pPr>
              <w:pStyle w:val="1005"/>
              <w:ind w:left="57" w:right="57"/>
            </w:pPr>
            <w:r>
              <w:t xml:space="preserve">Поле заполняется вручную</w:t>
            </w:r>
            <w:r>
              <w:t xml:space="preserve">.</w:t>
            </w:r>
            <w:r/>
          </w:p>
        </w:tc>
      </w:tr>
      <w:tr>
        <w:trPr/>
        <w:tc>
          <w:tcPr>
            <w:gridSpan w:val="2"/>
            <w:shd w:val="clear" w:fill="auto" w:color="auto"/>
            <w:tcW w:w="5000" w:type="pct"/>
            <w:textDirection w:val="lrTb"/>
            <w:noWrap w:val="false"/>
          </w:tcPr>
          <w:p>
            <w:pPr>
              <w:pStyle w:val="1005"/>
              <w:ind w:left="57" w:right="57"/>
            </w:pPr>
            <w:r>
              <w:t xml:space="preserve">Г</w:t>
            </w:r>
            <w:r>
              <w:t xml:space="preserve">руппа полей «</w:t>
            </w:r>
            <w:r>
              <w:t xml:space="preserve">Итого»</w:t>
            </w:r>
            <w:r/>
          </w:p>
        </w:tc>
      </w:tr>
      <w:tr>
        <w:trPr/>
        <w:tc>
          <w:tcPr>
            <w:shd w:val="clear" w:fill="auto" w:color="auto"/>
            <w:tcW w:w="1351" w:type="pct"/>
            <w:textDirection w:val="lrTb"/>
            <w:noWrap w:val="false"/>
          </w:tcPr>
          <w:p>
            <w:pPr>
              <w:pStyle w:val="1005"/>
              <w:ind w:left="57" w:right="57"/>
            </w:pPr>
            <w:r>
              <w:t xml:space="preserve">Поступления: Всего</w:t>
            </w:r>
            <w:r/>
          </w:p>
        </w:tc>
        <w:tc>
          <w:tcPr>
            <w:shd w:val="clear" w:fill="auto" w:color="auto"/>
            <w:tcW w:w="3649" w:type="pct"/>
            <w:textDirection w:val="lrTb"/>
            <w:noWrap w:val="false"/>
          </w:tcPr>
          <w:p>
            <w:pPr>
              <w:pStyle w:val="1005"/>
              <w:ind w:left="57" w:right="57"/>
            </w:pPr>
            <w:r>
              <w:t xml:space="preserve">Поле заполняется вручную.</w:t>
            </w:r>
            <w:r/>
          </w:p>
        </w:tc>
      </w:tr>
      <w:tr>
        <w:trPr/>
        <w:tc>
          <w:tcPr>
            <w:shd w:val="clear" w:fill="auto" w:color="auto"/>
            <w:tcW w:w="1351" w:type="pct"/>
            <w:textDirection w:val="lrTb"/>
            <w:noWrap w:val="false"/>
          </w:tcPr>
          <w:p>
            <w:pPr>
              <w:pStyle w:val="1005"/>
              <w:ind w:left="57" w:right="57"/>
            </w:pPr>
            <w:r>
              <w:t xml:space="preserve">Поступления: из них субсидии, субвенции</w:t>
            </w:r>
            <w:r/>
          </w:p>
        </w:tc>
        <w:tc>
          <w:tcPr>
            <w:shd w:val="clear" w:fill="auto" w:color="auto"/>
            <w:tcW w:w="3649" w:type="pct"/>
            <w:textDirection w:val="lrTb"/>
            <w:noWrap w:val="false"/>
          </w:tcPr>
          <w:p>
            <w:pPr>
              <w:pStyle w:val="1005"/>
              <w:ind w:left="57" w:right="57"/>
            </w:pPr>
            <w:r>
              <w:t xml:space="preserve">Поле заполняется вручную.</w:t>
            </w:r>
            <w:r/>
          </w:p>
        </w:tc>
      </w:tr>
      <w:tr>
        <w:trPr/>
        <w:tc>
          <w:tcPr>
            <w:shd w:val="clear" w:fill="auto" w:color="auto"/>
            <w:tcW w:w="1351" w:type="pct"/>
            <w:textDirection w:val="lrTb"/>
            <w:noWrap w:val="false"/>
          </w:tcPr>
          <w:p>
            <w:pPr>
              <w:pStyle w:val="1005"/>
              <w:ind w:left="57" w:right="57"/>
            </w:pPr>
            <w:r>
              <w:t xml:space="preserve">Выплаты: Всего</w:t>
            </w:r>
            <w:r/>
          </w:p>
        </w:tc>
        <w:tc>
          <w:tcPr>
            <w:shd w:val="clear" w:fill="auto" w:color="auto"/>
            <w:tcW w:w="3649" w:type="pct"/>
            <w:textDirection w:val="lrTb"/>
            <w:noWrap w:val="false"/>
          </w:tcPr>
          <w:p>
            <w:pPr>
              <w:pStyle w:val="1005"/>
              <w:ind w:left="57" w:right="57"/>
            </w:pPr>
            <w:r>
              <w:t xml:space="preserve">Поле заполняется вручную.</w:t>
            </w:r>
            <w:r/>
          </w:p>
        </w:tc>
      </w:tr>
      <w:tr>
        <w:trPr/>
        <w:tc>
          <w:tcPr>
            <w:shd w:val="clear" w:fill="auto" w:color="auto"/>
            <w:tcW w:w="1351" w:type="pct"/>
            <w:textDirection w:val="lrTb"/>
            <w:noWrap w:val="false"/>
          </w:tcPr>
          <w:p>
            <w:pPr>
              <w:pStyle w:val="1005"/>
              <w:ind w:left="57" w:right="57"/>
            </w:pPr>
            <w:r>
              <w:t xml:space="preserve">Выплаты: из них субсидии, субвенции</w:t>
            </w:r>
            <w:r/>
          </w:p>
        </w:tc>
        <w:tc>
          <w:tcPr>
            <w:shd w:val="clear" w:fill="auto" w:color="auto"/>
            <w:tcW w:w="3649" w:type="pct"/>
            <w:textDirection w:val="lrTb"/>
            <w:noWrap w:val="false"/>
          </w:tcPr>
          <w:p>
            <w:pPr>
              <w:pStyle w:val="1005"/>
              <w:ind w:left="57" w:right="57"/>
            </w:pPr>
            <w:r>
              <w:t xml:space="preserve">Поле заполняется вручную.</w:t>
            </w:r>
            <w:r/>
          </w:p>
        </w:tc>
      </w:tr>
      <w:tr>
        <w:trPr/>
        <w:tc>
          <w:tcPr>
            <w:shd w:val="clear" w:fill="auto" w:color="auto"/>
            <w:tcW w:w="1351" w:type="pct"/>
            <w:textDirection w:val="lrTb"/>
            <w:noWrap w:val="false"/>
          </w:tcPr>
          <w:p>
            <w:pPr>
              <w:pStyle w:val="1005"/>
              <w:ind w:left="57" w:right="57"/>
            </w:pPr>
            <w:r>
              <w:t xml:space="preserve">Итого доходов</w:t>
            </w:r>
            <w:r/>
          </w:p>
        </w:tc>
        <w:tc>
          <w:tcPr>
            <w:shd w:val="clear" w:fill="auto" w:color="auto"/>
            <w:tcW w:w="3649" w:type="pct"/>
            <w:textDirection w:val="lrTb"/>
            <w:noWrap w:val="false"/>
          </w:tcPr>
          <w:p>
            <w:pPr>
              <w:pStyle w:val="1005"/>
              <w:ind w:left="57" w:right="57"/>
            </w:pPr>
            <w:r>
              <w:t xml:space="preserve">Поле заполняется вручную.</w:t>
            </w:r>
            <w:r/>
          </w:p>
        </w:tc>
      </w:tr>
      <w:tr>
        <w:trPr/>
        <w:tc>
          <w:tcPr>
            <w:shd w:val="clear" w:fill="auto" w:color="auto"/>
            <w:tcW w:w="1351" w:type="pct"/>
            <w:textDirection w:val="lrTb"/>
            <w:noWrap w:val="false"/>
          </w:tcPr>
          <w:p>
            <w:pPr>
              <w:pStyle w:val="1005"/>
              <w:ind w:left="57" w:right="57"/>
            </w:pPr>
            <w:r>
              <w:t xml:space="preserve">Итого расходов</w:t>
            </w:r>
            <w:r/>
          </w:p>
        </w:tc>
        <w:tc>
          <w:tcPr>
            <w:shd w:val="clear" w:fill="auto" w:color="auto"/>
            <w:tcW w:w="3649" w:type="pct"/>
            <w:textDirection w:val="lrTb"/>
            <w:noWrap w:val="false"/>
          </w:tcPr>
          <w:p>
            <w:pPr>
              <w:pStyle w:val="1005"/>
              <w:ind w:left="57" w:right="57"/>
            </w:pPr>
            <w:r>
              <w:t xml:space="preserve">Поле заполняется вручную.</w:t>
            </w:r>
            <w:r/>
          </w:p>
        </w:tc>
      </w:tr>
      <w:tr>
        <w:trPr/>
        <w:tc>
          <w:tcPr>
            <w:shd w:val="clear" w:fill="auto" w:color="auto"/>
            <w:tcW w:w="1351" w:type="pct"/>
            <w:textDirection w:val="lrTb"/>
            <w:noWrap w:val="false"/>
          </w:tcPr>
          <w:p>
            <w:pPr>
              <w:pStyle w:val="1005"/>
              <w:ind w:left="57" w:right="57"/>
            </w:pPr>
            <w:r>
              <w:t xml:space="preserve">Итого ист. </w:t>
            </w:r>
            <w:r>
              <w:t xml:space="preserve">Ф</w:t>
            </w:r>
            <w:r>
              <w:t xml:space="preserve">ин. </w:t>
            </w:r>
            <w:r>
              <w:t xml:space="preserve">Д</w:t>
            </w:r>
            <w:r>
              <w:t xml:space="preserve">ефицита</w:t>
            </w:r>
            <w:r/>
          </w:p>
        </w:tc>
        <w:tc>
          <w:tcPr>
            <w:shd w:val="clear" w:fill="auto" w:color="auto"/>
            <w:tcW w:w="3649" w:type="pct"/>
            <w:textDirection w:val="lrTb"/>
            <w:noWrap w:val="false"/>
          </w:tcPr>
          <w:p>
            <w:pPr>
              <w:pStyle w:val="1005"/>
              <w:ind w:left="57" w:right="57"/>
            </w:pPr>
            <w:r>
              <w:t xml:space="preserve">Поле заполняется вручную.</w:t>
            </w:r>
            <w:r/>
          </w:p>
        </w:tc>
      </w:tr>
    </w:tbl>
    <w:p>
      <w:pPr>
        <w:pStyle w:val="994"/>
      </w:pPr>
      <w:r>
        <w:t xml:space="preserve">Для добавления записи в табличное поле ЭФ следует нажать на кнопку </w:t>
      </w:r>
      <w:r>
        <mc:AlternateContent>
          <mc:Choice Requires="wpg">
            <w:drawing>
              <wp:inline xmlns:wp="http://schemas.openxmlformats.org/drawingml/2006/wordprocessingDrawing" distT="0" distB="0" distL="0" distR="0">
                <wp:extent cx="182880" cy="182880"/>
                <wp:effectExtent l="0" t="0" r="0" b="0"/>
                <wp:docPr id="24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7" o:spid="_x0000_s247" type="#_x0000_t75" style="mso-wrap-distance-left:0.0pt;mso-wrap-distance-top:0.0pt;mso-wrap-distance-right:0.0pt;mso-wrap-distance-bottom:0.0pt;width:14.4pt;height:14.4pt;" stroked="f">
                <v:path textboxrect="0,0,0,0"/>
                <v:imagedata r:id="rId80" o:title=""/>
              </v:shape>
            </w:pict>
          </mc:Fallback>
        </mc:AlternateContent>
      </w:r>
      <w:r>
        <w:t xml:space="preserve"> </w:t>
      </w:r>
      <w:r>
        <w:t xml:space="preserve">(Добавить новую строку)</w:t>
      </w:r>
      <w:r>
        <w:t xml:space="preserve">. Открое</w:t>
      </w:r>
      <w:r>
        <w:t xml:space="preserve">тся форма «Добавление записи»</w:t>
      </w:r>
      <w:r>
        <w:t xml:space="preserve"> (рис.</w:t>
      </w:r>
      <w:r>
        <w:t xml:space="preserve"> </w:t>
      </w:r>
      <w:r>
        <w:fldChar w:fldCharType="begin"/>
      </w:r>
      <w:r>
        <w:instrText xml:space="preserve"> REF _Ref388365359 \h </w:instrText>
      </w:r>
      <w:r>
        <w:instrText xml:space="preserve"> \* MERGEFORMAT </w:instrText>
      </w:r>
      <w:r>
        <w:fldChar w:fldCharType="separate"/>
      </w:r>
      <w:r>
        <w:t xml:space="preserve">159</w:t>
      </w:r>
      <w:r>
        <w:fldChar w:fldCharType="end"/>
      </w:r>
      <w:r>
        <w:t xml:space="preserve">), в которой следует заполнить </w:t>
      </w:r>
      <w:r>
        <w:t xml:space="preserve">вышеуказанные поля.</w:t>
      </w:r>
      <w:r/>
    </w:p>
    <w:p>
      <w:pPr>
        <w:pStyle w:val="982"/>
      </w:pPr>
      <w:r>
        <mc:AlternateContent>
          <mc:Choice Requires="wpg">
            <w:drawing>
              <wp:inline xmlns:wp="http://schemas.openxmlformats.org/drawingml/2006/wordprocessingDrawing" distT="0" distB="0" distL="0" distR="0">
                <wp:extent cx="6126480" cy="2743200"/>
                <wp:effectExtent l="0" t="0" r="0" b="0"/>
                <wp:docPr id="24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25"/>
                        <a:stretch/>
                      </pic:blipFill>
                      <pic:spPr bwMode="auto">
                        <a:xfrm>
                          <a:off x="0" y="0"/>
                          <a:ext cx="6126480" cy="27432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8" o:spid="_x0000_s248" type="#_x0000_t75" style="mso-wrap-distance-left:0.0pt;mso-wrap-distance-top:0.0pt;mso-wrap-distance-right:0.0pt;mso-wrap-distance-bottom:0.0pt;width:482.4pt;height:216.0pt;" stroked="f">
                <v:path textboxrect="0,0,0,0"/>
                <v:imagedata r:id="rId225" o:title=""/>
              </v:shape>
            </w:pict>
          </mc:Fallback>
        </mc:AlternateContent>
      </w:r>
      <w:r/>
    </w:p>
    <w:p>
      <w:pPr>
        <w:pStyle w:val="983"/>
      </w:pPr>
      <w:r>
        <w:fldChar w:fldCharType="begin"/>
      </w:r>
      <w:r>
        <w:instrText xml:space="preserve"> SEQ Рисунок \* ARABIC </w:instrText>
      </w:r>
      <w:r>
        <w:fldChar w:fldCharType="separate"/>
      </w:r>
      <w:bookmarkStart w:id="1224" w:name="_Ref388365359"/>
      <w:r/>
      <w:bookmarkStart w:id="1225" w:name="_Toc88819544"/>
      <w:r>
        <w:t xml:space="preserve">159</w:t>
      </w:r>
      <w:bookmarkEnd w:id="1224"/>
      <w:r>
        <w:fldChar w:fldCharType="end"/>
      </w:r>
      <w:r>
        <w:t xml:space="preserve">. </w:t>
      </w:r>
      <w:r>
        <w:t xml:space="preserve">Форма «Добавление записи»</w:t>
      </w:r>
      <w:bookmarkEnd w:id="1225"/>
      <w:r/>
      <w:r/>
    </w:p>
    <w:p>
      <w:pPr>
        <w:pStyle w:val="994"/>
      </w:pPr>
      <w:r>
        <w:t xml:space="preserve">Нажать на </w:t>
      </w:r>
      <w:r>
        <w:t xml:space="preserve">кнопку «Ok»</w:t>
      </w:r>
      <w:r>
        <w:t xml:space="preserve"> для сохранения данных строки.</w:t>
      </w:r>
      <w:r/>
    </w:p>
    <w:p>
      <w:pPr>
        <w:pStyle w:val="994"/>
      </w:pPr>
      <w:r>
        <w:t xml:space="preserve">На вложенной закладке «Раздел 1.3. Предельные объемы финансирования» (рис. </w:t>
      </w:r>
      <w:r>
        <w:fldChar w:fldCharType="begin"/>
      </w:r>
      <w:r>
        <w:instrText xml:space="preserve"> REF _Ref388365327 \h  \* MERGEFORMAT </w:instrText>
      </w:r>
      <w:r>
        <w:fldChar w:fldCharType="separate"/>
      </w:r>
      <w:r>
        <w:t xml:space="preserve">160</w:t>
      </w:r>
      <w:r>
        <w:fldChar w:fldCharType="end"/>
      </w:r>
      <w:r>
        <w:t xml:space="preserve">) вводятся суммы по ПОФР в разрезе УБП и КБК.</w:t>
      </w:r>
      <w:r/>
    </w:p>
    <w:p>
      <w:pPr>
        <w:pStyle w:val="982"/>
      </w:pPr>
      <w:r>
        <mc:AlternateContent>
          <mc:Choice Requires="wpg">
            <w:drawing>
              <wp:inline xmlns:wp="http://schemas.openxmlformats.org/drawingml/2006/wordprocessingDrawing" distT="0" distB="0" distL="0" distR="0">
                <wp:extent cx="6118860" cy="2011680"/>
                <wp:effectExtent l="0" t="0" r="0" b="0"/>
                <wp:docPr id="25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26"/>
                        <a:stretch/>
                      </pic:blipFill>
                      <pic:spPr bwMode="auto">
                        <a:xfrm>
                          <a:off x="0" y="0"/>
                          <a:ext cx="6118860" cy="20116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9" o:spid="_x0000_s249" type="#_x0000_t75" style="mso-wrap-distance-left:0.0pt;mso-wrap-distance-top:0.0pt;mso-wrap-distance-right:0.0pt;mso-wrap-distance-bottom:0.0pt;width:481.8pt;height:158.4pt;" stroked="f">
                <v:path textboxrect="0,0,0,0"/>
                <v:imagedata r:id="rId226" o:title=""/>
              </v:shape>
            </w:pict>
          </mc:Fallback>
        </mc:AlternateContent>
      </w:r>
      <w:r/>
    </w:p>
    <w:p>
      <w:pPr>
        <w:pStyle w:val="983"/>
      </w:pPr>
      <w:r>
        <w:fldChar w:fldCharType="begin"/>
      </w:r>
      <w:r>
        <w:instrText xml:space="preserve"> SEQ Рисунок \* ARABIC </w:instrText>
      </w:r>
      <w:r>
        <w:fldChar w:fldCharType="separate"/>
      </w:r>
      <w:bookmarkStart w:id="1226" w:name="_Ref388365327"/>
      <w:r/>
      <w:bookmarkStart w:id="1227" w:name="_Toc88819545"/>
      <w:r>
        <w:t xml:space="preserve">160</w:t>
      </w:r>
      <w:bookmarkEnd w:id="1226"/>
      <w:r>
        <w:fldChar w:fldCharType="end"/>
      </w:r>
      <w:r>
        <w:t xml:space="preserve">. ЭФ документа «Акт приемки-передачи показателей лицевого счета бюджета</w:t>
      </w:r>
      <w:r>
        <w:t xml:space="preserve">», закладки «</w:t>
      </w:r>
      <w:r>
        <w:t xml:space="preserve">Документ</w:t>
      </w:r>
      <w:r>
        <w:t xml:space="preserve">», в</w:t>
      </w:r>
      <w:r>
        <w:t xml:space="preserve">кладки «</w:t>
      </w:r>
      <w:r>
        <w:t xml:space="preserve">Раздел 1.3. Предельные объемы финансирования»</w:t>
      </w:r>
      <w:bookmarkEnd w:id="1227"/>
      <w:r/>
      <w:r/>
    </w:p>
    <w:p>
      <w:pPr>
        <w:pStyle w:val="994"/>
      </w:pPr>
      <w:r>
        <w:t xml:space="preserve">Перечень полей документа «Акт приемки-передачи показателей лицевого счета бюджета</w:t>
      </w:r>
      <w:r>
        <w:t xml:space="preserve">», закладки «</w:t>
      </w:r>
      <w:r>
        <w:t xml:space="preserve">Документ</w:t>
      </w:r>
      <w:r>
        <w:t xml:space="preserve">», в</w:t>
      </w:r>
      <w:r>
        <w:t xml:space="preserve">кладки «</w:t>
      </w:r>
      <w:r>
        <w:t xml:space="preserve">Раздел 1.3. Предельные объемы финансирования» приведен в таблице</w:t>
      </w:r>
      <w:r>
        <w:t xml:space="preserve"> </w:t>
      </w:r>
      <w:r>
        <w:fldChar w:fldCharType="begin"/>
      </w:r>
      <w:r>
        <w:instrText xml:space="preserve"> REF _Ref388355044 \h </w:instrText>
      </w:r>
      <w:r>
        <w:instrText xml:space="preserve"> \* MERGEFORMAT </w:instrText>
      </w:r>
      <w:r>
        <w:fldChar w:fldCharType="separate"/>
      </w:r>
      <w:r>
        <w:t xml:space="preserve">87</w:t>
      </w:r>
      <w:r>
        <w:fldChar w:fldCharType="end"/>
      </w:r>
      <w:r>
        <w:t xml:space="preserve">.</w:t>
      </w:r>
      <w:r/>
    </w:p>
    <w:p>
      <w:pPr>
        <w:pStyle w:val="993"/>
      </w:pPr>
      <w:r>
        <w:fldChar w:fldCharType="begin"/>
      </w:r>
      <w:r>
        <w:instrText xml:space="preserve"> SEQ Таблица \* ARABIC </w:instrText>
      </w:r>
      <w:r>
        <w:fldChar w:fldCharType="separate"/>
      </w:r>
      <w:bookmarkStart w:id="1228" w:name="_Ref388355044"/>
      <w:r/>
      <w:bookmarkStart w:id="1229" w:name="_Toc88819273"/>
      <w:r>
        <w:t xml:space="preserve">87</w:t>
      </w:r>
      <w:bookmarkEnd w:id="1228"/>
      <w:r>
        <w:fldChar w:fldCharType="end"/>
      </w:r>
      <w:r>
        <w:t xml:space="preserve">. Описание полей документа «Акт приемки-передачи показателей лицевого счета бюджета</w:t>
      </w:r>
      <w:r>
        <w:t xml:space="preserve">», закладки «</w:t>
      </w:r>
      <w:r>
        <w:t xml:space="preserve">Документ</w:t>
      </w:r>
      <w:r>
        <w:t xml:space="preserve">», в</w:t>
      </w:r>
      <w:r>
        <w:t xml:space="preserve">кладки «</w:t>
      </w:r>
      <w:r>
        <w:t xml:space="preserve">Раздел 1.3. Предельные объемы финансирования»</w:t>
      </w:r>
      <w:bookmarkEnd w:id="1229"/>
      <w:r/>
      <w:r/>
    </w:p>
    <w:tbl>
      <w:tblPr>
        <w:tblW w:w="5058"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2963"/>
        <w:gridCol w:w="6902"/>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502"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498" w:type="pct"/>
            <w:vAlign w:val="center"/>
            <w:textDirection w:val="lrTb"/>
            <w:noWrap w:val="false"/>
          </w:tcPr>
          <w:p>
            <w:pPr>
              <w:pStyle w:val="1006"/>
            </w:pPr>
            <w:r>
              <w:t xml:space="preserve">Описание поля</w:t>
            </w:r>
            <w:r/>
          </w:p>
        </w:tc>
      </w:tr>
      <w:tr>
        <w:trPr/>
        <w:tc>
          <w:tcPr>
            <w:shd w:val="clear" w:fill="auto" w:color="auto"/>
            <w:tcW w:w="1502" w:type="pct"/>
            <w:textDirection w:val="lrTb"/>
            <w:noWrap w:val="false"/>
          </w:tcPr>
          <w:p>
            <w:pPr>
              <w:pStyle w:val="1005"/>
              <w:ind w:left="57" w:right="57"/>
            </w:pPr>
            <w:r>
              <w:t xml:space="preserve">Наименование УБП</w:t>
            </w:r>
            <w:r/>
          </w:p>
        </w:tc>
        <w:tc>
          <w:tcPr>
            <w:shd w:val="clear" w:fill="auto" w:color="auto"/>
            <w:tcW w:w="3498" w:type="pct"/>
            <w:textDirection w:val="lrTb"/>
            <w:noWrap w:val="false"/>
          </w:tcPr>
          <w:p>
            <w:pPr>
              <w:pStyle w:val="1005"/>
              <w:ind w:left="57" w:right="57"/>
            </w:pPr>
            <w:r>
              <w:t xml:space="preserve">Поле заполняется вручную или заполняется значением краткого наименования организации при выборе из справочника:</w:t>
            </w:r>
            <w:r/>
          </w:p>
          <w:p>
            <w:pPr>
              <w:pStyle w:val="1007"/>
            </w:pPr>
            <w:r>
              <w:t xml:space="preserve">если «Переход на СР» = 0, то из справочника Участников бюджетного процесса бюджета субъекта;</w:t>
            </w:r>
            <w:r/>
          </w:p>
          <w:p>
            <w:pPr>
              <w:pStyle w:val="1007"/>
            </w:pPr>
            <w:r>
              <w:t xml:space="preserve">если «Переход на СР» = 1, то из справочника СР, поле</w:t>
            </w:r>
            <w:r>
              <w:t xml:space="preserve"> </w:t>
            </w:r>
            <w:r>
              <w:rPr>
                <w:rStyle w:val="1400"/>
              </w:rPr>
              <w:t xml:space="preserve">ShortName</w:t>
            </w:r>
            <w:r>
              <w:t xml:space="preserve">.</w:t>
            </w:r>
            <w:r/>
          </w:p>
        </w:tc>
      </w:tr>
      <w:tr>
        <w:trPr/>
        <w:tc>
          <w:tcPr>
            <w:shd w:val="clear" w:fill="auto" w:color="auto"/>
            <w:tcW w:w="1502" w:type="pct"/>
            <w:textDirection w:val="lrTb"/>
            <w:noWrap w:val="false"/>
          </w:tcPr>
          <w:p>
            <w:pPr>
              <w:pStyle w:val="1005"/>
              <w:ind w:left="57" w:right="57"/>
            </w:pPr>
            <w:r>
              <w:t xml:space="preserve">Код по БК</w:t>
            </w:r>
            <w:r/>
          </w:p>
        </w:tc>
        <w:tc>
          <w:tcPr>
            <w:shd w:val="clear" w:fill="auto" w:color="auto"/>
            <w:tcW w:w="3498" w:type="pct"/>
            <w:textDirection w:val="lrTb"/>
            <w:noWrap w:val="false"/>
          </w:tcPr>
          <w:p>
            <w:pPr>
              <w:pStyle w:val="1005"/>
              <w:ind w:left="57" w:right="57"/>
            </w:pPr>
            <w:r>
              <w:t xml:space="preserve">Код по бюджетной классификации платежного документа.</w:t>
            </w:r>
            <w:r/>
          </w:p>
          <w:p>
            <w:pPr>
              <w:pStyle w:val="1005"/>
              <w:ind w:left="57" w:right="57"/>
            </w:pPr>
            <w:r>
              <w:t xml:space="preserve">Значение вводится</w:t>
            </w:r>
            <w:r>
              <w:t xml:space="preserve"> </w:t>
            </w:r>
            <w:r>
              <w:t xml:space="preserve">вручную или выбирается из справочника КБК.</w:t>
            </w:r>
            <w:r/>
          </w:p>
        </w:tc>
      </w:tr>
      <w:tr>
        <w:trPr/>
        <w:tc>
          <w:tcPr>
            <w:shd w:val="clear" w:fill="auto" w:color="auto"/>
            <w:tcW w:w="1502" w:type="pct"/>
            <w:textDirection w:val="lrTb"/>
            <w:noWrap w:val="false"/>
          </w:tcPr>
          <w:p>
            <w:pPr>
              <w:pStyle w:val="1005"/>
              <w:ind w:left="57" w:right="57"/>
            </w:pPr>
            <w:r>
              <w:t xml:space="preserve">Сумма за счет субсидий\субвенций: Всего</w:t>
            </w:r>
            <w:r/>
          </w:p>
        </w:tc>
        <w:tc>
          <w:tcPr>
            <w:shd w:val="clear" w:fill="auto" w:color="auto"/>
            <w:tcW w:w="3498" w:type="pct"/>
            <w:textDirection w:val="lrTb"/>
            <w:noWrap w:val="false"/>
          </w:tcPr>
          <w:p>
            <w:pPr>
              <w:pStyle w:val="1005"/>
              <w:ind w:left="57" w:right="57"/>
            </w:pPr>
            <w:r>
              <w:t xml:space="preserve">Общая сумма ПОФР бюджета за счет субсидий, субвенций.</w:t>
            </w:r>
            <w:r/>
          </w:p>
          <w:p>
            <w:pPr>
              <w:pStyle w:val="1005"/>
              <w:ind w:left="57" w:right="57"/>
            </w:pPr>
            <w:r>
              <w:t xml:space="preserve">Поле заполняется вручную.</w:t>
            </w:r>
            <w:r/>
          </w:p>
        </w:tc>
      </w:tr>
      <w:tr>
        <w:trPr/>
        <w:tc>
          <w:tcPr>
            <w:shd w:val="clear" w:fill="auto" w:color="auto"/>
            <w:tcW w:w="1502" w:type="pct"/>
            <w:textDirection w:val="lrTb"/>
            <w:noWrap w:val="false"/>
          </w:tcPr>
          <w:p>
            <w:pPr>
              <w:pStyle w:val="1005"/>
              <w:ind w:left="57" w:right="57"/>
            </w:pPr>
            <w:r>
              <w:t xml:space="preserve">Сумма за счет субсидий\субвенций: Из них переведено</w:t>
            </w:r>
            <w:r/>
          </w:p>
        </w:tc>
        <w:tc>
          <w:tcPr>
            <w:shd w:val="clear" w:fill="auto" w:color="auto"/>
            <w:tcW w:w="3498" w:type="pct"/>
            <w:textDirection w:val="lrTb"/>
            <w:noWrap w:val="false"/>
          </w:tcPr>
          <w:p>
            <w:pPr>
              <w:pStyle w:val="1005"/>
              <w:ind w:left="57" w:right="57"/>
            </w:pPr>
            <w:r>
              <w:t xml:space="preserve">Сумма ПОФР бюджета за счет переведенных субсидий, субвенций.</w:t>
            </w:r>
            <w:r/>
          </w:p>
          <w:p>
            <w:pPr>
              <w:pStyle w:val="1005"/>
              <w:ind w:left="57" w:right="57"/>
            </w:pPr>
            <w:r>
              <w:t xml:space="preserve">Поле заполняется вручную.</w:t>
            </w:r>
            <w:r/>
          </w:p>
        </w:tc>
      </w:tr>
      <w:tr>
        <w:trPr/>
        <w:tc>
          <w:tcPr>
            <w:shd w:val="clear" w:fill="auto" w:color="auto"/>
            <w:tcW w:w="1502" w:type="pct"/>
            <w:textDirection w:val="lrTb"/>
            <w:noWrap w:val="false"/>
          </w:tcPr>
          <w:p>
            <w:pPr>
              <w:pStyle w:val="1005"/>
              <w:ind w:left="57" w:right="57"/>
            </w:pPr>
            <w:r>
              <w:t xml:space="preserve">Сумма за счет субсидий\субвенций: Из них отозвано</w:t>
            </w:r>
            <w:r/>
          </w:p>
        </w:tc>
        <w:tc>
          <w:tcPr>
            <w:shd w:val="clear" w:fill="auto" w:color="auto"/>
            <w:tcW w:w="3498" w:type="pct"/>
            <w:textDirection w:val="lrTb"/>
            <w:noWrap w:val="false"/>
          </w:tcPr>
          <w:p>
            <w:pPr>
              <w:pStyle w:val="1005"/>
              <w:ind w:left="57" w:right="57"/>
            </w:pPr>
            <w:r>
              <w:t xml:space="preserve">Сумма ПОФР бюджета за счет отозванных субсидий, субвенций.</w:t>
            </w:r>
            <w:r/>
          </w:p>
          <w:p>
            <w:pPr>
              <w:pStyle w:val="1005"/>
              <w:ind w:left="57" w:right="57"/>
            </w:pPr>
            <w:r>
              <w:t xml:space="preserve">Поле заполняется вручную.</w:t>
            </w:r>
            <w:r/>
          </w:p>
        </w:tc>
      </w:tr>
      <w:tr>
        <w:trPr/>
        <w:tc>
          <w:tcPr>
            <w:shd w:val="clear" w:fill="auto" w:color="auto"/>
            <w:tcW w:w="1502" w:type="pct"/>
            <w:textDirection w:val="lrTb"/>
            <w:noWrap w:val="false"/>
          </w:tcPr>
          <w:p>
            <w:pPr>
              <w:pStyle w:val="1005"/>
              <w:ind w:left="57" w:right="57"/>
            </w:pPr>
            <w:r>
              <w:t xml:space="preserve">Сумма за счет иных доходов бюджетов: Всего</w:t>
            </w:r>
            <w:r/>
          </w:p>
        </w:tc>
        <w:tc>
          <w:tcPr>
            <w:shd w:val="clear" w:fill="auto" w:color="auto"/>
            <w:tcW w:w="3498" w:type="pct"/>
            <w:textDirection w:val="lrTb"/>
            <w:noWrap w:val="false"/>
          </w:tcPr>
          <w:p>
            <w:pPr>
              <w:pStyle w:val="1005"/>
              <w:ind w:left="57" w:right="57"/>
            </w:pPr>
            <w:r>
              <w:t xml:space="preserve">Общая сумма ПОФР бюджета за счет иных доходов бюджета.</w:t>
            </w:r>
            <w:r/>
          </w:p>
          <w:p>
            <w:pPr>
              <w:pStyle w:val="1005"/>
              <w:ind w:left="57" w:right="57"/>
            </w:pPr>
            <w:r>
              <w:t xml:space="preserve">Поле заполняется вручную.</w:t>
            </w:r>
            <w:r/>
          </w:p>
        </w:tc>
      </w:tr>
      <w:tr>
        <w:trPr/>
        <w:tc>
          <w:tcPr>
            <w:shd w:val="clear" w:fill="auto" w:color="auto"/>
            <w:tcW w:w="1502" w:type="pct"/>
            <w:textDirection w:val="lrTb"/>
            <w:noWrap w:val="false"/>
          </w:tcPr>
          <w:p>
            <w:pPr>
              <w:pStyle w:val="1005"/>
              <w:ind w:left="57" w:right="57"/>
            </w:pPr>
            <w:r>
              <w:t xml:space="preserve">Сумма за счет иных доходов бюджетов: Из них переведено</w:t>
            </w:r>
            <w:r/>
          </w:p>
        </w:tc>
        <w:tc>
          <w:tcPr>
            <w:shd w:val="clear" w:fill="auto" w:color="auto"/>
            <w:tcW w:w="3498" w:type="pct"/>
            <w:textDirection w:val="lrTb"/>
            <w:noWrap w:val="false"/>
          </w:tcPr>
          <w:p>
            <w:pPr>
              <w:pStyle w:val="1005"/>
              <w:ind w:left="57" w:right="57"/>
            </w:pPr>
            <w:r>
              <w:t xml:space="preserve">Сумма ПОФР бюджета за счет переведенных иных доходов бюджета.</w:t>
            </w:r>
            <w:r/>
          </w:p>
          <w:p>
            <w:pPr>
              <w:pStyle w:val="1005"/>
              <w:ind w:left="57" w:right="57"/>
            </w:pPr>
            <w:r>
              <w:t xml:space="preserve">Поле заполняется вручную.</w:t>
            </w:r>
            <w:r/>
          </w:p>
        </w:tc>
      </w:tr>
      <w:tr>
        <w:trPr/>
        <w:tc>
          <w:tcPr>
            <w:shd w:val="clear" w:fill="auto" w:color="auto"/>
            <w:tcW w:w="1502" w:type="pct"/>
            <w:textDirection w:val="lrTb"/>
            <w:noWrap w:val="false"/>
          </w:tcPr>
          <w:p>
            <w:pPr>
              <w:pStyle w:val="1005"/>
              <w:ind w:left="57" w:right="57"/>
            </w:pPr>
            <w:r>
              <w:t xml:space="preserve">Сумма за счет иных доходов бюджетов: Из них отозвано</w:t>
            </w:r>
            <w:r/>
          </w:p>
        </w:tc>
        <w:tc>
          <w:tcPr>
            <w:shd w:val="clear" w:fill="auto" w:color="auto"/>
            <w:tcW w:w="3498" w:type="pct"/>
            <w:textDirection w:val="lrTb"/>
            <w:noWrap w:val="false"/>
          </w:tcPr>
          <w:p>
            <w:pPr>
              <w:pStyle w:val="1005"/>
              <w:ind w:left="57" w:right="57"/>
            </w:pPr>
            <w:r>
              <w:t xml:space="preserve">Сумма ПОФР бюджета за счет отозванных иных доходов бюджета.</w:t>
            </w:r>
            <w:r/>
          </w:p>
          <w:p>
            <w:pPr>
              <w:pStyle w:val="1005"/>
              <w:ind w:left="57" w:right="57"/>
            </w:pPr>
            <w:r>
              <w:t xml:space="preserve">Поле заполняется вручную.</w:t>
            </w:r>
            <w:r/>
          </w:p>
        </w:tc>
      </w:tr>
      <w:tr>
        <w:trPr/>
        <w:tc>
          <w:tcPr>
            <w:shd w:val="clear" w:fill="auto" w:color="auto"/>
            <w:tcW w:w="1502" w:type="pct"/>
            <w:textDirection w:val="lrTb"/>
            <w:noWrap w:val="false"/>
          </w:tcPr>
          <w:p>
            <w:pPr>
              <w:pStyle w:val="1005"/>
              <w:ind w:left="57" w:right="57"/>
            </w:pPr>
            <w:r>
              <w:t xml:space="preserve">Примечание</w:t>
            </w:r>
            <w:r/>
          </w:p>
        </w:tc>
        <w:tc>
          <w:tcPr>
            <w:shd w:val="clear" w:fill="auto" w:color="auto"/>
            <w:tcW w:w="3498" w:type="pct"/>
            <w:textDirection w:val="lrTb"/>
            <w:noWrap w:val="false"/>
          </w:tcPr>
          <w:p>
            <w:pPr>
              <w:pStyle w:val="1005"/>
              <w:ind w:left="57" w:right="57"/>
            </w:pPr>
            <w:r>
              <w:t xml:space="preserve">Следует указывать только код целей субсидий или не указывать ничего.</w:t>
            </w:r>
            <w:r/>
          </w:p>
          <w:p>
            <w:pPr>
              <w:pStyle w:val="1005"/>
              <w:ind w:left="57" w:right="57"/>
            </w:pPr>
            <w:r>
              <w:t xml:space="preserve">Поле заполняется вручную.</w:t>
            </w:r>
            <w:r/>
          </w:p>
        </w:tc>
      </w:tr>
      <w:tr>
        <w:trPr/>
        <w:tc>
          <w:tcPr>
            <w:gridSpan w:val="2"/>
            <w:shd w:val="clear" w:fill="auto" w:color="auto"/>
            <w:tcW w:w="5000" w:type="pct"/>
            <w:textDirection w:val="lrTb"/>
            <w:noWrap w:val="false"/>
          </w:tcPr>
          <w:p>
            <w:pPr>
              <w:pStyle w:val="1005"/>
              <w:ind w:left="57" w:right="57"/>
            </w:pPr>
            <w:r>
              <w:t xml:space="preserve">Г</w:t>
            </w:r>
            <w:r>
              <w:t xml:space="preserve">руппа полей «</w:t>
            </w:r>
            <w:r>
              <w:t xml:space="preserve">Итого»</w:t>
            </w:r>
            <w:r/>
          </w:p>
        </w:tc>
      </w:tr>
      <w:tr>
        <w:trPr/>
        <w:tc>
          <w:tcPr>
            <w:shd w:val="clear" w:fill="auto" w:color="auto"/>
            <w:tcW w:w="1502" w:type="pct"/>
            <w:textDirection w:val="lrTb"/>
            <w:noWrap w:val="false"/>
          </w:tcPr>
          <w:p>
            <w:pPr>
              <w:pStyle w:val="1005"/>
              <w:ind w:left="57" w:right="57"/>
            </w:pPr>
            <w:r>
              <w:t xml:space="preserve">Сумма за счет субсидий\субвенций: Всего</w:t>
            </w:r>
            <w:r/>
          </w:p>
        </w:tc>
        <w:tc>
          <w:tcPr>
            <w:shd w:val="clear" w:fill="auto" w:color="auto"/>
            <w:tcW w:w="3498" w:type="pct"/>
            <w:textDirection w:val="lrTb"/>
            <w:noWrap w:val="false"/>
          </w:tcPr>
          <w:p>
            <w:pPr>
              <w:pStyle w:val="1005"/>
              <w:ind w:left="57" w:right="57"/>
            </w:pPr>
            <w:r>
              <w:t xml:space="preserve">Итоговая сумма ПОФР бюджета за счет субсидий, субвенций.</w:t>
            </w:r>
            <w:r/>
          </w:p>
          <w:p>
            <w:pPr>
              <w:pStyle w:val="1005"/>
              <w:ind w:left="57" w:right="57"/>
            </w:pPr>
            <w:r>
              <w:t xml:space="preserve">Поле заполняется вручную.</w:t>
            </w:r>
            <w:r/>
          </w:p>
        </w:tc>
      </w:tr>
      <w:tr>
        <w:trPr/>
        <w:tc>
          <w:tcPr>
            <w:shd w:val="clear" w:fill="auto" w:color="auto"/>
            <w:tcW w:w="1502" w:type="pct"/>
            <w:textDirection w:val="lrTb"/>
            <w:noWrap w:val="false"/>
          </w:tcPr>
          <w:p>
            <w:pPr>
              <w:pStyle w:val="1005"/>
              <w:ind w:left="57" w:right="57"/>
            </w:pPr>
            <w:r>
              <w:t xml:space="preserve">Сумма за счет субсидий\субвенций: Из них переведено</w:t>
            </w:r>
            <w:r/>
          </w:p>
        </w:tc>
        <w:tc>
          <w:tcPr>
            <w:shd w:val="clear" w:fill="auto" w:color="auto"/>
            <w:tcW w:w="3498" w:type="pct"/>
            <w:textDirection w:val="lrTb"/>
            <w:noWrap w:val="false"/>
          </w:tcPr>
          <w:p>
            <w:pPr>
              <w:pStyle w:val="1005"/>
              <w:ind w:left="57" w:right="57"/>
            </w:pPr>
            <w:r>
              <w:t xml:space="preserve">Итоговая сумма ПОФР бюджета за счет переведенных субсидий, субвенций.</w:t>
            </w:r>
            <w:r/>
          </w:p>
          <w:p>
            <w:pPr>
              <w:pStyle w:val="1005"/>
              <w:ind w:left="57" w:right="57"/>
            </w:pPr>
            <w:r>
              <w:t xml:space="preserve">Поле заполняется вручную.</w:t>
            </w:r>
            <w:r/>
          </w:p>
        </w:tc>
      </w:tr>
      <w:tr>
        <w:trPr/>
        <w:tc>
          <w:tcPr>
            <w:shd w:val="clear" w:fill="auto" w:color="auto"/>
            <w:tcW w:w="1502" w:type="pct"/>
            <w:textDirection w:val="lrTb"/>
            <w:noWrap w:val="false"/>
          </w:tcPr>
          <w:p>
            <w:pPr>
              <w:pStyle w:val="1005"/>
              <w:ind w:left="57" w:right="57"/>
            </w:pPr>
            <w:r>
              <w:t xml:space="preserve">Сумма за счет субсидий\субвенций: Из них отозвано</w:t>
            </w:r>
            <w:r/>
          </w:p>
        </w:tc>
        <w:tc>
          <w:tcPr>
            <w:shd w:val="clear" w:fill="auto" w:color="auto"/>
            <w:tcW w:w="3498" w:type="pct"/>
            <w:textDirection w:val="lrTb"/>
            <w:noWrap w:val="false"/>
          </w:tcPr>
          <w:p>
            <w:pPr>
              <w:pStyle w:val="1005"/>
              <w:ind w:left="57" w:right="57"/>
            </w:pPr>
            <w:r>
              <w:t xml:space="preserve">Итоговая сумма ПОФР бюджета за счет переведенных субсидий, субвенций.</w:t>
            </w:r>
            <w:r/>
          </w:p>
          <w:p>
            <w:pPr>
              <w:pStyle w:val="1005"/>
              <w:ind w:left="57" w:right="57"/>
            </w:pPr>
            <w:r>
              <w:t xml:space="preserve">Поле заполняется вручную.</w:t>
            </w:r>
            <w:r/>
          </w:p>
        </w:tc>
      </w:tr>
      <w:tr>
        <w:trPr/>
        <w:tc>
          <w:tcPr>
            <w:shd w:val="clear" w:fill="auto" w:color="auto"/>
            <w:tcW w:w="1502" w:type="pct"/>
            <w:textDirection w:val="lrTb"/>
            <w:noWrap w:val="false"/>
          </w:tcPr>
          <w:p>
            <w:pPr>
              <w:pStyle w:val="1005"/>
              <w:ind w:left="57" w:right="57"/>
            </w:pPr>
            <w:r>
              <w:t xml:space="preserve">Сумма за счет иных доходов бюджетов: Всего</w:t>
            </w:r>
            <w:r/>
          </w:p>
        </w:tc>
        <w:tc>
          <w:tcPr>
            <w:shd w:val="clear" w:fill="auto" w:color="auto"/>
            <w:tcW w:w="3498" w:type="pct"/>
            <w:textDirection w:val="lrTb"/>
            <w:noWrap w:val="false"/>
          </w:tcPr>
          <w:p>
            <w:pPr>
              <w:pStyle w:val="1005"/>
              <w:ind w:left="57" w:right="57"/>
            </w:pPr>
            <w:r>
              <w:t xml:space="preserve">Итоговая сумма ПОФР бюджета за счет иных доходов бюджета.</w:t>
            </w:r>
            <w:r/>
          </w:p>
          <w:p>
            <w:pPr>
              <w:pStyle w:val="1005"/>
              <w:ind w:left="57" w:right="57"/>
            </w:pPr>
            <w:r>
              <w:t xml:space="preserve">Поле заполняется вручную.</w:t>
            </w:r>
            <w:r/>
          </w:p>
        </w:tc>
      </w:tr>
      <w:tr>
        <w:trPr/>
        <w:tc>
          <w:tcPr>
            <w:shd w:val="clear" w:fill="auto" w:color="auto"/>
            <w:tcW w:w="1502" w:type="pct"/>
            <w:textDirection w:val="lrTb"/>
            <w:noWrap w:val="false"/>
          </w:tcPr>
          <w:p>
            <w:pPr>
              <w:pStyle w:val="1005"/>
              <w:ind w:left="57" w:right="57"/>
            </w:pPr>
            <w:r>
              <w:t xml:space="preserve">Сумма за счет иных доходов. Итого бюджетов: Из них переведено</w:t>
            </w:r>
            <w:r/>
          </w:p>
        </w:tc>
        <w:tc>
          <w:tcPr>
            <w:shd w:val="clear" w:fill="auto" w:color="auto"/>
            <w:tcW w:w="3498" w:type="pct"/>
            <w:textDirection w:val="lrTb"/>
            <w:noWrap w:val="false"/>
          </w:tcPr>
          <w:p>
            <w:pPr>
              <w:pStyle w:val="1005"/>
              <w:ind w:left="57" w:right="57"/>
            </w:pPr>
            <w:r>
              <w:t xml:space="preserve">Итоговая сумма ПОФР бюджета за счет переведенных иных доходов бюджета.</w:t>
            </w:r>
            <w:r/>
          </w:p>
          <w:p>
            <w:pPr>
              <w:pStyle w:val="1005"/>
              <w:ind w:left="57" w:right="57"/>
            </w:pPr>
            <w:r>
              <w:t xml:space="preserve">Поле заполняется вручную.</w:t>
            </w:r>
            <w:r/>
          </w:p>
        </w:tc>
      </w:tr>
      <w:tr>
        <w:trPr/>
        <w:tc>
          <w:tcPr>
            <w:shd w:val="clear" w:fill="auto" w:color="auto"/>
            <w:tcW w:w="1502" w:type="pct"/>
            <w:textDirection w:val="lrTb"/>
            <w:noWrap w:val="false"/>
          </w:tcPr>
          <w:p>
            <w:pPr>
              <w:pStyle w:val="1005"/>
              <w:ind w:left="57" w:right="57"/>
            </w:pPr>
            <w:r>
              <w:t xml:space="preserve">Сумма за счет иных доходов бюджетов: Из них отозвано</w:t>
            </w:r>
            <w:r/>
          </w:p>
        </w:tc>
        <w:tc>
          <w:tcPr>
            <w:shd w:val="clear" w:fill="auto" w:color="auto"/>
            <w:tcW w:w="3498" w:type="pct"/>
            <w:textDirection w:val="lrTb"/>
            <w:noWrap w:val="false"/>
          </w:tcPr>
          <w:p>
            <w:pPr>
              <w:pStyle w:val="1005"/>
              <w:ind w:left="57" w:right="57"/>
            </w:pPr>
            <w:r>
              <w:t xml:space="preserve">Итоговая сумма ПОФР бюджета за счет отозванных иных доходов.</w:t>
            </w:r>
            <w:r/>
          </w:p>
          <w:p>
            <w:pPr>
              <w:pStyle w:val="1005"/>
              <w:ind w:left="57" w:right="57"/>
            </w:pPr>
            <w:r>
              <w:t xml:space="preserve">Поле заполняется вручную.</w:t>
            </w:r>
            <w:r/>
          </w:p>
        </w:tc>
      </w:tr>
    </w:tbl>
    <w:p>
      <w:pPr>
        <w:pStyle w:val="994"/>
      </w:pPr>
      <w:r>
        <w:t xml:space="preserve">Для добавления записи в табличное поле ЭФ следует нажать на кнопку </w:t>
      </w:r>
      <w:r>
        <mc:AlternateContent>
          <mc:Choice Requires="wpg">
            <w:drawing>
              <wp:inline xmlns:wp="http://schemas.openxmlformats.org/drawingml/2006/wordprocessingDrawing" distT="0" distB="0" distL="0" distR="0">
                <wp:extent cx="182880" cy="182880"/>
                <wp:effectExtent l="0" t="0" r="0" b="0"/>
                <wp:docPr id="25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0" o:spid="_x0000_s250" type="#_x0000_t75" style="mso-wrap-distance-left:0.0pt;mso-wrap-distance-top:0.0pt;mso-wrap-distance-right:0.0pt;mso-wrap-distance-bottom:0.0pt;width:14.4pt;height:14.4pt;" stroked="f">
                <v:path textboxrect="0,0,0,0"/>
                <v:imagedata r:id="rId80" o:title=""/>
              </v:shape>
            </w:pict>
          </mc:Fallback>
        </mc:AlternateContent>
      </w:r>
      <w:r>
        <w:t xml:space="preserve"> </w:t>
      </w:r>
      <w:r>
        <w:t xml:space="preserve">(Добавить новую строку)</w:t>
      </w:r>
      <w:r>
        <w:t xml:space="preserve">. Открое</w:t>
      </w:r>
      <w:r>
        <w:t xml:space="preserve">тся форма «Добавление записи»</w:t>
      </w:r>
      <w:r>
        <w:t xml:space="preserve"> (рис.</w:t>
      </w:r>
      <w:r>
        <w:t xml:space="preserve"> </w:t>
      </w:r>
      <w:r>
        <w:fldChar w:fldCharType="begin"/>
      </w:r>
      <w:r>
        <w:instrText xml:space="preserve"> REF _Ref388365235 \h </w:instrText>
      </w:r>
      <w:r>
        <w:instrText xml:space="preserve"> \* MERGEFORMAT </w:instrText>
      </w:r>
      <w:r>
        <w:fldChar w:fldCharType="separate"/>
      </w:r>
      <w:r>
        <w:t xml:space="preserve">161</w:t>
      </w:r>
      <w:r>
        <w:fldChar w:fldCharType="end"/>
      </w:r>
      <w:r>
        <w:t xml:space="preserve">), в которой следует заполнить </w:t>
      </w:r>
      <w:r>
        <w:t xml:space="preserve">вышеуказанные поля.</w:t>
      </w:r>
      <w:r/>
    </w:p>
    <w:p>
      <w:pPr>
        <w:pStyle w:val="982"/>
      </w:pPr>
      <w:r>
        <mc:AlternateContent>
          <mc:Choice Requires="wpg">
            <w:drawing>
              <wp:inline xmlns:wp="http://schemas.openxmlformats.org/drawingml/2006/wordprocessingDrawing" distT="0" distB="0" distL="0" distR="0">
                <wp:extent cx="6035040" cy="2926080"/>
                <wp:effectExtent l="0" t="0" r="0" b="0"/>
                <wp:docPr id="25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27"/>
                        <a:stretch/>
                      </pic:blipFill>
                      <pic:spPr bwMode="auto">
                        <a:xfrm>
                          <a:off x="0" y="0"/>
                          <a:ext cx="6035039" cy="29260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1" o:spid="_x0000_s251" type="#_x0000_t75" style="mso-wrap-distance-left:0.0pt;mso-wrap-distance-top:0.0pt;mso-wrap-distance-right:0.0pt;mso-wrap-distance-bottom:0.0pt;width:475.2pt;height:230.4pt;" stroked="f">
                <v:path textboxrect="0,0,0,0"/>
                <v:imagedata r:id="rId227" o:title=""/>
              </v:shape>
            </w:pict>
          </mc:Fallback>
        </mc:AlternateContent>
      </w:r>
      <w:r/>
    </w:p>
    <w:p>
      <w:pPr>
        <w:pStyle w:val="983"/>
      </w:pPr>
      <w:r>
        <w:fldChar w:fldCharType="begin"/>
      </w:r>
      <w:r>
        <w:instrText xml:space="preserve"> SEQ Рисунок \* ARABIC </w:instrText>
      </w:r>
      <w:r>
        <w:fldChar w:fldCharType="separate"/>
      </w:r>
      <w:bookmarkStart w:id="1230" w:name="_Ref388365235"/>
      <w:r/>
      <w:bookmarkStart w:id="1231" w:name="_Toc88819546"/>
      <w:r>
        <w:t xml:space="preserve">161</w:t>
      </w:r>
      <w:bookmarkEnd w:id="1230"/>
      <w:r>
        <w:fldChar w:fldCharType="end"/>
      </w:r>
      <w:r>
        <w:t xml:space="preserve">. </w:t>
      </w:r>
      <w:r>
        <w:t xml:space="preserve">Форма «Добавление записи»</w:t>
      </w:r>
      <w:bookmarkEnd w:id="1231"/>
      <w:r/>
      <w:r/>
    </w:p>
    <w:p>
      <w:pPr>
        <w:pStyle w:val="994"/>
      </w:pPr>
      <w:r>
        <w:t xml:space="preserve">Нажать на </w:t>
      </w:r>
      <w:r>
        <w:t xml:space="preserve">кнопку «Ok»</w:t>
      </w:r>
      <w:r>
        <w:t xml:space="preserve"> для сохранения данных строки.</w:t>
      </w:r>
      <w:r/>
    </w:p>
    <w:p>
      <w:pPr>
        <w:pStyle w:val="994"/>
      </w:pPr>
      <w:r>
        <w:t xml:space="preserve">ЭФ документа «Акт приемки-передачи показателей лицевого счета бюджета», закладки «Дополнительные атрибуты»</w:t>
      </w:r>
      <w:r>
        <w:t xml:space="preserve"> </w:t>
      </w:r>
      <w:r>
        <w:t xml:space="preserve">представлена </w:t>
      </w:r>
      <w:r>
        <w:t xml:space="preserve">н</w:t>
      </w:r>
      <w:r>
        <w:t xml:space="preserve">а рисунке</w:t>
      </w:r>
      <w:r>
        <w:t xml:space="preserve"> </w:t>
      </w:r>
      <w:r>
        <w:fldChar w:fldCharType="begin"/>
      </w:r>
      <w:r>
        <w:instrText xml:space="preserve"> REF _Ref388365109 \h </w:instrText>
      </w:r>
      <w:r>
        <w:instrText xml:space="preserve"> \* MERGEFORMAT </w:instrText>
      </w:r>
      <w:r>
        <w:fldChar w:fldCharType="separate"/>
      </w:r>
      <w:r>
        <w:t xml:space="preserve">162</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2926080"/>
                <wp:effectExtent l="0" t="0" r="0" b="0"/>
                <wp:docPr id="25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28"/>
                        <a:stretch/>
                      </pic:blipFill>
                      <pic:spPr bwMode="auto">
                        <a:xfrm>
                          <a:off x="0" y="0"/>
                          <a:ext cx="6118860" cy="29260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2" o:spid="_x0000_s252" type="#_x0000_t75" style="mso-wrap-distance-left:0.0pt;mso-wrap-distance-top:0.0pt;mso-wrap-distance-right:0.0pt;mso-wrap-distance-bottom:0.0pt;width:481.8pt;height:230.4pt;" stroked="f">
                <v:path textboxrect="0,0,0,0"/>
                <v:imagedata r:id="rId228" o:title=""/>
              </v:shape>
            </w:pict>
          </mc:Fallback>
        </mc:AlternateContent>
      </w:r>
      <w:r/>
    </w:p>
    <w:p>
      <w:pPr>
        <w:pStyle w:val="983"/>
      </w:pPr>
      <w:r>
        <w:fldChar w:fldCharType="begin"/>
      </w:r>
      <w:r>
        <w:instrText xml:space="preserve"> SEQ Рисунок \* ARABIC </w:instrText>
      </w:r>
      <w:r>
        <w:fldChar w:fldCharType="separate"/>
      </w:r>
      <w:bookmarkStart w:id="1232" w:name="_Ref388365109"/>
      <w:r/>
      <w:bookmarkStart w:id="1233" w:name="_Toc88819547"/>
      <w:r>
        <w:t xml:space="preserve">162</w:t>
      </w:r>
      <w:bookmarkEnd w:id="1232"/>
      <w:r>
        <w:fldChar w:fldCharType="end"/>
      </w:r>
      <w:r>
        <w:t xml:space="preserve">. ЭФ документа «Акт приемки-передачи показателей лицевого счета бюджета</w:t>
      </w:r>
      <w:r>
        <w:t xml:space="preserve">», закладки «</w:t>
      </w:r>
      <w:r>
        <w:t xml:space="preserve">Дополнительные атрибуты»</w:t>
      </w:r>
      <w:bookmarkEnd w:id="1233"/>
      <w:r/>
      <w:r/>
    </w:p>
    <w:p>
      <w:pPr>
        <w:pStyle w:val="994"/>
      </w:pPr>
      <w:r>
        <w:t xml:space="preserve">Перечень полей документа «Акт приемки-передачи показателей лицевого счета бюджета</w:t>
      </w:r>
      <w:r>
        <w:t xml:space="preserve">», закладки «</w:t>
      </w:r>
      <w:r>
        <w:t xml:space="preserve">Дополнительные атрибуты» приведен в таблице</w:t>
      </w:r>
      <w:r>
        <w:t xml:space="preserve"> </w:t>
      </w:r>
      <w:r>
        <w:fldChar w:fldCharType="begin"/>
      </w:r>
      <w:r>
        <w:instrText xml:space="preserve"> REF _Ref388354853 \h </w:instrText>
      </w:r>
      <w:r>
        <w:instrText xml:space="preserve"> \* MERGEFORMAT </w:instrText>
      </w:r>
      <w:r>
        <w:fldChar w:fldCharType="separate"/>
      </w:r>
      <w:r>
        <w:t xml:space="preserve">88</w:t>
      </w:r>
      <w:r>
        <w:fldChar w:fldCharType="end"/>
      </w:r>
      <w:r>
        <w:t xml:space="preserve">.</w:t>
      </w:r>
      <w:r/>
    </w:p>
    <w:p>
      <w:pPr>
        <w:pStyle w:val="993"/>
      </w:pPr>
      <w:r>
        <w:fldChar w:fldCharType="begin"/>
      </w:r>
      <w:r>
        <w:instrText xml:space="preserve"> SEQ Таблица \* ARABIC </w:instrText>
      </w:r>
      <w:r>
        <w:fldChar w:fldCharType="separate"/>
      </w:r>
      <w:bookmarkStart w:id="1234" w:name="_Ref388354853"/>
      <w:r/>
      <w:bookmarkStart w:id="1235" w:name="_Toc88819274"/>
      <w:r>
        <w:t xml:space="preserve">88</w:t>
      </w:r>
      <w:bookmarkEnd w:id="1234"/>
      <w:r>
        <w:fldChar w:fldCharType="end"/>
      </w:r>
      <w:r>
        <w:t xml:space="preserve">. Описание полей документа «Акт приемки-передачи показателей лицевого счета бюджета</w:t>
      </w:r>
      <w:r>
        <w:t xml:space="preserve">», закладки «</w:t>
      </w:r>
      <w:r>
        <w:t xml:space="preserve">Дополнительные атрибуты»</w:t>
      </w:r>
      <w:bookmarkEnd w:id="1235"/>
      <w:r/>
      <w:r/>
    </w:p>
    <w:tbl>
      <w:tblPr>
        <w:tblW w:w="5058"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2963"/>
        <w:gridCol w:w="6902"/>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502"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498" w:type="pct"/>
            <w:vAlign w:val="center"/>
            <w:textDirection w:val="lrTb"/>
            <w:noWrap w:val="false"/>
          </w:tcPr>
          <w:p>
            <w:pPr>
              <w:pStyle w:val="1006"/>
            </w:pPr>
            <w:r>
              <w:t xml:space="preserve">Описание поля</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«Статусы документа»</w:t>
            </w:r>
            <w:r/>
          </w:p>
        </w:tc>
      </w:tr>
      <w:tr>
        <w:trPr>
          <w:trHeight w:val="77"/>
        </w:trPr>
        <w:tc>
          <w:tcPr>
            <w:shd w:val="clear" w:fill="auto" w:color="auto"/>
            <w:tcW w:w="1502" w:type="pct"/>
            <w:textDirection w:val="lrTb"/>
            <w:noWrap w:val="false"/>
          </w:tcPr>
          <w:p>
            <w:pPr>
              <w:pStyle w:val="1005"/>
              <w:ind w:left="57" w:right="57"/>
            </w:pPr>
            <w:r>
              <w:t xml:space="preserve">Бизнес-cтатус</w:t>
            </w:r>
            <w:r/>
          </w:p>
        </w:tc>
        <w:tc>
          <w:tcPr>
            <w:shd w:val="clear" w:fill="auto" w:color="auto"/>
            <w:tcW w:w="3498" w:type="pct"/>
            <w:textDirection w:val="lrTb"/>
            <w:noWrap w:val="false"/>
          </w:tcPr>
          <w:p>
            <w:pPr>
              <w:pStyle w:val="1005"/>
              <w:ind w:left="57" w:right="57"/>
            </w:pPr>
            <w:r>
              <w:t xml:space="preserve">Код и наименование бизнес-статуса документа. </w:t>
            </w:r>
            <w:r/>
          </w:p>
          <w:p>
            <w:pPr>
              <w:pStyle w:val="1005"/>
              <w:ind w:left="57" w:right="57"/>
            </w:pPr>
            <w:r>
              <w:t xml:space="preserve">Закрыто для редактирования.</w:t>
            </w:r>
            <w:r/>
          </w:p>
          <w:p>
            <w:pPr>
              <w:pStyle w:val="1005"/>
              <w:ind w:left="57" w:right="57"/>
            </w:pPr>
            <w:r>
              <w:t xml:space="preserve">Код заполняется автоматически при обработке документа или присылается из OEBS. Равен значению поля «Статус» закладки «Документ».</w:t>
            </w:r>
            <w:r/>
          </w:p>
          <w:p>
            <w:pPr>
              <w:pStyle w:val="1005"/>
              <w:ind w:left="57" w:right="57"/>
            </w:pPr>
            <w:r>
              <w:t xml:space="preserve">Наименование поля заполняется по коду из справочника.</w:t>
            </w:r>
            <w:r/>
          </w:p>
        </w:tc>
      </w:tr>
      <w:tr>
        <w:trPr>
          <w:trHeight w:val="77"/>
        </w:trPr>
        <w:tc>
          <w:tcPr>
            <w:shd w:val="clear" w:fill="auto" w:color="auto"/>
            <w:tcW w:w="1502" w:type="pct"/>
            <w:textDirection w:val="lrTb"/>
            <w:noWrap w:val="false"/>
          </w:tcPr>
          <w:p>
            <w:pPr>
              <w:pStyle w:val="1005"/>
              <w:ind w:left="57" w:right="57"/>
            </w:pPr>
            <w:r>
              <w:t xml:space="preserve">Статус передачи</w:t>
            </w:r>
            <w:r/>
          </w:p>
        </w:tc>
        <w:tc>
          <w:tcPr>
            <w:shd w:val="clear" w:fill="auto" w:color="auto"/>
            <w:tcW w:w="3498" w:type="pct"/>
            <w:textDirection w:val="lrTb"/>
            <w:noWrap w:val="false"/>
          </w:tcPr>
          <w:p>
            <w:pPr>
              <w:pStyle w:val="1005"/>
              <w:ind w:left="57" w:right="57"/>
            </w:pPr>
            <w:r>
              <w:t xml:space="preserve">Код и наименование статуса передачи документа.</w:t>
            </w:r>
            <w:r/>
          </w:p>
          <w:p>
            <w:pPr>
              <w:pStyle w:val="1005"/>
              <w:ind w:left="57" w:right="57"/>
            </w:pPr>
            <w:r>
              <w:t xml:space="preserve">Заполняется автоматически при обработке документа. Закрыто для редактирования.</w:t>
            </w:r>
            <w:r/>
          </w:p>
        </w:tc>
      </w:tr>
      <w:tr>
        <w:trPr>
          <w:trHeight w:val="77"/>
        </w:trPr>
        <w:tc>
          <w:tcPr>
            <w:shd w:val="clear" w:fill="auto" w:color="auto"/>
            <w:tcW w:w="1502" w:type="pct"/>
            <w:textDirection w:val="lrTb"/>
            <w:noWrap w:val="false"/>
          </w:tcPr>
          <w:p>
            <w:pPr>
              <w:pStyle w:val="1005"/>
              <w:ind w:left="57" w:right="57"/>
            </w:pPr>
            <w:r>
              <w:t xml:space="preserve">Статус утверждения</w:t>
            </w:r>
            <w:r/>
          </w:p>
        </w:tc>
        <w:tc>
          <w:tcPr>
            <w:shd w:val="clear" w:fill="auto" w:color="auto"/>
            <w:tcW w:w="3498" w:type="pct"/>
            <w:textDirection w:val="lrTb"/>
            <w:noWrap w:val="false"/>
          </w:tcPr>
          <w:p>
            <w:pPr>
              <w:pStyle w:val="1005"/>
              <w:ind w:left="57" w:right="57"/>
            </w:pPr>
            <w:r>
              <w:t xml:space="preserve">Код и наименование статуса утверждения документа. </w:t>
            </w:r>
            <w:r/>
          </w:p>
          <w:p>
            <w:pPr>
              <w:pStyle w:val="1005"/>
              <w:ind w:left="57" w:right="57"/>
            </w:pPr>
            <w:r>
              <w:t xml:space="preserve">Заполняется автоматически при утверждении документа. Закрыто для редактирования.</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«Передающая сторона»</w:t>
            </w:r>
            <w:r/>
          </w:p>
        </w:tc>
      </w:tr>
      <w:tr>
        <w:trPr>
          <w:trHeight w:val="77"/>
        </w:trPr>
        <w:tc>
          <w:tcPr>
            <w:shd w:val="clear" w:fill="auto" w:color="auto"/>
            <w:tcW w:w="1502" w:type="pct"/>
            <w:textDirection w:val="lrTb"/>
            <w:noWrap w:val="false"/>
          </w:tcPr>
          <w:p>
            <w:pPr>
              <w:pStyle w:val="1005"/>
              <w:ind w:left="57" w:right="57"/>
            </w:pPr>
            <w:r>
              <w:t xml:space="preserve">Руководитель фин. </w:t>
            </w:r>
            <w:r>
              <w:t xml:space="preserve">О</w:t>
            </w:r>
            <w:r>
              <w:t xml:space="preserve">ргана (уполномоченное лицо). Должность</w:t>
            </w:r>
            <w:r/>
          </w:p>
        </w:tc>
        <w:tc>
          <w:tcPr>
            <w:shd w:val="clear" w:fill="auto" w:color="auto"/>
            <w:tcW w:w="3498" w:type="pct"/>
            <w:textDirection w:val="lrTb"/>
            <w:noWrap w:val="false"/>
          </w:tcPr>
          <w:p>
            <w:pPr>
              <w:pStyle w:val="1005"/>
              <w:ind w:left="57" w:right="57"/>
            </w:pPr>
            <w:r>
              <w:t xml:space="preserve">Наименование должности Руководителя ФО, передающего акт. </w:t>
            </w:r>
            <w:r/>
          </w:p>
          <w:p>
            <w:pPr>
              <w:pStyle w:val="1005"/>
              <w:ind w:left="57" w:right="57"/>
            </w:pPr>
            <w:r>
              <w:t xml:space="preserve">Заполняется вручную или выбирается</w:t>
            </w:r>
            <w:r>
              <w:t xml:space="preserve"> </w:t>
            </w:r>
            <w:r>
              <w:t xml:space="preserve">из справочника «Список сотрудников».</w:t>
            </w:r>
            <w:r/>
          </w:p>
        </w:tc>
      </w:tr>
      <w:tr>
        <w:trPr>
          <w:trHeight w:val="77"/>
        </w:trPr>
        <w:tc>
          <w:tcPr>
            <w:shd w:val="clear" w:fill="auto" w:color="auto"/>
            <w:tcW w:w="1502" w:type="pct"/>
            <w:textDirection w:val="lrTb"/>
            <w:noWrap w:val="false"/>
          </w:tcPr>
          <w:p>
            <w:pPr>
              <w:pStyle w:val="1005"/>
              <w:ind w:left="57" w:right="57"/>
            </w:pPr>
            <w:r>
              <w:t xml:space="preserve">Руководитель фин. </w:t>
            </w:r>
            <w:r>
              <w:t xml:space="preserve">О</w:t>
            </w:r>
            <w:r>
              <w:t xml:space="preserve">ргана (уполномоченное лицо). Расшифровка подписи</w:t>
            </w:r>
            <w:r/>
          </w:p>
        </w:tc>
        <w:tc>
          <w:tcPr>
            <w:shd w:val="clear" w:fill="auto" w:color="auto"/>
            <w:tcW w:w="3498" w:type="pct"/>
            <w:textDirection w:val="lrTb"/>
            <w:noWrap w:val="false"/>
          </w:tcPr>
          <w:p>
            <w:pPr>
              <w:pStyle w:val="1005"/>
              <w:ind w:left="57" w:right="57"/>
            </w:pPr>
            <w:r>
              <w:t xml:space="preserve">ФИО Руководителя ФО, передающего акт. </w:t>
            </w:r>
            <w:r/>
          </w:p>
          <w:p>
            <w:pPr>
              <w:pStyle w:val="1005"/>
              <w:ind w:left="57" w:right="57"/>
            </w:pPr>
            <w:r>
              <w:t xml:space="preserve">Заполняется вручную или выбирается</w:t>
            </w:r>
            <w:r>
              <w:t xml:space="preserve"> </w:t>
            </w:r>
            <w:r>
              <w:t xml:space="preserve">из справочника «Список сотрудников».</w:t>
            </w:r>
            <w:r/>
          </w:p>
        </w:tc>
      </w:tr>
      <w:tr>
        <w:trPr>
          <w:trHeight w:val="77"/>
        </w:trPr>
        <w:tc>
          <w:tcPr>
            <w:shd w:val="clear" w:fill="auto" w:color="auto"/>
            <w:tcW w:w="1502" w:type="pct"/>
            <w:textDirection w:val="lrTb"/>
            <w:noWrap w:val="false"/>
          </w:tcPr>
          <w:p>
            <w:pPr>
              <w:pStyle w:val="1005"/>
              <w:ind w:left="57" w:right="57"/>
            </w:pPr>
            <w:r>
              <w:t xml:space="preserve">Главный бухгалтер фин. </w:t>
            </w:r>
            <w:r>
              <w:t xml:space="preserve">О</w:t>
            </w:r>
            <w:r>
              <w:t xml:space="preserve">ргана (уполномоченное лицо). Должность</w:t>
            </w:r>
            <w:r/>
          </w:p>
        </w:tc>
        <w:tc>
          <w:tcPr>
            <w:shd w:val="clear" w:fill="auto" w:color="auto"/>
            <w:tcW w:w="3498" w:type="pct"/>
            <w:textDirection w:val="lrTb"/>
            <w:noWrap w:val="false"/>
          </w:tcPr>
          <w:p>
            <w:pPr>
              <w:pStyle w:val="1005"/>
              <w:ind w:left="57" w:right="57"/>
            </w:pPr>
            <w:r>
              <w:t xml:space="preserve">Наименование должности главного бухгалтера ФО, передающего акт. </w:t>
            </w:r>
            <w:r/>
          </w:p>
          <w:p>
            <w:pPr>
              <w:pStyle w:val="1005"/>
              <w:ind w:left="57" w:right="57"/>
            </w:pPr>
            <w:r>
              <w:t xml:space="preserve">Заполняется вручную или выбирается</w:t>
            </w:r>
            <w:r>
              <w:t xml:space="preserve"> </w:t>
            </w:r>
            <w:r>
              <w:t xml:space="preserve">из справочника «Список со</w:t>
            </w:r>
            <w:r>
              <w:t xml:space="preserve">трудников».</w:t>
            </w:r>
            <w:r/>
          </w:p>
        </w:tc>
      </w:tr>
      <w:tr>
        <w:trPr>
          <w:trHeight w:val="77"/>
        </w:trPr>
        <w:tc>
          <w:tcPr>
            <w:shd w:val="clear" w:fill="auto" w:color="auto"/>
            <w:tcW w:w="1502" w:type="pct"/>
            <w:textDirection w:val="lrTb"/>
            <w:noWrap w:val="false"/>
          </w:tcPr>
          <w:p>
            <w:pPr>
              <w:pStyle w:val="1005"/>
              <w:ind w:left="57" w:right="57"/>
            </w:pPr>
            <w:r>
              <w:t xml:space="preserve">Главный бухгалтер фин. </w:t>
            </w:r>
            <w:r>
              <w:t xml:space="preserve">О</w:t>
            </w:r>
            <w:r>
              <w:t xml:space="preserve">ргана (уполномоченное лицо). Расшифровка подписи</w:t>
            </w:r>
            <w:r/>
          </w:p>
        </w:tc>
        <w:tc>
          <w:tcPr>
            <w:shd w:val="clear" w:fill="auto" w:color="auto"/>
            <w:tcW w:w="3498" w:type="pct"/>
            <w:textDirection w:val="lrTb"/>
            <w:noWrap w:val="false"/>
          </w:tcPr>
          <w:p>
            <w:pPr>
              <w:pStyle w:val="1005"/>
              <w:ind w:left="57" w:right="57"/>
            </w:pPr>
            <w:r>
              <w:t xml:space="preserve">ФИО главного бухгалтера ФО, передающего акт. </w:t>
            </w:r>
            <w:r/>
          </w:p>
          <w:p>
            <w:pPr>
              <w:pStyle w:val="1005"/>
              <w:ind w:left="57" w:right="57"/>
            </w:pPr>
            <w:r>
              <w:t xml:space="preserve">Заполняется вручную или выбирается</w:t>
            </w:r>
            <w:r>
              <w:t xml:space="preserve"> </w:t>
            </w:r>
            <w:r>
              <w:t xml:space="preserve">из справочника «Список сотрудников».</w:t>
            </w:r>
            <w:r/>
          </w:p>
        </w:tc>
      </w:tr>
      <w:tr>
        <w:trPr>
          <w:trHeight w:val="77"/>
        </w:trPr>
        <w:tc>
          <w:tcPr>
            <w:shd w:val="clear" w:fill="auto" w:color="auto"/>
            <w:tcW w:w="1502" w:type="pct"/>
            <w:textDirection w:val="lrTb"/>
            <w:noWrap w:val="false"/>
          </w:tcPr>
          <w:p>
            <w:pPr>
              <w:pStyle w:val="1005"/>
              <w:ind w:left="57" w:right="57"/>
            </w:pPr>
            <w:r>
              <w:t xml:space="preserve">Дата</w:t>
            </w:r>
            <w:r/>
          </w:p>
        </w:tc>
        <w:tc>
          <w:tcPr>
            <w:shd w:val="clear" w:fill="auto" w:color="auto"/>
            <w:tcW w:w="3498" w:type="pct"/>
            <w:textDirection w:val="lrTb"/>
            <w:noWrap w:val="false"/>
          </w:tcPr>
          <w:p>
            <w:pPr>
              <w:pStyle w:val="1005"/>
              <w:ind w:left="57" w:right="57"/>
            </w:pPr>
            <w:r>
              <w:t xml:space="preserve">Дата подписи акта главным бухгалтером ФО. </w:t>
            </w:r>
            <w:r/>
          </w:p>
          <w:p>
            <w:pPr>
              <w:pStyle w:val="1005"/>
              <w:ind w:left="57" w:right="57"/>
            </w:pPr>
            <w:r>
              <w:t xml:space="preserve">По умолчанию текущая дата. Значение может быть отредактировано пользователем вручную или путем выбора новой даты из календаря</w:t>
            </w:r>
            <w:r>
              <w:t xml:space="preserve">.</w:t>
            </w:r>
            <w:r/>
          </w:p>
        </w:tc>
      </w:tr>
      <w:tr>
        <w:trPr>
          <w:trHeight w:val="77"/>
        </w:trPr>
        <w:tc>
          <w:tcPr>
            <w:shd w:val="clear" w:fill="auto" w:color="auto"/>
            <w:tcW w:w="1502" w:type="pct"/>
            <w:textDirection w:val="lrTb"/>
            <w:noWrap w:val="false"/>
          </w:tcPr>
          <w:p>
            <w:pPr>
              <w:pStyle w:val="1005"/>
              <w:ind w:left="57" w:right="57"/>
            </w:pPr>
            <w:r>
              <w:t xml:space="preserve">Руководитель органа ФК (уполномоченное лицо). Должность</w:t>
            </w:r>
            <w:r/>
          </w:p>
        </w:tc>
        <w:tc>
          <w:tcPr>
            <w:shd w:val="clear" w:fill="auto" w:color="auto"/>
            <w:tcW w:w="3498" w:type="pct"/>
            <w:textDirection w:val="lrTb"/>
            <w:noWrap w:val="false"/>
          </w:tcPr>
          <w:p>
            <w:pPr>
              <w:pStyle w:val="1005"/>
              <w:ind w:left="57" w:right="57"/>
            </w:pPr>
            <w:r>
              <w:t xml:space="preserve">Наименование должности Руководителя органа ФК, принимающего акт.</w:t>
            </w:r>
            <w:r/>
          </w:p>
          <w:p>
            <w:pPr>
              <w:pStyle w:val="1005"/>
              <w:ind w:left="57" w:right="57"/>
            </w:pPr>
            <w:r>
              <w:t xml:space="preserve">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r/>
          </w:p>
        </w:tc>
      </w:tr>
      <w:tr>
        <w:trPr>
          <w:trHeight w:val="77"/>
        </w:trPr>
        <w:tc>
          <w:tcPr>
            <w:shd w:val="clear" w:fill="auto" w:color="auto"/>
            <w:tcW w:w="1502" w:type="pct"/>
            <w:textDirection w:val="lrTb"/>
            <w:noWrap w:val="false"/>
          </w:tcPr>
          <w:p>
            <w:pPr>
              <w:pStyle w:val="1005"/>
              <w:ind w:left="57" w:right="57"/>
            </w:pPr>
            <w:r>
              <w:t xml:space="preserve">Руководитель органа ФК (уполномоченное лицо). Расшифровка подписи</w:t>
            </w:r>
            <w:r/>
          </w:p>
        </w:tc>
        <w:tc>
          <w:tcPr>
            <w:shd w:val="clear" w:fill="auto" w:color="auto"/>
            <w:tcW w:w="3498" w:type="pct"/>
            <w:textDirection w:val="lrTb"/>
            <w:noWrap w:val="false"/>
          </w:tcPr>
          <w:p>
            <w:pPr>
              <w:pStyle w:val="1005"/>
              <w:ind w:left="57" w:right="57"/>
            </w:pPr>
            <w:r>
              <w:t xml:space="preserve">ФИО Руководителя органа ФК, принимающего акт. </w:t>
            </w:r>
            <w:r/>
          </w:p>
          <w:p>
            <w:pPr>
              <w:pStyle w:val="1005"/>
              <w:ind w:left="57" w:right="57"/>
            </w:pPr>
            <w:r>
              <w:t xml:space="preserve">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r/>
          </w:p>
        </w:tc>
      </w:tr>
      <w:tr>
        <w:trPr>
          <w:trHeight w:val="77"/>
        </w:trPr>
        <w:tc>
          <w:tcPr>
            <w:shd w:val="clear" w:fill="auto" w:color="auto"/>
            <w:tcW w:w="1502" w:type="pct"/>
            <w:textDirection w:val="lrTb"/>
            <w:noWrap w:val="false"/>
          </w:tcPr>
          <w:p>
            <w:pPr>
              <w:pStyle w:val="1005"/>
              <w:ind w:left="57" w:right="57"/>
            </w:pPr>
            <w:r>
              <w:t xml:space="preserve">Главный бухгалтер органа ФК (уполномоченное лицо). Должность</w:t>
            </w:r>
            <w:r/>
          </w:p>
        </w:tc>
        <w:tc>
          <w:tcPr>
            <w:shd w:val="clear" w:fill="auto" w:color="auto"/>
            <w:tcW w:w="3498" w:type="pct"/>
            <w:textDirection w:val="lrTb"/>
            <w:noWrap w:val="false"/>
          </w:tcPr>
          <w:p>
            <w:pPr>
              <w:pStyle w:val="1005"/>
              <w:ind w:left="57" w:right="57"/>
            </w:pPr>
            <w:r>
              <w:t xml:space="preserve">Наименование должности главного бухгалтера органа ФК, принимающего акт.</w:t>
            </w:r>
            <w:r/>
          </w:p>
          <w:p>
            <w:pPr>
              <w:pStyle w:val="1005"/>
              <w:ind w:left="57" w:right="57"/>
            </w:pPr>
            <w:r>
              <w:t xml:space="preserve">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r/>
          </w:p>
        </w:tc>
      </w:tr>
      <w:tr>
        <w:trPr>
          <w:trHeight w:val="77"/>
        </w:trPr>
        <w:tc>
          <w:tcPr>
            <w:shd w:val="clear" w:fill="auto" w:color="auto"/>
            <w:tcW w:w="1502" w:type="pct"/>
            <w:textDirection w:val="lrTb"/>
            <w:noWrap w:val="false"/>
          </w:tcPr>
          <w:p>
            <w:pPr>
              <w:pStyle w:val="1005"/>
              <w:ind w:left="57" w:right="57"/>
            </w:pPr>
            <w:r>
              <w:t xml:space="preserve">Главный бухгалтер органа ФК (уполномоченное лицо). Расшифровка подписи</w:t>
            </w:r>
            <w:r/>
          </w:p>
        </w:tc>
        <w:tc>
          <w:tcPr>
            <w:shd w:val="clear" w:fill="auto" w:color="auto"/>
            <w:tcW w:w="3498" w:type="pct"/>
            <w:textDirection w:val="lrTb"/>
            <w:noWrap w:val="false"/>
          </w:tcPr>
          <w:p>
            <w:pPr>
              <w:pStyle w:val="1005"/>
              <w:ind w:left="57" w:right="57"/>
            </w:pPr>
            <w:r>
              <w:t xml:space="preserve">ФИО главного бухгалтера органа ФК, принимающего акт.</w:t>
            </w:r>
            <w:r/>
          </w:p>
          <w:p>
            <w:pPr>
              <w:pStyle w:val="1005"/>
              <w:ind w:left="57" w:right="57"/>
            </w:pPr>
            <w:r>
              <w:t xml:space="preserve">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r/>
          </w:p>
        </w:tc>
      </w:tr>
      <w:tr>
        <w:trPr>
          <w:trHeight w:val="77"/>
        </w:trPr>
        <w:tc>
          <w:tcPr>
            <w:shd w:val="clear" w:fill="auto" w:color="auto"/>
            <w:tcW w:w="1502" w:type="pct"/>
            <w:textDirection w:val="lrTb"/>
            <w:noWrap w:val="false"/>
          </w:tcPr>
          <w:p>
            <w:pPr>
              <w:pStyle w:val="1005"/>
              <w:ind w:left="57" w:right="57"/>
            </w:pPr>
            <w:r>
              <w:t xml:space="preserve">Дата</w:t>
            </w:r>
            <w:r/>
          </w:p>
        </w:tc>
        <w:tc>
          <w:tcPr>
            <w:shd w:val="clear" w:fill="auto" w:color="auto"/>
            <w:tcW w:w="3498" w:type="pct"/>
            <w:textDirection w:val="lrTb"/>
            <w:noWrap w:val="false"/>
          </w:tcPr>
          <w:p>
            <w:pPr>
              <w:pStyle w:val="1005"/>
              <w:ind w:left="57" w:right="57"/>
            </w:pPr>
            <w:r>
              <w:t xml:space="preserve">Дата подписи акта главным бухгалтером органа ФК.</w:t>
            </w:r>
            <w:r/>
          </w:p>
          <w:p>
            <w:pPr>
              <w:pStyle w:val="1005"/>
              <w:ind w:left="57" w:right="57"/>
            </w:pPr>
            <w:r>
              <w:t xml:space="preserve">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«Принимающая сторона»</w:t>
            </w:r>
            <w:r/>
          </w:p>
        </w:tc>
      </w:tr>
      <w:tr>
        <w:trPr>
          <w:trHeight w:val="77"/>
        </w:trPr>
        <w:tc>
          <w:tcPr>
            <w:shd w:val="clear" w:fill="auto" w:color="auto"/>
            <w:tcW w:w="1502" w:type="pct"/>
            <w:textDirection w:val="lrTb"/>
            <w:noWrap w:val="false"/>
          </w:tcPr>
          <w:p>
            <w:pPr>
              <w:pStyle w:val="1005"/>
              <w:ind w:left="57" w:right="57"/>
            </w:pPr>
            <w:r>
              <w:t xml:space="preserve">Руководитель фин. </w:t>
            </w:r>
            <w:r>
              <w:t xml:space="preserve">О</w:t>
            </w:r>
            <w:r>
              <w:t xml:space="preserve">ргана (уполномоченное лицо). Должность</w:t>
            </w:r>
            <w:r/>
          </w:p>
        </w:tc>
        <w:tc>
          <w:tcPr>
            <w:shd w:val="clear" w:fill="auto" w:color="auto"/>
            <w:tcW w:w="3498" w:type="pct"/>
            <w:textDirection w:val="lrTb"/>
            <w:noWrap w:val="false"/>
          </w:tcPr>
          <w:p>
            <w:pPr>
              <w:pStyle w:val="1005"/>
              <w:ind w:left="57" w:right="57"/>
            </w:pPr>
            <w:r>
              <w:t xml:space="preserve">Наименование должности Руководителя ФО, принимающего акт.</w:t>
            </w:r>
            <w:r/>
          </w:p>
          <w:p>
            <w:pPr>
              <w:pStyle w:val="1005"/>
              <w:ind w:left="57" w:right="57"/>
            </w:pPr>
            <w:r>
              <w:t xml:space="preserve">Поле заполняется вручную.</w:t>
            </w:r>
            <w:r/>
          </w:p>
        </w:tc>
      </w:tr>
      <w:tr>
        <w:trPr>
          <w:trHeight w:val="77"/>
        </w:trPr>
        <w:tc>
          <w:tcPr>
            <w:shd w:val="clear" w:fill="auto" w:color="auto"/>
            <w:tcW w:w="1502" w:type="pct"/>
            <w:textDirection w:val="lrTb"/>
            <w:noWrap w:val="false"/>
          </w:tcPr>
          <w:p>
            <w:pPr>
              <w:pStyle w:val="1005"/>
              <w:ind w:left="57" w:right="57"/>
            </w:pPr>
            <w:r>
              <w:t xml:space="preserve">Руководитель фин. </w:t>
            </w:r>
            <w:r>
              <w:t xml:space="preserve">О</w:t>
            </w:r>
            <w:r>
              <w:t xml:space="preserve">ргана (уполномоченное лицо). Расшифровка подписи</w:t>
            </w:r>
            <w:r/>
          </w:p>
        </w:tc>
        <w:tc>
          <w:tcPr>
            <w:shd w:val="clear" w:fill="auto" w:color="auto"/>
            <w:tcW w:w="3498" w:type="pct"/>
            <w:textDirection w:val="lrTb"/>
            <w:noWrap w:val="false"/>
          </w:tcPr>
          <w:p>
            <w:pPr>
              <w:pStyle w:val="1005"/>
              <w:ind w:left="57" w:right="57"/>
            </w:pPr>
            <w:r>
              <w:t xml:space="preserve">ФИО Руководителя ФО, принимающего акт. </w:t>
            </w:r>
            <w:r/>
          </w:p>
          <w:p>
            <w:pPr>
              <w:pStyle w:val="1005"/>
              <w:ind w:left="57" w:right="57"/>
            </w:pPr>
            <w:r>
              <w:t xml:space="preserve">Поле заполняется вручную.</w:t>
            </w:r>
            <w:r/>
          </w:p>
        </w:tc>
      </w:tr>
      <w:tr>
        <w:trPr>
          <w:trHeight w:val="77"/>
        </w:trPr>
        <w:tc>
          <w:tcPr>
            <w:shd w:val="clear" w:fill="auto" w:color="auto"/>
            <w:tcW w:w="1502" w:type="pct"/>
            <w:textDirection w:val="lrTb"/>
            <w:noWrap w:val="false"/>
          </w:tcPr>
          <w:p>
            <w:pPr>
              <w:pStyle w:val="1005"/>
              <w:ind w:left="57" w:right="57"/>
            </w:pPr>
            <w:r>
              <w:t xml:space="preserve">Главный бухгалтер фин. </w:t>
            </w:r>
            <w:r>
              <w:t xml:space="preserve">О</w:t>
            </w:r>
            <w:r>
              <w:t xml:space="preserve">ргана (уполномоченное лицо). Должность</w:t>
            </w:r>
            <w:r/>
          </w:p>
        </w:tc>
        <w:tc>
          <w:tcPr>
            <w:shd w:val="clear" w:fill="auto" w:color="auto"/>
            <w:tcW w:w="3498" w:type="pct"/>
            <w:textDirection w:val="lrTb"/>
            <w:noWrap w:val="false"/>
          </w:tcPr>
          <w:p>
            <w:pPr>
              <w:pStyle w:val="1005"/>
              <w:ind w:left="57" w:right="57"/>
            </w:pPr>
            <w:r>
              <w:t xml:space="preserve">Наименование должности главного бухгалтера ФО, принимающего акт.</w:t>
            </w:r>
            <w:r/>
          </w:p>
          <w:p>
            <w:pPr>
              <w:pStyle w:val="1005"/>
              <w:ind w:left="57" w:right="57"/>
            </w:pPr>
            <w:r>
              <w:t xml:space="preserve">Поле заполняется вручную.</w:t>
            </w:r>
            <w:r/>
          </w:p>
        </w:tc>
      </w:tr>
      <w:tr>
        <w:trPr>
          <w:trHeight w:val="77"/>
        </w:trPr>
        <w:tc>
          <w:tcPr>
            <w:shd w:val="clear" w:fill="auto" w:color="auto"/>
            <w:tcW w:w="1502" w:type="pct"/>
            <w:textDirection w:val="lrTb"/>
            <w:noWrap w:val="false"/>
          </w:tcPr>
          <w:p>
            <w:pPr>
              <w:pStyle w:val="1005"/>
              <w:ind w:left="57" w:right="57"/>
            </w:pPr>
            <w:r>
              <w:t xml:space="preserve">Главный бухгалтер фин. </w:t>
            </w:r>
            <w:r>
              <w:t xml:space="preserve">О</w:t>
            </w:r>
            <w:r>
              <w:t xml:space="preserve">ргана (уполномоченное лицо). Расшифровка подписи</w:t>
            </w:r>
            <w:r/>
          </w:p>
        </w:tc>
        <w:tc>
          <w:tcPr>
            <w:shd w:val="clear" w:fill="auto" w:color="auto"/>
            <w:tcW w:w="3498" w:type="pct"/>
            <w:textDirection w:val="lrTb"/>
            <w:noWrap w:val="false"/>
          </w:tcPr>
          <w:p>
            <w:pPr>
              <w:pStyle w:val="1005"/>
              <w:ind w:left="57" w:right="57"/>
            </w:pPr>
            <w:r>
              <w:t xml:space="preserve">ФИО главного бухгалтера ФО, принимающего акт.</w:t>
            </w:r>
            <w:r/>
          </w:p>
          <w:p>
            <w:pPr>
              <w:pStyle w:val="1005"/>
              <w:ind w:left="57" w:right="57"/>
            </w:pPr>
            <w:r>
              <w:t xml:space="preserve">Поле заполняется вручную.</w:t>
            </w:r>
            <w:r/>
          </w:p>
        </w:tc>
      </w:tr>
      <w:tr>
        <w:trPr>
          <w:trHeight w:val="77"/>
        </w:trPr>
        <w:tc>
          <w:tcPr>
            <w:shd w:val="clear" w:fill="auto" w:color="auto"/>
            <w:tcW w:w="1502" w:type="pct"/>
            <w:textDirection w:val="lrTb"/>
            <w:noWrap w:val="false"/>
          </w:tcPr>
          <w:p>
            <w:pPr>
              <w:pStyle w:val="1005"/>
              <w:ind w:left="57" w:right="57"/>
            </w:pPr>
            <w:r>
              <w:t xml:space="preserve">Дата</w:t>
            </w:r>
            <w:r/>
          </w:p>
        </w:tc>
        <w:tc>
          <w:tcPr>
            <w:shd w:val="clear" w:fill="auto" w:color="auto"/>
            <w:tcW w:w="3498" w:type="pct"/>
            <w:textDirection w:val="lrTb"/>
            <w:noWrap w:val="false"/>
          </w:tcPr>
          <w:p>
            <w:pPr>
              <w:pStyle w:val="1005"/>
              <w:ind w:left="57" w:right="57"/>
            </w:pPr>
            <w:r>
              <w:t xml:space="preserve">Дата подписи акта главным бухгалтером ФО. </w:t>
            </w:r>
            <w:r/>
          </w:p>
          <w:p>
            <w:pPr>
              <w:pStyle w:val="1005"/>
              <w:ind w:left="57" w:right="57"/>
            </w:pPr>
            <w:r>
              <w:t xml:space="preserve">Заполняется вручную или путем выбора из календаря</w:t>
            </w:r>
            <w:r>
              <w:t xml:space="preserve">.</w:t>
            </w:r>
            <w:r/>
          </w:p>
        </w:tc>
      </w:tr>
      <w:tr>
        <w:trPr>
          <w:trHeight w:val="77"/>
        </w:trPr>
        <w:tc>
          <w:tcPr>
            <w:shd w:val="clear" w:fill="auto" w:color="auto"/>
            <w:tcW w:w="1502" w:type="pct"/>
            <w:textDirection w:val="lrTb"/>
            <w:noWrap w:val="false"/>
          </w:tcPr>
          <w:p>
            <w:pPr>
              <w:pStyle w:val="1005"/>
              <w:ind w:left="57" w:right="57"/>
            </w:pPr>
            <w:r>
              <w:t xml:space="preserve">Руководитель органа ФК </w:t>
            </w:r>
            <w:r>
              <w:t xml:space="preserve">(уполномоченное лицо). Должность</w:t>
            </w:r>
            <w:r/>
          </w:p>
        </w:tc>
        <w:tc>
          <w:tcPr>
            <w:shd w:val="clear" w:fill="auto" w:color="auto"/>
            <w:tcW w:w="3498" w:type="pct"/>
            <w:textDirection w:val="lrTb"/>
            <w:noWrap w:val="false"/>
          </w:tcPr>
          <w:p>
            <w:pPr>
              <w:pStyle w:val="1005"/>
              <w:ind w:left="57" w:right="57"/>
            </w:pPr>
            <w:r>
              <w:t xml:space="preserve">Наименование должности Руководителя органа ФК, передающего акт.</w:t>
            </w:r>
            <w:r/>
          </w:p>
          <w:p>
            <w:pPr>
              <w:pStyle w:val="1005"/>
              <w:ind w:left="57" w:right="57"/>
            </w:pPr>
            <w:r>
              <w:t xml:space="preserve">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r/>
          </w:p>
        </w:tc>
      </w:tr>
      <w:tr>
        <w:trPr>
          <w:trHeight w:val="77"/>
        </w:trPr>
        <w:tc>
          <w:tcPr>
            <w:shd w:val="clear" w:fill="auto" w:color="auto"/>
            <w:tcW w:w="1502" w:type="pct"/>
            <w:textDirection w:val="lrTb"/>
            <w:noWrap w:val="false"/>
          </w:tcPr>
          <w:p>
            <w:pPr>
              <w:pStyle w:val="1005"/>
              <w:ind w:left="57" w:right="57"/>
            </w:pPr>
            <w:r>
              <w:t xml:space="preserve">Руководитель органа ФК (уполномоченное лицо). Расшифровка подписи</w:t>
            </w:r>
            <w:r/>
          </w:p>
        </w:tc>
        <w:tc>
          <w:tcPr>
            <w:shd w:val="clear" w:fill="auto" w:color="auto"/>
            <w:tcW w:w="3498" w:type="pct"/>
            <w:textDirection w:val="lrTb"/>
            <w:noWrap w:val="false"/>
          </w:tcPr>
          <w:p>
            <w:pPr>
              <w:pStyle w:val="1005"/>
              <w:ind w:left="57" w:right="57"/>
            </w:pPr>
            <w:r>
              <w:t xml:space="preserve">ФИО Руководителя органа ФК, передающего акт. </w:t>
            </w:r>
            <w:r/>
          </w:p>
          <w:p>
            <w:pPr>
              <w:pStyle w:val="1005"/>
              <w:ind w:left="57" w:right="57"/>
            </w:pPr>
            <w:r>
              <w:t xml:space="preserve">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r/>
          </w:p>
        </w:tc>
      </w:tr>
      <w:tr>
        <w:trPr>
          <w:trHeight w:val="77"/>
        </w:trPr>
        <w:tc>
          <w:tcPr>
            <w:shd w:val="clear" w:fill="auto" w:color="auto"/>
            <w:tcW w:w="1502" w:type="pct"/>
            <w:textDirection w:val="lrTb"/>
            <w:noWrap w:val="false"/>
          </w:tcPr>
          <w:p>
            <w:pPr>
              <w:pStyle w:val="1005"/>
              <w:ind w:left="57" w:right="57"/>
            </w:pPr>
            <w:r>
              <w:t xml:space="preserve">Главный бухгалтер органа ФК (уполномоченное лицо). Должность</w:t>
            </w:r>
            <w:r/>
          </w:p>
        </w:tc>
        <w:tc>
          <w:tcPr>
            <w:shd w:val="clear" w:fill="auto" w:color="auto"/>
            <w:tcW w:w="3498" w:type="pct"/>
            <w:textDirection w:val="lrTb"/>
            <w:noWrap w:val="false"/>
          </w:tcPr>
          <w:p>
            <w:pPr>
              <w:pStyle w:val="1005"/>
              <w:ind w:left="57" w:right="57"/>
            </w:pPr>
            <w:r>
              <w:t xml:space="preserve">Наименование должности главного бухгалтера органа ФК, передающего акт.</w:t>
            </w:r>
            <w:r/>
          </w:p>
          <w:p>
            <w:pPr>
              <w:pStyle w:val="1005"/>
              <w:ind w:left="57" w:right="57"/>
            </w:pPr>
            <w:r>
              <w:t xml:space="preserve">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r/>
          </w:p>
        </w:tc>
      </w:tr>
      <w:tr>
        <w:trPr>
          <w:trHeight w:val="77"/>
        </w:trPr>
        <w:tc>
          <w:tcPr>
            <w:shd w:val="clear" w:fill="auto" w:color="auto"/>
            <w:tcW w:w="1502" w:type="pct"/>
            <w:textDirection w:val="lrTb"/>
            <w:noWrap w:val="false"/>
          </w:tcPr>
          <w:p>
            <w:pPr>
              <w:pStyle w:val="1005"/>
              <w:ind w:left="57" w:right="57"/>
            </w:pPr>
            <w:r>
              <w:t xml:space="preserve">Главный бухгалтер органа ФК (уполномоченное лицо). Расшифровка подписи</w:t>
            </w:r>
            <w:r/>
          </w:p>
        </w:tc>
        <w:tc>
          <w:tcPr>
            <w:shd w:val="clear" w:fill="auto" w:color="auto"/>
            <w:tcW w:w="3498" w:type="pct"/>
            <w:textDirection w:val="lrTb"/>
            <w:noWrap w:val="false"/>
          </w:tcPr>
          <w:p>
            <w:pPr>
              <w:pStyle w:val="1005"/>
              <w:ind w:left="57" w:right="57"/>
            </w:pPr>
            <w:r>
              <w:t xml:space="preserve">ФИО главного бухгалтера органа ФК, передающего акт.</w:t>
            </w:r>
            <w:r/>
          </w:p>
          <w:p>
            <w:pPr>
              <w:pStyle w:val="1005"/>
              <w:ind w:left="57" w:right="57"/>
            </w:pPr>
            <w:r>
              <w:t xml:space="preserve">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r/>
          </w:p>
        </w:tc>
      </w:tr>
      <w:tr>
        <w:trPr>
          <w:trHeight w:val="77"/>
        </w:trPr>
        <w:tc>
          <w:tcPr>
            <w:shd w:val="clear" w:fill="auto" w:color="auto"/>
            <w:tcW w:w="1502" w:type="pct"/>
            <w:textDirection w:val="lrTb"/>
            <w:noWrap w:val="false"/>
          </w:tcPr>
          <w:p>
            <w:pPr>
              <w:pStyle w:val="1005"/>
              <w:ind w:left="57" w:right="57"/>
            </w:pPr>
            <w:r>
              <w:t xml:space="preserve">Дата</w:t>
            </w:r>
            <w:r/>
          </w:p>
        </w:tc>
        <w:tc>
          <w:tcPr>
            <w:shd w:val="clear" w:fill="auto" w:color="auto"/>
            <w:tcW w:w="3498" w:type="pct"/>
            <w:textDirection w:val="lrTb"/>
            <w:noWrap w:val="false"/>
          </w:tcPr>
          <w:p>
            <w:pPr>
              <w:pStyle w:val="1005"/>
              <w:ind w:left="57" w:right="57"/>
            </w:pPr>
            <w:r>
              <w:t xml:space="preserve">Дата подписи акта главным бухгалтером органа ФК.</w:t>
            </w:r>
            <w:r/>
          </w:p>
          <w:p>
            <w:pPr>
              <w:pStyle w:val="1005"/>
              <w:ind w:left="57" w:right="57"/>
            </w:pPr>
            <w:r>
              <w:t xml:space="preserve">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r/>
          </w:p>
        </w:tc>
      </w:tr>
      <w:tr>
        <w:trPr>
          <w:trHeight w:val="77"/>
        </w:trPr>
        <w:tc>
          <w:tcPr>
            <w:shd w:val="clear" w:fill="auto" w:color="auto"/>
            <w:tcW w:w="1502" w:type="pct"/>
            <w:textDirection w:val="lrTb"/>
            <w:noWrap w:val="false"/>
          </w:tcPr>
          <w:p>
            <w:pPr>
              <w:pStyle w:val="1005"/>
              <w:ind w:left="57" w:right="57"/>
            </w:pPr>
            <w:r>
              <w:t xml:space="preserve">Дата регистрации в ФК, органе ФК отправителя</w:t>
            </w:r>
            <w:r/>
          </w:p>
        </w:tc>
        <w:tc>
          <w:tcPr>
            <w:shd w:val="clear" w:fill="auto" w:color="auto"/>
            <w:tcW w:w="3498" w:type="pct"/>
            <w:textDirection w:val="lrTb"/>
            <w:noWrap w:val="false"/>
          </w:tcPr>
          <w:p>
            <w:pPr>
              <w:pStyle w:val="1005"/>
              <w:ind w:left="57" w:right="57"/>
            </w:pPr>
            <w:r>
              <w:t xml:space="preserve">Дата регистрации в органе ФК отправителя. </w:t>
            </w:r>
            <w:r/>
          </w:p>
          <w:p>
            <w:pPr>
              <w:pStyle w:val="1005"/>
              <w:ind w:left="57" w:right="57"/>
            </w:pPr>
            <w:r>
              <w:t xml:space="preserve">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r/>
          </w:p>
        </w:tc>
      </w:tr>
      <w:tr>
        <w:trPr>
          <w:trHeight w:val="77"/>
        </w:trPr>
        <w:tc>
          <w:tcPr>
            <w:shd w:val="clear" w:fill="auto" w:color="auto"/>
            <w:tcW w:w="1502" w:type="pct"/>
            <w:textDirection w:val="lrTb"/>
            <w:noWrap w:val="false"/>
          </w:tcPr>
          <w:p>
            <w:pPr>
              <w:pStyle w:val="1005"/>
              <w:ind w:left="57" w:right="57"/>
            </w:pPr>
            <w:r>
              <w:t xml:space="preserve">Дата регистрации в ФК, органе ФК получателя</w:t>
            </w:r>
            <w:r/>
          </w:p>
        </w:tc>
        <w:tc>
          <w:tcPr>
            <w:shd w:val="clear" w:fill="auto" w:color="auto"/>
            <w:tcW w:w="3498" w:type="pct"/>
            <w:textDirection w:val="lrTb"/>
            <w:noWrap w:val="false"/>
          </w:tcPr>
          <w:p>
            <w:pPr>
              <w:pStyle w:val="1005"/>
              <w:ind w:left="57" w:right="57"/>
            </w:pPr>
            <w:r>
              <w:t xml:space="preserve">Дата регистрации в органе ФК получателя. </w:t>
            </w:r>
            <w:r/>
          </w:p>
          <w:p>
            <w:pPr>
              <w:pStyle w:val="1005"/>
              <w:ind w:left="57" w:right="57"/>
            </w:pPr>
            <w:r>
              <w:t xml:space="preserve">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r/>
          </w:p>
        </w:tc>
      </w:tr>
    </w:tbl>
    <w:p>
      <w:pPr>
        <w:pStyle w:val="972"/>
      </w:pPr>
      <w:r/>
      <w:bookmarkStart w:id="1236" w:name="_Ref394926125"/>
      <w:r/>
      <w:bookmarkStart w:id="1237" w:name="_Toc422496698"/>
      <w:r/>
      <w:bookmarkStart w:id="1238" w:name="_Toc88819132"/>
      <w:r>
        <w:t xml:space="preserve">Акт приемки-передачи показателей лицевого счета ТГВФ</w:t>
      </w:r>
      <w:bookmarkEnd w:id="1236"/>
      <w:r/>
      <w:bookmarkEnd w:id="1237"/>
      <w:r/>
      <w:bookmarkEnd w:id="1238"/>
      <w:r/>
      <w:r/>
    </w:p>
    <w:p>
      <w:pPr>
        <w:pStyle w:val="994"/>
      </w:pPr>
      <w:r>
        <w:t xml:space="preserve">Документ «Акт приемки-передачи показателей лицевого счета ТГВФ» формируется в </w:t>
      </w:r>
      <w:r>
        <w:t xml:space="preserve">ППО OEBS АСФК</w:t>
      </w:r>
      <w:r>
        <w:t xml:space="preserve"> с использованием функции автозаполнения при переводе л/с в системе ОрФК и направляется на утверждение клиенту в </w:t>
      </w:r>
      <w:r>
        <w:t xml:space="preserve">ППО СУФД АСФК</w:t>
      </w:r>
      <w:r>
        <w:t xml:space="preserve">:</w:t>
      </w:r>
      <w:r/>
    </w:p>
    <w:p>
      <w:pPr>
        <w:pStyle w:val="985"/>
      </w:pPr>
      <w:r>
        <w:t xml:space="preserve">клиенту передающей стороне;</w:t>
      </w:r>
      <w:r/>
    </w:p>
    <w:p>
      <w:pPr>
        <w:pStyle w:val="985"/>
      </w:pPr>
      <w:r>
        <w:t xml:space="preserve">в другой ТОФК – принимающей стороне.</w:t>
      </w:r>
      <w:r/>
    </w:p>
    <w:p>
      <w:pPr>
        <w:pStyle w:val="994"/>
      </w:pPr>
      <w:r>
        <w:t xml:space="preserve">Документ создается в </w:t>
      </w:r>
      <w:r>
        <w:t xml:space="preserve">ППО OEBS АСФК</w:t>
      </w:r>
      <w:r>
        <w:t xml:space="preserve"> в передающем ОрФ</w:t>
      </w:r>
      <w:r>
        <w:t xml:space="preserve">К, в котором разделы табличной части заполняются автоматически и направляется на утверждение передающему клиенту в </w:t>
      </w:r>
      <w:r>
        <w:t xml:space="preserve">ППО СУФД АСФК</w:t>
      </w:r>
      <w:r>
        <w:t xml:space="preserve">. После утверждения передающим клиентом (заполнения полей блока подписей передающим клиентом), документ из передающего </w:t>
      </w:r>
      <w:r>
        <w:t xml:space="preserve">ОрФК направляется в принимающий ОрФК, в котором заполняются реквизиты заголовочной части, подписи принимающего ОрФК и документ направляется на утверждение принимающему клиенту (заполнение полей блока подписей принимающим клиентом). После утверждения докуме</w:t>
      </w:r>
      <w:r>
        <w:t xml:space="preserve">нта принимающим клиентом, направляется в принимающий ОрФК, в котором происходит его регистрация и направляется информация в передающий ОрФК. В ОрФК передающем осуществляется окончательная регистрация документа и доводится информация до передающего клиента.</w:t>
      </w:r>
      <w:r/>
    </w:p>
    <w:p>
      <w:pPr>
        <w:pStyle w:val="994"/>
      </w:pPr>
      <w:r>
        <w:t xml:space="preserve">Для работы с документами «Акт приемки-передачи показателей лицевого счета ТГВФ» следует перейти в пункт меню «Документы – Реорганизация – Акт приемки-передачи показателей ЛС бюджета». Откроется ЭФ списка документов, представленная на рисунке </w:t>
      </w:r>
      <w:r>
        <w:fldChar w:fldCharType="begin"/>
      </w:r>
      <w:r>
        <w:instrText xml:space="preserve"> REF _Ref394591785 \h </w:instrText>
      </w:r>
      <w:r>
        <w:instrText xml:space="preserve"> \* MERGEFORMAT </w:instrText>
      </w:r>
      <w:r>
        <w:fldChar w:fldCharType="separate"/>
      </w:r>
      <w:r>
        <w:t xml:space="preserve">163</w:t>
      </w:r>
      <w:r>
        <w:fldChar w:fldCharType="end"/>
      </w:r>
      <w:r>
        <w:t xml:space="preserve">.</w:t>
      </w:r>
      <w:r/>
    </w:p>
    <w:p>
      <w:pPr>
        <w:pStyle w:val="982"/>
      </w:pPr>
      <w:r>
        <mc:AlternateContent>
          <mc:Choice Requires="wpg">
            <w:drawing>
              <wp:inline xmlns:wp="http://schemas.openxmlformats.org/drawingml/2006/wordprocessingDrawing" distT="0" distB="0" distL="0" distR="0">
                <wp:extent cx="6217920" cy="3299460"/>
                <wp:effectExtent l="0" t="0" r="0" b="0"/>
                <wp:docPr id="25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29"/>
                        <a:stretch/>
                      </pic:blipFill>
                      <pic:spPr bwMode="auto">
                        <a:xfrm>
                          <a:off x="0" y="0"/>
                          <a:ext cx="6217920" cy="32994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3" o:spid="_x0000_s253" type="#_x0000_t75" style="mso-wrap-distance-left:0.0pt;mso-wrap-distance-top:0.0pt;mso-wrap-distance-right:0.0pt;mso-wrap-distance-bottom:0.0pt;width:489.6pt;height:259.8pt;" stroked="f">
                <v:path textboxrect="0,0,0,0"/>
                <v:imagedata r:id="rId229" o:title=""/>
              </v:shape>
            </w:pict>
          </mc:Fallback>
        </mc:AlternateContent>
      </w:r>
      <w:r/>
    </w:p>
    <w:p>
      <w:pPr>
        <w:pStyle w:val="983"/>
      </w:pPr>
      <w:r>
        <w:fldChar w:fldCharType="begin"/>
      </w:r>
      <w:r>
        <w:instrText xml:space="preserve"> SEQ Рисунок \* ARABIC </w:instrText>
      </w:r>
      <w:r>
        <w:fldChar w:fldCharType="separate"/>
      </w:r>
      <w:bookmarkStart w:id="1239" w:name="_Ref394591785"/>
      <w:r/>
      <w:bookmarkStart w:id="1240" w:name="_Toc88819548"/>
      <w:r>
        <w:t xml:space="preserve">163</w:t>
      </w:r>
      <w:bookmarkEnd w:id="1239"/>
      <w:r>
        <w:fldChar w:fldCharType="end"/>
      </w:r>
      <w:r>
        <w:t xml:space="preserve">. ЭФ списка документов «Акт приемки-передачи показателей лицевого счета ТГВФ»</w:t>
      </w:r>
      <w:bookmarkEnd w:id="1240"/>
      <w:r/>
      <w:r/>
    </w:p>
    <w:p>
      <w:pPr>
        <w:pStyle w:val="973"/>
      </w:pPr>
      <w:r>
        <w:t xml:space="preserve">Доступные операции</w:t>
      </w:r>
      <w:r/>
    </w:p>
    <w:p>
      <w:pPr>
        <w:pStyle w:val="994"/>
      </w:pPr>
      <w:r>
        <w:t xml:space="preserve">На АРМ ФО доступны следующие операции над документом:</w:t>
      </w:r>
      <w:r/>
    </w:p>
    <w:p>
      <w:pPr>
        <w:pStyle w:val="985"/>
      </w:pPr>
      <w:r>
        <w:t xml:space="preserve">просмотр и редактирование;</w:t>
      </w:r>
      <w:r/>
    </w:p>
    <w:p>
      <w:pPr>
        <w:pStyle w:val="985"/>
      </w:pPr>
      <w:r>
        <w:t xml:space="preserve">подписание</w:t>
      </w:r>
      <w:r>
        <w:t xml:space="preserve">, проверка и удаление</w:t>
      </w:r>
      <w:r>
        <w:t xml:space="preserve"> </w:t>
      </w:r>
      <w:r>
        <w:t xml:space="preserve">ЭП</w:t>
      </w:r>
      <w:r>
        <w:t xml:space="preserve">;</w:t>
      </w:r>
      <w:r/>
    </w:p>
    <w:p>
      <w:pPr>
        <w:pStyle w:val="985"/>
      </w:pPr>
      <w:r>
        <w:t xml:space="preserve">печать;</w:t>
      </w:r>
      <w:r/>
    </w:p>
    <w:p>
      <w:pPr>
        <w:pStyle w:val="985"/>
      </w:pPr>
      <w:r>
        <w:t xml:space="preserve">отправка в ОрФК</w:t>
      </w:r>
      <w:r>
        <w:t xml:space="preserve">.</w:t>
      </w:r>
      <w:r/>
    </w:p>
    <w:p>
      <w:pPr>
        <w:pStyle w:val="973"/>
      </w:pPr>
      <w:r>
        <w:t xml:space="preserve">Экранная форма документа</w:t>
      </w:r>
      <w:r/>
    </w:p>
    <w:p>
      <w:pPr>
        <w:pStyle w:val="994"/>
      </w:pPr>
      <w:r>
        <w:t xml:space="preserve">ЭФ документа «Акт приемки-передачи показателей лицевого счета ТГВФ» представлена на рисунках </w:t>
      </w:r>
      <w:r>
        <w:fldChar w:fldCharType="begin"/>
      </w:r>
      <w:r>
        <w:instrText xml:space="preserve"> REF _Ref394591783 \h </w:instrText>
      </w:r>
      <w:r>
        <w:instrText xml:space="preserve"> \* MERGEFORMAT </w:instrText>
      </w:r>
      <w:r>
        <w:fldChar w:fldCharType="separate"/>
      </w:r>
      <w:r>
        <w:t xml:space="preserve">164</w:t>
      </w:r>
      <w:r>
        <w:fldChar w:fldCharType="end"/>
      </w:r>
      <w:r>
        <w:t xml:space="preserve">-</w:t>
      </w:r>
      <w:r>
        <w:fldChar w:fldCharType="begin"/>
      </w:r>
      <w:r>
        <w:instrText xml:space="preserve"> REF _Ref394591787 \h </w:instrText>
      </w:r>
      <w:r>
        <w:instrText xml:space="preserve"> \* MERGEFORMAT </w:instrText>
      </w:r>
      <w:r>
        <w:fldChar w:fldCharType="separate"/>
      </w:r>
      <w:r>
        <w:t xml:space="preserve">167</w:t>
      </w:r>
      <w:r>
        <w:fldChar w:fldCharType="end"/>
      </w:r>
      <w:r>
        <w:t xml:space="preserve">. Форма содержит следующие закладки:</w:t>
      </w:r>
      <w:r/>
    </w:p>
    <w:p>
      <w:pPr>
        <w:pStyle w:val="985"/>
      </w:pPr>
      <w:r>
        <w:t xml:space="preserve">«Документ»:</w:t>
      </w:r>
      <w:r/>
    </w:p>
    <w:p>
      <w:pPr>
        <w:pStyle w:val="986"/>
      </w:pPr>
      <w:r>
        <w:t xml:space="preserve">«Раздел 1.1. Остатки на лицевом счете»;</w:t>
      </w:r>
      <w:r/>
    </w:p>
    <w:p>
      <w:pPr>
        <w:pStyle w:val="986"/>
      </w:pPr>
      <w:r>
        <w:t xml:space="preserve">«Раздел 1.2. Операции с бюджетными средствами»;</w:t>
      </w:r>
      <w:r/>
    </w:p>
    <w:p>
      <w:pPr>
        <w:pStyle w:val="986"/>
      </w:pPr>
      <w:r>
        <w:t xml:space="preserve">«Раздел 1.3. Пр</w:t>
      </w:r>
      <w:r>
        <w:t xml:space="preserve">едельные объемы финансирования»;</w:t>
      </w:r>
      <w:r/>
    </w:p>
    <w:p>
      <w:pPr>
        <w:pStyle w:val="985"/>
      </w:pPr>
      <w:r>
        <w:t xml:space="preserve">«Дополнительные атрибуты»;</w:t>
      </w:r>
      <w:r/>
    </w:p>
    <w:p>
      <w:pPr>
        <w:pStyle w:val="985"/>
      </w:pPr>
      <w:r>
        <w:t xml:space="preserve">«Системные атрибуты»;</w:t>
      </w:r>
      <w:r/>
    </w:p>
    <w:p>
      <w:pPr>
        <w:pStyle w:val="985"/>
      </w:pPr>
      <w:r>
        <w:t xml:space="preserve">«Протоколы».</w:t>
      </w:r>
      <w:r/>
    </w:p>
    <w:p>
      <w:pPr>
        <w:pStyle w:val="982"/>
        <w:rPr>
          <w:lang w:val="en-US"/>
        </w:rPr>
      </w:pPr>
      <w:r/>
      <w:bookmarkStart w:id="1241" w:name="_Toc225934605"/>
      <w:r/>
      <w:bookmarkStart w:id="1242" w:name="_Toc232827353"/>
      <w:r/>
      <w:bookmarkStart w:id="1243" w:name="_Toc221011512"/>
      <w:r/>
      <w:bookmarkStart w:id="1244" w:name="_Toc221012212"/>
      <w:r/>
      <w:bookmarkEnd w:id="1190"/>
      <w:r>
        <mc:AlternateContent>
          <mc:Choice Requires="wpg">
            <w:drawing>
              <wp:inline xmlns:wp="http://schemas.openxmlformats.org/drawingml/2006/wordprocessingDrawing" distT="0" distB="0" distL="0" distR="0">
                <wp:extent cx="6126480" cy="3383280"/>
                <wp:effectExtent l="0" t="0" r="0" b="0"/>
                <wp:docPr id="25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30"/>
                        <a:stretch/>
                      </pic:blipFill>
                      <pic:spPr bwMode="auto">
                        <a:xfrm>
                          <a:off x="0" y="0"/>
                          <a:ext cx="6126480" cy="33832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4" o:spid="_x0000_s254" type="#_x0000_t75" style="mso-wrap-distance-left:0.0pt;mso-wrap-distance-top:0.0pt;mso-wrap-distance-right:0.0pt;mso-wrap-distance-bottom:0.0pt;width:482.4pt;height:266.4pt;" stroked="f">
                <v:path textboxrect="0,0,0,0"/>
                <v:imagedata r:id="rId230" o:title=""/>
              </v:shape>
            </w:pict>
          </mc:Fallback>
        </mc:AlternateContent>
      </w:r>
      <w:r/>
    </w:p>
    <w:p>
      <w:pPr>
        <w:pStyle w:val="983"/>
      </w:pPr>
      <w:r>
        <w:fldChar w:fldCharType="begin"/>
      </w:r>
      <w:r>
        <w:instrText xml:space="preserve"> SEQ Рисунок \* ARABIC </w:instrText>
      </w:r>
      <w:r>
        <w:fldChar w:fldCharType="separate"/>
      </w:r>
      <w:bookmarkStart w:id="1245" w:name="_Ref394591783"/>
      <w:r/>
      <w:bookmarkStart w:id="1246" w:name="_Toc88819549"/>
      <w:r>
        <w:t xml:space="preserve">164</w:t>
      </w:r>
      <w:bookmarkEnd w:id="1245"/>
      <w:r>
        <w:fldChar w:fldCharType="end"/>
      </w:r>
      <w:r>
        <w:t xml:space="preserve">. ЭФ документа «Акт приемки-передачи показателей лицевого счета ТГВФ</w:t>
      </w:r>
      <w:r>
        <w:t xml:space="preserve">», закладки «</w:t>
      </w:r>
      <w:r>
        <w:t xml:space="preserve">Документ</w:t>
      </w:r>
      <w:r>
        <w:t xml:space="preserve">», вкладки «</w:t>
      </w:r>
      <w:r>
        <w:t xml:space="preserve">Раздел 1.1. Остатки на лицевом счете»</w:t>
      </w:r>
      <w:bookmarkEnd w:id="1246"/>
      <w:r/>
      <w:r/>
    </w:p>
    <w:p>
      <w:pPr>
        <w:pStyle w:val="994"/>
      </w:pPr>
      <w:r>
        <w:t xml:space="preserve">Перечень полей документа «Акт приемки-передачи показателей лицевого счета ТГВФ</w:t>
      </w:r>
      <w:r>
        <w:t xml:space="preserve">», закладки «</w:t>
      </w:r>
      <w:r>
        <w:t xml:space="preserve">Документ</w:t>
      </w:r>
      <w:r>
        <w:t xml:space="preserve">», вкладки «</w:t>
      </w:r>
      <w:r>
        <w:t xml:space="preserve">Раздел 1.1. Остатки на лицевом счете» приведен в таблице</w:t>
      </w:r>
      <w:r>
        <w:t xml:space="preserve"> </w:t>
      </w:r>
      <w:r>
        <w:fldChar w:fldCharType="begin"/>
      </w:r>
      <w:r>
        <w:instrText xml:space="preserve"> REF _Ref394591788 \h </w:instrText>
      </w:r>
      <w:r>
        <w:instrText xml:space="preserve"> \* MERGEFORMAT </w:instrText>
      </w:r>
      <w:r>
        <w:fldChar w:fldCharType="separate"/>
      </w:r>
      <w:r>
        <w:t xml:space="preserve">89</w:t>
      </w:r>
      <w:r>
        <w:fldChar w:fldCharType="end"/>
      </w:r>
      <w:r>
        <w:t xml:space="preserve">.</w:t>
      </w:r>
      <w:r/>
    </w:p>
    <w:p>
      <w:pPr>
        <w:pStyle w:val="993"/>
      </w:pPr>
      <w:r>
        <w:fldChar w:fldCharType="begin"/>
      </w:r>
      <w:r>
        <w:instrText xml:space="preserve"> SEQ Таблица \* ARABIC </w:instrText>
      </w:r>
      <w:r>
        <w:fldChar w:fldCharType="separate"/>
      </w:r>
      <w:bookmarkStart w:id="1247" w:name="_Ref394591788"/>
      <w:r/>
      <w:bookmarkStart w:id="1248" w:name="_Toc88819275"/>
      <w:r>
        <w:t xml:space="preserve">89</w:t>
      </w:r>
      <w:bookmarkEnd w:id="1247"/>
      <w:r>
        <w:fldChar w:fldCharType="end"/>
      </w:r>
      <w:r>
        <w:t xml:space="preserve">. Описание полей документа «Акт приемки-передачи показателей лицевого счета ТГВФ</w:t>
      </w:r>
      <w:r>
        <w:t xml:space="preserve">», закладки «</w:t>
      </w:r>
      <w:r>
        <w:t xml:space="preserve">Документ</w:t>
      </w:r>
      <w:r>
        <w:t xml:space="preserve">», вкладки «</w:t>
      </w:r>
      <w:r>
        <w:t xml:space="preserve">Раздел 1.1. Остатки на лицевом счете»</w:t>
      </w:r>
      <w:bookmarkEnd w:id="1248"/>
      <w:r/>
      <w:r/>
    </w:p>
    <w:tbl>
      <w:tblPr>
        <w:tblW w:w="5056"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4731"/>
        <w:gridCol w:w="5130"/>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399"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601" w:type="pct"/>
            <w:vAlign w:val="center"/>
            <w:textDirection w:val="lrTb"/>
            <w:noWrap w:val="false"/>
          </w:tcPr>
          <w:p>
            <w:pPr>
              <w:pStyle w:val="1006"/>
            </w:pPr>
            <w:r>
              <w:t xml:space="preserve">Описание поля</w:t>
            </w:r>
            <w:r/>
          </w:p>
        </w:tc>
      </w:tr>
      <w:tr>
        <w:trPr/>
        <w:tc>
          <w:tcPr>
            <w:shd w:val="clear" w:fill="auto" w:color="auto"/>
            <w:tcW w:w="2399" w:type="pct"/>
            <w:textDirection w:val="lrTb"/>
            <w:noWrap w:val="false"/>
          </w:tcPr>
          <w:p>
            <w:pPr>
              <w:pStyle w:val="1005"/>
              <w:ind w:left="57" w:right="57"/>
            </w:pPr>
            <w:r>
              <w:t xml:space="preserve">Дата акта</w:t>
            </w:r>
            <w:r/>
          </w:p>
        </w:tc>
        <w:tc>
          <w:tcPr>
            <w:shd w:val="clear" w:fill="auto" w:color="auto"/>
            <w:tcW w:w="2601" w:type="pct"/>
            <w:textDirection w:val="lrTb"/>
            <w:noWrap w:val="false"/>
          </w:tcPr>
          <w:p>
            <w:pPr>
              <w:pStyle w:val="1005"/>
              <w:ind w:left="57" w:right="57"/>
            </w:pPr>
            <w:r>
              <w:t xml:space="preserve">Импорт значения из OEBS.</w:t>
            </w:r>
            <w:r/>
          </w:p>
        </w:tc>
      </w:tr>
      <w:tr>
        <w:trPr/>
        <w:tc>
          <w:tcPr>
            <w:gridSpan w:val="2"/>
            <w:shd w:val="clear" w:fill="auto" w:color="auto"/>
            <w:tcW w:w="5000" w:type="pct"/>
            <w:textDirection w:val="lrTb"/>
            <w:noWrap w:val="false"/>
          </w:tcPr>
          <w:p>
            <w:pPr>
              <w:pStyle w:val="1005"/>
              <w:ind w:left="57" w:right="57"/>
            </w:pPr>
            <w:r>
              <w:t xml:space="preserve">Группа</w:t>
            </w:r>
            <w:r>
              <w:t xml:space="preserve"> полей «Передающая сторона</w:t>
            </w:r>
            <w:r>
              <w:t xml:space="preserve">. </w:t>
            </w:r>
            <w:r>
              <w:t xml:space="preserve">Наименования»</w:t>
            </w:r>
            <w:r/>
          </w:p>
        </w:tc>
      </w:tr>
      <w:tr>
        <w:trPr/>
        <w:tc>
          <w:tcPr>
            <w:shd w:val="clear" w:fill="auto" w:color="auto"/>
            <w:tcW w:w="2399" w:type="pct"/>
            <w:textDirection w:val="lrTb"/>
            <w:noWrap w:val="false"/>
          </w:tcPr>
          <w:p>
            <w:pPr>
              <w:pStyle w:val="1005"/>
              <w:ind w:left="57" w:right="57"/>
            </w:pPr>
            <w:r>
              <w:t xml:space="preserve">Орган ФК</w:t>
            </w:r>
            <w:r/>
          </w:p>
        </w:tc>
        <w:tc>
          <w:tcPr>
            <w:shd w:val="clear" w:fill="auto" w:color="auto"/>
            <w:tcW w:w="2601" w:type="pct"/>
            <w:textDirection w:val="lrTb"/>
            <w:noWrap w:val="false"/>
          </w:tcPr>
          <w:p>
            <w:pPr>
              <w:pStyle w:val="1005"/>
              <w:ind w:left="57" w:right="57"/>
            </w:pPr>
            <w:r>
              <w:t xml:space="preserve">Импорт значения из OEBS.</w:t>
            </w:r>
            <w:r/>
          </w:p>
        </w:tc>
      </w:tr>
      <w:tr>
        <w:trPr/>
        <w:tc>
          <w:tcPr>
            <w:shd w:val="clear" w:fill="auto" w:color="auto"/>
            <w:tcW w:w="2399" w:type="pct"/>
            <w:textDirection w:val="lrTb"/>
            <w:noWrap w:val="false"/>
          </w:tcPr>
          <w:p>
            <w:pPr>
              <w:pStyle w:val="1005"/>
              <w:ind w:left="57" w:right="57"/>
            </w:pPr>
            <w:r>
              <w:t xml:space="preserve">ТО ГВФ РФ</w:t>
            </w:r>
            <w:r/>
          </w:p>
        </w:tc>
        <w:tc>
          <w:tcPr>
            <w:shd w:val="clear" w:fill="auto" w:color="auto"/>
            <w:tcW w:w="2601" w:type="pct"/>
            <w:textDirection w:val="lrTb"/>
            <w:noWrap w:val="false"/>
          </w:tcPr>
          <w:p>
            <w:pPr>
              <w:pStyle w:val="1005"/>
              <w:ind w:left="57" w:right="57"/>
            </w:pPr>
            <w:r>
              <w:t xml:space="preserve">Импорт значения из OEBS.</w:t>
            </w:r>
            <w:r/>
          </w:p>
        </w:tc>
      </w:tr>
      <w:tr>
        <w:trPr/>
        <w:tc>
          <w:tcPr>
            <w:shd w:val="clear" w:fill="auto" w:color="auto"/>
            <w:tcW w:w="2399" w:type="pct"/>
            <w:textDirection w:val="lrTb"/>
            <w:noWrap w:val="false"/>
          </w:tcPr>
          <w:p>
            <w:pPr>
              <w:pStyle w:val="1005"/>
              <w:ind w:left="57" w:right="57"/>
            </w:pPr>
            <w:r>
              <w:t xml:space="preserve">Бюджет</w:t>
            </w:r>
            <w:r/>
          </w:p>
        </w:tc>
        <w:tc>
          <w:tcPr>
            <w:shd w:val="clear" w:fill="auto" w:color="auto"/>
            <w:tcW w:w="2601" w:type="pct"/>
            <w:textDirection w:val="lrTb"/>
            <w:noWrap w:val="false"/>
          </w:tcPr>
          <w:p>
            <w:pPr>
              <w:pStyle w:val="1005"/>
              <w:ind w:left="57" w:right="57"/>
            </w:pPr>
            <w:r>
              <w:t xml:space="preserve">Импорт значения из OEBS.</w:t>
            </w:r>
            <w:r/>
          </w:p>
        </w:tc>
      </w:tr>
      <w:tr>
        <w:trPr/>
        <w:tc>
          <w:tcPr>
            <w:shd w:val="clear" w:fill="auto" w:color="auto"/>
            <w:tcW w:w="2399" w:type="pct"/>
            <w:textDirection w:val="lrTb"/>
            <w:noWrap w:val="false"/>
          </w:tcPr>
          <w:p>
            <w:pPr>
              <w:pStyle w:val="1005"/>
              <w:ind w:left="57" w:right="57"/>
            </w:pPr>
            <w:r>
              <w:t xml:space="preserve">Основание для передачи</w:t>
            </w:r>
            <w:r/>
          </w:p>
        </w:tc>
        <w:tc>
          <w:tcPr>
            <w:shd w:val="clear" w:fill="auto" w:color="auto"/>
            <w:tcW w:w="2601" w:type="pct"/>
            <w:textDirection w:val="lrTb"/>
            <w:noWrap w:val="false"/>
          </w:tcPr>
          <w:p>
            <w:pPr>
              <w:pStyle w:val="1005"/>
              <w:ind w:left="57" w:right="57"/>
            </w:pPr>
            <w:r>
              <w:t xml:space="preserve">Импорт значения из OEBS.</w:t>
            </w:r>
            <w:r/>
          </w:p>
        </w:tc>
      </w:tr>
      <w:tr>
        <w:trPr/>
        <w:tc>
          <w:tcPr>
            <w:gridSpan w:val="2"/>
            <w:shd w:val="clear" w:fill="auto" w:color="auto"/>
            <w:tcW w:w="5000" w:type="pct"/>
            <w:textDirection w:val="lrTb"/>
            <w:noWrap w:val="false"/>
          </w:tcPr>
          <w:p>
            <w:pPr>
              <w:pStyle w:val="1005"/>
              <w:ind w:left="57" w:right="57"/>
            </w:pPr>
            <w:r>
              <w:t xml:space="preserve">Группа</w:t>
            </w:r>
            <w:r>
              <w:t xml:space="preserve"> полей «Передающая сторона</w:t>
            </w:r>
            <w:r>
              <w:t xml:space="preserve">. </w:t>
            </w:r>
            <w:r>
              <w:t xml:space="preserve">Коды»</w:t>
            </w:r>
            <w:r/>
          </w:p>
        </w:tc>
      </w:tr>
      <w:tr>
        <w:trPr/>
        <w:tc>
          <w:tcPr>
            <w:shd w:val="clear" w:fill="auto" w:color="auto"/>
            <w:tcW w:w="2399" w:type="pct"/>
            <w:textDirection w:val="lrTb"/>
            <w:noWrap w:val="false"/>
          </w:tcPr>
          <w:p>
            <w:pPr>
              <w:pStyle w:val="1005"/>
              <w:ind w:left="57" w:right="57"/>
            </w:pPr>
            <w:r>
              <w:t xml:space="preserve">По КОФК</w:t>
            </w:r>
            <w:r/>
          </w:p>
        </w:tc>
        <w:tc>
          <w:tcPr>
            <w:shd w:val="clear" w:fill="auto" w:color="auto"/>
            <w:tcW w:w="2601" w:type="pct"/>
            <w:textDirection w:val="lrTb"/>
            <w:noWrap w:val="false"/>
          </w:tcPr>
          <w:p>
            <w:pPr>
              <w:pStyle w:val="1005"/>
              <w:ind w:left="57" w:right="57"/>
            </w:pPr>
            <w:r>
              <w:t xml:space="preserve">Импорт значения из OEBS.</w:t>
            </w:r>
            <w:r/>
          </w:p>
        </w:tc>
      </w:tr>
      <w:tr>
        <w:trPr/>
        <w:tc>
          <w:tcPr>
            <w:shd w:val="clear" w:fill="auto" w:color="auto"/>
            <w:tcW w:w="2399" w:type="pct"/>
            <w:textDirection w:val="lrTb"/>
            <w:noWrap w:val="false"/>
          </w:tcPr>
          <w:p>
            <w:pPr>
              <w:pStyle w:val="1005"/>
              <w:ind w:left="57" w:right="57"/>
            </w:pPr>
            <w:r>
              <w:t xml:space="preserve">Номер лицевого счета передающего ТО ГВФ РФ</w:t>
            </w:r>
            <w:r/>
          </w:p>
        </w:tc>
        <w:tc>
          <w:tcPr>
            <w:shd w:val="clear" w:fill="auto" w:color="auto"/>
            <w:tcW w:w="2601" w:type="pct"/>
            <w:textDirection w:val="lrTb"/>
            <w:noWrap w:val="false"/>
          </w:tcPr>
          <w:p>
            <w:pPr>
              <w:pStyle w:val="1005"/>
              <w:ind w:left="57" w:right="57"/>
            </w:pPr>
            <w:r>
              <w:t xml:space="preserve">Импорт значения из OEBS.</w:t>
            </w:r>
            <w:r/>
          </w:p>
        </w:tc>
      </w:tr>
      <w:tr>
        <w:trPr/>
        <w:tc>
          <w:tcPr>
            <w:shd w:val="clear" w:fill="auto" w:color="auto"/>
            <w:tcW w:w="2399" w:type="pct"/>
            <w:textDirection w:val="lrTb"/>
            <w:noWrap w:val="false"/>
          </w:tcPr>
          <w:p>
            <w:pPr>
              <w:pStyle w:val="1005"/>
              <w:ind w:left="57" w:right="57"/>
            </w:pPr>
            <w:r>
              <w:t xml:space="preserve">П</w:t>
            </w:r>
            <w:r>
              <w:t xml:space="preserve">о ОКТМО</w:t>
            </w:r>
            <w:r/>
          </w:p>
        </w:tc>
        <w:tc>
          <w:tcPr>
            <w:shd w:val="clear" w:fill="auto" w:color="auto"/>
            <w:tcW w:w="2601" w:type="pct"/>
            <w:textDirection w:val="lrTb"/>
            <w:noWrap w:val="false"/>
          </w:tcPr>
          <w:p>
            <w:pPr>
              <w:pStyle w:val="1005"/>
              <w:ind w:left="57" w:right="57"/>
            </w:pPr>
            <w:r>
              <w:t xml:space="preserve">Импорт значения из OEBS.</w:t>
            </w:r>
            <w:r/>
          </w:p>
        </w:tc>
      </w:tr>
      <w:tr>
        <w:trPr/>
        <w:tc>
          <w:tcPr>
            <w:shd w:val="clear" w:fill="auto" w:color="auto"/>
            <w:tcW w:w="2399" w:type="pct"/>
            <w:textDirection w:val="lrTb"/>
            <w:noWrap w:val="false"/>
          </w:tcPr>
          <w:p>
            <w:pPr>
              <w:pStyle w:val="1005"/>
              <w:ind w:left="57" w:right="57"/>
            </w:pPr>
            <w:r>
              <w:t xml:space="preserve">По ОКПО</w:t>
            </w:r>
            <w:r/>
          </w:p>
        </w:tc>
        <w:tc>
          <w:tcPr>
            <w:shd w:val="clear" w:fill="auto" w:color="auto"/>
            <w:tcW w:w="2601" w:type="pct"/>
            <w:textDirection w:val="lrTb"/>
            <w:noWrap w:val="false"/>
          </w:tcPr>
          <w:p>
            <w:pPr>
              <w:pStyle w:val="1005"/>
              <w:ind w:left="57" w:right="57"/>
            </w:pPr>
            <w:r>
              <w:t xml:space="preserve">Импорт значения из OEBS.</w:t>
            </w:r>
            <w:r/>
          </w:p>
        </w:tc>
      </w:tr>
      <w:tr>
        <w:trPr/>
        <w:tc>
          <w:tcPr>
            <w:gridSpan w:val="2"/>
            <w:shd w:val="clear" w:fill="auto" w:color="auto"/>
            <w:tcW w:w="5000" w:type="pct"/>
            <w:textDirection w:val="lrTb"/>
            <w:noWrap w:val="false"/>
          </w:tcPr>
          <w:p>
            <w:pPr>
              <w:pStyle w:val="1005"/>
              <w:ind w:left="57" w:right="57"/>
            </w:pPr>
            <w:r>
              <w:t xml:space="preserve">Группа</w:t>
            </w:r>
            <w:r>
              <w:t xml:space="preserve"> </w:t>
            </w:r>
            <w:r>
              <w:t xml:space="preserve">полей «Принимающая сторона</w:t>
            </w:r>
            <w:r>
              <w:t xml:space="preserve">. </w:t>
            </w:r>
            <w:r>
              <w:t xml:space="preserve">Наименования»</w:t>
            </w:r>
            <w:r/>
          </w:p>
        </w:tc>
      </w:tr>
      <w:tr>
        <w:trPr/>
        <w:tc>
          <w:tcPr>
            <w:shd w:val="clear" w:fill="auto" w:color="auto"/>
            <w:tcW w:w="2399" w:type="pct"/>
            <w:textDirection w:val="lrTb"/>
            <w:noWrap w:val="false"/>
          </w:tcPr>
          <w:p>
            <w:pPr>
              <w:pStyle w:val="1005"/>
              <w:ind w:left="57" w:right="57"/>
            </w:pPr>
            <w:r>
              <w:t xml:space="preserve">Орган ФК</w:t>
            </w:r>
            <w:r/>
          </w:p>
        </w:tc>
        <w:tc>
          <w:tcPr>
            <w:shd w:val="clear" w:fill="auto" w:color="auto"/>
            <w:tcW w:w="2601" w:type="pct"/>
            <w:textDirection w:val="lrTb"/>
            <w:noWrap w:val="false"/>
          </w:tcPr>
          <w:p>
            <w:pPr>
              <w:pStyle w:val="1005"/>
              <w:ind w:left="57" w:right="57"/>
            </w:pPr>
            <w:r>
              <w:t xml:space="preserve">Импорт значения из OEBS.</w:t>
            </w:r>
            <w:r/>
          </w:p>
        </w:tc>
      </w:tr>
      <w:tr>
        <w:trPr/>
        <w:tc>
          <w:tcPr>
            <w:shd w:val="clear" w:fill="auto" w:color="auto"/>
            <w:tcW w:w="2399" w:type="pct"/>
            <w:textDirection w:val="lrTb"/>
            <w:noWrap w:val="false"/>
          </w:tcPr>
          <w:p>
            <w:pPr>
              <w:pStyle w:val="1005"/>
              <w:ind w:left="57" w:right="57"/>
            </w:pPr>
            <w:r>
              <w:t xml:space="preserve">ТГВФ РФ</w:t>
            </w:r>
            <w:r/>
          </w:p>
        </w:tc>
        <w:tc>
          <w:tcPr>
            <w:shd w:val="clear" w:fill="auto" w:color="auto"/>
            <w:tcW w:w="2601" w:type="pct"/>
            <w:textDirection w:val="lrTb"/>
            <w:noWrap w:val="false"/>
          </w:tcPr>
          <w:p>
            <w:pPr>
              <w:pStyle w:val="1005"/>
              <w:ind w:left="57" w:right="57"/>
            </w:pPr>
            <w:r>
              <w:t xml:space="preserve">Импорт значения из OEBS.</w:t>
            </w:r>
            <w:r/>
          </w:p>
        </w:tc>
      </w:tr>
      <w:tr>
        <w:trPr/>
        <w:tc>
          <w:tcPr>
            <w:shd w:val="clear" w:fill="auto" w:color="auto"/>
            <w:tcW w:w="2399" w:type="pct"/>
            <w:textDirection w:val="lrTb"/>
            <w:noWrap w:val="false"/>
          </w:tcPr>
          <w:p>
            <w:pPr>
              <w:pStyle w:val="1005"/>
              <w:ind w:left="57" w:right="57"/>
            </w:pPr>
            <w:r>
              <w:t xml:space="preserve">Бюджет</w:t>
            </w:r>
            <w:r/>
          </w:p>
        </w:tc>
        <w:tc>
          <w:tcPr>
            <w:shd w:val="clear" w:fill="auto" w:color="auto"/>
            <w:tcW w:w="2601" w:type="pct"/>
            <w:textDirection w:val="lrTb"/>
            <w:noWrap w:val="false"/>
          </w:tcPr>
          <w:p>
            <w:pPr>
              <w:pStyle w:val="1005"/>
              <w:ind w:left="57" w:right="57"/>
            </w:pPr>
            <w:r>
              <w:t xml:space="preserve">Импорт значения из OEBS.</w:t>
            </w:r>
            <w:r/>
          </w:p>
        </w:tc>
      </w:tr>
      <w:tr>
        <w:trPr/>
        <w:tc>
          <w:tcPr>
            <w:gridSpan w:val="2"/>
            <w:shd w:val="clear" w:fill="auto" w:color="auto"/>
            <w:tcW w:w="5000" w:type="pct"/>
            <w:textDirection w:val="lrTb"/>
            <w:noWrap w:val="false"/>
          </w:tcPr>
          <w:p>
            <w:pPr>
              <w:pStyle w:val="1005"/>
              <w:ind w:left="57" w:right="57"/>
            </w:pPr>
            <w:r>
              <w:t xml:space="preserve">Группа</w:t>
            </w:r>
            <w:r>
              <w:t xml:space="preserve"> полей «Принимающая сторона</w:t>
            </w:r>
            <w:r>
              <w:t xml:space="preserve">. </w:t>
            </w:r>
            <w:r>
              <w:t xml:space="preserve">Коды»</w:t>
            </w:r>
            <w:r/>
          </w:p>
        </w:tc>
      </w:tr>
      <w:tr>
        <w:trPr/>
        <w:tc>
          <w:tcPr>
            <w:shd w:val="clear" w:fill="auto" w:color="auto"/>
            <w:tcW w:w="2399" w:type="pct"/>
            <w:textDirection w:val="lrTb"/>
            <w:noWrap w:val="false"/>
          </w:tcPr>
          <w:p>
            <w:pPr>
              <w:pStyle w:val="1005"/>
              <w:ind w:left="57" w:right="57"/>
            </w:pPr>
            <w:r>
              <w:t xml:space="preserve">По КОФК</w:t>
            </w:r>
            <w:r/>
          </w:p>
        </w:tc>
        <w:tc>
          <w:tcPr>
            <w:shd w:val="clear" w:fill="auto" w:color="auto"/>
            <w:tcW w:w="2601" w:type="pct"/>
            <w:textDirection w:val="lrTb"/>
            <w:noWrap w:val="false"/>
          </w:tcPr>
          <w:p>
            <w:pPr>
              <w:pStyle w:val="1005"/>
              <w:ind w:left="57" w:right="57"/>
            </w:pPr>
            <w:r>
              <w:t xml:space="preserve">Импорт значения из OEBS.</w:t>
            </w:r>
            <w:r/>
          </w:p>
        </w:tc>
      </w:tr>
      <w:tr>
        <w:trPr/>
        <w:tc>
          <w:tcPr>
            <w:shd w:val="clear" w:fill="auto" w:color="auto"/>
            <w:tcW w:w="2399" w:type="pct"/>
            <w:textDirection w:val="lrTb"/>
            <w:noWrap w:val="false"/>
          </w:tcPr>
          <w:p>
            <w:pPr>
              <w:pStyle w:val="1005"/>
              <w:ind w:left="57" w:right="57"/>
            </w:pPr>
            <w:r>
              <w:t xml:space="preserve">Номер счета</w:t>
            </w:r>
            <w:r/>
          </w:p>
        </w:tc>
        <w:tc>
          <w:tcPr>
            <w:shd w:val="clear" w:fill="auto" w:color="auto"/>
            <w:tcW w:w="2601" w:type="pct"/>
            <w:textDirection w:val="lrTb"/>
            <w:noWrap w:val="false"/>
          </w:tcPr>
          <w:p>
            <w:pPr>
              <w:pStyle w:val="1005"/>
              <w:ind w:left="57" w:right="57"/>
            </w:pPr>
            <w:r>
              <w:t xml:space="preserve">Импорт значения из OEBS.</w:t>
            </w:r>
            <w:r/>
          </w:p>
        </w:tc>
      </w:tr>
      <w:tr>
        <w:trPr/>
        <w:tc>
          <w:tcPr>
            <w:shd w:val="clear" w:fill="auto" w:color="auto"/>
            <w:tcW w:w="2399" w:type="pct"/>
            <w:textDirection w:val="lrTb"/>
            <w:noWrap w:val="false"/>
          </w:tcPr>
          <w:p>
            <w:pPr>
              <w:pStyle w:val="1005"/>
              <w:ind w:left="57" w:right="57"/>
            </w:pPr>
            <w:r>
              <w:t xml:space="preserve">По ОКПО</w:t>
            </w:r>
            <w:r/>
          </w:p>
        </w:tc>
        <w:tc>
          <w:tcPr>
            <w:shd w:val="clear" w:fill="auto" w:color="auto"/>
            <w:tcW w:w="2601" w:type="pct"/>
            <w:textDirection w:val="lrTb"/>
            <w:noWrap w:val="false"/>
          </w:tcPr>
          <w:p>
            <w:pPr>
              <w:pStyle w:val="1005"/>
              <w:ind w:left="57" w:right="57"/>
            </w:pPr>
            <w:r>
              <w:t xml:space="preserve">Импорт значения из OEBS.</w:t>
            </w:r>
            <w:r/>
          </w:p>
        </w:tc>
      </w:tr>
      <w:tr>
        <w:trPr/>
        <w:tc>
          <w:tcPr>
            <w:gridSpan w:val="2"/>
            <w:shd w:val="clear" w:fill="auto" w:color="auto"/>
            <w:tcW w:w="5000" w:type="pct"/>
            <w:textDirection w:val="lrTb"/>
            <w:noWrap w:val="false"/>
          </w:tcPr>
          <w:p>
            <w:pPr>
              <w:pStyle w:val="1005"/>
              <w:ind w:left="57" w:right="57"/>
            </w:pPr>
            <w:r>
              <w:t xml:space="preserve">Вкладка «Раздел 1.1. Остатки на лицевом счёте» </w:t>
            </w:r>
            <w:r/>
          </w:p>
        </w:tc>
      </w:tr>
      <w:tr>
        <w:trPr/>
        <w:tc>
          <w:tcPr>
            <w:shd w:val="clear" w:fill="auto" w:color="auto"/>
            <w:tcW w:w="2399" w:type="pct"/>
            <w:textDirection w:val="lrTb"/>
            <w:noWrap w:val="false"/>
          </w:tcPr>
          <w:p>
            <w:pPr>
              <w:pStyle w:val="1005"/>
              <w:ind w:left="57" w:right="57"/>
            </w:pPr>
            <w:r>
              <w:t xml:space="preserve">Остаток на начало года</w:t>
            </w:r>
            <w:r/>
          </w:p>
        </w:tc>
        <w:tc>
          <w:tcPr>
            <w:shd w:val="clear" w:fill="auto" w:color="auto"/>
            <w:tcW w:w="2601" w:type="pct"/>
            <w:textDirection w:val="lrTb"/>
            <w:noWrap w:val="false"/>
          </w:tcPr>
          <w:p>
            <w:pPr>
              <w:pStyle w:val="1005"/>
              <w:ind w:left="57" w:right="57"/>
            </w:pPr>
            <w:r>
              <w:t xml:space="preserve">Импорт значения из OEBS.</w:t>
            </w:r>
            <w:r/>
          </w:p>
        </w:tc>
      </w:tr>
      <w:tr>
        <w:trPr/>
        <w:tc>
          <w:tcPr>
            <w:shd w:val="clear" w:fill="auto" w:color="auto"/>
            <w:tcW w:w="2399" w:type="pct"/>
            <w:textDirection w:val="lrTb"/>
            <w:noWrap w:val="false"/>
          </w:tcPr>
          <w:p>
            <w:pPr>
              <w:pStyle w:val="1005"/>
              <w:ind w:left="57" w:right="57"/>
            </w:pPr>
            <w:r>
              <w:t xml:space="preserve">Остаток на отчетную дату</w:t>
            </w:r>
            <w:r/>
          </w:p>
        </w:tc>
        <w:tc>
          <w:tcPr>
            <w:shd w:val="clear" w:fill="auto" w:color="auto"/>
            <w:tcW w:w="2601" w:type="pct"/>
            <w:textDirection w:val="lrTb"/>
            <w:noWrap w:val="false"/>
          </w:tcPr>
          <w:p>
            <w:pPr>
              <w:pStyle w:val="1005"/>
              <w:ind w:left="57" w:right="57"/>
            </w:pPr>
            <w:r>
              <w:t xml:space="preserve">Импорт значения из OEBS.</w:t>
            </w:r>
            <w:r/>
          </w:p>
        </w:tc>
      </w:tr>
    </w:tbl>
    <w:p>
      <w:pPr>
        <w:pStyle w:val="994"/>
      </w:pPr>
      <w:r>
        <w:t xml:space="preserve">На вложенной закладке «Раздел 1.2. Операции с бюджетными средствами» (рис. </w:t>
      </w:r>
      <w:r>
        <w:fldChar w:fldCharType="begin"/>
      </w:r>
      <w:r>
        <w:instrText xml:space="preserve"> REF _Ref394591784 \h </w:instrText>
      </w:r>
      <w:r>
        <w:instrText xml:space="preserve"> \* MERGEFORMAT </w:instrText>
      </w:r>
      <w:r>
        <w:fldChar w:fldCharType="separate"/>
      </w:r>
      <w:r>
        <w:t xml:space="preserve">165</w:t>
      </w:r>
      <w:r>
        <w:fldChar w:fldCharType="end"/>
      </w:r>
      <w:r>
        <w:t xml:space="preserve">) вводятся суммы по операциям с бюджетными средствами с информацией по КБК.</w:t>
      </w:r>
      <w:r/>
    </w:p>
    <w:p>
      <w:pPr>
        <w:pStyle w:val="982"/>
      </w:pPr>
      <w:r>
        <mc:AlternateContent>
          <mc:Choice Requires="wpg">
            <w:drawing>
              <wp:inline xmlns:wp="http://schemas.openxmlformats.org/drawingml/2006/wordprocessingDrawing" distT="0" distB="0" distL="0" distR="0">
                <wp:extent cx="6217920" cy="2110740"/>
                <wp:effectExtent l="0" t="0" r="0" b="0"/>
                <wp:docPr id="25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31"/>
                        <a:stretch/>
                      </pic:blipFill>
                      <pic:spPr bwMode="auto">
                        <a:xfrm>
                          <a:off x="0" y="0"/>
                          <a:ext cx="6217920" cy="21107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5" o:spid="_x0000_s255" type="#_x0000_t75" style="mso-wrap-distance-left:0.0pt;mso-wrap-distance-top:0.0pt;mso-wrap-distance-right:0.0pt;mso-wrap-distance-bottom:0.0pt;width:489.6pt;height:166.2pt;" stroked="f">
                <v:path textboxrect="0,0,0,0"/>
                <v:imagedata r:id="rId231" o:title=""/>
              </v:shape>
            </w:pict>
          </mc:Fallback>
        </mc:AlternateContent>
      </w:r>
      <w:r/>
    </w:p>
    <w:p>
      <w:pPr>
        <w:pStyle w:val="983"/>
      </w:pPr>
      <w:r>
        <w:fldChar w:fldCharType="begin"/>
      </w:r>
      <w:r>
        <w:instrText xml:space="preserve"> SEQ Рисунок \* ARABIC </w:instrText>
      </w:r>
      <w:r>
        <w:fldChar w:fldCharType="separate"/>
      </w:r>
      <w:bookmarkStart w:id="1249" w:name="_Ref394591784"/>
      <w:r/>
      <w:bookmarkStart w:id="1250" w:name="_Toc88819550"/>
      <w:r>
        <w:t xml:space="preserve">165</w:t>
      </w:r>
      <w:bookmarkEnd w:id="1249"/>
      <w:r>
        <w:fldChar w:fldCharType="end"/>
      </w:r>
      <w:r>
        <w:t xml:space="preserve">. ЭФ документа «Акт приемки-передачи показателей лицевого счета ТГВФ</w:t>
      </w:r>
      <w:r>
        <w:t xml:space="preserve">», закладки «</w:t>
      </w:r>
      <w:r>
        <w:t xml:space="preserve">Документ</w:t>
      </w:r>
      <w:r>
        <w:t xml:space="preserve">», вкладки «</w:t>
      </w:r>
      <w:r>
        <w:t xml:space="preserve">Раздел 1.2. Операции с бюджетными средствами»</w:t>
      </w:r>
      <w:bookmarkEnd w:id="1250"/>
      <w:r/>
      <w:r/>
    </w:p>
    <w:p>
      <w:pPr>
        <w:pStyle w:val="994"/>
      </w:pPr>
      <w:r>
        <w:t xml:space="preserve">Перечень полей документа «Акт приемки-передачи показателей лицевого счета ТГВФ</w:t>
      </w:r>
      <w:r>
        <w:t xml:space="preserve">», закладки «</w:t>
      </w:r>
      <w:r>
        <w:t xml:space="preserve">Документ</w:t>
      </w:r>
      <w:r>
        <w:t xml:space="preserve">», вкладки «</w:t>
      </w:r>
      <w:r>
        <w:t xml:space="preserve">Раздел 1.2. Операции с бюджетными средствами» приведен в таблице</w:t>
      </w:r>
      <w:r>
        <w:t xml:space="preserve"> </w:t>
      </w:r>
      <w:r>
        <w:fldChar w:fldCharType="begin"/>
      </w:r>
      <w:r>
        <w:instrText xml:space="preserve"> REF _Ref394591873 \h </w:instrText>
      </w:r>
      <w:r>
        <w:instrText xml:space="preserve"> \* MERGEFORMAT </w:instrText>
      </w:r>
      <w:r>
        <w:fldChar w:fldCharType="separate"/>
      </w:r>
      <w:r>
        <w:t xml:space="preserve">90</w:t>
      </w:r>
      <w:r>
        <w:fldChar w:fldCharType="end"/>
      </w:r>
      <w:r>
        <w:t xml:space="preserve">.</w:t>
      </w:r>
      <w:r/>
    </w:p>
    <w:p>
      <w:pPr>
        <w:pStyle w:val="993"/>
      </w:pPr>
      <w:r>
        <w:fldChar w:fldCharType="begin"/>
      </w:r>
      <w:r>
        <w:instrText xml:space="preserve"> SEQ Таблица \* ARABIC </w:instrText>
      </w:r>
      <w:r>
        <w:fldChar w:fldCharType="separate"/>
      </w:r>
      <w:bookmarkStart w:id="1251" w:name="_Ref394591873"/>
      <w:r/>
      <w:bookmarkStart w:id="1252" w:name="_Toc88819276"/>
      <w:r>
        <w:t xml:space="preserve">90</w:t>
      </w:r>
      <w:bookmarkEnd w:id="1251"/>
      <w:r>
        <w:fldChar w:fldCharType="end"/>
      </w:r>
      <w:r>
        <w:t xml:space="preserve">. Описание полей документа «Акт приемки-передачи показателей лицевого счета ТГВФ</w:t>
      </w:r>
      <w:r>
        <w:t xml:space="preserve">», закладки «</w:t>
      </w:r>
      <w:r>
        <w:t xml:space="preserve">Документ</w:t>
      </w:r>
      <w:r>
        <w:t xml:space="preserve">», вкладки «</w:t>
      </w:r>
      <w:r>
        <w:t xml:space="preserve">Раздел 1.2. Операции с бюджетными средствами»</w:t>
      </w:r>
      <w:bookmarkEnd w:id="1252"/>
      <w:r/>
      <w:r/>
    </w:p>
    <w:tbl>
      <w:tblPr>
        <w:tblW w:w="5056"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3499"/>
        <w:gridCol w:w="6362"/>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77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226" w:type="pct"/>
            <w:vAlign w:val="center"/>
            <w:textDirection w:val="lrTb"/>
            <w:noWrap w:val="false"/>
          </w:tcPr>
          <w:p>
            <w:pPr>
              <w:pStyle w:val="1006"/>
            </w:pPr>
            <w:r>
              <w:t xml:space="preserve">Описание поля</w:t>
            </w:r>
            <w:r/>
          </w:p>
        </w:tc>
      </w:tr>
      <w:tr>
        <w:trPr/>
        <w:tc>
          <w:tcPr>
            <w:shd w:val="clear" w:fill="auto" w:color="auto"/>
            <w:tcW w:w="1774" w:type="pct"/>
            <w:textDirection w:val="lrTb"/>
            <w:noWrap w:val="false"/>
          </w:tcPr>
          <w:p>
            <w:pPr>
              <w:pStyle w:val="1005"/>
              <w:ind w:left="57" w:right="57"/>
            </w:pPr>
            <w:r>
              <w:t xml:space="preserve">Код по БК</w:t>
            </w:r>
            <w:r/>
          </w:p>
        </w:tc>
        <w:tc>
          <w:tcPr>
            <w:shd w:val="clear" w:fill="auto" w:color="auto"/>
            <w:tcW w:w="3226" w:type="pct"/>
            <w:textDirection w:val="lrTb"/>
            <w:noWrap w:val="false"/>
          </w:tcPr>
          <w:p>
            <w:pPr>
              <w:pStyle w:val="1005"/>
              <w:ind w:left="57" w:right="57"/>
            </w:pPr>
            <w:r>
              <w:t xml:space="preserve">Импорт значения из </w:t>
            </w:r>
            <w:r>
              <w:rPr>
                <w:lang w:val="en-US"/>
              </w:rPr>
              <w:t xml:space="preserve">OEBS</w:t>
            </w:r>
            <w:r>
              <w:t xml:space="preserve">.</w:t>
            </w:r>
            <w:r/>
          </w:p>
        </w:tc>
      </w:tr>
      <w:tr>
        <w:trPr/>
        <w:tc>
          <w:tcPr>
            <w:shd w:val="clear" w:fill="auto" w:color="auto"/>
            <w:tcW w:w="1774" w:type="pct"/>
            <w:textDirection w:val="lrTb"/>
            <w:noWrap w:val="false"/>
          </w:tcPr>
          <w:p>
            <w:pPr>
              <w:pStyle w:val="1005"/>
              <w:ind w:left="57" w:right="57"/>
            </w:pPr>
            <w:r>
              <w:t xml:space="preserve">Поступления</w:t>
            </w:r>
            <w:r/>
          </w:p>
        </w:tc>
        <w:tc>
          <w:tcPr>
            <w:shd w:val="clear" w:fill="auto" w:color="auto"/>
            <w:tcW w:w="3226" w:type="pct"/>
            <w:textDirection w:val="lrTb"/>
            <w:noWrap w:val="false"/>
          </w:tcPr>
          <w:p>
            <w:pPr>
              <w:pStyle w:val="1005"/>
              <w:ind w:left="57" w:right="57"/>
            </w:pPr>
            <w:r>
              <w:t xml:space="preserve">Импорт значения из </w:t>
            </w:r>
            <w:r>
              <w:rPr>
                <w:lang w:val="en-US"/>
              </w:rPr>
              <w:t xml:space="preserve">OEBS</w:t>
            </w:r>
            <w:r>
              <w:t xml:space="preserve">.</w:t>
            </w:r>
            <w:r/>
          </w:p>
        </w:tc>
      </w:tr>
      <w:tr>
        <w:trPr/>
        <w:tc>
          <w:tcPr>
            <w:shd w:val="clear" w:fill="auto" w:color="auto"/>
            <w:tcW w:w="1774" w:type="pct"/>
            <w:textDirection w:val="lrTb"/>
            <w:noWrap w:val="false"/>
          </w:tcPr>
          <w:p>
            <w:pPr>
              <w:pStyle w:val="1005"/>
              <w:ind w:left="57" w:right="57"/>
            </w:pPr>
            <w:r>
              <w:t xml:space="preserve">Выплаты</w:t>
            </w:r>
            <w:r/>
          </w:p>
        </w:tc>
        <w:tc>
          <w:tcPr>
            <w:shd w:val="clear" w:fill="auto" w:color="auto"/>
            <w:tcW w:w="3226" w:type="pct"/>
            <w:textDirection w:val="lrTb"/>
            <w:noWrap w:val="false"/>
          </w:tcPr>
          <w:p>
            <w:pPr>
              <w:pStyle w:val="1005"/>
              <w:ind w:left="57" w:right="57"/>
            </w:pPr>
            <w:r>
              <w:t xml:space="preserve">Импорт значения из </w:t>
            </w:r>
            <w:r>
              <w:rPr>
                <w:lang w:val="en-US"/>
              </w:rPr>
              <w:t xml:space="preserve">OEBS</w:t>
            </w:r>
            <w:r>
              <w:t xml:space="preserve">.</w:t>
            </w:r>
            <w:r/>
          </w:p>
        </w:tc>
      </w:tr>
      <w:tr>
        <w:trPr/>
        <w:tc>
          <w:tcPr>
            <w:shd w:val="clear" w:fill="auto" w:color="auto"/>
            <w:tcW w:w="1774" w:type="pct"/>
            <w:textDirection w:val="lrTb"/>
            <w:noWrap w:val="false"/>
          </w:tcPr>
          <w:p>
            <w:pPr>
              <w:pStyle w:val="1005"/>
              <w:ind w:left="57" w:right="57"/>
            </w:pPr>
            <w:r>
              <w:t xml:space="preserve">Итого доходов</w:t>
            </w:r>
            <w:r/>
          </w:p>
        </w:tc>
        <w:tc>
          <w:tcPr>
            <w:shd w:val="clear" w:fill="auto" w:color="auto"/>
            <w:tcW w:w="3226" w:type="pct"/>
            <w:textDirection w:val="lrTb"/>
            <w:noWrap w:val="false"/>
          </w:tcPr>
          <w:p>
            <w:pPr>
              <w:pStyle w:val="1005"/>
              <w:ind w:left="57" w:right="57"/>
            </w:pPr>
            <w:r>
              <w:t xml:space="preserve">Импорт значения из </w:t>
            </w:r>
            <w:r>
              <w:rPr>
                <w:lang w:val="en-US"/>
              </w:rPr>
              <w:t xml:space="preserve">OEBS</w:t>
            </w:r>
            <w:r>
              <w:t xml:space="preserve">.</w:t>
            </w:r>
            <w:r/>
          </w:p>
        </w:tc>
      </w:tr>
      <w:tr>
        <w:trPr/>
        <w:tc>
          <w:tcPr>
            <w:shd w:val="clear" w:fill="auto" w:color="auto"/>
            <w:tcW w:w="1774" w:type="pct"/>
            <w:textDirection w:val="lrTb"/>
            <w:noWrap w:val="false"/>
          </w:tcPr>
          <w:p>
            <w:pPr>
              <w:pStyle w:val="1005"/>
              <w:ind w:left="57" w:right="57"/>
            </w:pPr>
            <w:r>
              <w:t xml:space="preserve">Итого расходов</w:t>
            </w:r>
            <w:r/>
          </w:p>
        </w:tc>
        <w:tc>
          <w:tcPr>
            <w:shd w:val="clear" w:fill="auto" w:color="auto"/>
            <w:tcW w:w="3226" w:type="pct"/>
            <w:textDirection w:val="lrTb"/>
            <w:noWrap w:val="false"/>
          </w:tcPr>
          <w:p>
            <w:pPr>
              <w:pStyle w:val="1005"/>
              <w:ind w:left="57" w:right="57"/>
            </w:pPr>
            <w:r>
              <w:t xml:space="preserve">Импорт значения из </w:t>
            </w:r>
            <w:r>
              <w:rPr>
                <w:lang w:val="en-US"/>
              </w:rPr>
              <w:t xml:space="preserve">OEBS</w:t>
            </w:r>
            <w:r>
              <w:t xml:space="preserve">.</w:t>
            </w:r>
            <w:r/>
          </w:p>
        </w:tc>
      </w:tr>
      <w:tr>
        <w:trPr/>
        <w:tc>
          <w:tcPr>
            <w:shd w:val="clear" w:fill="auto" w:color="auto"/>
            <w:tcW w:w="1774" w:type="pct"/>
            <w:textDirection w:val="lrTb"/>
            <w:noWrap w:val="false"/>
          </w:tcPr>
          <w:p>
            <w:pPr>
              <w:pStyle w:val="1005"/>
              <w:ind w:left="57" w:right="57"/>
            </w:pPr>
            <w:r>
              <w:t xml:space="preserve">Итого ист. </w:t>
            </w:r>
            <w:r>
              <w:t xml:space="preserve">Ф</w:t>
            </w:r>
            <w:r>
              <w:t xml:space="preserve">ин. </w:t>
            </w:r>
            <w:r>
              <w:t xml:space="preserve">Д</w:t>
            </w:r>
            <w:r>
              <w:t xml:space="preserve">ефицита</w:t>
            </w:r>
            <w:r/>
          </w:p>
        </w:tc>
        <w:tc>
          <w:tcPr>
            <w:shd w:val="clear" w:fill="auto" w:color="auto"/>
            <w:tcW w:w="3226" w:type="pct"/>
            <w:textDirection w:val="lrTb"/>
            <w:noWrap w:val="false"/>
          </w:tcPr>
          <w:p>
            <w:pPr>
              <w:pStyle w:val="1005"/>
              <w:ind w:left="57" w:right="57"/>
            </w:pPr>
            <w:r>
              <w:t xml:space="preserve">Импорт значения из </w:t>
            </w:r>
            <w:r>
              <w:rPr>
                <w:lang w:val="en-US"/>
              </w:rPr>
              <w:t xml:space="preserve">OEBS</w:t>
            </w:r>
            <w:r>
              <w:t xml:space="preserve">.</w:t>
            </w:r>
            <w:r/>
          </w:p>
        </w:tc>
      </w:tr>
      <w:tr>
        <w:trPr/>
        <w:tc>
          <w:tcPr>
            <w:shd w:val="clear" w:fill="auto" w:color="auto"/>
            <w:tcW w:w="1774" w:type="pct"/>
            <w:textDirection w:val="lrTb"/>
            <w:noWrap w:val="false"/>
          </w:tcPr>
          <w:p>
            <w:pPr>
              <w:pStyle w:val="1005"/>
              <w:ind w:left="57" w:right="57"/>
            </w:pPr>
            <w:r>
              <w:t xml:space="preserve">Примечание</w:t>
            </w:r>
            <w:r/>
          </w:p>
        </w:tc>
        <w:tc>
          <w:tcPr>
            <w:shd w:val="clear" w:fill="auto" w:color="auto"/>
            <w:tcW w:w="3226" w:type="pct"/>
            <w:textDirection w:val="lrTb"/>
            <w:noWrap w:val="false"/>
          </w:tcPr>
          <w:p>
            <w:pPr>
              <w:pStyle w:val="1005"/>
              <w:ind w:left="57" w:right="57"/>
            </w:pPr>
            <w:r>
              <w:t xml:space="preserve">Импорт значения из </w:t>
            </w:r>
            <w:r>
              <w:rPr>
                <w:lang w:val="en-US"/>
              </w:rPr>
              <w:t xml:space="preserve">OEBS</w:t>
            </w:r>
            <w:r>
              <w:t xml:space="preserve">.</w:t>
            </w:r>
            <w:r/>
          </w:p>
        </w:tc>
      </w:tr>
      <w:tr>
        <w:trPr/>
        <w:tc>
          <w:tcPr>
            <w:shd w:val="clear" w:fill="auto" w:color="auto"/>
            <w:tcW w:w="1774" w:type="pct"/>
            <w:textDirection w:val="lrTb"/>
            <w:noWrap w:val="false"/>
          </w:tcPr>
          <w:p>
            <w:pPr>
              <w:pStyle w:val="1005"/>
              <w:ind w:left="57" w:right="57"/>
            </w:pPr>
            <w:r>
              <w:t xml:space="preserve">Итого: Поступления</w:t>
            </w:r>
            <w:r/>
          </w:p>
        </w:tc>
        <w:tc>
          <w:tcPr>
            <w:shd w:val="clear" w:fill="auto" w:color="auto"/>
            <w:tcW w:w="3226" w:type="pct"/>
            <w:textDirection w:val="lrTb"/>
            <w:noWrap w:val="false"/>
          </w:tcPr>
          <w:p>
            <w:pPr>
              <w:pStyle w:val="1005"/>
              <w:ind w:left="57" w:right="57"/>
            </w:pPr>
            <w:r>
              <w:t xml:space="preserve">Импорт значения из </w:t>
            </w:r>
            <w:r>
              <w:rPr>
                <w:lang w:val="en-US"/>
              </w:rPr>
              <w:t xml:space="preserve">OEBS</w:t>
            </w:r>
            <w:r>
              <w:t xml:space="preserve">.</w:t>
            </w:r>
            <w:r/>
          </w:p>
        </w:tc>
      </w:tr>
      <w:tr>
        <w:trPr/>
        <w:tc>
          <w:tcPr>
            <w:shd w:val="clear" w:fill="auto" w:color="auto"/>
            <w:tcW w:w="1774" w:type="pct"/>
            <w:textDirection w:val="lrTb"/>
            <w:noWrap w:val="false"/>
          </w:tcPr>
          <w:p>
            <w:pPr>
              <w:pStyle w:val="1005"/>
              <w:ind w:left="57" w:right="57"/>
            </w:pPr>
            <w:r>
              <w:t xml:space="preserve">Итого: Выплаты</w:t>
            </w:r>
            <w:r/>
          </w:p>
        </w:tc>
        <w:tc>
          <w:tcPr>
            <w:shd w:val="clear" w:fill="auto" w:color="auto"/>
            <w:tcW w:w="3226" w:type="pct"/>
            <w:textDirection w:val="lrTb"/>
            <w:noWrap w:val="false"/>
          </w:tcPr>
          <w:p>
            <w:pPr>
              <w:pStyle w:val="1005"/>
              <w:ind w:left="57" w:right="57"/>
            </w:pPr>
            <w:r>
              <w:t xml:space="preserve">Импорт значения из </w:t>
            </w:r>
            <w:r>
              <w:rPr>
                <w:lang w:val="en-US"/>
              </w:rPr>
              <w:t xml:space="preserve">OEBS</w:t>
            </w:r>
            <w:r>
              <w:t xml:space="preserve">.</w:t>
            </w:r>
            <w:r/>
          </w:p>
        </w:tc>
      </w:tr>
      <w:tr>
        <w:trPr/>
        <w:tc>
          <w:tcPr>
            <w:shd w:val="clear" w:fill="auto" w:color="auto"/>
            <w:tcW w:w="1774" w:type="pct"/>
            <w:textDirection w:val="lrTb"/>
            <w:noWrap w:val="false"/>
          </w:tcPr>
          <w:p>
            <w:pPr>
              <w:pStyle w:val="1005"/>
              <w:ind w:left="57" w:right="57"/>
            </w:pPr>
            <w:r>
              <w:t xml:space="preserve">Итого: Итого доходов</w:t>
            </w:r>
            <w:r/>
          </w:p>
        </w:tc>
        <w:tc>
          <w:tcPr>
            <w:shd w:val="clear" w:fill="auto" w:color="auto"/>
            <w:tcW w:w="3226" w:type="pct"/>
            <w:textDirection w:val="lrTb"/>
            <w:noWrap w:val="false"/>
          </w:tcPr>
          <w:p>
            <w:pPr>
              <w:pStyle w:val="1005"/>
              <w:ind w:left="57" w:right="57"/>
            </w:pPr>
            <w:r>
              <w:t xml:space="preserve">Импорт значения из </w:t>
            </w:r>
            <w:r>
              <w:rPr>
                <w:lang w:val="en-US"/>
              </w:rPr>
              <w:t xml:space="preserve">OEBS</w:t>
            </w:r>
            <w:r>
              <w:t xml:space="preserve">.</w:t>
            </w:r>
            <w:r/>
          </w:p>
        </w:tc>
      </w:tr>
      <w:tr>
        <w:trPr/>
        <w:tc>
          <w:tcPr>
            <w:shd w:val="clear" w:fill="auto" w:color="auto"/>
            <w:tcW w:w="1774" w:type="pct"/>
            <w:textDirection w:val="lrTb"/>
            <w:noWrap w:val="false"/>
          </w:tcPr>
          <w:p>
            <w:pPr>
              <w:pStyle w:val="1005"/>
              <w:ind w:left="57" w:right="57"/>
            </w:pPr>
            <w:r>
              <w:t xml:space="preserve">Итого: Итого расходов</w:t>
            </w:r>
            <w:r/>
          </w:p>
        </w:tc>
        <w:tc>
          <w:tcPr>
            <w:shd w:val="clear" w:fill="auto" w:color="auto"/>
            <w:tcW w:w="3226" w:type="pct"/>
            <w:textDirection w:val="lrTb"/>
            <w:noWrap w:val="false"/>
          </w:tcPr>
          <w:p>
            <w:pPr>
              <w:pStyle w:val="1005"/>
              <w:ind w:left="57" w:right="57"/>
            </w:pPr>
            <w:r>
              <w:t xml:space="preserve">Импорт значения из </w:t>
            </w:r>
            <w:r>
              <w:rPr>
                <w:lang w:val="en-US"/>
              </w:rPr>
              <w:t xml:space="preserve">OEBS</w:t>
            </w:r>
            <w:r>
              <w:t xml:space="preserve">.</w:t>
            </w:r>
            <w:r/>
          </w:p>
        </w:tc>
      </w:tr>
      <w:tr>
        <w:trPr/>
        <w:tc>
          <w:tcPr>
            <w:shd w:val="clear" w:fill="auto" w:color="auto"/>
            <w:tcW w:w="1774" w:type="pct"/>
            <w:textDirection w:val="lrTb"/>
            <w:noWrap w:val="false"/>
          </w:tcPr>
          <w:p>
            <w:pPr>
              <w:pStyle w:val="1005"/>
              <w:ind w:left="57" w:right="57"/>
            </w:pPr>
            <w:r>
              <w:t xml:space="preserve">Итого: Итого ист. </w:t>
            </w:r>
            <w:r>
              <w:t xml:space="preserve">Ф</w:t>
            </w:r>
            <w:r>
              <w:t xml:space="preserve">ин. </w:t>
            </w:r>
            <w:r>
              <w:t xml:space="preserve">Д</w:t>
            </w:r>
            <w:r>
              <w:t xml:space="preserve">ефицита</w:t>
            </w:r>
            <w:r/>
          </w:p>
        </w:tc>
        <w:tc>
          <w:tcPr>
            <w:shd w:val="clear" w:fill="auto" w:color="auto"/>
            <w:tcW w:w="3226" w:type="pct"/>
            <w:textDirection w:val="lrTb"/>
            <w:noWrap w:val="false"/>
          </w:tcPr>
          <w:p>
            <w:pPr>
              <w:pStyle w:val="1005"/>
              <w:ind w:left="57" w:right="57"/>
            </w:pPr>
            <w:r>
              <w:t xml:space="preserve">Импорт значения из </w:t>
            </w:r>
            <w:r>
              <w:rPr>
                <w:lang w:val="en-US"/>
              </w:rPr>
              <w:t xml:space="preserve">OEBS</w:t>
            </w:r>
            <w:r>
              <w:t xml:space="preserve">.</w:t>
            </w:r>
            <w:r/>
          </w:p>
        </w:tc>
      </w:tr>
    </w:tbl>
    <w:p>
      <w:pPr>
        <w:pStyle w:val="994"/>
      </w:pPr>
      <w:r>
        <w:t xml:space="preserve">На вложенной закладке «Раздел 1.3. Предельные объемы финансирования» (рис. </w:t>
      </w:r>
      <w:r>
        <w:fldChar w:fldCharType="begin"/>
      </w:r>
      <w:r>
        <w:instrText xml:space="preserve"> REF _Ref394591786 \h </w:instrText>
      </w:r>
      <w:r>
        <w:instrText xml:space="preserve"> \* MERGEFORMAT </w:instrText>
      </w:r>
      <w:r>
        <w:fldChar w:fldCharType="separate"/>
      </w:r>
      <w:r>
        <w:t xml:space="preserve">166</w:t>
      </w:r>
      <w:r>
        <w:fldChar w:fldCharType="end"/>
      </w:r>
      <w:r>
        <w:t xml:space="preserve">) выводятся суммы по ПОФР в разрезе УБП и КБК.</w:t>
      </w:r>
      <w:r/>
    </w:p>
    <w:p>
      <w:pPr>
        <w:pStyle w:val="982"/>
      </w:pPr>
      <w:r>
        <mc:AlternateContent>
          <mc:Choice Requires="wpg">
            <w:drawing>
              <wp:inline xmlns:wp="http://schemas.openxmlformats.org/drawingml/2006/wordprocessingDrawing" distT="0" distB="0" distL="0" distR="0">
                <wp:extent cx="6217920" cy="2278380"/>
                <wp:effectExtent l="0" t="0" r="0" b="0"/>
                <wp:docPr id="25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32"/>
                        <a:stretch/>
                      </pic:blipFill>
                      <pic:spPr bwMode="auto">
                        <a:xfrm>
                          <a:off x="0" y="0"/>
                          <a:ext cx="6217920" cy="22783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6" o:spid="_x0000_s256" type="#_x0000_t75" style="mso-wrap-distance-left:0.0pt;mso-wrap-distance-top:0.0pt;mso-wrap-distance-right:0.0pt;mso-wrap-distance-bottom:0.0pt;width:489.6pt;height:179.4pt;" stroked="f">
                <v:path textboxrect="0,0,0,0"/>
                <v:imagedata r:id="rId232" o:title=""/>
              </v:shape>
            </w:pict>
          </mc:Fallback>
        </mc:AlternateContent>
      </w:r>
      <w:r/>
    </w:p>
    <w:p>
      <w:pPr>
        <w:pStyle w:val="983"/>
      </w:pPr>
      <w:r>
        <w:fldChar w:fldCharType="begin"/>
      </w:r>
      <w:r>
        <w:instrText xml:space="preserve"> SEQ Рисунок \* ARABIC </w:instrText>
      </w:r>
      <w:r>
        <w:fldChar w:fldCharType="separate"/>
      </w:r>
      <w:bookmarkStart w:id="1253" w:name="_Ref394591786"/>
      <w:r/>
      <w:bookmarkStart w:id="1254" w:name="_Toc88819551"/>
      <w:r>
        <w:t xml:space="preserve">166</w:t>
      </w:r>
      <w:bookmarkEnd w:id="1253"/>
      <w:r>
        <w:fldChar w:fldCharType="end"/>
      </w:r>
      <w:r>
        <w:t xml:space="preserve">. ЭФ документа «Акт приемки-передачи показателей лицевого счета ТГВФ</w:t>
      </w:r>
      <w:r>
        <w:t xml:space="preserve">», закладки «</w:t>
      </w:r>
      <w:r>
        <w:t xml:space="preserve">Документ</w:t>
      </w:r>
      <w:r>
        <w:t xml:space="preserve">», вкладки «</w:t>
      </w:r>
      <w:r>
        <w:t xml:space="preserve">Раздел 1.3. Предельные объёмы финансирования»</w:t>
      </w:r>
      <w:bookmarkEnd w:id="1254"/>
      <w:r/>
      <w:r/>
    </w:p>
    <w:p>
      <w:pPr>
        <w:pStyle w:val="994"/>
      </w:pPr>
      <w:r>
        <w:t xml:space="preserve">Перечень полей документа «Акт приемки-передачи показателей лицевого счета ТГВФ</w:t>
      </w:r>
      <w:r>
        <w:t xml:space="preserve">», закладки «</w:t>
      </w:r>
      <w:r>
        <w:t xml:space="preserve">Документ</w:t>
      </w:r>
      <w:r>
        <w:t xml:space="preserve">», вкладки «</w:t>
      </w:r>
      <w:r>
        <w:t xml:space="preserve">Раздел 1.3. Предельные объёмы финансирования» приведен в таблице</w:t>
      </w:r>
      <w:r>
        <w:t xml:space="preserve"> </w:t>
      </w:r>
      <w:r>
        <w:fldChar w:fldCharType="begin"/>
      </w:r>
      <w:r>
        <w:instrText xml:space="preserve"> REF _Ref394591888 \h </w:instrText>
      </w:r>
      <w:r>
        <w:instrText xml:space="preserve"> \* MERGEFORMAT </w:instrText>
      </w:r>
      <w:r>
        <w:fldChar w:fldCharType="separate"/>
      </w:r>
      <w:r>
        <w:t xml:space="preserve">91</w:t>
      </w:r>
      <w:r>
        <w:fldChar w:fldCharType="end"/>
      </w:r>
      <w:r>
        <w:t xml:space="preserve">.</w:t>
      </w:r>
      <w:r/>
    </w:p>
    <w:p>
      <w:pPr>
        <w:pStyle w:val="993"/>
      </w:pPr>
      <w:r>
        <w:fldChar w:fldCharType="begin"/>
      </w:r>
      <w:r>
        <w:instrText xml:space="preserve"> SEQ Таблица \* ARABIC </w:instrText>
      </w:r>
      <w:r>
        <w:fldChar w:fldCharType="separate"/>
      </w:r>
      <w:bookmarkStart w:id="1255" w:name="_Ref394591888"/>
      <w:r/>
      <w:bookmarkStart w:id="1256" w:name="_Toc88819277"/>
      <w:r>
        <w:t xml:space="preserve">91</w:t>
      </w:r>
      <w:bookmarkEnd w:id="1255"/>
      <w:r>
        <w:fldChar w:fldCharType="end"/>
      </w:r>
      <w:r>
        <w:t xml:space="preserve">. Описание полей документа «Акт приемки-передачи показателей лицевого счета ТГВФ</w:t>
      </w:r>
      <w:r>
        <w:t xml:space="preserve">», закладки «</w:t>
      </w:r>
      <w:r>
        <w:t xml:space="preserve">Документ</w:t>
      </w:r>
      <w:r>
        <w:t xml:space="preserve">», вкладки «</w:t>
      </w:r>
      <w:r>
        <w:t xml:space="preserve">Раздел 1.3. Предельные объёмы финансирования»</w:t>
      </w:r>
      <w:bookmarkEnd w:id="1256"/>
      <w:r/>
      <w:r/>
    </w:p>
    <w:tbl>
      <w:tblPr>
        <w:tblW w:w="5001"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3443"/>
        <w:gridCol w:w="16"/>
        <w:gridCol w:w="6295"/>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765" w:type="pct"/>
            <w:vAlign w:val="center"/>
            <w:textDirection w:val="lrTb"/>
            <w:noWrap w:val="false"/>
          </w:tcPr>
          <w:p>
            <w:pPr>
              <w:pStyle w:val="1006"/>
            </w:pPr>
            <w:r>
              <w:t xml:space="preserve">Наименование поля</w:t>
            </w:r>
            <w:r/>
          </w:p>
        </w:tc>
        <w:tc>
          <w:tcPr>
            <w:gridSpan w:val="2"/>
            <w:shd w:val="clear" w:fill="E6E6E6" w:color="auto"/>
            <w:tcBorders>
              <w:left w:val="single" w:sz="4" w:space="0" w:color="auto"/>
              <w:top w:val="single" w:sz="4" w:space="0" w:color="auto"/>
              <w:right w:val="single" w:sz="4" w:space="0" w:color="auto"/>
              <w:bottom w:val="single" w:sz="4" w:space="0" w:color="auto"/>
            </w:tcBorders>
            <w:tcW w:w="3235" w:type="pct"/>
            <w:vAlign w:val="center"/>
            <w:textDirection w:val="lrTb"/>
            <w:noWrap w:val="false"/>
          </w:tcPr>
          <w:p>
            <w:pPr>
              <w:pStyle w:val="1006"/>
              <w:rPr>
                <w:sz w:val="22"/>
                <w:szCs w:val="22"/>
              </w:rPr>
            </w:pPr>
            <w:r>
              <w:rPr>
                <w:sz w:val="22"/>
                <w:szCs w:val="22"/>
              </w:rPr>
              <w:t xml:space="preserve">Описание поля</w:t>
            </w:r>
            <w:r/>
          </w:p>
        </w:tc>
      </w:tr>
      <w:tr>
        <w:trPr/>
        <w:tc>
          <w:tcPr>
            <w:gridSpan w:val="2"/>
            <w:shd w:val="clear" w:fill="auto" w:color="auto"/>
            <w:tcW w:w="1773" w:type="pct"/>
            <w:textDirection w:val="lrTb"/>
            <w:noWrap w:val="false"/>
          </w:tcPr>
          <w:p>
            <w:pPr>
              <w:pStyle w:val="1005"/>
              <w:ind w:left="57" w:right="57"/>
            </w:pPr>
            <w:r>
              <w:t xml:space="preserve">Наименование УБП</w:t>
            </w:r>
            <w:r/>
          </w:p>
        </w:tc>
        <w:tc>
          <w:tcPr>
            <w:shd w:val="clear" w:fill="auto" w:color="auto"/>
            <w:tcW w:w="3227" w:type="pct"/>
            <w:textDirection w:val="lrTb"/>
            <w:noWrap w:val="false"/>
          </w:tcPr>
          <w:p>
            <w:pPr>
              <w:pStyle w:val="1005"/>
              <w:ind w:left="57" w:right="57"/>
              <w:rPr>
                <w:sz w:val="22"/>
                <w:szCs w:val="22"/>
              </w:rPr>
            </w:pPr>
            <w:r>
              <w:rPr>
                <w:sz w:val="22"/>
                <w:szCs w:val="22"/>
              </w:rPr>
              <w:t xml:space="preserve">Импорт значения из OEBS.</w:t>
            </w:r>
            <w:r/>
          </w:p>
        </w:tc>
      </w:tr>
      <w:tr>
        <w:trPr/>
        <w:tc>
          <w:tcPr>
            <w:gridSpan w:val="2"/>
            <w:shd w:val="clear" w:fill="auto" w:color="auto"/>
            <w:tcW w:w="1773" w:type="pct"/>
            <w:textDirection w:val="lrTb"/>
            <w:noWrap w:val="false"/>
          </w:tcPr>
          <w:p>
            <w:pPr>
              <w:pStyle w:val="1005"/>
              <w:ind w:left="57" w:right="57"/>
            </w:pPr>
            <w:r>
              <w:t xml:space="preserve">КБК</w:t>
            </w:r>
            <w:r/>
          </w:p>
        </w:tc>
        <w:tc>
          <w:tcPr>
            <w:shd w:val="clear" w:fill="auto" w:color="auto"/>
            <w:tcW w:w="3227" w:type="pct"/>
            <w:textDirection w:val="lrTb"/>
            <w:noWrap w:val="false"/>
          </w:tcPr>
          <w:p>
            <w:pPr>
              <w:pStyle w:val="1005"/>
              <w:ind w:left="57" w:right="57"/>
              <w:rPr>
                <w:sz w:val="22"/>
                <w:szCs w:val="22"/>
              </w:rPr>
            </w:pPr>
            <w:r>
              <w:rPr>
                <w:sz w:val="22"/>
                <w:szCs w:val="22"/>
              </w:rPr>
              <w:t xml:space="preserve">Импорт значения из OEBS.</w:t>
            </w:r>
            <w:r/>
          </w:p>
        </w:tc>
      </w:tr>
      <w:tr>
        <w:trPr/>
        <w:tc>
          <w:tcPr>
            <w:gridSpan w:val="2"/>
            <w:shd w:val="clear" w:fill="auto" w:color="auto"/>
            <w:tcW w:w="1773" w:type="pct"/>
            <w:textDirection w:val="lrTb"/>
            <w:noWrap w:val="false"/>
          </w:tcPr>
          <w:p>
            <w:pPr>
              <w:pStyle w:val="1005"/>
              <w:ind w:left="57" w:right="57"/>
            </w:pPr>
            <w:r>
              <w:t xml:space="preserve">Сумма: Всего</w:t>
            </w:r>
            <w:r/>
          </w:p>
        </w:tc>
        <w:tc>
          <w:tcPr>
            <w:shd w:val="clear" w:fill="auto" w:color="auto"/>
            <w:tcW w:w="3227" w:type="pct"/>
            <w:textDirection w:val="lrTb"/>
            <w:noWrap w:val="false"/>
          </w:tcPr>
          <w:p>
            <w:pPr>
              <w:pStyle w:val="1005"/>
              <w:ind w:left="57" w:right="57"/>
              <w:rPr>
                <w:sz w:val="22"/>
                <w:szCs w:val="22"/>
              </w:rPr>
            </w:pPr>
            <w:r>
              <w:rPr>
                <w:sz w:val="22"/>
                <w:szCs w:val="22"/>
              </w:rPr>
              <w:t xml:space="preserve">Импорт значения из OEBS.</w:t>
            </w:r>
            <w:r/>
          </w:p>
        </w:tc>
      </w:tr>
      <w:tr>
        <w:trPr/>
        <w:tc>
          <w:tcPr>
            <w:gridSpan w:val="2"/>
            <w:shd w:val="clear" w:fill="auto" w:color="auto"/>
            <w:tcW w:w="1773" w:type="pct"/>
            <w:textDirection w:val="lrTb"/>
            <w:noWrap w:val="false"/>
          </w:tcPr>
          <w:p>
            <w:pPr>
              <w:pStyle w:val="1005"/>
              <w:ind w:left="57" w:right="57"/>
            </w:pPr>
            <w:r>
              <w:t xml:space="preserve">Сумма: Переведено</w:t>
            </w:r>
            <w:r/>
          </w:p>
        </w:tc>
        <w:tc>
          <w:tcPr>
            <w:shd w:val="clear" w:fill="auto" w:color="auto"/>
            <w:tcW w:w="3227" w:type="pct"/>
            <w:textDirection w:val="lrTb"/>
            <w:noWrap w:val="false"/>
          </w:tcPr>
          <w:p>
            <w:pPr>
              <w:pStyle w:val="1005"/>
              <w:ind w:left="57" w:right="57"/>
              <w:rPr>
                <w:sz w:val="22"/>
                <w:szCs w:val="22"/>
              </w:rPr>
            </w:pPr>
            <w:r>
              <w:rPr>
                <w:sz w:val="22"/>
                <w:szCs w:val="22"/>
              </w:rPr>
              <w:t xml:space="preserve">Импорт значения из OEBS.</w:t>
            </w:r>
            <w:r/>
          </w:p>
        </w:tc>
      </w:tr>
      <w:tr>
        <w:trPr/>
        <w:tc>
          <w:tcPr>
            <w:gridSpan w:val="2"/>
            <w:shd w:val="clear" w:fill="auto" w:color="auto"/>
            <w:tcW w:w="1773" w:type="pct"/>
            <w:textDirection w:val="lrTb"/>
            <w:noWrap w:val="false"/>
          </w:tcPr>
          <w:p>
            <w:pPr>
              <w:pStyle w:val="1005"/>
              <w:ind w:left="57" w:right="57"/>
            </w:pPr>
            <w:r>
              <w:t xml:space="preserve">Сумма: Отозвано</w:t>
            </w:r>
            <w:r/>
          </w:p>
        </w:tc>
        <w:tc>
          <w:tcPr>
            <w:shd w:val="clear" w:fill="auto" w:color="auto"/>
            <w:tcW w:w="3227" w:type="pct"/>
            <w:textDirection w:val="lrTb"/>
            <w:noWrap w:val="false"/>
          </w:tcPr>
          <w:p>
            <w:pPr>
              <w:pStyle w:val="1005"/>
              <w:ind w:left="57" w:right="57"/>
              <w:rPr>
                <w:sz w:val="22"/>
                <w:szCs w:val="22"/>
              </w:rPr>
            </w:pPr>
            <w:r>
              <w:rPr>
                <w:sz w:val="22"/>
                <w:szCs w:val="22"/>
              </w:rPr>
              <w:t xml:space="preserve">Импорт значения из OEBS.</w:t>
            </w:r>
            <w:r/>
          </w:p>
        </w:tc>
      </w:tr>
      <w:tr>
        <w:trPr/>
        <w:tc>
          <w:tcPr>
            <w:gridSpan w:val="2"/>
            <w:shd w:val="clear" w:fill="auto" w:color="auto"/>
            <w:tcW w:w="1773" w:type="pct"/>
            <w:textDirection w:val="lrTb"/>
            <w:noWrap w:val="false"/>
          </w:tcPr>
          <w:p>
            <w:pPr>
              <w:pStyle w:val="1005"/>
              <w:ind w:left="57" w:right="57"/>
            </w:pPr>
            <w:r>
              <w:t xml:space="preserve">Примечание</w:t>
            </w:r>
            <w:r/>
          </w:p>
        </w:tc>
        <w:tc>
          <w:tcPr>
            <w:shd w:val="clear" w:fill="auto" w:color="auto"/>
            <w:tcW w:w="3227" w:type="pct"/>
            <w:textDirection w:val="lrTb"/>
            <w:noWrap w:val="false"/>
          </w:tcPr>
          <w:p>
            <w:pPr>
              <w:pStyle w:val="1005"/>
              <w:ind w:left="57" w:right="57"/>
              <w:rPr>
                <w:sz w:val="22"/>
                <w:szCs w:val="22"/>
              </w:rPr>
            </w:pPr>
            <w:r>
              <w:rPr>
                <w:sz w:val="22"/>
                <w:szCs w:val="22"/>
              </w:rPr>
              <w:t xml:space="preserve">Импорт значения из OEBS.</w:t>
            </w:r>
            <w:r/>
          </w:p>
        </w:tc>
      </w:tr>
      <w:tr>
        <w:trPr/>
        <w:tc>
          <w:tcPr>
            <w:gridSpan w:val="2"/>
            <w:shd w:val="clear" w:fill="auto" w:color="auto"/>
            <w:tcW w:w="1773" w:type="pct"/>
            <w:textDirection w:val="lrTb"/>
            <w:noWrap w:val="false"/>
          </w:tcPr>
          <w:p>
            <w:pPr>
              <w:pStyle w:val="1005"/>
              <w:ind w:left="57" w:right="57"/>
            </w:pPr>
            <w:r>
              <w:t xml:space="preserve">Сумма: Всего</w:t>
            </w:r>
            <w:r/>
          </w:p>
        </w:tc>
        <w:tc>
          <w:tcPr>
            <w:shd w:val="clear" w:fill="auto" w:color="auto"/>
            <w:tcW w:w="3227" w:type="pct"/>
            <w:textDirection w:val="lrTb"/>
            <w:noWrap w:val="false"/>
          </w:tcPr>
          <w:p>
            <w:pPr>
              <w:pStyle w:val="1005"/>
              <w:ind w:left="57" w:right="57"/>
              <w:rPr>
                <w:sz w:val="22"/>
                <w:szCs w:val="22"/>
              </w:rPr>
            </w:pPr>
            <w:r>
              <w:rPr>
                <w:sz w:val="22"/>
                <w:szCs w:val="22"/>
              </w:rPr>
              <w:t xml:space="preserve">Импорт значения из OEBS.</w:t>
            </w:r>
            <w:r/>
          </w:p>
        </w:tc>
      </w:tr>
      <w:tr>
        <w:trPr/>
        <w:tc>
          <w:tcPr>
            <w:gridSpan w:val="2"/>
            <w:shd w:val="clear" w:fill="auto" w:color="auto"/>
            <w:tcW w:w="1773" w:type="pct"/>
            <w:textDirection w:val="lrTb"/>
            <w:noWrap w:val="false"/>
          </w:tcPr>
          <w:p>
            <w:pPr>
              <w:pStyle w:val="1005"/>
              <w:ind w:left="57" w:right="57"/>
            </w:pPr>
            <w:r>
              <w:t xml:space="preserve">Сумма: Переведено</w:t>
            </w:r>
            <w:r/>
          </w:p>
        </w:tc>
        <w:tc>
          <w:tcPr>
            <w:shd w:val="clear" w:fill="auto" w:color="auto"/>
            <w:tcW w:w="3227" w:type="pct"/>
            <w:textDirection w:val="lrTb"/>
            <w:noWrap w:val="false"/>
          </w:tcPr>
          <w:p>
            <w:pPr>
              <w:pStyle w:val="1005"/>
              <w:ind w:left="57" w:right="57"/>
              <w:rPr>
                <w:sz w:val="22"/>
                <w:szCs w:val="22"/>
              </w:rPr>
            </w:pPr>
            <w:r>
              <w:rPr>
                <w:sz w:val="22"/>
                <w:szCs w:val="22"/>
              </w:rPr>
              <w:t xml:space="preserve">Импорт значения из OEBS.</w:t>
            </w:r>
            <w:r/>
          </w:p>
        </w:tc>
      </w:tr>
      <w:tr>
        <w:trPr/>
        <w:tc>
          <w:tcPr>
            <w:gridSpan w:val="2"/>
            <w:shd w:val="clear" w:fill="auto" w:color="auto"/>
            <w:tcW w:w="1773" w:type="pct"/>
            <w:textDirection w:val="lrTb"/>
            <w:noWrap w:val="false"/>
          </w:tcPr>
          <w:p>
            <w:pPr>
              <w:pStyle w:val="1005"/>
              <w:ind w:left="57" w:right="57"/>
            </w:pPr>
            <w:r>
              <w:t xml:space="preserve">Сумма: Отозвано</w:t>
            </w:r>
            <w:r/>
          </w:p>
        </w:tc>
        <w:tc>
          <w:tcPr>
            <w:shd w:val="clear" w:fill="auto" w:color="auto"/>
            <w:tcW w:w="3227" w:type="pct"/>
            <w:textDirection w:val="lrTb"/>
            <w:noWrap w:val="false"/>
          </w:tcPr>
          <w:p>
            <w:pPr>
              <w:pStyle w:val="1005"/>
              <w:ind w:left="57" w:right="57"/>
              <w:rPr>
                <w:sz w:val="22"/>
                <w:szCs w:val="22"/>
              </w:rPr>
            </w:pPr>
            <w:r>
              <w:rPr>
                <w:sz w:val="22"/>
                <w:szCs w:val="22"/>
              </w:rPr>
              <w:t xml:space="preserve">Импорт значения из OEBS.</w:t>
            </w:r>
            <w:r/>
          </w:p>
        </w:tc>
      </w:tr>
    </w:tbl>
    <w:p>
      <w:pPr>
        <w:pStyle w:val="994"/>
      </w:pPr>
      <w:r>
        <w:t xml:space="preserve">ЭФ документа «Акт приемки-передачи показателей лицевого счета ТГВФ</w:t>
      </w:r>
      <w:r>
        <w:t xml:space="preserve">», закладки «</w:t>
      </w:r>
      <w:r>
        <w:t xml:space="preserve">Дополнительные атрибуты»</w:t>
      </w:r>
      <w:r>
        <w:t xml:space="preserve"> </w:t>
      </w:r>
      <w:r>
        <w:t xml:space="preserve">представлена </w:t>
      </w:r>
      <w:r>
        <w:t xml:space="preserve">н</w:t>
      </w:r>
      <w:r>
        <w:t xml:space="preserve">а рисунке</w:t>
      </w:r>
      <w:r>
        <w:t xml:space="preserve"> </w:t>
      </w:r>
      <w:r>
        <w:fldChar w:fldCharType="begin"/>
      </w:r>
      <w:r>
        <w:instrText xml:space="preserve"> REF _Ref394591787 \h  \* MERGEFORMAT </w:instrText>
      </w:r>
      <w:r>
        <w:fldChar w:fldCharType="separate"/>
      </w:r>
      <w:r>
        <w:t xml:space="preserve">167</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2926080"/>
                <wp:effectExtent l="0" t="0" r="0" b="0"/>
                <wp:docPr id="25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33"/>
                        <a:stretch/>
                      </pic:blipFill>
                      <pic:spPr bwMode="auto">
                        <a:xfrm>
                          <a:off x="0" y="0"/>
                          <a:ext cx="6134100" cy="29260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7" o:spid="_x0000_s257" type="#_x0000_t75" style="mso-wrap-distance-left:0.0pt;mso-wrap-distance-top:0.0pt;mso-wrap-distance-right:0.0pt;mso-wrap-distance-bottom:0.0pt;width:483.0pt;height:230.4pt;" stroked="f">
                <v:path textboxrect="0,0,0,0"/>
                <v:imagedata r:id="rId233" o:title=""/>
              </v:shape>
            </w:pict>
          </mc:Fallback>
        </mc:AlternateContent>
      </w:r>
      <w:r/>
    </w:p>
    <w:p>
      <w:pPr>
        <w:pStyle w:val="983"/>
      </w:pPr>
      <w:r>
        <w:fldChar w:fldCharType="begin"/>
      </w:r>
      <w:r>
        <w:instrText xml:space="preserve"> SEQ Рисунок \* ARABIC </w:instrText>
      </w:r>
      <w:r>
        <w:fldChar w:fldCharType="separate"/>
      </w:r>
      <w:bookmarkStart w:id="1257" w:name="_Ref394591787"/>
      <w:r/>
      <w:bookmarkStart w:id="1258" w:name="_Toc88819552"/>
      <w:r>
        <w:t xml:space="preserve">167</w:t>
      </w:r>
      <w:bookmarkEnd w:id="1257"/>
      <w:r>
        <w:fldChar w:fldCharType="end"/>
      </w:r>
      <w:r>
        <w:t xml:space="preserve">. ЭФ документа «Акт приемки-передачи показателей лицевого счета ТГВФ</w:t>
      </w:r>
      <w:r>
        <w:t xml:space="preserve">», закладки «</w:t>
      </w:r>
      <w:r>
        <w:t xml:space="preserve">Дополнительные атрибуты»</w:t>
      </w:r>
      <w:bookmarkEnd w:id="1258"/>
      <w:r/>
      <w:r/>
    </w:p>
    <w:p>
      <w:pPr>
        <w:pStyle w:val="994"/>
      </w:pPr>
      <w:r>
        <w:t xml:space="preserve">Перечень полей документа «</w:t>
      </w:r>
      <w:r>
        <w:t xml:space="preserve">Акт приемки-передачи показателей лицевого счета ТГВФ</w:t>
      </w:r>
      <w:r>
        <w:t xml:space="preserve">», закладки «</w:t>
      </w:r>
      <w:r>
        <w:t xml:space="preserve">Дополнительные атрибуты» приведен в таблице</w:t>
      </w:r>
      <w:r>
        <w:t xml:space="preserve"> </w:t>
      </w:r>
      <w:r>
        <w:fldChar w:fldCharType="begin"/>
      </w:r>
      <w:r>
        <w:instrText xml:space="preserve"> REF _Ref394591900 \h </w:instrText>
      </w:r>
      <w:r>
        <w:instrText xml:space="preserve"> \* MERGEFORMAT </w:instrText>
      </w:r>
      <w:r>
        <w:fldChar w:fldCharType="separate"/>
      </w:r>
      <w:r>
        <w:t xml:space="preserve">92</w:t>
      </w:r>
      <w:r>
        <w:fldChar w:fldCharType="end"/>
      </w:r>
      <w:r>
        <w:t xml:space="preserve">.</w:t>
      </w:r>
      <w:r/>
    </w:p>
    <w:p>
      <w:pPr>
        <w:pStyle w:val="993"/>
      </w:pPr>
      <w:r>
        <w:fldChar w:fldCharType="begin"/>
      </w:r>
      <w:r>
        <w:instrText xml:space="preserve"> SEQ Таблица \* ARABIC </w:instrText>
      </w:r>
      <w:r>
        <w:fldChar w:fldCharType="separate"/>
      </w:r>
      <w:bookmarkStart w:id="1259" w:name="_Ref394591900"/>
      <w:r/>
      <w:bookmarkStart w:id="1260" w:name="_Toc88819278"/>
      <w:r>
        <w:t xml:space="preserve">92</w:t>
      </w:r>
      <w:bookmarkEnd w:id="1259"/>
      <w:r>
        <w:fldChar w:fldCharType="end"/>
      </w:r>
      <w:r>
        <w:t xml:space="preserve">. Описание полей документа «Акт приемки-передачи показателей лицевого счета ТГВФ</w:t>
      </w:r>
      <w:r>
        <w:t xml:space="preserve">», закладки «</w:t>
      </w:r>
      <w:r>
        <w:t xml:space="preserve">Дополнительные атрибуты»</w:t>
      </w:r>
      <w:bookmarkEnd w:id="1260"/>
      <w:r/>
      <w:r/>
    </w:p>
    <w:tbl>
      <w:tblPr>
        <w:tblW w:w="5001"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3447"/>
        <w:gridCol w:w="12"/>
        <w:gridCol w:w="6295"/>
      </w:tblGrid>
      <w:tr>
        <w:trPr>
          <w:trHeight w:val="77"/>
          <w:tblHeader/>
        </w:trPr>
        <w:tc>
          <w:tcPr>
            <w:shd w:val="clear" w:fill="E6E6E6" w:color="auto"/>
            <w:tcBorders>
              <w:left w:val="single" w:sz="4" w:space="0" w:color="auto"/>
              <w:top w:val="single" w:sz="4" w:space="0" w:color="auto"/>
              <w:right w:val="single" w:sz="4" w:space="0" w:color="auto"/>
              <w:bottom w:val="single" w:sz="4" w:space="0" w:color="auto"/>
            </w:tcBorders>
            <w:tcW w:w="1767" w:type="pct"/>
            <w:vAlign w:val="center"/>
            <w:textDirection w:val="lrTb"/>
            <w:noWrap w:val="false"/>
          </w:tcPr>
          <w:p>
            <w:pPr>
              <w:pStyle w:val="1006"/>
            </w:pPr>
            <w:r>
              <w:t xml:space="preserve">Наименование поля</w:t>
            </w:r>
            <w:r/>
          </w:p>
        </w:tc>
        <w:tc>
          <w:tcPr>
            <w:gridSpan w:val="2"/>
            <w:shd w:val="clear" w:fill="E6E6E6" w:color="auto"/>
            <w:tcBorders>
              <w:left w:val="single" w:sz="4" w:space="0" w:color="auto"/>
              <w:top w:val="single" w:sz="4" w:space="0" w:color="auto"/>
              <w:right w:val="single" w:sz="4" w:space="0" w:color="auto"/>
              <w:bottom w:val="single" w:sz="4" w:space="0" w:color="auto"/>
            </w:tcBorders>
            <w:tcW w:w="3233" w:type="pct"/>
            <w:vAlign w:val="center"/>
            <w:textDirection w:val="lrTb"/>
            <w:noWrap w:val="false"/>
          </w:tcPr>
          <w:p>
            <w:pPr>
              <w:pStyle w:val="1006"/>
            </w:pPr>
            <w:r>
              <w:t xml:space="preserve">Описание поля</w:t>
            </w:r>
            <w:r/>
          </w:p>
        </w:tc>
      </w:tr>
      <w:tr>
        <w:trPr/>
        <w:tc>
          <w:tcPr>
            <w:gridSpan w:val="3"/>
            <w:shd w:val="clear" w:fill="auto" w:color="auto"/>
            <w:tcW w:w="5000" w:type="pct"/>
            <w:textDirection w:val="lrTb"/>
            <w:noWrap w:val="false"/>
          </w:tcPr>
          <w:p>
            <w:pPr>
              <w:pStyle w:val="1005"/>
              <w:ind w:left="57" w:right="57"/>
            </w:pPr>
            <w:r>
              <w:t xml:space="preserve">Группа </w:t>
            </w:r>
            <w:r>
              <w:t xml:space="preserve">полей «Передающая сторона»</w:t>
            </w:r>
            <w:r/>
          </w:p>
        </w:tc>
      </w:tr>
      <w:tr>
        <w:trPr/>
        <w:tc>
          <w:tcPr>
            <w:gridSpan w:val="2"/>
            <w:shd w:val="clear" w:fill="auto" w:color="auto"/>
            <w:tcW w:w="1773" w:type="pct"/>
            <w:textDirection w:val="lrTb"/>
            <w:noWrap w:val="false"/>
          </w:tcPr>
          <w:p>
            <w:pPr>
              <w:pStyle w:val="1005"/>
              <w:ind w:left="57" w:right="57"/>
            </w:pPr>
            <w:r>
              <w:t xml:space="preserve">Руководитель (уполномоченное лицо). Должность</w:t>
            </w:r>
            <w:r/>
          </w:p>
        </w:tc>
        <w:tc>
          <w:tcPr>
            <w:shd w:val="clear" w:fill="auto" w:color="auto"/>
            <w:tcW w:w="3227" w:type="pct"/>
            <w:textDirection w:val="lrTb"/>
            <w:noWrap w:val="false"/>
          </w:tcPr>
          <w:p>
            <w:pPr>
              <w:pStyle w:val="1005"/>
              <w:ind w:left="57" w:right="57"/>
            </w:pPr>
            <w:r>
              <w:t xml:space="preserve">ФО: Заполняется автоматически значением из справочника «Список сотрудников» на основании ФИО. </w:t>
            </w:r>
            <w:r/>
          </w:p>
          <w:p>
            <w:pPr>
              <w:pStyle w:val="1005"/>
              <w:ind w:left="57" w:right="57"/>
            </w:pPr>
            <w:r>
              <w:t xml:space="preserve">Заполнение поля вручную.</w:t>
            </w:r>
            <w:r/>
          </w:p>
        </w:tc>
      </w:tr>
      <w:tr>
        <w:trPr/>
        <w:tc>
          <w:tcPr>
            <w:gridSpan w:val="2"/>
            <w:shd w:val="clear" w:fill="auto" w:color="auto"/>
            <w:tcW w:w="1773" w:type="pct"/>
            <w:textDirection w:val="lrTb"/>
            <w:noWrap w:val="false"/>
          </w:tcPr>
          <w:p>
            <w:pPr>
              <w:pStyle w:val="1005"/>
              <w:ind w:left="57" w:right="57"/>
            </w:pPr>
            <w:r>
              <w:t xml:space="preserve">Руководитель (уполномоченное лицо). ФИО</w:t>
            </w:r>
            <w:r/>
          </w:p>
        </w:tc>
        <w:tc>
          <w:tcPr>
            <w:shd w:val="clear" w:fill="auto" w:color="auto"/>
            <w:tcW w:w="3227" w:type="pct"/>
            <w:textDirection w:val="lrTb"/>
            <w:noWrap w:val="false"/>
          </w:tcPr>
          <w:p>
            <w:pPr>
              <w:pStyle w:val="1005"/>
              <w:ind w:left="57" w:right="57"/>
            </w:pPr>
            <w:r>
              <w:t xml:space="preserve">ФО: Выбор значения из справочника «Список сотрудников». </w:t>
            </w:r>
            <w:r/>
          </w:p>
          <w:p>
            <w:pPr>
              <w:pStyle w:val="1005"/>
              <w:ind w:left="57" w:right="57"/>
            </w:pPr>
            <w:r>
              <w:t xml:space="preserve">Заполнение поля вручную.</w:t>
            </w:r>
            <w:r/>
          </w:p>
        </w:tc>
      </w:tr>
      <w:tr>
        <w:trPr/>
        <w:tc>
          <w:tcPr>
            <w:gridSpan w:val="2"/>
            <w:shd w:val="clear" w:fill="auto" w:color="auto"/>
            <w:tcW w:w="1773" w:type="pct"/>
            <w:textDirection w:val="lrTb"/>
            <w:noWrap w:val="false"/>
          </w:tcPr>
          <w:p>
            <w:pPr>
              <w:pStyle w:val="1005"/>
              <w:ind w:left="57" w:right="57"/>
            </w:pPr>
            <w:r>
              <w:t xml:space="preserve">Главный бухгалтер (уполномоченное лицо). Должность</w:t>
            </w:r>
            <w:r/>
          </w:p>
        </w:tc>
        <w:tc>
          <w:tcPr>
            <w:shd w:val="clear" w:fill="auto" w:color="auto"/>
            <w:tcW w:w="3227" w:type="pct"/>
            <w:textDirection w:val="lrTb"/>
            <w:noWrap w:val="false"/>
          </w:tcPr>
          <w:p>
            <w:pPr>
              <w:pStyle w:val="1005"/>
              <w:ind w:left="57" w:right="57"/>
            </w:pPr>
            <w:r>
              <w:t xml:space="preserve">ФО: Заполняется автоматически значением из справочника «Список сотрудников» на основании ФИО. </w:t>
            </w:r>
            <w:r/>
          </w:p>
          <w:p>
            <w:pPr>
              <w:pStyle w:val="1005"/>
              <w:ind w:left="57" w:right="57"/>
            </w:pPr>
            <w:r>
              <w:t xml:space="preserve">Заполнение поля вручную.</w:t>
            </w:r>
            <w:r/>
          </w:p>
        </w:tc>
      </w:tr>
      <w:tr>
        <w:trPr/>
        <w:tc>
          <w:tcPr>
            <w:gridSpan w:val="2"/>
            <w:shd w:val="clear" w:fill="auto" w:color="auto"/>
            <w:tcW w:w="1773" w:type="pct"/>
            <w:textDirection w:val="lrTb"/>
            <w:noWrap w:val="false"/>
          </w:tcPr>
          <w:p>
            <w:pPr>
              <w:pStyle w:val="1005"/>
              <w:ind w:left="57" w:right="57"/>
            </w:pPr>
            <w:r>
              <w:t xml:space="preserve">Главный бухгалтер (уполномоченное лицо). ФИО</w:t>
            </w:r>
            <w:r/>
          </w:p>
        </w:tc>
        <w:tc>
          <w:tcPr>
            <w:shd w:val="clear" w:fill="auto" w:color="auto"/>
            <w:tcW w:w="3227" w:type="pct"/>
            <w:textDirection w:val="lrTb"/>
            <w:noWrap w:val="false"/>
          </w:tcPr>
          <w:p>
            <w:pPr>
              <w:pStyle w:val="1005"/>
              <w:ind w:left="57" w:right="57"/>
            </w:pPr>
            <w:r>
              <w:t xml:space="preserve">ФО: Выбор значения из справочника «Список сотрудников». </w:t>
            </w:r>
            <w:r/>
          </w:p>
          <w:p>
            <w:pPr>
              <w:pStyle w:val="1005"/>
              <w:ind w:left="57" w:right="57"/>
            </w:pPr>
            <w:r>
              <w:t xml:space="preserve">Заполнение поля вручную.</w:t>
            </w:r>
            <w:r/>
          </w:p>
        </w:tc>
      </w:tr>
      <w:tr>
        <w:trPr/>
        <w:tc>
          <w:tcPr>
            <w:gridSpan w:val="2"/>
            <w:shd w:val="clear" w:fill="auto" w:color="auto"/>
            <w:tcW w:w="1773" w:type="pct"/>
            <w:textDirection w:val="lrTb"/>
            <w:noWrap w:val="false"/>
          </w:tcPr>
          <w:p>
            <w:pPr>
              <w:pStyle w:val="1005"/>
              <w:ind w:left="57" w:right="57"/>
            </w:pPr>
            <w:r>
              <w:t xml:space="preserve">Дата клиента</w:t>
            </w:r>
            <w:r/>
          </w:p>
        </w:tc>
        <w:tc>
          <w:tcPr>
            <w:shd w:val="clear" w:fill="auto" w:color="auto"/>
            <w:tcW w:w="3227" w:type="pct"/>
            <w:textDirection w:val="lrTb"/>
            <w:noWrap w:val="false"/>
          </w:tcPr>
          <w:p>
            <w:pPr>
              <w:pStyle w:val="1005"/>
              <w:ind w:left="57" w:right="57"/>
            </w:pPr>
            <w:r>
              <w:t xml:space="preserve">ФО: Выбор значения из календаря.</w:t>
            </w:r>
            <w:r/>
          </w:p>
          <w:p>
            <w:pPr>
              <w:pStyle w:val="1005"/>
              <w:ind w:left="57" w:right="57"/>
            </w:pPr>
            <w:r>
              <w:t xml:space="preserve">Заполнение поля вручную.</w:t>
            </w:r>
            <w:r/>
          </w:p>
        </w:tc>
      </w:tr>
      <w:tr>
        <w:trPr/>
        <w:tc>
          <w:tcPr>
            <w:gridSpan w:val="2"/>
            <w:shd w:val="clear" w:fill="auto" w:color="auto"/>
            <w:tcW w:w="1773" w:type="pct"/>
            <w:textDirection w:val="lrTb"/>
            <w:noWrap w:val="false"/>
          </w:tcPr>
          <w:p>
            <w:pPr>
              <w:pStyle w:val="1005"/>
              <w:ind w:left="57" w:right="57"/>
            </w:pPr>
            <w:r>
              <w:t xml:space="preserve">Руководитель ОрФК (уполномоченное лицо). Должность</w:t>
            </w:r>
            <w:r/>
          </w:p>
        </w:tc>
        <w:tc>
          <w:tcPr>
            <w:shd w:val="clear" w:fill="auto" w:color="auto"/>
            <w:tcW w:w="3227" w:type="pct"/>
            <w:textDirection w:val="lrTb"/>
            <w:noWrap w:val="false"/>
          </w:tcPr>
          <w:p>
            <w:pPr>
              <w:pStyle w:val="1005"/>
              <w:ind w:left="57" w:right="57"/>
            </w:pPr>
            <w:r>
              <w:t xml:space="preserve">Импорт значения из OEBS.</w:t>
            </w:r>
            <w:r/>
          </w:p>
        </w:tc>
      </w:tr>
      <w:tr>
        <w:trPr/>
        <w:tc>
          <w:tcPr>
            <w:gridSpan w:val="2"/>
            <w:shd w:val="clear" w:fill="auto" w:color="auto"/>
            <w:tcW w:w="1773" w:type="pct"/>
            <w:textDirection w:val="lrTb"/>
            <w:noWrap w:val="false"/>
          </w:tcPr>
          <w:p>
            <w:pPr>
              <w:pStyle w:val="1005"/>
              <w:ind w:left="57" w:right="57"/>
            </w:pPr>
            <w:r>
              <w:t xml:space="preserve">Руководитель ОрФК (уполномоченное лицо). ФИО</w:t>
            </w:r>
            <w:r/>
          </w:p>
        </w:tc>
        <w:tc>
          <w:tcPr>
            <w:shd w:val="clear" w:fill="auto" w:color="auto"/>
            <w:tcW w:w="3227" w:type="pct"/>
            <w:textDirection w:val="lrTb"/>
            <w:noWrap w:val="false"/>
          </w:tcPr>
          <w:p>
            <w:pPr>
              <w:pStyle w:val="1005"/>
              <w:ind w:left="57" w:right="57"/>
            </w:pPr>
            <w:r>
              <w:t xml:space="preserve">Импорт значения из OEBS.</w:t>
            </w:r>
            <w:r/>
          </w:p>
        </w:tc>
      </w:tr>
      <w:tr>
        <w:trPr/>
        <w:tc>
          <w:tcPr>
            <w:gridSpan w:val="2"/>
            <w:shd w:val="clear" w:fill="auto" w:color="auto"/>
            <w:tcW w:w="1773" w:type="pct"/>
            <w:textDirection w:val="lrTb"/>
            <w:noWrap w:val="false"/>
          </w:tcPr>
          <w:p>
            <w:pPr>
              <w:pStyle w:val="1005"/>
              <w:ind w:left="57" w:right="57"/>
            </w:pPr>
            <w:r>
              <w:t xml:space="preserve">Главный бухгалтер ОрФК (уполномоченное лицо). Должность</w:t>
            </w:r>
            <w:r/>
          </w:p>
        </w:tc>
        <w:tc>
          <w:tcPr>
            <w:shd w:val="clear" w:fill="auto" w:color="auto"/>
            <w:tcW w:w="3227" w:type="pct"/>
            <w:textDirection w:val="lrTb"/>
            <w:noWrap w:val="false"/>
          </w:tcPr>
          <w:p>
            <w:pPr>
              <w:pStyle w:val="1005"/>
              <w:ind w:left="57" w:right="57"/>
            </w:pPr>
            <w:r>
              <w:t xml:space="preserve">Импорт значения из OEBS.</w:t>
            </w:r>
            <w:r/>
          </w:p>
        </w:tc>
      </w:tr>
      <w:tr>
        <w:trPr/>
        <w:tc>
          <w:tcPr>
            <w:gridSpan w:val="2"/>
            <w:shd w:val="clear" w:fill="auto" w:color="auto"/>
            <w:tcW w:w="1773" w:type="pct"/>
            <w:textDirection w:val="lrTb"/>
            <w:noWrap w:val="false"/>
          </w:tcPr>
          <w:p>
            <w:pPr>
              <w:pStyle w:val="1005"/>
              <w:ind w:left="57" w:right="57"/>
            </w:pPr>
            <w:r>
              <w:t xml:space="preserve">Главный бухгалтер ОрФК (уполномоченное лицо). ФИО</w:t>
            </w:r>
            <w:r/>
          </w:p>
        </w:tc>
        <w:tc>
          <w:tcPr>
            <w:shd w:val="clear" w:fill="auto" w:color="auto"/>
            <w:tcW w:w="3227" w:type="pct"/>
            <w:textDirection w:val="lrTb"/>
            <w:noWrap w:val="false"/>
          </w:tcPr>
          <w:p>
            <w:pPr>
              <w:pStyle w:val="1005"/>
              <w:ind w:left="57" w:right="57"/>
            </w:pPr>
            <w:r>
              <w:t xml:space="preserve">Импорт значения из OEBS.</w:t>
            </w:r>
            <w:r/>
          </w:p>
        </w:tc>
      </w:tr>
      <w:tr>
        <w:trPr/>
        <w:tc>
          <w:tcPr>
            <w:gridSpan w:val="2"/>
            <w:shd w:val="clear" w:fill="auto" w:color="auto"/>
            <w:tcW w:w="1773" w:type="pct"/>
            <w:textDirection w:val="lrTb"/>
            <w:noWrap w:val="false"/>
          </w:tcPr>
          <w:p>
            <w:pPr>
              <w:pStyle w:val="1005"/>
              <w:ind w:left="57" w:right="57"/>
            </w:pPr>
            <w:r>
              <w:t xml:space="preserve">Дата</w:t>
            </w:r>
            <w:r/>
          </w:p>
        </w:tc>
        <w:tc>
          <w:tcPr>
            <w:shd w:val="clear" w:fill="auto" w:color="auto"/>
            <w:tcW w:w="3227" w:type="pct"/>
            <w:textDirection w:val="lrTb"/>
            <w:noWrap w:val="false"/>
          </w:tcPr>
          <w:p>
            <w:pPr>
              <w:pStyle w:val="1005"/>
              <w:ind w:left="57" w:right="57"/>
            </w:pPr>
            <w:r>
              <w:t xml:space="preserve">Импорт значения из OEBS.</w:t>
            </w:r>
            <w:r/>
          </w:p>
        </w:tc>
      </w:tr>
      <w:tr>
        <w:trPr/>
        <w:tc>
          <w:tcPr>
            <w:gridSpan w:val="3"/>
            <w:shd w:val="clear" w:fill="auto" w:color="auto"/>
            <w:tcW w:w="5000" w:type="pct"/>
            <w:textDirection w:val="lrTb"/>
            <w:noWrap w:val="false"/>
          </w:tcPr>
          <w:p>
            <w:pPr>
              <w:pStyle w:val="1005"/>
              <w:ind w:left="57" w:right="57"/>
            </w:pPr>
            <w:r>
              <w:t xml:space="preserve">Группа полей </w:t>
            </w:r>
            <w:r>
              <w:t xml:space="preserve">«Принимающая сторона»</w:t>
            </w:r>
            <w:r/>
          </w:p>
        </w:tc>
      </w:tr>
      <w:tr>
        <w:trPr/>
        <w:tc>
          <w:tcPr>
            <w:gridSpan w:val="2"/>
            <w:shd w:val="clear" w:fill="auto" w:color="auto"/>
            <w:tcW w:w="1773" w:type="pct"/>
            <w:textDirection w:val="lrTb"/>
            <w:noWrap w:val="false"/>
          </w:tcPr>
          <w:p>
            <w:pPr>
              <w:pStyle w:val="1005"/>
              <w:ind w:left="57" w:right="57"/>
            </w:pPr>
            <w:r>
              <w:t xml:space="preserve">Руководитель (уполномоченное лицо). Должность</w:t>
            </w:r>
            <w:r/>
          </w:p>
        </w:tc>
        <w:tc>
          <w:tcPr>
            <w:shd w:val="clear" w:fill="auto" w:color="auto"/>
            <w:tcW w:w="3227" w:type="pct"/>
            <w:textDirection w:val="lrTb"/>
            <w:noWrap w:val="false"/>
          </w:tcPr>
          <w:p>
            <w:pPr>
              <w:pStyle w:val="1005"/>
              <w:ind w:left="57" w:right="57"/>
            </w:pPr>
            <w:r>
              <w:t xml:space="preserve">ФО: Заполняется автоматически значением из справочника «Список сотрудников» на основании ФИО. </w:t>
            </w:r>
            <w:r/>
          </w:p>
          <w:p>
            <w:pPr>
              <w:pStyle w:val="1005"/>
              <w:ind w:left="57" w:right="57"/>
            </w:pPr>
            <w:r>
              <w:t xml:space="preserve">Заполнение поля вручную.</w:t>
            </w:r>
            <w:r/>
          </w:p>
        </w:tc>
      </w:tr>
      <w:tr>
        <w:trPr/>
        <w:tc>
          <w:tcPr>
            <w:gridSpan w:val="2"/>
            <w:shd w:val="clear" w:fill="auto" w:color="auto"/>
            <w:tcW w:w="1773" w:type="pct"/>
            <w:textDirection w:val="lrTb"/>
            <w:noWrap w:val="false"/>
          </w:tcPr>
          <w:p>
            <w:pPr>
              <w:pStyle w:val="1005"/>
              <w:ind w:left="57" w:right="57"/>
            </w:pPr>
            <w:r>
              <w:t xml:space="preserve">Руководитель (уполномоченное лицо). ФИО</w:t>
            </w:r>
            <w:r/>
          </w:p>
        </w:tc>
        <w:tc>
          <w:tcPr>
            <w:shd w:val="clear" w:fill="auto" w:color="auto"/>
            <w:tcW w:w="3227" w:type="pct"/>
            <w:textDirection w:val="lrTb"/>
            <w:noWrap w:val="false"/>
          </w:tcPr>
          <w:p>
            <w:pPr>
              <w:pStyle w:val="1005"/>
              <w:ind w:left="57" w:right="57"/>
            </w:pPr>
            <w:r>
              <w:t xml:space="preserve">ФО: Выбор значения из справочника «Список сотрудников». </w:t>
            </w:r>
            <w:r/>
          </w:p>
          <w:p>
            <w:pPr>
              <w:pStyle w:val="1005"/>
              <w:ind w:left="57" w:right="57"/>
            </w:pPr>
            <w:r>
              <w:t xml:space="preserve">Заполнение поля вручную.</w:t>
            </w:r>
            <w:r/>
          </w:p>
        </w:tc>
      </w:tr>
      <w:tr>
        <w:trPr/>
        <w:tc>
          <w:tcPr>
            <w:gridSpan w:val="2"/>
            <w:shd w:val="clear" w:fill="auto" w:color="auto"/>
            <w:tcW w:w="1773" w:type="pct"/>
            <w:textDirection w:val="lrTb"/>
            <w:noWrap w:val="false"/>
          </w:tcPr>
          <w:p>
            <w:pPr>
              <w:pStyle w:val="1005"/>
              <w:ind w:left="57" w:right="57"/>
            </w:pPr>
            <w:r>
              <w:t xml:space="preserve">Главный бухгалтер (уполномоченное лицо). Должность</w:t>
            </w:r>
            <w:r/>
          </w:p>
        </w:tc>
        <w:tc>
          <w:tcPr>
            <w:shd w:val="clear" w:fill="auto" w:color="auto"/>
            <w:tcW w:w="3227" w:type="pct"/>
            <w:textDirection w:val="lrTb"/>
            <w:noWrap w:val="false"/>
          </w:tcPr>
          <w:p>
            <w:pPr>
              <w:pStyle w:val="1005"/>
              <w:ind w:left="57" w:right="57"/>
            </w:pPr>
            <w:r>
              <w:t xml:space="preserve">ФО: Заполняется автоматически значением из справочника «Список сотрудников» на основании ФИО. </w:t>
            </w:r>
            <w:r/>
          </w:p>
          <w:p>
            <w:pPr>
              <w:pStyle w:val="1005"/>
              <w:ind w:left="57" w:right="57"/>
            </w:pPr>
            <w:r>
              <w:t xml:space="preserve">Заполнение поля вручную.</w:t>
            </w:r>
            <w:r/>
          </w:p>
        </w:tc>
      </w:tr>
      <w:tr>
        <w:trPr/>
        <w:tc>
          <w:tcPr>
            <w:gridSpan w:val="2"/>
            <w:shd w:val="clear" w:fill="auto" w:color="auto"/>
            <w:tcW w:w="1773" w:type="pct"/>
            <w:textDirection w:val="lrTb"/>
            <w:noWrap w:val="false"/>
          </w:tcPr>
          <w:p>
            <w:pPr>
              <w:pStyle w:val="1005"/>
              <w:ind w:left="57" w:right="57"/>
            </w:pPr>
            <w:r>
              <w:t xml:space="preserve">Главный бухгалтер (уполномоченное лицо). ФИО</w:t>
            </w:r>
            <w:r/>
          </w:p>
        </w:tc>
        <w:tc>
          <w:tcPr>
            <w:shd w:val="clear" w:fill="auto" w:color="auto"/>
            <w:tcW w:w="3227" w:type="pct"/>
            <w:textDirection w:val="lrTb"/>
            <w:noWrap w:val="false"/>
          </w:tcPr>
          <w:p>
            <w:pPr>
              <w:pStyle w:val="1005"/>
              <w:ind w:left="57" w:right="57"/>
            </w:pPr>
            <w:r>
              <w:t xml:space="preserve">ФО: Выбор значения из справочника «Список сотрудников». </w:t>
            </w:r>
            <w:r/>
          </w:p>
          <w:p>
            <w:pPr>
              <w:pStyle w:val="1005"/>
              <w:ind w:left="57" w:right="57"/>
            </w:pPr>
            <w:r>
              <w:t xml:space="preserve">Заполнение поля вручную.</w:t>
            </w:r>
            <w:r/>
          </w:p>
        </w:tc>
      </w:tr>
      <w:tr>
        <w:trPr/>
        <w:tc>
          <w:tcPr>
            <w:gridSpan w:val="2"/>
            <w:shd w:val="clear" w:fill="auto" w:color="auto"/>
            <w:tcW w:w="1773" w:type="pct"/>
            <w:textDirection w:val="lrTb"/>
            <w:noWrap w:val="false"/>
          </w:tcPr>
          <w:p>
            <w:pPr>
              <w:pStyle w:val="1005"/>
              <w:ind w:left="57" w:right="57"/>
            </w:pPr>
            <w:r>
              <w:t xml:space="preserve">Дата клиента</w:t>
            </w:r>
            <w:r/>
          </w:p>
        </w:tc>
        <w:tc>
          <w:tcPr>
            <w:shd w:val="clear" w:fill="auto" w:color="auto"/>
            <w:tcW w:w="3227" w:type="pct"/>
            <w:textDirection w:val="lrTb"/>
            <w:noWrap w:val="false"/>
          </w:tcPr>
          <w:p>
            <w:pPr>
              <w:pStyle w:val="1005"/>
              <w:ind w:left="57" w:right="57"/>
            </w:pPr>
            <w:r>
              <w:t xml:space="preserve">ФО: Выбор значения из календаря.</w:t>
            </w:r>
            <w:r/>
          </w:p>
          <w:p>
            <w:pPr>
              <w:pStyle w:val="1005"/>
              <w:ind w:left="57" w:right="57"/>
            </w:pPr>
            <w:r>
              <w:t xml:space="preserve">Заполнение поля вручную.</w:t>
            </w:r>
            <w:r/>
          </w:p>
        </w:tc>
      </w:tr>
      <w:tr>
        <w:trPr/>
        <w:tc>
          <w:tcPr>
            <w:gridSpan w:val="2"/>
            <w:shd w:val="clear" w:fill="auto" w:color="auto"/>
            <w:tcW w:w="1773" w:type="pct"/>
            <w:textDirection w:val="lrTb"/>
            <w:noWrap w:val="false"/>
          </w:tcPr>
          <w:p>
            <w:pPr>
              <w:pStyle w:val="1005"/>
              <w:ind w:left="57" w:right="57"/>
            </w:pPr>
            <w:r>
              <w:t xml:space="preserve">Руководитель ОрФК (уполномоченное лицо). Должность</w:t>
            </w:r>
            <w:r/>
          </w:p>
        </w:tc>
        <w:tc>
          <w:tcPr>
            <w:shd w:val="clear" w:fill="auto" w:color="auto"/>
            <w:tcW w:w="3227" w:type="pct"/>
            <w:textDirection w:val="lrTb"/>
            <w:noWrap w:val="false"/>
          </w:tcPr>
          <w:p>
            <w:pPr>
              <w:pStyle w:val="1005"/>
              <w:ind w:left="57" w:right="57"/>
            </w:pPr>
            <w:r>
              <w:t xml:space="preserve">Импорт значения из OEBS.</w:t>
            </w:r>
            <w:r/>
          </w:p>
        </w:tc>
      </w:tr>
      <w:tr>
        <w:trPr/>
        <w:tc>
          <w:tcPr>
            <w:gridSpan w:val="2"/>
            <w:shd w:val="clear" w:fill="auto" w:color="auto"/>
            <w:tcW w:w="1773" w:type="pct"/>
            <w:textDirection w:val="lrTb"/>
            <w:noWrap w:val="false"/>
          </w:tcPr>
          <w:p>
            <w:pPr>
              <w:pStyle w:val="1005"/>
              <w:ind w:left="57" w:right="57"/>
            </w:pPr>
            <w:r>
              <w:t xml:space="preserve">Руководитель ОрФК (уполномоченное лицо). ФИО</w:t>
            </w:r>
            <w:r/>
          </w:p>
        </w:tc>
        <w:tc>
          <w:tcPr>
            <w:shd w:val="clear" w:fill="auto" w:color="auto"/>
            <w:tcW w:w="3227" w:type="pct"/>
            <w:textDirection w:val="lrTb"/>
            <w:noWrap w:val="false"/>
          </w:tcPr>
          <w:p>
            <w:pPr>
              <w:pStyle w:val="1005"/>
              <w:ind w:left="57" w:right="57"/>
            </w:pPr>
            <w:r>
              <w:t xml:space="preserve">Импорт значения из OEBS.</w:t>
            </w:r>
            <w:r/>
          </w:p>
        </w:tc>
      </w:tr>
      <w:tr>
        <w:trPr/>
        <w:tc>
          <w:tcPr>
            <w:gridSpan w:val="2"/>
            <w:shd w:val="clear" w:fill="auto" w:color="auto"/>
            <w:tcW w:w="1773" w:type="pct"/>
            <w:textDirection w:val="lrTb"/>
            <w:noWrap w:val="false"/>
          </w:tcPr>
          <w:p>
            <w:pPr>
              <w:pStyle w:val="1005"/>
              <w:ind w:left="57" w:right="57"/>
            </w:pPr>
            <w:r>
              <w:t xml:space="preserve">Главный бухгалтер ОрФК (уполномоченное лицо). Должность</w:t>
            </w:r>
            <w:r/>
          </w:p>
        </w:tc>
        <w:tc>
          <w:tcPr>
            <w:shd w:val="clear" w:fill="auto" w:color="auto"/>
            <w:tcW w:w="3227" w:type="pct"/>
            <w:textDirection w:val="lrTb"/>
            <w:noWrap w:val="false"/>
          </w:tcPr>
          <w:p>
            <w:pPr>
              <w:pStyle w:val="1005"/>
              <w:ind w:left="57" w:right="57"/>
            </w:pPr>
            <w:r>
              <w:t xml:space="preserve">Импорт значения из OEBS.</w:t>
            </w:r>
            <w:r/>
          </w:p>
        </w:tc>
      </w:tr>
      <w:tr>
        <w:trPr/>
        <w:tc>
          <w:tcPr>
            <w:gridSpan w:val="2"/>
            <w:shd w:val="clear" w:fill="auto" w:color="auto"/>
            <w:tcW w:w="1773" w:type="pct"/>
            <w:textDirection w:val="lrTb"/>
            <w:noWrap w:val="false"/>
          </w:tcPr>
          <w:p>
            <w:pPr>
              <w:pStyle w:val="1005"/>
              <w:ind w:left="57" w:right="57"/>
            </w:pPr>
            <w:r>
              <w:t xml:space="preserve">Главный бухгалтер ОрФК (уполномоченное лицо). ФИО</w:t>
            </w:r>
            <w:r/>
          </w:p>
        </w:tc>
        <w:tc>
          <w:tcPr>
            <w:shd w:val="clear" w:fill="auto" w:color="auto"/>
            <w:tcW w:w="3227" w:type="pct"/>
            <w:textDirection w:val="lrTb"/>
            <w:noWrap w:val="false"/>
          </w:tcPr>
          <w:p>
            <w:pPr>
              <w:pStyle w:val="1005"/>
              <w:ind w:left="57" w:right="57"/>
            </w:pPr>
            <w:r>
              <w:t xml:space="preserve">Импорт значения из OEBS.</w:t>
            </w:r>
            <w:r/>
          </w:p>
        </w:tc>
      </w:tr>
      <w:tr>
        <w:trPr/>
        <w:tc>
          <w:tcPr>
            <w:gridSpan w:val="2"/>
            <w:shd w:val="clear" w:fill="auto" w:color="auto"/>
            <w:tcW w:w="1773" w:type="pct"/>
            <w:textDirection w:val="lrTb"/>
            <w:noWrap w:val="false"/>
          </w:tcPr>
          <w:p>
            <w:pPr>
              <w:pStyle w:val="1005"/>
              <w:ind w:left="57" w:right="57"/>
            </w:pPr>
            <w:r>
              <w:t xml:space="preserve">Дата</w:t>
            </w:r>
            <w:r/>
          </w:p>
        </w:tc>
        <w:tc>
          <w:tcPr>
            <w:shd w:val="clear" w:fill="auto" w:color="auto"/>
            <w:tcW w:w="3227" w:type="pct"/>
            <w:textDirection w:val="lrTb"/>
            <w:noWrap w:val="false"/>
          </w:tcPr>
          <w:p>
            <w:pPr>
              <w:pStyle w:val="1005"/>
              <w:ind w:left="57" w:right="57"/>
            </w:pPr>
            <w:r>
              <w:t xml:space="preserve">Импорт значения из OEBS.</w:t>
            </w:r>
            <w:r/>
          </w:p>
        </w:tc>
      </w:tr>
    </w:tbl>
    <w:p>
      <w:pPr>
        <w:pStyle w:val="971"/>
      </w:pPr>
      <w:r/>
      <w:bookmarkStart w:id="1261" w:name="_Toc225934598"/>
      <w:r/>
      <w:bookmarkStart w:id="1262" w:name="_Toc232827341"/>
      <w:r/>
      <w:bookmarkStart w:id="1263" w:name="_Toc247608877"/>
      <w:r/>
      <w:bookmarkStart w:id="1264" w:name="_Toc248648253"/>
      <w:r/>
      <w:bookmarkStart w:id="1265" w:name="_Ref342039419"/>
      <w:r/>
      <w:bookmarkStart w:id="1266" w:name="_Toc422496693"/>
      <w:r/>
      <w:bookmarkStart w:id="1267" w:name="_Toc451854548"/>
      <w:r/>
      <w:bookmarkStart w:id="1268" w:name="_Toc225934625"/>
      <w:r/>
      <w:bookmarkStart w:id="1269" w:name="_Toc232827390"/>
      <w:r/>
      <w:bookmarkStart w:id="1270" w:name="_Toc422496716"/>
      <w:r/>
      <w:bookmarkStart w:id="1271" w:name="_Toc88819133"/>
      <w:r/>
      <w:bookmarkEnd w:id="1241"/>
      <w:r/>
      <w:bookmarkEnd w:id="1242"/>
      <w:r>
        <w:t xml:space="preserve">Группа документов «Неисполненные»</w:t>
      </w:r>
      <w:bookmarkEnd w:id="1261"/>
      <w:r/>
      <w:bookmarkEnd w:id="1262"/>
      <w:r/>
      <w:bookmarkEnd w:id="1263"/>
      <w:r/>
      <w:bookmarkEnd w:id="1264"/>
      <w:r/>
      <w:bookmarkEnd w:id="1265"/>
      <w:r/>
      <w:bookmarkEnd w:id="1266"/>
      <w:r/>
      <w:bookmarkEnd w:id="1267"/>
      <w:r/>
      <w:bookmarkEnd w:id="1271"/>
      <w:r/>
      <w:r/>
    </w:p>
    <w:p>
      <w:pPr>
        <w:pStyle w:val="994"/>
      </w:pPr>
      <w:r>
        <w:t xml:space="preserve">В случае неуспешной обработки первичного ЭД на АРМ ФО или в учетной системе ОрФК автоматически формируется протокол, а первичный документ переводится в статус «888» (Отменен).</w:t>
      </w:r>
      <w:r/>
    </w:p>
    <w:p>
      <w:pPr>
        <w:pStyle w:val="972"/>
      </w:pPr>
      <w:r/>
      <w:bookmarkStart w:id="1272" w:name="_Toc225934599"/>
      <w:r/>
      <w:bookmarkStart w:id="1273" w:name="_Toc232827342"/>
      <w:r/>
      <w:bookmarkStart w:id="1274" w:name="_Toc247608878"/>
      <w:r/>
      <w:bookmarkStart w:id="1275" w:name="_Ref342037349"/>
      <w:r/>
      <w:bookmarkStart w:id="1276" w:name="_Toc409434425"/>
      <w:r/>
      <w:bookmarkStart w:id="1277" w:name="_Toc422329743"/>
      <w:r/>
      <w:bookmarkStart w:id="1278" w:name="_Toc448138503"/>
      <w:r/>
      <w:bookmarkStart w:id="1279" w:name="_Toc57812109"/>
      <w:r/>
      <w:bookmarkStart w:id="1280" w:name="_Ref58710701"/>
      <w:r/>
      <w:bookmarkStart w:id="1281" w:name="_Toc88819134"/>
      <w:r>
        <w:t xml:space="preserve">Входящее уведомление</w:t>
      </w:r>
      <w:r>
        <w:t xml:space="preserve"> </w:t>
      </w:r>
      <w:r>
        <w:t xml:space="preserve">(</w:t>
      </w:r>
      <w:r>
        <w:t xml:space="preserve">протокол</w:t>
      </w:r>
      <w:bookmarkEnd w:id="1272"/>
      <w:r/>
      <w:bookmarkEnd w:id="1273"/>
      <w:r/>
      <w:bookmarkEnd w:id="1274"/>
      <w:r/>
      <w:bookmarkEnd w:id="1275"/>
      <w:r/>
      <w:bookmarkEnd w:id="1276"/>
      <w:r/>
      <w:bookmarkEnd w:id="1277"/>
      <w:r/>
      <w:bookmarkEnd w:id="1278"/>
      <w:r/>
      <w:bookmarkEnd w:id="1279"/>
      <w:r>
        <w:t xml:space="preserve">)</w:t>
      </w:r>
      <w:bookmarkEnd w:id="1280"/>
      <w:r/>
      <w:bookmarkEnd w:id="1281"/>
      <w:r/>
      <w:r/>
    </w:p>
    <w:p>
      <w:pPr>
        <w:pStyle w:val="994"/>
      </w:pPr>
      <w:r>
        <w:t xml:space="preserve">Документ «</w:t>
      </w:r>
      <w:r>
        <w:t xml:space="preserve">Уведомление (п</w:t>
      </w:r>
      <w:r>
        <w:t xml:space="preserve">ротокол</w:t>
      </w:r>
      <w:r>
        <w:t xml:space="preserve">)</w:t>
      </w:r>
      <w:r>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t xml:space="preserve">н</w:t>
      </w:r>
      <w:r>
        <w:t xml:space="preserve">троля по месту обслуживания.</w:t>
      </w:r>
      <w:r/>
    </w:p>
    <w:p>
      <w:pPr>
        <w:pStyle w:val="994"/>
      </w:pPr>
      <w:r>
        <w:t xml:space="preserve">Возможны 4 варианта формирования «Протокола»:</w:t>
      </w:r>
      <w:r/>
    </w:p>
    <w:p>
      <w:pPr>
        <w:pStyle w:val="1156"/>
        <w:numPr>
          <w:ilvl w:val="0"/>
          <w:numId w:val="55"/>
        </w:numPr>
      </w:pPr>
      <w:r>
        <w:t xml:space="preserve">Создание протокола в OEBS в случае отказа документа учетной подсистемой АСФК. При этом происходит рассылка протокола из OEBS в АРМ и во все тра</w:t>
      </w:r>
      <w:r>
        <w:t xml:space="preserve">нзитные узлы.</w:t>
      </w:r>
      <w:r/>
    </w:p>
    <w:p>
      <w:pPr>
        <w:pStyle w:val="1156"/>
      </w:pPr>
      <w:r>
        <w:t xml:space="preserve">Создание протокола ручным способом в ОФК в случае отказа документа, предо</w:t>
      </w:r>
      <w:r>
        <w:t xml:space="preserve">с</w:t>
      </w:r>
      <w:r>
        <w:t xml:space="preserve">тавленного на бумажном носителе и не подлежащего регистрации в АСФК. При этом происходит пересылка протокола из ОФК в OEBS.</w:t>
      </w:r>
      <w:r/>
    </w:p>
    <w:p>
      <w:pPr>
        <w:pStyle w:val="1156"/>
      </w:pPr>
      <w:r>
        <w:t xml:space="preserve">Создание протокола автоматическим способом в ОФК в случае отказа документа, принятого от АРМ ДУБП. При этом происходит пересылка протокола из ОФК в </w:t>
      </w:r>
      <w:r>
        <w:t xml:space="preserve">АРМ ДУБП (в качестве адреса получателя протокола указывается адрес отправ</w:t>
      </w:r>
      <w:r>
        <w:t xml:space="preserve">и</w:t>
      </w:r>
      <w:r>
        <w:t xml:space="preserve">теля).</w:t>
      </w:r>
      <w:r/>
    </w:p>
    <w:p>
      <w:pPr>
        <w:pStyle w:val="1156"/>
      </w:pPr>
      <w:r>
        <w:t xml:space="preserve">Создание протокола при отказе или регистрации заявки РУБП или Сведений об о</w:t>
      </w:r>
      <w:r>
        <w:t xml:space="preserve">р</w:t>
      </w:r>
      <w:r>
        <w:t xml:space="preserve">ганизации. При этом производится пересылка протокола клиенту на портале, кот</w:t>
      </w:r>
      <w:r>
        <w:t xml:space="preserve">о</w:t>
      </w:r>
      <w:r>
        <w:t xml:space="preserve">рый сформировал исходный документ.</w:t>
      </w:r>
      <w:r/>
    </w:p>
    <w:p>
      <w:pPr>
        <w:pStyle w:val="994"/>
      </w:pPr>
      <w:r>
        <w:t xml:space="preserve">Для </w:t>
      </w:r>
      <w:r>
        <w:t xml:space="preserve">работы с документами</w:t>
      </w:r>
      <w:r>
        <w:t xml:space="preserve"> </w:t>
      </w:r>
      <w:r>
        <w:t xml:space="preserve">«</w:t>
      </w:r>
      <w:r>
        <w:t xml:space="preserve">Входящ</w:t>
      </w:r>
      <w:r>
        <w:t xml:space="preserve">ее уведомление</w:t>
      </w:r>
      <w:r>
        <w:t xml:space="preserve"> </w:t>
      </w:r>
      <w:r>
        <w:t xml:space="preserve">(</w:t>
      </w:r>
      <w:r>
        <w:t xml:space="preserve">протокол</w:t>
      </w:r>
      <w:r>
        <w:t xml:space="preserve">)</w:t>
      </w:r>
      <w:r>
        <w:t xml:space="preserve">»</w:t>
      </w:r>
      <w:r>
        <w:t xml:space="preserve"> </w:t>
      </w:r>
      <w:r>
        <w:t xml:space="preserve">следует перейти в пункт меню «Документы – Н</w:t>
      </w:r>
      <w:r>
        <w:t xml:space="preserve">е</w:t>
      </w:r>
      <w:r>
        <w:t xml:space="preserve">исполненные – </w:t>
      </w:r>
      <w:r>
        <w:t xml:space="preserve">Уведомления (</w:t>
      </w:r>
      <w:r>
        <w:t xml:space="preserve">Протоколы</w:t>
      </w:r>
      <w:r>
        <w:t xml:space="preserve">)</w:t>
      </w:r>
      <w:r>
        <w:t xml:space="preserve"> – </w:t>
      </w:r>
      <w:r>
        <w:t xml:space="preserve">Входящ</w:t>
      </w:r>
      <w:r>
        <w:t xml:space="preserve">ее уведомление</w:t>
      </w:r>
      <w:r>
        <w:t xml:space="preserve"> </w:t>
      </w:r>
      <w:r>
        <w:t xml:space="preserve">(</w:t>
      </w:r>
      <w:r>
        <w:t xml:space="preserve">протокол</w:t>
      </w:r>
      <w:r>
        <w:t xml:space="preserve">)</w:t>
      </w:r>
      <w:r>
        <w:t xml:space="preserve">». Откроется ЭФ списка документов, пре</w:t>
      </w:r>
      <w:r>
        <w:t xml:space="preserve">д</w:t>
      </w:r>
      <w:r>
        <w:t xml:space="preserve">ставленная на рисунке </w:t>
      </w:r>
      <w:r>
        <w:fldChar w:fldCharType="begin"/>
      </w:r>
      <w:r>
        <w:instrText xml:space="preserve"> REF _Ref225075982 \h  \* MERGEFORMAT </w:instrText>
      </w:r>
      <w:r>
        <w:fldChar w:fldCharType="separate"/>
      </w:r>
      <w:r>
        <w:t xml:space="preserve">168</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2286000"/>
                <wp:effectExtent l="0" t="0" r="0" b="0"/>
                <wp:docPr id="25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34"/>
                        <a:stretch/>
                      </pic:blipFill>
                      <pic:spPr bwMode="auto">
                        <a:xfrm>
                          <a:off x="0" y="0"/>
                          <a:ext cx="6118860" cy="22860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8" o:spid="_x0000_s258" type="#_x0000_t75" style="mso-wrap-distance-left:0.0pt;mso-wrap-distance-top:0.0pt;mso-wrap-distance-right:0.0pt;mso-wrap-distance-bottom:0.0pt;width:481.8pt;height:180.0pt;" stroked="f">
                <v:path textboxrect="0,0,0,0"/>
                <v:imagedata r:id="rId234" o:title=""/>
              </v:shape>
            </w:pict>
          </mc:Fallback>
        </mc:AlternateContent>
      </w:r>
      <w:r/>
    </w:p>
    <w:p>
      <w:pPr>
        <w:pStyle w:val="983"/>
      </w:pPr>
      <w:r>
        <w:fldChar w:fldCharType="begin"/>
      </w:r>
      <w:r>
        <w:instrText xml:space="preserve"> SEQ Рисунок \* ARABIC </w:instrText>
      </w:r>
      <w:r>
        <w:fldChar w:fldCharType="separate"/>
      </w:r>
      <w:bookmarkStart w:id="1282" w:name="_Ref225075982"/>
      <w:r/>
      <w:bookmarkStart w:id="1283" w:name="_Toc88819553"/>
      <w:r>
        <w:t xml:space="preserve">168</w:t>
      </w:r>
      <w:bookmarkEnd w:id="1282"/>
      <w:r>
        <w:fldChar w:fldCharType="end"/>
      </w:r>
      <w:r>
        <w:t xml:space="preserve">. ЭФ списка документов «</w:t>
      </w:r>
      <w:r>
        <w:t xml:space="preserve">Входящ</w:t>
      </w:r>
      <w:r>
        <w:t xml:space="preserve">ее уведомление</w:t>
      </w:r>
      <w:r>
        <w:t xml:space="preserve"> </w:t>
      </w:r>
      <w:r>
        <w:t xml:space="preserve">(</w:t>
      </w:r>
      <w:r>
        <w:t xml:space="preserve">протокол</w:t>
      </w:r>
      <w:r>
        <w:t xml:space="preserve">)</w:t>
      </w:r>
      <w:r>
        <w:t xml:space="preserve">»</w:t>
      </w:r>
      <w:bookmarkEnd w:id="1283"/>
      <w:r/>
      <w:r/>
    </w:p>
    <w:p>
      <w:pPr>
        <w:pStyle w:val="973"/>
      </w:pPr>
      <w:r>
        <w:t xml:space="preserve">Доступные операции</w:t>
      </w:r>
      <w:r/>
    </w:p>
    <w:p>
      <w:pPr>
        <w:pStyle w:val="994"/>
      </w:pPr>
      <w:r>
        <w:t xml:space="preserve">На АРМ ФО доступны следующие операции над документом:</w:t>
      </w:r>
      <w:r/>
    </w:p>
    <w:p>
      <w:pPr>
        <w:pStyle w:val="985"/>
      </w:pPr>
      <w:r>
        <w:t xml:space="preserve">просмотр;</w:t>
      </w:r>
      <w:r/>
    </w:p>
    <w:p>
      <w:pPr>
        <w:pStyle w:val="985"/>
      </w:pPr>
      <w:r>
        <w:t xml:space="preserve">проверка </w:t>
      </w:r>
      <w:r>
        <w:t xml:space="preserve">ЭП</w:t>
      </w:r>
      <w:r>
        <w:t xml:space="preserve">;</w:t>
      </w:r>
      <w:r/>
    </w:p>
    <w:p>
      <w:pPr>
        <w:pStyle w:val="985"/>
      </w:pPr>
      <w:r>
        <w:t xml:space="preserve">экспорт во внешнюю систему;</w:t>
      </w:r>
      <w:r/>
    </w:p>
    <w:p>
      <w:pPr>
        <w:pStyle w:val="985"/>
      </w:pPr>
      <w:r>
        <w:t xml:space="preserve">печать.</w:t>
      </w:r>
      <w:r/>
    </w:p>
    <w:p>
      <w:pPr>
        <w:pStyle w:val="973"/>
      </w:pPr>
      <w:r>
        <w:t xml:space="preserve">Экранная форма документа</w:t>
      </w:r>
      <w:r/>
    </w:p>
    <w:p>
      <w:pPr>
        <w:pStyle w:val="994"/>
      </w:pPr>
      <w:r>
        <w:t xml:space="preserve">ЭФ документа «</w:t>
      </w:r>
      <w:r>
        <w:t xml:space="preserve">Входящ</w:t>
      </w:r>
      <w:r>
        <w:t xml:space="preserve">ее уведомление</w:t>
      </w:r>
      <w:r>
        <w:t xml:space="preserve"> </w:t>
      </w:r>
      <w:r>
        <w:t xml:space="preserve">(</w:t>
      </w:r>
      <w:r>
        <w:t xml:space="preserve">протокол</w:t>
      </w:r>
      <w:r>
        <w:t xml:space="preserve">)</w:t>
      </w:r>
      <w:r>
        <w:t xml:space="preserve">» представлена на рисунке </w:t>
      </w:r>
      <w:r>
        <w:fldChar w:fldCharType="begin"/>
      </w:r>
      <w:r>
        <w:instrText xml:space="preserve"> REF _Ref225076009 \h  \* MERGEFORMAT </w:instrText>
      </w:r>
      <w:r>
        <w:fldChar w:fldCharType="separate"/>
      </w:r>
      <w:r>
        <w:t xml:space="preserve">169</w:t>
      </w:r>
      <w:r>
        <w:fldChar w:fldCharType="end"/>
      </w:r>
      <w:r>
        <w:t xml:space="preserve">. Форма содержит следующие закладки:</w:t>
      </w:r>
      <w:r/>
    </w:p>
    <w:p>
      <w:pPr>
        <w:pStyle w:val="985"/>
      </w:pPr>
      <w:r>
        <w:t xml:space="preserve">«Основные»;</w:t>
      </w:r>
      <w:r/>
    </w:p>
    <w:p>
      <w:pPr>
        <w:pStyle w:val="985"/>
      </w:pPr>
      <w:r>
        <w:t xml:space="preserve">«Системные атрибуты».</w:t>
      </w:r>
      <w:r/>
    </w:p>
    <w:p>
      <w:pPr>
        <w:pStyle w:val="982"/>
      </w:pPr>
      <w:r>
        <mc:AlternateContent>
          <mc:Choice Requires="wpg">
            <w:drawing>
              <wp:inline xmlns:wp="http://schemas.openxmlformats.org/drawingml/2006/wordprocessingDrawing" distT="0" distB="0" distL="0" distR="0">
                <wp:extent cx="6042660" cy="6042660"/>
                <wp:effectExtent l="0" t="0" r="0" b="0"/>
                <wp:docPr id="26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35"/>
                        <a:stretch/>
                      </pic:blipFill>
                      <pic:spPr bwMode="auto">
                        <a:xfrm>
                          <a:off x="0" y="0"/>
                          <a:ext cx="6042660" cy="60426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9" o:spid="_x0000_s259" type="#_x0000_t75" style="mso-wrap-distance-left:0.0pt;mso-wrap-distance-top:0.0pt;mso-wrap-distance-right:0.0pt;mso-wrap-distance-bottom:0.0pt;width:475.8pt;height:475.8pt;" stroked="f">
                <v:path textboxrect="0,0,0,0"/>
                <v:imagedata r:id="rId235" o:title=""/>
              </v:shape>
            </w:pict>
          </mc:Fallback>
        </mc:AlternateContent>
      </w:r>
      <w:r/>
    </w:p>
    <w:p>
      <w:pPr>
        <w:pStyle w:val="983"/>
      </w:pPr>
      <w:r>
        <w:fldChar w:fldCharType="begin"/>
      </w:r>
      <w:r>
        <w:instrText xml:space="preserve"> SEQ Рисунок \* ARABIC </w:instrText>
      </w:r>
      <w:r>
        <w:fldChar w:fldCharType="separate"/>
      </w:r>
      <w:bookmarkStart w:id="1284" w:name="_Ref225076009"/>
      <w:r/>
      <w:bookmarkStart w:id="1285" w:name="_Toc88819554"/>
      <w:r>
        <w:t xml:space="preserve">169</w:t>
      </w:r>
      <w:bookmarkEnd w:id="1284"/>
      <w:r>
        <w:fldChar w:fldCharType="end"/>
      </w:r>
      <w:r>
        <w:t xml:space="preserve">. ЭФ документа «</w:t>
      </w:r>
      <w:r>
        <w:t xml:space="preserve">Уведомление (протокол)</w:t>
      </w:r>
      <w:r>
        <w:t xml:space="preserve">», закладки «</w:t>
      </w:r>
      <w:r>
        <w:t xml:space="preserve">Основные»</w:t>
      </w:r>
      <w:bookmarkEnd w:id="1285"/>
      <w:r/>
      <w:r/>
    </w:p>
    <w:p>
      <w:pPr>
        <w:pStyle w:val="994"/>
      </w:pPr>
      <w:r>
        <w:t xml:space="preserve">Перечень полей</w:t>
      </w:r>
      <w:r>
        <w:t xml:space="preserve"> </w:t>
      </w:r>
      <w:r>
        <w:t xml:space="preserve">документа «</w:t>
      </w:r>
      <w:r>
        <w:t xml:space="preserve">Уведомление (протокол)</w:t>
      </w:r>
      <w:r>
        <w:t xml:space="preserve">», закладки «Основные»</w:t>
      </w:r>
      <w:r>
        <w:t xml:space="preserve"> приведен в таблице </w:t>
      </w:r>
      <w:r>
        <w:fldChar w:fldCharType="begin"/>
      </w:r>
      <w:r>
        <w:instrText xml:space="preserve"> REF _Ref317610490 \h  \* MERGEFORMAT </w:instrText>
      </w:r>
      <w:r>
        <w:fldChar w:fldCharType="separate"/>
      </w:r>
      <w:r>
        <w:t xml:space="preserve">93</w:t>
      </w:r>
      <w:r>
        <w:fldChar w:fldCharType="end"/>
      </w:r>
      <w:r>
        <w:t xml:space="preserve">.</w:t>
      </w:r>
      <w:r/>
    </w:p>
    <w:p>
      <w:pPr>
        <w:pStyle w:val="993"/>
      </w:pPr>
      <w:r>
        <w:fldChar w:fldCharType="begin"/>
      </w:r>
      <w:r>
        <w:instrText xml:space="preserve"> SEQ Таблица \* ARABIC </w:instrText>
      </w:r>
      <w:r>
        <w:fldChar w:fldCharType="separate"/>
      </w:r>
      <w:bookmarkStart w:id="1286" w:name="_Ref317610490"/>
      <w:r/>
      <w:bookmarkStart w:id="1287" w:name="_Toc88819279"/>
      <w:r>
        <w:t xml:space="preserve">93</w:t>
      </w:r>
      <w:bookmarkEnd w:id="1286"/>
      <w:r>
        <w:fldChar w:fldCharType="end"/>
      </w:r>
      <w:r>
        <w:t xml:space="preserve">. Описание полей документа «</w:t>
      </w:r>
      <w:r>
        <w:t xml:space="preserve">Уведомление (протокол)</w:t>
      </w:r>
      <w:r>
        <w:t xml:space="preserve">», закладки «</w:t>
      </w:r>
      <w:r>
        <w:t xml:space="preserve">Основные»</w:t>
      </w:r>
      <w:bookmarkEnd w:id="1287"/>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621"/>
        <w:gridCol w:w="7131"/>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34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656" w:type="pct"/>
            <w:vAlign w:val="center"/>
            <w:textDirection w:val="lrTb"/>
            <w:noWrap w:val="false"/>
          </w:tcPr>
          <w:p>
            <w:pPr>
              <w:pStyle w:val="1006"/>
            </w:pPr>
            <w:r>
              <w:t xml:space="preserve">Описание</w:t>
            </w:r>
            <w:r>
              <w:t xml:space="preserve"> поля</w:t>
            </w:r>
            <w:r/>
          </w:p>
        </w:tc>
      </w:tr>
      <w:tr>
        <w:trPr/>
        <w:tc>
          <w:tcPr>
            <w:shd w:val="clear" w:fill="auto" w:color="auto"/>
            <w:tcW w:w="1344" w:type="pct"/>
            <w:textDirection w:val="lrTb"/>
            <w:noWrap w:val="false"/>
          </w:tcPr>
          <w:p>
            <w:pPr>
              <w:pStyle w:val="1005"/>
              <w:ind w:left="57" w:right="57"/>
            </w:pPr>
            <w:r>
              <w:t xml:space="preserve">Протокол №</w:t>
            </w:r>
            <w:r/>
          </w:p>
        </w:tc>
        <w:tc>
          <w:tcPr>
            <w:shd w:val="clear" w:fill="auto" w:color="auto"/>
            <w:tcW w:w="3656" w:type="pct"/>
            <w:textDirection w:val="lrTb"/>
            <w:noWrap w:val="false"/>
          </w:tcPr>
          <w:p>
            <w:pPr>
              <w:pStyle w:val="1005"/>
              <w:ind w:left="57" w:right="57"/>
            </w:pPr>
            <w:r>
              <w:t xml:space="preserve">Уникальный номер протокола. </w:t>
            </w:r>
            <w:r/>
          </w:p>
          <w:p>
            <w:pPr>
              <w:pStyle w:val="1005"/>
              <w:ind w:left="57" w:right="57"/>
            </w:pPr>
            <w:r>
              <w:t xml:space="preserve">Сформирован по шаблону «Тип документа</w:t>
            </w:r>
            <w:r>
              <w:t xml:space="preserve"> </w:t>
            </w:r>
            <w:r>
              <w:t xml:space="preserve">–</w:t>
            </w:r>
            <w:r>
              <w:t xml:space="preserve"> </w:t>
            </w:r>
            <w:r>
              <w:t xml:space="preserve">КОФК отправителя</w:t>
            </w:r>
            <w:r>
              <w:t xml:space="preserve"> </w:t>
            </w:r>
            <w:r>
              <w:t xml:space="preserve">–</w:t>
            </w:r>
            <w:r>
              <w:t xml:space="preserve"> </w:t>
            </w:r>
            <w:r>
              <w:t xml:space="preserve">П</w:t>
            </w:r>
            <w:r>
              <w:t xml:space="preserve">о</w:t>
            </w:r>
            <w:r>
              <w:t xml:space="preserve">рядковый номер» (не более 8 символов).</w:t>
            </w:r>
            <w:r/>
          </w:p>
        </w:tc>
      </w:tr>
      <w:tr>
        <w:trPr/>
        <w:tc>
          <w:tcPr>
            <w:shd w:val="clear" w:fill="auto" w:color="auto"/>
            <w:tcW w:w="1344" w:type="pct"/>
            <w:textDirection w:val="lrTb"/>
            <w:noWrap w:val="false"/>
          </w:tcPr>
          <w:p>
            <w:pPr>
              <w:pStyle w:val="1005"/>
              <w:ind w:left="57" w:right="57"/>
            </w:pPr>
            <w:r>
              <w:t xml:space="preserve">Дата</w:t>
            </w:r>
            <w:r/>
          </w:p>
        </w:tc>
        <w:tc>
          <w:tcPr>
            <w:shd w:val="clear" w:fill="auto" w:color="auto"/>
            <w:tcW w:w="3656" w:type="pct"/>
            <w:textDirection w:val="lrTb"/>
            <w:noWrap w:val="false"/>
          </w:tcPr>
          <w:p>
            <w:pPr>
              <w:pStyle w:val="1005"/>
              <w:ind w:left="57" w:right="57"/>
            </w:pPr>
            <w:r>
              <w:t xml:space="preserve">Дата создания протокола.</w:t>
            </w:r>
            <w:r/>
          </w:p>
        </w:tc>
      </w:tr>
      <w:tr>
        <w:trPr/>
        <w:tc>
          <w:tcPr>
            <w:shd w:val="clear" w:fill="auto" w:color="auto"/>
            <w:tcW w:w="1344" w:type="pct"/>
            <w:textDirection w:val="lrTb"/>
            <w:noWrap w:val="false"/>
          </w:tcPr>
          <w:p>
            <w:pPr>
              <w:pStyle w:val="1005"/>
              <w:ind w:left="57" w:right="57"/>
            </w:pPr>
            <w:r>
              <w:t xml:space="preserve">Откуда</w:t>
            </w:r>
            <w:r/>
          </w:p>
        </w:tc>
        <w:tc>
          <w:tcPr>
            <w:shd w:val="clear" w:fill="auto" w:color="auto"/>
            <w:tcW w:w="3656" w:type="pct"/>
            <w:textDirection w:val="lrTb"/>
            <w:noWrap w:val="false"/>
          </w:tcPr>
          <w:p>
            <w:pPr>
              <w:pStyle w:val="1005"/>
              <w:ind w:left="57" w:right="57"/>
            </w:pPr>
            <w:r>
              <w:t xml:space="preserve">Наименование ОрФК, передавшего протокол.</w:t>
            </w:r>
            <w:r/>
          </w:p>
        </w:tc>
      </w:tr>
      <w:tr>
        <w:trPr/>
        <w:tc>
          <w:tcPr>
            <w:shd w:val="clear" w:fill="auto" w:color="auto"/>
            <w:tcW w:w="1344" w:type="pct"/>
            <w:textDirection w:val="lrTb"/>
            <w:noWrap w:val="false"/>
          </w:tcPr>
          <w:p>
            <w:pPr>
              <w:pStyle w:val="1005"/>
              <w:ind w:left="57" w:right="57"/>
            </w:pPr>
            <w:r>
              <w:t xml:space="preserve">По КОФК</w:t>
            </w:r>
            <w:r/>
          </w:p>
        </w:tc>
        <w:tc>
          <w:tcPr>
            <w:shd w:val="clear" w:fill="auto" w:color="auto"/>
            <w:tcW w:w="3656" w:type="pct"/>
            <w:textDirection w:val="lrTb"/>
            <w:noWrap w:val="false"/>
          </w:tcPr>
          <w:p>
            <w:pPr>
              <w:pStyle w:val="1005"/>
              <w:ind w:left="57" w:right="57"/>
            </w:pPr>
            <w:r>
              <w:t xml:space="preserve">Код по КОФК ОрФК, передавшего протокол.</w:t>
            </w:r>
            <w:r/>
          </w:p>
        </w:tc>
      </w:tr>
      <w:tr>
        <w:trPr/>
        <w:tc>
          <w:tcPr>
            <w:shd w:val="clear" w:fill="auto" w:color="auto"/>
            <w:tcW w:w="1344" w:type="pct"/>
            <w:textDirection w:val="lrTb"/>
            <w:noWrap w:val="false"/>
          </w:tcPr>
          <w:p>
            <w:pPr>
              <w:pStyle w:val="1005"/>
              <w:ind w:left="57" w:right="57"/>
            </w:pPr>
            <w:r>
              <w:t xml:space="preserve">Куда</w:t>
            </w:r>
            <w:r/>
          </w:p>
        </w:tc>
        <w:tc>
          <w:tcPr>
            <w:shd w:val="clear" w:fill="auto" w:color="auto"/>
            <w:tcW w:w="3656" w:type="pct"/>
            <w:textDirection w:val="lrTb"/>
            <w:noWrap w:val="false"/>
          </w:tcPr>
          <w:p>
            <w:pPr>
              <w:pStyle w:val="1005"/>
              <w:ind w:left="57" w:right="57"/>
            </w:pPr>
            <w:r>
              <w:t xml:space="preserve">Наименование ОрФК, которому направлен протокол.</w:t>
            </w:r>
            <w:r/>
          </w:p>
        </w:tc>
      </w:tr>
      <w:tr>
        <w:trPr/>
        <w:tc>
          <w:tcPr>
            <w:shd w:val="clear" w:fill="auto" w:color="auto"/>
            <w:tcW w:w="1344" w:type="pct"/>
            <w:textDirection w:val="lrTb"/>
            <w:noWrap w:val="false"/>
          </w:tcPr>
          <w:p>
            <w:pPr>
              <w:pStyle w:val="1005"/>
              <w:ind w:left="57" w:right="57"/>
            </w:pPr>
            <w:r>
              <w:t xml:space="preserve">По КОФК</w:t>
            </w:r>
            <w:r/>
          </w:p>
        </w:tc>
        <w:tc>
          <w:tcPr>
            <w:shd w:val="clear" w:fill="auto" w:color="auto"/>
            <w:tcW w:w="3656" w:type="pct"/>
            <w:textDirection w:val="lrTb"/>
            <w:noWrap w:val="false"/>
          </w:tcPr>
          <w:p>
            <w:pPr>
              <w:pStyle w:val="1005"/>
              <w:ind w:left="57" w:right="57"/>
            </w:pPr>
            <w:r>
              <w:t xml:space="preserve">Код по КОФК ОрФК, которому направлен протокол.</w:t>
            </w:r>
            <w:r/>
          </w:p>
        </w:tc>
      </w:tr>
      <w:tr>
        <w:trPr/>
        <w:tc>
          <w:tcPr>
            <w:shd w:val="clear" w:fill="auto" w:color="auto"/>
            <w:tcW w:w="1344" w:type="pct"/>
            <w:textDirection w:val="lrTb"/>
            <w:noWrap w:val="false"/>
          </w:tcPr>
          <w:p>
            <w:pPr>
              <w:pStyle w:val="1005"/>
              <w:ind w:left="57" w:right="57"/>
            </w:pPr>
            <w:r>
              <w:t xml:space="preserve">Документ</w:t>
            </w:r>
            <w:r/>
          </w:p>
        </w:tc>
        <w:tc>
          <w:tcPr>
            <w:shd w:val="clear" w:fill="auto" w:color="auto"/>
            <w:tcW w:w="3656" w:type="pct"/>
            <w:textDirection w:val="lrTb"/>
            <w:noWrap w:val="false"/>
          </w:tcPr>
          <w:p>
            <w:pPr>
              <w:pStyle w:val="1005"/>
              <w:ind w:left="57" w:right="57"/>
            </w:pPr>
            <w:r>
              <w:t xml:space="preserve">Наименование документа, по которому сформирован протокол.</w:t>
            </w:r>
            <w:r/>
          </w:p>
        </w:tc>
      </w:tr>
      <w:tr>
        <w:trPr/>
        <w:tc>
          <w:tcPr>
            <w:shd w:val="clear" w:fill="auto" w:color="auto"/>
            <w:tcW w:w="1344" w:type="pct"/>
            <w:textDirection w:val="lrTb"/>
            <w:noWrap w:val="false"/>
          </w:tcPr>
          <w:p>
            <w:pPr>
              <w:pStyle w:val="1005"/>
              <w:ind w:left="57" w:right="57"/>
            </w:pPr>
            <w:r>
              <w:t xml:space="preserve">Номер документа</w:t>
            </w:r>
            <w:r/>
          </w:p>
        </w:tc>
        <w:tc>
          <w:tcPr>
            <w:shd w:val="clear" w:fill="auto" w:color="auto"/>
            <w:tcW w:w="3656" w:type="pct"/>
            <w:textDirection w:val="lrTb"/>
            <w:noWrap w:val="false"/>
          </w:tcPr>
          <w:p>
            <w:pPr>
              <w:pStyle w:val="1005"/>
              <w:ind w:left="57" w:right="57"/>
            </w:pPr>
            <w:r>
              <w:t xml:space="preserve">Номер документа, по которому сформирован протокол.</w:t>
            </w:r>
            <w:r/>
          </w:p>
        </w:tc>
      </w:tr>
      <w:tr>
        <w:trPr/>
        <w:tc>
          <w:tcPr>
            <w:shd w:val="clear" w:fill="auto" w:color="auto"/>
            <w:tcW w:w="1344" w:type="pct"/>
            <w:textDirection w:val="lrTb"/>
            <w:noWrap w:val="false"/>
          </w:tcPr>
          <w:p>
            <w:pPr>
              <w:pStyle w:val="1005"/>
              <w:ind w:left="57" w:right="57"/>
            </w:pPr>
            <w:r>
              <w:t xml:space="preserve">Дата документа</w:t>
            </w:r>
            <w:r/>
          </w:p>
        </w:tc>
        <w:tc>
          <w:tcPr>
            <w:shd w:val="clear" w:fill="auto" w:color="auto"/>
            <w:tcW w:w="3656" w:type="pct"/>
            <w:textDirection w:val="lrTb"/>
            <w:noWrap w:val="false"/>
          </w:tcPr>
          <w:p>
            <w:pPr>
              <w:pStyle w:val="1005"/>
              <w:ind w:left="57" w:right="57"/>
            </w:pPr>
            <w:r>
              <w:t xml:space="preserve">Дата документа, по которому сформирован протокол.</w:t>
            </w:r>
            <w:r/>
          </w:p>
        </w:tc>
      </w:tr>
      <w:tr>
        <w:trPr/>
        <w:tc>
          <w:tcPr>
            <w:shd w:val="clear" w:fill="auto" w:color="auto"/>
            <w:tcW w:w="1344" w:type="pct"/>
            <w:textDirection w:val="lrTb"/>
            <w:noWrap w:val="false"/>
          </w:tcPr>
          <w:p>
            <w:pPr>
              <w:pStyle w:val="1005"/>
              <w:ind w:left="57" w:right="57"/>
            </w:pPr>
            <w:r>
              <w:t xml:space="preserve">Клиент</w:t>
            </w:r>
            <w:r/>
          </w:p>
        </w:tc>
        <w:tc>
          <w:tcPr>
            <w:shd w:val="clear" w:fill="auto" w:color="auto"/>
            <w:tcW w:w="3656" w:type="pct"/>
            <w:textDirection w:val="lrTb"/>
            <w:noWrap w:val="false"/>
          </w:tcPr>
          <w:p>
            <w:pPr>
              <w:pStyle w:val="1005"/>
              <w:ind w:left="57" w:right="57"/>
            </w:pPr>
            <w:r>
              <w:t xml:space="preserve">Наименование клиента-отправителя документа, по которому сформир</w:t>
            </w:r>
            <w:r>
              <w:t xml:space="preserve">о</w:t>
            </w:r>
            <w:r>
              <w:t xml:space="preserve">ван протокол.</w:t>
            </w:r>
            <w:r/>
          </w:p>
        </w:tc>
      </w:tr>
      <w:tr>
        <w:trPr/>
        <w:tc>
          <w:tcPr>
            <w:shd w:val="clear" w:fill="auto" w:color="auto"/>
            <w:tcW w:w="1344" w:type="pct"/>
            <w:textDirection w:val="lrTb"/>
            <w:noWrap w:val="false"/>
          </w:tcPr>
          <w:p>
            <w:pPr>
              <w:pStyle w:val="1005"/>
              <w:ind w:left="57" w:right="57"/>
            </w:pPr>
            <w:r>
              <w:t xml:space="preserve">П</w:t>
            </w:r>
            <w:r>
              <w:t xml:space="preserve">о Сводному реестру</w:t>
            </w:r>
            <w:r/>
          </w:p>
        </w:tc>
        <w:tc>
          <w:tcPr>
            <w:shd w:val="clear" w:fill="auto" w:color="auto"/>
            <w:tcW w:w="3656" w:type="pct"/>
            <w:textDirection w:val="lrTb"/>
            <w:noWrap w:val="false"/>
          </w:tcPr>
          <w:p>
            <w:pPr>
              <w:pStyle w:val="1005"/>
              <w:ind w:left="57" w:right="57"/>
            </w:pPr>
            <w:r>
              <w:t xml:space="preserve">Код по СРРПБС клиента-отправителя документа, по которому сформир</w:t>
            </w:r>
            <w:r>
              <w:t xml:space="preserve">о</w:t>
            </w:r>
            <w:r>
              <w:t xml:space="preserve">ван протокол.</w:t>
            </w:r>
            <w:r/>
          </w:p>
        </w:tc>
      </w:tr>
      <w:tr>
        <w:trPr/>
        <w:tc>
          <w:tcPr>
            <w:shd w:val="clear" w:fill="auto" w:color="auto"/>
            <w:tcW w:w="1344" w:type="pct"/>
            <w:textDirection w:val="lrTb"/>
            <w:noWrap w:val="false"/>
          </w:tcPr>
          <w:p>
            <w:pPr>
              <w:pStyle w:val="1005"/>
              <w:ind w:left="57" w:right="57"/>
            </w:pPr>
            <w:r>
              <w:t xml:space="preserve">Номер лицевого счета</w:t>
            </w:r>
            <w:r/>
          </w:p>
        </w:tc>
        <w:tc>
          <w:tcPr>
            <w:shd w:val="clear" w:fill="auto" w:color="auto"/>
            <w:tcW w:w="3656" w:type="pct"/>
            <w:textDirection w:val="lrTb"/>
            <w:noWrap w:val="false"/>
          </w:tcPr>
          <w:p>
            <w:pPr>
              <w:pStyle w:val="1005"/>
              <w:ind w:left="57" w:right="57"/>
            </w:pPr>
            <w:r>
              <w:t xml:space="preserve">Номер лицевого счета клиента.</w:t>
            </w:r>
            <w:r/>
          </w:p>
        </w:tc>
      </w:tr>
      <w:tr>
        <w:trPr/>
        <w:tc>
          <w:tcPr>
            <w:shd w:val="clear" w:fill="auto" w:color="auto"/>
            <w:tcW w:w="1344" w:type="pct"/>
            <w:textDirection w:val="lrTb"/>
            <w:noWrap w:val="false"/>
          </w:tcPr>
          <w:p>
            <w:pPr>
              <w:pStyle w:val="1005"/>
              <w:ind w:left="57" w:right="57"/>
            </w:pPr>
            <w:r>
              <w:t xml:space="preserve">Бюджет</w:t>
            </w:r>
            <w:r/>
          </w:p>
        </w:tc>
        <w:tc>
          <w:tcPr>
            <w:shd w:val="clear" w:fill="auto" w:color="auto"/>
            <w:tcW w:w="3656" w:type="pct"/>
            <w:textDirection w:val="lrTb"/>
            <w:noWrap w:val="false"/>
          </w:tcPr>
          <w:p>
            <w:pPr>
              <w:pStyle w:val="1005"/>
              <w:ind w:left="57" w:right="57"/>
            </w:pPr>
            <w:r>
              <w:t xml:space="preserve">Наименование бюджета из справочника «Бюджеты».</w:t>
            </w:r>
            <w:r/>
          </w:p>
        </w:tc>
      </w:tr>
      <w:tr>
        <w:trPr/>
        <w:tc>
          <w:tcPr>
            <w:shd w:val="clear" w:fill="auto" w:color="auto"/>
            <w:tcW w:w="1344" w:type="pct"/>
            <w:textDirection w:val="lrTb"/>
            <w:noWrap w:val="false"/>
          </w:tcPr>
          <w:p>
            <w:pPr>
              <w:pStyle w:val="1005"/>
              <w:ind w:left="57" w:right="57"/>
            </w:pPr>
            <w:r>
              <w:t xml:space="preserve">Финансовый орган</w:t>
            </w:r>
            <w:r/>
          </w:p>
        </w:tc>
        <w:tc>
          <w:tcPr>
            <w:shd w:val="clear" w:fill="auto" w:color="auto"/>
            <w:tcW w:w="3656" w:type="pct"/>
            <w:textDirection w:val="lrTb"/>
            <w:noWrap w:val="false"/>
          </w:tcPr>
          <w:p>
            <w:pPr>
              <w:pStyle w:val="1005"/>
              <w:ind w:left="57" w:right="57"/>
            </w:pPr>
            <w:r>
              <w:t xml:space="preserve">Наименование ФО, который организует исполнение бюджета.</w:t>
            </w:r>
            <w:r/>
          </w:p>
        </w:tc>
      </w:tr>
      <w:tr>
        <w:trPr/>
        <w:tc>
          <w:tcPr>
            <w:shd w:val="clear" w:fill="auto" w:color="auto"/>
            <w:tcW w:w="1344" w:type="pct"/>
            <w:textDirection w:val="lrTb"/>
            <w:noWrap w:val="false"/>
          </w:tcPr>
          <w:p>
            <w:pPr>
              <w:pStyle w:val="1005"/>
              <w:ind w:left="57" w:right="57"/>
            </w:pPr>
            <w:r>
              <w:t xml:space="preserve">Указание</w:t>
            </w:r>
            <w:r/>
          </w:p>
        </w:tc>
        <w:tc>
          <w:tcPr>
            <w:shd w:val="clear" w:fill="auto" w:color="auto"/>
            <w:tcW w:w="3656" w:type="pct"/>
            <w:textDirection w:val="lrTb"/>
            <w:noWrap w:val="false"/>
          </w:tcPr>
          <w:p>
            <w:pPr>
              <w:pStyle w:val="1005"/>
              <w:ind w:left="57" w:right="57"/>
            </w:pPr>
            <w:r>
              <w:t xml:space="preserve">Указание.</w:t>
            </w:r>
            <w:r/>
          </w:p>
        </w:tc>
      </w:tr>
      <w:tr>
        <w:trPr/>
        <w:tc>
          <w:tcPr>
            <w:shd w:val="clear" w:fill="auto" w:color="auto"/>
            <w:tcW w:w="1344" w:type="pct"/>
            <w:textDirection w:val="lrTb"/>
            <w:noWrap w:val="false"/>
          </w:tcPr>
          <w:p>
            <w:pPr>
              <w:pStyle w:val="1005"/>
              <w:ind w:left="57" w:right="57"/>
            </w:pPr>
            <w:r>
              <w:t xml:space="preserve">Дата указания</w:t>
            </w:r>
            <w:r/>
          </w:p>
        </w:tc>
        <w:tc>
          <w:tcPr>
            <w:shd w:val="clear" w:fill="auto" w:color="auto"/>
            <w:tcW w:w="3656" w:type="pct"/>
            <w:textDirection w:val="lrTb"/>
            <w:noWrap w:val="false"/>
          </w:tcPr>
          <w:p>
            <w:pPr>
              <w:pStyle w:val="1005"/>
              <w:ind w:left="57" w:right="57"/>
            </w:pPr>
            <w:r>
              <w:t xml:space="preserve">Дата указания, по умолчанию совпадает с датой создания протокола.</w:t>
            </w:r>
            <w:r/>
          </w:p>
        </w:tc>
      </w:tr>
      <w:tr>
        <w:trPr/>
        <w:tc>
          <w:tcPr>
            <w:shd w:val="clear" w:fill="auto" w:color="auto"/>
            <w:tcW w:w="1344" w:type="pct"/>
            <w:textDirection w:val="lrTb"/>
            <w:noWrap w:val="false"/>
          </w:tcPr>
          <w:p>
            <w:pPr>
              <w:pStyle w:val="1005"/>
              <w:ind w:left="57" w:right="57"/>
            </w:pPr>
            <w:r>
              <w:t xml:space="preserve">Тип сообщения</w:t>
            </w:r>
            <w:r/>
          </w:p>
        </w:tc>
        <w:tc>
          <w:tcPr>
            <w:shd w:val="clear" w:fill="auto" w:color="auto"/>
            <w:tcW w:w="3656" w:type="pct"/>
            <w:textDirection w:val="lrTb"/>
            <w:noWrap w:val="false"/>
          </w:tcPr>
          <w:p>
            <w:pPr>
              <w:pStyle w:val="1005"/>
              <w:ind w:left="57" w:right="57"/>
            </w:pPr>
            <w:r>
              <w:t xml:space="preserve">Тип сообщения «Ошибка».</w:t>
            </w:r>
            <w:r/>
          </w:p>
        </w:tc>
      </w:tr>
      <w:tr>
        <w:trPr/>
        <w:tc>
          <w:tcPr>
            <w:shd w:val="clear" w:fill="auto" w:color="auto"/>
            <w:tcW w:w="1344" w:type="pct"/>
            <w:textDirection w:val="lrTb"/>
            <w:noWrap w:val="false"/>
          </w:tcPr>
          <w:p>
            <w:pPr>
              <w:pStyle w:val="1005"/>
              <w:ind w:left="57" w:right="57"/>
            </w:pPr>
            <w:r>
              <w:t xml:space="preserve">Сообщение</w:t>
            </w:r>
            <w:r/>
          </w:p>
        </w:tc>
        <w:tc>
          <w:tcPr>
            <w:shd w:val="clear" w:fill="auto" w:color="auto"/>
            <w:tcW w:w="3656" w:type="pct"/>
            <w:textDirection w:val="lrTb"/>
            <w:noWrap w:val="false"/>
          </w:tcPr>
          <w:p>
            <w:pPr>
              <w:pStyle w:val="1005"/>
              <w:ind w:left="57" w:right="57"/>
            </w:pPr>
            <w:r>
              <w:t xml:space="preserve">Текст сообщения.</w:t>
            </w:r>
            <w:r/>
          </w:p>
        </w:tc>
      </w:tr>
      <w:tr>
        <w:trPr/>
        <w:tc>
          <w:tcPr>
            <w:shd w:val="clear" w:fill="auto" w:color="auto"/>
            <w:tcW w:w="1344" w:type="pct"/>
            <w:textDirection w:val="lrTb"/>
            <w:noWrap w:val="false"/>
          </w:tcPr>
          <w:p>
            <w:pPr>
              <w:pStyle w:val="1005"/>
              <w:ind w:left="57" w:right="57"/>
            </w:pPr>
            <w:r>
              <w:t xml:space="preserve">Ответственный исполн</w:t>
            </w:r>
            <w:r>
              <w:t xml:space="preserve">и</w:t>
            </w:r>
            <w:r>
              <w:t xml:space="preserve">тель. Должность</w:t>
            </w:r>
            <w:r/>
          </w:p>
        </w:tc>
        <w:tc>
          <w:tcPr>
            <w:shd w:val="clear" w:fill="auto" w:color="auto"/>
            <w:tcW w:w="3656" w:type="pct"/>
            <w:textDirection w:val="lrTb"/>
            <w:noWrap w:val="false"/>
          </w:tcPr>
          <w:p>
            <w:pPr>
              <w:pStyle w:val="1005"/>
              <w:ind w:left="57" w:right="57"/>
            </w:pPr>
            <w:r>
              <w:t xml:space="preserve">Должность ответственного исполнителя.</w:t>
            </w:r>
            <w:r/>
          </w:p>
        </w:tc>
      </w:tr>
      <w:tr>
        <w:trPr/>
        <w:tc>
          <w:tcPr>
            <w:shd w:val="clear" w:fill="auto" w:color="auto"/>
            <w:tcW w:w="1344" w:type="pct"/>
            <w:textDirection w:val="lrTb"/>
            <w:noWrap w:val="false"/>
          </w:tcPr>
          <w:p>
            <w:pPr>
              <w:pStyle w:val="1005"/>
              <w:ind w:left="57" w:right="57"/>
            </w:pPr>
            <w:r>
              <w:t xml:space="preserve">Ответственный исполн</w:t>
            </w:r>
            <w:r>
              <w:t xml:space="preserve">и</w:t>
            </w:r>
            <w:r>
              <w:t xml:space="preserve">тель. Расшифровка по</w:t>
            </w:r>
            <w:r>
              <w:t xml:space="preserve">д</w:t>
            </w:r>
            <w:r>
              <w:t xml:space="preserve">писи</w:t>
            </w:r>
            <w:r/>
          </w:p>
        </w:tc>
        <w:tc>
          <w:tcPr>
            <w:shd w:val="clear" w:fill="auto" w:color="auto"/>
            <w:tcW w:w="3656" w:type="pct"/>
            <w:textDirection w:val="lrTb"/>
            <w:noWrap w:val="false"/>
          </w:tcPr>
          <w:p>
            <w:pPr>
              <w:pStyle w:val="1005"/>
              <w:ind w:left="57" w:right="57"/>
            </w:pPr>
            <w:r>
              <w:t xml:space="preserve">ФИО ответственного исполнителя.</w:t>
            </w:r>
            <w:r/>
          </w:p>
        </w:tc>
      </w:tr>
      <w:tr>
        <w:trPr/>
        <w:tc>
          <w:tcPr>
            <w:shd w:val="clear" w:fill="auto" w:color="auto"/>
            <w:tcW w:w="1344" w:type="pct"/>
            <w:textDirection w:val="lrTb"/>
            <w:noWrap w:val="false"/>
          </w:tcPr>
          <w:p>
            <w:pPr>
              <w:pStyle w:val="1005"/>
              <w:ind w:left="57" w:right="57"/>
            </w:pPr>
            <w:r>
              <w:t xml:space="preserve">Ответственный исполн</w:t>
            </w:r>
            <w:r>
              <w:t xml:space="preserve">и</w:t>
            </w:r>
            <w:r>
              <w:t xml:space="preserve">тель. Телефон</w:t>
            </w:r>
            <w:r/>
          </w:p>
        </w:tc>
        <w:tc>
          <w:tcPr>
            <w:shd w:val="clear" w:fill="auto" w:color="auto"/>
            <w:tcW w:w="3656" w:type="pct"/>
            <w:textDirection w:val="lrTb"/>
            <w:noWrap w:val="false"/>
          </w:tcPr>
          <w:p>
            <w:pPr>
              <w:pStyle w:val="1005"/>
              <w:ind w:left="57" w:right="57"/>
            </w:pPr>
            <w:r>
              <w:t xml:space="preserve">Номер телефона исполнителя.</w:t>
            </w:r>
            <w:r/>
          </w:p>
        </w:tc>
      </w:tr>
      <w:tr>
        <w:trPr/>
        <w:tc>
          <w:tcPr>
            <w:shd w:val="clear" w:fill="auto" w:color="auto"/>
            <w:tcW w:w="1344" w:type="pct"/>
            <w:textDirection w:val="lrTb"/>
            <w:noWrap w:val="false"/>
          </w:tcPr>
          <w:p>
            <w:pPr>
              <w:pStyle w:val="1005"/>
              <w:ind w:left="57" w:right="57"/>
            </w:pPr>
            <w:r>
              <w:t xml:space="preserve">Ответственный исполн</w:t>
            </w:r>
            <w:r>
              <w:t xml:space="preserve">и</w:t>
            </w:r>
            <w:r>
              <w:t xml:space="preserve">тель. Дата подписи</w:t>
            </w:r>
            <w:r/>
          </w:p>
        </w:tc>
        <w:tc>
          <w:tcPr>
            <w:shd w:val="clear" w:fill="auto" w:color="auto"/>
            <w:tcW w:w="3656" w:type="pct"/>
            <w:textDirection w:val="lrTb"/>
            <w:noWrap w:val="false"/>
          </w:tcPr>
          <w:p>
            <w:pPr>
              <w:pStyle w:val="1005"/>
              <w:ind w:left="57" w:right="57"/>
            </w:pPr>
            <w:r>
              <w:t xml:space="preserve">Дата подписи протокола ответственным исполнителем.</w:t>
            </w:r>
            <w:r/>
          </w:p>
        </w:tc>
      </w:tr>
      <w:tr>
        <w:trPr/>
        <w:tc>
          <w:tcPr>
            <w:shd w:val="clear" w:fill="auto" w:color="auto"/>
            <w:tcW w:w="1344" w:type="pct"/>
            <w:textDirection w:val="lrTb"/>
            <w:noWrap w:val="false"/>
          </w:tcPr>
          <w:p>
            <w:pPr>
              <w:pStyle w:val="1005"/>
              <w:ind w:left="57" w:right="57"/>
            </w:pPr>
            <w:r>
              <w:t xml:space="preserve">Статус</w:t>
            </w:r>
            <w:r/>
          </w:p>
        </w:tc>
        <w:tc>
          <w:tcPr>
            <w:shd w:val="clear" w:fill="auto" w:color="auto"/>
            <w:tcW w:w="3656" w:type="pct"/>
            <w:textDirection w:val="lrTb"/>
            <w:noWrap w:val="false"/>
          </w:tcPr>
          <w:p>
            <w:pPr>
              <w:pStyle w:val="1005"/>
              <w:ind w:left="57" w:right="57"/>
            </w:pPr>
            <w:r>
              <w:t xml:space="preserve">Код и наименование бизнес-статуса протокола.</w:t>
            </w:r>
            <w:r/>
          </w:p>
        </w:tc>
      </w:tr>
    </w:tbl>
    <w:p>
      <w:pPr>
        <w:pStyle w:val="994"/>
      </w:pPr>
      <w:r>
        <w:t xml:space="preserve">Для просмотра сообщения в табличном блоке «Перечень сообщений/ошибок» следует нажать на кнопку </w:t>
      </w:r>
      <w:r>
        <mc:AlternateContent>
          <mc:Choice Requires="wpg">
            <w:drawing>
              <wp:inline xmlns:wp="http://schemas.openxmlformats.org/drawingml/2006/wordprocessingDrawing" distT="0" distB="0" distL="0" distR="0">
                <wp:extent cx="182880" cy="182880"/>
                <wp:effectExtent l="0" t="0" r="0" b="0"/>
                <wp:docPr id="26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36"/>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0" o:spid="_x0000_s260" type="#_x0000_t75" style="mso-wrap-distance-left:0.0pt;mso-wrap-distance-top:0.0pt;mso-wrap-distance-right:0.0pt;mso-wrap-distance-bottom:0.0pt;width:14.4pt;height:14.4pt;" stroked="f">
                <v:path textboxrect="0,0,0,0"/>
                <v:imagedata r:id="rId236" o:title=""/>
              </v:shape>
            </w:pict>
          </mc:Fallback>
        </mc:AlternateContent>
      </w:r>
      <w:r>
        <w:t xml:space="preserve"> </w:t>
      </w:r>
      <w:r>
        <w:t xml:space="preserve">(Открыть строку для просмотра)</w:t>
      </w:r>
      <w:r>
        <w:t xml:space="preserve">. Откроется форма «Просмотр зап</w:t>
      </w:r>
      <w:r>
        <w:t xml:space="preserve">и</w:t>
      </w:r>
      <w:r>
        <w:t xml:space="preserve">си» (рис. </w:t>
      </w:r>
      <w:r>
        <w:fldChar w:fldCharType="begin"/>
      </w:r>
      <w:r>
        <w:instrText xml:space="preserve"> REF _Ref230597513 \h  \* MERGEFORMAT </w:instrText>
      </w:r>
      <w:r>
        <w:fldChar w:fldCharType="separate"/>
      </w:r>
      <w:r>
        <w:t xml:space="preserve">170</w:t>
      </w:r>
      <w:r>
        <w:fldChar w:fldCharType="end"/>
      </w:r>
      <w:r>
        <w:t xml:space="preserve">), содержащее параметры «Тип сообщения» и «Сообщение».</w:t>
      </w:r>
      <w:r/>
    </w:p>
    <w:p>
      <w:pPr>
        <w:pStyle w:val="982"/>
      </w:pPr>
      <w:r>
        <mc:AlternateContent>
          <mc:Choice Requires="wpg">
            <w:drawing>
              <wp:inline xmlns:wp="http://schemas.openxmlformats.org/drawingml/2006/wordprocessingDrawing" distT="0" distB="0" distL="0" distR="0">
                <wp:extent cx="6126480" cy="2103120"/>
                <wp:effectExtent l="0" t="0" r="0" b="0"/>
                <wp:docPr id="26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37"/>
                        <a:stretch/>
                      </pic:blipFill>
                      <pic:spPr bwMode="auto">
                        <a:xfrm>
                          <a:off x="0" y="0"/>
                          <a:ext cx="6126480" cy="21031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1" o:spid="_x0000_s261" type="#_x0000_t75" style="mso-wrap-distance-left:0.0pt;mso-wrap-distance-top:0.0pt;mso-wrap-distance-right:0.0pt;mso-wrap-distance-bottom:0.0pt;width:482.4pt;height:165.6pt;" stroked="f">
                <v:path textboxrect="0,0,0,0"/>
                <v:imagedata r:id="rId237" o:title=""/>
              </v:shape>
            </w:pict>
          </mc:Fallback>
        </mc:AlternateContent>
      </w:r>
      <w:r/>
    </w:p>
    <w:p>
      <w:pPr>
        <w:pStyle w:val="983"/>
      </w:pPr>
      <w:r>
        <w:fldChar w:fldCharType="begin"/>
      </w:r>
      <w:r>
        <w:instrText xml:space="preserve"> SEQ Рисунок \* ARABIC </w:instrText>
      </w:r>
      <w:r>
        <w:fldChar w:fldCharType="separate"/>
      </w:r>
      <w:bookmarkStart w:id="1288" w:name="_Ref230597513"/>
      <w:r/>
      <w:bookmarkStart w:id="1289" w:name="_Toc88819555"/>
      <w:r>
        <w:t xml:space="preserve">170</w:t>
      </w:r>
      <w:bookmarkEnd w:id="1288"/>
      <w:r>
        <w:fldChar w:fldCharType="end"/>
      </w:r>
      <w:r>
        <w:t xml:space="preserve">. </w:t>
      </w:r>
      <w:r>
        <w:t xml:space="preserve">Форма «Просмотр записи»</w:t>
      </w:r>
      <w:bookmarkEnd w:id="1289"/>
      <w:r/>
      <w:r/>
    </w:p>
    <w:p>
      <w:pPr>
        <w:pStyle w:val="994"/>
      </w:pPr>
      <w:r>
        <w:t xml:space="preserve">На закладке «Системные атрибуты» (рис. </w:t>
      </w:r>
      <w:r>
        <w:fldChar w:fldCharType="begin"/>
      </w:r>
      <w:r>
        <w:instrText xml:space="preserve"> REF _Ref230598149 \h  \* MERGEFORMAT </w:instrText>
      </w:r>
      <w:r>
        <w:fldChar w:fldCharType="separate"/>
      </w:r>
      <w:r>
        <w:t xml:space="preserve">171</w:t>
      </w:r>
      <w:r>
        <w:fldChar w:fldCharType="end"/>
      </w:r>
      <w:r>
        <w:t xml:space="preserve">) отображается полный перечень ошибок, обнаруженных при проверке документа клиента.</w:t>
      </w:r>
      <w:r/>
    </w:p>
    <w:p>
      <w:pPr>
        <w:pStyle w:val="982"/>
      </w:pPr>
      <w:r>
        <mc:AlternateContent>
          <mc:Choice Requires="wpg">
            <w:drawing>
              <wp:inline xmlns:wp="http://schemas.openxmlformats.org/drawingml/2006/wordprocessingDrawing" distT="0" distB="0" distL="0" distR="0">
                <wp:extent cx="6126480" cy="3840480"/>
                <wp:effectExtent l="0" t="0" r="0" b="0"/>
                <wp:docPr id="26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38"/>
                        <a:stretch/>
                      </pic:blipFill>
                      <pic:spPr bwMode="auto">
                        <a:xfrm>
                          <a:off x="0" y="0"/>
                          <a:ext cx="6126480" cy="38404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2" o:spid="_x0000_s262" type="#_x0000_t75" style="mso-wrap-distance-left:0.0pt;mso-wrap-distance-top:0.0pt;mso-wrap-distance-right:0.0pt;mso-wrap-distance-bottom:0.0pt;width:482.4pt;height:302.4pt;" stroked="f">
                <v:path textboxrect="0,0,0,0"/>
                <v:imagedata r:id="rId238" o:title=""/>
              </v:shape>
            </w:pict>
          </mc:Fallback>
        </mc:AlternateContent>
      </w:r>
      <w:r/>
    </w:p>
    <w:p>
      <w:pPr>
        <w:pStyle w:val="983"/>
      </w:pPr>
      <w:r>
        <w:fldChar w:fldCharType="begin"/>
      </w:r>
      <w:r>
        <w:instrText xml:space="preserve"> SEQ Рисунок \* ARABIC </w:instrText>
      </w:r>
      <w:r>
        <w:fldChar w:fldCharType="separate"/>
      </w:r>
      <w:bookmarkStart w:id="1290" w:name="_Ref230598149"/>
      <w:r/>
      <w:bookmarkStart w:id="1291" w:name="_Toc88819556"/>
      <w:r>
        <w:t xml:space="preserve">171</w:t>
      </w:r>
      <w:bookmarkEnd w:id="1290"/>
      <w:r>
        <w:fldChar w:fldCharType="end"/>
      </w:r>
      <w:r>
        <w:t xml:space="preserve">. ЭФ документа «</w:t>
      </w:r>
      <w:r>
        <w:t xml:space="preserve">Уведомление (протокол)</w:t>
      </w:r>
      <w:r>
        <w:t xml:space="preserve">», закладки «</w:t>
      </w:r>
      <w:r>
        <w:t xml:space="preserve">Системные атрибуты»</w:t>
      </w:r>
      <w:bookmarkEnd w:id="1291"/>
      <w:r/>
      <w:r/>
    </w:p>
    <w:p>
      <w:pPr>
        <w:pStyle w:val="971"/>
      </w:pPr>
      <w:r/>
      <w:bookmarkStart w:id="1292" w:name="_Toc88819135"/>
      <w:r>
        <w:t xml:space="preserve">Группа документов «Регистрация и доведение бюджета»</w:t>
      </w:r>
      <w:bookmarkEnd w:id="1243"/>
      <w:r/>
      <w:bookmarkEnd w:id="1244"/>
      <w:r/>
      <w:bookmarkEnd w:id="1268"/>
      <w:r/>
      <w:bookmarkEnd w:id="1269"/>
      <w:r/>
      <w:bookmarkEnd w:id="1270"/>
      <w:r/>
      <w:bookmarkEnd w:id="1292"/>
      <w:r/>
      <w:r/>
    </w:p>
    <w:p>
      <w:pPr>
        <w:pStyle w:val="972"/>
      </w:pPr>
      <w:r/>
      <w:bookmarkStart w:id="1293" w:name="_Toc221011518"/>
      <w:r/>
      <w:bookmarkStart w:id="1294" w:name="_Toc221012219"/>
      <w:r/>
      <w:bookmarkStart w:id="1295" w:name="_Toc225934630"/>
      <w:r/>
      <w:bookmarkStart w:id="1296" w:name="_Ref231719478"/>
      <w:r/>
      <w:bookmarkStart w:id="1297" w:name="_Toc232827397"/>
      <w:r/>
      <w:bookmarkStart w:id="1298" w:name="_Toc248062346"/>
      <w:r/>
      <w:bookmarkStart w:id="1299" w:name="_Toc249272703"/>
      <w:r/>
      <w:bookmarkStart w:id="1300" w:name="_Ref292816325"/>
      <w:r/>
      <w:bookmarkStart w:id="1301" w:name="_Ref299372953"/>
      <w:r/>
      <w:bookmarkStart w:id="1302" w:name="_Ref369271280"/>
      <w:r/>
      <w:bookmarkStart w:id="1303" w:name="_Ref380511302"/>
      <w:r/>
      <w:bookmarkStart w:id="1304" w:name="_Toc422496717"/>
      <w:r/>
      <w:bookmarkStart w:id="1305" w:name="_Ref435183198"/>
      <w:r/>
      <w:bookmarkStart w:id="1306" w:name="_Ref437598224"/>
      <w:r/>
      <w:bookmarkStart w:id="1307" w:name="_Ref475098775"/>
      <w:r/>
      <w:bookmarkStart w:id="1308" w:name="_Ref480911077"/>
      <w:r/>
      <w:bookmarkStart w:id="1309" w:name="_Ref501395159"/>
      <w:r/>
      <w:bookmarkStart w:id="1310" w:name="_Ref531786997"/>
      <w:r/>
      <w:bookmarkStart w:id="1311" w:name="_Ref85795457"/>
      <w:r/>
      <w:bookmarkStart w:id="1312" w:name="_Toc88819136"/>
      <w:r>
        <w:t xml:space="preserve">Расходное расписание</w:t>
      </w:r>
      <w:bookmarkEnd w:id="1293"/>
      <w:r/>
      <w:bookmarkEnd w:id="1294"/>
      <w:r/>
      <w:bookmarkEnd w:id="1295"/>
      <w:r/>
      <w:bookmarkEnd w:id="1296"/>
      <w:r/>
      <w:bookmarkEnd w:id="1297"/>
      <w:r/>
      <w:bookmarkEnd w:id="1298"/>
      <w:r/>
      <w:bookmarkEnd w:id="1299"/>
      <w:r/>
      <w:bookmarkEnd w:id="1300"/>
      <w:r/>
      <w:bookmarkEnd w:id="1301"/>
      <w:r/>
      <w:bookmarkEnd w:id="1302"/>
      <w:r/>
      <w:bookmarkEnd w:id="1303"/>
      <w:r/>
      <w:bookmarkEnd w:id="1304"/>
      <w:r/>
      <w:bookmarkEnd w:id="1305"/>
      <w:r/>
      <w:bookmarkEnd w:id="1306"/>
      <w:r/>
      <w:bookmarkEnd w:id="1307"/>
      <w:r/>
      <w:bookmarkEnd w:id="1308"/>
      <w:r/>
      <w:bookmarkEnd w:id="1309"/>
      <w:r/>
      <w:bookmarkEnd w:id="1310"/>
      <w:r/>
      <w:bookmarkEnd w:id="1311"/>
      <w:r/>
      <w:bookmarkEnd w:id="1312"/>
      <w:r/>
      <w:r/>
    </w:p>
    <w:p>
      <w:pPr>
        <w:pStyle w:val="994"/>
      </w:pPr>
      <w:r>
        <w:t xml:space="preserve">ГРБС (ГАИ</w:t>
      </w:r>
      <w:r>
        <w:t xml:space="preserve">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«Расходное расписание».</w:t>
      </w:r>
      <w:r/>
    </w:p>
    <w:p>
      <w:pPr>
        <w:pStyle w:val="994"/>
      </w:pPr>
      <w:r>
        <w:t xml:space="preserve">Документ «Расходное расписание» может также формироваться ПБС для детализации доведенных до ПБС ЛБО.</w:t>
      </w:r>
      <w:r/>
    </w:p>
    <w:p>
      <w:pPr>
        <w:pStyle w:val="994"/>
      </w:pPr>
      <w:r>
        <w:t xml:space="preserve">Для работы с документами «Расходное расписание» следует перейти в пункт меню «Документы – Регистрация и доведение бюджета – Расходное расписание». Откроется ЭФ списка документов, представленная на рисунке </w:t>
      </w:r>
      <w:r>
        <w:fldChar w:fldCharType="begin"/>
      </w:r>
      <w:r>
        <w:instrText xml:space="preserve"> REF _Ref221338954 \h  \* MERGEFORMAT </w:instrText>
      </w:r>
      <w:r>
        <w:fldChar w:fldCharType="separate"/>
      </w:r>
      <w:r>
        <w:t xml:space="preserve">172</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200400"/>
                <wp:effectExtent l="0" t="0" r="0" b="0"/>
                <wp:docPr id="26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39"/>
                        <a:stretch/>
                      </pic:blipFill>
                      <pic:spPr bwMode="auto">
                        <a:xfrm>
                          <a:off x="0" y="0"/>
                          <a:ext cx="6126480" cy="32004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3" o:spid="_x0000_s263" type="#_x0000_t75" style="mso-wrap-distance-left:0.0pt;mso-wrap-distance-top:0.0pt;mso-wrap-distance-right:0.0pt;mso-wrap-distance-bottom:0.0pt;width:482.4pt;height:252.0pt;" stroked="f">
                <v:path textboxrect="0,0,0,0"/>
                <v:imagedata r:id="rId239" o:title=""/>
              </v:shape>
            </w:pict>
          </mc:Fallback>
        </mc:AlternateContent>
      </w:r>
      <w:r/>
    </w:p>
    <w:p>
      <w:pPr>
        <w:pStyle w:val="983"/>
      </w:pPr>
      <w:r/>
      <w:bookmarkStart w:id="1313" w:name="_Ref220492110"/>
      <w:r>
        <w:fldChar w:fldCharType="begin"/>
      </w:r>
      <w:r>
        <w:instrText xml:space="preserve"> SEQ Рисунок \* ARABIC </w:instrText>
      </w:r>
      <w:r>
        <w:fldChar w:fldCharType="separate"/>
      </w:r>
      <w:bookmarkStart w:id="1314" w:name="_Ref221338954"/>
      <w:r/>
      <w:bookmarkStart w:id="1315" w:name="_Toc88819557"/>
      <w:r>
        <w:t xml:space="preserve">172</w:t>
      </w:r>
      <w:bookmarkEnd w:id="1314"/>
      <w:r>
        <w:fldChar w:fldCharType="end"/>
      </w:r>
      <w:bookmarkEnd w:id="1313"/>
      <w:r>
        <w:t xml:space="preserve">. ЭФ списка документов «Расходное расписание»</w:t>
      </w:r>
      <w:bookmarkEnd w:id="1315"/>
      <w:r/>
      <w:r/>
    </w:p>
    <w:p>
      <w:pPr>
        <w:pStyle w:val="973"/>
      </w:pPr>
      <w:r/>
      <w:bookmarkStart w:id="1316" w:name="_Toc232827398"/>
      <w:r>
        <w:t xml:space="preserve">Доступные операции</w:t>
      </w:r>
      <w:bookmarkEnd w:id="1316"/>
      <w:r/>
      <w:r/>
    </w:p>
    <w:p>
      <w:pPr>
        <w:pStyle w:val="994"/>
      </w:pPr>
      <w:r>
        <w:t xml:space="preserve">На АРМ ФО доступны следующие операции </w:t>
      </w:r>
      <w:r>
        <w:t xml:space="preserve">над</w:t>
      </w:r>
      <w:r>
        <w:t xml:space="preserve"> документо</w:t>
      </w:r>
      <w:r>
        <w:t xml:space="preserve">м</w:t>
      </w:r>
      <w:r>
        <w:t xml:space="preserve">:</w:t>
      </w:r>
      <w:r/>
    </w:p>
    <w:p>
      <w:pPr>
        <w:pStyle w:val="985"/>
      </w:pPr>
      <w:r>
        <w:t xml:space="preserve">ввод вручную;</w:t>
      </w:r>
      <w:r/>
    </w:p>
    <w:p>
      <w:pPr>
        <w:pStyle w:val="985"/>
      </w:pPr>
      <w:r>
        <w:t xml:space="preserve">импорт из внешней системы;</w:t>
      </w:r>
      <w:r/>
    </w:p>
    <w:p>
      <w:pPr>
        <w:pStyle w:val="985"/>
      </w:pPr>
      <w:r>
        <w:t xml:space="preserve">просмотр и редактирование;</w:t>
      </w:r>
      <w:r/>
    </w:p>
    <w:p>
      <w:pPr>
        <w:pStyle w:val="985"/>
      </w:pPr>
      <w:r>
        <w:t xml:space="preserve">удаление;</w:t>
      </w:r>
      <w:r/>
    </w:p>
    <w:p>
      <w:pPr>
        <w:pStyle w:val="985"/>
      </w:pPr>
      <w:r>
        <w:t xml:space="preserve">подписание</w:t>
      </w:r>
      <w:r>
        <w:t xml:space="preserve">, просмотр и снятие</w:t>
      </w:r>
      <w:r>
        <w:t xml:space="preserve"> </w:t>
      </w:r>
      <w:r>
        <w:t xml:space="preserve">ЭП</w:t>
      </w:r>
      <w:r>
        <w:t xml:space="preserve">;</w:t>
      </w:r>
      <w:r/>
    </w:p>
    <w:p>
      <w:pPr>
        <w:pStyle w:val="985"/>
      </w:pPr>
      <w:r>
        <w:t xml:space="preserve">печать;</w:t>
      </w:r>
      <w:r/>
    </w:p>
    <w:p>
      <w:pPr>
        <w:pStyle w:val="985"/>
      </w:pPr>
      <w:r>
        <w:t xml:space="preserve">экспорт во внешнюю систему;</w:t>
      </w:r>
      <w:r/>
    </w:p>
    <w:p>
      <w:pPr>
        <w:pStyle w:val="985"/>
      </w:pPr>
      <w:r>
        <w:t xml:space="preserve">отправка в УФК.</w:t>
      </w:r>
      <w:r/>
    </w:p>
    <w:p>
      <w:pPr>
        <w:pStyle w:val="973"/>
      </w:pPr>
      <w:r/>
      <w:bookmarkStart w:id="1317" w:name="_Toc232827399"/>
      <w:r>
        <w:t xml:space="preserve">Экранная форма документа</w:t>
      </w:r>
      <w:bookmarkEnd w:id="1317"/>
      <w:r/>
      <w:r/>
    </w:p>
    <w:p>
      <w:pPr>
        <w:pStyle w:val="994"/>
      </w:pPr>
      <w:r>
        <w:t xml:space="preserve">ЭФ документа «Расходное расписание» представлена на рисунке</w:t>
      </w:r>
      <w:r>
        <w:t xml:space="preserve"> </w:t>
      </w:r>
      <w:r>
        <w:fldChar w:fldCharType="begin"/>
      </w:r>
      <w:r>
        <w:instrText xml:space="preserve"> REF _Ref205177560 \h  \* MERGEFORMAT </w:instrText>
      </w:r>
      <w:r>
        <w:fldChar w:fldCharType="separate"/>
      </w:r>
      <w:r>
        <w:t xml:space="preserve">173</w:t>
      </w:r>
      <w:r>
        <w:fldChar w:fldCharType="end"/>
      </w:r>
      <w:r>
        <w:t xml:space="preserve">. Форма содержит следующие закладки:</w:t>
      </w:r>
      <w:r/>
    </w:p>
    <w:p>
      <w:pPr>
        <w:pStyle w:val="985"/>
      </w:pPr>
      <w:r>
        <w:t xml:space="preserve">«Документ (1)»:</w:t>
      </w:r>
      <w:r/>
    </w:p>
    <w:p>
      <w:pPr>
        <w:pStyle w:val="986"/>
      </w:pPr>
      <w:r>
        <w:t xml:space="preserve">«Раздел I: БА (3)»;</w:t>
      </w:r>
      <w:r/>
    </w:p>
    <w:p>
      <w:pPr>
        <w:pStyle w:val="986"/>
      </w:pPr>
      <w:r>
        <w:t xml:space="preserve">«Раздел II: ЛБО (4)»;</w:t>
      </w:r>
      <w:r/>
    </w:p>
    <w:p>
      <w:pPr>
        <w:pStyle w:val="986"/>
      </w:pPr>
      <w:r>
        <w:t xml:space="preserve">«Раздел III: ПОФР (5)»;</w:t>
      </w:r>
      <w:r/>
    </w:p>
    <w:p>
      <w:pPr>
        <w:pStyle w:val="985"/>
      </w:pPr>
      <w:r>
        <w:t xml:space="preserve">«Дополнительные атрибуты (2)»</w:t>
      </w:r>
      <w:r>
        <w:t xml:space="preserve">;</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134100" cy="4579620"/>
                <wp:effectExtent l="0" t="0" r="0" b="0"/>
                <wp:docPr id="26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40"/>
                        <a:stretch/>
                      </pic:blipFill>
                      <pic:spPr bwMode="auto">
                        <a:xfrm>
                          <a:off x="0" y="0"/>
                          <a:ext cx="6134100" cy="45796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4" o:spid="_x0000_s264" type="#_x0000_t75" style="mso-wrap-distance-left:0.0pt;mso-wrap-distance-top:0.0pt;mso-wrap-distance-right:0.0pt;mso-wrap-distance-bottom:0.0pt;width:483.0pt;height:360.6pt;" stroked="f">
                <v:path textboxrect="0,0,0,0"/>
                <v:imagedata r:id="rId240" o:title=""/>
              </v:shape>
            </w:pict>
          </mc:Fallback>
        </mc:AlternateContent>
      </w:r>
      <w:r/>
    </w:p>
    <w:p>
      <w:pPr>
        <w:pStyle w:val="983"/>
      </w:pPr>
      <w:r>
        <w:fldChar w:fldCharType="begin"/>
      </w:r>
      <w:r>
        <w:instrText xml:space="preserve"> SEQ Рисунок \* ARABIC </w:instrText>
      </w:r>
      <w:r>
        <w:fldChar w:fldCharType="separate"/>
      </w:r>
      <w:bookmarkStart w:id="1318" w:name="_Ref205177560"/>
      <w:r/>
      <w:bookmarkStart w:id="1319" w:name="_Toc88819558"/>
      <w:r>
        <w:t xml:space="preserve">173</w:t>
      </w:r>
      <w:bookmarkEnd w:id="1318"/>
      <w:r>
        <w:fldChar w:fldCharType="end"/>
      </w:r>
      <w:r>
        <w:t xml:space="preserve">. ЭФ документа «Расходное расписание</w:t>
      </w:r>
      <w:r>
        <w:t xml:space="preserve">», закладки «</w:t>
      </w:r>
      <w:r>
        <w:t xml:space="preserve">Документ (1)</w:t>
      </w:r>
      <w:r>
        <w:t xml:space="preserve">», </w:t>
      </w:r>
      <w:r>
        <w:t xml:space="preserve">в</w:t>
      </w:r>
      <w:r>
        <w:t xml:space="preserve">кладки «</w:t>
      </w:r>
      <w:r>
        <w:t xml:space="preserve">Раздел I: БА (3)»</w:t>
      </w:r>
      <w:bookmarkEnd w:id="1319"/>
      <w:r/>
      <w:r/>
    </w:p>
    <w:p>
      <w:pPr>
        <w:pStyle w:val="994"/>
      </w:pPr>
      <w:r>
        <w:t xml:space="preserve">При импорте документа из внешней системы поля документа автоматическ</w:t>
      </w:r>
      <w:r>
        <w:t xml:space="preserve">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r/>
    </w:p>
    <w:p>
      <w:pPr>
        <w:pStyle w:val="994"/>
      </w:pPr>
      <w:r>
        <w:t xml:space="preserve">Перечень полей </w:t>
      </w:r>
      <w:r>
        <w:t xml:space="preserve">документа «Расходное расписа</w:t>
      </w:r>
      <w:r>
        <w:t xml:space="preserve">ние», закладки «Документ (1)», в</w:t>
      </w:r>
      <w:r>
        <w:t xml:space="preserve">кладки «Раздел I: БА (3)»</w:t>
      </w:r>
      <w:r>
        <w:t xml:space="preserve"> </w:t>
      </w:r>
      <w:r>
        <w:t xml:space="preserve">приведен в таблице</w:t>
      </w:r>
      <w:r>
        <w:t xml:space="preserve"> </w:t>
      </w:r>
      <w:r>
        <w:fldChar w:fldCharType="begin"/>
      </w:r>
      <w:r>
        <w:instrText xml:space="preserve"> REF _Ref317675918 \h  \* MERGEFORMAT </w:instrText>
      </w:r>
      <w:r>
        <w:fldChar w:fldCharType="separate"/>
      </w:r>
      <w:r>
        <w:t xml:space="preserve">94</w:t>
      </w:r>
      <w:r>
        <w:fldChar w:fldCharType="end"/>
      </w:r>
      <w:r>
        <w:t xml:space="preserve">.</w:t>
      </w:r>
      <w:r/>
    </w:p>
    <w:p>
      <w:pPr>
        <w:pStyle w:val="993"/>
      </w:pPr>
      <w:r>
        <w:fldChar w:fldCharType="begin"/>
      </w:r>
      <w:r>
        <w:instrText xml:space="preserve"> SEQ Таблица \* ARABIC </w:instrText>
      </w:r>
      <w:r>
        <w:fldChar w:fldCharType="separate"/>
      </w:r>
      <w:bookmarkStart w:id="1320" w:name="_Ref317675918"/>
      <w:r/>
      <w:bookmarkStart w:id="1321" w:name="_Toc88819280"/>
      <w:r>
        <w:t xml:space="preserve">94</w:t>
      </w:r>
      <w:bookmarkEnd w:id="1320"/>
      <w:r>
        <w:fldChar w:fldCharType="end"/>
      </w:r>
      <w:r>
        <w:t xml:space="preserve">. Описание полей документа «Расходное расписание</w:t>
      </w:r>
      <w:r>
        <w:t xml:space="preserve">», закладки «</w:t>
      </w:r>
      <w:r>
        <w:t xml:space="preserve">Документ (1)</w:t>
      </w:r>
      <w:r>
        <w:t xml:space="preserve">», </w:t>
      </w:r>
      <w:r>
        <w:t xml:space="preserve">в</w:t>
      </w:r>
      <w:r>
        <w:t xml:space="preserve">кладки «</w:t>
      </w:r>
      <w:r>
        <w:t xml:space="preserve">Раздел I: БА (3)»</w:t>
      </w:r>
      <w:bookmarkEnd w:id="1321"/>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2218"/>
        <w:gridCol w:w="7534"/>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13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63" w:type="pct"/>
            <w:vAlign w:val="center"/>
            <w:textDirection w:val="lrTb"/>
            <w:noWrap w:val="false"/>
          </w:tcPr>
          <w:p>
            <w:pPr>
              <w:pStyle w:val="1006"/>
            </w:pPr>
            <w:r>
              <w:t xml:space="preserve">Описание поля</w:t>
            </w:r>
            <w:r/>
          </w:p>
        </w:tc>
      </w:tr>
      <w:tr>
        <w:trPr/>
        <w:tc>
          <w:tcPr>
            <w:shd w:val="clear" w:fill="auto" w:color="auto"/>
            <w:tcW w:w="1137" w:type="pct"/>
            <w:textDirection w:val="lrTb"/>
            <w:noWrap w:val="false"/>
          </w:tcPr>
          <w:p>
            <w:pPr>
              <w:pStyle w:val="1005"/>
              <w:ind w:left="57" w:right="57"/>
            </w:pPr>
            <w:r>
              <w:t xml:space="preserve">Номер</w:t>
            </w:r>
            <w:r/>
          </w:p>
        </w:tc>
        <w:tc>
          <w:tcPr>
            <w:shd w:val="clear" w:fill="auto" w:color="auto"/>
            <w:tcW w:w="3863" w:type="pct"/>
            <w:textDirection w:val="lrTb"/>
            <w:noWrap w:val="false"/>
          </w:tcPr>
          <w:p>
            <w:pPr>
              <w:pStyle w:val="1005"/>
              <w:ind w:left="57" w:right="57"/>
            </w:pPr>
            <w:r>
              <w:t xml:space="preserve">Номер документа.</w:t>
            </w:r>
            <w:r/>
          </w:p>
          <w:p>
            <w:pPr>
              <w:pStyle w:val="1005"/>
              <w:ind w:left="57" w:right="57"/>
            </w:pPr>
            <w:r>
              <w:t xml:space="preserve">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r/>
          </w:p>
          <w:p>
            <w:pPr>
              <w:pStyle w:val="1005"/>
              <w:ind w:left="57" w:right="57"/>
            </w:pPr>
            <w:r>
              <w:t xml:space="preserve">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r/>
          </w:p>
        </w:tc>
      </w:tr>
      <w:tr>
        <w:trPr/>
        <w:tc>
          <w:tcPr>
            <w:shd w:val="clear" w:fill="auto" w:color="auto"/>
            <w:tcW w:w="1137" w:type="pct"/>
            <w:textDirection w:val="lrTb"/>
            <w:noWrap w:val="false"/>
          </w:tcPr>
          <w:p>
            <w:pPr>
              <w:pStyle w:val="1005"/>
              <w:ind w:left="57" w:right="57"/>
            </w:pPr>
            <w:r>
              <w:t xml:space="preserve">Дата</w:t>
            </w:r>
            <w:r/>
          </w:p>
        </w:tc>
        <w:tc>
          <w:tcPr>
            <w:shd w:val="clear" w:fill="auto" w:color="auto"/>
            <w:tcW w:w="3863" w:type="pct"/>
            <w:textDirection w:val="lrTb"/>
            <w:noWrap w:val="false"/>
          </w:tcPr>
          <w:p>
            <w:pPr>
              <w:pStyle w:val="1005"/>
              <w:ind w:left="57" w:right="57"/>
            </w:pPr>
            <w:r>
              <w:t xml:space="preserve">Дата формирования документа. </w:t>
            </w:r>
            <w:r/>
          </w:p>
          <w:p>
            <w:pPr>
              <w:pStyle w:val="1005"/>
              <w:ind w:left="57" w:right="57"/>
            </w:pPr>
            <w:r>
              <w:t xml:space="preserve">Для АРМ: По умолчанию проставляется текущая дата. Может быть изменена с помощью выбора из системного календаря.</w:t>
            </w:r>
            <w:r/>
          </w:p>
        </w:tc>
      </w:tr>
      <w:tr>
        <w:trPr/>
        <w:tc>
          <w:tcPr>
            <w:shd w:val="clear" w:fill="auto" w:color="auto"/>
            <w:tcW w:w="1137" w:type="pct"/>
            <w:textDirection w:val="lrTb"/>
            <w:noWrap w:val="false"/>
          </w:tcPr>
          <w:p>
            <w:pPr>
              <w:pStyle w:val="1005"/>
              <w:ind w:left="57" w:right="57"/>
            </w:pPr>
            <w:r>
              <w:t xml:space="preserve">Дата в/д</w:t>
            </w:r>
            <w:r/>
          </w:p>
        </w:tc>
        <w:tc>
          <w:tcPr>
            <w:shd w:val="clear" w:fill="auto" w:color="auto"/>
            <w:tcW w:w="3863" w:type="pct"/>
            <w:textDirection w:val="lrTb"/>
            <w:noWrap w:val="false"/>
          </w:tcPr>
          <w:p>
            <w:pPr>
              <w:pStyle w:val="1005"/>
              <w:ind w:left="57" w:right="57"/>
            </w:pPr>
            <w:r>
              <w:t xml:space="preserve">Дата ввода в действие бюджетных данных документа. </w:t>
            </w:r>
            <w:r/>
          </w:p>
          <w:p>
            <w:pPr>
              <w:pStyle w:val="1005"/>
              <w:ind w:left="57" w:right="57"/>
            </w:pPr>
            <w:r>
              <w:t xml:space="preserve">Для АРМ: По умолчанию заполняется текущей системной даты. Может быть изменена вручную или из системного календаря.</w:t>
            </w:r>
            <w:r/>
          </w:p>
        </w:tc>
      </w:tr>
      <w:tr>
        <w:trPr/>
        <w:tc>
          <w:tcPr>
            <w:shd w:val="clear" w:fill="auto" w:color="auto"/>
            <w:tcW w:w="1137" w:type="pct"/>
            <w:textDirection w:val="lrTb"/>
            <w:noWrap w:val="false"/>
          </w:tcPr>
          <w:p>
            <w:pPr>
              <w:pStyle w:val="1005"/>
              <w:ind w:left="57" w:right="57"/>
            </w:pPr>
            <w:r>
              <w:t xml:space="preserve">Ед. изм.</w:t>
            </w:r>
            <w:r/>
          </w:p>
        </w:tc>
        <w:tc>
          <w:tcPr>
            <w:shd w:val="clear" w:fill="auto" w:color="auto"/>
            <w:tcW w:w="3863" w:type="pct"/>
            <w:textDirection w:val="lrTb"/>
            <w:noWrap w:val="false"/>
          </w:tcPr>
          <w:p>
            <w:pPr>
              <w:pStyle w:val="1005"/>
              <w:ind w:left="57" w:right="57"/>
            </w:pPr>
            <w:r>
              <w:t xml:space="preserve">Единица измерения.</w:t>
            </w:r>
            <w:r/>
          </w:p>
          <w:p>
            <w:pPr>
              <w:pStyle w:val="1005"/>
              <w:ind w:left="57" w:right="57"/>
            </w:pPr>
            <w:r>
              <w:t xml:space="preserve">Заполняется автоматически значением «Руб». </w:t>
            </w:r>
            <w:r/>
          </w:p>
          <w:p>
            <w:pPr>
              <w:pStyle w:val="1005"/>
              <w:ind w:left="57" w:right="57"/>
            </w:pPr>
            <w:r>
              <w:t xml:space="preserve">Поле недоступно для редактирования.</w:t>
            </w:r>
            <w:r/>
          </w:p>
        </w:tc>
      </w:tr>
      <w:tr>
        <w:trPr/>
        <w:tc>
          <w:tcPr>
            <w:shd w:val="clear" w:fill="auto" w:color="auto"/>
            <w:tcW w:w="1137" w:type="pct"/>
            <w:textDirection w:val="lrTb"/>
            <w:noWrap w:val="false"/>
          </w:tcPr>
          <w:p>
            <w:pPr>
              <w:pStyle w:val="1005"/>
              <w:ind w:left="57" w:right="57"/>
            </w:pPr>
            <w:r>
              <w:t xml:space="preserve">Ст.</w:t>
            </w:r>
            <w:r/>
          </w:p>
        </w:tc>
        <w:tc>
          <w:tcPr>
            <w:shd w:val="clear" w:fill="auto" w:color="auto"/>
            <w:tcW w:w="3863" w:type="pct"/>
            <w:textDirection w:val="lrTb"/>
            <w:noWrap w:val="false"/>
          </w:tcPr>
          <w:p>
            <w:pPr>
              <w:pStyle w:val="1005"/>
              <w:ind w:left="57" w:right="57"/>
            </w:pPr>
            <w:r>
              <w:t xml:space="preserve">Код бизнес-статуса документа. </w:t>
            </w:r>
            <w:r/>
          </w:p>
          <w:p>
            <w:pPr>
              <w:pStyle w:val="1005"/>
              <w:ind w:left="57" w:right="57"/>
            </w:pPr>
            <w:r>
              <w:t xml:space="preserve">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r/>
          </w:p>
        </w:tc>
      </w:tr>
      <w:tr>
        <w:trPr/>
        <w:tc>
          <w:tcPr>
            <w:shd w:val="clear" w:fill="auto" w:color="auto"/>
            <w:tcW w:w="1137" w:type="pct"/>
            <w:textDirection w:val="lrTb"/>
            <w:noWrap w:val="false"/>
          </w:tcPr>
          <w:p>
            <w:pPr>
              <w:pStyle w:val="1005"/>
              <w:ind w:left="57" w:right="57"/>
            </w:pPr>
            <w:r>
              <w:t xml:space="preserve">Признак конфиденциальности</w:t>
            </w:r>
            <w:r/>
          </w:p>
        </w:tc>
        <w:tc>
          <w:tcPr>
            <w:shd w:val="clear" w:fill="auto" w:color="auto"/>
            <w:tcW w:w="3863" w:type="pct"/>
            <w:textDirection w:val="lrTb"/>
            <w:noWrap w:val="false"/>
          </w:tcPr>
          <w:p>
            <w:pPr>
              <w:pStyle w:val="1005"/>
              <w:ind w:left="57" w:right="57"/>
            </w:pPr>
            <w:r>
              <w:t xml:space="preserve">Уровень </w:t>
            </w:r>
            <w:r>
              <w:t xml:space="preserve">конфиденциальности</w:t>
            </w:r>
            <w:r>
              <w:t xml:space="preserve">. </w:t>
            </w:r>
            <w:r/>
          </w:p>
          <w:p>
            <w:pPr>
              <w:pStyle w:val="1005"/>
              <w:ind w:left="57" w:right="57"/>
            </w:pPr>
            <w:r>
              <w:t xml:space="preserve">Возможные значения: «не секретно», «</w:t>
            </w:r>
            <w:r>
              <w:t xml:space="preserve">ДСП</w:t>
            </w:r>
            <w:r>
              <w:t xml:space="preserve">».</w:t>
            </w:r>
            <w:r/>
          </w:p>
          <w:p>
            <w:pPr>
              <w:pStyle w:val="1005"/>
              <w:ind w:left="57" w:right="57"/>
            </w:pPr>
            <w:r>
              <w:t xml:space="preserve">Заполняется из списка по коду </w:t>
            </w:r>
            <w:r>
              <w:t xml:space="preserve">конфиденциальности</w:t>
            </w:r>
            <w:r>
              <w:t xml:space="preserve">.</w:t>
            </w:r>
            <w:r/>
          </w:p>
        </w:tc>
      </w:tr>
      <w:tr>
        <w:trPr/>
        <w:tc>
          <w:tcPr>
            <w:shd w:val="clear" w:fill="auto" w:color="auto"/>
            <w:tcW w:w="1137" w:type="pct"/>
            <w:textDirection w:val="lrTb"/>
            <w:noWrap w:val="false"/>
          </w:tcPr>
          <w:p>
            <w:pPr>
              <w:pStyle w:val="1005"/>
              <w:ind w:left="57" w:right="57"/>
            </w:pPr>
            <w:r>
              <w:t xml:space="preserve">Метка конфиденциальности</w:t>
            </w:r>
            <w:r/>
          </w:p>
        </w:tc>
        <w:tc>
          <w:tcPr>
            <w:shd w:val="clear" w:fill="auto" w:color="auto"/>
            <w:tcW w:w="3863" w:type="pct"/>
            <w:textDirection w:val="lrTb"/>
            <w:noWrap w:val="false"/>
          </w:tcPr>
          <w:p>
            <w:pPr>
              <w:pStyle w:val="1005"/>
              <w:ind w:left="57" w:right="57"/>
            </w:pPr>
            <w:r>
              <w:t xml:space="preserve">Нередактируемый реквизит. </w:t>
            </w:r>
            <w:r/>
          </w:p>
          <w:p>
            <w:pPr>
              <w:pStyle w:val="1005"/>
              <w:ind w:left="57" w:right="57"/>
            </w:pPr>
            <w:r>
              <w:t xml:space="preserve">Рядом с Меткой отображается наименование метки, в зависимости от ее значения:</w:t>
            </w:r>
            <w:r/>
          </w:p>
          <w:p>
            <w:pPr>
              <w:pStyle w:val="1005"/>
              <w:ind w:left="57" w:right="57"/>
            </w:pPr>
            <w:r>
              <w:t xml:space="preserve">0 </w:t>
            </w:r>
            <w:r>
              <w:t xml:space="preserve">–</w:t>
            </w:r>
            <w:r>
              <w:t xml:space="preserve"> не секретно;</w:t>
            </w:r>
            <w:r/>
          </w:p>
          <w:p>
            <w:pPr>
              <w:pStyle w:val="1005"/>
              <w:ind w:left="57" w:right="57"/>
            </w:pPr>
            <w:r>
              <w:t xml:space="preserve">1 </w:t>
            </w:r>
            <w:r>
              <w:t xml:space="preserve">–</w:t>
            </w:r>
            <w:r>
              <w:t xml:space="preserve"> </w:t>
            </w:r>
            <w:r>
              <w:t xml:space="preserve">для служебного пользования</w:t>
            </w:r>
            <w:r>
              <w:t xml:space="preserve">;</w:t>
            </w:r>
            <w:r/>
          </w:p>
          <w:p>
            <w:pPr>
              <w:pStyle w:val="1005"/>
              <w:ind w:left="57" w:right="57"/>
            </w:pPr>
            <w:r>
              <w:t xml:space="preserve">2 </w:t>
            </w:r>
            <w:r>
              <w:t xml:space="preserve">–</w:t>
            </w:r>
            <w:r>
              <w:t xml:space="preserve"> секретно;</w:t>
            </w:r>
            <w:r/>
          </w:p>
          <w:p>
            <w:pPr>
              <w:pStyle w:val="1005"/>
              <w:ind w:left="57" w:right="57"/>
            </w:pPr>
            <w:r>
              <w:t xml:space="preserve">3 </w:t>
            </w:r>
            <w:r>
              <w:t xml:space="preserve">–</w:t>
            </w:r>
            <w:r>
              <w:t xml:space="preserve"> совершенно секретно.</w:t>
            </w:r>
            <w:r/>
          </w:p>
        </w:tc>
      </w:tr>
      <w:tr>
        <w:trPr/>
        <w:tc>
          <w:tcPr>
            <w:shd w:val="clear" w:fill="auto" w:color="auto"/>
            <w:tcW w:w="1137" w:type="pct"/>
            <w:textDirection w:val="lrTb"/>
            <w:noWrap w:val="false"/>
          </w:tcPr>
          <w:p>
            <w:pPr>
              <w:pStyle w:val="1005"/>
              <w:ind w:left="57" w:right="57"/>
            </w:pPr>
            <w:r>
              <w:t xml:space="preserve">Пункт перечня</w:t>
            </w:r>
            <w:r/>
          </w:p>
        </w:tc>
        <w:tc>
          <w:tcPr>
            <w:shd w:val="clear" w:fill="auto" w:color="auto"/>
            <w:tcW w:w="3863" w:type="pct"/>
            <w:textDirection w:val="lrTb"/>
            <w:noWrap w:val="false"/>
          </w:tcPr>
          <w:p>
            <w:pPr>
              <w:pStyle w:val="1005"/>
              <w:ind w:left="57" w:right="57"/>
            </w:pPr>
            <w:r>
              <w:t xml:space="preserve">Нередактируемый реквизит. </w:t>
            </w:r>
            <w:r/>
          </w:p>
          <w:p>
            <w:pPr>
              <w:pStyle w:val="1005"/>
              <w:ind w:left="57" w:right="57"/>
            </w:pPr>
            <w:r>
              <w:t xml:space="preserve">Обязателен для заполнения при значении Метки = 2 или 3.</w:t>
            </w:r>
            <w:r/>
          </w:p>
        </w:tc>
      </w:tr>
      <w:tr>
        <w:trPr/>
        <w:tc>
          <w:tcPr>
            <w:gridSpan w:val="2"/>
            <w:shd w:val="clear" w:fill="auto" w:color="auto"/>
            <w:tcW w:w="5000" w:type="pct"/>
            <w:textDirection w:val="lrTb"/>
            <w:noWrap w:val="false"/>
          </w:tcPr>
          <w:p>
            <w:pPr>
              <w:pStyle w:val="1005"/>
              <w:ind w:left="57" w:right="57"/>
            </w:pPr>
            <w:r>
              <w:t xml:space="preserve">Группа полей «Наименования и Коды»</w:t>
            </w:r>
            <w:r/>
          </w:p>
        </w:tc>
      </w:tr>
      <w:tr>
        <w:trPr/>
        <w:tc>
          <w:tcPr>
            <w:shd w:val="clear" w:fill="auto" w:color="auto"/>
            <w:tcW w:w="1137" w:type="pct"/>
            <w:textDirection w:val="lrTb"/>
            <w:noWrap w:val="false"/>
          </w:tcPr>
          <w:p>
            <w:pPr>
              <w:pStyle w:val="1005"/>
              <w:ind w:left="57" w:right="57"/>
            </w:pPr>
            <w:r>
              <w:t xml:space="preserve">ГРБС/ГАИФ</w:t>
            </w:r>
            <w:r/>
          </w:p>
        </w:tc>
        <w:tc>
          <w:tcPr>
            <w:shd w:val="clear" w:fill="auto" w:color="auto"/>
            <w:tcW w:w="3863" w:type="pct"/>
            <w:textDirection w:val="lrTb"/>
            <w:noWrap w:val="false"/>
          </w:tcPr>
          <w:p>
            <w:pPr>
              <w:pStyle w:val="1005"/>
              <w:ind w:left="57" w:right="57"/>
            </w:pPr>
            <w:r>
              <w:t xml:space="preserve">Наименование ГРБС (ГАИФ), соответствующее коду главы.</w:t>
            </w:r>
            <w:r/>
          </w:p>
          <w:p>
            <w:pPr>
              <w:pStyle w:val="1005"/>
              <w:ind w:left="57" w:right="57"/>
            </w:pPr>
            <w:r>
              <w:t xml:space="preserve">Автозаполнение: из СР (если переход на СР = 1) и из СРРПБС (если переход на СР</w:t>
            </w:r>
            <w:r>
              <w:t xml:space="preserve"> </w:t>
            </w:r>
            <w:r>
              <w:t xml:space="preserve">= 0).</w:t>
            </w:r>
            <w:r/>
          </w:p>
          <w:p>
            <w:pPr>
              <w:pStyle w:val="1005"/>
              <w:ind w:left="57" w:right="57"/>
            </w:pPr>
            <w:r>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r/>
          </w:p>
          <w:p>
            <w:pPr>
              <w:pStyle w:val="1005"/>
              <w:ind w:left="57" w:right="57"/>
            </w:pPr>
            <w:r>
              <w:t xml:space="preserve">Может быть отредактировано вручную.</w:t>
            </w:r>
            <w:r/>
          </w:p>
        </w:tc>
      </w:tr>
      <w:tr>
        <w:trPr/>
        <w:tc>
          <w:tcPr>
            <w:shd w:val="clear" w:fill="auto" w:color="auto"/>
            <w:tcW w:w="1137" w:type="pct"/>
            <w:textDirection w:val="lrTb"/>
            <w:noWrap w:val="false"/>
          </w:tcPr>
          <w:p>
            <w:pPr>
              <w:pStyle w:val="1005"/>
              <w:ind w:left="57" w:right="57"/>
            </w:pPr>
            <w:r>
              <w:t xml:space="preserve">Глава по БК</w:t>
            </w:r>
            <w:r/>
          </w:p>
        </w:tc>
        <w:tc>
          <w:tcPr>
            <w:shd w:val="clear" w:fill="auto" w:color="auto"/>
            <w:tcW w:w="3863" w:type="pct"/>
            <w:textDirection w:val="lrTb"/>
            <w:noWrap w:val="false"/>
          </w:tcPr>
          <w:p>
            <w:pPr>
              <w:pStyle w:val="1005"/>
              <w:ind w:left="57" w:right="57"/>
            </w:pPr>
            <w:r>
              <w:t xml:space="preserve">Код ГРБС (ГАИФ).</w:t>
            </w:r>
            <w:r/>
          </w:p>
          <w:p>
            <w:pPr>
              <w:pStyle w:val="1005"/>
              <w:ind w:left="57" w:right="57"/>
            </w:pPr>
            <w:r>
              <w:t xml:space="preserve">Может быть изменено вручную или из справочников </w:t>
            </w:r>
            <w:r>
              <w:t xml:space="preserve">СР/</w:t>
            </w:r>
            <w:r>
              <w:t xml:space="preserve">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r>
              <w:t xml:space="preserve"> </w:t>
            </w:r>
            <w:r/>
          </w:p>
          <w:p>
            <w:pPr>
              <w:pStyle w:val="1005"/>
              <w:ind w:left="57" w:right="57"/>
            </w:pPr>
            <w:r>
              <w:t xml:space="preserve">Для АРМ ФО: Не заполняется. Поле доступно для редактирования. Возможен ввод вручную или выбор из справочника «Ведомства». Значение справочника ограничены значением поля «Бюджет».</w:t>
            </w:r>
            <w:r/>
          </w:p>
        </w:tc>
      </w:tr>
      <w:tr>
        <w:trPr/>
        <w:tc>
          <w:tcPr>
            <w:shd w:val="clear" w:fill="auto" w:color="auto"/>
            <w:tcW w:w="1137" w:type="pct"/>
            <w:textDirection w:val="lrTb"/>
            <w:noWrap w:val="false"/>
          </w:tcPr>
          <w:p>
            <w:pPr>
              <w:pStyle w:val="1005"/>
              <w:ind w:left="57" w:right="57"/>
            </w:pPr>
            <w:r>
              <w:t xml:space="preserve">РБС(ПБС)/ТОАИФ(АИФ)</w:t>
            </w:r>
            <w:r/>
          </w:p>
        </w:tc>
        <w:tc>
          <w:tcPr>
            <w:shd w:val="clear" w:fill="auto" w:color="auto"/>
            <w:tcW w:w="3863" w:type="pct"/>
            <w:textDirection w:val="lrTb"/>
            <w:noWrap w:val="false"/>
          </w:tcPr>
          <w:p>
            <w:pPr>
              <w:pStyle w:val="1005"/>
              <w:ind w:left="57" w:right="57"/>
            </w:pPr>
            <w:r>
              <w:t xml:space="preserve">Наименование </w:t>
            </w:r>
            <w:r>
              <w:t xml:space="preserve">РБС(ПБС)/ТОАИФ(АИФ</w:t>
            </w:r>
            <w:r>
              <w:t xml:space="preserve">).</w:t>
            </w:r>
            <w:r/>
          </w:p>
          <w:p>
            <w:pPr>
              <w:pStyle w:val="1008"/>
              <w:numPr>
                <w:ilvl w:val="0"/>
                <w:numId w:val="91"/>
              </w:numPr>
            </w:pPr>
            <w:r>
              <w:t xml:space="preserve">Автоматическое заполнение: </w:t>
            </w:r>
            <w:r/>
          </w:p>
          <w:p>
            <w:pPr>
              <w:pStyle w:val="1007"/>
            </w:pPr>
            <w:r>
              <w:t xml:space="preserve">н</w:t>
            </w:r>
            <w:r>
              <w:t xml:space="preserve">а АРМ ФО </w:t>
            </w:r>
            <w:r>
              <w:t xml:space="preserve">–</w:t>
            </w:r>
            <w:r>
              <w:t xml:space="preserve"> </w:t>
            </w:r>
            <w:r>
              <w:t xml:space="preserve">не заполняе</w:t>
            </w:r>
            <w:r>
              <w:t xml:space="preserve">тся.</w:t>
            </w:r>
            <w:r/>
          </w:p>
          <w:p>
            <w:pPr>
              <w:pStyle w:val="1008"/>
            </w:pPr>
            <w:r>
              <w:t xml:space="preserve">Для Федерального бюджета:</w:t>
            </w:r>
            <w:r/>
          </w:p>
          <w:p>
            <w:pPr>
              <w:pStyle w:val="1005"/>
              <w:ind w:left="57" w:right="57"/>
            </w:pPr>
            <w:r>
              <w:t xml:space="preserve">Для АРМ: </w:t>
            </w:r>
            <w:r/>
          </w:p>
          <w:p>
            <w:pPr>
              <w:pStyle w:val="1007"/>
            </w:pPr>
            <w:r>
              <w:t xml:space="preserve">е</w:t>
            </w:r>
            <w:r>
              <w:t xml:space="preserve">сли «Переход на СР»</w:t>
            </w:r>
            <w:r>
              <w:t xml:space="preserve"> = 0, то </w:t>
            </w:r>
            <w:r>
              <w:t xml:space="preserve">заполняется из справочника «СРРПБС» на осно</w:t>
            </w:r>
            <w:r>
              <w:t xml:space="preserve">вании поля «по Сводному реестру (РБС(ПБС)/ТОАИФ(АИФ))»;</w:t>
            </w:r>
            <w:r/>
          </w:p>
          <w:p>
            <w:pPr>
              <w:pStyle w:val="1007"/>
            </w:pPr>
            <w:r>
              <w:t xml:space="preserve">е</w:t>
            </w:r>
            <w:r>
              <w:t xml:space="preserve">сли «Переход на СР» = 1, то заполняется из справочника СР полным наименованием (FullName)</w:t>
            </w:r>
            <w:r>
              <w:t xml:space="preserve">.</w:t>
            </w:r>
            <w:r/>
          </w:p>
          <w:p>
            <w:pPr>
              <w:pStyle w:val="1005"/>
              <w:ind w:left="57" w:right="57"/>
            </w:pPr>
            <w:r>
              <w:t xml:space="preserve">Может быть изменено вручную. </w:t>
            </w:r>
            <w:r/>
          </w:p>
          <w:p>
            <w:pPr>
              <w:pStyle w:val="1008"/>
            </w:pPr>
            <w:r>
              <w:t xml:space="preserve">Для бюджета ГВБФ (4 уровень бюджета):</w:t>
            </w:r>
            <w:r/>
          </w:p>
          <w:p>
            <w:pPr>
              <w:pStyle w:val="1005"/>
              <w:ind w:left="57" w:right="57"/>
            </w:pPr>
            <w:r>
              <w:t xml:space="preserve">На АРМ ФО: поле не заполняется.</w:t>
            </w:r>
            <w:r/>
          </w:p>
          <w:p>
            <w:pPr>
              <w:pStyle w:val="1008"/>
            </w:pPr>
            <w:r>
              <w:t xml:space="preserve">Для прочих бюджетов:</w:t>
            </w:r>
            <w:r/>
          </w:p>
          <w:p>
            <w:pPr>
              <w:pStyle w:val="1005"/>
              <w:ind w:left="57" w:right="57"/>
            </w:pPr>
            <w:r>
              <w:t xml:space="preserve">Д</w:t>
            </w:r>
            <w:r>
              <w:t xml:space="preserve">ля АРМ ФО: Поле не заполняется.</w:t>
            </w:r>
            <w:r/>
          </w:p>
        </w:tc>
      </w:tr>
      <w:tr>
        <w:trPr/>
        <w:tc>
          <w:tcPr>
            <w:shd w:val="clear" w:fill="auto" w:color="auto"/>
            <w:tcW w:w="1137" w:type="pct"/>
            <w:textDirection w:val="lrTb"/>
            <w:noWrap w:val="false"/>
          </w:tcPr>
          <w:p>
            <w:pPr>
              <w:pStyle w:val="1005"/>
              <w:ind w:left="57" w:right="57"/>
            </w:pPr>
            <w:r>
              <w:t xml:space="preserve">П</w:t>
            </w:r>
            <w:r>
              <w:t xml:space="preserve">о Сводному реестру</w:t>
            </w:r>
            <w:r/>
          </w:p>
        </w:tc>
        <w:tc>
          <w:tcPr>
            <w:shd w:val="clear" w:fill="auto" w:color="auto"/>
            <w:tcW w:w="3863" w:type="pct"/>
            <w:textDirection w:val="lrTb"/>
            <w:noWrap w:val="false"/>
          </w:tcPr>
          <w:p>
            <w:pPr>
              <w:pStyle w:val="1005"/>
              <w:ind w:left="57" w:right="57"/>
            </w:pPr>
            <w:r>
              <w:t xml:space="preserve">Код РБС (ПБС, АИФ) по Сводному реестру.</w:t>
            </w:r>
            <w:r/>
          </w:p>
          <w:p>
            <w:pPr>
              <w:pStyle w:val="1005"/>
              <w:ind w:left="57" w:right="57"/>
            </w:pPr>
            <w:r>
              <w:t xml:space="preserve">Для АРМ ФО: По умолчанию </w:t>
            </w:r>
            <w:r>
              <w:t xml:space="preserve">–</w:t>
            </w:r>
            <w:r>
              <w:t xml:space="preserve"> не заполняется. </w:t>
            </w:r>
            <w:r/>
          </w:p>
        </w:tc>
      </w:tr>
      <w:tr>
        <w:trPr/>
        <w:tc>
          <w:tcPr>
            <w:shd w:val="clear" w:fill="auto" w:color="auto"/>
            <w:tcW w:w="1137" w:type="pct"/>
            <w:textDirection w:val="lrTb"/>
            <w:noWrap w:val="false"/>
          </w:tcPr>
          <w:p>
            <w:pPr>
              <w:pStyle w:val="1005"/>
              <w:ind w:left="57" w:right="57"/>
            </w:pPr>
            <w:r>
              <w:t xml:space="preserve">Номер лицевого счета</w:t>
            </w:r>
            <w:r/>
          </w:p>
        </w:tc>
        <w:tc>
          <w:tcPr>
            <w:shd w:val="clear" w:fill="auto" w:color="auto"/>
            <w:tcW w:w="3863" w:type="pct"/>
            <w:textDirection w:val="lrTb"/>
            <w:noWrap w:val="false"/>
          </w:tcPr>
          <w:p>
            <w:pPr>
              <w:pStyle w:val="1005"/>
              <w:ind w:left="57" w:right="57"/>
            </w:pPr>
            <w:r>
              <w:t xml:space="preserve">Номер лицевого счета организации, указанной в поле «РБС(ПБС)/ТОАИФ(АИФ)».</w:t>
            </w:r>
            <w:r/>
          </w:p>
          <w:p>
            <w:pPr>
              <w:pStyle w:val="1005"/>
              <w:ind w:left="57" w:right="57"/>
            </w:pPr>
            <w:r>
              <w:t xml:space="preserve">З</w:t>
            </w:r>
            <w:r>
              <w:t xml:space="preserve">аполняется вручную или из справочника </w:t>
            </w:r>
            <w:r>
              <w:t xml:space="preserve">«</w:t>
            </w:r>
            <w:r>
              <w:t xml:space="preserve">Информация о лицевых счетах</w:t>
            </w:r>
            <w:r>
              <w:t xml:space="preserve">»</w:t>
            </w:r>
            <w:r>
              <w:t xml:space="preserve">.</w:t>
            </w:r>
            <w:r/>
          </w:p>
          <w:p>
            <w:pPr>
              <w:pStyle w:val="1005"/>
              <w:ind w:left="57" w:right="57"/>
            </w:pPr>
            <w:r>
              <w:t xml:space="preserve">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r/>
          </w:p>
        </w:tc>
      </w:tr>
      <w:tr>
        <w:trPr/>
        <w:tc>
          <w:tcPr>
            <w:shd w:val="clear" w:fill="auto" w:color="auto"/>
            <w:tcW w:w="1137" w:type="pct"/>
            <w:textDirection w:val="lrTb"/>
            <w:noWrap w:val="false"/>
          </w:tcPr>
          <w:p>
            <w:pPr>
              <w:pStyle w:val="1005"/>
              <w:ind w:left="57" w:right="57"/>
            </w:pPr>
            <w:r>
              <w:t xml:space="preserve">Бюджет</w:t>
            </w:r>
            <w:r/>
          </w:p>
        </w:tc>
        <w:tc>
          <w:tcPr>
            <w:shd w:val="clear" w:fill="auto" w:color="auto"/>
            <w:tcW w:w="3863" w:type="pct"/>
            <w:textDirection w:val="lrTb"/>
            <w:noWrap w:val="false"/>
          </w:tcPr>
          <w:p>
            <w:pPr>
              <w:pStyle w:val="1005"/>
              <w:ind w:left="57" w:right="57"/>
            </w:pPr>
            <w:r>
              <w:t xml:space="preserve">Наименование бюджета согласно справочнику «Бюджеты».</w:t>
            </w:r>
            <w:r/>
          </w:p>
          <w:p>
            <w:pPr>
              <w:pStyle w:val="1005"/>
              <w:ind w:left="57" w:right="57"/>
            </w:pPr>
            <w:r>
              <w:t xml:space="preserve">Для АРМ: Заполняется автоматически из справочника «Бюджеты» на основании системной константы </w:t>
            </w:r>
            <w:r>
              <w:t xml:space="preserve">«</w:t>
            </w:r>
            <w:r>
              <w:t xml:space="preserve">Код бюджета</w:t>
            </w:r>
            <w:r>
              <w:t xml:space="preserve">»</w:t>
            </w:r>
            <w:r>
              <w:t xml:space="preserve">. </w:t>
            </w:r>
            <w:r/>
          </w:p>
        </w:tc>
      </w:tr>
      <w:tr>
        <w:trPr/>
        <w:tc>
          <w:tcPr>
            <w:shd w:val="clear" w:fill="auto" w:color="auto"/>
            <w:tcW w:w="1137" w:type="pct"/>
            <w:textDirection w:val="lrTb"/>
            <w:noWrap w:val="false"/>
          </w:tcPr>
          <w:p>
            <w:pPr>
              <w:pStyle w:val="1005"/>
              <w:ind w:left="57" w:right="57"/>
            </w:pPr>
            <w:r>
              <w:t xml:space="preserve">Финорган</w:t>
            </w:r>
            <w:r/>
          </w:p>
        </w:tc>
        <w:tc>
          <w:tcPr>
            <w:shd w:val="clear" w:fill="auto" w:color="auto"/>
            <w:tcW w:w="3863" w:type="pct"/>
            <w:textDirection w:val="lrTb"/>
            <w:noWrap w:val="false"/>
          </w:tcPr>
          <w:p>
            <w:pPr>
              <w:pStyle w:val="1005"/>
              <w:ind w:left="57" w:right="57"/>
            </w:pPr>
            <w:r>
              <w:t xml:space="preserve">Наименование ФО, обслуживающего указанный бюджет.</w:t>
            </w:r>
            <w:r/>
          </w:p>
          <w:p>
            <w:pPr>
              <w:pStyle w:val="1008"/>
              <w:numPr>
                <w:ilvl w:val="0"/>
                <w:numId w:val="84"/>
              </w:numPr>
            </w:pPr>
            <w:r>
              <w:t xml:space="preserve">Для АРМ всех бюджетов (кроме ГВБФ: 4-й уровень бюджета): </w:t>
            </w:r>
            <w:r/>
          </w:p>
          <w:p>
            <w:pPr>
              <w:pStyle w:val="1005"/>
              <w:ind w:left="57" w:right="57"/>
            </w:pPr>
            <w:r>
              <w:t xml:space="preserve">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r/>
          </w:p>
          <w:p>
            <w:pPr>
              <w:pStyle w:val="1008"/>
            </w:pPr>
            <w:r>
              <w:t xml:space="preserve">Для бюджета ГВБФ (4-й уровень бюджета):</w:t>
            </w:r>
            <w:r/>
          </w:p>
          <w:p>
            <w:pPr>
              <w:pStyle w:val="1005"/>
              <w:ind w:left="57" w:right="57"/>
            </w:pPr>
            <w:r>
              <w:t xml:space="preserve">Для АРМ ФО: заполняется автоматически актуальным значением из справочника «ПУБП» по системной константе </w:t>
            </w:r>
            <w:r>
              <w:t xml:space="preserve">«</w:t>
            </w:r>
            <w:r>
              <w:t xml:space="preserve">Код собственного БУ</w:t>
            </w:r>
            <w:r>
              <w:t xml:space="preserve">»</w:t>
            </w:r>
            <w:r>
              <w:t xml:space="preserve">.</w:t>
            </w:r>
            <w:r/>
          </w:p>
        </w:tc>
      </w:tr>
      <w:tr>
        <w:trPr/>
        <w:tc>
          <w:tcPr>
            <w:shd w:val="clear" w:fill="auto" w:color="auto"/>
            <w:tcW w:w="1137" w:type="pct"/>
            <w:textDirection w:val="lrTb"/>
            <w:noWrap w:val="false"/>
          </w:tcPr>
          <w:p>
            <w:pPr>
              <w:pStyle w:val="1005"/>
              <w:ind w:left="57" w:right="57"/>
            </w:pPr>
            <w:r>
              <w:t xml:space="preserve">Откуда (ФК)</w:t>
            </w:r>
            <w:r/>
          </w:p>
        </w:tc>
        <w:tc>
          <w:tcPr>
            <w:shd w:val="clear" w:fill="auto" w:color="auto"/>
            <w:tcW w:w="3863" w:type="pct"/>
            <w:textDirection w:val="lrTb"/>
            <w:noWrap w:val="false"/>
          </w:tcPr>
          <w:p>
            <w:pPr>
              <w:pStyle w:val="1005"/>
              <w:ind w:left="57" w:right="57"/>
            </w:pPr>
            <w:r>
              <w:t xml:space="preserve">Наименование ТОФК-отправителя, согласно справочнику «Органы казначейства».</w:t>
            </w:r>
            <w:r/>
          </w:p>
          <w:p>
            <w:pPr>
              <w:pStyle w:val="1005"/>
              <w:ind w:left="57" w:right="57"/>
            </w:pPr>
            <w:r>
              <w:t xml:space="preserve">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r/>
          </w:p>
        </w:tc>
      </w:tr>
      <w:tr>
        <w:trPr>
          <w:trHeight w:val="70"/>
        </w:trPr>
        <w:tc>
          <w:tcPr>
            <w:shd w:val="clear" w:fill="auto" w:color="auto"/>
            <w:tcW w:w="1137" w:type="pct"/>
            <w:textDirection w:val="lrTb"/>
            <w:noWrap w:val="false"/>
          </w:tcPr>
          <w:p>
            <w:pPr>
              <w:pStyle w:val="1005"/>
              <w:ind w:left="57" w:right="57"/>
            </w:pPr>
            <w:r>
              <w:t xml:space="preserve">П</w:t>
            </w:r>
            <w:r>
              <w:t xml:space="preserve">о КОФК</w:t>
            </w:r>
            <w:r/>
          </w:p>
        </w:tc>
        <w:tc>
          <w:tcPr>
            <w:shd w:val="clear" w:fill="auto" w:color="auto"/>
            <w:tcW w:w="3863" w:type="pct"/>
            <w:textDirection w:val="lrTb"/>
            <w:noWrap w:val="false"/>
          </w:tcPr>
          <w:p>
            <w:pPr>
              <w:pStyle w:val="1005"/>
              <w:ind w:left="57" w:right="57"/>
            </w:pPr>
            <w:r>
              <w:t xml:space="preserve">Код ТОФК-отправителя по справочнику «Органы казначейства».</w:t>
            </w:r>
            <w:r/>
          </w:p>
          <w:p>
            <w:pPr>
              <w:pStyle w:val="1005"/>
              <w:ind w:left="57" w:right="57"/>
            </w:pPr>
            <w:r>
              <w:t xml:space="preserve">Для АРМ ФО: поле не заполняется. </w:t>
            </w:r>
            <w:r/>
          </w:p>
        </w:tc>
      </w:tr>
      <w:tr>
        <w:trPr/>
        <w:tc>
          <w:tcPr>
            <w:shd w:val="clear" w:fill="auto" w:color="auto"/>
            <w:tcW w:w="1137" w:type="pct"/>
            <w:textDirection w:val="lrTb"/>
            <w:noWrap w:val="false"/>
          </w:tcPr>
          <w:p>
            <w:pPr>
              <w:pStyle w:val="1005"/>
              <w:ind w:left="57" w:right="57"/>
            </w:pPr>
            <w:r>
              <w:t xml:space="preserve">Кому</w:t>
            </w:r>
            <w:r/>
          </w:p>
        </w:tc>
        <w:tc>
          <w:tcPr>
            <w:shd w:val="clear" w:fill="auto" w:color="auto"/>
            <w:tcW w:w="3863" w:type="pct"/>
            <w:textDirection w:val="lrTb"/>
            <w:noWrap w:val="false"/>
          </w:tcPr>
          <w:p>
            <w:pPr>
              <w:pStyle w:val="1005"/>
              <w:ind w:left="57" w:right="57"/>
            </w:pPr>
            <w:r>
              <w:t xml:space="preserve">Наименование БУ-получателя в соответствии с СРРПБС.</w:t>
            </w:r>
            <w:r/>
          </w:p>
          <w:p>
            <w:pPr>
              <w:pStyle w:val="1008"/>
              <w:numPr>
                <w:ilvl w:val="0"/>
                <w:numId w:val="83"/>
              </w:numPr>
            </w:pPr>
            <w:r>
              <w:t xml:space="preserve">Для Федерального бюджета:</w:t>
            </w:r>
            <w:r/>
          </w:p>
          <w:p>
            <w:pPr>
              <w:pStyle w:val="1005"/>
              <w:ind w:left="57" w:right="57"/>
            </w:pPr>
            <w:r>
              <w:t xml:space="preserve">Для АРМ. Подтягивается автоматически на основании поля «Кому (По Сводному реестру)» из справочника «СРРПБС»/СР или заполняется вручную.</w:t>
            </w:r>
            <w:r/>
          </w:p>
          <w:p>
            <w:pPr>
              <w:pStyle w:val="1008"/>
            </w:pPr>
            <w:r>
              <w:t xml:space="preserve">Для прочих бюджетов:</w:t>
            </w:r>
            <w:r/>
          </w:p>
          <w:p>
            <w:pPr>
              <w:pStyle w:val="1005"/>
              <w:ind w:left="57" w:right="57"/>
            </w:pPr>
            <w:r>
              <w:t xml:space="preserve">Значение может быть выбрано из справочника «ПУБП» (без заполнения поля по Сводному реестру).</w:t>
            </w:r>
            <w:r/>
          </w:p>
        </w:tc>
      </w:tr>
      <w:tr>
        <w:trPr/>
        <w:tc>
          <w:tcPr>
            <w:shd w:val="clear" w:fill="auto" w:color="auto"/>
            <w:tcW w:w="1137" w:type="pct"/>
            <w:textDirection w:val="lrTb"/>
            <w:noWrap w:val="false"/>
          </w:tcPr>
          <w:p>
            <w:pPr>
              <w:pStyle w:val="1005"/>
              <w:ind w:left="57" w:right="57"/>
            </w:pPr>
            <w:r>
              <w:t xml:space="preserve">П</w:t>
            </w:r>
            <w:r>
              <w:t xml:space="preserve">о Сводному реестру</w:t>
            </w:r>
            <w:r/>
          </w:p>
        </w:tc>
        <w:tc>
          <w:tcPr>
            <w:shd w:val="clear" w:fill="auto" w:color="auto"/>
            <w:tcW w:w="3863" w:type="pct"/>
            <w:textDirection w:val="lrTb"/>
            <w:noWrap w:val="false"/>
          </w:tcPr>
          <w:p>
            <w:pPr>
              <w:pStyle w:val="1005"/>
              <w:ind w:left="57" w:right="57"/>
            </w:pPr>
            <w:r>
              <w:t xml:space="preserve">Код БУ-получателя в соответствии с СРРПБС.</w:t>
            </w:r>
            <w:r/>
          </w:p>
          <w:p>
            <w:pPr>
              <w:pStyle w:val="1008"/>
              <w:numPr>
                <w:ilvl w:val="0"/>
                <w:numId w:val="82"/>
              </w:numPr>
            </w:pPr>
            <w:r>
              <w:t xml:space="preserve">Для Федерального бюджета:</w:t>
            </w:r>
            <w:r>
              <w:t xml:space="preserve"> м</w:t>
            </w:r>
            <w:r>
              <w:t xml:space="preserve">ожет быть заполнено вручную.</w:t>
            </w:r>
            <w:r/>
          </w:p>
          <w:p>
            <w:pPr>
              <w:pStyle w:val="1008"/>
            </w:pPr>
            <w:r>
              <w:t xml:space="preserve">Для прочих бюджетов: поле не заполняется.</w:t>
            </w:r>
            <w:r/>
          </w:p>
        </w:tc>
      </w:tr>
      <w:tr>
        <w:trPr/>
        <w:tc>
          <w:tcPr>
            <w:shd w:val="clear" w:fill="auto" w:color="auto"/>
            <w:tcW w:w="1137" w:type="pct"/>
            <w:textDirection w:val="lrTb"/>
            <w:noWrap w:val="false"/>
          </w:tcPr>
          <w:p>
            <w:pPr>
              <w:pStyle w:val="1005"/>
              <w:ind w:left="57" w:right="57"/>
            </w:pPr>
            <w:r>
              <w:t xml:space="preserve">Номер лицевого счета</w:t>
            </w:r>
            <w:r/>
          </w:p>
        </w:tc>
        <w:tc>
          <w:tcPr>
            <w:shd w:val="clear" w:fill="auto" w:color="auto"/>
            <w:tcW w:w="3863" w:type="pct"/>
            <w:textDirection w:val="lrTb"/>
            <w:noWrap w:val="false"/>
          </w:tcPr>
          <w:p>
            <w:pPr>
              <w:pStyle w:val="1005"/>
              <w:ind w:left="57" w:right="57"/>
            </w:pPr>
            <w:r>
              <w:t xml:space="preserve">Номер лицевого счета БУ-получателя (ПБС (АИФ)).</w:t>
            </w:r>
            <w:r/>
          </w:p>
          <w:p>
            <w:pPr>
              <w:pStyle w:val="1005"/>
              <w:ind w:left="57" w:right="57"/>
            </w:pPr>
            <w:r>
              <w:t xml:space="preserve">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r/>
          </w:p>
          <w:p>
            <w:pPr>
              <w:pStyle w:val="1005"/>
              <w:ind w:left="57" w:right="57"/>
            </w:pPr>
            <w:r>
              <w:t xml:space="preserve">При заполнении поля 14 типом ЛС перезаполняются следующие поля:</w:t>
            </w:r>
            <w:r/>
          </w:p>
          <w:p>
            <w:pPr>
              <w:pStyle w:val="1007"/>
            </w:pPr>
            <w:r>
              <w:t xml:space="preserve">Бюджет (код) – из справочника ИЛС для указанного ЛС;</w:t>
            </w:r>
            <w:r/>
          </w:p>
          <w:p>
            <w:pPr>
              <w:pStyle w:val="1007"/>
            </w:pPr>
            <w:r>
              <w:t xml:space="preserve">Бюджет (наименование) – по коду из справочника «Бюджеты»;</w:t>
            </w:r>
            <w:r/>
          </w:p>
          <w:p>
            <w:pPr>
              <w:pStyle w:val="1007"/>
            </w:pPr>
            <w:r>
              <w:t xml:space="preserve">Финорган (код) – по коду бюджета из справочника «Финорганы»;</w:t>
            </w:r>
            <w:r/>
          </w:p>
          <w:p>
            <w:pPr>
              <w:pStyle w:val="1007"/>
            </w:pPr>
            <w:r>
              <w:t xml:space="preserve">Финорган (наименование) – по коду ФО из справочника «Финорганы»;</w:t>
            </w:r>
            <w:r/>
          </w:p>
          <w:p>
            <w:pPr>
              <w:pStyle w:val="1007"/>
            </w:pPr>
            <w:r>
              <w:t xml:space="preserve">Глава по БК – из справочника ИЛС значением владельца ЛС;</w:t>
            </w:r>
            <w:r/>
          </w:p>
          <w:p>
            <w:pPr>
              <w:pStyle w:val="1007"/>
            </w:pPr>
            <w:r>
              <w:t xml:space="preserve">ГРБС – из справочника «Ведомства» с учетом указанной главы и бюджета;</w:t>
            </w:r>
            <w:r/>
          </w:p>
          <w:p>
            <w:pPr>
              <w:pStyle w:val="1007"/>
            </w:pPr>
            <w:r>
              <w:t xml:space="preserve">по Сводному реестру – из справочника ИЛС значением владельца ЛС (если бюджет отличен от ФБ, то поле не заполняется – только наименование);</w:t>
            </w:r>
            <w:r/>
          </w:p>
          <w:p>
            <w:pPr>
              <w:pStyle w:val="1007"/>
            </w:pPr>
            <w:r>
              <w:t xml:space="preserve">РБС/ПБС – из справочника РУБП/ПУБП/СР в соответствии с указанным кодом в поле «по Сводному реестру» и бюджетом;</w:t>
            </w:r>
            <w:r/>
          </w:p>
          <w:p>
            <w:pPr>
              <w:pStyle w:val="1007"/>
            </w:pPr>
            <w:r>
              <w:t xml:space="preserve">по Сводному реестру – из справочника ИЛС значением владельца ЛС (если бюджет отличен от ФБ, то поле не заполняется – только наименование);</w:t>
            </w:r>
            <w:r/>
          </w:p>
          <w:p>
            <w:pPr>
              <w:pStyle w:val="1007"/>
            </w:pPr>
            <w:r>
              <w:t xml:space="preserve">Кому – из справочника РУБП/ПУБП в соответствии с указанным кодом в поле «по Сводному реестру» и бюджетом;</w:t>
            </w:r>
            <w:r/>
          </w:p>
          <w:p>
            <w:pPr>
              <w:pStyle w:val="1007"/>
            </w:pPr>
            <w:r>
              <w:t xml:space="preserve">По КОФК (Куда) – из справочника ИЛС значением «Где открыт ЛС»;</w:t>
            </w:r>
            <w:r/>
          </w:p>
          <w:p>
            <w:pPr>
              <w:pStyle w:val="1007"/>
            </w:pPr>
            <w:r>
              <w:t xml:space="preserve">Куда (ФК) – из справочника «Органы ФК» по коду.</w:t>
            </w:r>
            <w:r/>
          </w:p>
        </w:tc>
      </w:tr>
      <w:tr>
        <w:trPr/>
        <w:tc>
          <w:tcPr>
            <w:shd w:val="clear" w:fill="auto" w:color="auto"/>
            <w:tcW w:w="1137" w:type="pct"/>
            <w:textDirection w:val="lrTb"/>
            <w:noWrap w:val="false"/>
          </w:tcPr>
          <w:p>
            <w:pPr>
              <w:pStyle w:val="1005"/>
              <w:ind w:left="57" w:right="57"/>
            </w:pPr>
            <w:r>
              <w:t xml:space="preserve">Куда (ФК)</w:t>
            </w:r>
            <w:r/>
          </w:p>
        </w:tc>
        <w:tc>
          <w:tcPr>
            <w:shd w:val="clear" w:fill="auto" w:color="auto"/>
            <w:tcW w:w="3863" w:type="pct"/>
            <w:textDirection w:val="lrTb"/>
            <w:noWrap w:val="false"/>
          </w:tcPr>
          <w:p>
            <w:pPr>
              <w:pStyle w:val="1005"/>
              <w:ind w:left="57" w:right="57"/>
            </w:pPr>
            <w:r>
              <w:t xml:space="preserve">Наименование ТОФК-получателя, в котором обслуживается БУ-получатель.</w:t>
            </w:r>
            <w:r/>
          </w:p>
          <w:p>
            <w:pPr>
              <w:pStyle w:val="1005"/>
              <w:ind w:left="57" w:right="57"/>
            </w:pPr>
            <w:r>
              <w:t xml:space="preserve">Для АРМ: Подтягивается автоматически из справочника «Органы ФК» на основании поля «по КОФК (Куда (ФК))» или заполняется вручную.</w:t>
            </w:r>
            <w:r/>
          </w:p>
        </w:tc>
      </w:tr>
      <w:tr>
        <w:trPr/>
        <w:tc>
          <w:tcPr>
            <w:shd w:val="clear" w:fill="auto" w:color="auto"/>
            <w:tcW w:w="1137" w:type="pct"/>
            <w:textDirection w:val="lrTb"/>
            <w:noWrap w:val="false"/>
          </w:tcPr>
          <w:p>
            <w:pPr>
              <w:pStyle w:val="1005"/>
              <w:ind w:left="57" w:right="57"/>
            </w:pPr>
            <w:r>
              <w:t xml:space="preserve">П</w:t>
            </w:r>
            <w:r>
              <w:t xml:space="preserve">о КОФК</w:t>
            </w:r>
            <w:r/>
          </w:p>
        </w:tc>
        <w:tc>
          <w:tcPr>
            <w:shd w:val="clear" w:fill="auto" w:color="auto"/>
            <w:tcW w:w="3863" w:type="pct"/>
            <w:textDirection w:val="lrTb"/>
            <w:noWrap w:val="false"/>
          </w:tcPr>
          <w:p>
            <w:pPr>
              <w:pStyle w:val="1005"/>
              <w:ind w:left="57" w:right="57"/>
            </w:pPr>
            <w:r>
              <w:t xml:space="preserve">Код ТОФК-получателя.</w:t>
            </w:r>
            <w:r/>
          </w:p>
          <w:p>
            <w:pPr>
              <w:pStyle w:val="1005"/>
              <w:ind w:left="57" w:right="57"/>
            </w:pPr>
            <w:r>
              <w:t xml:space="preserve">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r/>
          </w:p>
          <w:p>
            <w:pPr>
              <w:pStyle w:val="1005"/>
              <w:ind w:left="57" w:right="57"/>
            </w:pPr>
            <w:r>
              <w:t xml:space="preserve">Поле не заполняется, если значение «Куда (ФК)» равно значению поля «Откуда (ФК)».</w:t>
            </w:r>
            <w:r/>
          </w:p>
        </w:tc>
      </w:tr>
      <w:tr>
        <w:trPr/>
        <w:tc>
          <w:tcPr>
            <w:shd w:val="clear" w:fill="auto" w:color="auto"/>
            <w:tcW w:w="1137" w:type="pct"/>
            <w:textDirection w:val="lrTb"/>
            <w:noWrap w:val="false"/>
          </w:tcPr>
          <w:p>
            <w:pPr>
              <w:pStyle w:val="1005"/>
              <w:ind w:left="57" w:right="57"/>
            </w:pPr>
            <w:r>
              <w:t xml:space="preserve">Спец. </w:t>
            </w:r>
            <w:r>
              <w:t xml:space="preserve">У</w:t>
            </w:r>
            <w:r>
              <w:t xml:space="preserve">казания</w:t>
            </w:r>
            <w:r/>
          </w:p>
        </w:tc>
        <w:tc>
          <w:tcPr>
            <w:shd w:val="clear" w:fill="auto" w:color="auto"/>
            <w:tcW w:w="3863" w:type="pct"/>
            <w:textDirection w:val="lrTb"/>
            <w:noWrap w:val="false"/>
          </w:tcPr>
          <w:p>
            <w:pPr>
              <w:pStyle w:val="1005"/>
              <w:ind w:left="57" w:right="57"/>
            </w:pPr>
            <w:r>
              <w:t xml:space="preserve">Наименование специальных указаний. Для ввода значений используется дополнительная ЭФ «Специальные указания» (рисунки </w:t>
            </w:r>
            <w:r>
              <w:fldChar w:fldCharType="begin"/>
            </w:r>
            <w:r>
              <w:instrText xml:space="preserve"> REF _Ref261878608 \h  \* MERGEFORMAT </w:instrText>
            </w:r>
            <w:r>
              <w:fldChar w:fldCharType="separate"/>
            </w:r>
            <w:r>
              <w:t xml:space="preserve">174</w:t>
            </w:r>
            <w:r>
              <w:fldChar w:fldCharType="end"/>
            </w:r>
            <w:r>
              <w:t xml:space="preserve">, </w:t>
            </w:r>
            <w:r>
              <w:fldChar w:fldCharType="begin"/>
            </w:r>
            <w:r>
              <w:instrText xml:space="preserve"> REF _Ref261878610 \h  \* MERGEFORMAT </w:instrText>
            </w:r>
            <w:r>
              <w:fldChar w:fldCharType="separate"/>
            </w:r>
            <w:r>
              <w:t xml:space="preserve">175</w:t>
            </w:r>
            <w:r>
              <w:fldChar w:fldCharType="end"/>
            </w:r>
            <w:r>
              <w:t xml:space="preserve"> или </w:t>
            </w:r>
            <w:r>
              <w:fldChar w:fldCharType="begin"/>
            </w:r>
            <w:r>
              <w:instrText xml:space="preserve"> REF _Ref261878611 \h  \* MERGEFORMAT </w:instrText>
            </w:r>
            <w:r>
              <w:fldChar w:fldCharType="separate"/>
            </w:r>
            <w:r>
              <w:t xml:space="preserve">176</w:t>
            </w:r>
            <w:r>
              <w:fldChar w:fldCharType="end"/>
            </w:r>
            <w:r>
              <w:t xml:space="preserve">), которая открывается по нажатию на кнопку </w:t>
            </w:r>
            <w:r>
              <mc:AlternateContent>
                <mc:Choice Requires="wpg">
                  <w:drawing>
                    <wp:inline xmlns:wp="http://schemas.openxmlformats.org/drawingml/2006/wordprocessingDrawing" distT="0" distB="0" distL="0" distR="0">
                      <wp:extent cx="91440" cy="91440"/>
                      <wp:effectExtent l="0" t="0" r="0" b="0"/>
                      <wp:docPr id="26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41"/>
                              <a:stretch/>
                            </pic:blipFill>
                            <pic:spPr bwMode="auto">
                              <a:xfrm>
                                <a:off x="0" y="0"/>
                                <a:ext cx="91440" cy="914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5" o:spid="_x0000_s265" type="#_x0000_t75" style="mso-wrap-distance-left:0.0pt;mso-wrap-distance-top:0.0pt;mso-wrap-distance-right:0.0pt;mso-wrap-distance-bottom:0.0pt;width:7.2pt;height:7.2pt;" stroked="f">
                      <v:path textboxrect="0,0,0,0"/>
                      <v:imagedata r:id="rId241" o:title=""/>
                    </v:shape>
                  </w:pict>
                </mc:Fallback>
              </mc:AlternateContent>
            </w:r>
            <w:r>
              <w:t xml:space="preserve">. Представление данной формы зависит от значения в поле кода специальных указаний (см. далее). При указании нескольких кодов спец. </w:t>
            </w:r>
            <w:r>
              <w:t xml:space="preserve">У</w:t>
            </w:r>
            <w:r>
              <w:t xml:space="preserve">казаний, а так же при заполнении формы «Специальные указания» значения выводятся через разделитель «;».</w:t>
            </w:r>
            <w:r/>
          </w:p>
        </w:tc>
      </w:tr>
      <w:tr>
        <w:trPr/>
        <w:tc>
          <w:tcPr>
            <w:shd w:val="clear" w:fill="auto" w:color="auto"/>
            <w:tcW w:w="1137" w:type="pct"/>
            <w:textDirection w:val="lrTb"/>
            <w:noWrap w:val="false"/>
          </w:tcPr>
          <w:p>
            <w:pPr>
              <w:pStyle w:val="1005"/>
              <w:ind w:left="57" w:right="57"/>
            </w:pPr>
            <w:r>
              <w:t xml:space="preserve">Спец. </w:t>
            </w:r>
            <w:r>
              <w:t xml:space="preserve">У</w:t>
            </w:r>
            <w:r>
              <w:t xml:space="preserve">казания (Код)</w:t>
            </w:r>
            <w:r/>
          </w:p>
        </w:tc>
        <w:tc>
          <w:tcPr>
            <w:shd w:val="clear" w:fill="auto" w:color="auto"/>
            <w:tcW w:w="3863" w:type="pct"/>
            <w:textDirection w:val="lrTb"/>
            <w:noWrap w:val="false"/>
          </w:tcPr>
          <w:p>
            <w:pPr>
              <w:pStyle w:val="1005"/>
              <w:ind w:left="57" w:right="57"/>
            </w:pPr>
            <w:r>
              <w:t xml:space="preserve">Код специальных указаний. </w:t>
            </w:r>
            <w:r/>
          </w:p>
          <w:p>
            <w:pPr>
              <w:pStyle w:val="1005"/>
              <w:ind w:left="57" w:right="57"/>
            </w:pPr>
            <w:r>
              <w:t xml:space="preserve">Вводится из справочника специальных указаний. </w:t>
            </w:r>
            <w:r/>
          </w:p>
          <w:p>
            <w:pPr>
              <w:pStyle w:val="1005"/>
              <w:ind w:left="57" w:right="57"/>
            </w:pPr>
            <w:r>
              <w:t xml:space="preserve">В поле может быть указано несколько значений через «,». Может быть заполнено вручную.</w:t>
            </w:r>
            <w:r/>
          </w:p>
        </w:tc>
      </w:tr>
      <w:tr>
        <w:trPr/>
        <w:tc>
          <w:tcPr>
            <w:gridSpan w:val="2"/>
            <w:shd w:val="clear" w:fill="auto" w:color="auto"/>
            <w:tcW w:w="5000" w:type="pct"/>
            <w:textDirection w:val="lrTb"/>
            <w:noWrap w:val="false"/>
          </w:tcPr>
          <w:p>
            <w:pPr>
              <w:pStyle w:val="1005"/>
              <w:ind w:left="57" w:right="57"/>
            </w:pPr>
            <w:r>
              <w:t xml:space="preserve">Вкладка «Раздел I: БА», группа полей «Строки: Раздел I. Бюджетные ассигнования»</w:t>
            </w:r>
            <w:r/>
          </w:p>
        </w:tc>
      </w:tr>
      <w:tr>
        <w:trPr/>
        <w:tc>
          <w:tcPr>
            <w:shd w:val="clear" w:fill="auto" w:color="auto"/>
            <w:tcW w:w="1137" w:type="pct"/>
            <w:textDirection w:val="lrTb"/>
            <w:noWrap w:val="false"/>
          </w:tcPr>
          <w:p>
            <w:pPr>
              <w:pStyle w:val="1005"/>
              <w:ind w:left="57" w:right="57"/>
            </w:pPr>
            <w:r>
              <w:t xml:space="preserve">Дата в/д раздела</w:t>
            </w:r>
            <w:r/>
          </w:p>
        </w:tc>
        <w:tc>
          <w:tcPr>
            <w:shd w:val="clear" w:fill="auto" w:color="auto"/>
            <w:tcW w:w="3863" w:type="pct"/>
            <w:textDirection w:val="lrTb"/>
            <w:noWrap w:val="false"/>
          </w:tcPr>
          <w:p>
            <w:pPr>
              <w:pStyle w:val="1005"/>
              <w:ind w:left="57" w:right="57"/>
            </w:pPr>
            <w:r>
              <w:t xml:space="preserve">Дата ввода в действие бюджетных данных раздела. </w:t>
            </w:r>
            <w:r/>
          </w:p>
          <w:p>
            <w:pPr>
              <w:pStyle w:val="1005"/>
              <w:ind w:left="57" w:right="57"/>
            </w:pPr>
            <w:r>
              <w:t xml:space="preserve">Если указано поле «Дата в</w:t>
            </w:r>
            <w:r>
              <w:t xml:space="preserve">/д»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r/>
          </w:p>
        </w:tc>
      </w:tr>
      <w:tr>
        <w:trPr/>
        <w:tc>
          <w:tcPr>
            <w:shd w:val="clear" w:fill="auto" w:color="auto"/>
            <w:tcW w:w="1137" w:type="pct"/>
            <w:textDirection w:val="lrTb"/>
            <w:noWrap w:val="false"/>
          </w:tcPr>
          <w:p>
            <w:pPr>
              <w:pStyle w:val="1005"/>
              <w:ind w:left="57" w:right="57"/>
            </w:pPr>
            <w:r>
              <w:t xml:space="preserve">Итого: Тек. </w:t>
            </w:r>
            <w:r>
              <w:t xml:space="preserve">Г</w:t>
            </w:r>
            <w:r>
              <w:t xml:space="preserve">од</w:t>
            </w:r>
            <w:r/>
          </w:p>
        </w:tc>
        <w:tc>
          <w:tcPr>
            <w:shd w:val="clear" w:fill="auto" w:color="auto"/>
            <w:tcW w:w="3863" w:type="pct"/>
            <w:textDirection w:val="lrTb"/>
            <w:noWrap w:val="false"/>
          </w:tcPr>
          <w:p>
            <w:pPr>
              <w:pStyle w:val="1005"/>
              <w:ind w:left="57" w:right="57"/>
            </w:pPr>
            <w:r>
              <w:t xml:space="preserve">Общая сумма БА в текущем году. </w:t>
            </w:r>
            <w:r/>
          </w:p>
          <w:p>
            <w:pPr>
              <w:pStyle w:val="1005"/>
              <w:ind w:left="57" w:right="57"/>
            </w:pPr>
            <w:r>
              <w:t xml:space="preserve">Соответствует сумме значений по всем строкам в поле «Сумма: Тек год».</w:t>
            </w:r>
            <w:r/>
          </w:p>
        </w:tc>
      </w:tr>
      <w:tr>
        <w:trPr/>
        <w:tc>
          <w:tcPr>
            <w:shd w:val="clear" w:fill="auto" w:color="auto"/>
            <w:tcW w:w="1137" w:type="pct"/>
            <w:textDirection w:val="lrTb"/>
            <w:noWrap w:val="false"/>
          </w:tcPr>
          <w:p>
            <w:pPr>
              <w:pStyle w:val="1005"/>
              <w:ind w:left="57" w:right="57"/>
            </w:pPr>
            <w:r>
              <w:t xml:space="preserve">Итого: 1-й год</w:t>
            </w:r>
            <w:r/>
          </w:p>
        </w:tc>
        <w:tc>
          <w:tcPr>
            <w:shd w:val="clear" w:fill="auto" w:color="auto"/>
            <w:tcW w:w="3863" w:type="pct"/>
            <w:textDirection w:val="lrTb"/>
            <w:noWrap w:val="false"/>
          </w:tcPr>
          <w:p>
            <w:pPr>
              <w:pStyle w:val="1005"/>
              <w:ind w:left="57" w:right="57"/>
            </w:pPr>
            <w:r>
              <w:t xml:space="preserve">Общая сумма БА по первому году планового периода. </w:t>
            </w:r>
            <w:r/>
          </w:p>
          <w:p>
            <w:pPr>
              <w:pStyle w:val="1005"/>
              <w:ind w:left="57" w:right="57"/>
            </w:pPr>
            <w:r>
              <w:t xml:space="preserve">Соответствует сумме значений по всем строкам в поле «Сумма: 1 год». </w:t>
            </w:r>
            <w:r/>
          </w:p>
        </w:tc>
      </w:tr>
      <w:tr>
        <w:trPr/>
        <w:tc>
          <w:tcPr>
            <w:shd w:val="clear" w:fill="auto" w:color="auto"/>
            <w:tcW w:w="1137" w:type="pct"/>
            <w:textDirection w:val="lrTb"/>
            <w:noWrap w:val="false"/>
          </w:tcPr>
          <w:p>
            <w:pPr>
              <w:pStyle w:val="1005"/>
              <w:ind w:left="57" w:right="57"/>
            </w:pPr>
            <w:r>
              <w:t xml:space="preserve">Итого: 2-й год</w:t>
            </w:r>
            <w:r/>
          </w:p>
        </w:tc>
        <w:tc>
          <w:tcPr>
            <w:shd w:val="clear" w:fill="auto" w:color="auto"/>
            <w:tcW w:w="3863" w:type="pct"/>
            <w:textDirection w:val="lrTb"/>
            <w:noWrap w:val="false"/>
          </w:tcPr>
          <w:p>
            <w:pPr>
              <w:pStyle w:val="1005"/>
              <w:ind w:left="57" w:right="57"/>
            </w:pPr>
            <w:r>
              <w:t xml:space="preserve">Общая сумма БА по второму году планового периода. </w:t>
            </w:r>
            <w:r/>
          </w:p>
          <w:p>
            <w:pPr>
              <w:pStyle w:val="1005"/>
              <w:ind w:left="57" w:right="57"/>
            </w:pPr>
            <w:r>
              <w:t xml:space="preserve">Соответствует сумме значений по всем строкам в поле «Сумма: 2 год».</w:t>
            </w:r>
            <w:r/>
          </w:p>
        </w:tc>
      </w:tr>
      <w:tr>
        <w:trPr>
          <w:trHeight w:val="411"/>
        </w:trPr>
        <w:tc>
          <w:tcPr>
            <w:shd w:val="clear" w:fill="auto" w:color="auto"/>
            <w:tcW w:w="1137" w:type="pct"/>
            <w:textDirection w:val="lrTb"/>
            <w:noWrap w:val="false"/>
          </w:tcPr>
          <w:p>
            <w:pPr>
              <w:pStyle w:val="1005"/>
              <w:ind w:left="57" w:right="57"/>
            </w:pPr>
            <w:r>
              <w:t xml:space="preserve">№</w:t>
            </w:r>
            <w:r/>
          </w:p>
        </w:tc>
        <w:tc>
          <w:tcPr>
            <w:shd w:val="clear" w:fill="auto" w:color="auto"/>
            <w:tcW w:w="3863" w:type="pct"/>
            <w:textDirection w:val="lrTb"/>
            <w:noWrap w:val="false"/>
          </w:tcPr>
          <w:p>
            <w:pPr>
              <w:pStyle w:val="1005"/>
              <w:ind w:left="57" w:right="57"/>
            </w:pPr>
            <w:r>
              <w:t xml:space="preserve">Номер по порядку.</w:t>
            </w:r>
            <w:r/>
          </w:p>
        </w:tc>
      </w:tr>
      <w:tr>
        <w:trPr/>
        <w:tc>
          <w:tcPr>
            <w:shd w:val="clear" w:fill="auto" w:color="auto"/>
            <w:tcW w:w="1137" w:type="pct"/>
            <w:textDirection w:val="lrTb"/>
            <w:noWrap w:val="false"/>
          </w:tcPr>
          <w:p>
            <w:pPr>
              <w:pStyle w:val="1005"/>
              <w:ind w:left="57" w:right="57"/>
            </w:pPr>
            <w:r>
              <w:t xml:space="preserve">КБК</w:t>
            </w:r>
            <w:r/>
          </w:p>
        </w:tc>
        <w:tc>
          <w:tcPr>
            <w:shd w:val="clear" w:fill="auto" w:color="auto"/>
            <w:tcW w:w="3863" w:type="pct"/>
            <w:textDirection w:val="lrTb"/>
            <w:noWrap w:val="false"/>
          </w:tcPr>
          <w:p>
            <w:pPr>
              <w:pStyle w:val="1005"/>
              <w:ind w:left="57" w:right="57"/>
            </w:pPr>
            <w:r>
              <w:t xml:space="preserve">Для АРМ:</w:t>
            </w:r>
            <w:r/>
          </w:p>
          <w:p>
            <w:pPr>
              <w:pStyle w:val="1008"/>
              <w:numPr>
                <w:ilvl w:val="0"/>
                <w:numId w:val="81"/>
              </w:numPr>
            </w:pPr>
            <w:r>
              <w:t xml:space="preserve">Поле КБК может быть заполнено как в целом кодовой бюджетной классификацией </w:t>
            </w:r>
            <w:r>
              <w:t xml:space="preserve">(20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w:t>
            </w:r>
            <w:r>
              <w:t xml:space="preserve">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r/>
          </w:p>
          <w:p>
            <w:pPr>
              <w:pStyle w:val="1008"/>
            </w:pPr>
            <w:r>
              <w:t xml:space="preserve">Поле может быть заполнено вручную или выбором из справочника КБК. Значения справочника ограничены значением полей «Бюджет» и «Глава по БК».</w:t>
            </w:r>
            <w:r/>
          </w:p>
        </w:tc>
      </w:tr>
      <w:tr>
        <w:trPr/>
        <w:tc>
          <w:tcPr>
            <w:shd w:val="clear" w:fill="auto" w:color="auto"/>
            <w:tcW w:w="1137" w:type="pct"/>
            <w:textDirection w:val="lrTb"/>
            <w:noWrap w:val="false"/>
          </w:tcPr>
          <w:p>
            <w:pPr>
              <w:pStyle w:val="1005"/>
              <w:ind w:left="57" w:right="57"/>
            </w:pPr>
            <w:r>
              <w:t xml:space="preserve">Сумма: Тек год</w:t>
            </w:r>
            <w:r/>
          </w:p>
        </w:tc>
        <w:tc>
          <w:tcPr>
            <w:shd w:val="clear" w:fill="auto" w:color="auto"/>
            <w:tcW w:w="3863" w:type="pct"/>
            <w:textDirection w:val="lrTb"/>
            <w:noWrap w:val="false"/>
          </w:tcPr>
          <w:p>
            <w:pPr>
              <w:pStyle w:val="1005"/>
              <w:ind w:left="57" w:right="57"/>
            </w:pPr>
            <w:r>
              <w:t xml:space="preserve">Сумма БА в текущем году.</w:t>
            </w:r>
            <w:r/>
          </w:p>
        </w:tc>
      </w:tr>
      <w:tr>
        <w:trPr/>
        <w:tc>
          <w:tcPr>
            <w:shd w:val="clear" w:fill="auto" w:color="auto"/>
            <w:tcW w:w="1137" w:type="pct"/>
            <w:textDirection w:val="lrTb"/>
            <w:noWrap w:val="false"/>
          </w:tcPr>
          <w:p>
            <w:pPr>
              <w:pStyle w:val="1005"/>
              <w:ind w:left="57" w:right="57"/>
            </w:pPr>
            <w:r>
              <w:t xml:space="preserve">Сумма: 1 год</w:t>
            </w:r>
            <w:r/>
          </w:p>
        </w:tc>
        <w:tc>
          <w:tcPr>
            <w:shd w:val="clear" w:fill="auto" w:color="auto"/>
            <w:tcW w:w="3863" w:type="pct"/>
            <w:textDirection w:val="lrTb"/>
            <w:noWrap w:val="false"/>
          </w:tcPr>
          <w:p>
            <w:pPr>
              <w:pStyle w:val="1005"/>
              <w:ind w:left="57" w:right="57"/>
            </w:pPr>
            <w:r>
              <w:t xml:space="preserve">Сумма БА по первому году планового периода.</w:t>
            </w:r>
            <w:r/>
          </w:p>
        </w:tc>
      </w:tr>
      <w:tr>
        <w:trPr/>
        <w:tc>
          <w:tcPr>
            <w:shd w:val="clear" w:fill="auto" w:color="auto"/>
            <w:tcW w:w="1137" w:type="pct"/>
            <w:textDirection w:val="lrTb"/>
            <w:noWrap w:val="false"/>
          </w:tcPr>
          <w:p>
            <w:pPr>
              <w:pStyle w:val="1005"/>
              <w:ind w:left="57" w:right="57"/>
            </w:pPr>
            <w:r>
              <w:t xml:space="preserve">Сумма: 2 год</w:t>
            </w:r>
            <w:r/>
          </w:p>
        </w:tc>
        <w:tc>
          <w:tcPr>
            <w:shd w:val="clear" w:fill="auto" w:color="auto"/>
            <w:tcW w:w="3863" w:type="pct"/>
            <w:textDirection w:val="lrTb"/>
            <w:noWrap w:val="false"/>
          </w:tcPr>
          <w:p>
            <w:pPr>
              <w:pStyle w:val="1005"/>
              <w:ind w:left="57" w:right="57"/>
            </w:pPr>
            <w:r>
              <w:t xml:space="preserve">Сумма БА по второму году планового периода.</w:t>
            </w:r>
            <w:r/>
          </w:p>
        </w:tc>
      </w:tr>
      <w:tr>
        <w:trPr/>
        <w:tc>
          <w:tcPr>
            <w:shd w:val="clear" w:fill="auto" w:color="auto"/>
            <w:tcW w:w="1137" w:type="pct"/>
            <w:textDirection w:val="lrTb"/>
            <w:noWrap w:val="false"/>
          </w:tcPr>
          <w:p>
            <w:pPr>
              <w:pStyle w:val="1005"/>
              <w:ind w:left="57" w:right="57"/>
            </w:pPr>
            <w:r>
              <w:t xml:space="preserve">Цель субсидий (код)</w:t>
            </w:r>
            <w:r/>
          </w:p>
        </w:tc>
        <w:tc>
          <w:tcPr>
            <w:shd w:val="clear" w:fill="auto" w:color="auto"/>
            <w:tcW w:w="3863" w:type="pct"/>
            <w:textDirection w:val="lrTb"/>
            <w:noWrap w:val="false"/>
          </w:tcPr>
          <w:p>
            <w:pPr>
              <w:pStyle w:val="1005"/>
              <w:ind w:left="57" w:right="57"/>
            </w:pPr>
            <w:r>
              <w:t xml:space="preserve">Код цели субсидий/субвенций.</w:t>
            </w:r>
            <w:r/>
          </w:p>
          <w:p>
            <w:pPr>
              <w:pStyle w:val="1005"/>
              <w:ind w:left="57" w:right="57"/>
            </w:pPr>
            <w:r>
              <w:t xml:space="preserve">Для АРМ. Выбирается из справочника</w:t>
            </w:r>
            <w:r>
              <w:t xml:space="preserve"> </w:t>
            </w:r>
            <w:r>
              <w:t xml:space="preserve">«Цели субсидий» или заполняется вручную.</w:t>
            </w:r>
            <w:r/>
          </w:p>
        </w:tc>
      </w:tr>
      <w:tr>
        <w:trPr/>
        <w:tc>
          <w:tcPr>
            <w:shd w:val="clear" w:fill="auto" w:color="auto"/>
            <w:tcW w:w="1137" w:type="pct"/>
            <w:textDirection w:val="lrTb"/>
            <w:noWrap w:val="false"/>
          </w:tcPr>
          <w:p>
            <w:pPr>
              <w:pStyle w:val="1005"/>
              <w:ind w:left="57" w:right="57"/>
            </w:pPr>
            <w:r>
              <w:t xml:space="preserve">Примечание</w:t>
            </w:r>
            <w:r/>
          </w:p>
        </w:tc>
        <w:tc>
          <w:tcPr>
            <w:shd w:val="clear" w:fill="auto" w:color="auto"/>
            <w:tcW w:w="3863" w:type="pct"/>
            <w:textDirection w:val="lrTb"/>
            <w:noWrap w:val="false"/>
          </w:tcPr>
          <w:p>
            <w:pPr>
              <w:pStyle w:val="1005"/>
              <w:ind w:left="57" w:right="57"/>
            </w:pPr>
            <w:r>
              <w:t xml:space="preserve">Примечание. Заполняется вручную.</w:t>
            </w:r>
            <w:r/>
          </w:p>
        </w:tc>
      </w:tr>
    </w:tbl>
    <w:p>
      <w:r>
        <w:t xml:space="preserve">Для ввода наименования специальных указаний через форму «Специальные указания» следует нажать на кнопку</w:t>
      </w:r>
      <w:r>
        <w:t xml:space="preserve"> </w:t>
      </w:r>
      <w:r>
        <mc:AlternateContent>
          <mc:Choice Requires="wpg">
            <w:drawing>
              <wp:inline xmlns:wp="http://schemas.openxmlformats.org/drawingml/2006/wordprocessingDrawing" distT="0" distB="0" distL="0" distR="0">
                <wp:extent cx="182880" cy="182880"/>
                <wp:effectExtent l="0" t="0" r="0" b="0"/>
                <wp:docPr id="26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42"/>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6" o:spid="_x0000_s266" type="#_x0000_t75" style="mso-wrap-distance-left:0.0pt;mso-wrap-distance-top:0.0pt;mso-wrap-distance-right:0.0pt;mso-wrap-distance-bottom:0.0pt;width:14.4pt;height:14.4pt;" stroked="f">
                <v:path textboxrect="0,0,0,0"/>
                <v:imagedata r:id="rId242" o:title=""/>
              </v:shape>
            </w:pict>
          </mc:Fallback>
        </mc:AlternateContent>
      </w:r>
      <w:r>
        <w:t xml:space="preserve">. Если в поле кода специальных указаний установлено значение «08», то форма «Специальные указания» будет представлена в следующем виде </w:t>
      </w:r>
      <w:r>
        <w:t xml:space="preserve">(рис. </w:t>
      </w:r>
      <w:r>
        <w:fldChar w:fldCharType="begin"/>
      </w:r>
      <w:r>
        <w:instrText xml:space="preserve"> REF _Ref261878608 \h  \* MERGEFORMAT </w:instrText>
      </w:r>
      <w:r>
        <w:fldChar w:fldCharType="separate"/>
      </w:r>
      <w:r>
        <w:t xml:space="preserve">174</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1280160"/>
                <wp:effectExtent l="0" t="0" r="0" b="0"/>
                <wp:docPr id="26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43"/>
                        <a:stretch/>
                      </pic:blipFill>
                      <pic:spPr bwMode="auto">
                        <a:xfrm>
                          <a:off x="0" y="0"/>
                          <a:ext cx="6126480" cy="12801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7" o:spid="_x0000_s267" type="#_x0000_t75" style="mso-wrap-distance-left:0.0pt;mso-wrap-distance-top:0.0pt;mso-wrap-distance-right:0.0pt;mso-wrap-distance-bottom:0.0pt;width:482.4pt;height:100.8pt;" stroked="f">
                <v:path textboxrect="0,0,0,0"/>
                <v:imagedata r:id="rId243" o:title=""/>
              </v:shape>
            </w:pict>
          </mc:Fallback>
        </mc:AlternateContent>
      </w:r>
      <w:r/>
    </w:p>
    <w:p>
      <w:pPr>
        <w:pStyle w:val="983"/>
      </w:pPr>
      <w:r>
        <w:fldChar w:fldCharType="begin"/>
      </w:r>
      <w:r>
        <w:instrText xml:space="preserve"> SEQ Рисунок \* ARABIC </w:instrText>
      </w:r>
      <w:r>
        <w:fldChar w:fldCharType="separate"/>
      </w:r>
      <w:bookmarkStart w:id="1322" w:name="_Ref261878608"/>
      <w:r/>
      <w:bookmarkStart w:id="1323" w:name="_Toc88819559"/>
      <w:r>
        <w:t xml:space="preserve">174</w:t>
      </w:r>
      <w:bookmarkEnd w:id="1322"/>
      <w:r>
        <w:fldChar w:fldCharType="end"/>
      </w:r>
      <w:r>
        <w:t xml:space="preserve">. </w:t>
      </w:r>
      <w:r>
        <w:t xml:space="preserve">Форма</w:t>
      </w:r>
      <w:r>
        <w:t xml:space="preserve"> «Специальные указания» (для кода «08»)</w:t>
      </w:r>
      <w:bookmarkEnd w:id="1323"/>
      <w:r/>
      <w:r/>
    </w:p>
    <w:p>
      <w:pPr>
        <w:pStyle w:val="994"/>
      </w:pPr>
      <w:r>
        <w:t xml:space="preserve">В данной форме следует вруч</w:t>
      </w:r>
      <w:r>
        <w:t xml:space="preserve">ную заполнить обязательное поле «Тип реорганизации» (Заполняется автоматически из справочника «Виды специальных указаний» по коду, при значении кода специальных указаний, содержащем 08, может заполняться пользователем вручную) и нажать на кнопку «Сохранить</w:t>
      </w:r>
      <w:r>
        <w:t xml:space="preserve">)</w:t>
      </w:r>
      <w:r>
        <w:t xml:space="preserve">.</w:t>
      </w:r>
      <w:r/>
    </w:p>
    <w:p>
      <w:pPr>
        <w:pStyle w:val="994"/>
      </w:pPr>
      <w:r>
        <w:t xml:space="preserve">Если в поле кода специальных указаний установлено значение «02», то форма «Специальные указания» будет представлена в следующем виде </w:t>
      </w:r>
      <w:r>
        <w:t xml:space="preserve">(рис.</w:t>
      </w:r>
      <w:r>
        <w:t xml:space="preserve"> </w:t>
      </w:r>
      <w:r>
        <w:fldChar w:fldCharType="begin"/>
      </w:r>
      <w:r>
        <w:instrText xml:space="preserve"> REF _Ref261878610 \h  \* MERGEFORMAT </w:instrText>
      </w:r>
      <w:r>
        <w:fldChar w:fldCharType="separate"/>
      </w:r>
      <w:r>
        <w:t xml:space="preserve">175</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560320"/>
                <wp:effectExtent l="0" t="0" r="0" b="0"/>
                <wp:docPr id="26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44"/>
                        <a:stretch/>
                      </pic:blipFill>
                      <pic:spPr bwMode="auto">
                        <a:xfrm>
                          <a:off x="0" y="0"/>
                          <a:ext cx="6126480" cy="2560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8" o:spid="_x0000_s268" type="#_x0000_t75" style="mso-wrap-distance-left:0.0pt;mso-wrap-distance-top:0.0pt;mso-wrap-distance-right:0.0pt;mso-wrap-distance-bottom:0.0pt;width:482.4pt;height:201.6pt;" stroked="f">
                <v:path textboxrect="0,0,0,0"/>
                <v:imagedata r:id="rId244" o:title=""/>
              </v:shape>
            </w:pict>
          </mc:Fallback>
        </mc:AlternateContent>
      </w:r>
      <w:r/>
    </w:p>
    <w:p>
      <w:pPr>
        <w:pStyle w:val="983"/>
      </w:pPr>
      <w:r>
        <w:fldChar w:fldCharType="begin"/>
      </w:r>
      <w:r>
        <w:instrText xml:space="preserve"> SEQ Рисунок \* ARABIC </w:instrText>
      </w:r>
      <w:r>
        <w:fldChar w:fldCharType="separate"/>
      </w:r>
      <w:bookmarkStart w:id="1324" w:name="_Ref261878610"/>
      <w:r/>
      <w:bookmarkStart w:id="1325" w:name="_Toc88819560"/>
      <w:r>
        <w:t xml:space="preserve">175</w:t>
      </w:r>
      <w:bookmarkEnd w:id="1324"/>
      <w:r>
        <w:fldChar w:fldCharType="end"/>
      </w:r>
      <w:r>
        <w:t xml:space="preserve">. </w:t>
      </w:r>
      <w:r>
        <w:t xml:space="preserve">Форма</w:t>
      </w:r>
      <w:r>
        <w:t xml:space="preserve"> «Специальные указания» (для кода «02»)</w:t>
      </w:r>
      <w:bookmarkEnd w:id="1325"/>
      <w:r/>
      <w:r/>
    </w:p>
    <w:p>
      <w:pPr>
        <w:pStyle w:val="994"/>
      </w:pPr>
      <w:r>
        <w:t xml:space="preserve">В </w:t>
      </w:r>
      <w:r>
        <w:t xml:space="preserve">данной</w:t>
      </w:r>
      <w:r>
        <w:t xml:space="preserve"> форме вручную заполняются следующие поля:</w:t>
      </w:r>
      <w:r/>
    </w:p>
    <w:p>
      <w:pPr>
        <w:pStyle w:val="985"/>
      </w:pPr>
      <w:r>
        <w:t xml:space="preserve">«Код по сводному реестру Реорганизуемого ПБС/ПБС получателя средств» – поле обязательно для заполнения; вводится вручную;</w:t>
      </w:r>
      <w:r/>
    </w:p>
    <w:p>
      <w:pPr>
        <w:pStyle w:val="985"/>
      </w:pPr>
      <w:r>
        <w:t xml:space="preserve">«Наименование Реорганизуемого ПБС/ПБС получателя средств» – поле обязательно для заполнения; вводится вручную;</w:t>
      </w:r>
      <w:r/>
    </w:p>
    <w:p>
      <w:pPr>
        <w:pStyle w:val="985"/>
      </w:pPr>
      <w:r>
        <w:t xml:space="preserve">«Код по сводному реестру вышестоящего РБС» – вводится вручную;</w:t>
      </w:r>
      <w:r/>
    </w:p>
    <w:p>
      <w:pPr>
        <w:pStyle w:val="985"/>
      </w:pPr>
      <w:r>
        <w:t xml:space="preserve">«Наименование вышестоящего РБС» – вводится вручную;</w:t>
      </w:r>
      <w:r/>
    </w:p>
    <w:p>
      <w:pPr>
        <w:pStyle w:val="985"/>
      </w:pPr>
      <w:r>
        <w:t xml:space="preserve">«Тип реорганизации» – заполняется автоматически из справочника «Виды специальных указаний» по коду, при значении кода специальных указаний, содержащем 02; значение может заполняться пользователем вручную;</w:t>
      </w:r>
      <w:r/>
    </w:p>
    <w:p>
      <w:pPr>
        <w:pStyle w:val="985"/>
      </w:pPr>
      <w:r>
        <w:t xml:space="preserve">«Отрицательное расходное расписание» – поле обязательно для заполнения, если значения в полях сумм в строках таблиц на вкладках «Раздел I: БА» </w:t>
      </w:r>
      <w:r>
        <w:t xml:space="preserve">(рис. </w:t>
      </w:r>
      <w:r>
        <w:fldChar w:fldCharType="begin"/>
      </w:r>
      <w:r>
        <w:instrText xml:space="preserve"> REF _Ref205177560 \h  \* MERGEFORMAT </w:instrText>
      </w:r>
      <w:r>
        <w:fldChar w:fldCharType="separate"/>
      </w:r>
      <w:r>
        <w:t xml:space="preserve">173</w:t>
      </w:r>
      <w:r>
        <w:fldChar w:fldCharType="end"/>
      </w:r>
      <w:r>
        <w:t xml:space="preserve">), «Раздел II: ЛБО» (рис. </w:t>
      </w:r>
      <w:r>
        <w:fldChar w:fldCharType="begin"/>
      </w:r>
      <w:r>
        <w:instrText xml:space="preserve"> REF _Ref205614648 \h  \* MERGEFORMAT </w:instrText>
      </w:r>
      <w:r>
        <w:fldChar w:fldCharType="separate"/>
      </w:r>
      <w:r>
        <w:t xml:space="preserve">178</w:t>
      </w:r>
      <w:r>
        <w:fldChar w:fldCharType="end"/>
      </w:r>
      <w:r>
        <w:t xml:space="preserve">), «Раздел III: ПОФР» (рис. </w:t>
      </w:r>
      <w:r>
        <w:fldChar w:fldCharType="begin"/>
      </w:r>
      <w:r>
        <w:instrText xml:space="preserve"> REF _Ref205614649 \h  \* MERGEFORMAT </w:instrText>
      </w:r>
      <w:r>
        <w:fldChar w:fldCharType="separate"/>
      </w:r>
      <w:r>
        <w:t xml:space="preserve">179</w:t>
      </w:r>
      <w:r>
        <w:fldChar w:fldCharType="end"/>
      </w:r>
      <w:r>
        <w:t xml:space="preserve">) положительны</w:t>
      </w:r>
      <w:r>
        <w:t xml:space="preserve">; в</w:t>
      </w:r>
      <w:r>
        <w:t xml:space="preserve">водится вручную.</w:t>
      </w:r>
      <w:r/>
    </w:p>
    <w:p>
      <w:pPr>
        <w:pStyle w:val="994"/>
      </w:pPr>
      <w:r>
        <w:t xml:space="preserve">Если в поле кода специальных указаний установлено любое другое значение, отличное от «02» и «08», то форма «Специальные указания» будет представлена в следующем виде </w:t>
      </w:r>
      <w:r>
        <w:t xml:space="preserve">(рис.</w:t>
      </w:r>
      <w:r>
        <w:t xml:space="preserve"> </w:t>
      </w:r>
      <w:r>
        <w:fldChar w:fldCharType="begin"/>
      </w:r>
      <w:r>
        <w:instrText xml:space="preserve"> REF _Ref261878611 \h  \* MERGEFORMAT </w:instrText>
      </w:r>
      <w:r>
        <w:fldChar w:fldCharType="separate"/>
      </w:r>
      <w:r>
        <w:t xml:space="preserve">176</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1196340"/>
                <wp:effectExtent l="0" t="0" r="0" b="0"/>
                <wp:docPr id="27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45"/>
                        <a:stretch/>
                      </pic:blipFill>
                      <pic:spPr bwMode="auto">
                        <a:xfrm>
                          <a:off x="0" y="0"/>
                          <a:ext cx="6126480" cy="11963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9" o:spid="_x0000_s269" type="#_x0000_t75" style="mso-wrap-distance-left:0.0pt;mso-wrap-distance-top:0.0pt;mso-wrap-distance-right:0.0pt;mso-wrap-distance-bottom:0.0pt;width:482.4pt;height:94.2pt;" stroked="f">
                <v:path textboxrect="0,0,0,0"/>
                <v:imagedata r:id="rId245" o:title=""/>
              </v:shape>
            </w:pict>
          </mc:Fallback>
        </mc:AlternateContent>
      </w:r>
      <w:r/>
    </w:p>
    <w:p>
      <w:pPr>
        <w:pStyle w:val="983"/>
      </w:pPr>
      <w:r>
        <w:fldChar w:fldCharType="begin"/>
      </w:r>
      <w:r>
        <w:instrText xml:space="preserve"> SEQ Рисунок \* ARABIC </w:instrText>
      </w:r>
      <w:r>
        <w:fldChar w:fldCharType="separate"/>
      </w:r>
      <w:bookmarkStart w:id="1326" w:name="_Ref261878611"/>
      <w:r/>
      <w:bookmarkStart w:id="1327" w:name="_Toc88819561"/>
      <w:r>
        <w:t xml:space="preserve">176</w:t>
      </w:r>
      <w:bookmarkEnd w:id="1326"/>
      <w:r>
        <w:fldChar w:fldCharType="end"/>
      </w:r>
      <w:r>
        <w:t xml:space="preserve">. </w:t>
      </w:r>
      <w:r>
        <w:t xml:space="preserve">Ф</w:t>
      </w:r>
      <w:r>
        <w:t xml:space="preserve">орма</w:t>
      </w:r>
      <w:r>
        <w:t xml:space="preserve"> «Специальные указания» (для кода, не равного «02» и «08»)</w:t>
      </w:r>
      <w:bookmarkEnd w:id="1327"/>
      <w:r/>
      <w:r/>
    </w:p>
    <w:p>
      <w:pPr>
        <w:pStyle w:val="994"/>
      </w:pPr>
      <w:r>
        <w:t xml:space="preserve">В данной форме следует вручную заполнить поле «Специальные указания» и нажать на кнопку «Сохранить»</w:t>
      </w:r>
      <w:r>
        <w:t xml:space="preserve">.</w:t>
      </w:r>
      <w:r/>
    </w:p>
    <w:p>
      <w:pPr>
        <w:pStyle w:val="994"/>
      </w:pPr>
      <w:r>
        <w:t xml:space="preserve">Вкладка «Раздел I: БА (3)» (</w:t>
      </w:r>
      <w:r>
        <w:t xml:space="preserve">рис. </w:t>
      </w:r>
      <w:r>
        <w:fldChar w:fldCharType="begin"/>
      </w:r>
      <w:r>
        <w:instrText xml:space="preserve"> REF _Ref205177560 \h  \* MERGEFORMAT </w:instrText>
      </w:r>
      <w:r>
        <w:fldChar w:fldCharType="separate"/>
      </w:r>
      <w:r>
        <w:t xml:space="preserve">173</w:t>
      </w:r>
      <w:r>
        <w:fldChar w:fldCharType="end"/>
      </w:r>
      <w:r>
        <w:t xml:space="preserve">) содержит заголовочные поля и строки БА по Разделу I, приведенные в таблице </w:t>
      </w:r>
      <w:r>
        <w:fldChar w:fldCharType="begin"/>
      </w:r>
      <w:r>
        <w:instrText xml:space="preserve"> REF _Ref317675918 \h  \* MERGEFORMAT </w:instrText>
      </w:r>
      <w:r>
        <w:fldChar w:fldCharType="separate"/>
      </w:r>
      <w:r>
        <w:t xml:space="preserve">94</w:t>
      </w:r>
      <w:r>
        <w:fldChar w:fldCharType="end"/>
      </w:r>
      <w:r>
        <w:t xml:space="preserve">. Для добавления строки в табличный блок «Строки: Раздел I. Бюджетные ассигнования» следует нажать на кнопку </w:t>
      </w:r>
      <w:r>
        <mc:AlternateContent>
          <mc:Choice Requires="wpg">
            <w:drawing>
              <wp:inline xmlns:wp="http://schemas.openxmlformats.org/drawingml/2006/wordprocessingDrawing" distT="0" distB="0" distL="0" distR="0">
                <wp:extent cx="182880" cy="182880"/>
                <wp:effectExtent l="0" t="0" r="0" b="0"/>
                <wp:docPr id="27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0" o:spid="_x0000_s270" type="#_x0000_t75" style="mso-wrap-distance-left:0.0pt;mso-wrap-distance-top:0.0pt;mso-wrap-distance-right:0.0pt;mso-wrap-distance-bottom:0.0pt;width:14.4pt;height:14.4pt;" stroked="f">
                <v:path textboxrect="0,0,0,0"/>
                <v:imagedata r:id="rId80" o:title=""/>
              </v:shape>
            </w:pict>
          </mc:Fallback>
        </mc:AlternateContent>
      </w:r>
      <w:r>
        <w:t xml:space="preserve"> </w:t>
      </w:r>
      <w:r>
        <w:t xml:space="preserve">(Добавить новую строку)</w:t>
      </w:r>
      <w:r>
        <w:t xml:space="preserve">. Открое</w:t>
      </w:r>
      <w:r>
        <w:t xml:space="preserve">тся форма «Добавление записи»</w:t>
      </w:r>
      <w:r>
        <w:t xml:space="preserve"> (рис.</w:t>
      </w:r>
      <w:r>
        <w:t xml:space="preserve"> </w:t>
      </w:r>
      <w:r>
        <w:fldChar w:fldCharType="begin"/>
      </w:r>
      <w:r>
        <w:instrText xml:space="preserve"> REF _Ref231705558 \h  \* MERGEFORMAT </w:instrText>
      </w:r>
      <w:r>
        <w:fldChar w:fldCharType="separate"/>
      </w:r>
      <w:r>
        <w:t xml:space="preserve">177</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4663440"/>
                <wp:effectExtent l="0" t="0" r="0" b="0"/>
                <wp:docPr id="27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46"/>
                        <a:stretch/>
                      </pic:blipFill>
                      <pic:spPr bwMode="auto">
                        <a:xfrm>
                          <a:off x="0" y="0"/>
                          <a:ext cx="6126480" cy="46634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1" o:spid="_x0000_s271" type="#_x0000_t75" style="mso-wrap-distance-left:0.0pt;mso-wrap-distance-top:0.0pt;mso-wrap-distance-right:0.0pt;mso-wrap-distance-bottom:0.0pt;width:482.4pt;height:367.2pt;" stroked="f">
                <v:path textboxrect="0,0,0,0"/>
                <v:imagedata r:id="rId246" o:title=""/>
              </v:shape>
            </w:pict>
          </mc:Fallback>
        </mc:AlternateContent>
      </w:r>
      <w:r/>
    </w:p>
    <w:p>
      <w:pPr>
        <w:pStyle w:val="983"/>
      </w:pPr>
      <w:r>
        <w:fldChar w:fldCharType="begin"/>
      </w:r>
      <w:r>
        <w:instrText xml:space="preserve"> SEQ Рисунок \* ARABIC </w:instrText>
      </w:r>
      <w:r>
        <w:fldChar w:fldCharType="separate"/>
      </w:r>
      <w:bookmarkStart w:id="1328" w:name="_Ref231705558"/>
      <w:r/>
      <w:bookmarkStart w:id="1329" w:name="_Toc88819562"/>
      <w:r>
        <w:t xml:space="preserve">177</w:t>
      </w:r>
      <w:bookmarkEnd w:id="1328"/>
      <w:r>
        <w:fldChar w:fldCharType="end"/>
      </w:r>
      <w:r>
        <w:t xml:space="preserve">. </w:t>
      </w:r>
      <w:r>
        <w:t xml:space="preserve">Форма «Добавление записи»</w:t>
      </w:r>
      <w:r>
        <w:t xml:space="preserve"> (строка БА)</w:t>
      </w:r>
      <w:bookmarkEnd w:id="1329"/>
      <w:r/>
      <w:r/>
    </w:p>
    <w:p>
      <w:pPr>
        <w:pStyle w:val="994"/>
      </w:pPr>
      <w:r>
        <w:t xml:space="preserve">В этой форме вручную заполняются следующие поля:</w:t>
      </w:r>
      <w:r/>
    </w:p>
    <w:p>
      <w:pPr>
        <w:pStyle w:val="985"/>
      </w:pPr>
      <w:r>
        <w:t xml:space="preserve">«Номер строки</w:t>
      </w:r>
      <w:r>
        <w:t xml:space="preserve">» – </w:t>
      </w:r>
      <w:r>
        <w:t xml:space="preserve">поле заполняется автоматически;</w:t>
      </w:r>
      <w:r/>
    </w:p>
    <w:p>
      <w:pPr>
        <w:pStyle w:val="985"/>
      </w:pPr>
      <w:r>
        <w:t xml:space="preserve">г</w:t>
      </w:r>
      <w:r>
        <w:t xml:space="preserve">руппа полей «КБК»:</w:t>
      </w:r>
      <w:r/>
    </w:p>
    <w:p>
      <w:pPr>
        <w:pStyle w:val="986"/>
      </w:pPr>
      <w:r>
        <w:t xml:space="preserve">«КБК»</w:t>
      </w:r>
      <w:r>
        <w:t xml:space="preserve">;</w:t>
      </w:r>
      <w:r>
        <w:t xml:space="preserve"> </w:t>
      </w:r>
      <w:r/>
    </w:p>
    <w:p>
      <w:pPr>
        <w:pStyle w:val="986"/>
      </w:pPr>
      <w:r>
        <w:t xml:space="preserve">«КБК2</w:t>
      </w:r>
      <w:r>
        <w:t xml:space="preserve">» – </w:t>
      </w:r>
      <w:r>
        <w:t xml:space="preserve">поле </w:t>
      </w:r>
      <w:r>
        <w:t xml:space="preserve">отображается при бюджете не равно</w:t>
      </w:r>
      <w:r>
        <w:t xml:space="preserve">м значению «Федеральный бюджет»;</w:t>
      </w:r>
      <w:r>
        <w:t xml:space="preserve"> </w:t>
      </w:r>
      <w:r>
        <w:t xml:space="preserve">з</w:t>
      </w:r>
      <w:r>
        <w:t xml:space="preserve">аполняется из справочни</w:t>
      </w:r>
      <w:r>
        <w:t xml:space="preserve">ка «Дополнение БК2» или вручную;</w:t>
      </w:r>
      <w:r/>
    </w:p>
    <w:p>
      <w:pPr>
        <w:pStyle w:val="986"/>
      </w:pPr>
      <w:r>
        <w:t xml:space="preserve">«КБК3</w:t>
      </w:r>
      <w:r>
        <w:t xml:space="preserve">» – </w:t>
      </w:r>
      <w:r>
        <w:t xml:space="preserve">поле </w:t>
      </w:r>
      <w:r>
        <w:t xml:space="preserve">отображается при бюджете не равном значению «Федеральный бюджет</w:t>
      </w:r>
      <w:r>
        <w:t xml:space="preserve">»</w:t>
      </w:r>
      <w:r>
        <w:t xml:space="preserve">; заполняется </w:t>
      </w:r>
      <w:r>
        <w:t xml:space="preserve">из справочни</w:t>
      </w:r>
      <w:r>
        <w:t xml:space="preserve">ка «Дополнение БК2» или вручную;</w:t>
      </w:r>
      <w:r/>
    </w:p>
    <w:p>
      <w:pPr>
        <w:pStyle w:val="986"/>
      </w:pPr>
      <w:r>
        <w:t xml:space="preserve">«КБК4</w:t>
      </w:r>
      <w:r>
        <w:t xml:space="preserve">» – </w:t>
      </w:r>
      <w:r>
        <w:t xml:space="preserve">поле </w:t>
      </w:r>
      <w:r>
        <w:t xml:space="preserve">отображается при бюджете не равном значению «Федеральный бюджет</w:t>
      </w:r>
      <w:r>
        <w:t xml:space="preserve">»</w:t>
      </w:r>
      <w:r>
        <w:t xml:space="preserve">; заполняется </w:t>
      </w:r>
      <w:r>
        <w:t xml:space="preserve">из справочни</w:t>
      </w:r>
      <w:r>
        <w:t xml:space="preserve">ка «Дополнение БК4» или вручную;</w:t>
      </w:r>
      <w:r/>
    </w:p>
    <w:p>
      <w:pPr>
        <w:pStyle w:val="985"/>
      </w:pPr>
      <w:r>
        <w:t xml:space="preserve">«Глава по Б</w:t>
      </w:r>
      <w:r>
        <w:t xml:space="preserve">К» – 3-символьный код ведомства;</w:t>
      </w:r>
      <w:r/>
    </w:p>
    <w:p>
      <w:pPr>
        <w:pStyle w:val="985"/>
      </w:pPr>
      <w:r>
        <w:t xml:space="preserve">г</w:t>
      </w:r>
      <w:r>
        <w:t xml:space="preserve">руппа полей «Расходы» (не заполняется, если заполнено поле «Вид источника»):</w:t>
      </w:r>
      <w:r/>
    </w:p>
    <w:p>
      <w:pPr>
        <w:pStyle w:val="986"/>
      </w:pPr>
      <w:r>
        <w:t xml:space="preserve">«ФКР» – 4-символьный код по ФКР</w:t>
      </w:r>
      <w:r>
        <w:t xml:space="preserve">; з</w:t>
      </w:r>
      <w:r>
        <w:t xml:space="preserve">начение заполняется вручную или выбир</w:t>
      </w:r>
      <w:r>
        <w:t xml:space="preserve">ается из следующих справочников: разделов/подразделов,</w:t>
      </w:r>
      <w:r>
        <w:t xml:space="preserve"> целевых статей, видов расходов;</w:t>
      </w:r>
      <w:r/>
    </w:p>
    <w:p>
      <w:pPr>
        <w:pStyle w:val="986"/>
      </w:pPr>
      <w:r>
        <w:t xml:space="preserve">«КЦ</w:t>
      </w:r>
      <w:r>
        <w:t xml:space="preserve">СР» – 10-символьный код по КЦСР;</w:t>
      </w:r>
      <w:r/>
    </w:p>
    <w:p>
      <w:pPr>
        <w:pStyle w:val="986"/>
      </w:pPr>
      <w:r>
        <w:t xml:space="preserve">«КВР» – 3-символьны</w:t>
      </w:r>
      <w:r>
        <w:t xml:space="preserve">й код по КВР;</w:t>
      </w:r>
      <w:r/>
    </w:p>
    <w:p>
      <w:pPr>
        <w:pStyle w:val="986"/>
      </w:pPr>
      <w:r>
        <w:t xml:space="preserve">«КОСГ</w:t>
      </w:r>
      <w:r>
        <w:t xml:space="preserve">У» – 3-символьный код по КОСГУ; </w:t>
      </w:r>
      <w:r>
        <w:t xml:space="preserve">по</w:t>
      </w:r>
      <w:r>
        <w:t xml:space="preserve">ле не заполняется с 01.01.2016;</w:t>
      </w:r>
      <w:r/>
    </w:p>
    <w:p>
      <w:pPr>
        <w:pStyle w:val="985"/>
      </w:pPr>
      <w:r>
        <w:t xml:space="preserve">«Вид источника» – </w:t>
      </w:r>
      <w:r>
        <w:t xml:space="preserve">вид источника финансирования дефицита бюджета (не заполняется, если заполнены поля</w:t>
      </w:r>
      <w:r>
        <w:t xml:space="preserve"> «ФКР», «КЦСР», «КВР», «КОСГУ»); з</w:t>
      </w:r>
      <w:r>
        <w:t xml:space="preserve">начение заполняется вручную или выбирается из справочника КБК источников финансирования дефи</w:t>
      </w:r>
      <w:r>
        <w:t xml:space="preserve">цита бюджета;</w:t>
      </w:r>
      <w:r/>
    </w:p>
    <w:p>
      <w:pPr>
        <w:pStyle w:val="985"/>
      </w:pPr>
      <w:r>
        <w:t xml:space="preserve">«Сумма: Тек. </w:t>
      </w:r>
      <w:r>
        <w:t xml:space="preserve">Г</w:t>
      </w:r>
      <w:r>
        <w:t xml:space="preserve">од» – сумма БА по Раз</w:t>
      </w:r>
      <w:r>
        <w:t xml:space="preserve">делу I на текущий год по строке;</w:t>
      </w:r>
      <w:r/>
    </w:p>
    <w:p>
      <w:pPr>
        <w:pStyle w:val="985"/>
      </w:pPr>
      <w:r>
        <w:t xml:space="preserve">«Сумма: 1-й год» – сумма БА по Ра</w:t>
      </w:r>
      <w:r>
        <w:t xml:space="preserve">зделу I на первый год по строке;</w:t>
      </w:r>
      <w:r/>
    </w:p>
    <w:p>
      <w:pPr>
        <w:pStyle w:val="985"/>
      </w:pPr>
      <w:r>
        <w:t xml:space="preserve">«Сумма: 2-й год» – сумма БА по Разделу I на </w:t>
      </w:r>
      <w:r>
        <w:t xml:space="preserve">второй год по строке;</w:t>
      </w:r>
      <w:r/>
    </w:p>
    <w:p>
      <w:pPr>
        <w:pStyle w:val="985"/>
      </w:pPr>
      <w:r>
        <w:t xml:space="preserve">«Цели субсидий» – код и наименование по справочнику «Цели субсидий»</w:t>
      </w:r>
      <w:r>
        <w:t xml:space="preserve">, заполняется выбо</w:t>
      </w:r>
      <w:r>
        <w:t xml:space="preserve">ром из справочника или вручную;</w:t>
      </w:r>
      <w:r/>
    </w:p>
    <w:p>
      <w:pPr>
        <w:pStyle w:val="985"/>
      </w:pPr>
      <w:r>
        <w:t xml:space="preserve">«Примечание».</w:t>
      </w:r>
      <w:r/>
    </w:p>
    <w:p>
      <w:pPr>
        <w:pStyle w:val="994"/>
      </w:pPr>
      <w:r>
        <w:t xml:space="preserve">Нажать на </w:t>
      </w:r>
      <w:r>
        <w:t xml:space="preserve">кнопку «Ok»</w:t>
      </w:r>
      <w:r>
        <w:t xml:space="preserve"> для добавления строки и выхода из формы. В таблице появится добавленная строка.</w:t>
      </w:r>
      <w:r/>
    </w:p>
    <w:p>
      <w:pPr>
        <w:pStyle w:val="994"/>
      </w:pPr>
      <w:r>
        <w:t xml:space="preserve">ЭФ документа «Расходное расписание», закладки «Документ (1)», вкладки «Раздел II: ЛБО» представлена на рисунке</w:t>
      </w:r>
      <w:r>
        <w:t xml:space="preserve"> </w:t>
      </w:r>
      <w:r>
        <w:fldChar w:fldCharType="begin"/>
      </w:r>
      <w:r>
        <w:instrText xml:space="preserve"> REF _Ref205614648 \h </w:instrText>
      </w:r>
      <w:r>
        <w:fldChar w:fldCharType="separate"/>
      </w:r>
      <w:r>
        <w:t xml:space="preserve">178</w:t>
      </w:r>
      <w:r>
        <w:fldChar w:fldCharType="end"/>
      </w:r>
      <w:r>
        <w:t xml:space="preserve">.</w:t>
      </w:r>
      <w:r/>
    </w:p>
    <w:p>
      <w:pPr>
        <w:pStyle w:val="982"/>
      </w:pPr>
      <w:r>
        <mc:AlternateContent>
          <mc:Choice Requires="wpg">
            <w:drawing>
              <wp:inline xmlns:wp="http://schemas.openxmlformats.org/drawingml/2006/wordprocessingDrawing" distT="0" distB="0" distL="0" distR="0">
                <wp:extent cx="6080760" cy="1569720"/>
                <wp:effectExtent l="0" t="0" r="0" b="0"/>
                <wp:docPr id="27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47"/>
                        <a:stretch/>
                      </pic:blipFill>
                      <pic:spPr bwMode="auto">
                        <a:xfrm>
                          <a:off x="0" y="0"/>
                          <a:ext cx="6080760" cy="15697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2" o:spid="_x0000_s272" type="#_x0000_t75" style="mso-wrap-distance-left:0.0pt;mso-wrap-distance-top:0.0pt;mso-wrap-distance-right:0.0pt;mso-wrap-distance-bottom:0.0pt;width:478.8pt;height:123.6pt;" stroked="f">
                <v:path textboxrect="0,0,0,0"/>
                <v:imagedata r:id="rId247" o:title=""/>
              </v:shape>
            </w:pict>
          </mc:Fallback>
        </mc:AlternateContent>
      </w:r>
      <w:r/>
    </w:p>
    <w:p>
      <w:pPr>
        <w:pStyle w:val="983"/>
      </w:pPr>
      <w:r>
        <w:fldChar w:fldCharType="begin"/>
      </w:r>
      <w:r>
        <w:instrText xml:space="preserve"> SEQ Рисунок \* ARABIC </w:instrText>
      </w:r>
      <w:r>
        <w:fldChar w:fldCharType="separate"/>
      </w:r>
      <w:bookmarkStart w:id="1330" w:name="_Ref205614648"/>
      <w:r/>
      <w:bookmarkStart w:id="1331" w:name="_Toc88819563"/>
      <w:r>
        <w:t xml:space="preserve">178</w:t>
      </w:r>
      <w:bookmarkEnd w:id="1330"/>
      <w:r>
        <w:fldChar w:fldCharType="end"/>
      </w:r>
      <w:r>
        <w:t xml:space="preserve">. ЭФ документа «Расходное расписание</w:t>
      </w:r>
      <w:r>
        <w:t xml:space="preserve">», закладки «</w:t>
      </w:r>
      <w:r>
        <w:t xml:space="preserve">Документ (1)</w:t>
      </w:r>
      <w:r>
        <w:t xml:space="preserve">», </w:t>
      </w:r>
      <w:r>
        <w:t xml:space="preserve">в</w:t>
      </w:r>
      <w:r>
        <w:t xml:space="preserve">кладки «</w:t>
      </w:r>
      <w:r>
        <w:t xml:space="preserve">Раздел II: ЛБО (4)»</w:t>
      </w:r>
      <w:bookmarkEnd w:id="1331"/>
      <w:r/>
      <w:r/>
    </w:p>
    <w:p>
      <w:pPr>
        <w:pStyle w:val="994"/>
      </w:pPr>
      <w:r>
        <w:t xml:space="preserve">В</w:t>
      </w:r>
      <w:r>
        <w:t xml:space="preserve">к</w:t>
      </w:r>
      <w:r>
        <w:t xml:space="preserve">ладка «Раздел II: ЛБО (4)» (см.</w:t>
      </w:r>
      <w:r>
        <w:t xml:space="preserve"> </w:t>
      </w:r>
      <w:r>
        <w:t xml:space="preserve">рис. </w:t>
      </w:r>
      <w:r>
        <w:fldChar w:fldCharType="begin"/>
      </w:r>
      <w:r>
        <w:instrText xml:space="preserve"> REF _Ref205614648 \h  \* MERGEFORMAT </w:instrText>
      </w:r>
      <w:r>
        <w:fldChar w:fldCharType="separate"/>
      </w:r>
      <w:r>
        <w:t xml:space="preserve">178</w:t>
      </w:r>
      <w:r>
        <w:fldChar w:fldCharType="end"/>
      </w:r>
      <w:r>
        <w:t xml:space="preserve">) содержит заголовочные поля и строки ЛБО по Разделу II, </w:t>
      </w:r>
      <w:r>
        <w:t xml:space="preserve">з</w:t>
      </w:r>
      <w:r>
        <w:t xml:space="preserve">аполняется по аналогии с </w:t>
      </w:r>
      <w:r>
        <w:t xml:space="preserve">в</w:t>
      </w:r>
      <w:r>
        <w:t xml:space="preserve">кладкой «Раздел I: БА».</w:t>
      </w:r>
      <w:r/>
    </w:p>
    <w:p>
      <w:pPr>
        <w:pStyle w:val="994"/>
      </w:pPr>
      <w:r>
        <w:t xml:space="preserve">Перечень полей документа «Расходное расписание», закладки «Документ (1)», вкладки «Раздел II: ЛБО» приведен в таблице </w:t>
      </w:r>
      <w:r>
        <w:fldChar w:fldCharType="begin"/>
      </w:r>
      <w:r>
        <w:instrText xml:space="preserve"> REF _Ref369106624 \h  \* MERGEFORMAT </w:instrText>
      </w:r>
      <w:r>
        <w:fldChar w:fldCharType="separate"/>
      </w:r>
      <w:r>
        <w:t xml:space="preserve">95</w:t>
      </w:r>
      <w:r>
        <w:fldChar w:fldCharType="end"/>
      </w:r>
      <w:r>
        <w:t xml:space="preserve">.</w:t>
      </w:r>
      <w:r/>
    </w:p>
    <w:p>
      <w:pPr>
        <w:pStyle w:val="993"/>
      </w:pPr>
      <w:r>
        <w:fldChar w:fldCharType="begin"/>
      </w:r>
      <w:r>
        <w:instrText xml:space="preserve"> SEQ Таблица \* ARABIC </w:instrText>
      </w:r>
      <w:r>
        <w:fldChar w:fldCharType="separate"/>
      </w:r>
      <w:bookmarkStart w:id="1332" w:name="_Ref369106624"/>
      <w:r/>
      <w:bookmarkStart w:id="1333" w:name="_Toc88819281"/>
      <w:r>
        <w:t xml:space="preserve">95</w:t>
      </w:r>
      <w:bookmarkEnd w:id="1332"/>
      <w:r>
        <w:fldChar w:fldCharType="end"/>
      </w:r>
      <w:r>
        <w:t xml:space="preserve">. Описание полей документа «Расходное расписание</w:t>
      </w:r>
      <w:r>
        <w:t xml:space="preserve">», закладки «</w:t>
      </w:r>
      <w:r>
        <w:t xml:space="preserve">Документ (1)</w:t>
      </w:r>
      <w:r>
        <w:t xml:space="preserve">», </w:t>
      </w:r>
      <w:r>
        <w:t xml:space="preserve">в</w:t>
      </w:r>
      <w:r>
        <w:t xml:space="preserve">кладки «</w:t>
      </w:r>
      <w:r>
        <w:t xml:space="preserve">Раздел II: ЛБО (4)»</w:t>
      </w:r>
      <w:bookmarkEnd w:id="1333"/>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169"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31"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«Строки: Раздел II. Лимиты Бюджетных Обязате</w:t>
            </w:r>
            <w:r>
              <w:t xml:space="preserve">льств</w:t>
            </w:r>
            <w:r>
              <w:t xml:space="preserve">»</w:t>
            </w:r>
            <w:r/>
          </w:p>
        </w:tc>
      </w:tr>
      <w:tr>
        <w:trPr/>
        <w:tc>
          <w:tcPr>
            <w:shd w:val="clear" w:fill="auto" w:color="auto"/>
            <w:tcW w:w="1169" w:type="pct"/>
            <w:textDirection w:val="lrTb"/>
            <w:noWrap w:val="false"/>
          </w:tcPr>
          <w:p>
            <w:pPr>
              <w:pStyle w:val="1005"/>
              <w:ind w:left="57" w:right="57"/>
            </w:pPr>
            <w:r>
              <w:t xml:space="preserve">Дата в/д раздела</w:t>
            </w:r>
            <w:r/>
          </w:p>
        </w:tc>
        <w:tc>
          <w:tcPr>
            <w:shd w:val="clear" w:fill="auto" w:color="auto"/>
            <w:tcW w:w="3831" w:type="pct"/>
            <w:textDirection w:val="lrTb"/>
            <w:noWrap w:val="false"/>
          </w:tcPr>
          <w:p>
            <w:pPr>
              <w:pStyle w:val="1005"/>
              <w:ind w:left="57" w:right="57"/>
            </w:pPr>
            <w:r>
              <w:t xml:space="preserve">Дата ввода в действие бюджетных данных раздела. </w:t>
            </w:r>
            <w:r/>
          </w:p>
          <w:p>
            <w:pPr>
              <w:pStyle w:val="1005"/>
              <w:ind w:left="57" w:right="57"/>
            </w:pPr>
            <w:r>
              <w:t xml:space="preserve">Если указано поле «Дата в/д» всего расходного расписания, то данное поле </w:t>
            </w:r>
            <w:r>
              <w:t xml:space="preserve">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r/>
          </w:p>
        </w:tc>
      </w:tr>
      <w:tr>
        <w:trPr/>
        <w:tc>
          <w:tcPr>
            <w:shd w:val="clear" w:fill="auto" w:color="auto"/>
            <w:tcW w:w="1169" w:type="pct"/>
            <w:textDirection w:val="lrTb"/>
            <w:noWrap w:val="false"/>
          </w:tcPr>
          <w:p>
            <w:pPr>
              <w:pStyle w:val="1005"/>
              <w:ind w:left="57" w:right="57"/>
            </w:pPr>
            <w:r>
              <w:t xml:space="preserve">Итого: Тек. </w:t>
            </w:r>
            <w:r>
              <w:t xml:space="preserve">Г</w:t>
            </w:r>
            <w:r>
              <w:t xml:space="preserve">од</w:t>
            </w:r>
            <w:r/>
          </w:p>
        </w:tc>
        <w:tc>
          <w:tcPr>
            <w:shd w:val="clear" w:fill="auto" w:color="auto"/>
            <w:tcW w:w="3831" w:type="pct"/>
            <w:textDirection w:val="lrTb"/>
            <w:noWrap w:val="false"/>
          </w:tcPr>
          <w:p>
            <w:pPr>
              <w:pStyle w:val="1005"/>
              <w:ind w:left="57" w:right="57"/>
            </w:pPr>
            <w:r>
              <w:t xml:space="preserve">Общая сумма ЛБО в текущем году. </w:t>
            </w:r>
            <w:r/>
          </w:p>
          <w:p>
            <w:pPr>
              <w:pStyle w:val="1005"/>
              <w:ind w:left="57" w:right="57"/>
            </w:pPr>
            <w:r>
              <w:t xml:space="preserve">Соответствует сумме значений по всем строкам в поле «Су</w:t>
            </w:r>
            <w:r>
              <w:t xml:space="preserve">мма: Тек год».</w:t>
            </w:r>
            <w:r/>
          </w:p>
        </w:tc>
      </w:tr>
      <w:tr>
        <w:trPr/>
        <w:tc>
          <w:tcPr>
            <w:shd w:val="clear" w:fill="auto" w:color="auto"/>
            <w:tcW w:w="1169" w:type="pct"/>
            <w:textDirection w:val="lrTb"/>
            <w:noWrap w:val="false"/>
          </w:tcPr>
          <w:p>
            <w:pPr>
              <w:pStyle w:val="1005"/>
              <w:ind w:left="57" w:right="57"/>
            </w:pPr>
            <w:r>
              <w:t xml:space="preserve">Итого: 1-й год</w:t>
            </w:r>
            <w:r/>
          </w:p>
        </w:tc>
        <w:tc>
          <w:tcPr>
            <w:shd w:val="clear" w:fill="auto" w:color="auto"/>
            <w:tcW w:w="3831" w:type="pct"/>
            <w:textDirection w:val="lrTb"/>
            <w:noWrap w:val="false"/>
          </w:tcPr>
          <w:p>
            <w:pPr>
              <w:pStyle w:val="1005"/>
              <w:ind w:left="57" w:right="57"/>
            </w:pPr>
            <w:r>
              <w:t xml:space="preserve">Общая сумма ЛБО по первому году планового периода. </w:t>
            </w:r>
            <w:r/>
          </w:p>
          <w:p>
            <w:pPr>
              <w:pStyle w:val="1005"/>
              <w:ind w:left="57" w:right="57"/>
            </w:pPr>
            <w:r>
              <w:t xml:space="preserve">Соответствует сумме значений по всем строкам в поле «Су</w:t>
            </w:r>
            <w:r>
              <w:t xml:space="preserve">мма: 1 год». </w:t>
            </w:r>
            <w:r/>
          </w:p>
        </w:tc>
      </w:tr>
      <w:tr>
        <w:trPr/>
        <w:tc>
          <w:tcPr>
            <w:shd w:val="clear" w:fill="auto" w:color="auto"/>
            <w:tcW w:w="1169" w:type="pct"/>
            <w:textDirection w:val="lrTb"/>
            <w:noWrap w:val="false"/>
          </w:tcPr>
          <w:p>
            <w:pPr>
              <w:pStyle w:val="1005"/>
              <w:ind w:left="57" w:right="57"/>
            </w:pPr>
            <w:r>
              <w:t xml:space="preserve">Итого: 2-й год</w:t>
            </w:r>
            <w:r/>
          </w:p>
        </w:tc>
        <w:tc>
          <w:tcPr>
            <w:shd w:val="clear" w:fill="auto" w:color="auto"/>
            <w:tcW w:w="3831" w:type="pct"/>
            <w:textDirection w:val="lrTb"/>
            <w:noWrap w:val="false"/>
          </w:tcPr>
          <w:p>
            <w:pPr>
              <w:pStyle w:val="1005"/>
              <w:ind w:left="57" w:right="57"/>
            </w:pPr>
            <w:r>
              <w:t xml:space="preserve">Общая сумма ЛБО по второму году планового периода. </w:t>
            </w:r>
            <w:r/>
          </w:p>
          <w:p>
            <w:pPr>
              <w:pStyle w:val="1005"/>
              <w:ind w:left="57" w:right="57"/>
            </w:pPr>
            <w:r>
              <w:t xml:space="preserve">Соответствует сумме значений по всем строкам в поле «Су</w:t>
            </w:r>
            <w:r>
              <w:t xml:space="preserve">мма: 2 год».</w:t>
            </w:r>
            <w:r/>
          </w:p>
        </w:tc>
      </w:tr>
      <w:tr>
        <w:trPr/>
        <w:tc>
          <w:tcPr>
            <w:shd w:val="clear" w:fill="auto" w:color="auto"/>
            <w:tcW w:w="1169" w:type="pct"/>
            <w:textDirection w:val="lrTb"/>
            <w:noWrap w:val="false"/>
          </w:tcPr>
          <w:p>
            <w:pPr>
              <w:pStyle w:val="1005"/>
              <w:ind w:left="57" w:right="57"/>
            </w:pPr>
            <w:r>
              <w:t xml:space="preserve">№</w:t>
            </w:r>
            <w:r/>
          </w:p>
        </w:tc>
        <w:tc>
          <w:tcPr>
            <w:shd w:val="clear" w:fill="auto" w:color="auto"/>
            <w:tcW w:w="3831" w:type="pct"/>
            <w:textDirection w:val="lrTb"/>
            <w:noWrap w:val="false"/>
          </w:tcPr>
          <w:p>
            <w:pPr>
              <w:pStyle w:val="1005"/>
              <w:ind w:left="57" w:right="57"/>
            </w:pPr>
            <w:r>
              <w:t xml:space="preserve">Номер по порядку.</w:t>
            </w:r>
            <w:r>
              <w:t xml:space="preserve"> </w:t>
            </w:r>
            <w:r>
              <w:t xml:space="preserve">Автоматически заполняется номером строки по порядку</w:t>
            </w:r>
            <w:r>
              <w:t xml:space="preserve"> </w:t>
            </w:r>
            <w:r>
              <w:t xml:space="preserve">в пределах раздела документа</w:t>
            </w:r>
            <w:r>
              <w:t xml:space="preserve">.</w:t>
            </w:r>
            <w:r/>
          </w:p>
        </w:tc>
      </w:tr>
      <w:tr>
        <w:trPr/>
        <w:tc>
          <w:tcPr>
            <w:shd w:val="clear" w:fill="auto" w:color="auto"/>
            <w:tcW w:w="1169" w:type="pct"/>
            <w:textDirection w:val="lrTb"/>
            <w:noWrap w:val="false"/>
          </w:tcPr>
          <w:p>
            <w:pPr>
              <w:pStyle w:val="1005"/>
              <w:ind w:left="57" w:right="57"/>
            </w:pPr>
            <w:r>
              <w:t xml:space="preserve">Код объекта капитальных вложений</w:t>
            </w:r>
            <w:r/>
          </w:p>
        </w:tc>
        <w:tc>
          <w:tcPr>
            <w:shd w:val="clear" w:fill="auto" w:color="auto"/>
            <w:tcW w:w="3831" w:type="pct"/>
            <w:textDirection w:val="lrTb"/>
            <w:noWrap w:val="false"/>
          </w:tcPr>
          <w:p>
            <w:pPr>
              <w:pStyle w:val="1005"/>
              <w:ind w:left="57" w:right="57"/>
            </w:pPr>
            <w:r>
              <w:t xml:space="preserve">Заполняется вручную путем выбора значения из справочника «ФАИП».</w:t>
            </w:r>
            <w:r/>
          </w:p>
        </w:tc>
      </w:tr>
      <w:tr>
        <w:trPr/>
        <w:tc>
          <w:tcPr>
            <w:shd w:val="clear" w:fill="auto" w:color="auto"/>
            <w:tcW w:w="1169" w:type="pct"/>
            <w:textDirection w:val="lrTb"/>
            <w:noWrap w:val="false"/>
          </w:tcPr>
          <w:p>
            <w:pPr>
              <w:pStyle w:val="1005"/>
              <w:ind w:left="57" w:right="57"/>
            </w:pPr>
            <w:r>
              <w:t xml:space="preserve">КБК</w:t>
            </w:r>
            <w:r/>
          </w:p>
        </w:tc>
        <w:tc>
          <w:tcPr>
            <w:shd w:val="clear" w:fill="auto" w:color="auto"/>
            <w:tcW w:w="3831" w:type="pct"/>
            <w:textDirection w:val="lrTb"/>
            <w:noWrap w:val="false"/>
          </w:tcPr>
          <w:p>
            <w:pPr>
              <w:pStyle w:val="1005"/>
              <w:ind w:left="57" w:right="57"/>
            </w:pPr>
            <w:r>
              <w:t xml:space="preserve">Код бюджетной классификации (20 символов).</w:t>
            </w:r>
            <w:r/>
          </w:p>
          <w:p>
            <w:pPr>
              <w:pStyle w:val="1005"/>
              <w:ind w:left="57" w:right="57"/>
            </w:pPr>
            <w:r>
              <w:t xml:space="preserve">Для АРМ: Поле КБК может быть заполнено как в целом кодовой бюджетной классиф</w:t>
            </w:r>
            <w:r>
              <w:t xml:space="preserve">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w:t>
            </w:r>
            <w:r>
              <w:t xml:space="preserve">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w:t>
            </w:r>
            <w:r>
              <w:t xml:space="preserve">а</w:t>
            </w:r>
            <w:r>
              <w:t xml:space="preserve">оборот.</w:t>
            </w:r>
            <w:r/>
          </w:p>
          <w:p>
            <w:pPr>
              <w:pStyle w:val="1005"/>
              <w:ind w:left="57" w:right="57"/>
            </w:pPr>
            <w:r>
              <w:t xml:space="preserve">Поле может быть заполнено вручную или выбором из справочника КБК. Значения справочника ограничены значением полей «Бюджет» и «Глава по БК»</w:t>
            </w:r>
            <w:r>
              <w:t xml:space="preserve">.</w:t>
            </w:r>
            <w:r/>
          </w:p>
        </w:tc>
      </w:tr>
      <w:tr>
        <w:trPr/>
        <w:tc>
          <w:tcPr>
            <w:shd w:val="clear" w:fill="auto" w:color="auto"/>
            <w:tcW w:w="1169" w:type="pct"/>
            <w:textDirection w:val="lrTb"/>
            <w:noWrap w:val="false"/>
          </w:tcPr>
          <w:p>
            <w:pPr>
              <w:pStyle w:val="1005"/>
              <w:ind w:left="57" w:right="57"/>
            </w:pPr>
            <w:r>
              <w:t xml:space="preserve">Сумма: Тек год</w:t>
            </w:r>
            <w:r/>
          </w:p>
        </w:tc>
        <w:tc>
          <w:tcPr>
            <w:shd w:val="clear" w:fill="auto" w:color="auto"/>
            <w:tcW w:w="3831" w:type="pct"/>
            <w:textDirection w:val="lrTb"/>
            <w:noWrap w:val="false"/>
          </w:tcPr>
          <w:p>
            <w:pPr>
              <w:pStyle w:val="1005"/>
              <w:ind w:left="57" w:right="57"/>
            </w:pPr>
            <w:r>
              <w:t xml:space="preserve">Сумма ЛБО в текущем году.</w:t>
            </w:r>
            <w:r/>
          </w:p>
        </w:tc>
      </w:tr>
      <w:tr>
        <w:trPr/>
        <w:tc>
          <w:tcPr>
            <w:shd w:val="clear" w:fill="auto" w:color="auto"/>
            <w:tcW w:w="1169" w:type="pct"/>
            <w:textDirection w:val="lrTb"/>
            <w:noWrap w:val="false"/>
          </w:tcPr>
          <w:p>
            <w:pPr>
              <w:pStyle w:val="1005"/>
              <w:ind w:left="57" w:right="57"/>
            </w:pPr>
            <w:r>
              <w:t xml:space="preserve">Сумма: 1 год</w:t>
            </w:r>
            <w:r/>
          </w:p>
        </w:tc>
        <w:tc>
          <w:tcPr>
            <w:shd w:val="clear" w:fill="auto" w:color="auto"/>
            <w:tcW w:w="3831" w:type="pct"/>
            <w:textDirection w:val="lrTb"/>
            <w:noWrap w:val="false"/>
          </w:tcPr>
          <w:p>
            <w:pPr>
              <w:pStyle w:val="1005"/>
              <w:ind w:left="57" w:right="57"/>
            </w:pPr>
            <w:r>
              <w:t xml:space="preserve">Сумма ЛБО по первому году планового периода.</w:t>
            </w:r>
            <w:r/>
          </w:p>
        </w:tc>
      </w:tr>
      <w:tr>
        <w:trPr/>
        <w:tc>
          <w:tcPr>
            <w:shd w:val="clear" w:fill="auto" w:color="auto"/>
            <w:tcW w:w="1169" w:type="pct"/>
            <w:textDirection w:val="lrTb"/>
            <w:noWrap w:val="false"/>
          </w:tcPr>
          <w:p>
            <w:pPr>
              <w:pStyle w:val="1005"/>
              <w:ind w:left="57" w:right="57"/>
            </w:pPr>
            <w:r>
              <w:t xml:space="preserve">Сумма: 2 год</w:t>
            </w:r>
            <w:r/>
          </w:p>
        </w:tc>
        <w:tc>
          <w:tcPr>
            <w:shd w:val="clear" w:fill="auto" w:color="auto"/>
            <w:tcW w:w="3831" w:type="pct"/>
            <w:textDirection w:val="lrTb"/>
            <w:noWrap w:val="false"/>
          </w:tcPr>
          <w:p>
            <w:pPr>
              <w:pStyle w:val="1005"/>
              <w:ind w:left="57" w:right="57"/>
            </w:pPr>
            <w:r>
              <w:t xml:space="preserve">Сумма ЛБО по второму году планового периода.</w:t>
            </w:r>
            <w:r/>
          </w:p>
        </w:tc>
      </w:tr>
      <w:tr>
        <w:trPr/>
        <w:tc>
          <w:tcPr>
            <w:shd w:val="clear" w:fill="auto" w:color="auto"/>
            <w:tcW w:w="1169" w:type="pct"/>
            <w:textDirection w:val="lrTb"/>
            <w:noWrap w:val="false"/>
          </w:tcPr>
          <w:p>
            <w:pPr>
              <w:pStyle w:val="1005"/>
              <w:ind w:left="57" w:right="57"/>
            </w:pPr>
            <w:r>
              <w:t xml:space="preserve">Код цели</w:t>
            </w:r>
            <w:r/>
          </w:p>
        </w:tc>
        <w:tc>
          <w:tcPr>
            <w:shd w:val="clear" w:fill="auto" w:color="auto"/>
            <w:tcW w:w="3831" w:type="pct"/>
            <w:textDirection w:val="lrTb"/>
            <w:noWrap w:val="false"/>
          </w:tcPr>
          <w:p>
            <w:pPr>
              <w:pStyle w:val="1005"/>
              <w:ind w:left="57" w:right="57"/>
            </w:pPr>
            <w:r>
              <w:t xml:space="preserve">Код цели субсидий/субвенций.</w:t>
            </w:r>
            <w:r/>
          </w:p>
        </w:tc>
      </w:tr>
      <w:tr>
        <w:trPr/>
        <w:tc>
          <w:tcPr>
            <w:shd w:val="clear" w:fill="auto" w:color="auto"/>
            <w:tcW w:w="1169" w:type="pct"/>
            <w:textDirection w:val="lrTb"/>
            <w:noWrap w:val="false"/>
          </w:tcPr>
          <w:p>
            <w:pPr>
              <w:pStyle w:val="1005"/>
              <w:ind w:left="57" w:right="57"/>
            </w:pPr>
            <w:r>
              <w:t xml:space="preserve">Примечание</w:t>
            </w:r>
            <w:r/>
          </w:p>
        </w:tc>
        <w:tc>
          <w:tcPr>
            <w:shd w:val="clear" w:fill="auto" w:color="auto"/>
            <w:tcW w:w="3831" w:type="pct"/>
            <w:textDirection w:val="lrTb"/>
            <w:noWrap w:val="false"/>
          </w:tcPr>
          <w:p>
            <w:pPr>
              <w:pStyle w:val="1005"/>
              <w:ind w:left="57" w:right="57"/>
            </w:pPr>
            <w:r>
              <w:t xml:space="preserve">Примечание.</w:t>
            </w:r>
            <w:r>
              <w:t xml:space="preserve"> </w:t>
            </w:r>
            <w:r>
              <w:t xml:space="preserve">Заполняется вручную.</w:t>
            </w:r>
            <w:r/>
          </w:p>
        </w:tc>
      </w:tr>
    </w:tbl>
    <w:p>
      <w:pPr>
        <w:pStyle w:val="994"/>
      </w:pPr>
      <w:r>
        <w:t xml:space="preserve">ЭФ документа «Расходное расписание</w:t>
      </w:r>
      <w:r>
        <w:t xml:space="preserve">», закладки «</w:t>
      </w:r>
      <w:r>
        <w:t xml:space="preserve">Документ (1)</w:t>
      </w:r>
      <w:r>
        <w:t xml:space="preserve">», в</w:t>
      </w:r>
      <w:r>
        <w:t xml:space="preserve">кладки «</w:t>
      </w:r>
      <w:r>
        <w:t xml:space="preserve">Раздел III: ПОФР (5)»</w:t>
      </w:r>
      <w:r>
        <w:t xml:space="preserve"> </w:t>
      </w:r>
      <w:r>
        <w:t xml:space="preserve">представлена </w:t>
      </w:r>
      <w:r>
        <w:t xml:space="preserve">н</w:t>
      </w:r>
      <w:r>
        <w:t xml:space="preserve">а рисунке</w:t>
      </w:r>
      <w:r>
        <w:t xml:space="preserve"> </w:t>
      </w:r>
      <w:r>
        <w:fldChar w:fldCharType="begin"/>
      </w:r>
      <w:r>
        <w:instrText xml:space="preserve"> REF _Ref205614649 \h  \* MERGEFORMAT </w:instrText>
      </w:r>
      <w:r>
        <w:fldChar w:fldCharType="separate"/>
      </w:r>
      <w:r>
        <w:t xml:space="preserve">179</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3009900"/>
                <wp:effectExtent l="0" t="0" r="0" b="0"/>
                <wp:docPr id="27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48"/>
                        <a:stretch/>
                      </pic:blipFill>
                      <pic:spPr bwMode="auto">
                        <a:xfrm>
                          <a:off x="0" y="0"/>
                          <a:ext cx="6134100" cy="30099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3" o:spid="_x0000_s273" type="#_x0000_t75" style="mso-wrap-distance-left:0.0pt;mso-wrap-distance-top:0.0pt;mso-wrap-distance-right:0.0pt;mso-wrap-distance-bottom:0.0pt;width:483.0pt;height:237.0pt;" stroked="f">
                <v:path textboxrect="0,0,0,0"/>
                <v:imagedata r:id="rId248" o:title=""/>
              </v:shape>
            </w:pict>
          </mc:Fallback>
        </mc:AlternateContent>
      </w:r>
      <w:r/>
    </w:p>
    <w:p>
      <w:pPr>
        <w:pStyle w:val="983"/>
      </w:pPr>
      <w:r>
        <w:fldChar w:fldCharType="begin"/>
      </w:r>
      <w:r>
        <w:instrText xml:space="preserve"> SEQ Рисунок \* ARABIC </w:instrText>
      </w:r>
      <w:r>
        <w:fldChar w:fldCharType="separate"/>
      </w:r>
      <w:bookmarkStart w:id="1334" w:name="_Ref205614649"/>
      <w:r/>
      <w:bookmarkStart w:id="1335" w:name="_Toc88819564"/>
      <w:r>
        <w:t xml:space="preserve">179</w:t>
      </w:r>
      <w:bookmarkEnd w:id="1334"/>
      <w:r>
        <w:fldChar w:fldCharType="end"/>
      </w:r>
      <w:r>
        <w:t xml:space="preserve">. ЭФ документа «Расходное расписание</w:t>
      </w:r>
      <w:r>
        <w:t xml:space="preserve">», закладки «</w:t>
      </w:r>
      <w:r>
        <w:t xml:space="preserve">Документ (1)</w:t>
      </w:r>
      <w:r>
        <w:t xml:space="preserve">», </w:t>
      </w:r>
      <w:r>
        <w:t xml:space="preserve">в</w:t>
      </w:r>
      <w:r>
        <w:t xml:space="preserve">кладки «</w:t>
      </w:r>
      <w:r>
        <w:t xml:space="preserve">Раздел III: ПОФР (5)»</w:t>
      </w:r>
      <w:bookmarkEnd w:id="1335"/>
      <w:r/>
      <w:r/>
    </w:p>
    <w:p>
      <w:pPr>
        <w:pStyle w:val="994"/>
      </w:pPr>
      <w:r>
        <w:t xml:space="preserve">В</w:t>
      </w:r>
      <w:r>
        <w:t xml:space="preserve">кладка «Раздел III: ПОФР (</w:t>
      </w:r>
      <w:r>
        <w:t xml:space="preserve">5)» (см.</w:t>
      </w:r>
      <w:r>
        <w:t xml:space="preserve"> </w:t>
      </w:r>
      <w:r>
        <w:t xml:space="preserve">рис. </w:t>
      </w:r>
      <w:r>
        <w:fldChar w:fldCharType="begin"/>
      </w:r>
      <w:r>
        <w:instrText xml:space="preserve"> REF _Ref205614649 \h  \* MERGEFORMAT </w:instrText>
      </w:r>
      <w:r>
        <w:fldChar w:fldCharType="separate"/>
      </w:r>
      <w:r>
        <w:t xml:space="preserve">179</w:t>
      </w:r>
      <w:r>
        <w:fldChar w:fldCharType="end"/>
      </w:r>
      <w:r>
        <w:t xml:space="preserve">) содержит заголовочные поля и строки ПОФР по Разделу III, </w:t>
      </w:r>
      <w:r>
        <w:t xml:space="preserve">з</w:t>
      </w:r>
      <w:r>
        <w:t xml:space="preserve">аполняется по аналогии с </w:t>
      </w:r>
      <w:r>
        <w:t xml:space="preserve">в</w:t>
      </w:r>
      <w:r>
        <w:t xml:space="preserve">кладкой: «Раздел I: БА (3)».</w:t>
      </w:r>
      <w:r/>
    </w:p>
    <w:p>
      <w:pPr>
        <w:pStyle w:val="994"/>
      </w:pPr>
      <w:r>
        <w:t xml:space="preserve">Перечень полей документа «Расходное расписание», закладки «Документ (1)», вкладки «Раздел III: ПОФР» приведен в таблице</w:t>
      </w:r>
      <w:r>
        <w:t xml:space="preserve"> </w:t>
      </w:r>
      <w:r>
        <w:fldChar w:fldCharType="begin"/>
      </w:r>
      <w:r>
        <w:instrText xml:space="preserve"> REF _Ref369106927 \h  \* MERGEFORMAT </w:instrText>
      </w:r>
      <w:r>
        <w:fldChar w:fldCharType="separate"/>
      </w:r>
      <w:r>
        <w:t xml:space="preserve">96</w:t>
      </w:r>
      <w:r>
        <w:fldChar w:fldCharType="end"/>
      </w:r>
      <w:r>
        <w:t xml:space="preserve">.</w:t>
      </w:r>
      <w:r/>
    </w:p>
    <w:p>
      <w:pPr>
        <w:pStyle w:val="993"/>
      </w:pPr>
      <w:r>
        <w:fldChar w:fldCharType="begin"/>
      </w:r>
      <w:r>
        <w:instrText xml:space="preserve"> SEQ Таблица \* ARABIC </w:instrText>
      </w:r>
      <w:r>
        <w:fldChar w:fldCharType="separate"/>
      </w:r>
      <w:bookmarkStart w:id="1336" w:name="_Ref369106927"/>
      <w:r/>
      <w:bookmarkStart w:id="1337" w:name="_Toc88819282"/>
      <w:r>
        <w:t xml:space="preserve">96</w:t>
      </w:r>
      <w:bookmarkEnd w:id="1336"/>
      <w:r>
        <w:fldChar w:fldCharType="end"/>
      </w:r>
      <w:r>
        <w:t xml:space="preserve">. Описание полей документа «Расходное расписание</w:t>
      </w:r>
      <w:r>
        <w:t xml:space="preserve">», закладки «</w:t>
      </w:r>
      <w:r>
        <w:t xml:space="preserve">Документ (1)</w:t>
      </w:r>
      <w:r>
        <w:t xml:space="preserve">», </w:t>
      </w:r>
      <w:r>
        <w:t xml:space="preserve">в</w:t>
      </w:r>
      <w:r>
        <w:t xml:space="preserve">кладки «</w:t>
      </w:r>
      <w:r>
        <w:t xml:space="preserve">Раздел III: ПОФР (5)»</w:t>
      </w:r>
      <w:bookmarkEnd w:id="1337"/>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2393"/>
        <w:gridCol w:w="7359"/>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22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73"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«Строки: Раздел III. П</w:t>
            </w:r>
            <w:r>
              <w:t xml:space="preserve">редельные Объемы финансирования</w:t>
            </w:r>
            <w:r>
              <w:t xml:space="preserve">»</w:t>
            </w:r>
            <w:r/>
          </w:p>
        </w:tc>
      </w:tr>
      <w:tr>
        <w:trPr/>
        <w:tc>
          <w:tcPr>
            <w:shd w:val="clear" w:fill="auto" w:color="auto"/>
            <w:tcW w:w="1227" w:type="pct"/>
            <w:textDirection w:val="lrTb"/>
            <w:noWrap w:val="false"/>
          </w:tcPr>
          <w:p>
            <w:pPr>
              <w:pStyle w:val="1005"/>
              <w:ind w:left="57" w:right="57"/>
            </w:pPr>
            <w:r>
              <w:t xml:space="preserve">Дата в/д раздела</w:t>
            </w:r>
            <w:r/>
          </w:p>
        </w:tc>
        <w:tc>
          <w:tcPr>
            <w:shd w:val="clear" w:fill="auto" w:color="auto"/>
            <w:tcW w:w="3773" w:type="pct"/>
            <w:textDirection w:val="lrTb"/>
            <w:noWrap w:val="false"/>
          </w:tcPr>
          <w:p>
            <w:pPr>
              <w:pStyle w:val="1005"/>
              <w:ind w:left="57" w:right="57"/>
            </w:pPr>
            <w:r>
              <w:t xml:space="preserve">Дата ввода в действие бюджетных данных раздела. </w:t>
            </w:r>
            <w:r/>
          </w:p>
          <w:p>
            <w:pPr>
              <w:pStyle w:val="1005"/>
              <w:ind w:left="57" w:right="57"/>
            </w:pPr>
            <w:r>
              <w:t xml:space="preserve">Если указано поле «Дата в/д» всего расходного расписания, то данное поле не может быть заполнено. Если поле «Дата в/д» не задано, то заполняется из календаря или вручную. Дата должна быть больше или равна текущей системной дате.</w:t>
            </w:r>
            <w:r/>
          </w:p>
        </w:tc>
      </w:tr>
      <w:tr>
        <w:trPr/>
        <w:tc>
          <w:tcPr>
            <w:shd w:val="clear" w:fill="auto" w:color="auto"/>
            <w:tcW w:w="1227" w:type="pct"/>
            <w:textDirection w:val="lrTb"/>
            <w:noWrap w:val="false"/>
          </w:tcPr>
          <w:p>
            <w:pPr>
              <w:pStyle w:val="1005"/>
              <w:ind w:left="57" w:right="57"/>
            </w:pPr>
            <w:r>
              <w:t xml:space="preserve">Итого: Тек. </w:t>
            </w:r>
            <w:r>
              <w:t xml:space="preserve">Г</w:t>
            </w:r>
            <w:r>
              <w:t xml:space="preserve">од</w:t>
            </w:r>
            <w:r/>
          </w:p>
        </w:tc>
        <w:tc>
          <w:tcPr>
            <w:shd w:val="clear" w:fill="auto" w:color="auto"/>
            <w:tcW w:w="3773" w:type="pct"/>
            <w:textDirection w:val="lrTb"/>
            <w:noWrap w:val="false"/>
          </w:tcPr>
          <w:p>
            <w:pPr>
              <w:pStyle w:val="1005"/>
              <w:ind w:left="57" w:right="57"/>
            </w:pPr>
            <w:r>
              <w:t xml:space="preserve">Общая сумма ПОФР в текущем году. </w:t>
            </w:r>
            <w:r/>
          </w:p>
          <w:p>
            <w:pPr>
              <w:pStyle w:val="1005"/>
              <w:ind w:left="57" w:right="57"/>
            </w:pPr>
            <w:r>
              <w:t xml:space="preserve">Соответствует сумме значений по всем строкам в поле «Су</w:t>
            </w:r>
            <w:r>
              <w:t xml:space="preserve">мма: Тек год».</w:t>
            </w:r>
            <w:r/>
          </w:p>
        </w:tc>
      </w:tr>
      <w:tr>
        <w:trPr/>
        <w:tc>
          <w:tcPr>
            <w:shd w:val="clear" w:fill="auto" w:color="auto"/>
            <w:tcW w:w="1227" w:type="pct"/>
            <w:textDirection w:val="lrTb"/>
            <w:noWrap w:val="false"/>
          </w:tcPr>
          <w:p>
            <w:pPr>
              <w:pStyle w:val="1005"/>
              <w:ind w:left="57" w:right="57"/>
            </w:pPr>
            <w:r>
              <w:t xml:space="preserve">№</w:t>
            </w:r>
            <w:r/>
          </w:p>
        </w:tc>
        <w:tc>
          <w:tcPr>
            <w:shd w:val="clear" w:fill="auto" w:color="auto"/>
            <w:tcW w:w="3773" w:type="pct"/>
            <w:textDirection w:val="lrTb"/>
            <w:noWrap w:val="false"/>
          </w:tcPr>
          <w:p>
            <w:pPr>
              <w:pStyle w:val="1005"/>
              <w:ind w:left="57" w:right="57"/>
            </w:pPr>
            <w:r>
              <w:t xml:space="preserve">Номер по порядку.</w:t>
            </w:r>
            <w:r/>
          </w:p>
        </w:tc>
      </w:tr>
      <w:tr>
        <w:trPr/>
        <w:tc>
          <w:tcPr>
            <w:shd w:val="clear" w:fill="auto" w:color="auto"/>
            <w:tcW w:w="1227" w:type="pct"/>
            <w:textDirection w:val="lrTb"/>
            <w:noWrap w:val="false"/>
          </w:tcPr>
          <w:p>
            <w:pPr>
              <w:pStyle w:val="1005"/>
              <w:ind w:left="57" w:right="57"/>
            </w:pPr>
            <w:r>
              <w:t xml:space="preserve">КБК</w:t>
            </w:r>
            <w:r/>
          </w:p>
        </w:tc>
        <w:tc>
          <w:tcPr>
            <w:shd w:val="clear" w:fill="auto" w:color="auto"/>
            <w:tcW w:w="3773" w:type="pct"/>
            <w:textDirection w:val="lrTb"/>
            <w:noWrap w:val="false"/>
          </w:tcPr>
          <w:p>
            <w:pPr>
              <w:pStyle w:val="1005"/>
              <w:ind w:left="57" w:right="57"/>
            </w:pPr>
            <w:r>
              <w:t xml:space="preserve">Код бюджетной классификации (20 символов).</w:t>
            </w:r>
            <w:r/>
          </w:p>
        </w:tc>
      </w:tr>
      <w:tr>
        <w:trPr/>
        <w:tc>
          <w:tcPr>
            <w:shd w:val="clear" w:fill="auto" w:color="auto"/>
            <w:tcW w:w="1227" w:type="pct"/>
            <w:textDirection w:val="lrTb"/>
            <w:noWrap w:val="false"/>
          </w:tcPr>
          <w:p>
            <w:pPr>
              <w:pStyle w:val="1005"/>
              <w:ind w:left="57" w:right="57"/>
            </w:pPr>
            <w:r>
              <w:t xml:space="preserve">Сумма: Тек год</w:t>
            </w:r>
            <w:r/>
          </w:p>
        </w:tc>
        <w:tc>
          <w:tcPr>
            <w:shd w:val="clear" w:fill="auto" w:color="auto"/>
            <w:tcW w:w="3773" w:type="pct"/>
            <w:textDirection w:val="lrTb"/>
            <w:noWrap w:val="false"/>
          </w:tcPr>
          <w:p>
            <w:pPr>
              <w:pStyle w:val="1005"/>
              <w:ind w:left="57" w:right="57"/>
            </w:pPr>
            <w:r>
              <w:t xml:space="preserve">Сумма ПОФР в текущем году.</w:t>
            </w:r>
            <w:r/>
          </w:p>
        </w:tc>
      </w:tr>
      <w:tr>
        <w:trPr/>
        <w:tc>
          <w:tcPr>
            <w:shd w:val="clear" w:fill="auto" w:color="auto"/>
            <w:tcW w:w="1227" w:type="pct"/>
            <w:textDirection w:val="lrTb"/>
            <w:noWrap w:val="false"/>
          </w:tcPr>
          <w:p>
            <w:pPr>
              <w:pStyle w:val="1005"/>
              <w:ind w:left="57" w:right="57"/>
            </w:pPr>
            <w:r>
              <w:t xml:space="preserve">Код цели</w:t>
            </w:r>
            <w:r/>
          </w:p>
        </w:tc>
        <w:tc>
          <w:tcPr>
            <w:shd w:val="clear" w:fill="auto" w:color="auto"/>
            <w:tcW w:w="3773" w:type="pct"/>
            <w:textDirection w:val="lrTb"/>
            <w:noWrap w:val="false"/>
          </w:tcPr>
          <w:p>
            <w:pPr>
              <w:pStyle w:val="1005"/>
              <w:ind w:left="57" w:right="57"/>
            </w:pPr>
            <w:r>
              <w:t xml:space="preserve">Код цели субсидий/субвенций.</w:t>
            </w:r>
            <w:r/>
          </w:p>
        </w:tc>
      </w:tr>
      <w:tr>
        <w:trPr/>
        <w:tc>
          <w:tcPr>
            <w:shd w:val="clear" w:fill="auto" w:color="auto"/>
            <w:tcW w:w="1227" w:type="pct"/>
            <w:textDirection w:val="lrTb"/>
            <w:noWrap w:val="false"/>
          </w:tcPr>
          <w:p>
            <w:pPr>
              <w:pStyle w:val="1005"/>
              <w:ind w:left="57" w:right="57"/>
            </w:pPr>
            <w:r>
              <w:t xml:space="preserve">Примечание</w:t>
            </w:r>
            <w:r/>
          </w:p>
        </w:tc>
        <w:tc>
          <w:tcPr>
            <w:shd w:val="clear" w:fill="auto" w:color="auto"/>
            <w:tcW w:w="3773" w:type="pct"/>
            <w:textDirection w:val="lrTb"/>
            <w:noWrap w:val="false"/>
          </w:tcPr>
          <w:p>
            <w:pPr>
              <w:pStyle w:val="1005"/>
              <w:ind w:left="57" w:right="57"/>
            </w:pPr>
            <w:r>
              <w:t xml:space="preserve">Примечание.</w:t>
            </w:r>
            <w:r/>
          </w:p>
        </w:tc>
      </w:tr>
    </w:tbl>
    <w:p>
      <w:pPr>
        <w:pStyle w:val="994"/>
      </w:pPr>
      <w:r>
        <w:t xml:space="preserve">ЭФ документа «Расходное расписание</w:t>
      </w:r>
      <w:r>
        <w:t xml:space="preserve">», закладки «</w:t>
      </w:r>
      <w:r>
        <w:t xml:space="preserve">Дополнительные атрибуты (2)»</w:t>
      </w:r>
      <w:r>
        <w:t xml:space="preserve"> </w:t>
      </w:r>
      <w:r>
        <w:t xml:space="preserve">представлена </w:t>
      </w:r>
      <w:r>
        <w:t xml:space="preserve">н</w:t>
      </w:r>
      <w:r>
        <w:t xml:space="preserve">а рисунке</w:t>
      </w:r>
      <w:r>
        <w:t xml:space="preserve"> </w:t>
      </w:r>
      <w:r>
        <w:fldChar w:fldCharType="begin"/>
      </w:r>
      <w:r>
        <w:instrText xml:space="preserve"> REF _Ref205615382 \h  \* MERGEFORMAT </w:instrText>
      </w:r>
      <w:r>
        <w:fldChar w:fldCharType="separate"/>
      </w:r>
      <w:r>
        <w:t xml:space="preserve">180</w:t>
      </w:r>
      <w:r>
        <w:fldChar w:fldCharType="end"/>
      </w:r>
      <w:r>
        <w:t xml:space="preserve">.</w:t>
      </w:r>
      <w:r/>
    </w:p>
    <w:p>
      <w:pPr>
        <w:pStyle w:val="982"/>
      </w:pPr>
      <w:r>
        <mc:AlternateContent>
          <mc:Choice Requires="wpg">
            <w:drawing>
              <wp:inline xmlns:wp="http://schemas.openxmlformats.org/drawingml/2006/wordprocessingDrawing" distT="0" distB="0" distL="0" distR="0">
                <wp:extent cx="6027420" cy="2461260"/>
                <wp:effectExtent l="0" t="0" r="0" b="0"/>
                <wp:docPr id="27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49"/>
                        <a:stretch/>
                      </pic:blipFill>
                      <pic:spPr bwMode="auto">
                        <a:xfrm>
                          <a:off x="0" y="0"/>
                          <a:ext cx="6027420" cy="24612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4" o:spid="_x0000_s274" type="#_x0000_t75" style="mso-wrap-distance-left:0.0pt;mso-wrap-distance-top:0.0pt;mso-wrap-distance-right:0.0pt;mso-wrap-distance-bottom:0.0pt;width:474.6pt;height:193.8pt;" stroked="f">
                <v:path textboxrect="0,0,0,0"/>
                <v:imagedata r:id="rId249" o:title=""/>
              </v:shape>
            </w:pict>
          </mc:Fallback>
        </mc:AlternateContent>
      </w:r>
      <w:r/>
    </w:p>
    <w:p>
      <w:pPr>
        <w:pStyle w:val="983"/>
      </w:pPr>
      <w:r>
        <w:fldChar w:fldCharType="begin"/>
      </w:r>
      <w:r>
        <w:instrText xml:space="preserve"> SEQ Рисунок \* ARABIC </w:instrText>
      </w:r>
      <w:r>
        <w:fldChar w:fldCharType="separate"/>
      </w:r>
      <w:bookmarkStart w:id="1338" w:name="_Ref205615382"/>
      <w:r/>
      <w:bookmarkStart w:id="1339" w:name="_Toc88819565"/>
      <w:r>
        <w:t xml:space="preserve">180</w:t>
      </w:r>
      <w:bookmarkEnd w:id="1338"/>
      <w:r>
        <w:fldChar w:fldCharType="end"/>
      </w:r>
      <w:r>
        <w:t xml:space="preserve">. ЭФ документа «Расходное расписание</w:t>
      </w:r>
      <w:r>
        <w:t xml:space="preserve">», закладки «</w:t>
      </w:r>
      <w:r>
        <w:t xml:space="preserve">Дополнительные атрибуты (2)»</w:t>
      </w:r>
      <w:bookmarkEnd w:id="1339"/>
      <w:r/>
      <w:r/>
    </w:p>
    <w:p>
      <w:pPr>
        <w:pStyle w:val="994"/>
      </w:pPr>
      <w:r>
        <w:t xml:space="preserve">Перечень полей документа «Расходное расписание</w:t>
      </w:r>
      <w:r>
        <w:t xml:space="preserve">», закладки «</w:t>
      </w:r>
      <w:r>
        <w:t xml:space="preserve">Дополнительные атрибуты (2)» </w:t>
      </w:r>
      <w:r>
        <w:t xml:space="preserve">приведен в таблице</w:t>
      </w:r>
      <w:r>
        <w:t xml:space="preserve"> </w:t>
      </w:r>
      <w:r>
        <w:fldChar w:fldCharType="begin"/>
      </w:r>
      <w:r>
        <w:instrText xml:space="preserve"> REF _Ref369108210 \h </w:instrText>
      </w:r>
      <w:r>
        <w:instrText xml:space="preserve"> \* MERGEFORMAT </w:instrText>
      </w:r>
      <w:r>
        <w:fldChar w:fldCharType="separate"/>
      </w:r>
      <w:r>
        <w:t xml:space="preserve">97</w:t>
      </w:r>
      <w:r>
        <w:fldChar w:fldCharType="end"/>
      </w:r>
      <w:r>
        <w:t xml:space="preserve">.</w:t>
      </w:r>
      <w:r/>
    </w:p>
    <w:p>
      <w:pPr>
        <w:pStyle w:val="993"/>
      </w:pPr>
      <w:r>
        <w:fldChar w:fldCharType="begin"/>
      </w:r>
      <w:r>
        <w:instrText xml:space="preserve"> SEQ Таблица \* ARABIC </w:instrText>
      </w:r>
      <w:r>
        <w:fldChar w:fldCharType="separate"/>
      </w:r>
      <w:bookmarkStart w:id="1340" w:name="_Ref369108210"/>
      <w:r/>
      <w:bookmarkStart w:id="1341" w:name="_Toc88819283"/>
      <w:r>
        <w:t xml:space="preserve">97</w:t>
      </w:r>
      <w:bookmarkEnd w:id="1340"/>
      <w:r>
        <w:fldChar w:fldCharType="end"/>
      </w:r>
      <w:r>
        <w:t xml:space="preserve">. </w:t>
      </w:r>
      <w:r>
        <w:t xml:space="preserve">О</w:t>
      </w:r>
      <w:r>
        <w:t xml:space="preserve">писание полей документа «Расходное расписание</w:t>
      </w:r>
      <w:r>
        <w:t xml:space="preserve">», закладки «</w:t>
      </w:r>
      <w:r>
        <w:t xml:space="preserve">Дополнительные атрибуты (2)»</w:t>
      </w:r>
      <w:bookmarkEnd w:id="1341"/>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2576"/>
        <w:gridCol w:w="7176"/>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321"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679" w:type="pct"/>
            <w:vAlign w:val="center"/>
            <w:textDirection w:val="lrTb"/>
            <w:noWrap w:val="false"/>
          </w:tcPr>
          <w:p>
            <w:pPr>
              <w:pStyle w:val="1006"/>
            </w:pPr>
            <w:r>
              <w:t xml:space="preserve">Описание поля</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w:t>
            </w:r>
            <w:r>
              <w:t xml:space="preserve">«</w:t>
            </w:r>
            <w:r>
              <w:t xml:space="preserve">Даты</w:t>
            </w:r>
            <w:r>
              <w:t xml:space="preserve">»</w:t>
            </w:r>
            <w:r/>
          </w:p>
        </w:tc>
      </w:tr>
      <w:tr>
        <w:trPr>
          <w:trHeight w:val="77"/>
        </w:trPr>
        <w:tc>
          <w:tcPr>
            <w:shd w:val="clear" w:fill="auto" w:color="auto"/>
            <w:tcW w:w="1321" w:type="pct"/>
            <w:textDirection w:val="lrTb"/>
            <w:noWrap w:val="false"/>
          </w:tcPr>
          <w:p>
            <w:pPr>
              <w:pStyle w:val="1005"/>
              <w:ind w:left="57" w:right="57"/>
            </w:pPr>
            <w:r>
              <w:t xml:space="preserve">Дата регистр</w:t>
            </w:r>
            <w:r>
              <w:t xml:space="preserve">а</w:t>
            </w:r>
            <w:r>
              <w:t xml:space="preserve">ции/аннулирования в о</w:t>
            </w:r>
            <w:r>
              <w:t xml:space="preserve">р</w:t>
            </w:r>
            <w:r>
              <w:t xml:space="preserve">гане ФК отправителе</w:t>
            </w:r>
            <w:r/>
          </w:p>
        </w:tc>
        <w:tc>
          <w:tcPr>
            <w:shd w:val="clear" w:fill="auto" w:color="auto"/>
            <w:tcW w:w="3679" w:type="pct"/>
            <w:textDirection w:val="lrTb"/>
            <w:noWrap w:val="false"/>
          </w:tcPr>
          <w:p>
            <w:pPr>
              <w:pStyle w:val="1005"/>
              <w:ind w:left="57" w:right="57"/>
            </w:pPr>
            <w:r>
              <w:t xml:space="preserve">Дата регистрации (аннулирования) в органе ФК отправителе. </w:t>
            </w:r>
            <w:r/>
          </w:p>
          <w:p>
            <w:pPr>
              <w:pStyle w:val="1005"/>
              <w:ind w:left="57" w:right="57"/>
            </w:pPr>
            <w:r>
              <w:t xml:space="preserve">Значение передается из </w:t>
            </w:r>
            <w:r>
              <w:t xml:space="preserve">учетной системы ТОФК.</w:t>
            </w:r>
            <w:r/>
          </w:p>
        </w:tc>
      </w:tr>
      <w:tr>
        <w:trPr>
          <w:trHeight w:val="77"/>
        </w:trPr>
        <w:tc>
          <w:tcPr>
            <w:shd w:val="clear" w:fill="auto" w:color="auto"/>
            <w:tcW w:w="1321" w:type="pct"/>
            <w:textDirection w:val="lrTb"/>
            <w:noWrap w:val="false"/>
          </w:tcPr>
          <w:p>
            <w:pPr>
              <w:pStyle w:val="1005"/>
              <w:ind w:left="57" w:right="57"/>
            </w:pPr>
            <w:r>
              <w:t xml:space="preserve">Дата проводки в о</w:t>
            </w:r>
            <w:r>
              <w:t xml:space="preserve">р</w:t>
            </w:r>
            <w:r>
              <w:t xml:space="preserve">гане ФК о</w:t>
            </w:r>
            <w:r>
              <w:t xml:space="preserve">тправителя</w:t>
            </w:r>
            <w:r/>
          </w:p>
        </w:tc>
        <w:tc>
          <w:tcPr>
            <w:shd w:val="clear" w:fill="auto" w:color="auto"/>
            <w:tcW w:w="3679" w:type="pct"/>
            <w:textDirection w:val="lrTb"/>
            <w:noWrap w:val="false"/>
          </w:tcPr>
          <w:p>
            <w:pPr>
              <w:pStyle w:val="1005"/>
              <w:ind w:left="57" w:right="57"/>
            </w:pPr>
            <w:r>
              <w:t xml:space="preserve">Дата проводки в органе ФК отправителя. </w:t>
            </w:r>
            <w:r/>
          </w:p>
          <w:p>
            <w:pPr>
              <w:pStyle w:val="1005"/>
              <w:ind w:left="57" w:right="57"/>
            </w:pPr>
            <w:r>
              <w:t xml:space="preserve">Значение передается из </w:t>
            </w:r>
            <w:r>
              <w:t xml:space="preserve">учетной системы ТОФК.</w:t>
            </w:r>
            <w:r/>
          </w:p>
        </w:tc>
      </w:tr>
      <w:tr>
        <w:trPr>
          <w:trHeight w:val="77"/>
        </w:trPr>
        <w:tc>
          <w:tcPr>
            <w:shd w:val="clear" w:fill="auto" w:color="auto"/>
            <w:tcW w:w="1321" w:type="pct"/>
            <w:textDirection w:val="lrTb"/>
            <w:noWrap w:val="false"/>
          </w:tcPr>
          <w:p>
            <w:pPr>
              <w:pStyle w:val="1005"/>
              <w:ind w:left="57" w:right="57"/>
            </w:pPr>
            <w:r>
              <w:t xml:space="preserve">Дата регистр</w:t>
            </w:r>
            <w:r>
              <w:t xml:space="preserve">а</w:t>
            </w:r>
            <w:r>
              <w:t xml:space="preserve">ции/аннулирования в о</w:t>
            </w:r>
            <w:r>
              <w:t xml:space="preserve">р</w:t>
            </w:r>
            <w:r>
              <w:t xml:space="preserve">гане ФК получателя</w:t>
            </w:r>
            <w:r/>
          </w:p>
        </w:tc>
        <w:tc>
          <w:tcPr>
            <w:shd w:val="clear" w:fill="auto" w:color="auto"/>
            <w:tcW w:w="3679" w:type="pct"/>
            <w:textDirection w:val="lrTb"/>
            <w:noWrap w:val="false"/>
          </w:tcPr>
          <w:p>
            <w:pPr>
              <w:pStyle w:val="1005"/>
              <w:ind w:left="57" w:right="57"/>
            </w:pPr>
            <w:r>
              <w:t xml:space="preserve">Дата регистрации (аннулирования) в органе ФК получателя. </w:t>
            </w:r>
            <w:r/>
          </w:p>
          <w:p>
            <w:pPr>
              <w:pStyle w:val="1005"/>
              <w:ind w:left="57" w:right="57"/>
            </w:pPr>
            <w:r>
              <w:t xml:space="preserve">Значение передается из </w:t>
            </w:r>
            <w:r>
              <w:t xml:space="preserve">учетной системы ТОФК.</w:t>
            </w:r>
            <w:r/>
          </w:p>
        </w:tc>
      </w:tr>
      <w:tr>
        <w:trPr>
          <w:trHeight w:val="77"/>
        </w:trPr>
        <w:tc>
          <w:tcPr>
            <w:shd w:val="clear" w:fill="auto" w:color="auto"/>
            <w:tcW w:w="1321" w:type="pct"/>
            <w:textDirection w:val="lrTb"/>
            <w:noWrap w:val="false"/>
          </w:tcPr>
          <w:p>
            <w:pPr>
              <w:pStyle w:val="1005"/>
              <w:ind w:left="57" w:right="57"/>
            </w:pPr>
            <w:r>
              <w:t xml:space="preserve">Дата проводки в о</w:t>
            </w:r>
            <w:r>
              <w:t xml:space="preserve">р</w:t>
            </w:r>
            <w:r>
              <w:t xml:space="preserve">гане ФК п</w:t>
            </w:r>
            <w:r>
              <w:t xml:space="preserve">олучателя</w:t>
            </w:r>
            <w:r/>
          </w:p>
        </w:tc>
        <w:tc>
          <w:tcPr>
            <w:shd w:val="clear" w:fill="auto" w:color="auto"/>
            <w:tcW w:w="3679" w:type="pct"/>
            <w:textDirection w:val="lrTb"/>
            <w:noWrap w:val="false"/>
          </w:tcPr>
          <w:p>
            <w:pPr>
              <w:pStyle w:val="1005"/>
              <w:ind w:left="57" w:right="57"/>
            </w:pPr>
            <w:r>
              <w:t xml:space="preserve">Дата проводки в органе ФК получателя. </w:t>
            </w:r>
            <w:r/>
          </w:p>
          <w:p>
            <w:pPr>
              <w:pStyle w:val="1005"/>
              <w:ind w:left="57" w:right="57"/>
            </w:pPr>
            <w:r>
              <w:t xml:space="preserve">Значение передается из </w:t>
            </w:r>
            <w:r>
              <w:t xml:space="preserve">учетной системы ТОФК.</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w:t>
            </w:r>
            <w:r>
              <w:t xml:space="preserve">«</w:t>
            </w:r>
            <w:r>
              <w:t xml:space="preserve">Статусы документа</w:t>
            </w:r>
            <w:r>
              <w:t xml:space="preserve">»</w:t>
            </w:r>
            <w:r/>
          </w:p>
        </w:tc>
      </w:tr>
      <w:tr>
        <w:trPr>
          <w:trHeight w:val="77"/>
        </w:trPr>
        <w:tc>
          <w:tcPr>
            <w:shd w:val="clear" w:fill="auto" w:color="auto"/>
            <w:tcW w:w="1321" w:type="pct"/>
            <w:textDirection w:val="lrTb"/>
            <w:noWrap w:val="false"/>
          </w:tcPr>
          <w:p>
            <w:pPr>
              <w:pStyle w:val="1005"/>
              <w:ind w:left="57" w:right="57"/>
            </w:pPr>
            <w:r>
              <w:t xml:space="preserve">Бизнес-cтатус</w:t>
            </w:r>
            <w:r/>
          </w:p>
        </w:tc>
        <w:tc>
          <w:tcPr>
            <w:shd w:val="clear" w:fill="auto" w:color="auto"/>
            <w:tcW w:w="3679" w:type="pct"/>
            <w:textDirection w:val="lrTb"/>
            <w:noWrap w:val="false"/>
          </w:tcPr>
          <w:p>
            <w:pPr>
              <w:pStyle w:val="1005"/>
              <w:ind w:left="57" w:right="57"/>
            </w:pPr>
            <w:r>
              <w:t xml:space="preserve">Код и наименование бизнес-статуса документа. </w:t>
            </w:r>
            <w:r/>
          </w:p>
          <w:p>
            <w:pPr>
              <w:pStyle w:val="1005"/>
              <w:ind w:left="57" w:right="57"/>
            </w:pPr>
            <w:r>
              <w:t xml:space="preserve">Заполняется автоматически при обработке документа.</w:t>
            </w:r>
            <w:r/>
          </w:p>
        </w:tc>
      </w:tr>
      <w:tr>
        <w:trPr>
          <w:trHeight w:val="77"/>
        </w:trPr>
        <w:tc>
          <w:tcPr>
            <w:shd w:val="clear" w:fill="auto" w:color="auto"/>
            <w:tcW w:w="1321" w:type="pct"/>
            <w:textDirection w:val="lrTb"/>
            <w:noWrap w:val="false"/>
          </w:tcPr>
          <w:p>
            <w:pPr>
              <w:pStyle w:val="1005"/>
              <w:ind w:left="57" w:right="57"/>
            </w:pPr>
            <w:r>
              <w:t xml:space="preserve">Статус передачи</w:t>
            </w:r>
            <w:r/>
          </w:p>
        </w:tc>
        <w:tc>
          <w:tcPr>
            <w:shd w:val="clear" w:fill="auto" w:color="auto"/>
            <w:tcW w:w="3679" w:type="pct"/>
            <w:textDirection w:val="lrTb"/>
            <w:noWrap w:val="false"/>
          </w:tcPr>
          <w:p>
            <w:pPr>
              <w:pStyle w:val="1005"/>
              <w:ind w:left="57" w:right="57"/>
            </w:pPr>
            <w:r>
              <w:t xml:space="preserve">Код и наименование статуса передачи документа. </w:t>
            </w:r>
            <w:r/>
          </w:p>
          <w:p>
            <w:pPr>
              <w:pStyle w:val="1005"/>
              <w:ind w:left="57" w:right="57"/>
            </w:pPr>
            <w:r>
              <w:t xml:space="preserve">Заполняе</w:t>
            </w:r>
            <w:r>
              <w:t xml:space="preserve">тся автоматически при обработке документа.</w:t>
            </w:r>
            <w:r/>
          </w:p>
        </w:tc>
      </w:tr>
      <w:tr>
        <w:trPr>
          <w:trHeight w:val="77"/>
        </w:trPr>
        <w:tc>
          <w:tcPr>
            <w:shd w:val="clear" w:fill="auto" w:color="auto"/>
            <w:tcW w:w="1321" w:type="pct"/>
            <w:textDirection w:val="lrTb"/>
            <w:noWrap w:val="false"/>
          </w:tcPr>
          <w:p>
            <w:pPr>
              <w:pStyle w:val="1005"/>
              <w:ind w:left="57" w:right="57"/>
            </w:pPr>
            <w:r>
              <w:t xml:space="preserve">Статус утверждения</w:t>
            </w:r>
            <w:r/>
          </w:p>
        </w:tc>
        <w:tc>
          <w:tcPr>
            <w:shd w:val="clear" w:fill="auto" w:color="auto"/>
            <w:tcW w:w="3679" w:type="pct"/>
            <w:textDirection w:val="lrTb"/>
            <w:noWrap w:val="false"/>
          </w:tcPr>
          <w:p>
            <w:pPr>
              <w:pStyle w:val="1005"/>
              <w:ind w:left="57" w:right="57"/>
            </w:pPr>
            <w:r>
              <w:t xml:space="preserve">Код и наименование статуса утверждения документа. </w:t>
            </w:r>
            <w:r/>
          </w:p>
          <w:p>
            <w:pPr>
              <w:pStyle w:val="1005"/>
              <w:ind w:left="57" w:right="57"/>
            </w:pPr>
            <w:r>
              <w:t xml:space="preserve">Запо</w:t>
            </w:r>
            <w:r>
              <w:t xml:space="preserve">лняется автоматически при обработке документа.</w:t>
            </w:r>
            <w:r/>
          </w:p>
        </w:tc>
      </w:tr>
      <w:tr>
        <w:trPr>
          <w:trHeight w:val="77"/>
        </w:trPr>
        <w:tc>
          <w:tcPr>
            <w:shd w:val="clear" w:fill="auto" w:color="auto"/>
            <w:tcW w:w="1321" w:type="pct"/>
            <w:textDirection w:val="lrTb"/>
            <w:noWrap w:val="false"/>
          </w:tcPr>
          <w:p>
            <w:pPr>
              <w:pStyle w:val="1005"/>
              <w:ind w:left="57" w:right="57"/>
            </w:pPr>
            <w:r>
              <w:t xml:space="preserve">Период с</w:t>
            </w:r>
            <w:r/>
          </w:p>
        </w:tc>
        <w:tc>
          <w:tcPr>
            <w:shd w:val="clear" w:fill="auto" w:color="auto"/>
            <w:tcW w:w="3679" w:type="pct"/>
            <w:textDirection w:val="lrTb"/>
            <w:noWrap w:val="false"/>
          </w:tcPr>
          <w:p>
            <w:pPr>
              <w:pStyle w:val="1005"/>
              <w:ind w:left="57" w:right="57"/>
            </w:pPr>
            <w:r>
              <w:t xml:space="preserve">Начальный год периода действия бюджетных данных докуме</w:t>
            </w:r>
            <w:r>
              <w:t xml:space="preserve">нта. </w:t>
            </w:r>
            <w:r/>
          </w:p>
          <w:p>
            <w:pPr>
              <w:pStyle w:val="1005"/>
              <w:ind w:left="57" w:right="57"/>
            </w:pPr>
            <w:r>
              <w:t xml:space="preserve">Определяется автоматически на основании значений полей </w:t>
            </w:r>
            <w:r>
              <w:t xml:space="preserve">«</w:t>
            </w:r>
            <w:r>
              <w:t xml:space="preserve">Д</w:t>
            </w:r>
            <w:r>
              <w:t xml:space="preserve">ата в/д</w:t>
            </w:r>
            <w:r>
              <w:t xml:space="preserve">»</w:t>
            </w:r>
            <w:r>
              <w:t xml:space="preserve"> л</w:t>
            </w:r>
            <w:r>
              <w:t xml:space="preserve">и</w:t>
            </w:r>
            <w:r>
              <w:t xml:space="preserve">бо </w:t>
            </w:r>
            <w:r>
              <w:t xml:space="preserve">«</w:t>
            </w:r>
            <w:r>
              <w:t xml:space="preserve">Дата в/д БА</w:t>
            </w:r>
            <w:r>
              <w:t xml:space="preserve">»</w:t>
            </w:r>
            <w:r>
              <w:t xml:space="preserve">, </w:t>
            </w:r>
            <w:r>
              <w:t xml:space="preserve">«</w:t>
            </w:r>
            <w:r>
              <w:t xml:space="preserve">Дата в/д ЛБО</w:t>
            </w:r>
            <w:r>
              <w:t xml:space="preserve">»</w:t>
            </w:r>
            <w:r>
              <w:t xml:space="preserve">, </w:t>
            </w:r>
            <w:r>
              <w:t xml:space="preserve">«</w:t>
            </w:r>
            <w:r>
              <w:t xml:space="preserve">Дата в/д ПОФР</w:t>
            </w:r>
            <w:r>
              <w:t xml:space="preserve">»</w:t>
            </w:r>
            <w:r>
              <w:t xml:space="preserve">.</w:t>
            </w:r>
            <w:r/>
          </w:p>
        </w:tc>
      </w:tr>
      <w:tr>
        <w:trPr>
          <w:trHeight w:val="77"/>
        </w:trPr>
        <w:tc>
          <w:tcPr>
            <w:shd w:val="clear" w:fill="auto" w:color="auto"/>
            <w:tcW w:w="1321" w:type="pct"/>
            <w:textDirection w:val="lrTb"/>
            <w:noWrap w:val="false"/>
          </w:tcPr>
          <w:p>
            <w:pPr>
              <w:pStyle w:val="1005"/>
              <w:ind w:left="57" w:right="57"/>
            </w:pPr>
            <w:r>
              <w:t xml:space="preserve">Период по</w:t>
            </w:r>
            <w:r/>
          </w:p>
        </w:tc>
        <w:tc>
          <w:tcPr>
            <w:shd w:val="clear" w:fill="auto" w:color="auto"/>
            <w:tcW w:w="3679" w:type="pct"/>
            <w:textDirection w:val="lrTb"/>
            <w:noWrap w:val="false"/>
          </w:tcPr>
          <w:p>
            <w:pPr>
              <w:pStyle w:val="1005"/>
              <w:ind w:left="57" w:right="57"/>
            </w:pPr>
            <w:r>
              <w:t xml:space="preserve">Последний год периода действия бюджетных данных докуме</w:t>
            </w:r>
            <w:r>
              <w:t xml:space="preserve">нта. </w:t>
            </w:r>
            <w:r/>
          </w:p>
          <w:p>
            <w:pPr>
              <w:pStyle w:val="1005"/>
              <w:ind w:left="57" w:right="57"/>
            </w:pPr>
            <w:r>
              <w:t xml:space="preserve">Определяется автоматически как </w:t>
            </w:r>
            <w:r>
              <w:t xml:space="preserve">«</w:t>
            </w:r>
            <w:r>
              <w:t xml:space="preserve">Период с</w:t>
            </w:r>
            <w:r>
              <w:t xml:space="preserve">»</w:t>
            </w:r>
            <w:r>
              <w:t xml:space="preserve"> + </w:t>
            </w:r>
            <w:r>
              <w:t xml:space="preserve">«</w:t>
            </w:r>
            <w:r>
              <w:t xml:space="preserve">количество лет, вх</w:t>
            </w:r>
            <w:r>
              <w:t xml:space="preserve">од</w:t>
            </w:r>
            <w:r>
              <w:t xml:space="preserve">я</w:t>
            </w:r>
            <w:r>
              <w:t xml:space="preserve">щих в период планирования</w:t>
            </w:r>
            <w:r>
              <w:t xml:space="preserve">»</w:t>
            </w:r>
            <w:r>
              <w:t xml:space="preserve">, по умолчанию период планирования 2 г</w:t>
            </w:r>
            <w:r>
              <w:t xml:space="preserve">о</w:t>
            </w:r>
            <w:r>
              <w:t xml:space="preserve">да.</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w:t>
            </w:r>
            <w:r>
              <w:t xml:space="preserve">«</w:t>
            </w:r>
            <w:r>
              <w:t xml:space="preserve">Подписи</w:t>
            </w:r>
            <w:r>
              <w:t xml:space="preserve">»</w:t>
            </w:r>
            <w:r/>
          </w:p>
        </w:tc>
      </w:tr>
      <w:tr>
        <w:trPr>
          <w:trHeight w:val="77"/>
        </w:trPr>
        <w:tc>
          <w:tcPr>
            <w:shd w:val="clear" w:fill="auto" w:color="auto"/>
            <w:tcW w:w="1321" w:type="pct"/>
            <w:textDirection w:val="lrTb"/>
            <w:noWrap w:val="false"/>
          </w:tcPr>
          <w:p>
            <w:pPr>
              <w:pStyle w:val="1005"/>
              <w:ind w:left="57" w:right="57"/>
            </w:pPr>
            <w:r>
              <w:t xml:space="preserve">Руководитель (уполном</w:t>
            </w:r>
            <w:r>
              <w:t xml:space="preserve">о</w:t>
            </w:r>
            <w:r>
              <w:t xml:space="preserve">ченное лицо). Дол</w:t>
            </w:r>
            <w:r>
              <w:t xml:space="preserve">ж</w:t>
            </w:r>
            <w:r>
              <w:t xml:space="preserve">ность</w:t>
            </w:r>
            <w:r/>
          </w:p>
        </w:tc>
        <w:tc>
          <w:tcPr>
            <w:shd w:val="clear" w:fill="auto" w:color="auto"/>
            <w:tcW w:w="3679" w:type="pct"/>
            <w:textDirection w:val="lrTb"/>
            <w:noWrap w:val="false"/>
          </w:tcPr>
          <w:p>
            <w:pPr>
              <w:pStyle w:val="1005"/>
              <w:ind w:left="57" w:right="57"/>
            </w:pPr>
            <w:r>
              <w:t xml:space="preserve">Должность руководителя (уполномоченного лица).</w:t>
            </w:r>
            <w:r/>
          </w:p>
          <w:p>
            <w:pPr>
              <w:pStyle w:val="1005"/>
              <w:ind w:left="57" w:right="57"/>
            </w:pPr>
            <w:r>
              <w:t xml:space="preserve">Для АРМ. Заполняется автоматически при подписании ЭП данными по</w:t>
            </w:r>
            <w:r>
              <w:t xml:space="preserve">д</w:t>
            </w:r>
            <w:r>
              <w:t xml:space="preserve">писанта</w:t>
            </w:r>
            <w:r>
              <w:t xml:space="preserve">.</w:t>
            </w:r>
            <w:r/>
          </w:p>
        </w:tc>
      </w:tr>
      <w:tr>
        <w:trPr>
          <w:trHeight w:val="77"/>
        </w:trPr>
        <w:tc>
          <w:tcPr>
            <w:shd w:val="clear" w:fill="auto" w:color="auto"/>
            <w:tcW w:w="1321" w:type="pct"/>
            <w:textDirection w:val="lrTb"/>
            <w:noWrap w:val="false"/>
          </w:tcPr>
          <w:p>
            <w:pPr>
              <w:pStyle w:val="1005"/>
              <w:ind w:left="57" w:right="57"/>
            </w:pPr>
            <w:r>
              <w:t xml:space="preserve">Руководитель (уполном</w:t>
            </w:r>
            <w:r>
              <w:t xml:space="preserve">о</w:t>
            </w:r>
            <w:r>
              <w:t xml:space="preserve">ченное лицо). Расши</w:t>
            </w:r>
            <w:r>
              <w:t xml:space="preserve">ф</w:t>
            </w:r>
            <w:r>
              <w:t xml:space="preserve">ровка по</w:t>
            </w:r>
            <w:r>
              <w:t xml:space="preserve">д</w:t>
            </w:r>
            <w:r>
              <w:t xml:space="preserve">писи</w:t>
            </w:r>
            <w:r/>
          </w:p>
        </w:tc>
        <w:tc>
          <w:tcPr>
            <w:shd w:val="clear" w:fill="auto" w:color="auto"/>
            <w:tcW w:w="3679" w:type="pct"/>
            <w:textDirection w:val="lrTb"/>
            <w:noWrap w:val="false"/>
          </w:tcPr>
          <w:p>
            <w:pPr>
              <w:pStyle w:val="1005"/>
              <w:ind w:left="57" w:right="57"/>
            </w:pPr>
            <w:r>
              <w:t xml:space="preserve">И</w:t>
            </w:r>
            <w:r>
              <w:t xml:space="preserve">.</w:t>
            </w:r>
            <w:r>
              <w:t xml:space="preserve">О</w:t>
            </w:r>
            <w:r>
              <w:t xml:space="preserve">.</w:t>
            </w:r>
            <w:r>
              <w:t xml:space="preserve"> </w:t>
            </w:r>
            <w:r>
              <w:t xml:space="preserve">Фамилия </w:t>
            </w:r>
            <w:r>
              <w:t xml:space="preserve">руководителя (уполномоченного лица).</w:t>
            </w:r>
            <w:r/>
          </w:p>
          <w:p>
            <w:pPr>
              <w:pStyle w:val="1005"/>
              <w:ind w:left="57" w:right="57"/>
            </w:pPr>
            <w:r>
              <w:t xml:space="preserve">Для АРМ. Заполняется автоматически при подписании ЭП данными по</w:t>
            </w:r>
            <w:r>
              <w:t xml:space="preserve">д</w:t>
            </w:r>
            <w:r>
              <w:t xml:space="preserve">писанта.</w:t>
            </w:r>
            <w:r/>
          </w:p>
        </w:tc>
      </w:tr>
      <w:tr>
        <w:trPr>
          <w:trHeight w:val="77"/>
        </w:trPr>
        <w:tc>
          <w:tcPr>
            <w:shd w:val="clear" w:fill="auto" w:color="auto"/>
            <w:tcW w:w="1321" w:type="pct"/>
            <w:textDirection w:val="lrTb"/>
            <w:noWrap w:val="false"/>
          </w:tcPr>
          <w:p>
            <w:pPr>
              <w:pStyle w:val="1005"/>
              <w:ind w:left="57" w:right="57"/>
            </w:pPr>
            <w:r>
              <w:t xml:space="preserve">Руководитель (уполном</w:t>
            </w:r>
            <w:r>
              <w:t xml:space="preserve">о</w:t>
            </w:r>
            <w:r>
              <w:t xml:space="preserve">ченное лицо). Дата</w:t>
            </w:r>
            <w:r/>
          </w:p>
        </w:tc>
        <w:tc>
          <w:tcPr>
            <w:shd w:val="clear" w:fill="auto" w:color="auto"/>
            <w:tcW w:w="3679" w:type="pct"/>
            <w:textDirection w:val="lrTb"/>
            <w:noWrap w:val="false"/>
          </w:tcPr>
          <w:p>
            <w:pPr>
              <w:pStyle w:val="1005"/>
              <w:ind w:left="57" w:right="57"/>
            </w:pPr>
            <w:r>
              <w:t xml:space="preserve">Дата подписи руководителя (уполномоченного лица). </w:t>
            </w:r>
            <w:r/>
          </w:p>
          <w:p>
            <w:pPr>
              <w:pStyle w:val="1005"/>
              <w:ind w:left="57" w:right="57"/>
            </w:pPr>
            <w:r>
              <w:t xml:space="preserve">Для АРМ. Заполняется автоматически при подписании ЭП данными по</w:t>
            </w:r>
            <w:r>
              <w:t xml:space="preserve">д</w:t>
            </w:r>
            <w:r>
              <w:t xml:space="preserve">писанта.</w:t>
            </w:r>
            <w:r/>
          </w:p>
          <w:p>
            <w:pPr>
              <w:pStyle w:val="1005"/>
              <w:ind w:left="57" w:right="57"/>
            </w:pPr>
            <w:r>
              <w:t xml:space="preserve">Значение вводится вручную, либо выбирается из календаря</w:t>
            </w:r>
            <w:r>
              <w:t xml:space="preserve">.</w:t>
            </w:r>
            <w:r/>
          </w:p>
        </w:tc>
      </w:tr>
      <w:tr>
        <w:trPr>
          <w:trHeight w:val="77"/>
        </w:trPr>
        <w:tc>
          <w:tcPr>
            <w:shd w:val="clear" w:fill="auto" w:color="auto"/>
            <w:tcW w:w="1321" w:type="pct"/>
            <w:textDirection w:val="lrTb"/>
            <w:noWrap w:val="false"/>
          </w:tcPr>
          <w:p>
            <w:pPr>
              <w:pStyle w:val="1005"/>
              <w:ind w:left="57" w:right="57"/>
            </w:pPr>
            <w:r>
              <w:t xml:space="preserve">Ответственный исполн</w:t>
            </w:r>
            <w:r>
              <w:t xml:space="preserve">и</w:t>
            </w:r>
            <w:r>
              <w:t xml:space="preserve">тель. Дол</w:t>
            </w:r>
            <w:r>
              <w:t xml:space="preserve">ж</w:t>
            </w:r>
            <w:r>
              <w:t xml:space="preserve">ность</w:t>
            </w:r>
            <w:r/>
          </w:p>
        </w:tc>
        <w:tc>
          <w:tcPr>
            <w:shd w:val="clear" w:fill="auto" w:color="auto"/>
            <w:tcW w:w="3679" w:type="pct"/>
            <w:textDirection w:val="lrTb"/>
            <w:noWrap w:val="false"/>
          </w:tcPr>
          <w:p>
            <w:pPr>
              <w:pStyle w:val="1005"/>
              <w:ind w:left="57" w:right="57"/>
            </w:pPr>
            <w:r>
              <w:t xml:space="preserve">Должность ответственного исполнителя.</w:t>
            </w:r>
            <w:r/>
          </w:p>
          <w:p>
            <w:pPr>
              <w:pStyle w:val="1005"/>
              <w:ind w:left="57" w:right="57"/>
            </w:pPr>
            <w:r>
              <w:t xml:space="preserve">З</w:t>
            </w:r>
            <w:r>
              <w:t xml:space="preserve">аполняется вручную или из справочника </w:t>
            </w:r>
            <w:r>
              <w:t xml:space="preserve">«</w:t>
            </w:r>
            <w:r>
              <w:t xml:space="preserve">Список сотрудн</w:t>
            </w:r>
            <w:r>
              <w:t xml:space="preserve">и</w:t>
            </w:r>
            <w:r>
              <w:t xml:space="preserve">ков</w:t>
            </w:r>
            <w:r>
              <w:t xml:space="preserve">».</w:t>
            </w:r>
            <w:r/>
          </w:p>
        </w:tc>
      </w:tr>
      <w:tr>
        <w:trPr>
          <w:trHeight w:val="77"/>
        </w:trPr>
        <w:tc>
          <w:tcPr>
            <w:shd w:val="clear" w:fill="auto" w:color="auto"/>
            <w:tcW w:w="1321" w:type="pct"/>
            <w:textDirection w:val="lrTb"/>
            <w:noWrap w:val="false"/>
          </w:tcPr>
          <w:p>
            <w:pPr>
              <w:pStyle w:val="1005"/>
              <w:ind w:left="57" w:right="57"/>
            </w:pPr>
            <w:r>
              <w:t xml:space="preserve">Ответственный исполн</w:t>
            </w:r>
            <w:r>
              <w:t xml:space="preserve">и</w:t>
            </w:r>
            <w:r>
              <w:t xml:space="preserve">тель. Расшифровка по</w:t>
            </w:r>
            <w:r>
              <w:t xml:space="preserve">д</w:t>
            </w:r>
            <w:r>
              <w:t xml:space="preserve">писи</w:t>
            </w:r>
            <w:r/>
          </w:p>
        </w:tc>
        <w:tc>
          <w:tcPr>
            <w:shd w:val="clear" w:fill="auto" w:color="auto"/>
            <w:tcW w:w="3679" w:type="pct"/>
            <w:textDirection w:val="lrTb"/>
            <w:noWrap w:val="false"/>
          </w:tcPr>
          <w:p>
            <w:pPr>
              <w:pStyle w:val="1005"/>
              <w:ind w:left="57" w:right="57"/>
            </w:pPr>
            <w:r>
              <w:t xml:space="preserve">И.О. Фамилия </w:t>
            </w:r>
            <w:r>
              <w:t xml:space="preserve">ответственного исполнителя.</w:t>
            </w:r>
            <w:r/>
          </w:p>
          <w:p>
            <w:pPr>
              <w:pStyle w:val="1005"/>
              <w:ind w:left="57" w:right="57"/>
            </w:pPr>
            <w:r>
              <w:t xml:space="preserve">З</w:t>
            </w:r>
            <w:r>
              <w:t xml:space="preserve">аполняется вручную или подтягивается из справочника </w:t>
            </w:r>
            <w:r>
              <w:t xml:space="preserve">«</w:t>
            </w:r>
            <w:r>
              <w:t xml:space="preserve">Список сотру</w:t>
            </w:r>
            <w:r>
              <w:t xml:space="preserve">д</w:t>
            </w:r>
            <w:r>
              <w:t xml:space="preserve">ников</w:t>
            </w:r>
            <w:r>
              <w:t xml:space="preserve">»</w:t>
            </w:r>
            <w:r>
              <w:t xml:space="preserve"> на основании должности исполнителя</w:t>
            </w:r>
            <w:r>
              <w:t xml:space="preserve">.</w:t>
            </w:r>
            <w:r/>
          </w:p>
        </w:tc>
      </w:tr>
      <w:tr>
        <w:trPr>
          <w:trHeight w:val="77"/>
        </w:trPr>
        <w:tc>
          <w:tcPr>
            <w:shd w:val="clear" w:fill="auto" w:color="auto"/>
            <w:tcW w:w="1321" w:type="pct"/>
            <w:textDirection w:val="lrTb"/>
            <w:noWrap w:val="false"/>
          </w:tcPr>
          <w:p>
            <w:pPr>
              <w:pStyle w:val="1005"/>
              <w:ind w:left="57" w:right="57"/>
            </w:pPr>
            <w:r>
              <w:t xml:space="preserve">Ответственный исполн</w:t>
            </w:r>
            <w:r>
              <w:t xml:space="preserve">и</w:t>
            </w:r>
            <w:r>
              <w:t xml:space="preserve">тель. Дата</w:t>
            </w:r>
            <w:r/>
          </w:p>
        </w:tc>
        <w:tc>
          <w:tcPr>
            <w:shd w:val="clear" w:fill="auto" w:color="auto"/>
            <w:tcW w:w="3679" w:type="pct"/>
            <w:textDirection w:val="lrTb"/>
            <w:noWrap w:val="false"/>
          </w:tcPr>
          <w:p>
            <w:pPr>
              <w:pStyle w:val="1005"/>
              <w:ind w:left="57" w:right="57"/>
            </w:pPr>
            <w:r>
              <w:t xml:space="preserve">Дата подписания документа ответственным исполнителем. </w:t>
            </w:r>
            <w:r/>
          </w:p>
          <w:p>
            <w:pPr>
              <w:pStyle w:val="1005"/>
              <w:ind w:left="57" w:right="57"/>
            </w:pPr>
            <w:r>
              <w:t xml:space="preserve">Значение вводится вручную</w:t>
            </w:r>
            <w:r>
              <w:t xml:space="preserve">,</w:t>
            </w:r>
            <w:r>
              <w:t xml:space="preserve"> либо выбирается из календаря</w:t>
            </w:r>
            <w:r>
              <w:t xml:space="preserve">.</w:t>
            </w:r>
            <w:r/>
          </w:p>
        </w:tc>
      </w:tr>
      <w:tr>
        <w:trPr>
          <w:trHeight w:val="77"/>
        </w:trPr>
        <w:tc>
          <w:tcPr>
            <w:shd w:val="clear" w:fill="auto" w:color="auto"/>
            <w:tcW w:w="1321" w:type="pct"/>
            <w:textDirection w:val="lrTb"/>
            <w:noWrap w:val="false"/>
          </w:tcPr>
          <w:p>
            <w:pPr>
              <w:pStyle w:val="1005"/>
              <w:ind w:left="57" w:right="57"/>
            </w:pPr>
            <w:r>
              <w:t xml:space="preserve">Ответственный исполн</w:t>
            </w:r>
            <w:r>
              <w:t xml:space="preserve">и</w:t>
            </w:r>
            <w:r>
              <w:t xml:space="preserve">тель. Телефон</w:t>
            </w:r>
            <w:r/>
          </w:p>
        </w:tc>
        <w:tc>
          <w:tcPr>
            <w:shd w:val="clear" w:fill="auto" w:color="auto"/>
            <w:tcW w:w="3679" w:type="pct"/>
            <w:textDirection w:val="lrTb"/>
            <w:noWrap w:val="false"/>
          </w:tcPr>
          <w:p>
            <w:pPr>
              <w:pStyle w:val="1005"/>
              <w:ind w:left="57" w:right="57"/>
            </w:pPr>
            <w:r>
              <w:t xml:space="preserve">Номер телефона исполнителя.</w:t>
            </w:r>
            <w:r/>
          </w:p>
          <w:p>
            <w:pPr>
              <w:pStyle w:val="1005"/>
              <w:ind w:left="57" w:right="57"/>
            </w:pPr>
            <w:r>
              <w:t xml:space="preserve">З</w:t>
            </w:r>
            <w:r>
              <w:t xml:space="preserve">аполняется вручную или подтягивается из справочника </w:t>
            </w:r>
            <w:r>
              <w:t xml:space="preserve">«</w:t>
            </w:r>
            <w:r>
              <w:t xml:space="preserve">Список сотру</w:t>
            </w:r>
            <w:r>
              <w:t xml:space="preserve">д</w:t>
            </w:r>
            <w:r>
              <w:t xml:space="preserve">ников</w:t>
            </w:r>
            <w:r>
              <w:t xml:space="preserve">»</w:t>
            </w:r>
            <w:r>
              <w:t xml:space="preserve"> на основании должности исполнителя</w:t>
            </w:r>
            <w:r>
              <w:t xml:space="preserve">.</w:t>
            </w:r>
            <w:r/>
          </w:p>
        </w:tc>
      </w:tr>
    </w:tbl>
    <w:p>
      <w:pPr>
        <w:pStyle w:val="972"/>
      </w:pPr>
      <w:r/>
      <w:bookmarkStart w:id="1342" w:name="_Toc221011519"/>
      <w:r/>
      <w:bookmarkStart w:id="1343" w:name="_Toc221012220"/>
      <w:r/>
      <w:bookmarkStart w:id="1344" w:name="_Toc225934631"/>
      <w:r/>
      <w:bookmarkStart w:id="1345" w:name="_Toc232827400"/>
      <w:r/>
      <w:bookmarkStart w:id="1346" w:name="_Toc248062347"/>
      <w:r/>
      <w:bookmarkStart w:id="1347" w:name="_Toc249272704"/>
      <w:r/>
      <w:bookmarkStart w:id="1348" w:name="_Ref303083532"/>
      <w:r/>
      <w:bookmarkStart w:id="1349" w:name="_Ref349916122"/>
      <w:r/>
      <w:bookmarkStart w:id="1350" w:name="_Ref369533015"/>
      <w:r/>
      <w:bookmarkStart w:id="1351" w:name="_Toc422496718"/>
      <w:r/>
      <w:bookmarkStart w:id="1352" w:name="_Ref435183208"/>
      <w:r/>
      <w:bookmarkStart w:id="1353" w:name="_Ref437591857"/>
      <w:r/>
      <w:bookmarkStart w:id="1354" w:name="_Ref475098781"/>
      <w:r/>
      <w:bookmarkStart w:id="1355" w:name="_Ref501548885"/>
      <w:r/>
      <w:bookmarkStart w:id="1356" w:name="_Ref531817121"/>
      <w:r/>
      <w:bookmarkStart w:id="1357" w:name="_Ref85803277"/>
      <w:r/>
      <w:bookmarkStart w:id="1358" w:name="_Toc88819137"/>
      <w:r>
        <w:t xml:space="preserve">Реестр расходных расписаний</w:t>
      </w:r>
      <w:bookmarkEnd w:id="1342"/>
      <w:r/>
      <w:bookmarkEnd w:id="1343"/>
      <w:r/>
      <w:bookmarkEnd w:id="1344"/>
      <w:r/>
      <w:bookmarkEnd w:id="1345"/>
      <w:r/>
      <w:bookmarkEnd w:id="1346"/>
      <w:r/>
      <w:bookmarkEnd w:id="1347"/>
      <w:r/>
      <w:bookmarkEnd w:id="1348"/>
      <w:r/>
      <w:bookmarkEnd w:id="1349"/>
      <w:r/>
      <w:bookmarkEnd w:id="1350"/>
      <w:r/>
      <w:bookmarkEnd w:id="1351"/>
      <w:r/>
      <w:bookmarkEnd w:id="1352"/>
      <w:r/>
      <w:bookmarkEnd w:id="1353"/>
      <w:r/>
      <w:bookmarkEnd w:id="1354"/>
      <w:r/>
      <w:bookmarkEnd w:id="1355"/>
      <w:r/>
      <w:bookmarkEnd w:id="1356"/>
      <w:r/>
      <w:bookmarkEnd w:id="1357"/>
      <w:r/>
      <w:bookmarkEnd w:id="1358"/>
      <w:r/>
      <w:r/>
    </w:p>
    <w:p>
      <w:pPr>
        <w:pStyle w:val="994"/>
      </w:pPr>
      <w:r>
        <w:t xml:space="preserve">Расходные расписания могут представляться ФО </w:t>
      </w:r>
      <w:r>
        <w:t xml:space="preserve">как отдельными документами (см.</w:t>
      </w:r>
      <w:r>
        <w:t xml:space="preserve"> </w:t>
      </w:r>
      <w:r>
        <w:t xml:space="preserve">п. </w:t>
      </w:r>
      <w:r>
        <w:fldChar w:fldCharType="begin"/>
      </w:r>
      <w:r>
        <w:instrText xml:space="preserve"> REF _Ref231719478 \r \h  \* MERGEFORMAT </w:instrText>
      </w:r>
      <w:r>
        <w:fldChar w:fldCharType="separate"/>
      </w:r>
      <w:r>
        <w:t xml:space="preserve">5.7.1</w:t>
      </w:r>
      <w:r>
        <w:fldChar w:fldCharType="end"/>
      </w:r>
      <w:r>
        <w:t xml:space="preserve">), так и в виде</w:t>
      </w:r>
      <w:r>
        <w:t xml:space="preserve"> реестров расходных расписаний.</w:t>
      </w:r>
      <w:r/>
    </w:p>
    <w:p>
      <w:pPr>
        <w:pStyle w:val="994"/>
      </w:pPr>
      <w:r>
        <w:t xml:space="preserve">Для работы с документами «Реестр расходных расписаний» следует перейти в пункт меню «Документы – Регистрация и доведение бюджета – Реестр расходных расписаний». Откроется ЭФ списка документов, представленная на рисунке </w:t>
      </w:r>
      <w:r>
        <w:fldChar w:fldCharType="begin"/>
      </w:r>
      <w:r>
        <w:instrText xml:space="preserve"> REF _Ref220497674 \h  \* MERGEFORMAT </w:instrText>
      </w:r>
      <w:r>
        <w:fldChar w:fldCharType="separate"/>
      </w:r>
      <w:r>
        <w:t xml:space="preserve">181</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200400"/>
                <wp:effectExtent l="0" t="0" r="0" b="0"/>
                <wp:docPr id="27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50"/>
                        <a:stretch/>
                      </pic:blipFill>
                      <pic:spPr bwMode="auto">
                        <a:xfrm>
                          <a:off x="0" y="0"/>
                          <a:ext cx="6126480" cy="32004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5" o:spid="_x0000_s275" type="#_x0000_t75" style="mso-wrap-distance-left:0.0pt;mso-wrap-distance-top:0.0pt;mso-wrap-distance-right:0.0pt;mso-wrap-distance-bottom:0.0pt;width:482.4pt;height:252.0pt;" stroked="f">
                <v:path textboxrect="0,0,0,0"/>
                <v:imagedata r:id="rId250" o:title=""/>
              </v:shape>
            </w:pict>
          </mc:Fallback>
        </mc:AlternateContent>
      </w:r>
      <w:r/>
    </w:p>
    <w:p>
      <w:pPr>
        <w:pStyle w:val="983"/>
      </w:pPr>
      <w:r>
        <w:fldChar w:fldCharType="begin"/>
      </w:r>
      <w:r>
        <w:instrText xml:space="preserve"> SEQ Рисунок \* ARABIC </w:instrText>
      </w:r>
      <w:r>
        <w:fldChar w:fldCharType="separate"/>
      </w:r>
      <w:bookmarkStart w:id="1359" w:name="_Ref220497674"/>
      <w:r/>
      <w:bookmarkStart w:id="1360" w:name="_Toc88819566"/>
      <w:r>
        <w:t xml:space="preserve">181</w:t>
      </w:r>
      <w:bookmarkEnd w:id="1359"/>
      <w:r>
        <w:fldChar w:fldCharType="end"/>
      </w:r>
      <w:r>
        <w:t xml:space="preserve">. ЭФ списка документов «Реестр расходных расписаний»</w:t>
      </w:r>
      <w:bookmarkEnd w:id="1360"/>
      <w:r/>
      <w:r/>
    </w:p>
    <w:p>
      <w:pPr>
        <w:pStyle w:val="973"/>
      </w:pPr>
      <w:r/>
      <w:bookmarkStart w:id="1361" w:name="_Toc232827401"/>
      <w:r>
        <w:t xml:space="preserve">Доступные операции</w:t>
      </w:r>
      <w:bookmarkEnd w:id="1361"/>
      <w:r/>
      <w:r/>
    </w:p>
    <w:p>
      <w:pPr>
        <w:pStyle w:val="994"/>
      </w:pPr>
      <w:r>
        <w:t xml:space="preserve">На АРМ ФО доступны следующие операции над документом:</w:t>
      </w:r>
      <w:r/>
    </w:p>
    <w:p>
      <w:pPr>
        <w:pStyle w:val="985"/>
      </w:pPr>
      <w:r/>
      <w:bookmarkStart w:id="1362" w:name="_Toc232827402"/>
      <w:r>
        <w:t xml:space="preserve">ввод вручную;</w:t>
      </w:r>
      <w:r/>
    </w:p>
    <w:p>
      <w:pPr>
        <w:pStyle w:val="985"/>
      </w:pPr>
      <w:r>
        <w:t xml:space="preserve">ввод из родительского документа (ЭД </w:t>
      </w:r>
      <w:r>
        <w:t xml:space="preserve">«</w:t>
      </w:r>
      <w:r>
        <w:t xml:space="preserve">Распределение бюджетных данных</w:t>
      </w:r>
      <w:r>
        <w:t xml:space="preserve">»</w:t>
      </w:r>
      <w:r>
        <w:t xml:space="preserve">);</w:t>
      </w:r>
      <w:r/>
    </w:p>
    <w:p>
      <w:pPr>
        <w:pStyle w:val="985"/>
      </w:pPr>
      <w:r>
        <w:t xml:space="preserve">просмотр и редактирование;</w:t>
      </w:r>
      <w:r/>
    </w:p>
    <w:p>
      <w:pPr>
        <w:pStyle w:val="985"/>
      </w:pPr>
      <w:r>
        <w:t xml:space="preserve">удаление;</w:t>
      </w:r>
      <w:r/>
    </w:p>
    <w:p>
      <w:pPr>
        <w:pStyle w:val="985"/>
      </w:pPr>
      <w:r>
        <w:t xml:space="preserve">подписание</w:t>
      </w:r>
      <w:r>
        <w:t xml:space="preserve">, просмотр и снятие </w:t>
      </w:r>
      <w:r>
        <w:t xml:space="preserve">ЭП</w:t>
      </w:r>
      <w:r>
        <w:t xml:space="preserve">;</w:t>
      </w:r>
      <w:r/>
    </w:p>
    <w:p>
      <w:pPr>
        <w:pStyle w:val="985"/>
      </w:pPr>
      <w:r>
        <w:t xml:space="preserve">печать;</w:t>
      </w:r>
      <w:r/>
    </w:p>
    <w:p>
      <w:pPr>
        <w:pStyle w:val="985"/>
      </w:pPr>
      <w:r>
        <w:t xml:space="preserve">экспорт во внешнюю систему;</w:t>
      </w:r>
      <w:r/>
    </w:p>
    <w:p>
      <w:pPr>
        <w:pStyle w:val="985"/>
      </w:pPr>
      <w:r>
        <w:t xml:space="preserve">отправка в </w:t>
      </w:r>
      <w:r>
        <w:t xml:space="preserve">УФК, ЦАФК</w:t>
      </w:r>
      <w:r>
        <w:t xml:space="preserve">.</w:t>
      </w:r>
      <w:r/>
    </w:p>
    <w:p>
      <w:pPr>
        <w:pStyle w:val="994"/>
      </w:pPr>
      <w:r>
        <w:t xml:space="preserve">Документ «Реестр расходных расписаний» может быть заполнен в полуавтоматическом режиме на основании родительского документа. </w:t>
      </w:r>
      <w:r/>
    </w:p>
    <w:p>
      <w:pPr>
        <w:pStyle w:val="994"/>
      </w:pPr>
      <w:r>
        <w:t xml:space="preserve">Для этого необходимо на панели инструментов ЭФ документа «Реестр расходных расписаний» нажать кнопку </w:t>
      </w:r>
      <w:r>
        <mc:AlternateContent>
          <mc:Choice Requires="wpg">
            <w:drawing>
              <wp:inline xmlns:wp="http://schemas.openxmlformats.org/drawingml/2006/wordprocessingDrawing" distT="0" distB="0" distL="0" distR="0">
                <wp:extent cx="182880" cy="182880"/>
                <wp:effectExtent l="0" t="0" r="0" b="0"/>
                <wp:docPr id="27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51"/>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6" o:spid="_x0000_s276" type="#_x0000_t75" style="mso-wrap-distance-left:0.0pt;mso-wrap-distance-top:0.0pt;mso-wrap-distance-right:0.0pt;mso-wrap-distance-bottom:0.0pt;width:14.4pt;height:14.4pt;" stroked="f">
                <v:path textboxrect="0,0,0,0"/>
                <v:imagedata r:id="rId251" o:title=""/>
              </v:shape>
            </w:pict>
          </mc:Fallback>
        </mc:AlternateContent>
      </w:r>
      <w:r>
        <w:t xml:space="preserve"> </w:t>
      </w:r>
      <w:r>
        <w:t xml:space="preserve">(Выбрать родительский документ). В открывшейся форме выбор</w:t>
      </w:r>
      <w:r>
        <w:t xml:space="preserve">а родительского документа (рис.</w:t>
      </w:r>
      <w:r>
        <w:t xml:space="preserve"> </w:t>
      </w:r>
      <w:r>
        <w:fldChar w:fldCharType="begin"/>
      </w:r>
      <w:r>
        <w:instrText xml:space="preserve"> REF _Ref349663448 \h  \* MERGEFORMAT </w:instrText>
      </w:r>
      <w:r>
        <w:fldChar w:fldCharType="separate"/>
      </w:r>
      <w:r>
        <w:t xml:space="preserve">182</w:t>
      </w:r>
      <w:r>
        <w:fldChar w:fldCharType="end"/>
      </w:r>
      <w:r>
        <w:t xml:space="preserve">) выделить нажатием родительский документ «Распределение бюджетных данных по подведомственным учреждениям» и нажать кнопку «Ok».</w:t>
      </w:r>
      <w:r/>
    </w:p>
    <w:p>
      <w:pPr>
        <w:pStyle w:val="982"/>
      </w:pPr>
      <w:r>
        <mc:AlternateContent>
          <mc:Choice Requires="wpg">
            <w:drawing>
              <wp:inline xmlns:wp="http://schemas.openxmlformats.org/drawingml/2006/wordprocessingDrawing" distT="0" distB="0" distL="0" distR="0">
                <wp:extent cx="3931920" cy="3299460"/>
                <wp:effectExtent l="0" t="0" r="0" b="0"/>
                <wp:docPr id="27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52"/>
                        <a:stretch/>
                      </pic:blipFill>
                      <pic:spPr bwMode="auto">
                        <a:xfrm>
                          <a:off x="0" y="0"/>
                          <a:ext cx="3931920" cy="32994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7" o:spid="_x0000_s277" type="#_x0000_t75" style="mso-wrap-distance-left:0.0pt;mso-wrap-distance-top:0.0pt;mso-wrap-distance-right:0.0pt;mso-wrap-distance-bottom:0.0pt;width:309.6pt;height:259.8pt;" stroked="f">
                <v:path textboxrect="0,0,0,0"/>
                <v:imagedata r:id="rId252" o:title=""/>
              </v:shape>
            </w:pict>
          </mc:Fallback>
        </mc:AlternateContent>
      </w:r>
      <w:r/>
    </w:p>
    <w:p>
      <w:pPr>
        <w:pStyle w:val="983"/>
      </w:pPr>
      <w:r>
        <w:fldChar w:fldCharType="begin"/>
      </w:r>
      <w:r>
        <w:instrText xml:space="preserve"> SEQ Рисунок \* ARABIC </w:instrText>
      </w:r>
      <w:r>
        <w:fldChar w:fldCharType="separate"/>
      </w:r>
      <w:bookmarkStart w:id="1363" w:name="_Ref349663448"/>
      <w:r/>
      <w:bookmarkStart w:id="1364" w:name="_Toc88819567"/>
      <w:r>
        <w:t xml:space="preserve">182</w:t>
      </w:r>
      <w:bookmarkEnd w:id="1363"/>
      <w:r>
        <w:fldChar w:fldCharType="end"/>
      </w:r>
      <w:r>
        <w:t xml:space="preserve">. ЭФ выбора родительского документа</w:t>
      </w:r>
      <w:bookmarkEnd w:id="1364"/>
      <w:r/>
      <w:r/>
    </w:p>
    <w:p>
      <w:pPr>
        <w:pStyle w:val="994"/>
      </w:pPr>
      <w:r>
        <w:t xml:space="preserve">Откроется ЭФ выбора записи из справочника для заполнения по родительскому доку</w:t>
      </w:r>
      <w:r>
        <w:t xml:space="preserve">менту (рис.</w:t>
      </w:r>
      <w:r>
        <w:t xml:space="preserve"> </w:t>
      </w:r>
      <w:r>
        <w:fldChar w:fldCharType="begin"/>
      </w:r>
      <w:r>
        <w:instrText xml:space="preserve"> REF _Ref349663497 \h  \* MERGEFORMAT </w:instrText>
      </w:r>
      <w:r>
        <w:fldChar w:fldCharType="separate"/>
      </w:r>
      <w:r>
        <w:t xml:space="preserve">183</w:t>
      </w:r>
      <w:r>
        <w:fldChar w:fldCharType="end"/>
      </w:r>
      <w:r>
        <w:t xml:space="preserve">). Здесь также необходимо выделить нажатием нужную запись для заполнения и нажать кнопку «Ok».</w:t>
      </w:r>
      <w:r/>
    </w:p>
    <w:p>
      <w:pPr>
        <w:pStyle w:val="982"/>
      </w:pPr>
      <w:r>
        <mc:AlternateContent>
          <mc:Choice Requires="wpg">
            <w:drawing>
              <wp:inline xmlns:wp="http://schemas.openxmlformats.org/drawingml/2006/wordprocessingDrawing" distT="0" distB="0" distL="0" distR="0">
                <wp:extent cx="6126480" cy="2560320"/>
                <wp:effectExtent l="0" t="0" r="0" b="0"/>
                <wp:docPr id="27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53"/>
                        <a:stretch/>
                      </pic:blipFill>
                      <pic:spPr bwMode="auto">
                        <a:xfrm>
                          <a:off x="0" y="0"/>
                          <a:ext cx="6126480" cy="2560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8" o:spid="_x0000_s278" type="#_x0000_t75" style="mso-wrap-distance-left:0.0pt;mso-wrap-distance-top:0.0pt;mso-wrap-distance-right:0.0pt;mso-wrap-distance-bottom:0.0pt;width:482.4pt;height:201.6pt;" stroked="f">
                <v:path textboxrect="0,0,0,0"/>
                <v:imagedata r:id="rId253" o:title=""/>
              </v:shape>
            </w:pict>
          </mc:Fallback>
        </mc:AlternateContent>
      </w:r>
      <w:r/>
    </w:p>
    <w:p>
      <w:pPr>
        <w:pStyle w:val="983"/>
      </w:pPr>
      <w:r>
        <w:fldChar w:fldCharType="begin"/>
      </w:r>
      <w:r>
        <w:instrText xml:space="preserve"> SEQ Рисунок \* ARABIC </w:instrText>
      </w:r>
      <w:r>
        <w:fldChar w:fldCharType="separate"/>
      </w:r>
      <w:bookmarkStart w:id="1365" w:name="_Ref349663497"/>
      <w:r/>
      <w:bookmarkStart w:id="1366" w:name="_Toc88819568"/>
      <w:r>
        <w:t xml:space="preserve">183</w:t>
      </w:r>
      <w:bookmarkEnd w:id="1365"/>
      <w:r>
        <w:fldChar w:fldCharType="end"/>
      </w:r>
      <w:r>
        <w:t xml:space="preserve">. ЭФ «Выбор записи из справочника»</w:t>
      </w:r>
      <w:bookmarkEnd w:id="1366"/>
      <w:r/>
      <w:r/>
    </w:p>
    <w:p>
      <w:pPr>
        <w:pStyle w:val="973"/>
      </w:pPr>
      <w:r>
        <w:t xml:space="preserve">Экранная форма документа</w:t>
      </w:r>
      <w:bookmarkEnd w:id="1362"/>
      <w:r/>
      <w:r/>
    </w:p>
    <w:p>
      <w:pPr>
        <w:pStyle w:val="994"/>
      </w:pPr>
      <w:r>
        <w:t xml:space="preserve">ЭФ документа «Реестр расходных расписаний» представлена на рисунке </w:t>
      </w:r>
      <w:r>
        <w:fldChar w:fldCharType="begin"/>
      </w:r>
      <w:r>
        <w:instrText xml:space="preserve"> REF _Ref205178422 \h  \* MERGEFORMAT </w:instrText>
      </w:r>
      <w:r>
        <w:fldChar w:fldCharType="separate"/>
      </w:r>
      <w:r>
        <w:t xml:space="preserve">184</w:t>
      </w:r>
      <w:r>
        <w:fldChar w:fldCharType="end"/>
      </w:r>
      <w:r>
        <w:t xml:space="preserve">. Форма содержит следующие закладки:</w:t>
      </w:r>
      <w:r/>
    </w:p>
    <w:p>
      <w:pPr>
        <w:pStyle w:val="985"/>
      </w:pPr>
      <w:r>
        <w:t xml:space="preserve">«Документ (1)»:</w:t>
      </w:r>
      <w:r/>
    </w:p>
    <w:p>
      <w:pPr>
        <w:pStyle w:val="986"/>
      </w:pPr>
      <w:r>
        <w:t xml:space="preserve">«Расходные расписания (3)»;</w:t>
      </w:r>
      <w:r/>
    </w:p>
    <w:p>
      <w:pPr>
        <w:pStyle w:val="986"/>
      </w:pPr>
      <w:r>
        <w:t xml:space="preserve">«Раздел I: БА (4)»;</w:t>
      </w:r>
      <w:r/>
    </w:p>
    <w:p>
      <w:pPr>
        <w:pStyle w:val="986"/>
      </w:pPr>
      <w:r>
        <w:t xml:space="preserve">«Раздел II: ЛБО (5)»;</w:t>
      </w:r>
      <w:r/>
    </w:p>
    <w:p>
      <w:pPr>
        <w:pStyle w:val="986"/>
      </w:pPr>
      <w:r>
        <w:t xml:space="preserve">«Раздел III: ПОФР (6)»;</w:t>
      </w:r>
      <w:r/>
    </w:p>
    <w:p>
      <w:pPr>
        <w:pStyle w:val="985"/>
      </w:pPr>
      <w:r>
        <w:t xml:space="preserve">«Дополнительные атрибуты (2)»;</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126480" cy="5753100"/>
                <wp:effectExtent l="0" t="0" r="0" b="0"/>
                <wp:docPr id="28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54"/>
                        <a:stretch/>
                      </pic:blipFill>
                      <pic:spPr bwMode="auto">
                        <a:xfrm>
                          <a:off x="0" y="0"/>
                          <a:ext cx="6126480" cy="57531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9" o:spid="_x0000_s279" type="#_x0000_t75" style="mso-wrap-distance-left:0.0pt;mso-wrap-distance-top:0.0pt;mso-wrap-distance-right:0.0pt;mso-wrap-distance-bottom:0.0pt;width:482.4pt;height:453.0pt;" stroked="f">
                <v:path textboxrect="0,0,0,0"/>
                <v:imagedata r:id="rId254" o:title=""/>
              </v:shape>
            </w:pict>
          </mc:Fallback>
        </mc:AlternateContent>
      </w:r>
      <w:r/>
    </w:p>
    <w:p>
      <w:pPr>
        <w:pStyle w:val="983"/>
      </w:pPr>
      <w:r/>
      <w:bookmarkStart w:id="1367" w:name="_Ref231718403"/>
      <w:r>
        <w:fldChar w:fldCharType="begin"/>
      </w:r>
      <w:r>
        <w:instrText xml:space="preserve"> SEQ Рисунок \* ARABIC </w:instrText>
      </w:r>
      <w:r>
        <w:fldChar w:fldCharType="separate"/>
      </w:r>
      <w:bookmarkStart w:id="1368" w:name="_Ref205178422"/>
      <w:r/>
      <w:bookmarkStart w:id="1369" w:name="_Toc88819569"/>
      <w:r>
        <w:t xml:space="preserve">184</w:t>
      </w:r>
      <w:bookmarkEnd w:id="1368"/>
      <w:r>
        <w:fldChar w:fldCharType="end"/>
      </w:r>
      <w:r>
        <w:t xml:space="preserve">. ЭФ документа «Реестр расходных расписаний</w:t>
      </w:r>
      <w:r>
        <w:t xml:space="preserve">», </w:t>
      </w:r>
      <w:r>
        <w:t xml:space="preserve">за</w:t>
      </w:r>
      <w:r>
        <w:t xml:space="preserve">кладки «</w:t>
      </w:r>
      <w:r>
        <w:t xml:space="preserve">Документ (1)</w:t>
      </w:r>
      <w:r>
        <w:t xml:space="preserve">», </w:t>
      </w:r>
      <w:r>
        <w:t xml:space="preserve">в</w:t>
      </w:r>
      <w:r>
        <w:t xml:space="preserve">кладки «</w:t>
      </w:r>
      <w:r>
        <w:t xml:space="preserve">Расходные расписания (3)»</w:t>
      </w:r>
      <w:bookmarkEnd w:id="1367"/>
      <w:r/>
      <w:bookmarkEnd w:id="1369"/>
      <w:r/>
      <w:r/>
    </w:p>
    <w:p>
      <w:pPr>
        <w:pStyle w:val="994"/>
      </w:pPr>
      <w:r>
        <w:t xml:space="preserve">Для ручного ввода документа «Реестр расходных расписаний» следует на ЭФ </w:t>
      </w:r>
      <w:r>
        <w:t xml:space="preserve">документа</w:t>
      </w:r>
      <w:r>
        <w:t xml:space="preserve"> заполнить поля, доступные для редактирования. </w:t>
      </w:r>
      <w:r/>
    </w:p>
    <w:p>
      <w:pPr>
        <w:pStyle w:val="994"/>
      </w:pPr>
      <w:r>
        <w:t xml:space="preserve">Перечень полей </w:t>
      </w:r>
      <w:r>
        <w:t xml:space="preserve">документа «Реестр расходных расписаний», закладки «Документ (1)», вкладки «Расходные расписания (3)»</w:t>
      </w:r>
      <w:r>
        <w:t xml:space="preserve"> </w:t>
      </w:r>
      <w:r>
        <w:t xml:space="preserve">приведен в таблице</w:t>
      </w:r>
      <w:r>
        <w:t xml:space="preserve"> </w:t>
      </w:r>
      <w:r>
        <w:fldChar w:fldCharType="begin"/>
      </w:r>
      <w:r>
        <w:instrText xml:space="preserve"> REF _Ref317676051 \h  \* MERGEFORMAT </w:instrText>
      </w:r>
      <w:r>
        <w:fldChar w:fldCharType="separate"/>
      </w:r>
      <w:r>
        <w:t xml:space="preserve">98</w:t>
      </w:r>
      <w:r>
        <w:fldChar w:fldCharType="end"/>
      </w:r>
      <w:r>
        <w:t xml:space="preserve">.</w:t>
      </w:r>
      <w:r/>
    </w:p>
    <w:p>
      <w:pPr>
        <w:pStyle w:val="993"/>
      </w:pPr>
      <w:r>
        <w:fldChar w:fldCharType="begin"/>
      </w:r>
      <w:r>
        <w:instrText xml:space="preserve"> SEQ Таблица \* ARABIC </w:instrText>
      </w:r>
      <w:r>
        <w:fldChar w:fldCharType="separate"/>
      </w:r>
      <w:bookmarkStart w:id="1370" w:name="_Ref317676051"/>
      <w:r/>
      <w:bookmarkStart w:id="1371" w:name="_Toc88819284"/>
      <w:r>
        <w:t xml:space="preserve">98</w:t>
      </w:r>
      <w:bookmarkEnd w:id="1370"/>
      <w:r>
        <w:fldChar w:fldCharType="end"/>
      </w:r>
      <w:r>
        <w:t xml:space="preserve">. Описание полей документа «Реестр расходных расписаний</w:t>
      </w:r>
      <w:r>
        <w:t xml:space="preserve">», закладки «</w:t>
      </w:r>
      <w:r>
        <w:t xml:space="preserve">Документ (1)», вкладки «Расходные расписания (3)»</w:t>
      </w:r>
      <w:bookmarkEnd w:id="1371"/>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458"/>
        <w:gridCol w:w="7294"/>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26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40" w:type="pct"/>
            <w:vAlign w:val="center"/>
            <w:textDirection w:val="lrTb"/>
            <w:noWrap w:val="false"/>
          </w:tcPr>
          <w:p>
            <w:pPr>
              <w:pStyle w:val="1006"/>
            </w:pPr>
            <w:r>
              <w:t xml:space="preserve">Описание поля</w:t>
            </w:r>
            <w:r/>
          </w:p>
        </w:tc>
      </w:tr>
      <w:tr>
        <w:trPr/>
        <w:tc>
          <w:tcPr>
            <w:shd w:val="clear" w:fill="auto" w:color="auto"/>
            <w:tcW w:w="1260" w:type="pct"/>
            <w:textDirection w:val="lrTb"/>
            <w:noWrap w:val="false"/>
          </w:tcPr>
          <w:p>
            <w:pPr>
              <w:pStyle w:val="1005"/>
              <w:ind w:left="57" w:right="57"/>
            </w:pPr>
            <w:r>
              <w:t xml:space="preserve">Номер</w:t>
            </w:r>
            <w:r/>
          </w:p>
        </w:tc>
        <w:tc>
          <w:tcPr>
            <w:shd w:val="clear" w:fill="auto" w:color="auto"/>
            <w:tcW w:w="3740" w:type="pct"/>
            <w:textDirection w:val="lrTb"/>
            <w:noWrap w:val="false"/>
          </w:tcPr>
          <w:p>
            <w:pPr>
              <w:pStyle w:val="1005"/>
              <w:ind w:left="57" w:right="57"/>
            </w:pPr>
            <w:r>
              <w:t xml:space="preserve">Номер документа.</w:t>
            </w:r>
            <w:r/>
          </w:p>
          <w:p>
            <w:pPr>
              <w:pStyle w:val="1005"/>
              <w:ind w:left="57" w:right="57"/>
            </w:pPr>
            <w:r>
              <w:t xml:space="preserve">Значение рассчитывается автоматически на основании настроек для текущег</w:t>
            </w:r>
            <w:r>
              <w:t xml:space="preserve">о типа документа в справочнике </w:t>
            </w:r>
            <w:r>
              <w:t xml:space="preserve">«Параметры автонумерации документов».</w:t>
            </w:r>
            <w:r>
              <w:t xml:space="preserve"> </w:t>
            </w:r>
            <w:r>
              <w:t xml:space="preserve">Может быть заполнено вручную.</w:t>
            </w:r>
            <w:r/>
          </w:p>
          <w:p>
            <w:pPr>
              <w:pStyle w:val="1005"/>
              <w:ind w:left="57" w:right="57"/>
            </w:pPr>
            <w:r>
              <w:t xml:space="preserve">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r/>
          </w:p>
        </w:tc>
      </w:tr>
      <w:tr>
        <w:trPr/>
        <w:tc>
          <w:tcPr>
            <w:shd w:val="clear" w:fill="auto" w:color="auto"/>
            <w:tcW w:w="1260" w:type="pct"/>
            <w:textDirection w:val="lrTb"/>
            <w:noWrap w:val="false"/>
          </w:tcPr>
          <w:p>
            <w:pPr>
              <w:pStyle w:val="1005"/>
              <w:ind w:left="57" w:right="57"/>
            </w:pPr>
            <w:r>
              <w:t xml:space="preserve">Дата</w:t>
            </w:r>
            <w:r/>
          </w:p>
        </w:tc>
        <w:tc>
          <w:tcPr>
            <w:shd w:val="clear" w:fill="auto" w:color="auto"/>
            <w:tcW w:w="3740" w:type="pct"/>
            <w:textDirection w:val="lrTb"/>
            <w:noWrap w:val="false"/>
          </w:tcPr>
          <w:p>
            <w:pPr>
              <w:pStyle w:val="1005"/>
              <w:ind w:left="57" w:right="57"/>
            </w:pPr>
            <w:r>
              <w:t xml:space="preserve">Дата формирования документа.</w:t>
            </w:r>
            <w:r/>
          </w:p>
          <w:p>
            <w:pPr>
              <w:pStyle w:val="1005"/>
              <w:ind w:left="57" w:right="57"/>
            </w:pPr>
            <w:r>
              <w:t xml:space="preserve">По умолчанию проставляется текущая дата. Может быть изменена с помощью выбора из системного календаря</w:t>
            </w:r>
            <w:r>
              <w:t xml:space="preserve">.</w:t>
            </w:r>
            <w:r/>
          </w:p>
        </w:tc>
      </w:tr>
      <w:tr>
        <w:trPr/>
        <w:tc>
          <w:tcPr>
            <w:shd w:val="clear" w:fill="auto" w:color="auto"/>
            <w:tcW w:w="1260" w:type="pct"/>
            <w:textDirection w:val="lrTb"/>
            <w:noWrap w:val="false"/>
          </w:tcPr>
          <w:p>
            <w:pPr>
              <w:pStyle w:val="1005"/>
              <w:ind w:left="57" w:right="57"/>
            </w:pPr>
            <w:r>
              <w:t xml:space="preserve">Дата в/д</w:t>
            </w:r>
            <w:r/>
          </w:p>
        </w:tc>
        <w:tc>
          <w:tcPr>
            <w:shd w:val="clear" w:fill="auto" w:color="auto"/>
            <w:tcW w:w="3740" w:type="pct"/>
            <w:textDirection w:val="lrTb"/>
            <w:noWrap w:val="false"/>
          </w:tcPr>
          <w:p>
            <w:pPr>
              <w:pStyle w:val="1005"/>
              <w:ind w:left="57" w:right="57"/>
            </w:pPr>
            <w:r>
              <w:t xml:space="preserve">Дата ввода в действие бюджетных данных документа. </w:t>
            </w:r>
            <w:r/>
          </w:p>
          <w:p>
            <w:pPr>
              <w:pStyle w:val="1008"/>
              <w:numPr>
                <w:ilvl w:val="0"/>
                <w:numId w:val="19"/>
              </w:numPr>
            </w:pPr>
            <w:r>
              <w:t xml:space="preserve">Заполняется пользователем вручную или из системного календаря.</w:t>
            </w:r>
            <w:r/>
          </w:p>
          <w:p>
            <w:pPr>
              <w:pStyle w:val="1008"/>
            </w:pPr>
            <w:r>
              <w:t xml:space="preserve">Заполняется из соответствующего поля ЭД «Распределение бюджетных данных» (не для АРМ Офлайн-клиент ФК).</w:t>
            </w:r>
            <w:r/>
          </w:p>
        </w:tc>
      </w:tr>
      <w:tr>
        <w:trPr/>
        <w:tc>
          <w:tcPr>
            <w:shd w:val="clear" w:fill="auto" w:color="auto"/>
            <w:tcW w:w="1260" w:type="pct"/>
            <w:textDirection w:val="lrTb"/>
            <w:noWrap w:val="false"/>
          </w:tcPr>
          <w:p>
            <w:pPr>
              <w:pStyle w:val="1005"/>
              <w:ind w:left="57" w:right="57"/>
            </w:pPr>
            <w:r>
              <w:t xml:space="preserve">Ед. изм.</w:t>
            </w:r>
            <w:r/>
          </w:p>
        </w:tc>
        <w:tc>
          <w:tcPr>
            <w:shd w:val="clear" w:fill="auto" w:color="auto"/>
            <w:tcW w:w="3740" w:type="pct"/>
            <w:textDirection w:val="lrTb"/>
            <w:noWrap w:val="false"/>
          </w:tcPr>
          <w:p>
            <w:pPr>
              <w:pStyle w:val="1005"/>
              <w:ind w:left="57" w:right="57"/>
            </w:pPr>
            <w:r>
              <w:t xml:space="preserve">Единица измерения.</w:t>
            </w:r>
            <w:r/>
          </w:p>
          <w:p>
            <w:pPr>
              <w:pStyle w:val="1005"/>
              <w:ind w:left="57" w:right="57"/>
            </w:pPr>
            <w:r>
              <w:t xml:space="preserve">Поле недоступно для редактирования.</w:t>
            </w:r>
            <w:r/>
          </w:p>
          <w:p>
            <w:pPr>
              <w:pStyle w:val="1008"/>
              <w:numPr>
                <w:ilvl w:val="0"/>
                <w:numId w:val="20"/>
              </w:numPr>
            </w:pPr>
            <w:r>
              <w:t xml:space="preserve">Заполняется автоматически значением «Руб» из справочника «ОКЕИ». </w:t>
            </w:r>
            <w:r/>
          </w:p>
          <w:p>
            <w:pPr>
              <w:pStyle w:val="1008"/>
            </w:pPr>
            <w:r>
              <w:t xml:space="preserve">Заполняется из соответствующего поля ЭД «Распределение бюджетных данных» (не для АРМ Офлайн-клиент ФК).</w:t>
            </w:r>
            <w:r/>
          </w:p>
        </w:tc>
      </w:tr>
      <w:tr>
        <w:trPr/>
        <w:tc>
          <w:tcPr>
            <w:shd w:val="clear" w:fill="auto" w:color="auto"/>
            <w:tcW w:w="1260" w:type="pct"/>
            <w:textDirection w:val="lrTb"/>
            <w:noWrap w:val="false"/>
          </w:tcPr>
          <w:p>
            <w:pPr>
              <w:pStyle w:val="1005"/>
              <w:ind w:left="57" w:right="57"/>
            </w:pPr>
            <w:r>
              <w:t xml:space="preserve">Стат.</w:t>
            </w:r>
            <w:r/>
          </w:p>
        </w:tc>
        <w:tc>
          <w:tcPr>
            <w:shd w:val="clear" w:fill="auto" w:color="auto"/>
            <w:tcW w:w="3740" w:type="pct"/>
            <w:textDirection w:val="lrTb"/>
            <w:noWrap w:val="false"/>
          </w:tcPr>
          <w:p>
            <w:pPr>
              <w:pStyle w:val="1005"/>
              <w:ind w:left="57" w:right="57"/>
            </w:pPr>
            <w:r>
              <w:t xml:space="preserve">Код бизнес-статуса документа. </w:t>
            </w:r>
            <w:r/>
          </w:p>
          <w:p>
            <w:pPr>
              <w:pStyle w:val="1005"/>
              <w:ind w:left="57" w:right="57"/>
            </w:pPr>
            <w:r>
              <w:t xml:space="preserve">Значение заполняется автоматически. Н</w:t>
            </w:r>
            <w:r>
              <w:t xml:space="preserve">е</w:t>
            </w:r>
            <w:r>
              <w:t xml:space="preserve">доступно для редактирования</w:t>
            </w:r>
            <w:r>
              <w:t xml:space="preserve">.</w:t>
            </w:r>
            <w:r/>
          </w:p>
        </w:tc>
      </w:tr>
      <w:tr>
        <w:trPr>
          <w:trHeight w:val="627"/>
        </w:trPr>
        <w:tc>
          <w:tcPr>
            <w:shd w:val="clear" w:fill="auto" w:color="auto"/>
            <w:tcW w:w="1260" w:type="pct"/>
            <w:textDirection w:val="lrTb"/>
            <w:noWrap w:val="false"/>
          </w:tcPr>
          <w:p>
            <w:pPr>
              <w:pStyle w:val="1005"/>
              <w:ind w:left="57" w:right="57"/>
            </w:pPr>
            <w:r>
              <w:t xml:space="preserve">Признак конфиденциальности</w:t>
            </w:r>
            <w:r/>
          </w:p>
        </w:tc>
        <w:tc>
          <w:tcPr>
            <w:shd w:val="clear" w:fill="auto" w:color="auto"/>
            <w:tcW w:w="3740" w:type="pct"/>
            <w:textDirection w:val="lrTb"/>
            <w:noWrap w:val="false"/>
          </w:tcPr>
          <w:p>
            <w:pPr>
              <w:pStyle w:val="1005"/>
              <w:ind w:left="57" w:right="57"/>
            </w:pPr>
            <w:r>
              <w:t xml:space="preserve">Уровень</w:t>
            </w:r>
            <w:r>
              <w:t xml:space="preserve"> </w:t>
            </w:r>
            <w:r>
              <w:t xml:space="preserve">конфиденциальности</w:t>
            </w:r>
            <w:r>
              <w:t xml:space="preserve">. </w:t>
            </w:r>
            <w:r/>
          </w:p>
          <w:p>
            <w:pPr>
              <w:pStyle w:val="1005"/>
              <w:ind w:left="57" w:right="57"/>
            </w:pPr>
            <w:r>
              <w:t xml:space="preserve">Возможные значения: «не секретно», «</w:t>
            </w:r>
            <w:r>
              <w:t xml:space="preserve">ДСП</w:t>
            </w:r>
            <w:r>
              <w:t xml:space="preserve">».</w:t>
            </w:r>
            <w:r/>
          </w:p>
          <w:p>
            <w:pPr>
              <w:pStyle w:val="1005"/>
              <w:ind w:left="57" w:right="57"/>
            </w:pPr>
            <w:r>
              <w:t xml:space="preserve">Заполняется из списка </w:t>
            </w:r>
            <w:r>
              <w:t xml:space="preserve">по коду </w:t>
            </w:r>
            <w:r>
              <w:t xml:space="preserve">конфиденциальности</w:t>
            </w:r>
            <w:r>
              <w:t xml:space="preserve">.</w:t>
            </w:r>
            <w:r/>
          </w:p>
        </w:tc>
      </w:tr>
      <w:tr>
        <w:trPr/>
        <w:tc>
          <w:tcPr>
            <w:shd w:val="clear" w:fill="auto" w:color="auto"/>
            <w:tcW w:w="1260" w:type="pct"/>
            <w:textDirection w:val="lrTb"/>
            <w:noWrap w:val="false"/>
          </w:tcPr>
          <w:p>
            <w:pPr>
              <w:pStyle w:val="1005"/>
              <w:ind w:left="57" w:right="57"/>
            </w:pPr>
            <w:r>
              <w:t xml:space="preserve">Метка конфиденц</w:t>
            </w:r>
            <w:r>
              <w:t xml:space="preserve">и</w:t>
            </w:r>
            <w:r>
              <w:t xml:space="preserve">альности</w:t>
            </w:r>
            <w:r/>
          </w:p>
        </w:tc>
        <w:tc>
          <w:tcPr>
            <w:shd w:val="clear" w:fill="auto" w:color="auto"/>
            <w:tcW w:w="3740" w:type="pct"/>
            <w:textDirection w:val="lrTb"/>
            <w:noWrap w:val="false"/>
          </w:tcPr>
          <w:p>
            <w:pPr>
              <w:pStyle w:val="1005"/>
              <w:ind w:left="57" w:right="57"/>
            </w:pPr>
            <w:r>
              <w:t xml:space="preserve">Нередактируемый реквизит. </w:t>
            </w:r>
            <w:r/>
          </w:p>
          <w:p>
            <w:pPr>
              <w:pStyle w:val="1005"/>
              <w:ind w:left="57" w:right="57"/>
            </w:pPr>
            <w:r>
              <w:t xml:space="preserve">Рядом с Меткой отображается наименование метки, в зависимости от ее зн</w:t>
            </w:r>
            <w:r>
              <w:t xml:space="preserve">а</w:t>
            </w:r>
            <w:r>
              <w:t xml:space="preserve">чения:</w:t>
            </w:r>
            <w:r/>
          </w:p>
          <w:p>
            <w:pPr>
              <w:pStyle w:val="1005"/>
              <w:ind w:left="57" w:right="57"/>
            </w:pPr>
            <w:r>
              <w:t xml:space="preserve">0 </w:t>
            </w:r>
            <w:r>
              <w:t xml:space="preserve">–</w:t>
            </w:r>
            <w:r>
              <w:t xml:space="preserve"> не секретно;</w:t>
            </w:r>
            <w:r/>
          </w:p>
          <w:p>
            <w:pPr>
              <w:pStyle w:val="1005"/>
              <w:ind w:left="57" w:right="57"/>
            </w:pPr>
            <w:r>
              <w:t xml:space="preserve">1 </w:t>
            </w:r>
            <w:r>
              <w:t xml:space="preserve">–</w:t>
            </w:r>
            <w:r>
              <w:t xml:space="preserve"> </w:t>
            </w:r>
            <w:r>
              <w:t xml:space="preserve">для служебного пользования</w:t>
            </w:r>
            <w:r>
              <w:t xml:space="preserve">;</w:t>
            </w:r>
            <w:r/>
          </w:p>
          <w:p>
            <w:pPr>
              <w:pStyle w:val="1005"/>
              <w:ind w:left="57" w:right="57"/>
            </w:pPr>
            <w:r>
              <w:t xml:space="preserve">2 </w:t>
            </w:r>
            <w:r>
              <w:t xml:space="preserve">–</w:t>
            </w:r>
            <w:r>
              <w:t xml:space="preserve"> секретно;</w:t>
            </w:r>
            <w:r/>
          </w:p>
          <w:p>
            <w:pPr>
              <w:pStyle w:val="1005"/>
              <w:ind w:left="57" w:right="57"/>
            </w:pPr>
            <w:r>
              <w:t xml:space="preserve">3 </w:t>
            </w:r>
            <w:r>
              <w:t xml:space="preserve">–</w:t>
            </w:r>
            <w:r>
              <w:t xml:space="preserve"> совершенно секретно.</w:t>
            </w:r>
            <w:r/>
          </w:p>
        </w:tc>
      </w:tr>
      <w:tr>
        <w:trPr/>
        <w:tc>
          <w:tcPr>
            <w:shd w:val="clear" w:fill="auto" w:color="auto"/>
            <w:tcW w:w="1260" w:type="pct"/>
            <w:textDirection w:val="lrTb"/>
            <w:noWrap w:val="false"/>
          </w:tcPr>
          <w:p>
            <w:pPr>
              <w:pStyle w:val="1005"/>
              <w:ind w:left="57" w:right="57"/>
            </w:pPr>
            <w:r>
              <w:t xml:space="preserve">Пункт перечня</w:t>
            </w:r>
            <w:r/>
          </w:p>
        </w:tc>
        <w:tc>
          <w:tcPr>
            <w:shd w:val="clear" w:fill="auto" w:color="auto"/>
            <w:tcW w:w="3740" w:type="pct"/>
            <w:textDirection w:val="lrTb"/>
            <w:noWrap w:val="false"/>
          </w:tcPr>
          <w:p>
            <w:pPr>
              <w:pStyle w:val="1005"/>
              <w:ind w:left="57" w:right="57"/>
            </w:pPr>
            <w:r>
              <w:t xml:space="preserve">Нередактируемый реквизит. </w:t>
            </w:r>
            <w:r/>
          </w:p>
          <w:p>
            <w:pPr>
              <w:pStyle w:val="1005"/>
              <w:ind w:left="57" w:right="57"/>
            </w:pPr>
            <w:r>
              <w:t xml:space="preserve">Обязателен для заполнения при значении Метки = 2 или 3.</w:t>
            </w:r>
            <w:r/>
          </w:p>
        </w:tc>
      </w:tr>
      <w:tr>
        <w:trPr/>
        <w:tc>
          <w:tcPr>
            <w:shd w:val="clear" w:fill="auto" w:color="auto"/>
            <w:tcW w:w="1260" w:type="pct"/>
            <w:textDirection w:val="lrTb"/>
            <w:noWrap w:val="false"/>
          </w:tcPr>
          <w:p>
            <w:pPr>
              <w:pStyle w:val="1005"/>
              <w:ind w:left="57" w:right="57"/>
            </w:pPr>
            <w:r>
              <w:t xml:space="preserve">ГРБС/ГАИФ</w:t>
            </w:r>
            <w:r/>
          </w:p>
        </w:tc>
        <w:tc>
          <w:tcPr>
            <w:shd w:val="clear" w:fill="auto" w:color="auto"/>
            <w:tcW w:w="3740" w:type="pct"/>
            <w:textDirection w:val="lrTb"/>
            <w:noWrap w:val="false"/>
          </w:tcPr>
          <w:p>
            <w:pPr>
              <w:pStyle w:val="1005"/>
              <w:ind w:left="57" w:right="57"/>
            </w:pPr>
            <w:r>
              <w:t xml:space="preserve">Наименование ГРБС (ГАИФ), соответствующее коду главы.</w:t>
            </w:r>
            <w:r/>
          </w:p>
          <w:p>
            <w:pPr>
              <w:pStyle w:val="1005"/>
              <w:ind w:left="57" w:right="57"/>
            </w:pPr>
            <w:r>
              <w:t xml:space="preserve">Для АРМ:</w:t>
            </w:r>
            <w:r/>
          </w:p>
          <w:p>
            <w:pPr>
              <w:pStyle w:val="1008"/>
              <w:numPr>
                <w:ilvl w:val="0"/>
                <w:numId w:val="21"/>
              </w:numPr>
            </w:pPr>
            <w:r>
              <w:t xml:space="preserve">Значение заполняется автоматически на основании поля «Глава по БК» (с учетом бюджета) из справочника «Ведомства». Может быть отредактировано вручную.</w:t>
            </w:r>
            <w:r/>
          </w:p>
          <w:p>
            <w:pPr>
              <w:pStyle w:val="1008"/>
            </w:pPr>
            <w:r>
              <w:t xml:space="preserve">Заполняется из соответствующего поля ЭД «Распределение бюджетных данных» (не для АРМ Офлайн-клиент ФК).</w:t>
            </w:r>
            <w:r/>
          </w:p>
        </w:tc>
      </w:tr>
      <w:tr>
        <w:trPr/>
        <w:tc>
          <w:tcPr>
            <w:shd w:val="clear" w:fill="auto" w:color="auto"/>
            <w:tcW w:w="1260" w:type="pct"/>
            <w:textDirection w:val="lrTb"/>
            <w:noWrap w:val="false"/>
          </w:tcPr>
          <w:p>
            <w:pPr>
              <w:pStyle w:val="1005"/>
              <w:ind w:left="57" w:right="57"/>
            </w:pPr>
            <w:r>
              <w:t xml:space="preserve">Глава по БК</w:t>
            </w:r>
            <w:r/>
          </w:p>
        </w:tc>
        <w:tc>
          <w:tcPr>
            <w:shd w:val="clear" w:fill="auto" w:color="auto"/>
            <w:tcW w:w="3740" w:type="pct"/>
            <w:textDirection w:val="lrTb"/>
            <w:noWrap w:val="false"/>
          </w:tcPr>
          <w:p>
            <w:pPr>
              <w:pStyle w:val="1005"/>
              <w:ind w:left="57" w:right="57"/>
            </w:pPr>
            <w:r>
              <w:t xml:space="preserve">Код ГРБС (ГАИФ).</w:t>
            </w:r>
            <w:r/>
          </w:p>
          <w:p>
            <w:pPr>
              <w:pStyle w:val="1005"/>
              <w:ind w:left="57" w:right="57"/>
            </w:pPr>
            <w:r>
              <w:t xml:space="preserve">Д</w:t>
            </w:r>
            <w:r>
              <w:t xml:space="preserve">ля АРМ ФО: Не заполняется. Поле доступно для редактирования. Возможен ввод вручную или выбор из справочника «Ведомства», ограниченного бюджетом</w:t>
            </w:r>
            <w:r>
              <w:t xml:space="preserve">.</w:t>
            </w:r>
            <w:r/>
          </w:p>
        </w:tc>
      </w:tr>
      <w:tr>
        <w:trPr/>
        <w:tc>
          <w:tcPr>
            <w:shd w:val="clear" w:fill="auto" w:color="auto"/>
            <w:tcW w:w="1260" w:type="pct"/>
            <w:textDirection w:val="lrTb"/>
            <w:noWrap w:val="false"/>
          </w:tcPr>
          <w:p>
            <w:pPr>
              <w:pStyle w:val="1005"/>
              <w:ind w:left="57" w:right="57"/>
            </w:pPr>
            <w:r>
              <w:t xml:space="preserve">РБС/ТОАИФ</w:t>
            </w:r>
            <w:r/>
          </w:p>
        </w:tc>
        <w:tc>
          <w:tcPr>
            <w:shd w:val="clear" w:fill="auto" w:color="auto"/>
            <w:tcW w:w="3740" w:type="pct"/>
            <w:textDirection w:val="lrTb"/>
            <w:noWrap w:val="false"/>
          </w:tcPr>
          <w:p>
            <w:pPr>
              <w:pStyle w:val="1005"/>
              <w:ind w:left="57" w:right="57"/>
            </w:pPr>
            <w:r>
              <w:t xml:space="preserve">Наименование РБС (АИФ).</w:t>
            </w:r>
            <w:r/>
          </w:p>
          <w:p>
            <w:pPr>
              <w:pStyle w:val="1005"/>
              <w:ind w:left="57" w:right="57"/>
            </w:pPr>
            <w:r>
              <w:t xml:space="preserve">Автоматическое заполнение:</w:t>
            </w:r>
            <w:r>
              <w:t xml:space="preserve"> н</w:t>
            </w:r>
            <w:r>
              <w:t xml:space="preserve">а АРМ ФО </w:t>
            </w:r>
            <w:r>
              <w:t xml:space="preserve">–</w:t>
            </w:r>
            <w:r>
              <w:t xml:space="preserve"> не заполняется. </w:t>
            </w:r>
            <w:r/>
          </w:p>
          <w:p>
            <w:pPr>
              <w:pStyle w:val="1008"/>
              <w:numPr>
                <w:ilvl w:val="0"/>
                <w:numId w:val="85"/>
              </w:numPr>
            </w:pPr>
            <w:r>
              <w:t xml:space="preserve">Для Федерального бюджета:</w:t>
            </w:r>
            <w:r/>
          </w:p>
          <w:p>
            <w:pPr>
              <w:pStyle w:val="1005"/>
              <w:ind w:left="57" w:right="57"/>
            </w:pPr>
            <w:r>
              <w:t xml:space="preserve">Для АРМ: </w:t>
            </w:r>
            <w:r/>
          </w:p>
          <w:p>
            <w:pPr>
              <w:pStyle w:val="1007"/>
            </w:pPr>
            <w:r>
              <w:t xml:space="preserve">если «Переход на СР» = 0, то заполняется автоматически из справочника «СРРПБС» на основании поля «по Сводному реестру (РБС/ТОАИФ)»;</w:t>
            </w:r>
            <w:r/>
          </w:p>
          <w:p>
            <w:pPr>
              <w:pStyle w:val="1007"/>
            </w:pPr>
            <w:r>
              <w:t xml:space="preserve">если «Переход на СР» = 1, то заполняется из справочника СР полным наименованием (FullName) Может быть изменено вручную;</w:t>
            </w:r>
            <w:r/>
          </w:p>
          <w:p>
            <w:pPr>
              <w:pStyle w:val="1007"/>
            </w:pPr>
            <w:r>
              <w:t xml:space="preserve">заполняется из соответствующего поля ЭД «Р</w:t>
            </w:r>
            <w:r>
              <w:t xml:space="preserve">аспределение бюджетных данных»</w:t>
            </w:r>
            <w:r>
              <w:t xml:space="preserve">.</w:t>
            </w:r>
            <w:r/>
          </w:p>
          <w:p>
            <w:pPr>
              <w:pStyle w:val="1008"/>
            </w:pPr>
            <w:r>
              <w:t xml:space="preserve">Для бюджета ГВБФ (4 уровень бюджета):</w:t>
            </w:r>
            <w:r/>
          </w:p>
          <w:p>
            <w:pPr>
              <w:pStyle w:val="1005"/>
              <w:ind w:left="57" w:right="57"/>
            </w:pPr>
            <w:r>
              <w:t xml:space="preserve">На АРМ ФО: поле не заполняется.</w:t>
            </w:r>
            <w:r/>
          </w:p>
          <w:p>
            <w:pPr>
              <w:pStyle w:val="1008"/>
            </w:pPr>
            <w:r>
              <w:t xml:space="preserve"> Для прочих бюджетов:</w:t>
            </w:r>
            <w:r/>
          </w:p>
          <w:p>
            <w:pPr>
              <w:pStyle w:val="1005"/>
              <w:ind w:left="57" w:right="57"/>
            </w:pPr>
            <w:r>
              <w:t xml:space="preserve">Для АРМ: </w:t>
            </w:r>
            <w:r/>
          </w:p>
          <w:p>
            <w:pPr>
              <w:pStyle w:val="1007"/>
            </w:pPr>
            <w:r>
              <w:t xml:space="preserve">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w:t>
            </w:r>
            <w:r>
              <w:t xml:space="preserve">ному реестру»)</w:t>
            </w:r>
            <w:r>
              <w:t xml:space="preserve">.</w:t>
            </w:r>
            <w:r/>
          </w:p>
        </w:tc>
      </w:tr>
      <w:tr>
        <w:trPr/>
        <w:tc>
          <w:tcPr>
            <w:shd w:val="clear" w:fill="auto" w:color="auto"/>
            <w:tcW w:w="1260" w:type="pct"/>
            <w:textDirection w:val="lrTb"/>
            <w:noWrap w:val="false"/>
          </w:tcPr>
          <w:p>
            <w:pPr>
              <w:pStyle w:val="1005"/>
              <w:ind w:left="57" w:right="57"/>
            </w:pPr>
            <w:r>
              <w:t xml:space="preserve">П</w:t>
            </w:r>
            <w:r>
              <w:t xml:space="preserve">о Сводному реестру</w:t>
            </w:r>
            <w:r/>
          </w:p>
        </w:tc>
        <w:tc>
          <w:tcPr>
            <w:shd w:val="clear" w:fill="auto" w:color="auto"/>
            <w:tcW w:w="3740" w:type="pct"/>
            <w:textDirection w:val="lrTb"/>
            <w:noWrap w:val="false"/>
          </w:tcPr>
          <w:p>
            <w:pPr>
              <w:pStyle w:val="1005"/>
              <w:ind w:left="57" w:right="57"/>
            </w:pPr>
            <w:r>
              <w:t xml:space="preserve">Код РБС (АИФ) по СРРПБС.</w:t>
            </w:r>
            <w:r/>
          </w:p>
          <w:p>
            <w:pPr>
              <w:pStyle w:val="1005"/>
              <w:ind w:left="57" w:right="57"/>
            </w:pPr>
            <w:r>
              <w:t xml:space="preserve">Автоматическое заполнение</w:t>
            </w:r>
            <w:r>
              <w:t xml:space="preserve">: н</w:t>
            </w:r>
            <w:r>
              <w:t xml:space="preserve">а АРМ ФО </w:t>
            </w:r>
            <w:r>
              <w:t xml:space="preserve">–</w:t>
            </w:r>
            <w:r>
              <w:t xml:space="preserve"> не заполняется. </w:t>
            </w:r>
            <w:r/>
          </w:p>
          <w:p>
            <w:pPr>
              <w:pStyle w:val="1005"/>
              <w:ind w:left="57" w:right="57"/>
            </w:pPr>
            <w:r>
              <w:t xml:space="preserve">При вводе размерность поля ограничена 8 символами.</w:t>
            </w:r>
            <w:r/>
          </w:p>
          <w:p>
            <w:pPr>
              <w:pStyle w:val="1005"/>
              <w:ind w:left="57" w:right="57"/>
            </w:pPr>
            <w:r>
              <w:t xml:space="preserve">Для прочих бюджетов:</w:t>
            </w:r>
            <w:r>
              <w:t xml:space="preserve"> д</w:t>
            </w:r>
            <w:r>
              <w:t xml:space="preserve">ля АРМ</w:t>
            </w:r>
            <w:r>
              <w:t xml:space="preserve"> </w:t>
            </w:r>
            <w:r>
              <w:t xml:space="preserve">–</w:t>
            </w:r>
            <w:r>
              <w:t xml:space="preserve"> п</w:t>
            </w:r>
            <w:r>
              <w:t xml:space="preserve">оле не заполняется.</w:t>
            </w:r>
            <w:r/>
          </w:p>
          <w:p>
            <w:pPr>
              <w:pStyle w:val="1005"/>
              <w:ind w:left="57" w:right="57"/>
            </w:pPr>
            <w:r>
              <w:t xml:space="preserve">До даты завершения перехода на СР заполняется 5-значным кодом УБП, после </w:t>
            </w:r>
            <w:r>
              <w:t xml:space="preserve">–</w:t>
            </w:r>
            <w:r>
              <w:t xml:space="preserve"> 8-значным кодов по СР.</w:t>
            </w:r>
            <w:r/>
          </w:p>
        </w:tc>
      </w:tr>
      <w:tr>
        <w:trPr/>
        <w:tc>
          <w:tcPr>
            <w:shd w:val="clear" w:fill="auto" w:color="auto"/>
            <w:tcW w:w="1260" w:type="pct"/>
            <w:textDirection w:val="lrTb"/>
            <w:noWrap w:val="false"/>
          </w:tcPr>
          <w:p>
            <w:pPr>
              <w:pStyle w:val="1005"/>
              <w:ind w:left="57" w:right="57"/>
            </w:pPr>
            <w:r>
              <w:t xml:space="preserve">Номер лицевого счета</w:t>
            </w:r>
            <w:r/>
          </w:p>
        </w:tc>
        <w:tc>
          <w:tcPr>
            <w:shd w:val="clear" w:fill="auto" w:color="auto"/>
            <w:tcW w:w="3740" w:type="pct"/>
            <w:textDirection w:val="lrTb"/>
            <w:noWrap w:val="false"/>
          </w:tcPr>
          <w:p>
            <w:pPr>
              <w:pStyle w:val="1005"/>
              <w:ind w:left="57" w:right="57"/>
            </w:pPr>
            <w:r>
              <w:t xml:space="preserve">Номер лицевого счета организации, указанной в поле «РБС/ТОАИФ».</w:t>
            </w:r>
            <w:r/>
          </w:p>
          <w:p>
            <w:pPr>
              <w:pStyle w:val="1005"/>
              <w:ind w:left="57" w:right="57"/>
            </w:pPr>
            <w:r>
              <w:t xml:space="preserve">Для АРМ ФО</w:t>
            </w:r>
            <w:r>
              <w:t xml:space="preserve">:</w:t>
            </w:r>
            <w:r>
              <w:t xml:space="preserve"> </w:t>
            </w:r>
            <w:r>
              <w:t xml:space="preserve">П</w:t>
            </w:r>
            <w:r>
              <w:t xml:space="preserve">оле не заполняется.</w:t>
            </w:r>
            <w:r/>
          </w:p>
        </w:tc>
      </w:tr>
      <w:tr>
        <w:trPr/>
        <w:tc>
          <w:tcPr>
            <w:shd w:val="clear" w:fill="auto" w:color="auto"/>
            <w:tcW w:w="1260" w:type="pct"/>
            <w:textDirection w:val="lrTb"/>
            <w:noWrap w:val="false"/>
          </w:tcPr>
          <w:p>
            <w:pPr>
              <w:pStyle w:val="1005"/>
              <w:ind w:left="57" w:right="57"/>
            </w:pPr>
            <w:r>
              <w:t xml:space="preserve">Бюджет</w:t>
            </w:r>
            <w:r/>
          </w:p>
        </w:tc>
        <w:tc>
          <w:tcPr>
            <w:shd w:val="clear" w:fill="auto" w:color="auto"/>
            <w:tcW w:w="3740" w:type="pct"/>
            <w:textDirection w:val="lrTb"/>
            <w:noWrap w:val="false"/>
          </w:tcPr>
          <w:p>
            <w:pPr>
              <w:pStyle w:val="1005"/>
              <w:ind w:left="57" w:right="57"/>
            </w:pPr>
            <w:r>
              <w:t xml:space="preserve">Наименование бюджета, согласно справочнику «Бюджеты».</w:t>
            </w:r>
            <w:r/>
          </w:p>
          <w:p>
            <w:pPr>
              <w:pStyle w:val="1005"/>
              <w:ind w:left="57" w:right="57"/>
            </w:pPr>
            <w:r>
              <w:t xml:space="preserve">Для АРМ: </w:t>
            </w:r>
            <w:r/>
          </w:p>
          <w:p>
            <w:pPr>
              <w:pStyle w:val="1008"/>
              <w:numPr>
                <w:ilvl w:val="0"/>
                <w:numId w:val="22"/>
              </w:numPr>
            </w:pPr>
            <w:r>
              <w:t xml:space="preserve">Заполняется автоматически из справочника «Бюджеты» на основании системной константы </w:t>
            </w:r>
            <w:r>
              <w:t xml:space="preserve">SelfBudgetCode (Код бюджета)</w:t>
            </w:r>
            <w:r>
              <w:t xml:space="preserve">. Может быть изменено из справочника «Бюджеты» или вручную.</w:t>
            </w:r>
            <w:r/>
          </w:p>
          <w:p>
            <w:pPr>
              <w:pStyle w:val="1008"/>
            </w:pPr>
            <w:r>
              <w:t xml:space="preserve">Заполняется из соответствующего поля ЭД «Распределение бюджетных данных» (не для АРМ Офлайн-клиент ФК).</w:t>
            </w:r>
            <w:r/>
          </w:p>
        </w:tc>
      </w:tr>
      <w:tr>
        <w:trPr/>
        <w:tc>
          <w:tcPr>
            <w:shd w:val="clear" w:fill="auto" w:color="auto"/>
            <w:tcW w:w="1260" w:type="pct"/>
            <w:textDirection w:val="lrTb"/>
            <w:noWrap w:val="false"/>
          </w:tcPr>
          <w:p>
            <w:pPr>
              <w:pStyle w:val="1005"/>
              <w:ind w:left="57" w:right="57"/>
            </w:pPr>
            <w:r>
              <w:t xml:space="preserve">Финорган</w:t>
            </w:r>
            <w:r/>
          </w:p>
        </w:tc>
        <w:tc>
          <w:tcPr>
            <w:shd w:val="clear" w:fill="auto" w:color="auto"/>
            <w:tcW w:w="3740" w:type="pct"/>
            <w:textDirection w:val="lrTb"/>
            <w:noWrap w:val="false"/>
          </w:tcPr>
          <w:p>
            <w:pPr>
              <w:pStyle w:val="1005"/>
              <w:ind w:left="57" w:right="57"/>
            </w:pPr>
            <w:r>
              <w:t xml:space="preserve">Наименование ФО, обслуживающего указанный бюджет.</w:t>
            </w:r>
            <w:r/>
          </w:p>
          <w:p>
            <w:pPr>
              <w:pStyle w:val="1005"/>
              <w:ind w:left="57" w:right="57"/>
            </w:pPr>
            <w:r>
              <w:t xml:space="preserve">Для АРМ всех бюджетов (кроме ГВБФ: 4-й уровень бюджета): </w:t>
            </w:r>
            <w:r>
              <w:t xml:space="preserve">з</w:t>
            </w:r>
            <w:r>
              <w:t xml:space="preserve">аполняется автоматически наименованием с актуальным кодом ФО соответствующим Бюджету из справочника «Фин.органы». Может быть изменено вручную или из справочника «Фин.органы». Значение справочника ограничены значением поля «Бюджет»</w:t>
            </w:r>
            <w:r>
              <w:t xml:space="preserve">.</w:t>
            </w:r>
            <w:r/>
          </w:p>
          <w:p>
            <w:pPr>
              <w:pStyle w:val="1005"/>
              <w:ind w:left="57" w:right="57"/>
            </w:pPr>
            <w:r>
              <w:t xml:space="preserve">Для бюджета ГВБФ (4-й уровень бюджета):</w:t>
            </w:r>
            <w:r/>
          </w:p>
          <w:p>
            <w:pPr>
              <w:pStyle w:val="1005"/>
              <w:ind w:left="57" w:right="57"/>
            </w:pPr>
            <w:r>
              <w:t xml:space="preserve">Для АРМ ФО: заполняется автоматически актуальным значением из справочника «Финорганы» по системной константе </w:t>
            </w:r>
            <w:r>
              <w:t xml:space="preserve">SelfBudgetCode (Код бюджета)</w:t>
            </w:r>
            <w:r>
              <w:t xml:space="preserve">.</w:t>
            </w:r>
            <w:r/>
          </w:p>
        </w:tc>
      </w:tr>
      <w:tr>
        <w:trPr/>
        <w:tc>
          <w:tcPr>
            <w:shd w:val="clear" w:fill="auto" w:color="auto"/>
            <w:tcW w:w="1260" w:type="pct"/>
            <w:textDirection w:val="lrTb"/>
            <w:noWrap w:val="false"/>
          </w:tcPr>
          <w:p>
            <w:pPr>
              <w:pStyle w:val="1005"/>
              <w:ind w:left="57" w:right="57"/>
            </w:pPr>
            <w:r>
              <w:t xml:space="preserve">Откуда (ФК)</w:t>
            </w:r>
            <w:r/>
          </w:p>
        </w:tc>
        <w:tc>
          <w:tcPr>
            <w:shd w:val="clear" w:fill="auto" w:color="auto"/>
            <w:tcW w:w="3740" w:type="pct"/>
            <w:textDirection w:val="lrTb"/>
            <w:noWrap w:val="false"/>
          </w:tcPr>
          <w:p>
            <w:pPr>
              <w:pStyle w:val="1005"/>
              <w:ind w:left="57" w:right="57"/>
            </w:pPr>
            <w:r>
              <w:t xml:space="preserve">Наименование ТОФК-отправителя, согласно справочнику «Органы к</w:t>
            </w:r>
            <w:r>
              <w:t xml:space="preserve">а</w:t>
            </w:r>
            <w:r>
              <w:t xml:space="preserve">значейства».</w:t>
            </w:r>
            <w:r/>
          </w:p>
          <w:p>
            <w:pPr>
              <w:pStyle w:val="1005"/>
              <w:ind w:left="57" w:right="57"/>
            </w:pPr>
            <w:r>
              <w:t xml:space="preserve">Для АРМ:</w:t>
            </w:r>
            <w:r>
              <w:t xml:space="preserve"> </w:t>
            </w:r>
            <w:r/>
          </w:p>
          <w:p>
            <w:pPr>
              <w:pStyle w:val="1008"/>
              <w:numPr>
                <w:ilvl w:val="0"/>
                <w:numId w:val="23"/>
              </w:numPr>
            </w:pPr>
            <w:r>
              <w:t xml:space="preserve">Заполняется автоматически из справочника «Органы казначейства» на основании поля «по КОФК (Откуда(ФК))». Может быть изменено вручную или из справочника «Органы казначейства».</w:t>
            </w:r>
            <w:r/>
          </w:p>
          <w:p>
            <w:pPr>
              <w:pStyle w:val="1008"/>
            </w:pPr>
            <w:r>
              <w:t xml:space="preserve">Заполняется из соответствующего поля ЭД «Распределение бюджетных </w:t>
            </w:r>
            <w:r>
              <w:t xml:space="preserve">данных» (не для АРМ Офлайн-клиент ФК).</w:t>
            </w:r>
            <w:r/>
          </w:p>
        </w:tc>
      </w:tr>
      <w:tr>
        <w:trPr/>
        <w:tc>
          <w:tcPr>
            <w:shd w:val="clear" w:fill="auto" w:color="auto"/>
            <w:tcW w:w="1260" w:type="pct"/>
            <w:textDirection w:val="lrTb"/>
            <w:noWrap w:val="false"/>
          </w:tcPr>
          <w:p>
            <w:pPr>
              <w:pStyle w:val="1005"/>
              <w:ind w:left="57" w:right="57"/>
            </w:pPr>
            <w:r>
              <w:t xml:space="preserve">П</w:t>
            </w:r>
            <w:r>
              <w:t xml:space="preserve">о КОФК</w:t>
            </w:r>
            <w:r/>
          </w:p>
        </w:tc>
        <w:tc>
          <w:tcPr>
            <w:shd w:val="clear" w:fill="auto" w:color="auto"/>
            <w:tcW w:w="3740" w:type="pct"/>
            <w:textDirection w:val="lrTb"/>
            <w:noWrap w:val="false"/>
          </w:tcPr>
          <w:p>
            <w:pPr>
              <w:pStyle w:val="1005"/>
              <w:ind w:left="57" w:right="57"/>
            </w:pPr>
            <w:r>
              <w:t xml:space="preserve">Код ТОФК-отправителя по справочнику «Органы казначейс</w:t>
            </w:r>
            <w:r>
              <w:t xml:space="preserve">т</w:t>
            </w:r>
            <w:r>
              <w:t xml:space="preserve">ва».</w:t>
            </w:r>
            <w:r/>
          </w:p>
          <w:p>
            <w:pPr>
              <w:pStyle w:val="1005"/>
              <w:ind w:left="57" w:right="57"/>
            </w:pPr>
            <w:r>
              <w:t xml:space="preserve">Для АРМ: </w:t>
            </w:r>
            <w:r/>
          </w:p>
          <w:p>
            <w:pPr>
              <w:pStyle w:val="1008"/>
              <w:numPr>
                <w:ilvl w:val="0"/>
                <w:numId w:val="24"/>
              </w:numPr>
            </w:pPr>
            <w:r>
              <w:t xml:space="preserve">Заполняется из системной константы «Код собственного ТОФК» системной таблицы «system_const» (если соответствует маске xx00) или ВЫШЕСТОЯЩЕГО ТОФК (если код собственного ТОФК соответствует маске xxyy).</w:t>
            </w:r>
            <w:r>
              <w:t xml:space="preserve"> </w:t>
            </w:r>
            <w:r>
              <w:t xml:space="preserve">Может быть изменен вручную или путем выбора из справочника «Органы казначейства».</w:t>
            </w:r>
            <w:r/>
          </w:p>
          <w:p>
            <w:pPr>
              <w:pStyle w:val="1008"/>
            </w:pPr>
            <w:r>
              <w:t xml:space="preserve">Заполняется из соответствующего поля ЭД «Распределение бюджетных данных» (не для АРМ Офлайн-клиент ФК).</w:t>
            </w:r>
            <w:r/>
          </w:p>
        </w:tc>
      </w:tr>
      <w:tr>
        <w:trPr/>
        <w:tc>
          <w:tcPr>
            <w:gridSpan w:val="2"/>
            <w:shd w:val="clear" w:fill="auto" w:color="auto"/>
            <w:tcW w:w="5000" w:type="pct"/>
            <w:textDirection w:val="lrTb"/>
            <w:noWrap w:val="false"/>
          </w:tcPr>
          <w:p>
            <w:pPr>
              <w:pStyle w:val="1005"/>
              <w:ind w:left="57" w:right="57"/>
            </w:pPr>
            <w:r>
              <w:t xml:space="preserve">Закладка «Документ (1)</w:t>
            </w:r>
            <w:r>
              <w:t xml:space="preserve">», </w:t>
            </w:r>
            <w:r>
              <w:t xml:space="preserve">в</w:t>
            </w:r>
            <w:r>
              <w:t xml:space="preserve">кладк</w:t>
            </w:r>
            <w:r>
              <w:t xml:space="preserve">а</w:t>
            </w:r>
            <w:r>
              <w:t xml:space="preserve"> «</w:t>
            </w:r>
            <w:r>
              <w:t xml:space="preserve">Расходные расписания (3)»</w:t>
            </w:r>
            <w:r/>
          </w:p>
        </w:tc>
      </w:tr>
      <w:tr>
        <w:trPr/>
        <w:tc>
          <w:tcPr>
            <w:shd w:val="clear" w:fill="auto" w:color="auto"/>
            <w:tcW w:w="1260" w:type="pct"/>
            <w:textDirection w:val="lrTb"/>
            <w:noWrap w:val="false"/>
          </w:tcPr>
          <w:p>
            <w:pPr>
              <w:pStyle w:val="1005"/>
              <w:ind w:left="57" w:right="57"/>
            </w:pPr>
            <w:r>
              <w:t xml:space="preserve">Куда (ФК)</w:t>
            </w:r>
            <w:r/>
          </w:p>
        </w:tc>
        <w:tc>
          <w:tcPr>
            <w:shd w:val="clear" w:fill="auto" w:color="auto"/>
            <w:tcW w:w="3740" w:type="pct"/>
            <w:textDirection w:val="lrTb"/>
            <w:noWrap w:val="false"/>
          </w:tcPr>
          <w:p>
            <w:pPr>
              <w:pStyle w:val="1005"/>
              <w:ind w:left="57" w:right="57"/>
            </w:pPr>
            <w:r>
              <w:t xml:space="preserve">Наименование ТОФК-получателя, в котор</w:t>
            </w:r>
            <w:r>
              <w:t xml:space="preserve">ом обслуживается БУ-получатель.</w:t>
            </w:r>
            <w:r/>
          </w:p>
        </w:tc>
      </w:tr>
      <w:tr>
        <w:trPr/>
        <w:tc>
          <w:tcPr>
            <w:shd w:val="clear" w:fill="auto" w:color="auto"/>
            <w:tcW w:w="1260" w:type="pct"/>
            <w:textDirection w:val="lrTb"/>
            <w:noWrap w:val="false"/>
          </w:tcPr>
          <w:p>
            <w:pPr>
              <w:pStyle w:val="1005"/>
              <w:ind w:left="57" w:right="57"/>
            </w:pPr>
            <w:r>
              <w:t xml:space="preserve">П</w:t>
            </w:r>
            <w:r>
              <w:t xml:space="preserve">о КОФК</w:t>
            </w:r>
            <w:r/>
          </w:p>
        </w:tc>
        <w:tc>
          <w:tcPr>
            <w:shd w:val="clear" w:fill="auto" w:color="auto"/>
            <w:tcW w:w="3740" w:type="pct"/>
            <w:textDirection w:val="lrTb"/>
            <w:noWrap w:val="false"/>
          </w:tcPr>
          <w:p>
            <w:pPr>
              <w:pStyle w:val="1005"/>
              <w:ind w:left="57" w:right="57"/>
            </w:pPr>
            <w:r>
              <w:t xml:space="preserve">Код ТОФК-получателя.</w:t>
            </w:r>
            <w:r/>
          </w:p>
        </w:tc>
      </w:tr>
      <w:tr>
        <w:trPr/>
        <w:tc>
          <w:tcPr>
            <w:shd w:val="clear" w:fill="auto" w:color="auto"/>
            <w:tcW w:w="1260" w:type="pct"/>
            <w:textDirection w:val="lrTb"/>
            <w:noWrap w:val="false"/>
          </w:tcPr>
          <w:p>
            <w:pPr>
              <w:pStyle w:val="1005"/>
              <w:ind w:left="57" w:right="57"/>
            </w:pPr>
            <w:r>
              <w:t xml:space="preserve">Спец. Указания (наименов</w:t>
            </w:r>
            <w:r>
              <w:t xml:space="preserve">а</w:t>
            </w:r>
            <w:r>
              <w:t xml:space="preserve">ния)</w:t>
            </w:r>
            <w:r/>
          </w:p>
        </w:tc>
        <w:tc>
          <w:tcPr>
            <w:shd w:val="clear" w:fill="auto" w:color="auto"/>
            <w:tcW w:w="3740" w:type="pct"/>
            <w:textDirection w:val="lrTb"/>
            <w:noWrap w:val="false"/>
          </w:tcPr>
          <w:p>
            <w:pPr>
              <w:pStyle w:val="1005"/>
              <w:ind w:left="57" w:right="57"/>
            </w:pPr>
            <w:r>
              <w:t xml:space="preserve">Наименование специальных указаний. </w:t>
            </w:r>
            <w:r/>
          </w:p>
          <w:p>
            <w:pPr>
              <w:pStyle w:val="1005"/>
              <w:ind w:left="57" w:right="57"/>
            </w:pPr>
            <w:r>
              <w:t xml:space="preserve">В случае ввода нескольких значений используется раздел</w:t>
            </w:r>
            <w:r>
              <w:t xml:space="preserve">и</w:t>
            </w:r>
            <w:r>
              <w:t xml:space="preserve">тель «</w:t>
            </w:r>
            <w:r>
              <w:rPr>
                <w:rFonts w:ascii="Symbol" w:hAnsi="Symbol" w:cs="Symbol" w:eastAsia="Symbol"/>
              </w:rPr>
              <w:t xml:space="preserve">|</w:t>
            </w:r>
            <w:r>
              <w:t xml:space="preserve">». </w:t>
            </w:r>
            <w:r/>
          </w:p>
        </w:tc>
      </w:tr>
      <w:tr>
        <w:trPr/>
        <w:tc>
          <w:tcPr>
            <w:shd w:val="clear" w:fill="auto" w:color="auto"/>
            <w:tcW w:w="1260" w:type="pct"/>
            <w:textDirection w:val="lrTb"/>
            <w:noWrap w:val="false"/>
          </w:tcPr>
          <w:p>
            <w:pPr>
              <w:pStyle w:val="1005"/>
              <w:ind w:left="57" w:right="57"/>
            </w:pPr>
            <w:r>
              <w:t xml:space="preserve">Спец. Указания (код)</w:t>
            </w:r>
            <w:r/>
          </w:p>
        </w:tc>
        <w:tc>
          <w:tcPr>
            <w:shd w:val="clear" w:fill="auto" w:color="auto"/>
            <w:tcW w:w="3740" w:type="pct"/>
            <w:textDirection w:val="lrTb"/>
            <w:noWrap w:val="false"/>
          </w:tcPr>
          <w:p>
            <w:pPr>
              <w:pStyle w:val="1005"/>
              <w:ind w:left="57" w:right="57"/>
            </w:pPr>
            <w:r>
              <w:t xml:space="preserve">Код специальных указаний.</w:t>
            </w:r>
            <w:r/>
          </w:p>
        </w:tc>
      </w:tr>
      <w:tr>
        <w:trPr/>
        <w:tc>
          <w:tcPr>
            <w:gridSpan w:val="2"/>
            <w:shd w:val="clear" w:fill="auto" w:color="auto"/>
            <w:tcW w:w="5000" w:type="pct"/>
            <w:textDirection w:val="lrTb"/>
            <w:noWrap w:val="false"/>
          </w:tcPr>
          <w:p>
            <w:pPr>
              <w:pStyle w:val="1005"/>
              <w:ind w:left="57" w:right="57"/>
            </w:pPr>
            <w:r>
              <w:t xml:space="preserve">Закладка «Документ (1)</w:t>
            </w:r>
            <w:r>
              <w:t xml:space="preserve">», </w:t>
            </w:r>
            <w:r>
              <w:t xml:space="preserve">в</w:t>
            </w:r>
            <w:r>
              <w:t xml:space="preserve">кладк</w:t>
            </w:r>
            <w:r>
              <w:t xml:space="preserve">а</w:t>
            </w:r>
            <w:r>
              <w:t xml:space="preserve"> «</w:t>
            </w:r>
            <w:r>
              <w:t xml:space="preserve">Расходные расписания (3)»</w:t>
            </w:r>
            <w:r>
              <w:t xml:space="preserve">, т</w:t>
            </w:r>
            <w:r>
              <w:t xml:space="preserve">абличное поле</w:t>
            </w:r>
            <w:r/>
          </w:p>
        </w:tc>
      </w:tr>
      <w:tr>
        <w:trPr/>
        <w:tc>
          <w:tcPr>
            <w:shd w:val="clear" w:fill="auto" w:color="auto"/>
            <w:tcW w:w="1260" w:type="pct"/>
            <w:textDirection w:val="lrTb"/>
            <w:noWrap w:val="false"/>
          </w:tcPr>
          <w:p>
            <w:pPr>
              <w:pStyle w:val="1005"/>
              <w:ind w:left="57" w:right="57"/>
            </w:pPr>
            <w:r>
              <w:t xml:space="preserve">Номер</w:t>
            </w:r>
            <w:r/>
          </w:p>
        </w:tc>
        <w:tc>
          <w:tcPr>
            <w:shd w:val="clear" w:fill="auto" w:color="auto"/>
            <w:tcW w:w="3740" w:type="pct"/>
            <w:textDirection w:val="lrTb"/>
            <w:noWrap w:val="false"/>
          </w:tcPr>
          <w:p>
            <w:pPr>
              <w:pStyle w:val="1005"/>
              <w:ind w:left="57" w:right="57"/>
            </w:pPr>
            <w:r>
              <w:t xml:space="preserve">Номер расходного расписания.</w:t>
            </w:r>
            <w:r/>
          </w:p>
          <w:p>
            <w:pPr>
              <w:pStyle w:val="1005"/>
              <w:ind w:left="57" w:right="57"/>
            </w:pPr>
            <w:r>
              <w:t xml:space="preserve">Заполняется вручную.</w:t>
            </w:r>
            <w:r/>
          </w:p>
        </w:tc>
      </w:tr>
      <w:tr>
        <w:trPr/>
        <w:tc>
          <w:tcPr>
            <w:shd w:val="clear" w:fill="auto" w:color="auto"/>
            <w:tcW w:w="1260" w:type="pct"/>
            <w:textDirection w:val="lrTb"/>
            <w:noWrap w:val="false"/>
          </w:tcPr>
          <w:p>
            <w:pPr>
              <w:pStyle w:val="1005"/>
              <w:ind w:left="57" w:right="57"/>
            </w:pPr>
            <w:r>
              <w:t xml:space="preserve">Дата в/д</w:t>
            </w:r>
            <w:r/>
          </w:p>
        </w:tc>
        <w:tc>
          <w:tcPr>
            <w:shd w:val="clear" w:fill="auto" w:color="auto"/>
            <w:tcW w:w="3740" w:type="pct"/>
            <w:textDirection w:val="lrTb"/>
            <w:noWrap w:val="false"/>
          </w:tcPr>
          <w:p>
            <w:pPr>
              <w:pStyle w:val="1005"/>
              <w:ind w:left="57" w:right="57"/>
            </w:pPr>
            <w:r>
              <w:t xml:space="preserve">Дата ввода в действие расходного расписания.</w:t>
            </w:r>
            <w:r/>
          </w:p>
          <w:p>
            <w:pPr>
              <w:pStyle w:val="1005"/>
              <w:ind w:left="57" w:right="57"/>
            </w:pPr>
            <w:r>
              <w:t xml:space="preserve">Вводится вручную или выбирается из системного календаря</w:t>
            </w:r>
            <w:r>
              <w:t xml:space="preserve">.</w:t>
            </w:r>
            <w:r/>
          </w:p>
        </w:tc>
      </w:tr>
      <w:tr>
        <w:trPr/>
        <w:tc>
          <w:tcPr>
            <w:shd w:val="clear" w:fill="auto" w:color="auto"/>
            <w:tcW w:w="1260" w:type="pct"/>
            <w:textDirection w:val="lrTb"/>
            <w:noWrap w:val="false"/>
          </w:tcPr>
          <w:p>
            <w:pPr>
              <w:pStyle w:val="1005"/>
              <w:ind w:left="57" w:right="57"/>
            </w:pPr>
            <w:r>
              <w:t xml:space="preserve">Кому: по Сводному реес</w:t>
            </w:r>
            <w:r>
              <w:t xml:space="preserve">т</w:t>
            </w:r>
            <w:r>
              <w:t xml:space="preserve">ру</w:t>
            </w:r>
            <w:r/>
          </w:p>
        </w:tc>
        <w:tc>
          <w:tcPr>
            <w:shd w:val="clear" w:fill="auto" w:color="auto"/>
            <w:tcW w:w="3740" w:type="pct"/>
            <w:textDirection w:val="lrTb"/>
            <w:noWrap w:val="false"/>
          </w:tcPr>
          <w:p>
            <w:pPr>
              <w:pStyle w:val="1005"/>
              <w:ind w:left="57" w:right="57"/>
            </w:pPr>
            <w:r>
              <w:t xml:space="preserve">Код БУ-получателя в соответствии с СРРПБС.</w:t>
            </w:r>
            <w:r/>
          </w:p>
          <w:p>
            <w:pPr>
              <w:pStyle w:val="1005"/>
              <w:ind w:left="57" w:right="57"/>
            </w:pPr>
            <w:r>
              <w:t xml:space="preserve">Для АРМ: </w:t>
            </w:r>
            <w:r/>
          </w:p>
          <w:p>
            <w:pPr>
              <w:pStyle w:val="1008"/>
              <w:numPr>
                <w:ilvl w:val="0"/>
                <w:numId w:val="25"/>
              </w:numPr>
            </w:pPr>
            <w:r>
              <w:t xml:space="preserve">Выбирается из справочника «СРРПБС»/</w:t>
            </w:r>
            <w:r>
              <w:t xml:space="preserve">«</w:t>
            </w:r>
            <w:r>
              <w:t xml:space="preserve">СР</w:t>
            </w:r>
            <w:r>
              <w:t xml:space="preserve">»</w:t>
            </w:r>
            <w:r>
              <w:t xml:space="preserve"> (доступность кнопок определяется значением поля «Переход н</w:t>
            </w:r>
            <w:r>
              <w:t xml:space="preserve">а СР» и параметром «Дата завершения перехода на СР»), ограниченного кодом бюджета (атрибут «Бюджет») у которого код вышестоящего равен атрибуту «РБС/ТОАИФ». При пустом значении поля выбор из справочника ограничен только бюджетом. Может быть изменен вручную</w:t>
            </w:r>
            <w:r>
              <w:t xml:space="preserve">.</w:t>
            </w:r>
            <w:r/>
          </w:p>
          <w:p>
            <w:pPr>
              <w:pStyle w:val="1008"/>
            </w:pPr>
            <w:r>
              <w:t xml:space="preserve">Заполняется из соответствующего поля таблицы «Получатели» ЭД «Распределение бюджетных данных» (не для АРМ Офлайн-клиент ФК). Для бюджета, отличного от ФБ – не заполняется.</w:t>
            </w:r>
            <w:r/>
          </w:p>
        </w:tc>
      </w:tr>
      <w:tr>
        <w:trPr/>
        <w:tc>
          <w:tcPr>
            <w:shd w:val="clear" w:fill="auto" w:color="auto"/>
            <w:tcW w:w="1260" w:type="pct"/>
            <w:textDirection w:val="lrTb"/>
            <w:noWrap w:val="false"/>
          </w:tcPr>
          <w:p>
            <w:pPr>
              <w:pStyle w:val="1005"/>
              <w:ind w:left="57" w:right="57"/>
            </w:pPr>
            <w:r>
              <w:t xml:space="preserve">Кому: наименование пол</w:t>
            </w:r>
            <w:r>
              <w:t xml:space="preserve">у</w:t>
            </w:r>
            <w:r>
              <w:t xml:space="preserve">чателя</w:t>
            </w:r>
            <w:r/>
          </w:p>
        </w:tc>
        <w:tc>
          <w:tcPr>
            <w:shd w:val="clear" w:fill="auto" w:color="auto"/>
            <w:tcW w:w="3740" w:type="pct"/>
            <w:textDirection w:val="lrTb"/>
            <w:noWrap w:val="false"/>
          </w:tcPr>
          <w:p>
            <w:pPr>
              <w:pStyle w:val="1005"/>
              <w:ind w:left="57" w:right="57"/>
            </w:pPr>
            <w:r>
              <w:t xml:space="preserve">Наименование БУ-получателя в соответствии с СРРПБС.</w:t>
            </w:r>
            <w:r/>
          </w:p>
          <w:p>
            <w:pPr>
              <w:pStyle w:val="1005"/>
              <w:ind w:left="57" w:right="57"/>
            </w:pPr>
            <w:r>
              <w:t xml:space="preserve">Для Федерального бюджета:</w:t>
            </w:r>
            <w:r>
              <w:t xml:space="preserve"> </w:t>
            </w:r>
            <w:r>
              <w:t xml:space="preserve">Для АРМ:</w:t>
            </w:r>
            <w:r>
              <w:t xml:space="preserve"> </w:t>
            </w:r>
            <w:r/>
          </w:p>
          <w:p>
            <w:pPr>
              <w:pStyle w:val="1008"/>
              <w:numPr>
                <w:ilvl w:val="0"/>
                <w:numId w:val="26"/>
              </w:numPr>
            </w:pPr>
            <w:r>
              <w:t xml:space="preserve">Заполняется автоматически на основании поля «Кому (По Сводному реестру)» из справочника </w:t>
            </w:r>
            <w:r>
              <w:t xml:space="preserve">«СРРПБС»/</w:t>
            </w:r>
            <w:r>
              <w:t xml:space="preserve">«</w:t>
            </w:r>
            <w:r>
              <w:t xml:space="preserve">СР</w:t>
            </w:r>
            <w:r>
              <w:t xml:space="preserve">»</w:t>
            </w:r>
            <w:r>
              <w:t xml:space="preserve"> </w:t>
            </w:r>
            <w:r>
              <w:t xml:space="preserve">или</w:t>
            </w:r>
            <w:r>
              <w:t xml:space="preserve"> </w:t>
            </w:r>
            <w:r>
              <w:t xml:space="preserve">вручную.</w:t>
            </w:r>
            <w:r/>
          </w:p>
          <w:p>
            <w:pPr>
              <w:pStyle w:val="1008"/>
            </w:pPr>
            <w:r>
              <w:t xml:space="preserve">Заполняется из соответствующего поля таблицы «Получатели» ЭД «Распределение бюджетных данных» (не для АРМ Офлайн-клиент ФК)</w:t>
            </w:r>
            <w:r/>
          </w:p>
          <w:p>
            <w:pPr>
              <w:pStyle w:val="1005"/>
              <w:ind w:left="57" w:right="57"/>
            </w:pPr>
            <w:r>
              <w:t xml:space="preserve">Для прочих бюджетов:</w:t>
            </w:r>
            <w:r/>
          </w:p>
          <w:p>
            <w:pPr>
              <w:pStyle w:val="1008"/>
              <w:numPr>
                <w:ilvl w:val="0"/>
                <w:numId w:val="27"/>
              </w:numPr>
            </w:pPr>
            <w:r>
              <w:t xml:space="preserve">Значение может быть выбрано из </w:t>
            </w:r>
            <w:r>
              <w:t xml:space="preserve">справочника «ПУБП»/</w:t>
            </w:r>
            <w:r>
              <w:t xml:space="preserve">«</w:t>
            </w:r>
            <w:r>
              <w:t xml:space="preserve">СР</w:t>
            </w:r>
            <w:r>
              <w:t xml:space="preserve">»</w:t>
            </w:r>
            <w:r>
              <w:t xml:space="preserve"> (с фильтром по коду бюджета &lt;&gt; 99010001) </w:t>
            </w:r>
            <w:r>
              <w:t xml:space="preserve">(без заполнения поля по Сводному реестру).</w:t>
            </w:r>
            <w:r/>
          </w:p>
          <w:p>
            <w:pPr>
              <w:pStyle w:val="1008"/>
            </w:pPr>
            <w:r>
              <w:t xml:space="preserve">Заполняется из соответствующего поля таблицы «Получатели» ЭД «Распределение бюджетных данных» (не для АРМ Офлайн-клиент ФК).</w:t>
            </w:r>
            <w:r/>
          </w:p>
        </w:tc>
      </w:tr>
      <w:tr>
        <w:trPr/>
        <w:tc>
          <w:tcPr>
            <w:shd w:val="clear" w:fill="auto" w:color="auto"/>
            <w:tcW w:w="1260" w:type="pct"/>
            <w:textDirection w:val="lrTb"/>
            <w:noWrap w:val="false"/>
          </w:tcPr>
          <w:p>
            <w:pPr>
              <w:pStyle w:val="1005"/>
              <w:ind w:left="57" w:right="57"/>
            </w:pPr>
            <w:r>
              <w:t xml:space="preserve">Кому: номер ЛС</w:t>
            </w:r>
            <w:r/>
          </w:p>
        </w:tc>
        <w:tc>
          <w:tcPr>
            <w:shd w:val="clear" w:fill="auto" w:color="auto"/>
            <w:tcW w:w="3740" w:type="pct"/>
            <w:textDirection w:val="lrTb"/>
            <w:noWrap w:val="false"/>
          </w:tcPr>
          <w:p>
            <w:pPr>
              <w:pStyle w:val="1005"/>
              <w:ind w:left="57" w:right="57"/>
            </w:pPr>
            <w:r>
              <w:t xml:space="preserve">Номер лицевого счета БУ-получателя (ПБС (АИФ)).</w:t>
            </w:r>
            <w:r/>
          </w:p>
          <w:p>
            <w:pPr>
              <w:pStyle w:val="1005"/>
              <w:ind w:left="57" w:right="57"/>
            </w:pPr>
            <w:r>
              <w:t xml:space="preserve">Для АРМ: Выбирается из справочника «Информация о лицевых счетах». Список ограничен значениями поля «по Сводному реестру (Кому). При отсутствии значения </w:t>
            </w:r>
            <w:r>
              <w:t xml:space="preserve">–</w:t>
            </w:r>
            <w:r>
              <w:t xml:space="preserve"> выбор из справочника не ограничен.</w:t>
            </w:r>
            <w:r>
              <w:t xml:space="preserve"> </w:t>
            </w:r>
            <w:r>
              <w:t xml:space="preserve">Может быть изменено вручную.</w:t>
            </w:r>
            <w:r/>
          </w:p>
        </w:tc>
      </w:tr>
      <w:tr>
        <w:trPr/>
        <w:tc>
          <w:tcPr>
            <w:shd w:val="clear" w:fill="auto" w:color="auto"/>
            <w:tcW w:w="1260" w:type="pct"/>
            <w:textDirection w:val="lrTb"/>
            <w:noWrap w:val="false"/>
          </w:tcPr>
          <w:p>
            <w:pPr>
              <w:pStyle w:val="1005"/>
              <w:ind w:left="57" w:right="57"/>
            </w:pPr>
            <w:r>
              <w:t xml:space="preserve">Ответственный исполн</w:t>
            </w:r>
            <w:r>
              <w:t xml:space="preserve">и</w:t>
            </w:r>
            <w:r>
              <w:t xml:space="preserve">тель: дол</w:t>
            </w:r>
            <w:r>
              <w:t xml:space="preserve">ж</w:t>
            </w:r>
            <w:r>
              <w:t xml:space="preserve">ность</w:t>
            </w:r>
            <w:r/>
          </w:p>
        </w:tc>
        <w:tc>
          <w:tcPr>
            <w:shd w:val="clear" w:fill="auto" w:color="auto"/>
            <w:tcW w:w="3740" w:type="pct"/>
            <w:textDirection w:val="lrTb"/>
            <w:noWrap w:val="false"/>
          </w:tcPr>
          <w:p>
            <w:pPr>
              <w:pStyle w:val="1005"/>
              <w:ind w:left="57" w:right="57"/>
            </w:pPr>
            <w:r>
              <w:t xml:space="preserve">Наименование должности ответственного исполнителя.</w:t>
            </w:r>
            <w:r/>
          </w:p>
          <w:p>
            <w:pPr>
              <w:pStyle w:val="1005"/>
              <w:ind w:left="57" w:right="57"/>
            </w:pPr>
            <w:r>
              <w:t xml:space="preserve">Выбирается из списка сотрудников, либо вводится вручную.</w:t>
            </w:r>
            <w:r/>
          </w:p>
        </w:tc>
      </w:tr>
      <w:tr>
        <w:trPr/>
        <w:tc>
          <w:tcPr>
            <w:shd w:val="clear" w:fill="auto" w:color="auto"/>
            <w:tcW w:w="1260" w:type="pct"/>
            <w:textDirection w:val="lrTb"/>
            <w:noWrap w:val="false"/>
          </w:tcPr>
          <w:p>
            <w:pPr>
              <w:pStyle w:val="1005"/>
              <w:ind w:left="57" w:right="57"/>
            </w:pPr>
            <w:r>
              <w:t xml:space="preserve">Ответственный исполн</w:t>
            </w:r>
            <w:r>
              <w:t xml:space="preserve">и</w:t>
            </w:r>
            <w:r>
              <w:t xml:space="preserve">тель: расшифровка подп</w:t>
            </w:r>
            <w:r>
              <w:t xml:space="preserve">и</w:t>
            </w:r>
            <w:r>
              <w:t xml:space="preserve">си</w:t>
            </w:r>
            <w:r/>
          </w:p>
        </w:tc>
        <w:tc>
          <w:tcPr>
            <w:shd w:val="clear" w:fill="auto" w:color="auto"/>
            <w:tcW w:w="3740" w:type="pct"/>
            <w:textDirection w:val="lrTb"/>
            <w:noWrap w:val="false"/>
          </w:tcPr>
          <w:p>
            <w:pPr>
              <w:pStyle w:val="1005"/>
              <w:ind w:left="57" w:right="57"/>
            </w:pPr>
            <w:r>
              <w:t xml:space="preserve">ФИО ответственного исполнителя.</w:t>
            </w:r>
            <w:r/>
          </w:p>
          <w:p>
            <w:pPr>
              <w:pStyle w:val="1005"/>
              <w:ind w:left="57" w:right="57"/>
            </w:pPr>
            <w:r>
              <w:t xml:space="preserve">Выбирается из списка сотрудников, либо вводится вручную.</w:t>
            </w:r>
            <w:r/>
          </w:p>
        </w:tc>
      </w:tr>
      <w:tr>
        <w:trPr/>
        <w:tc>
          <w:tcPr>
            <w:shd w:val="clear" w:fill="auto" w:color="auto"/>
            <w:tcW w:w="1260" w:type="pct"/>
            <w:textDirection w:val="lrTb"/>
            <w:noWrap w:val="false"/>
          </w:tcPr>
          <w:p>
            <w:pPr>
              <w:pStyle w:val="1005"/>
              <w:ind w:left="57" w:right="57"/>
            </w:pPr>
            <w:r>
              <w:t xml:space="preserve">Ответственный исполн</w:t>
            </w:r>
            <w:r>
              <w:t xml:space="preserve">и</w:t>
            </w:r>
            <w:r>
              <w:t xml:space="preserve">тель: Дата подписи</w:t>
            </w:r>
            <w:r/>
          </w:p>
        </w:tc>
        <w:tc>
          <w:tcPr>
            <w:shd w:val="clear" w:fill="auto" w:color="auto"/>
            <w:tcW w:w="3740" w:type="pct"/>
            <w:textDirection w:val="lrTb"/>
            <w:noWrap w:val="false"/>
          </w:tcPr>
          <w:p>
            <w:pPr>
              <w:pStyle w:val="1005"/>
              <w:ind w:left="57" w:right="57"/>
            </w:pPr>
            <w:r>
              <w:t xml:space="preserve">Дата подписи ответственного исполнителя.</w:t>
            </w:r>
            <w:r/>
          </w:p>
          <w:p>
            <w:pPr>
              <w:pStyle w:val="1005"/>
              <w:ind w:left="57" w:right="57"/>
            </w:pPr>
            <w:r>
              <w:t xml:space="preserve">Значение вводится вручную, либо выбирается из системного календаря</w:t>
            </w:r>
            <w:r>
              <w:t xml:space="preserve">.</w:t>
            </w:r>
            <w:r/>
          </w:p>
        </w:tc>
      </w:tr>
      <w:tr>
        <w:trPr/>
        <w:tc>
          <w:tcPr>
            <w:shd w:val="clear" w:fill="auto" w:color="auto"/>
            <w:tcW w:w="1260" w:type="pct"/>
            <w:textDirection w:val="lrTb"/>
            <w:noWrap w:val="false"/>
          </w:tcPr>
          <w:p>
            <w:pPr>
              <w:pStyle w:val="1005"/>
              <w:ind w:left="57" w:right="57"/>
            </w:pPr>
            <w:r>
              <w:t xml:space="preserve">Ответственный исполн</w:t>
            </w:r>
            <w:r>
              <w:t xml:space="preserve">и</w:t>
            </w:r>
            <w:r>
              <w:t xml:space="preserve">тель: Тел</w:t>
            </w:r>
            <w:r>
              <w:t xml:space="preserve">е</w:t>
            </w:r>
            <w:r>
              <w:t xml:space="preserve">фон</w:t>
            </w:r>
            <w:r/>
          </w:p>
        </w:tc>
        <w:tc>
          <w:tcPr>
            <w:shd w:val="clear" w:fill="auto" w:color="auto"/>
            <w:tcW w:w="3740" w:type="pct"/>
            <w:textDirection w:val="lrTb"/>
            <w:noWrap w:val="false"/>
          </w:tcPr>
          <w:p>
            <w:pPr>
              <w:pStyle w:val="1005"/>
              <w:ind w:left="57" w:right="57"/>
            </w:pPr>
            <w:r>
              <w:t xml:space="preserve">Номер телефона ответственного исполнителя.</w:t>
            </w:r>
            <w:r/>
          </w:p>
          <w:p>
            <w:pPr>
              <w:pStyle w:val="1005"/>
              <w:ind w:left="57" w:right="57"/>
            </w:pPr>
            <w:r>
              <w:t xml:space="preserve">Выбирается из списка сотрудников, либо вводится вручную.</w:t>
            </w:r>
            <w:r/>
          </w:p>
        </w:tc>
      </w:tr>
      <w:tr>
        <w:trPr/>
        <w:tc>
          <w:tcPr>
            <w:shd w:val="clear" w:fill="auto" w:color="auto"/>
            <w:tcW w:w="1260" w:type="pct"/>
            <w:textDirection w:val="lrTb"/>
            <w:noWrap w:val="false"/>
          </w:tcPr>
          <w:p>
            <w:pPr>
              <w:pStyle w:val="1005"/>
              <w:ind w:left="57" w:right="57"/>
            </w:pPr>
            <w:r>
              <w:t xml:space="preserve">П</w:t>
            </w:r>
            <w:r>
              <w:t xml:space="preserve">о КОФК</w:t>
            </w:r>
            <w:r/>
          </w:p>
        </w:tc>
        <w:tc>
          <w:tcPr>
            <w:shd w:val="clear" w:fill="auto" w:color="auto"/>
            <w:tcW w:w="3740" w:type="pct"/>
            <w:textDirection w:val="lrTb"/>
            <w:noWrap w:val="false"/>
          </w:tcPr>
          <w:p>
            <w:pPr>
              <w:pStyle w:val="1005"/>
              <w:ind w:left="57" w:right="57"/>
            </w:pPr>
            <w:r>
              <w:t xml:space="preserve">Код ТОФК-получателя.</w:t>
            </w:r>
            <w:r/>
          </w:p>
          <w:p>
            <w:pPr>
              <w:pStyle w:val="1005"/>
              <w:ind w:left="57" w:right="57"/>
            </w:pPr>
            <w:r>
              <w:t xml:space="preserve">Для АРМ: Заполняется автоматически на основании ЛС получателя Кодом органа ФК, в котором открыт указанный «Лицевой счет» получателя (из справочника «Информация о лицевых счетах»). </w:t>
            </w:r>
            <w:r/>
          </w:p>
        </w:tc>
      </w:tr>
      <w:tr>
        <w:trPr/>
        <w:tc>
          <w:tcPr>
            <w:shd w:val="clear" w:fill="auto" w:color="auto"/>
            <w:tcW w:w="1260" w:type="pct"/>
            <w:textDirection w:val="lrTb"/>
            <w:noWrap w:val="false"/>
          </w:tcPr>
          <w:p>
            <w:pPr>
              <w:pStyle w:val="1005"/>
              <w:ind w:left="57" w:right="57"/>
            </w:pPr>
            <w:r>
              <w:t xml:space="preserve">Спец. </w:t>
            </w:r>
            <w:r>
              <w:t xml:space="preserve">У</w:t>
            </w:r>
            <w:r>
              <w:t xml:space="preserve">казания (Код)</w:t>
            </w:r>
            <w:r/>
          </w:p>
        </w:tc>
        <w:tc>
          <w:tcPr>
            <w:shd w:val="clear" w:fill="auto" w:color="auto"/>
            <w:tcW w:w="3740" w:type="pct"/>
            <w:textDirection w:val="lrTb"/>
            <w:noWrap w:val="false"/>
          </w:tcPr>
          <w:p>
            <w:pPr>
              <w:pStyle w:val="1005"/>
              <w:ind w:left="57" w:right="57"/>
            </w:pPr>
            <w:r>
              <w:t xml:space="preserve">Код специальных указаний.</w:t>
            </w:r>
            <w:r/>
          </w:p>
          <w:p>
            <w:pPr>
              <w:pStyle w:val="1005"/>
              <w:ind w:left="57" w:right="57"/>
            </w:pPr>
            <w:r>
              <w:t xml:space="preserve">Выбор из списка значений справочника «Виды специальных указаний». Может быть заполнено вручную.</w:t>
            </w:r>
            <w:r/>
          </w:p>
        </w:tc>
      </w:tr>
    </w:tbl>
    <w:p>
      <w:pPr>
        <w:pStyle w:val="994"/>
      </w:pPr>
      <w:r>
        <w:t xml:space="preserve">На закла</w:t>
      </w:r>
      <w:r>
        <w:t xml:space="preserve">дке «Расходные расписания» (см.</w:t>
      </w:r>
      <w:r>
        <w:t xml:space="preserve"> </w:t>
      </w:r>
      <w:r>
        <w:t xml:space="preserve">рис. </w:t>
      </w:r>
      <w:r>
        <w:fldChar w:fldCharType="begin"/>
      </w:r>
      <w:r>
        <w:instrText xml:space="preserve"> REF _Ref205178422 \h  \* MERGEFORMAT </w:instrText>
      </w:r>
      <w:r>
        <w:fldChar w:fldCharType="separate"/>
      </w:r>
      <w:r>
        <w:t xml:space="preserve">184</w:t>
      </w:r>
      <w:r>
        <w:fldChar w:fldCharType="end"/>
      </w:r>
      <w:r>
        <w:t xml:space="preserve">), вложенной в закладку «Документ (1)», содержатся строки таблицы с данными расходных расписаний, включенных в данный реестр. Поля таблицы </w:t>
      </w:r>
      <w:r>
        <w:t xml:space="preserve">приведен в таблице</w:t>
      </w:r>
      <w:r>
        <w:t xml:space="preserve"> </w:t>
      </w:r>
      <w:r>
        <w:fldChar w:fldCharType="begin"/>
      </w:r>
      <w:r>
        <w:instrText xml:space="preserve"> REF _Ref317676051 \h  \* MERGEFORMAT </w:instrText>
      </w:r>
      <w:r>
        <w:fldChar w:fldCharType="separate"/>
      </w:r>
      <w:r>
        <w:t xml:space="preserve">98</w:t>
      </w:r>
      <w:r>
        <w:fldChar w:fldCharType="end"/>
      </w:r>
      <w:r>
        <w:t xml:space="preserve">.</w:t>
      </w:r>
      <w:r/>
    </w:p>
    <w:p>
      <w:pPr>
        <w:pStyle w:val="994"/>
      </w:pPr>
      <w:r>
        <w:t xml:space="preserve">Для добавления строки с данными расходных расписаний следует нажать на кнопку </w:t>
      </w:r>
      <w:r>
        <mc:AlternateContent>
          <mc:Choice Requires="wpg">
            <w:drawing>
              <wp:inline xmlns:wp="http://schemas.openxmlformats.org/drawingml/2006/wordprocessingDrawing" distT="0" distB="0" distL="0" distR="0">
                <wp:extent cx="182880" cy="182880"/>
                <wp:effectExtent l="0" t="0" r="0" b="0"/>
                <wp:docPr id="28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0" o:spid="_x0000_s280" type="#_x0000_t75" style="mso-wrap-distance-left:0.0pt;mso-wrap-distance-top:0.0pt;mso-wrap-distance-right:0.0pt;mso-wrap-distance-bottom:0.0pt;width:14.4pt;height:14.4pt;" stroked="f">
                <v:path textboxrect="0,0,0,0"/>
                <v:imagedata r:id="rId80" o:title=""/>
              </v:shape>
            </w:pict>
          </mc:Fallback>
        </mc:AlternateContent>
      </w:r>
      <w:r>
        <w:t xml:space="preserve"> </w:t>
      </w:r>
      <w:r>
        <w:t xml:space="preserve">(</w:t>
      </w:r>
      <w:r>
        <w:t xml:space="preserve">Добавить новую строку</w:t>
      </w:r>
      <w:r>
        <w:t xml:space="preserve">)</w:t>
      </w:r>
      <w:r>
        <w:t xml:space="preserve">. Открое</w:t>
      </w:r>
      <w:r>
        <w:t xml:space="preserve">тся форма «Добавление записи»</w:t>
      </w:r>
      <w:r>
        <w:t xml:space="preserve"> (рис. </w:t>
      </w:r>
      <w:r>
        <w:fldChar w:fldCharType="begin"/>
      </w:r>
      <w:r>
        <w:instrText xml:space="preserve"> REF _Ref205636199 \h  \* MERGEFORMAT </w:instrText>
      </w:r>
      <w:r>
        <w:fldChar w:fldCharType="separate"/>
      </w:r>
      <w:r>
        <w:t xml:space="preserve">185</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2926080"/>
                <wp:effectExtent l="0" t="0" r="0" b="0"/>
                <wp:docPr id="28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55"/>
                        <a:stretch/>
                      </pic:blipFill>
                      <pic:spPr bwMode="auto">
                        <a:xfrm>
                          <a:off x="0" y="0"/>
                          <a:ext cx="6035039" cy="29260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1" o:spid="_x0000_s281" type="#_x0000_t75" style="mso-wrap-distance-left:0.0pt;mso-wrap-distance-top:0.0pt;mso-wrap-distance-right:0.0pt;mso-wrap-distance-bottom:0.0pt;width:475.2pt;height:230.4pt;" stroked="f">
                <v:path textboxrect="0,0,0,0"/>
                <v:imagedata r:id="rId255" o:title=""/>
              </v:shape>
            </w:pict>
          </mc:Fallback>
        </mc:AlternateContent>
      </w:r>
      <w:r/>
    </w:p>
    <w:p>
      <w:pPr>
        <w:pStyle w:val="983"/>
      </w:pPr>
      <w:r>
        <w:fldChar w:fldCharType="begin"/>
      </w:r>
      <w:r>
        <w:instrText xml:space="preserve"> SEQ Рисунок \* ARABIC </w:instrText>
      </w:r>
      <w:r>
        <w:fldChar w:fldCharType="separate"/>
      </w:r>
      <w:bookmarkStart w:id="1372" w:name="_Ref205636199"/>
      <w:r/>
      <w:bookmarkStart w:id="1373" w:name="_Toc88819570"/>
      <w:r>
        <w:t xml:space="preserve">185</w:t>
      </w:r>
      <w:bookmarkEnd w:id="1372"/>
      <w:r>
        <w:fldChar w:fldCharType="end"/>
      </w:r>
      <w:r>
        <w:t xml:space="preserve">. </w:t>
      </w:r>
      <w:r>
        <w:t xml:space="preserve">Форма «Добавление записи»</w:t>
      </w:r>
      <w:r>
        <w:t xml:space="preserve"> (строка данных о расходном расписании)</w:t>
      </w:r>
      <w:bookmarkEnd w:id="1373"/>
      <w:r/>
      <w:r/>
    </w:p>
    <w:p>
      <w:pPr>
        <w:pStyle w:val="994"/>
      </w:pPr>
      <w:r>
        <w:t xml:space="preserve">На форме «Добавление записи» заполняются следующие поля:</w:t>
      </w:r>
      <w:r/>
    </w:p>
    <w:p>
      <w:pPr>
        <w:pStyle w:val="985"/>
      </w:pPr>
      <w:r>
        <w:t xml:space="preserve">«</w:t>
      </w:r>
      <w:r>
        <w:t xml:space="preserve">Номер» – номер расходного расписания;</w:t>
      </w:r>
      <w:r/>
    </w:p>
    <w:p>
      <w:pPr>
        <w:pStyle w:val="985"/>
      </w:pPr>
      <w:r>
        <w:t xml:space="preserve">«</w:t>
      </w:r>
      <w:r>
        <w:t xml:space="preserve">Дата в/д» – дата ввода в действие расходного расписания;</w:t>
      </w:r>
      <w:r/>
    </w:p>
    <w:p>
      <w:pPr>
        <w:pStyle w:val="985"/>
      </w:pPr>
      <w:r>
        <w:t xml:space="preserve">«</w:t>
      </w:r>
      <w:r>
        <w:t xml:space="preserve">Кому: Наименование получателя» – наименование по СРРПБС БУ-получателя расходного расписания;</w:t>
      </w:r>
      <w:r/>
    </w:p>
    <w:p>
      <w:pPr>
        <w:pStyle w:val="985"/>
      </w:pPr>
      <w:r>
        <w:t xml:space="preserve">«</w:t>
      </w:r>
      <w:r>
        <w:t xml:space="preserve">Кому: по Сводному реестру» – код по СРРПБС БУ-получателя расходного расписания; при вводе значение поля ограничено 5 символами;</w:t>
      </w:r>
      <w:r/>
    </w:p>
    <w:p>
      <w:pPr>
        <w:pStyle w:val="985"/>
      </w:pPr>
      <w:r>
        <w:t xml:space="preserve">«</w:t>
      </w:r>
      <w:r>
        <w:t xml:space="preserve">Кому: Номер ЛС» – номер лицевого счета БУ-получателя; при вводе значение поля ограничено 11 символами;</w:t>
      </w:r>
      <w:r/>
    </w:p>
    <w:p>
      <w:pPr>
        <w:pStyle w:val="985"/>
      </w:pPr>
      <w:r>
        <w:t xml:space="preserve">«</w:t>
      </w:r>
      <w:r>
        <w:t xml:space="preserve">Куда (ФК)» – наименование ТОФК-получателя;</w:t>
      </w:r>
      <w:r/>
    </w:p>
    <w:p>
      <w:pPr>
        <w:pStyle w:val="985"/>
      </w:pPr>
      <w:r>
        <w:t xml:space="preserve">«</w:t>
      </w:r>
      <w:r>
        <w:t xml:space="preserve">по КОФК» – код ТОФК-получателя; при вводе значение поля ограничено 4 символами;</w:t>
      </w:r>
      <w:r/>
    </w:p>
    <w:p>
      <w:pPr>
        <w:pStyle w:val="985"/>
      </w:pPr>
      <w:r>
        <w:t xml:space="preserve">«</w:t>
      </w:r>
      <w:r>
        <w:t xml:space="preserve">Специальные указания» – код и наименование вида специальных указаний;</w:t>
      </w:r>
      <w:r/>
    </w:p>
    <w:p>
      <w:pPr>
        <w:pStyle w:val="985"/>
      </w:pPr>
      <w:r>
        <w:t xml:space="preserve">«</w:t>
      </w:r>
      <w:r>
        <w:t xml:space="preserve">Ответственный исполнитель. Должность» – наименование должности исполнителя;</w:t>
      </w:r>
      <w:r/>
    </w:p>
    <w:p>
      <w:pPr>
        <w:pStyle w:val="985"/>
      </w:pPr>
      <w:r>
        <w:t xml:space="preserve">«</w:t>
      </w:r>
      <w:r>
        <w:t xml:space="preserve">Ответственный исполнитель. Расшифровка подписи» – ФИО исполнителя;</w:t>
      </w:r>
      <w:r/>
    </w:p>
    <w:p>
      <w:pPr>
        <w:pStyle w:val="985"/>
      </w:pPr>
      <w:r>
        <w:t xml:space="preserve">«</w:t>
      </w:r>
      <w:r>
        <w:t xml:space="preserve">Ответственный исполнитель. Дата подписи» – дата подписи исполнителя;</w:t>
      </w:r>
      <w:r/>
    </w:p>
    <w:p>
      <w:pPr>
        <w:pStyle w:val="985"/>
      </w:pPr>
      <w:r>
        <w:t xml:space="preserve">«</w:t>
      </w:r>
      <w:r>
        <w:t xml:space="preserve">Ответственный исполнитель. Телефон» – номер телефона исполнителя.</w:t>
      </w:r>
      <w:r/>
    </w:p>
    <w:p>
      <w:pPr>
        <w:pStyle w:val="994"/>
      </w:pPr>
      <w:r>
        <w:t xml:space="preserve">Нажать на </w:t>
      </w:r>
      <w:r>
        <w:t xml:space="preserve">кнопку «Ok»</w:t>
      </w:r>
      <w:r>
        <w:t xml:space="preserve"> для добавления строки и выхода из формы. В таблице расходных расписаний появится добавленная строка.</w:t>
      </w:r>
      <w:r/>
    </w:p>
    <w:p>
      <w:pPr>
        <w:pStyle w:val="994"/>
      </w:pPr>
      <w:r>
        <w:t xml:space="preserve">ЭФ документа «Реестр расходных расписаний», закладки «Документ (1)», вкладки «Раздел I: БА (4)»</w:t>
      </w:r>
      <w:r>
        <w:t xml:space="preserve"> представлена на рисунке</w:t>
      </w:r>
      <w:r>
        <w:t xml:space="preserve"> </w:t>
      </w:r>
      <w:r>
        <w:fldChar w:fldCharType="begin"/>
      </w:r>
      <w:r>
        <w:instrText xml:space="preserve"> REF _Ref205636528 \h  \* MERGEFORMAT </w:instrText>
      </w:r>
      <w:r>
        <w:fldChar w:fldCharType="separate"/>
      </w:r>
      <w:r>
        <w:t xml:space="preserve">186</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011680"/>
                <wp:effectExtent l="0" t="0" r="0" b="0"/>
                <wp:docPr id="28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56"/>
                        <a:stretch/>
                      </pic:blipFill>
                      <pic:spPr bwMode="auto">
                        <a:xfrm>
                          <a:off x="0" y="0"/>
                          <a:ext cx="6126480" cy="20116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2" o:spid="_x0000_s282" type="#_x0000_t75" style="mso-wrap-distance-left:0.0pt;mso-wrap-distance-top:0.0pt;mso-wrap-distance-right:0.0pt;mso-wrap-distance-bottom:0.0pt;width:482.4pt;height:158.4pt;" stroked="f">
                <v:path textboxrect="0,0,0,0"/>
                <v:imagedata r:id="rId256" o:title=""/>
              </v:shape>
            </w:pict>
          </mc:Fallback>
        </mc:AlternateContent>
      </w:r>
      <w:r/>
    </w:p>
    <w:p>
      <w:pPr>
        <w:pStyle w:val="983"/>
      </w:pPr>
      <w:r/>
      <w:bookmarkStart w:id="1374" w:name="_Ref231718609"/>
      <w:r>
        <w:fldChar w:fldCharType="begin"/>
      </w:r>
      <w:r>
        <w:instrText xml:space="preserve"> SEQ Рисунок \* ARABIC </w:instrText>
      </w:r>
      <w:r>
        <w:fldChar w:fldCharType="separate"/>
      </w:r>
      <w:bookmarkStart w:id="1375" w:name="_Ref205636528"/>
      <w:r/>
      <w:bookmarkStart w:id="1376" w:name="_Toc88819571"/>
      <w:r>
        <w:t xml:space="preserve">186</w:t>
      </w:r>
      <w:bookmarkEnd w:id="1375"/>
      <w:r>
        <w:fldChar w:fldCharType="end"/>
      </w:r>
      <w:r>
        <w:t xml:space="preserve">. ЭФ документа «Реестр расходных расписаний</w:t>
      </w:r>
      <w:r>
        <w:t xml:space="preserve">», закладки «</w:t>
      </w:r>
      <w:r>
        <w:t xml:space="preserve">Документ (1)</w:t>
      </w:r>
      <w:r>
        <w:t xml:space="preserve">», </w:t>
      </w:r>
      <w:r>
        <w:t xml:space="preserve">в</w:t>
      </w:r>
      <w:r>
        <w:t xml:space="preserve">кладки «</w:t>
      </w:r>
      <w:r>
        <w:t xml:space="preserve">Раздел I: БА (4)»</w:t>
      </w:r>
      <w:bookmarkEnd w:id="1374"/>
      <w:r/>
      <w:bookmarkEnd w:id="1376"/>
      <w:r/>
      <w:r/>
    </w:p>
    <w:p>
      <w:pPr>
        <w:pStyle w:val="994"/>
      </w:pPr>
      <w:r>
        <w:t xml:space="preserve">На </w:t>
      </w:r>
      <w:r>
        <w:t xml:space="preserve">вкладке «Раздел I: БА (4)», вложенной в закладку «Документ (1)», в табличном блоке содержатся строки БА по Разделу I выбранного расходного расписания на </w:t>
      </w:r>
      <w:r>
        <w:t xml:space="preserve">в</w:t>
      </w:r>
      <w:r>
        <w:t xml:space="preserve">кладке «Расходные расписания (3)» </w:t>
      </w:r>
      <w:r>
        <w:t xml:space="preserve">и заголовочные поля (см.</w:t>
      </w:r>
      <w:r>
        <w:t xml:space="preserve"> </w:t>
      </w:r>
      <w:r>
        <w:t xml:space="preserve">табл.</w:t>
      </w:r>
      <w:r>
        <w:t xml:space="preserve"> </w:t>
      </w:r>
      <w:r>
        <w:fldChar w:fldCharType="begin"/>
      </w:r>
      <w:r>
        <w:instrText xml:space="preserve"> REF _Ref317676051 \h  \* MERGEFORMAT </w:instrText>
      </w:r>
      <w:r>
        <w:fldChar w:fldCharType="separate"/>
      </w:r>
      <w:r>
        <w:t xml:space="preserve">98</w:t>
      </w:r>
      <w:r>
        <w:fldChar w:fldCharType="end"/>
      </w:r>
      <w:r>
        <w:t xml:space="preserve">).</w:t>
      </w:r>
      <w:r/>
    </w:p>
    <w:p>
      <w:pPr>
        <w:pStyle w:val="994"/>
      </w:pPr>
      <w:r>
        <w:t xml:space="preserve">Перечень </w:t>
      </w:r>
      <w:r>
        <w:t xml:space="preserve">полей документа «Реестр расходных расписаний</w:t>
      </w:r>
      <w:r>
        <w:t xml:space="preserve">», закладки «</w:t>
      </w:r>
      <w:r>
        <w:t xml:space="preserve">Документ (1)</w:t>
      </w:r>
      <w:r>
        <w:t xml:space="preserve">», </w:t>
      </w:r>
      <w:r>
        <w:t xml:space="preserve">в</w:t>
      </w:r>
      <w:r>
        <w:t xml:space="preserve">кладки «</w:t>
      </w:r>
      <w:r>
        <w:t xml:space="preserve">Раздел I: БА (4)»</w:t>
      </w:r>
      <w:r>
        <w:t xml:space="preserve"> приведен в</w:t>
      </w:r>
      <w:r>
        <w:t xml:space="preserve"> таблице</w:t>
      </w:r>
      <w:r>
        <w:t xml:space="preserve"> </w:t>
      </w:r>
      <w:r>
        <w:fldChar w:fldCharType="begin"/>
      </w:r>
      <w:r>
        <w:instrText xml:space="preserve"> REF _Ref349749872 \h  \* MERGEFORMAT </w:instrText>
      </w:r>
      <w:r>
        <w:fldChar w:fldCharType="separate"/>
      </w:r>
      <w:r>
        <w:t xml:space="preserve">99</w:t>
      </w:r>
      <w:r>
        <w:fldChar w:fldCharType="end"/>
      </w:r>
      <w:r>
        <w:t xml:space="preserve">.</w:t>
      </w:r>
      <w:r/>
    </w:p>
    <w:p>
      <w:pPr>
        <w:pStyle w:val="993"/>
      </w:pPr>
      <w:r>
        <w:fldChar w:fldCharType="begin"/>
      </w:r>
      <w:r>
        <w:instrText xml:space="preserve"> SEQ Таблица \* ARABIC </w:instrText>
      </w:r>
      <w:r>
        <w:fldChar w:fldCharType="separate"/>
      </w:r>
      <w:bookmarkStart w:id="1377" w:name="_Ref349749872"/>
      <w:r/>
      <w:bookmarkStart w:id="1378" w:name="_Toc88819285"/>
      <w:r>
        <w:t xml:space="preserve">99</w:t>
      </w:r>
      <w:bookmarkEnd w:id="1377"/>
      <w:r>
        <w:fldChar w:fldCharType="end"/>
      </w:r>
      <w:r>
        <w:t xml:space="preserve">. Описание полей документа «Реестр расходных расписаний</w:t>
      </w:r>
      <w:r>
        <w:t xml:space="preserve">», закладки «</w:t>
      </w:r>
      <w:r>
        <w:t xml:space="preserve">Документ (1)</w:t>
      </w:r>
      <w:r>
        <w:t xml:space="preserve">», </w:t>
      </w:r>
      <w:r>
        <w:t xml:space="preserve">в</w:t>
      </w:r>
      <w:r>
        <w:t xml:space="preserve">кладки «</w:t>
      </w:r>
      <w:r>
        <w:t xml:space="preserve">Раздел I: БА (4)»</w:t>
      </w:r>
      <w:bookmarkEnd w:id="137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167"/>
        <w:gridCol w:w="7585"/>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111"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89" w:type="pct"/>
            <w:vAlign w:val="center"/>
            <w:textDirection w:val="lrTb"/>
            <w:noWrap w:val="false"/>
          </w:tcPr>
          <w:p>
            <w:pPr>
              <w:pStyle w:val="1006"/>
            </w:pPr>
            <w:r>
              <w:t xml:space="preserve">Описание поля</w:t>
            </w:r>
            <w:r/>
          </w:p>
        </w:tc>
      </w:tr>
      <w:tr>
        <w:trPr/>
        <w:tc>
          <w:tcPr>
            <w:shd w:val="clear" w:fill="auto" w:color="auto"/>
            <w:tcW w:w="1111" w:type="pct"/>
            <w:textDirection w:val="lrTb"/>
            <w:noWrap w:val="false"/>
          </w:tcPr>
          <w:p>
            <w:pPr>
              <w:pStyle w:val="1005"/>
              <w:ind w:left="57" w:right="57"/>
            </w:pPr>
            <w:r>
              <w:t xml:space="preserve">Номер</w:t>
            </w:r>
            <w:r/>
          </w:p>
        </w:tc>
        <w:tc>
          <w:tcPr>
            <w:shd w:val="clear" w:fill="auto" w:color="auto"/>
            <w:tcW w:w="3889" w:type="pct"/>
            <w:textDirection w:val="lrTb"/>
            <w:noWrap w:val="false"/>
          </w:tcPr>
          <w:p>
            <w:pPr>
              <w:pStyle w:val="1005"/>
              <w:ind w:left="57" w:right="57"/>
            </w:pPr>
            <w:r>
              <w:t xml:space="preserve">Номер выбранного расходного расписания на закладке «Расходное распис</w:t>
            </w:r>
            <w:r>
              <w:t xml:space="preserve">а</w:t>
            </w:r>
            <w:r>
              <w:t xml:space="preserve">ние»</w:t>
            </w:r>
            <w:r>
              <w:t xml:space="preserve">. </w:t>
            </w:r>
            <w:r>
              <w:t xml:space="preserve">Является копией с закладки «Расходное расписание».</w:t>
            </w:r>
            <w:r/>
          </w:p>
        </w:tc>
      </w:tr>
      <w:tr>
        <w:trPr/>
        <w:tc>
          <w:tcPr>
            <w:shd w:val="clear" w:fill="auto" w:color="auto"/>
            <w:tcW w:w="1111" w:type="pct"/>
            <w:textDirection w:val="lrTb"/>
            <w:noWrap w:val="false"/>
          </w:tcPr>
          <w:p>
            <w:pPr>
              <w:pStyle w:val="1005"/>
              <w:ind w:left="57" w:right="57"/>
            </w:pPr>
            <w:r>
              <w:t xml:space="preserve">Дата в/д</w:t>
            </w:r>
            <w:r/>
          </w:p>
        </w:tc>
        <w:tc>
          <w:tcPr>
            <w:shd w:val="clear" w:fill="auto" w:color="auto"/>
            <w:tcW w:w="3889" w:type="pct"/>
            <w:textDirection w:val="lrTb"/>
            <w:noWrap w:val="false"/>
          </w:tcPr>
          <w:p>
            <w:pPr>
              <w:pStyle w:val="1005"/>
              <w:ind w:left="57" w:right="57"/>
            </w:pPr>
            <w:r>
              <w:t xml:space="preserve">Дата ввода в действие выбранного расходного расписания на закладке «Ра</w:t>
            </w:r>
            <w:r>
              <w:t xml:space="preserve">с</w:t>
            </w:r>
            <w:r>
              <w:t xml:space="preserve">ходное расписание»</w:t>
            </w:r>
            <w:r>
              <w:t xml:space="preserve">. </w:t>
            </w:r>
            <w:r>
              <w:t xml:space="preserve">Является копией с закладки «Расходное расписание».</w:t>
            </w:r>
            <w:r/>
          </w:p>
        </w:tc>
      </w:tr>
      <w:tr>
        <w:trPr/>
        <w:tc>
          <w:tcPr>
            <w:shd w:val="clear" w:fill="auto" w:color="auto"/>
            <w:tcW w:w="1111" w:type="pct"/>
            <w:textDirection w:val="lrTb"/>
            <w:noWrap w:val="false"/>
          </w:tcPr>
          <w:p>
            <w:pPr>
              <w:pStyle w:val="1005"/>
              <w:ind w:left="57" w:right="57"/>
            </w:pPr>
            <w:r>
              <w:t xml:space="preserve">Кому</w:t>
            </w:r>
            <w:r/>
          </w:p>
        </w:tc>
        <w:tc>
          <w:tcPr>
            <w:shd w:val="clear" w:fill="auto" w:color="auto"/>
            <w:tcW w:w="3889" w:type="pct"/>
            <w:textDirection w:val="lrTb"/>
            <w:noWrap w:val="false"/>
          </w:tcPr>
          <w:p>
            <w:pPr>
              <w:pStyle w:val="1005"/>
              <w:ind w:left="57" w:right="57"/>
            </w:pPr>
            <w:r>
              <w:t xml:space="preserve">Код БУ-получателя выбранного расходного расписания на закладке «Расхо</w:t>
            </w:r>
            <w:r>
              <w:t xml:space="preserve">д</w:t>
            </w:r>
            <w:r>
              <w:t xml:space="preserve">ное расписание».</w:t>
            </w:r>
            <w:r>
              <w:t xml:space="preserve"> </w:t>
            </w:r>
            <w:r>
              <w:t xml:space="preserve">Является копией с закладки «Расходное расписание».</w:t>
            </w:r>
            <w:r/>
          </w:p>
        </w:tc>
      </w:tr>
      <w:tr>
        <w:trPr/>
        <w:tc>
          <w:tcPr>
            <w:shd w:val="clear" w:fill="auto" w:color="auto"/>
            <w:tcW w:w="1111" w:type="pct"/>
            <w:textDirection w:val="lrTb"/>
            <w:noWrap w:val="false"/>
          </w:tcPr>
          <w:p>
            <w:pPr>
              <w:pStyle w:val="1005"/>
              <w:ind w:left="57" w:right="57"/>
            </w:pPr>
            <w:r>
              <w:t xml:space="preserve">Наименование</w:t>
            </w:r>
            <w:r/>
          </w:p>
        </w:tc>
        <w:tc>
          <w:tcPr>
            <w:shd w:val="clear" w:fill="auto" w:color="auto"/>
            <w:tcW w:w="3889" w:type="pct"/>
            <w:textDirection w:val="lrTb"/>
            <w:noWrap w:val="false"/>
          </w:tcPr>
          <w:p>
            <w:pPr>
              <w:pStyle w:val="1005"/>
              <w:ind w:left="57" w:right="57"/>
            </w:pPr>
            <w:r>
              <w:t xml:space="preserve">Наименование БУ-получателя выбранного расходного расписания на закла</w:t>
            </w:r>
            <w:r>
              <w:t xml:space="preserve">д</w:t>
            </w:r>
            <w:r>
              <w:t xml:space="preserve">ке «Расходное расписание».</w:t>
            </w:r>
            <w:r>
              <w:t xml:space="preserve"> </w:t>
            </w:r>
            <w:r>
              <w:t xml:space="preserve">Является копией с закладки «Расходное расписание».</w:t>
            </w:r>
            <w:r/>
          </w:p>
        </w:tc>
      </w:tr>
      <w:tr>
        <w:trPr/>
        <w:tc>
          <w:tcPr>
            <w:gridSpan w:val="2"/>
            <w:shd w:val="clear" w:fill="auto" w:color="auto"/>
            <w:tcW w:w="5000" w:type="pct"/>
            <w:textDirection w:val="lrTb"/>
            <w:noWrap w:val="false"/>
          </w:tcPr>
          <w:p>
            <w:pPr>
              <w:pStyle w:val="1005"/>
              <w:ind w:left="57" w:right="57"/>
            </w:pPr>
            <w:r>
              <w:t xml:space="preserve">Г</w:t>
            </w:r>
            <w:r>
              <w:t xml:space="preserve">руппа полей «</w:t>
            </w:r>
            <w:r>
              <w:t xml:space="preserve">Строки: Р</w:t>
            </w:r>
            <w:r>
              <w:t xml:space="preserve">аздел I. БЮДЖЕТНЫЕ АССИГНОВАНИЯ</w:t>
            </w:r>
            <w:r>
              <w:t xml:space="preserve">»</w:t>
            </w:r>
            <w:r/>
          </w:p>
        </w:tc>
      </w:tr>
      <w:tr>
        <w:trPr/>
        <w:tc>
          <w:tcPr>
            <w:shd w:val="clear" w:fill="auto" w:color="auto"/>
            <w:tcW w:w="1111" w:type="pct"/>
            <w:textDirection w:val="lrTb"/>
            <w:noWrap w:val="false"/>
          </w:tcPr>
          <w:p>
            <w:pPr>
              <w:pStyle w:val="1005"/>
              <w:ind w:left="57" w:right="57"/>
            </w:pPr>
            <w:r>
              <w:t xml:space="preserve">Дата в/д раздела</w:t>
            </w:r>
            <w:r/>
          </w:p>
        </w:tc>
        <w:tc>
          <w:tcPr>
            <w:shd w:val="clear" w:fill="auto" w:color="auto"/>
            <w:tcW w:w="3889" w:type="pct"/>
            <w:textDirection w:val="lrTb"/>
            <w:noWrap w:val="false"/>
          </w:tcPr>
          <w:p>
            <w:pPr>
              <w:pStyle w:val="1005"/>
              <w:ind w:left="57" w:right="57"/>
            </w:pPr>
            <w:r>
              <w:t xml:space="preserve">Дата ввода в действие бюджетных данных раздела расходного распис</w:t>
            </w:r>
            <w:r>
              <w:t xml:space="preserve">а</w:t>
            </w:r>
            <w:r>
              <w:t xml:space="preserve">ния</w:t>
            </w:r>
            <w:r>
              <w:t xml:space="preserve">.</w:t>
            </w:r>
            <w:r/>
          </w:p>
          <w:p>
            <w:pPr>
              <w:pStyle w:val="1005"/>
              <w:ind w:left="57" w:right="57"/>
            </w:pPr>
            <w:r>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r/>
          </w:p>
        </w:tc>
      </w:tr>
      <w:tr>
        <w:trPr/>
        <w:tc>
          <w:tcPr>
            <w:shd w:val="clear" w:fill="auto" w:color="auto"/>
            <w:tcW w:w="1111" w:type="pct"/>
            <w:textDirection w:val="lrTb"/>
            <w:noWrap w:val="false"/>
          </w:tcPr>
          <w:p>
            <w:pPr>
              <w:pStyle w:val="1005"/>
              <w:ind w:left="57" w:right="57"/>
            </w:pPr>
            <w:r>
              <w:t xml:space="preserve">Итого: тек. </w:t>
            </w:r>
            <w:r>
              <w:t xml:space="preserve">Г</w:t>
            </w:r>
            <w:r>
              <w:t xml:space="preserve">од</w:t>
            </w:r>
            <w:r/>
          </w:p>
        </w:tc>
        <w:tc>
          <w:tcPr>
            <w:shd w:val="clear" w:fill="auto" w:color="auto"/>
            <w:tcW w:w="3889" w:type="pct"/>
            <w:textDirection w:val="lrTb"/>
            <w:noWrap w:val="false"/>
          </w:tcPr>
          <w:p>
            <w:pPr>
              <w:pStyle w:val="1005"/>
              <w:ind w:left="57" w:right="57"/>
            </w:pPr>
            <w:r>
              <w:t xml:space="preserve">Общая сумма БА в текущем году. </w:t>
            </w:r>
            <w:r/>
          </w:p>
          <w:p>
            <w:pPr>
              <w:pStyle w:val="1005"/>
              <w:ind w:left="57" w:right="57"/>
            </w:pPr>
            <w:r>
              <w:t xml:space="preserve">Рассчитывается как сумма значений по всем строкам в поле «Сумма: тек. </w:t>
            </w:r>
            <w:r>
              <w:t xml:space="preserve">Г</w:t>
            </w:r>
            <w:r>
              <w:t xml:space="preserve">од».</w:t>
            </w:r>
            <w:r/>
          </w:p>
        </w:tc>
      </w:tr>
      <w:tr>
        <w:trPr/>
        <w:tc>
          <w:tcPr>
            <w:shd w:val="clear" w:fill="auto" w:color="auto"/>
            <w:tcW w:w="1111" w:type="pct"/>
            <w:textDirection w:val="lrTb"/>
            <w:noWrap w:val="false"/>
          </w:tcPr>
          <w:p>
            <w:pPr>
              <w:pStyle w:val="1005"/>
              <w:ind w:left="57" w:right="57"/>
            </w:pPr>
            <w:r>
              <w:t xml:space="preserve">Итого: 1 год</w:t>
            </w:r>
            <w:r/>
          </w:p>
        </w:tc>
        <w:tc>
          <w:tcPr>
            <w:shd w:val="clear" w:fill="auto" w:color="auto"/>
            <w:tcW w:w="3889" w:type="pct"/>
            <w:textDirection w:val="lrTb"/>
            <w:noWrap w:val="false"/>
          </w:tcPr>
          <w:p>
            <w:pPr>
              <w:pStyle w:val="1005"/>
              <w:ind w:left="57" w:right="57"/>
            </w:pPr>
            <w:r>
              <w:t xml:space="preserve">Общая сумма БА по первому году планового периода. </w:t>
            </w:r>
            <w:r/>
          </w:p>
          <w:p>
            <w:pPr>
              <w:pStyle w:val="1005"/>
              <w:ind w:left="57" w:right="57"/>
            </w:pPr>
            <w:r>
              <w:t xml:space="preserve">Рассчитывается как сумма значений по всем строкам в поле «Сумма: 1 год». </w:t>
            </w:r>
            <w:r/>
          </w:p>
        </w:tc>
      </w:tr>
      <w:tr>
        <w:trPr/>
        <w:tc>
          <w:tcPr>
            <w:shd w:val="clear" w:fill="auto" w:color="auto"/>
            <w:tcW w:w="1111" w:type="pct"/>
            <w:textDirection w:val="lrTb"/>
            <w:noWrap w:val="false"/>
          </w:tcPr>
          <w:p>
            <w:pPr>
              <w:pStyle w:val="1005"/>
              <w:ind w:left="57" w:right="57"/>
            </w:pPr>
            <w:r>
              <w:t xml:space="preserve">Итого: 2 год</w:t>
            </w:r>
            <w:r/>
          </w:p>
        </w:tc>
        <w:tc>
          <w:tcPr>
            <w:shd w:val="clear" w:fill="auto" w:color="auto"/>
            <w:tcW w:w="3889" w:type="pct"/>
            <w:textDirection w:val="lrTb"/>
            <w:noWrap w:val="false"/>
          </w:tcPr>
          <w:p>
            <w:pPr>
              <w:pStyle w:val="1005"/>
              <w:ind w:left="57" w:right="57"/>
            </w:pPr>
            <w:r>
              <w:t xml:space="preserve">Общая сумма БА по второму году планового периода. </w:t>
            </w:r>
            <w:r/>
          </w:p>
          <w:p>
            <w:pPr>
              <w:pStyle w:val="1005"/>
              <w:ind w:left="57" w:right="57"/>
            </w:pPr>
            <w:r>
              <w:t xml:space="preserve">Рассчитывается как сумма значений по всем строкам в поле «Сумма: 2 год».</w:t>
            </w:r>
            <w:r/>
          </w:p>
        </w:tc>
      </w:tr>
      <w:tr>
        <w:trPr/>
        <w:tc>
          <w:tcPr>
            <w:shd w:val="clear" w:fill="auto" w:color="auto"/>
            <w:tcW w:w="1111" w:type="pct"/>
            <w:textDirection w:val="lrTb"/>
            <w:noWrap w:val="false"/>
          </w:tcPr>
          <w:p>
            <w:pPr>
              <w:pStyle w:val="1005"/>
              <w:ind w:left="57" w:right="57"/>
            </w:pPr>
            <w:r>
              <w:t xml:space="preserve">№</w:t>
            </w:r>
            <w:r/>
          </w:p>
        </w:tc>
        <w:tc>
          <w:tcPr>
            <w:shd w:val="clear" w:fill="auto" w:color="auto"/>
            <w:tcW w:w="3889" w:type="pct"/>
            <w:textDirection w:val="lrTb"/>
            <w:noWrap w:val="false"/>
          </w:tcPr>
          <w:p>
            <w:pPr>
              <w:pStyle w:val="1005"/>
              <w:ind w:left="57" w:right="57"/>
            </w:pPr>
            <w:r>
              <w:t xml:space="preserve">Номер строки.</w:t>
            </w:r>
            <w:r/>
          </w:p>
          <w:p>
            <w:pPr>
              <w:pStyle w:val="1005"/>
              <w:ind w:left="57" w:right="57"/>
            </w:pPr>
            <w:r>
              <w:t xml:space="preserve">Автоматически заполняется номером строки по порядку (номер по порядку в пределах раздела документа), начиная с 1</w:t>
            </w:r>
            <w:r>
              <w:t xml:space="preserve">.</w:t>
            </w:r>
            <w:r/>
          </w:p>
        </w:tc>
      </w:tr>
      <w:tr>
        <w:trPr/>
        <w:tc>
          <w:tcPr>
            <w:shd w:val="clear" w:fill="auto" w:color="auto"/>
            <w:tcW w:w="1111" w:type="pct"/>
            <w:textDirection w:val="lrTb"/>
            <w:noWrap w:val="false"/>
          </w:tcPr>
          <w:p>
            <w:pPr>
              <w:pStyle w:val="1005"/>
              <w:ind w:left="57" w:right="57"/>
            </w:pPr>
            <w:r>
              <w:t xml:space="preserve">КБК</w:t>
            </w:r>
            <w:r/>
          </w:p>
        </w:tc>
        <w:tc>
          <w:tcPr>
            <w:shd w:val="clear" w:fill="auto" w:color="auto"/>
            <w:tcW w:w="3889" w:type="pct"/>
            <w:textDirection w:val="lrTb"/>
            <w:noWrap w:val="false"/>
          </w:tcPr>
          <w:p>
            <w:pPr>
              <w:pStyle w:val="1005"/>
              <w:ind w:left="57" w:right="57"/>
            </w:pPr>
            <w:r>
              <w:t xml:space="preserve">Код бюджетной классификации (20 символов).</w:t>
            </w:r>
            <w:r/>
          </w:p>
          <w:p>
            <w:pPr>
              <w:pStyle w:val="1008"/>
              <w:numPr>
                <w:ilvl w:val="0"/>
                <w:numId w:val="28"/>
              </w:numPr>
            </w:pPr>
            <w:r>
              <w:t xml:space="preserve">Поле КБК может быть заполнено как в целом кодовой бюджетной классификацией (</w:t>
            </w:r>
            <w:r>
              <w:t xml:space="preserve">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w:t>
            </w:r>
            <w:r>
              <w:t xml:space="preserve">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r/>
          </w:p>
          <w:p>
            <w:pPr>
              <w:pStyle w:val="1008"/>
            </w:pPr>
            <w:r>
              <w:t xml:space="preserve">Поле может быть заполнено вручную или выбором из справочника КБК. Значения справочника ограничены значением полей «Бюджет» и «Глава по БК».</w:t>
            </w:r>
            <w:r/>
          </w:p>
          <w:p>
            <w:pPr>
              <w:pStyle w:val="1008"/>
            </w:pPr>
            <w:r>
              <w:t xml:space="preserve">Заполняется из соответствующего поля закладки «Раздел I: БА» ЭД «Распределение бюджетных данных» (не для АРМ Офлайн-клиент ФК).</w:t>
            </w:r>
            <w:r/>
          </w:p>
        </w:tc>
      </w:tr>
      <w:tr>
        <w:trPr/>
        <w:tc>
          <w:tcPr>
            <w:shd w:val="clear" w:fill="auto" w:color="auto"/>
            <w:tcW w:w="1111" w:type="pct"/>
            <w:textDirection w:val="lrTb"/>
            <w:noWrap w:val="false"/>
          </w:tcPr>
          <w:p>
            <w:pPr>
              <w:pStyle w:val="1005"/>
              <w:ind w:left="57" w:right="57"/>
            </w:pPr>
            <w:r>
              <w:t xml:space="preserve">Цели субсидий</w:t>
            </w:r>
            <w:r/>
          </w:p>
        </w:tc>
        <w:tc>
          <w:tcPr>
            <w:shd w:val="clear" w:fill="auto" w:color="auto"/>
            <w:tcW w:w="3889" w:type="pct"/>
            <w:textDirection w:val="lrTb"/>
            <w:noWrap w:val="false"/>
          </w:tcPr>
          <w:p>
            <w:pPr>
              <w:pStyle w:val="1005"/>
              <w:ind w:left="57" w:right="57"/>
            </w:pPr>
            <w:r>
              <w:t xml:space="preserve">Код цели субсидий/субвенций.</w:t>
            </w:r>
            <w:r/>
          </w:p>
          <w:p>
            <w:pPr>
              <w:pStyle w:val="1005"/>
              <w:ind w:left="57" w:right="57"/>
            </w:pPr>
            <w:r>
              <w:t xml:space="preserve">Для АРМ. </w:t>
            </w:r>
            <w:r/>
          </w:p>
          <w:p>
            <w:pPr>
              <w:pStyle w:val="1008"/>
              <w:numPr>
                <w:ilvl w:val="0"/>
                <w:numId w:val="29"/>
              </w:numPr>
            </w:pPr>
            <w:r>
              <w:t xml:space="preserve">Выбирается из справочника</w:t>
            </w:r>
            <w:r>
              <w:t xml:space="preserve"> </w:t>
            </w:r>
            <w:r>
              <w:t xml:space="preserve">«Цели субсидий» или заполняется вручную. Отображается код и наименование. Наименование не редактируемое.</w:t>
            </w:r>
            <w:r/>
          </w:p>
          <w:p>
            <w:pPr>
              <w:pStyle w:val="1008"/>
            </w:pPr>
            <w:r>
              <w:t xml:space="preserve">Заполняется из соответствующего поля закладки «Раздел I: БА» ЭД «Распределение бюджетных данных» (не для АРМ Офлайн-клиент ФК).</w:t>
            </w:r>
            <w:r/>
          </w:p>
        </w:tc>
      </w:tr>
      <w:tr>
        <w:trPr/>
        <w:tc>
          <w:tcPr>
            <w:shd w:val="clear" w:fill="auto" w:color="auto"/>
            <w:tcW w:w="1111" w:type="pct"/>
            <w:textDirection w:val="lrTb"/>
            <w:noWrap w:val="false"/>
          </w:tcPr>
          <w:p>
            <w:pPr>
              <w:pStyle w:val="1005"/>
              <w:ind w:left="57" w:right="57"/>
            </w:pPr>
            <w:r>
              <w:t xml:space="preserve">Сумма: тек. </w:t>
            </w:r>
            <w:r>
              <w:t xml:space="preserve">Г</w:t>
            </w:r>
            <w:r>
              <w:t xml:space="preserve">од</w:t>
            </w:r>
            <w:r/>
          </w:p>
        </w:tc>
        <w:tc>
          <w:tcPr>
            <w:shd w:val="clear" w:fill="auto" w:color="auto"/>
            <w:tcW w:w="3889" w:type="pct"/>
            <w:textDirection w:val="lrTb"/>
            <w:noWrap w:val="false"/>
          </w:tcPr>
          <w:p>
            <w:pPr>
              <w:pStyle w:val="1005"/>
              <w:ind w:left="57" w:right="57"/>
            </w:pPr>
            <w:r>
              <w:t xml:space="preserve">Сумма БА в текущем году.</w:t>
            </w:r>
            <w:r/>
          </w:p>
          <w:p>
            <w:pPr>
              <w:pStyle w:val="1008"/>
              <w:numPr>
                <w:ilvl w:val="0"/>
                <w:numId w:val="30"/>
              </w:numPr>
            </w:pPr>
            <w:r>
              <w:t xml:space="preserve">Заполняется вручную. Поле «Сумма: тек.год» отображает сумму строк текущего раздела бюджетного документа, у которого Финансовый год равен атрибуту «Период с» бюджетного документа. </w:t>
            </w:r>
            <w:r/>
          </w:p>
          <w:p>
            <w:pPr>
              <w:pStyle w:val="1008"/>
            </w:pPr>
            <w:r>
              <w:t xml:space="preserve">Заполняется из поля «Выделено: тек.год» закладки «Раздел I: БА» ЭД </w:t>
            </w:r>
            <w:r>
              <w:t xml:space="preserve">«Распределение бюджетных данных» (не для АРМ Офлайн-клиент ФК).</w:t>
            </w:r>
            <w:r/>
          </w:p>
        </w:tc>
      </w:tr>
      <w:tr>
        <w:trPr/>
        <w:tc>
          <w:tcPr>
            <w:shd w:val="clear" w:fill="auto" w:color="auto"/>
            <w:tcW w:w="1111" w:type="pct"/>
            <w:textDirection w:val="lrTb"/>
            <w:noWrap w:val="false"/>
          </w:tcPr>
          <w:p>
            <w:pPr>
              <w:pStyle w:val="1005"/>
              <w:ind w:left="57" w:right="57"/>
            </w:pPr>
            <w:r>
              <w:t xml:space="preserve">Сумма: 1 год</w:t>
            </w:r>
            <w:r/>
          </w:p>
        </w:tc>
        <w:tc>
          <w:tcPr>
            <w:shd w:val="clear" w:fill="auto" w:color="auto"/>
            <w:tcW w:w="3889" w:type="pct"/>
            <w:textDirection w:val="lrTb"/>
            <w:noWrap w:val="false"/>
          </w:tcPr>
          <w:p>
            <w:pPr>
              <w:pStyle w:val="1005"/>
              <w:ind w:left="57" w:right="57"/>
            </w:pPr>
            <w:r>
              <w:t xml:space="preserve">Сумма БА по первому году планового периода.</w:t>
            </w:r>
            <w:r/>
          </w:p>
          <w:p>
            <w:pPr>
              <w:pStyle w:val="1008"/>
              <w:numPr>
                <w:ilvl w:val="0"/>
                <w:numId w:val="31"/>
              </w:numPr>
            </w:pPr>
            <w:r>
              <w:t xml:space="preserve">Заполняется вручную. Поле «Сумма: 1-й год» отображает сумму строк текущего раздела бюджетного документа, у которого Финансовый год равен атрибуту «Период с»+1 бюджетного документа. </w:t>
            </w:r>
            <w:r/>
          </w:p>
          <w:p>
            <w:pPr>
              <w:pStyle w:val="1008"/>
            </w:pPr>
            <w:r>
              <w:t xml:space="preserve">Заполняется из поля «Выделено: 1 год» закладки «Раздел I: БА» ЭД «Распределение бюджетных данных» (не для АРМ Офлайн-клиент ФК).</w:t>
            </w:r>
            <w:r/>
          </w:p>
        </w:tc>
      </w:tr>
      <w:tr>
        <w:trPr/>
        <w:tc>
          <w:tcPr>
            <w:shd w:val="clear" w:fill="auto" w:color="auto"/>
            <w:tcW w:w="1111" w:type="pct"/>
            <w:textDirection w:val="lrTb"/>
            <w:noWrap w:val="false"/>
          </w:tcPr>
          <w:p>
            <w:pPr>
              <w:pStyle w:val="1005"/>
              <w:ind w:left="57" w:right="57"/>
            </w:pPr>
            <w:r>
              <w:t xml:space="preserve">Сумма: 2 год</w:t>
            </w:r>
            <w:r/>
          </w:p>
        </w:tc>
        <w:tc>
          <w:tcPr>
            <w:shd w:val="clear" w:fill="auto" w:color="auto"/>
            <w:tcW w:w="3889" w:type="pct"/>
            <w:textDirection w:val="lrTb"/>
            <w:noWrap w:val="false"/>
          </w:tcPr>
          <w:p>
            <w:pPr>
              <w:pStyle w:val="1005"/>
              <w:ind w:left="57" w:right="57"/>
            </w:pPr>
            <w:r>
              <w:t xml:space="preserve">Сумма БА по второму году планового периода.</w:t>
            </w:r>
            <w:r/>
          </w:p>
          <w:p>
            <w:pPr>
              <w:pStyle w:val="1008"/>
              <w:numPr>
                <w:ilvl w:val="0"/>
                <w:numId w:val="32"/>
              </w:numPr>
            </w:pPr>
            <w:r>
              <w:t xml:space="preserve">Заполняется вручную. Поле «Сумма: 2-й год» отображает сумму строк текущего раздела бюджетного документа, у которого Финансовый год равен атрибуту «Период с»+2 бюджетного документа. </w:t>
            </w:r>
            <w:r/>
          </w:p>
          <w:p>
            <w:pPr>
              <w:pStyle w:val="1008"/>
            </w:pPr>
            <w:r>
              <w:t xml:space="preserve">Заполняется из поля «Выделено: 2 год» закладки «Раздел I: БА» ЭД «Распределение бюджетных данных» (не для АРМ Офлайн-клиент ФК).</w:t>
            </w:r>
            <w:r/>
          </w:p>
        </w:tc>
      </w:tr>
      <w:tr>
        <w:trPr/>
        <w:tc>
          <w:tcPr>
            <w:shd w:val="clear" w:fill="auto" w:color="auto"/>
            <w:tcW w:w="1111" w:type="pct"/>
            <w:textDirection w:val="lrTb"/>
            <w:noWrap w:val="false"/>
          </w:tcPr>
          <w:p>
            <w:pPr>
              <w:pStyle w:val="1005"/>
              <w:ind w:left="57" w:right="57"/>
            </w:pPr>
            <w:r>
              <w:t xml:space="preserve">Примечание</w:t>
            </w:r>
            <w:r/>
          </w:p>
        </w:tc>
        <w:tc>
          <w:tcPr>
            <w:shd w:val="clear" w:fill="auto" w:color="auto"/>
            <w:tcW w:w="3889" w:type="pct"/>
            <w:textDirection w:val="lrTb"/>
            <w:noWrap w:val="false"/>
          </w:tcPr>
          <w:p>
            <w:pPr>
              <w:pStyle w:val="1005"/>
              <w:ind w:left="57" w:right="57"/>
            </w:pPr>
            <w:r>
              <w:t xml:space="preserve">Примечание.</w:t>
            </w:r>
            <w:r>
              <w:t xml:space="preserve"> </w:t>
            </w:r>
            <w:r>
              <w:t xml:space="preserve">Заполняется вручную</w:t>
            </w:r>
            <w:r>
              <w:t xml:space="preserve">.</w:t>
            </w:r>
            <w:r/>
          </w:p>
        </w:tc>
      </w:tr>
    </w:tbl>
    <w:p>
      <w:pPr>
        <w:pStyle w:val="994"/>
      </w:pPr>
      <w:r>
        <w:t xml:space="preserve">Для добавления строки БА расходного расписания следует нажать на кнопку </w:t>
      </w:r>
      <w:r>
        <mc:AlternateContent>
          <mc:Choice Requires="wpg">
            <w:drawing>
              <wp:inline xmlns:wp="http://schemas.openxmlformats.org/drawingml/2006/wordprocessingDrawing" distT="0" distB="0" distL="0" distR="0">
                <wp:extent cx="182880" cy="182880"/>
                <wp:effectExtent l="0" t="0" r="0" b="0"/>
                <wp:docPr id="28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3" o:spid="_x0000_s283" type="#_x0000_t75" style="mso-wrap-distance-left:0.0pt;mso-wrap-distance-top:0.0pt;mso-wrap-distance-right:0.0pt;mso-wrap-distance-bottom:0.0pt;width:14.4pt;height:14.4pt;" stroked="f">
                <v:path textboxrect="0,0,0,0"/>
                <v:imagedata r:id="rId80" o:title=""/>
              </v:shape>
            </w:pict>
          </mc:Fallback>
        </mc:AlternateContent>
      </w:r>
      <w:r>
        <w:t xml:space="preserve"> </w:t>
      </w:r>
      <w:r>
        <w:t xml:space="preserve">(Добавить новую строку)</w:t>
      </w:r>
      <w:r>
        <w:t xml:space="preserve">. Открое</w:t>
      </w:r>
      <w:r>
        <w:t xml:space="preserve">тся форма «Добавление записи»</w:t>
      </w:r>
      <w:r>
        <w:t xml:space="preserve"> (рис. </w:t>
      </w:r>
      <w:r>
        <w:fldChar w:fldCharType="begin"/>
      </w:r>
      <w:r>
        <w:instrText xml:space="preserve"> REF _Ref231717217 \h  \* MERGEFORMAT </w:instrText>
      </w:r>
      <w:r>
        <w:fldChar w:fldCharType="separate"/>
      </w:r>
      <w:r>
        <w:t xml:space="preserve">187</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3657600"/>
                <wp:effectExtent l="0" t="0" r="0" b="0"/>
                <wp:docPr id="28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57"/>
                        <a:stretch/>
                      </pic:blipFill>
                      <pic:spPr bwMode="auto">
                        <a:xfrm>
                          <a:off x="0" y="0"/>
                          <a:ext cx="6035039" cy="3657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4" o:spid="_x0000_s284" type="#_x0000_t75" style="mso-wrap-distance-left:0.0pt;mso-wrap-distance-top:0.0pt;mso-wrap-distance-right:0.0pt;mso-wrap-distance-bottom:0.0pt;width:475.2pt;height:288.0pt;" stroked="f">
                <v:path textboxrect="0,0,0,0"/>
                <v:imagedata r:id="rId257" o:title=""/>
              </v:shape>
            </w:pict>
          </mc:Fallback>
        </mc:AlternateContent>
      </w:r>
      <w:r/>
    </w:p>
    <w:p>
      <w:pPr>
        <w:pStyle w:val="983"/>
      </w:pPr>
      <w:r>
        <w:fldChar w:fldCharType="begin"/>
      </w:r>
      <w:r>
        <w:instrText xml:space="preserve"> SEQ Рисунок \* ARABIC </w:instrText>
      </w:r>
      <w:r>
        <w:fldChar w:fldCharType="separate"/>
      </w:r>
      <w:bookmarkStart w:id="1379" w:name="_Ref231717217"/>
      <w:r/>
      <w:bookmarkStart w:id="1380" w:name="_Toc88819572"/>
      <w:r>
        <w:t xml:space="preserve">187</w:t>
      </w:r>
      <w:bookmarkEnd w:id="1379"/>
      <w:r>
        <w:fldChar w:fldCharType="end"/>
      </w:r>
      <w:r>
        <w:t xml:space="preserve">. ЭД «Добавление записи» (строка БА)</w:t>
      </w:r>
      <w:bookmarkEnd w:id="1380"/>
      <w:r/>
      <w:r/>
    </w:p>
    <w:p>
      <w:pPr>
        <w:pStyle w:val="994"/>
      </w:pPr>
      <w:r>
        <w:t xml:space="preserve">На форме «Добавление записи» вручную заполняются следующие поля:</w:t>
      </w:r>
      <w:r/>
    </w:p>
    <w:p>
      <w:pPr>
        <w:pStyle w:val="985"/>
      </w:pPr>
      <w:r>
        <w:t xml:space="preserve">«</w:t>
      </w:r>
      <w:r>
        <w:t xml:space="preserve">КБК» – полное значение КБК;</w:t>
      </w:r>
      <w:r/>
    </w:p>
    <w:p>
      <w:pPr>
        <w:pStyle w:val="985"/>
      </w:pPr>
      <w:r>
        <w:t xml:space="preserve">«</w:t>
      </w:r>
      <w:r>
        <w:t xml:space="preserve">Глава по БК» – 3-символьный код ведомства;</w:t>
      </w:r>
      <w:r/>
    </w:p>
    <w:p>
      <w:pPr>
        <w:pStyle w:val="985"/>
      </w:pPr>
      <w:r>
        <w:t xml:space="preserve">«</w:t>
      </w:r>
      <w:r>
        <w:t xml:space="preserve">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r/>
    </w:p>
    <w:p>
      <w:pPr>
        <w:pStyle w:val="985"/>
      </w:pPr>
      <w:r>
        <w:t xml:space="preserve">«</w:t>
      </w:r>
      <w:r>
        <w:t xml:space="preserve">КЦСР» – 10-символьный код по КЦСР;</w:t>
      </w:r>
      <w:r/>
    </w:p>
    <w:p>
      <w:pPr>
        <w:pStyle w:val="985"/>
      </w:pPr>
      <w:r>
        <w:t xml:space="preserve">«</w:t>
      </w:r>
      <w:r>
        <w:t xml:space="preserve">КВР» – 3-символьный код по КВР;</w:t>
      </w:r>
      <w:r/>
    </w:p>
    <w:p>
      <w:pPr>
        <w:pStyle w:val="985"/>
      </w:pPr>
      <w:r>
        <w:t xml:space="preserve">«</w:t>
      </w:r>
      <w:r>
        <w:t xml:space="preserve">КОСГУ» – 3-символьный код по КОСГУ; не заполняется с 01.01.2016;</w:t>
      </w:r>
      <w:r/>
    </w:p>
    <w:p>
      <w:pPr>
        <w:pStyle w:val="985"/>
      </w:pPr>
      <w:r>
        <w:t xml:space="preserve">«</w:t>
      </w:r>
      <w:r>
        <w:t xml:space="preserve">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r/>
    </w:p>
    <w:p>
      <w:pPr>
        <w:pStyle w:val="985"/>
      </w:pPr>
      <w:r>
        <w:t xml:space="preserve">г</w:t>
      </w:r>
      <w:r>
        <w:t xml:space="preserve">руппа полей «Сумма»:</w:t>
      </w:r>
      <w:r/>
    </w:p>
    <w:p>
      <w:pPr>
        <w:pStyle w:val="986"/>
      </w:pPr>
      <w:r>
        <w:t xml:space="preserve">«</w:t>
      </w:r>
      <w:r>
        <w:t xml:space="preserve">Сумма: Тек год» – сумма по строке БА по Разделу I на текущий год («Период с»);</w:t>
      </w:r>
      <w:r/>
    </w:p>
    <w:p>
      <w:pPr>
        <w:pStyle w:val="986"/>
      </w:pPr>
      <w:r>
        <w:t xml:space="preserve">«</w:t>
      </w:r>
      <w:r>
        <w:t xml:space="preserve">Сумма: 1-й год» – сумма по строке БА по Разделу I на первый год («Период с»+1);</w:t>
      </w:r>
      <w:r/>
    </w:p>
    <w:p>
      <w:pPr>
        <w:pStyle w:val="986"/>
      </w:pPr>
      <w:r>
        <w:t xml:space="preserve">«</w:t>
      </w:r>
      <w:r>
        <w:t xml:space="preserve">Сумма: 2-й год» – сумма по строке БА по Разделу I на второй год («Период с»+2);</w:t>
      </w:r>
      <w:r/>
    </w:p>
    <w:p>
      <w:pPr>
        <w:pStyle w:val="985"/>
      </w:pPr>
      <w:r>
        <w:t xml:space="preserve">«</w:t>
      </w:r>
      <w:r>
        <w:t xml:space="preserve">Цели субсидий» – код и наименование цели субсидий/субвенций согласно справочнику «Цели субсидий/ субвенций»;</w:t>
      </w:r>
      <w:r/>
    </w:p>
    <w:p>
      <w:pPr>
        <w:pStyle w:val="985"/>
      </w:pPr>
      <w:r>
        <w:t xml:space="preserve">«</w:t>
      </w:r>
      <w:r>
        <w:t xml:space="preserve">Примечание».</w:t>
      </w:r>
      <w:r/>
    </w:p>
    <w:p>
      <w:pPr>
        <w:pStyle w:val="994"/>
      </w:pPr>
      <w:r>
        <w:t xml:space="preserve">ЭФ документа «Реестр расходных расписаний</w:t>
      </w:r>
      <w:r>
        <w:t xml:space="preserve">», закладки «</w:t>
      </w:r>
      <w:r>
        <w:t xml:space="preserve">Документ (1)</w:t>
      </w:r>
      <w:r>
        <w:t xml:space="preserve">», в</w:t>
      </w:r>
      <w:r>
        <w:t xml:space="preserve">кладки «</w:t>
      </w:r>
      <w:r>
        <w:t xml:space="preserve">Раздел II: ЛБО (5)»</w:t>
      </w:r>
      <w:r>
        <w:t xml:space="preserve"> представлена на рисунке</w:t>
      </w:r>
      <w:r>
        <w:t xml:space="preserve"> </w:t>
      </w:r>
      <w:r>
        <w:fldChar w:fldCharType="begin"/>
      </w:r>
      <w:r>
        <w:instrText xml:space="preserve"> REF _Ref205636529 \h </w:instrText>
      </w:r>
      <w:r>
        <w:instrText xml:space="preserve"> \* MERGEFORMAT </w:instrText>
      </w:r>
      <w:r>
        <w:fldChar w:fldCharType="separate"/>
      </w:r>
      <w:r>
        <w:t xml:space="preserve">188</w:t>
      </w:r>
      <w:r>
        <w:fldChar w:fldCharType="end"/>
      </w:r>
      <w:r>
        <w:t xml:space="preserve">.</w:t>
      </w:r>
      <w:r/>
    </w:p>
    <w:p>
      <w:pPr>
        <w:pStyle w:val="982"/>
      </w:pPr>
      <w:r>
        <mc:AlternateContent>
          <mc:Choice Requires="wpg">
            <w:drawing>
              <wp:inline xmlns:wp="http://schemas.openxmlformats.org/drawingml/2006/wordprocessingDrawing" distT="0" distB="0" distL="0" distR="0">
                <wp:extent cx="6164580" cy="2072640"/>
                <wp:effectExtent l="0" t="0" r="0" b="0"/>
                <wp:docPr id="28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58"/>
                        <a:stretch/>
                      </pic:blipFill>
                      <pic:spPr bwMode="auto">
                        <a:xfrm>
                          <a:off x="0" y="0"/>
                          <a:ext cx="6164580" cy="20726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5" o:spid="_x0000_s285" type="#_x0000_t75" style="mso-wrap-distance-left:0.0pt;mso-wrap-distance-top:0.0pt;mso-wrap-distance-right:0.0pt;mso-wrap-distance-bottom:0.0pt;width:485.4pt;height:163.2pt;" stroked="f">
                <v:path textboxrect="0,0,0,0"/>
                <v:imagedata r:id="rId258" o:title=""/>
              </v:shape>
            </w:pict>
          </mc:Fallback>
        </mc:AlternateContent>
      </w:r>
      <w:r/>
    </w:p>
    <w:p>
      <w:pPr>
        <w:pStyle w:val="983"/>
      </w:pPr>
      <w:r>
        <w:fldChar w:fldCharType="begin"/>
      </w:r>
      <w:r>
        <w:instrText xml:space="preserve"> SEQ Рисунок \* ARABIC </w:instrText>
      </w:r>
      <w:r>
        <w:fldChar w:fldCharType="separate"/>
      </w:r>
      <w:bookmarkStart w:id="1381" w:name="_Ref205636529"/>
      <w:r/>
      <w:bookmarkStart w:id="1382" w:name="_Toc88819573"/>
      <w:r>
        <w:t xml:space="preserve">188</w:t>
      </w:r>
      <w:bookmarkEnd w:id="1381"/>
      <w:r>
        <w:fldChar w:fldCharType="end"/>
      </w:r>
      <w:r>
        <w:t xml:space="preserve">. ЭФ документа «Реестр расходных расписаний</w:t>
      </w:r>
      <w:r>
        <w:t xml:space="preserve">», закладки «</w:t>
      </w:r>
      <w:r>
        <w:t xml:space="preserve">Документ (1)</w:t>
      </w:r>
      <w:r>
        <w:t xml:space="preserve">», </w:t>
      </w:r>
      <w:r>
        <w:t xml:space="preserve">в</w:t>
      </w:r>
      <w:r>
        <w:t xml:space="preserve">кладки «</w:t>
      </w:r>
      <w:r>
        <w:t xml:space="preserve">Раздел II: ЛБО (5)»</w:t>
      </w:r>
      <w:bookmarkEnd w:id="1382"/>
      <w:r/>
      <w:r/>
    </w:p>
    <w:p>
      <w:pPr>
        <w:pStyle w:val="994"/>
      </w:pPr>
      <w:r>
        <w:t xml:space="preserve">Перечень </w:t>
      </w:r>
      <w:r>
        <w:t xml:space="preserve">полей документа «Реестр расходных расписаний</w:t>
      </w:r>
      <w:r>
        <w:t xml:space="preserve">», закладки «</w:t>
      </w:r>
      <w:r>
        <w:t xml:space="preserve">Документ (1)</w:t>
      </w:r>
      <w:r>
        <w:t xml:space="preserve">», вкладки «</w:t>
      </w:r>
      <w:r>
        <w:t xml:space="preserve">Раздел II: ЛБО (5)»</w:t>
      </w:r>
      <w:r>
        <w:t xml:space="preserve"> приведен в</w:t>
      </w:r>
      <w:r>
        <w:t xml:space="preserve"> таблице</w:t>
      </w:r>
      <w:r>
        <w:t xml:space="preserve"> </w:t>
      </w:r>
      <w:r>
        <w:fldChar w:fldCharType="begin"/>
      </w:r>
      <w:r>
        <w:instrText xml:space="preserve"> REF _Ref349750026 \h  \* MERGEFORMAT </w:instrText>
      </w:r>
      <w:r>
        <w:fldChar w:fldCharType="separate"/>
      </w:r>
      <w:r>
        <w:t xml:space="preserve">100</w:t>
      </w:r>
      <w:r>
        <w:fldChar w:fldCharType="end"/>
      </w:r>
      <w:r>
        <w:t xml:space="preserve">.</w:t>
      </w:r>
      <w:r/>
    </w:p>
    <w:p>
      <w:pPr>
        <w:pStyle w:val="993"/>
      </w:pPr>
      <w:r>
        <w:fldChar w:fldCharType="begin"/>
      </w:r>
      <w:r>
        <w:instrText xml:space="preserve"> SEQ Таблица \* ARABIC </w:instrText>
      </w:r>
      <w:r>
        <w:fldChar w:fldCharType="separate"/>
      </w:r>
      <w:bookmarkStart w:id="1383" w:name="_Ref349750026"/>
      <w:r/>
      <w:bookmarkStart w:id="1384" w:name="_Toc88819286"/>
      <w:r>
        <w:t xml:space="preserve">100</w:t>
      </w:r>
      <w:bookmarkEnd w:id="1383"/>
      <w:r>
        <w:fldChar w:fldCharType="end"/>
      </w:r>
      <w:r>
        <w:t xml:space="preserve">. Описание полей документа «Реестр расходных расписаний</w:t>
      </w:r>
      <w:r>
        <w:t xml:space="preserve">», закладки «</w:t>
      </w:r>
      <w:r>
        <w:t xml:space="preserve">Документ (1)</w:t>
      </w:r>
      <w:r>
        <w:t xml:space="preserve">», в</w:t>
      </w:r>
      <w:r>
        <w:t xml:space="preserve">кладки «</w:t>
      </w:r>
      <w:r>
        <w:t xml:space="preserve">Раздел II: ЛБО (5)»</w:t>
      </w:r>
      <w:bookmarkEnd w:id="1384"/>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23"/>
        <w:gridCol w:w="7529"/>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14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60" w:type="pct"/>
            <w:vAlign w:val="center"/>
            <w:textDirection w:val="lrTb"/>
            <w:noWrap w:val="false"/>
          </w:tcPr>
          <w:p>
            <w:pPr>
              <w:pStyle w:val="1006"/>
            </w:pPr>
            <w:r>
              <w:t xml:space="preserve">Описание поля</w:t>
            </w:r>
            <w:r/>
          </w:p>
        </w:tc>
      </w:tr>
      <w:tr>
        <w:trPr/>
        <w:tc>
          <w:tcPr>
            <w:shd w:val="clear" w:fill="auto" w:color="auto"/>
            <w:tcW w:w="1140" w:type="pct"/>
            <w:textDirection w:val="lrTb"/>
            <w:noWrap w:val="false"/>
          </w:tcPr>
          <w:p>
            <w:pPr>
              <w:pStyle w:val="1005"/>
              <w:ind w:left="57" w:right="57"/>
            </w:pPr>
            <w:r>
              <w:t xml:space="preserve">Номер</w:t>
            </w:r>
            <w:r/>
          </w:p>
        </w:tc>
        <w:tc>
          <w:tcPr>
            <w:shd w:val="clear" w:fill="auto" w:color="auto"/>
            <w:tcW w:w="3860" w:type="pct"/>
            <w:textDirection w:val="lrTb"/>
            <w:noWrap w:val="false"/>
          </w:tcPr>
          <w:p>
            <w:pPr>
              <w:pStyle w:val="1005"/>
              <w:ind w:left="57" w:right="57"/>
            </w:pPr>
            <w:r>
              <w:t xml:space="preserve">Номер выбранного расходного расписания на закладке «Расходное распис</w:t>
            </w:r>
            <w:r>
              <w:t xml:space="preserve">а</w:t>
            </w:r>
            <w:r>
              <w:t xml:space="preserve">ние»</w:t>
            </w:r>
            <w:r>
              <w:t xml:space="preserve">. </w:t>
            </w:r>
            <w:r>
              <w:t xml:space="preserve">Является копией с закладки «Расходное расписание».</w:t>
            </w:r>
            <w:r/>
          </w:p>
        </w:tc>
      </w:tr>
      <w:tr>
        <w:trPr/>
        <w:tc>
          <w:tcPr>
            <w:shd w:val="clear" w:fill="auto" w:color="auto"/>
            <w:tcW w:w="1140" w:type="pct"/>
            <w:textDirection w:val="lrTb"/>
            <w:noWrap w:val="false"/>
          </w:tcPr>
          <w:p>
            <w:pPr>
              <w:pStyle w:val="1005"/>
              <w:ind w:left="57" w:right="57"/>
            </w:pPr>
            <w:r>
              <w:t xml:space="preserve">Дата в/д</w:t>
            </w:r>
            <w:r/>
          </w:p>
        </w:tc>
        <w:tc>
          <w:tcPr>
            <w:shd w:val="clear" w:fill="auto" w:color="auto"/>
            <w:tcW w:w="3860" w:type="pct"/>
            <w:textDirection w:val="lrTb"/>
            <w:noWrap w:val="false"/>
          </w:tcPr>
          <w:p>
            <w:pPr>
              <w:pStyle w:val="1005"/>
              <w:ind w:left="57" w:right="57"/>
            </w:pPr>
            <w:r>
              <w:t xml:space="preserve">Дата ввода в действие выбранного расходного расписания на закладке «Ра</w:t>
            </w:r>
            <w:r>
              <w:t xml:space="preserve">с</w:t>
            </w:r>
            <w:r>
              <w:t xml:space="preserve">ходное расписание»</w:t>
            </w:r>
            <w:r>
              <w:t xml:space="preserve">. </w:t>
            </w:r>
            <w:r>
              <w:t xml:space="preserve">Является копией с закладки «Расходное расписание».</w:t>
            </w:r>
            <w:r/>
          </w:p>
        </w:tc>
      </w:tr>
      <w:tr>
        <w:trPr/>
        <w:tc>
          <w:tcPr>
            <w:shd w:val="clear" w:fill="auto" w:color="auto"/>
            <w:tcW w:w="1140" w:type="pct"/>
            <w:textDirection w:val="lrTb"/>
            <w:noWrap w:val="false"/>
          </w:tcPr>
          <w:p>
            <w:pPr>
              <w:pStyle w:val="1005"/>
              <w:ind w:left="57" w:right="57"/>
            </w:pPr>
            <w:r>
              <w:t xml:space="preserve">Кому</w:t>
            </w:r>
            <w:r/>
          </w:p>
        </w:tc>
        <w:tc>
          <w:tcPr>
            <w:shd w:val="clear" w:fill="auto" w:color="auto"/>
            <w:tcW w:w="3860" w:type="pct"/>
            <w:textDirection w:val="lrTb"/>
            <w:noWrap w:val="false"/>
          </w:tcPr>
          <w:p>
            <w:pPr>
              <w:pStyle w:val="1005"/>
              <w:ind w:left="57" w:right="57"/>
            </w:pPr>
            <w:r>
              <w:t xml:space="preserve">Код БУ-получателя выбранного расходного расписания на закладке «Расхо</w:t>
            </w:r>
            <w:r>
              <w:t xml:space="preserve">д</w:t>
            </w:r>
            <w:r>
              <w:t xml:space="preserve">ное расписание».</w:t>
            </w:r>
            <w:r>
              <w:t xml:space="preserve"> </w:t>
            </w:r>
            <w:r>
              <w:t xml:space="preserve">Является копией с закладки «Расходное расписание».</w:t>
            </w:r>
            <w:r/>
          </w:p>
        </w:tc>
      </w:tr>
      <w:tr>
        <w:trPr/>
        <w:tc>
          <w:tcPr>
            <w:shd w:val="clear" w:fill="auto" w:color="auto"/>
            <w:tcW w:w="1140" w:type="pct"/>
            <w:textDirection w:val="lrTb"/>
            <w:noWrap w:val="false"/>
          </w:tcPr>
          <w:p>
            <w:pPr>
              <w:pStyle w:val="1005"/>
              <w:ind w:left="57" w:right="57"/>
            </w:pPr>
            <w:r>
              <w:t xml:space="preserve">Наименование</w:t>
            </w:r>
            <w:r/>
          </w:p>
        </w:tc>
        <w:tc>
          <w:tcPr>
            <w:shd w:val="clear" w:fill="auto" w:color="auto"/>
            <w:tcW w:w="3860" w:type="pct"/>
            <w:textDirection w:val="lrTb"/>
            <w:noWrap w:val="false"/>
          </w:tcPr>
          <w:p>
            <w:pPr>
              <w:pStyle w:val="1005"/>
              <w:ind w:left="57" w:right="57"/>
            </w:pPr>
            <w:r>
              <w:t xml:space="preserve">Наименование БУ-получателя выбранного расходного расписания на з</w:t>
            </w:r>
            <w:r>
              <w:t xml:space="preserve">а</w:t>
            </w:r>
            <w:r>
              <w:t xml:space="preserve">кладке «Расходное расписание».</w:t>
            </w:r>
            <w:r>
              <w:t xml:space="preserve"> </w:t>
            </w:r>
            <w:r>
              <w:t xml:space="preserve">Является копией с закладки «Расходное расписание».</w:t>
            </w:r>
            <w:r/>
          </w:p>
        </w:tc>
      </w:tr>
      <w:tr>
        <w:trPr>
          <w:trHeight w:val="77"/>
        </w:trPr>
        <w:tc>
          <w:tcPr>
            <w:gridSpan w:val="2"/>
            <w:shd w:val="clear" w:fill="auto" w:color="auto"/>
            <w:tcW w:w="5000" w:type="pct"/>
            <w:textDirection w:val="lrTb"/>
            <w:noWrap w:val="false"/>
          </w:tcPr>
          <w:p>
            <w:pPr>
              <w:pStyle w:val="1005"/>
              <w:ind w:left="57" w:right="57"/>
            </w:pPr>
            <w:r>
              <w:t xml:space="preserve">Г</w:t>
            </w:r>
            <w:r>
              <w:t xml:space="preserve">руппа полей «</w:t>
            </w:r>
            <w:r>
              <w:t xml:space="preserve">Строки: Раздел II</w:t>
            </w:r>
            <w:r>
              <w:t xml:space="preserve">. ЛИМИТЫ БЮДЖЕТНЫХ ОБЯЗАТЕЛЬСТВ</w:t>
            </w:r>
            <w:r>
              <w:t xml:space="preserve">»</w:t>
            </w:r>
            <w:r/>
          </w:p>
        </w:tc>
      </w:tr>
      <w:tr>
        <w:trPr>
          <w:trHeight w:val="77"/>
        </w:trPr>
        <w:tc>
          <w:tcPr>
            <w:shd w:val="clear" w:fill="auto" w:color="auto"/>
            <w:tcW w:w="1140" w:type="pct"/>
            <w:textDirection w:val="lrTb"/>
            <w:noWrap w:val="false"/>
          </w:tcPr>
          <w:p>
            <w:pPr>
              <w:pStyle w:val="1005"/>
              <w:ind w:left="57" w:right="57"/>
            </w:pPr>
            <w:r>
              <w:t xml:space="preserve">Дата в/д раздела</w:t>
            </w:r>
            <w:r/>
          </w:p>
        </w:tc>
        <w:tc>
          <w:tcPr>
            <w:shd w:val="clear" w:fill="auto" w:color="auto"/>
            <w:tcW w:w="3860" w:type="pct"/>
            <w:textDirection w:val="lrTb"/>
            <w:noWrap w:val="false"/>
          </w:tcPr>
          <w:p>
            <w:pPr>
              <w:pStyle w:val="1005"/>
              <w:ind w:left="57" w:right="57"/>
            </w:pPr>
            <w:r>
              <w:t xml:space="preserve">Дата ввода в действие бюджетных данных раздела расходн</w:t>
            </w:r>
            <w:r>
              <w:t xml:space="preserve">о</w:t>
            </w:r>
            <w:r>
              <w:t xml:space="preserve">го расписания</w:t>
            </w:r>
            <w:r/>
          </w:p>
          <w:p>
            <w:pPr>
              <w:pStyle w:val="1005"/>
              <w:ind w:left="57" w:right="57"/>
            </w:pPr>
            <w:r>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r/>
          </w:p>
        </w:tc>
      </w:tr>
      <w:tr>
        <w:trPr>
          <w:trHeight w:val="77"/>
        </w:trPr>
        <w:tc>
          <w:tcPr>
            <w:shd w:val="clear" w:fill="auto" w:color="auto"/>
            <w:tcW w:w="1140" w:type="pct"/>
            <w:textDirection w:val="lrTb"/>
            <w:noWrap w:val="false"/>
          </w:tcPr>
          <w:p>
            <w:pPr>
              <w:pStyle w:val="1005"/>
              <w:ind w:left="57" w:right="57"/>
            </w:pPr>
            <w:r>
              <w:t xml:space="preserve">Итого: тек. </w:t>
            </w:r>
            <w:r>
              <w:t xml:space="preserve">Г</w:t>
            </w:r>
            <w:r>
              <w:t xml:space="preserve">од</w:t>
            </w:r>
            <w:r/>
          </w:p>
        </w:tc>
        <w:tc>
          <w:tcPr>
            <w:shd w:val="clear" w:fill="auto" w:color="auto"/>
            <w:tcW w:w="3860" w:type="pct"/>
            <w:textDirection w:val="lrTb"/>
            <w:noWrap w:val="false"/>
          </w:tcPr>
          <w:p>
            <w:pPr>
              <w:pStyle w:val="1005"/>
              <w:ind w:left="57" w:right="57"/>
            </w:pPr>
            <w:r>
              <w:t xml:space="preserve">Общая сумма ЛБО в текущем году. Рассчитывается как су</w:t>
            </w:r>
            <w:r>
              <w:t xml:space="preserve">м</w:t>
            </w:r>
            <w:r>
              <w:t xml:space="preserve">ма значений по всем строкам в поле «Сумма: тек. </w:t>
            </w:r>
            <w:r>
              <w:t xml:space="preserve">Г</w:t>
            </w:r>
            <w:r>
              <w:t xml:space="preserve">од».</w:t>
            </w:r>
            <w:r/>
          </w:p>
        </w:tc>
      </w:tr>
      <w:tr>
        <w:trPr>
          <w:trHeight w:val="77"/>
        </w:trPr>
        <w:tc>
          <w:tcPr>
            <w:shd w:val="clear" w:fill="auto" w:color="auto"/>
            <w:tcW w:w="1140" w:type="pct"/>
            <w:textDirection w:val="lrTb"/>
            <w:noWrap w:val="false"/>
          </w:tcPr>
          <w:p>
            <w:pPr>
              <w:pStyle w:val="1005"/>
              <w:ind w:left="57" w:right="57"/>
            </w:pPr>
            <w:r>
              <w:t xml:space="preserve">Итого: 1 год</w:t>
            </w:r>
            <w:r/>
          </w:p>
        </w:tc>
        <w:tc>
          <w:tcPr>
            <w:shd w:val="clear" w:fill="auto" w:color="auto"/>
            <w:tcW w:w="3860" w:type="pct"/>
            <w:textDirection w:val="lrTb"/>
            <w:noWrap w:val="false"/>
          </w:tcPr>
          <w:p>
            <w:pPr>
              <w:pStyle w:val="1005"/>
              <w:ind w:left="57" w:right="57"/>
            </w:pPr>
            <w:r>
              <w:t xml:space="preserve">Общая сумма БА по первому году планового периода. </w:t>
            </w:r>
            <w:r/>
          </w:p>
          <w:p>
            <w:pPr>
              <w:pStyle w:val="1005"/>
              <w:ind w:left="57" w:right="57"/>
            </w:pPr>
            <w:r>
              <w:t xml:space="preserve">Рассчитывается как сумма значений по всем строкам в поле «Сумма: 1 год».</w:t>
            </w:r>
            <w:r/>
          </w:p>
        </w:tc>
      </w:tr>
      <w:tr>
        <w:trPr>
          <w:trHeight w:val="77"/>
        </w:trPr>
        <w:tc>
          <w:tcPr>
            <w:shd w:val="clear" w:fill="auto" w:color="auto"/>
            <w:tcW w:w="1140" w:type="pct"/>
            <w:textDirection w:val="lrTb"/>
            <w:noWrap w:val="false"/>
          </w:tcPr>
          <w:p>
            <w:pPr>
              <w:pStyle w:val="1005"/>
              <w:ind w:left="57" w:right="57"/>
            </w:pPr>
            <w:r>
              <w:t xml:space="preserve">Итого: 2 год</w:t>
            </w:r>
            <w:r/>
          </w:p>
        </w:tc>
        <w:tc>
          <w:tcPr>
            <w:shd w:val="clear" w:fill="auto" w:color="auto"/>
            <w:tcW w:w="3860" w:type="pct"/>
            <w:textDirection w:val="lrTb"/>
            <w:noWrap w:val="false"/>
          </w:tcPr>
          <w:p>
            <w:pPr>
              <w:pStyle w:val="1005"/>
              <w:ind w:left="57" w:right="57"/>
            </w:pPr>
            <w:r>
              <w:t xml:space="preserve">Общая сумма БА по второму году планового периода. </w:t>
            </w:r>
            <w:r/>
          </w:p>
          <w:p>
            <w:pPr>
              <w:pStyle w:val="1005"/>
              <w:ind w:left="57" w:right="57"/>
            </w:pPr>
            <w:r>
              <w:t xml:space="preserve">Рассчитывается как сумма значений по всем строкам в поле «Сумма: 2 год».</w:t>
            </w:r>
            <w:r/>
          </w:p>
        </w:tc>
      </w:tr>
      <w:tr>
        <w:trPr>
          <w:trHeight w:val="77"/>
        </w:trPr>
        <w:tc>
          <w:tcPr>
            <w:shd w:val="clear" w:fill="auto" w:color="auto"/>
            <w:tcW w:w="1140" w:type="pct"/>
            <w:textDirection w:val="lrTb"/>
            <w:noWrap w:val="false"/>
          </w:tcPr>
          <w:p>
            <w:pPr>
              <w:pStyle w:val="1005"/>
              <w:ind w:left="57" w:right="57"/>
            </w:pPr>
            <w:r>
              <w:t xml:space="preserve">№</w:t>
            </w:r>
            <w:r/>
          </w:p>
        </w:tc>
        <w:tc>
          <w:tcPr>
            <w:shd w:val="clear" w:fill="auto" w:color="auto"/>
            <w:tcW w:w="3860" w:type="pct"/>
            <w:textDirection w:val="lrTb"/>
            <w:noWrap w:val="false"/>
          </w:tcPr>
          <w:p>
            <w:pPr>
              <w:pStyle w:val="1005"/>
              <w:ind w:left="57" w:right="57"/>
            </w:pPr>
            <w:r>
              <w:t xml:space="preserve">Номер строки.</w:t>
            </w:r>
            <w:r/>
          </w:p>
          <w:p>
            <w:pPr>
              <w:pStyle w:val="1005"/>
              <w:ind w:left="57" w:right="57"/>
            </w:pPr>
            <w:r>
              <w:t xml:space="preserve">Автоматически заполняется номером строки по порядку (номер по порядку в пределах раздела документа), начиная с 1</w:t>
            </w:r>
            <w:r>
              <w:t xml:space="preserve">.</w:t>
            </w:r>
            <w:r/>
          </w:p>
        </w:tc>
      </w:tr>
      <w:tr>
        <w:trPr>
          <w:trHeight w:val="77"/>
        </w:trPr>
        <w:tc>
          <w:tcPr>
            <w:shd w:val="clear" w:fill="auto" w:color="auto"/>
            <w:tcW w:w="1140" w:type="pct"/>
            <w:textDirection w:val="lrTb"/>
            <w:noWrap w:val="false"/>
          </w:tcPr>
          <w:p>
            <w:pPr>
              <w:pStyle w:val="1005"/>
              <w:ind w:left="57" w:right="57"/>
            </w:pPr>
            <w:r>
              <w:t xml:space="preserve">Код объекта капитальных вложений</w:t>
            </w:r>
            <w:r/>
          </w:p>
        </w:tc>
        <w:tc>
          <w:tcPr>
            <w:shd w:val="clear" w:fill="auto" w:color="auto"/>
            <w:tcW w:w="3860" w:type="pct"/>
            <w:textDirection w:val="lrTb"/>
            <w:noWrap w:val="false"/>
          </w:tcPr>
          <w:p>
            <w:pPr>
              <w:pStyle w:val="1005"/>
              <w:ind w:left="57" w:right="57"/>
            </w:pPr>
            <w:r>
              <w:t xml:space="preserve">Заполняется вручную путем выбора значения из справочника </w:t>
            </w:r>
            <w:r>
              <w:t xml:space="preserve">«</w:t>
            </w:r>
            <w:r>
              <w:t xml:space="preserve">ФАИП</w:t>
            </w:r>
            <w:r>
              <w:t xml:space="preserve">»</w:t>
            </w:r>
            <w:r>
              <w:t xml:space="preserve">.</w:t>
            </w:r>
            <w:r/>
          </w:p>
        </w:tc>
      </w:tr>
      <w:tr>
        <w:trPr>
          <w:trHeight w:val="77"/>
        </w:trPr>
        <w:tc>
          <w:tcPr>
            <w:shd w:val="clear" w:fill="auto" w:color="auto"/>
            <w:tcW w:w="1140" w:type="pct"/>
            <w:textDirection w:val="lrTb"/>
            <w:noWrap w:val="false"/>
          </w:tcPr>
          <w:p>
            <w:pPr>
              <w:pStyle w:val="1005"/>
              <w:ind w:left="57" w:right="57"/>
            </w:pPr>
            <w:r>
              <w:t xml:space="preserve">КБК</w:t>
            </w:r>
            <w:r/>
          </w:p>
        </w:tc>
        <w:tc>
          <w:tcPr>
            <w:shd w:val="clear" w:fill="auto" w:color="auto"/>
            <w:tcW w:w="3860" w:type="pct"/>
            <w:textDirection w:val="lrTb"/>
            <w:noWrap w:val="false"/>
          </w:tcPr>
          <w:p>
            <w:pPr>
              <w:pStyle w:val="1005"/>
              <w:ind w:left="57" w:right="57"/>
            </w:pPr>
            <w:r>
              <w:t xml:space="preserve">Код бюджетной классификации (20 символов).</w:t>
            </w:r>
            <w:r/>
          </w:p>
          <w:p>
            <w:pPr>
              <w:pStyle w:val="1005"/>
              <w:ind w:left="57" w:right="57"/>
            </w:pPr>
            <w:r>
              <w:t xml:space="preserve">Для АРМ: </w:t>
            </w:r>
            <w:r/>
          </w:p>
          <w:p>
            <w:pPr>
              <w:pStyle w:val="1008"/>
              <w:numPr>
                <w:ilvl w:val="0"/>
                <w:numId w:val="33"/>
              </w:numPr>
            </w:pPr>
            <w:r>
              <w:t xml:space="preserve">Поле КБК может быть заполнено как в целом кодовой бюджетной классификацией (</w:t>
            </w:r>
            <w:r>
              <w:t xml:space="preserve">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w:t>
            </w:r>
            <w:r>
              <w:t xml:space="preserve">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 </w:t>
            </w:r>
            <w:r/>
          </w:p>
          <w:p>
            <w:pPr>
              <w:pStyle w:val="1008"/>
            </w:pPr>
            <w:r>
              <w:t xml:space="preserve">Поле может быть заполнено вручную или выбором из справочника КБК. Значения справочника ограничены значением полей «Бюджет» и «Глава по БК».</w:t>
            </w:r>
            <w:r/>
          </w:p>
          <w:p>
            <w:pPr>
              <w:pStyle w:val="1008"/>
            </w:pPr>
            <w:r>
              <w:t xml:space="preserve">Заполняется из соответствующего поля закладки «Раздел II: ЛБО» ЭД «Распределение бюджетных данных» (не для АРМ Офлайн-клиент ФК).</w:t>
            </w:r>
            <w:r/>
          </w:p>
        </w:tc>
      </w:tr>
      <w:tr>
        <w:trPr>
          <w:trHeight w:val="77"/>
        </w:trPr>
        <w:tc>
          <w:tcPr>
            <w:shd w:val="clear" w:fill="auto" w:color="auto"/>
            <w:tcW w:w="1140" w:type="pct"/>
            <w:textDirection w:val="lrTb"/>
            <w:noWrap w:val="false"/>
          </w:tcPr>
          <w:p>
            <w:pPr>
              <w:pStyle w:val="1005"/>
              <w:ind w:left="57" w:right="57"/>
            </w:pPr>
            <w:r>
              <w:t xml:space="preserve">Цели субсидий</w:t>
            </w:r>
            <w:r/>
          </w:p>
        </w:tc>
        <w:tc>
          <w:tcPr>
            <w:shd w:val="clear" w:fill="auto" w:color="auto"/>
            <w:tcW w:w="3860" w:type="pct"/>
            <w:textDirection w:val="lrTb"/>
            <w:noWrap w:val="false"/>
          </w:tcPr>
          <w:p>
            <w:pPr>
              <w:pStyle w:val="1005"/>
              <w:ind w:left="57" w:right="57"/>
            </w:pPr>
            <w:r>
              <w:t xml:space="preserve">Код цели субсидий/субвенций.</w:t>
            </w:r>
            <w:r/>
          </w:p>
          <w:p>
            <w:pPr>
              <w:pStyle w:val="1008"/>
              <w:numPr>
                <w:ilvl w:val="0"/>
                <w:numId w:val="34"/>
              </w:numPr>
            </w:pPr>
            <w:r>
              <w:t xml:space="preserve">Для АРМ. Выбирается из справочника</w:t>
            </w:r>
            <w:r>
              <w:t xml:space="preserve"> </w:t>
            </w:r>
            <w:r>
              <w:t xml:space="preserve">«Цели субсидий» или заполняется вручную. Отображается код и наименование. Наименование не редактируемое.</w:t>
            </w:r>
            <w:r/>
          </w:p>
          <w:p>
            <w:pPr>
              <w:pStyle w:val="1008"/>
            </w:pPr>
            <w:r>
              <w:t xml:space="preserve">Заполняется из соответствующего поля закладки «Раздел II: ЛБО» ЭД «Распределение бюджетных данных» (не для АРМ Офлайн-клиент ФК).</w:t>
            </w:r>
            <w:r/>
          </w:p>
        </w:tc>
      </w:tr>
      <w:tr>
        <w:trPr>
          <w:trHeight w:val="77"/>
        </w:trPr>
        <w:tc>
          <w:tcPr>
            <w:shd w:val="clear" w:fill="auto" w:color="auto"/>
            <w:tcW w:w="1140" w:type="pct"/>
            <w:textDirection w:val="lrTb"/>
            <w:noWrap w:val="false"/>
          </w:tcPr>
          <w:p>
            <w:pPr>
              <w:pStyle w:val="1005"/>
              <w:ind w:left="57" w:right="57"/>
            </w:pPr>
            <w:r>
              <w:t xml:space="preserve">Сумма: тек. </w:t>
            </w:r>
            <w:r>
              <w:t xml:space="preserve">Г</w:t>
            </w:r>
            <w:r>
              <w:t xml:space="preserve">од</w:t>
            </w:r>
            <w:r/>
          </w:p>
        </w:tc>
        <w:tc>
          <w:tcPr>
            <w:shd w:val="clear" w:fill="auto" w:color="auto"/>
            <w:tcW w:w="3860" w:type="pct"/>
            <w:textDirection w:val="lrTb"/>
            <w:noWrap w:val="false"/>
          </w:tcPr>
          <w:p>
            <w:pPr>
              <w:pStyle w:val="1005"/>
              <w:ind w:left="57" w:right="57"/>
            </w:pPr>
            <w:r>
              <w:t xml:space="preserve">Сумма ЛБО в текущем году.</w:t>
            </w:r>
            <w:r/>
          </w:p>
          <w:p>
            <w:pPr>
              <w:pStyle w:val="1008"/>
              <w:numPr>
                <w:ilvl w:val="0"/>
                <w:numId w:val="35"/>
              </w:numPr>
            </w:pPr>
            <w:r>
              <w:t xml:space="preserve">Заполняется вручную. Поле «Сумма: тек.год» отображает сумму строки бюджетного документа, у которого Финансовый год равен атрибуту «Период с» бюджетного документа.</w:t>
            </w:r>
            <w:r/>
          </w:p>
          <w:p>
            <w:pPr>
              <w:pStyle w:val="1008"/>
            </w:pPr>
            <w:r>
              <w:t xml:space="preserve">Заполняется из поля «Выделено: тек.год» закладки «Раздел II: ЛБО» ЭД «Распределение бюджетных данных» (не для АРМ Офлайн-клиент ФК).</w:t>
            </w:r>
            <w:r/>
          </w:p>
        </w:tc>
      </w:tr>
      <w:tr>
        <w:trPr>
          <w:trHeight w:val="77"/>
        </w:trPr>
        <w:tc>
          <w:tcPr>
            <w:shd w:val="clear" w:fill="auto" w:color="auto"/>
            <w:tcW w:w="1140" w:type="pct"/>
            <w:textDirection w:val="lrTb"/>
            <w:noWrap w:val="false"/>
          </w:tcPr>
          <w:p>
            <w:pPr>
              <w:pStyle w:val="1005"/>
              <w:ind w:left="57" w:right="57"/>
            </w:pPr>
            <w:r>
              <w:t xml:space="preserve">Сумма: 1 год</w:t>
            </w:r>
            <w:r/>
          </w:p>
        </w:tc>
        <w:tc>
          <w:tcPr>
            <w:shd w:val="clear" w:fill="auto" w:color="auto"/>
            <w:tcW w:w="3860" w:type="pct"/>
            <w:textDirection w:val="lrTb"/>
            <w:noWrap w:val="false"/>
          </w:tcPr>
          <w:p>
            <w:pPr>
              <w:pStyle w:val="1005"/>
              <w:ind w:left="57" w:right="57"/>
            </w:pPr>
            <w:r>
              <w:t xml:space="preserve">Сумма ЛБО по первому году планового периода.</w:t>
            </w:r>
            <w:r/>
          </w:p>
          <w:p>
            <w:pPr>
              <w:pStyle w:val="1008"/>
              <w:numPr>
                <w:ilvl w:val="0"/>
                <w:numId w:val="36"/>
              </w:numPr>
            </w:pPr>
            <w:r>
              <w:t xml:space="preserve">Заполняется вручную. Поле «Сумма: 1-й год» отображает сумму строки бюджетного документа, у которого Финансовый год равен атрибуту </w:t>
            </w:r>
            <w:r>
              <w:t xml:space="preserve">«Период с»+1 бюджетного документа.</w:t>
            </w:r>
            <w:r/>
          </w:p>
          <w:p>
            <w:pPr>
              <w:pStyle w:val="1008"/>
            </w:pPr>
            <w:r>
              <w:t xml:space="preserve">Заполняется из поля «Выделено: 1 год» закладки «Раздел II: ЛБО» ЭД «Распределение бюджетных данных» (не для АРМ Офлайн-клиент ФК).</w:t>
            </w:r>
            <w:r/>
          </w:p>
        </w:tc>
      </w:tr>
      <w:tr>
        <w:trPr>
          <w:trHeight w:val="77"/>
        </w:trPr>
        <w:tc>
          <w:tcPr>
            <w:shd w:val="clear" w:fill="auto" w:color="auto"/>
            <w:tcW w:w="1140" w:type="pct"/>
            <w:textDirection w:val="lrTb"/>
            <w:noWrap w:val="false"/>
          </w:tcPr>
          <w:p>
            <w:pPr>
              <w:pStyle w:val="1005"/>
              <w:ind w:left="57" w:right="57"/>
            </w:pPr>
            <w:r>
              <w:t xml:space="preserve">Сумма: 2 год</w:t>
            </w:r>
            <w:r/>
          </w:p>
        </w:tc>
        <w:tc>
          <w:tcPr>
            <w:shd w:val="clear" w:fill="auto" w:color="auto"/>
            <w:tcW w:w="3860" w:type="pct"/>
            <w:textDirection w:val="lrTb"/>
            <w:noWrap w:val="false"/>
          </w:tcPr>
          <w:p>
            <w:pPr>
              <w:pStyle w:val="1005"/>
              <w:ind w:left="57" w:right="57"/>
            </w:pPr>
            <w:r>
              <w:t xml:space="preserve">Сумма ЛБО по второму году планового периода.</w:t>
            </w:r>
            <w:r/>
          </w:p>
          <w:p>
            <w:pPr>
              <w:pStyle w:val="1008"/>
              <w:numPr>
                <w:ilvl w:val="0"/>
                <w:numId w:val="37"/>
              </w:numPr>
            </w:pPr>
            <w:r>
              <w:t xml:space="preserve">Заполняется вручную. Поле «Сумма: 2-й год» отображает сумму строки бюджетного документа, у которого Финансовый год равен атрибуту «Период с»+2 бюджетного документа.</w:t>
            </w:r>
            <w:r/>
          </w:p>
          <w:p>
            <w:pPr>
              <w:pStyle w:val="1008"/>
            </w:pPr>
            <w:r>
              <w:t xml:space="preserve">Заполняется из поля «Выделено: 2 год» закладки «Раздел II: ЛБО» ЭД «Распределение бюджетных данных» (не для АРМ Офлайн-клиент ФК).</w:t>
            </w:r>
            <w:r/>
          </w:p>
        </w:tc>
      </w:tr>
      <w:tr>
        <w:trPr>
          <w:trHeight w:val="77"/>
        </w:trPr>
        <w:tc>
          <w:tcPr>
            <w:shd w:val="clear" w:fill="auto" w:color="auto"/>
            <w:tcW w:w="1140" w:type="pct"/>
            <w:textDirection w:val="lrTb"/>
            <w:noWrap w:val="false"/>
          </w:tcPr>
          <w:p>
            <w:pPr>
              <w:pStyle w:val="1005"/>
              <w:ind w:left="57" w:right="57"/>
            </w:pPr>
            <w:r>
              <w:t xml:space="preserve">Примечание</w:t>
            </w:r>
            <w:r/>
          </w:p>
        </w:tc>
        <w:tc>
          <w:tcPr>
            <w:shd w:val="clear" w:fill="auto" w:color="auto"/>
            <w:tcW w:w="3860" w:type="pct"/>
            <w:textDirection w:val="lrTb"/>
            <w:noWrap w:val="false"/>
          </w:tcPr>
          <w:p>
            <w:pPr>
              <w:pStyle w:val="1005"/>
              <w:ind w:left="57" w:right="57"/>
            </w:pPr>
            <w:r>
              <w:t xml:space="preserve">Примечание.</w:t>
            </w:r>
            <w:r>
              <w:t xml:space="preserve"> </w:t>
            </w:r>
            <w:r>
              <w:t xml:space="preserve">Заполняется вручную.</w:t>
            </w:r>
            <w:r/>
          </w:p>
        </w:tc>
      </w:tr>
    </w:tbl>
    <w:p>
      <w:pPr>
        <w:pStyle w:val="994"/>
      </w:pPr>
      <w:r>
        <w:t xml:space="preserve">ЭФ документа «Реестр расходных расписаний</w:t>
      </w:r>
      <w:r>
        <w:t xml:space="preserve">», закладки «Документ (1)</w:t>
      </w:r>
      <w:r>
        <w:t xml:space="preserve">», в</w:t>
      </w:r>
      <w:r>
        <w:t xml:space="preserve">кладки «Раздел III: ПОФР (6)»</w:t>
      </w:r>
      <w:r>
        <w:t xml:space="preserve"> представлена на рисунке</w:t>
      </w:r>
      <w:r>
        <w:t xml:space="preserve"> </w:t>
      </w:r>
      <w:r>
        <w:fldChar w:fldCharType="begin"/>
      </w:r>
      <w:r>
        <w:instrText xml:space="preserve"> REF _Ref205636529 \h  \* MERGEFORMAT </w:instrText>
      </w:r>
      <w:r>
        <w:fldChar w:fldCharType="separate"/>
      </w:r>
      <w:r>
        <w:t xml:space="preserve">188</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011680"/>
                <wp:effectExtent l="0" t="0" r="0" b="0"/>
                <wp:docPr id="28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59"/>
                        <a:stretch/>
                      </pic:blipFill>
                      <pic:spPr bwMode="auto">
                        <a:xfrm>
                          <a:off x="0" y="0"/>
                          <a:ext cx="6126480" cy="20116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6" o:spid="_x0000_s286" type="#_x0000_t75" style="mso-wrap-distance-left:0.0pt;mso-wrap-distance-top:0.0pt;mso-wrap-distance-right:0.0pt;mso-wrap-distance-bottom:0.0pt;width:482.4pt;height:158.4pt;" stroked="f">
                <v:path textboxrect="0,0,0,0"/>
                <v:imagedata r:id="rId259" o:title=""/>
              </v:shape>
            </w:pict>
          </mc:Fallback>
        </mc:AlternateContent>
      </w:r>
      <w:r/>
    </w:p>
    <w:p>
      <w:pPr>
        <w:pStyle w:val="983"/>
      </w:pPr>
      <w:r>
        <w:fldChar w:fldCharType="begin"/>
      </w:r>
      <w:r>
        <w:instrText xml:space="preserve"> SEQ Рисунок \* ARABIC </w:instrText>
      </w:r>
      <w:r>
        <w:fldChar w:fldCharType="separate"/>
      </w:r>
      <w:bookmarkStart w:id="1385" w:name="_Ref226440283"/>
      <w:r/>
      <w:bookmarkStart w:id="1386" w:name="_Toc88819574"/>
      <w:r>
        <w:t xml:space="preserve">189</w:t>
      </w:r>
      <w:bookmarkEnd w:id="1385"/>
      <w:r>
        <w:fldChar w:fldCharType="end"/>
      </w:r>
      <w:r>
        <w:t xml:space="preserve">. ЭФ документа «Реестр расходных расписаний</w:t>
      </w:r>
      <w:r>
        <w:t xml:space="preserve">», закладки «</w:t>
      </w:r>
      <w:r>
        <w:t xml:space="preserve">Документ (1)</w:t>
      </w:r>
      <w:r>
        <w:t xml:space="preserve">», в</w:t>
      </w:r>
      <w:r>
        <w:t xml:space="preserve">кладки «</w:t>
      </w:r>
      <w:r>
        <w:t xml:space="preserve">Раздел III: ПОФР (6)»</w:t>
      </w:r>
      <w:bookmarkEnd w:id="1386"/>
      <w:r/>
      <w:r/>
    </w:p>
    <w:p>
      <w:pPr>
        <w:pStyle w:val="994"/>
      </w:pPr>
      <w:r>
        <w:t xml:space="preserve">В</w:t>
      </w:r>
      <w:r>
        <w:t xml:space="preserve">кладка «Раздел II: ЛБО (5)»</w:t>
      </w:r>
      <w:r>
        <w:t xml:space="preserve">, вложенная в закладку «Документ (1)», содержит заголовочные поля и строки ЛБО по Разделу II, относящиеся к выбранному расходному расписанию на закладке «Расход</w:t>
      </w:r>
      <w:r>
        <w:t xml:space="preserve">ные расписания (3)» (см.</w:t>
      </w:r>
      <w:r>
        <w:t xml:space="preserve"> </w:t>
      </w:r>
      <w:r>
        <w:t xml:space="preserve">табл.</w:t>
      </w:r>
      <w:r>
        <w:t xml:space="preserve"> </w:t>
      </w:r>
      <w:r>
        <w:fldChar w:fldCharType="begin"/>
      </w:r>
      <w:r>
        <w:instrText xml:space="preserve"> REF _Ref317676051 \h  \* MERGEFORMAT </w:instrText>
      </w:r>
      <w:r>
        <w:fldChar w:fldCharType="separate"/>
      </w:r>
      <w:r>
        <w:t xml:space="preserve">98</w:t>
      </w:r>
      <w:r>
        <w:fldChar w:fldCharType="end"/>
      </w:r>
      <w:r>
        <w:t xml:space="preserve">). Заполняется по аналогии с </w:t>
      </w:r>
      <w:r>
        <w:t xml:space="preserve">в</w:t>
      </w:r>
      <w:r>
        <w:t xml:space="preserve">кладкой «Раздел I: БА (4)».</w:t>
      </w:r>
      <w:r/>
    </w:p>
    <w:p>
      <w:pPr>
        <w:pStyle w:val="994"/>
      </w:pPr>
      <w:r>
        <w:t xml:space="preserve">Перечень</w:t>
      </w:r>
      <w:r>
        <w:t xml:space="preserve"> полей документа «Реестр расходных расписаний</w:t>
      </w:r>
      <w:r>
        <w:t xml:space="preserve">», закладки «</w:t>
      </w:r>
      <w:r>
        <w:t xml:space="preserve">Документ (1)</w:t>
      </w:r>
      <w:r>
        <w:t xml:space="preserve">», </w:t>
      </w:r>
      <w:r>
        <w:t xml:space="preserve">в</w:t>
      </w:r>
      <w:r>
        <w:t xml:space="preserve">кладки «</w:t>
      </w:r>
      <w:r>
        <w:t xml:space="preserve">Раздел III: ПОФР (6)» приведен в</w:t>
      </w:r>
      <w:r>
        <w:t xml:space="preserve"> </w:t>
      </w:r>
      <w:r>
        <w:t xml:space="preserve">таблице</w:t>
      </w:r>
      <w:r>
        <w:t xml:space="preserve"> </w:t>
      </w:r>
      <w:r>
        <w:fldChar w:fldCharType="begin"/>
      </w:r>
      <w:r>
        <w:instrText xml:space="preserve"> REF _Ref349750110 \h  \* MERGEFORMAT </w:instrText>
      </w:r>
      <w:r>
        <w:fldChar w:fldCharType="separate"/>
      </w:r>
      <w:r>
        <w:t xml:space="preserve">101</w:t>
      </w:r>
      <w:r>
        <w:fldChar w:fldCharType="end"/>
      </w:r>
      <w:r>
        <w:t xml:space="preserve">.</w:t>
      </w:r>
      <w:r/>
    </w:p>
    <w:p>
      <w:pPr>
        <w:pStyle w:val="993"/>
      </w:pPr>
      <w:r>
        <w:fldChar w:fldCharType="begin"/>
      </w:r>
      <w:r>
        <w:instrText xml:space="preserve"> SEQ Таблица \* ARABIC </w:instrText>
      </w:r>
      <w:r>
        <w:fldChar w:fldCharType="separate"/>
      </w:r>
      <w:bookmarkStart w:id="1387" w:name="_Ref349750110"/>
      <w:r/>
      <w:bookmarkStart w:id="1388" w:name="_Toc88819287"/>
      <w:r>
        <w:t xml:space="preserve">101</w:t>
      </w:r>
      <w:bookmarkEnd w:id="1387"/>
      <w:r>
        <w:fldChar w:fldCharType="end"/>
      </w:r>
      <w:r>
        <w:t xml:space="preserve">. Описание полей документа «Реестр расходных расписаний</w:t>
      </w:r>
      <w:r>
        <w:t xml:space="preserve">», закладки «</w:t>
      </w:r>
      <w:r>
        <w:t xml:space="preserve">Документ (1)</w:t>
      </w:r>
      <w:r>
        <w:t xml:space="preserve">», </w:t>
      </w:r>
      <w:r>
        <w:t xml:space="preserve">в</w:t>
      </w:r>
      <w:r>
        <w:t xml:space="preserve">кладки «</w:t>
      </w:r>
      <w:r>
        <w:t xml:space="preserve">Раздел III: ПОФР (6)»</w:t>
      </w:r>
      <w:bookmarkEnd w:id="138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23"/>
        <w:gridCol w:w="7529"/>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14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60" w:type="pct"/>
            <w:vAlign w:val="center"/>
            <w:textDirection w:val="lrTb"/>
            <w:noWrap w:val="false"/>
          </w:tcPr>
          <w:p>
            <w:pPr>
              <w:pStyle w:val="1006"/>
            </w:pPr>
            <w:r>
              <w:t xml:space="preserve">Описание поля</w:t>
            </w:r>
            <w:r/>
          </w:p>
        </w:tc>
      </w:tr>
      <w:tr>
        <w:trPr>
          <w:trHeight w:val="77"/>
        </w:trPr>
        <w:tc>
          <w:tcPr>
            <w:shd w:val="clear" w:fill="auto" w:color="auto"/>
            <w:tcW w:w="1140" w:type="pct"/>
            <w:textDirection w:val="lrTb"/>
            <w:noWrap w:val="false"/>
          </w:tcPr>
          <w:p>
            <w:pPr>
              <w:pStyle w:val="1005"/>
              <w:ind w:left="57" w:right="57"/>
            </w:pPr>
            <w:r>
              <w:t xml:space="preserve">Номер</w:t>
            </w:r>
            <w:r/>
          </w:p>
        </w:tc>
        <w:tc>
          <w:tcPr>
            <w:shd w:val="clear" w:fill="auto" w:color="auto"/>
            <w:tcW w:w="3860" w:type="pct"/>
            <w:textDirection w:val="lrTb"/>
            <w:noWrap w:val="false"/>
          </w:tcPr>
          <w:p>
            <w:pPr>
              <w:pStyle w:val="1005"/>
              <w:ind w:left="57" w:right="57"/>
            </w:pPr>
            <w:r>
              <w:t xml:space="preserve">Номер выбранного расходного расписания на закладке «Расходное расп</w:t>
            </w:r>
            <w:r>
              <w:t xml:space="preserve">и</w:t>
            </w:r>
            <w:r>
              <w:t xml:space="preserve">сание»</w:t>
            </w:r>
            <w:r>
              <w:t xml:space="preserve">. </w:t>
            </w:r>
            <w:r>
              <w:t xml:space="preserve">Является копией с закладки «Расходное расписание».</w:t>
            </w:r>
            <w:r/>
          </w:p>
        </w:tc>
      </w:tr>
      <w:tr>
        <w:trPr>
          <w:trHeight w:val="77"/>
        </w:trPr>
        <w:tc>
          <w:tcPr>
            <w:shd w:val="clear" w:fill="auto" w:color="auto"/>
            <w:tcW w:w="1140" w:type="pct"/>
            <w:textDirection w:val="lrTb"/>
            <w:noWrap w:val="false"/>
          </w:tcPr>
          <w:p>
            <w:pPr>
              <w:pStyle w:val="1005"/>
              <w:ind w:left="57" w:right="57"/>
            </w:pPr>
            <w:r>
              <w:t xml:space="preserve">Дата в/д</w:t>
            </w:r>
            <w:r/>
          </w:p>
        </w:tc>
        <w:tc>
          <w:tcPr>
            <w:shd w:val="clear" w:fill="auto" w:color="auto"/>
            <w:tcW w:w="3860" w:type="pct"/>
            <w:textDirection w:val="lrTb"/>
            <w:noWrap w:val="false"/>
          </w:tcPr>
          <w:p>
            <w:pPr>
              <w:pStyle w:val="1005"/>
              <w:ind w:left="57" w:right="57"/>
            </w:pPr>
            <w:r>
              <w:t xml:space="preserve">Дата ввода в действие выбранного расходного расписания на закладке «Расходное расписание»</w:t>
            </w:r>
            <w:r>
              <w:t xml:space="preserve">. </w:t>
            </w:r>
            <w:r>
              <w:t xml:space="preserve">Является копией с закладки «Расходное расписание».</w:t>
            </w:r>
            <w:r/>
          </w:p>
        </w:tc>
      </w:tr>
      <w:tr>
        <w:trPr>
          <w:trHeight w:val="77"/>
        </w:trPr>
        <w:tc>
          <w:tcPr>
            <w:shd w:val="clear" w:fill="auto" w:color="auto"/>
            <w:tcW w:w="1140" w:type="pct"/>
            <w:textDirection w:val="lrTb"/>
            <w:noWrap w:val="false"/>
          </w:tcPr>
          <w:p>
            <w:pPr>
              <w:pStyle w:val="1005"/>
              <w:ind w:left="57" w:right="57"/>
            </w:pPr>
            <w:r>
              <w:t xml:space="preserve">Кому</w:t>
            </w:r>
            <w:r/>
          </w:p>
        </w:tc>
        <w:tc>
          <w:tcPr>
            <w:shd w:val="clear" w:fill="auto" w:color="auto"/>
            <w:tcW w:w="3860" w:type="pct"/>
            <w:textDirection w:val="lrTb"/>
            <w:noWrap w:val="false"/>
          </w:tcPr>
          <w:p>
            <w:pPr>
              <w:pStyle w:val="1005"/>
              <w:ind w:left="57" w:right="57"/>
            </w:pPr>
            <w:r>
              <w:t xml:space="preserve">Код БУ-получателя выбранного расходного расписания на закладке «Ра</w:t>
            </w:r>
            <w:r>
              <w:t xml:space="preserve">с</w:t>
            </w:r>
            <w:r>
              <w:t xml:space="preserve">ходное расписание».</w:t>
            </w:r>
            <w:r>
              <w:t xml:space="preserve"> </w:t>
            </w:r>
            <w:r>
              <w:t xml:space="preserve">Является копией с закладки «Расходное расписание».</w:t>
            </w:r>
            <w:r/>
          </w:p>
        </w:tc>
      </w:tr>
      <w:tr>
        <w:trPr>
          <w:trHeight w:val="77"/>
        </w:trPr>
        <w:tc>
          <w:tcPr>
            <w:shd w:val="clear" w:fill="auto" w:color="auto"/>
            <w:tcW w:w="1140" w:type="pct"/>
            <w:textDirection w:val="lrTb"/>
            <w:noWrap w:val="false"/>
          </w:tcPr>
          <w:p>
            <w:pPr>
              <w:pStyle w:val="1005"/>
              <w:ind w:left="57" w:right="57"/>
            </w:pPr>
            <w:r>
              <w:t xml:space="preserve">Наименование</w:t>
            </w:r>
            <w:r/>
          </w:p>
        </w:tc>
        <w:tc>
          <w:tcPr>
            <w:shd w:val="clear" w:fill="auto" w:color="auto"/>
            <w:tcW w:w="3860" w:type="pct"/>
            <w:textDirection w:val="lrTb"/>
            <w:noWrap w:val="false"/>
          </w:tcPr>
          <w:p>
            <w:pPr>
              <w:pStyle w:val="1005"/>
              <w:ind w:left="57" w:right="57"/>
            </w:pPr>
            <w:r>
              <w:t xml:space="preserve">Наименование БУ-получателя выбранного расходного расписания на з</w:t>
            </w:r>
            <w:r>
              <w:t xml:space="preserve">а</w:t>
            </w:r>
            <w:r>
              <w:t xml:space="preserve">кладке «Расходное расписание».</w:t>
            </w:r>
            <w:r>
              <w:t xml:space="preserve"> </w:t>
            </w:r>
            <w:r>
              <w:t xml:space="preserve">Является копией с закладки «Расходное расписание».</w:t>
            </w:r>
            <w:r/>
          </w:p>
        </w:tc>
      </w:tr>
      <w:tr>
        <w:trPr>
          <w:trHeight w:val="77"/>
        </w:trPr>
        <w:tc>
          <w:tcPr>
            <w:gridSpan w:val="2"/>
            <w:shd w:val="clear" w:fill="auto" w:color="auto"/>
            <w:tcW w:w="5000" w:type="pct"/>
            <w:textDirection w:val="lrTb"/>
            <w:noWrap w:val="false"/>
          </w:tcPr>
          <w:p>
            <w:pPr>
              <w:pStyle w:val="1005"/>
              <w:ind w:left="57" w:right="57"/>
            </w:pPr>
            <w:r>
              <w:t xml:space="preserve">Г</w:t>
            </w:r>
            <w:r>
              <w:t xml:space="preserve">руппа полей «</w:t>
            </w:r>
            <w:r>
              <w:t xml:space="preserve">Строки: Раздел III. ПРЕДЕЛЬНЫЕ ОБЪЕМЫ ФИНАНСИРОВАНИЯ РАСХО</w:t>
            </w:r>
            <w:r>
              <w:t xml:space="preserve">ДОВ</w:t>
            </w:r>
            <w:r>
              <w:t xml:space="preserve">»</w:t>
            </w:r>
            <w:r/>
          </w:p>
        </w:tc>
      </w:tr>
      <w:tr>
        <w:trPr>
          <w:trHeight w:val="77"/>
        </w:trPr>
        <w:tc>
          <w:tcPr>
            <w:shd w:val="clear" w:fill="auto" w:color="auto"/>
            <w:tcW w:w="1140" w:type="pct"/>
            <w:textDirection w:val="lrTb"/>
            <w:noWrap w:val="false"/>
          </w:tcPr>
          <w:p>
            <w:pPr>
              <w:pStyle w:val="1005"/>
              <w:ind w:left="57" w:right="57"/>
            </w:pPr>
            <w:r>
              <w:t xml:space="preserve">Дата в/д раздела</w:t>
            </w:r>
            <w:r/>
          </w:p>
        </w:tc>
        <w:tc>
          <w:tcPr>
            <w:shd w:val="clear" w:fill="auto" w:color="auto"/>
            <w:tcW w:w="3860" w:type="pct"/>
            <w:textDirection w:val="lrTb"/>
            <w:noWrap w:val="false"/>
          </w:tcPr>
          <w:p>
            <w:pPr>
              <w:pStyle w:val="1005"/>
              <w:ind w:left="57" w:right="57"/>
            </w:pPr>
            <w:r>
              <w:t xml:space="preserve">Дата ввода в действие бюджетных данных раздела расходного расп</w:t>
            </w:r>
            <w:r>
              <w:t xml:space="preserve">и</w:t>
            </w:r>
            <w:r>
              <w:t xml:space="preserve">сания</w:t>
            </w:r>
            <w:r>
              <w:t xml:space="preserve">.</w:t>
            </w:r>
            <w:r/>
          </w:p>
          <w:p>
            <w:pPr>
              <w:pStyle w:val="1005"/>
              <w:ind w:left="57" w:right="57"/>
            </w:pPr>
            <w:r>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«Дата ввода в действие строки документа/раздела документа» всех просматриваемых записей.</w:t>
            </w:r>
            <w:r/>
          </w:p>
        </w:tc>
      </w:tr>
      <w:tr>
        <w:trPr>
          <w:trHeight w:val="77"/>
        </w:trPr>
        <w:tc>
          <w:tcPr>
            <w:shd w:val="clear" w:fill="auto" w:color="auto"/>
            <w:tcW w:w="1140" w:type="pct"/>
            <w:textDirection w:val="lrTb"/>
            <w:noWrap w:val="false"/>
          </w:tcPr>
          <w:p>
            <w:pPr>
              <w:pStyle w:val="1005"/>
              <w:ind w:left="57" w:right="57"/>
            </w:pPr>
            <w:r>
              <w:t xml:space="preserve">Итого: тек. </w:t>
            </w:r>
            <w:r>
              <w:t xml:space="preserve">Г</w:t>
            </w:r>
            <w:r>
              <w:t xml:space="preserve">од</w:t>
            </w:r>
            <w:r/>
          </w:p>
        </w:tc>
        <w:tc>
          <w:tcPr>
            <w:shd w:val="clear" w:fill="auto" w:color="auto"/>
            <w:tcW w:w="3860" w:type="pct"/>
            <w:textDirection w:val="lrTb"/>
            <w:noWrap w:val="false"/>
          </w:tcPr>
          <w:p>
            <w:pPr>
              <w:pStyle w:val="1005"/>
              <w:ind w:left="57" w:right="57"/>
            </w:pPr>
            <w:r>
              <w:t xml:space="preserve">Общая сумма ПОФР в текущем году. </w:t>
            </w:r>
            <w:r/>
          </w:p>
          <w:p>
            <w:pPr>
              <w:pStyle w:val="1005"/>
              <w:ind w:left="57" w:right="57"/>
            </w:pPr>
            <w:r>
              <w:t xml:space="preserve">Соответствует сумме значений по всем строкам в поле «Су</w:t>
            </w:r>
            <w:r>
              <w:t xml:space="preserve">м</w:t>
            </w:r>
            <w:r>
              <w:t xml:space="preserve">ма: Тек год».</w:t>
            </w:r>
            <w:r/>
          </w:p>
        </w:tc>
      </w:tr>
      <w:tr>
        <w:trPr>
          <w:trHeight w:val="77"/>
        </w:trPr>
        <w:tc>
          <w:tcPr>
            <w:shd w:val="clear" w:fill="auto" w:color="auto"/>
            <w:tcW w:w="1140" w:type="pct"/>
            <w:textDirection w:val="lrTb"/>
            <w:noWrap w:val="false"/>
          </w:tcPr>
          <w:p>
            <w:pPr>
              <w:pStyle w:val="1005"/>
              <w:ind w:left="57" w:right="57"/>
            </w:pPr>
            <w:r>
              <w:t xml:space="preserve">№</w:t>
            </w:r>
            <w:r/>
          </w:p>
        </w:tc>
        <w:tc>
          <w:tcPr>
            <w:shd w:val="clear" w:fill="auto" w:color="auto"/>
            <w:tcW w:w="3860" w:type="pct"/>
            <w:textDirection w:val="lrTb"/>
            <w:noWrap w:val="false"/>
          </w:tcPr>
          <w:p>
            <w:pPr>
              <w:pStyle w:val="1005"/>
              <w:ind w:left="57" w:right="57"/>
            </w:pPr>
            <w:r>
              <w:t xml:space="preserve">Номер строки.</w:t>
            </w:r>
            <w:r/>
          </w:p>
          <w:p>
            <w:pPr>
              <w:pStyle w:val="1005"/>
              <w:ind w:left="57" w:right="57"/>
            </w:pPr>
            <w:r>
              <w:t xml:space="preserve">Автоматически заполняется номером строки по порядку (номер по порядку в пределах раздела документа), начиная с 1</w:t>
            </w:r>
            <w:r>
              <w:t xml:space="preserve">.</w:t>
            </w:r>
            <w:r/>
          </w:p>
        </w:tc>
      </w:tr>
      <w:tr>
        <w:trPr>
          <w:trHeight w:val="77"/>
        </w:trPr>
        <w:tc>
          <w:tcPr>
            <w:shd w:val="clear" w:fill="auto" w:color="auto"/>
            <w:tcW w:w="1140" w:type="pct"/>
            <w:textDirection w:val="lrTb"/>
            <w:noWrap w:val="false"/>
          </w:tcPr>
          <w:p>
            <w:pPr>
              <w:pStyle w:val="1005"/>
              <w:ind w:left="57" w:right="57"/>
            </w:pPr>
            <w:r>
              <w:t xml:space="preserve">КБК</w:t>
            </w:r>
            <w:r/>
          </w:p>
        </w:tc>
        <w:tc>
          <w:tcPr>
            <w:shd w:val="clear" w:fill="auto" w:color="auto"/>
            <w:tcW w:w="3860" w:type="pct"/>
            <w:textDirection w:val="lrTb"/>
            <w:noWrap w:val="false"/>
          </w:tcPr>
          <w:p>
            <w:pPr>
              <w:pStyle w:val="1005"/>
              <w:ind w:left="57" w:right="57"/>
            </w:pPr>
            <w:r>
              <w:t xml:space="preserve">Код бюджетной классификации (20 символов).</w:t>
            </w:r>
            <w:r/>
          </w:p>
          <w:p>
            <w:pPr>
              <w:pStyle w:val="1005"/>
              <w:ind w:left="57" w:right="57"/>
            </w:pPr>
            <w:r>
              <w:t xml:space="preserve">Для АРМ: </w:t>
            </w:r>
            <w:r/>
          </w:p>
          <w:p>
            <w:pPr>
              <w:pStyle w:val="1008"/>
              <w:numPr>
                <w:ilvl w:val="0"/>
                <w:numId w:val="38"/>
              </w:numPr>
            </w:pPr>
            <w:r>
              <w:t xml:space="preserve">Поле КБК может быть заполнено как в целом кодовой бюджетной классификацией (</w:t>
            </w:r>
            <w:r>
              <w:t xml:space="preserve">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w:t>
            </w:r>
            <w:r>
              <w:t xml:space="preserve">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 </w:t>
            </w:r>
            <w:r/>
          </w:p>
          <w:p>
            <w:pPr>
              <w:pStyle w:val="1008"/>
            </w:pPr>
            <w:r>
              <w:t xml:space="preserve">Поле может быть заполнено вручную или выбором из справочника КБК. Значения справочника ограничены значением полей «Бюджет» и «Глава по БК».</w:t>
            </w:r>
            <w:r/>
          </w:p>
          <w:p>
            <w:pPr>
              <w:pStyle w:val="1008"/>
            </w:pPr>
            <w:r>
              <w:t xml:space="preserve">Заполняется из соответствующего поля закладки «Раздел III: ПОФР» ЭД «Распределение бюджетных данных» (не для АРМ Офлайн-клиент ФК).</w:t>
            </w:r>
            <w:r/>
          </w:p>
        </w:tc>
      </w:tr>
      <w:tr>
        <w:trPr>
          <w:trHeight w:val="77"/>
        </w:trPr>
        <w:tc>
          <w:tcPr>
            <w:shd w:val="clear" w:fill="auto" w:color="auto"/>
            <w:tcW w:w="1140" w:type="pct"/>
            <w:textDirection w:val="lrTb"/>
            <w:noWrap w:val="false"/>
          </w:tcPr>
          <w:p>
            <w:pPr>
              <w:pStyle w:val="1005"/>
              <w:ind w:left="57" w:right="57"/>
            </w:pPr>
            <w:r>
              <w:t xml:space="preserve">Цели субсидий</w:t>
            </w:r>
            <w:r/>
          </w:p>
        </w:tc>
        <w:tc>
          <w:tcPr>
            <w:shd w:val="clear" w:fill="auto" w:color="auto"/>
            <w:tcW w:w="3860" w:type="pct"/>
            <w:textDirection w:val="lrTb"/>
            <w:noWrap w:val="false"/>
          </w:tcPr>
          <w:p>
            <w:pPr>
              <w:pStyle w:val="1005"/>
              <w:ind w:left="57" w:right="57"/>
            </w:pPr>
            <w:r>
              <w:t xml:space="preserve">Код цели субсидий/субвенций.</w:t>
            </w:r>
            <w:r/>
          </w:p>
          <w:p>
            <w:pPr>
              <w:pStyle w:val="1005"/>
              <w:ind w:left="57" w:right="57"/>
            </w:pPr>
            <w:r>
              <w:t xml:space="preserve">Для АРМ. </w:t>
            </w:r>
            <w:r/>
          </w:p>
          <w:p>
            <w:pPr>
              <w:pStyle w:val="1008"/>
              <w:numPr>
                <w:ilvl w:val="0"/>
                <w:numId w:val="39"/>
              </w:numPr>
            </w:pPr>
            <w:r>
              <w:t xml:space="preserve">Выбирается из справочника</w:t>
            </w:r>
            <w:r>
              <w:t xml:space="preserve"> </w:t>
            </w:r>
            <w:r>
              <w:t xml:space="preserve">«Цели субсидий/субвенций» или заполняется вручную. Отображается код и наименование. Наименование не редактируемое.</w:t>
            </w:r>
            <w:r/>
          </w:p>
          <w:p>
            <w:pPr>
              <w:pStyle w:val="1008"/>
            </w:pPr>
            <w:r>
              <w:t xml:space="preserve">Заполняется из соответствующего поля закладки «Раздел III: ПОФР» ЭД «Распределение бюджетных данных» (не для АРМ Офлайн-клиент ФК).</w:t>
            </w:r>
            <w:r/>
          </w:p>
        </w:tc>
      </w:tr>
      <w:tr>
        <w:trPr>
          <w:trHeight w:val="77"/>
        </w:trPr>
        <w:tc>
          <w:tcPr>
            <w:shd w:val="clear" w:fill="auto" w:color="auto"/>
            <w:tcW w:w="1140" w:type="pct"/>
            <w:textDirection w:val="lrTb"/>
            <w:noWrap w:val="false"/>
          </w:tcPr>
          <w:p>
            <w:pPr>
              <w:pStyle w:val="1005"/>
              <w:ind w:left="57" w:right="57"/>
            </w:pPr>
            <w:r>
              <w:t xml:space="preserve">Сумма: тек. </w:t>
            </w:r>
            <w:r>
              <w:t xml:space="preserve">Г</w:t>
            </w:r>
            <w:r>
              <w:t xml:space="preserve">од</w:t>
            </w:r>
            <w:r/>
          </w:p>
        </w:tc>
        <w:tc>
          <w:tcPr>
            <w:shd w:val="clear" w:fill="auto" w:color="auto"/>
            <w:tcW w:w="3860" w:type="pct"/>
            <w:textDirection w:val="lrTb"/>
            <w:noWrap w:val="false"/>
          </w:tcPr>
          <w:p>
            <w:pPr>
              <w:pStyle w:val="1005"/>
              <w:ind w:left="57" w:right="57"/>
            </w:pPr>
            <w:r>
              <w:t xml:space="preserve">Сумма ПОФР в текущем году.</w:t>
            </w:r>
            <w:r/>
          </w:p>
          <w:p>
            <w:pPr>
              <w:pStyle w:val="1008"/>
              <w:numPr>
                <w:ilvl w:val="0"/>
                <w:numId w:val="40"/>
              </w:numPr>
            </w:pPr>
            <w:r>
              <w:t xml:space="preserve">Заполняется вручную.</w:t>
            </w:r>
            <w:r/>
          </w:p>
          <w:p>
            <w:pPr>
              <w:pStyle w:val="1008"/>
            </w:pPr>
            <w:r>
              <w:t xml:space="preserve">Заполняется из поля «Выделено: тек.год» закладки «Раздел III: ПОФР» ЭД «Распределение бюджетных данных» (не для АРМ Офлайн-клиент ФК).</w:t>
            </w:r>
            <w:r/>
          </w:p>
        </w:tc>
      </w:tr>
      <w:tr>
        <w:trPr>
          <w:trHeight w:val="77"/>
        </w:trPr>
        <w:tc>
          <w:tcPr>
            <w:shd w:val="clear" w:fill="auto" w:color="auto"/>
            <w:tcW w:w="1140" w:type="pct"/>
            <w:textDirection w:val="lrTb"/>
            <w:noWrap w:val="false"/>
          </w:tcPr>
          <w:p>
            <w:pPr>
              <w:pStyle w:val="1005"/>
              <w:ind w:left="57" w:right="57"/>
            </w:pPr>
            <w:r>
              <w:t xml:space="preserve">Примечание</w:t>
            </w:r>
            <w:r/>
          </w:p>
        </w:tc>
        <w:tc>
          <w:tcPr>
            <w:shd w:val="clear" w:fill="auto" w:color="auto"/>
            <w:tcW w:w="3860" w:type="pct"/>
            <w:textDirection w:val="lrTb"/>
            <w:noWrap w:val="false"/>
          </w:tcPr>
          <w:p>
            <w:pPr>
              <w:pStyle w:val="1005"/>
              <w:ind w:left="57" w:right="57"/>
            </w:pPr>
            <w:r>
              <w:t xml:space="preserve">Примечание.</w:t>
            </w:r>
            <w:r>
              <w:t xml:space="preserve"> </w:t>
            </w:r>
            <w:r>
              <w:t xml:space="preserve">Заполняется вручную.</w:t>
            </w:r>
            <w:r/>
          </w:p>
        </w:tc>
      </w:tr>
    </w:tbl>
    <w:p>
      <w:pPr>
        <w:pStyle w:val="994"/>
      </w:pPr>
      <w:r>
        <w:t xml:space="preserve">В</w:t>
      </w:r>
      <w:r>
        <w:t xml:space="preserve">кла</w:t>
      </w:r>
      <w:r>
        <w:t xml:space="preserve">дка «Раздел III: ПОФР (6)» (см.</w:t>
      </w:r>
      <w:r>
        <w:t xml:space="preserve"> </w:t>
      </w:r>
      <w:r>
        <w:t xml:space="preserve">рис. </w:t>
      </w:r>
      <w:r>
        <w:fldChar w:fldCharType="begin"/>
      </w:r>
      <w:r>
        <w:instrText xml:space="preserve"> REF _Ref226440283 \h  \* MERGEFORMAT </w:instrText>
      </w:r>
      <w:r>
        <w:fldChar w:fldCharType="separate"/>
      </w:r>
      <w:r>
        <w:t xml:space="preserve">189</w:t>
      </w:r>
      <w:r>
        <w:fldChar w:fldCharType="end"/>
      </w:r>
      <w:r>
        <w:t xml:space="preserve">), вложенная в закладку «Документ (1)», содержит заголовочные поля и строки ПОФР по Разделу III, относящиеся к выбранному расходному расписанию на </w:t>
      </w:r>
      <w:r>
        <w:t xml:space="preserve">в</w:t>
      </w:r>
      <w:r>
        <w:t xml:space="preserve">кладке «Расходные расписания (</w:t>
      </w:r>
      <w:r>
        <w:t xml:space="preserve">3)». Заполняется по аналогии с в</w:t>
      </w:r>
      <w:r>
        <w:t xml:space="preserve">кладко</w:t>
      </w:r>
      <w:r>
        <w:t xml:space="preserve">й «Раздел I: БА (4)» (см.</w:t>
      </w:r>
      <w:r>
        <w:t xml:space="preserve"> </w:t>
      </w:r>
      <w:r>
        <w:t xml:space="preserve">табл.</w:t>
      </w:r>
      <w:r>
        <w:t xml:space="preserve"> </w:t>
      </w:r>
      <w:r>
        <w:fldChar w:fldCharType="begin"/>
      </w:r>
      <w:r>
        <w:instrText xml:space="preserve"> REF _Ref317676051 \h  \* MERGEFORMAT </w:instrText>
      </w:r>
      <w:r>
        <w:fldChar w:fldCharType="separate"/>
      </w:r>
      <w:r>
        <w:t xml:space="preserve">98</w:t>
      </w:r>
      <w:r>
        <w:fldChar w:fldCharType="end"/>
      </w:r>
      <w:r>
        <w:t xml:space="preserve">). Сумма ПОФР по строке заполняется только на текущий год.</w:t>
      </w:r>
      <w:r/>
    </w:p>
    <w:p>
      <w:pPr>
        <w:pStyle w:val="994"/>
      </w:pPr>
      <w:r>
        <w:t xml:space="preserve">ЭФ документа «Реестр расходных расписаний</w:t>
      </w:r>
      <w:r>
        <w:t xml:space="preserve">», закладки «</w:t>
      </w:r>
      <w:r>
        <w:t xml:space="preserve">Дополнительные атр</w:t>
      </w:r>
      <w:r>
        <w:t xml:space="preserve">и</w:t>
      </w:r>
      <w:r>
        <w:t xml:space="preserve">буты (2)»</w:t>
      </w:r>
      <w:r>
        <w:t xml:space="preserve"> представлена на рисунке</w:t>
      </w:r>
      <w:r>
        <w:t xml:space="preserve"> </w:t>
      </w:r>
      <w:r>
        <w:fldChar w:fldCharType="begin"/>
      </w:r>
      <w:r>
        <w:instrText xml:space="preserve"> REF _Ref205637167 \h </w:instrText>
      </w:r>
      <w:r>
        <w:instrText xml:space="preserve"> \* MERGEFORMAT </w:instrText>
      </w:r>
      <w:r>
        <w:fldChar w:fldCharType="separate"/>
      </w:r>
      <w:r>
        <w:t xml:space="preserve">190</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1645920"/>
                <wp:effectExtent l="0" t="0" r="0" b="0"/>
                <wp:docPr id="28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60"/>
                        <a:stretch/>
                      </pic:blipFill>
                      <pic:spPr bwMode="auto">
                        <a:xfrm>
                          <a:off x="0" y="0"/>
                          <a:ext cx="6126480" cy="16459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7" o:spid="_x0000_s287" type="#_x0000_t75" style="mso-wrap-distance-left:0.0pt;mso-wrap-distance-top:0.0pt;mso-wrap-distance-right:0.0pt;mso-wrap-distance-bottom:0.0pt;width:482.4pt;height:129.6pt;" stroked="f">
                <v:path textboxrect="0,0,0,0"/>
                <v:imagedata r:id="rId260" o:title=""/>
              </v:shape>
            </w:pict>
          </mc:Fallback>
        </mc:AlternateContent>
      </w:r>
      <w:r/>
    </w:p>
    <w:p>
      <w:pPr>
        <w:pStyle w:val="983"/>
      </w:pPr>
      <w:r>
        <w:fldChar w:fldCharType="begin"/>
      </w:r>
      <w:r>
        <w:instrText xml:space="preserve"> SEQ Рисунок \* ARABIC </w:instrText>
      </w:r>
      <w:r>
        <w:fldChar w:fldCharType="separate"/>
      </w:r>
      <w:bookmarkStart w:id="1389" w:name="_Ref205637167"/>
      <w:r/>
      <w:bookmarkStart w:id="1390" w:name="_Toc88819575"/>
      <w:r>
        <w:t xml:space="preserve">190</w:t>
      </w:r>
      <w:bookmarkEnd w:id="1389"/>
      <w:r>
        <w:fldChar w:fldCharType="end"/>
      </w:r>
      <w:r>
        <w:t xml:space="preserve">. ЭФ документа «Реестр расходных расписаний</w:t>
      </w:r>
      <w:r>
        <w:t xml:space="preserve">», закладки «</w:t>
      </w:r>
      <w:r>
        <w:t xml:space="preserve">Дополнительные атрибуты (2)»</w:t>
      </w:r>
      <w:bookmarkEnd w:id="1390"/>
      <w:r/>
      <w:r/>
    </w:p>
    <w:p>
      <w:pPr>
        <w:pStyle w:val="994"/>
      </w:pPr>
      <w:r>
        <w:t xml:space="preserve">Перечень</w:t>
      </w:r>
      <w:r>
        <w:t xml:space="preserve"> полей документа «Реестр расходных расписаний</w:t>
      </w:r>
      <w:r>
        <w:t xml:space="preserve">», закладки «</w:t>
      </w:r>
      <w:r>
        <w:t xml:space="preserve">Дополнительные атрибуты (2)» </w:t>
      </w:r>
      <w:r>
        <w:t xml:space="preserve">приведен в</w:t>
      </w:r>
      <w:r>
        <w:t xml:space="preserve"> таблице</w:t>
      </w:r>
      <w:r>
        <w:t xml:space="preserve"> </w:t>
      </w:r>
      <w:r>
        <w:fldChar w:fldCharType="begin"/>
      </w:r>
      <w:r>
        <w:instrText xml:space="preserve"> REF _Ref349750219 \h  \* MERGEFORMAT </w:instrText>
      </w:r>
      <w:r>
        <w:fldChar w:fldCharType="separate"/>
      </w:r>
      <w:r>
        <w:t xml:space="preserve">102</w:t>
      </w:r>
      <w:r>
        <w:fldChar w:fldCharType="end"/>
      </w:r>
      <w:r>
        <w:t xml:space="preserve">.</w:t>
      </w:r>
      <w:r/>
    </w:p>
    <w:p>
      <w:pPr>
        <w:pStyle w:val="993"/>
      </w:pPr>
      <w:r>
        <w:fldChar w:fldCharType="begin"/>
      </w:r>
      <w:r>
        <w:instrText xml:space="preserve"> SEQ Таблица \* ARABIC </w:instrText>
      </w:r>
      <w:r>
        <w:fldChar w:fldCharType="separate"/>
      </w:r>
      <w:bookmarkStart w:id="1391" w:name="_Ref349750219"/>
      <w:r/>
      <w:bookmarkStart w:id="1392" w:name="_Toc88819288"/>
      <w:r>
        <w:t xml:space="preserve">102</w:t>
      </w:r>
      <w:bookmarkEnd w:id="1391"/>
      <w:r>
        <w:fldChar w:fldCharType="end"/>
      </w:r>
      <w:r>
        <w:t xml:space="preserve">. Описание полей документа «Реестр расходных расписаний</w:t>
      </w:r>
      <w:r>
        <w:t xml:space="preserve">», закладки «</w:t>
      </w:r>
      <w:r>
        <w:t xml:space="preserve">Дополнительные атрибуты (2)»</w:t>
      </w:r>
      <w:bookmarkEnd w:id="1392"/>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315" w:type="pct"/>
            <w:vAlign w:val="center"/>
            <w:textDirection w:val="lrTb"/>
            <w:noWrap w:val="false"/>
          </w:tcPr>
          <w:p>
            <w:pPr>
              <w:pStyle w:val="1006"/>
            </w:pPr>
            <w:r/>
            <w:bookmarkStart w:id="1393" w:name="_Ref318365948"/>
            <w:r/>
            <w:bookmarkStart w:id="1394" w:name="_Toc409449260"/>
            <w:r/>
            <w:bookmarkStart w:id="1395" w:name="_Toc421171972"/>
            <w:r/>
            <w:bookmarkStart w:id="1396" w:name="_Toc430612641"/>
            <w:r/>
            <w:bookmarkStart w:id="1397" w:name="_Ref395197259"/>
            <w:r/>
            <w:bookmarkStart w:id="1398" w:name="_Toc422496719"/>
            <w:r/>
            <w:bookmarkStart w:id="1399" w:name="_Toc315164830"/>
            <w:r/>
            <w:bookmarkStart w:id="1400" w:name="_Ref315168005"/>
            <w:r/>
            <w:bookmarkStart w:id="1401" w:name="_Ref315168010"/>
            <w:r/>
            <w:bookmarkStart w:id="1402" w:name="_Toc221011533"/>
            <w:r/>
            <w:bookmarkStart w:id="1403" w:name="_Toc221012234"/>
            <w:r/>
            <w:bookmarkStart w:id="1404" w:name="_Toc225934645"/>
            <w:r/>
            <w:bookmarkStart w:id="1405" w:name="_Toc232827432"/>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685" w:type="pct"/>
            <w:vAlign w:val="center"/>
            <w:textDirection w:val="lrTb"/>
            <w:noWrap w:val="false"/>
          </w:tcPr>
          <w:p>
            <w:pPr>
              <w:pStyle w:val="1006"/>
            </w:pPr>
            <w:r>
              <w:t xml:space="preserve">Описание поля</w:t>
            </w:r>
            <w:r/>
          </w:p>
        </w:tc>
      </w:tr>
      <w:tr>
        <w:trPr>
          <w:trHeight w:val="77"/>
        </w:trPr>
        <w:tc>
          <w:tcPr>
            <w:shd w:val="clear" w:fill="auto" w:color="auto"/>
            <w:tcW w:w="1315" w:type="pct"/>
            <w:textDirection w:val="lrTb"/>
            <w:noWrap w:val="false"/>
          </w:tcPr>
          <w:p>
            <w:pPr>
              <w:pStyle w:val="1005"/>
              <w:ind w:left="57" w:right="57"/>
            </w:pPr>
            <w:r>
              <w:t xml:space="preserve">Дата регистр</w:t>
            </w:r>
            <w:r>
              <w:t xml:space="preserve">а</w:t>
            </w:r>
            <w:r>
              <w:t xml:space="preserve">ции/аннулирования в о</w:t>
            </w:r>
            <w:r>
              <w:t xml:space="preserve">р</w:t>
            </w:r>
            <w:r>
              <w:t xml:space="preserve">гане ФК отправителе</w:t>
            </w:r>
            <w:r/>
          </w:p>
        </w:tc>
        <w:tc>
          <w:tcPr>
            <w:shd w:val="clear" w:fill="auto" w:color="auto"/>
            <w:tcW w:w="3685" w:type="pct"/>
            <w:textDirection w:val="lrTb"/>
            <w:noWrap w:val="false"/>
          </w:tcPr>
          <w:p>
            <w:pPr>
              <w:pStyle w:val="1005"/>
              <w:ind w:left="57" w:right="57"/>
            </w:pPr>
            <w:r>
              <w:t xml:space="preserve">Дата регистрации/аннулирования в органе ФК отправителе. </w:t>
            </w:r>
            <w:r/>
          </w:p>
          <w:p>
            <w:pPr>
              <w:pStyle w:val="1005"/>
              <w:ind w:left="57" w:right="57"/>
            </w:pPr>
            <w:r>
              <w:t xml:space="preserve">Значение передается из учетной системы ТОФК.</w:t>
            </w:r>
            <w:r/>
          </w:p>
        </w:tc>
      </w:tr>
      <w:tr>
        <w:trPr>
          <w:trHeight w:val="77"/>
        </w:trPr>
        <w:tc>
          <w:tcPr>
            <w:shd w:val="clear" w:fill="auto" w:color="auto"/>
            <w:tcW w:w="1315" w:type="pct"/>
            <w:textDirection w:val="lrTb"/>
            <w:noWrap w:val="false"/>
          </w:tcPr>
          <w:p>
            <w:pPr>
              <w:pStyle w:val="1005"/>
              <w:ind w:left="57" w:right="57"/>
            </w:pPr>
            <w:r>
              <w:t xml:space="preserve">Бизнес-cтатус</w:t>
            </w:r>
            <w:r/>
          </w:p>
        </w:tc>
        <w:tc>
          <w:tcPr>
            <w:shd w:val="clear" w:fill="auto" w:color="auto"/>
            <w:tcW w:w="3685" w:type="pct"/>
            <w:textDirection w:val="lrTb"/>
            <w:noWrap w:val="false"/>
          </w:tcPr>
          <w:p>
            <w:pPr>
              <w:pStyle w:val="1005"/>
              <w:ind w:left="57" w:right="57"/>
            </w:pPr>
            <w:r>
              <w:t xml:space="preserve">Код и наименование бизнес-статуса документа. </w:t>
            </w:r>
            <w:r/>
          </w:p>
          <w:p>
            <w:pPr>
              <w:pStyle w:val="1005"/>
              <w:ind w:left="57" w:right="57"/>
            </w:pPr>
            <w:r>
              <w:t xml:space="preserve">Заполняется автоматически при обработке документа.</w:t>
            </w:r>
            <w:r/>
          </w:p>
        </w:tc>
      </w:tr>
      <w:tr>
        <w:trPr>
          <w:trHeight w:val="77"/>
        </w:trPr>
        <w:tc>
          <w:tcPr>
            <w:shd w:val="clear" w:fill="auto" w:color="auto"/>
            <w:tcW w:w="1315" w:type="pct"/>
            <w:textDirection w:val="lrTb"/>
            <w:noWrap w:val="false"/>
          </w:tcPr>
          <w:p>
            <w:pPr>
              <w:pStyle w:val="1005"/>
              <w:ind w:left="57" w:right="57"/>
            </w:pPr>
            <w:r>
              <w:t xml:space="preserve">Статус передачи</w:t>
            </w:r>
            <w:r/>
          </w:p>
        </w:tc>
        <w:tc>
          <w:tcPr>
            <w:shd w:val="clear" w:fill="auto" w:color="auto"/>
            <w:tcW w:w="3685" w:type="pct"/>
            <w:textDirection w:val="lrTb"/>
            <w:noWrap w:val="false"/>
          </w:tcPr>
          <w:p>
            <w:pPr>
              <w:pStyle w:val="1005"/>
              <w:ind w:left="57" w:right="57"/>
            </w:pPr>
            <w:r>
              <w:t xml:space="preserve">Код и наименование статуса передачи документа. </w:t>
            </w:r>
            <w:r/>
          </w:p>
          <w:p>
            <w:pPr>
              <w:pStyle w:val="1005"/>
              <w:ind w:left="57" w:right="57"/>
            </w:pPr>
            <w:r>
              <w:t xml:space="preserve">Заполняе</w:t>
            </w:r>
            <w:r>
              <w:t xml:space="preserve">т</w:t>
            </w:r>
            <w:r>
              <w:t xml:space="preserve">ся автоматически при обработке документа.</w:t>
            </w:r>
            <w:r/>
          </w:p>
        </w:tc>
      </w:tr>
      <w:tr>
        <w:trPr>
          <w:trHeight w:val="77"/>
        </w:trPr>
        <w:tc>
          <w:tcPr>
            <w:shd w:val="clear" w:fill="auto" w:color="auto"/>
            <w:tcW w:w="1315" w:type="pct"/>
            <w:textDirection w:val="lrTb"/>
            <w:noWrap w:val="false"/>
          </w:tcPr>
          <w:p>
            <w:pPr>
              <w:pStyle w:val="1005"/>
              <w:ind w:left="57" w:right="57"/>
            </w:pPr>
            <w:r>
              <w:t xml:space="preserve">Статус утверждения</w:t>
            </w:r>
            <w:r/>
          </w:p>
        </w:tc>
        <w:tc>
          <w:tcPr>
            <w:shd w:val="clear" w:fill="auto" w:color="auto"/>
            <w:tcW w:w="3685" w:type="pct"/>
            <w:textDirection w:val="lrTb"/>
            <w:noWrap w:val="false"/>
          </w:tcPr>
          <w:p>
            <w:pPr>
              <w:pStyle w:val="1005"/>
              <w:ind w:left="57" w:right="57"/>
            </w:pPr>
            <w:r>
              <w:t xml:space="preserve">Код и наименование статуса утверждения документа. </w:t>
            </w:r>
            <w:r/>
          </w:p>
          <w:p>
            <w:pPr>
              <w:pStyle w:val="1005"/>
              <w:ind w:left="57" w:right="57"/>
            </w:pPr>
            <w:r>
              <w:t xml:space="preserve">Запо</w:t>
            </w:r>
            <w:r>
              <w:t xml:space="preserve">л</w:t>
            </w:r>
            <w:r>
              <w:t xml:space="preserve">няется автоматически при обработке документа.</w:t>
            </w:r>
            <w:r/>
          </w:p>
        </w:tc>
      </w:tr>
      <w:tr>
        <w:trPr>
          <w:trHeight w:val="77"/>
        </w:trPr>
        <w:tc>
          <w:tcPr>
            <w:shd w:val="clear" w:fill="auto" w:color="auto"/>
            <w:tcW w:w="1315" w:type="pct"/>
            <w:textDirection w:val="lrTb"/>
            <w:noWrap w:val="false"/>
          </w:tcPr>
          <w:p>
            <w:pPr>
              <w:pStyle w:val="1005"/>
              <w:ind w:left="57" w:right="57"/>
            </w:pPr>
            <w:r>
              <w:t xml:space="preserve">Период с</w:t>
            </w:r>
            <w:r/>
          </w:p>
        </w:tc>
        <w:tc>
          <w:tcPr>
            <w:shd w:val="clear" w:fill="auto" w:color="auto"/>
            <w:tcW w:w="3685" w:type="pct"/>
            <w:textDirection w:val="lrTb"/>
            <w:noWrap w:val="false"/>
          </w:tcPr>
          <w:p>
            <w:pPr>
              <w:pStyle w:val="1005"/>
              <w:ind w:left="57" w:right="57"/>
            </w:pPr>
            <w:r>
              <w:t xml:space="preserve">Начальный год периода действия бюджетных данных док</w:t>
            </w:r>
            <w:r>
              <w:t xml:space="preserve">у</w:t>
            </w:r>
            <w:r>
              <w:t xml:space="preserve">мента. </w:t>
            </w:r>
            <w:r/>
          </w:p>
          <w:p>
            <w:pPr>
              <w:pStyle w:val="1005"/>
              <w:ind w:left="57" w:right="57"/>
            </w:pPr>
            <w:r>
              <w:t xml:space="preserve">Определяется автоматически на основании значений полей «Дата в/д» либо «Дата в/д БА», «Дата в/д ЛБО», «Дата в/д ПОФР».</w:t>
            </w:r>
            <w:r/>
          </w:p>
        </w:tc>
      </w:tr>
      <w:tr>
        <w:trPr>
          <w:trHeight w:val="77"/>
        </w:trPr>
        <w:tc>
          <w:tcPr>
            <w:shd w:val="clear" w:fill="auto" w:color="auto"/>
            <w:tcW w:w="1315" w:type="pct"/>
            <w:textDirection w:val="lrTb"/>
            <w:noWrap w:val="false"/>
          </w:tcPr>
          <w:p>
            <w:pPr>
              <w:pStyle w:val="1005"/>
              <w:ind w:left="57" w:right="57"/>
            </w:pPr>
            <w:r>
              <w:t xml:space="preserve">Период по</w:t>
            </w:r>
            <w:r/>
          </w:p>
        </w:tc>
        <w:tc>
          <w:tcPr>
            <w:shd w:val="clear" w:fill="auto" w:color="auto"/>
            <w:tcW w:w="3685" w:type="pct"/>
            <w:textDirection w:val="lrTb"/>
            <w:noWrap w:val="false"/>
          </w:tcPr>
          <w:p>
            <w:pPr>
              <w:pStyle w:val="1005"/>
              <w:ind w:left="57" w:right="57"/>
            </w:pPr>
            <w:r>
              <w:t xml:space="preserve">Последний год периода действия бюджетных данных док</w:t>
            </w:r>
            <w:r>
              <w:t xml:space="preserve">у</w:t>
            </w:r>
            <w:r>
              <w:t xml:space="preserve">мента. </w:t>
            </w:r>
            <w:r/>
          </w:p>
          <w:p>
            <w:pPr>
              <w:pStyle w:val="1005"/>
              <w:ind w:left="57" w:right="57"/>
            </w:pPr>
            <w:r>
              <w:t xml:space="preserve">Определяется автоматически как «Период с» + «количество лет, вход</w:t>
            </w:r>
            <w:r>
              <w:t xml:space="preserve">я</w:t>
            </w:r>
            <w:r>
              <w:t xml:space="preserve">щих в период планирования», по умолчанию период планирования 2 г</w:t>
            </w:r>
            <w:r>
              <w:t xml:space="preserve">о</w:t>
            </w:r>
            <w:r>
              <w:t xml:space="preserve">да.</w:t>
            </w:r>
            <w:r/>
          </w:p>
        </w:tc>
      </w:tr>
      <w:tr>
        <w:trPr>
          <w:trHeight w:val="77"/>
        </w:trPr>
        <w:tc>
          <w:tcPr>
            <w:shd w:val="clear" w:fill="auto" w:color="auto"/>
            <w:tcW w:w="1315" w:type="pct"/>
            <w:textDirection w:val="lrTb"/>
            <w:noWrap w:val="false"/>
          </w:tcPr>
          <w:p>
            <w:pPr>
              <w:pStyle w:val="1005"/>
              <w:ind w:left="57" w:right="57"/>
            </w:pPr>
            <w:r>
              <w:t xml:space="preserve">Руководитель (уполном</w:t>
            </w:r>
            <w:r>
              <w:t xml:space="preserve">о</w:t>
            </w:r>
            <w:r>
              <w:t xml:space="preserve">ченное л</w:t>
            </w:r>
            <w:r>
              <w:t xml:space="preserve">и</w:t>
            </w:r>
            <w:r>
              <w:t xml:space="preserve">цо). Должность</w:t>
            </w:r>
            <w:r/>
          </w:p>
        </w:tc>
        <w:tc>
          <w:tcPr>
            <w:shd w:val="clear" w:fill="auto" w:color="auto"/>
            <w:tcW w:w="3685" w:type="pct"/>
            <w:textDirection w:val="lrTb"/>
            <w:noWrap w:val="false"/>
          </w:tcPr>
          <w:p>
            <w:pPr>
              <w:pStyle w:val="1005"/>
              <w:ind w:left="57" w:right="57"/>
            </w:pPr>
            <w:r>
              <w:t xml:space="preserve">Должность руководителя (уполномоченного лица).</w:t>
            </w:r>
            <w:r/>
          </w:p>
          <w:p>
            <w:pPr>
              <w:pStyle w:val="1005"/>
              <w:ind w:left="57" w:right="57"/>
            </w:pPr>
            <w:r>
              <w:t xml:space="preserve">Для АРМ. Заполняется автоматически при подписании ЭП данными подписанта.</w:t>
            </w:r>
            <w:r/>
          </w:p>
        </w:tc>
      </w:tr>
      <w:tr>
        <w:trPr>
          <w:trHeight w:val="77"/>
        </w:trPr>
        <w:tc>
          <w:tcPr>
            <w:shd w:val="clear" w:fill="auto" w:color="auto"/>
            <w:tcW w:w="1315" w:type="pct"/>
            <w:textDirection w:val="lrTb"/>
            <w:noWrap w:val="false"/>
          </w:tcPr>
          <w:p>
            <w:pPr>
              <w:pStyle w:val="1005"/>
              <w:ind w:left="57" w:right="57"/>
            </w:pPr>
            <w:r>
              <w:t xml:space="preserve">Руководитель (уполном</w:t>
            </w:r>
            <w:r>
              <w:t xml:space="preserve">о</w:t>
            </w:r>
            <w:r>
              <w:t xml:space="preserve">ченное лицо). Расши</w:t>
            </w:r>
            <w:r>
              <w:t xml:space="preserve">ф</w:t>
            </w:r>
            <w:r>
              <w:t xml:space="preserve">ровка подписи</w:t>
            </w:r>
            <w:r/>
          </w:p>
        </w:tc>
        <w:tc>
          <w:tcPr>
            <w:shd w:val="clear" w:fill="auto" w:color="auto"/>
            <w:tcW w:w="3685" w:type="pct"/>
            <w:textDirection w:val="lrTb"/>
            <w:noWrap w:val="false"/>
          </w:tcPr>
          <w:p>
            <w:pPr>
              <w:pStyle w:val="1005"/>
              <w:ind w:left="57" w:right="57"/>
            </w:pPr>
            <w:r>
              <w:t xml:space="preserve">ФИО руководителя (уполномоченного лица).</w:t>
            </w:r>
            <w:r/>
          </w:p>
          <w:p>
            <w:pPr>
              <w:pStyle w:val="1005"/>
              <w:ind w:left="57" w:right="57"/>
            </w:pPr>
            <w:r>
              <w:t xml:space="preserve">Для АРМ. Заполняется автоматически при подписании ЭП данными подписанта.</w:t>
            </w:r>
            <w:r/>
          </w:p>
        </w:tc>
      </w:tr>
      <w:tr>
        <w:trPr>
          <w:trHeight w:val="77"/>
        </w:trPr>
        <w:tc>
          <w:tcPr>
            <w:shd w:val="clear" w:fill="auto" w:color="auto"/>
            <w:tcW w:w="1315" w:type="pct"/>
            <w:textDirection w:val="lrTb"/>
            <w:noWrap w:val="false"/>
          </w:tcPr>
          <w:p>
            <w:pPr>
              <w:pStyle w:val="1005"/>
              <w:ind w:left="57" w:right="57"/>
            </w:pPr>
            <w:r>
              <w:t xml:space="preserve">Руководитель (уполном</w:t>
            </w:r>
            <w:r>
              <w:t xml:space="preserve">о</w:t>
            </w:r>
            <w:r>
              <w:t xml:space="preserve">ченное л</w:t>
            </w:r>
            <w:r>
              <w:t xml:space="preserve">и</w:t>
            </w:r>
            <w:r>
              <w:t xml:space="preserve">цо). Дата</w:t>
            </w:r>
            <w:r/>
          </w:p>
        </w:tc>
        <w:tc>
          <w:tcPr>
            <w:shd w:val="clear" w:fill="auto" w:color="auto"/>
            <w:tcW w:w="3685" w:type="pct"/>
            <w:textDirection w:val="lrTb"/>
            <w:noWrap w:val="false"/>
          </w:tcPr>
          <w:p>
            <w:pPr>
              <w:pStyle w:val="1005"/>
              <w:ind w:left="57" w:right="57"/>
            </w:pPr>
            <w:r>
              <w:t xml:space="preserve">Дата подписи руководителя (уполномоченного лица). </w:t>
            </w:r>
            <w:r/>
          </w:p>
          <w:p>
            <w:pPr>
              <w:pStyle w:val="1005"/>
              <w:ind w:left="57" w:right="57"/>
            </w:pPr>
            <w:r>
              <w:t xml:space="preserve">Для АРМ. Заполняется автоматически при подписании ЭП данными подписанта.</w:t>
            </w:r>
            <w:r/>
          </w:p>
          <w:p>
            <w:pPr>
              <w:pStyle w:val="1005"/>
              <w:ind w:left="57" w:right="57"/>
            </w:pPr>
            <w:r>
              <w:t xml:space="preserve">Значение вводится вручную, либо выбирается из календаря.</w:t>
            </w:r>
            <w:r/>
          </w:p>
        </w:tc>
      </w:tr>
    </w:tbl>
    <w:p>
      <w:pPr>
        <w:pStyle w:val="972"/>
      </w:pPr>
      <w:r/>
      <w:bookmarkStart w:id="1406" w:name="_Ref435196999"/>
      <w:r/>
      <w:bookmarkStart w:id="1407" w:name="_Toc88819138"/>
      <w:r>
        <w:t xml:space="preserve">Сведения об операциях с целевыми субсидиями</w:t>
      </w:r>
      <w:bookmarkEnd w:id="1393"/>
      <w:r/>
      <w:bookmarkEnd w:id="1394"/>
      <w:r/>
      <w:bookmarkEnd w:id="1395"/>
      <w:r/>
      <w:bookmarkEnd w:id="1396"/>
      <w:r/>
      <w:bookmarkEnd w:id="1406"/>
      <w:r/>
      <w:bookmarkEnd w:id="1407"/>
      <w:r/>
      <w:r/>
    </w:p>
    <w:p>
      <w:pPr>
        <w:pStyle w:val="1156"/>
        <w:numPr>
          <w:ilvl w:val="0"/>
          <w:numId w:val="17"/>
        </w:numPr>
      </w:pPr>
      <w:r>
        <w:t xml:space="preserve">Документ «Сведения об операциях с целевыми субсидиями» (БВС):</w:t>
      </w:r>
      <w:r/>
    </w:p>
    <w:p>
      <w:pPr>
        <w:pStyle w:val="991"/>
      </w:pPr>
      <w:r>
        <w:t xml:space="preserve">Специалист ОрФК осуще</w:t>
      </w:r>
      <w:r>
        <w:t xml:space="preserve">ствляет прием от федеральных бюджетных учреждений и бюджетных учреждений субъектов РФ (муниципальных бюджетных учреждений) и визуальный контроль ЭД «Сведения об операциях с целевыми субсидиями» на текущий финансовый год, которые содержат плановые показател</w:t>
      </w:r>
      <w:r>
        <w:t xml:space="preserve">и поступлений целевых субсидий и выплат за счет средств целевых субсидий. ЭД «Сведения об операциях с целевыми субсидиями», поступивший от федеральных бюджетных учреждений, дополнительно визуально проверяется на соответствие ЭД «Перечень целевых субсидий».</w:t>
      </w:r>
      <w:r/>
    </w:p>
    <w:p>
      <w:pPr>
        <w:pStyle w:val="1156"/>
      </w:pPr>
      <w:r>
        <w:t xml:space="preserve">Документ «Сведения об операциях с субсидиями на капитальные вложения» (БВУ):</w:t>
      </w:r>
      <w:r/>
    </w:p>
    <w:p>
      <w:pPr>
        <w:pStyle w:val="991"/>
      </w:pPr>
      <w:r>
        <w:t xml:space="preserve">Приказом НУБП определены требования к порядку открытия и обслуживания счетов, а также к порядку санкционирования ор</w:t>
      </w:r>
      <w:r>
        <w:t xml:space="preserve">ганами Федерального казначейства оплаты денежных обязательств унитарным предприятиям субъектов Российской Федерации, являющихся неучастниками бюджетного процесса, источником финансового обеспечения которых являются целевые субсидии на капитальные вложения.</w:t>
      </w:r>
      <w:r/>
    </w:p>
    <w:p>
      <w:pPr>
        <w:pStyle w:val="991"/>
      </w:pPr>
      <w:r>
        <w:t xml:space="preserve">Для обеспечения данных требований добавляется в ведение ЭД «Сведения об операциях с субсидиями на капитальные вложения».</w:t>
      </w:r>
      <w:r/>
    </w:p>
    <w:p>
      <w:pPr>
        <w:pStyle w:val="1156"/>
      </w:pPr>
      <w:r>
        <w:t xml:space="preserve">Документ «Сведения об операциях со средствами, предоставляемыми юридическому лицу под фактическую потребность» (БВЮ).</w:t>
      </w:r>
      <w:r/>
    </w:p>
    <w:p>
      <w:pPr>
        <w:pStyle w:val="994"/>
      </w:pPr>
      <w:r>
        <w:t xml:space="preserve">Из вкладки «С</w:t>
      </w:r>
      <w:r>
        <w:t xml:space="preserve">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«Уведомление об уточнении операций клиента». Операции «Санкционировать» и «Отказать» описаны в п.</w:t>
      </w:r>
      <w:r>
        <w:t xml:space="preserve"> </w:t>
      </w:r>
      <w:r>
        <w:fldChar w:fldCharType="begin"/>
      </w:r>
      <w:r>
        <w:instrText xml:space="preserve"> REF _Ref370314948 \r \h </w:instrText>
      </w:r>
      <w:r>
        <w:fldChar w:fldCharType="separate"/>
      </w:r>
      <w:r>
        <w:t xml:space="preserve">3.3.1</w:t>
      </w:r>
      <w:r>
        <w:fldChar w:fldCharType="end"/>
      </w:r>
      <w:r>
        <w:t xml:space="preserve">.</w:t>
      </w:r>
      <w:r/>
    </w:p>
    <w:p>
      <w:pPr>
        <w:pStyle w:val="994"/>
      </w:pPr>
      <w:r>
        <w:t xml:space="preserve">Для работы с документами «Сведения об операциях с целевыми субсидиями» следует перейти в пункт меню</w:t>
      </w:r>
      <w:r>
        <w:rPr>
          <w:rStyle w:val="1001"/>
        </w:rPr>
        <w:t xml:space="preserve"> </w:t>
      </w:r>
      <w:r>
        <w:t xml:space="preserve">«Документы – Регистрация и доведение бюджета – Сведения об операциях с целевыми субсидиями». Откроется ЭФ списка документов, представленная на рисунке </w:t>
      </w:r>
      <w:r>
        <w:fldChar w:fldCharType="begin"/>
      </w:r>
      <w:r>
        <w:instrText xml:space="preserve"> REF _Ref318197730 \h  \* MERGEFORMAT </w:instrText>
      </w:r>
      <w:r>
        <w:fldChar w:fldCharType="separate"/>
      </w:r>
      <w:r>
        <w:t xml:space="preserve">191</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4114800"/>
                <wp:effectExtent l="0" t="0" r="0" b="0"/>
                <wp:docPr id="28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61"/>
                        <a:stretch/>
                      </pic:blipFill>
                      <pic:spPr bwMode="auto">
                        <a:xfrm>
                          <a:off x="0" y="0"/>
                          <a:ext cx="6126480" cy="4114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8" o:spid="_x0000_s288" type="#_x0000_t75" style="mso-wrap-distance-left:0.0pt;mso-wrap-distance-top:0.0pt;mso-wrap-distance-right:0.0pt;mso-wrap-distance-bottom:0.0pt;width:482.4pt;height:324.0pt;" stroked="f">
                <v:path textboxrect="0,0,0,0"/>
                <v:imagedata r:id="rId261" o:title=""/>
              </v:shape>
            </w:pict>
          </mc:Fallback>
        </mc:AlternateContent>
      </w:r>
      <w:r/>
    </w:p>
    <w:p>
      <w:pPr>
        <w:pStyle w:val="983"/>
      </w:pPr>
      <w:r>
        <w:fldChar w:fldCharType="begin"/>
      </w:r>
      <w:r>
        <w:instrText xml:space="preserve"> SEQ Рисунок \* ARABIC </w:instrText>
      </w:r>
      <w:r>
        <w:fldChar w:fldCharType="separate"/>
      </w:r>
      <w:bookmarkStart w:id="1408" w:name="_Ref318197730"/>
      <w:r/>
      <w:bookmarkStart w:id="1409" w:name="_Toc88819576"/>
      <w:r>
        <w:t xml:space="preserve">191</w:t>
      </w:r>
      <w:bookmarkEnd w:id="1408"/>
      <w:r>
        <w:fldChar w:fldCharType="end"/>
      </w:r>
      <w:r>
        <w:t xml:space="preserve">. ЭФ списка документов «Сведения об операциях с целевыми субсидиями»</w:t>
      </w:r>
      <w:bookmarkEnd w:id="1409"/>
      <w:r/>
      <w:r/>
    </w:p>
    <w:p>
      <w:pPr>
        <w:pStyle w:val="973"/>
      </w:pPr>
      <w:r>
        <w:t xml:space="preserve">Доступные операции</w:t>
      </w:r>
      <w:r/>
    </w:p>
    <w:p>
      <w:pPr>
        <w:pStyle w:val="994"/>
      </w:pPr>
      <w:r>
        <w:t xml:space="preserve">На АРМ </w:t>
      </w:r>
      <w:r>
        <w:t xml:space="preserve">Ф</w:t>
      </w:r>
      <w:r>
        <w:t xml:space="preserve">О доступны следующие </w:t>
      </w:r>
      <w:r>
        <w:t xml:space="preserve">над документом</w:t>
      </w:r>
      <w:r>
        <w:t xml:space="preserve">:</w:t>
      </w:r>
      <w:r/>
    </w:p>
    <w:p>
      <w:pPr>
        <w:pStyle w:val="985"/>
      </w:pPr>
      <w:r>
        <w:t xml:space="preserve">Для транзитных документов:</w:t>
      </w:r>
      <w:r/>
    </w:p>
    <w:p>
      <w:pPr>
        <w:pStyle w:val="986"/>
      </w:pPr>
      <w:r>
        <w:t xml:space="preserve">просмотр;</w:t>
      </w:r>
      <w:r/>
    </w:p>
    <w:p>
      <w:pPr>
        <w:pStyle w:val="986"/>
      </w:pPr>
      <w:r>
        <w:t xml:space="preserve">подписание</w:t>
      </w:r>
      <w:r>
        <w:t xml:space="preserve"> и проверка </w:t>
      </w:r>
      <w:r>
        <w:t xml:space="preserve">ЭП;</w:t>
      </w:r>
      <w:r/>
    </w:p>
    <w:p>
      <w:pPr>
        <w:pStyle w:val="986"/>
      </w:pPr>
      <w:r>
        <w:t xml:space="preserve">печать;</w:t>
      </w:r>
      <w:r/>
    </w:p>
    <w:p>
      <w:pPr>
        <w:pStyle w:val="986"/>
      </w:pPr>
      <w:r>
        <w:t xml:space="preserve">экспорт в </w:t>
      </w:r>
      <w:r>
        <w:t xml:space="preserve">ППО OEBS АСФК</w:t>
      </w:r>
      <w:r>
        <w:t xml:space="preserve">;</w:t>
      </w:r>
      <w:r/>
    </w:p>
    <w:p>
      <w:pPr>
        <w:pStyle w:val="986"/>
      </w:pPr>
      <w:r>
        <w:t xml:space="preserve">санкционирование;</w:t>
      </w:r>
      <w:r/>
    </w:p>
    <w:p>
      <w:pPr>
        <w:pStyle w:val="986"/>
      </w:pPr>
      <w:r>
        <w:t xml:space="preserve">отказ</w:t>
      </w:r>
      <w:r>
        <w:t xml:space="preserve">.</w:t>
      </w:r>
      <w:r/>
    </w:p>
    <w:p>
      <w:pPr>
        <w:pStyle w:val="973"/>
      </w:pPr>
      <w:r/>
      <w:bookmarkStart w:id="1410" w:name="_Ref394574319"/>
      <w:r>
        <w:t xml:space="preserve">Экранная форма документа</w:t>
      </w:r>
      <w:bookmarkEnd w:id="1410"/>
      <w:r/>
      <w:r/>
    </w:p>
    <w:p>
      <w:pPr>
        <w:pStyle w:val="994"/>
      </w:pPr>
      <w:r>
        <w:t xml:space="preserve">ЭФ документа «Сведения об операциях с целевыми субсидиями» представлена на рисунках</w:t>
      </w:r>
      <w:r>
        <w:t xml:space="preserve"> </w:t>
      </w:r>
      <w:r>
        <w:fldChar w:fldCharType="begin"/>
      </w:r>
      <w:r>
        <w:instrText xml:space="preserve"> REF _Ref318198791 \h  \* MERGEFORMAT </w:instrText>
      </w:r>
      <w:r>
        <w:fldChar w:fldCharType="separate"/>
      </w:r>
      <w:r>
        <w:t xml:space="preserve">192</w:t>
      </w:r>
      <w:r>
        <w:fldChar w:fldCharType="end"/>
      </w:r>
      <w:r>
        <w:t xml:space="preserve">, </w:t>
      </w:r>
      <w:r>
        <w:fldChar w:fldCharType="begin"/>
      </w:r>
      <w:r>
        <w:instrText xml:space="preserve"> REF _Ref442776525 \h </w:instrText>
      </w:r>
      <w:r>
        <w:fldChar w:fldCharType="separate"/>
      </w:r>
      <w:r>
        <w:t xml:space="preserve">193</w:t>
      </w:r>
      <w:r>
        <w:fldChar w:fldCharType="end"/>
      </w:r>
      <w:r>
        <w:t xml:space="preserve">, </w:t>
      </w:r>
      <w:r>
        <w:fldChar w:fldCharType="begin"/>
      </w:r>
      <w:r>
        <w:instrText xml:space="preserve"> REF _Ref516839470 \h </w:instrText>
      </w:r>
      <w:r>
        <w:fldChar w:fldCharType="separate"/>
      </w:r>
      <w:r>
        <w:t xml:space="preserve">195</w:t>
      </w:r>
      <w:r>
        <w:fldChar w:fldCharType="end"/>
      </w:r>
      <w:r>
        <w:t xml:space="preserve">, </w:t>
      </w:r>
      <w:r>
        <w:fldChar w:fldCharType="begin"/>
      </w:r>
      <w:r>
        <w:instrText xml:space="preserve"> REF _Ref518304581 \h </w:instrText>
      </w:r>
      <w:r>
        <w:fldChar w:fldCharType="separate"/>
      </w:r>
      <w:r>
        <w:t xml:space="preserve">196</w:t>
      </w:r>
      <w:r>
        <w:fldChar w:fldCharType="end"/>
      </w:r>
      <w:r>
        <w:t xml:space="preserve"> и </w:t>
      </w:r>
      <w:r>
        <w:fldChar w:fldCharType="begin"/>
      </w:r>
      <w:r>
        <w:instrText xml:space="preserve"> REF _Ref318199656 \h  \* MERGEFORMAT </w:instrText>
      </w:r>
      <w:r>
        <w:fldChar w:fldCharType="separate"/>
      </w:r>
      <w:r>
        <w:t xml:space="preserve">197</w:t>
      </w:r>
      <w:r>
        <w:fldChar w:fldCharType="end"/>
      </w:r>
      <w:r>
        <w:t xml:space="preserve">. Форма содержит следующие закладки:</w:t>
      </w:r>
      <w:r/>
    </w:p>
    <w:p>
      <w:pPr>
        <w:pStyle w:val="985"/>
      </w:pPr>
      <w:r>
        <w:t xml:space="preserve">«Документ (1)»;</w:t>
      </w:r>
      <w:r/>
    </w:p>
    <w:p>
      <w:pPr>
        <w:pStyle w:val="985"/>
      </w:pPr>
      <w:r>
        <w:t xml:space="preserve">«Документ (</w:t>
      </w:r>
      <w:r>
        <w:t xml:space="preserve">2</w:t>
      </w:r>
      <w:r>
        <w:t xml:space="preserve">)»;</w:t>
      </w:r>
      <w:r/>
    </w:p>
    <w:p>
      <w:pPr>
        <w:pStyle w:val="985"/>
      </w:pPr>
      <w:r>
        <w:t xml:space="preserve">«Дополнительные атрибуты (</w:t>
      </w:r>
      <w:r>
        <w:t xml:space="preserve">3</w:t>
      </w:r>
      <w:r>
        <w:t xml:space="preserve">)»;</w:t>
      </w:r>
      <w:r/>
    </w:p>
    <w:p>
      <w:pPr>
        <w:pStyle w:val="985"/>
      </w:pPr>
      <w:r>
        <w:t xml:space="preserve">«Отметка ответственного департамента МФ РФ»;</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126480" cy="7315200"/>
                <wp:effectExtent l="0" t="0" r="0" b="0"/>
                <wp:docPr id="29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62"/>
                        <a:stretch/>
                      </pic:blipFill>
                      <pic:spPr bwMode="auto">
                        <a:xfrm>
                          <a:off x="0" y="0"/>
                          <a:ext cx="6126480" cy="73152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9" o:spid="_x0000_s289" type="#_x0000_t75" style="mso-wrap-distance-left:0.0pt;mso-wrap-distance-top:0.0pt;mso-wrap-distance-right:0.0pt;mso-wrap-distance-bottom:0.0pt;width:482.4pt;height:576.0pt;" stroked="f">
                <v:path textboxrect="0,0,0,0"/>
                <v:imagedata r:id="rId262" o:title=""/>
              </v:shape>
            </w:pict>
          </mc:Fallback>
        </mc:AlternateContent>
      </w:r>
      <w:r/>
    </w:p>
    <w:p>
      <w:pPr>
        <w:pStyle w:val="983"/>
      </w:pPr>
      <w:r>
        <w:fldChar w:fldCharType="begin"/>
      </w:r>
      <w:r>
        <w:instrText xml:space="preserve"> SEQ Рисунок \* ARABIC </w:instrText>
      </w:r>
      <w:r>
        <w:fldChar w:fldCharType="separate"/>
      </w:r>
      <w:bookmarkStart w:id="1411" w:name="_Ref318198791"/>
      <w:r/>
      <w:bookmarkStart w:id="1412" w:name="_Toc88819577"/>
      <w:r>
        <w:t xml:space="preserve">192</w:t>
      </w:r>
      <w:bookmarkEnd w:id="1411"/>
      <w:r>
        <w:fldChar w:fldCharType="end"/>
      </w:r>
      <w:r>
        <w:t xml:space="preserve">. ЭФ документа «Сведения об операциях с целевыми субсидиями</w:t>
      </w:r>
      <w:r>
        <w:t xml:space="preserve">», закладки «</w:t>
      </w:r>
      <w:r>
        <w:t xml:space="preserve">Документ (1)»</w:t>
      </w:r>
      <w:bookmarkEnd w:id="1412"/>
      <w:r/>
      <w:r/>
    </w:p>
    <w:p>
      <w:pPr>
        <w:pStyle w:val="982"/>
      </w:pPr>
      <w:r>
        <mc:AlternateContent>
          <mc:Choice Requires="wpg">
            <w:drawing>
              <wp:inline xmlns:wp="http://schemas.openxmlformats.org/drawingml/2006/wordprocessingDrawing" distT="0" distB="0" distL="0" distR="0">
                <wp:extent cx="6134100" cy="7124700"/>
                <wp:effectExtent l="0" t="0" r="0" b="0"/>
                <wp:docPr id="29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63"/>
                        <a:stretch/>
                      </pic:blipFill>
                      <pic:spPr bwMode="auto">
                        <a:xfrm>
                          <a:off x="0" y="0"/>
                          <a:ext cx="6134100" cy="71247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0" o:spid="_x0000_s290" type="#_x0000_t75" style="mso-wrap-distance-left:0.0pt;mso-wrap-distance-top:0.0pt;mso-wrap-distance-right:0.0pt;mso-wrap-distance-bottom:0.0pt;width:483.0pt;height:561.0pt;" stroked="f">
                <v:path textboxrect="0,0,0,0"/>
                <v:imagedata r:id="rId263" o:title=""/>
              </v:shape>
            </w:pict>
          </mc:Fallback>
        </mc:AlternateContent>
      </w:r>
      <w:r/>
    </w:p>
    <w:p>
      <w:pPr>
        <w:pStyle w:val="983"/>
      </w:pPr>
      <w:r>
        <w:fldChar w:fldCharType="begin"/>
      </w:r>
      <w:r>
        <w:instrText xml:space="preserve"> SEQ Рисунок \* ARABIC </w:instrText>
      </w:r>
      <w:r>
        <w:fldChar w:fldCharType="separate"/>
      </w:r>
      <w:bookmarkStart w:id="1413" w:name="_Ref442776525"/>
      <w:r/>
      <w:bookmarkStart w:id="1414" w:name="_Toc88819578"/>
      <w:r>
        <w:t xml:space="preserve">193</w:t>
      </w:r>
      <w:bookmarkEnd w:id="1413"/>
      <w:r>
        <w:fldChar w:fldCharType="end"/>
      </w:r>
      <w:r>
        <w:t xml:space="preserve">. ЭФ документа «Сведения об операциях с целевыми субсидиями</w:t>
      </w:r>
      <w:r>
        <w:t xml:space="preserve">», закладки «</w:t>
      </w:r>
      <w:r>
        <w:t xml:space="preserve">Документ (1)»</w:t>
      </w:r>
      <w:r>
        <w:t xml:space="preserve"> </w:t>
      </w:r>
      <w:r>
        <w:t xml:space="preserve">для типа документа «</w:t>
      </w:r>
      <w:r>
        <w:t xml:space="preserve">3 – санкционирование ЮЛ</w:t>
      </w:r>
      <w:r>
        <w:t xml:space="preserve">»</w:t>
      </w:r>
      <w:bookmarkEnd w:id="1414"/>
      <w:r/>
      <w:r/>
    </w:p>
    <w:p>
      <w:pPr>
        <w:pStyle w:val="994"/>
      </w:pPr>
      <w:r>
        <w:t xml:space="preserve">Для ручного ввода документа следует на ЭФ документа заполнить поля, доступные для редактирования</w:t>
      </w:r>
      <w:r>
        <w:t xml:space="preserve">. </w:t>
      </w:r>
      <w:r/>
    </w:p>
    <w:p>
      <w:pPr>
        <w:pStyle w:val="994"/>
      </w:pPr>
      <w:r>
        <w:t xml:space="preserve">Перечень полей </w:t>
      </w:r>
      <w:r>
        <w:t xml:space="preserve">документа «Сведения об операциях с целевыми субсидиями», закладки «Документ (1)»</w:t>
      </w:r>
      <w:r>
        <w:t xml:space="preserve"> </w:t>
      </w:r>
      <w:r>
        <w:t xml:space="preserve">приведен в таблице </w:t>
      </w:r>
      <w:r>
        <w:fldChar w:fldCharType="begin"/>
      </w:r>
      <w:r>
        <w:instrText xml:space="preserve"> REF _Ref318198982 \h  \* MERGEFORMAT </w:instrText>
      </w:r>
      <w:r>
        <w:fldChar w:fldCharType="separate"/>
      </w:r>
      <w:r>
        <w:t xml:space="preserve">103</w:t>
      </w:r>
      <w:r>
        <w:fldChar w:fldCharType="end"/>
      </w:r>
      <w:r>
        <w:t xml:space="preserve">.</w:t>
      </w:r>
      <w:r/>
    </w:p>
    <w:p>
      <w:pPr>
        <w:pStyle w:val="993"/>
      </w:pPr>
      <w:r>
        <w:fldChar w:fldCharType="begin"/>
      </w:r>
      <w:r>
        <w:instrText xml:space="preserve"> SEQ Таблица \* ARABIC </w:instrText>
      </w:r>
      <w:r>
        <w:fldChar w:fldCharType="separate"/>
      </w:r>
      <w:bookmarkStart w:id="1415" w:name="_Ref318198982"/>
      <w:r/>
      <w:bookmarkStart w:id="1416" w:name="_Toc88819289"/>
      <w:r>
        <w:t xml:space="preserve">103</w:t>
      </w:r>
      <w:bookmarkEnd w:id="1415"/>
      <w:r>
        <w:fldChar w:fldCharType="end"/>
      </w:r>
      <w:r>
        <w:t xml:space="preserve">. Перечень полей документа «Сведения об операциях с целевыми субсидиями</w:t>
      </w:r>
      <w:r>
        <w:t xml:space="preserve">», закладки «</w:t>
      </w:r>
      <w:r>
        <w:t xml:space="preserve">Документ (1)»</w:t>
      </w:r>
      <w:bookmarkEnd w:id="1416"/>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98"/>
        <w:gridCol w:w="7354"/>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19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06" w:type="pct"/>
            <w:vAlign w:val="center"/>
            <w:textDirection w:val="lrTb"/>
            <w:noWrap w:val="false"/>
          </w:tcPr>
          <w:p>
            <w:pPr>
              <w:pStyle w:val="1006"/>
            </w:pPr>
            <w:r>
              <w:t xml:space="preserve">Описание поля</w:t>
            </w:r>
            <w:r/>
          </w:p>
        </w:tc>
      </w:tr>
      <w:tr>
        <w:trPr/>
        <w:tc>
          <w:tcPr>
            <w:shd w:val="clear" w:fill="auto" w:color="auto"/>
            <w:tcW w:w="1194" w:type="pct"/>
            <w:textDirection w:val="lrTb"/>
            <w:noWrap w:val="false"/>
          </w:tcPr>
          <w:p>
            <w:pPr>
              <w:pStyle w:val="1005"/>
              <w:ind w:left="57" w:right="57"/>
            </w:pPr>
            <w:r>
              <w:t xml:space="preserve">Год</w:t>
            </w:r>
            <w:r/>
          </w:p>
        </w:tc>
        <w:tc>
          <w:tcPr>
            <w:shd w:val="clear" w:fill="auto" w:color="auto"/>
            <w:tcW w:w="3806" w:type="pct"/>
            <w:textDirection w:val="lrTb"/>
            <w:noWrap w:val="false"/>
          </w:tcPr>
          <w:p>
            <w:pPr>
              <w:pStyle w:val="1005"/>
              <w:ind w:left="57" w:right="57"/>
            </w:pPr>
            <w:r>
              <w:t xml:space="preserve">НУБП: Значение по умолчанию – «текущий год»; выбор из списка</w:t>
            </w:r>
            <w:r>
              <w:t xml:space="preserve">.</w:t>
            </w:r>
            <w:r/>
          </w:p>
          <w:p>
            <w:pPr>
              <w:pStyle w:val="1005"/>
              <w:ind w:left="57" w:right="57"/>
            </w:pPr>
            <w:r>
              <w:t xml:space="preserve">ОФК: значение поля вводится вручную.</w:t>
            </w:r>
            <w:r/>
          </w:p>
          <w:p>
            <w:pPr>
              <w:pStyle w:val="1005"/>
              <w:ind w:left="57" w:right="57"/>
            </w:pPr>
            <w:r>
              <w:t xml:space="preserve">Список доступных значений начинается с 2000 года.</w:t>
            </w:r>
            <w:r/>
          </w:p>
        </w:tc>
      </w:tr>
      <w:tr>
        <w:trPr/>
        <w:tc>
          <w:tcPr>
            <w:shd w:val="clear" w:fill="auto" w:color="auto"/>
            <w:tcW w:w="1194" w:type="pct"/>
            <w:textDirection w:val="lrTb"/>
            <w:noWrap w:val="false"/>
          </w:tcPr>
          <w:p>
            <w:pPr>
              <w:pStyle w:val="1005"/>
              <w:ind w:left="57" w:right="57"/>
            </w:pPr>
            <w:r>
              <w:t xml:space="preserve">Дата</w:t>
            </w:r>
            <w:r/>
          </w:p>
        </w:tc>
        <w:tc>
          <w:tcPr>
            <w:shd w:val="clear" w:fill="auto" w:color="auto"/>
            <w:tcW w:w="3806" w:type="pct"/>
            <w:textDirection w:val="lrTb"/>
            <w:noWrap w:val="false"/>
          </w:tcPr>
          <w:p>
            <w:pPr>
              <w:pStyle w:val="1005"/>
              <w:ind w:left="57" w:right="57"/>
            </w:pPr>
            <w:r>
              <w:t xml:space="preserve">Заполняется по умолчанию текущей системной датой; значение поля вводится вручную.</w:t>
            </w:r>
            <w:r/>
          </w:p>
        </w:tc>
      </w:tr>
      <w:tr>
        <w:trPr/>
        <w:tc>
          <w:tcPr>
            <w:shd w:val="clear" w:fill="auto" w:color="auto"/>
            <w:tcW w:w="1194" w:type="pct"/>
            <w:textDirection w:val="lrTb"/>
            <w:noWrap w:val="false"/>
          </w:tcPr>
          <w:p>
            <w:pPr>
              <w:pStyle w:val="1005"/>
              <w:ind w:left="57" w:right="57"/>
            </w:pPr>
            <w:r>
              <w:t xml:space="preserve">Дата предоставления пре</w:t>
            </w:r>
            <w:r>
              <w:t xml:space="preserve">дыдущих с</w:t>
            </w:r>
            <w:r>
              <w:t xml:space="preserve">ведений</w:t>
            </w:r>
            <w:r/>
          </w:p>
        </w:tc>
        <w:tc>
          <w:tcPr>
            <w:shd w:val="clear" w:fill="auto" w:color="auto"/>
            <w:tcW w:w="3806" w:type="pct"/>
            <w:textDirection w:val="lrTb"/>
            <w:noWrap w:val="false"/>
          </w:tcPr>
          <w:p>
            <w:pPr>
              <w:pStyle w:val="1005"/>
              <w:ind w:left="57" w:right="57"/>
            </w:pPr>
            <w:r>
              <w:t xml:space="preserve">Значение вводится вручную или выбирается из системного календаря дат.</w:t>
            </w:r>
            <w:r/>
          </w:p>
        </w:tc>
      </w:tr>
      <w:tr>
        <w:trPr/>
        <w:tc>
          <w:tcPr>
            <w:shd w:val="clear" w:fill="auto" w:color="auto"/>
            <w:tcW w:w="1194" w:type="pct"/>
            <w:textDirection w:val="lrTb"/>
            <w:noWrap w:val="false"/>
          </w:tcPr>
          <w:p>
            <w:pPr>
              <w:pStyle w:val="1005"/>
              <w:ind w:left="57" w:right="57"/>
            </w:pPr>
            <w:r>
              <w:t xml:space="preserve">Тип документа</w:t>
            </w:r>
            <w:r/>
          </w:p>
        </w:tc>
        <w:tc>
          <w:tcPr>
            <w:shd w:val="clear" w:fill="auto" w:color="auto"/>
            <w:tcW w:w="3806" w:type="pct"/>
            <w:textDirection w:val="lrTb"/>
            <w:noWrap w:val="false"/>
          </w:tcPr>
          <w:p>
            <w:pPr>
              <w:pStyle w:val="1005"/>
              <w:ind w:left="57" w:right="57"/>
            </w:pPr>
            <w:r>
              <w:t xml:space="preserve">Наименование типа документа.</w:t>
            </w:r>
            <w:r/>
          </w:p>
          <w:p>
            <w:pPr>
              <w:pStyle w:val="1005"/>
              <w:ind w:left="57" w:right="57"/>
            </w:pPr>
            <w:r>
              <w:t xml:space="preserve">Значение по умолчанию – «пусто»; выбор из списка значений:</w:t>
            </w:r>
            <w:r/>
          </w:p>
          <w:p>
            <w:pPr>
              <w:pStyle w:val="1007"/>
            </w:pPr>
            <w:r>
              <w:t xml:space="preserve">0 </w:t>
            </w:r>
            <w:r>
              <w:t xml:space="preserve">–</w:t>
            </w:r>
            <w:r>
              <w:t xml:space="preserve"> </w:t>
            </w:r>
            <w:r>
              <w:t xml:space="preserve">пусто;</w:t>
            </w:r>
            <w:r/>
          </w:p>
          <w:p>
            <w:pPr>
              <w:pStyle w:val="1007"/>
            </w:pPr>
            <w:r>
              <w:t xml:space="preserve">1 </w:t>
            </w:r>
            <w:r>
              <w:t xml:space="preserve">–</w:t>
            </w:r>
            <w:r>
              <w:t xml:space="preserve"> </w:t>
            </w:r>
            <w:r>
              <w:t xml:space="preserve">санкционирование АУ/БУ;</w:t>
            </w:r>
            <w:r/>
          </w:p>
          <w:p>
            <w:pPr>
              <w:pStyle w:val="1007"/>
            </w:pPr>
            <w:r>
              <w:t xml:space="preserve">2 </w:t>
            </w:r>
            <w:r>
              <w:t xml:space="preserve">–</w:t>
            </w:r>
            <w:r>
              <w:t xml:space="preserve"> </w:t>
            </w:r>
            <w:r>
              <w:t xml:space="preserve">санкционирование ФГУП/ГУП/МУП;</w:t>
            </w:r>
            <w:r/>
          </w:p>
          <w:p>
            <w:pPr>
              <w:pStyle w:val="1007"/>
            </w:pPr>
            <w:r>
              <w:t xml:space="preserve">3 </w:t>
            </w:r>
            <w:r>
              <w:t xml:space="preserve">–</w:t>
            </w:r>
            <w:r>
              <w:t xml:space="preserve"> </w:t>
            </w:r>
            <w:r>
              <w:t xml:space="preserve">санкционирование ЮЛ.</w:t>
            </w:r>
            <w:r/>
          </w:p>
        </w:tc>
      </w:tr>
      <w:tr>
        <w:trPr/>
        <w:tc>
          <w:tcPr>
            <w:shd w:val="clear" w:fill="auto" w:color="auto"/>
            <w:tcW w:w="1194" w:type="pct"/>
            <w:textDirection w:val="lrTb"/>
            <w:noWrap w:val="false"/>
          </w:tcPr>
          <w:p>
            <w:pPr>
              <w:pStyle w:val="1005"/>
              <w:ind w:left="57" w:right="57"/>
            </w:pPr>
            <w:r>
              <w:t xml:space="preserve">Статус</w:t>
            </w:r>
            <w:r/>
          </w:p>
        </w:tc>
        <w:tc>
          <w:tcPr>
            <w:shd w:val="clear" w:fill="auto" w:color="auto"/>
            <w:tcW w:w="3806" w:type="pct"/>
            <w:textDirection w:val="lrTb"/>
            <w:noWrap w:val="false"/>
          </w:tcPr>
          <w:p>
            <w:pPr>
              <w:pStyle w:val="1005"/>
              <w:ind w:left="57" w:right="57"/>
            </w:pPr>
            <w:r>
              <w:t xml:space="preserve">Код Бизнес статуса документа.</w:t>
            </w:r>
            <w:r/>
          </w:p>
          <w:p>
            <w:pPr>
              <w:pStyle w:val="1005"/>
              <w:ind w:left="57" w:right="57"/>
            </w:pPr>
            <w:r>
              <w:t xml:space="preserve">Значение заполняется автоматически или передается из OEBS.</w:t>
            </w:r>
            <w:r/>
          </w:p>
        </w:tc>
      </w:tr>
      <w:tr>
        <w:trPr/>
        <w:tc>
          <w:tcPr>
            <w:shd w:val="clear" w:fill="auto" w:color="auto"/>
            <w:tcW w:w="1194" w:type="pct"/>
            <w:textDirection w:val="lrTb"/>
            <w:noWrap w:val="false"/>
          </w:tcPr>
          <w:p>
            <w:pPr>
              <w:pStyle w:val="1005"/>
              <w:ind w:left="57" w:right="57"/>
            </w:pPr>
            <w:r>
              <w:t xml:space="preserve">Учреждение</w:t>
            </w:r>
            <w:r/>
          </w:p>
        </w:tc>
        <w:tc>
          <w:tcPr>
            <w:shd w:val="clear" w:fill="auto" w:color="auto"/>
            <w:tcW w:w="3806" w:type="pct"/>
            <w:textDirection w:val="lrTb"/>
            <w:noWrap w:val="false"/>
          </w:tcPr>
          <w:p>
            <w:pPr>
              <w:pStyle w:val="1005"/>
              <w:ind w:left="57" w:right="57"/>
            </w:pPr>
            <w:r>
              <w:t xml:space="preserve">НУБП: Значение заполняется автоматически на основании константы SelfSRCode (Код по СР). Может быть отредактировано вручную или выб</w:t>
            </w:r>
            <w:r>
              <w:t xml:space="preserve">и</w:t>
            </w:r>
            <w:r>
              <w:t xml:space="preserve">рается из справочника:</w:t>
            </w:r>
            <w:r/>
          </w:p>
          <w:p>
            <w:pPr>
              <w:pStyle w:val="1008"/>
              <w:numPr>
                <w:ilvl w:val="0"/>
                <w:numId w:val="86"/>
              </w:numPr>
            </w:pPr>
            <w:r>
              <w:t xml:space="preserve">НУБП, если значение поля «Дата» &lt; значения настройки «Дата завершения перехода на Сводный реестр» + значение поля «Переход на СР» = 0.</w:t>
            </w:r>
            <w:r/>
          </w:p>
          <w:p>
            <w:pPr>
              <w:pStyle w:val="1008"/>
            </w:pPr>
            <w:r>
              <w:t xml:space="preserve">СР:</w:t>
            </w:r>
            <w:r/>
          </w:p>
          <w:p>
            <w:pPr>
              <w:pStyle w:val="1007"/>
            </w:pPr>
            <w:r>
              <w:t xml:space="preserve">если текущая системная дата =&gt; значения настройки «Дата начала п</w:t>
            </w:r>
            <w:r>
              <w:t xml:space="preserve">е</w:t>
            </w:r>
            <w:r>
              <w:t xml:space="preserve">рехода на Сводный реестр» + значение поля «Дата» &lt; значения н</w:t>
            </w:r>
            <w:r>
              <w:t xml:space="preserve">а</w:t>
            </w:r>
            <w:r>
              <w:t xml:space="preserve">стройки «Дата завершения перехода на Сводный реестр» + значение поля «Переход на СР» = 1;</w:t>
            </w:r>
            <w:r/>
          </w:p>
          <w:p>
            <w:pPr>
              <w:pStyle w:val="1007"/>
            </w:pPr>
            <w:r>
              <w:t xml:space="preserve">или если текущая системная дата =&gt; значения настройки «Дата начала перехода на Сводный реестр» + значение поля «Дата» &lt; значения н</w:t>
            </w:r>
            <w:r>
              <w:t xml:space="preserve">а</w:t>
            </w:r>
            <w:r>
              <w:t xml:space="preserve">стройки «Дата завершения перехода на Сводный реестр».</w:t>
            </w:r>
            <w:r/>
          </w:p>
          <w:p>
            <w:pPr>
              <w:pStyle w:val="1005"/>
              <w:ind w:left="57" w:right="57"/>
            </w:pPr>
            <w:r>
              <w:t xml:space="preserve">Для выбора из справочника СР доступны все актуальные записи с учётом Типа организации (ТО) и Типа учреждения (ТУ) в зависимости от значения поля «Тип документа (код)»:</w:t>
            </w:r>
            <w:r/>
          </w:p>
          <w:p>
            <w:pPr>
              <w:pStyle w:val="1007"/>
            </w:pPr>
            <w:r>
              <w:t xml:space="preserve">если 1, то записи с ТО = 03 и ТУ = 2 и 3;</w:t>
            </w:r>
            <w:r/>
          </w:p>
          <w:p>
            <w:pPr>
              <w:pStyle w:val="1007"/>
            </w:pPr>
            <w:r>
              <w:t xml:space="preserve">если 2, то записи с ТО = 05;</w:t>
            </w:r>
            <w:r/>
          </w:p>
          <w:p>
            <w:pPr>
              <w:pStyle w:val="1007"/>
            </w:pPr>
            <w:r>
              <w:t xml:space="preserve">если 3, то записи с ТО = 09 и 20</w:t>
            </w:r>
            <w:r>
              <w:t xml:space="preserve">.</w:t>
            </w:r>
            <w:r/>
          </w:p>
          <w:p>
            <w:pPr>
              <w:pStyle w:val="1005"/>
              <w:ind w:left="57" w:right="57"/>
            </w:pPr>
            <w:r>
              <w:t xml:space="preserve">ОФК: значение вводится вручную.</w:t>
            </w:r>
            <w:r/>
          </w:p>
        </w:tc>
      </w:tr>
      <w:tr>
        <w:trPr/>
        <w:tc>
          <w:tcPr>
            <w:shd w:val="clear" w:fill="auto" w:color="auto"/>
            <w:tcW w:w="1194" w:type="pct"/>
            <w:textDirection w:val="lrTb"/>
            <w:noWrap w:val="false"/>
          </w:tcPr>
          <w:p>
            <w:pPr>
              <w:pStyle w:val="1005"/>
              <w:ind w:left="57" w:right="57"/>
            </w:pPr>
            <w:r>
              <w:t xml:space="preserve">П</w:t>
            </w:r>
            <w:r>
              <w:t xml:space="preserve">о СР</w:t>
            </w:r>
            <w:r/>
          </w:p>
        </w:tc>
        <w:tc>
          <w:tcPr>
            <w:shd w:val="clear" w:fill="auto" w:color="auto"/>
            <w:tcW w:w="3806" w:type="pct"/>
            <w:textDirection w:val="lrTb"/>
            <w:noWrap w:val="false"/>
          </w:tcPr>
          <w:p>
            <w:pPr>
              <w:pStyle w:val="1005"/>
              <w:ind w:left="57" w:right="57"/>
            </w:pPr>
            <w:r>
              <w:t xml:space="preserve">Поле доступно и обязательно для заполнения только для типа документа </w:t>
            </w:r>
            <w:r>
              <w:t xml:space="preserve">«1».</w:t>
            </w:r>
            <w:r/>
          </w:p>
          <w:p>
            <w:pPr>
              <w:pStyle w:val="1005"/>
              <w:ind w:left="57" w:right="57"/>
            </w:pPr>
            <w:r>
              <w:t xml:space="preserve">НУБП: </w:t>
            </w:r>
            <w:r>
              <w:t xml:space="preserve">Заполняется при импорте из внешних систем соответствующим значением из файла.</w:t>
            </w:r>
            <w:r/>
          </w:p>
          <w:p>
            <w:pPr>
              <w:pStyle w:val="1005"/>
              <w:ind w:left="57" w:right="57"/>
            </w:pPr>
            <w:r>
              <w:t xml:space="preserve">Заполняется по умолчанию значением системной константы организации SelfSRCode. </w:t>
            </w:r>
            <w:r/>
          </w:p>
          <w:p>
            <w:pPr>
              <w:pStyle w:val="1005"/>
              <w:ind w:left="57" w:right="57"/>
            </w:pPr>
            <w:r>
              <w:t xml:space="preserve">Может указываться вручную или выбором из справочника СР.</w:t>
            </w:r>
            <w:r/>
          </w:p>
          <w:p>
            <w:pPr>
              <w:pStyle w:val="1005"/>
              <w:ind w:left="57" w:right="57"/>
            </w:pPr>
            <w:r>
              <w:t xml:space="preserve">ОФК: Заполняетс</w:t>
            </w:r>
            <w:r>
              <w:t xml:space="preserve">я при </w:t>
            </w:r>
            <w:r>
              <w:t xml:space="preserve">и</w:t>
            </w:r>
            <w:r>
              <w:t xml:space="preserve">м</w:t>
            </w:r>
            <w:r>
              <w:t xml:space="preserve">порте из внешних систем соответствующим зн</w:t>
            </w:r>
            <w:r>
              <w:t xml:space="preserve">а</w:t>
            </w:r>
            <w:r>
              <w:t xml:space="preserve">чением из файла или значение ук</w:t>
            </w:r>
            <w:r>
              <w:t xml:space="preserve">а</w:t>
            </w:r>
            <w:r>
              <w:t xml:space="preserve">зывается вручную.</w:t>
            </w:r>
            <w:r/>
          </w:p>
        </w:tc>
      </w:tr>
      <w:tr>
        <w:trPr/>
        <w:tc>
          <w:tcPr>
            <w:shd w:val="clear" w:fill="auto" w:color="auto"/>
            <w:tcW w:w="1194" w:type="pct"/>
            <w:textDirection w:val="lrTb"/>
            <w:noWrap w:val="false"/>
          </w:tcPr>
          <w:p>
            <w:pPr>
              <w:pStyle w:val="1005"/>
              <w:ind w:left="57" w:right="57"/>
            </w:pPr>
            <w:r>
              <w:t xml:space="preserve">П</w:t>
            </w:r>
            <w:r>
              <w:t xml:space="preserve">о ОКПО</w:t>
            </w:r>
            <w:r/>
          </w:p>
        </w:tc>
        <w:tc>
          <w:tcPr>
            <w:shd w:val="clear" w:fill="auto" w:color="auto"/>
            <w:tcW w:w="3806" w:type="pct"/>
            <w:textDirection w:val="lrTb"/>
            <w:noWrap w:val="false"/>
          </w:tcPr>
          <w:p>
            <w:pPr>
              <w:pStyle w:val="1005"/>
              <w:ind w:left="57" w:right="57"/>
            </w:pPr>
            <w:r>
              <w:t xml:space="preserve">НУБП: Значение подтягивается автоматически по значению</w:t>
            </w:r>
            <w:r>
              <w:t xml:space="preserve">, указанному в поле «Учреждение</w:t>
            </w:r>
            <w:r>
              <w:t xml:space="preserve">» с учётом значений констант SelfBUCode (Код собственного БУ) и SelfBudgetCode (Код бюджета) из справочника:</w:t>
            </w:r>
            <w:r/>
          </w:p>
          <w:p>
            <w:pPr>
              <w:pStyle w:val="1008"/>
              <w:numPr>
                <w:ilvl w:val="0"/>
                <w:numId w:val="87"/>
              </w:numPr>
            </w:pPr>
            <w:r>
              <w:t xml:space="preserve">НУБП, если значение поля «Дата» &lt; значения настройки «Дата завершения перехода на Сводный реестр» + значение поля «Переход на СР» = 0.</w:t>
            </w:r>
            <w:r/>
          </w:p>
          <w:p>
            <w:pPr>
              <w:pStyle w:val="1008"/>
            </w:pPr>
            <w:r>
              <w:t xml:space="preserve">СР, из значения поля «ОКПО» блока «Информация по общероссийским классификаторам» закладки «Основные реквизиты»:</w:t>
            </w:r>
            <w:r/>
          </w:p>
          <w:p>
            <w:pPr>
              <w:pStyle w:val="1007"/>
            </w:pPr>
            <w:r>
              <w:t xml:space="preserve">если текущая системная дата =&gt; значения настройки «Дата начала п</w:t>
            </w:r>
            <w:r>
              <w:t xml:space="preserve">е</w:t>
            </w:r>
            <w:r>
              <w:t xml:space="preserve">рехода на Сводный реестр» + значение поля «Дата» &lt; значения н</w:t>
            </w:r>
            <w:r>
              <w:t xml:space="preserve">а</w:t>
            </w:r>
            <w:r>
              <w:t xml:space="preserve">стройки «Дата завершения перехода на Сводный реестр» + значение поля «Переход на СР» = 1;</w:t>
            </w:r>
            <w:r/>
          </w:p>
          <w:p>
            <w:pPr>
              <w:pStyle w:val="1007"/>
            </w:pPr>
            <w:r>
              <w:t xml:space="preserve">или если текущая системная дата =&gt; значения настройки «Дата начала перехода на Сводный реестр» + значение поля «Дата» &gt; значения н</w:t>
            </w:r>
            <w:r>
              <w:t xml:space="preserve">а</w:t>
            </w:r>
            <w:r>
              <w:t xml:space="preserve">стройки «Дата завершения перехода на Сводный реестр». </w:t>
            </w:r>
            <w:r/>
          </w:p>
          <w:p>
            <w:pPr>
              <w:pStyle w:val="1005"/>
              <w:ind w:left="57" w:right="57"/>
            </w:pPr>
            <w:r>
              <w:t xml:space="preserve">Может быть изменено вручную</w:t>
            </w:r>
            <w:r>
              <w:t xml:space="preserve">.</w:t>
            </w:r>
            <w:r/>
          </w:p>
          <w:p>
            <w:pPr>
              <w:pStyle w:val="1005"/>
              <w:ind w:left="57" w:right="57"/>
            </w:pPr>
            <w:r>
              <w:t xml:space="preserve">ОФК: значение вводится вручную.</w:t>
            </w:r>
            <w:r/>
          </w:p>
        </w:tc>
      </w:tr>
      <w:tr>
        <w:trPr/>
        <w:tc>
          <w:tcPr>
            <w:shd w:val="clear" w:fill="auto" w:color="auto"/>
            <w:tcW w:w="1194" w:type="pct"/>
            <w:textDirection w:val="lrTb"/>
            <w:noWrap w:val="false"/>
          </w:tcPr>
          <w:p>
            <w:pPr>
              <w:pStyle w:val="1005"/>
              <w:ind w:left="57" w:right="57"/>
            </w:pPr>
            <w:r>
              <w:t xml:space="preserve">ИНН</w:t>
            </w:r>
            <w:r/>
          </w:p>
        </w:tc>
        <w:tc>
          <w:tcPr>
            <w:shd w:val="clear" w:fill="auto" w:color="auto"/>
            <w:tcW w:w="3806" w:type="pct"/>
            <w:textDirection w:val="lrTb"/>
            <w:noWrap w:val="false"/>
          </w:tcPr>
          <w:p>
            <w:pPr>
              <w:pStyle w:val="1005"/>
              <w:ind w:left="57" w:right="57"/>
            </w:pPr>
            <w:r>
              <w:t xml:space="preserve">НУБП: значение подтягивается автоматически из справочника НУБП по значению, указанному в поле «Учреждение (подразделение)» с учётом значений констант SelfBUCode (Код собственного БУ) и SelfBudgetCode (Код бюджета) из справочника:</w:t>
            </w:r>
            <w:r/>
          </w:p>
          <w:p>
            <w:pPr>
              <w:pStyle w:val="1008"/>
              <w:numPr>
                <w:ilvl w:val="0"/>
                <w:numId w:val="95"/>
              </w:numPr>
            </w:pPr>
            <w:r>
              <w:t xml:space="preserve">НУБП, если значение поля «Дата» &lt; значения настройки «Дата завершения перехода на Сводный реестр» + значение поля «Переход на СР» = 0.</w:t>
            </w:r>
            <w:r/>
          </w:p>
          <w:p>
            <w:pPr>
              <w:pStyle w:val="1008"/>
            </w:pPr>
            <w:r>
              <w:t xml:space="preserve">СР, из значения поля «ИНН» закладки «Основные реквизиты»:</w:t>
            </w:r>
            <w:r/>
          </w:p>
          <w:p>
            <w:pPr>
              <w:pStyle w:val="1007"/>
            </w:pPr>
            <w:r>
              <w:t xml:space="preserve">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r/>
          </w:p>
          <w:p>
            <w:pPr>
              <w:pStyle w:val="1007"/>
            </w:pPr>
            <w:r>
              <w:t xml:space="preserve">если текущая системная дата =&gt; значения настройки «Дата начала перехода на Сводный реестр» + значение поля «Дата» &gt; значения настройки «Дата завершения перехода на Сводный реестр». </w:t>
            </w:r>
            <w:r/>
          </w:p>
          <w:p>
            <w:pPr>
              <w:pStyle w:val="1005"/>
              <w:ind w:left="57" w:right="57"/>
            </w:pPr>
            <w:r>
              <w:t xml:space="preserve">Может быть изменено вручную.</w:t>
            </w:r>
            <w:r/>
          </w:p>
          <w:p>
            <w:pPr>
              <w:pStyle w:val="1005"/>
              <w:ind w:left="57" w:right="57"/>
            </w:pPr>
            <w:r>
              <w:t xml:space="preserve">ОФК: значение вводится вручную.</w:t>
            </w:r>
            <w:r/>
          </w:p>
        </w:tc>
      </w:tr>
      <w:tr>
        <w:trPr/>
        <w:tc>
          <w:tcPr>
            <w:shd w:val="clear" w:fill="auto" w:color="auto"/>
            <w:tcW w:w="1194" w:type="pct"/>
            <w:textDirection w:val="lrTb"/>
            <w:noWrap w:val="false"/>
          </w:tcPr>
          <w:p>
            <w:pPr>
              <w:pStyle w:val="1005"/>
              <w:ind w:left="57" w:right="57"/>
            </w:pPr>
            <w:r>
              <w:t xml:space="preserve">КПП</w:t>
            </w:r>
            <w:r/>
          </w:p>
        </w:tc>
        <w:tc>
          <w:tcPr>
            <w:shd w:val="clear" w:fill="auto" w:color="auto"/>
            <w:tcW w:w="3806" w:type="pct"/>
            <w:textDirection w:val="lrTb"/>
            <w:noWrap w:val="false"/>
          </w:tcPr>
          <w:p>
            <w:pPr>
              <w:pStyle w:val="1005"/>
              <w:ind w:left="57" w:right="57"/>
            </w:pPr>
            <w:r>
              <w:t xml:space="preserve">НУБП: значение подтягивается автоматически из справочника НУБП по значению, указанному в поле «Учреждение (подразделение)» с учётом значений констант SelfBUCode (Код собственного БУ) и SelfBudgetCode (Код бюджета) из справочника:</w:t>
            </w:r>
            <w:r/>
          </w:p>
          <w:p>
            <w:pPr>
              <w:pStyle w:val="1008"/>
              <w:numPr>
                <w:ilvl w:val="0"/>
                <w:numId w:val="96"/>
              </w:numPr>
            </w:pPr>
            <w:r>
              <w:t xml:space="preserve">НУБП, если значение поля «Дата» &lt; значения настройки «Дата завершения перехода на Сводный реестр» + значение поля «Переход на СР» = 0.</w:t>
            </w:r>
            <w:r/>
          </w:p>
          <w:p>
            <w:pPr>
              <w:pStyle w:val="1008"/>
            </w:pPr>
            <w:r>
              <w:t xml:space="preserve">СР, из значения поля «КПП» закладки «Основные реквизиты»</w:t>
            </w:r>
            <w:r/>
          </w:p>
          <w:p>
            <w:pPr>
              <w:pStyle w:val="1007"/>
            </w:pPr>
            <w:r>
              <w:t xml:space="preserve">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r/>
          </w:p>
          <w:p>
            <w:pPr>
              <w:pStyle w:val="1007"/>
            </w:pPr>
            <w:r>
              <w:t xml:space="preserve">если текущая системная дата =&gt; значения настройки «Дата начала пе</w:t>
            </w:r>
            <w:r>
              <w:t xml:space="preserve">рехода на Сводный реестр» + значение поля «Дата» &gt; значения настройки «Дата завершения перехода на Сводный реестр».</w:t>
            </w:r>
            <w:r/>
          </w:p>
          <w:p>
            <w:pPr>
              <w:pStyle w:val="1005"/>
              <w:ind w:left="57" w:right="57"/>
            </w:pPr>
            <w:r>
              <w:t xml:space="preserve">Может быть изменено вручную.</w:t>
            </w:r>
            <w:r/>
          </w:p>
          <w:p>
            <w:pPr>
              <w:pStyle w:val="1005"/>
              <w:ind w:left="57" w:right="57"/>
            </w:pPr>
            <w:r>
              <w:t xml:space="preserve">ОФК: значение вводится вручную.</w:t>
            </w:r>
            <w:r/>
          </w:p>
        </w:tc>
      </w:tr>
      <w:tr>
        <w:trPr/>
        <w:tc>
          <w:tcPr>
            <w:shd w:val="clear" w:fill="auto" w:color="auto"/>
            <w:tcW w:w="1194" w:type="pct"/>
            <w:textDirection w:val="lrTb"/>
            <w:noWrap w:val="false"/>
          </w:tcPr>
          <w:p>
            <w:pPr>
              <w:pStyle w:val="1005"/>
              <w:ind w:left="57" w:right="57"/>
            </w:pPr>
            <w:r>
              <w:t xml:space="preserve">Лицевой счет клиента</w:t>
            </w:r>
            <w:r/>
          </w:p>
        </w:tc>
        <w:tc>
          <w:tcPr>
            <w:shd w:val="clear" w:fill="auto" w:color="auto"/>
            <w:tcW w:w="3806" w:type="pct"/>
            <w:textDirection w:val="lrTb"/>
            <w:noWrap w:val="false"/>
          </w:tcPr>
          <w:p>
            <w:pPr>
              <w:pStyle w:val="1005"/>
              <w:ind w:left="57" w:right="57"/>
            </w:pPr>
            <w:r>
              <w:t xml:space="preserve">НУБП: Значение заполняется вручную или выбирается из справочника «Лицевые счета» с учётом фильтрации по системным константам SelfBUCode (Код собственного БУ) и SelfBudgetCode (Код бюджета) + тип ЛС по правилу:</w:t>
            </w:r>
            <w:r/>
          </w:p>
          <w:p>
            <w:pPr>
              <w:pStyle w:val="1007"/>
            </w:pPr>
            <w:r>
              <w:t xml:space="preserve">если значение поля «Тип документа» = санкционирование АУ/БУ, то тип ЛС = 21 и 31;</w:t>
            </w:r>
            <w:r/>
          </w:p>
          <w:p>
            <w:pPr>
              <w:pStyle w:val="1007"/>
            </w:pPr>
            <w:r>
              <w:t xml:space="preserve">если значение поля «Тип документа» = санкционирование ФГУП/ГУП/МУП или санкционирование ЮЛ, то тип ЛС = 41.</w:t>
            </w:r>
            <w:r/>
          </w:p>
          <w:p>
            <w:pPr>
              <w:pStyle w:val="1005"/>
              <w:ind w:left="57" w:right="57"/>
            </w:pPr>
            <w:r>
              <w:t xml:space="preserve">ОФК: значение вводится вручную.</w:t>
            </w:r>
            <w:r/>
          </w:p>
        </w:tc>
      </w:tr>
      <w:tr>
        <w:trPr/>
        <w:tc>
          <w:tcPr>
            <w:shd w:val="clear" w:fill="auto" w:color="auto"/>
            <w:tcW w:w="1194" w:type="pct"/>
            <w:textDirection w:val="lrTb"/>
            <w:noWrap w:val="false"/>
          </w:tcPr>
          <w:p>
            <w:pPr>
              <w:pStyle w:val="1005"/>
              <w:ind w:left="57" w:right="57"/>
            </w:pPr>
            <w:r>
              <w:t xml:space="preserve">Обособленное подразделение</w:t>
            </w:r>
            <w:r/>
          </w:p>
        </w:tc>
        <w:tc>
          <w:tcPr>
            <w:shd w:val="clear" w:fill="auto" w:color="auto"/>
            <w:tcW w:w="3806" w:type="pct"/>
            <w:textDirection w:val="lrTb"/>
            <w:noWrap w:val="false"/>
          </w:tcPr>
          <w:p>
            <w:pPr>
              <w:pStyle w:val="1005"/>
              <w:ind w:left="57" w:right="57"/>
            </w:pPr>
            <w:r>
              <w:t xml:space="preserve">Поле доступно и обязательно для заполнения только для типа документа «1».</w:t>
            </w:r>
            <w:r/>
          </w:p>
          <w:p>
            <w:pPr>
              <w:pStyle w:val="1005"/>
              <w:ind w:left="57" w:right="57"/>
            </w:pPr>
            <w:r>
              <w:t xml:space="preserve">На АРМ НУБП:</w:t>
            </w:r>
            <w:r/>
          </w:p>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Заполняется автоматически, значением</w:t>
            </w:r>
            <w:r>
              <w:t xml:space="preserve"> </w:t>
            </w:r>
            <w:r>
              <w:t xml:space="preserve">полного наименования из соответствующей записи справочника СР при указании значения поля «по СР» (группы полей обособленное подразделение). </w:t>
            </w:r>
            <w:r/>
          </w:p>
          <w:p>
            <w:pPr>
              <w:pStyle w:val="1005"/>
              <w:ind w:left="57" w:right="57"/>
            </w:pPr>
            <w:r>
              <w:t xml:space="preserve">Может указываться вручную.</w:t>
            </w:r>
            <w:r/>
          </w:p>
          <w:p>
            <w:pPr>
              <w:pStyle w:val="1005"/>
              <w:ind w:left="57" w:right="57"/>
            </w:pPr>
            <w:r>
              <w:t xml:space="preserve">ОФК: 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194" w:type="pct"/>
            <w:textDirection w:val="lrTb"/>
            <w:noWrap w:val="false"/>
          </w:tcPr>
          <w:p>
            <w:pPr>
              <w:pStyle w:val="1005"/>
              <w:ind w:left="57" w:right="57"/>
            </w:pPr>
            <w:r>
              <w:t xml:space="preserve">П</w:t>
            </w:r>
            <w:r>
              <w:t xml:space="preserve">о СР</w:t>
            </w:r>
            <w:r/>
          </w:p>
        </w:tc>
        <w:tc>
          <w:tcPr>
            <w:shd w:val="clear" w:fill="auto" w:color="auto"/>
            <w:tcW w:w="3806" w:type="pct"/>
            <w:textDirection w:val="lrTb"/>
            <w:noWrap w:val="false"/>
          </w:tcPr>
          <w:p>
            <w:pPr>
              <w:pStyle w:val="1005"/>
              <w:ind w:left="57" w:right="57"/>
            </w:pPr>
            <w:r>
              <w:t xml:space="preserve">Поле доступно и обязательно для заполнения только для типа документа «1».</w:t>
            </w:r>
            <w:r/>
          </w:p>
          <w:p>
            <w:pPr>
              <w:pStyle w:val="1005"/>
              <w:ind w:left="57" w:right="57"/>
            </w:pPr>
            <w:r>
              <w:t xml:space="preserve">На АРМ НУБП:</w:t>
            </w:r>
            <w:r/>
          </w:p>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Может указываться вручную или выбором из справочника СР.</w:t>
            </w:r>
            <w:r/>
          </w:p>
          <w:p>
            <w:pPr>
              <w:pStyle w:val="1005"/>
              <w:ind w:left="57" w:right="57"/>
            </w:pPr>
            <w:r>
              <w:t xml:space="preserve">На АРМ ОФК off-line:</w:t>
            </w:r>
            <w:r/>
          </w:p>
          <w:p>
            <w:pPr>
              <w:pStyle w:val="1005"/>
              <w:ind w:left="57" w:right="57"/>
            </w:pPr>
            <w:r>
              <w:t xml:space="preserve">Заполняется при импорте из внешних систем соответствующим значением из файла или значение указывается</w:t>
            </w:r>
            <w:r>
              <w:t xml:space="preserve"> вручную.</w:t>
            </w:r>
            <w:r/>
          </w:p>
        </w:tc>
      </w:tr>
      <w:tr>
        <w:trPr/>
        <w:tc>
          <w:tcPr>
            <w:shd w:val="clear" w:fill="auto" w:color="auto"/>
            <w:tcW w:w="1194" w:type="pct"/>
            <w:textDirection w:val="lrTb"/>
            <w:noWrap w:val="false"/>
          </w:tcPr>
          <w:p>
            <w:pPr>
              <w:pStyle w:val="1005"/>
              <w:ind w:left="57" w:right="57"/>
            </w:pPr>
            <w:r>
              <w:t xml:space="preserve">КПП</w:t>
            </w:r>
            <w:r/>
          </w:p>
        </w:tc>
        <w:tc>
          <w:tcPr>
            <w:shd w:val="clear" w:fill="auto" w:color="auto"/>
            <w:tcW w:w="3806" w:type="pct"/>
            <w:textDirection w:val="lrTb"/>
            <w:noWrap w:val="false"/>
          </w:tcPr>
          <w:p>
            <w:pPr>
              <w:pStyle w:val="1005"/>
              <w:ind w:left="57" w:right="57"/>
            </w:pPr>
            <w:r>
              <w:t xml:space="preserve">Поле доступно и обязательно для заполнения только для типа документа «1».</w:t>
            </w:r>
            <w:r/>
          </w:p>
          <w:p>
            <w:pPr>
              <w:pStyle w:val="1005"/>
              <w:ind w:left="57" w:right="57"/>
            </w:pPr>
            <w:r>
              <w:t xml:space="preserve">На АРМ НУБП:</w:t>
            </w:r>
            <w:r/>
          </w:p>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Заполняется автоматически, значением КПП из соответствующей записи справочника СР при указании значения поля «по СР» (группы полей обособленное подразделение). </w:t>
            </w:r>
            <w:r/>
          </w:p>
          <w:p>
            <w:pPr>
              <w:pStyle w:val="1005"/>
              <w:ind w:left="57" w:right="57"/>
            </w:pPr>
            <w:r>
              <w:t xml:space="preserve">Может указываться вручную.</w:t>
            </w:r>
            <w:r/>
          </w:p>
          <w:p>
            <w:pPr>
              <w:pStyle w:val="1005"/>
              <w:ind w:left="57" w:right="57"/>
            </w:pPr>
            <w:r>
              <w:t xml:space="preserve">На АРМ ОФК off-line:</w:t>
            </w:r>
            <w:r/>
          </w:p>
          <w:p>
            <w:pPr>
              <w:pStyle w:val="1005"/>
              <w:ind w:left="57" w:right="57"/>
            </w:pPr>
            <w:r>
              <w:t xml:space="preserve">Заполняется при импорте из внешних систем соответствующим значением из файла</w:t>
            </w:r>
            <w:r>
              <w:t xml:space="preserve"> или значение указывается вручную.</w:t>
            </w:r>
            <w:r/>
          </w:p>
        </w:tc>
      </w:tr>
      <w:tr>
        <w:trPr/>
        <w:tc>
          <w:tcPr>
            <w:shd w:val="clear" w:fill="auto" w:color="auto"/>
            <w:tcW w:w="1194" w:type="pct"/>
            <w:textDirection w:val="lrTb"/>
            <w:noWrap w:val="false"/>
          </w:tcPr>
          <w:p>
            <w:pPr>
              <w:pStyle w:val="1005"/>
              <w:ind w:left="57" w:right="57"/>
            </w:pPr>
            <w:r>
              <w:t xml:space="preserve">Лицевой счет ОП</w:t>
            </w:r>
            <w:r/>
          </w:p>
        </w:tc>
        <w:tc>
          <w:tcPr>
            <w:shd w:val="clear" w:fill="auto" w:color="auto"/>
            <w:tcW w:w="3806" w:type="pct"/>
            <w:textDirection w:val="lrTb"/>
            <w:noWrap w:val="false"/>
          </w:tcPr>
          <w:p>
            <w:pPr>
              <w:pStyle w:val="1005"/>
              <w:ind w:left="57" w:right="57"/>
            </w:pPr>
            <w:r>
              <w:t xml:space="preserve">Поле доступно и обязательно для заполнения только для типа документа «1».</w:t>
            </w:r>
            <w:r/>
          </w:p>
          <w:p>
            <w:pPr>
              <w:pStyle w:val="1005"/>
              <w:ind w:left="57" w:right="57"/>
            </w:pPr>
            <w:r>
              <w:t xml:space="preserve">На АРМ НУБП:</w:t>
            </w:r>
            <w:r/>
          </w:p>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Может указываться вручную или выбором из справочника «Информация о ЛС» – выбор записей справочника ограничен типом ЛС 20,21,22,30,31,32 и кодом бюджета.</w:t>
            </w:r>
            <w:r/>
          </w:p>
          <w:p>
            <w:pPr>
              <w:pStyle w:val="1005"/>
              <w:ind w:left="57" w:right="57"/>
            </w:pPr>
            <w:r>
              <w:t xml:space="preserve">На АРМ ОФК off-line:</w:t>
            </w:r>
            <w:r/>
          </w:p>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194" w:type="pct"/>
            <w:textDirection w:val="lrTb"/>
            <w:noWrap w:val="false"/>
          </w:tcPr>
          <w:p>
            <w:pPr>
              <w:pStyle w:val="1005"/>
              <w:ind w:left="57" w:right="57"/>
            </w:pPr>
            <w:r>
              <w:t xml:space="preserve">Бюджет</w:t>
            </w:r>
            <w:r/>
          </w:p>
        </w:tc>
        <w:tc>
          <w:tcPr>
            <w:shd w:val="clear" w:fill="auto" w:color="auto"/>
            <w:tcW w:w="3806" w:type="pct"/>
            <w:textDirection w:val="lrTb"/>
            <w:noWrap w:val="false"/>
          </w:tcPr>
          <w:p>
            <w:pPr>
              <w:pStyle w:val="1005"/>
              <w:ind w:left="57" w:right="57"/>
            </w:pPr>
            <w:r>
              <w:t xml:space="preserve">Наименование бюджета.</w:t>
            </w:r>
            <w:r/>
          </w:p>
          <w:p>
            <w:pPr>
              <w:pStyle w:val="1005"/>
              <w:ind w:left="57" w:right="57"/>
            </w:pPr>
            <w:r>
              <w:t xml:space="preserve">НУБП: значение проставляется автоматически на основании значения си</w:t>
            </w:r>
            <w:r>
              <w:t xml:space="preserve">с</w:t>
            </w:r>
            <w:r>
              <w:t xml:space="preserve">темной константы SelfBudgetCode (Код бюджета). Может быть изменено выбором из справочника «Бюджеты» или вручную.</w:t>
            </w:r>
            <w:r/>
          </w:p>
          <w:p>
            <w:pPr>
              <w:pStyle w:val="1005"/>
              <w:ind w:left="57" w:right="57"/>
            </w:pPr>
            <w:r>
              <w:t xml:space="preserve">ОФК: значение вводится вручную.</w:t>
            </w:r>
            <w:r/>
          </w:p>
          <w:p>
            <w:pPr>
              <w:pStyle w:val="1005"/>
              <w:ind w:left="57" w:right="57"/>
            </w:pPr>
            <w:r>
              <w:t xml:space="preserve">Не заполняется для типа 3 (при показателе СМТ_АВ</w:t>
            </w:r>
            <w:r>
              <w:t xml:space="preserve">).</w:t>
            </w:r>
            <w:r/>
          </w:p>
        </w:tc>
      </w:tr>
      <w:tr>
        <w:trPr/>
        <w:tc>
          <w:tcPr>
            <w:shd w:val="clear" w:fill="auto" w:color="auto"/>
            <w:tcW w:w="1194" w:type="pct"/>
            <w:textDirection w:val="lrTb"/>
            <w:noWrap w:val="false"/>
          </w:tcPr>
          <w:p>
            <w:pPr>
              <w:pStyle w:val="1005"/>
              <w:ind w:left="57" w:right="57"/>
            </w:pPr>
            <w:r>
              <w:t xml:space="preserve">П</w:t>
            </w:r>
            <w:r>
              <w:t xml:space="preserve">о ОКТМО</w:t>
            </w:r>
            <w:r/>
          </w:p>
        </w:tc>
        <w:tc>
          <w:tcPr>
            <w:shd w:val="clear" w:fill="auto" w:color="auto"/>
            <w:tcW w:w="3806" w:type="pct"/>
            <w:textDirection w:val="lrTb"/>
            <w:noWrap w:val="false"/>
          </w:tcPr>
          <w:p>
            <w:pPr>
              <w:pStyle w:val="1005"/>
              <w:ind w:left="57" w:right="57"/>
            </w:pPr>
            <w:r>
              <w:t xml:space="preserve">НУБП: Значение вводится вручную или выбирается из справочника ОКТМО (выводить только записи актуальные в диапазоне дат ввода документа)</w:t>
            </w:r>
            <w:r>
              <w:t xml:space="preserve">.</w:t>
            </w:r>
            <w:r/>
          </w:p>
          <w:p>
            <w:pPr>
              <w:pStyle w:val="1005"/>
              <w:ind w:left="57" w:right="57"/>
            </w:pPr>
            <w:r>
              <w:t xml:space="preserve">ОФК: значение вводится вручную.</w:t>
            </w:r>
            <w:r/>
          </w:p>
          <w:p>
            <w:pPr>
              <w:pStyle w:val="1005"/>
              <w:ind w:left="57" w:right="57"/>
            </w:pPr>
            <w:r>
              <w:t xml:space="preserve">Для ФБ не заполняется, иначе обязательно для заполнения.</w:t>
            </w:r>
            <w:r/>
          </w:p>
        </w:tc>
      </w:tr>
      <w:tr>
        <w:trPr/>
        <w:tc>
          <w:tcPr>
            <w:shd w:val="clear" w:fill="auto" w:color="auto"/>
            <w:tcW w:w="1194" w:type="pct"/>
            <w:textDirection w:val="lrTb"/>
            <w:noWrap w:val="false"/>
          </w:tcPr>
          <w:p>
            <w:pPr>
              <w:pStyle w:val="1005"/>
              <w:ind w:left="57" w:right="57"/>
            </w:pPr>
            <w:r>
              <w:t xml:space="preserve">Учредитель</w:t>
            </w:r>
            <w:r>
              <w:t xml:space="preserve">/ГРБС</w:t>
            </w:r>
            <w:r/>
          </w:p>
        </w:tc>
        <w:tc>
          <w:tcPr>
            <w:shd w:val="clear" w:fill="auto" w:color="auto"/>
            <w:tcW w:w="3806" w:type="pct"/>
            <w:textDirection w:val="lrTb"/>
            <w:noWrap w:val="false"/>
          </w:tcPr>
          <w:p>
            <w:pPr>
              <w:pStyle w:val="1005"/>
              <w:ind w:left="57" w:right="57"/>
            </w:pPr>
            <w:r>
              <w:t xml:space="preserve">НУБП: значение заполняется автоматически на основании кода </w:t>
            </w:r>
            <w:r>
              <w:t xml:space="preserve">SelfBUCode (Код собственного БУ)</w:t>
            </w:r>
            <w:r>
              <w:t xml:space="preserve"> и </w:t>
            </w:r>
            <w:r>
              <w:t xml:space="preserve">SelfBudgetCode (Код бюджета)</w:t>
            </w:r>
            <w:r>
              <w:t xml:space="preserve"> для указанного наименов</w:t>
            </w:r>
            <w:r>
              <w:t xml:space="preserve">а</w:t>
            </w:r>
            <w:r>
              <w:t xml:space="preserve">ния бюджета из справочника:</w:t>
            </w:r>
            <w:r/>
          </w:p>
          <w:p>
            <w:pPr>
              <w:pStyle w:val="1008"/>
              <w:numPr>
                <w:ilvl w:val="0"/>
                <w:numId w:val="88"/>
              </w:numPr>
            </w:pPr>
            <w:r>
              <w:t xml:space="preserve">Если значение поля «Дата» &lt; значения настройки «Дата завершения перехода на Сводный реестр» + значение поля «Переход на СР» = 0, то из справочника НУБП, из поля «Учредитель (наименование)».</w:t>
            </w:r>
            <w:r/>
          </w:p>
          <w:p>
            <w:pPr>
              <w:pStyle w:val="1008"/>
            </w:pPr>
            <w:r>
              <w:t xml:space="preserve">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r/>
          </w:p>
          <w:p>
            <w:pPr>
              <w:pStyle w:val="1008"/>
            </w:pPr>
            <w:r>
              <w:t xml:space="preserve">Если текущая системная дата =&gt; значения настройки «Дата начала перехода на Сводный реестр» + значение поля «Дата» &gt; значения настройки «Дата завершения перехода на Сводный реестр», то из справочника СР, закладки «Сведения об учредителе» из поля:</w:t>
            </w:r>
            <w:r/>
          </w:p>
          <w:p>
            <w:pPr>
              <w:pStyle w:val="1007"/>
            </w:pPr>
            <w:r>
              <w:t xml:space="preserve"> если тип документа = 1, и ТО = 03, ТУ = 2, то ище</w:t>
            </w:r>
            <w:r>
              <w:t xml:space="preserve">тся </w:t>
            </w:r>
            <w:r>
              <w:t xml:space="preserve">запись в таблице блока </w:t>
            </w:r>
            <w:r>
              <w:t xml:space="preserve">«</w:t>
            </w:r>
            <w:r>
              <w:t xml:space="preserve">Перечень полномочий учредителя БУ</w:t>
            </w:r>
            <w:r>
              <w:t xml:space="preserve">»,</w:t>
            </w:r>
            <w:r>
              <w:t xml:space="preserve"> у которой в поле </w:t>
            </w:r>
            <w:r>
              <w:t xml:space="preserve">«</w:t>
            </w:r>
            <w:r>
              <w:t xml:space="preserve">Ф</w:t>
            </w:r>
            <w:r>
              <w:t xml:space="preserve">и</w:t>
            </w:r>
            <w:r>
              <w:t xml:space="preserve">нансовое обеспечение БУ</w:t>
            </w:r>
            <w:r>
              <w:t xml:space="preserve">»</w:t>
            </w:r>
            <w:r>
              <w:t xml:space="preserve"> указано </w:t>
            </w:r>
            <w:r>
              <w:t xml:space="preserve">«</w:t>
            </w:r>
            <w:r>
              <w:t xml:space="preserve">1</w:t>
            </w:r>
            <w:r>
              <w:t xml:space="preserve">»,</w:t>
            </w:r>
            <w:r>
              <w:t xml:space="preserve"> и </w:t>
            </w:r>
            <w:r>
              <w:t xml:space="preserve">берётся</w:t>
            </w:r>
            <w:r>
              <w:t xml:space="preserve"> значение поля </w:t>
            </w:r>
            <w:r>
              <w:t xml:space="preserve">«</w:t>
            </w:r>
            <w:r>
              <w:t xml:space="preserve">Н</w:t>
            </w:r>
            <w:r>
              <w:t xml:space="preserve">а</w:t>
            </w:r>
            <w:r>
              <w:t xml:space="preserve">именования органа, осуществляющего полномочия учредите</w:t>
            </w:r>
            <w:r>
              <w:t xml:space="preserve">ля»;</w:t>
            </w:r>
            <w:r/>
          </w:p>
          <w:p>
            <w:pPr>
              <w:pStyle w:val="1007"/>
            </w:pPr>
            <w:r>
              <w:t xml:space="preserve">е</w:t>
            </w:r>
            <w:r>
              <w:t xml:space="preserve">сли тип документа = 1, и ТО = 03, ТУ = 3, то </w:t>
            </w:r>
            <w:r>
              <w:t xml:space="preserve">ищется </w:t>
            </w:r>
            <w:r>
              <w:t xml:space="preserve">запись в таблице блока </w:t>
            </w:r>
            <w:r>
              <w:t xml:space="preserve">«</w:t>
            </w:r>
            <w:r>
              <w:t xml:space="preserve">Перечень полномочий учредителя АУ</w:t>
            </w:r>
            <w:r>
              <w:t xml:space="preserve">»,</w:t>
            </w:r>
            <w:r>
              <w:t xml:space="preserve"> у которой в поле </w:t>
            </w:r>
            <w:r>
              <w:t xml:space="preserve">«</w:t>
            </w:r>
            <w:r>
              <w:t xml:space="preserve">Ф</w:t>
            </w:r>
            <w:r>
              <w:t xml:space="preserve">и</w:t>
            </w:r>
            <w:r>
              <w:t xml:space="preserve">нансовое обеспечение АУ</w:t>
            </w:r>
            <w:r>
              <w:t xml:space="preserve">»</w:t>
            </w:r>
            <w:r>
              <w:t xml:space="preserve"> указано </w:t>
            </w:r>
            <w:r>
              <w:t xml:space="preserve">«</w:t>
            </w:r>
            <w:r>
              <w:t xml:space="preserve">1</w:t>
            </w:r>
            <w:r>
              <w:t xml:space="preserve">»,</w:t>
            </w:r>
            <w:r>
              <w:t xml:space="preserve"> и </w:t>
            </w:r>
            <w:r>
              <w:t xml:space="preserve">берётся</w:t>
            </w:r>
            <w:r>
              <w:t xml:space="preserve"> значение поля </w:t>
            </w:r>
            <w:r>
              <w:t xml:space="preserve">«</w:t>
            </w:r>
            <w:r>
              <w:t xml:space="preserve">Н</w:t>
            </w:r>
            <w:r>
              <w:t xml:space="preserve">а</w:t>
            </w:r>
            <w:r>
              <w:t xml:space="preserve">именования органа, осущест</w:t>
            </w:r>
            <w:r>
              <w:t xml:space="preserve">вляющего полномочия учредителя»;</w:t>
            </w:r>
            <w:r/>
          </w:p>
          <w:p>
            <w:pPr>
              <w:pStyle w:val="1007"/>
            </w:pPr>
            <w:r>
              <w:t xml:space="preserve">е</w:t>
            </w:r>
            <w:r>
              <w:t xml:space="preserve">сли тип документа = 2, то </w:t>
            </w:r>
            <w:r>
              <w:t xml:space="preserve">ищется </w:t>
            </w:r>
            <w:r>
              <w:t xml:space="preserve">запись в таблице блока </w:t>
            </w:r>
            <w:r>
              <w:t xml:space="preserve">«</w:t>
            </w:r>
            <w:r>
              <w:t xml:space="preserve">Перечень полномочий учредителя УП</w:t>
            </w:r>
            <w:r>
              <w:t xml:space="preserve">»,</w:t>
            </w:r>
            <w:r>
              <w:t xml:space="preserve"> и </w:t>
            </w:r>
            <w:r>
              <w:t xml:space="preserve">берётся</w:t>
            </w:r>
            <w:r>
              <w:t xml:space="preserve"> значение поля </w:t>
            </w:r>
            <w:r>
              <w:t xml:space="preserve">«</w:t>
            </w:r>
            <w:r>
              <w:t xml:space="preserve">Наим</w:t>
            </w:r>
            <w:r>
              <w:t xml:space="preserve">е</w:t>
            </w:r>
            <w:r>
              <w:t xml:space="preserve">нования орг</w:t>
            </w:r>
            <w:r>
              <w:t xml:space="preserve">а</w:t>
            </w:r>
            <w:r>
              <w:t xml:space="preserve">на, осущест</w:t>
            </w:r>
            <w:r>
              <w:t xml:space="preserve">вляющего полномочия учредителя»;</w:t>
            </w:r>
            <w:r/>
          </w:p>
          <w:p>
            <w:pPr>
              <w:pStyle w:val="1007"/>
            </w:pPr>
            <w:r>
              <w:t xml:space="preserve">е</w:t>
            </w:r>
            <w:r>
              <w:t xml:space="preserve">сли тип документа = 3, то заполняе</w:t>
            </w:r>
            <w:r>
              <w:t xml:space="preserve">тся, </w:t>
            </w:r>
            <w:r>
              <w:t xml:space="preserve">вычисляе</w:t>
            </w:r>
            <w:r>
              <w:t xml:space="preserve">тся Учредитель</w:t>
            </w:r>
            <w:r>
              <w:t xml:space="preserve"> из справочника НУБП по старому алгоритму.</w:t>
            </w:r>
            <w:r/>
          </w:p>
          <w:p>
            <w:pPr>
              <w:pStyle w:val="1005"/>
              <w:ind w:left="57" w:right="57"/>
            </w:pPr>
            <w:r>
              <w:t xml:space="preserve">Может быть изменено вручную.</w:t>
            </w:r>
            <w:r/>
          </w:p>
          <w:p>
            <w:pPr>
              <w:pStyle w:val="1005"/>
              <w:ind w:left="57" w:right="57"/>
            </w:pPr>
            <w:r>
              <w:t xml:space="preserve">ОФК: значение вводится вручную.</w:t>
            </w:r>
            <w:r/>
          </w:p>
        </w:tc>
      </w:tr>
      <w:tr>
        <w:trPr/>
        <w:tc>
          <w:tcPr>
            <w:shd w:val="clear" w:fill="auto" w:color="auto"/>
            <w:tcW w:w="1194" w:type="pct"/>
            <w:textDirection w:val="lrTb"/>
            <w:noWrap w:val="false"/>
          </w:tcPr>
          <w:p>
            <w:pPr>
              <w:pStyle w:val="1005"/>
              <w:ind w:left="57" w:right="57"/>
            </w:pPr>
            <w:r>
              <w:t xml:space="preserve">Глава по БК</w:t>
            </w:r>
            <w:r/>
          </w:p>
        </w:tc>
        <w:tc>
          <w:tcPr>
            <w:shd w:val="clear" w:fill="auto" w:color="auto"/>
            <w:tcW w:w="3806" w:type="pct"/>
            <w:textDirection w:val="lrTb"/>
            <w:noWrap w:val="false"/>
          </w:tcPr>
          <w:p>
            <w:pPr>
              <w:pStyle w:val="1005"/>
              <w:ind w:left="57" w:right="57"/>
            </w:pPr>
            <w:r>
              <w:t xml:space="preserve">НУБП: заполняется автоматически после заполнения поля «Учредитель»:</w:t>
            </w:r>
            <w:r/>
          </w:p>
          <w:p>
            <w:pPr>
              <w:pStyle w:val="1007"/>
            </w:pPr>
            <w:r>
              <w:t xml:space="preserve">если значение поля «Дата» &lt; значения настройки «Дата завершения перехода на Сводный реестр» + значение поля «Переход на СР» = 0, то из поля «Ведомство (код)» из справочника СРРПБС (если значение Бюджет </w:t>
            </w:r>
            <w:r>
              <w:t xml:space="preserve">–</w:t>
            </w:r>
            <w:r>
              <w:t xml:space="preserve"> федеральный), или из ПУБП (если значение поля Бюджет </w:t>
            </w:r>
            <w:r>
              <w:t xml:space="preserve">–</w:t>
            </w:r>
            <w:r>
              <w:t xml:space="preserve"> отличен от федерального);</w:t>
            </w:r>
            <w:r/>
          </w:p>
          <w:p>
            <w:pPr>
              <w:pStyle w:val="1007"/>
            </w:pPr>
            <w:r>
              <w:t xml:space="preserve">если текущая системная дата =&gt; значения настройки «Дата начала перехода на Сводный реестр» + значение поля «Дата» &lt; значения настройки «Дата завершения перехода на Сводный реестр» + значение поля «Переход на СР» = 1;</w:t>
            </w:r>
            <w:r/>
          </w:p>
          <w:p>
            <w:pPr>
              <w:pStyle w:val="1007"/>
            </w:pPr>
            <w:r>
              <w:t xml:space="preserve">или если текущая системная дата =&gt; значения настройки</w:t>
            </w:r>
            <w:r>
              <w:t xml:space="preserve"> «Дата начала перехода на Сводный реестр» + значение поля «Дата» &gt; значения настройки «Дата завершения перехода на Сводный реестр», то из справочника СР из поля «Код главы по БК» закладки «Сведения о бюджете» той же записи, из которой вычисляли Учредителя.</w:t>
            </w:r>
            <w:r/>
          </w:p>
          <w:p>
            <w:pPr>
              <w:pStyle w:val="1005"/>
              <w:ind w:left="57" w:right="57"/>
            </w:pPr>
            <w:r>
              <w:t xml:space="preserve">Может быть отредактировано вручную, либо выбором из справочника «Ведомства».</w:t>
            </w:r>
            <w:r/>
          </w:p>
          <w:p>
            <w:pPr>
              <w:pStyle w:val="1005"/>
              <w:ind w:left="57" w:right="57"/>
            </w:pPr>
            <w:r>
              <w:t xml:space="preserve">ОФК: значение вводится вручную.</w:t>
            </w:r>
            <w:r/>
          </w:p>
        </w:tc>
      </w:tr>
      <w:tr>
        <w:trPr/>
        <w:tc>
          <w:tcPr>
            <w:shd w:val="clear" w:fill="auto" w:color="auto"/>
            <w:tcW w:w="1194" w:type="pct"/>
            <w:textDirection w:val="lrTb"/>
            <w:noWrap w:val="false"/>
          </w:tcPr>
          <w:p>
            <w:pPr>
              <w:pStyle w:val="1005"/>
              <w:ind w:left="57" w:right="57"/>
            </w:pPr>
            <w:r>
              <w:t xml:space="preserve">Лицевой счет учредителя</w:t>
            </w:r>
            <w:r/>
          </w:p>
        </w:tc>
        <w:tc>
          <w:tcPr>
            <w:shd w:val="clear" w:fill="auto" w:color="auto"/>
            <w:tcW w:w="3806" w:type="pct"/>
            <w:textDirection w:val="lrTb"/>
            <w:noWrap w:val="false"/>
          </w:tcPr>
          <w:p>
            <w:pPr>
              <w:pStyle w:val="1005"/>
              <w:ind w:left="57" w:right="57"/>
            </w:pPr>
            <w:r>
              <w:t xml:space="preserve">Поле доступно и обязательно для заполнения только для типа документа «1».</w:t>
            </w:r>
            <w:r/>
          </w:p>
          <w:p>
            <w:pPr>
              <w:pStyle w:val="1005"/>
              <w:ind w:left="57" w:right="57"/>
            </w:pPr>
            <w:r>
              <w:t xml:space="preserve">На АРМ НУБП:</w:t>
            </w:r>
            <w:r/>
          </w:p>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Может указываться вручную или выбором из справочника «Информация о ЛС» (без ограничения).</w:t>
            </w:r>
            <w:r/>
          </w:p>
          <w:p>
            <w:pPr>
              <w:pStyle w:val="1005"/>
              <w:ind w:left="57" w:right="57"/>
            </w:pPr>
            <w:r>
              <w:t xml:space="preserve">На АРМ ОФК off-line:</w:t>
            </w:r>
            <w:r/>
          </w:p>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194" w:type="pct"/>
            <w:textDirection w:val="lrTb"/>
            <w:noWrap w:val="false"/>
          </w:tcPr>
          <w:p>
            <w:pPr>
              <w:pStyle w:val="1005"/>
              <w:ind w:left="57" w:right="57"/>
            </w:pPr>
            <w:r>
              <w:t xml:space="preserve">Орган ФК</w:t>
            </w:r>
            <w:r/>
          </w:p>
        </w:tc>
        <w:tc>
          <w:tcPr>
            <w:shd w:val="clear" w:fill="auto" w:color="auto"/>
            <w:tcW w:w="3806" w:type="pct"/>
            <w:textDirection w:val="lrTb"/>
            <w:noWrap w:val="false"/>
          </w:tcPr>
          <w:p>
            <w:pPr>
              <w:pStyle w:val="1005"/>
              <w:ind w:left="57" w:right="57"/>
            </w:pPr>
            <w:r>
              <w:t xml:space="preserve">НУБП: Значение вводится вручную или выбирается из справочника Органов ФК. </w:t>
            </w:r>
            <w:r/>
          </w:p>
          <w:p>
            <w:pPr>
              <w:pStyle w:val="1005"/>
              <w:ind w:left="57" w:right="57"/>
            </w:pPr>
            <w:r>
              <w:t xml:space="preserve">Может быть изменено пользователем вручную.</w:t>
            </w:r>
            <w:r/>
          </w:p>
          <w:p>
            <w:pPr>
              <w:pStyle w:val="1005"/>
              <w:ind w:left="57" w:right="57"/>
            </w:pPr>
            <w:r>
              <w:t xml:space="preserve">ОФК: заполняется вручную.</w:t>
            </w:r>
            <w:r/>
          </w:p>
        </w:tc>
      </w:tr>
      <w:tr>
        <w:trPr/>
        <w:tc>
          <w:tcPr>
            <w:shd w:val="clear" w:fill="auto" w:color="auto"/>
            <w:tcW w:w="1194" w:type="pct"/>
            <w:textDirection w:val="lrTb"/>
            <w:noWrap w:val="false"/>
          </w:tcPr>
          <w:p>
            <w:pPr>
              <w:pStyle w:val="1005"/>
              <w:ind w:left="57" w:right="57"/>
            </w:pPr>
            <w:r>
              <w:t xml:space="preserve">По КОФК</w:t>
            </w:r>
            <w:r/>
          </w:p>
        </w:tc>
        <w:tc>
          <w:tcPr>
            <w:shd w:val="clear" w:fill="auto" w:color="auto"/>
            <w:tcW w:w="3806" w:type="pct"/>
            <w:textDirection w:val="lrTb"/>
            <w:noWrap w:val="false"/>
          </w:tcPr>
          <w:p>
            <w:pPr>
              <w:pStyle w:val="1005"/>
              <w:ind w:left="57" w:right="57"/>
            </w:pPr>
            <w:r>
              <w:t xml:space="preserve">Для типа документа «3»:</w:t>
            </w:r>
            <w:r/>
          </w:p>
          <w:p>
            <w:pPr>
              <w:pStyle w:val="1005"/>
              <w:ind w:left="57" w:right="57"/>
            </w:pPr>
            <w:r>
              <w:t xml:space="preserve">Заполняется в соответствии с централизованным справочником ФК.</w:t>
            </w:r>
            <w:r/>
          </w:p>
          <w:p>
            <w:pPr>
              <w:pStyle w:val="1005"/>
              <w:ind w:left="57" w:right="57"/>
            </w:pPr>
            <w:r>
              <w:t xml:space="preserve">При смене типа документа, прежнее значение поля обнулять и ограничивать или заполнять в соответствии с новым типом документа.</w:t>
            </w:r>
            <w:r/>
          </w:p>
        </w:tc>
      </w:tr>
      <w:tr>
        <w:trPr/>
        <w:tc>
          <w:tcPr>
            <w:shd w:val="clear" w:fill="auto" w:color="auto"/>
            <w:tcW w:w="1194" w:type="pct"/>
            <w:textDirection w:val="lrTb"/>
            <w:noWrap w:val="false"/>
          </w:tcPr>
          <w:p>
            <w:pPr>
              <w:pStyle w:val="1005"/>
              <w:ind w:left="57" w:right="57"/>
            </w:pPr>
            <w:r>
              <w:t xml:space="preserve">Остаток средств на начало года</w:t>
            </w:r>
            <w:r/>
          </w:p>
        </w:tc>
        <w:tc>
          <w:tcPr>
            <w:shd w:val="clear" w:fill="auto" w:color="auto"/>
            <w:tcW w:w="3806" w:type="pct"/>
            <w:textDirection w:val="lrTb"/>
            <w:noWrap w:val="false"/>
          </w:tcPr>
          <w:p>
            <w:pPr>
              <w:pStyle w:val="1005"/>
              <w:ind w:left="57" w:right="57"/>
            </w:pPr>
            <w:r>
              <w:t xml:space="preserve">Для типа документа «1»:</w:t>
            </w:r>
            <w:r/>
          </w:p>
          <w:p>
            <w:pPr>
              <w:pStyle w:val="1005"/>
              <w:ind w:left="57" w:right="57"/>
            </w:pPr>
            <w:r>
              <w:t xml:space="preserve">Поле заполняется вручную.</w:t>
            </w:r>
            <w:r/>
          </w:p>
          <w:p>
            <w:pPr>
              <w:pStyle w:val="1005"/>
              <w:ind w:left="57" w:right="57"/>
            </w:pPr>
            <w:r>
              <w:t xml:space="preserve">Для типа документа «0», «2» и «3»:</w:t>
            </w:r>
            <w:r/>
          </w:p>
          <w:p>
            <w:pPr>
              <w:pStyle w:val="1005"/>
              <w:ind w:left="57" w:right="57"/>
            </w:pPr>
            <w:r>
              <w:t xml:space="preserve">Поле недоступно для заполнения. </w:t>
            </w:r>
            <w:r/>
          </w:p>
          <w:p>
            <w:pPr>
              <w:pStyle w:val="1005"/>
              <w:ind w:left="57" w:right="57"/>
            </w:pPr>
            <w:r>
              <w:t xml:space="preserve">При смене типа документа прежнее значение поля обнуляется и ограничивается в соответствии с новым типом документа.</w:t>
            </w:r>
            <w:r/>
          </w:p>
        </w:tc>
      </w:tr>
      <w:tr>
        <w:trPr/>
        <w:tc>
          <w:tcPr>
            <w:shd w:val="clear" w:fill="auto" w:color="auto"/>
            <w:tcW w:w="1194" w:type="pct"/>
            <w:textDirection w:val="lrTb"/>
            <w:noWrap w:val="false"/>
          </w:tcPr>
          <w:p>
            <w:pPr>
              <w:pStyle w:val="1005"/>
              <w:ind w:left="57" w:right="57"/>
            </w:pPr>
            <w:r>
              <w:t xml:space="preserve">Ед. изм.</w:t>
            </w:r>
            <w:r/>
          </w:p>
        </w:tc>
        <w:tc>
          <w:tcPr>
            <w:shd w:val="clear" w:fill="auto" w:color="auto"/>
            <w:tcW w:w="3806" w:type="pct"/>
            <w:textDirection w:val="lrTb"/>
            <w:noWrap w:val="false"/>
          </w:tcPr>
          <w:p>
            <w:pPr>
              <w:pStyle w:val="1005"/>
              <w:ind w:left="57" w:right="57"/>
            </w:pPr>
            <w:r>
              <w:t xml:space="preserve">Для типа документа «1»:</w:t>
            </w:r>
            <w:r/>
          </w:p>
          <w:p>
            <w:pPr>
              <w:pStyle w:val="1005"/>
              <w:ind w:left="57" w:right="57"/>
            </w:pPr>
            <w:r>
              <w:t xml:space="preserve">Поле заполняется автоматически значением «руб».</w:t>
            </w:r>
            <w:r/>
          </w:p>
          <w:p>
            <w:pPr>
              <w:pStyle w:val="1005"/>
              <w:ind w:left="57" w:right="57"/>
            </w:pPr>
            <w:r>
              <w:t xml:space="preserve">Для типа документа «0», «2» и «3»:</w:t>
            </w:r>
            <w:r/>
          </w:p>
          <w:p>
            <w:pPr>
              <w:pStyle w:val="1005"/>
              <w:ind w:left="57" w:right="57"/>
            </w:pPr>
            <w:r>
              <w:t xml:space="preserve">Поле не заполняется автоматически и недоступно для заполнения.</w:t>
            </w:r>
            <w:r/>
          </w:p>
        </w:tc>
      </w:tr>
      <w:tr>
        <w:trPr/>
        <w:tc>
          <w:tcPr>
            <w:shd w:val="clear" w:fill="auto" w:color="auto"/>
            <w:tcW w:w="1194" w:type="pct"/>
            <w:textDirection w:val="lrTb"/>
            <w:noWrap w:val="false"/>
          </w:tcPr>
          <w:p>
            <w:pPr>
              <w:pStyle w:val="1005"/>
              <w:ind w:left="57" w:right="57"/>
            </w:pPr>
            <w:r>
              <w:t xml:space="preserve">Наименование иностранной валюты</w:t>
            </w:r>
            <w:r/>
          </w:p>
        </w:tc>
        <w:tc>
          <w:tcPr>
            <w:shd w:val="clear" w:fill="auto" w:color="auto"/>
            <w:tcW w:w="3806" w:type="pct"/>
            <w:textDirection w:val="lrTb"/>
            <w:noWrap w:val="false"/>
          </w:tcPr>
          <w:p>
            <w:pPr>
              <w:pStyle w:val="1005"/>
              <w:ind w:left="57" w:right="57"/>
            </w:pPr>
            <w:r>
              <w:t xml:space="preserve">Для типа документа «1»:</w:t>
            </w:r>
            <w:r/>
          </w:p>
          <w:p>
            <w:pPr>
              <w:pStyle w:val="1005"/>
              <w:ind w:left="57" w:right="57"/>
            </w:pPr>
            <w:r>
              <w:t xml:space="preserve">Значение не заполняется (на ВФ отображается наименование поля как формулировка).</w:t>
            </w:r>
            <w:r/>
          </w:p>
          <w:p>
            <w:pPr>
              <w:pStyle w:val="1005"/>
              <w:ind w:left="57" w:right="57"/>
            </w:pPr>
            <w:r>
              <w:t xml:space="preserve">Для типа документа «0», «2» и «3»:</w:t>
            </w:r>
            <w:r/>
          </w:p>
          <w:p>
            <w:pPr>
              <w:pStyle w:val="1005"/>
              <w:ind w:left="57" w:right="57"/>
            </w:pPr>
            <w:r>
              <w:t xml:space="preserve">Поле не доступно для заполнения.</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«Строки» (</w:t>
            </w:r>
            <w:r>
              <w:t xml:space="preserve">табличное поле</w:t>
            </w:r>
            <w:r>
              <w:t xml:space="preserve">) </w:t>
            </w:r>
            <w:r/>
          </w:p>
        </w:tc>
      </w:tr>
      <w:tr>
        <w:trPr/>
        <w:tc>
          <w:tcPr>
            <w:shd w:val="clear" w:fill="auto" w:color="auto"/>
            <w:tcW w:w="1194" w:type="pct"/>
            <w:textDirection w:val="lrTb"/>
            <w:noWrap w:val="false"/>
          </w:tcPr>
          <w:p>
            <w:pPr>
              <w:pStyle w:val="1005"/>
              <w:ind w:left="57" w:right="57"/>
            </w:pPr>
            <w:r>
              <w:t xml:space="preserve">№ п/п</w:t>
            </w:r>
            <w:r/>
          </w:p>
        </w:tc>
        <w:tc>
          <w:tcPr>
            <w:shd w:val="clear" w:fill="auto" w:color="auto"/>
            <w:tcW w:w="3806" w:type="pct"/>
            <w:textDirection w:val="lrTb"/>
            <w:noWrap w:val="false"/>
          </w:tcPr>
          <w:p>
            <w:pPr>
              <w:pStyle w:val="1005"/>
              <w:ind w:left="57" w:right="57"/>
            </w:pPr>
            <w:r>
              <w:t xml:space="preserve">Значение заполняется автоматически.</w:t>
            </w:r>
            <w:r/>
          </w:p>
        </w:tc>
      </w:tr>
      <w:tr>
        <w:trPr/>
        <w:tc>
          <w:tcPr>
            <w:shd w:val="clear" w:fill="auto" w:color="auto"/>
            <w:tcW w:w="1194" w:type="pct"/>
            <w:textDirection w:val="lrTb"/>
            <w:noWrap w:val="false"/>
          </w:tcPr>
          <w:p>
            <w:pPr>
              <w:pStyle w:val="1005"/>
              <w:ind w:left="57" w:right="57"/>
            </w:pPr>
            <w:r>
              <w:t xml:space="preserve">Наименование субсидии/Направление целевых расходов</w:t>
            </w:r>
            <w:r/>
          </w:p>
        </w:tc>
        <w:tc>
          <w:tcPr>
            <w:shd w:val="clear" w:fill="auto" w:color="auto"/>
            <w:tcW w:w="3806" w:type="pct"/>
            <w:textDirection w:val="lrTb"/>
            <w:noWrap w:val="false"/>
          </w:tcPr>
          <w:p>
            <w:pPr>
              <w:pStyle w:val="1005"/>
              <w:ind w:left="57" w:right="57"/>
            </w:pPr>
            <w:r>
              <w:t xml:space="preserve">НУБП: значение подтягивается автоматически из соответствующего спр</w:t>
            </w:r>
            <w:r>
              <w:t xml:space="preserve">а</w:t>
            </w:r>
            <w:r>
              <w:t xml:space="preserve">вочника «Коды субсидий НУБП» или «Цели субвенций/субсидий» по зн</w:t>
            </w:r>
            <w:r>
              <w:t xml:space="preserve">а</w:t>
            </w:r>
            <w:r>
              <w:t xml:space="preserve">чению, указанному в поле «Код субсидии/целевых средств» (т.е. подтягив</w:t>
            </w:r>
            <w:r>
              <w:t xml:space="preserve">а</w:t>
            </w:r>
            <w:r>
              <w:t xml:space="preserve">ется наименование из записи выбранного справочника на основании ук</w:t>
            </w:r>
            <w:r>
              <w:t xml:space="preserve">а</w:t>
            </w:r>
            <w:r>
              <w:t xml:space="preserve">занного кода). Может быть отредактировано вручную.</w:t>
            </w:r>
            <w:r/>
          </w:p>
          <w:p>
            <w:pPr>
              <w:pStyle w:val="1005"/>
              <w:ind w:left="57" w:right="57"/>
            </w:pPr>
            <w:r>
              <w:t xml:space="preserve">На АРМ НУБП, в случае заполнения поля «Код субсидии» вручную (а не выбором из справочника)</w:t>
            </w:r>
            <w:r>
              <w:t xml:space="preserve">,</w:t>
            </w:r>
            <w:r>
              <w:t xml:space="preserve"> поле «Наименование субсидии/ Направление целевых расходов» заполняется автоматически на основании кода по спр</w:t>
            </w:r>
            <w:r>
              <w:t xml:space="preserve">а</w:t>
            </w:r>
            <w:r>
              <w:t xml:space="preserve">вочнику «Коды субсидий НУБП», вне зависимости от указанного бюджета.</w:t>
            </w:r>
            <w:r/>
          </w:p>
          <w:p>
            <w:pPr>
              <w:pStyle w:val="1005"/>
              <w:ind w:left="57" w:right="57"/>
            </w:pPr>
            <w:r>
              <w:t xml:space="preserve">(Наименование заполняется автоматически, если указанный вручную «Код субсидии/целевых средств» существует и актуален по справочнику «Коды субсидий НУБП» на дату ввода документа).</w:t>
            </w:r>
            <w:r/>
          </w:p>
          <w:p>
            <w:pPr>
              <w:pStyle w:val="1005"/>
              <w:ind w:left="57" w:right="57"/>
            </w:pPr>
            <w:r>
              <w:t xml:space="preserve">ОФК: заполняется вручную.</w:t>
            </w:r>
            <w:r/>
          </w:p>
        </w:tc>
      </w:tr>
      <w:tr>
        <w:trPr/>
        <w:tc>
          <w:tcPr>
            <w:shd w:val="clear" w:fill="auto" w:color="auto"/>
            <w:tcW w:w="1194" w:type="pct"/>
            <w:textDirection w:val="lrTb"/>
            <w:noWrap w:val="false"/>
          </w:tcPr>
          <w:p>
            <w:pPr>
              <w:pStyle w:val="1005"/>
              <w:ind w:left="57" w:right="57"/>
            </w:pPr>
            <w:r>
              <w:t xml:space="preserve">Код субсидии/целевых средств</w:t>
            </w:r>
            <w:r/>
          </w:p>
        </w:tc>
        <w:tc>
          <w:tcPr>
            <w:shd w:val="clear" w:fill="auto" w:color="auto"/>
            <w:tcW w:w="3806" w:type="pct"/>
            <w:textDirection w:val="lrTb"/>
            <w:noWrap w:val="false"/>
          </w:tcPr>
          <w:p>
            <w:pPr>
              <w:pStyle w:val="1005"/>
              <w:ind w:left="57" w:right="57"/>
            </w:pPr>
            <w:r>
              <w:t xml:space="preserve">НУБП: Значение может вводиться вручную или выбором из Справочников:</w:t>
            </w:r>
            <w:r/>
          </w:p>
          <w:p>
            <w:pPr>
              <w:pStyle w:val="1008"/>
              <w:numPr>
                <w:ilvl w:val="0"/>
                <w:numId w:val="42"/>
              </w:numPr>
            </w:pPr>
            <w:r>
              <w:t xml:space="preserve">Если значение поля «Тип документа (код)» = «1»:</w:t>
            </w:r>
            <w:r/>
          </w:p>
          <w:p>
            <w:pPr>
              <w:pStyle w:val="1007"/>
            </w:pPr>
            <w:r>
              <w:t xml:space="preserve">если поле «Наименование бюджета» отлично от «Федеральный бюджет», то из Справочника кодов целей субсидий/субвенций и Справочника Коды субсидий НУБП.</w:t>
            </w:r>
            <w:r/>
          </w:p>
          <w:p>
            <w:pPr>
              <w:pStyle w:val="1007"/>
            </w:pPr>
            <w:r>
              <w:t xml:space="preserve">если поле «Наименование бюджета» равно «Федеральный бюджет, то из Справочника Коды субсидий НУБП.</w:t>
            </w:r>
            <w:r/>
          </w:p>
          <w:p>
            <w:pPr>
              <w:pStyle w:val="1008"/>
            </w:pPr>
            <w:r>
              <w:t xml:space="preserve">Если значение поля «Тип документа (код)» = «2», то выбор только из справочника «Коды субсидий НУБП».</w:t>
            </w:r>
            <w:r/>
          </w:p>
          <w:p>
            <w:pPr>
              <w:pStyle w:val="1008"/>
            </w:pPr>
            <w:r>
              <w:t xml:space="preserve">Если значение поля «Тип документа (код)» = «3» и указан 41 ЛС с допустимым показателем:</w:t>
            </w:r>
            <w:r/>
          </w:p>
          <w:p>
            <w:pPr>
              <w:pStyle w:val="1007"/>
            </w:pPr>
            <w:r>
              <w:t xml:space="preserve">«СМТ_ЮЛ», то выбор только из справочника «Коды субсидий НУБП»;</w:t>
            </w:r>
            <w:r/>
          </w:p>
          <w:p>
            <w:pPr>
              <w:pStyle w:val="1007"/>
            </w:pPr>
            <w:r>
              <w:t xml:space="preserve">«СМТ_АВ», то выбор только из справочника «Перечень направлений расходования целевых средств».</w:t>
            </w:r>
            <w:r/>
          </w:p>
          <w:p>
            <w:pPr>
              <w:pStyle w:val="1005"/>
              <w:ind w:left="57" w:right="57"/>
            </w:pPr>
            <w:r>
              <w:t xml:space="preserve">ОФК: заполняется вручную.</w:t>
            </w:r>
            <w:r/>
          </w:p>
        </w:tc>
      </w:tr>
      <w:tr>
        <w:trPr/>
        <w:tc>
          <w:tcPr>
            <w:shd w:val="clear" w:fill="auto" w:color="auto"/>
            <w:tcW w:w="1194" w:type="pct"/>
            <w:textDirection w:val="lrTb"/>
            <w:noWrap w:val="false"/>
          </w:tcPr>
          <w:p>
            <w:pPr>
              <w:pStyle w:val="1005"/>
              <w:ind w:left="57" w:right="57"/>
            </w:pPr>
            <w:r>
              <w:t xml:space="preserve">Номер соглашения</w:t>
            </w:r>
            <w:r/>
          </w:p>
        </w:tc>
        <w:tc>
          <w:tcPr>
            <w:shd w:val="clear" w:fill="auto" w:color="auto"/>
            <w:tcW w:w="3806" w:type="pct"/>
            <w:textDirection w:val="lrTb"/>
            <w:noWrap w:val="false"/>
          </w:tcPr>
          <w:p>
            <w:pPr>
              <w:pStyle w:val="1005"/>
              <w:ind w:left="57" w:right="57"/>
            </w:pPr>
            <w:r>
              <w:t xml:space="preserve">Для типа документа «1»:</w:t>
            </w:r>
            <w:r/>
          </w:p>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194" w:type="pct"/>
            <w:textDirection w:val="lrTb"/>
            <w:noWrap w:val="false"/>
          </w:tcPr>
          <w:p>
            <w:pPr>
              <w:pStyle w:val="1005"/>
              <w:ind w:left="57" w:right="57"/>
            </w:pPr>
            <w:r>
              <w:t xml:space="preserve">Дата соглашения</w:t>
            </w:r>
            <w:r/>
          </w:p>
        </w:tc>
        <w:tc>
          <w:tcPr>
            <w:shd w:val="clear" w:fill="auto" w:color="auto"/>
            <w:tcW w:w="3806" w:type="pct"/>
            <w:textDirection w:val="lrTb"/>
            <w:noWrap w:val="false"/>
          </w:tcPr>
          <w:p>
            <w:pPr>
              <w:pStyle w:val="1005"/>
              <w:ind w:left="57" w:right="57"/>
            </w:pPr>
            <w:r>
              <w:t xml:space="preserve">Для типа документа «1»:</w:t>
            </w:r>
            <w:r/>
          </w:p>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194" w:type="pct"/>
            <w:textDirection w:val="lrTb"/>
            <w:noWrap w:val="false"/>
          </w:tcPr>
          <w:p>
            <w:pPr>
              <w:pStyle w:val="1005"/>
              <w:ind w:left="57" w:right="57"/>
            </w:pPr>
            <w:r>
              <w:t xml:space="preserve">ИГК</w:t>
            </w:r>
            <w:r/>
          </w:p>
        </w:tc>
        <w:tc>
          <w:tcPr>
            <w:shd w:val="clear" w:fill="auto" w:color="auto"/>
            <w:tcW w:w="3806" w:type="pct"/>
            <w:textDirection w:val="lrTb"/>
            <w:noWrap w:val="false"/>
          </w:tcPr>
          <w:p>
            <w:pPr>
              <w:pStyle w:val="1005"/>
              <w:ind w:left="57" w:right="57"/>
            </w:pPr>
            <w:r>
              <w:t xml:space="preserve">Для типа документа «1»:</w:t>
            </w:r>
            <w:r/>
          </w:p>
          <w:p>
            <w:pPr>
              <w:pStyle w:val="1005"/>
              <w:ind w:left="57" w:right="57"/>
            </w:pPr>
            <w:r>
              <w:t xml:space="preserve">Заполняется при импорте из внешних систем соответствующим значением </w:t>
            </w:r>
            <w:r>
              <w:t xml:space="preserve">из файла или значение указывается вручную.</w:t>
            </w:r>
            <w:r/>
          </w:p>
        </w:tc>
      </w:tr>
      <w:tr>
        <w:trPr/>
        <w:tc>
          <w:tcPr>
            <w:shd w:val="clear" w:fill="auto" w:color="auto"/>
            <w:tcW w:w="1194" w:type="pct"/>
            <w:textDirection w:val="lrTb"/>
            <w:noWrap w:val="false"/>
          </w:tcPr>
          <w:p>
            <w:pPr>
              <w:pStyle w:val="1005"/>
              <w:ind w:left="57" w:right="57"/>
            </w:pPr>
            <w:r>
              <w:t xml:space="preserve">Аналитический код поступлений/выплат</w:t>
            </w:r>
            <w:r/>
          </w:p>
        </w:tc>
        <w:tc>
          <w:tcPr>
            <w:shd w:val="clear" w:fill="auto" w:color="auto"/>
            <w:tcW w:w="3806" w:type="pct"/>
            <w:textDirection w:val="lrTb"/>
            <w:noWrap w:val="false"/>
          </w:tcPr>
          <w:p>
            <w:pPr>
              <w:pStyle w:val="1005"/>
              <w:ind w:left="57" w:right="57"/>
            </w:pPr>
            <w:r>
              <w:t xml:space="preserve">Для типа документа «0», «1» или «2»:</w:t>
            </w:r>
            <w:r/>
          </w:p>
          <w:p>
            <w:pPr>
              <w:pStyle w:val="1005"/>
              <w:ind w:left="57" w:right="57"/>
            </w:pPr>
            <w:r>
              <w:t xml:space="preserve">НУБП: Значение может вводиться вручную, выбираться пользователем из справочника «</w:t>
            </w:r>
            <w:r>
              <w:t xml:space="preserve">Справочник аналитических кодов поступлений и источников (АУ/БУ/НУБП)</w:t>
            </w:r>
            <w:r>
              <w:t xml:space="preserve">» или из справочника «Видов расходов функциональной классификации расходов»;</w:t>
            </w:r>
            <w:r/>
          </w:p>
          <w:p>
            <w:pPr>
              <w:pStyle w:val="1005"/>
              <w:ind w:left="57" w:right="57"/>
            </w:pPr>
            <w:r>
              <w:t xml:space="preserve">ОФК: Заполняется вручную.</w:t>
            </w:r>
            <w:r/>
          </w:p>
          <w:p>
            <w:pPr>
              <w:pStyle w:val="1005"/>
              <w:ind w:left="57" w:right="57"/>
            </w:pPr>
            <w:r>
              <w:t xml:space="preserve">Для типа документа «3»:</w:t>
            </w:r>
            <w:r/>
          </w:p>
          <w:p>
            <w:pPr>
              <w:pStyle w:val="1005"/>
              <w:ind w:left="57" w:right="57"/>
            </w:pPr>
            <w:r>
              <w:t xml:space="preserve">Поле недоступно для заполнения. </w:t>
            </w:r>
            <w:r/>
          </w:p>
          <w:p>
            <w:pPr>
              <w:pStyle w:val="1005"/>
              <w:ind w:left="57" w:right="57"/>
            </w:pPr>
            <w:r>
              <w:t xml:space="preserve">При смене типа документа, прежнее значение поля обнуляется и ограничивается в соответствии с новым типом документа.</w:t>
            </w:r>
            <w:r/>
          </w:p>
        </w:tc>
      </w:tr>
      <w:tr>
        <w:trPr/>
        <w:tc>
          <w:tcPr>
            <w:shd w:val="clear" w:fill="auto" w:color="auto"/>
            <w:tcW w:w="1194" w:type="pct"/>
            <w:textDirection w:val="lrTb"/>
            <w:noWrap w:val="false"/>
          </w:tcPr>
          <w:p>
            <w:pPr>
              <w:pStyle w:val="1005"/>
              <w:ind w:left="57" w:right="57"/>
            </w:pPr>
            <w:r>
              <w:t xml:space="preserve">Код объекта ФАИП</w:t>
            </w:r>
            <w:r/>
          </w:p>
        </w:tc>
        <w:tc>
          <w:tcPr>
            <w:shd w:val="clear" w:fill="auto" w:color="auto"/>
            <w:tcW w:w="3806" w:type="pct"/>
            <w:textDirection w:val="lrTb"/>
            <w:noWrap w:val="false"/>
          </w:tcPr>
          <w:p>
            <w:pPr>
              <w:pStyle w:val="1005"/>
              <w:ind w:left="57" w:right="57"/>
            </w:pPr>
            <w:r>
              <w:t xml:space="preserve">НУБП: выбор из спра</w:t>
            </w:r>
            <w:r>
              <w:t xml:space="preserve">вочника «ФАИП». 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и выводятся все записи прошлых лет); заполнение поля вручную</w:t>
            </w:r>
            <w:r>
              <w:t xml:space="preserve">.</w:t>
            </w:r>
            <w:r/>
          </w:p>
          <w:p>
            <w:pPr>
              <w:pStyle w:val="1005"/>
              <w:ind w:left="57" w:right="57"/>
            </w:pPr>
            <w:r>
              <w:t xml:space="preserve">ОФК: значение поля вводится вручную.</w:t>
            </w:r>
            <w:r/>
          </w:p>
        </w:tc>
      </w:tr>
      <w:tr>
        <w:trPr/>
        <w:tc>
          <w:tcPr>
            <w:shd w:val="clear" w:fill="auto" w:color="auto"/>
            <w:tcW w:w="1194" w:type="pct"/>
            <w:textDirection w:val="lrTb"/>
            <w:noWrap w:val="false"/>
          </w:tcPr>
          <w:p>
            <w:pPr>
              <w:pStyle w:val="1005"/>
              <w:ind w:left="57" w:right="57"/>
            </w:pPr>
            <w:r>
              <w:t xml:space="preserve">Код субсидии прошлых лет</w:t>
            </w:r>
            <w:r/>
          </w:p>
        </w:tc>
        <w:tc>
          <w:tcPr>
            <w:shd w:val="clear" w:fill="auto" w:color="auto"/>
            <w:tcW w:w="3806" w:type="pct"/>
            <w:textDirection w:val="lrTb"/>
            <w:noWrap w:val="false"/>
          </w:tcPr>
          <w:p>
            <w:pPr>
              <w:pStyle w:val="1005"/>
              <w:ind w:left="57" w:right="57"/>
            </w:pPr>
            <w:r>
              <w:t xml:space="preserve">При смене типа документа, прежнее значение поля обнуляется и ограничивается в соответствии с новым типом документа.</w:t>
            </w:r>
            <w:r/>
          </w:p>
          <w:p>
            <w:pPr>
              <w:pStyle w:val="1005"/>
              <w:ind w:left="57" w:right="57"/>
            </w:pPr>
            <w:r>
              <w:t xml:space="preserve">Для типа документа «0», «1» или «2»:</w:t>
            </w:r>
            <w:r/>
          </w:p>
          <w:p>
            <w:pPr>
              <w:pStyle w:val="1005"/>
              <w:ind w:left="57" w:right="57"/>
            </w:pPr>
            <w:r>
              <w:t xml:space="preserve">НУБП: Значение может вводиться вручную или выбором из Справочников:</w:t>
            </w:r>
            <w:r/>
          </w:p>
          <w:p>
            <w:pPr>
              <w:pStyle w:val="1008"/>
              <w:numPr>
                <w:ilvl w:val="0"/>
                <w:numId w:val="52"/>
              </w:numPr>
            </w:pPr>
            <w:r>
              <w:t xml:space="preserve">Если значение поля «Тип документа (код)» = «1»:</w:t>
            </w:r>
            <w:r/>
          </w:p>
          <w:p>
            <w:pPr>
              <w:pStyle w:val="1007"/>
            </w:pPr>
            <w:r>
              <w:t xml:space="preserve">если поле «Наименование бюджета» отлично от «Федеральный бюджет», то из Справочника кодов целей субсидий/субвенций и Справочника Коды субсидий НУБП.</w:t>
            </w:r>
            <w:r/>
          </w:p>
          <w:p>
            <w:pPr>
              <w:pStyle w:val="1007"/>
            </w:pPr>
            <w:r>
              <w:t xml:space="preserve">если поле «Наименование бюджета» равно «Федеральный бюджет</w:t>
            </w:r>
            <w:r>
              <w:t xml:space="preserve">»</w:t>
            </w:r>
            <w:r>
              <w:t xml:space="preserve">, то из Справочника Коды субсидий НУБП.</w:t>
            </w:r>
            <w:r/>
          </w:p>
          <w:p>
            <w:pPr>
              <w:pStyle w:val="1008"/>
            </w:pPr>
            <w:r>
              <w:t xml:space="preserve">Если значение поля «Тип документа (код)» = «2», то выбор только из справочника «Коды субсидий НУБП»</w:t>
            </w:r>
            <w:r>
              <w:t xml:space="preserve">.</w:t>
            </w:r>
            <w:r/>
          </w:p>
          <w:p>
            <w:pPr>
              <w:pStyle w:val="1005"/>
              <w:ind w:left="57" w:right="57"/>
            </w:pPr>
            <w:r>
              <w:t xml:space="preserve">ОФК: Заполняется вручную.</w:t>
            </w:r>
            <w:r/>
          </w:p>
          <w:p>
            <w:pPr>
              <w:pStyle w:val="1005"/>
              <w:ind w:left="57" w:right="57"/>
            </w:pPr>
            <w:r>
              <w:t xml:space="preserve">Для типа документа «3»:</w:t>
            </w:r>
            <w:r/>
          </w:p>
          <w:p>
            <w:pPr>
              <w:pStyle w:val="1005"/>
              <w:ind w:left="57" w:right="57"/>
            </w:pPr>
            <w:r>
              <w:t xml:space="preserve">Поле недоступно для заполнения.</w:t>
            </w:r>
            <w:r/>
          </w:p>
        </w:tc>
      </w:tr>
      <w:tr>
        <w:trPr/>
        <w:tc>
          <w:tcPr>
            <w:shd w:val="clear" w:fill="auto" w:color="auto"/>
            <w:tcW w:w="1194" w:type="pct"/>
            <w:textDirection w:val="lrTb"/>
            <w:noWrap w:val="false"/>
          </w:tcPr>
          <w:p>
            <w:pPr>
              <w:pStyle w:val="1005"/>
              <w:ind w:left="57" w:right="57"/>
            </w:pPr>
            <w:r>
              <w:t xml:space="preserve">Остаток ЦС, всего</w:t>
            </w:r>
            <w:r/>
          </w:p>
        </w:tc>
        <w:tc>
          <w:tcPr>
            <w:shd w:val="clear" w:fill="auto" w:color="auto"/>
            <w:tcW w:w="3806" w:type="pct"/>
            <w:textDirection w:val="lrTb"/>
            <w:noWrap w:val="false"/>
          </w:tcPr>
          <w:p>
            <w:pPr>
              <w:pStyle w:val="1005"/>
              <w:ind w:left="57" w:right="57"/>
            </w:pPr>
            <w:r>
              <w:t xml:space="preserve">Для типа документа «3» - значение вводится вручную.</w:t>
            </w:r>
            <w:r/>
          </w:p>
          <w:p>
            <w:pPr>
              <w:pStyle w:val="1005"/>
              <w:ind w:left="57" w:right="57"/>
            </w:pPr>
            <w:r>
              <w:t xml:space="preserve">Для типа документа «0», «1» или «2» - поле недоступно для заполнения. </w:t>
            </w:r>
            <w:r/>
          </w:p>
          <w:p>
            <w:pPr>
              <w:pStyle w:val="1005"/>
              <w:ind w:left="57" w:right="57"/>
            </w:pPr>
            <w:r>
              <w:t xml:space="preserve">При смене типа документа прежнее значение поля обнуляется и ограничивается в соответствии с новым типом документа.</w:t>
            </w:r>
            <w:r/>
          </w:p>
        </w:tc>
      </w:tr>
      <w:tr>
        <w:trPr/>
        <w:tc>
          <w:tcPr>
            <w:shd w:val="clear" w:fill="auto" w:color="auto"/>
            <w:tcW w:w="1194" w:type="pct"/>
            <w:textDirection w:val="lrTb"/>
            <w:noWrap w:val="false"/>
          </w:tcPr>
          <w:p>
            <w:pPr>
              <w:pStyle w:val="1005"/>
              <w:ind w:left="57" w:right="57"/>
            </w:pPr>
            <w:r>
              <w:t xml:space="preserve">Разрешенный остаток субсидии прошлых лет </w:t>
            </w:r>
            <w:r/>
          </w:p>
        </w:tc>
        <w:tc>
          <w:tcPr>
            <w:shd w:val="clear" w:fill="auto" w:color="auto"/>
            <w:tcW w:w="3806" w:type="pct"/>
            <w:textDirection w:val="lrTb"/>
            <w:noWrap w:val="false"/>
          </w:tcPr>
          <w:p>
            <w:pPr>
              <w:pStyle w:val="1005"/>
              <w:ind w:left="57" w:right="57"/>
            </w:pPr>
            <w:r>
              <w:t xml:space="preserve">Для типа документа «0», «1» или «2» - значение вводится вручную.</w:t>
            </w:r>
            <w:r/>
          </w:p>
          <w:p>
            <w:pPr>
              <w:pStyle w:val="1005"/>
              <w:ind w:left="57" w:right="57"/>
            </w:pPr>
            <w:r>
              <w:t xml:space="preserve">Для типа документа «3» - поле доступно для заполнения. </w:t>
            </w:r>
            <w:r/>
          </w:p>
          <w:p>
            <w:pPr>
              <w:pStyle w:val="1005"/>
              <w:ind w:left="57" w:right="57"/>
            </w:pPr>
            <w:r>
              <w:t xml:space="preserve">При смене типа документа прежнее значение поля обнуляется и ограничивается в соответствии с новым типом документа.</w:t>
            </w:r>
            <w:r/>
          </w:p>
        </w:tc>
      </w:tr>
      <w:tr>
        <w:trPr/>
        <w:tc>
          <w:tcPr>
            <w:shd w:val="clear" w:fill="auto" w:color="auto"/>
            <w:tcW w:w="1194" w:type="pct"/>
            <w:textDirection w:val="lrTb"/>
            <w:noWrap w:val="false"/>
          </w:tcPr>
          <w:p>
            <w:pPr>
              <w:pStyle w:val="1005"/>
              <w:ind w:left="57" w:right="57"/>
            </w:pPr>
            <w:r>
              <w:t xml:space="preserve">Код субсидии возврата деб. </w:t>
            </w:r>
            <w:r>
              <w:t xml:space="preserve">З</w:t>
            </w:r>
            <w:r>
              <w:t xml:space="preserve">адолжен. </w:t>
            </w:r>
            <w:r>
              <w:t xml:space="preserve">П</w:t>
            </w:r>
            <w:r>
              <w:t xml:space="preserve">рошлых лет</w:t>
            </w:r>
            <w:r/>
          </w:p>
        </w:tc>
        <w:tc>
          <w:tcPr>
            <w:shd w:val="clear" w:fill="auto" w:color="auto"/>
            <w:tcW w:w="3806" w:type="pct"/>
            <w:textDirection w:val="lrTb"/>
            <w:noWrap w:val="false"/>
          </w:tcPr>
          <w:p>
            <w:pPr>
              <w:pStyle w:val="1005"/>
              <w:ind w:left="57" w:right="57"/>
            </w:pPr>
            <w:r>
              <w:t xml:space="preserve">При смене типа документа, прежнее значение поля обнуляется и ограничивается в соответствии с новым типом документа.</w:t>
            </w:r>
            <w:r/>
          </w:p>
          <w:p>
            <w:pPr>
              <w:pStyle w:val="1005"/>
              <w:ind w:left="57" w:right="57"/>
            </w:pPr>
            <w:r>
              <w:t xml:space="preserve">Для типа документа «0», «1» или «2»:</w:t>
            </w:r>
            <w:r/>
          </w:p>
          <w:p>
            <w:pPr>
              <w:pStyle w:val="1005"/>
              <w:ind w:left="57" w:right="57"/>
            </w:pPr>
            <w:r>
              <w:t xml:space="preserve">НУБП: Значение может вводиться вручную или выбором из Справочников:</w:t>
            </w:r>
            <w:r/>
          </w:p>
          <w:p>
            <w:pPr>
              <w:pStyle w:val="1008"/>
              <w:numPr>
                <w:ilvl w:val="0"/>
                <w:numId w:val="94"/>
              </w:numPr>
            </w:pPr>
            <w:r>
              <w:t xml:space="preserve">Если значение поля «Тип документа (код)» = «1»:</w:t>
            </w:r>
            <w:r/>
          </w:p>
          <w:p>
            <w:pPr>
              <w:pStyle w:val="1007"/>
            </w:pPr>
            <w:r>
              <w:t xml:space="preserve">если поле «Наименование бюджета» отлично от «Федеральный бюджет», то из Справочника кодов целей субсидий/субвенций и Справочника Коды субсидий НУБП.</w:t>
            </w:r>
            <w:r/>
          </w:p>
          <w:p>
            <w:pPr>
              <w:pStyle w:val="1007"/>
            </w:pPr>
            <w:r>
              <w:t xml:space="preserve">если поле «Наименование бюджета» равно «Федеральный бюджет, то из Справочника Коды субсидий НУБП.</w:t>
            </w:r>
            <w:r/>
          </w:p>
          <w:p>
            <w:pPr>
              <w:pStyle w:val="1008"/>
            </w:pPr>
            <w:r>
              <w:t xml:space="preserve">Если значение поля «Тип документа (код)» = «2» или «3», то выбор только из справочника «Коды субсидий НУБП».</w:t>
            </w:r>
            <w:r/>
          </w:p>
          <w:p>
            <w:pPr>
              <w:pStyle w:val="1005"/>
              <w:ind w:left="57" w:right="57"/>
            </w:pPr>
            <w:r>
              <w:t xml:space="preserve">ОФК: Заполняется вручную.</w:t>
            </w:r>
            <w:r/>
          </w:p>
          <w:p>
            <w:pPr>
              <w:pStyle w:val="1005"/>
              <w:ind w:left="57" w:right="57"/>
            </w:pPr>
            <w:r>
              <w:t xml:space="preserve">Для типа документа «3»:</w:t>
            </w:r>
            <w:r/>
          </w:p>
          <w:p>
            <w:pPr>
              <w:pStyle w:val="1005"/>
              <w:ind w:left="57" w:right="57"/>
            </w:pPr>
            <w:r>
              <w:t xml:space="preserve">Поле недоступно для заполнения.</w:t>
            </w:r>
            <w:r/>
          </w:p>
        </w:tc>
      </w:tr>
      <w:tr>
        <w:trPr/>
        <w:tc>
          <w:tcPr>
            <w:shd w:val="clear" w:fill="auto" w:color="auto"/>
            <w:tcW w:w="1194" w:type="pct"/>
            <w:textDirection w:val="lrTb"/>
            <w:noWrap w:val="false"/>
          </w:tcPr>
          <w:p>
            <w:pPr>
              <w:pStyle w:val="1005"/>
              <w:ind w:left="57" w:right="57"/>
            </w:pPr>
            <w:r>
              <w:t xml:space="preserve">Возврат дебиторской задолженности прошлых лет</w:t>
            </w:r>
            <w:r/>
          </w:p>
        </w:tc>
        <w:tc>
          <w:tcPr>
            <w:shd w:val="clear" w:fill="auto" w:color="auto"/>
            <w:tcW w:w="3806" w:type="pct"/>
            <w:textDirection w:val="lrTb"/>
            <w:noWrap w:val="false"/>
          </w:tcPr>
          <w:p>
            <w:pPr>
              <w:pStyle w:val="1005"/>
              <w:ind w:left="57" w:right="57"/>
            </w:pPr>
            <w:r>
              <w:t xml:space="preserve">Для типа документа «0», «1» или «2» - значение вводится вручную.</w:t>
            </w:r>
            <w:r/>
          </w:p>
          <w:p>
            <w:pPr>
              <w:pStyle w:val="1005"/>
              <w:ind w:left="57" w:right="57"/>
            </w:pPr>
            <w:r>
              <w:t xml:space="preserve">Для типа документа «3» - поле доступно для заполнения. </w:t>
            </w:r>
            <w:r/>
          </w:p>
          <w:p>
            <w:pPr>
              <w:pStyle w:val="1005"/>
              <w:ind w:left="57" w:right="57"/>
            </w:pPr>
            <w:r>
              <w:t xml:space="preserve">При смене типа документа прежнее значение поля обнуляется и ограничивается в соответствии с новым типом документа.</w:t>
            </w:r>
            <w:r/>
          </w:p>
        </w:tc>
      </w:tr>
      <w:tr>
        <w:trPr/>
        <w:tc>
          <w:tcPr>
            <w:shd w:val="clear" w:fill="auto" w:color="auto"/>
            <w:tcW w:w="1194" w:type="pct"/>
            <w:textDirection w:val="lrTb"/>
            <w:noWrap w:val="false"/>
          </w:tcPr>
          <w:p>
            <w:pPr>
              <w:pStyle w:val="1005"/>
              <w:ind w:left="57" w:right="57"/>
            </w:pPr>
            <w:r>
              <w:t xml:space="preserve">Разрешенные к использованию суммы возврата дебиторской задолженности</w:t>
            </w:r>
            <w:r/>
          </w:p>
        </w:tc>
        <w:tc>
          <w:tcPr>
            <w:shd w:val="clear" w:fill="auto" w:color="auto"/>
            <w:tcW w:w="3806" w:type="pct"/>
            <w:textDirection w:val="lrTb"/>
            <w:noWrap w:val="false"/>
          </w:tcPr>
          <w:p>
            <w:pPr>
              <w:pStyle w:val="1005"/>
              <w:ind w:left="57" w:right="57"/>
            </w:pPr>
            <w:r>
              <w:t xml:space="preserve">Для типа документа «3» - значение вводится вручную.</w:t>
            </w:r>
            <w:r/>
          </w:p>
          <w:p>
            <w:pPr>
              <w:pStyle w:val="1005"/>
              <w:ind w:left="57" w:right="57"/>
            </w:pPr>
            <w:r>
              <w:t xml:space="preserve">Для типа документа «0», «1» или «2» - поле недоступно для заполнения. </w:t>
            </w:r>
            <w:r/>
          </w:p>
          <w:p>
            <w:pPr>
              <w:pStyle w:val="1005"/>
              <w:ind w:left="57" w:right="57"/>
            </w:pPr>
            <w:r>
              <w:t xml:space="preserve">При смене типа документа прежнее значение поля обнуляется и ограничивается в соответствии с новым типом документа.</w:t>
            </w:r>
            <w:r/>
          </w:p>
        </w:tc>
      </w:tr>
      <w:tr>
        <w:trPr/>
        <w:tc>
          <w:tcPr>
            <w:shd w:val="clear" w:fill="auto" w:color="auto"/>
            <w:tcW w:w="1194" w:type="pct"/>
            <w:textDirection w:val="lrTb"/>
            <w:noWrap w:val="false"/>
          </w:tcPr>
          <w:p>
            <w:pPr>
              <w:pStyle w:val="1005"/>
              <w:ind w:left="57" w:right="57"/>
            </w:pPr>
            <w:r>
              <w:t xml:space="preserve">Планируемые поступления</w:t>
            </w:r>
            <w:r/>
          </w:p>
        </w:tc>
        <w:tc>
          <w:tcPr>
            <w:shd w:val="clear" w:fill="auto" w:color="auto"/>
            <w:tcW w:w="3806" w:type="pct"/>
            <w:textDirection w:val="lrTb"/>
            <w:noWrap w:val="false"/>
          </w:tcPr>
          <w:p>
            <w:pPr>
              <w:pStyle w:val="1005"/>
              <w:ind w:left="57" w:right="57"/>
            </w:pPr>
            <w:r>
              <w:t xml:space="preserve">Для типа документа «0», «1» или «2» - значение вводится вручную.</w:t>
            </w:r>
            <w:r/>
          </w:p>
          <w:p>
            <w:pPr>
              <w:pStyle w:val="1005"/>
              <w:ind w:left="57" w:right="57"/>
            </w:pPr>
            <w:r>
              <w:t xml:space="preserve">Для типа документа «3» - поле доступно для заполнения. </w:t>
            </w:r>
            <w:r/>
          </w:p>
          <w:p>
            <w:pPr>
              <w:pStyle w:val="1005"/>
              <w:ind w:left="57" w:right="57"/>
            </w:pPr>
            <w:r>
              <w:t xml:space="preserve">При смене типа документа прежнее значение поля обнуляется и ограничивается в соответствии с новым типом документа.</w:t>
            </w:r>
            <w:r/>
          </w:p>
        </w:tc>
      </w:tr>
      <w:tr>
        <w:trPr/>
        <w:tc>
          <w:tcPr>
            <w:shd w:val="clear" w:fill="auto" w:color="auto"/>
            <w:tcW w:w="1194" w:type="pct"/>
            <w:textDirection w:val="lrTb"/>
            <w:noWrap w:val="false"/>
          </w:tcPr>
          <w:p>
            <w:pPr>
              <w:pStyle w:val="1005"/>
              <w:ind w:left="57" w:right="57"/>
            </w:pPr>
            <w:r>
              <w:t xml:space="preserve">Итого к использованию</w:t>
            </w:r>
            <w:r/>
          </w:p>
        </w:tc>
        <w:tc>
          <w:tcPr>
            <w:shd w:val="clear" w:fill="auto" w:color="auto"/>
            <w:tcW w:w="3806" w:type="pct"/>
            <w:textDirection w:val="lrTb"/>
            <w:noWrap w:val="false"/>
          </w:tcPr>
          <w:p>
            <w:pPr>
              <w:pStyle w:val="1005"/>
              <w:ind w:left="57" w:right="57"/>
            </w:pPr>
            <w:r>
              <w:t xml:space="preserve">Поле доступно для заполнения только для типа документа «1».</w:t>
            </w:r>
            <w:r/>
          </w:p>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Заполняется автоматически значением равным сумме полей: </w:t>
            </w:r>
            <w:r/>
          </w:p>
          <w:p>
            <w:pPr>
              <w:pStyle w:val="1007"/>
            </w:pPr>
            <w:r>
              <w:t xml:space="preserve">«Разрешенный остаток субсидии прошлых лет»;</w:t>
            </w:r>
            <w:r/>
          </w:p>
          <w:p>
            <w:pPr>
              <w:pStyle w:val="1007"/>
            </w:pPr>
            <w:r>
              <w:t xml:space="preserve">«Возврат дебиторской задолженности прошлых лет»;</w:t>
            </w:r>
            <w:r/>
          </w:p>
          <w:p>
            <w:pPr>
              <w:pStyle w:val="1007"/>
            </w:pPr>
            <w:r>
              <w:t xml:space="preserve">«Планируемые поступления».</w:t>
            </w:r>
            <w:r/>
          </w:p>
        </w:tc>
      </w:tr>
      <w:tr>
        <w:trPr/>
        <w:tc>
          <w:tcPr>
            <w:shd w:val="clear" w:fill="auto" w:color="auto"/>
            <w:tcW w:w="1194" w:type="pct"/>
            <w:textDirection w:val="lrTb"/>
            <w:noWrap w:val="false"/>
          </w:tcPr>
          <w:p>
            <w:pPr>
              <w:pStyle w:val="1005"/>
              <w:ind w:left="57" w:right="57"/>
            </w:pPr>
            <w:r>
              <w:t xml:space="preserve">Планируемые выплаты</w:t>
            </w:r>
            <w:r/>
          </w:p>
        </w:tc>
        <w:tc>
          <w:tcPr>
            <w:shd w:val="clear" w:fill="auto" w:color="auto"/>
            <w:tcW w:w="3806" w:type="pct"/>
            <w:textDirection w:val="lrTb"/>
            <w:noWrap w:val="false"/>
          </w:tcPr>
          <w:p>
            <w:pPr>
              <w:pStyle w:val="1005"/>
              <w:ind w:left="57" w:right="57"/>
            </w:pPr>
            <w:r>
              <w:t xml:space="preserve">Значение вводится вручную.</w:t>
            </w:r>
            <w:r/>
          </w:p>
        </w:tc>
      </w:tr>
      <w:tr>
        <w:trPr/>
        <w:tc>
          <w:tcPr>
            <w:gridSpan w:val="2"/>
            <w:shd w:val="clear" w:fill="auto" w:color="auto"/>
            <w:tcW w:w="5000" w:type="pct"/>
            <w:textDirection w:val="lrTb"/>
            <w:noWrap w:val="false"/>
          </w:tcPr>
          <w:p>
            <w:pPr>
              <w:pStyle w:val="1005"/>
              <w:ind w:left="57" w:right="57"/>
            </w:pPr>
            <w:r>
              <w:t xml:space="preserve">Группа полей «Итоговые суммы по коду субсидии». Данные не доступны для ввода, заполняются/рассчитываются автоматически только для типа документа 1 – санкционирование АУ/БУ.</w:t>
            </w:r>
            <w:r/>
          </w:p>
        </w:tc>
      </w:tr>
      <w:tr>
        <w:trPr/>
        <w:tc>
          <w:tcPr>
            <w:shd w:val="clear" w:fill="auto" w:color="auto"/>
            <w:tcW w:w="1194" w:type="pct"/>
            <w:textDirection w:val="lrTb"/>
            <w:noWrap w:val="false"/>
          </w:tcPr>
          <w:p>
            <w:pPr>
              <w:pStyle w:val="1005"/>
              <w:ind w:left="57" w:right="57"/>
            </w:pPr>
            <w:r>
              <w:t xml:space="preserve">№ п/п</w:t>
            </w:r>
            <w:r/>
          </w:p>
        </w:tc>
        <w:tc>
          <w:tcPr>
            <w:shd w:val="clear" w:fill="auto" w:color="auto"/>
            <w:tcW w:w="3806" w:type="pct"/>
            <w:textDirection w:val="lrTb"/>
            <w:noWrap w:val="false"/>
          </w:tcPr>
          <w:p>
            <w:pPr>
              <w:pStyle w:val="1005"/>
              <w:ind w:left="57" w:right="57"/>
            </w:pPr>
            <w:r>
              <w:t xml:space="preserve">Значение поля не доступно для ввода вручную, рассчитывается и заполняется автоматически при добавлении строки в таблицу1.</w:t>
            </w:r>
            <w:r/>
          </w:p>
          <w:p>
            <w:pPr>
              <w:pStyle w:val="1005"/>
              <w:ind w:left="57" w:right="57"/>
            </w:pPr>
            <w:r>
              <w:t xml:space="preserve">Возможные значения от 1 до 999.</w:t>
            </w:r>
            <w:r/>
          </w:p>
        </w:tc>
      </w:tr>
      <w:tr>
        <w:trPr/>
        <w:tc>
          <w:tcPr>
            <w:shd w:val="clear" w:fill="auto" w:color="auto"/>
            <w:tcW w:w="1194" w:type="pct"/>
            <w:textDirection w:val="lrTb"/>
            <w:noWrap w:val="false"/>
          </w:tcPr>
          <w:p>
            <w:pPr>
              <w:pStyle w:val="1005"/>
              <w:ind w:left="57" w:right="57"/>
            </w:pPr>
            <w:r>
              <w:t xml:space="preserve">Код субсидии</w:t>
            </w:r>
            <w:r/>
          </w:p>
        </w:tc>
        <w:tc>
          <w:tcPr>
            <w:shd w:val="clear" w:fill="auto" w:color="auto"/>
            <w:tcW w:w="380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заполняется автоматически уникальным Кодом субсидии из табличной части выше.</w:t>
            </w:r>
            <w:r/>
          </w:p>
        </w:tc>
      </w:tr>
      <w:tr>
        <w:trPr/>
        <w:tc>
          <w:tcPr>
            <w:shd w:val="clear" w:fill="auto" w:color="auto"/>
            <w:tcW w:w="1194" w:type="pct"/>
            <w:textDirection w:val="lrTb"/>
            <w:noWrap w:val="false"/>
          </w:tcPr>
          <w:p>
            <w:pPr>
              <w:pStyle w:val="1005"/>
              <w:ind w:left="57" w:right="57"/>
            </w:pPr>
            <w:r>
              <w:t xml:space="preserve">Разрешенный ост. </w:t>
            </w:r>
            <w:r>
              <w:t xml:space="preserve">С</w:t>
            </w:r>
            <w:r>
              <w:t xml:space="preserve">убсидий прошлых лет</w:t>
            </w:r>
            <w:r/>
          </w:p>
        </w:tc>
        <w:tc>
          <w:tcPr>
            <w:shd w:val="clear" w:fill="auto" w:color="auto"/>
            <w:tcW w:w="3806"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Заполняется автоматически результатом суммирования значений одноимённого поля Сумма табличной части выше в разрезе уникальности Кода субсидии.</w:t>
            </w:r>
            <w:r/>
          </w:p>
        </w:tc>
      </w:tr>
      <w:tr>
        <w:trPr/>
        <w:tc>
          <w:tcPr>
            <w:shd w:val="clear" w:fill="auto" w:color="auto"/>
            <w:tcW w:w="1194" w:type="pct"/>
            <w:textDirection w:val="lrTb"/>
            <w:noWrap w:val="false"/>
          </w:tcPr>
          <w:p>
            <w:pPr>
              <w:pStyle w:val="1005"/>
              <w:ind w:left="57" w:right="57"/>
              <w:rPr>
                <w:rStyle w:val="1400"/>
              </w:rPr>
            </w:pPr>
            <w:r>
              <w:rPr>
                <w:rStyle w:val="1400"/>
              </w:rPr>
              <w:t xml:space="preserve">Сумма во</w:t>
            </w:r>
            <w:r>
              <w:rPr>
                <w:rStyle w:val="1400"/>
              </w:rPr>
              <w:t xml:space="preserve">зв</w:t>
            </w:r>
            <w:r>
              <w:rPr>
                <w:rStyle w:val="1400"/>
              </w:rPr>
              <w:t xml:space="preserve">рата деб.</w:t>
            </w:r>
            <w:r>
              <w:rPr>
                <w:rStyle w:val="1400"/>
              </w:rPr>
              <w:t xml:space="preserve"> </w:t>
            </w:r>
            <w:r>
              <w:rPr>
                <w:rStyle w:val="1400"/>
              </w:rPr>
              <w:t xml:space="preserve">З</w:t>
            </w:r>
            <w:r>
              <w:rPr>
                <w:rStyle w:val="1400"/>
              </w:rPr>
              <w:t xml:space="preserve">адолженности</w:t>
            </w:r>
            <w:r/>
          </w:p>
        </w:tc>
        <w:tc>
          <w:tcPr>
            <w:shd w:val="clear" w:fill="auto" w:color="auto"/>
            <w:tcW w:w="3806" w:type="pct"/>
            <w:textDirection w:val="lrTb"/>
            <w:noWrap w:val="false"/>
          </w:tcPr>
          <w:p>
            <w:pPr>
              <w:pStyle w:val="1005"/>
              <w:ind w:left="57" w:right="57"/>
            </w:pPr>
            <w:r>
              <w:t xml:space="preserve">Заполняется при импорте из внешних систем соответствующим значением </w:t>
            </w:r>
            <w:r>
              <w:t xml:space="preserve">из файла.</w:t>
            </w:r>
            <w:r/>
          </w:p>
          <w:p>
            <w:pPr>
              <w:pStyle w:val="1005"/>
              <w:ind w:left="57" w:right="57"/>
            </w:pPr>
            <w:r>
              <w:t xml:space="preserve">Заполняется автоматически результатом суммирования значений поля «Возврат дебиторской задолженности прошлых лет» табличной части выше в разрезе уникальности Кода субсидии.</w:t>
            </w:r>
            <w:r/>
          </w:p>
        </w:tc>
      </w:tr>
      <w:tr>
        <w:trPr/>
        <w:tc>
          <w:tcPr>
            <w:shd w:val="clear" w:fill="auto" w:color="auto"/>
            <w:tcW w:w="1194" w:type="pct"/>
            <w:textDirection w:val="lrTb"/>
            <w:noWrap w:val="false"/>
          </w:tcPr>
          <w:p>
            <w:pPr>
              <w:pStyle w:val="1005"/>
              <w:ind w:left="57" w:right="57"/>
            </w:pPr>
            <w:r>
              <w:t xml:space="preserve">Планируемые поступления</w:t>
            </w:r>
            <w:r/>
          </w:p>
        </w:tc>
        <w:tc>
          <w:tcPr>
            <w:shd w:val="clear" w:fill="auto" w:color="auto"/>
            <w:tcW w:w="3806"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Заполняется автоматически результатом суммирования значений одноимённого поля Сумма табличной части выше в разрезе уникальности Кода субсидии.</w:t>
            </w:r>
            <w:r/>
          </w:p>
        </w:tc>
      </w:tr>
      <w:tr>
        <w:trPr/>
        <w:tc>
          <w:tcPr>
            <w:shd w:val="clear" w:fill="auto" w:color="auto"/>
            <w:tcW w:w="1194" w:type="pct"/>
            <w:textDirection w:val="lrTb"/>
            <w:noWrap w:val="false"/>
          </w:tcPr>
          <w:p>
            <w:pPr>
              <w:pStyle w:val="1005"/>
              <w:ind w:left="57" w:right="57"/>
            </w:pPr>
            <w:r>
              <w:t xml:space="preserve">Итого к использованию</w:t>
            </w:r>
            <w:r/>
          </w:p>
        </w:tc>
        <w:tc>
          <w:tcPr>
            <w:shd w:val="clear" w:fill="auto" w:color="auto"/>
            <w:tcW w:w="3806"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Заполняется автоматически результатом суммирования значений одноимённого поля Сумма табличной части выше в разрезе уникальности Кода субсидии.</w:t>
            </w:r>
            <w:r/>
          </w:p>
        </w:tc>
      </w:tr>
      <w:tr>
        <w:trPr/>
        <w:tc>
          <w:tcPr>
            <w:shd w:val="clear" w:fill="auto" w:color="auto"/>
            <w:tcW w:w="1194" w:type="pct"/>
            <w:textDirection w:val="lrTb"/>
            <w:noWrap w:val="false"/>
          </w:tcPr>
          <w:p>
            <w:pPr>
              <w:pStyle w:val="1005"/>
              <w:ind w:left="57" w:right="57"/>
            </w:pPr>
            <w:r>
              <w:t xml:space="preserve">Планируемые выплаты</w:t>
            </w:r>
            <w:r/>
          </w:p>
        </w:tc>
        <w:tc>
          <w:tcPr>
            <w:shd w:val="clear" w:fill="auto" w:color="auto"/>
            <w:tcW w:w="3806"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Заполняется автоматически результатом суммирования значений одноимённого поля Сумма табличной части выше в разрезе уникальности Кода субсидии.</w:t>
            </w:r>
            <w:r/>
          </w:p>
        </w:tc>
      </w:tr>
      <w:tr>
        <w:trPr/>
        <w:tc>
          <w:tcPr>
            <w:gridSpan w:val="2"/>
            <w:shd w:val="clear" w:fill="auto" w:color="auto"/>
            <w:tcW w:w="5000" w:type="pct"/>
            <w:textDirection w:val="lrTb"/>
            <w:noWrap w:val="false"/>
          </w:tcPr>
          <w:p>
            <w:pPr>
              <w:pStyle w:val="1005"/>
              <w:ind w:left="57" w:right="57"/>
            </w:pPr>
            <w:r>
              <w:t xml:space="preserve">Группа полей «Всего:»</w:t>
            </w:r>
            <w:r/>
          </w:p>
        </w:tc>
      </w:tr>
      <w:tr>
        <w:trPr/>
        <w:tc>
          <w:tcPr>
            <w:shd w:val="clear" w:fill="auto" w:color="auto"/>
            <w:tcW w:w="1194" w:type="pct"/>
            <w:textDirection w:val="lrTb"/>
            <w:noWrap w:val="false"/>
          </w:tcPr>
          <w:p>
            <w:pPr>
              <w:pStyle w:val="1005"/>
              <w:ind w:left="57" w:right="57"/>
            </w:pPr>
            <w:r>
              <w:t xml:space="preserve">Остаток ЦС</w:t>
            </w:r>
            <w:r/>
          </w:p>
        </w:tc>
        <w:tc>
          <w:tcPr>
            <w:shd w:val="clear" w:fill="auto" w:color="auto"/>
            <w:tcW w:w="3806" w:type="pct"/>
            <w:vMerge w:val="restart"/>
            <w:textDirection w:val="lrTb"/>
            <w:noWrap w:val="false"/>
          </w:tcPr>
          <w:p>
            <w:pPr>
              <w:pStyle w:val="1005"/>
              <w:ind w:left="57" w:right="57"/>
            </w:pPr>
            <w:r>
              <w:t xml:space="preserve">Поле закрыто для редактирования; значение рассчитывается автоматически равное итоговой сумме по строкам таблицы соответствующего столбца.</w:t>
            </w:r>
            <w:r/>
          </w:p>
        </w:tc>
      </w:tr>
      <w:tr>
        <w:trPr/>
        <w:tc>
          <w:tcPr>
            <w:shd w:val="clear" w:fill="auto" w:color="auto"/>
            <w:tcW w:w="1194" w:type="pct"/>
            <w:textDirection w:val="lrTb"/>
            <w:noWrap w:val="false"/>
          </w:tcPr>
          <w:p>
            <w:pPr>
              <w:pStyle w:val="1005"/>
              <w:ind w:left="57" w:right="57"/>
            </w:pPr>
            <w:r>
              <w:t xml:space="preserve">Разрешенный остаток субсидии прошлых лет</w:t>
            </w:r>
            <w:r/>
          </w:p>
        </w:tc>
        <w:tc>
          <w:tcPr>
            <w:shd w:val="clear" w:fill="auto" w:color="auto"/>
            <w:tcW w:w="3806" w:type="pct"/>
            <w:vMerge w:val="continue"/>
            <w:textDirection w:val="lrTb"/>
            <w:noWrap w:val="false"/>
          </w:tcPr>
          <w:p>
            <w:pPr>
              <w:pStyle w:val="1005"/>
              <w:ind w:left="57" w:right="57"/>
            </w:pPr>
            <w:r/>
            <w:r/>
          </w:p>
        </w:tc>
      </w:tr>
      <w:tr>
        <w:trPr/>
        <w:tc>
          <w:tcPr>
            <w:shd w:val="clear" w:fill="auto" w:color="auto"/>
            <w:tcW w:w="1194" w:type="pct"/>
            <w:textDirection w:val="lrTb"/>
            <w:noWrap w:val="false"/>
          </w:tcPr>
          <w:p>
            <w:pPr>
              <w:pStyle w:val="1005"/>
              <w:ind w:left="57" w:right="57"/>
            </w:pPr>
            <w:r>
              <w:t xml:space="preserve">Возврат дебиторской задолженности прошлых лет</w:t>
            </w:r>
            <w:r/>
          </w:p>
        </w:tc>
        <w:tc>
          <w:tcPr>
            <w:shd w:val="clear" w:fill="auto" w:color="auto"/>
            <w:tcW w:w="3806" w:type="pct"/>
            <w:vMerge w:val="continue"/>
            <w:textDirection w:val="lrTb"/>
            <w:noWrap w:val="false"/>
          </w:tcPr>
          <w:p>
            <w:pPr>
              <w:pStyle w:val="1005"/>
              <w:ind w:left="57" w:right="57"/>
            </w:pPr>
            <w:r/>
            <w:r/>
          </w:p>
        </w:tc>
      </w:tr>
      <w:tr>
        <w:trPr/>
        <w:tc>
          <w:tcPr>
            <w:shd w:val="clear" w:fill="auto" w:color="auto"/>
            <w:tcW w:w="1194" w:type="pct"/>
            <w:textDirection w:val="lrTb"/>
            <w:noWrap w:val="false"/>
          </w:tcPr>
          <w:p>
            <w:pPr>
              <w:pStyle w:val="1005"/>
              <w:ind w:left="57" w:right="57"/>
            </w:pPr>
            <w:r>
              <w:t xml:space="preserve">Разрешенные к использованию суммы возврата дебиторской задолженности</w:t>
            </w:r>
            <w:r/>
          </w:p>
        </w:tc>
        <w:tc>
          <w:tcPr>
            <w:shd w:val="clear" w:fill="auto" w:color="auto"/>
            <w:tcW w:w="3806" w:type="pct"/>
            <w:vMerge w:val="continue"/>
            <w:textDirection w:val="lrTb"/>
            <w:noWrap w:val="false"/>
          </w:tcPr>
          <w:p>
            <w:pPr>
              <w:pStyle w:val="1005"/>
              <w:ind w:left="57" w:right="57"/>
            </w:pPr>
            <w:r/>
            <w:r/>
          </w:p>
        </w:tc>
      </w:tr>
      <w:tr>
        <w:trPr/>
        <w:tc>
          <w:tcPr>
            <w:shd w:val="clear" w:fill="auto" w:color="auto"/>
            <w:tcW w:w="1194" w:type="pct"/>
            <w:textDirection w:val="lrTb"/>
            <w:noWrap w:val="false"/>
          </w:tcPr>
          <w:p>
            <w:pPr>
              <w:pStyle w:val="1005"/>
              <w:ind w:left="57" w:right="57"/>
            </w:pPr>
            <w:r>
              <w:t xml:space="preserve">Планируемые поступления</w:t>
            </w:r>
            <w:r/>
          </w:p>
        </w:tc>
        <w:tc>
          <w:tcPr>
            <w:shd w:val="clear" w:fill="auto" w:color="auto"/>
            <w:tcW w:w="3806" w:type="pct"/>
            <w:vMerge w:val="continue"/>
            <w:textDirection w:val="lrTb"/>
            <w:noWrap w:val="false"/>
          </w:tcPr>
          <w:p>
            <w:pPr>
              <w:pStyle w:val="1005"/>
              <w:ind w:left="57" w:right="57"/>
            </w:pPr>
            <w:r/>
            <w:r/>
          </w:p>
        </w:tc>
      </w:tr>
      <w:tr>
        <w:trPr/>
        <w:tc>
          <w:tcPr>
            <w:shd w:val="clear" w:fill="auto" w:color="auto"/>
            <w:tcW w:w="1194" w:type="pct"/>
            <w:textDirection w:val="lrTb"/>
            <w:noWrap w:val="false"/>
          </w:tcPr>
          <w:p>
            <w:pPr>
              <w:pStyle w:val="1005"/>
              <w:ind w:left="57" w:right="57"/>
            </w:pPr>
            <w:r>
              <w:t xml:space="preserve">Планируемые выплаты</w:t>
            </w:r>
            <w:r/>
          </w:p>
        </w:tc>
        <w:tc>
          <w:tcPr>
            <w:shd w:val="clear" w:fill="auto" w:color="auto"/>
            <w:tcW w:w="3806" w:type="pct"/>
            <w:vMerge w:val="continue"/>
            <w:textDirection w:val="lrTb"/>
            <w:noWrap w:val="false"/>
          </w:tcPr>
          <w:p>
            <w:pPr>
              <w:pStyle w:val="1005"/>
              <w:ind w:left="57" w:right="57"/>
            </w:pPr>
            <w:r/>
            <w:r/>
          </w:p>
        </w:tc>
      </w:tr>
    </w:tbl>
    <w:p>
      <w:pPr>
        <w:pStyle w:val="994"/>
      </w:pPr>
      <w:r>
        <w:t xml:space="preserve">В нижней час</w:t>
      </w:r>
      <w:r>
        <w:t xml:space="preserve">ти закладки «Документ (1)» (см.</w:t>
      </w:r>
      <w:r>
        <w:t xml:space="preserve"> </w:t>
      </w:r>
      <w:r>
        <w:t xml:space="preserve">рис. </w:t>
      </w:r>
      <w:r>
        <w:fldChar w:fldCharType="begin"/>
      </w:r>
      <w:r>
        <w:instrText xml:space="preserve"> REF _Ref318198791 \h  \* MERGEFORMAT </w:instrText>
      </w:r>
      <w:r>
        <w:fldChar w:fldCharType="separate"/>
      </w:r>
      <w:r>
        <w:t xml:space="preserve">192</w:t>
      </w:r>
      <w:r>
        <w:fldChar w:fldCharType="end"/>
      </w:r>
      <w:r>
        <w:t xml:space="preserve">) содержится табличный блок «Строки», содержащий строки с данными целевых субсидий. </w:t>
      </w:r>
      <w:r>
        <w:t xml:space="preserve">Поля табличного блока приведены в таблице</w:t>
      </w:r>
      <w:r>
        <w:t xml:space="preserve"> </w:t>
      </w:r>
      <w:r>
        <w:fldChar w:fldCharType="begin"/>
      </w:r>
      <w:r>
        <w:instrText xml:space="preserve"> REF _Ref318198982 \h  \* MERGEFORMAT </w:instrText>
      </w:r>
      <w:r>
        <w:fldChar w:fldCharType="separate"/>
      </w:r>
      <w:r>
        <w:t xml:space="preserve">103</w:t>
      </w:r>
      <w:r>
        <w:fldChar w:fldCharType="end"/>
      </w:r>
      <w:r>
        <w:t xml:space="preserve">.</w:t>
      </w:r>
      <w:r/>
    </w:p>
    <w:p>
      <w:pPr>
        <w:pStyle w:val="994"/>
      </w:pPr>
      <w:r>
        <w:t xml:space="preserve">Для добавления строки следует нажать на кнопку </w:t>
      </w:r>
      <w:r>
        <mc:AlternateContent>
          <mc:Choice Requires="wpg">
            <w:drawing>
              <wp:inline xmlns:wp="http://schemas.openxmlformats.org/drawingml/2006/wordprocessingDrawing" distT="0" distB="0" distL="0" distR="0">
                <wp:extent cx="182880" cy="182880"/>
                <wp:effectExtent l="0" t="0" r="0" b="0"/>
                <wp:docPr id="29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1" o:spid="_x0000_s291" type="#_x0000_t75" style="mso-wrap-distance-left:0.0pt;mso-wrap-distance-top:0.0pt;mso-wrap-distance-right:0.0pt;mso-wrap-distance-bottom:0.0pt;width:14.4pt;height:14.4pt;" stroked="f">
                <v:path textboxrect="0,0,0,0"/>
                <v:imagedata r:id="rId80" o:title=""/>
              </v:shape>
            </w:pict>
          </mc:Fallback>
        </mc:AlternateContent>
      </w:r>
      <w:r>
        <w:t xml:space="preserve"> </w:t>
      </w:r>
      <w:r>
        <w:t xml:space="preserve">(Добавить новую строку)</w:t>
      </w:r>
      <w:r>
        <w:t xml:space="preserve">. Открое</w:t>
      </w:r>
      <w:r>
        <w:t xml:space="preserve">тся форма «Добавление записи»</w:t>
      </w:r>
      <w:r>
        <w:t xml:space="preserve"> (см.</w:t>
      </w:r>
      <w:r>
        <w:t xml:space="preserve"> </w:t>
      </w:r>
      <w:r>
        <w:t xml:space="preserve">рис. </w:t>
      </w:r>
      <w:r>
        <w:fldChar w:fldCharType="begin"/>
      </w:r>
      <w:r>
        <w:instrText xml:space="preserve"> REF _Ref371506545 \h  \* MERGEFORMAT </w:instrText>
      </w:r>
      <w:r>
        <w:fldChar w:fldCharType="separate"/>
      </w:r>
      <w:r>
        <w:t xml:space="preserve">194</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4030980"/>
                <wp:effectExtent l="0" t="0" r="0" b="0"/>
                <wp:docPr id="29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64"/>
                        <a:stretch/>
                      </pic:blipFill>
                      <pic:spPr bwMode="auto">
                        <a:xfrm>
                          <a:off x="0" y="0"/>
                          <a:ext cx="6118860" cy="40309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2" o:spid="_x0000_s292" type="#_x0000_t75" style="mso-wrap-distance-left:0.0pt;mso-wrap-distance-top:0.0pt;mso-wrap-distance-right:0.0pt;mso-wrap-distance-bottom:0.0pt;width:481.8pt;height:317.4pt;" stroked="f">
                <v:path textboxrect="0,0,0,0"/>
                <v:imagedata r:id="rId264" o:title=""/>
              </v:shape>
            </w:pict>
          </mc:Fallback>
        </mc:AlternateContent>
      </w:r>
      <w:r/>
    </w:p>
    <w:p>
      <w:pPr>
        <w:pStyle w:val="983"/>
      </w:pPr>
      <w:r>
        <w:fldChar w:fldCharType="begin"/>
      </w:r>
      <w:r>
        <w:instrText xml:space="preserve"> SEQ Рисунок \* ARABIC </w:instrText>
      </w:r>
      <w:r>
        <w:fldChar w:fldCharType="separate"/>
      </w:r>
      <w:bookmarkStart w:id="1417" w:name="_Ref371506545"/>
      <w:r/>
      <w:bookmarkStart w:id="1418" w:name="_Toc88819579"/>
      <w:r>
        <w:t xml:space="preserve">194</w:t>
      </w:r>
      <w:bookmarkEnd w:id="1417"/>
      <w:r>
        <w:fldChar w:fldCharType="end"/>
      </w:r>
      <w:r>
        <w:t xml:space="preserve">. </w:t>
      </w:r>
      <w:r>
        <w:t xml:space="preserve">Форма «Добавление записи»</w:t>
      </w:r>
      <w:bookmarkEnd w:id="1418"/>
      <w:r/>
      <w:r/>
    </w:p>
    <w:p>
      <w:pPr>
        <w:pStyle w:val="994"/>
      </w:pPr>
      <w:r>
        <w:t xml:space="preserve">На форме «Добавление записи» вручную заполняются следующие поля:</w:t>
      </w:r>
      <w:r/>
    </w:p>
    <w:p>
      <w:pPr>
        <w:pStyle w:val="985"/>
      </w:pPr>
      <w:r>
        <w:t xml:space="preserve">«</w:t>
      </w:r>
      <w:r>
        <w:t xml:space="preserve">Номер строки» – поле не доступно для редактирования;</w:t>
      </w:r>
      <w:r/>
    </w:p>
    <w:p>
      <w:pPr>
        <w:pStyle w:val="985"/>
      </w:pPr>
      <w:r>
        <w:t xml:space="preserve">«</w:t>
      </w:r>
      <w:r>
        <w:t xml:space="preserve">Код субсидии» – код субсидии согласно справоч</w:t>
      </w:r>
      <w:r>
        <w:t xml:space="preserve">ника «Цели субсидий/субвенций»; по</w:t>
      </w:r>
      <w:r>
        <w:t xml:space="preserve">ле обязательно для заполнения;</w:t>
      </w:r>
      <w:r/>
    </w:p>
    <w:p>
      <w:pPr>
        <w:pStyle w:val="985"/>
      </w:pPr>
      <w:r>
        <w:t xml:space="preserve">«</w:t>
      </w:r>
      <w:r>
        <w:t xml:space="preserve">Наименование субсидии» – наименование субсидии согласно справочника «Цели субсидий/субвенций»; поле обязательно для заполнения;</w:t>
      </w:r>
      <w:r/>
    </w:p>
    <w:p>
      <w:pPr>
        <w:pStyle w:val="985"/>
      </w:pPr>
      <w:r>
        <w:t xml:space="preserve">«</w:t>
      </w:r>
      <w:r>
        <w:t xml:space="preserve">КОСГУ» – код экономической классификации согласно справочника «Экономические статьи»; поле обязательно для заполнения;</w:t>
      </w:r>
      <w:r/>
    </w:p>
    <w:p>
      <w:pPr>
        <w:pStyle w:val="985"/>
      </w:pPr>
      <w:r>
        <w:t xml:space="preserve">«</w:t>
      </w:r>
      <w:r>
        <w:t xml:space="preserve">Код объекта ФАИП» – код объекта ФАИП согласно справочнику «Федеральная адресная инвестиционная программа»;</w:t>
      </w:r>
      <w:r/>
    </w:p>
    <w:p>
      <w:pPr>
        <w:pStyle w:val="985"/>
      </w:pPr>
      <w:r>
        <w:t xml:space="preserve">«</w:t>
      </w:r>
      <w:r>
        <w:t xml:space="preserve">Код субсидии прошлых лет» – код субсидии прошлых лет согласно справочника «Цели субсидий/субвенций»;</w:t>
      </w:r>
      <w:r/>
    </w:p>
    <w:p>
      <w:pPr>
        <w:pStyle w:val="985"/>
      </w:pPr>
      <w:r>
        <w:t xml:space="preserve">«</w:t>
      </w:r>
      <w:r>
        <w:t xml:space="preserve">Разрешенный остаток субсидии прошлых лет/сумма» – сумма разрешенного остатка субсидий прошлых лет; поле обязательно для заполнения, если заполнено поле «Код субсидии прошлых лет»;</w:t>
      </w:r>
      <w:r/>
    </w:p>
    <w:p>
      <w:pPr>
        <w:pStyle w:val="985"/>
      </w:pPr>
      <w:r>
        <w:t xml:space="preserve">«</w:t>
      </w:r>
      <w:r>
        <w:t xml:space="preserve">Код субсидии возврата </w:t>
      </w:r>
      <w:r>
        <w:rPr>
          <w:rStyle w:val="1400"/>
          <w:lang w:val="ru-RU"/>
        </w:rPr>
        <w:t xml:space="preserve">деб.</w:t>
      </w:r>
      <w:r>
        <w:t xml:space="preserve"> </w:t>
      </w:r>
      <w:r>
        <w:t xml:space="preserve">З</w:t>
      </w:r>
      <w:r>
        <w:t xml:space="preserve">адолжен. </w:t>
      </w:r>
      <w:r>
        <w:t xml:space="preserve">П</w:t>
      </w:r>
      <w:r>
        <w:t xml:space="preserve">рошлых лет» – для НУБП: значение может вводиться вручную или из Справочника кодов целей субсидий/субвенций;</w:t>
      </w:r>
      <w:r/>
    </w:p>
    <w:p>
      <w:pPr>
        <w:pStyle w:val="985"/>
      </w:pPr>
      <w:r>
        <w:t xml:space="preserve">«</w:t>
      </w:r>
      <w:r>
        <w:t xml:space="preserve">Возврат дебиторской задолженности прошлых лет» – для НУБП/ОФК: значение вводится вручную;</w:t>
      </w:r>
      <w:r/>
    </w:p>
    <w:p>
      <w:pPr>
        <w:pStyle w:val="985"/>
      </w:pPr>
      <w:r>
        <w:t xml:space="preserve">«</w:t>
      </w:r>
      <w:r>
        <w:t xml:space="preserve">Планируемые поступления» – сумма планируемых поступлений;</w:t>
      </w:r>
      <w:r/>
    </w:p>
    <w:p>
      <w:pPr>
        <w:pStyle w:val="985"/>
      </w:pPr>
      <w:r>
        <w:t xml:space="preserve">«</w:t>
      </w:r>
      <w:r>
        <w:t xml:space="preserve">Планируемые выплаты» – сумма планируемых выплат.</w:t>
      </w:r>
      <w:r/>
    </w:p>
    <w:p>
      <w:pPr>
        <w:pStyle w:val="994"/>
      </w:pPr>
      <w:r>
        <w:t xml:space="preserve">Нажать на </w:t>
      </w:r>
      <w:r>
        <w:t xml:space="preserve">кнопку «Ok»</w:t>
      </w:r>
      <w:r>
        <w:t xml:space="preserve"> для сохранения строки и выхода из формы. В таблице появится добавленная строка.</w:t>
      </w:r>
      <w:r/>
    </w:p>
    <w:p>
      <w:pPr>
        <w:pStyle w:val="994"/>
      </w:pPr>
      <w:r>
        <w:t xml:space="preserve">ЭФ документа </w:t>
      </w:r>
      <w:r>
        <w:t xml:space="preserve">«</w:t>
      </w:r>
      <w:r>
        <w:t xml:space="preserve">Сведения об операциях с целевыми су</w:t>
      </w:r>
      <w:r>
        <w:t xml:space="preserve">б</w:t>
      </w:r>
      <w:r>
        <w:t xml:space="preserve">сидиями</w:t>
      </w:r>
      <w:r>
        <w:t xml:space="preserve">», закладки «Документ</w:t>
      </w:r>
      <w:r>
        <w:t xml:space="preserve"> (</w:t>
      </w:r>
      <w:r>
        <w:t xml:space="preserve">2</w:t>
      </w:r>
      <w:r>
        <w:t xml:space="preserve">)</w:t>
      </w:r>
      <w:r>
        <w:t xml:space="preserve">» </w:t>
      </w:r>
      <w:r>
        <w:t xml:space="preserve">представлен</w:t>
      </w:r>
      <w:r>
        <w:t xml:space="preserve">ы</w:t>
      </w:r>
      <w:r>
        <w:t xml:space="preserve"> </w:t>
      </w:r>
      <w:r>
        <w:t xml:space="preserve">н</w:t>
      </w:r>
      <w:r>
        <w:t xml:space="preserve">а </w:t>
      </w:r>
      <w:r>
        <w:t xml:space="preserve">рисунк</w:t>
      </w:r>
      <w:r>
        <w:t xml:space="preserve">ах</w:t>
      </w:r>
      <w:r>
        <w:t xml:space="preserve"> </w:t>
      </w:r>
      <w:r>
        <w:fldChar w:fldCharType="begin"/>
      </w:r>
      <w:r>
        <w:instrText xml:space="preserve"> REF _Ref516839470 \h </w:instrText>
      </w:r>
      <w:r>
        <w:fldChar w:fldCharType="separate"/>
      </w:r>
      <w:r>
        <w:t xml:space="preserve">195</w:t>
      </w:r>
      <w:r>
        <w:fldChar w:fldCharType="end"/>
      </w:r>
      <w:r>
        <w:t xml:space="preserve"> и </w:t>
      </w:r>
      <w:r>
        <w:fldChar w:fldCharType="begin"/>
      </w:r>
      <w:r>
        <w:instrText xml:space="preserve"> REF _Ref518304581 \h </w:instrText>
      </w:r>
      <w:r>
        <w:fldChar w:fldCharType="separate"/>
      </w:r>
      <w:r>
        <w:t xml:space="preserve">196</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2103120"/>
                <wp:effectExtent l="0" t="0" r="0" b="0"/>
                <wp:docPr id="29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65"/>
                        <a:stretch/>
                      </pic:blipFill>
                      <pic:spPr bwMode="auto">
                        <a:xfrm>
                          <a:off x="0" y="0"/>
                          <a:ext cx="6035039" cy="21031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3" o:spid="_x0000_s293" type="#_x0000_t75" style="mso-wrap-distance-left:0.0pt;mso-wrap-distance-top:0.0pt;mso-wrap-distance-right:0.0pt;mso-wrap-distance-bottom:0.0pt;width:475.2pt;height:165.6pt;" stroked="f">
                <v:path textboxrect="0,0,0,0"/>
                <v:imagedata r:id="rId265" o:title=""/>
              </v:shape>
            </w:pict>
          </mc:Fallback>
        </mc:AlternateContent>
      </w:r>
      <w:r/>
    </w:p>
    <w:p>
      <w:pPr>
        <w:pStyle w:val="983"/>
      </w:pPr>
      <w:r>
        <w:fldChar w:fldCharType="begin"/>
      </w:r>
      <w:r>
        <w:instrText xml:space="preserve"> SEQ Рисунок \* ARABIC </w:instrText>
      </w:r>
      <w:r>
        <w:fldChar w:fldCharType="separate"/>
      </w:r>
      <w:bookmarkStart w:id="1419" w:name="_Ref516839470"/>
      <w:r/>
      <w:bookmarkStart w:id="1420" w:name="_Toc88819580"/>
      <w:r>
        <w:t xml:space="preserve">195</w:t>
      </w:r>
      <w:bookmarkEnd w:id="1419"/>
      <w:r>
        <w:fldChar w:fldCharType="end"/>
      </w:r>
      <w:r>
        <w:t xml:space="preserve">. ЭФ документа </w:t>
      </w:r>
      <w:r>
        <w:t xml:space="preserve">«</w:t>
      </w:r>
      <w:r>
        <w:t xml:space="preserve">Сведения об операциях с целевыми субсидиями</w:t>
      </w:r>
      <w:r>
        <w:t xml:space="preserve">», закладки «</w:t>
      </w:r>
      <w:r>
        <w:t xml:space="preserve">Документ</w:t>
      </w:r>
      <w:r>
        <w:t xml:space="preserve"> (2)</w:t>
      </w:r>
      <w:r>
        <w:t xml:space="preserve">»</w:t>
      </w:r>
      <w:bookmarkEnd w:id="1420"/>
      <w:r/>
      <w:r/>
    </w:p>
    <w:p>
      <w:pPr>
        <w:pStyle w:val="982"/>
      </w:pPr>
      <w:r>
        <mc:AlternateContent>
          <mc:Choice Requires="wpg">
            <w:drawing>
              <wp:inline xmlns:wp="http://schemas.openxmlformats.org/drawingml/2006/wordprocessingDrawing" distT="0" distB="0" distL="0" distR="0">
                <wp:extent cx="6035040" cy="1546860"/>
                <wp:effectExtent l="0" t="0" r="0" b="0"/>
                <wp:docPr id="29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66"/>
                        <a:stretch/>
                      </pic:blipFill>
                      <pic:spPr bwMode="auto">
                        <a:xfrm>
                          <a:off x="0" y="0"/>
                          <a:ext cx="6035039" cy="15468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4" o:spid="_x0000_s294" type="#_x0000_t75" style="mso-wrap-distance-left:0.0pt;mso-wrap-distance-top:0.0pt;mso-wrap-distance-right:0.0pt;mso-wrap-distance-bottom:0.0pt;width:475.2pt;height:121.8pt;" stroked="f">
                <v:path textboxrect="0,0,0,0"/>
                <v:imagedata r:id="rId266" o:title=""/>
              </v:shape>
            </w:pict>
          </mc:Fallback>
        </mc:AlternateContent>
      </w:r>
      <w:r/>
    </w:p>
    <w:p>
      <w:pPr>
        <w:pStyle w:val="983"/>
      </w:pPr>
      <w:r>
        <w:fldChar w:fldCharType="begin"/>
      </w:r>
      <w:r>
        <w:instrText xml:space="preserve"> SEQ Рисунок \* ARABIC </w:instrText>
      </w:r>
      <w:r>
        <w:fldChar w:fldCharType="separate"/>
      </w:r>
      <w:bookmarkStart w:id="1421" w:name="_Ref518304581"/>
      <w:r/>
      <w:bookmarkStart w:id="1422" w:name="_Toc88819581"/>
      <w:r>
        <w:t xml:space="preserve">196</w:t>
      </w:r>
      <w:bookmarkEnd w:id="1421"/>
      <w:r>
        <w:fldChar w:fldCharType="end"/>
      </w:r>
      <w:r>
        <w:t xml:space="preserve">. ЭФ документа </w:t>
      </w:r>
      <w:r>
        <w:t xml:space="preserve">«</w:t>
      </w:r>
      <w:r>
        <w:t xml:space="preserve">Сведения об операциях с целевыми субсидиями</w:t>
      </w:r>
      <w:r>
        <w:t xml:space="preserve">», закладки «</w:t>
      </w:r>
      <w:r>
        <w:t xml:space="preserve">Документ</w:t>
      </w:r>
      <w:r>
        <w:t xml:space="preserve"> (2)</w:t>
      </w:r>
      <w:r>
        <w:t xml:space="preserve">»</w:t>
      </w:r>
      <w:r>
        <w:t xml:space="preserve"> </w:t>
      </w:r>
      <w:r>
        <w:t xml:space="preserve">для типа документа </w:t>
      </w:r>
      <w:r>
        <w:t xml:space="preserve">«3 – санкционирование ЮЛ</w:t>
      </w:r>
      <w:r>
        <w:t xml:space="preserve">»</w:t>
      </w:r>
      <w:bookmarkEnd w:id="1422"/>
      <w:r/>
      <w:r/>
    </w:p>
    <w:p>
      <w:pPr>
        <w:pStyle w:val="994"/>
      </w:pPr>
      <w:r>
        <w:t xml:space="preserve">Перечень полей документа </w:t>
      </w:r>
      <w:r>
        <w:t xml:space="preserve">«</w:t>
      </w:r>
      <w:r>
        <w:t xml:space="preserve">Сведения об операциях с целевыми субсидиями</w:t>
      </w:r>
      <w:r>
        <w:t xml:space="preserve">»</w:t>
      </w:r>
      <w:r>
        <w:t xml:space="preserve">, </w:t>
      </w:r>
      <w:r>
        <w:t xml:space="preserve">закладки</w:t>
      </w:r>
      <w:r>
        <w:t xml:space="preserve"> </w:t>
      </w:r>
      <w:r>
        <w:t xml:space="preserve">«Документ</w:t>
      </w:r>
      <w:r>
        <w:t xml:space="preserve"> (2)</w:t>
      </w:r>
      <w:r>
        <w:t xml:space="preserve">»</w:t>
      </w:r>
      <w:r>
        <w:t xml:space="preserve"> приведен в </w:t>
      </w:r>
      <w:r>
        <w:t xml:space="preserve">таблице </w:t>
      </w:r>
      <w:r>
        <w:fldChar w:fldCharType="begin"/>
      </w:r>
      <w:r>
        <w:instrText xml:space="preserve"> REF _Ref516839471 \h </w:instrText>
      </w:r>
      <w:r>
        <w:fldChar w:fldCharType="separate"/>
      </w:r>
      <w:r>
        <w:t xml:space="preserve">104</w:t>
      </w:r>
      <w:r>
        <w:fldChar w:fldCharType="end"/>
      </w:r>
      <w:r>
        <w:t xml:space="preserve">.</w:t>
      </w:r>
      <w:r/>
    </w:p>
    <w:p>
      <w:pPr>
        <w:pStyle w:val="993"/>
      </w:pPr>
      <w:r>
        <w:fldChar w:fldCharType="begin"/>
      </w:r>
      <w:r>
        <w:instrText xml:space="preserve"> SEQ Таблица \* ARABIC </w:instrText>
      </w:r>
      <w:r>
        <w:fldChar w:fldCharType="separate"/>
      </w:r>
      <w:bookmarkStart w:id="1423" w:name="_Ref516839471"/>
      <w:r/>
      <w:bookmarkStart w:id="1424" w:name="_Toc88819290"/>
      <w:r>
        <w:t xml:space="preserve">104</w:t>
      </w:r>
      <w:bookmarkEnd w:id="1423"/>
      <w:r>
        <w:fldChar w:fldCharType="end"/>
      </w:r>
      <w:r>
        <w:t xml:space="preserve">. </w:t>
      </w:r>
      <w:r>
        <w:t xml:space="preserve">Описание</w:t>
      </w:r>
      <w:r>
        <w:t xml:space="preserve"> полей документа </w:t>
      </w:r>
      <w:r>
        <w:t xml:space="preserve">«</w:t>
      </w:r>
      <w:r>
        <w:t xml:space="preserve">Сведения об операциях с целевыми су</w:t>
      </w:r>
      <w:r>
        <w:t xml:space="preserve">б</w:t>
      </w:r>
      <w:r>
        <w:t xml:space="preserve">сидиями</w:t>
      </w:r>
      <w:r>
        <w:t xml:space="preserve">»</w:t>
      </w:r>
      <w:r>
        <w:t xml:space="preserve">, закладк</w:t>
      </w:r>
      <w:r>
        <w:t xml:space="preserve">и</w:t>
      </w:r>
      <w:r>
        <w:t xml:space="preserve"> </w:t>
      </w:r>
      <w:r>
        <w:t xml:space="preserve">«Документ </w:t>
      </w:r>
      <w:r>
        <w:t xml:space="preserve">(2)</w:t>
      </w:r>
      <w:r>
        <w:t xml:space="preserve">»</w:t>
      </w:r>
      <w:bookmarkEnd w:id="1424"/>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458"/>
        <w:gridCol w:w="7294"/>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26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40" w:type="pct"/>
            <w:vAlign w:val="center"/>
            <w:textDirection w:val="lrTb"/>
            <w:noWrap w:val="false"/>
          </w:tcPr>
          <w:p>
            <w:pPr>
              <w:pStyle w:val="1006"/>
            </w:pPr>
            <w:r>
              <w:t xml:space="preserve">Описание поля</w:t>
            </w:r>
            <w:r/>
          </w:p>
        </w:tc>
      </w:tr>
      <w:tr>
        <w:trPr/>
        <w:tc>
          <w:tcPr>
            <w:shd w:val="clear" w:fill="auto" w:color="auto"/>
            <w:tcW w:w="1260" w:type="pct"/>
            <w:textDirection w:val="lrTb"/>
            <w:noWrap w:val="false"/>
          </w:tcPr>
          <w:p>
            <w:pPr>
              <w:pStyle w:val="1005"/>
              <w:ind w:left="57" w:right="57"/>
            </w:pPr>
            <w:r>
              <w:t xml:space="preserve">Заказчик</w:t>
            </w:r>
            <w:r/>
          </w:p>
        </w:tc>
        <w:tc>
          <w:tcPr>
            <w:shd w:val="clear" w:fill="auto" w:color="auto"/>
            <w:tcW w:w="3740" w:type="pct"/>
            <w:textDirection w:val="lrTb"/>
            <w:noWrap w:val="false"/>
          </w:tcPr>
          <w:p>
            <w:pPr>
              <w:pStyle w:val="1005"/>
              <w:ind w:left="57" w:right="57"/>
            </w:pPr>
            <w:r>
              <w:t xml:space="preserve">Для типа документа «3» - поле заполняется вручную.</w:t>
            </w:r>
            <w:r/>
          </w:p>
          <w:p>
            <w:pPr>
              <w:pStyle w:val="1005"/>
              <w:ind w:left="57" w:right="57"/>
            </w:pPr>
            <w:r>
              <w:t xml:space="preserve">Для типа документа с кодом «0», «1» и «2» - поле недоступно для заполн</w:t>
            </w:r>
            <w:r>
              <w:t xml:space="preserve">е</w:t>
            </w:r>
            <w:r>
              <w:t xml:space="preserve">ния. </w:t>
            </w:r>
            <w:r/>
          </w:p>
          <w:p>
            <w:pPr>
              <w:pStyle w:val="1005"/>
              <w:ind w:left="57" w:right="57"/>
            </w:pPr>
            <w:r>
              <w:t xml:space="preserve">При смене типа документа, прежнее значение поля обнуляется и огранич</w:t>
            </w:r>
            <w:r>
              <w:t xml:space="preserve">и</w:t>
            </w:r>
            <w:r>
              <w:t xml:space="preserve">вается в соответствии с новым типом документа.</w:t>
            </w:r>
            <w:r/>
          </w:p>
        </w:tc>
      </w:tr>
      <w:tr>
        <w:trPr/>
        <w:tc>
          <w:tcPr>
            <w:shd w:val="clear" w:fill="auto" w:color="auto"/>
            <w:tcW w:w="1260" w:type="pct"/>
            <w:textDirection w:val="lrTb"/>
            <w:noWrap w:val="false"/>
          </w:tcPr>
          <w:p>
            <w:pPr>
              <w:pStyle w:val="1005"/>
              <w:ind w:left="57" w:right="57"/>
            </w:pPr>
            <w:r>
              <w:t xml:space="preserve">Лицевой счет заказчика</w:t>
            </w:r>
            <w:r/>
          </w:p>
        </w:tc>
        <w:tc>
          <w:tcPr>
            <w:shd w:val="clear" w:fill="auto" w:color="auto"/>
            <w:tcW w:w="3740" w:type="pct"/>
            <w:textDirection w:val="lrTb"/>
            <w:noWrap w:val="false"/>
          </w:tcPr>
          <w:p>
            <w:pPr>
              <w:pStyle w:val="1005"/>
              <w:ind w:left="57" w:right="57"/>
            </w:pPr>
            <w:r>
              <w:t xml:space="preserve">Для типа документа </w:t>
            </w:r>
            <w:r>
              <w:t xml:space="preserve">«</w:t>
            </w:r>
            <w:r>
              <w:t xml:space="preserve">3</w:t>
            </w:r>
            <w:r>
              <w:t xml:space="preserve">»</w:t>
            </w:r>
            <w:r>
              <w:t xml:space="preserve"> (показатель </w:t>
            </w:r>
            <w:r>
              <w:t xml:space="preserve">«</w:t>
            </w:r>
            <w:r>
              <w:t xml:space="preserve">СМТ_АВ</w:t>
            </w:r>
            <w:r>
              <w:t xml:space="preserve">»</w:t>
            </w:r>
            <w:r>
              <w:t xml:space="preserve">):</w:t>
            </w:r>
            <w:r/>
          </w:p>
          <w:p>
            <w:pPr>
              <w:pStyle w:val="1005"/>
              <w:ind w:left="57" w:right="57"/>
            </w:pPr>
            <w:r>
              <w:t xml:space="preserve">Указывается номер лицевого счета организации, согласовавшей док</w:t>
            </w:r>
            <w:r>
              <w:t xml:space="preserve">у</w:t>
            </w:r>
            <w:r>
              <w:t xml:space="preserve">мент.</w:t>
            </w:r>
            <w:r/>
          </w:p>
          <w:p>
            <w:pPr>
              <w:pStyle w:val="1005"/>
              <w:ind w:left="57" w:right="57"/>
            </w:pPr>
            <w:r>
              <w:t xml:space="preserve">Обязательно для заполнения ЮЛ с авансовыми платежами и</w:t>
            </w:r>
            <w:r>
              <w:t xml:space="preserve"> </w:t>
            </w:r>
            <w:r>
              <w:t xml:space="preserve">ЮЛ с цел</w:t>
            </w:r>
            <w:r>
              <w:t xml:space="preserve">е</w:t>
            </w:r>
            <w:r>
              <w:t xml:space="preserve">в</w:t>
            </w:r>
            <w:r>
              <w:t xml:space="preserve">ы</w:t>
            </w:r>
            <w:r>
              <w:t xml:space="preserve">ми субсидиями.</w:t>
            </w:r>
            <w:r/>
          </w:p>
          <w:p>
            <w:pPr>
              <w:pStyle w:val="1005"/>
              <w:ind w:left="57" w:right="57"/>
            </w:pPr>
            <w:r>
              <w:t xml:space="preserve">При смене типа документа, прежнее значение поля обнулять и огранич</w:t>
            </w:r>
            <w:r>
              <w:t xml:space="preserve">и</w:t>
            </w:r>
            <w:r>
              <w:t xml:space="preserve">вать или заполнять в соответствии с новым типом документа.</w:t>
            </w:r>
            <w:r/>
          </w:p>
        </w:tc>
      </w:tr>
      <w:tr>
        <w:trPr/>
        <w:tc>
          <w:tcPr>
            <w:shd w:val="clear" w:fill="auto" w:color="auto"/>
            <w:tcW w:w="1260" w:type="pct"/>
            <w:textDirection w:val="lrTb"/>
            <w:noWrap w:val="false"/>
          </w:tcPr>
          <w:p>
            <w:pPr>
              <w:pStyle w:val="1005"/>
              <w:ind w:left="57" w:right="57"/>
            </w:pPr>
            <w:r>
              <w:t xml:space="preserve">Наименование целевых средств</w:t>
            </w:r>
            <w:r/>
          </w:p>
        </w:tc>
        <w:tc>
          <w:tcPr>
            <w:shd w:val="clear" w:fill="auto" w:color="auto"/>
            <w:tcW w:w="3740" w:type="pct"/>
            <w:textDirection w:val="lrTb"/>
            <w:noWrap w:val="false"/>
          </w:tcPr>
          <w:p>
            <w:pPr>
              <w:pStyle w:val="1005"/>
              <w:ind w:left="57" w:right="57"/>
            </w:pPr>
            <w:r>
              <w:t xml:space="preserve">Для типа документа «3»:</w:t>
            </w:r>
            <w:r/>
          </w:p>
          <w:p>
            <w:pPr>
              <w:pStyle w:val="1005"/>
              <w:ind w:left="57" w:right="57"/>
            </w:pPr>
            <w:r>
              <w:t xml:space="preserve">НУБП: Поле заполняется автоматически и не доступно для заполнения вручную на основании значения поля «Код целевых средств» соответствующим значением:</w:t>
            </w:r>
            <w:r/>
          </w:p>
          <w:p>
            <w:pPr>
              <w:pStyle w:val="1005"/>
              <w:ind w:left="57" w:right="57"/>
            </w:pPr>
            <w:r>
              <w:t xml:space="preserve">Если «Код целевых средств» = 01, то поле «Наименование целевых средств» заполнять = «средства авансового платежа»;</w:t>
            </w:r>
            <w:r/>
          </w:p>
          <w:p>
            <w:pPr>
              <w:pStyle w:val="1005"/>
              <w:ind w:left="57" w:right="57"/>
            </w:pPr>
            <w:r>
              <w:t xml:space="preserve">Если «Код целевых средств» = 03, то поле «Наименование целевых средств» заполнять = «на осуществление расчетов в ходе исполнения государственного контракта (контракта, договора)»;</w:t>
            </w:r>
            <w:r/>
          </w:p>
          <w:p>
            <w:pPr>
              <w:pStyle w:val="1005"/>
              <w:ind w:left="57" w:right="57"/>
            </w:pPr>
            <w:r>
              <w:t xml:space="preserve">Если «Код целевых средств» = 04, то поле «Наименование целевых средств» заполнять = «средства финансово-хозяйственной деятельности»;</w:t>
            </w:r>
            <w:r/>
          </w:p>
          <w:p>
            <w:pPr>
              <w:pStyle w:val="1005"/>
              <w:ind w:left="57" w:right="57"/>
            </w:pPr>
            <w:r>
              <w:t xml:space="preserve">Если «Код целевых средств» = 02, то поле «Наименование целевых средств»</w:t>
            </w:r>
            <w:r>
              <w:t xml:space="preserve"> </w:t>
            </w:r>
            <w:r>
              <w:t xml:space="preserve">заполняется вручную одним из значений: субсидия (или бюджетная инвестиция, или взнос (вклад)).</w:t>
            </w:r>
            <w:r/>
          </w:p>
          <w:p>
            <w:pPr>
              <w:pStyle w:val="1005"/>
              <w:ind w:left="57" w:right="57"/>
            </w:pPr>
            <w:r>
              <w:t xml:space="preserve">ОФК: Заполняется вручную.</w:t>
            </w:r>
            <w:r/>
          </w:p>
          <w:p>
            <w:pPr>
              <w:pStyle w:val="1005"/>
              <w:ind w:left="57" w:right="57"/>
            </w:pPr>
            <w:r>
              <w:t xml:space="preserve">Для типа документа с кодом «0», «1» и «2»</w:t>
            </w:r>
            <w:r>
              <w:t xml:space="preserve">:</w:t>
            </w:r>
            <w:r>
              <w:t xml:space="preserve"> </w:t>
            </w:r>
            <w:r/>
          </w:p>
          <w:p>
            <w:pPr>
              <w:pStyle w:val="1005"/>
              <w:ind w:left="57" w:right="57"/>
            </w:pPr>
            <w:r>
              <w:t xml:space="preserve">П</w:t>
            </w:r>
            <w:r>
              <w:t xml:space="preserve">оле недоступно для заполн</w:t>
            </w:r>
            <w:r>
              <w:t xml:space="preserve">е</w:t>
            </w:r>
            <w:r>
              <w:t xml:space="preserve">ния. </w:t>
            </w:r>
            <w:r/>
          </w:p>
          <w:p>
            <w:pPr>
              <w:pStyle w:val="1005"/>
              <w:ind w:left="57" w:right="57"/>
            </w:pPr>
            <w:r>
              <w:t xml:space="preserve">При смене типа документа, прежнее значение поля обнуляется и огранич</w:t>
            </w:r>
            <w:r>
              <w:t xml:space="preserve">и</w:t>
            </w:r>
            <w:r>
              <w:t xml:space="preserve">вается в соответствии с новым типом документа.</w:t>
            </w:r>
            <w:r/>
          </w:p>
        </w:tc>
      </w:tr>
      <w:tr>
        <w:trPr/>
        <w:tc>
          <w:tcPr>
            <w:shd w:val="clear" w:fill="auto" w:color="auto"/>
            <w:tcW w:w="1260" w:type="pct"/>
            <w:textDirection w:val="lrTb"/>
            <w:noWrap w:val="false"/>
          </w:tcPr>
          <w:p>
            <w:pPr>
              <w:pStyle w:val="1005"/>
              <w:ind w:left="57" w:right="57"/>
            </w:pPr>
            <w:r>
              <w:t xml:space="preserve">Код целевых средств</w:t>
            </w:r>
            <w:r/>
          </w:p>
        </w:tc>
        <w:tc>
          <w:tcPr>
            <w:shd w:val="clear" w:fill="auto" w:color="auto"/>
            <w:tcW w:w="3740" w:type="pct"/>
            <w:textDirection w:val="lrTb"/>
            <w:noWrap w:val="false"/>
          </w:tcPr>
          <w:p>
            <w:pPr>
              <w:pStyle w:val="1005"/>
              <w:ind w:left="57" w:right="57"/>
            </w:pPr>
            <w:r>
              <w:t xml:space="preserve">Для типа документа «3»:</w:t>
            </w:r>
            <w:r/>
          </w:p>
          <w:p>
            <w:pPr>
              <w:pStyle w:val="1005"/>
              <w:ind w:left="57" w:right="57"/>
            </w:pPr>
            <w:r>
              <w:t xml:space="preserve">НУБП: Допустимые значения (список значений для выбора, поле не доступно для заполнения вручную): 01, 02, 03, 04.</w:t>
            </w:r>
            <w:r/>
          </w:p>
          <w:p>
            <w:pPr>
              <w:pStyle w:val="1005"/>
              <w:ind w:left="57" w:right="57"/>
            </w:pPr>
            <w:r>
              <w:t xml:space="preserve">ОФК: Поле заполняется вручную.</w:t>
            </w:r>
            <w:r/>
          </w:p>
          <w:p>
            <w:pPr>
              <w:pStyle w:val="1005"/>
              <w:ind w:left="57" w:right="57"/>
            </w:pPr>
            <w:r>
              <w:t xml:space="preserve">Для типа документа с кодом «0», «1» и «2»: </w:t>
            </w:r>
            <w:r/>
          </w:p>
          <w:p>
            <w:pPr>
              <w:pStyle w:val="1005"/>
              <w:ind w:left="57" w:right="57"/>
            </w:pPr>
            <w:r>
              <w:t xml:space="preserve">Поле недоступно для заполнения. </w:t>
            </w:r>
            <w:r/>
          </w:p>
          <w:p>
            <w:pPr>
              <w:pStyle w:val="1005"/>
              <w:ind w:left="57" w:right="57"/>
            </w:pPr>
            <w:r>
              <w:t xml:space="preserve">При смене типа документа прежнее значение поля обнуляется и огранич</w:t>
            </w:r>
            <w:r>
              <w:t xml:space="preserve">и</w:t>
            </w:r>
            <w:r>
              <w:t xml:space="preserve">вается в соответствии с новым типом документа.</w:t>
            </w:r>
            <w:r/>
          </w:p>
        </w:tc>
      </w:tr>
      <w:tr>
        <w:trPr/>
        <w:tc>
          <w:tcPr>
            <w:shd w:val="clear" w:fill="auto" w:color="auto"/>
            <w:tcW w:w="1260" w:type="pct"/>
            <w:textDirection w:val="lrTb"/>
            <w:noWrap w:val="false"/>
          </w:tcPr>
          <w:p>
            <w:pPr>
              <w:pStyle w:val="1005"/>
              <w:ind w:left="57" w:right="57"/>
            </w:pPr>
            <w:r>
              <w:t xml:space="preserve">НПА</w:t>
            </w:r>
            <w:r/>
          </w:p>
        </w:tc>
        <w:tc>
          <w:tcPr>
            <w:shd w:val="clear" w:fill="auto" w:color="auto"/>
            <w:tcW w:w="3740" w:type="pct"/>
            <w:textDirection w:val="lrTb"/>
            <w:noWrap w:val="false"/>
          </w:tcPr>
          <w:p>
            <w:pPr>
              <w:pStyle w:val="1005"/>
              <w:ind w:left="57" w:right="57"/>
            </w:pPr>
            <w:r>
              <w:t xml:space="preserve">Для типа документа «3»: поле заполняется вручную.</w:t>
            </w:r>
            <w:r/>
          </w:p>
          <w:p>
            <w:pPr>
              <w:pStyle w:val="1005"/>
              <w:ind w:left="57" w:right="57"/>
            </w:pPr>
            <w:r>
              <w:t xml:space="preserve">Для типа документа с кодом «0», «1» и «2» - поле недоступно для заполн</w:t>
            </w:r>
            <w:r>
              <w:t xml:space="preserve">е</w:t>
            </w:r>
            <w:r>
              <w:t xml:space="preserve">ния. </w:t>
            </w:r>
            <w:r/>
          </w:p>
          <w:p>
            <w:pPr>
              <w:pStyle w:val="1005"/>
              <w:ind w:left="57" w:right="57"/>
            </w:pPr>
            <w:r>
              <w:t xml:space="preserve">При смене типа документа прежнее значение поля обнуляется и огранич</w:t>
            </w:r>
            <w:r>
              <w:t xml:space="preserve">и</w:t>
            </w:r>
            <w:r>
              <w:t xml:space="preserve">вается в соответствии с новым типом документа.</w:t>
            </w:r>
            <w:r/>
          </w:p>
        </w:tc>
      </w:tr>
      <w:tr>
        <w:trPr/>
        <w:tc>
          <w:tcPr>
            <w:shd w:val="clear" w:fill="auto" w:color="auto"/>
            <w:tcW w:w="1260" w:type="pct"/>
            <w:textDirection w:val="lrTb"/>
            <w:noWrap w:val="false"/>
          </w:tcPr>
          <w:p>
            <w:pPr>
              <w:pStyle w:val="1005"/>
              <w:ind w:left="57" w:right="57"/>
            </w:pPr>
            <w:r>
              <w:t xml:space="preserve">Номер НПА</w:t>
            </w:r>
            <w:r/>
          </w:p>
        </w:tc>
        <w:tc>
          <w:tcPr>
            <w:shd w:val="clear" w:fill="auto" w:color="auto"/>
            <w:tcW w:w="3740" w:type="pct"/>
            <w:textDirection w:val="lrTb"/>
            <w:noWrap w:val="false"/>
          </w:tcPr>
          <w:p>
            <w:pPr>
              <w:pStyle w:val="1005"/>
              <w:ind w:left="57" w:right="57"/>
            </w:pPr>
            <w:r>
              <w:t xml:space="preserve">Для типа документа «3»: поле заполняется вручную.</w:t>
            </w:r>
            <w:r/>
          </w:p>
          <w:p>
            <w:pPr>
              <w:pStyle w:val="1005"/>
              <w:ind w:left="57" w:right="57"/>
            </w:pPr>
            <w:r>
              <w:t xml:space="preserve">Для типа документа с кодом «0», «1» и «2» - поле недоступно для заполн</w:t>
            </w:r>
            <w:r>
              <w:t xml:space="preserve">е</w:t>
            </w:r>
            <w:r>
              <w:t xml:space="preserve">ния. </w:t>
            </w:r>
            <w:r/>
          </w:p>
          <w:p>
            <w:pPr>
              <w:pStyle w:val="1005"/>
              <w:ind w:left="57" w:right="57"/>
            </w:pPr>
            <w:r>
              <w:t xml:space="preserve">При смене типа документа прежнее значение поля обнуляется и огранич</w:t>
            </w:r>
            <w:r>
              <w:t xml:space="preserve">и</w:t>
            </w:r>
            <w:r>
              <w:t xml:space="preserve">вается в соответствии с новым типом документа.</w:t>
            </w:r>
            <w:r/>
          </w:p>
        </w:tc>
      </w:tr>
      <w:tr>
        <w:trPr/>
        <w:tc>
          <w:tcPr>
            <w:shd w:val="clear" w:fill="auto" w:color="auto"/>
            <w:tcW w:w="1260" w:type="pct"/>
            <w:textDirection w:val="lrTb"/>
            <w:noWrap w:val="false"/>
          </w:tcPr>
          <w:p>
            <w:pPr>
              <w:pStyle w:val="1005"/>
              <w:ind w:left="57" w:right="57"/>
            </w:pPr>
            <w:r>
              <w:t xml:space="preserve">Дата НПА</w:t>
            </w:r>
            <w:r/>
          </w:p>
        </w:tc>
        <w:tc>
          <w:tcPr>
            <w:shd w:val="clear" w:fill="auto" w:color="auto"/>
            <w:tcW w:w="3740" w:type="pct"/>
            <w:textDirection w:val="lrTb"/>
            <w:noWrap w:val="false"/>
          </w:tcPr>
          <w:p>
            <w:pPr>
              <w:pStyle w:val="1005"/>
              <w:ind w:left="57" w:right="57"/>
            </w:pPr>
            <w:r>
              <w:t xml:space="preserve">Для типа документа «3»: поле заполняется вручную.</w:t>
            </w:r>
            <w:r/>
          </w:p>
          <w:p>
            <w:pPr>
              <w:pStyle w:val="1005"/>
              <w:ind w:left="57" w:right="57"/>
            </w:pPr>
            <w:r>
              <w:t xml:space="preserve">Для типа документа с кодом «0», «1» и «2» - поле недоступно для заполн</w:t>
            </w:r>
            <w:r>
              <w:t xml:space="preserve">е</w:t>
            </w:r>
            <w:r>
              <w:t xml:space="preserve">ния. </w:t>
            </w:r>
            <w:r/>
          </w:p>
          <w:p>
            <w:pPr>
              <w:pStyle w:val="1005"/>
              <w:ind w:left="57" w:right="57"/>
            </w:pPr>
            <w:r>
              <w:t xml:space="preserve">При смене типа документа прежнее значение поля обнуляется и огранич</w:t>
            </w:r>
            <w:r>
              <w:t xml:space="preserve">и</w:t>
            </w:r>
            <w:r>
              <w:t xml:space="preserve">вается в соответствии с новым типом документа.</w:t>
            </w:r>
            <w:r/>
          </w:p>
        </w:tc>
      </w:tr>
      <w:tr>
        <w:trPr/>
        <w:tc>
          <w:tcPr>
            <w:shd w:val="clear" w:fill="auto" w:color="auto"/>
            <w:tcW w:w="1260" w:type="pct"/>
            <w:textDirection w:val="lrTb"/>
            <w:noWrap w:val="false"/>
          </w:tcPr>
          <w:p>
            <w:pPr>
              <w:pStyle w:val="1005"/>
              <w:ind w:left="57" w:right="57"/>
            </w:pPr>
            <w:r>
              <w:t xml:space="preserve">Иден. </w:t>
            </w:r>
            <w:r>
              <w:t xml:space="preserve">К</w:t>
            </w:r>
            <w:r>
              <w:t xml:space="preserve">од ГК</w:t>
            </w:r>
            <w:r/>
          </w:p>
        </w:tc>
        <w:tc>
          <w:tcPr>
            <w:shd w:val="clear" w:fill="auto" w:color="auto"/>
            <w:tcW w:w="3740" w:type="pct"/>
            <w:textDirection w:val="lrTb"/>
            <w:noWrap w:val="false"/>
          </w:tcPr>
          <w:p>
            <w:pPr>
              <w:pStyle w:val="1005"/>
              <w:ind w:left="57" w:right="57"/>
            </w:pPr>
            <w:r>
              <w:t xml:space="preserve">Для типа документа </w:t>
            </w:r>
            <w:r>
              <w:t xml:space="preserve">«</w:t>
            </w:r>
            <w:r>
              <w:t xml:space="preserve">3</w:t>
            </w:r>
            <w:r>
              <w:t xml:space="preserve">»</w:t>
            </w:r>
            <w:r>
              <w:t xml:space="preserve"> (показатель </w:t>
            </w:r>
            <w:r>
              <w:t xml:space="preserve">«</w:t>
            </w:r>
            <w:r>
              <w:t xml:space="preserve">СМТ_АВ</w:t>
            </w:r>
            <w:r>
              <w:t xml:space="preserve">»</w:t>
            </w:r>
            <w:r>
              <w:t xml:space="preserve">):</w:t>
            </w:r>
            <w:r/>
          </w:p>
          <w:p>
            <w:pPr>
              <w:pStyle w:val="1005"/>
              <w:ind w:left="57" w:right="57"/>
            </w:pPr>
            <w:r>
              <w:t xml:space="preserve">Идентификационный код ГК</w:t>
            </w:r>
            <w:r>
              <w:t xml:space="preserve">.</w:t>
            </w:r>
            <w:r/>
          </w:p>
          <w:p>
            <w:pPr>
              <w:pStyle w:val="1005"/>
              <w:ind w:left="57" w:right="57"/>
            </w:pPr>
            <w:r>
              <w:t xml:space="preserve">Указывается идентификационный код государственного контракта в случае санкционирования расходов по государственному контракту или договору. Обязательно для заполнения только ЮЛ с авансовыми плат</w:t>
            </w:r>
            <w:r>
              <w:t xml:space="preserve">е</w:t>
            </w:r>
            <w:r>
              <w:t xml:space="preserve">жами, испол</w:t>
            </w:r>
            <w:r>
              <w:t xml:space="preserve">ь</w:t>
            </w:r>
            <w:r>
              <w:t xml:space="preserve">зующими Сведения ЦС (на л/с открыт показатель СМТ_АВ).</w:t>
            </w:r>
            <w:r/>
          </w:p>
          <w:p>
            <w:pPr>
              <w:pStyle w:val="1005"/>
              <w:ind w:left="57" w:right="57"/>
            </w:pPr>
            <w:r>
              <w:t xml:space="preserve">Для типа документа </w:t>
            </w:r>
            <w:r>
              <w:t xml:space="preserve">«</w:t>
            </w:r>
            <w:r>
              <w:t xml:space="preserve">0</w:t>
            </w:r>
            <w:r>
              <w:t xml:space="preserve">»</w:t>
            </w:r>
            <w:r>
              <w:t xml:space="preserve">, </w:t>
            </w:r>
            <w:r>
              <w:t xml:space="preserve">«</w:t>
            </w:r>
            <w:r>
              <w:t xml:space="preserve">2</w:t>
            </w:r>
            <w:r>
              <w:t xml:space="preserve">»</w:t>
            </w:r>
            <w:r>
              <w:t xml:space="preserve"> и </w:t>
            </w:r>
            <w:r>
              <w:t xml:space="preserve">«</w:t>
            </w:r>
            <w:r>
              <w:t xml:space="preserve">1</w:t>
            </w:r>
            <w:r>
              <w:t xml:space="preserve">»</w:t>
            </w:r>
            <w:r>
              <w:t xml:space="preserve">:</w:t>
            </w:r>
            <w:r/>
          </w:p>
          <w:p>
            <w:pPr>
              <w:pStyle w:val="1005"/>
              <w:ind w:left="57" w:right="57"/>
            </w:pPr>
            <w:r>
              <w:t xml:space="preserve">Поле недоступно для заполнения.</w:t>
            </w:r>
            <w:r/>
          </w:p>
          <w:p>
            <w:pPr>
              <w:pStyle w:val="1005"/>
              <w:ind w:left="57" w:right="57"/>
            </w:pPr>
            <w:r>
              <w:t xml:space="preserve">При смене типа документа, прежнее значение поля обнулять и огранич</w:t>
            </w:r>
            <w:r>
              <w:t xml:space="preserve">и</w:t>
            </w:r>
            <w:r>
              <w:t xml:space="preserve">вать или заполнять в соответствии с новым типом документа.</w:t>
            </w:r>
            <w:r/>
          </w:p>
        </w:tc>
      </w:tr>
      <w:tr>
        <w:trPr/>
        <w:tc>
          <w:tcPr>
            <w:shd w:val="clear" w:fill="auto" w:color="auto"/>
            <w:tcW w:w="1260" w:type="pct"/>
            <w:textDirection w:val="lrTb"/>
            <w:noWrap w:val="false"/>
          </w:tcPr>
          <w:p>
            <w:pPr>
              <w:pStyle w:val="1005"/>
              <w:ind w:left="57" w:right="57"/>
            </w:pPr>
            <w:r>
              <w:t xml:space="preserve">Номер ГК</w:t>
            </w:r>
            <w:r/>
          </w:p>
        </w:tc>
        <w:tc>
          <w:tcPr>
            <w:shd w:val="clear" w:fill="auto" w:color="auto"/>
            <w:tcW w:w="3740" w:type="pct"/>
            <w:textDirection w:val="lrTb"/>
            <w:noWrap w:val="false"/>
          </w:tcPr>
          <w:p>
            <w:pPr>
              <w:pStyle w:val="1005"/>
              <w:ind w:left="57" w:right="57"/>
            </w:pPr>
            <w:r>
              <w:t xml:space="preserve">Для типа документа </w:t>
            </w:r>
            <w:r>
              <w:t xml:space="preserve">«</w:t>
            </w:r>
            <w:r>
              <w:t xml:space="preserve">3</w:t>
            </w:r>
            <w:r>
              <w:t xml:space="preserve">»</w:t>
            </w:r>
            <w:r>
              <w:t xml:space="preserve"> (показатель </w:t>
            </w:r>
            <w:r>
              <w:t xml:space="preserve">«</w:t>
            </w:r>
            <w:r>
              <w:t xml:space="preserve">СМТ_АВ</w:t>
            </w:r>
            <w:r>
              <w:t xml:space="preserve">»</w:t>
            </w:r>
            <w:r>
              <w:t xml:space="preserve">):</w:t>
            </w:r>
            <w:r/>
          </w:p>
          <w:p>
            <w:pPr>
              <w:pStyle w:val="1005"/>
              <w:ind w:left="57" w:right="57"/>
            </w:pPr>
            <w:r>
              <w:t xml:space="preserve">Номер ГК (договора)</w:t>
            </w:r>
            <w:r>
              <w:t xml:space="preserve">.</w:t>
            </w:r>
            <w:r/>
          </w:p>
          <w:p>
            <w:pPr>
              <w:pStyle w:val="1005"/>
              <w:ind w:left="57" w:right="57"/>
            </w:pPr>
            <w:r>
              <w:t xml:space="preserve">Указывается номер государственного контракта или договора в случае санкционирования расходов по государственному контракту или догов</w:t>
            </w:r>
            <w:r>
              <w:t xml:space="preserve">о</w:t>
            </w:r>
            <w:r>
              <w:t xml:space="preserve">ру. Обязательно для заполнения ЮЛ с авансовыми платежами, испол</w:t>
            </w:r>
            <w:r>
              <w:t xml:space="preserve">ь</w:t>
            </w:r>
            <w:r>
              <w:t xml:space="preserve">зующ</w:t>
            </w:r>
            <w:r>
              <w:t xml:space="preserve">и</w:t>
            </w:r>
            <w:r>
              <w:t xml:space="preserve">ми Сведения ЦС (на л/с открыт показатель СМТ_АВ)</w:t>
            </w:r>
            <w:r/>
          </w:p>
          <w:p>
            <w:pPr>
              <w:pStyle w:val="1005"/>
              <w:ind w:left="57" w:right="57"/>
            </w:pPr>
            <w:r>
              <w:t xml:space="preserve">Для типа документа </w:t>
            </w:r>
            <w:r>
              <w:t xml:space="preserve">«</w:t>
            </w:r>
            <w:r>
              <w:t xml:space="preserve">0</w:t>
            </w:r>
            <w:r>
              <w:t xml:space="preserve">»</w:t>
            </w:r>
            <w:r>
              <w:t xml:space="preserve">, </w:t>
            </w:r>
            <w:r>
              <w:t xml:space="preserve">«</w:t>
            </w:r>
            <w:r>
              <w:t xml:space="preserve">2</w:t>
            </w:r>
            <w:r>
              <w:t xml:space="preserve">»</w:t>
            </w:r>
            <w:r>
              <w:t xml:space="preserve"> и </w:t>
            </w:r>
            <w:r>
              <w:t xml:space="preserve">«</w:t>
            </w:r>
            <w:r>
              <w:t xml:space="preserve">1</w:t>
            </w:r>
            <w:r>
              <w:t xml:space="preserve">»</w:t>
            </w:r>
            <w:r>
              <w:t xml:space="preserve">:</w:t>
            </w:r>
            <w:r/>
          </w:p>
          <w:p>
            <w:pPr>
              <w:pStyle w:val="1005"/>
              <w:ind w:left="57" w:right="57"/>
            </w:pPr>
            <w:r>
              <w:t xml:space="preserve">Поле недоступно для заполнения.</w:t>
            </w:r>
            <w:r/>
          </w:p>
          <w:p>
            <w:pPr>
              <w:pStyle w:val="1005"/>
              <w:ind w:left="57" w:right="57"/>
            </w:pPr>
            <w:r>
              <w:t xml:space="preserve">При смене типа документа, прежнее значение поля обнулять и огранич</w:t>
            </w:r>
            <w:r>
              <w:t xml:space="preserve">и</w:t>
            </w:r>
            <w:r>
              <w:t xml:space="preserve">вать или заполнять в соответствии с новым типом документа.</w:t>
            </w:r>
            <w:r/>
          </w:p>
        </w:tc>
      </w:tr>
      <w:tr>
        <w:trPr/>
        <w:tc>
          <w:tcPr>
            <w:shd w:val="clear" w:fill="auto" w:color="auto"/>
            <w:tcW w:w="1260" w:type="pct"/>
            <w:textDirection w:val="lrTb"/>
            <w:noWrap w:val="false"/>
          </w:tcPr>
          <w:p>
            <w:pPr>
              <w:pStyle w:val="1005"/>
              <w:ind w:left="57" w:right="57"/>
            </w:pPr>
            <w:r>
              <w:t xml:space="preserve">Дата ГК</w:t>
            </w:r>
            <w:r/>
          </w:p>
        </w:tc>
        <w:tc>
          <w:tcPr>
            <w:shd w:val="clear" w:fill="auto" w:color="auto"/>
            <w:tcW w:w="3740" w:type="pct"/>
            <w:textDirection w:val="lrTb"/>
            <w:noWrap w:val="false"/>
          </w:tcPr>
          <w:p>
            <w:pPr>
              <w:pStyle w:val="1005"/>
              <w:ind w:left="57" w:right="57"/>
            </w:pPr>
            <w:r>
              <w:t xml:space="preserve">Для типа документа </w:t>
            </w:r>
            <w:r>
              <w:t xml:space="preserve">«</w:t>
            </w:r>
            <w:r>
              <w:t xml:space="preserve">3</w:t>
            </w:r>
            <w:r>
              <w:t xml:space="preserve">»</w:t>
            </w:r>
            <w:r>
              <w:t xml:space="preserve"> (показатель </w:t>
            </w:r>
            <w:r>
              <w:t xml:space="preserve">«</w:t>
            </w:r>
            <w:r>
              <w:t xml:space="preserve">СМТ_АВ</w:t>
            </w:r>
            <w:r>
              <w:t xml:space="preserve">»</w:t>
            </w:r>
            <w:r>
              <w:t xml:space="preserve">):</w:t>
            </w:r>
            <w:r/>
          </w:p>
          <w:p>
            <w:pPr>
              <w:pStyle w:val="1005"/>
              <w:ind w:left="57" w:right="57"/>
            </w:pPr>
            <w:r>
              <w:t xml:space="preserve">Дата ГК (договора)</w:t>
            </w:r>
            <w:r>
              <w:t xml:space="preserve">.</w:t>
            </w:r>
            <w:r/>
          </w:p>
          <w:p>
            <w:pPr>
              <w:pStyle w:val="1005"/>
              <w:ind w:left="57" w:right="57"/>
            </w:pPr>
            <w:r>
              <w:t xml:space="preserve">Указывается дата государственного контракта или договора в случае сан</w:t>
            </w:r>
            <w:r>
              <w:t xml:space="preserve">к</w:t>
            </w:r>
            <w:r>
              <w:t xml:space="preserve">ционирования расходов по государственному контракту или догов</w:t>
            </w:r>
            <w:r>
              <w:t xml:space="preserve">о</w:t>
            </w:r>
            <w:r>
              <w:t xml:space="preserve">ру. Обязательно для заполнения ЮЛ с авансовыми платежами, испол</w:t>
            </w:r>
            <w:r>
              <w:t xml:space="preserve">ь</w:t>
            </w:r>
            <w:r>
              <w:t xml:space="preserve">зующ</w:t>
            </w:r>
            <w:r>
              <w:t xml:space="preserve">и</w:t>
            </w:r>
            <w:r>
              <w:t xml:space="preserve">ми Сведения ЦС (на л/с открыт показатель СМТ_АВ).</w:t>
            </w:r>
            <w:r/>
          </w:p>
          <w:p>
            <w:pPr>
              <w:pStyle w:val="1005"/>
              <w:ind w:left="57" w:right="57"/>
            </w:pPr>
            <w:r>
              <w:t xml:space="preserve">Для типа документа </w:t>
            </w:r>
            <w:r>
              <w:t xml:space="preserve">«</w:t>
            </w:r>
            <w:r>
              <w:t xml:space="preserve">0</w:t>
            </w:r>
            <w:r>
              <w:t xml:space="preserve">»</w:t>
            </w:r>
            <w:r>
              <w:t xml:space="preserve">, </w:t>
            </w:r>
            <w:r>
              <w:t xml:space="preserve">«</w:t>
            </w:r>
            <w:r>
              <w:t xml:space="preserve">2</w:t>
            </w:r>
            <w:r>
              <w:t xml:space="preserve">»</w:t>
            </w:r>
            <w:r>
              <w:t xml:space="preserve"> и </w:t>
            </w:r>
            <w:r>
              <w:t xml:space="preserve">«</w:t>
            </w:r>
            <w:r>
              <w:t xml:space="preserve">1</w:t>
            </w:r>
            <w:r>
              <w:t xml:space="preserve">»</w:t>
            </w:r>
            <w:r>
              <w:t xml:space="preserve">:</w:t>
            </w:r>
            <w:r/>
          </w:p>
          <w:p>
            <w:pPr>
              <w:pStyle w:val="1005"/>
              <w:ind w:left="57" w:right="57"/>
            </w:pPr>
            <w:r>
              <w:t xml:space="preserve">Поле недоступно для заполнения.</w:t>
            </w:r>
            <w:r/>
          </w:p>
          <w:p>
            <w:pPr>
              <w:pStyle w:val="1005"/>
              <w:ind w:left="57" w:right="57"/>
            </w:pPr>
            <w:r>
              <w:t xml:space="preserve">При смене типа документа, прежнее значение поля обнулять и огранич</w:t>
            </w:r>
            <w:r>
              <w:t xml:space="preserve">и</w:t>
            </w:r>
            <w:r>
              <w:t xml:space="preserve">вать или заполнять в соответствии с новым типом документа.</w:t>
            </w:r>
            <w:r/>
          </w:p>
        </w:tc>
      </w:tr>
      <w:tr>
        <w:trPr/>
        <w:tc>
          <w:tcPr>
            <w:shd w:val="clear" w:fill="auto" w:color="auto"/>
            <w:tcW w:w="1260" w:type="pct"/>
            <w:textDirection w:val="lrTb"/>
            <w:noWrap w:val="false"/>
          </w:tcPr>
          <w:p>
            <w:pPr>
              <w:pStyle w:val="1005"/>
              <w:ind w:left="57" w:right="57"/>
            </w:pPr>
            <w:r>
              <w:t xml:space="preserve">Код по кооперации</w:t>
            </w:r>
            <w:r/>
          </w:p>
        </w:tc>
        <w:tc>
          <w:tcPr>
            <w:shd w:val="clear" w:fill="auto" w:color="auto"/>
            <w:tcW w:w="3740" w:type="pct"/>
            <w:textDirection w:val="lrTb"/>
            <w:noWrap w:val="false"/>
          </w:tcPr>
          <w:p>
            <w:pPr>
              <w:pStyle w:val="1005"/>
              <w:ind w:left="57" w:right="57"/>
            </w:pPr>
            <w:r>
              <w:t xml:space="preserve">Поле доступно и обязательно для заполнения только для типа документа </w:t>
            </w:r>
            <w:r>
              <w:t xml:space="preserve">«</w:t>
            </w:r>
            <w:r>
              <w:t xml:space="preserve">3</w:t>
            </w:r>
            <w:r>
              <w:t xml:space="preserve">»</w:t>
            </w:r>
            <w:r>
              <w:t xml:space="preserve"> с допустимым показателем на ЛС </w:t>
            </w:r>
            <w:r>
              <w:t xml:space="preserve">«</w:t>
            </w:r>
            <w:r>
              <w:t xml:space="preserve">СМТ_АВ</w:t>
            </w:r>
            <w:r>
              <w:t xml:space="preserve">»</w:t>
            </w:r>
            <w:r>
              <w:t xml:space="preserve">.</w:t>
            </w:r>
            <w:r/>
          </w:p>
          <w:p>
            <w:pPr>
              <w:pStyle w:val="1005"/>
              <w:ind w:left="57" w:right="57"/>
            </w:pPr>
            <w:r>
              <w:t xml:space="preserve">При смене типа документа, прежнее значение поля обнуляется и огранич</w:t>
            </w:r>
            <w:r>
              <w:t xml:space="preserve">и</w:t>
            </w:r>
            <w:r>
              <w:t xml:space="preserve">вается или заполняется в соответствии с новым типом документа.</w:t>
            </w:r>
            <w:r/>
          </w:p>
          <w:p>
            <w:pPr>
              <w:pStyle w:val="1005"/>
              <w:ind w:left="57" w:right="57"/>
            </w:pPr>
            <w:r>
              <w:t xml:space="preserve">Значение поля заполняется или вручную, или из импортированного файла.</w:t>
            </w:r>
            <w:r/>
          </w:p>
        </w:tc>
      </w:tr>
    </w:tbl>
    <w:p>
      <w:pPr>
        <w:pStyle w:val="994"/>
      </w:pPr>
      <w:r>
        <w:t xml:space="preserve">ЭФ документа «Сведения об операциях с целевыми субсидиями</w:t>
      </w:r>
      <w:r>
        <w:t xml:space="preserve">», закладки «</w:t>
      </w:r>
      <w:r>
        <w:t xml:space="preserve">Дополни</w:t>
      </w:r>
      <w:r>
        <w:t xml:space="preserve">тельные атрибуты (3</w:t>
      </w:r>
      <w:r>
        <w:t xml:space="preserve">)»</w:t>
      </w:r>
      <w:r>
        <w:t xml:space="preserve"> </w:t>
      </w:r>
      <w:r>
        <w:t xml:space="preserve">представлена </w:t>
      </w:r>
      <w:r>
        <w:t xml:space="preserve">н</w:t>
      </w:r>
      <w:r>
        <w:t xml:space="preserve">а рисунке </w:t>
      </w:r>
      <w:r>
        <w:fldChar w:fldCharType="begin"/>
      </w:r>
      <w:r>
        <w:instrText xml:space="preserve"> REF _Ref318199656 \h  \* MERGEFORMAT </w:instrText>
      </w:r>
      <w:r>
        <w:fldChar w:fldCharType="separate"/>
      </w:r>
      <w:r>
        <w:t xml:space="preserve">197</w:t>
      </w:r>
      <w:r>
        <w:fldChar w:fldCharType="end"/>
      </w:r>
      <w:r>
        <w:t xml:space="preserve">.</w:t>
      </w:r>
      <w:r/>
    </w:p>
    <w:p>
      <w:pPr>
        <w:pStyle w:val="982"/>
        <w:jc w:val="left"/>
        <w:tabs>
          <w:tab w:val="left" w:pos="5580" w:leader="none"/>
        </w:tabs>
      </w:pPr>
      <w:r>
        <w:tab/>
      </w:r>
      <w:r>
        <mc:AlternateContent>
          <mc:Choice Requires="wpg">
            <w:drawing>
              <wp:inline xmlns:wp="http://schemas.openxmlformats.org/drawingml/2006/wordprocessingDrawing" distT="0" distB="0" distL="0" distR="0">
                <wp:extent cx="6126480" cy="3657600"/>
                <wp:effectExtent l="0" t="0" r="0" b="0"/>
                <wp:docPr id="29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67"/>
                        <a:stretch/>
                      </pic:blipFill>
                      <pic:spPr bwMode="auto">
                        <a:xfrm>
                          <a:off x="0" y="0"/>
                          <a:ext cx="6126480" cy="3657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5" o:spid="_x0000_s295" type="#_x0000_t75" style="mso-wrap-distance-left:0.0pt;mso-wrap-distance-top:0.0pt;mso-wrap-distance-right:0.0pt;mso-wrap-distance-bottom:0.0pt;width:482.4pt;height:288.0pt;" stroked="f">
                <v:path textboxrect="0,0,0,0"/>
                <v:imagedata r:id="rId267" o:title=""/>
              </v:shape>
            </w:pict>
          </mc:Fallback>
        </mc:AlternateContent>
      </w:r>
      <w:r/>
    </w:p>
    <w:p>
      <w:pPr>
        <w:pStyle w:val="983"/>
      </w:pPr>
      <w:r>
        <w:fldChar w:fldCharType="begin"/>
      </w:r>
      <w:r>
        <w:instrText xml:space="preserve"> SEQ Рисунок \* ARABIC </w:instrText>
      </w:r>
      <w:r>
        <w:fldChar w:fldCharType="separate"/>
      </w:r>
      <w:bookmarkStart w:id="1425" w:name="_Ref318199656"/>
      <w:r/>
      <w:bookmarkStart w:id="1426" w:name="_Toc88819582"/>
      <w:r>
        <w:t xml:space="preserve">197</w:t>
      </w:r>
      <w:bookmarkEnd w:id="1425"/>
      <w:r>
        <w:fldChar w:fldCharType="end"/>
      </w:r>
      <w:r>
        <w:t xml:space="preserve">. ЭФ документа «Сведения об операциях с целевыми субсидиями</w:t>
      </w:r>
      <w:r>
        <w:t xml:space="preserve">», закладки «</w:t>
      </w:r>
      <w:r>
        <w:t xml:space="preserve">Дополнительные атрибуты (</w:t>
      </w:r>
      <w:r>
        <w:t xml:space="preserve">3</w:t>
      </w:r>
      <w:r>
        <w:t xml:space="preserve">)»</w:t>
      </w:r>
      <w:bookmarkEnd w:id="1426"/>
      <w:r/>
      <w:r/>
    </w:p>
    <w:p>
      <w:pPr>
        <w:pStyle w:val="994"/>
      </w:pPr>
      <w:r>
        <w:t xml:space="preserve">Перечень полей документа «Сведения об операциях с целевыми субсидиями», закладк</w:t>
      </w:r>
      <w:r>
        <w:t xml:space="preserve">и</w:t>
      </w:r>
      <w:r>
        <w:t xml:space="preserve"> «Дополнительные атрибуты (</w:t>
      </w:r>
      <w:r>
        <w:t xml:space="preserve">3</w:t>
      </w:r>
      <w:r>
        <w:t xml:space="preserve">)» приведен в таблице </w:t>
      </w:r>
      <w:r>
        <w:fldChar w:fldCharType="begin"/>
      </w:r>
      <w:r>
        <w:instrText xml:space="preserve"> REF _Ref318203921 \h  \* MERGEFORMAT </w:instrText>
      </w:r>
      <w:r>
        <w:fldChar w:fldCharType="separate"/>
      </w:r>
      <w:r>
        <w:t xml:space="preserve">105</w:t>
      </w:r>
      <w:r>
        <w:fldChar w:fldCharType="end"/>
      </w:r>
      <w:r>
        <w:t xml:space="preserve">.</w:t>
      </w:r>
      <w:r/>
    </w:p>
    <w:p>
      <w:pPr>
        <w:pStyle w:val="993"/>
      </w:pPr>
      <w:r>
        <w:fldChar w:fldCharType="begin"/>
      </w:r>
      <w:r>
        <w:instrText xml:space="preserve"> SEQ Таблица \* ARABIC </w:instrText>
      </w:r>
      <w:r>
        <w:fldChar w:fldCharType="separate"/>
      </w:r>
      <w:bookmarkStart w:id="1427" w:name="_Ref318203921"/>
      <w:r/>
      <w:bookmarkStart w:id="1428" w:name="_Toc88819291"/>
      <w:r>
        <w:t xml:space="preserve">105</w:t>
      </w:r>
      <w:bookmarkEnd w:id="1427"/>
      <w:r>
        <w:fldChar w:fldCharType="end"/>
      </w:r>
      <w:r>
        <w:t xml:space="preserve">. Перечень полей документа «Сведения об операциях с целевыми </w:t>
      </w:r>
      <w:r>
        <w:t xml:space="preserve">субсидиями», закладки «Дополнительные атрибуты (</w:t>
      </w:r>
      <w:r>
        <w:t xml:space="preserve">3</w:t>
      </w:r>
      <w:r>
        <w:t xml:space="preserve">)»</w:t>
      </w:r>
      <w:bookmarkEnd w:id="142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249"/>
        <w:gridCol w:w="6503"/>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666"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334" w:type="pct"/>
            <w:vAlign w:val="center"/>
            <w:textDirection w:val="lrTb"/>
            <w:noWrap w:val="false"/>
          </w:tcPr>
          <w:p>
            <w:pPr>
              <w:pStyle w:val="1006"/>
            </w:pPr>
            <w:r>
              <w:t xml:space="preserve">Описание поля</w:t>
            </w:r>
            <w:r/>
          </w:p>
        </w:tc>
      </w:tr>
      <w:tr>
        <w:trPr/>
        <w:tc>
          <w:tcPr>
            <w:shd w:val="clear" w:fill="auto" w:color="auto"/>
            <w:tcW w:w="1666" w:type="pct"/>
            <w:textDirection w:val="lrTb"/>
            <w:noWrap w:val="false"/>
          </w:tcPr>
          <w:p>
            <w:pPr>
              <w:pStyle w:val="1005"/>
              <w:ind w:left="57" w:right="57"/>
            </w:pPr>
            <w:r>
              <w:t xml:space="preserve">Дата регистрации</w:t>
            </w:r>
            <w:r/>
          </w:p>
        </w:tc>
        <w:tc>
          <w:tcPr>
            <w:shd w:val="clear" w:fill="auto" w:color="auto"/>
            <w:tcW w:w="3334" w:type="pct"/>
            <w:textDirection w:val="lrTb"/>
            <w:noWrap w:val="false"/>
          </w:tcPr>
          <w:p>
            <w:pPr>
              <w:pStyle w:val="1005"/>
              <w:ind w:left="57" w:right="57"/>
            </w:pPr>
            <w:r>
              <w:t xml:space="preserve">Дата регистрации.</w:t>
            </w:r>
            <w:r/>
          </w:p>
        </w:tc>
      </w:tr>
      <w:tr>
        <w:trPr/>
        <w:tc>
          <w:tcPr>
            <w:shd w:val="clear" w:fill="auto" w:color="auto"/>
            <w:tcW w:w="1666" w:type="pct"/>
            <w:textDirection w:val="lrTb"/>
            <w:noWrap w:val="false"/>
          </w:tcPr>
          <w:p>
            <w:pPr>
              <w:pStyle w:val="1005"/>
              <w:ind w:left="57" w:right="57"/>
            </w:pPr>
            <w:r>
              <w:t xml:space="preserve">Дата проводки</w:t>
            </w:r>
            <w:r/>
          </w:p>
        </w:tc>
        <w:tc>
          <w:tcPr>
            <w:shd w:val="clear" w:fill="auto" w:color="auto"/>
            <w:tcW w:w="3334" w:type="pct"/>
            <w:textDirection w:val="lrTb"/>
            <w:noWrap w:val="false"/>
          </w:tcPr>
          <w:p>
            <w:pPr>
              <w:pStyle w:val="1005"/>
              <w:ind w:left="57" w:right="57"/>
            </w:pPr>
            <w:r>
              <w:t xml:space="preserve">Дата проводки.</w:t>
            </w:r>
            <w:r/>
          </w:p>
        </w:tc>
      </w:tr>
      <w:tr>
        <w:trPr/>
        <w:tc>
          <w:tcPr>
            <w:gridSpan w:val="2"/>
            <w:shd w:val="clear" w:fill="auto" w:color="auto"/>
            <w:tcW w:w="5000" w:type="pct"/>
            <w:textDirection w:val="lrTb"/>
            <w:noWrap w:val="false"/>
          </w:tcPr>
          <w:p>
            <w:pPr>
              <w:pStyle w:val="1005"/>
              <w:ind w:left="57" w:right="57"/>
            </w:pPr>
            <w:r>
              <w:t xml:space="preserve">Группа полей «Реквизиты утверждения»</w:t>
            </w:r>
            <w:r/>
          </w:p>
        </w:tc>
      </w:tr>
      <w:tr>
        <w:trPr/>
        <w:tc>
          <w:tcPr>
            <w:shd w:val="clear" w:fill="auto" w:color="auto"/>
            <w:tcW w:w="1666" w:type="pct"/>
            <w:textDirection w:val="lrTb"/>
            <w:noWrap w:val="false"/>
          </w:tcPr>
          <w:p>
            <w:pPr>
              <w:pStyle w:val="1005"/>
              <w:ind w:left="57" w:right="57"/>
            </w:pPr>
            <w:r>
              <w:t xml:space="preserve">Должность</w:t>
            </w:r>
            <w:r/>
          </w:p>
        </w:tc>
        <w:tc>
          <w:tcPr>
            <w:shd w:val="clear" w:fill="auto" w:color="auto"/>
            <w:tcW w:w="3334" w:type="pct"/>
            <w:textDirection w:val="lrTb"/>
            <w:noWrap w:val="false"/>
          </w:tcPr>
          <w:p>
            <w:pPr>
              <w:pStyle w:val="1005"/>
              <w:ind w:left="57" w:right="57"/>
            </w:pPr>
            <w:r>
              <w:t xml:space="preserve">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r/>
          </w:p>
          <w:p>
            <w:pPr>
              <w:pStyle w:val="1005"/>
              <w:ind w:left="57" w:right="57"/>
            </w:pPr>
            <w:r>
              <w:t xml:space="preserve">ОФК: заполняется вручную.</w:t>
            </w:r>
            <w:r/>
          </w:p>
        </w:tc>
      </w:tr>
      <w:tr>
        <w:trPr/>
        <w:tc>
          <w:tcPr>
            <w:shd w:val="clear" w:fill="auto" w:color="auto"/>
            <w:tcW w:w="1666" w:type="pct"/>
            <w:textDirection w:val="lrTb"/>
            <w:noWrap w:val="false"/>
          </w:tcPr>
          <w:p>
            <w:pPr>
              <w:pStyle w:val="1005"/>
              <w:ind w:left="57" w:right="57"/>
            </w:pPr>
            <w:r>
              <w:t xml:space="preserve">Наименование органа, осуществляющего функции и полномочия учредителя (учреждения)</w:t>
            </w:r>
            <w:r/>
          </w:p>
        </w:tc>
        <w:tc>
          <w:tcPr>
            <w:shd w:val="clear" w:fill="auto" w:color="auto"/>
            <w:tcW w:w="3334" w:type="pct"/>
            <w:textDirection w:val="lrTb"/>
            <w:noWrap w:val="false"/>
          </w:tcPr>
          <w:p>
            <w:pPr>
              <w:pStyle w:val="1005"/>
              <w:ind w:left="57" w:right="57"/>
            </w:pPr>
            <w:r>
              <w:t xml:space="preserve">Значение заполняется автоматически из поля «Учредитель», может быть отредактировано вручную. </w:t>
            </w:r>
            <w:r/>
          </w:p>
        </w:tc>
      </w:tr>
      <w:tr>
        <w:trPr/>
        <w:tc>
          <w:tcPr>
            <w:shd w:val="clear" w:fill="auto" w:color="auto"/>
            <w:tcW w:w="1666" w:type="pct"/>
            <w:textDirection w:val="lrTb"/>
            <w:noWrap w:val="false"/>
          </w:tcPr>
          <w:p>
            <w:pPr>
              <w:pStyle w:val="1005"/>
              <w:ind w:left="57" w:right="57"/>
            </w:pPr>
            <w:r>
              <w:t xml:space="preserve">Расшифровка подписи</w:t>
            </w:r>
            <w:r/>
          </w:p>
        </w:tc>
        <w:tc>
          <w:tcPr>
            <w:shd w:val="clear" w:fill="auto" w:color="auto"/>
            <w:tcW w:w="3334" w:type="pct"/>
            <w:textDirection w:val="lrTb"/>
            <w:noWrap w:val="false"/>
          </w:tcPr>
          <w:p>
            <w:pPr>
              <w:pStyle w:val="1005"/>
              <w:ind w:left="57" w:right="57"/>
            </w:pPr>
            <w:r>
              <w:t xml:space="preserve">НУБП: значение вводится вручную или выбирается из справочника «Список должностей».</w:t>
            </w:r>
            <w:r/>
          </w:p>
          <w:p>
            <w:pPr>
              <w:pStyle w:val="1005"/>
              <w:ind w:left="57" w:right="57"/>
            </w:pPr>
            <w:r>
              <w:t xml:space="preserve">ОФК: заполняется вручную.</w:t>
            </w:r>
            <w:r/>
          </w:p>
        </w:tc>
      </w:tr>
      <w:tr>
        <w:trPr/>
        <w:tc>
          <w:tcPr>
            <w:shd w:val="clear" w:fill="auto" w:color="auto"/>
            <w:tcW w:w="1666" w:type="pct"/>
            <w:textDirection w:val="lrTb"/>
            <w:noWrap w:val="false"/>
          </w:tcPr>
          <w:p>
            <w:pPr>
              <w:pStyle w:val="1005"/>
              <w:ind w:left="57" w:right="57"/>
            </w:pPr>
            <w:r>
              <w:t xml:space="preserve">Дата</w:t>
            </w:r>
            <w:r/>
          </w:p>
        </w:tc>
        <w:tc>
          <w:tcPr>
            <w:shd w:val="clear" w:fill="auto" w:color="auto"/>
            <w:tcW w:w="3334" w:type="pct"/>
            <w:textDirection w:val="lrTb"/>
            <w:noWrap w:val="false"/>
          </w:tcPr>
          <w:p>
            <w:pPr>
              <w:pStyle w:val="1005"/>
              <w:ind w:left="57" w:right="57"/>
            </w:pPr>
            <w:r>
              <w:t xml:space="preserve">НУБП: Заполняется автоматически при подписании ЭП данными подписанта.</w:t>
            </w:r>
            <w:r/>
          </w:p>
        </w:tc>
      </w:tr>
      <w:tr>
        <w:trPr/>
        <w:tc>
          <w:tcPr>
            <w:gridSpan w:val="2"/>
            <w:shd w:val="clear" w:fill="auto" w:color="auto"/>
            <w:tcW w:w="5000" w:type="pct"/>
            <w:textDirection w:val="lrTb"/>
            <w:noWrap w:val="false"/>
          </w:tcPr>
          <w:p>
            <w:pPr>
              <w:pStyle w:val="1005"/>
              <w:ind w:left="57" w:right="57"/>
            </w:pPr>
            <w:r>
              <w:t xml:space="preserve">Группа полей «Реквизиты подписей»</w:t>
            </w:r>
            <w:r/>
          </w:p>
        </w:tc>
      </w:tr>
      <w:tr>
        <w:trPr/>
        <w:tc>
          <w:tcPr>
            <w:shd w:val="clear" w:fill="auto" w:color="auto"/>
            <w:tcW w:w="1666" w:type="pct"/>
            <w:textDirection w:val="lrTb"/>
            <w:noWrap w:val="false"/>
          </w:tcPr>
          <w:p>
            <w:pPr>
              <w:pStyle w:val="1005"/>
              <w:ind w:left="57" w:right="57"/>
            </w:pPr>
            <w:r>
              <w:t xml:space="preserve">Руководитель (</w:t>
            </w:r>
            <w:r>
              <w:t xml:space="preserve">уполномоченное лицо</w:t>
            </w:r>
            <w:r>
              <w:t xml:space="preserve">)</w:t>
            </w:r>
            <w:r/>
          </w:p>
        </w:tc>
        <w:tc>
          <w:tcPr>
            <w:shd w:val="clear" w:fill="auto" w:color="auto"/>
            <w:tcW w:w="3334" w:type="pct"/>
            <w:textDirection w:val="lrTb"/>
            <w:noWrap w:val="false"/>
          </w:tcPr>
          <w:p>
            <w:pPr>
              <w:pStyle w:val="1005"/>
              <w:ind w:left="57" w:right="57"/>
            </w:pPr>
            <w:r>
              <w:t xml:space="preserve">НУБП: заполняется автоматически при подписании ЭП данными подписанта</w:t>
            </w:r>
            <w:r>
              <w:t xml:space="preserve">.</w:t>
            </w:r>
            <w:r/>
          </w:p>
          <w:p>
            <w:pPr>
              <w:pStyle w:val="1005"/>
              <w:ind w:left="57" w:right="57"/>
            </w:pPr>
            <w:r>
              <w:t xml:space="preserve">ОФК: заполняется вручную.</w:t>
            </w:r>
            <w:r/>
          </w:p>
        </w:tc>
      </w:tr>
      <w:tr>
        <w:trPr/>
        <w:tc>
          <w:tcPr>
            <w:shd w:val="clear" w:fill="auto" w:color="auto"/>
            <w:tcW w:w="1666" w:type="pct"/>
            <w:textDirection w:val="lrTb"/>
            <w:noWrap w:val="false"/>
          </w:tcPr>
          <w:p>
            <w:pPr>
              <w:pStyle w:val="1005"/>
              <w:ind w:left="57" w:right="57"/>
            </w:pPr>
            <w:r>
              <w:t xml:space="preserve">Должность</w:t>
            </w:r>
            <w:r/>
          </w:p>
        </w:tc>
        <w:tc>
          <w:tcPr>
            <w:shd w:val="clear" w:fill="auto" w:color="auto"/>
            <w:tcW w:w="3334" w:type="pct"/>
            <w:textDirection w:val="lrTb"/>
            <w:noWrap w:val="false"/>
          </w:tcPr>
          <w:p>
            <w:pPr>
              <w:pStyle w:val="1005"/>
              <w:ind w:left="57" w:right="57"/>
            </w:pPr>
            <w:r>
              <w:t xml:space="preserve">НУБП: Заполняется автоматически при подписании ЭП данными подписанта.</w:t>
            </w:r>
            <w:r/>
          </w:p>
        </w:tc>
      </w:tr>
      <w:tr>
        <w:trPr/>
        <w:tc>
          <w:tcPr>
            <w:shd w:val="clear" w:fill="auto" w:color="auto"/>
            <w:tcW w:w="1666" w:type="pct"/>
            <w:textDirection w:val="lrTb"/>
            <w:noWrap w:val="false"/>
          </w:tcPr>
          <w:p>
            <w:pPr>
              <w:pStyle w:val="1005"/>
              <w:ind w:left="57" w:right="57"/>
            </w:pPr>
            <w:r>
              <w:t xml:space="preserve">Руководитель финансово-экономической службы (</w:t>
            </w:r>
            <w:r>
              <w:t xml:space="preserve">уполномоченное лицо</w:t>
            </w:r>
            <w:r>
              <w:t xml:space="preserve">)</w:t>
            </w:r>
            <w:r/>
          </w:p>
        </w:tc>
        <w:tc>
          <w:tcPr>
            <w:shd w:val="clear" w:fill="auto" w:color="auto"/>
            <w:tcW w:w="3334" w:type="pct"/>
            <w:textDirection w:val="lrTb"/>
            <w:noWrap w:val="false"/>
          </w:tcPr>
          <w:p>
            <w:pPr>
              <w:pStyle w:val="1005"/>
              <w:ind w:left="57" w:right="57"/>
            </w:pPr>
            <w:r>
              <w:t xml:space="preserve">НУБП: значение вводится вручную или выбирается из справочника «Список должностей».</w:t>
            </w:r>
            <w:r/>
          </w:p>
          <w:p>
            <w:pPr>
              <w:pStyle w:val="1005"/>
              <w:ind w:left="57" w:right="57"/>
            </w:pPr>
            <w:r>
              <w:t xml:space="preserve">ОФК: заполняется вручную.</w:t>
            </w:r>
            <w:r/>
          </w:p>
        </w:tc>
      </w:tr>
      <w:tr>
        <w:trPr/>
        <w:tc>
          <w:tcPr>
            <w:shd w:val="clear" w:fill="auto" w:color="auto"/>
            <w:tcW w:w="1666" w:type="pct"/>
            <w:textDirection w:val="lrTb"/>
            <w:noWrap w:val="false"/>
          </w:tcPr>
          <w:p>
            <w:pPr>
              <w:pStyle w:val="1005"/>
              <w:ind w:left="57" w:right="57"/>
            </w:pPr>
            <w:r>
              <w:t xml:space="preserve">Дата</w:t>
            </w:r>
            <w:r/>
          </w:p>
        </w:tc>
        <w:tc>
          <w:tcPr>
            <w:shd w:val="clear" w:fill="auto" w:color="auto"/>
            <w:tcW w:w="3334" w:type="pct"/>
            <w:textDirection w:val="lrTb"/>
            <w:noWrap w:val="false"/>
          </w:tcPr>
          <w:p>
            <w:pPr>
              <w:pStyle w:val="1005"/>
              <w:ind w:left="57" w:right="57"/>
            </w:pPr>
            <w:r>
              <w:t xml:space="preserve">З</w:t>
            </w:r>
            <w:r>
              <w:t xml:space="preserve">аполняется вручную.</w:t>
            </w:r>
            <w:r/>
          </w:p>
        </w:tc>
      </w:tr>
      <w:tr>
        <w:trPr/>
        <w:tc>
          <w:tcPr>
            <w:gridSpan w:val="2"/>
            <w:shd w:val="clear" w:fill="auto" w:color="auto"/>
            <w:tcW w:w="5000" w:type="pct"/>
            <w:textDirection w:val="lrTb"/>
            <w:noWrap w:val="false"/>
          </w:tcPr>
          <w:p>
            <w:pPr>
              <w:pStyle w:val="1005"/>
              <w:ind w:left="57" w:right="57"/>
            </w:pPr>
            <w:r>
              <w:t xml:space="preserve">Группа полей «Ответственный исполнитель»</w:t>
            </w:r>
            <w:r/>
          </w:p>
        </w:tc>
      </w:tr>
      <w:tr>
        <w:trPr/>
        <w:tc>
          <w:tcPr>
            <w:shd w:val="clear" w:fill="auto" w:color="auto"/>
            <w:tcW w:w="1666" w:type="pct"/>
            <w:textDirection w:val="lrTb"/>
            <w:noWrap w:val="false"/>
          </w:tcPr>
          <w:p>
            <w:pPr>
              <w:pStyle w:val="1005"/>
              <w:ind w:left="57" w:right="57"/>
            </w:pPr>
            <w:r>
              <w:t xml:space="preserve">Должность</w:t>
            </w:r>
            <w:r/>
          </w:p>
        </w:tc>
        <w:tc>
          <w:tcPr>
            <w:shd w:val="clear" w:fill="auto" w:color="auto"/>
            <w:tcW w:w="3334" w:type="pct"/>
            <w:textDirection w:val="lrTb"/>
            <w:noWrap w:val="false"/>
          </w:tcPr>
          <w:p>
            <w:pPr>
              <w:pStyle w:val="1005"/>
              <w:ind w:left="57" w:right="57"/>
            </w:pPr>
            <w:r>
              <w:t xml:space="preserve">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r/>
          </w:p>
          <w:p>
            <w:pPr>
              <w:pStyle w:val="1005"/>
              <w:ind w:left="57" w:right="57"/>
            </w:pPr>
            <w:r>
              <w:t xml:space="preserve">ОФК: заполняется вручную.</w:t>
            </w:r>
            <w:r/>
          </w:p>
        </w:tc>
      </w:tr>
      <w:tr>
        <w:trPr/>
        <w:tc>
          <w:tcPr>
            <w:shd w:val="clear" w:fill="auto" w:color="auto"/>
            <w:tcW w:w="1666" w:type="pct"/>
            <w:textDirection w:val="lrTb"/>
            <w:noWrap w:val="false"/>
          </w:tcPr>
          <w:p>
            <w:pPr>
              <w:pStyle w:val="1005"/>
              <w:ind w:left="57" w:right="57"/>
            </w:pPr>
            <w:r>
              <w:t xml:space="preserve">Расшифровка подписи</w:t>
            </w:r>
            <w:r/>
          </w:p>
        </w:tc>
        <w:tc>
          <w:tcPr>
            <w:shd w:val="clear" w:fill="auto" w:color="auto"/>
            <w:tcW w:w="3334" w:type="pct"/>
            <w:textDirection w:val="lrTb"/>
            <w:noWrap w:val="false"/>
          </w:tcPr>
          <w:p>
            <w:pPr>
              <w:pStyle w:val="1005"/>
              <w:ind w:left="57" w:right="57"/>
            </w:pPr>
            <w:r>
              <w:t xml:space="preserve">НУБП: значение вводится вручную или выбирается из справочника «Список должностей».</w:t>
            </w:r>
            <w:r/>
          </w:p>
          <w:p>
            <w:pPr>
              <w:pStyle w:val="1005"/>
              <w:ind w:left="57" w:right="57"/>
            </w:pPr>
            <w:r>
              <w:t xml:space="preserve">ОФК: заполняется вручную.</w:t>
            </w:r>
            <w:r/>
          </w:p>
        </w:tc>
      </w:tr>
      <w:tr>
        <w:trPr/>
        <w:tc>
          <w:tcPr>
            <w:shd w:val="clear" w:fill="auto" w:color="auto"/>
            <w:tcW w:w="1666" w:type="pct"/>
            <w:textDirection w:val="lrTb"/>
            <w:noWrap w:val="false"/>
          </w:tcPr>
          <w:p>
            <w:pPr>
              <w:pStyle w:val="1005"/>
              <w:ind w:left="57" w:right="57"/>
            </w:pPr>
            <w:r>
              <w:t xml:space="preserve">Телефон</w:t>
            </w:r>
            <w:r/>
          </w:p>
        </w:tc>
        <w:tc>
          <w:tcPr>
            <w:shd w:val="clear" w:fill="auto" w:color="auto"/>
            <w:tcW w:w="3334" w:type="pct"/>
            <w:textDirection w:val="lrTb"/>
            <w:noWrap w:val="false"/>
          </w:tcPr>
          <w:p>
            <w:pPr>
              <w:pStyle w:val="1005"/>
              <w:ind w:left="57" w:right="57"/>
            </w:pPr>
            <w:r>
              <w:t xml:space="preserve">НУБП: значение подтягивается автоматически из справочника «Список сотрудников» по значению, указанному в поле «Расшифровка подписи». Значение может быть изменено вручную</w:t>
            </w:r>
            <w:r/>
          </w:p>
          <w:p>
            <w:pPr>
              <w:pStyle w:val="1005"/>
              <w:ind w:left="57" w:right="57"/>
            </w:pPr>
            <w:r>
              <w:t xml:space="preserve">ОФК: заполняется вручную.</w:t>
            </w:r>
            <w:r/>
          </w:p>
        </w:tc>
      </w:tr>
      <w:tr>
        <w:trPr/>
        <w:tc>
          <w:tcPr>
            <w:gridSpan w:val="2"/>
            <w:shd w:val="clear" w:fill="auto" w:color="auto"/>
            <w:tcW w:w="5000" w:type="pct"/>
            <w:textDirection w:val="lrTb"/>
            <w:noWrap w:val="false"/>
          </w:tcPr>
          <w:p>
            <w:pPr>
              <w:pStyle w:val="1005"/>
              <w:ind w:left="57" w:right="57"/>
            </w:pPr>
            <w:r>
              <w:t xml:space="preserve">Группа полей «Отметка органа, осуществляющего ведение лицевого счета, о принятии сведений»</w:t>
            </w:r>
            <w:r/>
          </w:p>
        </w:tc>
      </w:tr>
      <w:tr>
        <w:trPr/>
        <w:tc>
          <w:tcPr>
            <w:shd w:val="clear" w:fill="auto" w:color="auto"/>
            <w:tcW w:w="1666" w:type="pct"/>
            <w:textDirection w:val="lrTb"/>
            <w:noWrap w:val="false"/>
          </w:tcPr>
          <w:p>
            <w:pPr>
              <w:pStyle w:val="1005"/>
              <w:ind w:left="57" w:right="57"/>
            </w:pPr>
            <w:r>
              <w:t xml:space="preserve">Должность</w:t>
            </w:r>
            <w:r/>
          </w:p>
        </w:tc>
        <w:tc>
          <w:tcPr>
            <w:shd w:val="clear" w:fill="auto" w:color="auto"/>
            <w:tcW w:w="3334" w:type="pct"/>
            <w:vMerge w:val="restart"/>
            <w:textDirection w:val="lrTb"/>
            <w:noWrap w:val="false"/>
          </w:tcPr>
          <w:p>
            <w:pPr>
              <w:pStyle w:val="1005"/>
              <w:ind w:left="57" w:right="57"/>
            </w:pPr>
            <w:r>
              <w:t xml:space="preserve">Передается из OEBS.</w:t>
            </w:r>
            <w:r/>
          </w:p>
        </w:tc>
      </w:tr>
      <w:tr>
        <w:trPr/>
        <w:tc>
          <w:tcPr>
            <w:shd w:val="clear" w:fill="auto" w:color="auto"/>
            <w:tcW w:w="1666" w:type="pct"/>
            <w:textDirection w:val="lrTb"/>
            <w:noWrap w:val="false"/>
          </w:tcPr>
          <w:p>
            <w:pPr>
              <w:pStyle w:val="1005"/>
              <w:ind w:left="57" w:right="57"/>
            </w:pPr>
            <w:r>
              <w:t xml:space="preserve">Расшифровка подписи</w:t>
            </w:r>
            <w:r/>
          </w:p>
        </w:tc>
        <w:tc>
          <w:tcPr>
            <w:shd w:val="clear" w:fill="auto" w:color="auto"/>
            <w:tcW w:w="3334" w:type="pct"/>
            <w:vMerge w:val="continue"/>
            <w:textDirection w:val="lrTb"/>
            <w:noWrap w:val="false"/>
          </w:tcPr>
          <w:p>
            <w:pPr>
              <w:pStyle w:val="1005"/>
              <w:ind w:left="57" w:right="57"/>
            </w:pPr>
            <w:r/>
            <w:r/>
          </w:p>
        </w:tc>
      </w:tr>
      <w:tr>
        <w:trPr/>
        <w:tc>
          <w:tcPr>
            <w:shd w:val="clear" w:fill="auto" w:color="auto"/>
            <w:tcW w:w="1666" w:type="pct"/>
            <w:textDirection w:val="lrTb"/>
            <w:noWrap w:val="false"/>
          </w:tcPr>
          <w:p>
            <w:pPr>
              <w:pStyle w:val="1005"/>
              <w:ind w:left="57" w:right="57"/>
            </w:pPr>
            <w:r>
              <w:t xml:space="preserve">Телефон</w:t>
            </w:r>
            <w:r/>
          </w:p>
        </w:tc>
        <w:tc>
          <w:tcPr>
            <w:shd w:val="clear" w:fill="auto" w:color="auto"/>
            <w:tcW w:w="3334" w:type="pct"/>
            <w:vMerge w:val="continue"/>
            <w:textDirection w:val="lrTb"/>
            <w:noWrap w:val="false"/>
          </w:tcPr>
          <w:p>
            <w:pPr>
              <w:pStyle w:val="1005"/>
              <w:ind w:left="57" w:right="57"/>
            </w:pPr>
            <w:r/>
            <w:r/>
          </w:p>
        </w:tc>
      </w:tr>
      <w:tr>
        <w:trPr/>
        <w:tc>
          <w:tcPr>
            <w:shd w:val="clear" w:fill="auto" w:color="auto"/>
            <w:tcW w:w="1666" w:type="pct"/>
            <w:textDirection w:val="lrTb"/>
            <w:noWrap w:val="false"/>
          </w:tcPr>
          <w:p>
            <w:pPr>
              <w:pStyle w:val="1005"/>
              <w:ind w:left="57" w:right="57"/>
            </w:pPr>
            <w:r>
              <w:t xml:space="preserve">Дата</w:t>
            </w:r>
            <w:r/>
          </w:p>
        </w:tc>
        <w:tc>
          <w:tcPr>
            <w:shd w:val="clear" w:fill="auto" w:color="auto"/>
            <w:tcW w:w="3334" w:type="pct"/>
            <w:vMerge w:val="continue"/>
            <w:textDirection w:val="lrTb"/>
            <w:noWrap w:val="false"/>
          </w:tcPr>
          <w:p>
            <w:pPr>
              <w:pStyle w:val="1005"/>
              <w:ind w:left="57" w:right="57"/>
            </w:pPr>
            <w:r/>
            <w:r/>
          </w:p>
        </w:tc>
      </w:tr>
      <w:tr>
        <w:trPr/>
        <w:tc>
          <w:tcPr>
            <w:gridSpan w:val="2"/>
            <w:shd w:val="clear" w:fill="auto" w:color="auto"/>
            <w:tcW w:w="5000" w:type="pct"/>
            <w:textDirection w:val="lrTb"/>
            <w:noWrap w:val="false"/>
          </w:tcPr>
          <w:p>
            <w:pPr>
              <w:pStyle w:val="1005"/>
              <w:ind w:left="57" w:right="57"/>
            </w:pPr>
            <w:r>
              <w:t xml:space="preserve">Группа полей «Отметка ответственного департамента МФ РФ»</w:t>
            </w:r>
            <w:r/>
          </w:p>
        </w:tc>
      </w:tr>
      <w:tr>
        <w:trPr/>
        <w:tc>
          <w:tcPr>
            <w:shd w:val="clear" w:fill="auto" w:color="auto"/>
            <w:tcW w:w="1666" w:type="pct"/>
            <w:textDirection w:val="lrTb"/>
            <w:noWrap w:val="false"/>
          </w:tcPr>
          <w:p>
            <w:pPr>
              <w:pStyle w:val="1005"/>
              <w:ind w:left="57" w:right="57"/>
            </w:pPr>
            <w:r>
              <w:t xml:space="preserve">Должность исполнителя МФ</w:t>
            </w:r>
            <w:r/>
          </w:p>
        </w:tc>
        <w:tc>
          <w:tcPr>
            <w:shd w:val="clear" w:fill="auto" w:color="auto"/>
            <w:tcW w:w="3334" w:type="pct"/>
            <w:vMerge w:val="restart"/>
            <w:textDirection w:val="lrTb"/>
            <w:noWrap w:val="false"/>
          </w:tcPr>
          <w:p>
            <w:pPr>
              <w:pStyle w:val="1005"/>
              <w:ind w:left="57" w:right="57"/>
            </w:pPr>
            <w:r>
              <w:t xml:space="preserve">Передается из формата ТФФ при импорте в случае заполнения.</w:t>
            </w:r>
            <w:r/>
          </w:p>
        </w:tc>
      </w:tr>
      <w:tr>
        <w:trPr/>
        <w:tc>
          <w:tcPr>
            <w:shd w:val="clear" w:fill="auto" w:color="auto"/>
            <w:tcW w:w="1666" w:type="pct"/>
            <w:textDirection w:val="lrTb"/>
            <w:noWrap w:val="false"/>
          </w:tcPr>
          <w:p>
            <w:pPr>
              <w:pStyle w:val="1005"/>
              <w:ind w:left="57" w:right="57"/>
            </w:pPr>
            <w:r>
              <w:t xml:space="preserve">Расшифровка подписи исполнителя МФ</w:t>
            </w:r>
            <w:r/>
          </w:p>
        </w:tc>
        <w:tc>
          <w:tcPr>
            <w:shd w:val="clear" w:fill="auto" w:color="auto"/>
            <w:tcW w:w="3334" w:type="pct"/>
            <w:vMerge w:val="continue"/>
            <w:textDirection w:val="lrTb"/>
            <w:noWrap w:val="false"/>
          </w:tcPr>
          <w:p>
            <w:pPr>
              <w:pStyle w:val="1005"/>
              <w:ind w:left="57" w:right="57"/>
            </w:pPr>
            <w:r/>
            <w:r/>
          </w:p>
        </w:tc>
      </w:tr>
      <w:tr>
        <w:trPr/>
        <w:tc>
          <w:tcPr>
            <w:shd w:val="clear" w:fill="auto" w:color="auto"/>
            <w:tcW w:w="1666" w:type="pct"/>
            <w:textDirection w:val="lrTb"/>
            <w:noWrap w:val="false"/>
          </w:tcPr>
          <w:p>
            <w:pPr>
              <w:pStyle w:val="1005"/>
              <w:ind w:left="57" w:right="57"/>
            </w:pPr>
            <w:r>
              <w:t xml:space="preserve">Телефон исполнителя МФ</w:t>
            </w:r>
            <w:r/>
          </w:p>
        </w:tc>
        <w:tc>
          <w:tcPr>
            <w:shd w:val="clear" w:fill="auto" w:color="auto"/>
            <w:tcW w:w="3334" w:type="pct"/>
            <w:vMerge w:val="continue"/>
            <w:textDirection w:val="lrTb"/>
            <w:noWrap w:val="false"/>
          </w:tcPr>
          <w:p>
            <w:pPr>
              <w:pStyle w:val="1005"/>
              <w:ind w:left="57" w:right="57"/>
            </w:pPr>
            <w:r/>
            <w:r/>
          </w:p>
        </w:tc>
      </w:tr>
      <w:tr>
        <w:trPr/>
        <w:tc>
          <w:tcPr>
            <w:shd w:val="clear" w:fill="auto" w:color="auto"/>
            <w:tcW w:w="1666" w:type="pct"/>
            <w:textDirection w:val="lrTb"/>
            <w:noWrap w:val="false"/>
          </w:tcPr>
          <w:p>
            <w:pPr>
              <w:pStyle w:val="1005"/>
              <w:ind w:left="57" w:right="57"/>
            </w:pPr>
            <w:r>
              <w:t xml:space="preserve">Дата принятия в МФ</w:t>
            </w:r>
            <w:r/>
          </w:p>
        </w:tc>
        <w:tc>
          <w:tcPr>
            <w:shd w:val="clear" w:fill="auto" w:color="auto"/>
            <w:tcW w:w="3334" w:type="pct"/>
            <w:vMerge w:val="continue"/>
            <w:textDirection w:val="lrTb"/>
            <w:noWrap w:val="false"/>
          </w:tcPr>
          <w:p>
            <w:pPr>
              <w:pStyle w:val="1005"/>
              <w:ind w:left="57" w:right="57"/>
            </w:pPr>
            <w:r/>
            <w:r/>
          </w:p>
        </w:tc>
      </w:tr>
    </w:tbl>
    <w:p>
      <w:pPr>
        <w:pStyle w:val="972"/>
      </w:pPr>
      <w:r/>
      <w:bookmarkStart w:id="1429" w:name="_Toc508183097"/>
      <w:r/>
      <w:bookmarkStart w:id="1430" w:name="_Toc505874860"/>
      <w:r/>
      <w:bookmarkStart w:id="1431" w:name="_Ref505873995"/>
      <w:r/>
      <w:bookmarkStart w:id="1432" w:name="_Ref508623527"/>
      <w:r/>
      <w:bookmarkStart w:id="1433" w:name="_Ref3816024"/>
      <w:r/>
      <w:bookmarkStart w:id="1434" w:name="_Ref48597071"/>
      <w:r/>
      <w:bookmarkStart w:id="1435" w:name="_Ref72236238"/>
      <w:r/>
      <w:bookmarkStart w:id="1436" w:name="_Toc88819139"/>
      <w:r>
        <w:t xml:space="preserve">Сведения об операциях с целевыми средствами</w:t>
      </w:r>
      <w:bookmarkEnd w:id="1429"/>
      <w:r/>
      <w:bookmarkEnd w:id="1430"/>
      <w:r/>
      <w:bookmarkEnd w:id="1431"/>
      <w:r/>
      <w:bookmarkEnd w:id="1432"/>
      <w:r/>
      <w:bookmarkEnd w:id="1433"/>
      <w:r/>
      <w:bookmarkEnd w:id="1434"/>
      <w:r/>
      <w:bookmarkEnd w:id="1435"/>
      <w:r/>
      <w:bookmarkEnd w:id="1436"/>
      <w:r/>
      <w:r/>
    </w:p>
    <w:p>
      <w:pPr>
        <w:pStyle w:val="994"/>
      </w:pPr>
      <w:r>
        <w:t xml:space="preserve">Для работы с документами «Сведения об операциях с целевыми средствами» следует перейти в пункт меню</w:t>
      </w:r>
      <w:r>
        <w:rPr>
          <w:rStyle w:val="1001"/>
        </w:rPr>
        <w:t xml:space="preserve"> </w:t>
      </w:r>
      <w:r>
        <w:t xml:space="preserve">«Документы – Регистрация и доведение бюджета – Сведения об операциях с целевыми средствами». Откроется ЭФ списка документов, представленная на рисунке </w:t>
      </w:r>
      <w:r>
        <w:fldChar w:fldCharType="begin"/>
      </w:r>
      <w:r>
        <w:instrText xml:space="preserve"> REF _Ref505878492 \h </w:instrText>
      </w:r>
      <w:r>
        <w:fldChar w:fldCharType="separate"/>
      </w:r>
      <w:r>
        <w:t xml:space="preserve">198</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2926080"/>
                <wp:effectExtent l="0" t="0" r="0" b="0"/>
                <wp:docPr id="29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68"/>
                        <a:stretch/>
                      </pic:blipFill>
                      <pic:spPr bwMode="auto">
                        <a:xfrm>
                          <a:off x="0" y="0"/>
                          <a:ext cx="6134100" cy="29260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6" o:spid="_x0000_s296" type="#_x0000_t75" style="mso-wrap-distance-left:0.0pt;mso-wrap-distance-top:0.0pt;mso-wrap-distance-right:0.0pt;mso-wrap-distance-bottom:0.0pt;width:483.0pt;height:230.4pt;" stroked="f">
                <v:path textboxrect="0,0,0,0"/>
                <v:imagedata r:id="rId268" o:title=""/>
              </v:shape>
            </w:pict>
          </mc:Fallback>
        </mc:AlternateContent>
      </w:r>
      <w:r/>
    </w:p>
    <w:p>
      <w:pPr>
        <w:pStyle w:val="983"/>
      </w:pPr>
      <w:r>
        <w:fldChar w:fldCharType="begin"/>
      </w:r>
      <w:r>
        <w:instrText xml:space="preserve"> SEQ Рисунок \* ARABIC </w:instrText>
      </w:r>
      <w:r>
        <w:fldChar w:fldCharType="separate"/>
      </w:r>
      <w:bookmarkStart w:id="1437" w:name="_Ref505878492"/>
      <w:r/>
      <w:bookmarkStart w:id="1438" w:name="_Toc88819583"/>
      <w:r>
        <w:t xml:space="preserve">198</w:t>
      </w:r>
      <w:bookmarkEnd w:id="1437"/>
      <w:r>
        <w:fldChar w:fldCharType="end"/>
      </w:r>
      <w:r>
        <w:t xml:space="preserve">. ЭФ списка документов «Сведения об операциях с целевыми средствами»</w:t>
      </w:r>
      <w:bookmarkEnd w:id="1438"/>
      <w:r/>
      <w:r/>
    </w:p>
    <w:p>
      <w:pPr>
        <w:pStyle w:val="973"/>
      </w:pPr>
      <w:r>
        <w:t xml:space="preserve">Доступные операции</w:t>
      </w:r>
      <w:r/>
    </w:p>
    <w:p>
      <w:pPr>
        <w:pStyle w:val="994"/>
      </w:pPr>
      <w:r>
        <w:t xml:space="preserve">На АРМ </w:t>
      </w:r>
      <w:r>
        <w:t xml:space="preserve">ФО</w:t>
      </w:r>
      <w:r>
        <w:t xml:space="preserve"> доступны следующие операции над документом:</w:t>
      </w:r>
      <w:r/>
    </w:p>
    <w:p>
      <w:pPr>
        <w:pStyle w:val="985"/>
      </w:pPr>
      <w:r>
        <w:t xml:space="preserve">Для транзитных документов:</w:t>
      </w:r>
      <w:r/>
    </w:p>
    <w:p>
      <w:pPr>
        <w:pStyle w:val="986"/>
      </w:pPr>
      <w:r>
        <w:t xml:space="preserve">просмотр;</w:t>
      </w:r>
      <w:r/>
    </w:p>
    <w:p>
      <w:pPr>
        <w:pStyle w:val="986"/>
      </w:pPr>
      <w:r>
        <w:t xml:space="preserve">печать;</w:t>
      </w:r>
      <w:r/>
    </w:p>
    <w:p>
      <w:pPr>
        <w:pStyle w:val="986"/>
      </w:pPr>
      <w:r>
        <w:t xml:space="preserve">проверка, формирование и удаление ЭП;</w:t>
      </w:r>
      <w:r/>
    </w:p>
    <w:p>
      <w:pPr>
        <w:pStyle w:val="986"/>
      </w:pPr>
      <w:r>
        <w:t xml:space="preserve">выгрузка в ППО </w:t>
      </w:r>
      <w:r>
        <w:rPr>
          <w:lang w:val="en-US"/>
        </w:rPr>
        <w:t xml:space="preserve">OEBS</w:t>
      </w:r>
      <w:r>
        <w:t xml:space="preserve">;</w:t>
      </w:r>
      <w:r/>
    </w:p>
    <w:p>
      <w:pPr>
        <w:pStyle w:val="986"/>
      </w:pPr>
      <w:r>
        <w:t xml:space="preserve">санкционирование;</w:t>
      </w:r>
      <w:r/>
    </w:p>
    <w:p>
      <w:pPr>
        <w:pStyle w:val="986"/>
      </w:pPr>
      <w:r>
        <w:t xml:space="preserve">отказ;</w:t>
      </w:r>
      <w:r/>
    </w:p>
    <w:p>
      <w:pPr>
        <w:pStyle w:val="986"/>
      </w:pPr>
      <w:r>
        <w:t xml:space="preserve">откат статуса передачи.</w:t>
      </w:r>
      <w:r/>
    </w:p>
    <w:p>
      <w:pPr>
        <w:pStyle w:val="973"/>
      </w:pPr>
      <w:r>
        <w:t xml:space="preserve">Экранная форма документа</w:t>
      </w:r>
      <w:r/>
    </w:p>
    <w:p>
      <w:pPr>
        <w:pStyle w:val="994"/>
      </w:pPr>
      <w:r>
        <w:t xml:space="preserve">ЭФ документа «Сведения об операциях с целевыми средствами» представлена на рисунк</w:t>
      </w:r>
      <w:r>
        <w:t xml:space="preserve">е</w:t>
      </w:r>
      <w:r>
        <w:t xml:space="preserve"> </w:t>
      </w:r>
      <w:r>
        <w:fldChar w:fldCharType="begin"/>
      </w:r>
      <w:r>
        <w:instrText xml:space="preserve"> REF _Ref505874631 \h </w:instrText>
      </w:r>
      <w:r>
        <w:fldChar w:fldCharType="separate"/>
      </w:r>
      <w:r>
        <w:t xml:space="preserve">199</w:t>
      </w:r>
      <w:r>
        <w:fldChar w:fldCharType="end"/>
      </w:r>
      <w:r>
        <w:t xml:space="preserve">. Форма содержит следующие закладки:</w:t>
      </w:r>
      <w:r/>
    </w:p>
    <w:p>
      <w:pPr>
        <w:pStyle w:val="985"/>
      </w:pPr>
      <w:r>
        <w:t xml:space="preserve">«Реквизиты (1)»;</w:t>
      </w:r>
      <w:r/>
    </w:p>
    <w:p>
      <w:pPr>
        <w:pStyle w:val="985"/>
      </w:pPr>
      <w:r>
        <w:t xml:space="preserve">«Реквизиты расшифровки документа (2);</w:t>
      </w:r>
      <w:r/>
    </w:p>
    <w:p>
      <w:pPr>
        <w:pStyle w:val="985"/>
      </w:pPr>
      <w:r>
        <w:t xml:space="preserve">«Дополнительные атрибуты (3</w:t>
      </w:r>
      <w:r>
        <w:t xml:space="preserve">)».</w:t>
      </w:r>
      <w:r/>
    </w:p>
    <w:p>
      <w:pPr>
        <w:pStyle w:val="982"/>
      </w:pPr>
      <w:r>
        <mc:AlternateContent>
          <mc:Choice Requires="wpg">
            <w:drawing>
              <wp:inline xmlns:wp="http://schemas.openxmlformats.org/drawingml/2006/wordprocessingDrawing" distT="0" distB="0" distL="0" distR="0">
                <wp:extent cx="6035040" cy="5303520"/>
                <wp:effectExtent l="0" t="0" r="0" b="0"/>
                <wp:docPr id="29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69"/>
                        <a:stretch/>
                      </pic:blipFill>
                      <pic:spPr bwMode="auto">
                        <a:xfrm>
                          <a:off x="0" y="0"/>
                          <a:ext cx="6035039" cy="53035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7" o:spid="_x0000_s297" type="#_x0000_t75" style="mso-wrap-distance-left:0.0pt;mso-wrap-distance-top:0.0pt;mso-wrap-distance-right:0.0pt;mso-wrap-distance-bottom:0.0pt;width:475.2pt;height:417.6pt;" stroked="f">
                <v:path textboxrect="0,0,0,0"/>
                <v:imagedata r:id="rId269" o:title=""/>
              </v:shape>
            </w:pict>
          </mc:Fallback>
        </mc:AlternateContent>
      </w:r>
      <w:r/>
    </w:p>
    <w:p>
      <w:pPr>
        <w:pStyle w:val="983"/>
      </w:pPr>
      <w:r>
        <w:fldChar w:fldCharType="begin"/>
      </w:r>
      <w:r>
        <w:instrText xml:space="preserve"> SEQ Рисунок \* ARABIC </w:instrText>
      </w:r>
      <w:r>
        <w:fldChar w:fldCharType="separate"/>
      </w:r>
      <w:bookmarkStart w:id="1439" w:name="_Ref505874631"/>
      <w:r/>
      <w:bookmarkStart w:id="1440" w:name="_Toc88819584"/>
      <w:r>
        <w:t xml:space="preserve">199</w:t>
      </w:r>
      <w:bookmarkEnd w:id="1439"/>
      <w:r>
        <w:fldChar w:fldCharType="end"/>
      </w:r>
      <w:r>
        <w:t xml:space="preserve">. ЭФ документа «Сведения об операциях с целевыми средствами», закладки «Реквизиты (1)»</w:t>
      </w:r>
      <w:bookmarkEnd w:id="1440"/>
      <w:r/>
      <w:r/>
    </w:p>
    <w:p>
      <w:pPr>
        <w:pStyle w:val="994"/>
      </w:pPr>
      <w:r>
        <w:t xml:space="preserve">Перечень полей документа «Сведения об операциях с целевыми средствами», закладки «Реквизиты (1)» приведен в таблице </w:t>
      </w:r>
      <w:r>
        <w:fldChar w:fldCharType="begin"/>
      </w:r>
      <w:r>
        <w:instrText xml:space="preserve"> REF _Ref505874634 \h </w:instrText>
      </w:r>
      <w:r>
        <w:fldChar w:fldCharType="separate"/>
      </w:r>
      <w:r>
        <w:t xml:space="preserve">106</w:t>
      </w:r>
      <w:r>
        <w:fldChar w:fldCharType="end"/>
      </w:r>
      <w:r>
        <w:t xml:space="preserve">.</w:t>
      </w:r>
      <w:r/>
    </w:p>
    <w:p>
      <w:pPr>
        <w:pStyle w:val="993"/>
      </w:pPr>
      <w:r>
        <w:fldChar w:fldCharType="begin"/>
      </w:r>
      <w:r>
        <w:instrText xml:space="preserve"> SEQ Таблица \* ARABIC </w:instrText>
      </w:r>
      <w:r>
        <w:fldChar w:fldCharType="separate"/>
      </w:r>
      <w:bookmarkStart w:id="1441" w:name="_Ref505874634"/>
      <w:r/>
      <w:bookmarkStart w:id="1442" w:name="_Toc88819292"/>
      <w:r>
        <w:t xml:space="preserve">106</w:t>
      </w:r>
      <w:bookmarkEnd w:id="1441"/>
      <w:r>
        <w:fldChar w:fldCharType="end"/>
      </w:r>
      <w:r>
        <w:t xml:space="preserve">. Описание полей документа «Сведения об операциях с целевыми средствами», закладки «Реквизиты (1)»</w:t>
      </w:r>
      <w:bookmarkEnd w:id="1442"/>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465"/>
        <w:gridCol w:w="7287"/>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26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36" w:type="pct"/>
            <w:vAlign w:val="center"/>
            <w:textDirection w:val="lrTb"/>
            <w:noWrap w:val="false"/>
          </w:tcPr>
          <w:p>
            <w:pPr>
              <w:pStyle w:val="1006"/>
            </w:pPr>
            <w:r>
              <w:t xml:space="preserve">Описание поля</w:t>
            </w:r>
            <w:r/>
          </w:p>
        </w:tc>
      </w:tr>
      <w:tr>
        <w:trPr/>
        <w:tc>
          <w:tcPr>
            <w:shd w:val="clear" w:fill="auto" w:color="auto"/>
            <w:tcW w:w="1264" w:type="pct"/>
            <w:textDirection w:val="lrTb"/>
            <w:noWrap w:val="false"/>
          </w:tcPr>
          <w:p>
            <w:pPr>
              <w:pStyle w:val="1005"/>
              <w:ind w:left="57" w:right="57"/>
            </w:pPr>
            <w:r>
              <w:t xml:space="preserve">Год</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Дата</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Дата представления предыдущих сведений</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ЮЛ</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П</w:t>
            </w:r>
            <w:r>
              <w:t xml:space="preserve">о Сводному реестру</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Лицевой счет клиента</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ИНН</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КПП</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Обособленное подразделение</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П</w:t>
            </w:r>
            <w:r>
              <w:t xml:space="preserve">о Сводному реестру</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Лицевой счет ОП</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КПП</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Бюджет</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Код бюджета</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ОКТМО </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ПБС/Заказчик/ЮЛ</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П</w:t>
            </w:r>
            <w:r>
              <w:t xml:space="preserve">о Сводному реестру</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Лицевой счет заказчика</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Глава по БК</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ТОФК</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КОФК</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Документ, обосновывающий обязательство</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Номер</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Дата</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Может указываться вручную или выбором из системного календаря.</w:t>
            </w:r>
            <w:r/>
          </w:p>
        </w:tc>
      </w:tr>
      <w:tr>
        <w:trPr/>
        <w:tc>
          <w:tcPr>
            <w:shd w:val="clear" w:fill="auto" w:color="auto"/>
            <w:tcW w:w="1264" w:type="pct"/>
            <w:textDirection w:val="lrTb"/>
            <w:noWrap w:val="false"/>
          </w:tcPr>
          <w:p>
            <w:pPr>
              <w:pStyle w:val="1005"/>
              <w:ind w:left="57" w:right="57"/>
            </w:pPr>
            <w:r>
              <w:t xml:space="preserve">ИГК</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АКРЛС клиента</w:t>
            </w:r>
            <w:r/>
          </w:p>
        </w:tc>
        <w:tc>
          <w:tcPr>
            <w:shd w:val="clear" w:fill="auto" w:color="auto"/>
            <w:tcW w:w="3736" w:type="pct"/>
            <w:textDirection w:val="lrTb"/>
            <w:noWrap w:val="false"/>
          </w:tcPr>
          <w:p>
            <w:pPr>
              <w:pStyle w:val="1005"/>
              <w:ind w:left="57" w:right="57"/>
            </w:pPr>
            <w:r>
              <w:t xml:space="preserve">Указывается аналитический код раздела юридического лица для л/с с кодом 71.</w:t>
            </w:r>
            <w:r/>
          </w:p>
          <w:p>
            <w:pPr>
              <w:pStyle w:val="1005"/>
              <w:ind w:left="57" w:right="57"/>
            </w:pPr>
            <w:r>
              <w:t xml:space="preserve">Поле для л/с с кодом 41 не заполняется.</w:t>
            </w:r>
            <w:r/>
          </w:p>
        </w:tc>
      </w:tr>
      <w:tr>
        <w:trPr/>
        <w:tc>
          <w:tcPr>
            <w:shd w:val="clear" w:fill="auto" w:color="auto"/>
            <w:tcW w:w="1264" w:type="pct"/>
            <w:textDirection w:val="lrTb"/>
            <w:noWrap w:val="false"/>
          </w:tcPr>
          <w:p>
            <w:pPr>
              <w:pStyle w:val="1005"/>
              <w:ind w:left="57" w:right="57"/>
            </w:pPr>
            <w:r>
              <w:t xml:space="preserve">АКРЛС ОП</w:t>
            </w:r>
            <w:r/>
          </w:p>
        </w:tc>
        <w:tc>
          <w:tcPr>
            <w:shd w:val="clear" w:fill="auto" w:color="auto"/>
            <w:tcW w:w="3736" w:type="pct"/>
            <w:textDirection w:val="lrTb"/>
            <w:noWrap w:val="false"/>
          </w:tcPr>
          <w:p>
            <w:pPr>
              <w:pStyle w:val="1005"/>
              <w:ind w:left="57" w:right="57"/>
            </w:pPr>
            <w:r>
              <w:t xml:space="preserve">Указывается аналитический код раздела обособленного подразделения для л/с с кодом 71.</w:t>
            </w:r>
            <w:r/>
          </w:p>
          <w:p>
            <w:pPr>
              <w:pStyle w:val="1005"/>
              <w:ind w:left="57" w:right="57"/>
            </w:pPr>
            <w:r>
              <w:t xml:space="preserve">Поле для л/с с кодом 41 не заполняется.</w:t>
            </w:r>
            <w:r/>
          </w:p>
        </w:tc>
      </w:tr>
      <w:tr>
        <w:trPr/>
        <w:tc>
          <w:tcPr>
            <w:shd w:val="clear" w:fill="auto" w:color="auto"/>
            <w:tcW w:w="1264" w:type="pct"/>
            <w:textDirection w:val="lrTb"/>
            <w:noWrap w:val="false"/>
          </w:tcPr>
          <w:p>
            <w:pPr>
              <w:pStyle w:val="1005"/>
              <w:ind w:left="57" w:right="57"/>
            </w:pPr>
            <w:r>
              <w:t xml:space="preserve">АКРЛС заказчика</w:t>
            </w:r>
            <w:r/>
          </w:p>
        </w:tc>
        <w:tc>
          <w:tcPr>
            <w:shd w:val="clear" w:fill="auto" w:color="auto"/>
            <w:tcW w:w="3736" w:type="pct"/>
            <w:textDirection w:val="lrTb"/>
            <w:noWrap w:val="false"/>
          </w:tcPr>
          <w:p>
            <w:pPr>
              <w:pStyle w:val="1005"/>
              <w:ind w:left="57" w:right="57"/>
            </w:pPr>
            <w:r>
              <w:t xml:space="preserve">Указывается аналитический код раздела заказчика </w:t>
            </w:r>
            <w:r>
              <w:t xml:space="preserve">–</w:t>
            </w:r>
            <w:r>
              <w:t xml:space="preserve"> юридического лица для л/с с кодом 71.</w:t>
            </w:r>
            <w:r/>
          </w:p>
          <w:p>
            <w:pPr>
              <w:pStyle w:val="1005"/>
              <w:ind w:left="57" w:right="57"/>
            </w:pPr>
            <w:r>
              <w:t xml:space="preserve">Поле для л/с с кодом 41 не заполняется.</w:t>
            </w:r>
            <w:r/>
          </w:p>
        </w:tc>
      </w:tr>
      <w:tr>
        <w:trPr/>
        <w:tc>
          <w:tcPr>
            <w:shd w:val="clear" w:fill="auto" w:color="auto"/>
            <w:tcW w:w="1264" w:type="pct"/>
            <w:textDirection w:val="lrTb"/>
            <w:noWrap w:val="false"/>
          </w:tcPr>
          <w:p>
            <w:pPr>
              <w:pStyle w:val="1005"/>
              <w:ind w:left="57" w:right="57"/>
            </w:pPr>
            <w:r>
              <w:t xml:space="preserve">Срок действия документа, обосновывающего обязательство с</w:t>
            </w:r>
            <w:r/>
          </w:p>
        </w:tc>
        <w:tc>
          <w:tcPr>
            <w:shd w:val="clear" w:fill="auto" w:color="auto"/>
            <w:tcW w:w="3736" w:type="pct"/>
            <w:textDirection w:val="lrTb"/>
            <w:noWrap w:val="false"/>
          </w:tcPr>
          <w:p>
            <w:pPr>
              <w:pStyle w:val="1005"/>
              <w:ind w:left="57" w:right="57"/>
            </w:pPr>
            <w:r>
              <w:t xml:space="preserve">Срок действия документа, обосновывающего обязательство с.</w:t>
            </w:r>
            <w:r/>
          </w:p>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Может указываться вручную или выбором из системного календаря.</w:t>
            </w:r>
            <w:r/>
          </w:p>
        </w:tc>
      </w:tr>
      <w:tr>
        <w:trPr/>
        <w:tc>
          <w:tcPr>
            <w:shd w:val="clear" w:fill="auto" w:color="auto"/>
            <w:tcW w:w="1264" w:type="pct"/>
            <w:textDirection w:val="lrTb"/>
            <w:noWrap w:val="false"/>
          </w:tcPr>
          <w:p>
            <w:pPr>
              <w:pStyle w:val="1005"/>
              <w:ind w:left="57" w:right="57"/>
            </w:pPr>
            <w:r>
              <w:t xml:space="preserve">П</w:t>
            </w:r>
            <w:r>
              <w:t xml:space="preserve">о</w:t>
            </w:r>
            <w:r/>
          </w:p>
        </w:tc>
        <w:tc>
          <w:tcPr>
            <w:shd w:val="clear" w:fill="auto" w:color="auto"/>
            <w:tcW w:w="3736" w:type="pct"/>
            <w:textDirection w:val="lrTb"/>
            <w:noWrap w:val="false"/>
          </w:tcPr>
          <w:p>
            <w:pPr>
              <w:pStyle w:val="1005"/>
              <w:ind w:left="57" w:right="57"/>
            </w:pPr>
            <w:r>
              <w:t xml:space="preserve">Срок действия документа, обосновывающего обязательство по.</w:t>
            </w:r>
            <w:r/>
          </w:p>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Может указываться вручную или выбором из системного календаря.</w:t>
            </w:r>
            <w:r/>
          </w:p>
        </w:tc>
      </w:tr>
      <w:tr>
        <w:trPr/>
        <w:tc>
          <w:tcPr>
            <w:shd w:val="clear" w:fill="auto" w:color="auto"/>
            <w:tcW w:w="1264" w:type="pct"/>
            <w:textDirection w:val="lrTb"/>
            <w:noWrap w:val="false"/>
          </w:tcPr>
          <w:p>
            <w:pPr>
              <w:pStyle w:val="1005"/>
              <w:ind w:left="57" w:right="57"/>
            </w:pPr>
            <w:r>
              <w:t xml:space="preserve">Сумма обязательства (всего), в том числе</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Сумма на текущий финансовый год</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Сумма на первый год планируемого периода</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Сумма на второй год планируемого периода</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264" w:type="pct"/>
            <w:textDirection w:val="lrTb"/>
            <w:noWrap w:val="false"/>
          </w:tcPr>
          <w:p>
            <w:pPr>
              <w:pStyle w:val="1005"/>
              <w:ind w:left="57" w:right="57"/>
            </w:pPr>
            <w:r>
              <w:t xml:space="preserve">Сумма на последующие годы</w:t>
            </w:r>
            <w:r/>
          </w:p>
        </w:tc>
        <w:tc>
          <w:tcPr>
            <w:shd w:val="clear" w:fill="auto" w:color="auto"/>
            <w:tcW w:w="3736"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bl>
    <w:p>
      <w:pPr>
        <w:pStyle w:val="994"/>
      </w:pPr>
      <w:r>
        <w:t xml:space="preserve">ЭФ документа «Сведения об операциях с целевыми средствами», закладки «</w:t>
      </w:r>
      <w:r>
        <w:t xml:space="preserve">Реквизиты расшифровки документа</w:t>
      </w:r>
      <w:r>
        <w:t xml:space="preserve"> (2)» представлена на рисунке </w:t>
      </w:r>
      <w:r>
        <w:fldChar w:fldCharType="begin"/>
      </w:r>
      <w:r>
        <w:instrText xml:space="preserve"> REF _Ref3798007 \h </w:instrText>
      </w:r>
      <w:r>
        <w:fldChar w:fldCharType="separate"/>
      </w:r>
      <w:r>
        <w:t xml:space="preserve">200</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5852160"/>
                <wp:effectExtent l="0" t="0" r="0" b="0"/>
                <wp:docPr id="29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70"/>
                        <a:stretch/>
                      </pic:blipFill>
                      <pic:spPr bwMode="auto">
                        <a:xfrm>
                          <a:off x="0" y="0"/>
                          <a:ext cx="6118860" cy="58521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8" o:spid="_x0000_s298" type="#_x0000_t75" style="mso-wrap-distance-left:0.0pt;mso-wrap-distance-top:0.0pt;mso-wrap-distance-right:0.0pt;mso-wrap-distance-bottom:0.0pt;width:481.8pt;height:460.8pt;" stroked="f">
                <v:path textboxrect="0,0,0,0"/>
                <v:imagedata r:id="rId270" o:title=""/>
              </v:shape>
            </w:pict>
          </mc:Fallback>
        </mc:AlternateContent>
      </w:r>
      <w:r/>
    </w:p>
    <w:p>
      <w:pPr>
        <w:pStyle w:val="983"/>
      </w:pPr>
      <w:r>
        <w:fldChar w:fldCharType="begin"/>
      </w:r>
      <w:r>
        <w:instrText xml:space="preserve"> SEQ Рисунок \* ARABIC </w:instrText>
      </w:r>
      <w:r>
        <w:fldChar w:fldCharType="separate"/>
      </w:r>
      <w:bookmarkStart w:id="1443" w:name="_Ref3798007"/>
      <w:r/>
      <w:bookmarkStart w:id="1444" w:name="_Toc88819585"/>
      <w:r>
        <w:t xml:space="preserve">200</w:t>
      </w:r>
      <w:bookmarkEnd w:id="1443"/>
      <w:r>
        <w:fldChar w:fldCharType="end"/>
      </w:r>
      <w:r>
        <w:t xml:space="preserve">. ЭФ документа «Сведения об операциях с целевыми средствами», закладки «</w:t>
      </w:r>
      <w:r>
        <w:t xml:space="preserve">Реквизиты расшифровки документа</w:t>
      </w:r>
      <w:r>
        <w:t xml:space="preserve"> (2)»</w:t>
      </w:r>
      <w:bookmarkEnd w:id="1444"/>
      <w:r/>
      <w:r/>
    </w:p>
    <w:p>
      <w:pPr>
        <w:pStyle w:val="994"/>
      </w:pPr>
      <w:r>
        <w:t xml:space="preserve">Перечень полей документа «Сведения об операциях с целевыми средствами», закладки «</w:t>
      </w:r>
      <w:r>
        <w:t xml:space="preserve">Реквизиты расшифровки документа</w:t>
      </w:r>
      <w:r>
        <w:t xml:space="preserve"> (2)», приведен в таблице </w:t>
      </w:r>
      <w:r>
        <w:fldChar w:fldCharType="begin"/>
      </w:r>
      <w:r>
        <w:instrText xml:space="preserve"> REF _Ref3798008 \h </w:instrText>
      </w:r>
      <w:r>
        <w:fldChar w:fldCharType="separate"/>
      </w:r>
      <w:r>
        <w:t xml:space="preserve">107</w:t>
      </w:r>
      <w:r>
        <w:fldChar w:fldCharType="end"/>
      </w:r>
      <w:r>
        <w:t xml:space="preserve">.</w:t>
      </w:r>
      <w:r/>
    </w:p>
    <w:p>
      <w:pPr>
        <w:pStyle w:val="993"/>
      </w:pPr>
      <w:r>
        <w:fldChar w:fldCharType="begin"/>
      </w:r>
      <w:r>
        <w:instrText xml:space="preserve"> SEQ Таблица \* ARABIC </w:instrText>
      </w:r>
      <w:r>
        <w:fldChar w:fldCharType="separate"/>
      </w:r>
      <w:bookmarkStart w:id="1445" w:name="_Ref3798008"/>
      <w:r/>
      <w:bookmarkStart w:id="1446" w:name="_Toc88819293"/>
      <w:r>
        <w:t xml:space="preserve">107</w:t>
      </w:r>
      <w:bookmarkEnd w:id="1445"/>
      <w:r>
        <w:fldChar w:fldCharType="end"/>
      </w:r>
      <w:r>
        <w:t xml:space="preserve">. Описание полей документа «Сведения об операциях с целевыми средствами», закладки «</w:t>
      </w:r>
      <w:r>
        <w:t xml:space="preserve">Реквизиты расшифровки документа</w:t>
      </w:r>
      <w:r>
        <w:t xml:space="preserve"> (2)»</w:t>
      </w:r>
      <w:bookmarkEnd w:id="1446"/>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177"/>
        <w:gridCol w:w="6575"/>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629"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371"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«Строки»</w:t>
            </w:r>
            <w:r/>
          </w:p>
          <w:p>
            <w:pPr>
              <w:pStyle w:val="1005"/>
              <w:ind w:left="57" w:right="57"/>
            </w:pPr>
            <w:r>
              <w:t xml:space="preserve">(Таблица 1. «Основная таблица»)</w:t>
            </w:r>
            <w:r/>
          </w:p>
        </w:tc>
      </w:tr>
      <w:tr>
        <w:trPr/>
        <w:tc>
          <w:tcPr>
            <w:shd w:val="clear" w:fill="auto" w:color="auto"/>
            <w:tcW w:w="1629" w:type="pct"/>
            <w:textDirection w:val="lrTb"/>
            <w:noWrap w:val="false"/>
          </w:tcPr>
          <w:p>
            <w:pPr>
              <w:pStyle w:val="1005"/>
              <w:ind w:left="57" w:right="57"/>
            </w:pPr>
            <w:r>
              <w:t xml:space="preserve">№ п/п</w:t>
            </w:r>
            <w:r/>
          </w:p>
        </w:tc>
        <w:tc>
          <w:tcPr>
            <w:shd w:val="clear" w:fill="auto" w:color="auto"/>
            <w:tcW w:w="3371" w:type="pct"/>
            <w:textDirection w:val="lrTb"/>
            <w:noWrap w:val="false"/>
          </w:tcPr>
          <w:p>
            <w:pPr>
              <w:pStyle w:val="1005"/>
              <w:ind w:left="57" w:right="57"/>
            </w:pPr>
            <w:r>
              <w:t xml:space="preserve">Значение поля не доступно для ввода вручную, рассчитывается и заполняется автоматически при добавлении строки в таблицу1.</w:t>
            </w:r>
            <w:r/>
          </w:p>
          <w:p>
            <w:pPr>
              <w:pStyle w:val="1005"/>
              <w:ind w:left="57" w:right="57"/>
            </w:pPr>
            <w:r>
              <w:t xml:space="preserve">Возможные значения от 1 до 999.</w:t>
            </w:r>
            <w:r/>
          </w:p>
        </w:tc>
      </w:tr>
      <w:tr>
        <w:trPr/>
        <w:tc>
          <w:tcPr>
            <w:shd w:val="clear" w:fill="auto" w:color="auto"/>
            <w:tcW w:w="1629" w:type="pct"/>
            <w:textDirection w:val="lrTb"/>
            <w:noWrap w:val="false"/>
          </w:tcPr>
          <w:p>
            <w:pPr>
              <w:pStyle w:val="1005"/>
              <w:ind w:left="57" w:right="57"/>
            </w:pPr>
            <w:r>
              <w:t xml:space="preserve">Аналитический код поступлений/выплат</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629" w:type="pct"/>
            <w:textDirection w:val="lrTb"/>
            <w:noWrap w:val="false"/>
          </w:tcPr>
          <w:p>
            <w:pPr>
              <w:pStyle w:val="1005"/>
              <w:ind w:left="57" w:right="57"/>
            </w:pPr>
            <w:r>
              <w:t xml:space="preserve">Наименование ЦС</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629" w:type="pct"/>
            <w:textDirection w:val="lrTb"/>
            <w:noWrap w:val="false"/>
          </w:tcPr>
          <w:p>
            <w:pPr>
              <w:pStyle w:val="1005"/>
              <w:ind w:left="57" w:right="57"/>
            </w:pPr>
            <w:r>
              <w:t xml:space="preserve">ФАИП</w:t>
            </w:r>
            <w:r>
              <w:t xml:space="preserve">/ОКС</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629" w:type="pct"/>
            <w:textDirection w:val="lrTb"/>
            <w:noWrap w:val="false"/>
          </w:tcPr>
          <w:p>
            <w:pPr>
              <w:pStyle w:val="1005"/>
              <w:ind w:left="57" w:right="57"/>
            </w:pPr>
            <w:r>
              <w:t xml:space="preserve">Разрешенный к использованию остаток ЦС</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629" w:type="pct"/>
            <w:textDirection w:val="lrTb"/>
            <w:noWrap w:val="false"/>
          </w:tcPr>
          <w:p>
            <w:pPr>
              <w:pStyle w:val="1005"/>
              <w:ind w:left="57" w:right="57"/>
            </w:pPr>
            <w:r>
              <w:t xml:space="preserve">Сумма возврата ДЗ, разрешенная к использованию</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629" w:type="pct"/>
            <w:textDirection w:val="lrTb"/>
            <w:noWrap w:val="false"/>
          </w:tcPr>
          <w:p>
            <w:pPr>
              <w:pStyle w:val="1005"/>
              <w:ind w:left="57" w:right="57"/>
            </w:pPr>
            <w:r>
              <w:t xml:space="preserve">Поступления</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629" w:type="pct"/>
            <w:textDirection w:val="lrTb"/>
            <w:noWrap w:val="false"/>
          </w:tcPr>
          <w:p>
            <w:pPr>
              <w:pStyle w:val="1005"/>
              <w:ind w:left="57" w:right="57"/>
            </w:pPr>
            <w:r>
              <w:t xml:space="preserve">Поступления</w:t>
            </w:r>
            <w:r>
              <w:t xml:space="preserve">, всего</w:t>
            </w:r>
            <w:r/>
          </w:p>
        </w:tc>
        <w:tc>
          <w:tcPr>
            <w:shd w:val="clear" w:fill="auto" w:color="auto"/>
            <w:tcW w:w="3371" w:type="pct"/>
            <w:textDirection w:val="lrTb"/>
            <w:noWrap w:val="false"/>
          </w:tcPr>
          <w:p>
            <w:pPr>
              <w:pStyle w:val="1005"/>
              <w:ind w:left="57" w:right="57"/>
            </w:pPr>
            <w:r>
              <w:t xml:space="preserve">При создании на АРМ заполняется автоматически значением, равным сумме полей с пост-префиксом «Поступления»: «Текущий финансовый год», «Первый год планируемого периода», «Второй год планируемого периода», «Последующие годы».</w:t>
            </w:r>
            <w:r/>
          </w:p>
        </w:tc>
      </w:tr>
      <w:tr>
        <w:trPr/>
        <w:tc>
          <w:tcPr>
            <w:shd w:val="clear" w:fill="auto" w:color="auto"/>
            <w:tcW w:w="1629" w:type="pct"/>
            <w:textDirection w:val="lrTb"/>
            <w:noWrap w:val="false"/>
          </w:tcPr>
          <w:p>
            <w:pPr>
              <w:pStyle w:val="1005"/>
              <w:ind w:left="57" w:right="57"/>
            </w:pPr>
            <w:r>
              <w:t xml:space="preserve">Текущий финансовый год (Поступления)</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629" w:type="pct"/>
            <w:textDirection w:val="lrTb"/>
            <w:noWrap w:val="false"/>
          </w:tcPr>
          <w:p>
            <w:pPr>
              <w:pStyle w:val="1005"/>
              <w:ind w:left="57" w:right="57"/>
            </w:pPr>
            <w:r>
              <w:t xml:space="preserve">Первый год планируемого периода (Поступления)</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629" w:type="pct"/>
            <w:textDirection w:val="lrTb"/>
            <w:noWrap w:val="false"/>
          </w:tcPr>
          <w:p>
            <w:pPr>
              <w:pStyle w:val="1005"/>
              <w:ind w:left="57" w:right="57"/>
            </w:pPr>
            <w:r>
              <w:t xml:space="preserve">Второй год планируемого периода (Поступления)</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629" w:type="pct"/>
            <w:textDirection w:val="lrTb"/>
            <w:noWrap w:val="false"/>
          </w:tcPr>
          <w:p>
            <w:pPr>
              <w:pStyle w:val="1005"/>
              <w:ind w:left="57" w:right="57"/>
            </w:pPr>
            <w:r>
              <w:t xml:space="preserve">Последующие годы (Поступления)</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629" w:type="pct"/>
            <w:textDirection w:val="lrTb"/>
            <w:noWrap w:val="false"/>
          </w:tcPr>
          <w:p>
            <w:pPr>
              <w:pStyle w:val="1005"/>
              <w:ind w:left="57" w:right="57"/>
            </w:pPr>
            <w:r>
              <w:t xml:space="preserve">Итого к использованию</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tc>
      </w:tr>
      <w:tr>
        <w:trPr/>
        <w:tc>
          <w:tcPr>
            <w:shd w:val="clear" w:fill="auto" w:color="auto"/>
            <w:tcW w:w="1629" w:type="pct"/>
            <w:textDirection w:val="lrTb"/>
            <w:noWrap w:val="false"/>
          </w:tcPr>
          <w:p>
            <w:pPr>
              <w:pStyle w:val="1005"/>
              <w:ind w:left="57" w:right="57"/>
            </w:pPr>
            <w:r>
              <w:t xml:space="preserve">Итого к использованию, всего</w:t>
            </w:r>
            <w:r/>
          </w:p>
        </w:tc>
        <w:tc>
          <w:tcPr>
            <w:shd w:val="clear" w:fill="auto" w:color="auto"/>
            <w:tcW w:w="3371" w:type="pct"/>
            <w:textDirection w:val="lrTb"/>
            <w:noWrap w:val="false"/>
          </w:tcPr>
          <w:p>
            <w:pPr>
              <w:pStyle w:val="1005"/>
              <w:ind w:left="57" w:right="57"/>
            </w:pPr>
            <w:r>
              <w:t xml:space="preserve">При создании на АРМ заполняется автоматически значением, равным сумме полей с пост-префиксом «Итого к использованию»: «Текущий финансовый год», «Первый год планируемого периода», «Второй год планируемого периода», «Последующие годы».</w:t>
            </w:r>
            <w:r/>
          </w:p>
        </w:tc>
      </w:tr>
      <w:tr>
        <w:trPr/>
        <w:tc>
          <w:tcPr>
            <w:shd w:val="clear" w:fill="auto" w:color="auto"/>
            <w:tcW w:w="1629" w:type="pct"/>
            <w:textDirection w:val="lrTb"/>
            <w:noWrap w:val="false"/>
          </w:tcPr>
          <w:p>
            <w:pPr>
              <w:pStyle w:val="1005"/>
              <w:ind w:left="57" w:right="57"/>
            </w:pPr>
            <w:r>
              <w:t xml:space="preserve">Текущий финансовый год (Итого к использованию)</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При создании на АРМ заполняется автоматически значением, равным сумме полей: «Разрешенный к использованию остаток ЦС», «Сумма возврата ДЗ, разрешенная к использованию», «Текущий финансовый год (Поступления)».</w:t>
            </w:r>
            <w:r/>
          </w:p>
          <w:p>
            <w:pPr>
              <w:pStyle w:val="1005"/>
              <w:ind w:left="57" w:right="57"/>
            </w:pPr>
            <w:r>
              <w:t xml:space="preserve">Значение может указываться вручную.</w:t>
            </w:r>
            <w:r/>
          </w:p>
        </w:tc>
      </w:tr>
      <w:tr>
        <w:trPr/>
        <w:tc>
          <w:tcPr>
            <w:shd w:val="clear" w:fill="auto" w:color="auto"/>
            <w:tcW w:w="1629" w:type="pct"/>
            <w:textDirection w:val="lrTb"/>
            <w:noWrap w:val="false"/>
          </w:tcPr>
          <w:p>
            <w:pPr>
              <w:pStyle w:val="1005"/>
              <w:ind w:left="57" w:right="57"/>
            </w:pPr>
            <w:r>
              <w:t xml:space="preserve">Первый год планируемого периода (Итого к использованию)</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629" w:type="pct"/>
            <w:textDirection w:val="lrTb"/>
            <w:noWrap w:val="false"/>
          </w:tcPr>
          <w:p>
            <w:pPr>
              <w:pStyle w:val="1005"/>
              <w:ind w:left="57" w:right="57"/>
            </w:pPr>
            <w:r>
              <w:t xml:space="preserve">Второй год планируемого периода (Итого к использованию)</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629" w:type="pct"/>
            <w:textDirection w:val="lrTb"/>
            <w:noWrap w:val="false"/>
          </w:tcPr>
          <w:p>
            <w:pPr>
              <w:pStyle w:val="1005"/>
              <w:ind w:left="57" w:right="57"/>
            </w:pPr>
            <w:r>
              <w:t xml:space="preserve">Последующие годы (Итого к использованию)</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629" w:type="pct"/>
            <w:textDirection w:val="lrTb"/>
            <w:noWrap w:val="false"/>
          </w:tcPr>
          <w:p>
            <w:pPr>
              <w:pStyle w:val="1005"/>
              <w:ind w:left="57" w:right="57"/>
            </w:pPr>
            <w:r>
              <w:t xml:space="preserve">Выплаты</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tc>
      </w:tr>
      <w:tr>
        <w:trPr/>
        <w:tc>
          <w:tcPr>
            <w:shd w:val="clear" w:fill="auto" w:color="auto"/>
            <w:tcW w:w="1629" w:type="pct"/>
            <w:textDirection w:val="lrTb"/>
            <w:noWrap w:val="false"/>
          </w:tcPr>
          <w:p>
            <w:pPr>
              <w:pStyle w:val="1005"/>
              <w:ind w:left="57" w:right="57"/>
            </w:pPr>
            <w:r>
              <w:t xml:space="preserve">Выплаты, всего</w:t>
            </w:r>
            <w:r/>
          </w:p>
        </w:tc>
        <w:tc>
          <w:tcPr>
            <w:shd w:val="clear" w:fill="auto" w:color="auto"/>
            <w:tcW w:w="3371" w:type="pct"/>
            <w:textDirection w:val="lrTb"/>
            <w:noWrap w:val="false"/>
          </w:tcPr>
          <w:p>
            <w:pPr>
              <w:pStyle w:val="1005"/>
              <w:ind w:left="57" w:right="57"/>
            </w:pPr>
            <w:r>
              <w:t xml:space="preserve">При создании на АРМ заполняется автоматически значением, равным сумме полей с пост-префиксом «Выплаты»: «Текущий финансовый год», «Первый год планируемого периода», «Второй год планируемого периода», «Последующие годы».</w:t>
            </w:r>
            <w:r/>
          </w:p>
        </w:tc>
      </w:tr>
      <w:tr>
        <w:trPr/>
        <w:tc>
          <w:tcPr>
            <w:shd w:val="clear" w:fill="auto" w:color="auto"/>
            <w:tcW w:w="1629" w:type="pct"/>
            <w:textDirection w:val="lrTb"/>
            <w:noWrap w:val="false"/>
          </w:tcPr>
          <w:p>
            <w:pPr>
              <w:pStyle w:val="1005"/>
              <w:ind w:left="57" w:right="57"/>
            </w:pPr>
            <w:r>
              <w:t xml:space="preserve">Текущий финансовый год (Выплаты)</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629" w:type="pct"/>
            <w:textDirection w:val="lrTb"/>
            <w:noWrap w:val="false"/>
          </w:tcPr>
          <w:p>
            <w:pPr>
              <w:pStyle w:val="1005"/>
              <w:ind w:left="57" w:right="57"/>
            </w:pPr>
            <w:r>
              <w:t xml:space="preserve">Первый год планируемого периода (Выплаты)</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629" w:type="pct"/>
            <w:textDirection w:val="lrTb"/>
            <w:noWrap w:val="false"/>
          </w:tcPr>
          <w:p>
            <w:pPr>
              <w:pStyle w:val="1005"/>
              <w:ind w:left="57" w:right="57"/>
            </w:pPr>
            <w:r>
              <w:t xml:space="preserve">Второй год планируемого периода (Выплаты)</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629" w:type="pct"/>
            <w:textDirection w:val="lrTb"/>
            <w:noWrap w:val="false"/>
          </w:tcPr>
          <w:p>
            <w:pPr>
              <w:pStyle w:val="1005"/>
              <w:ind w:left="57" w:right="57"/>
            </w:pPr>
            <w:r>
              <w:t xml:space="preserve">Последующие годы (Выплаты)</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gridSpan w:val="2"/>
            <w:shd w:val="clear" w:fill="auto" w:color="auto"/>
            <w:tcW w:w="5000" w:type="pct"/>
            <w:textDirection w:val="lrTb"/>
            <w:noWrap w:val="false"/>
          </w:tcPr>
          <w:p>
            <w:pPr>
              <w:pStyle w:val="1005"/>
              <w:ind w:left="57" w:right="57"/>
            </w:pPr>
            <w:r>
              <w:t xml:space="preserve">Группа полей «Строки»</w:t>
            </w:r>
            <w:r/>
          </w:p>
          <w:p>
            <w:pPr>
              <w:pStyle w:val="1005"/>
              <w:ind w:left="57" w:right="57"/>
            </w:pPr>
            <w:r>
              <w:t xml:space="preserve">(Таблица 2. «Итоговые суммы показателей в разрезе ИГК»)</w:t>
            </w:r>
            <w:r/>
          </w:p>
        </w:tc>
      </w:tr>
      <w:tr>
        <w:trPr/>
        <w:tc>
          <w:tcPr>
            <w:shd w:val="clear" w:fill="auto" w:color="auto"/>
            <w:tcW w:w="1629" w:type="pct"/>
            <w:textDirection w:val="lrTb"/>
            <w:noWrap w:val="false"/>
          </w:tcPr>
          <w:p>
            <w:pPr>
              <w:pStyle w:val="1005"/>
              <w:ind w:left="57" w:right="57"/>
            </w:pPr>
            <w:r>
              <w:t xml:space="preserve">№ п/п</w:t>
            </w:r>
            <w:r/>
          </w:p>
        </w:tc>
        <w:tc>
          <w:tcPr>
            <w:shd w:val="clear" w:fill="auto" w:color="auto"/>
            <w:tcW w:w="3371" w:type="pct"/>
            <w:textDirection w:val="lrTb"/>
            <w:noWrap w:val="false"/>
          </w:tcPr>
          <w:p>
            <w:pPr>
              <w:pStyle w:val="1005"/>
              <w:ind w:left="57" w:right="57"/>
            </w:pPr>
            <w:r>
              <w:t xml:space="preserve">Значение поля не доступно для ввода вручную, рассчитывается и заполняется автоматически при добавлении строки в таблицу1.</w:t>
            </w:r>
            <w:r/>
          </w:p>
          <w:p>
            <w:pPr>
              <w:pStyle w:val="1005"/>
              <w:ind w:left="57" w:right="57"/>
            </w:pPr>
            <w:r>
              <w:t xml:space="preserve">Возможные значения от 1 до 999.</w:t>
            </w:r>
            <w:r/>
          </w:p>
        </w:tc>
      </w:tr>
      <w:tr>
        <w:trPr/>
        <w:tc>
          <w:tcPr>
            <w:shd w:val="clear" w:fill="auto" w:color="auto"/>
            <w:tcW w:w="1629" w:type="pct"/>
            <w:textDirection w:val="lrTb"/>
            <w:noWrap w:val="false"/>
          </w:tcPr>
          <w:p>
            <w:pPr>
              <w:pStyle w:val="1005"/>
              <w:ind w:left="57" w:right="57"/>
            </w:pPr>
            <w:r>
              <w:t xml:space="preserve">Разрешенный к использованию остаток ЦС</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Заполняется автоматически результатом суммирования значений одноимённого поля Сумма таблицы 1 в разрезе уникальности ИГК.</w:t>
            </w:r>
            <w:r/>
          </w:p>
        </w:tc>
      </w:tr>
      <w:tr>
        <w:trPr/>
        <w:tc>
          <w:tcPr>
            <w:shd w:val="clear" w:fill="auto" w:color="auto"/>
            <w:tcW w:w="1629" w:type="pct"/>
            <w:textDirection w:val="lrTb"/>
            <w:noWrap w:val="false"/>
          </w:tcPr>
          <w:p>
            <w:pPr>
              <w:pStyle w:val="1005"/>
              <w:ind w:left="57" w:right="57"/>
            </w:pPr>
            <w:r>
              <w:t xml:space="preserve">Сумма возврата ДЗ, разрешенная к использованию</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Заполняется автоматически результатом суммирования значений одноимённого поля Сумма таблицы 1 в разрезе уникальности ИГК.</w:t>
            </w:r>
            <w:r/>
          </w:p>
        </w:tc>
      </w:tr>
      <w:tr>
        <w:trPr/>
        <w:tc>
          <w:tcPr>
            <w:shd w:val="clear" w:fill="auto" w:color="auto"/>
            <w:tcW w:w="1629" w:type="pct"/>
            <w:textDirection w:val="lrTb"/>
            <w:noWrap w:val="false"/>
          </w:tcPr>
          <w:p>
            <w:pPr>
              <w:pStyle w:val="1005"/>
              <w:ind w:left="57" w:right="57"/>
            </w:pPr>
            <w:r>
              <w:t xml:space="preserve">Поступления</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Заполняется автоматически результатом суммирования значений одноимённого поля Сумма таблицы 1 в разрезе уникальности ИГК.</w:t>
            </w:r>
            <w:r/>
          </w:p>
        </w:tc>
      </w:tr>
      <w:tr>
        <w:trPr/>
        <w:tc>
          <w:tcPr>
            <w:shd w:val="clear" w:fill="auto" w:color="auto"/>
            <w:tcW w:w="1629" w:type="pct"/>
            <w:textDirection w:val="lrTb"/>
            <w:noWrap w:val="false"/>
          </w:tcPr>
          <w:p>
            <w:pPr>
              <w:pStyle w:val="1005"/>
              <w:ind w:left="57" w:right="57"/>
            </w:pPr>
            <w:r>
              <w:t xml:space="preserve">Итого к использованию</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Заполняется автоматически результатом суммирования значений одноимённого поля Сумма таблицы 1 в разрезе уникальности ИГК.</w:t>
            </w:r>
            <w:r/>
          </w:p>
        </w:tc>
      </w:tr>
      <w:tr>
        <w:trPr/>
        <w:tc>
          <w:tcPr>
            <w:shd w:val="clear" w:fill="auto" w:color="auto"/>
            <w:tcW w:w="1629" w:type="pct"/>
            <w:textDirection w:val="lrTb"/>
            <w:noWrap w:val="false"/>
          </w:tcPr>
          <w:p>
            <w:pPr>
              <w:pStyle w:val="1005"/>
              <w:ind w:left="57" w:right="57"/>
            </w:pPr>
            <w:r>
              <w:t xml:space="preserve">Выплаты</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Заполняется автоматически результатом суммирования значений одноимённого поля Сумма таблицы 1 в разрезе уникальности ИГК.</w:t>
            </w:r>
            <w:r/>
          </w:p>
        </w:tc>
      </w:tr>
      <w:tr>
        <w:trPr/>
        <w:tc>
          <w:tcPr>
            <w:gridSpan w:val="2"/>
            <w:shd w:val="clear" w:fill="auto" w:color="auto"/>
            <w:tcW w:w="5000" w:type="pct"/>
            <w:textDirection w:val="lrTb"/>
            <w:noWrap w:val="false"/>
          </w:tcPr>
          <w:p>
            <w:pPr>
              <w:pStyle w:val="1005"/>
              <w:ind w:left="57" w:right="57"/>
            </w:pPr>
            <w:r>
              <w:t xml:space="preserve">Группа полей «Всего по суммовым показателям»</w:t>
            </w:r>
            <w:r/>
          </w:p>
        </w:tc>
      </w:tr>
      <w:tr>
        <w:trPr/>
        <w:tc>
          <w:tcPr>
            <w:shd w:val="clear" w:fill="auto" w:color="auto"/>
            <w:tcW w:w="1629" w:type="pct"/>
            <w:textDirection w:val="lrTb"/>
            <w:noWrap w:val="false"/>
          </w:tcPr>
          <w:p>
            <w:pPr>
              <w:pStyle w:val="1005"/>
              <w:ind w:left="57" w:right="57"/>
            </w:pPr>
            <w:r>
              <w:t xml:space="preserve">Разрешенный к использованию остаток ЦС</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Заполняется автоматически результатом суммирования значений </w:t>
            </w:r>
            <w:r>
              <w:t xml:space="preserve">одноимённого поля Сумма таблицы 2.</w:t>
            </w:r>
            <w:r/>
          </w:p>
        </w:tc>
      </w:tr>
      <w:tr>
        <w:trPr/>
        <w:tc>
          <w:tcPr>
            <w:shd w:val="clear" w:fill="auto" w:color="auto"/>
            <w:tcW w:w="1629" w:type="pct"/>
            <w:textDirection w:val="lrTb"/>
            <w:noWrap w:val="false"/>
          </w:tcPr>
          <w:p>
            <w:pPr>
              <w:pStyle w:val="1005"/>
              <w:ind w:left="57" w:right="57"/>
            </w:pPr>
            <w:r>
              <w:t xml:space="preserve">Сумма возврата ДЗ, разрешенная к использованию</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Заполняется автоматически результатом суммирования значений одноимённого поля Сумма таблицы 2.</w:t>
            </w:r>
            <w:r/>
          </w:p>
        </w:tc>
      </w:tr>
      <w:tr>
        <w:trPr/>
        <w:tc>
          <w:tcPr>
            <w:shd w:val="clear" w:fill="auto" w:color="auto"/>
            <w:tcW w:w="1629" w:type="pct"/>
            <w:textDirection w:val="lrTb"/>
            <w:noWrap w:val="false"/>
          </w:tcPr>
          <w:p>
            <w:pPr>
              <w:pStyle w:val="1005"/>
              <w:ind w:left="57" w:right="57"/>
            </w:pPr>
            <w:r>
              <w:t xml:space="preserve">Поступления</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Заполняется автоматически результатом суммирования значений одноимённого поля Сумма таблицы 2.</w:t>
            </w:r>
            <w:r/>
          </w:p>
        </w:tc>
      </w:tr>
      <w:tr>
        <w:trPr/>
        <w:tc>
          <w:tcPr>
            <w:shd w:val="clear" w:fill="auto" w:color="auto"/>
            <w:tcW w:w="1629" w:type="pct"/>
            <w:textDirection w:val="lrTb"/>
            <w:noWrap w:val="false"/>
          </w:tcPr>
          <w:p>
            <w:pPr>
              <w:pStyle w:val="1005"/>
              <w:ind w:left="57" w:right="57"/>
            </w:pPr>
            <w:r>
              <w:t xml:space="preserve">Итого к использованию</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Заполняется автоматически результатом суммирования значений одноимённого поля Сумма таблицы 2.</w:t>
            </w:r>
            <w:r/>
          </w:p>
        </w:tc>
      </w:tr>
      <w:tr>
        <w:trPr/>
        <w:tc>
          <w:tcPr>
            <w:shd w:val="clear" w:fill="auto" w:color="auto"/>
            <w:tcW w:w="1629" w:type="pct"/>
            <w:textDirection w:val="lrTb"/>
            <w:noWrap w:val="false"/>
          </w:tcPr>
          <w:p>
            <w:pPr>
              <w:pStyle w:val="1005"/>
              <w:ind w:left="57" w:right="57"/>
            </w:pPr>
            <w:r>
              <w:t xml:space="preserve">Выплаты</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Заполняется автоматически результатом суммирования значений одноимённого поля Сумма таблицы 2.</w:t>
            </w:r>
            <w:r/>
          </w:p>
        </w:tc>
      </w:tr>
      <w:tr>
        <w:trPr/>
        <w:tc>
          <w:tcPr>
            <w:shd w:val="clear" w:fill="auto" w:color="auto"/>
            <w:tcW w:w="1629" w:type="pct"/>
            <w:textDirection w:val="lrTb"/>
            <w:noWrap w:val="false"/>
          </w:tcPr>
          <w:p>
            <w:pPr>
              <w:pStyle w:val="1005"/>
              <w:ind w:left="57" w:right="57"/>
            </w:pPr>
            <w:r>
              <w:t xml:space="preserve">Поступления, Всего</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Заполняется автоматически результатом суммирования значений одноимённого поля Сумма таблицы 3.</w:t>
            </w:r>
            <w:r/>
          </w:p>
        </w:tc>
      </w:tr>
      <w:tr>
        <w:trPr/>
        <w:tc>
          <w:tcPr>
            <w:shd w:val="clear" w:fill="auto" w:color="auto"/>
            <w:tcW w:w="1629" w:type="pct"/>
            <w:textDirection w:val="lrTb"/>
            <w:noWrap w:val="false"/>
          </w:tcPr>
          <w:p>
            <w:pPr>
              <w:pStyle w:val="1005"/>
              <w:ind w:left="57" w:right="57"/>
            </w:pPr>
            <w:r>
              <w:t xml:space="preserve">Текущий финансовый год (Поступления)</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tc>
      </w:tr>
      <w:tr>
        <w:trPr/>
        <w:tc>
          <w:tcPr>
            <w:shd w:val="clear" w:fill="auto" w:color="auto"/>
            <w:tcW w:w="1629" w:type="pct"/>
            <w:textDirection w:val="lrTb"/>
            <w:noWrap w:val="false"/>
          </w:tcPr>
          <w:p>
            <w:pPr>
              <w:pStyle w:val="1005"/>
              <w:ind w:left="57" w:right="57"/>
            </w:pPr>
            <w:r>
              <w:t xml:space="preserve">Первый год планируемого периода (Поступления)</w:t>
            </w:r>
            <w:r/>
          </w:p>
        </w:tc>
        <w:tc>
          <w:tcPr>
            <w:shd w:val="clear" w:fill="auto" w:color="auto"/>
            <w:tcW w:w="3371" w:type="pct"/>
            <w:textDirection w:val="lrTb"/>
            <w:noWrap w:val="false"/>
          </w:tcPr>
          <w:p>
            <w:pPr>
              <w:pStyle w:val="1005"/>
              <w:ind w:left="57" w:right="57"/>
            </w:pPr>
            <w:r>
              <w:t xml:space="preserve">Заполняется автоматически результатом суммирования значений одноимённого поля Сумма таблицы 3.</w:t>
            </w:r>
            <w:r/>
          </w:p>
        </w:tc>
      </w:tr>
      <w:tr>
        <w:trPr/>
        <w:tc>
          <w:tcPr>
            <w:shd w:val="clear" w:fill="auto" w:color="auto"/>
            <w:tcW w:w="1629" w:type="pct"/>
            <w:textDirection w:val="lrTb"/>
            <w:noWrap w:val="false"/>
          </w:tcPr>
          <w:p>
            <w:pPr>
              <w:pStyle w:val="1005"/>
              <w:ind w:left="57" w:right="57"/>
            </w:pPr>
            <w:r>
              <w:t xml:space="preserve">Второй год планируемого периода</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tc>
      </w:tr>
      <w:tr>
        <w:trPr/>
        <w:tc>
          <w:tcPr>
            <w:shd w:val="clear" w:fill="auto" w:color="auto"/>
            <w:tcW w:w="1629" w:type="pct"/>
            <w:textDirection w:val="lrTb"/>
            <w:noWrap w:val="false"/>
          </w:tcPr>
          <w:p>
            <w:pPr>
              <w:pStyle w:val="1005"/>
              <w:ind w:left="57" w:right="57"/>
            </w:pPr>
            <w:r>
              <w:t xml:space="preserve">Последующие годы (Поступления)</w:t>
            </w:r>
            <w:r/>
          </w:p>
        </w:tc>
        <w:tc>
          <w:tcPr>
            <w:shd w:val="clear" w:fill="auto" w:color="auto"/>
            <w:tcW w:w="3371" w:type="pct"/>
            <w:textDirection w:val="lrTb"/>
            <w:noWrap w:val="false"/>
          </w:tcPr>
          <w:p>
            <w:pPr>
              <w:pStyle w:val="1005"/>
              <w:ind w:left="57" w:right="57"/>
            </w:pPr>
            <w:r>
              <w:t xml:space="preserve">Заполняется автоматически результатом суммирования значений одноимённого поля Сумма таблицы 3.</w:t>
            </w:r>
            <w:r/>
          </w:p>
        </w:tc>
      </w:tr>
      <w:tr>
        <w:trPr/>
        <w:tc>
          <w:tcPr>
            <w:shd w:val="clear" w:fill="auto" w:color="auto"/>
            <w:tcW w:w="1629" w:type="pct"/>
            <w:textDirection w:val="lrTb"/>
            <w:noWrap w:val="false"/>
          </w:tcPr>
          <w:p>
            <w:pPr>
              <w:pStyle w:val="1005"/>
              <w:ind w:left="57" w:right="57"/>
            </w:pPr>
            <w:r>
              <w:t xml:space="preserve">Итого к использованию, Всего</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tc>
      </w:tr>
      <w:tr>
        <w:trPr/>
        <w:tc>
          <w:tcPr>
            <w:shd w:val="clear" w:fill="auto" w:color="auto"/>
            <w:tcW w:w="1629" w:type="pct"/>
            <w:textDirection w:val="lrTb"/>
            <w:noWrap w:val="false"/>
          </w:tcPr>
          <w:p>
            <w:pPr>
              <w:pStyle w:val="1005"/>
              <w:ind w:left="57" w:right="57"/>
            </w:pPr>
            <w:r>
              <w:t xml:space="preserve">Текущий финансовый год (Итого к использованию)</w:t>
            </w:r>
            <w:r/>
          </w:p>
        </w:tc>
        <w:tc>
          <w:tcPr>
            <w:shd w:val="clear" w:fill="auto" w:color="auto"/>
            <w:tcW w:w="3371" w:type="pct"/>
            <w:textDirection w:val="lrTb"/>
            <w:noWrap w:val="false"/>
          </w:tcPr>
          <w:p>
            <w:pPr>
              <w:pStyle w:val="1005"/>
              <w:ind w:left="57" w:right="57"/>
            </w:pPr>
            <w:r>
              <w:t xml:space="preserve">Заполняется автоматически результатом суммирования значений одноимённого поля Сумма таблицы 3.</w:t>
            </w:r>
            <w:r/>
          </w:p>
        </w:tc>
      </w:tr>
      <w:tr>
        <w:trPr/>
        <w:tc>
          <w:tcPr>
            <w:shd w:val="clear" w:fill="auto" w:color="auto"/>
            <w:tcW w:w="1629" w:type="pct"/>
            <w:textDirection w:val="lrTb"/>
            <w:noWrap w:val="false"/>
          </w:tcPr>
          <w:p>
            <w:pPr>
              <w:pStyle w:val="1005"/>
              <w:ind w:left="57" w:right="57"/>
            </w:pPr>
            <w:r>
              <w:t xml:space="preserve">Первый год планируемого периода (Итого к использованию)</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tc>
      </w:tr>
      <w:tr>
        <w:trPr/>
        <w:tc>
          <w:tcPr>
            <w:shd w:val="clear" w:fill="auto" w:color="auto"/>
            <w:tcW w:w="1629" w:type="pct"/>
            <w:textDirection w:val="lrTb"/>
            <w:noWrap w:val="false"/>
          </w:tcPr>
          <w:p>
            <w:pPr>
              <w:pStyle w:val="1005"/>
              <w:ind w:left="57" w:right="57"/>
            </w:pPr>
            <w:r>
              <w:t xml:space="preserve">Второй год планируемого периода (Итого к использованию)</w:t>
            </w:r>
            <w:r/>
          </w:p>
        </w:tc>
        <w:tc>
          <w:tcPr>
            <w:shd w:val="clear" w:fill="auto" w:color="auto"/>
            <w:tcW w:w="3371" w:type="pct"/>
            <w:textDirection w:val="lrTb"/>
            <w:noWrap w:val="false"/>
          </w:tcPr>
          <w:p>
            <w:pPr>
              <w:pStyle w:val="1005"/>
              <w:ind w:left="57" w:right="57"/>
            </w:pPr>
            <w:r>
              <w:t xml:space="preserve">Заполняется автоматически результатом суммирования значений одноимённого поля Сумма таблицы 3.</w:t>
            </w:r>
            <w:r/>
          </w:p>
        </w:tc>
      </w:tr>
      <w:tr>
        <w:trPr/>
        <w:tc>
          <w:tcPr>
            <w:shd w:val="clear" w:fill="auto" w:color="auto"/>
            <w:tcW w:w="1629" w:type="pct"/>
            <w:textDirection w:val="lrTb"/>
            <w:noWrap w:val="false"/>
          </w:tcPr>
          <w:p>
            <w:pPr>
              <w:pStyle w:val="1005"/>
              <w:ind w:left="57" w:right="57"/>
            </w:pPr>
            <w:r>
              <w:t xml:space="preserve">Последующие годы (Итого к использованию)</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tc>
      </w:tr>
      <w:tr>
        <w:trPr/>
        <w:tc>
          <w:tcPr>
            <w:shd w:val="clear" w:fill="auto" w:color="auto"/>
            <w:tcW w:w="1629" w:type="pct"/>
            <w:textDirection w:val="lrTb"/>
            <w:noWrap w:val="false"/>
          </w:tcPr>
          <w:p>
            <w:pPr>
              <w:pStyle w:val="1005"/>
              <w:ind w:left="57" w:right="57"/>
            </w:pPr>
            <w:r>
              <w:t xml:space="preserve">Выплаты, Всего</w:t>
            </w:r>
            <w:r/>
          </w:p>
        </w:tc>
        <w:tc>
          <w:tcPr>
            <w:shd w:val="clear" w:fill="auto" w:color="auto"/>
            <w:tcW w:w="3371" w:type="pct"/>
            <w:textDirection w:val="lrTb"/>
            <w:noWrap w:val="false"/>
          </w:tcPr>
          <w:p>
            <w:pPr>
              <w:pStyle w:val="1005"/>
              <w:ind w:left="57" w:right="57"/>
            </w:pPr>
            <w:r>
              <w:t xml:space="preserve">Заполняется автоматически результатом суммирования значений одноимённого поля Сумма таблицы 3.</w:t>
            </w:r>
            <w:r/>
          </w:p>
        </w:tc>
      </w:tr>
      <w:tr>
        <w:trPr/>
        <w:tc>
          <w:tcPr>
            <w:shd w:val="clear" w:fill="auto" w:color="auto"/>
            <w:tcW w:w="1629" w:type="pct"/>
            <w:textDirection w:val="lrTb"/>
            <w:noWrap w:val="false"/>
          </w:tcPr>
          <w:p>
            <w:pPr>
              <w:pStyle w:val="1005"/>
              <w:ind w:left="57" w:right="57"/>
            </w:pPr>
            <w:r>
              <w:t xml:space="preserve">Текущий финансовый год (Выплаты)</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tc>
      </w:tr>
      <w:tr>
        <w:trPr/>
        <w:tc>
          <w:tcPr>
            <w:shd w:val="clear" w:fill="auto" w:color="auto"/>
            <w:tcW w:w="1629" w:type="pct"/>
            <w:textDirection w:val="lrTb"/>
            <w:noWrap w:val="false"/>
          </w:tcPr>
          <w:p>
            <w:pPr>
              <w:pStyle w:val="1005"/>
              <w:ind w:left="57" w:right="57"/>
            </w:pPr>
            <w:r>
              <w:t xml:space="preserve">Первый год планируемого периода (Выплаты)</w:t>
            </w:r>
            <w:r/>
          </w:p>
        </w:tc>
        <w:tc>
          <w:tcPr>
            <w:shd w:val="clear" w:fill="auto" w:color="auto"/>
            <w:tcW w:w="3371" w:type="pct"/>
            <w:textDirection w:val="lrTb"/>
            <w:noWrap w:val="false"/>
          </w:tcPr>
          <w:p>
            <w:pPr>
              <w:pStyle w:val="1005"/>
              <w:ind w:left="57" w:right="57"/>
            </w:pPr>
            <w:r>
              <w:t xml:space="preserve">Заполняется автоматически результатом суммирования значений одноимённого поля Сумма таблицы 3.</w:t>
            </w:r>
            <w:r/>
          </w:p>
        </w:tc>
      </w:tr>
      <w:tr>
        <w:trPr/>
        <w:tc>
          <w:tcPr>
            <w:shd w:val="clear" w:fill="auto" w:color="auto"/>
            <w:tcW w:w="1629" w:type="pct"/>
            <w:textDirection w:val="lrTb"/>
            <w:noWrap w:val="false"/>
          </w:tcPr>
          <w:p>
            <w:pPr>
              <w:pStyle w:val="1005"/>
              <w:ind w:left="57" w:right="57"/>
            </w:pPr>
            <w:r>
              <w:t xml:space="preserve">Второй год планируемого периода (Выплаты)</w:t>
            </w:r>
            <w:r/>
          </w:p>
        </w:tc>
        <w:tc>
          <w:tcPr>
            <w:shd w:val="clear" w:fill="auto" w:color="auto"/>
            <w:tcW w:w="3371"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p>
        </w:tc>
      </w:tr>
      <w:tr>
        <w:trPr/>
        <w:tc>
          <w:tcPr>
            <w:shd w:val="clear" w:fill="auto" w:color="auto"/>
            <w:tcW w:w="1629" w:type="pct"/>
            <w:textDirection w:val="lrTb"/>
            <w:noWrap w:val="false"/>
          </w:tcPr>
          <w:p>
            <w:pPr>
              <w:pStyle w:val="1005"/>
              <w:ind w:left="57" w:right="57"/>
            </w:pPr>
            <w:r>
              <w:t xml:space="preserve">Последующие годы (Выплаты)</w:t>
            </w:r>
            <w:r/>
          </w:p>
        </w:tc>
        <w:tc>
          <w:tcPr>
            <w:shd w:val="clear" w:fill="auto" w:color="auto"/>
            <w:tcW w:w="3371" w:type="pct"/>
            <w:textDirection w:val="lrTb"/>
            <w:noWrap w:val="false"/>
          </w:tcPr>
          <w:p>
            <w:pPr>
              <w:pStyle w:val="1005"/>
              <w:ind w:left="57" w:right="57"/>
            </w:pPr>
            <w:r>
              <w:t xml:space="preserve">Заполняется автоматически результатом суммирования значений одноимённого поля Сумма таблицы 3.</w:t>
            </w:r>
            <w:r/>
          </w:p>
        </w:tc>
      </w:tr>
    </w:tbl>
    <w:p>
      <w:pPr>
        <w:pStyle w:val="994"/>
      </w:pPr>
      <w:r>
        <w:t xml:space="preserve">В нижней части закладки </w:t>
      </w:r>
      <w:r>
        <w:t xml:space="preserve">«Реквизиты расшифровки документа</w:t>
      </w:r>
      <w:r>
        <w:t xml:space="preserve"> (2)</w:t>
      </w:r>
      <w:r>
        <w:t xml:space="preserve">»</w:t>
      </w:r>
      <w:r>
        <w:t xml:space="preserve"> содержится табличный блок </w:t>
      </w:r>
      <w:r>
        <w:t xml:space="preserve">«</w:t>
      </w:r>
      <w:r>
        <w:t xml:space="preserve">Строки</w:t>
      </w:r>
      <w:r>
        <w:t xml:space="preserve">»</w:t>
      </w:r>
      <w:r>
        <w:t xml:space="preserve">, содержащий строки с данными целевых </w:t>
      </w:r>
      <w:r>
        <w:t xml:space="preserve">средств</w:t>
      </w:r>
      <w:r>
        <w:t xml:space="preserve">. Для добавления строки следует нажать на кнопку </w:t>
      </w:r>
      <w:r>
        <mc:AlternateContent>
          <mc:Choice Requires="wpg">
            <w:drawing>
              <wp:inline xmlns:wp="http://schemas.openxmlformats.org/drawingml/2006/wordprocessingDrawing" distT="0" distB="0" distL="0" distR="0">
                <wp:extent cx="182880" cy="182880"/>
                <wp:effectExtent l="0" t="0" r="0" b="0"/>
                <wp:docPr id="30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9" o:spid="_x0000_s299" type="#_x0000_t75" style="mso-wrap-distance-left:0.0pt;mso-wrap-distance-top:0.0pt;mso-wrap-distance-right:0.0pt;mso-wrap-distance-bottom:0.0pt;width:14.4pt;height:14.4pt;" stroked="f">
                <v:path textboxrect="0,0,0,0"/>
                <v:imagedata r:id="rId80" o:title=""/>
              </v:shape>
            </w:pict>
          </mc:Fallback>
        </mc:AlternateContent>
      </w:r>
      <w:r>
        <w:t xml:space="preserve"> </w:t>
      </w:r>
      <w:r>
        <w:t xml:space="preserve">(Добавить новую строку)</w:t>
      </w:r>
      <w:r>
        <w:t xml:space="preserve">. О</w:t>
      </w:r>
      <w:r>
        <w:t xml:space="preserve">т</w:t>
      </w:r>
      <w:r>
        <w:t xml:space="preserve">крое</w:t>
      </w:r>
      <w:r>
        <w:t xml:space="preserve">тся форма «Добавление записи»</w:t>
      </w:r>
      <w:r>
        <w:t xml:space="preserve"> (рис. </w:t>
      </w:r>
      <w:r>
        <w:fldChar w:fldCharType="begin"/>
      </w:r>
      <w:r>
        <w:instrText xml:space="preserve"> REF _Ref3798009 \h </w:instrText>
      </w:r>
      <w:r>
        <w:fldChar w:fldCharType="separate"/>
      </w:r>
      <w:r>
        <w:t xml:space="preserve">201</w:t>
      </w:r>
      <w:r>
        <w:fldChar w:fldCharType="end"/>
      </w:r>
      <w:r>
        <w:t xml:space="preserve">).</w:t>
      </w:r>
      <w:r/>
    </w:p>
    <w:p>
      <w:pPr>
        <w:pStyle w:val="982"/>
      </w:pPr>
      <w:r>
        <mc:AlternateContent>
          <mc:Choice Requires="wpg">
            <w:drawing>
              <wp:inline xmlns:wp="http://schemas.openxmlformats.org/drawingml/2006/wordprocessingDrawing" distT="0" distB="0" distL="0" distR="0">
                <wp:extent cx="5303520" cy="7132320"/>
                <wp:effectExtent l="0" t="0" r="0" b="0"/>
                <wp:docPr id="30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71"/>
                        <a:stretch/>
                      </pic:blipFill>
                      <pic:spPr bwMode="auto">
                        <a:xfrm>
                          <a:off x="0" y="0"/>
                          <a:ext cx="5303520" cy="7132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0" o:spid="_x0000_s300" type="#_x0000_t75" style="mso-wrap-distance-left:0.0pt;mso-wrap-distance-top:0.0pt;mso-wrap-distance-right:0.0pt;mso-wrap-distance-bottom:0.0pt;width:417.6pt;height:561.6pt;" stroked="f">
                <v:path textboxrect="0,0,0,0"/>
                <v:imagedata r:id="rId271" o:title=""/>
              </v:shape>
            </w:pict>
          </mc:Fallback>
        </mc:AlternateContent>
      </w:r>
      <w:r/>
    </w:p>
    <w:p>
      <w:pPr>
        <w:pStyle w:val="983"/>
      </w:pPr>
      <w:r>
        <w:fldChar w:fldCharType="begin"/>
      </w:r>
      <w:r>
        <w:instrText xml:space="preserve"> SEQ Рисунок \* ARABIC </w:instrText>
      </w:r>
      <w:r>
        <w:fldChar w:fldCharType="separate"/>
      </w:r>
      <w:bookmarkStart w:id="1447" w:name="_Ref3798009"/>
      <w:r/>
      <w:bookmarkStart w:id="1448" w:name="_Toc88819586"/>
      <w:r>
        <w:t xml:space="preserve">201</w:t>
      </w:r>
      <w:bookmarkEnd w:id="1447"/>
      <w:r>
        <w:fldChar w:fldCharType="end"/>
      </w:r>
      <w:r>
        <w:t xml:space="preserve">. </w:t>
      </w:r>
      <w:r>
        <w:t xml:space="preserve">Форма «Добавление записи»</w:t>
      </w:r>
      <w:bookmarkEnd w:id="1448"/>
      <w:r/>
      <w:r/>
    </w:p>
    <w:p>
      <w:pPr>
        <w:pStyle w:val="994"/>
      </w:pPr>
      <w:r>
        <w:t xml:space="preserve">Перечень полей </w:t>
      </w:r>
      <w:r>
        <w:t xml:space="preserve">формы «Добавление записи» приведен в таблице</w:t>
      </w:r>
      <w:r>
        <w:t xml:space="preserve"> </w:t>
      </w:r>
      <w:r>
        <w:fldChar w:fldCharType="begin"/>
      </w:r>
      <w:r>
        <w:instrText xml:space="preserve"> REF _Ref3798008 \h </w:instrText>
      </w:r>
      <w:r>
        <w:fldChar w:fldCharType="separate"/>
      </w:r>
      <w:r>
        <w:t xml:space="preserve">107</w:t>
      </w:r>
      <w:r>
        <w:fldChar w:fldCharType="end"/>
      </w:r>
      <w:r>
        <w:t xml:space="preserve">.</w:t>
      </w:r>
      <w:r/>
    </w:p>
    <w:p>
      <w:pPr>
        <w:pStyle w:val="994"/>
      </w:pPr>
      <w:r>
        <w:t xml:space="preserve">Нажать на </w:t>
      </w:r>
      <w:r>
        <w:t xml:space="preserve">кнопку «Ok»</w:t>
      </w:r>
      <w:r>
        <w:t xml:space="preserve"> для сохранения строки и выхода из формы. В </w:t>
      </w:r>
      <w:r>
        <w:t xml:space="preserve">табл</w:t>
      </w:r>
      <w:r>
        <w:t xml:space="preserve">и</w:t>
      </w:r>
      <w:r>
        <w:t xml:space="preserve">це </w:t>
      </w:r>
      <w:r>
        <w:t xml:space="preserve">появится добавленная строка.</w:t>
      </w:r>
      <w:r>
        <w:t xml:space="preserve"> </w:t>
      </w:r>
      <w:r/>
    </w:p>
    <w:p>
      <w:pPr>
        <w:pStyle w:val="994"/>
      </w:pPr>
      <w:r>
        <w:t xml:space="preserve">ЭФ документа «Сведения об операциях с целевыми средствами», закладки «Дополнительные атрибуты (</w:t>
      </w:r>
      <w:r>
        <w:t xml:space="preserve">3</w:t>
      </w:r>
      <w:r>
        <w:t xml:space="preserve">)» представлена на рисунке </w:t>
      </w:r>
      <w:r>
        <w:fldChar w:fldCharType="begin"/>
      </w:r>
      <w:r>
        <w:instrText xml:space="preserve"> REF _Ref505874632 \h </w:instrText>
      </w:r>
      <w:r>
        <w:fldChar w:fldCharType="separate"/>
      </w:r>
      <w:r>
        <w:t xml:space="preserve">202</w:t>
      </w:r>
      <w:r>
        <w:fldChar w:fldCharType="end"/>
      </w:r>
      <w:r>
        <w:t xml:space="preserve">.</w:t>
      </w:r>
      <w:r/>
    </w:p>
    <w:p>
      <w:pPr>
        <w:pStyle w:val="982"/>
      </w:pPr>
      <w:r>
        <mc:AlternateContent>
          <mc:Choice Requires="wpg">
            <w:drawing>
              <wp:inline xmlns:wp="http://schemas.openxmlformats.org/drawingml/2006/wordprocessingDrawing" distT="0" distB="0" distL="0" distR="0">
                <wp:extent cx="6042660" cy="3848100"/>
                <wp:effectExtent l="0" t="0" r="0" b="0"/>
                <wp:docPr id="30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72"/>
                        <a:stretch/>
                      </pic:blipFill>
                      <pic:spPr bwMode="auto">
                        <a:xfrm>
                          <a:off x="0" y="0"/>
                          <a:ext cx="6042660" cy="38481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1" o:spid="_x0000_s301" type="#_x0000_t75" style="mso-wrap-distance-left:0.0pt;mso-wrap-distance-top:0.0pt;mso-wrap-distance-right:0.0pt;mso-wrap-distance-bottom:0.0pt;width:475.8pt;height:303.0pt;" stroked="f">
                <v:path textboxrect="0,0,0,0"/>
                <v:imagedata r:id="rId272" o:title=""/>
              </v:shape>
            </w:pict>
          </mc:Fallback>
        </mc:AlternateContent>
      </w:r>
      <w:r/>
    </w:p>
    <w:p>
      <w:pPr>
        <w:pStyle w:val="983"/>
      </w:pPr>
      <w:r>
        <w:fldChar w:fldCharType="begin"/>
      </w:r>
      <w:r>
        <w:instrText xml:space="preserve"> SEQ Рисунок \* ARABIC </w:instrText>
      </w:r>
      <w:r>
        <w:fldChar w:fldCharType="separate"/>
      </w:r>
      <w:bookmarkStart w:id="1449" w:name="_Ref505874632"/>
      <w:r/>
      <w:bookmarkStart w:id="1450" w:name="_Toc88819587"/>
      <w:r>
        <w:t xml:space="preserve">202</w:t>
      </w:r>
      <w:bookmarkEnd w:id="1449"/>
      <w:r>
        <w:fldChar w:fldCharType="end"/>
      </w:r>
      <w:r>
        <w:t xml:space="preserve">. ЭФ документа «Сведения об операциях с целевыми средствами», закладки «Дополн</w:t>
      </w:r>
      <w:r>
        <w:t xml:space="preserve">ительные атрибуты (3</w:t>
      </w:r>
      <w:r>
        <w:t xml:space="preserve">)»</w:t>
      </w:r>
      <w:bookmarkEnd w:id="1450"/>
      <w:r/>
      <w:r/>
    </w:p>
    <w:p>
      <w:pPr>
        <w:pStyle w:val="994"/>
      </w:pPr>
      <w:r>
        <w:t xml:space="preserve">Перечень полей документа «Сведения об операциях с целевыми средствами», закладки «Дополнительные атрибуты (</w:t>
      </w:r>
      <w:r>
        <w:t xml:space="preserve">3</w:t>
      </w:r>
      <w:r>
        <w:t xml:space="preserve">)», приведен в таблице </w:t>
      </w:r>
      <w:r>
        <w:fldChar w:fldCharType="begin"/>
      </w:r>
      <w:r>
        <w:instrText xml:space="preserve"> REF _Ref505874635 \h </w:instrText>
      </w:r>
      <w:r>
        <w:fldChar w:fldCharType="separate"/>
      </w:r>
      <w:r>
        <w:t xml:space="preserve">108</w:t>
      </w:r>
      <w:r>
        <w:fldChar w:fldCharType="end"/>
      </w:r>
      <w:r>
        <w:t xml:space="preserve">.</w:t>
      </w:r>
      <w:r/>
    </w:p>
    <w:p>
      <w:pPr>
        <w:pStyle w:val="993"/>
      </w:pPr>
      <w:r>
        <w:fldChar w:fldCharType="begin"/>
      </w:r>
      <w:r>
        <w:instrText xml:space="preserve"> SEQ Таблица \* ARABIC </w:instrText>
      </w:r>
      <w:r>
        <w:fldChar w:fldCharType="separate"/>
      </w:r>
      <w:bookmarkStart w:id="1451" w:name="_Ref505874635"/>
      <w:r/>
      <w:bookmarkStart w:id="1452" w:name="_Toc88819294"/>
      <w:r>
        <w:t xml:space="preserve">108</w:t>
      </w:r>
      <w:bookmarkEnd w:id="1451"/>
      <w:r>
        <w:fldChar w:fldCharType="end"/>
      </w:r>
      <w:r>
        <w:t xml:space="preserve">. Описание полей документа «Сведения об операциях с целевыми средствами», закладки «Дополнительные атрибуты (</w:t>
      </w:r>
      <w:r>
        <w:t xml:space="preserve">3</w:t>
      </w:r>
      <w:r>
        <w:t xml:space="preserve">)»</w:t>
      </w:r>
      <w:bookmarkEnd w:id="1452"/>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177"/>
        <w:gridCol w:w="6575"/>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629"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371"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«Реквизиты утверждения»</w:t>
            </w:r>
            <w:r/>
          </w:p>
        </w:tc>
      </w:tr>
      <w:tr>
        <w:trPr/>
        <w:tc>
          <w:tcPr>
            <w:shd w:val="clear" w:fill="auto" w:color="auto"/>
            <w:tcW w:w="1629" w:type="pct"/>
            <w:textDirection w:val="lrTb"/>
            <w:noWrap w:val="false"/>
          </w:tcPr>
          <w:p>
            <w:pPr>
              <w:pStyle w:val="1005"/>
              <w:ind w:left="57" w:right="57"/>
            </w:pPr>
            <w:r>
              <w:t xml:space="preserve">Должность</w:t>
            </w:r>
            <w:r/>
          </w:p>
        </w:tc>
        <w:tc>
          <w:tcPr>
            <w:shd w:val="clear" w:fill="auto" w:color="auto"/>
            <w:tcW w:w="3371" w:type="pct"/>
            <w:textDirection w:val="lrTb"/>
            <w:noWrap w:val="false"/>
          </w:tcPr>
          <w:p>
            <w:pPr>
              <w:pStyle w:val="1005"/>
              <w:ind w:left="57" w:right="57"/>
            </w:pPr>
            <w:r>
              <w:t xml:space="preserve">Значение поля заполняется вручную.</w:t>
            </w:r>
            <w:r/>
          </w:p>
        </w:tc>
      </w:tr>
      <w:tr>
        <w:trPr/>
        <w:tc>
          <w:tcPr>
            <w:shd w:val="clear" w:fill="auto" w:color="auto"/>
            <w:tcW w:w="1629" w:type="pct"/>
            <w:textDirection w:val="lrTb"/>
            <w:noWrap w:val="false"/>
          </w:tcPr>
          <w:p>
            <w:pPr>
              <w:pStyle w:val="1005"/>
              <w:ind w:left="57" w:right="57"/>
            </w:pPr>
            <w:r>
              <w:t xml:space="preserve">Наименование получателя бюджетных средств/государственного (муниципального) заказчика/заказчика-учреждения/юридического лица</w:t>
            </w:r>
            <w:r/>
          </w:p>
        </w:tc>
        <w:tc>
          <w:tcPr>
            <w:shd w:val="clear" w:fill="auto" w:color="auto"/>
            <w:tcW w:w="3371" w:type="pct"/>
            <w:textDirection w:val="lrTb"/>
            <w:noWrap w:val="false"/>
          </w:tcPr>
          <w:p>
            <w:pPr>
              <w:pStyle w:val="1005"/>
              <w:ind w:left="57" w:right="57"/>
            </w:pPr>
            <w:r>
              <w:t xml:space="preserve">Значение поля заполняется вручную.</w:t>
            </w:r>
            <w:r/>
          </w:p>
        </w:tc>
      </w:tr>
      <w:tr>
        <w:trPr/>
        <w:tc>
          <w:tcPr>
            <w:shd w:val="clear" w:fill="auto" w:color="auto"/>
            <w:tcW w:w="1629" w:type="pct"/>
            <w:textDirection w:val="lrTb"/>
            <w:noWrap w:val="false"/>
          </w:tcPr>
          <w:p>
            <w:pPr>
              <w:pStyle w:val="1005"/>
              <w:ind w:left="57" w:right="57"/>
            </w:pPr>
            <w:r>
              <w:t xml:space="preserve">Расшифровка подписи</w:t>
            </w:r>
            <w:r/>
          </w:p>
        </w:tc>
        <w:tc>
          <w:tcPr>
            <w:shd w:val="clear" w:fill="auto" w:color="auto"/>
            <w:tcW w:w="3371" w:type="pct"/>
            <w:textDirection w:val="lrTb"/>
            <w:noWrap w:val="false"/>
          </w:tcPr>
          <w:p>
            <w:pPr>
              <w:pStyle w:val="1005"/>
              <w:ind w:left="57" w:right="57"/>
            </w:pPr>
            <w:r>
              <w:t xml:space="preserve">Значение поля заполняется вручную.</w:t>
            </w:r>
            <w:r/>
          </w:p>
        </w:tc>
      </w:tr>
      <w:tr>
        <w:trPr/>
        <w:tc>
          <w:tcPr>
            <w:shd w:val="clear" w:fill="auto" w:color="auto"/>
            <w:tcW w:w="1629" w:type="pct"/>
            <w:textDirection w:val="lrTb"/>
            <w:noWrap w:val="false"/>
          </w:tcPr>
          <w:p>
            <w:pPr>
              <w:pStyle w:val="1005"/>
              <w:ind w:left="57" w:right="57"/>
            </w:pPr>
            <w:r>
              <w:t xml:space="preserve">Дата</w:t>
            </w:r>
            <w:r/>
          </w:p>
        </w:tc>
        <w:tc>
          <w:tcPr>
            <w:shd w:val="clear" w:fill="auto" w:color="auto"/>
            <w:tcW w:w="3371" w:type="pct"/>
            <w:textDirection w:val="lrTb"/>
            <w:noWrap w:val="false"/>
          </w:tcPr>
          <w:p>
            <w:pPr>
              <w:pStyle w:val="1005"/>
              <w:ind w:left="57" w:right="57"/>
            </w:pPr>
            <w:r>
              <w:t xml:space="preserve">Значение поля заполняется вручную.</w:t>
            </w:r>
            <w:r/>
          </w:p>
        </w:tc>
      </w:tr>
      <w:tr>
        <w:trPr/>
        <w:tc>
          <w:tcPr>
            <w:gridSpan w:val="2"/>
            <w:shd w:val="clear" w:fill="auto" w:color="auto"/>
            <w:tcW w:w="5000" w:type="pct"/>
            <w:textDirection w:val="lrTb"/>
            <w:noWrap w:val="false"/>
          </w:tcPr>
          <w:p>
            <w:pPr>
              <w:pStyle w:val="1005"/>
              <w:ind w:left="57" w:right="57"/>
            </w:pPr>
            <w:r>
              <w:t xml:space="preserve">Группа полей «Руководитель (уполномоченное лицо)»</w:t>
            </w:r>
            <w:r/>
          </w:p>
        </w:tc>
      </w:tr>
      <w:tr>
        <w:trPr/>
        <w:tc>
          <w:tcPr>
            <w:shd w:val="clear" w:fill="auto" w:color="auto"/>
            <w:tcW w:w="1629" w:type="pct"/>
            <w:textDirection w:val="lrTb"/>
            <w:noWrap w:val="false"/>
          </w:tcPr>
          <w:p>
            <w:pPr>
              <w:pStyle w:val="1005"/>
              <w:ind w:left="57" w:right="57"/>
            </w:pPr>
            <w:r>
              <w:t xml:space="preserve">Должность</w:t>
            </w:r>
            <w:r/>
          </w:p>
        </w:tc>
        <w:tc>
          <w:tcPr>
            <w:shd w:val="clear" w:fill="auto" w:color="auto"/>
            <w:tcW w:w="3371" w:type="pct"/>
            <w:textDirection w:val="lrTb"/>
            <w:noWrap w:val="false"/>
          </w:tcPr>
          <w:p>
            <w:pPr>
              <w:pStyle w:val="1005"/>
              <w:ind w:left="57" w:right="57"/>
            </w:pPr>
            <w:r>
              <w:t xml:space="preserve">Значение поля </w:t>
            </w:r>
            <w:r>
              <w:t xml:space="preserve">заполняется </w:t>
            </w:r>
            <w:r>
              <w:t xml:space="preserve">вручную.</w:t>
            </w:r>
            <w:r/>
          </w:p>
        </w:tc>
      </w:tr>
      <w:tr>
        <w:trPr/>
        <w:tc>
          <w:tcPr>
            <w:shd w:val="clear" w:fill="auto" w:color="auto"/>
            <w:tcW w:w="1629" w:type="pct"/>
            <w:textDirection w:val="lrTb"/>
            <w:noWrap w:val="false"/>
          </w:tcPr>
          <w:p>
            <w:pPr>
              <w:pStyle w:val="1005"/>
              <w:ind w:left="57" w:right="57"/>
            </w:pPr>
            <w:r>
              <w:t xml:space="preserve">Расшифровка подписи</w:t>
            </w:r>
            <w:r/>
          </w:p>
        </w:tc>
        <w:tc>
          <w:tcPr>
            <w:shd w:val="clear" w:fill="auto" w:color="auto"/>
            <w:tcW w:w="3371" w:type="pct"/>
            <w:textDirection w:val="lrTb"/>
            <w:noWrap w:val="false"/>
          </w:tcPr>
          <w:p>
            <w:pPr>
              <w:pStyle w:val="1005"/>
              <w:ind w:left="57" w:right="57"/>
            </w:pPr>
            <w:r>
              <w:t xml:space="preserve">Значение поля заполняется вручную.</w:t>
            </w:r>
            <w:r/>
          </w:p>
        </w:tc>
      </w:tr>
      <w:tr>
        <w:trPr/>
        <w:tc>
          <w:tcPr>
            <w:shd w:val="clear" w:fill="auto" w:color="auto"/>
            <w:tcW w:w="1629" w:type="pct"/>
            <w:textDirection w:val="lrTb"/>
            <w:noWrap w:val="false"/>
          </w:tcPr>
          <w:p>
            <w:pPr>
              <w:pStyle w:val="1005"/>
              <w:ind w:left="57" w:right="57"/>
            </w:pPr>
            <w:r>
              <w:t xml:space="preserve">Дата подписания</w:t>
            </w:r>
            <w:r/>
          </w:p>
        </w:tc>
        <w:tc>
          <w:tcPr>
            <w:shd w:val="clear" w:fill="auto" w:color="auto"/>
            <w:tcW w:w="3371" w:type="pct"/>
            <w:textDirection w:val="lrTb"/>
            <w:noWrap w:val="false"/>
          </w:tcPr>
          <w:p>
            <w:pPr>
              <w:pStyle w:val="1005"/>
              <w:ind w:left="57" w:right="57"/>
            </w:pPr>
            <w:r>
              <w:t xml:space="preserve">Значение поля </w:t>
            </w:r>
            <w:r>
              <w:t xml:space="preserve">заполняется </w:t>
            </w:r>
            <w:r>
              <w:t xml:space="preserve">вручную.</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w:t>
            </w:r>
            <w:r>
              <w:t xml:space="preserve">Руководитель финансово-экономической службы</w:t>
            </w:r>
            <w:r>
              <w:t xml:space="preserve">»</w:t>
            </w:r>
            <w:r/>
          </w:p>
        </w:tc>
      </w:tr>
      <w:tr>
        <w:trPr/>
        <w:tc>
          <w:tcPr>
            <w:shd w:val="clear" w:fill="auto" w:color="auto"/>
            <w:tcW w:w="1629" w:type="pct"/>
            <w:textDirection w:val="lrTb"/>
            <w:noWrap w:val="false"/>
          </w:tcPr>
          <w:p>
            <w:pPr>
              <w:pStyle w:val="1005"/>
              <w:ind w:left="57" w:right="57"/>
            </w:pPr>
            <w:r>
              <w:t xml:space="preserve">Расшифровка подписи</w:t>
            </w:r>
            <w:r/>
          </w:p>
        </w:tc>
        <w:tc>
          <w:tcPr>
            <w:shd w:val="clear" w:fill="auto" w:color="auto"/>
            <w:tcW w:w="3371" w:type="pct"/>
            <w:textDirection w:val="lrTb"/>
            <w:noWrap w:val="false"/>
          </w:tcPr>
          <w:p>
            <w:pPr>
              <w:pStyle w:val="1005"/>
              <w:ind w:left="57" w:right="57"/>
            </w:pPr>
            <w:r>
              <w:t xml:space="preserve">Значение поля заполняется вручную.</w:t>
            </w:r>
            <w:r/>
          </w:p>
        </w:tc>
      </w:tr>
      <w:tr>
        <w:trPr/>
        <w:tc>
          <w:tcPr>
            <w:shd w:val="clear" w:fill="auto" w:color="auto"/>
            <w:tcW w:w="1629" w:type="pct"/>
            <w:textDirection w:val="lrTb"/>
            <w:noWrap w:val="false"/>
          </w:tcPr>
          <w:p>
            <w:pPr>
              <w:pStyle w:val="1005"/>
              <w:ind w:left="57" w:right="57"/>
            </w:pPr>
            <w:r>
              <w:t xml:space="preserve">Дата подписания</w:t>
            </w:r>
            <w:r/>
          </w:p>
        </w:tc>
        <w:tc>
          <w:tcPr>
            <w:shd w:val="clear" w:fill="auto" w:color="auto"/>
            <w:tcW w:w="3371" w:type="pct"/>
            <w:textDirection w:val="lrTb"/>
            <w:noWrap w:val="false"/>
          </w:tcPr>
          <w:p>
            <w:pPr>
              <w:pStyle w:val="1005"/>
              <w:ind w:left="57" w:right="57"/>
            </w:pPr>
            <w:r>
              <w:t xml:space="preserve">Значение поля заполняется вручную.</w:t>
            </w:r>
            <w:r/>
          </w:p>
        </w:tc>
      </w:tr>
      <w:tr>
        <w:trPr/>
        <w:tc>
          <w:tcPr>
            <w:gridSpan w:val="2"/>
            <w:shd w:val="clear" w:fill="auto" w:color="auto"/>
            <w:tcW w:w="5000" w:type="pct"/>
            <w:textDirection w:val="lrTb"/>
            <w:noWrap w:val="false"/>
          </w:tcPr>
          <w:p>
            <w:pPr>
              <w:pStyle w:val="1005"/>
              <w:ind w:left="57" w:right="57"/>
            </w:pPr>
            <w:r>
              <w:t xml:space="preserve">Группа полей «Ответственный исполнитель»</w:t>
            </w:r>
            <w:r/>
          </w:p>
        </w:tc>
      </w:tr>
      <w:tr>
        <w:trPr/>
        <w:tc>
          <w:tcPr>
            <w:shd w:val="clear" w:fill="auto" w:color="auto"/>
            <w:tcW w:w="1629" w:type="pct"/>
            <w:textDirection w:val="lrTb"/>
            <w:noWrap w:val="false"/>
          </w:tcPr>
          <w:p>
            <w:pPr>
              <w:pStyle w:val="1005"/>
              <w:ind w:left="57" w:right="57"/>
            </w:pPr>
            <w:r>
              <w:t xml:space="preserve">Должность</w:t>
            </w:r>
            <w:r/>
          </w:p>
        </w:tc>
        <w:tc>
          <w:tcPr>
            <w:shd w:val="clear" w:fill="auto" w:color="auto"/>
            <w:tcW w:w="3371" w:type="pct"/>
            <w:textDirection w:val="lrTb"/>
            <w:noWrap w:val="false"/>
          </w:tcPr>
          <w:p>
            <w:pPr>
              <w:pStyle w:val="1005"/>
              <w:ind w:left="57" w:right="57"/>
            </w:pPr>
            <w:r>
              <w:t xml:space="preserve">Значение поля заполняется вручную.</w:t>
            </w:r>
            <w:r/>
          </w:p>
        </w:tc>
      </w:tr>
      <w:tr>
        <w:trPr/>
        <w:tc>
          <w:tcPr>
            <w:shd w:val="clear" w:fill="auto" w:color="auto"/>
            <w:tcW w:w="1629" w:type="pct"/>
            <w:textDirection w:val="lrTb"/>
            <w:noWrap w:val="false"/>
          </w:tcPr>
          <w:p>
            <w:pPr>
              <w:pStyle w:val="1005"/>
              <w:ind w:left="57" w:right="57"/>
            </w:pPr>
            <w:r>
              <w:t xml:space="preserve">Расшифровка подписи</w:t>
            </w:r>
            <w:r/>
          </w:p>
        </w:tc>
        <w:tc>
          <w:tcPr>
            <w:shd w:val="clear" w:fill="auto" w:color="auto"/>
            <w:tcW w:w="3371" w:type="pct"/>
            <w:textDirection w:val="lrTb"/>
            <w:noWrap w:val="false"/>
          </w:tcPr>
          <w:p>
            <w:pPr>
              <w:pStyle w:val="1005"/>
              <w:ind w:left="57" w:right="57"/>
            </w:pPr>
            <w:r>
              <w:t xml:space="preserve">Значение поля заполняется вручную.</w:t>
            </w:r>
            <w:r/>
          </w:p>
        </w:tc>
      </w:tr>
      <w:tr>
        <w:trPr/>
        <w:tc>
          <w:tcPr>
            <w:shd w:val="clear" w:fill="auto" w:color="auto"/>
            <w:tcW w:w="1629" w:type="pct"/>
            <w:textDirection w:val="lrTb"/>
            <w:noWrap w:val="false"/>
          </w:tcPr>
          <w:p>
            <w:pPr>
              <w:pStyle w:val="1005"/>
              <w:ind w:left="57" w:right="57"/>
            </w:pPr>
            <w:r>
              <w:t xml:space="preserve">Телефон</w:t>
            </w:r>
            <w:r/>
          </w:p>
        </w:tc>
        <w:tc>
          <w:tcPr>
            <w:shd w:val="clear" w:fill="auto" w:color="auto"/>
            <w:tcW w:w="3371" w:type="pct"/>
            <w:textDirection w:val="lrTb"/>
            <w:noWrap w:val="false"/>
          </w:tcPr>
          <w:p>
            <w:pPr>
              <w:pStyle w:val="1005"/>
              <w:ind w:left="57" w:right="57"/>
            </w:pPr>
            <w:r>
              <w:t xml:space="preserve">Значение вводится вручную.</w:t>
            </w:r>
            <w:r/>
          </w:p>
        </w:tc>
      </w:tr>
      <w:tr>
        <w:trPr/>
        <w:tc>
          <w:tcPr>
            <w:shd w:val="clear" w:fill="auto" w:color="auto"/>
            <w:tcW w:w="1629" w:type="pct"/>
            <w:textDirection w:val="lrTb"/>
            <w:noWrap w:val="false"/>
          </w:tcPr>
          <w:p>
            <w:pPr>
              <w:pStyle w:val="1005"/>
              <w:ind w:left="57" w:right="57"/>
            </w:pPr>
            <w:r>
              <w:t xml:space="preserve">Дата</w:t>
            </w:r>
            <w:r/>
          </w:p>
        </w:tc>
        <w:tc>
          <w:tcPr>
            <w:shd w:val="clear" w:fill="auto" w:color="auto"/>
            <w:tcW w:w="3371" w:type="pct"/>
            <w:textDirection w:val="lrTb"/>
            <w:noWrap w:val="false"/>
          </w:tcPr>
          <w:p>
            <w:pPr>
              <w:pStyle w:val="1005"/>
              <w:ind w:left="57" w:right="57"/>
            </w:pPr>
            <w:r>
              <w:t xml:space="preserve">Значение поля заполняется вручную.</w:t>
            </w:r>
            <w:r/>
          </w:p>
        </w:tc>
      </w:tr>
      <w:tr>
        <w:trPr/>
        <w:tc>
          <w:tcPr>
            <w:gridSpan w:val="2"/>
            <w:shd w:val="clear" w:fill="auto" w:color="auto"/>
            <w:tcW w:w="5000" w:type="pct"/>
            <w:textDirection w:val="lrTb"/>
            <w:noWrap w:val="false"/>
          </w:tcPr>
          <w:p>
            <w:pPr>
              <w:pStyle w:val="1005"/>
              <w:ind w:left="57" w:right="57"/>
            </w:pPr>
            <w:r>
              <w:t xml:space="preserve">Группа полей «Отметка ТОФК о принятии настоящих сведений»</w:t>
            </w:r>
            <w:r/>
          </w:p>
        </w:tc>
      </w:tr>
      <w:tr>
        <w:trPr/>
        <w:tc>
          <w:tcPr>
            <w:shd w:val="clear" w:fill="auto" w:color="auto"/>
            <w:tcW w:w="1629" w:type="pct"/>
            <w:textDirection w:val="lrTb"/>
            <w:noWrap w:val="false"/>
          </w:tcPr>
          <w:p>
            <w:pPr>
              <w:pStyle w:val="1005"/>
              <w:ind w:left="57" w:right="57"/>
            </w:pPr>
            <w:r>
              <w:t xml:space="preserve">Должность (Ответственный исполнитель)</w:t>
            </w:r>
            <w:r/>
          </w:p>
        </w:tc>
        <w:tc>
          <w:tcPr>
            <w:shd w:val="clear" w:fill="auto" w:color="auto"/>
            <w:tcW w:w="3371" w:type="pct"/>
            <w:vMerge w:val="restart"/>
            <w:textDirection w:val="lrTb"/>
            <w:noWrap w:val="false"/>
          </w:tcPr>
          <w:p>
            <w:pPr>
              <w:pStyle w:val="1005"/>
              <w:ind w:left="57" w:right="57"/>
            </w:pPr>
            <w:r>
              <w:t xml:space="preserve">Заполняется автоматически при приеме квитанции из OEBS.</w:t>
            </w:r>
            <w:r/>
          </w:p>
        </w:tc>
      </w:tr>
      <w:tr>
        <w:trPr/>
        <w:tc>
          <w:tcPr>
            <w:shd w:val="clear" w:fill="auto" w:color="auto"/>
            <w:tcW w:w="1629" w:type="pct"/>
            <w:textDirection w:val="lrTb"/>
            <w:noWrap w:val="false"/>
          </w:tcPr>
          <w:p>
            <w:pPr>
              <w:pStyle w:val="1005"/>
              <w:ind w:left="57" w:right="57"/>
            </w:pPr>
            <w:r>
              <w:t xml:space="preserve">Расшифровка подписи (Ответственный исполнитель)</w:t>
            </w:r>
            <w:r/>
          </w:p>
        </w:tc>
        <w:tc>
          <w:tcPr>
            <w:shd w:val="clear" w:fill="auto" w:color="auto"/>
            <w:tcW w:w="3371" w:type="pct"/>
            <w:vMerge w:val="continue"/>
            <w:textDirection w:val="lrTb"/>
            <w:noWrap w:val="false"/>
          </w:tcPr>
          <w:p>
            <w:pPr>
              <w:pStyle w:val="1005"/>
              <w:ind w:left="57" w:right="57"/>
            </w:pPr>
            <w:r/>
            <w:r/>
          </w:p>
        </w:tc>
      </w:tr>
      <w:tr>
        <w:trPr/>
        <w:tc>
          <w:tcPr>
            <w:shd w:val="clear" w:fill="auto" w:color="auto"/>
            <w:tcW w:w="1629" w:type="pct"/>
            <w:textDirection w:val="lrTb"/>
            <w:noWrap w:val="false"/>
          </w:tcPr>
          <w:p>
            <w:pPr>
              <w:pStyle w:val="1005"/>
              <w:ind w:left="57" w:right="57"/>
            </w:pPr>
            <w:r>
              <w:t xml:space="preserve">Телефон</w:t>
            </w:r>
            <w:r/>
          </w:p>
        </w:tc>
        <w:tc>
          <w:tcPr>
            <w:shd w:val="clear" w:fill="auto" w:color="auto"/>
            <w:tcW w:w="3371" w:type="pct"/>
            <w:vMerge w:val="continue"/>
            <w:textDirection w:val="lrTb"/>
            <w:noWrap w:val="false"/>
          </w:tcPr>
          <w:p>
            <w:pPr>
              <w:pStyle w:val="1005"/>
              <w:ind w:left="57" w:right="57"/>
            </w:pPr>
            <w:r/>
            <w:r/>
          </w:p>
        </w:tc>
      </w:tr>
      <w:tr>
        <w:trPr/>
        <w:tc>
          <w:tcPr>
            <w:shd w:val="clear" w:fill="auto" w:color="auto"/>
            <w:tcW w:w="1629" w:type="pct"/>
            <w:textDirection w:val="lrTb"/>
            <w:noWrap w:val="false"/>
          </w:tcPr>
          <w:p>
            <w:pPr>
              <w:pStyle w:val="1005"/>
              <w:ind w:left="57" w:right="57"/>
            </w:pPr>
            <w:r>
              <w:t xml:space="preserve">Дата</w:t>
            </w:r>
            <w:r/>
          </w:p>
        </w:tc>
        <w:tc>
          <w:tcPr>
            <w:shd w:val="clear" w:fill="auto" w:color="auto"/>
            <w:tcW w:w="3371" w:type="pct"/>
            <w:vMerge w:val="continue"/>
            <w:textDirection w:val="lrTb"/>
            <w:noWrap w:val="false"/>
          </w:tcPr>
          <w:p>
            <w:pPr>
              <w:pStyle w:val="1005"/>
              <w:ind w:left="57" w:right="57"/>
            </w:pPr>
            <w:r/>
            <w:r/>
          </w:p>
        </w:tc>
      </w:tr>
    </w:tbl>
    <w:p>
      <w:pPr>
        <w:pStyle w:val="972"/>
      </w:pPr>
      <w:r/>
      <w:bookmarkStart w:id="1453" w:name="_Ref318206870"/>
      <w:r/>
      <w:bookmarkStart w:id="1454" w:name="_Toc409449261"/>
      <w:r/>
      <w:bookmarkStart w:id="1455" w:name="_Toc421171973"/>
      <w:r/>
      <w:bookmarkStart w:id="1456" w:name="_Toc430612642"/>
      <w:r/>
      <w:bookmarkStart w:id="1457" w:name="_Toc88819140"/>
      <w:r>
        <w:t xml:space="preserve">Перечень целевых субсидий</w:t>
      </w:r>
      <w:bookmarkEnd w:id="1453"/>
      <w:r/>
      <w:bookmarkEnd w:id="1454"/>
      <w:r/>
      <w:bookmarkEnd w:id="1455"/>
      <w:r/>
      <w:bookmarkEnd w:id="1456"/>
      <w:r/>
      <w:bookmarkEnd w:id="1457"/>
      <w:r/>
      <w:r/>
    </w:p>
    <w:p>
      <w:pPr>
        <w:pStyle w:val="994"/>
      </w:pPr>
      <w:r>
        <w:t xml:space="preserve">Перечень целевых субсидий формируется органом, осуществляющим функции и по</w:t>
      </w:r>
      <w:r>
        <w:t xml:space="preserve">л</w:t>
      </w:r>
      <w:r>
        <w:t xml:space="preserve">номочия учредителя, в разрезе аналитических кодов, присвоенных им для учета операций с целевыми субсидиями по каждой целевой субсидии для последующего его доведения до о</w:t>
      </w:r>
      <w:r>
        <w:t xml:space="preserve">р</w:t>
      </w:r>
      <w:r>
        <w:t xml:space="preserve">ганов Федерального казначейства.</w:t>
      </w:r>
      <w:r/>
    </w:p>
    <w:p>
      <w:pPr>
        <w:pStyle w:val="994"/>
      </w:pPr>
      <w:r>
        <w:t xml:space="preserve">В ППО АСФК (СУФД)» документ «Перечень целевых субсидий» формируется органом, осуществляющим функции и полномочия учредителя БУ/АУ. Учредители, являющиеся ГРБС ФБ, предоставляют докумен</w:t>
      </w:r>
      <w:r>
        <w:t xml:space="preserve">т «Перечень целевых субсидий» в ЦАФК. Учредители, являющиеся ГРБС бюджетов, отличных от федерального бюджета, предоставляют документ «Перечень целевых субсидий» в ОрФК по месту своего обслуживания. ЦАФК доводит документ «Перечень целевых субсидий» до ТОФК.</w:t>
      </w:r>
      <w:r/>
    </w:p>
    <w:p>
      <w:pPr>
        <w:pStyle w:val="994"/>
      </w:pPr>
      <w:r>
        <w:t xml:space="preserve">Из вкладки «Связанные документы» можно открыть для просмотра ЭД «Уведомление о санкционировании/отказе», который формируется в ФО данного бюджета после санкционирования ЭД «</w:t>
      </w:r>
      <w:r>
        <w:t xml:space="preserve">Перечень целевых субсидий</w:t>
      </w:r>
      <w:r>
        <w:t xml:space="preserve">». Операции «Санкционировать» и «Отказать» опи</w:t>
      </w:r>
      <w:r>
        <w:t xml:space="preserve">саны в п.</w:t>
      </w:r>
      <w:r>
        <w:t xml:space="preserve"> </w:t>
      </w:r>
      <w:r>
        <w:fldChar w:fldCharType="begin"/>
      </w:r>
      <w:r>
        <w:instrText xml:space="preserve"> REF _Ref370314948 \r \h </w:instrText>
      </w:r>
      <w:r>
        <w:fldChar w:fldCharType="separate"/>
      </w:r>
      <w:r>
        <w:t xml:space="preserve">3.3.1</w:t>
      </w:r>
      <w:r>
        <w:fldChar w:fldCharType="end"/>
      </w:r>
      <w:r>
        <w:t xml:space="preserve">.</w:t>
      </w:r>
      <w:r/>
    </w:p>
    <w:p>
      <w:pPr>
        <w:pStyle w:val="994"/>
      </w:pPr>
      <w:r>
        <w:t xml:space="preserve">Для работы с документами «Перечень целевых субсидий» следует перейти в пункт меню</w:t>
      </w:r>
      <w:r>
        <w:rPr>
          <w:rStyle w:val="1001"/>
        </w:rPr>
        <w:t xml:space="preserve"> «</w:t>
      </w:r>
      <w:r>
        <w:t xml:space="preserve">Документы – Регистрация и доведение бюджета – Перечень целевых субсидий». Откроется ЭФ списка документов, представленная на рисунке </w:t>
      </w:r>
      <w:r>
        <w:fldChar w:fldCharType="begin"/>
      </w:r>
      <w:r>
        <w:instrText xml:space="preserve"> REF _Ref349665817 \h  \* MERGEFORMAT </w:instrText>
      </w:r>
      <w:r>
        <w:fldChar w:fldCharType="separate"/>
      </w:r>
      <w:r>
        <w:t xml:space="preserve">203</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4114800"/>
                <wp:effectExtent l="0" t="0" r="0" b="0"/>
                <wp:docPr id="30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73"/>
                        <a:stretch/>
                      </pic:blipFill>
                      <pic:spPr bwMode="auto">
                        <a:xfrm>
                          <a:off x="0" y="0"/>
                          <a:ext cx="6126480" cy="4114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2" o:spid="_x0000_s302" type="#_x0000_t75" style="mso-wrap-distance-left:0.0pt;mso-wrap-distance-top:0.0pt;mso-wrap-distance-right:0.0pt;mso-wrap-distance-bottom:0.0pt;width:482.4pt;height:324.0pt;" stroked="f">
                <v:path textboxrect="0,0,0,0"/>
                <v:imagedata r:id="rId273" o:title=""/>
              </v:shape>
            </w:pict>
          </mc:Fallback>
        </mc:AlternateContent>
      </w:r>
      <w:r/>
    </w:p>
    <w:p>
      <w:pPr>
        <w:pStyle w:val="983"/>
      </w:pPr>
      <w:r>
        <w:fldChar w:fldCharType="begin"/>
      </w:r>
      <w:r>
        <w:instrText xml:space="preserve"> SEQ Рисунок \* ARABIC </w:instrText>
      </w:r>
      <w:r>
        <w:fldChar w:fldCharType="separate"/>
      </w:r>
      <w:bookmarkStart w:id="1458" w:name="_Ref349665817"/>
      <w:r/>
      <w:bookmarkStart w:id="1459" w:name="_Toc88819588"/>
      <w:r>
        <w:t xml:space="preserve">203</w:t>
      </w:r>
      <w:bookmarkEnd w:id="1458"/>
      <w:r>
        <w:fldChar w:fldCharType="end"/>
      </w:r>
      <w:r>
        <w:t xml:space="preserve">. ЭФ списка документов «Перечень целевых субсидий»</w:t>
      </w:r>
      <w:bookmarkEnd w:id="1459"/>
      <w:r/>
      <w:r/>
    </w:p>
    <w:p>
      <w:pPr>
        <w:pStyle w:val="973"/>
      </w:pPr>
      <w:r>
        <w:t xml:space="preserve">Доступные операции</w:t>
      </w:r>
      <w:r/>
    </w:p>
    <w:p>
      <w:pPr>
        <w:pStyle w:val="994"/>
      </w:pPr>
      <w:r>
        <w:t xml:space="preserve">На АРМ </w:t>
      </w:r>
      <w:r>
        <w:t xml:space="preserve">Ф</w:t>
      </w:r>
      <w:r>
        <w:t xml:space="preserve">О</w:t>
      </w:r>
      <w:r>
        <w:t xml:space="preserve"> </w:t>
      </w:r>
      <w:r>
        <w:t xml:space="preserve">доступны следующие операции над документом:</w:t>
      </w:r>
      <w:r/>
    </w:p>
    <w:p>
      <w:pPr>
        <w:pStyle w:val="985"/>
      </w:pPr>
      <w:r>
        <w:t xml:space="preserve">Для транзитных документов:</w:t>
      </w:r>
      <w:r/>
    </w:p>
    <w:p>
      <w:pPr>
        <w:pStyle w:val="986"/>
      </w:pPr>
      <w:r>
        <w:t xml:space="preserve">просмотр;</w:t>
      </w:r>
      <w:r/>
    </w:p>
    <w:p>
      <w:pPr>
        <w:pStyle w:val="986"/>
      </w:pPr>
      <w:r>
        <w:t xml:space="preserve">подписание </w:t>
      </w:r>
      <w:r>
        <w:t xml:space="preserve">и проверка ЭП;</w:t>
      </w:r>
      <w:r/>
    </w:p>
    <w:p>
      <w:pPr>
        <w:pStyle w:val="986"/>
      </w:pPr>
      <w:r>
        <w:t xml:space="preserve">печать;</w:t>
      </w:r>
      <w:r/>
    </w:p>
    <w:p>
      <w:pPr>
        <w:pStyle w:val="986"/>
      </w:pPr>
      <w:r>
        <w:t xml:space="preserve">экспорт в OEBS;</w:t>
      </w:r>
      <w:r/>
    </w:p>
    <w:p>
      <w:pPr>
        <w:pStyle w:val="986"/>
      </w:pPr>
      <w:r>
        <w:t xml:space="preserve">санкционирование;</w:t>
      </w:r>
      <w:r/>
    </w:p>
    <w:p>
      <w:pPr>
        <w:pStyle w:val="986"/>
      </w:pPr>
      <w:r>
        <w:t xml:space="preserve">отказ</w:t>
      </w:r>
      <w:r>
        <w:t xml:space="preserve">.</w:t>
      </w:r>
      <w:r/>
    </w:p>
    <w:p>
      <w:pPr>
        <w:pStyle w:val="973"/>
      </w:pPr>
      <w:r/>
      <w:bookmarkStart w:id="1460" w:name="_Ref394571217"/>
      <w:r>
        <w:t xml:space="preserve">Экранная форма документа</w:t>
      </w:r>
      <w:bookmarkEnd w:id="1460"/>
      <w:r/>
      <w:r/>
    </w:p>
    <w:p>
      <w:pPr>
        <w:pStyle w:val="994"/>
      </w:pPr>
      <w:r>
        <w:t xml:space="preserve">ЭФ документа «Перечень целевых субсидий» представлена на рисунках </w:t>
      </w:r>
      <w:r>
        <w:fldChar w:fldCharType="begin"/>
      </w:r>
      <w:r>
        <w:instrText xml:space="preserve"> REF _Ref371431944 \h  \* MERGEFORMAT </w:instrText>
      </w:r>
      <w:r>
        <w:fldChar w:fldCharType="separate"/>
      </w:r>
      <w:r>
        <w:t xml:space="preserve">204</w:t>
      </w:r>
      <w:r>
        <w:fldChar w:fldCharType="end"/>
      </w:r>
      <w:r>
        <w:t xml:space="preserve"> и </w:t>
      </w:r>
      <w:r>
        <w:fldChar w:fldCharType="begin"/>
      </w:r>
      <w:r>
        <w:instrText xml:space="preserve"> REF _Ref371431794 \h  \* MERGEFORMAT </w:instrText>
      </w:r>
      <w:r>
        <w:fldChar w:fldCharType="separate"/>
      </w:r>
      <w:r>
        <w:t xml:space="preserve">205</w:t>
      </w:r>
      <w:r>
        <w:fldChar w:fldCharType="end"/>
      </w:r>
      <w:r>
        <w:t xml:space="preserve">. Форма содержит следующие закладки:</w:t>
      </w:r>
      <w:r/>
    </w:p>
    <w:p>
      <w:pPr>
        <w:pStyle w:val="985"/>
      </w:pPr>
      <w:r>
        <w:t xml:space="preserve">«Документы»;</w:t>
      </w:r>
      <w:r/>
    </w:p>
    <w:p>
      <w:pPr>
        <w:pStyle w:val="985"/>
      </w:pPr>
      <w:r>
        <w:t xml:space="preserve">«Дополнительные атрибуты»;</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126480" cy="4198620"/>
                <wp:effectExtent l="0" t="0" r="0" b="0"/>
                <wp:docPr id="30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74"/>
                        <a:stretch/>
                      </pic:blipFill>
                      <pic:spPr bwMode="auto">
                        <a:xfrm>
                          <a:off x="0" y="0"/>
                          <a:ext cx="6126480" cy="41986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3" o:spid="_x0000_s303" type="#_x0000_t75" style="mso-wrap-distance-left:0.0pt;mso-wrap-distance-top:0.0pt;mso-wrap-distance-right:0.0pt;mso-wrap-distance-bottom:0.0pt;width:482.4pt;height:330.6pt;" stroked="f">
                <v:path textboxrect="0,0,0,0"/>
                <v:imagedata r:id="rId274" o:title=""/>
              </v:shape>
            </w:pict>
          </mc:Fallback>
        </mc:AlternateContent>
      </w:r>
      <w:r/>
    </w:p>
    <w:p>
      <w:pPr>
        <w:pStyle w:val="983"/>
      </w:pPr>
      <w:r/>
      <w:bookmarkStart w:id="1461" w:name="_Ref318204513"/>
      <w:r>
        <w:fldChar w:fldCharType="begin"/>
      </w:r>
      <w:r>
        <w:instrText xml:space="preserve"> SEQ Рисунок \* ARABIC </w:instrText>
      </w:r>
      <w:r>
        <w:fldChar w:fldCharType="separate"/>
      </w:r>
      <w:bookmarkStart w:id="1462" w:name="_Ref371431944"/>
      <w:r/>
      <w:bookmarkStart w:id="1463" w:name="_Toc88819589"/>
      <w:r>
        <w:t xml:space="preserve">204</w:t>
      </w:r>
      <w:bookmarkEnd w:id="1462"/>
      <w:r>
        <w:fldChar w:fldCharType="end"/>
      </w:r>
      <w:r>
        <w:t xml:space="preserve">.</w:t>
      </w:r>
      <w:bookmarkEnd w:id="1461"/>
      <w:r>
        <w:t xml:space="preserve"> ЭФ документа «Перечень целевых субсидий</w:t>
      </w:r>
      <w:r>
        <w:t xml:space="preserve">», закладки «</w:t>
      </w:r>
      <w:r>
        <w:t xml:space="preserve">Документ»</w:t>
      </w:r>
      <w:bookmarkEnd w:id="1463"/>
      <w:r/>
      <w:r/>
    </w:p>
    <w:p>
      <w:pPr>
        <w:pStyle w:val="994"/>
      </w:pPr>
      <w:r>
        <w:t xml:space="preserve">Перечень полей документа «Перечень целевых </w:t>
      </w:r>
      <w:r>
        <w:t xml:space="preserve">субсидий», закладки «Документ»</w:t>
      </w:r>
      <w:r>
        <w:t xml:space="preserve"> </w:t>
      </w:r>
      <w:r>
        <w:t xml:space="preserve">приведен в таблице </w:t>
      </w:r>
      <w:r>
        <w:fldChar w:fldCharType="begin"/>
      </w:r>
      <w:r>
        <w:instrText xml:space="preserve"> REF _Ref318205310 \h  \* MERGEFORMAT </w:instrText>
      </w:r>
      <w:r>
        <w:fldChar w:fldCharType="separate"/>
      </w:r>
      <w:r>
        <w:t xml:space="preserve">109</w:t>
      </w:r>
      <w:r>
        <w:fldChar w:fldCharType="end"/>
      </w:r>
      <w:r>
        <w:t xml:space="preserve">.</w:t>
      </w:r>
      <w:r/>
    </w:p>
    <w:p>
      <w:pPr>
        <w:pStyle w:val="993"/>
      </w:pPr>
      <w:r>
        <w:fldChar w:fldCharType="begin"/>
      </w:r>
      <w:r>
        <w:instrText xml:space="preserve"> SEQ Таблица \* ARABIC </w:instrText>
      </w:r>
      <w:r>
        <w:fldChar w:fldCharType="separate"/>
      </w:r>
      <w:bookmarkStart w:id="1464" w:name="_Ref318205310"/>
      <w:r/>
      <w:bookmarkStart w:id="1465" w:name="_Toc88819295"/>
      <w:r>
        <w:t xml:space="preserve">109</w:t>
      </w:r>
      <w:bookmarkEnd w:id="1464"/>
      <w:r>
        <w:fldChar w:fldCharType="end"/>
      </w:r>
      <w:r>
        <w:t xml:space="preserve">. </w:t>
      </w:r>
      <w:r>
        <w:t xml:space="preserve">Описание</w:t>
      </w:r>
      <w:r>
        <w:t xml:space="preserve"> полей документа «Перечень целевых субсидий</w:t>
      </w:r>
      <w:r>
        <w:t xml:space="preserve">», закладки «</w:t>
      </w:r>
      <w:r>
        <w:t xml:space="preserve">Документ»</w:t>
      </w:r>
      <w:bookmarkEnd w:id="1465"/>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23"/>
        <w:gridCol w:w="7529"/>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14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60"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w:t>
            </w:r>
            <w:r>
              <w:t xml:space="preserve">уппа полей «Заголовок документа</w:t>
            </w:r>
            <w:r>
              <w:t xml:space="preserve">»</w:t>
            </w:r>
            <w:r/>
          </w:p>
        </w:tc>
      </w:tr>
      <w:tr>
        <w:trPr/>
        <w:tc>
          <w:tcPr>
            <w:shd w:val="clear" w:fill="auto" w:color="auto"/>
            <w:tcW w:w="1140" w:type="pct"/>
            <w:textDirection w:val="lrTb"/>
            <w:noWrap w:val="false"/>
          </w:tcPr>
          <w:p>
            <w:pPr>
              <w:pStyle w:val="1005"/>
              <w:ind w:left="57" w:right="57"/>
            </w:pPr>
            <w:r>
              <w:t xml:space="preserve">Номер</w:t>
            </w:r>
            <w:r/>
          </w:p>
        </w:tc>
        <w:tc>
          <w:tcPr>
            <w:shd w:val="clear" w:fill="auto" w:color="auto"/>
            <w:tcW w:w="3860" w:type="pct"/>
            <w:textDirection w:val="lrTb"/>
            <w:noWrap w:val="false"/>
          </w:tcPr>
          <w:p>
            <w:pPr>
              <w:pStyle w:val="1005"/>
              <w:ind w:left="57" w:right="57"/>
            </w:pPr>
            <w:r>
              <w:t xml:space="preserve">Значение рассчитывается автоматически на основании настроек для текущего типа документа в справочнике «Параметры автонумерации документов». </w:t>
            </w:r>
            <w:r/>
          </w:p>
          <w:p>
            <w:pPr>
              <w:pStyle w:val="1005"/>
              <w:ind w:left="57" w:right="57"/>
            </w:pPr>
            <w:r>
              <w:t xml:space="preserve">Может быть заполнено вручную.</w:t>
            </w:r>
            <w:r/>
          </w:p>
          <w:p>
            <w:pPr>
              <w:pStyle w:val="1005"/>
              <w:ind w:left="57" w:right="57"/>
            </w:pPr>
            <w:r>
              <w:t xml:space="preserve">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r/>
          </w:p>
        </w:tc>
      </w:tr>
      <w:tr>
        <w:trPr/>
        <w:tc>
          <w:tcPr>
            <w:shd w:val="clear" w:fill="auto" w:color="auto"/>
            <w:tcW w:w="1140" w:type="pct"/>
            <w:textDirection w:val="lrTb"/>
            <w:noWrap w:val="false"/>
          </w:tcPr>
          <w:p>
            <w:pPr>
              <w:pStyle w:val="1005"/>
              <w:ind w:left="57" w:right="57"/>
            </w:pPr>
            <w:r>
              <w:t xml:space="preserve">Год</w:t>
            </w:r>
            <w:r/>
          </w:p>
        </w:tc>
        <w:tc>
          <w:tcPr>
            <w:shd w:val="clear" w:fill="auto" w:color="auto"/>
            <w:tcW w:w="3860" w:type="pct"/>
            <w:textDirection w:val="lrTb"/>
            <w:noWrap w:val="false"/>
          </w:tcPr>
          <w:p>
            <w:pPr>
              <w:pStyle w:val="1005"/>
              <w:ind w:left="57" w:right="57"/>
            </w:pPr>
            <w:r>
              <w:t xml:space="preserve">ГРБС/ПБС: значение по умолчанию – «текущий год»; выбор из списка;</w:t>
            </w:r>
            <w:r/>
          </w:p>
          <w:p>
            <w:pPr>
              <w:pStyle w:val="1005"/>
              <w:ind w:left="57" w:right="57"/>
            </w:pPr>
            <w:r>
              <w:t xml:space="preserve">ОФК: значение поля вводится вручную.</w:t>
            </w:r>
            <w:r/>
          </w:p>
          <w:p>
            <w:pPr>
              <w:pStyle w:val="1005"/>
              <w:ind w:left="57" w:right="57"/>
            </w:pPr>
            <w:r>
              <w:t xml:space="preserve">Список доступных значений начинается с 2000 года.</w:t>
            </w:r>
            <w:r/>
          </w:p>
        </w:tc>
      </w:tr>
      <w:tr>
        <w:trPr/>
        <w:tc>
          <w:tcPr>
            <w:shd w:val="clear" w:fill="auto" w:color="auto"/>
            <w:tcW w:w="1140" w:type="pct"/>
            <w:textDirection w:val="lrTb"/>
            <w:noWrap w:val="false"/>
          </w:tcPr>
          <w:p>
            <w:pPr>
              <w:pStyle w:val="1005"/>
              <w:ind w:left="57" w:right="57"/>
            </w:pPr>
            <w:r>
              <w:t xml:space="preserve">Дата</w:t>
            </w:r>
            <w:r/>
          </w:p>
        </w:tc>
        <w:tc>
          <w:tcPr>
            <w:shd w:val="clear" w:fill="auto" w:color="auto"/>
            <w:tcW w:w="3860" w:type="pct"/>
            <w:textDirection w:val="lrTb"/>
            <w:noWrap w:val="false"/>
          </w:tcPr>
          <w:p>
            <w:pPr>
              <w:pStyle w:val="1005"/>
              <w:ind w:left="57" w:right="57"/>
            </w:pPr>
            <w:r>
              <w:t xml:space="preserve">ГРБС/ПБС/ОФК</w:t>
            </w:r>
            <w:r>
              <w:t xml:space="preserve">:</w:t>
            </w:r>
            <w:r/>
          </w:p>
          <w:p>
            <w:pPr>
              <w:pStyle w:val="1007"/>
            </w:pPr>
            <w:r>
              <w:t xml:space="preserve">заполняется по умолчанию текущей системной датой; </w:t>
            </w:r>
            <w:r/>
          </w:p>
          <w:p>
            <w:pPr>
              <w:pStyle w:val="1007"/>
            </w:pPr>
            <w:r>
              <w:t xml:space="preserve">значение поля вводится вручную.</w:t>
            </w:r>
            <w:r/>
          </w:p>
        </w:tc>
      </w:tr>
      <w:tr>
        <w:trPr/>
        <w:tc>
          <w:tcPr>
            <w:shd w:val="clear" w:fill="auto" w:color="auto"/>
            <w:tcW w:w="1140" w:type="pct"/>
            <w:textDirection w:val="lrTb"/>
            <w:noWrap w:val="false"/>
          </w:tcPr>
          <w:p>
            <w:pPr>
              <w:pStyle w:val="1005"/>
              <w:ind w:left="57" w:right="57"/>
            </w:pPr>
            <w:r>
              <w:t xml:space="preserve">Статус</w:t>
            </w:r>
            <w:r/>
          </w:p>
        </w:tc>
        <w:tc>
          <w:tcPr>
            <w:shd w:val="clear" w:fill="auto" w:color="auto"/>
            <w:tcW w:w="3860" w:type="pct"/>
            <w:textDirection w:val="lrTb"/>
            <w:noWrap w:val="false"/>
          </w:tcPr>
          <w:p>
            <w:pPr>
              <w:pStyle w:val="1005"/>
              <w:ind w:left="57" w:right="57"/>
            </w:pPr>
            <w:r>
              <w:t xml:space="preserve">Статус.</w:t>
            </w:r>
            <w:r/>
          </w:p>
        </w:tc>
      </w:tr>
      <w:tr>
        <w:trPr/>
        <w:tc>
          <w:tcPr>
            <w:shd w:val="clear" w:fill="auto" w:color="auto"/>
            <w:tcW w:w="1140" w:type="pct"/>
            <w:textDirection w:val="lrTb"/>
            <w:noWrap w:val="false"/>
          </w:tcPr>
          <w:p>
            <w:pPr>
              <w:pStyle w:val="1005"/>
              <w:ind w:left="57" w:right="57"/>
            </w:pPr>
            <w:r>
              <w:t xml:space="preserve">По ОКПО</w:t>
            </w:r>
            <w:r/>
          </w:p>
        </w:tc>
        <w:tc>
          <w:tcPr>
            <w:shd w:val="clear" w:fill="auto" w:color="auto"/>
            <w:tcW w:w="3860" w:type="pct"/>
            <w:textDirection w:val="lrTb"/>
            <w:noWrap w:val="false"/>
          </w:tcPr>
          <w:p>
            <w:pPr>
              <w:pStyle w:val="1005"/>
              <w:ind w:left="57" w:right="57"/>
            </w:pPr>
            <w:r>
              <w:t xml:space="preserve">ГРБС/ПБС/ОФК</w:t>
            </w:r>
            <w:r>
              <w:t xml:space="preserve">: значение поля вводится вручную.</w:t>
            </w:r>
            <w:r/>
          </w:p>
        </w:tc>
      </w:tr>
      <w:tr>
        <w:trPr/>
        <w:tc>
          <w:tcPr>
            <w:shd w:val="clear" w:fill="auto" w:color="auto"/>
            <w:tcW w:w="1140" w:type="pct"/>
            <w:textDirection w:val="lrTb"/>
            <w:noWrap w:val="false"/>
          </w:tcPr>
          <w:p>
            <w:pPr>
              <w:pStyle w:val="1005"/>
              <w:ind w:left="57" w:right="57"/>
            </w:pPr>
            <w:r>
              <w:t xml:space="preserve">По ОКТМО</w:t>
            </w:r>
            <w:r/>
          </w:p>
        </w:tc>
        <w:tc>
          <w:tcPr>
            <w:shd w:val="clear" w:fill="auto" w:color="auto"/>
            <w:tcW w:w="3860" w:type="pct"/>
            <w:textDirection w:val="lrTb"/>
            <w:noWrap w:val="false"/>
          </w:tcPr>
          <w:p>
            <w:pPr>
              <w:pStyle w:val="1005"/>
              <w:ind w:left="57" w:right="57"/>
            </w:pPr>
            <w:r>
              <w:t xml:space="preserve">ГРБС/ПБС/ОФК</w:t>
            </w:r>
            <w:r>
              <w:t xml:space="preserve">: значение поля вводится вручную или выбором из справочника «ОКТМО» (вывод списка значений с учётом актуальности диапазона дат на указанную дату документа).</w:t>
            </w:r>
            <w:r/>
          </w:p>
          <w:p>
            <w:pPr>
              <w:pStyle w:val="1005"/>
              <w:ind w:left="57" w:right="57"/>
            </w:pPr>
            <w:r>
              <w:t xml:space="preserve">Для ФБ поле не заполняется.</w:t>
            </w:r>
            <w:r/>
          </w:p>
        </w:tc>
      </w:tr>
      <w:tr>
        <w:trPr/>
        <w:tc>
          <w:tcPr>
            <w:shd w:val="clear" w:fill="auto" w:color="auto"/>
            <w:tcW w:w="1140" w:type="pct"/>
            <w:textDirection w:val="lrTb"/>
            <w:noWrap w:val="false"/>
          </w:tcPr>
          <w:p>
            <w:pPr>
              <w:pStyle w:val="1005"/>
              <w:ind w:left="57" w:right="57"/>
            </w:pPr>
            <w:r>
              <w:t xml:space="preserve">Бюджет (наименование)</w:t>
            </w:r>
            <w:r/>
          </w:p>
        </w:tc>
        <w:tc>
          <w:tcPr>
            <w:shd w:val="clear" w:fill="auto" w:color="auto"/>
            <w:tcW w:w="3860" w:type="pct"/>
            <w:textDirection w:val="lrTb"/>
            <w:noWrap w:val="false"/>
          </w:tcPr>
          <w:p>
            <w:pPr>
              <w:pStyle w:val="1005"/>
              <w:ind w:left="57" w:right="57"/>
            </w:pPr>
            <w:r>
              <w:t xml:space="preserve">ГРБС/ПБС: заполняется автоматически на сновании системной константы; выбор из справочника «Бюджеты»; заполнение поля вручную</w:t>
            </w:r>
            <w:r>
              <w:t xml:space="preserve">.</w:t>
            </w:r>
            <w:r/>
          </w:p>
          <w:p>
            <w:pPr>
              <w:pStyle w:val="1005"/>
              <w:ind w:left="57" w:right="57"/>
            </w:pPr>
            <w:r>
              <w:t xml:space="preserve">ОФК: значение поля вводится вручную.</w:t>
            </w:r>
            <w:r/>
          </w:p>
        </w:tc>
      </w:tr>
      <w:tr>
        <w:trPr/>
        <w:tc>
          <w:tcPr>
            <w:gridSpan w:val="2"/>
            <w:shd w:val="clear" w:fill="auto" w:color="auto"/>
            <w:tcW w:w="5000" w:type="pct"/>
            <w:textDirection w:val="lrTb"/>
            <w:noWrap w:val="false"/>
          </w:tcPr>
          <w:p>
            <w:pPr>
              <w:pStyle w:val="1005"/>
              <w:ind w:left="57" w:right="57"/>
            </w:pPr>
            <w:r>
              <w:t xml:space="preserve">Группа полей «Учредитель»</w:t>
            </w:r>
            <w:r/>
          </w:p>
        </w:tc>
      </w:tr>
      <w:tr>
        <w:trPr/>
        <w:tc>
          <w:tcPr>
            <w:shd w:val="clear" w:fill="auto" w:color="auto"/>
            <w:tcW w:w="1140" w:type="pct"/>
            <w:textDirection w:val="lrTb"/>
            <w:noWrap w:val="false"/>
          </w:tcPr>
          <w:p>
            <w:pPr>
              <w:pStyle w:val="1005"/>
              <w:ind w:left="57" w:right="57"/>
            </w:pPr>
            <w:r>
              <w:t xml:space="preserve">Наименование </w:t>
            </w:r>
            <w:r/>
          </w:p>
        </w:tc>
        <w:tc>
          <w:tcPr>
            <w:shd w:val="clear" w:fill="auto" w:color="auto"/>
            <w:tcW w:w="3860" w:type="pct"/>
            <w:textDirection w:val="lrTb"/>
            <w:noWrap w:val="false"/>
          </w:tcPr>
          <w:p>
            <w:pPr>
              <w:pStyle w:val="1005"/>
              <w:ind w:left="57" w:right="57"/>
            </w:pPr>
            <w:r>
              <w:t xml:space="preserve">ГРБС</w:t>
            </w:r>
            <w:r>
              <w:t xml:space="preserve">/ПБС:</w:t>
            </w:r>
            <w:r>
              <w:t xml:space="preserve"> заполняется автоматически на основании системной константы: </w:t>
            </w:r>
            <w:r/>
          </w:p>
          <w:p>
            <w:pPr>
              <w:pStyle w:val="1007"/>
            </w:pPr>
            <w:r>
              <w:t xml:space="preserve">если Дата НПА не наступила или Дата НПА наступила </w:t>
            </w:r>
            <w:r>
              <w:t xml:space="preserve">и организация отсутствует в СР (SystemDate &lt; SUFD-80395_StartDate или SystemDate =&gt; SUFD-80395_StartDate и Признак перехода на СР=0), то на основании системной константы SelfBUCode, при этом значение SelfBUCode должно быть равно коду РУБП справочника хУБП;</w:t>
            </w:r>
            <w:r/>
          </w:p>
          <w:p>
            <w:pPr>
              <w:pStyle w:val="1007"/>
            </w:pPr>
            <w:r>
              <w:t xml:space="preserve">если Дата НПА не н</w:t>
            </w:r>
            <w:r>
              <w:t xml:space="preserve">аступила и организация присутствует в СР (SystemDate &lt; SUFD-80395_StartDate и Признак перехода на СР=1), то на основании системной константы SelfBUCode, при этом значение SelfBUCode должно быть равно в справочнике СР значению поля «Учётный номер клиента»; </w:t>
            </w:r>
            <w:r/>
          </w:p>
          <w:p>
            <w:pPr>
              <w:pStyle w:val="1007"/>
            </w:pPr>
            <w:r>
              <w:t xml:space="preserve">если Дата НПА </w:t>
            </w:r>
            <w:r>
              <w:t xml:space="preserve">наступила и организация присутствует в СР (SystemDate =&gt; SUFD-80395_StartDate и Признак перехода на СР=1), то на основании системной константы SelfSRCode, при этом значение SelfSRCode должно быть равно в справочнике СР значению поля «Код организации по СР»</w:t>
            </w:r>
            <w:r/>
          </w:p>
          <w:p>
            <w:pPr>
              <w:pStyle w:val="1005"/>
              <w:ind w:left="57" w:right="57"/>
            </w:pPr>
            <w:r>
              <w:t xml:space="preserve">из справочников СРРПБС/ПУБП или СР:</w:t>
            </w:r>
            <w:r/>
          </w:p>
          <w:p>
            <w:pPr>
              <w:pStyle w:val="1008"/>
              <w:numPr>
                <w:ilvl w:val="0"/>
                <w:numId w:val="89"/>
              </w:numPr>
            </w:pPr>
            <w:r>
              <w:t xml:space="preserve">СРРПБС для ФБ, если значение поля «Дата» &lt; значения настройки «Дата завершения перехода на Сводный реестр» + значение поля «Переход на СР» = 0.</w:t>
            </w:r>
            <w:r/>
          </w:p>
          <w:p>
            <w:pPr>
              <w:pStyle w:val="1008"/>
            </w:pPr>
            <w:r>
              <w:t xml:space="preserve">ПУБП для бюджета МБ/БС, если значение поля «Дата» &lt; значения настройки «Дата завершения перехода на Сводный реестр» + значение поля «Переход на СР» = 0.</w:t>
            </w:r>
            <w:r/>
          </w:p>
          <w:p>
            <w:pPr>
              <w:pStyle w:val="1008"/>
            </w:pPr>
            <w:r>
              <w:t xml:space="preserve">СР с учётом ограничения по бюджету (поле в справочнике «Наименование бюджета» закладки «Сведения о бюджете» = значению поля «Бюджет (наименование)» документа):</w:t>
            </w:r>
            <w:r/>
          </w:p>
          <w:p>
            <w:pPr>
              <w:pStyle w:val="1007"/>
            </w:pPr>
            <w:r>
              <w:t xml:space="preserve">если текущая системная дата =&gt; 01.01.2016 + значение поля «Дата» &lt; значения настройки «Дата завершения перехода на Сводный реестр» + значение поля «Переход на СР» = 1;</w:t>
            </w:r>
            <w:r/>
          </w:p>
          <w:p>
            <w:pPr>
              <w:pStyle w:val="1007"/>
            </w:pPr>
            <w:r>
              <w:t xml:space="preserve">или если текущая системная дата =&gt; 01.01.2016 + значение поля «Дата» &gt; значения настройки «Дата завершения перехода на Сводный реестр».</w:t>
            </w:r>
            <w:r/>
          </w:p>
          <w:p>
            <w:pPr>
              <w:pStyle w:val="1005"/>
              <w:ind w:left="57" w:right="57"/>
            </w:pPr>
            <w:r>
              <w:t xml:space="preserve">Возможно заполнение поля вручную</w:t>
            </w:r>
            <w:r>
              <w:t xml:space="preserve">.</w:t>
            </w:r>
            <w:r/>
          </w:p>
          <w:p>
            <w:pPr>
              <w:pStyle w:val="1005"/>
              <w:ind w:left="57" w:right="57"/>
            </w:pPr>
            <w:r>
              <w:t xml:space="preserve">ОФК: значение поля вводится вручную.</w:t>
            </w:r>
            <w:r/>
          </w:p>
        </w:tc>
      </w:tr>
      <w:tr>
        <w:trPr/>
        <w:tc>
          <w:tcPr>
            <w:shd w:val="clear" w:fill="auto" w:color="auto"/>
            <w:tcW w:w="1140" w:type="pct"/>
            <w:textDirection w:val="lrTb"/>
            <w:noWrap w:val="false"/>
          </w:tcPr>
          <w:p>
            <w:pPr>
              <w:pStyle w:val="1005"/>
              <w:ind w:left="57" w:right="57"/>
            </w:pPr>
            <w:r>
              <w:t xml:space="preserve">Код главы по БК</w:t>
            </w:r>
            <w:r/>
          </w:p>
        </w:tc>
        <w:tc>
          <w:tcPr>
            <w:shd w:val="clear" w:fill="auto" w:color="auto"/>
            <w:tcW w:w="3860" w:type="pct"/>
            <w:textDirection w:val="lrTb"/>
            <w:noWrap w:val="false"/>
          </w:tcPr>
          <w:p>
            <w:pPr>
              <w:pStyle w:val="1005"/>
              <w:ind w:left="57" w:right="57"/>
            </w:pPr>
            <w:r>
              <w:t xml:space="preserve">ГРБС/ПБС: заполняется автоматически на сновании системной константы; выбор из справочника «Ведомства»; заполнение поля вручную</w:t>
            </w:r>
            <w:r>
              <w:t xml:space="preserve">.</w:t>
            </w:r>
            <w:r/>
          </w:p>
          <w:p>
            <w:pPr>
              <w:pStyle w:val="1005"/>
              <w:ind w:left="57" w:right="57"/>
            </w:pPr>
            <w:r>
              <w:t xml:space="preserve">ОФК: значение поля вводится вручную.</w:t>
            </w:r>
            <w:r/>
          </w:p>
        </w:tc>
      </w:tr>
      <w:tr>
        <w:trPr/>
        <w:tc>
          <w:tcPr>
            <w:gridSpan w:val="2"/>
            <w:shd w:val="clear" w:fill="auto" w:color="auto"/>
            <w:tcW w:w="5000" w:type="pct"/>
            <w:textDirection w:val="lrTb"/>
            <w:noWrap w:val="false"/>
          </w:tcPr>
          <w:p>
            <w:pPr>
              <w:pStyle w:val="1005"/>
              <w:ind w:left="57" w:right="57"/>
            </w:pPr>
            <w:r>
              <w:t xml:space="preserve">Группа полей «Орган</w:t>
            </w:r>
            <w:r>
              <w:t xml:space="preserve">,</w:t>
            </w:r>
            <w:r>
              <w:t xml:space="preserve"> осуществляющий ведение ЛС по иным субсидиям»</w:t>
            </w:r>
            <w:r/>
          </w:p>
        </w:tc>
      </w:tr>
      <w:tr>
        <w:trPr/>
        <w:tc>
          <w:tcPr>
            <w:shd w:val="clear" w:fill="auto" w:color="auto"/>
            <w:tcW w:w="1140" w:type="pct"/>
            <w:textDirection w:val="lrTb"/>
            <w:noWrap w:val="false"/>
          </w:tcPr>
          <w:p>
            <w:pPr>
              <w:pStyle w:val="1005"/>
              <w:ind w:left="57" w:right="57"/>
            </w:pPr>
            <w:r>
              <w:t xml:space="preserve">Наименование </w:t>
            </w:r>
            <w:r/>
          </w:p>
        </w:tc>
        <w:tc>
          <w:tcPr>
            <w:shd w:val="clear" w:fill="auto" w:color="auto"/>
            <w:tcW w:w="3860" w:type="pct"/>
            <w:textDirection w:val="lrTb"/>
            <w:noWrap w:val="false"/>
          </w:tcPr>
          <w:p>
            <w:pPr>
              <w:pStyle w:val="1005"/>
              <w:ind w:left="57" w:right="57"/>
            </w:pPr>
            <w:r>
              <w:t xml:space="preserve">ГРБС/ПБС: для ФБ значение заполняется автоматически = «Межрегиональное операционное управление Федерального казначейства»; для бюджета отличного от Федерального, заполняется наи</w:t>
            </w:r>
            <w:r>
              <w:t xml:space="preserve">менованием текущего УФК</w:t>
            </w:r>
            <w:r>
              <w:t xml:space="preserve"> из </w:t>
            </w:r>
            <w:r>
              <w:t xml:space="preserve">справочника «Органов ФК»; заполнение поля вручную</w:t>
            </w:r>
            <w:r>
              <w:t xml:space="preserve">.</w:t>
            </w:r>
            <w:r/>
          </w:p>
          <w:p>
            <w:pPr>
              <w:pStyle w:val="1005"/>
              <w:ind w:left="57" w:right="57"/>
            </w:pPr>
            <w:r>
              <w:t xml:space="preserve">ОФК: значение поля вводится вручную.</w:t>
            </w:r>
            <w:r/>
          </w:p>
        </w:tc>
      </w:tr>
      <w:tr>
        <w:trPr/>
        <w:tc>
          <w:tcPr>
            <w:shd w:val="clear" w:fill="auto" w:color="auto"/>
            <w:tcW w:w="1140" w:type="pct"/>
            <w:textDirection w:val="lrTb"/>
            <w:noWrap w:val="false"/>
          </w:tcPr>
          <w:p>
            <w:pPr>
              <w:pStyle w:val="1005"/>
              <w:ind w:left="57" w:right="57"/>
            </w:pPr>
            <w:r>
              <w:t xml:space="preserve">Код главы по БК</w:t>
            </w:r>
            <w:r/>
          </w:p>
        </w:tc>
        <w:tc>
          <w:tcPr>
            <w:shd w:val="clear" w:fill="auto" w:color="auto"/>
            <w:tcW w:w="3860" w:type="pct"/>
            <w:textDirection w:val="lrTb"/>
            <w:noWrap w:val="false"/>
          </w:tcPr>
          <w:p>
            <w:pPr>
              <w:pStyle w:val="1005"/>
              <w:ind w:left="57" w:right="57"/>
            </w:pPr>
            <w:r>
              <w:t xml:space="preserve">ГРБС/ПБС: поле заполняется автоматически значением = «100»; заполнение поля вручную</w:t>
            </w:r>
            <w:r>
              <w:t xml:space="preserve">.</w:t>
            </w:r>
            <w:r/>
          </w:p>
          <w:p>
            <w:pPr>
              <w:pStyle w:val="1005"/>
              <w:ind w:left="57" w:right="57"/>
            </w:pPr>
            <w:r>
              <w:t xml:space="preserve">ОФК: значение поля вводится вручную.</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«Перечень целевых субсидий»</w:t>
            </w:r>
            <w:r>
              <w:t xml:space="preserve"> </w:t>
            </w:r>
            <w:r/>
          </w:p>
        </w:tc>
      </w:tr>
      <w:tr>
        <w:trPr/>
        <w:tc>
          <w:tcPr>
            <w:shd w:val="clear" w:fill="auto" w:color="auto"/>
            <w:tcW w:w="1140" w:type="pct"/>
            <w:textDirection w:val="lrTb"/>
            <w:noWrap w:val="false"/>
          </w:tcPr>
          <w:p>
            <w:pPr>
              <w:pStyle w:val="1005"/>
              <w:ind w:left="57" w:right="57"/>
            </w:pPr>
            <w:r>
              <w:t xml:space="preserve">Код целевой субсидии</w:t>
            </w:r>
            <w:r/>
          </w:p>
        </w:tc>
        <w:tc>
          <w:tcPr>
            <w:shd w:val="clear" w:fill="auto" w:color="auto"/>
            <w:tcW w:w="3860" w:type="pct"/>
            <w:textDirection w:val="lrTb"/>
            <w:noWrap w:val="false"/>
          </w:tcPr>
          <w:p>
            <w:pPr>
              <w:pStyle w:val="1005"/>
              <w:ind w:left="57" w:right="57"/>
            </w:pPr>
            <w:r>
              <w:t xml:space="preserve">ГРБС/ПБС: выбор из справочника «Код субсидий 72н»; заполнение поля вручную</w:t>
            </w:r>
            <w:r>
              <w:t xml:space="preserve">. </w:t>
            </w:r>
            <w:r/>
          </w:p>
          <w:p>
            <w:pPr>
              <w:pStyle w:val="1005"/>
              <w:ind w:left="57" w:right="57"/>
            </w:pPr>
            <w:r>
              <w:t xml:space="preserve">ОФК: значение поля вводится вручную.</w:t>
            </w:r>
            <w:r/>
          </w:p>
        </w:tc>
      </w:tr>
      <w:tr>
        <w:trPr/>
        <w:tc>
          <w:tcPr>
            <w:shd w:val="clear" w:fill="auto" w:color="auto"/>
            <w:tcW w:w="1140" w:type="pct"/>
            <w:textDirection w:val="lrTb"/>
            <w:noWrap w:val="false"/>
          </w:tcPr>
          <w:p>
            <w:pPr>
              <w:pStyle w:val="1005"/>
              <w:ind w:left="57" w:right="57"/>
            </w:pPr>
            <w:r>
              <w:t xml:space="preserve">Наименование целевой субсидии</w:t>
            </w:r>
            <w:r/>
          </w:p>
        </w:tc>
        <w:tc>
          <w:tcPr>
            <w:shd w:val="clear" w:fill="auto" w:color="auto"/>
            <w:tcW w:w="3860" w:type="pct"/>
            <w:textDirection w:val="lrTb"/>
            <w:noWrap w:val="false"/>
          </w:tcPr>
          <w:p>
            <w:pPr>
              <w:pStyle w:val="1005"/>
              <w:ind w:left="57" w:right="57"/>
            </w:pPr>
            <w:r>
              <w:t xml:space="preserve">ГРБС/ПБС: заполняется на основании кода ЦС из справочника «Код субсидий 72н» или справочника ФАИП, если в поле «Код целевой субсидии» присутствует значение «ФАИП»;</w:t>
            </w:r>
            <w:r>
              <w:t xml:space="preserve"> </w:t>
            </w:r>
            <w:r>
              <w:t xml:space="preserve">заполнение поля вручную</w:t>
            </w:r>
            <w:r>
              <w:t xml:space="preserve">.</w:t>
            </w:r>
            <w:r/>
          </w:p>
          <w:p>
            <w:pPr>
              <w:pStyle w:val="1005"/>
              <w:ind w:left="57" w:right="57"/>
            </w:pPr>
            <w:r>
              <w:t xml:space="preserve">ОФК: значение поля вводится вручную.</w:t>
            </w:r>
            <w:r/>
          </w:p>
        </w:tc>
      </w:tr>
      <w:tr>
        <w:trPr/>
        <w:tc>
          <w:tcPr>
            <w:shd w:val="clear" w:fill="auto" w:color="auto"/>
            <w:tcW w:w="1140" w:type="pct"/>
            <w:textDirection w:val="lrTb"/>
            <w:noWrap w:val="false"/>
          </w:tcPr>
          <w:p>
            <w:pPr>
              <w:pStyle w:val="1005"/>
              <w:ind w:left="57" w:right="57"/>
            </w:pPr>
            <w:r>
              <w:t xml:space="preserve">КБК</w:t>
            </w:r>
            <w:r/>
          </w:p>
        </w:tc>
        <w:tc>
          <w:tcPr>
            <w:shd w:val="clear" w:fill="auto" w:color="auto"/>
            <w:tcW w:w="3860" w:type="pct"/>
            <w:textDirection w:val="lrTb"/>
            <w:noWrap w:val="false"/>
          </w:tcPr>
          <w:p>
            <w:pPr>
              <w:pStyle w:val="1005"/>
              <w:ind w:left="57" w:right="57"/>
            </w:pPr>
            <w:r>
              <w:t xml:space="preserve">ГРБС/ПБС: выбор из справочника «КБК»; заполнение поля вручную</w:t>
            </w:r>
            <w:r>
              <w:t xml:space="preserve">.</w:t>
            </w:r>
            <w:r>
              <w:t xml:space="preserve"> </w:t>
            </w:r>
            <w:r/>
          </w:p>
          <w:p>
            <w:pPr>
              <w:pStyle w:val="1005"/>
              <w:ind w:left="57" w:right="57"/>
            </w:pPr>
            <w:r>
              <w:t xml:space="preserve">ОФК: значение поля вводится вручную.</w:t>
            </w:r>
            <w:r/>
          </w:p>
        </w:tc>
      </w:tr>
      <w:tr>
        <w:trPr/>
        <w:tc>
          <w:tcPr>
            <w:shd w:val="clear" w:fill="auto" w:color="auto"/>
            <w:tcW w:w="1140" w:type="pct"/>
            <w:textDirection w:val="lrTb"/>
            <w:noWrap w:val="false"/>
          </w:tcPr>
          <w:p>
            <w:pPr>
              <w:pStyle w:val="1005"/>
              <w:ind w:left="57" w:right="57"/>
            </w:pPr>
            <w:r>
              <w:t xml:space="preserve">Код объекта ФАИП</w:t>
            </w:r>
            <w:r/>
          </w:p>
        </w:tc>
        <w:tc>
          <w:tcPr>
            <w:shd w:val="clear" w:fill="auto" w:color="auto"/>
            <w:tcW w:w="3860" w:type="pct"/>
            <w:textDirection w:val="lrTb"/>
            <w:noWrap w:val="false"/>
          </w:tcPr>
          <w:p>
            <w:pPr>
              <w:pStyle w:val="1005"/>
              <w:ind w:left="57" w:right="57"/>
            </w:pPr>
            <w:r>
              <w:t xml:space="preserve">ГРБС/ПБС: выбор из справочника «ФАИП»; заполнение поля вручную</w:t>
            </w:r>
            <w:r>
              <w:t xml:space="preserve">.</w:t>
            </w:r>
            <w:r/>
          </w:p>
          <w:p>
            <w:pPr>
              <w:pStyle w:val="1005"/>
              <w:ind w:left="57" w:right="57"/>
            </w:pPr>
            <w:r>
              <w:t xml:space="preserve">ОФК: значение поля вводится вручную.</w:t>
            </w:r>
            <w:r/>
          </w:p>
        </w:tc>
      </w:tr>
      <w:tr>
        <w:trPr/>
        <w:tc>
          <w:tcPr>
            <w:shd w:val="clear" w:fill="auto" w:color="auto"/>
            <w:tcW w:w="1140" w:type="pct"/>
            <w:textDirection w:val="lrTb"/>
            <w:noWrap w:val="false"/>
          </w:tcPr>
          <w:p>
            <w:pPr>
              <w:pStyle w:val="1005"/>
              <w:ind w:left="57" w:right="57"/>
            </w:pPr>
            <w:r>
              <w:t xml:space="preserve">Наименование НПА</w:t>
            </w:r>
            <w:r/>
          </w:p>
        </w:tc>
        <w:tc>
          <w:tcPr>
            <w:shd w:val="clear" w:fill="auto" w:color="auto"/>
            <w:tcW w:w="3860" w:type="pct"/>
            <w:textDirection w:val="lrTb"/>
            <w:noWrap w:val="false"/>
          </w:tcPr>
          <w:p>
            <w:pPr>
              <w:pStyle w:val="1005"/>
              <w:ind w:left="57" w:right="57"/>
            </w:pPr>
            <w:r>
              <w:t xml:space="preserve">ГРБС/ПБС/ОФК</w:t>
            </w:r>
            <w:r>
              <w:t xml:space="preserve">: значение поля вводится вручную.</w:t>
            </w:r>
            <w:r/>
          </w:p>
          <w:p>
            <w:pPr>
              <w:pStyle w:val="1005"/>
              <w:ind w:left="57" w:right="57"/>
            </w:pPr>
            <w:r>
              <w:t xml:space="preserve">Необязательно для заполнения, если в поле «Код целевой субсидии» указано значение «ФАИП».</w:t>
            </w:r>
            <w:r/>
          </w:p>
        </w:tc>
      </w:tr>
      <w:tr>
        <w:trPr/>
        <w:tc>
          <w:tcPr>
            <w:shd w:val="clear" w:fill="auto" w:color="auto"/>
            <w:tcW w:w="1140" w:type="pct"/>
            <w:textDirection w:val="lrTb"/>
            <w:noWrap w:val="false"/>
          </w:tcPr>
          <w:p>
            <w:pPr>
              <w:pStyle w:val="1005"/>
              <w:ind w:left="57" w:right="57"/>
            </w:pPr>
            <w:r>
              <w:t xml:space="preserve">Дата НПА</w:t>
            </w:r>
            <w:r/>
          </w:p>
        </w:tc>
        <w:tc>
          <w:tcPr>
            <w:shd w:val="clear" w:fill="auto" w:color="auto"/>
            <w:tcW w:w="3860" w:type="pct"/>
            <w:textDirection w:val="lrTb"/>
            <w:noWrap w:val="false"/>
          </w:tcPr>
          <w:p>
            <w:pPr>
              <w:pStyle w:val="1005"/>
              <w:ind w:left="57" w:right="57"/>
            </w:pPr>
            <w:r>
              <w:t xml:space="preserve">ГРБС/ПБС/ОФК</w:t>
            </w:r>
            <w:r>
              <w:t xml:space="preserve">: значение поля вводится вручную.</w:t>
            </w:r>
            <w:r/>
          </w:p>
          <w:p>
            <w:pPr>
              <w:pStyle w:val="1005"/>
              <w:ind w:left="57" w:right="57"/>
            </w:pPr>
            <w:r>
              <w:t xml:space="preserve">Необязательно для заполнения, если в поле «Код целевой субсидии» указано значение «ФАИП».</w:t>
            </w:r>
            <w:r/>
          </w:p>
        </w:tc>
      </w:tr>
      <w:tr>
        <w:trPr/>
        <w:tc>
          <w:tcPr>
            <w:shd w:val="clear" w:fill="auto" w:color="auto"/>
            <w:tcW w:w="1140" w:type="pct"/>
            <w:textDirection w:val="lrTb"/>
            <w:noWrap w:val="false"/>
          </w:tcPr>
          <w:p>
            <w:pPr>
              <w:pStyle w:val="1005"/>
              <w:ind w:left="57" w:right="57"/>
            </w:pPr>
            <w:r>
              <w:t xml:space="preserve">Номер НПА</w:t>
            </w:r>
            <w:r/>
          </w:p>
        </w:tc>
        <w:tc>
          <w:tcPr>
            <w:shd w:val="clear" w:fill="auto" w:color="auto"/>
            <w:tcW w:w="3860" w:type="pct"/>
            <w:textDirection w:val="lrTb"/>
            <w:noWrap w:val="false"/>
          </w:tcPr>
          <w:p>
            <w:pPr>
              <w:pStyle w:val="1005"/>
              <w:ind w:left="57" w:right="57"/>
            </w:pPr>
            <w:r>
              <w:t xml:space="preserve">ГРБС/ПБС/ОФК</w:t>
            </w:r>
            <w:r>
              <w:t xml:space="preserve">: значение поля вводится вручную.</w:t>
            </w:r>
            <w:r/>
          </w:p>
          <w:p>
            <w:pPr>
              <w:pStyle w:val="1005"/>
              <w:ind w:left="57" w:right="57"/>
            </w:pPr>
            <w:r>
              <w:t xml:space="preserve">Необязательно для заполнения, если в поле «Код целевой субсидии» указано значение «ФАИП».</w:t>
            </w:r>
            <w:r/>
          </w:p>
        </w:tc>
      </w:tr>
    </w:tbl>
    <w:p>
      <w:pPr>
        <w:pStyle w:val="994"/>
      </w:pPr>
      <w:r>
        <w:t xml:space="preserve">ЭФ документа «Перечень целевых субсидий</w:t>
      </w:r>
      <w:r>
        <w:t xml:space="preserve">», закладки «</w:t>
      </w:r>
      <w:r>
        <w:t xml:space="preserve">Дополнительные атрибуты»</w:t>
      </w:r>
      <w:r>
        <w:t xml:space="preserve"> </w:t>
      </w:r>
      <w:r>
        <w:t xml:space="preserve">представлена </w:t>
      </w:r>
      <w:r>
        <w:t xml:space="preserve">н</w:t>
      </w:r>
      <w:r>
        <w:t xml:space="preserve">а рисунке </w:t>
      </w:r>
      <w:r>
        <w:fldChar w:fldCharType="begin"/>
      </w:r>
      <w:r>
        <w:instrText xml:space="preserve"> REF _Ref371431794 \h  \* MERGEFORMAT </w:instrText>
      </w:r>
      <w:r>
        <w:fldChar w:fldCharType="separate"/>
      </w:r>
      <w:r>
        <w:t xml:space="preserve">205</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4114800"/>
                <wp:effectExtent l="0" t="0" r="0" b="0"/>
                <wp:docPr id="30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75"/>
                        <a:stretch/>
                      </pic:blipFill>
                      <pic:spPr bwMode="auto">
                        <a:xfrm>
                          <a:off x="0" y="0"/>
                          <a:ext cx="6126480" cy="4114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4" o:spid="_x0000_s304" type="#_x0000_t75" style="mso-wrap-distance-left:0.0pt;mso-wrap-distance-top:0.0pt;mso-wrap-distance-right:0.0pt;mso-wrap-distance-bottom:0.0pt;width:482.4pt;height:324.0pt;" stroked="f">
                <v:path textboxrect="0,0,0,0"/>
                <v:imagedata r:id="rId275" o:title=""/>
              </v:shape>
            </w:pict>
          </mc:Fallback>
        </mc:AlternateContent>
      </w:r>
      <w:r/>
    </w:p>
    <w:p>
      <w:pPr>
        <w:pStyle w:val="983"/>
      </w:pPr>
      <w:r/>
      <w:bookmarkStart w:id="1466" w:name="_Ref318205140"/>
      <w:r>
        <w:fldChar w:fldCharType="begin"/>
      </w:r>
      <w:r>
        <w:instrText xml:space="preserve"> SEQ Рисунок \* ARABIC </w:instrText>
      </w:r>
      <w:r>
        <w:fldChar w:fldCharType="separate"/>
      </w:r>
      <w:bookmarkStart w:id="1467" w:name="_Ref371431794"/>
      <w:r/>
      <w:bookmarkStart w:id="1468" w:name="_Toc88819590"/>
      <w:r>
        <w:t xml:space="preserve">205</w:t>
      </w:r>
      <w:bookmarkEnd w:id="1467"/>
      <w:r>
        <w:fldChar w:fldCharType="end"/>
      </w:r>
      <w:r>
        <w:t xml:space="preserve">. ЭФ документа «Перечень целевых субсидий</w:t>
      </w:r>
      <w:r>
        <w:t xml:space="preserve">», закладки «</w:t>
      </w:r>
      <w:r>
        <w:t xml:space="preserve">Дополнительные атрибуты»</w:t>
      </w:r>
      <w:bookmarkEnd w:id="1466"/>
      <w:r/>
      <w:bookmarkEnd w:id="1468"/>
      <w:r/>
      <w:r/>
    </w:p>
    <w:p>
      <w:pPr>
        <w:pStyle w:val="994"/>
      </w:pPr>
      <w:r>
        <w:t xml:space="preserve">Перечень полей документа </w:t>
      </w:r>
      <w:r>
        <w:t xml:space="preserve">«Перечень целевых субсидий», закладки «Дополнительные атрибуты»</w:t>
      </w:r>
      <w:r>
        <w:t xml:space="preserve"> приведен в таблице </w:t>
      </w:r>
      <w:r>
        <w:fldChar w:fldCharType="begin"/>
      </w:r>
      <w:r>
        <w:instrText xml:space="preserve"> REF _Ref318715088 \h  \* MERGEFORMAT </w:instrText>
      </w:r>
      <w:r>
        <w:fldChar w:fldCharType="separate"/>
      </w:r>
      <w:r>
        <w:t xml:space="preserve">110</w:t>
      </w:r>
      <w:r>
        <w:fldChar w:fldCharType="end"/>
      </w:r>
      <w:r>
        <w:t xml:space="preserve">.</w:t>
      </w:r>
      <w:r/>
    </w:p>
    <w:p>
      <w:pPr>
        <w:pStyle w:val="993"/>
      </w:pPr>
      <w:r>
        <w:fldChar w:fldCharType="begin"/>
      </w:r>
      <w:r>
        <w:instrText xml:space="preserve"> SEQ Таблица \* ARABIC </w:instrText>
      </w:r>
      <w:r>
        <w:fldChar w:fldCharType="separate"/>
      </w:r>
      <w:bookmarkStart w:id="1469" w:name="_Ref318715088"/>
      <w:r/>
      <w:bookmarkStart w:id="1470" w:name="_Toc88819296"/>
      <w:r>
        <w:t xml:space="preserve">110</w:t>
      </w:r>
      <w:bookmarkEnd w:id="1469"/>
      <w:r>
        <w:fldChar w:fldCharType="end"/>
      </w:r>
      <w:r>
        <w:t xml:space="preserve">. </w:t>
      </w:r>
      <w:r>
        <w:t xml:space="preserve">Описание </w:t>
      </w:r>
      <w:r>
        <w:t xml:space="preserve">полей документа «Перечень целевых субсидий</w:t>
      </w:r>
      <w:r>
        <w:t xml:space="preserve">», закладки «</w:t>
      </w:r>
      <w:r>
        <w:t xml:space="preserve">Дополнительные атрибуты»</w:t>
      </w:r>
      <w:bookmarkEnd w:id="1470"/>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4189"/>
        <w:gridCol w:w="5563"/>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2148"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852"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«Реквизиты подписей. Руководители»</w:t>
            </w:r>
            <w:r/>
          </w:p>
        </w:tc>
      </w:tr>
      <w:tr>
        <w:trPr/>
        <w:tc>
          <w:tcPr>
            <w:shd w:val="clear" w:fill="auto" w:color="auto"/>
            <w:tcW w:w="2148" w:type="pct"/>
            <w:textDirection w:val="lrTb"/>
            <w:noWrap w:val="false"/>
          </w:tcPr>
          <w:p>
            <w:pPr>
              <w:pStyle w:val="1005"/>
              <w:ind w:left="57" w:right="57"/>
            </w:pPr>
            <w:r>
              <w:t xml:space="preserve">Руководитель (расшифровка подписи)</w:t>
            </w:r>
            <w:r/>
          </w:p>
        </w:tc>
        <w:tc>
          <w:tcPr>
            <w:shd w:val="clear" w:fill="auto" w:color="auto"/>
            <w:tcW w:w="2852" w:type="pct"/>
            <w:textDirection w:val="lrTb"/>
            <w:noWrap w:val="false"/>
          </w:tcPr>
          <w:p>
            <w:pPr>
              <w:pStyle w:val="1005"/>
              <w:ind w:left="57" w:right="57"/>
            </w:pPr>
            <w:r>
              <w:t xml:space="preserve">ГРБС</w:t>
            </w:r>
            <w:r>
              <w:t xml:space="preserve">/ПБС</w:t>
            </w:r>
            <w:r>
              <w:t xml:space="preserve">: заполняется автоматически при подписании ЭП данными подписанта</w:t>
            </w:r>
            <w:r>
              <w:t xml:space="preserve">.</w:t>
            </w:r>
            <w:r/>
          </w:p>
          <w:p>
            <w:pPr>
              <w:pStyle w:val="1005"/>
              <w:ind w:left="57" w:right="57"/>
            </w:pPr>
            <w:r>
              <w:t xml:space="preserve">ОФК: значение поля вводится вручную.</w:t>
            </w:r>
            <w:r/>
          </w:p>
        </w:tc>
      </w:tr>
      <w:tr>
        <w:trPr/>
        <w:tc>
          <w:tcPr>
            <w:shd w:val="clear" w:fill="auto" w:color="auto"/>
            <w:tcW w:w="2148" w:type="pct"/>
            <w:textDirection w:val="lrTb"/>
            <w:noWrap w:val="false"/>
          </w:tcPr>
          <w:p>
            <w:pPr>
              <w:pStyle w:val="1005"/>
              <w:ind w:left="57" w:right="57"/>
            </w:pPr>
            <w:r>
              <w:t xml:space="preserve">Руководитель финансово-экономической службы (расшифровка подписи)</w:t>
            </w:r>
            <w:r/>
          </w:p>
        </w:tc>
        <w:tc>
          <w:tcPr>
            <w:shd w:val="clear" w:fill="auto" w:color="auto"/>
            <w:tcW w:w="2852" w:type="pct"/>
            <w:textDirection w:val="lrTb"/>
            <w:noWrap w:val="false"/>
          </w:tcPr>
          <w:p>
            <w:pPr>
              <w:pStyle w:val="1005"/>
              <w:ind w:left="57" w:right="57"/>
            </w:pPr>
            <w:r>
              <w:t xml:space="preserve">ГРБС/ПБС</w:t>
            </w:r>
            <w:r>
              <w:t xml:space="preserve">/</w:t>
            </w:r>
            <w:r>
              <w:t xml:space="preserve">ОФК: значение поля вводится вручную.</w:t>
            </w:r>
            <w:r/>
          </w:p>
        </w:tc>
      </w:tr>
      <w:tr>
        <w:trPr/>
        <w:tc>
          <w:tcPr>
            <w:gridSpan w:val="2"/>
            <w:shd w:val="clear" w:fill="auto" w:color="auto"/>
            <w:tcW w:w="5000" w:type="pct"/>
            <w:textDirection w:val="lrTb"/>
            <w:noWrap w:val="false"/>
          </w:tcPr>
          <w:p>
            <w:pPr>
              <w:pStyle w:val="1005"/>
              <w:ind w:left="57" w:right="57"/>
            </w:pPr>
            <w:r>
              <w:t xml:space="preserve">Группа полей «Исполнитель»</w:t>
            </w:r>
            <w:r/>
          </w:p>
        </w:tc>
      </w:tr>
      <w:tr>
        <w:trPr/>
        <w:tc>
          <w:tcPr>
            <w:shd w:val="clear" w:fill="auto" w:color="auto"/>
            <w:tcW w:w="2148" w:type="pct"/>
            <w:textDirection w:val="lrTb"/>
            <w:noWrap w:val="false"/>
          </w:tcPr>
          <w:p>
            <w:pPr>
              <w:pStyle w:val="1005"/>
              <w:ind w:left="57" w:right="57"/>
            </w:pPr>
            <w:r>
              <w:t xml:space="preserve">Должность исполнителя</w:t>
            </w:r>
            <w:r/>
          </w:p>
        </w:tc>
        <w:tc>
          <w:tcPr>
            <w:shd w:val="clear" w:fill="auto" w:color="auto"/>
            <w:tcW w:w="2852" w:type="pct"/>
            <w:textDirection w:val="lrTb"/>
            <w:noWrap w:val="false"/>
          </w:tcPr>
          <w:p>
            <w:pPr>
              <w:pStyle w:val="1005"/>
              <w:ind w:left="57" w:right="57"/>
            </w:pPr>
            <w:r>
              <w:t xml:space="preserve">ГРБС/ПБС/ОФК</w:t>
            </w:r>
            <w:r>
              <w:t xml:space="preserve">: значение поля вводится вручную.</w:t>
            </w:r>
            <w:r/>
          </w:p>
        </w:tc>
      </w:tr>
      <w:tr>
        <w:trPr/>
        <w:tc>
          <w:tcPr>
            <w:shd w:val="clear" w:fill="auto" w:color="auto"/>
            <w:tcW w:w="2148" w:type="pct"/>
            <w:textDirection w:val="lrTb"/>
            <w:noWrap w:val="false"/>
          </w:tcPr>
          <w:p>
            <w:pPr>
              <w:pStyle w:val="1005"/>
              <w:ind w:left="57" w:right="57"/>
            </w:pPr>
            <w:r>
              <w:t xml:space="preserve">ФИО исполнителя</w:t>
            </w:r>
            <w:r/>
          </w:p>
        </w:tc>
        <w:tc>
          <w:tcPr>
            <w:shd w:val="clear" w:fill="auto" w:color="auto"/>
            <w:tcW w:w="2852" w:type="pct"/>
            <w:textDirection w:val="lrTb"/>
            <w:noWrap w:val="false"/>
          </w:tcPr>
          <w:p>
            <w:pPr>
              <w:pStyle w:val="1005"/>
              <w:ind w:left="57" w:right="57"/>
            </w:pPr>
            <w:r>
              <w:t xml:space="preserve">ГРБС/ПБС/ОФК</w:t>
            </w:r>
            <w:r>
              <w:t xml:space="preserve">: значение поля вводится вручную.</w:t>
            </w:r>
            <w:r/>
          </w:p>
        </w:tc>
      </w:tr>
      <w:tr>
        <w:trPr/>
        <w:tc>
          <w:tcPr>
            <w:shd w:val="clear" w:fill="auto" w:color="auto"/>
            <w:tcW w:w="2148" w:type="pct"/>
            <w:textDirection w:val="lrTb"/>
            <w:noWrap w:val="false"/>
          </w:tcPr>
          <w:p>
            <w:pPr>
              <w:pStyle w:val="1005"/>
              <w:ind w:left="57" w:right="57"/>
            </w:pPr>
            <w:r>
              <w:t xml:space="preserve">Телефон исполнителя</w:t>
            </w:r>
            <w:r/>
          </w:p>
        </w:tc>
        <w:tc>
          <w:tcPr>
            <w:shd w:val="clear" w:fill="auto" w:color="auto"/>
            <w:tcW w:w="2852" w:type="pct"/>
            <w:textDirection w:val="lrTb"/>
            <w:noWrap w:val="false"/>
          </w:tcPr>
          <w:p>
            <w:pPr>
              <w:pStyle w:val="1005"/>
              <w:ind w:left="57" w:right="57"/>
            </w:pPr>
            <w:r>
              <w:t xml:space="preserve">ГРБС/ПБС/ОФК</w:t>
            </w:r>
            <w:r>
              <w:t xml:space="preserve">: значение поля вводится вручную.</w:t>
            </w:r>
            <w:r/>
          </w:p>
        </w:tc>
      </w:tr>
      <w:tr>
        <w:trPr/>
        <w:tc>
          <w:tcPr>
            <w:shd w:val="clear" w:fill="auto" w:color="auto"/>
            <w:tcW w:w="2148" w:type="pct"/>
            <w:textDirection w:val="lrTb"/>
            <w:noWrap w:val="false"/>
          </w:tcPr>
          <w:p>
            <w:pPr>
              <w:pStyle w:val="1005"/>
              <w:ind w:left="57" w:right="57"/>
            </w:pPr>
            <w:r>
              <w:t xml:space="preserve">Дата</w:t>
            </w:r>
            <w:r/>
          </w:p>
        </w:tc>
        <w:tc>
          <w:tcPr>
            <w:shd w:val="clear" w:fill="auto" w:color="auto"/>
            <w:tcW w:w="2852" w:type="pct"/>
            <w:textDirection w:val="lrTb"/>
            <w:noWrap w:val="false"/>
          </w:tcPr>
          <w:p>
            <w:pPr>
              <w:pStyle w:val="1005"/>
              <w:ind w:left="57" w:right="57"/>
            </w:pPr>
            <w:r>
              <w:t xml:space="preserve">ГРБС/ПБС: заполняется автоматически при подписании ЭП данными подписанта</w:t>
            </w:r>
            <w:r>
              <w:t xml:space="preserve">.</w:t>
            </w:r>
            <w:r/>
          </w:p>
          <w:p>
            <w:pPr>
              <w:pStyle w:val="1005"/>
              <w:ind w:left="57" w:right="57"/>
            </w:pPr>
            <w:r>
              <w:t xml:space="preserve">ОФК: заполняется по умолчанию текущей системной датой; значение поля вводится вручную.</w:t>
            </w:r>
            <w:r/>
          </w:p>
        </w:tc>
      </w:tr>
      <w:tr>
        <w:trPr/>
        <w:tc>
          <w:tcPr>
            <w:gridSpan w:val="2"/>
            <w:shd w:val="clear" w:fill="auto" w:color="auto"/>
            <w:tcW w:w="5000" w:type="pct"/>
            <w:textDirection w:val="lrTb"/>
            <w:noWrap w:val="false"/>
          </w:tcPr>
          <w:p>
            <w:pPr>
              <w:pStyle w:val="1005"/>
              <w:ind w:left="57" w:right="57"/>
            </w:pPr>
            <w:r>
              <w:t xml:space="preserve">Группа полей «Отметка органа, осуществляющего ведение ЛС, о получении документа»</w:t>
            </w:r>
            <w:r/>
          </w:p>
        </w:tc>
      </w:tr>
      <w:tr>
        <w:trPr/>
        <w:tc>
          <w:tcPr>
            <w:shd w:val="clear" w:fill="auto" w:color="auto"/>
            <w:tcW w:w="2148" w:type="pct"/>
            <w:textDirection w:val="lrTb"/>
            <w:noWrap w:val="false"/>
          </w:tcPr>
          <w:p>
            <w:pPr>
              <w:pStyle w:val="1005"/>
              <w:ind w:left="57" w:right="57"/>
            </w:pPr>
            <w:r>
              <w:t xml:space="preserve">Должность исполнителя</w:t>
            </w:r>
            <w:r/>
          </w:p>
        </w:tc>
        <w:tc>
          <w:tcPr>
            <w:shd w:val="clear" w:fill="auto" w:color="auto"/>
            <w:tcW w:w="2852" w:type="pct"/>
            <w:textDirection w:val="lrTb"/>
            <w:noWrap w:val="false"/>
          </w:tcPr>
          <w:p>
            <w:pPr>
              <w:pStyle w:val="1005"/>
              <w:ind w:left="57" w:right="57"/>
            </w:pPr>
            <w:r>
              <w:t xml:space="preserve">Передается из OEBS.</w:t>
            </w:r>
            <w:r/>
          </w:p>
        </w:tc>
      </w:tr>
      <w:tr>
        <w:trPr/>
        <w:tc>
          <w:tcPr>
            <w:shd w:val="clear" w:fill="auto" w:color="auto"/>
            <w:tcW w:w="2148" w:type="pct"/>
            <w:textDirection w:val="lrTb"/>
            <w:noWrap w:val="false"/>
          </w:tcPr>
          <w:p>
            <w:pPr>
              <w:pStyle w:val="1005"/>
              <w:ind w:left="57" w:right="57"/>
            </w:pPr>
            <w:r>
              <w:t xml:space="preserve">ФИО исполнителя</w:t>
            </w:r>
            <w:r/>
          </w:p>
        </w:tc>
        <w:tc>
          <w:tcPr>
            <w:shd w:val="clear" w:fill="auto" w:color="auto"/>
            <w:tcW w:w="2852" w:type="pct"/>
            <w:textDirection w:val="lrTb"/>
            <w:noWrap w:val="false"/>
          </w:tcPr>
          <w:p>
            <w:pPr>
              <w:pStyle w:val="1005"/>
              <w:ind w:left="57" w:right="57"/>
            </w:pPr>
            <w:r>
              <w:t xml:space="preserve">Передается из OEBS.</w:t>
            </w:r>
            <w:r/>
          </w:p>
        </w:tc>
      </w:tr>
      <w:tr>
        <w:trPr>
          <w:trHeight w:val="70"/>
        </w:trPr>
        <w:tc>
          <w:tcPr>
            <w:shd w:val="clear" w:fill="auto" w:color="auto"/>
            <w:tcW w:w="2148" w:type="pct"/>
            <w:textDirection w:val="lrTb"/>
            <w:noWrap w:val="false"/>
          </w:tcPr>
          <w:p>
            <w:pPr>
              <w:pStyle w:val="1005"/>
              <w:ind w:left="57" w:right="57"/>
            </w:pPr>
            <w:r>
              <w:t xml:space="preserve">Телефон исполнителя</w:t>
            </w:r>
            <w:r/>
          </w:p>
        </w:tc>
        <w:tc>
          <w:tcPr>
            <w:shd w:val="clear" w:fill="auto" w:color="auto"/>
            <w:tcW w:w="2852" w:type="pct"/>
            <w:textDirection w:val="lrTb"/>
            <w:noWrap w:val="false"/>
          </w:tcPr>
          <w:p>
            <w:pPr>
              <w:pStyle w:val="1005"/>
              <w:ind w:left="57" w:right="57"/>
            </w:pPr>
            <w:r>
              <w:t xml:space="preserve">Передается из OEBS.</w:t>
            </w:r>
            <w:r/>
          </w:p>
        </w:tc>
      </w:tr>
      <w:tr>
        <w:trPr/>
        <w:tc>
          <w:tcPr>
            <w:shd w:val="clear" w:fill="auto" w:color="auto"/>
            <w:tcW w:w="2148" w:type="pct"/>
            <w:textDirection w:val="lrTb"/>
            <w:noWrap w:val="false"/>
          </w:tcPr>
          <w:p>
            <w:pPr>
              <w:pStyle w:val="1005"/>
              <w:ind w:left="57" w:right="57"/>
            </w:pPr>
            <w:r>
              <w:t xml:space="preserve">Дата</w:t>
            </w:r>
            <w:r/>
          </w:p>
        </w:tc>
        <w:tc>
          <w:tcPr>
            <w:shd w:val="clear" w:fill="auto" w:color="auto"/>
            <w:tcW w:w="2852" w:type="pct"/>
            <w:textDirection w:val="lrTb"/>
            <w:noWrap w:val="false"/>
          </w:tcPr>
          <w:p>
            <w:pPr>
              <w:pStyle w:val="1005"/>
              <w:ind w:left="57" w:right="57"/>
            </w:pPr>
            <w:r>
              <w:t xml:space="preserve">Передается из OEBS.</w:t>
            </w:r>
            <w:r/>
          </w:p>
        </w:tc>
      </w:tr>
      <w:tr>
        <w:trPr/>
        <w:tc>
          <w:tcPr>
            <w:gridSpan w:val="2"/>
            <w:shd w:val="clear" w:fill="auto" w:color="auto"/>
            <w:tcW w:w="5000" w:type="pct"/>
            <w:textDirection w:val="lrTb"/>
            <w:noWrap w:val="false"/>
          </w:tcPr>
          <w:p>
            <w:pPr>
              <w:pStyle w:val="1005"/>
              <w:ind w:left="57" w:right="57"/>
            </w:pPr>
            <w:r>
              <w:t xml:space="preserve">Группа полей «Отметка о доведении до территориальных органов Федерального казначейства»</w:t>
            </w:r>
            <w:r/>
          </w:p>
        </w:tc>
      </w:tr>
      <w:tr>
        <w:trPr/>
        <w:tc>
          <w:tcPr>
            <w:shd w:val="clear" w:fill="auto" w:color="auto"/>
            <w:tcW w:w="2148" w:type="pct"/>
            <w:textDirection w:val="lrTb"/>
            <w:noWrap w:val="false"/>
          </w:tcPr>
          <w:p>
            <w:pPr>
              <w:pStyle w:val="1005"/>
              <w:ind w:left="57" w:right="57"/>
            </w:pPr>
            <w:r>
              <w:t xml:space="preserve">Должность исполнителя</w:t>
            </w:r>
            <w:r/>
          </w:p>
        </w:tc>
        <w:tc>
          <w:tcPr>
            <w:shd w:val="clear" w:fill="auto" w:color="auto"/>
            <w:tcW w:w="2852" w:type="pct"/>
            <w:textDirection w:val="lrTb"/>
            <w:noWrap w:val="false"/>
          </w:tcPr>
          <w:p>
            <w:pPr>
              <w:pStyle w:val="1005"/>
              <w:ind w:left="57" w:right="57"/>
            </w:pPr>
            <w:r>
              <w:t xml:space="preserve">Передается из OEBS.</w:t>
            </w:r>
            <w:r/>
          </w:p>
        </w:tc>
      </w:tr>
      <w:tr>
        <w:trPr/>
        <w:tc>
          <w:tcPr>
            <w:shd w:val="clear" w:fill="auto" w:color="auto"/>
            <w:tcW w:w="2148" w:type="pct"/>
            <w:textDirection w:val="lrTb"/>
            <w:noWrap w:val="false"/>
          </w:tcPr>
          <w:p>
            <w:pPr>
              <w:pStyle w:val="1005"/>
              <w:ind w:left="57" w:right="57"/>
            </w:pPr>
            <w:r>
              <w:t xml:space="preserve">ФИО исполнителя</w:t>
            </w:r>
            <w:r/>
          </w:p>
        </w:tc>
        <w:tc>
          <w:tcPr>
            <w:shd w:val="clear" w:fill="auto" w:color="auto"/>
            <w:tcW w:w="2852" w:type="pct"/>
            <w:textDirection w:val="lrTb"/>
            <w:noWrap w:val="false"/>
          </w:tcPr>
          <w:p>
            <w:pPr>
              <w:pStyle w:val="1005"/>
              <w:ind w:left="57" w:right="57"/>
            </w:pPr>
            <w:r>
              <w:t xml:space="preserve">Передается из OEBS.</w:t>
            </w:r>
            <w:r/>
          </w:p>
        </w:tc>
      </w:tr>
      <w:tr>
        <w:trPr/>
        <w:tc>
          <w:tcPr>
            <w:shd w:val="clear" w:fill="auto" w:color="auto"/>
            <w:tcW w:w="2148" w:type="pct"/>
            <w:textDirection w:val="lrTb"/>
            <w:noWrap w:val="false"/>
          </w:tcPr>
          <w:p>
            <w:pPr>
              <w:pStyle w:val="1005"/>
              <w:ind w:left="57" w:right="57"/>
            </w:pPr>
            <w:r>
              <w:t xml:space="preserve">Телефон исполнителя</w:t>
            </w:r>
            <w:r/>
          </w:p>
        </w:tc>
        <w:tc>
          <w:tcPr>
            <w:shd w:val="clear" w:fill="auto" w:color="auto"/>
            <w:tcW w:w="2852" w:type="pct"/>
            <w:textDirection w:val="lrTb"/>
            <w:noWrap w:val="false"/>
          </w:tcPr>
          <w:p>
            <w:pPr>
              <w:pStyle w:val="1005"/>
              <w:ind w:left="57" w:right="57"/>
            </w:pPr>
            <w:r>
              <w:t xml:space="preserve">Передается из OEBS.</w:t>
            </w:r>
            <w:r/>
          </w:p>
        </w:tc>
      </w:tr>
      <w:tr>
        <w:trPr/>
        <w:tc>
          <w:tcPr>
            <w:shd w:val="clear" w:fill="auto" w:color="auto"/>
            <w:tcW w:w="2148" w:type="pct"/>
            <w:textDirection w:val="lrTb"/>
            <w:noWrap w:val="false"/>
          </w:tcPr>
          <w:p>
            <w:pPr>
              <w:pStyle w:val="1005"/>
              <w:ind w:left="57" w:right="57"/>
            </w:pPr>
            <w:r>
              <w:t xml:space="preserve">Дата</w:t>
            </w:r>
            <w:r/>
          </w:p>
        </w:tc>
        <w:tc>
          <w:tcPr>
            <w:shd w:val="clear" w:fill="auto" w:color="auto"/>
            <w:tcW w:w="2852" w:type="pct"/>
            <w:textDirection w:val="lrTb"/>
            <w:noWrap w:val="false"/>
          </w:tcPr>
          <w:p>
            <w:pPr>
              <w:pStyle w:val="1005"/>
              <w:ind w:left="57" w:right="57"/>
            </w:pPr>
            <w:r>
              <w:t xml:space="preserve">Передается из OEBS.</w:t>
            </w:r>
            <w:r/>
          </w:p>
        </w:tc>
      </w:tr>
    </w:tbl>
    <w:p>
      <w:pPr>
        <w:pStyle w:val="972"/>
      </w:pPr>
      <w:r/>
      <w:bookmarkStart w:id="1471" w:name="_Toc530393415"/>
      <w:r/>
      <w:bookmarkStart w:id="1472" w:name="_Ref530567471"/>
      <w:r/>
      <w:bookmarkStart w:id="1473" w:name="_Ref530579586"/>
      <w:r/>
      <w:bookmarkStart w:id="1474" w:name="_Toc530670700"/>
      <w:r/>
      <w:bookmarkStart w:id="1475" w:name="_Ref531007962"/>
      <w:r/>
      <w:bookmarkStart w:id="1476" w:name="_Ref17791475"/>
      <w:r/>
      <w:bookmarkStart w:id="1477" w:name="_Ref17791517"/>
      <w:r/>
      <w:bookmarkStart w:id="1478" w:name="_Toc88819141"/>
      <w:r>
        <w:t xml:space="preserve">Расходная декларация</w:t>
      </w:r>
      <w:bookmarkEnd w:id="1471"/>
      <w:r/>
      <w:bookmarkEnd w:id="1472"/>
      <w:r/>
      <w:bookmarkEnd w:id="1473"/>
      <w:r/>
      <w:bookmarkEnd w:id="1474"/>
      <w:r/>
      <w:bookmarkEnd w:id="1475"/>
      <w:r/>
      <w:bookmarkEnd w:id="1476"/>
      <w:r/>
      <w:bookmarkEnd w:id="1477"/>
      <w:r/>
      <w:bookmarkEnd w:id="1478"/>
      <w:r/>
      <w:r/>
    </w:p>
    <w:p>
      <w:pPr>
        <w:pStyle w:val="994"/>
      </w:pPr>
      <w:r>
        <w:t xml:space="preserve">Для работы с документами «Расходная декларация» следует перейти в пункт меню «Документы – Регистрация и доведение бюджета – Расходная декларация». Откроется ЭФ списка документов, представленная на рисунке </w:t>
      </w:r>
      <w:r>
        <w:fldChar w:fldCharType="begin"/>
      </w:r>
      <w:r>
        <w:instrText xml:space="preserve"> REF _Ref530393455 \h </w:instrText>
      </w:r>
      <w:r>
        <w:fldChar w:fldCharType="separate"/>
      </w:r>
      <w:r>
        <w:t xml:space="preserve">206</w:t>
      </w:r>
      <w:r>
        <w:fldChar w:fldCharType="end"/>
      </w:r>
      <w:r>
        <w:t xml:space="preserve">.</w:t>
      </w:r>
      <w:r/>
    </w:p>
    <w:p>
      <w:pPr>
        <w:pStyle w:val="982"/>
      </w:pPr>
      <w:r>
        <mc:AlternateContent>
          <mc:Choice Requires="wpg">
            <w:drawing>
              <wp:inline xmlns:wp="http://schemas.openxmlformats.org/drawingml/2006/wordprocessingDrawing" distT="0" distB="0" distL="0" distR="0">
                <wp:extent cx="6225540" cy="2926080"/>
                <wp:effectExtent l="0" t="0" r="0" b="0"/>
                <wp:docPr id="30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76"/>
                        <a:stretch/>
                      </pic:blipFill>
                      <pic:spPr bwMode="auto">
                        <a:xfrm>
                          <a:off x="0" y="0"/>
                          <a:ext cx="6225540" cy="29260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5" o:spid="_x0000_s305" type="#_x0000_t75" style="mso-wrap-distance-left:0.0pt;mso-wrap-distance-top:0.0pt;mso-wrap-distance-right:0.0pt;mso-wrap-distance-bottom:0.0pt;width:490.2pt;height:230.4pt;" stroked="f">
                <v:path textboxrect="0,0,0,0"/>
                <v:imagedata r:id="rId276" o:title=""/>
              </v:shape>
            </w:pict>
          </mc:Fallback>
        </mc:AlternateContent>
      </w:r>
      <w:r/>
    </w:p>
    <w:p>
      <w:pPr>
        <w:pStyle w:val="983"/>
      </w:pPr>
      <w:r>
        <w:fldChar w:fldCharType="begin"/>
      </w:r>
      <w:r>
        <w:instrText xml:space="preserve"> SEQ Рисунок \* ARABIC </w:instrText>
      </w:r>
      <w:r>
        <w:fldChar w:fldCharType="separate"/>
      </w:r>
      <w:bookmarkStart w:id="1479" w:name="_Ref530393455"/>
      <w:r/>
      <w:bookmarkStart w:id="1480" w:name="_Toc88819591"/>
      <w:r>
        <w:t xml:space="preserve">206</w:t>
      </w:r>
      <w:bookmarkEnd w:id="1479"/>
      <w:r>
        <w:fldChar w:fldCharType="end"/>
      </w:r>
      <w:r>
        <w:t xml:space="preserve">. ЭФ списка документов «Расходная декларация»</w:t>
      </w:r>
      <w:bookmarkEnd w:id="1480"/>
      <w:r/>
      <w:r/>
    </w:p>
    <w:p>
      <w:pPr>
        <w:pStyle w:val="973"/>
      </w:pPr>
      <w:r>
        <w:t xml:space="preserve">Доступные операции</w:t>
      </w:r>
      <w:r/>
    </w:p>
    <w:p>
      <w:pPr>
        <w:pStyle w:val="994"/>
      </w:pPr>
      <w:r>
        <w:t xml:space="preserve">На АРМ </w:t>
      </w:r>
      <w:r>
        <w:t xml:space="preserve">ОФК</w:t>
      </w:r>
      <w:r>
        <w:t xml:space="preserve"> доступны следующие операции над документом:</w:t>
      </w:r>
      <w:r/>
    </w:p>
    <w:p>
      <w:pPr>
        <w:pStyle w:val="985"/>
      </w:pPr>
      <w:r>
        <w:t xml:space="preserve">просмотр</w:t>
      </w:r>
      <w:r>
        <w:t xml:space="preserve">;</w:t>
      </w:r>
      <w:r/>
    </w:p>
    <w:p>
      <w:pPr>
        <w:pStyle w:val="985"/>
      </w:pPr>
      <w:r>
        <w:t xml:space="preserve">печать;</w:t>
      </w:r>
      <w:r/>
    </w:p>
    <w:p>
      <w:pPr>
        <w:pStyle w:val="985"/>
      </w:pPr>
      <w:r>
        <w:t xml:space="preserve">проверка, формирование и удаление ЭП;</w:t>
      </w:r>
      <w:r/>
    </w:p>
    <w:p>
      <w:pPr>
        <w:pStyle w:val="985"/>
      </w:pPr>
      <w:r>
        <w:t xml:space="preserve">выгрузка в ППО </w:t>
      </w:r>
      <w:r>
        <w:t xml:space="preserve">OEBS</w:t>
      </w:r>
      <w:r>
        <w:t xml:space="preserve">;</w:t>
      </w:r>
      <w:r/>
    </w:p>
    <w:p>
      <w:pPr>
        <w:pStyle w:val="985"/>
      </w:pPr>
      <w:r>
        <w:t xml:space="preserve">санкционирование;</w:t>
      </w:r>
      <w:r/>
    </w:p>
    <w:p>
      <w:pPr>
        <w:pStyle w:val="985"/>
      </w:pPr>
      <w:r>
        <w:t xml:space="preserve">отказ;</w:t>
      </w:r>
      <w:r/>
    </w:p>
    <w:p>
      <w:pPr>
        <w:pStyle w:val="985"/>
      </w:pPr>
      <w:r>
        <w:t xml:space="preserve">откат статуса передачи.</w:t>
      </w:r>
      <w:r/>
    </w:p>
    <w:p>
      <w:pPr>
        <w:pStyle w:val="973"/>
      </w:pPr>
      <w:r>
        <w:t xml:space="preserve">Экранная форма документа</w:t>
      </w:r>
      <w:r/>
    </w:p>
    <w:p>
      <w:pPr>
        <w:pStyle w:val="994"/>
      </w:pPr>
      <w:r>
        <w:t xml:space="preserve">ЭФ документа «Расходная декларация» представлена на рисунке </w:t>
      </w:r>
      <w:r>
        <w:fldChar w:fldCharType="begin"/>
      </w:r>
      <w:r>
        <w:instrText xml:space="preserve"> REF _Ref530574747 \h </w:instrText>
      </w:r>
      <w:r>
        <w:fldChar w:fldCharType="separate"/>
      </w:r>
      <w:r>
        <w:t xml:space="preserve">207</w:t>
      </w:r>
      <w:r>
        <w:fldChar w:fldCharType="end"/>
      </w:r>
      <w:r>
        <w:t xml:space="preserve">.</w:t>
      </w:r>
      <w:r>
        <w:t xml:space="preserve"> Форма содержит следующие закладки:</w:t>
      </w:r>
      <w:r/>
    </w:p>
    <w:p>
      <w:pPr>
        <w:pStyle w:val="985"/>
      </w:pPr>
      <w:r>
        <w:t xml:space="preserve">«Заголовок»;</w:t>
      </w:r>
      <w:r/>
    </w:p>
    <w:p>
      <w:pPr>
        <w:pStyle w:val="985"/>
      </w:pPr>
      <w:r>
        <w:t xml:space="preserve">«Информация о структуре цены договора»;</w:t>
      </w:r>
      <w:r/>
    </w:p>
    <w:p>
      <w:pPr>
        <w:pStyle w:val="985"/>
      </w:pPr>
      <w:r>
        <w:t xml:space="preserve">«Реквизиты подписи»;</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126480" cy="4122420"/>
                <wp:effectExtent l="0" t="0" r="0" b="0"/>
                <wp:docPr id="30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77"/>
                        <a:stretch/>
                      </pic:blipFill>
                      <pic:spPr bwMode="auto">
                        <a:xfrm>
                          <a:off x="0" y="0"/>
                          <a:ext cx="6126480" cy="41224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6" o:spid="_x0000_s306" type="#_x0000_t75" style="mso-wrap-distance-left:0.0pt;mso-wrap-distance-top:0.0pt;mso-wrap-distance-right:0.0pt;mso-wrap-distance-bottom:0.0pt;width:482.4pt;height:324.6pt;" stroked="f">
                <v:path textboxrect="0,0,0,0"/>
                <v:imagedata r:id="rId277" o:title=""/>
              </v:shape>
            </w:pict>
          </mc:Fallback>
        </mc:AlternateContent>
      </w:r>
      <w:r/>
    </w:p>
    <w:p>
      <w:pPr>
        <w:pStyle w:val="983"/>
      </w:pPr>
      <w:r>
        <w:fldChar w:fldCharType="begin"/>
      </w:r>
      <w:r>
        <w:instrText xml:space="preserve"> SEQ Рисунок \* ARABIC </w:instrText>
      </w:r>
      <w:r>
        <w:fldChar w:fldCharType="separate"/>
      </w:r>
      <w:bookmarkStart w:id="1481" w:name="_Ref530574747"/>
      <w:r/>
      <w:bookmarkStart w:id="1482" w:name="_Toc88819592"/>
      <w:r>
        <w:t xml:space="preserve">207</w:t>
      </w:r>
      <w:bookmarkEnd w:id="1481"/>
      <w:r>
        <w:fldChar w:fldCharType="end"/>
      </w:r>
      <w:r>
        <w:t xml:space="preserve">. ЭФ документа «Расходная декларация», закладки «Заголовок»</w:t>
      </w:r>
      <w:bookmarkEnd w:id="1482"/>
      <w:r/>
      <w:r/>
    </w:p>
    <w:p>
      <w:pPr>
        <w:pStyle w:val="994"/>
      </w:pPr>
      <w:r/>
      <w:r/>
    </w:p>
    <w:p>
      <w:pPr>
        <w:pStyle w:val="994"/>
      </w:pPr>
      <w:r>
        <w:t xml:space="preserve">Перечень полей документа «Расходная декларация», закладки «Заголовок» приведен в таблице </w:t>
      </w:r>
      <w:r>
        <w:fldChar w:fldCharType="begin"/>
      </w:r>
      <w:r>
        <w:instrText xml:space="preserve"> REF _Ref530393456 \h </w:instrText>
      </w:r>
      <w:r>
        <w:fldChar w:fldCharType="separate"/>
      </w:r>
      <w:r>
        <w:t xml:space="preserve">111</w:t>
      </w:r>
      <w:r>
        <w:fldChar w:fldCharType="end"/>
      </w:r>
      <w:r>
        <w:t xml:space="preserve">.</w:t>
      </w:r>
      <w:r/>
    </w:p>
    <w:p>
      <w:pPr>
        <w:pStyle w:val="993"/>
      </w:pPr>
      <w:r>
        <w:fldChar w:fldCharType="begin"/>
      </w:r>
      <w:r>
        <w:instrText xml:space="preserve"> SEQ Таблица \* ARABIC </w:instrText>
      </w:r>
      <w:r>
        <w:fldChar w:fldCharType="separate"/>
      </w:r>
      <w:bookmarkStart w:id="1483" w:name="_Ref530393456"/>
      <w:r/>
      <w:bookmarkStart w:id="1484" w:name="_Toc88819297"/>
      <w:r>
        <w:t xml:space="preserve">111</w:t>
      </w:r>
      <w:bookmarkEnd w:id="1483"/>
      <w:r>
        <w:fldChar w:fldCharType="end"/>
      </w:r>
      <w:r>
        <w:t xml:space="preserve">. Описание полей документа «Расходная декларация», закладки «Заголовок»</w:t>
      </w:r>
      <w:bookmarkEnd w:id="1484"/>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18"/>
        <w:gridCol w:w="7534"/>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13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63" w:type="pct"/>
            <w:vAlign w:val="center"/>
            <w:textDirection w:val="lrTb"/>
            <w:noWrap w:val="false"/>
          </w:tcPr>
          <w:p>
            <w:pPr>
              <w:pStyle w:val="1006"/>
            </w:pPr>
            <w:r>
              <w:t xml:space="preserve">Описание поля</w:t>
            </w:r>
            <w:r/>
          </w:p>
        </w:tc>
      </w:tr>
      <w:tr>
        <w:trPr>
          <w:trHeight w:val="405"/>
        </w:trPr>
        <w:tc>
          <w:tcPr>
            <w:shd w:val="clear" w:fill="auto" w:color="auto"/>
            <w:tcW w:w="1137" w:type="pct"/>
            <w:textDirection w:val="lrTb"/>
            <w:noWrap w:val="false"/>
          </w:tcPr>
          <w:p>
            <w:pPr>
              <w:pStyle w:val="1005"/>
              <w:ind w:left="57" w:right="57"/>
            </w:pPr>
            <w:r>
              <w:t xml:space="preserve">Дата</w:t>
            </w:r>
            <w:r/>
          </w:p>
        </w:tc>
        <w:tc>
          <w:tcPr>
            <w:shd w:val="clear" w:fill="auto" w:color="auto"/>
            <w:tcW w:w="3863" w:type="pct"/>
            <w:textDirection w:val="lrTb"/>
            <w:noWrap w:val="false"/>
          </w:tcPr>
          <w:p>
            <w:pPr>
              <w:pStyle w:val="1005"/>
              <w:ind w:left="57" w:right="57"/>
            </w:pPr>
            <w:r>
              <w:t xml:space="preserve">Заполняется при импорте из внешних систем соот</w:t>
            </w:r>
            <w:r>
              <w:t xml:space="preserve">ветствующим значением из файла, либо передается из </w:t>
            </w:r>
            <w:r>
              <w:rPr>
                <w:lang w:val="en-US"/>
              </w:rPr>
              <w:t xml:space="preserve">OEBS</w:t>
            </w:r>
            <w:r>
              <w:t xml:space="preserve">.</w:t>
            </w:r>
            <w:r/>
          </w:p>
        </w:tc>
      </w:tr>
      <w:tr>
        <w:trPr>
          <w:trHeight w:val="405"/>
        </w:trPr>
        <w:tc>
          <w:tcPr>
            <w:shd w:val="clear" w:fill="auto" w:color="auto"/>
            <w:tcW w:w="1137" w:type="pct"/>
            <w:textDirection w:val="lrTb"/>
            <w:noWrap w:val="false"/>
          </w:tcPr>
          <w:p>
            <w:pPr>
              <w:pStyle w:val="1005"/>
              <w:ind w:left="57" w:right="57"/>
            </w:pPr>
            <w:r>
              <w:t xml:space="preserve">Номер</w:t>
            </w:r>
            <w:r/>
          </w:p>
        </w:tc>
        <w:tc>
          <w:tcPr>
            <w:shd w:val="clear" w:fill="auto" w:color="auto"/>
            <w:tcW w:w="3863" w:type="pct"/>
            <w:textDirection w:val="lrTb"/>
            <w:noWrap w:val="false"/>
          </w:tcPr>
          <w:p>
            <w:pPr>
              <w:pStyle w:val="1005"/>
              <w:ind w:left="57" w:right="57"/>
            </w:pPr>
            <w:r>
              <w:t xml:space="preserve">Номер документа.</w:t>
            </w:r>
            <w:r/>
          </w:p>
          <w:p>
            <w:pPr>
              <w:pStyle w:val="1005"/>
              <w:ind w:left="57" w:right="57"/>
            </w:pPr>
            <w:r>
              <w:t xml:space="preserve">Заполняется при импорте из внешних систем соот</w:t>
            </w:r>
            <w:r>
              <w:t xml:space="preserve">ветствующим значением из файла, либо передается из </w:t>
            </w:r>
            <w:r>
              <w:rPr>
                <w:lang w:val="en-US"/>
              </w:rPr>
              <w:t xml:space="preserve">OEBS</w:t>
            </w:r>
            <w:r>
              <w:t xml:space="preserve">.</w:t>
            </w:r>
            <w:r/>
          </w:p>
        </w:tc>
      </w:tr>
      <w:tr>
        <w:trPr>
          <w:trHeight w:val="405"/>
        </w:trPr>
        <w:tc>
          <w:tcPr>
            <w:shd w:val="clear" w:fill="auto" w:color="auto"/>
            <w:tcW w:w="1137" w:type="pct"/>
            <w:textDirection w:val="lrTb"/>
            <w:noWrap w:val="false"/>
          </w:tcPr>
          <w:p>
            <w:pPr>
              <w:pStyle w:val="1005"/>
              <w:ind w:left="57" w:right="57"/>
            </w:pPr>
            <w:r>
              <w:t xml:space="preserve">Бюджет</w:t>
            </w:r>
            <w:r/>
          </w:p>
        </w:tc>
        <w:tc>
          <w:tcPr>
            <w:shd w:val="clear" w:fill="auto" w:color="auto"/>
            <w:tcW w:w="3863" w:type="pct"/>
            <w:textDirection w:val="lrTb"/>
            <w:noWrap w:val="false"/>
          </w:tcPr>
          <w:p>
            <w:pPr>
              <w:pStyle w:val="1005"/>
              <w:ind w:left="57" w:right="57"/>
            </w:pPr>
            <w:r>
              <w:t xml:space="preserve">Заполняется при импорте из внешних систем соот</w:t>
            </w:r>
            <w:r>
              <w:t xml:space="preserve">ветствующим значением из файла, либо передается из </w:t>
            </w:r>
            <w:r>
              <w:rPr>
                <w:lang w:val="en-US"/>
              </w:rPr>
              <w:t xml:space="preserve">OEBS</w:t>
            </w:r>
            <w:r>
              <w:t xml:space="preserve">.</w:t>
            </w:r>
            <w:r/>
          </w:p>
        </w:tc>
      </w:tr>
      <w:tr>
        <w:trPr>
          <w:trHeight w:val="405"/>
        </w:trPr>
        <w:tc>
          <w:tcPr>
            <w:shd w:val="clear" w:fill="auto" w:color="auto"/>
            <w:tcW w:w="1137" w:type="pct"/>
            <w:textDirection w:val="lrTb"/>
            <w:noWrap w:val="false"/>
          </w:tcPr>
          <w:p>
            <w:pPr>
              <w:pStyle w:val="1005"/>
              <w:ind w:left="57" w:right="57"/>
            </w:pPr>
            <w:r>
              <w:t xml:space="preserve">Клиент</w:t>
            </w:r>
            <w:r/>
          </w:p>
        </w:tc>
        <w:tc>
          <w:tcPr>
            <w:shd w:val="clear" w:fill="auto" w:color="auto"/>
            <w:tcW w:w="3863" w:type="pct"/>
            <w:textDirection w:val="lrTb"/>
            <w:noWrap w:val="false"/>
          </w:tcPr>
          <w:p>
            <w:pPr>
              <w:pStyle w:val="1005"/>
              <w:ind w:left="57" w:right="57"/>
            </w:pPr>
            <w:r>
              <w:t xml:space="preserve">Заполняется при импорте из внешних систем соот</w:t>
            </w:r>
            <w:r>
              <w:t xml:space="preserve">ветствующим значением из файла, либо передается из </w:t>
            </w:r>
            <w:r>
              <w:rPr>
                <w:lang w:val="en-US"/>
              </w:rPr>
              <w:t xml:space="preserve">OEBS</w:t>
            </w:r>
            <w:r>
              <w:t xml:space="preserve">.</w:t>
            </w:r>
            <w:r/>
          </w:p>
        </w:tc>
      </w:tr>
      <w:tr>
        <w:trPr>
          <w:trHeight w:val="165"/>
        </w:trPr>
        <w:tc>
          <w:tcPr>
            <w:shd w:val="clear" w:fill="auto" w:color="auto"/>
            <w:tcW w:w="1137" w:type="pct"/>
            <w:textDirection w:val="lrTb"/>
            <w:noWrap w:val="false"/>
          </w:tcPr>
          <w:p>
            <w:pPr>
              <w:pStyle w:val="1005"/>
              <w:ind w:left="57" w:right="57"/>
            </w:pPr>
            <w:r>
              <w:t xml:space="preserve">Лицевой счет</w:t>
            </w:r>
            <w:r/>
          </w:p>
        </w:tc>
        <w:tc>
          <w:tcPr>
            <w:shd w:val="clear" w:fill="auto" w:color="auto"/>
            <w:tcW w:w="3863" w:type="pct"/>
            <w:textDirection w:val="lrTb"/>
            <w:noWrap w:val="false"/>
          </w:tcPr>
          <w:p>
            <w:pPr>
              <w:pStyle w:val="1005"/>
              <w:ind w:left="57" w:right="57"/>
            </w:pPr>
            <w:r>
              <w:t xml:space="preserve">Заполняется при импорте из внешних систем соот</w:t>
            </w:r>
            <w:r>
              <w:t xml:space="preserve">ветствующим значением из файла, либо передается из </w:t>
            </w:r>
            <w:r>
              <w:rPr>
                <w:lang w:val="en-US"/>
              </w:rPr>
              <w:t xml:space="preserve">OEBS</w:t>
            </w:r>
            <w:r>
              <w:t xml:space="preserve">.</w:t>
            </w:r>
            <w:r/>
          </w:p>
        </w:tc>
      </w:tr>
      <w:tr>
        <w:trPr>
          <w:trHeight w:val="165"/>
        </w:trPr>
        <w:tc>
          <w:tcPr>
            <w:shd w:val="clear" w:fill="auto" w:color="auto"/>
            <w:tcW w:w="1137" w:type="pct"/>
            <w:textDirection w:val="lrTb"/>
            <w:noWrap w:val="false"/>
          </w:tcPr>
          <w:p>
            <w:pPr>
              <w:pStyle w:val="1005"/>
              <w:ind w:left="57" w:right="57"/>
            </w:pPr>
            <w:r>
              <w:t xml:space="preserve">ИНН</w:t>
            </w:r>
            <w:r/>
          </w:p>
        </w:tc>
        <w:tc>
          <w:tcPr>
            <w:shd w:val="clear" w:fill="auto" w:color="auto"/>
            <w:tcW w:w="3863" w:type="pct"/>
            <w:textDirection w:val="lrTb"/>
            <w:noWrap w:val="false"/>
          </w:tcPr>
          <w:p>
            <w:pPr>
              <w:pStyle w:val="1005"/>
              <w:ind w:left="57" w:right="57"/>
            </w:pPr>
            <w:r>
              <w:t xml:space="preserve">Заполняется при импорте из внешних систем соот</w:t>
            </w:r>
            <w:r>
              <w:t xml:space="preserve">ветствующим значением из файла, либо передается из </w:t>
            </w:r>
            <w:r>
              <w:rPr>
                <w:lang w:val="en-US"/>
              </w:rPr>
              <w:t xml:space="preserve">OEBS</w:t>
            </w:r>
            <w:r>
              <w:t xml:space="preserve">.</w:t>
            </w:r>
            <w:r/>
          </w:p>
        </w:tc>
      </w:tr>
      <w:tr>
        <w:trPr>
          <w:trHeight w:val="165"/>
        </w:trPr>
        <w:tc>
          <w:tcPr>
            <w:shd w:val="clear" w:fill="auto" w:color="auto"/>
            <w:tcW w:w="1137" w:type="pct"/>
            <w:textDirection w:val="lrTb"/>
            <w:noWrap w:val="false"/>
          </w:tcPr>
          <w:p>
            <w:pPr>
              <w:pStyle w:val="1005"/>
              <w:ind w:left="57" w:right="57"/>
            </w:pPr>
            <w:r>
              <w:t xml:space="preserve">КПП</w:t>
            </w:r>
            <w:r/>
          </w:p>
        </w:tc>
        <w:tc>
          <w:tcPr>
            <w:shd w:val="clear" w:fill="auto" w:color="auto"/>
            <w:tcW w:w="3863" w:type="pct"/>
            <w:textDirection w:val="lrTb"/>
            <w:noWrap w:val="false"/>
          </w:tcPr>
          <w:p>
            <w:pPr>
              <w:pStyle w:val="1005"/>
              <w:ind w:left="57" w:right="57"/>
            </w:pPr>
            <w:r>
              <w:t xml:space="preserve">Заполняется при импорте из внешних систем соот</w:t>
            </w:r>
            <w:r>
              <w:t xml:space="preserve">ветствующим значением из файла, либо передается из </w:t>
            </w:r>
            <w:r>
              <w:rPr>
                <w:lang w:val="en-US"/>
              </w:rPr>
              <w:t xml:space="preserve">OEBS</w:t>
            </w:r>
            <w:r>
              <w:t xml:space="preserve">.</w:t>
            </w:r>
            <w:r/>
          </w:p>
        </w:tc>
      </w:tr>
      <w:tr>
        <w:trPr>
          <w:trHeight w:val="165"/>
        </w:trPr>
        <w:tc>
          <w:tcPr>
            <w:shd w:val="clear" w:fill="auto" w:color="auto"/>
            <w:tcW w:w="1137" w:type="pct"/>
            <w:textDirection w:val="lrTb"/>
            <w:noWrap w:val="false"/>
          </w:tcPr>
          <w:p>
            <w:pPr>
              <w:pStyle w:val="1005"/>
              <w:ind w:left="57" w:right="57"/>
            </w:pPr>
            <w:r>
              <w:t xml:space="preserve">Дата постановки на учет в НО</w:t>
            </w:r>
            <w:r/>
          </w:p>
        </w:tc>
        <w:tc>
          <w:tcPr>
            <w:shd w:val="clear" w:fill="auto" w:color="auto"/>
            <w:tcW w:w="3863" w:type="pct"/>
            <w:textDirection w:val="lrTb"/>
            <w:noWrap w:val="false"/>
          </w:tcPr>
          <w:p>
            <w:pPr>
              <w:pStyle w:val="1005"/>
              <w:ind w:left="57" w:right="57"/>
            </w:pPr>
            <w:r>
              <w:t xml:space="preserve">Дата постановки на учет в налоговом органе клиента.</w:t>
            </w:r>
            <w:r/>
          </w:p>
          <w:p>
            <w:pPr>
              <w:pStyle w:val="1005"/>
              <w:ind w:left="57" w:right="57"/>
            </w:pPr>
            <w:r>
              <w:t xml:space="preserve">Заполняется при импорте из внешних систем соответствующим значением из файла</w:t>
            </w:r>
            <w:r>
              <w:t xml:space="preserve">, либо значение указывается вручную или выбором из системного календаря.</w:t>
            </w:r>
            <w:r/>
          </w:p>
        </w:tc>
      </w:tr>
      <w:tr>
        <w:trPr>
          <w:trHeight w:val="165"/>
        </w:trPr>
        <w:tc>
          <w:tcPr>
            <w:shd w:val="clear" w:fill="auto" w:color="auto"/>
            <w:tcW w:w="1137" w:type="pct"/>
            <w:textDirection w:val="lrTb"/>
            <w:noWrap w:val="false"/>
          </w:tcPr>
          <w:p>
            <w:pPr>
              <w:pStyle w:val="1005"/>
              <w:ind w:left="57" w:right="57"/>
            </w:pPr>
            <w:r>
              <w:t xml:space="preserve">Номер договора</w:t>
            </w:r>
            <w:r/>
          </w:p>
        </w:tc>
        <w:tc>
          <w:tcPr>
            <w:shd w:val="clear" w:fill="auto" w:color="auto"/>
            <w:tcW w:w="3863" w:type="pct"/>
            <w:textDirection w:val="lrTb"/>
            <w:noWrap w:val="false"/>
          </w:tcPr>
          <w:p>
            <w:pPr>
              <w:pStyle w:val="1005"/>
              <w:ind w:left="57" w:right="57"/>
            </w:pPr>
            <w:r>
              <w:t xml:space="preserve">Заполняется при импорте из внешних систем соот</w:t>
            </w:r>
            <w:r>
              <w:t xml:space="preserve">ветствующим значением из файла, либо передается из </w:t>
            </w:r>
            <w:r>
              <w:rPr>
                <w:lang w:val="en-US"/>
              </w:rPr>
              <w:t xml:space="preserve">OEBS</w:t>
            </w:r>
            <w:r>
              <w:t xml:space="preserve">.</w:t>
            </w:r>
            <w:r/>
          </w:p>
        </w:tc>
      </w:tr>
      <w:tr>
        <w:trPr>
          <w:trHeight w:val="165"/>
        </w:trPr>
        <w:tc>
          <w:tcPr>
            <w:shd w:val="clear" w:fill="auto" w:color="auto"/>
            <w:tcW w:w="1137" w:type="pct"/>
            <w:textDirection w:val="lrTb"/>
            <w:noWrap w:val="false"/>
          </w:tcPr>
          <w:p>
            <w:pPr>
              <w:pStyle w:val="1005"/>
              <w:ind w:left="57" w:right="57"/>
            </w:pPr>
            <w:r>
              <w:t xml:space="preserve">Дата договора</w:t>
            </w:r>
            <w:r/>
          </w:p>
        </w:tc>
        <w:tc>
          <w:tcPr>
            <w:shd w:val="clear" w:fill="auto" w:color="auto"/>
            <w:tcW w:w="3863" w:type="pct"/>
            <w:textDirection w:val="lrTb"/>
            <w:noWrap w:val="false"/>
          </w:tcPr>
          <w:p>
            <w:pPr>
              <w:pStyle w:val="1005"/>
              <w:ind w:left="57" w:right="57"/>
            </w:pPr>
            <w:r>
              <w:t xml:space="preserve">Заполняется при импорте из внешних систем соот</w:t>
            </w:r>
            <w:r>
              <w:t xml:space="preserve">ветствующим значением из файла, либо передается из </w:t>
            </w:r>
            <w:r>
              <w:rPr>
                <w:lang w:val="en-US"/>
              </w:rPr>
              <w:t xml:space="preserve">OEBS</w:t>
            </w:r>
            <w:r>
              <w:t xml:space="preserve">.</w:t>
            </w:r>
            <w:r/>
          </w:p>
        </w:tc>
      </w:tr>
      <w:tr>
        <w:trPr>
          <w:trHeight w:val="165"/>
        </w:trPr>
        <w:tc>
          <w:tcPr>
            <w:shd w:val="clear" w:fill="auto" w:color="auto"/>
            <w:tcW w:w="1137" w:type="pct"/>
            <w:textDirection w:val="lrTb"/>
            <w:noWrap w:val="false"/>
          </w:tcPr>
          <w:p>
            <w:pPr>
              <w:pStyle w:val="1005"/>
              <w:ind w:left="57" w:right="57"/>
            </w:pPr>
            <w:r>
              <w:t xml:space="preserve">ИКЗ</w:t>
            </w:r>
            <w:r/>
          </w:p>
        </w:tc>
        <w:tc>
          <w:tcPr>
            <w:shd w:val="clear" w:fill="auto" w:color="auto"/>
            <w:tcW w:w="3863" w:type="pct"/>
            <w:textDirection w:val="lrTb"/>
            <w:noWrap w:val="false"/>
          </w:tcPr>
          <w:p>
            <w:pPr>
              <w:pStyle w:val="1005"/>
              <w:ind w:left="57" w:right="57"/>
            </w:pPr>
            <w:r>
              <w:t xml:space="preserve">Указывается идентификационный код закупки.</w:t>
            </w:r>
            <w:r/>
          </w:p>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t xml:space="preserve">.</w:t>
            </w:r>
            <w:r/>
          </w:p>
        </w:tc>
      </w:tr>
      <w:tr>
        <w:trPr>
          <w:trHeight w:val="165"/>
        </w:trPr>
        <w:tc>
          <w:tcPr>
            <w:shd w:val="clear" w:fill="auto" w:color="auto"/>
            <w:tcW w:w="1137" w:type="pct"/>
            <w:textDirection w:val="lrTb"/>
            <w:noWrap w:val="false"/>
          </w:tcPr>
          <w:p>
            <w:pPr>
              <w:pStyle w:val="1005"/>
              <w:ind w:left="57" w:right="57"/>
            </w:pPr>
            <w:r>
              <w:t xml:space="preserve">ИГК</w:t>
            </w:r>
            <w:r/>
          </w:p>
        </w:tc>
        <w:tc>
          <w:tcPr>
            <w:shd w:val="clear" w:fill="auto" w:color="auto"/>
            <w:tcW w:w="3863" w:type="pct"/>
            <w:textDirection w:val="lrTb"/>
            <w:noWrap w:val="false"/>
          </w:tcPr>
          <w:p>
            <w:pPr>
              <w:pStyle w:val="1005"/>
              <w:ind w:left="57" w:right="57"/>
            </w:pPr>
            <w:r>
              <w:t xml:space="preserve">Указывается идентификатор государственного контракта, контракта учреждения, соглашения, договора о капитальных вложениях в установленных НПА случаях.</w:t>
            </w:r>
            <w:r/>
          </w:p>
          <w:p>
            <w:pPr>
              <w:pStyle w:val="1005"/>
              <w:ind w:left="57" w:right="57"/>
            </w:pPr>
            <w:r>
              <w:t xml:space="preserve">Заполняется при импорте из внешних систем соот</w:t>
            </w:r>
            <w:r>
              <w:t xml:space="preserve">ветствующим значением из файла, либо передается из </w:t>
            </w:r>
            <w:r>
              <w:rPr>
                <w:lang w:val="en-US"/>
              </w:rPr>
              <w:t xml:space="preserve">OEBS</w:t>
            </w:r>
            <w:r>
              <w:t xml:space="preserve">.</w:t>
            </w:r>
            <w:r/>
          </w:p>
        </w:tc>
      </w:tr>
      <w:tr>
        <w:trPr>
          <w:trHeight w:val="165"/>
        </w:trPr>
        <w:tc>
          <w:tcPr>
            <w:shd w:val="clear" w:fill="auto" w:color="auto"/>
            <w:tcW w:w="1137" w:type="pct"/>
            <w:textDirection w:val="lrTb"/>
            <w:noWrap w:val="false"/>
          </w:tcPr>
          <w:p>
            <w:pPr>
              <w:pStyle w:val="1005"/>
              <w:ind w:left="57" w:right="57"/>
            </w:pPr>
            <w:r>
              <w:t xml:space="preserve">Признак договора</w:t>
            </w:r>
            <w:r/>
          </w:p>
        </w:tc>
        <w:tc>
          <w:tcPr>
            <w:shd w:val="clear" w:fill="auto" w:color="auto"/>
            <w:tcW w:w="3863" w:type="pct"/>
            <w:textDirection w:val="lrTb"/>
            <w:noWrap w:val="false"/>
          </w:tcPr>
          <w:p>
            <w:pPr>
              <w:pStyle w:val="1005"/>
              <w:ind w:left="57" w:right="57"/>
            </w:pPr>
            <w:r>
              <w:t xml:space="preserve">Указывается признак исполнения договора: исполнение, исполнен, расторгнут.</w:t>
            </w:r>
            <w:r/>
          </w:p>
          <w:p>
            <w:pPr>
              <w:pStyle w:val="1005"/>
              <w:ind w:left="57" w:right="57"/>
            </w:pPr>
            <w:r>
              <w:t xml:space="preserve">Заполняется при импорте из внешних систем соответствующим значением из файла.</w:t>
            </w:r>
            <w:r/>
          </w:p>
          <w:p>
            <w:pPr>
              <w:pStyle w:val="1005"/>
              <w:ind w:left="57" w:right="57"/>
            </w:pPr>
            <w:r>
              <w:t xml:space="preserve">Заполняется выбором из списка значений:</w:t>
            </w:r>
            <w:r/>
          </w:p>
          <w:p>
            <w:pPr>
              <w:pStyle w:val="1007"/>
            </w:pPr>
            <w:r>
              <w:t xml:space="preserve">исполнение;</w:t>
            </w:r>
            <w:r/>
          </w:p>
          <w:p>
            <w:pPr>
              <w:pStyle w:val="1007"/>
            </w:pPr>
            <w:r>
              <w:t xml:space="preserve">исполнен;</w:t>
            </w:r>
            <w:r/>
          </w:p>
          <w:p>
            <w:pPr>
              <w:pStyle w:val="1007"/>
            </w:pPr>
            <w:r>
              <w:t xml:space="preserve">расторгнут;</w:t>
            </w:r>
            <w:r/>
          </w:p>
          <w:p>
            <w:pPr>
              <w:pStyle w:val="1007"/>
            </w:pPr>
            <w:r>
              <w:t xml:space="preserve">пусто.</w:t>
            </w:r>
            <w:r/>
          </w:p>
          <w:p>
            <w:pPr>
              <w:pStyle w:val="1005"/>
              <w:ind w:left="57" w:right="57"/>
            </w:pPr>
            <w:r>
              <w:t xml:space="preserve">Значение по умолчанию «пусто».</w:t>
            </w:r>
            <w:r/>
          </w:p>
        </w:tc>
      </w:tr>
      <w:tr>
        <w:trPr/>
        <w:tc>
          <w:tcPr>
            <w:shd w:val="clear" w:fill="auto" w:color="auto"/>
            <w:tcW w:w="1137" w:type="pct"/>
            <w:textDirection w:val="lrTb"/>
            <w:noWrap w:val="false"/>
          </w:tcPr>
          <w:p>
            <w:pPr>
              <w:pStyle w:val="1005"/>
              <w:ind w:left="57" w:right="57"/>
            </w:pPr>
            <w:r>
              <w:t xml:space="preserve">Срок договора с</w:t>
            </w:r>
            <w:r/>
          </w:p>
        </w:tc>
        <w:tc>
          <w:tcPr>
            <w:shd w:val="clear" w:fill="auto" w:color="auto"/>
            <w:tcW w:w="3863"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t xml:space="preserve">, либо значение указывается вручную или выбором из системного календаря.</w:t>
            </w:r>
            <w:r/>
          </w:p>
        </w:tc>
      </w:tr>
      <w:tr>
        <w:trPr/>
        <w:tc>
          <w:tcPr>
            <w:shd w:val="clear" w:fill="auto" w:color="auto"/>
            <w:tcW w:w="1137" w:type="pct"/>
            <w:textDirection w:val="lrTb"/>
            <w:noWrap w:val="false"/>
          </w:tcPr>
          <w:p>
            <w:pPr>
              <w:pStyle w:val="1005"/>
              <w:ind w:left="57" w:right="57"/>
            </w:pPr>
            <w:r>
              <w:t xml:space="preserve">Срок договора по</w:t>
            </w:r>
            <w:r/>
          </w:p>
        </w:tc>
        <w:tc>
          <w:tcPr>
            <w:shd w:val="clear" w:fill="auto" w:color="auto"/>
            <w:tcW w:w="3863" w:type="pct"/>
            <w:textDirection w:val="lrTb"/>
            <w:noWrap w:val="false"/>
          </w:tcPr>
          <w:p>
            <w:pPr>
              <w:pStyle w:val="1005"/>
              <w:ind w:left="57" w:right="57"/>
            </w:pPr>
            <w:r>
              <w:t xml:space="preserve">Заполняется при импорте из внешних систем соответствующим значением из файла</w:t>
            </w:r>
            <w:r>
              <w:t xml:space="preserve">, либо значение указывается вручную или выбором из системного календаря.</w:t>
            </w:r>
            <w:r/>
          </w:p>
        </w:tc>
      </w:tr>
      <w:tr>
        <w:trPr/>
        <w:tc>
          <w:tcPr>
            <w:gridSpan w:val="2"/>
            <w:shd w:val="clear" w:fill="auto" w:color="auto"/>
            <w:tcW w:w="5000" w:type="pct"/>
            <w:textDirection w:val="lrTb"/>
            <w:noWrap w:val="false"/>
          </w:tcPr>
          <w:p>
            <w:pPr>
              <w:pStyle w:val="1005"/>
              <w:ind w:left="57" w:right="57"/>
            </w:pPr>
            <w:r>
              <w:t xml:space="preserve">Группа полей «Цена договора по годам»</w:t>
            </w:r>
            <w:r/>
          </w:p>
        </w:tc>
      </w:tr>
      <w:tr>
        <w:trPr/>
        <w:tc>
          <w:tcPr>
            <w:shd w:val="clear" w:fill="auto" w:color="auto"/>
            <w:tcW w:w="1137" w:type="pct"/>
            <w:textDirection w:val="lrTb"/>
            <w:noWrap w:val="false"/>
          </w:tcPr>
          <w:p>
            <w:pPr>
              <w:pStyle w:val="1005"/>
              <w:ind w:left="57" w:right="57"/>
            </w:pPr>
            <w:r>
              <w:t xml:space="preserve">Год</w:t>
            </w:r>
            <w:r/>
          </w:p>
        </w:tc>
        <w:tc>
          <w:tcPr>
            <w:shd w:val="clear" w:fill="auto" w:color="auto"/>
            <w:tcW w:w="3863" w:type="pct"/>
            <w:textDirection w:val="lrTb"/>
            <w:noWrap w:val="false"/>
          </w:tcPr>
          <w:p>
            <w:pPr>
              <w:pStyle w:val="1005"/>
              <w:ind w:left="57" w:right="57"/>
            </w:pPr>
            <w:r>
              <w:t xml:space="preserve">Указывается текущий год выполнения договора.</w:t>
            </w:r>
            <w:r/>
          </w:p>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t xml:space="preserve">.</w:t>
            </w:r>
            <w:r>
              <w:t xml:space="preserve"> По умолчанию пустое поле.</w:t>
            </w:r>
            <w:r/>
          </w:p>
        </w:tc>
      </w:tr>
      <w:tr>
        <w:trPr/>
        <w:tc>
          <w:tcPr>
            <w:shd w:val="clear" w:fill="auto" w:color="auto"/>
            <w:tcW w:w="1137" w:type="pct"/>
            <w:textDirection w:val="lrTb"/>
            <w:noWrap w:val="false"/>
          </w:tcPr>
          <w:p>
            <w:pPr>
              <w:pStyle w:val="1005"/>
              <w:ind w:left="57" w:right="57"/>
            </w:pPr>
            <w:r>
              <w:t xml:space="preserve">Год_1</w:t>
            </w:r>
            <w:r/>
          </w:p>
        </w:tc>
        <w:tc>
          <w:tcPr>
            <w:shd w:val="clear" w:fill="auto" w:color="auto"/>
            <w:tcW w:w="3863" w:type="pct"/>
            <w:textDirection w:val="lrTb"/>
            <w:noWrap w:val="false"/>
          </w:tcPr>
          <w:p>
            <w:pPr>
              <w:pStyle w:val="1005"/>
              <w:ind w:left="57" w:right="57"/>
            </w:pPr>
            <w:r>
              <w:t xml:space="preserve">Указывается первый</w:t>
            </w:r>
            <w:r>
              <w:t xml:space="preserve"> </w:t>
            </w:r>
            <w:r>
              <w:t xml:space="preserve">год выполнения договора, следующего за текущим годом.</w:t>
            </w:r>
            <w:r/>
          </w:p>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t xml:space="preserve">.</w:t>
            </w:r>
            <w:r>
              <w:t xml:space="preserve"> По умолчанию пустое поле.</w:t>
            </w:r>
            <w:r/>
          </w:p>
        </w:tc>
      </w:tr>
      <w:tr>
        <w:trPr/>
        <w:tc>
          <w:tcPr>
            <w:shd w:val="clear" w:fill="auto" w:color="auto"/>
            <w:tcW w:w="1137" w:type="pct"/>
            <w:textDirection w:val="lrTb"/>
            <w:noWrap w:val="false"/>
          </w:tcPr>
          <w:p>
            <w:pPr>
              <w:pStyle w:val="1005"/>
              <w:ind w:left="57" w:right="57"/>
            </w:pPr>
            <w:r>
              <w:t xml:space="preserve">Год_2</w:t>
            </w:r>
            <w:r/>
          </w:p>
        </w:tc>
        <w:tc>
          <w:tcPr>
            <w:shd w:val="clear" w:fill="auto" w:color="auto"/>
            <w:tcW w:w="3863" w:type="pct"/>
            <w:textDirection w:val="lrTb"/>
            <w:noWrap w:val="false"/>
          </w:tcPr>
          <w:p>
            <w:pPr>
              <w:pStyle w:val="1005"/>
              <w:ind w:left="57" w:right="57"/>
            </w:pPr>
            <w:r>
              <w:t xml:space="preserve">Указывается второй</w:t>
            </w:r>
            <w:r>
              <w:t xml:space="preserve"> </w:t>
            </w:r>
            <w:r>
              <w:t xml:space="preserve">год выполнения договора, следующего за первым годом.</w:t>
            </w:r>
            <w:r/>
          </w:p>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t xml:space="preserve">.</w:t>
            </w:r>
            <w:r>
              <w:t xml:space="preserve"> По умолчанию пустое поле.</w:t>
            </w:r>
            <w:r/>
          </w:p>
        </w:tc>
      </w:tr>
      <w:tr>
        <w:trPr/>
        <w:tc>
          <w:tcPr>
            <w:shd w:val="clear" w:fill="auto" w:color="auto"/>
            <w:tcW w:w="1137" w:type="pct"/>
            <w:textDirection w:val="lrTb"/>
            <w:noWrap w:val="false"/>
          </w:tcPr>
          <w:p>
            <w:pPr>
              <w:pStyle w:val="1005"/>
              <w:ind w:left="57" w:right="57"/>
            </w:pPr>
            <w:r>
              <w:t xml:space="preserve">Год_3</w:t>
            </w:r>
            <w:r/>
          </w:p>
        </w:tc>
        <w:tc>
          <w:tcPr>
            <w:shd w:val="clear" w:fill="auto" w:color="auto"/>
            <w:tcW w:w="3863" w:type="pct"/>
            <w:textDirection w:val="lrTb"/>
            <w:noWrap w:val="false"/>
          </w:tcPr>
          <w:p>
            <w:pPr>
              <w:pStyle w:val="1005"/>
              <w:ind w:left="57" w:right="57"/>
            </w:pPr>
            <w:r>
              <w:t xml:space="preserve">Указывается третий</w:t>
            </w:r>
            <w:r>
              <w:t xml:space="preserve"> </w:t>
            </w:r>
            <w:r>
              <w:t xml:space="preserve">год выполнения договора, следующего за первым годом.</w:t>
            </w:r>
            <w:r/>
          </w:p>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t xml:space="preserve">.</w:t>
            </w:r>
            <w:r>
              <w:t xml:space="preserve"> По умолчанию пустое поле.</w:t>
            </w:r>
            <w:r/>
          </w:p>
        </w:tc>
      </w:tr>
      <w:tr>
        <w:trPr/>
        <w:tc>
          <w:tcPr>
            <w:shd w:val="clear" w:fill="auto" w:color="auto"/>
            <w:tcW w:w="1137" w:type="pct"/>
            <w:textDirection w:val="lrTb"/>
            <w:noWrap w:val="false"/>
          </w:tcPr>
          <w:p>
            <w:pPr>
              <w:pStyle w:val="1005"/>
              <w:ind w:left="57" w:right="57"/>
            </w:pPr>
            <w:r>
              <w:t xml:space="preserve">Цена договора по году</w:t>
            </w:r>
            <w:r/>
          </w:p>
        </w:tc>
        <w:tc>
          <w:tcPr>
            <w:shd w:val="clear" w:fill="auto" w:color="auto"/>
            <w:tcW w:w="3863" w:type="pct"/>
            <w:textDirection w:val="lrTb"/>
            <w:noWrap w:val="false"/>
          </w:tcPr>
          <w:p>
            <w:pPr>
              <w:pStyle w:val="1005"/>
              <w:ind w:left="57" w:right="57"/>
            </w:pPr>
            <w:r>
              <w:t xml:space="preserve">Указывается цена договора за текущий год.</w:t>
            </w:r>
            <w:r/>
          </w:p>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137" w:type="pct"/>
            <w:textDirection w:val="lrTb"/>
            <w:noWrap w:val="false"/>
          </w:tcPr>
          <w:p>
            <w:pPr>
              <w:pStyle w:val="1005"/>
              <w:ind w:left="57" w:right="57"/>
            </w:pPr>
            <w:r>
              <w:t xml:space="preserve">Цена договора по году_1</w:t>
            </w:r>
            <w:r/>
          </w:p>
        </w:tc>
        <w:tc>
          <w:tcPr>
            <w:shd w:val="clear" w:fill="auto" w:color="auto"/>
            <w:tcW w:w="3863" w:type="pct"/>
            <w:textDirection w:val="lrTb"/>
            <w:noWrap w:val="false"/>
          </w:tcPr>
          <w:p>
            <w:pPr>
              <w:pStyle w:val="1005"/>
              <w:ind w:left="57" w:right="57"/>
            </w:pPr>
            <w:r>
              <w:t xml:space="preserve">Указывается цена договора за первый</w:t>
            </w:r>
            <w:r>
              <w:t xml:space="preserve"> </w:t>
            </w:r>
            <w:r>
              <w:t xml:space="preserve">год.</w:t>
            </w:r>
            <w:r/>
          </w:p>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137" w:type="pct"/>
            <w:textDirection w:val="lrTb"/>
            <w:noWrap w:val="false"/>
          </w:tcPr>
          <w:p>
            <w:pPr>
              <w:pStyle w:val="1005"/>
              <w:ind w:left="57" w:right="57"/>
            </w:pPr>
            <w:r>
              <w:t xml:space="preserve">Цена договора по году_2</w:t>
            </w:r>
            <w:r/>
          </w:p>
        </w:tc>
        <w:tc>
          <w:tcPr>
            <w:shd w:val="clear" w:fill="auto" w:color="auto"/>
            <w:tcW w:w="3863" w:type="pct"/>
            <w:textDirection w:val="lrTb"/>
            <w:noWrap w:val="false"/>
          </w:tcPr>
          <w:p>
            <w:pPr>
              <w:pStyle w:val="1005"/>
              <w:ind w:left="57" w:right="57"/>
            </w:pPr>
            <w:r>
              <w:t xml:space="preserve">Указывается цена договора за второй</w:t>
            </w:r>
            <w:r>
              <w:t xml:space="preserve"> </w:t>
            </w:r>
            <w:r>
              <w:t xml:space="preserve">год.</w:t>
            </w:r>
            <w:r/>
          </w:p>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137" w:type="pct"/>
            <w:textDirection w:val="lrTb"/>
            <w:noWrap w:val="false"/>
          </w:tcPr>
          <w:p>
            <w:pPr>
              <w:pStyle w:val="1005"/>
              <w:ind w:left="57" w:right="57"/>
            </w:pPr>
            <w:r>
              <w:t xml:space="preserve">Цена договора по году_3</w:t>
            </w:r>
            <w:r/>
          </w:p>
        </w:tc>
        <w:tc>
          <w:tcPr>
            <w:shd w:val="clear" w:fill="auto" w:color="auto"/>
            <w:tcW w:w="3863" w:type="pct"/>
            <w:textDirection w:val="lrTb"/>
            <w:noWrap w:val="false"/>
          </w:tcPr>
          <w:p>
            <w:pPr>
              <w:pStyle w:val="1005"/>
              <w:ind w:left="57" w:right="57"/>
            </w:pPr>
            <w:r>
              <w:t xml:space="preserve">Указывается цена договора за третий</w:t>
            </w:r>
            <w:r>
              <w:t xml:space="preserve"> </w:t>
            </w:r>
            <w:r>
              <w:t xml:space="preserve">год.</w:t>
            </w:r>
            <w:r/>
          </w:p>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137" w:type="pct"/>
            <w:textDirection w:val="lrTb"/>
            <w:noWrap w:val="false"/>
          </w:tcPr>
          <w:p>
            <w:pPr>
              <w:pStyle w:val="1005"/>
              <w:ind w:left="57" w:right="57"/>
            </w:pPr>
            <w:r>
              <w:t xml:space="preserve">Всего</w:t>
            </w:r>
            <w:r/>
          </w:p>
        </w:tc>
        <w:tc>
          <w:tcPr>
            <w:shd w:val="clear" w:fill="auto" w:color="auto"/>
            <w:tcW w:w="3863" w:type="pct"/>
            <w:textDirection w:val="lrTb"/>
            <w:noWrap w:val="false"/>
          </w:tcPr>
          <w:p>
            <w:pPr>
              <w:pStyle w:val="1005"/>
              <w:ind w:left="57" w:right="57"/>
            </w:pPr>
            <w:r>
              <w:t xml:space="preserve">Указывается итоговая сумма цены договора по годам.</w:t>
            </w:r>
            <w:r/>
          </w:p>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bl>
    <w:p>
      <w:pPr>
        <w:pStyle w:val="994"/>
      </w:pPr>
      <w:r>
        <w:t xml:space="preserve">ЭФ документа «Расходная декларация», закладки «Информация о структуре цены договора» представлена на рисунке </w:t>
      </w:r>
      <w:r>
        <w:fldChar w:fldCharType="begin"/>
      </w:r>
      <w:r>
        <w:instrText xml:space="preserve"> REF _Ref530393484 \h </w:instrText>
      </w:r>
      <w:r>
        <w:fldChar w:fldCharType="separate"/>
      </w:r>
      <w:r>
        <w:t xml:space="preserve">208</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5577840"/>
                <wp:effectExtent l="0" t="0" r="0" b="0"/>
                <wp:docPr id="30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78"/>
                        <a:stretch/>
                      </pic:blipFill>
                      <pic:spPr bwMode="auto">
                        <a:xfrm>
                          <a:off x="0" y="0"/>
                          <a:ext cx="6134100" cy="55778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7" o:spid="_x0000_s307" type="#_x0000_t75" style="mso-wrap-distance-left:0.0pt;mso-wrap-distance-top:0.0pt;mso-wrap-distance-right:0.0pt;mso-wrap-distance-bottom:0.0pt;width:483.0pt;height:439.2pt;" stroked="f">
                <v:path textboxrect="0,0,0,0"/>
                <v:imagedata r:id="rId278" o:title=""/>
              </v:shape>
            </w:pict>
          </mc:Fallback>
        </mc:AlternateContent>
      </w:r>
      <w:r/>
    </w:p>
    <w:p>
      <w:pPr>
        <w:pStyle w:val="983"/>
      </w:pPr>
      <w:r>
        <w:fldChar w:fldCharType="begin"/>
      </w:r>
      <w:r>
        <w:instrText xml:space="preserve"> SEQ Рисунок \* ARABIC </w:instrText>
      </w:r>
      <w:r>
        <w:fldChar w:fldCharType="separate"/>
      </w:r>
      <w:bookmarkStart w:id="1485" w:name="_Ref530393484"/>
      <w:r/>
      <w:bookmarkStart w:id="1486" w:name="_Toc88819593"/>
      <w:r>
        <w:t xml:space="preserve">208</w:t>
      </w:r>
      <w:bookmarkEnd w:id="1485"/>
      <w:r>
        <w:fldChar w:fldCharType="end"/>
      </w:r>
      <w:r>
        <w:t xml:space="preserve">. ЭФ документа «Расходная декларация», закладки «Информация о структуре цены договора»</w:t>
      </w:r>
      <w:bookmarkEnd w:id="1486"/>
      <w:r/>
      <w:r/>
    </w:p>
    <w:p>
      <w:pPr>
        <w:pStyle w:val="994"/>
      </w:pPr>
      <w:r>
        <w:t xml:space="preserve">Перечень полей документа «Расходная декларация», закладки «Информация о структуре цены договора» приведен в таблице </w:t>
      </w:r>
      <w:r>
        <w:fldChar w:fldCharType="begin"/>
      </w:r>
      <w:r>
        <w:instrText xml:space="preserve"> REF _Ref530393509 \h </w:instrText>
      </w:r>
      <w:r>
        <w:fldChar w:fldCharType="separate"/>
      </w:r>
      <w:r>
        <w:t xml:space="preserve">112</w:t>
      </w:r>
      <w:r>
        <w:fldChar w:fldCharType="end"/>
      </w:r>
      <w:r>
        <w:t xml:space="preserve">.</w:t>
      </w:r>
      <w:r/>
    </w:p>
    <w:p>
      <w:pPr>
        <w:pStyle w:val="993"/>
      </w:pPr>
      <w:r>
        <w:fldChar w:fldCharType="begin"/>
      </w:r>
      <w:r>
        <w:instrText xml:space="preserve"> SEQ Таблица \* ARABIC </w:instrText>
      </w:r>
      <w:r>
        <w:fldChar w:fldCharType="separate"/>
      </w:r>
      <w:bookmarkStart w:id="1487" w:name="_Ref530393509"/>
      <w:r/>
      <w:bookmarkStart w:id="1488" w:name="_Toc88819298"/>
      <w:r>
        <w:t xml:space="preserve">112</w:t>
      </w:r>
      <w:bookmarkEnd w:id="1487"/>
      <w:r>
        <w:fldChar w:fldCharType="end"/>
      </w:r>
      <w:r>
        <w:t xml:space="preserve">. Описание полей документа «Расходная декларация», закладки «Информация о структуре цены договора»</w:t>
      </w:r>
      <w:bookmarkEnd w:id="148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576"/>
        <w:gridCol w:w="7176"/>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321" w:type="pct"/>
            <w:vAlign w:val="center"/>
            <w:textDirection w:val="lrTb"/>
            <w:noWrap w:val="false"/>
          </w:tcPr>
          <w:p>
            <w:pPr>
              <w:pStyle w:val="993"/>
              <w:numPr>
                <w:ilvl w:val="0"/>
                <w:numId w:val="0"/>
              </w:numPr>
              <w:ind w:left="567"/>
              <w:jc w:val="center"/>
            </w:pPr>
            <w:r/>
            <w:bookmarkStart w:id="1489" w:name="_Toc17730549"/>
            <w:r/>
            <w:bookmarkStart w:id="1490" w:name="_Toc17731628"/>
            <w:r/>
            <w:bookmarkStart w:id="1491" w:name="_Toc88819299"/>
            <w:r>
              <w:t xml:space="preserve">Наименование поля</w:t>
            </w:r>
            <w:bookmarkEnd w:id="1489"/>
            <w:r/>
            <w:bookmarkEnd w:id="1490"/>
            <w:r/>
            <w:bookmarkEnd w:id="1491"/>
            <w:r/>
            <w:r/>
          </w:p>
        </w:tc>
        <w:tc>
          <w:tcPr>
            <w:shd w:val="clear" w:fill="E6E6E6" w:color="auto"/>
            <w:tcBorders>
              <w:left w:val="single" w:sz="4" w:space="0" w:color="auto"/>
              <w:top w:val="single" w:sz="4" w:space="0" w:color="auto"/>
              <w:right w:val="single" w:sz="4" w:space="0" w:color="auto"/>
              <w:bottom w:val="single" w:sz="4" w:space="0" w:color="auto"/>
            </w:tcBorders>
            <w:tcW w:w="3679"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Все поля закладки «Информация о структуре цены договора» (названия граф – поля по горизонтали таблицы) заполняю</w:t>
            </w:r>
            <w:r>
              <w:t xml:space="preserve">тся при импорте из внешних систем соответствующим значением из файла</w:t>
            </w:r>
            <w:r>
              <w:t xml:space="preserve">, либо передаются из </w:t>
            </w:r>
            <w:r>
              <w:rPr>
                <w:lang w:val="en-US"/>
              </w:rPr>
              <w:t xml:space="preserve">OEBS</w:t>
            </w:r>
            <w:r>
              <w:t xml:space="preserve">.</w:t>
            </w:r>
            <w:r/>
          </w:p>
        </w:tc>
      </w:tr>
      <w:tr>
        <w:trPr/>
        <w:tc>
          <w:tcPr>
            <w:shd w:val="clear" w:fill="auto" w:color="auto"/>
            <w:tcW w:w="1321" w:type="pct"/>
            <w:textDirection w:val="lrTb"/>
            <w:noWrap w:val="false"/>
          </w:tcPr>
          <w:p>
            <w:pPr>
              <w:pStyle w:val="1005"/>
              <w:ind w:left="57" w:right="57"/>
            </w:pPr>
            <w:r>
              <w:t xml:space="preserve">№ п/п</w:t>
            </w:r>
            <w:r/>
          </w:p>
        </w:tc>
        <w:tc>
          <w:tcPr>
            <w:shd w:val="clear" w:fill="auto" w:color="auto"/>
            <w:tcW w:w="3679" w:type="pct"/>
            <w:textDirection w:val="lrTb"/>
            <w:noWrap w:val="false"/>
          </w:tcPr>
          <w:p>
            <w:pPr>
              <w:pStyle w:val="1005"/>
              <w:ind w:left="57" w:right="57"/>
            </w:pPr>
            <w:r>
              <w:t xml:space="preserve">Указывается пункт наименования статьи затрат.</w:t>
            </w:r>
            <w:r/>
          </w:p>
        </w:tc>
      </w:tr>
      <w:tr>
        <w:trPr/>
        <w:tc>
          <w:tcPr>
            <w:shd w:val="clear" w:fill="auto" w:color="auto"/>
            <w:tcW w:w="1321" w:type="pct"/>
            <w:textDirection w:val="lrTb"/>
            <w:noWrap w:val="false"/>
          </w:tcPr>
          <w:p>
            <w:pPr>
              <w:pStyle w:val="1005"/>
              <w:ind w:left="57" w:right="57"/>
            </w:pPr>
            <w:r>
              <w:t xml:space="preserve">Укрупненный код Перечня</w:t>
            </w:r>
            <w:r/>
          </w:p>
        </w:tc>
        <w:tc>
          <w:tcPr>
            <w:shd w:val="clear" w:fill="auto" w:color="auto"/>
            <w:tcW w:w="3679" w:type="pct"/>
            <w:textDirection w:val="lrTb"/>
            <w:noWrap w:val="false"/>
          </w:tcPr>
          <w:p>
            <w:pPr>
              <w:pStyle w:val="1005"/>
              <w:ind w:left="57" w:right="57"/>
            </w:pPr>
            <w:r>
              <w:t xml:space="preserve">Указывается </w:t>
            </w:r>
            <w:r>
              <w:t xml:space="preserve">укрупненный код Перечня.</w:t>
            </w:r>
            <w:r/>
          </w:p>
        </w:tc>
      </w:tr>
      <w:tr>
        <w:trPr/>
        <w:tc>
          <w:tcPr>
            <w:shd w:val="clear" w:fill="auto" w:color="auto"/>
            <w:tcW w:w="1321" w:type="pct"/>
            <w:textDirection w:val="lrTb"/>
            <w:noWrap w:val="false"/>
          </w:tcPr>
          <w:p>
            <w:pPr>
              <w:pStyle w:val="1005"/>
              <w:ind w:left="57" w:right="57"/>
            </w:pPr>
            <w:r>
              <w:t xml:space="preserve">Детализированный код </w:t>
            </w:r>
            <w:r>
              <w:t xml:space="preserve">перечня</w:t>
            </w:r>
            <w:r/>
          </w:p>
        </w:tc>
        <w:tc>
          <w:tcPr>
            <w:shd w:val="clear" w:fill="auto" w:color="auto"/>
            <w:tcW w:w="3679" w:type="pct"/>
            <w:textDirection w:val="lrTb"/>
            <w:noWrap w:val="false"/>
          </w:tcPr>
          <w:p>
            <w:pPr>
              <w:pStyle w:val="1005"/>
              <w:ind w:left="57" w:right="57"/>
            </w:pPr>
            <w:r>
              <w:t xml:space="preserve">Указывается детализированный код Перечня.</w:t>
            </w:r>
            <w:r/>
          </w:p>
        </w:tc>
      </w:tr>
      <w:tr>
        <w:trPr/>
        <w:tc>
          <w:tcPr>
            <w:shd w:val="clear" w:fill="auto" w:color="auto"/>
            <w:tcW w:w="1321" w:type="pct"/>
            <w:textDirection w:val="lrTb"/>
            <w:noWrap w:val="false"/>
          </w:tcPr>
          <w:p>
            <w:pPr>
              <w:pStyle w:val="1005"/>
              <w:ind w:left="57" w:right="57"/>
            </w:pPr>
            <w:r>
              <w:t xml:space="preserve">Наименование кода Перечня</w:t>
            </w:r>
            <w:r/>
          </w:p>
        </w:tc>
        <w:tc>
          <w:tcPr>
            <w:shd w:val="clear" w:fill="auto" w:color="auto"/>
            <w:tcW w:w="3679" w:type="pct"/>
            <w:textDirection w:val="lrTb"/>
            <w:noWrap w:val="false"/>
          </w:tcPr>
          <w:p>
            <w:pPr>
              <w:pStyle w:val="1005"/>
              <w:ind w:left="57" w:right="57"/>
            </w:pPr>
            <w:r>
              <w:t xml:space="preserve">Указывается наименование статьи затрат.</w:t>
            </w:r>
            <w:r/>
          </w:p>
        </w:tc>
      </w:tr>
      <w:tr>
        <w:trPr/>
        <w:tc>
          <w:tcPr>
            <w:shd w:val="clear" w:fill="auto" w:color="auto"/>
            <w:tcW w:w="1321" w:type="pct"/>
            <w:textDirection w:val="lrTb"/>
            <w:noWrap w:val="false"/>
          </w:tcPr>
          <w:p>
            <w:pPr>
              <w:pStyle w:val="1005"/>
              <w:ind w:left="57" w:right="57"/>
            </w:pPr>
            <w:r>
              <w:t xml:space="preserve">Кассовый расход (руб. коп.) План</w:t>
            </w:r>
            <w:r/>
          </w:p>
        </w:tc>
        <w:tc>
          <w:tcPr>
            <w:shd w:val="clear" w:fill="auto" w:color="auto"/>
            <w:tcW w:w="3679" w:type="pct"/>
            <w:textDirection w:val="lrTb"/>
            <w:noWrap w:val="false"/>
          </w:tcPr>
          <w:p>
            <w:pPr>
              <w:pStyle w:val="1005"/>
              <w:ind w:left="57" w:right="57"/>
            </w:pPr>
            <w:r>
              <w:t xml:space="preserve">Указывается сумма планируемых выплат.</w:t>
            </w:r>
            <w:r/>
          </w:p>
        </w:tc>
      </w:tr>
      <w:tr>
        <w:trPr/>
        <w:tc>
          <w:tcPr>
            <w:shd w:val="clear" w:fill="auto" w:color="auto"/>
            <w:tcW w:w="1321" w:type="pct"/>
            <w:textDirection w:val="lrTb"/>
            <w:noWrap w:val="false"/>
          </w:tcPr>
          <w:p>
            <w:pPr>
              <w:pStyle w:val="1005"/>
              <w:ind w:left="57" w:right="57"/>
            </w:pPr>
            <w:r>
              <w:t xml:space="preserve">Кассовый расход (руб. коп.) Факт</w:t>
            </w:r>
            <w:r/>
          </w:p>
        </w:tc>
        <w:tc>
          <w:tcPr>
            <w:shd w:val="clear" w:fill="auto" w:color="auto"/>
            <w:tcW w:w="3679" w:type="pct"/>
            <w:textDirection w:val="lrTb"/>
            <w:noWrap w:val="false"/>
          </w:tcPr>
          <w:p>
            <w:pPr>
              <w:pStyle w:val="1005"/>
              <w:ind w:left="57" w:right="57"/>
            </w:pPr>
            <w:r>
              <w:t xml:space="preserve">Указывается фактическая сумма выплат.</w:t>
            </w:r>
            <w:r/>
          </w:p>
        </w:tc>
      </w:tr>
      <w:tr>
        <w:trPr/>
        <w:tc>
          <w:tcPr>
            <w:shd w:val="clear" w:fill="auto" w:color="auto"/>
            <w:tcW w:w="1321" w:type="pct"/>
            <w:textDirection w:val="lrTb"/>
            <w:noWrap w:val="false"/>
          </w:tcPr>
          <w:p>
            <w:pPr>
              <w:pStyle w:val="1005"/>
              <w:ind w:left="57" w:right="57"/>
            </w:pPr>
            <w:r>
              <w:t xml:space="preserve">Факт (раздельный учет) (руб. коп.)</w:t>
            </w:r>
            <w:r/>
          </w:p>
        </w:tc>
        <w:tc>
          <w:tcPr>
            <w:shd w:val="clear" w:fill="auto" w:color="auto"/>
            <w:tcW w:w="3679" w:type="pct"/>
            <w:textDirection w:val="lrTb"/>
            <w:noWrap w:val="false"/>
          </w:tcPr>
          <w:p>
            <w:pPr>
              <w:pStyle w:val="1005"/>
              <w:ind w:left="57" w:right="57"/>
            </w:pPr>
            <w:r>
              <w:t xml:space="preserve">Указывается сумма кассового расхода. Если затраты осуществлялись, ставится прочерк. Значение может указываться вручную.</w:t>
            </w:r>
            <w:r/>
          </w:p>
        </w:tc>
      </w:tr>
      <w:tr>
        <w:trPr/>
        <w:tc>
          <w:tcPr>
            <w:shd w:val="clear" w:fill="auto" w:color="auto"/>
            <w:tcW w:w="1321" w:type="pct"/>
            <w:textDirection w:val="lrTb"/>
            <w:noWrap w:val="false"/>
          </w:tcPr>
          <w:p>
            <w:pPr>
              <w:pStyle w:val="1005"/>
              <w:ind w:left="57" w:right="57"/>
            </w:pPr>
            <w:r>
              <w:t xml:space="preserve">Показатель</w:t>
            </w:r>
            <w:r/>
          </w:p>
        </w:tc>
        <w:tc>
          <w:tcPr>
            <w:shd w:val="clear" w:fill="auto" w:color="auto"/>
            <w:tcW w:w="3679" w:type="pct"/>
            <w:textDirection w:val="lrTb"/>
            <w:noWrap w:val="false"/>
          </w:tcPr>
          <w:p>
            <w:pPr>
              <w:pStyle w:val="1005"/>
              <w:ind w:left="57" w:right="57"/>
            </w:pPr>
            <w:r>
              <w:t xml:space="preserve">Указывается наименование статьи затрат</w:t>
            </w:r>
            <w:r>
              <w:t xml:space="preserve">.</w:t>
            </w:r>
            <w:r/>
          </w:p>
        </w:tc>
      </w:tr>
      <w:tr>
        <w:trPr/>
        <w:tc>
          <w:tcPr>
            <w:shd w:val="clear" w:fill="auto" w:color="auto"/>
            <w:tcW w:w="1321" w:type="pct"/>
            <w:textDirection w:val="lrTb"/>
            <w:noWrap w:val="false"/>
          </w:tcPr>
          <w:p>
            <w:pPr>
              <w:pStyle w:val="1005"/>
              <w:ind w:left="57" w:right="57"/>
            </w:pPr>
            <w:r>
              <w:t xml:space="preserve">КР с начала исполнения</w:t>
            </w:r>
            <w:r/>
          </w:p>
        </w:tc>
        <w:tc>
          <w:tcPr>
            <w:shd w:val="clear" w:fill="auto" w:color="auto"/>
            <w:tcW w:w="3679" w:type="pct"/>
            <w:textDirection w:val="lrTb"/>
            <w:noWrap w:val="false"/>
          </w:tcPr>
          <w:p>
            <w:pPr>
              <w:pStyle w:val="1005"/>
              <w:ind w:left="57" w:right="57"/>
            </w:pPr>
            <w:r>
              <w:t xml:space="preserve">Указывается итоговая сумма кассового расхода с начала исполнения.</w:t>
            </w:r>
            <w:r/>
          </w:p>
          <w:p>
            <w:pPr>
              <w:pStyle w:val="1005"/>
              <w:ind w:left="57" w:right="57"/>
            </w:pPr>
            <w:r>
              <w:t xml:space="preserve">Значение может указываться вручную.</w:t>
            </w:r>
            <w:r/>
          </w:p>
        </w:tc>
      </w:tr>
      <w:tr>
        <w:trPr/>
        <w:tc>
          <w:tcPr>
            <w:shd w:val="clear" w:fill="auto" w:color="auto"/>
            <w:tcW w:w="1321" w:type="pct"/>
            <w:textDirection w:val="lrTb"/>
            <w:noWrap w:val="false"/>
          </w:tcPr>
          <w:p>
            <w:pPr>
              <w:pStyle w:val="1005"/>
              <w:ind w:left="57" w:right="57"/>
            </w:pPr>
            <w:r>
              <w:t xml:space="preserve">Примечание</w:t>
            </w:r>
            <w:r/>
          </w:p>
        </w:tc>
        <w:tc>
          <w:tcPr>
            <w:shd w:val="clear" w:fill="auto" w:color="auto"/>
            <w:tcW w:w="3679" w:type="pct"/>
            <w:textDirection w:val="lrTb"/>
            <w:noWrap w:val="false"/>
          </w:tcPr>
          <w:p>
            <w:pPr>
              <w:pStyle w:val="1005"/>
              <w:ind w:left="57" w:right="57"/>
            </w:pPr>
            <w:r>
              <w:t xml:space="preserve">Указывается необходимая информация. В т.ч указывается информация об изменении цены договора.</w:t>
            </w:r>
            <w:r/>
          </w:p>
          <w:p>
            <w:pPr>
              <w:pStyle w:val="1005"/>
              <w:ind w:left="57" w:right="57"/>
            </w:pPr>
            <w:r>
              <w:t xml:space="preserve">Значение может указываться вручную.</w:t>
            </w:r>
            <w:r/>
          </w:p>
        </w:tc>
      </w:tr>
      <w:tr>
        <w:trPr/>
        <w:tc>
          <w:tcPr>
            <w:gridSpan w:val="2"/>
            <w:shd w:val="clear" w:fill="auto" w:color="auto"/>
            <w:tcW w:w="5000" w:type="pct"/>
            <w:textDirection w:val="lrTb"/>
            <w:noWrap w:val="false"/>
          </w:tcPr>
          <w:p>
            <w:pPr>
              <w:pStyle w:val="1005"/>
              <w:ind w:left="57" w:right="57"/>
            </w:pPr>
            <w:r>
              <w:t xml:space="preserve">Все поля закладки «Информация о структуре цены договора» (названия граф – поля по вертикали таблицы) кроме полей: «</w:t>
            </w:r>
            <w:r>
              <w:t xml:space="preserve">Цена Договора – всего:</w:t>
            </w:r>
            <w:r>
              <w:t xml:space="preserve">», «НДС», «</w:t>
            </w:r>
            <w:r>
              <w:t xml:space="preserve">НДС к зачету по приобретенным товарам, работам, услугам (вычитается)</w:t>
            </w:r>
            <w:r>
              <w:t xml:space="preserve">», «</w:t>
            </w:r>
            <w:r>
              <w:t xml:space="preserve">Чистая прибыль – всего:</w:t>
            </w:r>
            <w:r>
              <w:t xml:space="preserve">», «</w:t>
            </w:r>
            <w:r>
              <w:t xml:space="preserve">%</w:t>
            </w:r>
            <w:r>
              <w:t xml:space="preserve"> (от цены договора)» заполняются </w:t>
            </w:r>
            <w:r>
              <w:t xml:space="preserve">при импорте из внешних систем соответствующим значением из файла</w:t>
            </w:r>
            <w:r>
              <w:t xml:space="preserve">, либо передаются из </w:t>
            </w:r>
            <w:r>
              <w:rPr>
                <w:lang w:val="en-US"/>
              </w:rPr>
              <w:t xml:space="preserve">OEBS</w:t>
            </w:r>
            <w:r>
              <w:t xml:space="preserve">. </w:t>
            </w:r>
            <w:r/>
          </w:p>
        </w:tc>
      </w:tr>
      <w:tr>
        <w:trPr/>
        <w:tc>
          <w:tcPr>
            <w:shd w:val="clear" w:fill="auto" w:color="auto"/>
            <w:tcW w:w="1321" w:type="pct"/>
            <w:textDirection w:val="lrTb"/>
            <w:noWrap w:val="false"/>
          </w:tcPr>
          <w:p>
            <w:pPr>
              <w:pStyle w:val="1005"/>
              <w:ind w:left="57" w:right="57"/>
            </w:pPr>
            <w:r>
              <w:t xml:space="preserve">Цена Договора – всего:</w:t>
            </w:r>
            <w:r/>
          </w:p>
        </w:tc>
        <w:tc>
          <w:tcPr>
            <w:shd w:val="clear" w:fill="auto" w:color="auto"/>
            <w:tcW w:w="3679" w:type="pct"/>
            <w:textDirection w:val="lrTb"/>
            <w:noWrap w:val="false"/>
          </w:tcPr>
          <w:p>
            <w:pPr>
              <w:pStyle w:val="1005"/>
              <w:ind w:left="57" w:right="57"/>
            </w:pPr>
            <w:r>
              <w:t xml:space="preserve">Указывается итоговая цена договора.</w:t>
            </w:r>
            <w:r/>
          </w:p>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321" w:type="pct"/>
            <w:textDirection w:val="lrTb"/>
            <w:noWrap w:val="false"/>
          </w:tcPr>
          <w:p>
            <w:pPr>
              <w:pStyle w:val="1005"/>
              <w:ind w:left="57" w:right="57"/>
            </w:pPr>
            <w:r>
              <w:t xml:space="preserve">НДС</w:t>
            </w:r>
            <w:r/>
          </w:p>
        </w:tc>
        <w:tc>
          <w:tcPr>
            <w:shd w:val="clear" w:fill="auto" w:color="auto"/>
            <w:tcW w:w="3679"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321" w:type="pct"/>
            <w:textDirection w:val="lrTb"/>
            <w:noWrap w:val="false"/>
          </w:tcPr>
          <w:p>
            <w:pPr>
              <w:pStyle w:val="1005"/>
              <w:ind w:left="57" w:right="57"/>
            </w:pPr>
            <w:r>
              <w:t xml:space="preserve">НДС к зачету по приобретенным товарам, работам, услугам (вычитается)</w:t>
            </w:r>
            <w:r/>
          </w:p>
        </w:tc>
        <w:tc>
          <w:tcPr>
            <w:shd w:val="clear" w:fill="auto" w:color="auto"/>
            <w:tcW w:w="3679"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321" w:type="pct"/>
            <w:textDirection w:val="lrTb"/>
            <w:noWrap w:val="false"/>
          </w:tcPr>
          <w:p>
            <w:pPr>
              <w:pStyle w:val="1005"/>
              <w:ind w:left="57" w:right="57"/>
            </w:pPr>
            <w:r>
              <w:t xml:space="preserve">Чистая прибыль – всего:</w:t>
            </w:r>
            <w:r/>
          </w:p>
        </w:tc>
        <w:tc>
          <w:tcPr>
            <w:shd w:val="clear" w:fill="auto" w:color="auto"/>
            <w:tcW w:w="3679" w:type="pct"/>
            <w:textDirection w:val="lrTb"/>
            <w:noWrap w:val="false"/>
          </w:tcPr>
          <w:p>
            <w:pPr>
              <w:pStyle w:val="1005"/>
              <w:ind w:left="57" w:right="57"/>
            </w:pPr>
            <w:r>
              <w:t xml:space="preserve">Указывается итоговая сумма чистой прибыли.</w:t>
            </w:r>
            <w:r/>
          </w:p>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r>
        <w:trPr/>
        <w:tc>
          <w:tcPr>
            <w:shd w:val="clear" w:fill="auto" w:color="auto"/>
            <w:tcW w:w="1321" w:type="pct"/>
            <w:textDirection w:val="lrTb"/>
            <w:noWrap w:val="false"/>
          </w:tcPr>
          <w:p>
            <w:pPr>
              <w:pStyle w:val="1005"/>
              <w:ind w:left="57" w:right="57"/>
            </w:pPr>
            <w:r>
              <w:t xml:space="preserve">%</w:t>
            </w:r>
            <w:r>
              <w:t xml:space="preserve"> (от цены договора)</w:t>
            </w:r>
            <w:r/>
          </w:p>
        </w:tc>
        <w:tc>
          <w:tcPr>
            <w:shd w:val="clear" w:fill="auto" w:color="auto"/>
            <w:tcW w:w="3679" w:type="pct"/>
            <w:textDirection w:val="lrTb"/>
            <w:noWrap w:val="false"/>
          </w:tcPr>
          <w:p>
            <w:pPr>
              <w:pStyle w:val="1005"/>
              <w:ind w:left="57" w:right="57"/>
            </w:pPr>
            <w:r>
              <w:t xml:space="preserve">Заполняется при импорте из внешних систем соответствующим значением из файла или значение указывается вручную.</w:t>
            </w:r>
            <w:r/>
          </w:p>
        </w:tc>
      </w:tr>
    </w:tbl>
    <w:p>
      <w:pPr>
        <w:pStyle w:val="994"/>
      </w:pPr>
      <w:r>
        <w:t xml:space="preserve">ЭФ документа «Расходная декларация», закладки «Реквизиты подписи» представлена на рисунке </w:t>
      </w:r>
      <w:r>
        <w:fldChar w:fldCharType="begin"/>
      </w:r>
      <w:r>
        <w:instrText xml:space="preserve"> REF _Ref530574745 \h </w:instrText>
      </w:r>
      <w:r>
        <w:fldChar w:fldCharType="separate"/>
      </w:r>
      <w:r>
        <w:t xml:space="preserve">209</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743200"/>
                <wp:effectExtent l="0" t="0" r="0" b="0"/>
                <wp:docPr id="30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79"/>
                        <a:stretch/>
                      </pic:blipFill>
                      <pic:spPr bwMode="auto">
                        <a:xfrm>
                          <a:off x="0" y="0"/>
                          <a:ext cx="6126480" cy="27432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8" o:spid="_x0000_s308" type="#_x0000_t75" style="mso-wrap-distance-left:0.0pt;mso-wrap-distance-top:0.0pt;mso-wrap-distance-right:0.0pt;mso-wrap-distance-bottom:0.0pt;width:482.4pt;height:216.0pt;" stroked="f">
                <v:path textboxrect="0,0,0,0"/>
                <v:imagedata r:id="rId279" o:title=""/>
              </v:shape>
            </w:pict>
          </mc:Fallback>
        </mc:AlternateContent>
      </w:r>
      <w:r/>
    </w:p>
    <w:p>
      <w:pPr>
        <w:pStyle w:val="983"/>
      </w:pPr>
      <w:r>
        <w:fldChar w:fldCharType="begin"/>
      </w:r>
      <w:r>
        <w:instrText xml:space="preserve"> SEQ Рисунок \* ARABIC </w:instrText>
      </w:r>
      <w:r>
        <w:fldChar w:fldCharType="separate"/>
      </w:r>
      <w:bookmarkStart w:id="1492" w:name="_Ref530574745"/>
      <w:r/>
      <w:bookmarkStart w:id="1493" w:name="_Toc88819594"/>
      <w:r>
        <w:t xml:space="preserve">209</w:t>
      </w:r>
      <w:bookmarkEnd w:id="1492"/>
      <w:r>
        <w:fldChar w:fldCharType="end"/>
      </w:r>
      <w:r>
        <w:t xml:space="preserve">. ЭФ документа «Расходная декларация», закладки «Реквизиты подписи»</w:t>
      </w:r>
      <w:bookmarkEnd w:id="1493"/>
      <w:r/>
      <w:r/>
    </w:p>
    <w:p>
      <w:pPr>
        <w:pStyle w:val="994"/>
      </w:pPr>
      <w:r>
        <w:t xml:space="preserve">Перечень полей документа «Расходная декларация», закладки «Реквизиты подписи» приведен в таблице </w:t>
      </w:r>
      <w:r>
        <w:fldChar w:fldCharType="begin"/>
      </w:r>
      <w:r>
        <w:instrText xml:space="preserve"> REF _Ref530574746 \h </w:instrText>
      </w:r>
      <w:r>
        <w:fldChar w:fldCharType="separate"/>
      </w:r>
      <w:r>
        <w:t xml:space="preserve">113</w:t>
      </w:r>
      <w:r>
        <w:fldChar w:fldCharType="end"/>
      </w:r>
      <w:r>
        <w:t xml:space="preserve">.</w:t>
      </w:r>
      <w:r/>
    </w:p>
    <w:p>
      <w:pPr>
        <w:pStyle w:val="993"/>
      </w:pPr>
      <w:r>
        <w:fldChar w:fldCharType="begin"/>
      </w:r>
      <w:r>
        <w:instrText xml:space="preserve"> SEQ Таблица \* ARABIC </w:instrText>
      </w:r>
      <w:r>
        <w:fldChar w:fldCharType="separate"/>
      </w:r>
      <w:bookmarkStart w:id="1494" w:name="_Ref530574746"/>
      <w:r/>
      <w:bookmarkStart w:id="1495" w:name="_Toc88819300"/>
      <w:r>
        <w:t xml:space="preserve">113</w:t>
      </w:r>
      <w:bookmarkEnd w:id="1494"/>
      <w:r>
        <w:fldChar w:fldCharType="end"/>
      </w:r>
      <w:r>
        <w:t xml:space="preserve">. Описание полей документа «Расходная декларация», закладки «Реквизиты подписи»</w:t>
      </w:r>
      <w:bookmarkEnd w:id="1495"/>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576"/>
        <w:gridCol w:w="7176"/>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321"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679"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«Реквизиты с подписями клиента»</w:t>
            </w:r>
            <w:r/>
          </w:p>
        </w:tc>
      </w:tr>
      <w:tr>
        <w:trPr/>
        <w:tc>
          <w:tcPr>
            <w:shd w:val="clear" w:fill="auto" w:color="auto"/>
            <w:tcW w:w="1321" w:type="pct"/>
            <w:textDirection w:val="lrTb"/>
            <w:noWrap w:val="false"/>
          </w:tcPr>
          <w:p>
            <w:pPr>
              <w:pStyle w:val="1005"/>
              <w:ind w:left="57" w:right="57"/>
            </w:pPr>
            <w:r>
              <w:t xml:space="preserve">Руководитель</w:t>
            </w:r>
            <w:r/>
          </w:p>
        </w:tc>
        <w:tc>
          <w:tcPr>
            <w:shd w:val="clear" w:fill="auto" w:color="auto"/>
            <w:tcW w:w="3679" w:type="pct"/>
            <w:textDirection w:val="lrTb"/>
            <w:noWrap w:val="false"/>
          </w:tcPr>
          <w:p>
            <w:pPr>
              <w:pStyle w:val="1005"/>
              <w:ind w:left="57" w:right="57"/>
            </w:pPr>
            <w:r>
              <w:t xml:space="preserve">Значение поля заполняется вручную</w:t>
            </w:r>
            <w:r>
              <w:t xml:space="preserve">.</w:t>
            </w:r>
            <w:r/>
          </w:p>
        </w:tc>
      </w:tr>
      <w:tr>
        <w:trPr/>
        <w:tc>
          <w:tcPr>
            <w:shd w:val="clear" w:fill="auto" w:color="auto"/>
            <w:tcW w:w="1321" w:type="pct"/>
            <w:textDirection w:val="lrTb"/>
            <w:noWrap w:val="false"/>
          </w:tcPr>
          <w:p>
            <w:pPr>
              <w:pStyle w:val="1005"/>
              <w:ind w:left="57" w:right="57"/>
            </w:pPr>
            <w:r>
              <w:t xml:space="preserve">Руководитель (должность уполномоченного лица)</w:t>
            </w:r>
            <w:r/>
          </w:p>
        </w:tc>
        <w:tc>
          <w:tcPr>
            <w:shd w:val="clear" w:fill="auto" w:color="auto"/>
            <w:tcW w:w="3679" w:type="pct"/>
            <w:textDirection w:val="lrTb"/>
            <w:noWrap w:val="false"/>
          </w:tcPr>
          <w:p>
            <w:pPr>
              <w:pStyle w:val="1005"/>
              <w:ind w:left="57" w:right="57"/>
            </w:pPr>
            <w:r>
              <w:t xml:space="preserve">Значение поля заполняется вручную</w:t>
            </w:r>
            <w:r>
              <w:t xml:space="preserve">.</w:t>
            </w:r>
            <w:r/>
          </w:p>
        </w:tc>
      </w:tr>
      <w:tr>
        <w:trPr/>
        <w:tc>
          <w:tcPr>
            <w:shd w:val="clear" w:fill="auto" w:color="auto"/>
            <w:tcW w:w="1321" w:type="pct"/>
            <w:textDirection w:val="lrTb"/>
            <w:noWrap w:val="false"/>
          </w:tcPr>
          <w:p>
            <w:pPr>
              <w:pStyle w:val="1005"/>
              <w:ind w:left="57" w:right="57"/>
            </w:pPr>
            <w:r>
              <w:t xml:space="preserve">Дата подписания</w:t>
            </w:r>
            <w:r/>
          </w:p>
        </w:tc>
        <w:tc>
          <w:tcPr>
            <w:shd w:val="clear" w:fill="auto" w:color="auto"/>
            <w:tcW w:w="3679" w:type="pct"/>
            <w:textDirection w:val="lrTb"/>
            <w:noWrap w:val="false"/>
          </w:tcPr>
          <w:p>
            <w:pPr>
              <w:pStyle w:val="1005"/>
              <w:ind w:left="57" w:right="57"/>
            </w:pPr>
            <w:r>
              <w:t xml:space="preserve">Значение поля заполняется вручную</w:t>
            </w:r>
            <w:r>
              <w:t xml:space="preserve">.</w:t>
            </w:r>
            <w:r/>
          </w:p>
        </w:tc>
      </w:tr>
    </w:tbl>
    <w:p>
      <w:pPr>
        <w:pStyle w:val="971"/>
      </w:pPr>
      <w:r/>
      <w:bookmarkStart w:id="1496" w:name="_Toc88819142"/>
      <w:r>
        <w:t xml:space="preserve">Группа документов «Периодическая отчетность»</w:t>
      </w:r>
      <w:bookmarkEnd w:id="1496"/>
      <w:r/>
      <w:r/>
    </w:p>
    <w:p>
      <w:pPr>
        <w:pStyle w:val="994"/>
      </w:pPr>
      <w:r>
        <w:t xml:space="preserve">В этом разделе в соответствующих секциях находятся периодические отчеты, такие как:</w:t>
      </w:r>
      <w:r/>
    </w:p>
    <w:p>
      <w:pPr>
        <w:pStyle w:val="985"/>
      </w:pPr>
      <w:r>
        <w:t xml:space="preserve">Отчет по счету ПБС (Форма 0531794);</w:t>
      </w:r>
      <w:r/>
    </w:p>
    <w:p>
      <w:pPr>
        <w:pStyle w:val="985"/>
      </w:pPr>
      <w:r>
        <w:t xml:space="preserve">Отчет о состоянии лицевого счета бюджета (Показатели ЛС ОЛБ);</w:t>
      </w:r>
      <w:r/>
    </w:p>
    <w:p>
      <w:pPr>
        <w:pStyle w:val="985"/>
      </w:pPr>
      <w:r>
        <w:t xml:space="preserve">Отчет о состоянии лицевого счета РБС (Показатели ЛС ОЛР);</w:t>
      </w:r>
      <w:r/>
    </w:p>
    <w:p>
      <w:pPr>
        <w:pStyle w:val="985"/>
      </w:pPr>
      <w:r>
        <w:t xml:space="preserve">Отчет о состоянии лицевого счета АИФ (Показатели ЛС ОЛА);</w:t>
      </w:r>
      <w:r/>
    </w:p>
    <w:p>
      <w:pPr>
        <w:pStyle w:val="985"/>
      </w:pPr>
      <w:r>
        <w:t xml:space="preserve">Отчет о состоянии лицевого счета ГАИФ (Показатели ЛС ОЛГ);</w:t>
      </w:r>
      <w:r/>
    </w:p>
    <w:p>
      <w:pPr>
        <w:pStyle w:val="985"/>
      </w:pPr>
      <w:r>
        <w:t xml:space="preserve">Отчет о состоянии лицевого счета ИПБС (Показатели ЛС ОЛИ);</w:t>
      </w:r>
      <w:r/>
    </w:p>
    <w:p>
      <w:pPr>
        <w:pStyle w:val="985"/>
      </w:pPr>
      <w:r>
        <w:t xml:space="preserve">Справка по консолидируемым расчетам (Форма 0503125-3);</w:t>
      </w:r>
      <w:r/>
    </w:p>
    <w:p>
      <w:pPr>
        <w:pStyle w:val="985"/>
      </w:pPr>
      <w:r>
        <w:t xml:space="preserve">Отчет об исполнении бюджета (Форма 0503117-3_</w:t>
      </w:r>
      <w:r>
        <w:t xml:space="preserve">F</w:t>
      </w:r>
      <w:r>
        <w:t xml:space="preserve">);</w:t>
      </w:r>
      <w:r/>
    </w:p>
    <w:p>
      <w:pPr>
        <w:pStyle w:val="985"/>
      </w:pPr>
      <w:r>
        <w:t xml:space="preserve">Сведения об остатках денежных средств на счетах получателя бюджетных средств (Форма 0503178-3)</w:t>
      </w:r>
      <w:r/>
    </w:p>
    <w:p>
      <w:pPr>
        <w:pStyle w:val="994"/>
      </w:pPr>
      <w:r>
        <w:t xml:space="preserve">и другие.</w:t>
      </w:r>
      <w:r/>
    </w:p>
    <w:p>
      <w:pPr>
        <w:pStyle w:val="972"/>
      </w:pPr>
      <w:r/>
      <w:bookmarkStart w:id="1497" w:name="_Ref350934944"/>
      <w:r/>
      <w:bookmarkStart w:id="1498" w:name="_Toc387859034"/>
      <w:r/>
      <w:bookmarkStart w:id="1499" w:name="_Toc403116251"/>
      <w:r/>
      <w:bookmarkStart w:id="1500" w:name="_Toc422496733"/>
      <w:r/>
      <w:bookmarkStart w:id="1501" w:name="_Toc88819143"/>
      <w:r>
        <w:t xml:space="preserve">Бюджетная отчетность ГРБС, ФО, ГВБФ. Сводные отчеты</w:t>
      </w:r>
      <w:bookmarkEnd w:id="1497"/>
      <w:r/>
      <w:bookmarkEnd w:id="1498"/>
      <w:r/>
      <w:bookmarkEnd w:id="1499"/>
      <w:r/>
      <w:bookmarkEnd w:id="1500"/>
      <w:r/>
      <w:bookmarkEnd w:id="1501"/>
      <w:r/>
      <w:r/>
    </w:p>
    <w:p>
      <w:pPr>
        <w:pStyle w:val="994"/>
      </w:pPr>
      <w:r>
        <w:t xml:space="preserve">Документ «Сводные отчеты» предназначен для импорта, хранения, печати и пересылки в учетную систему периодических отчетов, предоставляемых ГРБС, ФО</w:t>
      </w:r>
      <w:r>
        <w:t xml:space="preserve">,</w:t>
      </w:r>
      <w:r>
        <w:t xml:space="preserve"> ГВБФ</w:t>
      </w:r>
      <w:r>
        <w:t xml:space="preserve"> или</w:t>
      </w:r>
      <w:r>
        <w:t xml:space="preserve"> </w:t>
      </w:r>
      <w:r>
        <w:t xml:space="preserve">ПБС, </w:t>
      </w:r>
      <w:r>
        <w:t xml:space="preserve">к</w:t>
      </w:r>
      <w:r>
        <w:t xml:space="preserve">о</w:t>
      </w:r>
      <w:r>
        <w:t xml:space="preserve">торые обслуживаются на портале </w:t>
      </w:r>
      <w:r>
        <w:t xml:space="preserve">ППО СУФД АСФК</w:t>
      </w:r>
      <w:r>
        <w:t xml:space="preserve">.</w:t>
      </w:r>
      <w:r/>
    </w:p>
    <w:p>
      <w:pPr>
        <w:pStyle w:val="994"/>
      </w:pPr>
      <w:r>
        <w:t xml:space="preserve">Для работы с документами</w:t>
      </w:r>
      <w:r>
        <w:t xml:space="preserve"> «</w:t>
      </w:r>
      <w:r>
        <w:t xml:space="preserve">Сводные отчеты</w:t>
      </w:r>
      <w:r>
        <w:t xml:space="preserve">» </w:t>
      </w:r>
      <w:r>
        <w:t xml:space="preserve">следует перейти в пункт меню </w:t>
      </w:r>
      <w:r>
        <w:t xml:space="preserve">«Док</w:t>
      </w:r>
      <w:r>
        <w:t xml:space="preserve">у</w:t>
      </w:r>
      <w:r>
        <w:t xml:space="preserve">менты – Периодическая отчётность – Бюджетная отчетность ГРБС, ФО, ГВБФ – </w:t>
      </w:r>
      <w:r>
        <w:t xml:space="preserve">Сводные от</w:t>
      </w:r>
      <w:r>
        <w:t xml:space="preserve">чё</w:t>
      </w:r>
      <w:r>
        <w:t xml:space="preserve">ты</w:t>
      </w:r>
      <w:r>
        <w:t xml:space="preserve">».</w:t>
      </w:r>
      <w:r>
        <w:t xml:space="preserve"> </w:t>
      </w:r>
      <w:r>
        <w:t xml:space="preserve">Откроется ЭФ списка документов, представленная на рисунке</w:t>
      </w:r>
      <w:r>
        <w:t xml:space="preserve"> </w:t>
      </w:r>
      <w:r>
        <w:fldChar w:fldCharType="begin"/>
      </w:r>
      <w:r>
        <w:instrText xml:space="preserve"> REF _Ref350851371 \h  \* MERGEFORMAT </w:instrText>
      </w:r>
      <w:r>
        <w:fldChar w:fldCharType="separate"/>
      </w:r>
      <w:r>
        <w:t xml:space="preserve">210</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741420"/>
                <wp:effectExtent l="0" t="0" r="0" b="0"/>
                <wp:docPr id="31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80"/>
                        <a:stretch/>
                      </pic:blipFill>
                      <pic:spPr bwMode="auto">
                        <a:xfrm>
                          <a:off x="0" y="0"/>
                          <a:ext cx="6126480" cy="37414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9" o:spid="_x0000_s309" type="#_x0000_t75" style="mso-wrap-distance-left:0.0pt;mso-wrap-distance-top:0.0pt;mso-wrap-distance-right:0.0pt;mso-wrap-distance-bottom:0.0pt;width:482.4pt;height:294.6pt;" stroked="f">
                <v:path textboxrect="0,0,0,0"/>
                <v:imagedata r:id="rId280" o:title=""/>
              </v:shape>
            </w:pict>
          </mc:Fallback>
        </mc:AlternateContent>
      </w:r>
      <w:r/>
    </w:p>
    <w:p>
      <w:pPr>
        <w:pStyle w:val="983"/>
      </w:pPr>
      <w:r>
        <w:fldChar w:fldCharType="begin"/>
      </w:r>
      <w:r>
        <w:instrText xml:space="preserve"> SEQ Рисунок \* ARABIC </w:instrText>
      </w:r>
      <w:r>
        <w:fldChar w:fldCharType="separate"/>
      </w:r>
      <w:bookmarkStart w:id="1502" w:name="_Ref350851371"/>
      <w:r/>
      <w:bookmarkStart w:id="1503" w:name="_Toc88819595"/>
      <w:r>
        <w:t xml:space="preserve">210</w:t>
      </w:r>
      <w:bookmarkEnd w:id="1502"/>
      <w:r>
        <w:fldChar w:fldCharType="end"/>
      </w:r>
      <w:r>
        <w:t xml:space="preserve">. ЭФ списка документов «Сводные отчеты»</w:t>
      </w:r>
      <w:bookmarkEnd w:id="1503"/>
      <w:r/>
      <w:r/>
    </w:p>
    <w:p>
      <w:pPr>
        <w:pStyle w:val="995"/>
      </w:pPr>
      <w:r>
        <w:t xml:space="preserve">Визуальное отображение значений в полях по результатам протокола ВДК, МДК, ФК и алгоритм заполнения следующие: </w:t>
      </w:r>
      <w:r/>
    </w:p>
    <w:p>
      <w:pPr>
        <w:pStyle w:val="985"/>
      </w:pPr>
      <w:r>
        <mc:AlternateContent>
          <mc:Choice Requires="wpg">
            <w:drawing>
              <wp:inline xmlns:wp="http://schemas.openxmlformats.org/drawingml/2006/wordprocessingDrawing" distT="0" distB="0" distL="0" distR="0">
                <wp:extent cx="182880" cy="182880"/>
                <wp:effectExtent l="0" t="0" r="0" b="0"/>
                <wp:docPr id="31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81"/>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0" o:spid="_x0000_s310" type="#_x0000_t75" style="mso-wrap-distance-left:0.0pt;mso-wrap-distance-top:0.0pt;mso-wrap-distance-right:0.0pt;mso-wrap-distance-bottom:0.0pt;width:14.4pt;height:14.4pt;" stroked="f">
                <v:path textboxrect="0,0,0,0"/>
                <v:imagedata r:id="rId281" o:title=""/>
              </v:shape>
            </w:pict>
          </mc:Fallback>
        </mc:AlternateContent>
      </w:r>
      <w:r>
        <w:t xml:space="preserve"> – Протокол получен, контроль пройден без ошибок (значение поля «Наличие протокола %» = «1» и значение поля «Результат протокола %» = «0»);</w:t>
      </w:r>
      <w:r/>
    </w:p>
    <w:p>
      <w:pPr>
        <w:pStyle w:val="985"/>
      </w:pPr>
      <w:r>
        <mc:AlternateContent>
          <mc:Choice Requires="wpg">
            <w:drawing>
              <wp:inline xmlns:wp="http://schemas.openxmlformats.org/drawingml/2006/wordprocessingDrawing" distT="0" distB="0" distL="0" distR="0">
                <wp:extent cx="182880" cy="182880"/>
                <wp:effectExtent l="0" t="0" r="0" b="0"/>
                <wp:docPr id="31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82"/>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1" o:spid="_x0000_s311" type="#_x0000_t75" style="mso-wrap-distance-left:0.0pt;mso-wrap-distance-top:0.0pt;mso-wrap-distance-right:0.0pt;mso-wrap-distance-bottom:0.0pt;width:14.4pt;height:14.4pt;" stroked="f">
                <v:path textboxrect="0,0,0,0"/>
                <v:imagedata r:id="rId282" o:title=""/>
              </v:shape>
            </w:pict>
          </mc:Fallback>
        </mc:AlternateContent>
      </w:r>
      <w:r>
        <w:t xml:space="preserve"> – Протокол получен, обнаружены ошибки контроля (значение поля «Наличие протокола %» = «1» и значение поля «Результат протокола %» = «1»);</w:t>
      </w:r>
      <w:r/>
    </w:p>
    <w:p>
      <w:pPr>
        <w:pStyle w:val="985"/>
      </w:pPr>
      <w:r>
        <mc:AlternateContent>
          <mc:Choice Requires="wpg">
            <w:drawing>
              <wp:inline xmlns:wp="http://schemas.openxmlformats.org/drawingml/2006/wordprocessingDrawing" distT="0" distB="0" distL="0" distR="0">
                <wp:extent cx="182880" cy="182880"/>
                <wp:effectExtent l="0" t="0" r="0" b="0"/>
                <wp:docPr id="31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83"/>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2" o:spid="_x0000_s312" type="#_x0000_t75" style="mso-wrap-distance-left:0.0pt;mso-wrap-distance-top:0.0pt;mso-wrap-distance-right:0.0pt;mso-wrap-distance-bottom:0.0pt;width:14.4pt;height:14.4pt;" stroked="f">
                <v:path textboxrect="0,0,0,0"/>
                <v:imagedata r:id="rId283" o:title=""/>
              </v:shape>
            </w:pict>
          </mc:Fallback>
        </mc:AlternateContent>
      </w:r>
      <w:r>
        <w:t xml:space="preserve"> </w:t>
      </w:r>
      <w:r>
        <w:t xml:space="preserve">– Протокол получен, обнаружены ошибки контроля (значение поля «Наличие протокола %» = «1» и значение поля «Результат протокола %» = «1», статус отчета пр</w:t>
      </w:r>
      <w:r>
        <w:t xml:space="preserve">и</w:t>
      </w:r>
      <w:r>
        <w:t xml:space="preserve">нимает одно из значений: «787 – Принят условно», «789 – Отчет принят и готов к сверке с внешними данными», «798 – Подтвержден условно», «799 – Подтве</w:t>
      </w:r>
      <w:r>
        <w:t xml:space="preserve">р</w:t>
      </w:r>
      <w:r>
        <w:t xml:space="preserve">жден»);</w:t>
      </w:r>
      <w:r/>
    </w:p>
    <w:p>
      <w:pPr>
        <w:pStyle w:val="985"/>
      </w:pPr>
      <w:r>
        <mc:AlternateContent>
          <mc:Choice Requires="wpg">
            <w:drawing>
              <wp:inline xmlns:wp="http://schemas.openxmlformats.org/drawingml/2006/wordprocessingDrawing" distT="0" distB="0" distL="0" distR="0">
                <wp:extent cx="182880" cy="182880"/>
                <wp:effectExtent l="0" t="0" r="0" b="0"/>
                <wp:docPr id="31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84"/>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3" o:spid="_x0000_s313" type="#_x0000_t75" style="mso-wrap-distance-left:0.0pt;mso-wrap-distance-top:0.0pt;mso-wrap-distance-right:0.0pt;mso-wrap-distance-bottom:0.0pt;width:14.4pt;height:14.4pt;" stroked="f">
                <v:path textboxrect="0,0,0,0"/>
                <v:imagedata r:id="rId284" o:title=""/>
              </v:shape>
            </w:pict>
          </mc:Fallback>
        </mc:AlternateContent>
      </w:r>
      <w:r>
        <w:t xml:space="preserve"> – Протокол не получен (значение поля «Наличие протокола %» = «0»).</w:t>
      </w:r>
      <w:r/>
    </w:p>
    <w:p>
      <w:pPr>
        <w:pStyle w:val="995"/>
      </w:pPr>
      <w:r>
        <w:t xml:space="preserve">Визуальное отображение значений в полях по результатам протокола </w:t>
      </w:r>
      <w:r>
        <w:t xml:space="preserve">ВНК</w:t>
      </w:r>
      <w:r>
        <w:t xml:space="preserve"> и алгоритм заполнения следующие: </w:t>
      </w:r>
      <w:r/>
    </w:p>
    <w:p>
      <w:pPr>
        <w:pStyle w:val="985"/>
      </w:pPr>
      <w:r>
        <mc:AlternateContent>
          <mc:Choice Requires="wpg">
            <w:drawing>
              <wp:inline xmlns:wp="http://schemas.openxmlformats.org/drawingml/2006/wordprocessingDrawing" distT="0" distB="0" distL="0" distR="0">
                <wp:extent cx="182880" cy="182880"/>
                <wp:effectExtent l="0" t="0" r="0" b="0"/>
                <wp:docPr id="31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85"/>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4" o:spid="_x0000_s314" type="#_x0000_t75" style="mso-wrap-distance-left:0.0pt;mso-wrap-distance-top:0.0pt;mso-wrap-distance-right:0.0pt;mso-wrap-distance-bottom:0.0pt;width:14.4pt;height:14.4pt;" stroked="f">
                <v:path textboxrect="0,0,0,0"/>
                <v:imagedata r:id="rId285" o:title=""/>
              </v:shape>
            </w:pict>
          </mc:Fallback>
        </mc:AlternateContent>
      </w:r>
      <w:r>
        <w:t xml:space="preserve"> </w:t>
      </w:r>
      <w:r>
        <w:t xml:space="preserve">– Пр</w:t>
      </w:r>
      <w:r>
        <w:t xml:space="preserve">о</w:t>
      </w:r>
      <w:r>
        <w:t xml:space="preserve">токол получен (значение поля «Наличие протокола %» = «1»);</w:t>
      </w:r>
      <w:r/>
    </w:p>
    <w:p>
      <w:pPr>
        <w:pStyle w:val="985"/>
      </w:pPr>
      <w:r>
        <mc:AlternateContent>
          <mc:Choice Requires="wpg">
            <w:drawing>
              <wp:inline xmlns:wp="http://schemas.openxmlformats.org/drawingml/2006/wordprocessingDrawing" distT="0" distB="0" distL="0" distR="0">
                <wp:extent cx="182880" cy="182880"/>
                <wp:effectExtent l="0" t="0" r="0" b="0"/>
                <wp:docPr id="31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84"/>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5" o:spid="_x0000_s315" type="#_x0000_t75" style="mso-wrap-distance-left:0.0pt;mso-wrap-distance-top:0.0pt;mso-wrap-distance-right:0.0pt;mso-wrap-distance-bottom:0.0pt;width:14.4pt;height:14.4pt;" stroked="f">
                <v:path textboxrect="0,0,0,0"/>
                <v:imagedata r:id="rId284" o:title=""/>
              </v:shape>
            </w:pict>
          </mc:Fallback>
        </mc:AlternateContent>
      </w:r>
      <w:r>
        <w:t xml:space="preserve"> – Протокол не получен (значение поля «Наличие протокола %» = «0»).</w:t>
      </w:r>
      <w:r/>
    </w:p>
    <w:p>
      <w:pPr>
        <w:pStyle w:val="973"/>
      </w:pPr>
      <w:r>
        <w:t xml:space="preserve">Доступные операции</w:t>
      </w:r>
      <w:r/>
    </w:p>
    <w:p>
      <w:pPr>
        <w:pStyle w:val="994"/>
      </w:pPr>
      <w:r>
        <w:t xml:space="preserve">На АРМ ФО доступны следующие операции над документом:</w:t>
      </w:r>
      <w:r/>
    </w:p>
    <w:p>
      <w:pPr>
        <w:pStyle w:val="985"/>
      </w:pPr>
      <w:r>
        <w:t xml:space="preserve">импорт;</w:t>
      </w:r>
      <w:r/>
    </w:p>
    <w:p>
      <w:pPr>
        <w:pStyle w:val="985"/>
      </w:pPr>
      <w:r>
        <w:t xml:space="preserve">просмотр;</w:t>
      </w:r>
      <w:r/>
    </w:p>
    <w:p>
      <w:pPr>
        <w:pStyle w:val="985"/>
      </w:pPr>
      <w:r>
        <w:t xml:space="preserve">удаление;</w:t>
      </w:r>
      <w:r/>
    </w:p>
    <w:p>
      <w:pPr>
        <w:pStyle w:val="985"/>
      </w:pPr>
      <w:r>
        <w:t xml:space="preserve">печать;</w:t>
      </w:r>
      <w:r/>
    </w:p>
    <w:p>
      <w:pPr>
        <w:pStyle w:val="985"/>
      </w:pPr>
      <w:r>
        <w:t xml:space="preserve">подписание</w:t>
      </w:r>
      <w:r>
        <w:t xml:space="preserve">,</w:t>
      </w:r>
      <w:r>
        <w:t xml:space="preserve"> проверка</w:t>
      </w:r>
      <w:r>
        <w:t xml:space="preserve"> и </w:t>
      </w:r>
      <w:r>
        <w:t xml:space="preserve">удаление </w:t>
      </w:r>
      <w:r>
        <w:t xml:space="preserve">ЭП</w:t>
      </w:r>
      <w:r>
        <w:t xml:space="preserve">;</w:t>
      </w:r>
      <w:r/>
    </w:p>
    <w:p>
      <w:pPr>
        <w:pStyle w:val="985"/>
      </w:pPr>
      <w:r>
        <w:t xml:space="preserve">отправка.</w:t>
      </w:r>
      <w:r/>
    </w:p>
    <w:p>
      <w:pPr>
        <w:pStyle w:val="973"/>
      </w:pPr>
      <w:r>
        <w:t xml:space="preserve">Экранная форма документа</w:t>
      </w:r>
      <w:r/>
    </w:p>
    <w:p>
      <w:pPr>
        <w:pStyle w:val="994"/>
      </w:pPr>
      <w:r>
        <w:t xml:space="preserve">ЭФ документа «Сводные отчеты» представлена на рисунке </w:t>
      </w:r>
      <w:r>
        <w:fldChar w:fldCharType="begin"/>
      </w:r>
      <w:r>
        <w:instrText xml:space="preserve"> REF _Ref350852239 \h  \* MERGEFORMAT </w:instrText>
      </w:r>
      <w:r>
        <w:fldChar w:fldCharType="separate"/>
      </w:r>
      <w:r>
        <w:t xml:space="preserve">211</w:t>
      </w:r>
      <w:r>
        <w:fldChar w:fldCharType="end"/>
      </w:r>
      <w:r>
        <w:t xml:space="preserve">. Форма содержит сл</w:t>
      </w:r>
      <w:r>
        <w:t xml:space="preserve">е</w:t>
      </w:r>
      <w:r>
        <w:t xml:space="preserve">дующи</w:t>
      </w:r>
      <w:r>
        <w:t xml:space="preserve">е</w:t>
      </w:r>
      <w:r>
        <w:t xml:space="preserve"> заклад</w:t>
      </w:r>
      <w:r>
        <w:t xml:space="preserve">ки</w:t>
      </w:r>
      <w:r>
        <w:t xml:space="preserve">:</w:t>
      </w:r>
      <w:r/>
    </w:p>
    <w:p>
      <w:pPr>
        <w:pStyle w:val="985"/>
      </w:pPr>
      <w:r>
        <w:t xml:space="preserve">«Основные атрибуты»;</w:t>
      </w:r>
      <w:r/>
    </w:p>
    <w:p>
      <w:pPr>
        <w:pStyle w:val="985"/>
      </w:pPr>
      <w:r>
        <w:t xml:space="preserve">«Дополнительные атрибуты»</w:t>
      </w:r>
      <w:r>
        <w:t xml:space="preserve">.</w:t>
      </w:r>
      <w:r/>
    </w:p>
    <w:p>
      <w:pPr>
        <w:pStyle w:val="994"/>
      </w:pPr>
      <w:r>
        <w:t xml:space="preserve">ЭД </w:t>
      </w:r>
      <w:r>
        <w:t xml:space="preserve">«</w:t>
      </w:r>
      <w:r>
        <w:t xml:space="preserve">Сводный отчет</w:t>
      </w:r>
      <w:r>
        <w:t xml:space="preserve">» </w:t>
      </w:r>
      <w:r>
        <w:t xml:space="preserve">формируется</w:t>
      </w:r>
      <w:r>
        <w:t xml:space="preserve"> </w:t>
      </w:r>
      <w:r>
        <w:t xml:space="preserve">н</w:t>
      </w:r>
      <w:r>
        <w:t xml:space="preserve">а основе файла</w:t>
      </w:r>
      <w:r>
        <w:t xml:space="preserve">, импортированного вручную </w:t>
      </w:r>
      <w:r>
        <w:t xml:space="preserve">со сводным отчетом</w:t>
      </w:r>
      <w:r>
        <w:t xml:space="preserve"> </w:t>
      </w:r>
      <w:r>
        <w:t xml:space="preserve">в </w:t>
      </w:r>
      <w:r>
        <w:t xml:space="preserve">СУФД-Портал</w:t>
      </w:r>
      <w:r>
        <w:t xml:space="preserve">.</w:t>
      </w:r>
      <w:r/>
    </w:p>
    <w:p>
      <w:pPr>
        <w:pStyle w:val="982"/>
      </w:pPr>
      <w:r>
        <mc:AlternateContent>
          <mc:Choice Requires="wpg">
            <w:drawing>
              <wp:inline xmlns:wp="http://schemas.openxmlformats.org/drawingml/2006/wordprocessingDrawing" distT="0" distB="0" distL="0" distR="0">
                <wp:extent cx="6126480" cy="4655820"/>
                <wp:effectExtent l="0" t="0" r="0" b="0"/>
                <wp:docPr id="31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86"/>
                        <a:stretch/>
                      </pic:blipFill>
                      <pic:spPr bwMode="auto">
                        <a:xfrm>
                          <a:off x="0" y="0"/>
                          <a:ext cx="6126480" cy="46558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6" o:spid="_x0000_s316" type="#_x0000_t75" style="mso-wrap-distance-left:0.0pt;mso-wrap-distance-top:0.0pt;mso-wrap-distance-right:0.0pt;mso-wrap-distance-bottom:0.0pt;width:482.4pt;height:366.6pt;" stroked="f">
                <v:path textboxrect="0,0,0,0"/>
                <v:imagedata r:id="rId286" o:title=""/>
              </v:shape>
            </w:pict>
          </mc:Fallback>
        </mc:AlternateContent>
      </w:r>
      <w:r/>
    </w:p>
    <w:p>
      <w:pPr>
        <w:pStyle w:val="983"/>
      </w:pPr>
      <w:r>
        <w:fldChar w:fldCharType="begin"/>
      </w:r>
      <w:r>
        <w:instrText xml:space="preserve"> SEQ Рисунок \* ARABIC </w:instrText>
      </w:r>
      <w:r>
        <w:fldChar w:fldCharType="separate"/>
      </w:r>
      <w:bookmarkStart w:id="1504" w:name="_Ref350852239"/>
      <w:r/>
      <w:bookmarkStart w:id="1505" w:name="_Toc88819596"/>
      <w:r>
        <w:t xml:space="preserve">211</w:t>
      </w:r>
      <w:bookmarkEnd w:id="1504"/>
      <w:r>
        <w:fldChar w:fldCharType="end"/>
      </w:r>
      <w:r>
        <w:t xml:space="preserve">. </w:t>
      </w:r>
      <w:r>
        <w:t xml:space="preserve">ЭФ</w:t>
      </w:r>
      <w:r>
        <w:t xml:space="preserve"> документа «Сводные отчеты</w:t>
      </w:r>
      <w:r>
        <w:t xml:space="preserve">», закладки «</w:t>
      </w:r>
      <w:r>
        <w:t xml:space="preserve">Основные атрибуты»</w:t>
      </w:r>
      <w:bookmarkEnd w:id="1505"/>
      <w:r/>
      <w:r/>
    </w:p>
    <w:p>
      <w:pPr>
        <w:pStyle w:val="994"/>
      </w:pPr>
      <w:r>
        <w:t xml:space="preserve">Перечень полей документа «Сводные </w:t>
      </w:r>
      <w:r>
        <w:t xml:space="preserve">отчеты», закладки «Основные атрибуты</w:t>
      </w:r>
      <w:r>
        <w:t xml:space="preserve">» приведен в таблице</w:t>
      </w:r>
      <w:r>
        <w:t xml:space="preserve"> </w:t>
      </w:r>
      <w:r>
        <w:fldChar w:fldCharType="begin"/>
      </w:r>
      <w:r>
        <w:instrText xml:space="preserve"> REF _Ref350857914 \h  \* MERGEFORMAT </w:instrText>
      </w:r>
      <w:r>
        <w:fldChar w:fldCharType="separate"/>
      </w:r>
      <w:r>
        <w:t xml:space="preserve">114</w:t>
      </w:r>
      <w:r>
        <w:fldChar w:fldCharType="end"/>
      </w:r>
      <w:r>
        <w:t xml:space="preserve">.</w:t>
      </w:r>
      <w:r/>
    </w:p>
    <w:p>
      <w:pPr>
        <w:pStyle w:val="993"/>
      </w:pPr>
      <w:r>
        <w:fldChar w:fldCharType="begin"/>
      </w:r>
      <w:r>
        <w:instrText xml:space="preserve"> SEQ Таблица \* ARABIC </w:instrText>
      </w:r>
      <w:r>
        <w:fldChar w:fldCharType="separate"/>
      </w:r>
      <w:bookmarkStart w:id="1506" w:name="_Ref350857914"/>
      <w:r/>
      <w:bookmarkStart w:id="1507" w:name="_Toc88819301"/>
      <w:r>
        <w:t xml:space="preserve">114</w:t>
      </w:r>
      <w:bookmarkEnd w:id="1506"/>
      <w:r>
        <w:fldChar w:fldCharType="end"/>
      </w:r>
      <w:r>
        <w:t xml:space="preserve">. Описание полей документа «Сводные </w:t>
      </w:r>
      <w:r>
        <w:t xml:space="preserve">отчеты», закладки «Основные атрибуты</w:t>
      </w:r>
      <w:r>
        <w:t xml:space="preserve">»</w:t>
      </w:r>
      <w:bookmarkEnd w:id="1507"/>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3743"/>
        <w:gridCol w:w="6009"/>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3743" w:type="dxa"/>
            <w:vAlign w:val="center"/>
            <w:textDirection w:val="lrTb"/>
            <w:noWrap w:val="false"/>
          </w:tcPr>
          <w:p>
            <w:pPr>
              <w:pStyle w:val="1006"/>
            </w:pPr>
            <w:r>
              <w:t xml:space="preserve">Наименование поля </w:t>
            </w:r>
            <w:r/>
          </w:p>
        </w:tc>
        <w:tc>
          <w:tcPr>
            <w:shd w:val="clear" w:fill="E6E6E6" w:color="auto"/>
            <w:tcBorders>
              <w:left w:val="single" w:sz="4" w:space="0" w:color="auto"/>
              <w:top w:val="single" w:sz="4" w:space="0" w:color="auto"/>
              <w:right w:val="single" w:sz="4" w:space="0" w:color="auto"/>
              <w:bottom w:val="single" w:sz="4" w:space="0" w:color="auto"/>
            </w:tcBorders>
            <w:tcW w:w="6009" w:type="dxa"/>
            <w:vAlign w:val="center"/>
            <w:textDirection w:val="lrTb"/>
            <w:noWrap w:val="false"/>
          </w:tcPr>
          <w:p>
            <w:pPr>
              <w:pStyle w:val="1006"/>
            </w:pPr>
            <w:r>
              <w:t xml:space="preserve">Описание поля</w:t>
            </w:r>
            <w:r/>
          </w:p>
        </w:tc>
      </w:tr>
      <w:tr>
        <w:trPr>
          <w:trHeight w:val="70"/>
        </w:trPr>
        <w:tc>
          <w:tcPr>
            <w:shd w:val="clear" w:fill="auto" w:color="auto"/>
            <w:tcW w:w="3743" w:type="dxa"/>
            <w:textDirection w:val="lrTb"/>
            <w:noWrap w:val="false"/>
          </w:tcPr>
          <w:p>
            <w:pPr>
              <w:pStyle w:val="1005"/>
              <w:ind w:left="57" w:right="57"/>
            </w:pPr>
            <w:r>
              <w:t xml:space="preserve">Код формы по ОКУД</w:t>
            </w:r>
            <w:r/>
          </w:p>
        </w:tc>
        <w:tc>
          <w:tcPr>
            <w:shd w:val="clear" w:fill="auto" w:color="auto"/>
            <w:tcW w:w="6009" w:type="dxa"/>
            <w:textDirection w:val="lrTb"/>
            <w:noWrap w:val="false"/>
          </w:tcPr>
          <w:p>
            <w:pPr>
              <w:pStyle w:val="1005"/>
              <w:ind w:left="57" w:right="57"/>
            </w:pPr>
            <w:r>
              <w:t xml:space="preserve">Код формы сводного отчета по ОКУД.</w:t>
            </w:r>
            <w:r/>
          </w:p>
        </w:tc>
      </w:tr>
      <w:tr>
        <w:trPr>
          <w:trHeight w:val="144"/>
        </w:trPr>
        <w:tc>
          <w:tcPr>
            <w:shd w:val="clear" w:fill="auto" w:color="auto"/>
            <w:tcW w:w="3743" w:type="dxa"/>
            <w:textDirection w:val="lrTb"/>
            <w:noWrap w:val="false"/>
          </w:tcPr>
          <w:p>
            <w:pPr>
              <w:pStyle w:val="1005"/>
              <w:ind w:left="57" w:right="57"/>
            </w:pPr>
            <w:r>
              <w:t xml:space="preserve">КОДФ</w:t>
            </w:r>
            <w:r/>
          </w:p>
        </w:tc>
        <w:tc>
          <w:tcPr>
            <w:shd w:val="clear" w:fill="auto" w:color="auto"/>
            <w:tcW w:w="6009" w:type="dxa"/>
            <w:textDirection w:val="lrTb"/>
            <w:noWrap w:val="false"/>
          </w:tcPr>
          <w:p>
            <w:pPr>
              <w:pStyle w:val="1005"/>
              <w:ind w:left="57" w:right="57"/>
            </w:pPr>
            <w:r>
              <w:t xml:space="preserve">Код формы сводного отчета для представления в электронном в</w:t>
            </w:r>
            <w:r>
              <w:t xml:space="preserve">и</w:t>
            </w:r>
            <w:r>
              <w:t xml:space="preserve">де.</w:t>
            </w:r>
            <w:r/>
          </w:p>
        </w:tc>
      </w:tr>
      <w:tr>
        <w:trPr>
          <w:trHeight w:val="70"/>
        </w:trPr>
        <w:tc>
          <w:tcPr>
            <w:shd w:val="clear" w:fill="auto" w:color="auto"/>
            <w:tcW w:w="3743" w:type="dxa"/>
            <w:textDirection w:val="lrTb"/>
            <w:noWrap w:val="false"/>
          </w:tcPr>
          <w:p>
            <w:pPr>
              <w:pStyle w:val="1005"/>
              <w:ind w:left="57" w:right="57"/>
            </w:pPr>
            <w:r>
              <w:t xml:space="preserve">Код отчетной формы</w:t>
            </w:r>
            <w:r/>
          </w:p>
        </w:tc>
        <w:tc>
          <w:tcPr>
            <w:shd w:val="clear" w:fill="auto" w:color="auto"/>
            <w:tcW w:w="6009" w:type="dxa"/>
            <w:textDirection w:val="lrTb"/>
            <w:noWrap w:val="false"/>
          </w:tcPr>
          <w:p>
            <w:pPr>
              <w:pStyle w:val="1005"/>
              <w:ind w:left="57" w:right="57"/>
            </w:pPr>
            <w:r>
              <w:t xml:space="preserve">Код отчетной формы.</w:t>
            </w:r>
            <w:r/>
          </w:p>
        </w:tc>
      </w:tr>
      <w:tr>
        <w:trPr>
          <w:trHeight w:val="70"/>
        </w:trPr>
        <w:tc>
          <w:tcPr>
            <w:shd w:val="clear" w:fill="auto" w:color="auto"/>
            <w:tcW w:w="3743" w:type="dxa"/>
            <w:textDirection w:val="lrTb"/>
            <w:noWrap w:val="false"/>
          </w:tcPr>
          <w:p>
            <w:pPr>
              <w:pStyle w:val="1005"/>
              <w:ind w:left="57" w:right="57"/>
            </w:pPr>
            <w:r>
              <w:t xml:space="preserve">Наименование отчета</w:t>
            </w:r>
            <w:r/>
          </w:p>
        </w:tc>
        <w:tc>
          <w:tcPr>
            <w:shd w:val="clear" w:fill="auto" w:color="auto"/>
            <w:tcW w:w="6009" w:type="dxa"/>
            <w:textDirection w:val="lrTb"/>
            <w:noWrap w:val="false"/>
          </w:tcPr>
          <w:p>
            <w:pPr>
              <w:pStyle w:val="1005"/>
              <w:ind w:left="57" w:right="57"/>
            </w:pPr>
            <w:r>
              <w:t xml:space="preserve">По коду формы DOCNUMBER из справочника «Коды форм пери</w:t>
            </w:r>
            <w:r>
              <w:t xml:space="preserve">о</w:t>
            </w:r>
            <w:r>
              <w:t xml:space="preserve">дических отчетов» получаем наименование отчета из поля FORM_NAME.</w:t>
            </w:r>
            <w:r/>
          </w:p>
        </w:tc>
      </w:tr>
      <w:tr>
        <w:trPr>
          <w:trHeight w:val="229"/>
        </w:trPr>
        <w:tc>
          <w:tcPr>
            <w:shd w:val="clear" w:fill="auto" w:color="auto"/>
            <w:tcW w:w="3743" w:type="dxa"/>
            <w:textDirection w:val="lrTb"/>
            <w:noWrap w:val="false"/>
          </w:tcPr>
          <w:p>
            <w:pPr>
              <w:pStyle w:val="1005"/>
              <w:ind w:left="57" w:right="57"/>
            </w:pPr>
            <w:r>
              <w:t xml:space="preserve">Дата отчета</w:t>
            </w:r>
            <w:r/>
          </w:p>
        </w:tc>
        <w:tc>
          <w:tcPr>
            <w:shd w:val="clear" w:fill="auto" w:color="auto"/>
            <w:tcW w:w="6009" w:type="dxa"/>
            <w:textDirection w:val="lrTb"/>
            <w:noWrap w:val="false"/>
          </w:tcPr>
          <w:p>
            <w:pPr>
              <w:pStyle w:val="1005"/>
              <w:ind w:left="57" w:right="57"/>
            </w:pPr>
            <w:r>
              <w:t xml:space="preserve">Заполняется из файла при импорте.</w:t>
            </w:r>
            <w:r/>
          </w:p>
        </w:tc>
      </w:tr>
      <w:tr>
        <w:trPr>
          <w:trHeight w:val="70"/>
        </w:trPr>
        <w:tc>
          <w:tcPr>
            <w:shd w:val="clear" w:fill="auto" w:color="auto"/>
            <w:tcW w:w="3743" w:type="dxa"/>
            <w:textDirection w:val="lrTb"/>
            <w:noWrap w:val="false"/>
          </w:tcPr>
          <w:p>
            <w:pPr>
              <w:pStyle w:val="1005"/>
              <w:ind w:left="57" w:right="57"/>
            </w:pPr>
            <w:r>
              <w:t xml:space="preserve">Финансовый год</w:t>
            </w:r>
            <w:r/>
          </w:p>
        </w:tc>
        <w:tc>
          <w:tcPr>
            <w:shd w:val="clear" w:fill="auto" w:color="auto"/>
            <w:tcW w:w="6009" w:type="dxa"/>
            <w:textDirection w:val="lrTb"/>
            <w:noWrap w:val="false"/>
          </w:tcPr>
          <w:p>
            <w:pPr>
              <w:pStyle w:val="1005"/>
              <w:ind w:left="57" w:right="57"/>
            </w:pPr>
            <w:r>
              <w:t xml:space="preserve">Заполняется из файла при импорте.</w:t>
            </w:r>
            <w:r/>
          </w:p>
        </w:tc>
      </w:tr>
      <w:tr>
        <w:trPr>
          <w:trHeight w:val="229"/>
        </w:trPr>
        <w:tc>
          <w:tcPr>
            <w:shd w:val="clear" w:fill="auto" w:color="auto"/>
            <w:tcW w:w="3743" w:type="dxa"/>
            <w:textDirection w:val="lrTb"/>
            <w:noWrap w:val="false"/>
          </w:tcPr>
          <w:p>
            <w:pPr>
              <w:pStyle w:val="1005"/>
              <w:ind w:left="57" w:right="57"/>
            </w:pPr>
            <w:r>
              <w:t xml:space="preserve">Тип периода</w:t>
            </w:r>
            <w:r/>
          </w:p>
        </w:tc>
        <w:tc>
          <w:tcPr>
            <w:shd w:val="clear" w:fill="auto" w:color="auto"/>
            <w:tcW w:w="6009" w:type="dxa"/>
            <w:textDirection w:val="lrTb"/>
            <w:noWrap w:val="false"/>
          </w:tcPr>
          <w:p>
            <w:pPr>
              <w:pStyle w:val="1005"/>
              <w:ind w:left="57" w:right="57"/>
            </w:pPr>
            <w:r>
              <w:t xml:space="preserve">Заполняется из файла при импорте.</w:t>
            </w:r>
            <w:r/>
          </w:p>
        </w:tc>
      </w:tr>
      <w:tr>
        <w:trPr>
          <w:trHeight w:val="229"/>
        </w:trPr>
        <w:tc>
          <w:tcPr>
            <w:shd w:val="clear" w:fill="auto" w:color="auto"/>
            <w:tcW w:w="3743" w:type="dxa"/>
            <w:textDirection w:val="lrTb"/>
            <w:noWrap w:val="false"/>
          </w:tcPr>
          <w:p>
            <w:pPr>
              <w:pStyle w:val="1005"/>
              <w:ind w:left="57" w:right="57"/>
            </w:pPr>
            <w:r>
              <w:t xml:space="preserve">Код бюджета</w:t>
            </w:r>
            <w:r/>
          </w:p>
        </w:tc>
        <w:tc>
          <w:tcPr>
            <w:shd w:val="clear" w:fill="auto" w:color="auto"/>
            <w:tcW w:w="6009" w:type="dxa"/>
            <w:textDirection w:val="lrTb"/>
            <w:noWrap w:val="false"/>
          </w:tcPr>
          <w:p>
            <w:pPr>
              <w:pStyle w:val="1005"/>
              <w:ind w:left="57" w:right="57"/>
            </w:pPr>
            <w:r>
              <w:t xml:space="preserve">Заполняется из файла при импорте.</w:t>
            </w:r>
            <w:r/>
          </w:p>
        </w:tc>
      </w:tr>
      <w:tr>
        <w:trPr>
          <w:trHeight w:val="70"/>
        </w:trPr>
        <w:tc>
          <w:tcPr>
            <w:shd w:val="clear" w:fill="auto" w:color="auto"/>
            <w:tcW w:w="3743" w:type="dxa"/>
            <w:textDirection w:val="lrTb"/>
            <w:noWrap w:val="false"/>
          </w:tcPr>
          <w:p>
            <w:pPr>
              <w:pStyle w:val="1005"/>
              <w:ind w:left="57" w:right="57"/>
            </w:pPr>
            <w:r>
              <w:t xml:space="preserve">Наименование бюджета</w:t>
            </w:r>
            <w:r/>
          </w:p>
        </w:tc>
        <w:tc>
          <w:tcPr>
            <w:shd w:val="clear" w:fill="auto" w:color="auto"/>
            <w:tcW w:w="6009" w:type="dxa"/>
            <w:textDirection w:val="lrTb"/>
            <w:noWrap w:val="false"/>
          </w:tcPr>
          <w:p>
            <w:pPr>
              <w:pStyle w:val="1005"/>
              <w:ind w:left="57" w:right="57"/>
            </w:pPr>
            <w:r>
              <w:t xml:space="preserve">Заполняется из файла при импорте.</w:t>
            </w:r>
            <w:r/>
          </w:p>
        </w:tc>
      </w:tr>
      <w:tr>
        <w:trPr>
          <w:trHeight w:val="229"/>
        </w:trPr>
        <w:tc>
          <w:tcPr>
            <w:shd w:val="clear" w:fill="auto" w:color="auto"/>
            <w:tcW w:w="3743" w:type="dxa"/>
            <w:textDirection w:val="lrTb"/>
            <w:noWrap w:val="false"/>
          </w:tcPr>
          <w:p>
            <w:pPr>
              <w:pStyle w:val="1005"/>
              <w:ind w:left="57" w:right="57"/>
            </w:pPr>
            <w:r>
              <w:t xml:space="preserve">Тип источника</w:t>
            </w:r>
            <w:r>
              <w:t xml:space="preserve"> (наименование)</w:t>
            </w:r>
            <w:r/>
          </w:p>
        </w:tc>
        <w:tc>
          <w:tcPr>
            <w:shd w:val="clear" w:fill="auto" w:color="auto"/>
            <w:tcW w:w="6009" w:type="dxa"/>
            <w:textDirection w:val="lrTb"/>
            <w:noWrap w:val="false"/>
          </w:tcPr>
          <w:p>
            <w:pPr>
              <w:pStyle w:val="1005"/>
              <w:ind w:left="57" w:right="57"/>
            </w:pPr>
            <w:r>
              <w:t xml:space="preserve">Заполняется из файла при импорте.</w:t>
            </w:r>
            <w:r/>
          </w:p>
        </w:tc>
      </w:tr>
      <w:tr>
        <w:trPr>
          <w:trHeight w:val="229"/>
        </w:trPr>
        <w:tc>
          <w:tcPr>
            <w:shd w:val="clear" w:fill="auto" w:color="auto"/>
            <w:tcW w:w="3743" w:type="dxa"/>
            <w:textDirection w:val="lrTb"/>
            <w:noWrap w:val="false"/>
          </w:tcPr>
          <w:p>
            <w:pPr>
              <w:pStyle w:val="1005"/>
              <w:ind w:left="57" w:right="57"/>
            </w:pPr>
            <w:r>
              <w:t xml:space="preserve">Код источника</w:t>
            </w:r>
            <w:r/>
          </w:p>
        </w:tc>
        <w:tc>
          <w:tcPr>
            <w:shd w:val="clear" w:fill="auto" w:color="auto"/>
            <w:tcW w:w="6009" w:type="dxa"/>
            <w:textDirection w:val="lrTb"/>
            <w:noWrap w:val="false"/>
          </w:tcPr>
          <w:p>
            <w:pPr>
              <w:pStyle w:val="1005"/>
              <w:ind w:left="57" w:right="57"/>
            </w:pPr>
            <w:r>
              <w:t xml:space="preserve">Заполняется из файла при импорте.</w:t>
            </w:r>
            <w:r/>
          </w:p>
        </w:tc>
      </w:tr>
      <w:tr>
        <w:trPr>
          <w:trHeight w:val="70"/>
        </w:trPr>
        <w:tc>
          <w:tcPr>
            <w:shd w:val="clear" w:fill="auto" w:color="auto"/>
            <w:tcW w:w="3743" w:type="dxa"/>
            <w:textDirection w:val="lrTb"/>
            <w:noWrap w:val="false"/>
          </w:tcPr>
          <w:p>
            <w:pPr>
              <w:pStyle w:val="1005"/>
              <w:ind w:left="57" w:right="57"/>
            </w:pPr>
            <w:r>
              <w:t xml:space="preserve">Ответственные лица, номер телеф</w:t>
            </w:r>
            <w:r>
              <w:t xml:space="preserve">о</w:t>
            </w:r>
            <w:r>
              <w:t xml:space="preserve">на</w:t>
            </w:r>
            <w:r/>
          </w:p>
        </w:tc>
        <w:tc>
          <w:tcPr>
            <w:shd w:val="clear" w:fill="auto" w:color="auto"/>
            <w:tcW w:w="6009" w:type="dxa"/>
            <w:textDirection w:val="lrTb"/>
            <w:noWrap w:val="false"/>
          </w:tcPr>
          <w:p>
            <w:pPr>
              <w:pStyle w:val="1005"/>
              <w:ind w:left="57" w:right="57"/>
            </w:pPr>
            <w:r>
              <w:t xml:space="preserve">Данные ответственных лиц.</w:t>
            </w:r>
            <w:r/>
          </w:p>
        </w:tc>
      </w:tr>
    </w:tbl>
    <w:p>
      <w:pPr>
        <w:pStyle w:val="994"/>
      </w:pPr>
      <w:r>
        <w:t xml:space="preserve">При наличии вложений в сводном отчете, сведения о вложенном файле отображаются в таблице «Вложения» на закладке «Основные атрибуты»</w:t>
      </w:r>
      <w:r>
        <w:t xml:space="preserve">,</w:t>
      </w:r>
      <w:r>
        <w:t xml:space="preserve"> ЭФ документа «Сводные отчеты» со следующими полями:</w:t>
      </w:r>
      <w:r/>
    </w:p>
    <w:p>
      <w:pPr>
        <w:pStyle w:val="985"/>
      </w:pPr>
      <w:r>
        <w:t xml:space="preserve">GUID</w:t>
      </w:r>
      <w:r>
        <w:t xml:space="preserve">;</w:t>
      </w:r>
      <w:r/>
    </w:p>
    <w:p>
      <w:pPr>
        <w:pStyle w:val="985"/>
      </w:pPr>
      <w:r>
        <w:t xml:space="preserve">Тип;</w:t>
      </w:r>
      <w:r/>
    </w:p>
    <w:p>
      <w:pPr>
        <w:pStyle w:val="985"/>
      </w:pPr>
      <w:r>
        <w:t xml:space="preserve">Файл;</w:t>
      </w:r>
      <w:r/>
    </w:p>
    <w:p>
      <w:pPr>
        <w:pStyle w:val="985"/>
      </w:pPr>
      <w:r>
        <w:t xml:space="preserve">Дата</w:t>
      </w:r>
      <w:r>
        <w:t xml:space="preserve"> файла</w:t>
      </w:r>
      <w:r>
        <w:t xml:space="preserve">;</w:t>
      </w:r>
      <w:r/>
    </w:p>
    <w:p>
      <w:pPr>
        <w:pStyle w:val="985"/>
      </w:pPr>
      <w:r>
        <w:t xml:space="preserve">Размер;</w:t>
      </w:r>
      <w:r/>
    </w:p>
    <w:p>
      <w:pPr>
        <w:pStyle w:val="985"/>
      </w:pPr>
      <w:r>
        <w:t xml:space="preserve">Комментарий;</w:t>
      </w:r>
      <w:r/>
    </w:p>
    <w:p>
      <w:pPr>
        <w:pStyle w:val="985"/>
      </w:pPr>
      <w:r>
        <w:t xml:space="preserve">Бизнес-тип</w:t>
      </w:r>
      <w:r>
        <w:t xml:space="preserve">;</w:t>
      </w:r>
      <w:r/>
    </w:p>
    <w:p>
      <w:pPr>
        <w:pStyle w:val="985"/>
      </w:pPr>
      <w:r>
        <w:t xml:space="preserve">Дата вложения;</w:t>
      </w:r>
      <w:r/>
    </w:p>
    <w:p>
      <w:pPr>
        <w:pStyle w:val="985"/>
      </w:pPr>
      <w:r>
        <w:t xml:space="preserve">Название;</w:t>
      </w:r>
      <w:r/>
    </w:p>
    <w:p>
      <w:pPr>
        <w:pStyle w:val="985"/>
      </w:pPr>
      <w:r>
        <w:t xml:space="preserve">Организация;</w:t>
      </w:r>
      <w:r/>
    </w:p>
    <w:p>
      <w:pPr>
        <w:pStyle w:val="985"/>
      </w:pPr>
      <w:r>
        <w:t xml:space="preserve">Пользователь;</w:t>
      </w:r>
      <w:r/>
    </w:p>
    <w:p>
      <w:pPr>
        <w:pStyle w:val="985"/>
      </w:pPr>
      <w:r>
        <w:t xml:space="preserve">Статус;</w:t>
      </w:r>
      <w:r/>
    </w:p>
    <w:p>
      <w:pPr>
        <w:pStyle w:val="985"/>
      </w:pPr>
      <w:r>
        <w:t xml:space="preserve">ID</w:t>
      </w:r>
      <w:r>
        <w:t xml:space="preserve">. </w:t>
      </w:r>
      <w:r/>
    </w:p>
    <w:p>
      <w:pPr>
        <w:pStyle w:val="994"/>
      </w:pPr>
      <w:r>
        <w:t xml:space="preserve">На закладке «Дополнительные атрибуты» ЭФ документа «Сводные отчеты» </w:t>
      </w:r>
      <w:r>
        <w:t xml:space="preserve">(рис.</w:t>
      </w:r>
      <w:r>
        <w:t xml:space="preserve"> </w:t>
      </w:r>
      <w:r>
        <w:fldChar w:fldCharType="begin"/>
      </w:r>
      <w:r>
        <w:instrText xml:space="preserve"> REF _Ref350876933 \h  \* MERGEFORMAT </w:instrText>
      </w:r>
      <w:r>
        <w:fldChar w:fldCharType="separate"/>
      </w:r>
      <w:r>
        <w:t xml:space="preserve">212</w:t>
      </w:r>
      <w:r>
        <w:fldChar w:fldCharType="end"/>
      </w:r>
      <w:r>
        <w:t xml:space="preserve">) представлена информация о статусах </w:t>
      </w:r>
      <w:r>
        <w:t xml:space="preserve">документа</w:t>
      </w:r>
      <w:r>
        <w:t xml:space="preserve">.</w:t>
      </w:r>
      <w:r/>
    </w:p>
    <w:p>
      <w:pPr>
        <w:pStyle w:val="982"/>
      </w:pPr>
      <w:r>
        <mc:AlternateContent>
          <mc:Choice Requires="wpg">
            <w:drawing>
              <wp:inline xmlns:wp="http://schemas.openxmlformats.org/drawingml/2006/wordprocessingDrawing" distT="0" distB="0" distL="0" distR="0">
                <wp:extent cx="6126480" cy="1097280"/>
                <wp:effectExtent l="0" t="0" r="0" b="0"/>
                <wp:docPr id="31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87"/>
                        <a:stretch/>
                      </pic:blipFill>
                      <pic:spPr bwMode="auto">
                        <a:xfrm>
                          <a:off x="0" y="0"/>
                          <a:ext cx="6126480" cy="10972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7" o:spid="_x0000_s317" type="#_x0000_t75" style="mso-wrap-distance-left:0.0pt;mso-wrap-distance-top:0.0pt;mso-wrap-distance-right:0.0pt;mso-wrap-distance-bottom:0.0pt;width:482.4pt;height:86.4pt;" stroked="f">
                <v:path textboxrect="0,0,0,0"/>
                <v:imagedata r:id="rId287" o:title=""/>
              </v:shape>
            </w:pict>
          </mc:Fallback>
        </mc:AlternateContent>
      </w:r>
      <w:r/>
    </w:p>
    <w:p>
      <w:pPr>
        <w:pStyle w:val="983"/>
      </w:pPr>
      <w:r>
        <w:fldChar w:fldCharType="begin"/>
      </w:r>
      <w:r>
        <w:instrText xml:space="preserve"> SEQ Рисунок \* ARABIC </w:instrText>
      </w:r>
      <w:r>
        <w:fldChar w:fldCharType="separate"/>
      </w:r>
      <w:bookmarkStart w:id="1508" w:name="_Ref350876933"/>
      <w:r/>
      <w:bookmarkStart w:id="1509" w:name="_Toc88819597"/>
      <w:r>
        <w:t xml:space="preserve">212</w:t>
      </w:r>
      <w:bookmarkEnd w:id="1508"/>
      <w:r>
        <w:fldChar w:fldCharType="end"/>
      </w:r>
      <w:r>
        <w:t xml:space="preserve">. </w:t>
      </w:r>
      <w:r>
        <w:t xml:space="preserve">ЭФ</w:t>
      </w:r>
      <w:r>
        <w:t xml:space="preserve"> документа «Сводные отчеты</w:t>
      </w:r>
      <w:r>
        <w:t xml:space="preserve">», закладки «</w:t>
      </w:r>
      <w:r>
        <w:t xml:space="preserve">Дополнительные а</w:t>
      </w:r>
      <w:r>
        <w:t xml:space="preserve">т</w:t>
      </w:r>
      <w:r>
        <w:t xml:space="preserve">рибуты»</w:t>
      </w:r>
      <w:bookmarkEnd w:id="1509"/>
      <w:r/>
      <w:r/>
    </w:p>
    <w:p>
      <w:pPr>
        <w:pStyle w:val="994"/>
      </w:pPr>
      <w:r>
        <w:t xml:space="preserve">Перечень полей документа «Сводные отчеты», закладки «Дополнительные атрибуты» приведен в таблице</w:t>
      </w:r>
      <w:r>
        <w:t xml:space="preserve"> </w:t>
      </w:r>
      <w:r>
        <w:fldChar w:fldCharType="begin"/>
      </w:r>
      <w:r>
        <w:instrText xml:space="preserve"> REF _Ref458604278 \h </w:instrText>
      </w:r>
      <w:r>
        <w:fldChar w:fldCharType="separate"/>
      </w:r>
      <w:r>
        <w:t xml:space="preserve">115</w:t>
      </w:r>
      <w:r>
        <w:fldChar w:fldCharType="end"/>
      </w:r>
      <w:r>
        <w:t xml:space="preserve">.</w:t>
      </w:r>
      <w:r/>
    </w:p>
    <w:p>
      <w:pPr>
        <w:pStyle w:val="993"/>
      </w:pPr>
      <w:r>
        <w:fldChar w:fldCharType="begin"/>
      </w:r>
      <w:r>
        <w:instrText xml:space="preserve"> SEQ Таблица \* ARABIC </w:instrText>
      </w:r>
      <w:r>
        <w:fldChar w:fldCharType="separate"/>
      </w:r>
      <w:bookmarkStart w:id="1510" w:name="_Ref458604278"/>
      <w:r/>
      <w:bookmarkStart w:id="1511" w:name="_Toc88819302"/>
      <w:r>
        <w:t xml:space="preserve">115</w:t>
      </w:r>
      <w:bookmarkEnd w:id="1510"/>
      <w:r>
        <w:fldChar w:fldCharType="end"/>
      </w:r>
      <w:r>
        <w:t xml:space="preserve">. Описание полей документа «Сводные отчеты», закладки «Дополнительные атрибуты»</w:t>
      </w:r>
      <w:bookmarkEnd w:id="1511"/>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3648"/>
        <w:gridCol w:w="6104"/>
      </w:tblGrid>
      <w:tr>
        <w:trPr>
          <w:trHeight w:val="70"/>
          <w:tblHeader/>
        </w:trPr>
        <w:tc>
          <w:tcPr>
            <w:shd w:val="clear" w:fill="E6E6E6" w:color="auto"/>
            <w:tcBorders>
              <w:left w:val="single" w:sz="4" w:space="0" w:color="auto"/>
              <w:top w:val="single" w:sz="4" w:space="0" w:color="auto"/>
              <w:right w:val="single" w:sz="4" w:space="0" w:color="auto"/>
              <w:bottom w:val="single" w:sz="4" w:space="0" w:color="auto"/>
            </w:tcBorders>
            <w:tcW w:w="3648" w:type="dxa"/>
            <w:vAlign w:val="center"/>
            <w:textDirection w:val="lrTb"/>
            <w:noWrap w:val="false"/>
          </w:tcPr>
          <w:p>
            <w:pPr>
              <w:pStyle w:val="1006"/>
            </w:pPr>
            <w:r>
              <w:t xml:space="preserve">Наименование поля </w:t>
            </w:r>
            <w:r/>
          </w:p>
        </w:tc>
        <w:tc>
          <w:tcPr>
            <w:shd w:val="clear" w:fill="E6E6E6" w:color="auto"/>
            <w:tcBorders>
              <w:left w:val="single" w:sz="4" w:space="0" w:color="auto"/>
              <w:top w:val="single" w:sz="4" w:space="0" w:color="auto"/>
              <w:right w:val="single" w:sz="4" w:space="0" w:color="auto"/>
              <w:bottom w:val="single" w:sz="4" w:space="0" w:color="auto"/>
            </w:tcBorders>
            <w:tcW w:w="6104" w:type="dxa"/>
            <w:vAlign w:val="center"/>
            <w:textDirection w:val="lrTb"/>
            <w:noWrap w:val="false"/>
          </w:tcPr>
          <w:p>
            <w:pPr>
              <w:pStyle w:val="1006"/>
            </w:pPr>
            <w:r>
              <w:t xml:space="preserve">Описание поля</w:t>
            </w:r>
            <w:r/>
          </w:p>
        </w:tc>
      </w:tr>
      <w:tr>
        <w:trPr>
          <w:trHeight w:val="70"/>
        </w:trPr>
        <w:tc>
          <w:tcPr>
            <w:gridSpan w:val="2"/>
            <w:shd w:val="clear" w:fill="auto" w:color="auto"/>
            <w:tcW w:w="9752" w:type="dxa"/>
            <w:textDirection w:val="lrTb"/>
            <w:noWrap w:val="false"/>
          </w:tcPr>
          <w:p>
            <w:pPr>
              <w:pStyle w:val="1005"/>
              <w:ind w:left="57" w:right="57"/>
            </w:pPr>
            <w:r>
              <w:t xml:space="preserve">Группа полей </w:t>
            </w:r>
            <w:r>
              <w:t xml:space="preserve">«</w:t>
            </w:r>
            <w:r>
              <w:t xml:space="preserve">Статусы документа</w:t>
            </w:r>
            <w:r>
              <w:t xml:space="preserve">»</w:t>
            </w:r>
            <w:r/>
          </w:p>
        </w:tc>
      </w:tr>
      <w:tr>
        <w:trPr>
          <w:trHeight w:val="70"/>
        </w:trPr>
        <w:tc>
          <w:tcPr>
            <w:shd w:val="clear" w:fill="auto" w:color="auto"/>
            <w:tcW w:w="3648" w:type="dxa"/>
            <w:textDirection w:val="lrTb"/>
            <w:noWrap w:val="false"/>
          </w:tcPr>
          <w:p>
            <w:pPr>
              <w:pStyle w:val="1005"/>
              <w:ind w:left="57" w:right="57"/>
            </w:pPr>
            <w:r>
              <w:t xml:space="preserve">Бизнес-статус</w:t>
            </w:r>
            <w:r/>
          </w:p>
        </w:tc>
        <w:tc>
          <w:tcPr>
            <w:shd w:val="clear" w:fill="auto" w:color="auto"/>
            <w:tcW w:w="6104" w:type="dxa"/>
            <w:textDirection w:val="lrTb"/>
            <w:noWrap w:val="false"/>
          </w:tcPr>
          <w:p>
            <w:pPr>
              <w:pStyle w:val="1005"/>
              <w:ind w:left="57" w:right="57"/>
            </w:pPr>
            <w:r>
              <w:t xml:space="preserve">Код и наименование бизнес-статуса документа. </w:t>
            </w:r>
            <w:r/>
          </w:p>
          <w:p>
            <w:pPr>
              <w:pStyle w:val="1005"/>
              <w:ind w:left="57" w:right="57"/>
            </w:pPr>
            <w:r>
              <w:t xml:space="preserve">При создании документа заполняется значением = «000».</w:t>
            </w:r>
            <w:r/>
          </w:p>
        </w:tc>
      </w:tr>
      <w:tr>
        <w:trPr>
          <w:trHeight w:val="70"/>
        </w:trPr>
        <w:tc>
          <w:tcPr>
            <w:shd w:val="clear" w:fill="auto" w:color="auto"/>
            <w:tcW w:w="3648" w:type="dxa"/>
            <w:textDirection w:val="lrTb"/>
            <w:noWrap w:val="false"/>
          </w:tcPr>
          <w:p>
            <w:pPr>
              <w:pStyle w:val="1005"/>
              <w:ind w:left="57" w:right="57"/>
            </w:pPr>
            <w:r>
              <w:t xml:space="preserve">Статус передачи</w:t>
            </w:r>
            <w:r/>
          </w:p>
        </w:tc>
        <w:tc>
          <w:tcPr>
            <w:shd w:val="clear" w:fill="auto" w:color="auto"/>
            <w:tcW w:w="6104" w:type="dxa"/>
            <w:textDirection w:val="lrTb"/>
            <w:noWrap w:val="false"/>
          </w:tcPr>
          <w:p>
            <w:pPr>
              <w:pStyle w:val="1005"/>
              <w:ind w:left="57" w:right="57"/>
            </w:pPr>
            <w:r>
              <w:t xml:space="preserve">Код и наименование статуса передачи документа. </w:t>
            </w:r>
            <w:r/>
          </w:p>
          <w:p>
            <w:pPr>
              <w:pStyle w:val="1005"/>
              <w:ind w:left="57" w:right="57"/>
            </w:pPr>
            <w:r>
              <w:t xml:space="preserve">При создании документа заполняется значением = «0».</w:t>
            </w:r>
            <w:r/>
          </w:p>
        </w:tc>
      </w:tr>
      <w:tr>
        <w:trPr>
          <w:trHeight w:val="70"/>
        </w:trPr>
        <w:tc>
          <w:tcPr>
            <w:shd w:val="clear" w:fill="auto" w:color="auto"/>
            <w:tcW w:w="3648" w:type="dxa"/>
            <w:textDirection w:val="lrTb"/>
            <w:noWrap w:val="false"/>
          </w:tcPr>
          <w:p>
            <w:pPr>
              <w:pStyle w:val="1005"/>
              <w:ind w:left="57" w:right="57"/>
            </w:pPr>
            <w:r>
              <w:t xml:space="preserve">Статус утверждения</w:t>
            </w:r>
            <w:r/>
          </w:p>
        </w:tc>
        <w:tc>
          <w:tcPr>
            <w:shd w:val="clear" w:fill="auto" w:color="auto"/>
            <w:tcW w:w="6104" w:type="dxa"/>
            <w:textDirection w:val="lrTb"/>
            <w:noWrap w:val="false"/>
          </w:tcPr>
          <w:p>
            <w:pPr>
              <w:pStyle w:val="1005"/>
              <w:ind w:left="57" w:right="57"/>
            </w:pPr>
            <w:r>
              <w:t xml:space="preserve">Код и наименование статуса утверждения документа. </w:t>
            </w:r>
            <w:r/>
          </w:p>
          <w:p>
            <w:pPr>
              <w:pStyle w:val="1005"/>
              <w:ind w:left="57" w:right="57"/>
            </w:pPr>
            <w:r>
              <w:t xml:space="preserve">При создании документа заполняется значением = «1».</w:t>
            </w:r>
            <w:r/>
          </w:p>
        </w:tc>
      </w:tr>
    </w:tbl>
    <w:p>
      <w:pPr>
        <w:pStyle w:val="972"/>
      </w:pPr>
      <w:r/>
      <w:bookmarkStart w:id="1512" w:name="_Toc372046087"/>
      <w:r/>
      <w:bookmarkStart w:id="1513" w:name="_Ref372046269"/>
      <w:r/>
      <w:bookmarkStart w:id="1514" w:name="_Ref372107268"/>
      <w:r/>
      <w:bookmarkStart w:id="1515" w:name="_Ref372112339"/>
      <w:r/>
      <w:bookmarkStart w:id="1516" w:name="_Ref404769997"/>
      <w:r/>
      <w:bookmarkStart w:id="1517" w:name="_Ref409192794"/>
      <w:r/>
      <w:bookmarkStart w:id="1518" w:name="_Ref413769605"/>
      <w:r/>
      <w:bookmarkStart w:id="1519" w:name="_Toc422496734"/>
      <w:r/>
      <w:bookmarkStart w:id="1520" w:name="_Toc88819144"/>
      <w:r>
        <w:t xml:space="preserve">Бюджетная отчетность ГРБС, ФО, ГВБФ. Протоколы для отчетов</w:t>
      </w:r>
      <w:bookmarkEnd w:id="1512"/>
      <w:r/>
      <w:bookmarkEnd w:id="1513"/>
      <w:r/>
      <w:bookmarkEnd w:id="1514"/>
      <w:r/>
      <w:bookmarkEnd w:id="1515"/>
      <w:r/>
      <w:bookmarkEnd w:id="1516"/>
      <w:r/>
      <w:bookmarkEnd w:id="1517"/>
      <w:r/>
      <w:bookmarkEnd w:id="1518"/>
      <w:r/>
      <w:bookmarkEnd w:id="1519"/>
      <w:r/>
      <w:bookmarkEnd w:id="1520"/>
      <w:r/>
      <w:r/>
    </w:p>
    <w:p>
      <w:pPr>
        <w:pStyle w:val="994"/>
      </w:pPr>
      <w:r>
        <w:t xml:space="preserve">Документ «Протоколы для отчетов» предназначен для </w:t>
      </w:r>
      <w:r>
        <w:t xml:space="preserve">просмотра сформированных и полученных </w:t>
      </w:r>
      <w:r>
        <w:t xml:space="preserve">из МОУ ФК Протоколов с результатом форматного, внутридокументного, </w:t>
      </w:r>
      <w:r>
        <w:rPr>
          <w:rStyle w:val="1400"/>
          <w:lang w:val="ru-RU"/>
        </w:rPr>
        <w:t xml:space="preserve">междокументного</w:t>
      </w:r>
      <w:r>
        <w:t xml:space="preserve"> и внешнего контролей</w:t>
      </w:r>
      <w:r>
        <w:t xml:space="preserve"> </w:t>
      </w:r>
      <w:r>
        <w:t xml:space="preserve">по сводной отчетности. Протоколы доводятся до отправителя отчета – клиенты </w:t>
      </w:r>
      <w:r>
        <w:t xml:space="preserve">АРМ ГРБС, ФО</w:t>
      </w:r>
      <w:r>
        <w:t xml:space="preserve">,</w:t>
      </w:r>
      <w:r>
        <w:t xml:space="preserve"> ГВБФ</w:t>
      </w:r>
      <w:r>
        <w:t xml:space="preserve"> или</w:t>
      </w:r>
      <w:r>
        <w:t xml:space="preserve"> </w:t>
      </w:r>
      <w:r>
        <w:t xml:space="preserve">ПБС, </w:t>
      </w:r>
      <w:r>
        <w:t xml:space="preserve">которые обслуживаются на портале </w:t>
      </w:r>
      <w:r>
        <w:t xml:space="preserve">ППО СУФД АСФК</w:t>
      </w:r>
      <w:r>
        <w:t xml:space="preserve">.</w:t>
      </w:r>
      <w:r/>
    </w:p>
    <w:p>
      <w:pPr>
        <w:pStyle w:val="994"/>
      </w:pPr>
      <w:r>
        <w:t xml:space="preserve">Для работы с документами</w:t>
      </w:r>
      <w:r>
        <w:t xml:space="preserve"> «</w:t>
      </w:r>
      <w:r>
        <w:t xml:space="preserve">Сводные отчеты</w:t>
      </w:r>
      <w:r>
        <w:t xml:space="preserve">» </w:t>
      </w:r>
      <w:r>
        <w:t xml:space="preserve">следует перейти в пункт меню </w:t>
      </w:r>
      <w:r>
        <w:t xml:space="preserve">«Док</w:t>
      </w:r>
      <w:r>
        <w:t xml:space="preserve">у</w:t>
      </w:r>
      <w:r>
        <w:t xml:space="preserve">менты – Периодическая отчётность – Бюджетная отчетность ГРБС, ФО, ГВБФ – Протоколы для отчетов».</w:t>
      </w:r>
      <w:r>
        <w:t xml:space="preserve"> </w:t>
      </w:r>
      <w:r>
        <w:t xml:space="preserve">Откроется ЭФ списка документов, представленная на рисунке</w:t>
      </w:r>
      <w:r>
        <w:t xml:space="preserve"> </w:t>
      </w:r>
      <w:r>
        <w:fldChar w:fldCharType="begin"/>
      </w:r>
      <w:r>
        <w:instrText xml:space="preserve"> REF _Ref384409398 \h </w:instrText>
      </w:r>
      <w:r>
        <w:instrText xml:space="preserve"> \* MERGEFORMAT </w:instrText>
      </w:r>
      <w:r>
        <w:fldChar w:fldCharType="separate"/>
      </w:r>
      <w:r>
        <w:t xml:space="preserve">213</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749040"/>
                <wp:effectExtent l="0" t="0" r="0" b="0"/>
                <wp:docPr id="31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88"/>
                        <a:stretch/>
                      </pic:blipFill>
                      <pic:spPr bwMode="auto">
                        <a:xfrm>
                          <a:off x="0" y="0"/>
                          <a:ext cx="6126480" cy="37490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8" o:spid="_x0000_s318" type="#_x0000_t75" style="mso-wrap-distance-left:0.0pt;mso-wrap-distance-top:0.0pt;mso-wrap-distance-right:0.0pt;mso-wrap-distance-bottom:0.0pt;width:482.4pt;height:295.2pt;" stroked="f">
                <v:path textboxrect="0,0,0,0"/>
                <v:imagedata r:id="rId288" o:title=""/>
              </v:shape>
            </w:pict>
          </mc:Fallback>
        </mc:AlternateContent>
      </w:r>
      <w:r/>
    </w:p>
    <w:p>
      <w:pPr>
        <w:pStyle w:val="983"/>
      </w:pPr>
      <w:r>
        <w:fldChar w:fldCharType="begin"/>
      </w:r>
      <w:r>
        <w:instrText xml:space="preserve"> SEQ Рисунок \* ARABIC </w:instrText>
      </w:r>
      <w:r>
        <w:fldChar w:fldCharType="separate"/>
      </w:r>
      <w:bookmarkStart w:id="1521" w:name="_Ref384409398"/>
      <w:r/>
      <w:bookmarkStart w:id="1522" w:name="_Toc88819598"/>
      <w:r>
        <w:t xml:space="preserve">213</w:t>
      </w:r>
      <w:bookmarkEnd w:id="1521"/>
      <w:r>
        <w:fldChar w:fldCharType="end"/>
      </w:r>
      <w:r>
        <w:t xml:space="preserve">. ЭФ списка документов «Протоколы для отчетов»</w:t>
      </w:r>
      <w:bookmarkEnd w:id="1522"/>
      <w:r/>
      <w:r/>
    </w:p>
    <w:p>
      <w:pPr>
        <w:pStyle w:val="995"/>
      </w:pPr>
      <w:r>
        <w:t xml:space="preserve">Визуальное отображение значений в полях по результатам протокола ВДК, МДК, ФК и алгоритм заполнения следующие: </w:t>
      </w:r>
      <w:r/>
    </w:p>
    <w:p>
      <w:pPr>
        <w:pStyle w:val="985"/>
      </w:pPr>
      <w:r>
        <mc:AlternateContent>
          <mc:Choice Requires="wpg">
            <w:drawing>
              <wp:inline xmlns:wp="http://schemas.openxmlformats.org/drawingml/2006/wordprocessingDrawing" distT="0" distB="0" distL="0" distR="0">
                <wp:extent cx="182880" cy="182880"/>
                <wp:effectExtent l="0" t="0" r="0" b="0"/>
                <wp:docPr id="32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81"/>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9" o:spid="_x0000_s319" type="#_x0000_t75" style="mso-wrap-distance-left:0.0pt;mso-wrap-distance-top:0.0pt;mso-wrap-distance-right:0.0pt;mso-wrap-distance-bottom:0.0pt;width:14.4pt;height:14.4pt;" stroked="f">
                <v:path textboxrect="0,0,0,0"/>
                <v:imagedata r:id="rId281" o:title=""/>
              </v:shape>
            </w:pict>
          </mc:Fallback>
        </mc:AlternateContent>
      </w:r>
      <w:r>
        <w:t xml:space="preserve"> – Протокол получен, контроль пройден без ошибок (значение поля «Наличие протокола %» = «1» и значение поля «Результат протокола %» = «0»);</w:t>
      </w:r>
      <w:r/>
    </w:p>
    <w:p>
      <w:pPr>
        <w:pStyle w:val="985"/>
      </w:pPr>
      <w:r>
        <mc:AlternateContent>
          <mc:Choice Requires="wpg">
            <w:drawing>
              <wp:inline xmlns:wp="http://schemas.openxmlformats.org/drawingml/2006/wordprocessingDrawing" distT="0" distB="0" distL="0" distR="0">
                <wp:extent cx="182880" cy="182880"/>
                <wp:effectExtent l="0" t="0" r="0" b="0"/>
                <wp:docPr id="32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82"/>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0" o:spid="_x0000_s320" type="#_x0000_t75" style="mso-wrap-distance-left:0.0pt;mso-wrap-distance-top:0.0pt;mso-wrap-distance-right:0.0pt;mso-wrap-distance-bottom:0.0pt;width:14.4pt;height:14.4pt;" stroked="f">
                <v:path textboxrect="0,0,0,0"/>
                <v:imagedata r:id="rId282" o:title=""/>
              </v:shape>
            </w:pict>
          </mc:Fallback>
        </mc:AlternateContent>
      </w:r>
      <w:r>
        <w:t xml:space="preserve"> – Протокол получен, обнаружены ошибки контроля (значение поля «Наличие протокола %» = «1» и значение поля «Результат протокола %» = «1»);</w:t>
      </w:r>
      <w:r/>
    </w:p>
    <w:p>
      <w:pPr>
        <w:pStyle w:val="985"/>
      </w:pPr>
      <w:r>
        <mc:AlternateContent>
          <mc:Choice Requires="wpg">
            <w:drawing>
              <wp:inline xmlns:wp="http://schemas.openxmlformats.org/drawingml/2006/wordprocessingDrawing" distT="0" distB="0" distL="0" distR="0">
                <wp:extent cx="182880" cy="182880"/>
                <wp:effectExtent l="0" t="0" r="0" b="0"/>
                <wp:docPr id="32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83"/>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1" o:spid="_x0000_s321" type="#_x0000_t75" style="mso-wrap-distance-left:0.0pt;mso-wrap-distance-top:0.0pt;mso-wrap-distance-right:0.0pt;mso-wrap-distance-bottom:0.0pt;width:14.4pt;height:14.4pt;" stroked="f">
                <v:path textboxrect="0,0,0,0"/>
                <v:imagedata r:id="rId283" o:title=""/>
              </v:shape>
            </w:pict>
          </mc:Fallback>
        </mc:AlternateContent>
      </w:r>
      <w:r>
        <w:t xml:space="preserve"> </w:t>
      </w:r>
      <w:r>
        <w:t xml:space="preserve">– Протокол получен, обнаружены ошибки контроля (значение поля «Наличие протокола %» = «1» и значение поля «Результат протокола %» = «1», статус отчета пр</w:t>
      </w:r>
      <w:r>
        <w:t xml:space="preserve">и</w:t>
      </w:r>
      <w:r>
        <w:t xml:space="preserve">нимает одно из значений: «787 – Принят условно», «789 – Отчет принят и готов к сверке с внешними данными», «798 – Подтвержден условно», «799 – Подтве</w:t>
      </w:r>
      <w:r>
        <w:t xml:space="preserve">р</w:t>
      </w:r>
      <w:r>
        <w:t xml:space="preserve">жден»);</w:t>
      </w:r>
      <w:r/>
    </w:p>
    <w:p>
      <w:pPr>
        <w:pStyle w:val="985"/>
      </w:pPr>
      <w:r>
        <mc:AlternateContent>
          <mc:Choice Requires="wpg">
            <w:drawing>
              <wp:inline xmlns:wp="http://schemas.openxmlformats.org/drawingml/2006/wordprocessingDrawing" distT="0" distB="0" distL="0" distR="0">
                <wp:extent cx="182880" cy="182880"/>
                <wp:effectExtent l="0" t="0" r="0" b="0"/>
                <wp:docPr id="32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84"/>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2" o:spid="_x0000_s322" type="#_x0000_t75" style="mso-wrap-distance-left:0.0pt;mso-wrap-distance-top:0.0pt;mso-wrap-distance-right:0.0pt;mso-wrap-distance-bottom:0.0pt;width:14.4pt;height:14.4pt;" stroked="f">
                <v:path textboxrect="0,0,0,0"/>
                <v:imagedata r:id="rId284" o:title=""/>
              </v:shape>
            </w:pict>
          </mc:Fallback>
        </mc:AlternateContent>
      </w:r>
      <w:r>
        <w:t xml:space="preserve"> – Протокол не получен (значение поля «Наличие протокола %» = «0»).</w:t>
      </w:r>
      <w:r/>
    </w:p>
    <w:p>
      <w:pPr>
        <w:pStyle w:val="995"/>
      </w:pPr>
      <w:r>
        <w:t xml:space="preserve">Визуальное отображение значений в полях по результатам протокола </w:t>
      </w:r>
      <w:r>
        <w:t xml:space="preserve">ВНК</w:t>
      </w:r>
      <w:r>
        <w:t xml:space="preserve"> и алгоритм заполнения следующие: </w:t>
      </w:r>
      <w:r/>
    </w:p>
    <w:p>
      <w:pPr>
        <w:pStyle w:val="985"/>
      </w:pPr>
      <w:r>
        <mc:AlternateContent>
          <mc:Choice Requires="wpg">
            <w:drawing>
              <wp:inline xmlns:wp="http://schemas.openxmlformats.org/drawingml/2006/wordprocessingDrawing" distT="0" distB="0" distL="0" distR="0">
                <wp:extent cx="182880" cy="182880"/>
                <wp:effectExtent l="0" t="0" r="0" b="0"/>
                <wp:docPr id="32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85"/>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3" o:spid="_x0000_s323" type="#_x0000_t75" style="mso-wrap-distance-left:0.0pt;mso-wrap-distance-top:0.0pt;mso-wrap-distance-right:0.0pt;mso-wrap-distance-bottom:0.0pt;width:14.4pt;height:14.4pt;" stroked="f">
                <v:path textboxrect="0,0,0,0"/>
                <v:imagedata r:id="rId285" o:title=""/>
              </v:shape>
            </w:pict>
          </mc:Fallback>
        </mc:AlternateContent>
      </w:r>
      <w:r>
        <w:t xml:space="preserve"> </w:t>
      </w:r>
      <w:r>
        <w:t xml:space="preserve">– Пр</w:t>
      </w:r>
      <w:r>
        <w:t xml:space="preserve">о</w:t>
      </w:r>
      <w:r>
        <w:t xml:space="preserve">токол получен (значение поля «Наличие протокола %» = «1»);</w:t>
      </w:r>
      <w:r/>
    </w:p>
    <w:p>
      <w:pPr>
        <w:pStyle w:val="985"/>
      </w:pPr>
      <w:r>
        <mc:AlternateContent>
          <mc:Choice Requires="wpg">
            <w:drawing>
              <wp:inline xmlns:wp="http://schemas.openxmlformats.org/drawingml/2006/wordprocessingDrawing" distT="0" distB="0" distL="0" distR="0">
                <wp:extent cx="182880" cy="182880"/>
                <wp:effectExtent l="0" t="0" r="0" b="0"/>
                <wp:docPr id="32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84"/>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4" o:spid="_x0000_s324" type="#_x0000_t75" style="mso-wrap-distance-left:0.0pt;mso-wrap-distance-top:0.0pt;mso-wrap-distance-right:0.0pt;mso-wrap-distance-bottom:0.0pt;width:14.4pt;height:14.4pt;" stroked="f">
                <v:path textboxrect="0,0,0,0"/>
                <v:imagedata r:id="rId284" o:title=""/>
              </v:shape>
            </w:pict>
          </mc:Fallback>
        </mc:AlternateContent>
      </w:r>
      <w:r>
        <w:t xml:space="preserve"> – Протокол не получен (значение поля «Наличие протокола %» = «0»).</w:t>
      </w:r>
      <w:r/>
    </w:p>
    <w:p>
      <w:pPr>
        <w:pStyle w:val="973"/>
      </w:pPr>
      <w:r>
        <w:t xml:space="preserve">Доступные операции</w:t>
      </w:r>
      <w:r/>
    </w:p>
    <w:p>
      <w:pPr>
        <w:pStyle w:val="994"/>
      </w:pPr>
      <w:r>
        <w:t xml:space="preserve">На АРМ ФО доступны следующие операции над </w:t>
      </w:r>
      <w:r>
        <w:t xml:space="preserve">документом</w:t>
      </w:r>
      <w:r>
        <w:t xml:space="preserve">:</w:t>
      </w:r>
      <w:r/>
    </w:p>
    <w:p>
      <w:pPr>
        <w:pStyle w:val="985"/>
      </w:pPr>
      <w:r>
        <w:t xml:space="preserve">экспорт вложения;</w:t>
      </w:r>
      <w:r/>
    </w:p>
    <w:p>
      <w:pPr>
        <w:pStyle w:val="985"/>
      </w:pPr>
      <w:r>
        <w:t xml:space="preserve">печать списка;</w:t>
      </w:r>
      <w:r/>
    </w:p>
    <w:p>
      <w:pPr>
        <w:pStyle w:val="985"/>
      </w:pPr>
      <w:r>
        <w:t xml:space="preserve">обновление списка;</w:t>
      </w:r>
      <w:r/>
    </w:p>
    <w:p>
      <w:pPr>
        <w:pStyle w:val="985"/>
      </w:pPr>
      <w:r>
        <w:t xml:space="preserve">поиск документа.</w:t>
      </w:r>
      <w:r/>
    </w:p>
    <w:p>
      <w:pPr>
        <w:pStyle w:val="973"/>
      </w:pPr>
      <w:r>
        <w:t xml:space="preserve">Экранная форма документа</w:t>
      </w:r>
      <w:r/>
    </w:p>
    <w:p>
      <w:pPr>
        <w:pStyle w:val="994"/>
      </w:pPr>
      <w:r>
        <w:t xml:space="preserve">Пользователь ГРБС, ФО, ГВБФ</w:t>
      </w:r>
      <w:r>
        <w:t xml:space="preserve">, ПБС</w:t>
      </w:r>
      <w:r>
        <w:t xml:space="preserve"> формирует файл со сводным отчетом во внешнем ППО, вручную импортирует ф</w:t>
      </w:r>
      <w:r>
        <w:t xml:space="preserve">айл с отчетом </w:t>
      </w:r>
      <w:r>
        <w:t xml:space="preserve">в СУФД-Портал в ЭФ «Сводные отчеты», о</w:t>
      </w:r>
      <w:r>
        <w:t xml:space="preserve">т</w:t>
      </w:r>
      <w:r>
        <w:t xml:space="preserve">правляет его в МОУ </w:t>
      </w:r>
      <w:r>
        <w:t xml:space="preserve">OEBS</w:t>
      </w:r>
      <w:r>
        <w:t xml:space="preserve">.</w:t>
      </w:r>
      <w:r/>
    </w:p>
    <w:p>
      <w:pPr>
        <w:pStyle w:val="994"/>
      </w:pPr>
      <w:r>
        <w:t xml:space="preserve">Для просмотра результатов обработки отчета пользователь открывает списковую фо</w:t>
      </w:r>
      <w:r>
        <w:t xml:space="preserve">р</w:t>
      </w:r>
      <w:r>
        <w:t xml:space="preserve">му ЭД «Протоколы для отчетов».</w:t>
      </w:r>
      <w:r/>
    </w:p>
    <w:p>
      <w:pPr>
        <w:pStyle w:val="994"/>
      </w:pPr>
      <w:r>
        <w:t xml:space="preserve">Для просмотра отчетов, на которые был сформирован Протокол, пользователь на кра</w:t>
      </w:r>
      <w:r>
        <w:t xml:space="preserve">т</w:t>
      </w:r>
      <w:r>
        <w:t xml:space="preserve">кой форме отчета, переходит на закладку «Связанные отчеты» и видит ссылку на ЭД «Сво</w:t>
      </w:r>
      <w:r>
        <w:t xml:space="preserve">д</w:t>
      </w:r>
      <w:r>
        <w:t xml:space="preserve">ные отчеты» (многострочная таблица с реквизитами сводного отчета, отображаются по свя</w:t>
      </w:r>
      <w:r>
        <w:t xml:space="preserve">з</w:t>
      </w:r>
      <w:r>
        <w:t xml:space="preserve">ке все отчеты, на которые был сформирован указанный</w:t>
      </w:r>
      <w:r>
        <w:t xml:space="preserve"> </w:t>
      </w:r>
      <w:r>
        <w:t xml:space="preserve">Протокол).</w:t>
      </w:r>
      <w:r/>
    </w:p>
    <w:p>
      <w:pPr>
        <w:pStyle w:val="994"/>
      </w:pPr>
      <w:r>
        <w:t xml:space="preserve">Возможен непосредственный просмотр ЭФ документа «Протоколы для отчетов», пре</w:t>
      </w:r>
      <w:r>
        <w:t xml:space="preserve">д</w:t>
      </w:r>
      <w:r>
        <w:t xml:space="preserve">ставленной на рисунке</w:t>
      </w:r>
      <w:r>
        <w:t xml:space="preserve"> </w:t>
      </w:r>
      <w:r>
        <w:fldChar w:fldCharType="begin"/>
      </w:r>
      <w:r>
        <w:instrText xml:space="preserve"> REF _Ref384409597 \h  \* MERGEFORMAT </w:instrText>
      </w:r>
      <w:r>
        <w:fldChar w:fldCharType="separate"/>
      </w:r>
      <w:r>
        <w:t xml:space="preserve">214</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2743200"/>
                <wp:effectExtent l="0" t="0" r="0" b="0"/>
                <wp:docPr id="32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89"/>
                        <a:stretch/>
                      </pic:blipFill>
                      <pic:spPr bwMode="auto">
                        <a:xfrm>
                          <a:off x="0" y="0"/>
                          <a:ext cx="6118860" cy="27432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5" o:spid="_x0000_s325" type="#_x0000_t75" style="mso-wrap-distance-left:0.0pt;mso-wrap-distance-top:0.0pt;mso-wrap-distance-right:0.0pt;mso-wrap-distance-bottom:0.0pt;width:481.8pt;height:216.0pt;" stroked="f">
                <v:path textboxrect="0,0,0,0"/>
                <v:imagedata r:id="rId289" o:title=""/>
              </v:shape>
            </w:pict>
          </mc:Fallback>
        </mc:AlternateContent>
      </w:r>
      <w:r/>
    </w:p>
    <w:p>
      <w:pPr>
        <w:pStyle w:val="983"/>
      </w:pPr>
      <w:r>
        <w:fldChar w:fldCharType="begin"/>
      </w:r>
      <w:r>
        <w:instrText xml:space="preserve"> SEQ Рисунок \* ARABIC </w:instrText>
      </w:r>
      <w:r>
        <w:fldChar w:fldCharType="separate"/>
      </w:r>
      <w:bookmarkStart w:id="1523" w:name="_Ref384409597"/>
      <w:r/>
      <w:bookmarkStart w:id="1524" w:name="_Toc88819599"/>
      <w:r>
        <w:t xml:space="preserve">214</w:t>
      </w:r>
      <w:bookmarkEnd w:id="1523"/>
      <w:r>
        <w:fldChar w:fldCharType="end"/>
      </w:r>
      <w:r>
        <w:t xml:space="preserve">. ЭФ документа «Протоколы для отчетов»</w:t>
      </w:r>
      <w:bookmarkEnd w:id="1524"/>
      <w:r/>
      <w:r/>
    </w:p>
    <w:p>
      <w:pPr>
        <w:pStyle w:val="994"/>
      </w:pPr>
      <w:r>
        <w:t xml:space="preserve">Перечень полей документа «Протоколы для отчетов» приведен в таблице</w:t>
      </w:r>
      <w:r>
        <w:t xml:space="preserve"> </w:t>
      </w:r>
      <w:r>
        <w:fldChar w:fldCharType="begin"/>
      </w:r>
      <w:r>
        <w:instrText xml:space="preserve"> REF _Ref372113043 \h </w:instrText>
      </w:r>
      <w:r>
        <w:instrText xml:space="preserve"> \* MERGEFORMAT </w:instrText>
      </w:r>
      <w:r>
        <w:fldChar w:fldCharType="separate"/>
      </w:r>
      <w:r>
        <w:t xml:space="preserve">116</w:t>
      </w:r>
      <w:r>
        <w:fldChar w:fldCharType="end"/>
      </w:r>
      <w:r>
        <w:t xml:space="preserve">.</w:t>
      </w:r>
      <w:r/>
    </w:p>
    <w:p>
      <w:pPr>
        <w:pStyle w:val="993"/>
      </w:pPr>
      <w:r>
        <w:fldChar w:fldCharType="begin"/>
      </w:r>
      <w:r>
        <w:instrText xml:space="preserve"> SEQ Таблица \* ARABIC </w:instrText>
      </w:r>
      <w:r>
        <w:fldChar w:fldCharType="separate"/>
      </w:r>
      <w:bookmarkStart w:id="1525" w:name="_Ref372113043"/>
      <w:r/>
      <w:bookmarkStart w:id="1526" w:name="_Toc88819303"/>
      <w:r>
        <w:t xml:space="preserve">116</w:t>
      </w:r>
      <w:bookmarkEnd w:id="1525"/>
      <w:r>
        <w:fldChar w:fldCharType="end"/>
      </w:r>
      <w:r>
        <w:t xml:space="preserve">. Описание полей документа «Протоколы для отчетов»</w:t>
      </w:r>
      <w:bookmarkEnd w:id="1526"/>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2325"/>
        <w:gridCol w:w="7427"/>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2325" w:type="dxa"/>
            <w:vAlign w:val="center"/>
            <w:textDirection w:val="lrTb"/>
            <w:noWrap w:val="false"/>
          </w:tcPr>
          <w:p>
            <w:pPr>
              <w:pStyle w:val="1006"/>
            </w:pPr>
            <w:r>
              <w:t xml:space="preserve">Наименование поля </w:t>
            </w:r>
            <w:r/>
          </w:p>
        </w:tc>
        <w:tc>
          <w:tcPr>
            <w:shd w:val="clear" w:fill="E6E6E6" w:color="auto"/>
            <w:tcBorders>
              <w:left w:val="single" w:sz="4" w:space="0" w:color="auto"/>
              <w:top w:val="single" w:sz="4" w:space="0" w:color="auto"/>
              <w:right w:val="single" w:sz="4" w:space="0" w:color="auto"/>
              <w:bottom w:val="single" w:sz="4" w:space="0" w:color="auto"/>
            </w:tcBorders>
            <w:tcW w:w="7427" w:type="dxa"/>
            <w:vAlign w:val="center"/>
            <w:textDirection w:val="lrTb"/>
            <w:noWrap w:val="false"/>
          </w:tcPr>
          <w:p>
            <w:pPr>
              <w:pStyle w:val="1006"/>
            </w:pPr>
            <w:r>
              <w:t xml:space="preserve">Описание поля</w:t>
            </w:r>
            <w:r/>
          </w:p>
        </w:tc>
      </w:tr>
      <w:tr>
        <w:trPr>
          <w:trHeight w:val="458"/>
        </w:trPr>
        <w:tc>
          <w:tcPr>
            <w:shd w:val="clear" w:fill="auto" w:color="auto"/>
            <w:tcW w:w="2325" w:type="dxa"/>
            <w:textDirection w:val="lrTb"/>
            <w:noWrap w:val="false"/>
          </w:tcPr>
          <w:p>
            <w:pPr>
              <w:pStyle w:val="1005"/>
              <w:ind w:left="57" w:right="57"/>
            </w:pPr>
            <w:r>
              <w:t xml:space="preserve">Ф</w:t>
            </w:r>
            <w:r>
              <w:t xml:space="preserve">айл</w:t>
            </w:r>
            <w:r/>
          </w:p>
        </w:tc>
        <w:tc>
          <w:tcPr>
            <w:shd w:val="clear" w:fill="auto" w:color="auto"/>
            <w:tcW w:w="7427" w:type="dxa"/>
            <w:textDirection w:val="lrTb"/>
            <w:noWrap w:val="false"/>
          </w:tcPr>
          <w:p>
            <w:pPr>
              <w:pStyle w:val="1005"/>
              <w:ind w:left="57" w:right="57"/>
            </w:pPr>
            <w:r>
              <w:t xml:space="preserve">Полное имя </w:t>
            </w:r>
            <w:r>
              <w:rPr>
                <w:lang w:val="en-US"/>
              </w:rPr>
              <w:t xml:space="preserve">zip</w:t>
            </w:r>
            <w:r>
              <w:t xml:space="preserve">-архива Протокола.</w:t>
            </w:r>
            <w:r/>
          </w:p>
          <w:p>
            <w:pPr>
              <w:pStyle w:val="1005"/>
              <w:ind w:left="57" w:right="57"/>
            </w:pPr>
            <w:r>
              <w:t xml:space="preserve">Заполняется на основании значения поля БД СУФД, к</w:t>
            </w:r>
            <w:r>
              <w:t xml:space="preserve">о</w:t>
            </w:r>
            <w:r>
              <w:t xml:space="preserve">торое вычисляется из наименования </w:t>
            </w:r>
            <w:r>
              <w:rPr>
                <w:lang w:val="en-US"/>
              </w:rPr>
              <w:t xml:space="preserve">zip</w:t>
            </w:r>
            <w:r>
              <w:t xml:space="preserve"> архива вл</w:t>
            </w:r>
            <w:r>
              <w:t xml:space="preserve">о</w:t>
            </w:r>
            <w:r>
              <w:t xml:space="preserve">жения к ПРТ и равно наименованию </w:t>
            </w:r>
            <w:r>
              <w:rPr>
                <w:lang w:val="en-US"/>
              </w:rPr>
              <w:t xml:space="preserve">zip</w:t>
            </w:r>
            <w:r>
              <w:t xml:space="preserve"> архива (например, 00053_0503730_5_28022013_053-60846_FRMT_GRBS).</w:t>
            </w:r>
            <w:r/>
          </w:p>
        </w:tc>
      </w:tr>
      <w:tr>
        <w:trPr>
          <w:trHeight w:val="458"/>
        </w:trPr>
        <w:tc>
          <w:tcPr>
            <w:shd w:val="clear" w:fill="auto" w:color="auto"/>
            <w:tcW w:w="2325" w:type="dxa"/>
            <w:textDirection w:val="lrTb"/>
            <w:noWrap w:val="false"/>
          </w:tcPr>
          <w:p>
            <w:pPr>
              <w:pStyle w:val="1005"/>
              <w:ind w:left="57" w:right="57"/>
            </w:pPr>
            <w:r>
              <w:t xml:space="preserve">Тип</w:t>
            </w:r>
            <w:r/>
          </w:p>
        </w:tc>
        <w:tc>
          <w:tcPr>
            <w:shd w:val="clear" w:fill="auto" w:color="auto"/>
            <w:tcW w:w="7427" w:type="dxa"/>
            <w:textDirection w:val="lrTb"/>
            <w:noWrap w:val="false"/>
          </w:tcPr>
          <w:p>
            <w:pPr>
              <w:pStyle w:val="1005"/>
              <w:ind w:left="57" w:right="57"/>
            </w:pPr>
            <w:r>
              <w:t xml:space="preserve">Тип протокола.</w:t>
            </w:r>
            <w:r/>
          </w:p>
          <w:p>
            <w:pPr>
              <w:pStyle w:val="1005"/>
              <w:ind w:left="57" w:right="57"/>
            </w:pPr>
            <w:r>
              <w:t xml:space="preserve">Заполняется на основании значения поля БД СУФД, к</w:t>
            </w:r>
            <w:r>
              <w:t xml:space="preserve">о</w:t>
            </w:r>
            <w:r>
              <w:t xml:space="preserve">торое вычисляется из наименования </w:t>
            </w:r>
            <w:r>
              <w:rPr>
                <w:lang w:val="en-US"/>
              </w:rPr>
              <w:t xml:space="preserve">zip</w:t>
            </w:r>
            <w:r>
              <w:t xml:space="preserve"> архива вл</w:t>
            </w:r>
            <w:r>
              <w:t xml:space="preserve">о</w:t>
            </w:r>
            <w:r>
              <w:t xml:space="preserve">жения к ПРТ и равно значению 6-го сегмента (разделителем считаем «_») (например, FRMT).</w:t>
            </w:r>
            <w:r/>
          </w:p>
        </w:tc>
      </w:tr>
      <w:tr>
        <w:trPr>
          <w:trHeight w:val="458"/>
        </w:trPr>
        <w:tc>
          <w:tcPr>
            <w:shd w:val="clear" w:fill="auto" w:color="auto"/>
            <w:tcW w:w="2325" w:type="dxa"/>
            <w:textDirection w:val="lrTb"/>
            <w:noWrap w:val="false"/>
          </w:tcPr>
          <w:p>
            <w:pPr>
              <w:pStyle w:val="1005"/>
              <w:ind w:left="57" w:right="57"/>
            </w:pPr>
            <w:r>
              <w:t xml:space="preserve">Дата создания</w:t>
            </w:r>
            <w:r/>
          </w:p>
        </w:tc>
        <w:tc>
          <w:tcPr>
            <w:shd w:val="clear" w:fill="auto" w:color="auto"/>
            <w:tcW w:w="7427" w:type="dxa"/>
            <w:textDirection w:val="lrTb"/>
            <w:noWrap w:val="false"/>
          </w:tcPr>
          <w:p>
            <w:pPr>
              <w:pStyle w:val="1005"/>
              <w:ind w:left="57" w:right="57"/>
            </w:pPr>
            <w:r>
              <w:t xml:space="preserve">Дата создания протокола в </w:t>
            </w:r>
            <w:r>
              <w:t xml:space="preserve">OEBS</w:t>
            </w:r>
            <w:r>
              <w:t xml:space="preserve">.</w:t>
            </w:r>
            <w:r/>
          </w:p>
          <w:p>
            <w:pPr>
              <w:pStyle w:val="1005"/>
              <w:ind w:left="57" w:right="57"/>
            </w:pPr>
            <w:r>
              <w:t xml:space="preserve">Заполняется при импорте из </w:t>
            </w:r>
            <w:r>
              <w:t xml:space="preserve">OEBS</w:t>
            </w:r>
            <w:r>
              <w:t xml:space="preserve">.</w:t>
            </w:r>
            <w:r/>
          </w:p>
        </w:tc>
      </w:tr>
      <w:tr>
        <w:trPr>
          <w:trHeight w:val="458"/>
        </w:trPr>
        <w:tc>
          <w:tcPr>
            <w:shd w:val="clear" w:fill="auto" w:color="auto"/>
            <w:tcW w:w="2325" w:type="dxa"/>
            <w:textDirection w:val="lrTb"/>
            <w:noWrap w:val="false"/>
          </w:tcPr>
          <w:p>
            <w:pPr>
              <w:pStyle w:val="1005"/>
              <w:ind w:left="57" w:right="57"/>
            </w:pPr>
            <w:r>
              <w:t xml:space="preserve">Дата поступления</w:t>
            </w:r>
            <w:r/>
          </w:p>
        </w:tc>
        <w:tc>
          <w:tcPr>
            <w:shd w:val="clear" w:fill="auto" w:color="auto"/>
            <w:tcW w:w="7427" w:type="dxa"/>
            <w:textDirection w:val="lrTb"/>
            <w:noWrap w:val="false"/>
          </w:tcPr>
          <w:p>
            <w:pPr>
              <w:pStyle w:val="1005"/>
              <w:ind w:left="57" w:right="57"/>
            </w:pPr>
            <w:r>
              <w:t xml:space="preserve">Дата загрузки протокола в СУФД/ Дата создания док</w:t>
            </w:r>
            <w:r>
              <w:t xml:space="preserve">у</w:t>
            </w:r>
            <w:r>
              <w:t xml:space="preserve">мента в СУФД.</w:t>
            </w:r>
            <w:r/>
          </w:p>
          <w:p>
            <w:pPr>
              <w:pStyle w:val="1005"/>
              <w:ind w:left="57" w:right="57"/>
            </w:pPr>
            <w:r>
              <w:t xml:space="preserve">Поле заполняется значением БД поля CREATEDATE.</w:t>
            </w:r>
            <w:r/>
          </w:p>
        </w:tc>
      </w:tr>
      <w:tr>
        <w:trPr>
          <w:trHeight w:val="458"/>
        </w:trPr>
        <w:tc>
          <w:tcPr>
            <w:shd w:val="clear" w:fill="auto" w:color="auto"/>
            <w:tcW w:w="2325" w:type="dxa"/>
            <w:textDirection w:val="lrTb"/>
            <w:noWrap w:val="false"/>
          </w:tcPr>
          <w:p>
            <w:pPr>
              <w:pStyle w:val="1005"/>
              <w:ind w:left="57" w:right="57"/>
            </w:pPr>
            <w:r>
              <w:t xml:space="preserve">Код формы по ОКУД</w:t>
            </w:r>
            <w:r/>
          </w:p>
        </w:tc>
        <w:tc>
          <w:tcPr>
            <w:shd w:val="clear" w:fill="auto" w:color="auto"/>
            <w:tcW w:w="7427" w:type="dxa"/>
            <w:textDirection w:val="lrTb"/>
            <w:noWrap w:val="false"/>
          </w:tcPr>
          <w:p>
            <w:pPr>
              <w:pStyle w:val="1005"/>
              <w:ind w:left="57" w:right="57"/>
            </w:pPr>
            <w:r>
              <w:t xml:space="preserve">Код формы отчета, на который сформирован прот</w:t>
            </w:r>
            <w:r>
              <w:t xml:space="preserve">о</w:t>
            </w:r>
            <w:r>
              <w:t xml:space="preserve">кол.</w:t>
            </w:r>
            <w:r/>
          </w:p>
          <w:p>
            <w:pPr>
              <w:pStyle w:val="1005"/>
              <w:ind w:left="57" w:right="57"/>
            </w:pPr>
            <w:r>
              <w:t xml:space="preserve">Заполняется на основании значения поля БД СУФД, к</w:t>
            </w:r>
            <w:r>
              <w:t xml:space="preserve">о</w:t>
            </w:r>
            <w:r>
              <w:t xml:space="preserve">торое вычисляется:</w:t>
            </w:r>
            <w:r/>
          </w:p>
          <w:p>
            <w:pPr>
              <w:pStyle w:val="1007"/>
            </w:pPr>
            <w:r>
              <w:t xml:space="preserve">из наименования </w:t>
            </w:r>
            <w:r>
              <w:rPr>
                <w:lang w:val="en-US"/>
              </w:rPr>
              <w:t xml:space="preserve">zip</w:t>
            </w:r>
            <w:r>
              <w:t xml:space="preserve"> архива вложения к ПРТ и равно значению 2-го се</w:t>
            </w:r>
            <w:r>
              <w:t xml:space="preserve">г</w:t>
            </w:r>
            <w:r>
              <w:t xml:space="preserve">мента (разделителем считаем «_») (напр</w:t>
            </w:r>
            <w:r>
              <w:t xml:space="preserve">и</w:t>
            </w:r>
            <w:r>
              <w:t xml:space="preserve">мер, 0503730);</w:t>
            </w:r>
            <w:r/>
          </w:p>
          <w:p>
            <w:pPr>
              <w:pStyle w:val="1007"/>
            </w:pPr>
            <w:r>
              <w:t xml:space="preserve">из связанного отчета и равно значению тега </w:t>
            </w:r>
            <w:r>
              <w:rPr>
                <w:lang w:val="en-US"/>
              </w:rPr>
              <w:t xml:space="preserve">FormCode</w:t>
            </w:r>
            <w:r>
              <w:t xml:space="preserve">.</w:t>
            </w:r>
            <w:r/>
          </w:p>
        </w:tc>
      </w:tr>
      <w:tr>
        <w:trPr>
          <w:trHeight w:val="458"/>
        </w:trPr>
        <w:tc>
          <w:tcPr>
            <w:shd w:val="clear" w:fill="auto" w:color="auto"/>
            <w:tcW w:w="2325" w:type="dxa"/>
            <w:textDirection w:val="lrTb"/>
            <w:noWrap w:val="false"/>
          </w:tcPr>
          <w:p>
            <w:pPr>
              <w:pStyle w:val="1005"/>
              <w:ind w:left="57" w:right="57"/>
            </w:pPr>
            <w:r>
              <w:t xml:space="preserve">Отчетная дата</w:t>
            </w:r>
            <w:r/>
          </w:p>
        </w:tc>
        <w:tc>
          <w:tcPr>
            <w:shd w:val="clear" w:fill="auto" w:color="auto"/>
            <w:tcW w:w="7427" w:type="dxa"/>
            <w:textDirection w:val="lrTb"/>
            <w:noWrap w:val="false"/>
          </w:tcPr>
          <w:p>
            <w:pPr>
              <w:pStyle w:val="1005"/>
              <w:ind w:left="57" w:right="57"/>
            </w:pPr>
            <w:r>
              <w:t xml:space="preserve">Дата отчета, на который сформирован прот</w:t>
            </w:r>
            <w:r>
              <w:t xml:space="preserve">о</w:t>
            </w:r>
            <w:r>
              <w:t xml:space="preserve">кол.</w:t>
            </w:r>
            <w:r/>
          </w:p>
          <w:p>
            <w:pPr>
              <w:pStyle w:val="1005"/>
              <w:ind w:left="57" w:right="57"/>
            </w:pPr>
            <w:r>
              <w:t xml:space="preserve">Заполняется на основании значения поля БД СУФД, к</w:t>
            </w:r>
            <w:r>
              <w:t xml:space="preserve">о</w:t>
            </w:r>
            <w:r>
              <w:t xml:space="preserve">торое вычисляется:</w:t>
            </w:r>
            <w:r/>
          </w:p>
          <w:p>
            <w:pPr>
              <w:pStyle w:val="1007"/>
            </w:pPr>
            <w:r>
              <w:t xml:space="preserve">из наименования </w:t>
            </w:r>
            <w:r>
              <w:rPr>
                <w:lang w:val="en-US"/>
              </w:rPr>
              <w:t xml:space="preserve">zip</w:t>
            </w:r>
            <w:r>
              <w:t xml:space="preserve"> архива вложения к ПРТ и равно значению 4-го се</w:t>
            </w:r>
            <w:r>
              <w:t xml:space="preserve">г</w:t>
            </w:r>
            <w:r>
              <w:t xml:space="preserve">мента (разделителем считаем «_») (напр</w:t>
            </w:r>
            <w:r>
              <w:t xml:space="preserve">и</w:t>
            </w:r>
            <w:r>
              <w:t xml:space="preserve">мер, 0503730);</w:t>
            </w:r>
            <w:r/>
          </w:p>
          <w:p>
            <w:pPr>
              <w:pStyle w:val="1007"/>
            </w:pPr>
            <w:r>
              <w:t xml:space="preserve">из связанного отчета и равно значению тега </w:t>
            </w:r>
            <w:r>
              <w:rPr>
                <w:lang w:val="en-US"/>
              </w:rPr>
              <w:t xml:space="preserve">ReportDate</w:t>
            </w:r>
            <w:r>
              <w:t xml:space="preserve">.</w:t>
            </w:r>
            <w:r/>
          </w:p>
        </w:tc>
      </w:tr>
      <w:tr>
        <w:trPr>
          <w:trHeight w:val="458"/>
        </w:trPr>
        <w:tc>
          <w:tcPr>
            <w:shd w:val="clear" w:fill="auto" w:color="auto"/>
            <w:tcW w:w="2325" w:type="dxa"/>
            <w:textDirection w:val="lrTb"/>
            <w:noWrap w:val="false"/>
          </w:tcPr>
          <w:p>
            <w:pPr>
              <w:pStyle w:val="1005"/>
              <w:ind w:left="57" w:right="57"/>
            </w:pPr>
            <w:r>
              <w:t xml:space="preserve">Регистрационный н</w:t>
            </w:r>
            <w:r>
              <w:t xml:space="preserve">о</w:t>
            </w:r>
            <w:r>
              <w:t xml:space="preserve">мер отчета</w:t>
            </w:r>
            <w:r/>
          </w:p>
        </w:tc>
        <w:tc>
          <w:tcPr>
            <w:shd w:val="clear" w:fill="auto" w:color="auto"/>
            <w:tcW w:w="7427" w:type="dxa"/>
            <w:textDirection w:val="lrTb"/>
            <w:noWrap w:val="false"/>
          </w:tcPr>
          <w:p>
            <w:pPr>
              <w:pStyle w:val="1005"/>
              <w:ind w:left="57" w:right="57"/>
            </w:pPr>
            <w:r>
              <w:t xml:space="preserve">Регистрационный номер отчета, на который сформирован протокол.</w:t>
            </w:r>
            <w:r/>
          </w:p>
          <w:p>
            <w:pPr>
              <w:pStyle w:val="1005"/>
              <w:ind w:left="57" w:right="57"/>
            </w:pPr>
            <w:r>
              <w:t xml:space="preserve">Заполняется на основании значения поля БД СУФД, к</w:t>
            </w:r>
            <w:r>
              <w:t xml:space="preserve">о</w:t>
            </w:r>
            <w:r>
              <w:t xml:space="preserve">торое вычисляется из наименования </w:t>
            </w:r>
            <w:r>
              <w:rPr>
                <w:lang w:val="en-US"/>
              </w:rPr>
              <w:t xml:space="preserve">zip</w:t>
            </w:r>
            <w:r>
              <w:t xml:space="preserve"> архива вл</w:t>
            </w:r>
            <w:r>
              <w:t xml:space="preserve">о</w:t>
            </w:r>
            <w:r>
              <w:t xml:space="preserve">жения к ПРТ и равно значению 5-го сегмен</w:t>
            </w:r>
            <w:r>
              <w:t xml:space="preserve">та (разделителем считаем «_») (н</w:t>
            </w:r>
            <w:r>
              <w:t xml:space="preserve">а</w:t>
            </w:r>
            <w:r>
              <w:t xml:space="preserve">пример, 053-60846).</w:t>
            </w:r>
            <w:r/>
          </w:p>
        </w:tc>
      </w:tr>
    </w:tbl>
    <w:p>
      <w:pPr>
        <w:pStyle w:val="972"/>
      </w:pPr>
      <w:r/>
      <w:bookmarkStart w:id="1527" w:name="_Ref377561876"/>
      <w:r/>
      <w:bookmarkStart w:id="1528" w:name="_Toc422496735"/>
      <w:r/>
      <w:bookmarkStart w:id="1529" w:name="_Toc88819145"/>
      <w:r>
        <w:t xml:space="preserve">Справка о межбюджетной задолженности ф. 0521441</w:t>
      </w:r>
      <w:bookmarkEnd w:id="1527"/>
      <w:r/>
      <w:bookmarkEnd w:id="1528"/>
      <w:r/>
      <w:bookmarkEnd w:id="1529"/>
      <w:r/>
      <w:r/>
    </w:p>
    <w:p>
      <w:pPr>
        <w:pStyle w:val="994"/>
      </w:pPr>
      <w:r>
        <w:t xml:space="preserve">ЭД «Справка о межбюджетной задолженности ф. 0521441» направляется в МОУ ФК в установленном порядке в виде электронного документа с использованием электронной по</w:t>
      </w:r>
      <w:r>
        <w:t xml:space="preserve">д</w:t>
      </w:r>
      <w:r>
        <w:t xml:space="preserve">писи ответственных лиц ТОФК и ФО средствами </w:t>
      </w:r>
      <w:r>
        <w:t xml:space="preserve">ППО СУФД АСФК</w:t>
      </w:r>
      <w:r>
        <w:t xml:space="preserve">. </w:t>
      </w:r>
      <w:r/>
    </w:p>
    <w:p>
      <w:pPr>
        <w:pStyle w:val="994"/>
      </w:pPr>
      <w:r>
        <w:t xml:space="preserve">Порядок действий с документом в ФО:</w:t>
      </w:r>
      <w:r/>
    </w:p>
    <w:p>
      <w:pPr>
        <w:pStyle w:val="1156"/>
        <w:numPr>
          <w:ilvl w:val="0"/>
          <w:numId w:val="56"/>
        </w:numPr>
      </w:pPr>
      <w:r>
        <w:t xml:space="preserve">В случае согласования отчета, руководитель ФО (или уполномоченное лицо) в </w:t>
      </w:r>
      <w:r>
        <w:t xml:space="preserve">ППО СУФД АСФК</w:t>
      </w:r>
      <w:r>
        <w:t xml:space="preserve"> (АРМ ФО) согласует документ «Справка (ф. 0521441)», при необходимости заполняет в визуальной форме поле «Комментарий» и подп</w:t>
      </w:r>
      <w:r>
        <w:t xml:space="preserve">исывает документ ЭП. Статус документа принимает значение «788 – Согласовано с ФО»).</w:t>
      </w:r>
      <w:r/>
    </w:p>
    <w:p>
      <w:pPr>
        <w:pStyle w:val="1156"/>
      </w:pPr>
      <w:r>
        <w:t xml:space="preserve">В случае отклонения отчета, документ «Справка (ф. 0521441)» отклоняется и в обязательном порядке заполняется поле «Комментарий» (в поле указывается пр</w:t>
      </w:r>
      <w:r>
        <w:t xml:space="preserve">и</w:t>
      </w:r>
      <w:r>
        <w:t xml:space="preserve">чина отклонения). Подписания документа ЭП в таком случае не требуется. Статус документа принимает значение «888 – Отменено».</w:t>
      </w:r>
      <w:r/>
    </w:p>
    <w:p>
      <w:pPr>
        <w:pStyle w:val="994"/>
      </w:pPr>
      <w:r>
        <w:t xml:space="preserve">Для работы с документами </w:t>
      </w:r>
      <w:r>
        <w:t xml:space="preserve">«Справка ф. 0521441» следует </w:t>
      </w:r>
      <w:r>
        <w:t xml:space="preserve">перейти в</w:t>
      </w:r>
      <w:r>
        <w:t xml:space="preserve"> пункт меню «Документы – Периодическая отч</w:t>
      </w:r>
      <w:r>
        <w:t xml:space="preserve">ё</w:t>
      </w:r>
      <w:r>
        <w:t xml:space="preserve">тность – Отч</w:t>
      </w:r>
      <w:r>
        <w:t xml:space="preserve">ё</w:t>
      </w:r>
      <w:r>
        <w:t xml:space="preserve">ты – Справки ф. 0521441». Откроется форма списка док</w:t>
      </w:r>
      <w:r>
        <w:t xml:space="preserve">у</w:t>
      </w:r>
      <w:r>
        <w:t xml:space="preserve">ментов, представленная на р</w:t>
      </w:r>
      <w:r>
        <w:t xml:space="preserve">и</w:t>
      </w:r>
      <w:r>
        <w:t xml:space="preserve">сунке</w:t>
      </w:r>
      <w:r>
        <w:t xml:space="preserve"> </w:t>
      </w:r>
      <w:r>
        <w:fldChar w:fldCharType="begin"/>
      </w:r>
      <w:r>
        <w:instrText xml:space="preserve"> REF _Ref377550154 \h </w:instrText>
      </w:r>
      <w:r>
        <w:instrText xml:space="preserve"> \* MERGEFORMAT </w:instrText>
      </w:r>
      <w:r>
        <w:fldChar w:fldCharType="separate"/>
      </w:r>
      <w:r>
        <w:t xml:space="preserve">215</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2842260"/>
                <wp:effectExtent l="0" t="0" r="0" b="0"/>
                <wp:docPr id="32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90"/>
                        <a:stretch/>
                      </pic:blipFill>
                      <pic:spPr bwMode="auto">
                        <a:xfrm>
                          <a:off x="0" y="0"/>
                          <a:ext cx="6134100" cy="28422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6" o:spid="_x0000_s326" type="#_x0000_t75" style="mso-wrap-distance-left:0.0pt;mso-wrap-distance-top:0.0pt;mso-wrap-distance-right:0.0pt;mso-wrap-distance-bottom:0.0pt;width:483.0pt;height:223.8pt;" stroked="f">
                <v:path textboxrect="0,0,0,0"/>
                <v:imagedata r:id="rId290" o:title=""/>
              </v:shape>
            </w:pict>
          </mc:Fallback>
        </mc:AlternateContent>
      </w:r>
      <w:r/>
    </w:p>
    <w:p>
      <w:pPr>
        <w:pStyle w:val="983"/>
      </w:pPr>
      <w:r>
        <w:fldChar w:fldCharType="begin"/>
      </w:r>
      <w:r>
        <w:instrText xml:space="preserve"> SEQ Рисунок \* ARABIC </w:instrText>
      </w:r>
      <w:r>
        <w:fldChar w:fldCharType="separate"/>
      </w:r>
      <w:bookmarkStart w:id="1530" w:name="_Ref377550154"/>
      <w:r/>
      <w:bookmarkStart w:id="1531" w:name="_Toc88819600"/>
      <w:r>
        <w:t xml:space="preserve">215</w:t>
      </w:r>
      <w:bookmarkEnd w:id="1530"/>
      <w:r>
        <w:fldChar w:fldCharType="end"/>
      </w:r>
      <w:r>
        <w:t xml:space="preserve">. ЭФ списка документов «Справка о межбюджетной задолженности ф. 0521441»</w:t>
      </w:r>
      <w:bookmarkEnd w:id="1531"/>
      <w:r/>
      <w:r/>
    </w:p>
    <w:p>
      <w:pPr>
        <w:pStyle w:val="973"/>
      </w:pPr>
      <w:r>
        <w:t xml:space="preserve">Доступные операции</w:t>
      </w:r>
      <w:r/>
    </w:p>
    <w:p>
      <w:pPr>
        <w:pStyle w:val="994"/>
      </w:pPr>
      <w:r>
        <w:t xml:space="preserve">На АРМ ФО доступны следующие операции над документом: </w:t>
      </w:r>
      <w:r/>
    </w:p>
    <w:p>
      <w:pPr>
        <w:pStyle w:val="985"/>
      </w:pPr>
      <w:r>
        <w:t xml:space="preserve">просмотр;</w:t>
      </w:r>
      <w:r/>
    </w:p>
    <w:p>
      <w:pPr>
        <w:pStyle w:val="985"/>
      </w:pPr>
      <w:r>
        <w:t xml:space="preserve">редактирование (доступно для редактирования только поле «Комментарий»);</w:t>
      </w:r>
      <w:r/>
    </w:p>
    <w:p>
      <w:pPr>
        <w:pStyle w:val="985"/>
      </w:pPr>
      <w:r>
        <w:t xml:space="preserve">подписание</w:t>
      </w:r>
      <w:r>
        <w:t xml:space="preserve"> </w:t>
      </w:r>
      <w:r>
        <w:t xml:space="preserve">ЭП</w:t>
      </w:r>
      <w:r>
        <w:t xml:space="preserve">;</w:t>
      </w:r>
      <w:r/>
    </w:p>
    <w:p>
      <w:pPr>
        <w:pStyle w:val="985"/>
      </w:pPr>
      <w:r>
        <w:t xml:space="preserve">согласова</w:t>
      </w:r>
      <w:r>
        <w:t xml:space="preserve">ние</w:t>
      </w:r>
      <w:r>
        <w:t xml:space="preserve">;</w:t>
      </w:r>
      <w:r/>
    </w:p>
    <w:p>
      <w:pPr>
        <w:pStyle w:val="985"/>
      </w:pPr>
      <w:r>
        <w:t xml:space="preserve">отклонение</w:t>
      </w:r>
      <w:r>
        <w:t xml:space="preserve">;</w:t>
      </w:r>
      <w:r/>
    </w:p>
    <w:p>
      <w:pPr>
        <w:pStyle w:val="985"/>
      </w:pPr>
      <w:r>
        <w:t xml:space="preserve">печать.</w:t>
      </w:r>
      <w:r/>
    </w:p>
    <w:p>
      <w:pPr>
        <w:pStyle w:val="973"/>
      </w:pPr>
      <w:r>
        <w:t xml:space="preserve">Экранная форма документа</w:t>
      </w:r>
      <w:r/>
    </w:p>
    <w:p>
      <w:pPr>
        <w:pStyle w:val="994"/>
      </w:pPr>
      <w:r>
        <w:t xml:space="preserve">ЭФ документа «Справка </w:t>
      </w:r>
      <w:r>
        <w:t xml:space="preserve">о межбюджетной задолженности ф.</w:t>
      </w:r>
      <w:r>
        <w:t xml:space="preserve"> </w:t>
      </w:r>
      <w:r>
        <w:t xml:space="preserve">0521441» представлена на рисунках</w:t>
      </w:r>
      <w:r>
        <w:t xml:space="preserve"> </w:t>
      </w:r>
      <w:r>
        <w:fldChar w:fldCharType="begin"/>
      </w:r>
      <w:r>
        <w:instrText xml:space="preserve"> REF _Ref377560213 \h </w:instrText>
      </w:r>
      <w:r>
        <w:instrText xml:space="preserve"> \* MERGEFORMAT </w:instrText>
      </w:r>
      <w:r>
        <w:fldChar w:fldCharType="separate"/>
      </w:r>
      <w:r>
        <w:t xml:space="preserve">216</w:t>
      </w:r>
      <w:r>
        <w:fldChar w:fldCharType="end"/>
      </w:r>
      <w:r>
        <w:t xml:space="preserve">, </w:t>
      </w:r>
      <w:r>
        <w:fldChar w:fldCharType="begin"/>
      </w:r>
      <w:r>
        <w:instrText xml:space="preserve"> REF _Ref377559797 \h </w:instrText>
      </w:r>
      <w:r>
        <w:instrText xml:space="preserve"> \* MERGEFORMAT </w:instrText>
      </w:r>
      <w:r>
        <w:fldChar w:fldCharType="separate"/>
      </w:r>
      <w:r>
        <w:t xml:space="preserve">217</w:t>
      </w:r>
      <w:r>
        <w:fldChar w:fldCharType="end"/>
      </w:r>
      <w:r>
        <w:t xml:space="preserve">. Форма</w:t>
      </w:r>
      <w:r>
        <w:t xml:space="preserve"> содержит следующи</w:t>
      </w:r>
      <w:r>
        <w:t xml:space="preserve">е</w:t>
      </w:r>
      <w:r>
        <w:t xml:space="preserve"> заклад</w:t>
      </w:r>
      <w:r>
        <w:t xml:space="preserve">ки</w:t>
      </w:r>
      <w:r>
        <w:t xml:space="preserve">:</w:t>
      </w:r>
      <w:r/>
    </w:p>
    <w:p>
      <w:pPr>
        <w:pStyle w:val="985"/>
      </w:pPr>
      <w:r>
        <w:t xml:space="preserve">«Документ»;</w:t>
      </w:r>
      <w:r/>
    </w:p>
    <w:p>
      <w:pPr>
        <w:pStyle w:val="985"/>
      </w:pPr>
      <w:r>
        <w:t xml:space="preserve">«Дополнительные атрибуты».</w:t>
      </w:r>
      <w:r/>
    </w:p>
    <w:p>
      <w:pPr>
        <w:pStyle w:val="982"/>
      </w:pPr>
      <w:r>
        <mc:AlternateContent>
          <mc:Choice Requires="wpg">
            <w:drawing>
              <wp:inline xmlns:wp="http://schemas.openxmlformats.org/drawingml/2006/wordprocessingDrawing" distT="0" distB="0" distL="0" distR="0">
                <wp:extent cx="6126480" cy="2461260"/>
                <wp:effectExtent l="0" t="0" r="0" b="0"/>
                <wp:docPr id="32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91"/>
                        <a:stretch/>
                      </pic:blipFill>
                      <pic:spPr bwMode="auto">
                        <a:xfrm>
                          <a:off x="0" y="0"/>
                          <a:ext cx="6126480" cy="24612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7" o:spid="_x0000_s327" type="#_x0000_t75" style="mso-wrap-distance-left:0.0pt;mso-wrap-distance-top:0.0pt;mso-wrap-distance-right:0.0pt;mso-wrap-distance-bottom:0.0pt;width:482.4pt;height:193.8pt;" stroked="f">
                <v:path textboxrect="0,0,0,0"/>
                <v:imagedata r:id="rId291" o:title=""/>
              </v:shape>
            </w:pict>
          </mc:Fallback>
        </mc:AlternateContent>
      </w:r>
      <w:r/>
    </w:p>
    <w:p>
      <w:pPr>
        <w:pStyle w:val="983"/>
      </w:pPr>
      <w:r>
        <w:fldChar w:fldCharType="begin"/>
      </w:r>
      <w:r>
        <w:instrText xml:space="preserve"> SEQ Рисунок \* ARABIC </w:instrText>
      </w:r>
      <w:r>
        <w:fldChar w:fldCharType="separate"/>
      </w:r>
      <w:bookmarkStart w:id="1532" w:name="_Ref377560213"/>
      <w:r/>
      <w:bookmarkStart w:id="1533" w:name="_Toc88819601"/>
      <w:r>
        <w:t xml:space="preserve">216</w:t>
      </w:r>
      <w:bookmarkEnd w:id="1532"/>
      <w:r>
        <w:fldChar w:fldCharType="end"/>
      </w:r>
      <w:r>
        <w:t xml:space="preserve">. ЭФ документа «Справка о межбюджетной задолженности ф. 0521441</w:t>
      </w:r>
      <w:r>
        <w:t xml:space="preserve">», закладки «</w:t>
      </w:r>
      <w:r>
        <w:t xml:space="preserve">Документ»</w:t>
      </w:r>
      <w:bookmarkEnd w:id="1533"/>
      <w:r/>
      <w:r/>
    </w:p>
    <w:p>
      <w:pPr>
        <w:pStyle w:val="994"/>
      </w:pPr>
      <w:r>
        <w:t xml:space="preserve">Перечень </w:t>
      </w:r>
      <w:r>
        <w:t xml:space="preserve">полей документа «Справка </w:t>
      </w:r>
      <w:r>
        <w:t xml:space="preserve">о межбюджетной задолженности ф.</w:t>
      </w:r>
      <w:r>
        <w:t xml:space="preserve"> </w:t>
      </w:r>
      <w:r>
        <w:t xml:space="preserve">0521441</w:t>
      </w:r>
      <w:r>
        <w:t xml:space="preserve">», закладки «</w:t>
      </w:r>
      <w:r>
        <w:t xml:space="preserve">Документ» </w:t>
      </w:r>
      <w:r>
        <w:t xml:space="preserve">приведен в таблице</w:t>
      </w:r>
      <w:r>
        <w:t xml:space="preserve"> </w:t>
      </w:r>
      <w:r>
        <w:fldChar w:fldCharType="begin"/>
      </w:r>
      <w:r>
        <w:instrText xml:space="preserve"> REF _Ref377550513 \h  \* MERGEFORMAT </w:instrText>
      </w:r>
      <w:r>
        <w:fldChar w:fldCharType="separate"/>
      </w:r>
      <w:r>
        <w:t xml:space="preserve">117</w:t>
      </w:r>
      <w:r>
        <w:fldChar w:fldCharType="end"/>
      </w:r>
      <w:r>
        <w:t xml:space="preserve">.</w:t>
      </w:r>
      <w:r/>
    </w:p>
    <w:p>
      <w:pPr>
        <w:pStyle w:val="993"/>
      </w:pPr>
      <w:r>
        <w:fldChar w:fldCharType="begin"/>
      </w:r>
      <w:r>
        <w:instrText xml:space="preserve"> SEQ Таблица \* ARABIC </w:instrText>
      </w:r>
      <w:r>
        <w:fldChar w:fldCharType="separate"/>
      </w:r>
      <w:bookmarkStart w:id="1534" w:name="_Ref377550513"/>
      <w:r/>
      <w:bookmarkStart w:id="1535" w:name="_Toc88819304"/>
      <w:r>
        <w:t xml:space="preserve">117</w:t>
      </w:r>
      <w:bookmarkEnd w:id="1534"/>
      <w:r>
        <w:fldChar w:fldCharType="end"/>
      </w:r>
      <w:r>
        <w:t xml:space="preserve">. Описание полей документа «Справка о межбюджетной задолженности ф. 0521441</w:t>
      </w:r>
      <w:r>
        <w:t xml:space="preserve">», закладки «</w:t>
      </w:r>
      <w:r>
        <w:t xml:space="preserve">Док</w:t>
      </w:r>
      <w:r>
        <w:t xml:space="preserve">у</w:t>
      </w:r>
      <w:r>
        <w:t xml:space="preserve">мент»</w:t>
      </w:r>
      <w:bookmarkEnd w:id="1535"/>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3034"/>
        <w:gridCol w:w="6718"/>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3034" w:type="dxa"/>
            <w:vAlign w:val="center"/>
            <w:textDirection w:val="lrTb"/>
            <w:noWrap w:val="false"/>
          </w:tcPr>
          <w:p>
            <w:pPr>
              <w:pStyle w:val="1006"/>
            </w:pPr>
            <w:r>
              <w:t xml:space="preserve">Наименование поля </w:t>
            </w:r>
            <w:r/>
          </w:p>
        </w:tc>
        <w:tc>
          <w:tcPr>
            <w:shd w:val="clear" w:fill="E6E6E6" w:color="auto"/>
            <w:tcBorders>
              <w:left w:val="single" w:sz="4" w:space="0" w:color="auto"/>
              <w:top w:val="single" w:sz="4" w:space="0" w:color="auto"/>
              <w:right w:val="single" w:sz="4" w:space="0" w:color="auto"/>
              <w:bottom w:val="single" w:sz="4" w:space="0" w:color="auto"/>
            </w:tcBorders>
            <w:tcW w:w="6718" w:type="dxa"/>
            <w:vAlign w:val="center"/>
            <w:textDirection w:val="lrTb"/>
            <w:noWrap w:val="false"/>
          </w:tcPr>
          <w:p>
            <w:pPr>
              <w:pStyle w:val="1006"/>
            </w:pPr>
            <w:r>
              <w:t xml:space="preserve">Описание поля</w:t>
            </w:r>
            <w:r/>
          </w:p>
        </w:tc>
      </w:tr>
      <w:tr>
        <w:trPr>
          <w:trHeight w:val="70"/>
        </w:trPr>
        <w:tc>
          <w:tcPr>
            <w:shd w:val="clear" w:fill="auto" w:color="auto"/>
            <w:tcW w:w="3034" w:type="dxa"/>
            <w:textDirection w:val="lrTb"/>
            <w:noWrap w:val="false"/>
          </w:tcPr>
          <w:p>
            <w:pPr>
              <w:pStyle w:val="1005"/>
              <w:ind w:left="57" w:right="57"/>
            </w:pPr>
            <w:r>
              <w:t xml:space="preserve">Регистрационный номер</w:t>
            </w:r>
            <w:r/>
          </w:p>
        </w:tc>
        <w:tc>
          <w:tcPr>
            <w:shd w:val="clear" w:fill="auto" w:color="auto"/>
            <w:tcW w:w="6718" w:type="dxa"/>
            <w:textDirection w:val="lrTb"/>
            <w:noWrap w:val="false"/>
          </w:tcPr>
          <w:p>
            <w:pPr>
              <w:pStyle w:val="1005"/>
              <w:ind w:left="57" w:right="57"/>
            </w:pPr>
            <w:r>
              <w:t xml:space="preserve">Регистрационный номер отчета, в соответствии с данными получе</w:t>
            </w:r>
            <w:r>
              <w:t xml:space="preserve">н</w:t>
            </w:r>
            <w:r>
              <w:t xml:space="preserve">ного файла.</w:t>
            </w:r>
            <w:r/>
          </w:p>
        </w:tc>
      </w:tr>
      <w:tr>
        <w:trPr>
          <w:trHeight w:val="101"/>
        </w:trPr>
        <w:tc>
          <w:tcPr>
            <w:shd w:val="clear" w:fill="auto" w:color="auto"/>
            <w:tcW w:w="3034" w:type="dxa"/>
            <w:textDirection w:val="lrTb"/>
            <w:noWrap w:val="false"/>
          </w:tcPr>
          <w:p>
            <w:pPr>
              <w:pStyle w:val="1005"/>
              <w:ind w:left="57" w:right="57"/>
            </w:pPr>
            <w:r>
              <w:t xml:space="preserve">Статус</w:t>
            </w:r>
            <w:r/>
          </w:p>
        </w:tc>
        <w:tc>
          <w:tcPr>
            <w:shd w:val="clear" w:fill="auto" w:color="auto"/>
            <w:tcW w:w="6718" w:type="dxa"/>
            <w:textDirection w:val="lrTb"/>
            <w:noWrap w:val="false"/>
          </w:tcPr>
          <w:p>
            <w:pPr>
              <w:pStyle w:val="1005"/>
              <w:ind w:left="57" w:right="57"/>
            </w:pPr>
            <w:r>
              <w:t xml:space="preserve">Код статуса отчета.</w:t>
            </w:r>
            <w:r/>
          </w:p>
          <w:p>
            <w:pPr>
              <w:pStyle w:val="1005"/>
              <w:ind w:left="57" w:right="57"/>
            </w:pPr>
            <w:r>
              <w:t xml:space="preserve">Автоматически присваивается кодовое значение документа в соо</w:t>
            </w:r>
            <w:r>
              <w:t xml:space="preserve">т</w:t>
            </w:r>
            <w:r>
              <w:t xml:space="preserve">ветствии со статусной моделью в результате выполнения операций.</w:t>
            </w:r>
            <w:r/>
          </w:p>
        </w:tc>
      </w:tr>
      <w:tr>
        <w:trPr>
          <w:trHeight w:val="70"/>
        </w:trPr>
        <w:tc>
          <w:tcPr>
            <w:shd w:val="clear" w:fill="auto" w:color="auto"/>
            <w:tcW w:w="3034" w:type="dxa"/>
            <w:textDirection w:val="lrTb"/>
            <w:noWrap w:val="false"/>
          </w:tcPr>
          <w:p>
            <w:pPr>
              <w:pStyle w:val="1005"/>
              <w:ind w:left="57" w:right="57"/>
            </w:pPr>
            <w:r>
              <w:t xml:space="preserve">Код ОрФК</w:t>
            </w:r>
            <w:r/>
          </w:p>
        </w:tc>
        <w:tc>
          <w:tcPr>
            <w:shd w:val="clear" w:fill="auto" w:color="auto"/>
            <w:tcW w:w="6718" w:type="dxa"/>
            <w:textDirection w:val="lrTb"/>
            <w:noWrap w:val="false"/>
          </w:tcPr>
          <w:p>
            <w:pPr>
              <w:pStyle w:val="1005"/>
              <w:ind w:left="57" w:right="57"/>
            </w:pPr>
            <w:r>
              <w:t xml:space="preserve">Код ОрФК в соответствии с данными полученного фа</w:t>
            </w:r>
            <w:r>
              <w:t xml:space="preserve">й</w:t>
            </w:r>
            <w:r>
              <w:t xml:space="preserve">ла.</w:t>
            </w:r>
            <w:r/>
          </w:p>
        </w:tc>
      </w:tr>
      <w:tr>
        <w:trPr>
          <w:trHeight w:val="123"/>
        </w:trPr>
        <w:tc>
          <w:tcPr>
            <w:shd w:val="clear" w:fill="auto" w:color="auto"/>
            <w:tcW w:w="3034" w:type="dxa"/>
            <w:textDirection w:val="lrTb"/>
            <w:noWrap w:val="false"/>
          </w:tcPr>
          <w:p>
            <w:pPr>
              <w:pStyle w:val="1005"/>
              <w:ind w:left="57" w:right="57"/>
            </w:pPr>
            <w:r>
              <w:t xml:space="preserve">Наименование ОрФК</w:t>
            </w:r>
            <w:r/>
          </w:p>
        </w:tc>
        <w:tc>
          <w:tcPr>
            <w:shd w:val="clear" w:fill="auto" w:color="auto"/>
            <w:tcW w:w="6718" w:type="dxa"/>
            <w:textDirection w:val="lrTb"/>
            <w:noWrap w:val="false"/>
          </w:tcPr>
          <w:p>
            <w:pPr>
              <w:pStyle w:val="1005"/>
              <w:ind w:left="57" w:right="57"/>
            </w:pPr>
            <w:r>
              <w:t xml:space="preserve">Наименование органа, осуществляющего </w:t>
            </w:r>
            <w:r>
              <w:t xml:space="preserve">казначейское</w:t>
            </w:r>
            <w:r>
              <w:t xml:space="preserve"> </w:t>
            </w:r>
            <w:r>
              <w:t xml:space="preserve">обслуживание и</w:t>
            </w:r>
            <w:r>
              <w:t xml:space="preserve">с</w:t>
            </w:r>
            <w:r>
              <w:t xml:space="preserve">полнения бюджета в соответствии с данными получе</w:t>
            </w:r>
            <w:r>
              <w:t xml:space="preserve">н</w:t>
            </w:r>
            <w:r>
              <w:t xml:space="preserve">ного файла.</w:t>
            </w:r>
            <w:r/>
          </w:p>
        </w:tc>
      </w:tr>
      <w:tr>
        <w:trPr>
          <w:trHeight w:val="229"/>
        </w:trPr>
        <w:tc>
          <w:tcPr>
            <w:shd w:val="clear" w:fill="auto" w:color="auto"/>
            <w:tcW w:w="3034" w:type="dxa"/>
            <w:textDirection w:val="lrTb"/>
            <w:noWrap w:val="false"/>
          </w:tcPr>
          <w:p>
            <w:pPr>
              <w:pStyle w:val="1005"/>
              <w:ind w:left="57" w:right="57"/>
            </w:pPr>
            <w:r>
              <w:t xml:space="preserve">Форма по КФД</w:t>
            </w:r>
            <w:r/>
          </w:p>
        </w:tc>
        <w:tc>
          <w:tcPr>
            <w:shd w:val="clear" w:fill="auto" w:color="auto"/>
            <w:tcW w:w="6718" w:type="dxa"/>
            <w:textDirection w:val="lrTb"/>
            <w:noWrap w:val="false"/>
          </w:tcPr>
          <w:p>
            <w:pPr>
              <w:pStyle w:val="1005"/>
              <w:ind w:left="57" w:right="57"/>
            </w:pPr>
            <w:r>
              <w:t xml:space="preserve">Код формы по классификатору форм документа в соответствии с данными полученного файла.</w:t>
            </w:r>
            <w:r/>
          </w:p>
        </w:tc>
      </w:tr>
      <w:tr>
        <w:trPr>
          <w:trHeight w:val="458"/>
        </w:trPr>
        <w:tc>
          <w:tcPr>
            <w:shd w:val="clear" w:fill="auto" w:color="auto"/>
            <w:tcW w:w="3034" w:type="dxa"/>
            <w:textDirection w:val="lrTb"/>
            <w:noWrap w:val="false"/>
          </w:tcPr>
          <w:p>
            <w:pPr>
              <w:pStyle w:val="1005"/>
              <w:ind w:left="57" w:right="57"/>
            </w:pPr>
            <w:r>
              <w:t xml:space="preserve">Дата</w:t>
            </w:r>
            <w:r/>
          </w:p>
        </w:tc>
        <w:tc>
          <w:tcPr>
            <w:shd w:val="clear" w:fill="auto" w:color="auto"/>
            <w:tcW w:w="6718" w:type="dxa"/>
            <w:textDirection w:val="lrTb"/>
            <w:noWrap w:val="false"/>
          </w:tcPr>
          <w:p>
            <w:pPr>
              <w:pStyle w:val="1005"/>
              <w:ind w:left="57" w:right="57"/>
            </w:pPr>
            <w:r>
              <w:t xml:space="preserve">Дата отчета в соответствии с данными полученного фа</w:t>
            </w:r>
            <w:r>
              <w:t xml:space="preserve">й</w:t>
            </w:r>
            <w:r>
              <w:t xml:space="preserve">ла.</w:t>
            </w:r>
            <w:r/>
          </w:p>
        </w:tc>
      </w:tr>
      <w:tr>
        <w:trPr>
          <w:trHeight w:val="70"/>
        </w:trPr>
        <w:tc>
          <w:tcPr>
            <w:shd w:val="clear" w:fill="auto" w:color="auto"/>
            <w:tcW w:w="3034" w:type="dxa"/>
            <w:textDirection w:val="lrTb"/>
            <w:noWrap w:val="false"/>
          </w:tcPr>
          <w:p>
            <w:pPr>
              <w:pStyle w:val="1005"/>
              <w:ind w:left="57" w:right="57"/>
            </w:pPr>
            <w:r>
              <w:rPr>
                <w:rFonts w:eastAsia="Calibri"/>
              </w:rPr>
              <w:t xml:space="preserve">По ОКПО</w:t>
            </w:r>
            <w:r/>
          </w:p>
        </w:tc>
        <w:tc>
          <w:tcPr>
            <w:shd w:val="clear" w:fill="auto" w:color="auto"/>
            <w:tcW w:w="6718" w:type="dxa"/>
            <w:textDirection w:val="lrTb"/>
            <w:noWrap w:val="false"/>
          </w:tcPr>
          <w:p>
            <w:pPr>
              <w:pStyle w:val="1005"/>
              <w:ind w:left="57" w:right="57"/>
            </w:pPr>
            <w:r>
              <w:t xml:space="preserve">Код по ОКПО в соответствии с данными полученного файла.</w:t>
            </w:r>
            <w:r/>
          </w:p>
        </w:tc>
      </w:tr>
      <w:tr>
        <w:trPr>
          <w:trHeight w:val="229"/>
        </w:trPr>
        <w:tc>
          <w:tcPr>
            <w:shd w:val="clear" w:fill="auto" w:color="auto"/>
            <w:tcW w:w="3034" w:type="dxa"/>
            <w:textDirection w:val="lrTb"/>
            <w:noWrap w:val="false"/>
          </w:tcPr>
          <w:p>
            <w:pPr>
              <w:pStyle w:val="1005"/>
              <w:ind w:left="57" w:right="57"/>
            </w:pPr>
            <w:r>
              <w:t xml:space="preserve">Наименование субъекта РФ</w:t>
            </w:r>
            <w:r/>
          </w:p>
        </w:tc>
        <w:tc>
          <w:tcPr>
            <w:shd w:val="clear" w:fill="auto" w:color="auto"/>
            <w:tcW w:w="6718" w:type="dxa"/>
            <w:textDirection w:val="lrTb"/>
            <w:noWrap w:val="false"/>
          </w:tcPr>
          <w:p>
            <w:pPr>
              <w:pStyle w:val="1005"/>
              <w:ind w:left="57" w:right="57"/>
            </w:pPr>
            <w:r>
              <w:t xml:space="preserve">Наименование субъекта РФ в соответствии с данными пол</w:t>
            </w:r>
            <w:r>
              <w:t xml:space="preserve">у</w:t>
            </w:r>
            <w:r>
              <w:t xml:space="preserve">ченного файла.</w:t>
            </w:r>
            <w:r/>
          </w:p>
        </w:tc>
      </w:tr>
    </w:tbl>
    <w:p>
      <w:pPr>
        <w:pStyle w:val="994"/>
      </w:pPr>
      <w:r>
        <w:t xml:space="preserve">ЭФ документа «Справка </w:t>
      </w:r>
      <w:r>
        <w:t xml:space="preserve">о межбюджетной задолженности ф.</w:t>
      </w:r>
      <w:r>
        <w:t xml:space="preserve"> </w:t>
      </w:r>
      <w:r>
        <w:t xml:space="preserve">0521441</w:t>
      </w:r>
      <w:r>
        <w:t xml:space="preserve">», закладки «</w:t>
      </w:r>
      <w:r>
        <w:t xml:space="preserve">Д</w:t>
      </w:r>
      <w:r>
        <w:t xml:space="preserve">о</w:t>
      </w:r>
      <w:r>
        <w:t xml:space="preserve">полнительные атрибуты» представлена на рисунке</w:t>
      </w:r>
      <w:r>
        <w:t xml:space="preserve"> </w:t>
      </w:r>
      <w:r>
        <w:fldChar w:fldCharType="begin"/>
      </w:r>
      <w:r>
        <w:instrText xml:space="preserve"> REF _Ref377559797 \h </w:instrText>
      </w:r>
      <w:r>
        <w:instrText xml:space="preserve"> \* MERGEFORMAT </w:instrText>
      </w:r>
      <w:r>
        <w:fldChar w:fldCharType="separate"/>
      </w:r>
      <w:r>
        <w:t xml:space="preserve">217</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110740"/>
                <wp:effectExtent l="0" t="0" r="0" b="0"/>
                <wp:docPr id="32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92"/>
                        <a:stretch/>
                      </pic:blipFill>
                      <pic:spPr bwMode="auto">
                        <a:xfrm>
                          <a:off x="0" y="0"/>
                          <a:ext cx="6126480" cy="21107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8" o:spid="_x0000_s328" type="#_x0000_t75" style="mso-wrap-distance-left:0.0pt;mso-wrap-distance-top:0.0pt;mso-wrap-distance-right:0.0pt;mso-wrap-distance-bottom:0.0pt;width:482.4pt;height:166.2pt;" stroked="f">
                <v:path textboxrect="0,0,0,0"/>
                <v:imagedata r:id="rId292" o:title=""/>
              </v:shape>
            </w:pict>
          </mc:Fallback>
        </mc:AlternateContent>
      </w:r>
      <w:r/>
    </w:p>
    <w:p>
      <w:pPr>
        <w:pStyle w:val="983"/>
      </w:pPr>
      <w:r>
        <w:fldChar w:fldCharType="begin"/>
      </w:r>
      <w:r>
        <w:instrText xml:space="preserve"> SEQ Рисунок \* ARABIC </w:instrText>
      </w:r>
      <w:r>
        <w:fldChar w:fldCharType="separate"/>
      </w:r>
      <w:bookmarkStart w:id="1536" w:name="_Ref377559797"/>
      <w:r/>
      <w:bookmarkStart w:id="1537" w:name="_Toc88819602"/>
      <w:r>
        <w:t xml:space="preserve">217</w:t>
      </w:r>
      <w:bookmarkEnd w:id="1536"/>
      <w:r>
        <w:fldChar w:fldCharType="end"/>
      </w:r>
      <w:r>
        <w:t xml:space="preserve">. ЭФ документа «Справка о межбюджетной задолженности ф. 0521441</w:t>
      </w:r>
      <w:r>
        <w:t xml:space="preserve">», закладки «</w:t>
      </w:r>
      <w:r>
        <w:t xml:space="preserve">Дополнительные атрибуты»</w:t>
      </w:r>
      <w:bookmarkEnd w:id="1537"/>
      <w:r/>
      <w:r/>
    </w:p>
    <w:p>
      <w:pPr>
        <w:pStyle w:val="994"/>
      </w:pPr>
      <w:r>
        <w:t xml:space="preserve">Перечень </w:t>
      </w:r>
      <w:r>
        <w:t xml:space="preserve">полей документа «Справка </w:t>
      </w:r>
      <w:r>
        <w:t xml:space="preserve">о межбюджетной задолженности ф.</w:t>
      </w:r>
      <w:r>
        <w:t xml:space="preserve"> </w:t>
      </w:r>
      <w:r>
        <w:t xml:space="preserve">0521441</w:t>
      </w:r>
      <w:r>
        <w:t xml:space="preserve">», закладки «</w:t>
      </w:r>
      <w:r>
        <w:t xml:space="preserve">Дополнительные атрибуты» </w:t>
      </w:r>
      <w:r>
        <w:t xml:space="preserve">приведен в таблице</w:t>
      </w:r>
      <w:r>
        <w:t xml:space="preserve"> </w:t>
      </w:r>
      <w:r>
        <w:fldChar w:fldCharType="begin"/>
      </w:r>
      <w:r>
        <w:instrText xml:space="preserve"> REF _Ref377559680 \h </w:instrText>
      </w:r>
      <w:r>
        <w:instrText xml:space="preserve"> \* MERGEFORMAT </w:instrText>
      </w:r>
      <w:r>
        <w:fldChar w:fldCharType="separate"/>
      </w:r>
      <w:r>
        <w:t xml:space="preserve">118</w:t>
      </w:r>
      <w:r>
        <w:fldChar w:fldCharType="end"/>
      </w:r>
      <w:r>
        <w:t xml:space="preserve">.</w:t>
      </w:r>
      <w:r/>
    </w:p>
    <w:p>
      <w:pPr>
        <w:pStyle w:val="993"/>
      </w:pPr>
      <w:r>
        <w:fldChar w:fldCharType="begin"/>
      </w:r>
      <w:r>
        <w:instrText xml:space="preserve"> SEQ Таблица \* ARABIC </w:instrText>
      </w:r>
      <w:r>
        <w:fldChar w:fldCharType="separate"/>
      </w:r>
      <w:bookmarkStart w:id="1538" w:name="_Ref377559680"/>
      <w:r/>
      <w:bookmarkStart w:id="1539" w:name="_Toc88819305"/>
      <w:r>
        <w:t xml:space="preserve">118</w:t>
      </w:r>
      <w:bookmarkEnd w:id="1538"/>
      <w:r>
        <w:fldChar w:fldCharType="end"/>
      </w:r>
      <w:r>
        <w:t xml:space="preserve">. Описание полей документа «Справка о межбюджетной задолженности ф. 0521441</w:t>
      </w:r>
      <w:r>
        <w:t xml:space="preserve">», закладки «</w:t>
      </w:r>
      <w:r>
        <w:t xml:space="preserve">Допо</w:t>
      </w:r>
      <w:r>
        <w:t xml:space="preserve">л</w:t>
      </w:r>
      <w:r>
        <w:t xml:space="preserve">нительные атрибуты»</w:t>
      </w:r>
      <w:bookmarkEnd w:id="1539"/>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2394"/>
        <w:gridCol w:w="7358"/>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2394" w:type="dxa"/>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7358" w:type="dxa"/>
            <w:vAlign w:val="center"/>
            <w:textDirection w:val="lrTb"/>
            <w:noWrap w:val="false"/>
          </w:tcPr>
          <w:p>
            <w:pPr>
              <w:pStyle w:val="1006"/>
            </w:pPr>
            <w:r>
              <w:t xml:space="preserve">Описание поля</w:t>
            </w:r>
            <w:r/>
          </w:p>
        </w:tc>
      </w:tr>
      <w:tr>
        <w:trPr>
          <w:trHeight w:val="70"/>
        </w:trPr>
        <w:tc>
          <w:tcPr>
            <w:gridSpan w:val="2"/>
            <w:shd w:val="clear" w:fill="auto" w:color="auto"/>
            <w:tcW w:w="9752" w:type="dxa"/>
            <w:textDirection w:val="lrTb"/>
            <w:noWrap w:val="false"/>
          </w:tcPr>
          <w:p>
            <w:pPr>
              <w:pStyle w:val="1005"/>
              <w:ind w:left="57" w:right="57"/>
            </w:pPr>
            <w:r>
              <w:t xml:space="preserve">Группа полей «Руководитель УФК по субъекту»</w:t>
            </w:r>
            <w:r/>
          </w:p>
        </w:tc>
      </w:tr>
      <w:tr>
        <w:trPr>
          <w:trHeight w:val="70"/>
        </w:trPr>
        <w:tc>
          <w:tcPr>
            <w:shd w:val="clear" w:fill="auto" w:color="auto"/>
            <w:tcW w:w="2394" w:type="dxa"/>
            <w:textDirection w:val="lrTb"/>
            <w:noWrap w:val="false"/>
          </w:tcPr>
          <w:p>
            <w:pPr>
              <w:pStyle w:val="1005"/>
              <w:ind w:left="57" w:right="57"/>
            </w:pPr>
            <w:r>
              <w:t xml:space="preserve">ФИО</w:t>
            </w:r>
            <w:r/>
          </w:p>
        </w:tc>
        <w:tc>
          <w:tcPr>
            <w:shd w:val="clear" w:fill="auto" w:color="auto"/>
            <w:tcW w:w="7358" w:type="dxa"/>
            <w:textDirection w:val="lrTb"/>
            <w:noWrap w:val="false"/>
          </w:tcPr>
          <w:p>
            <w:pPr>
              <w:pStyle w:val="1005"/>
              <w:ind w:left="57" w:right="57"/>
            </w:pPr>
            <w:r>
              <w:t xml:space="preserve">Расшифровка подписи руководителя УФК (уполномоче</w:t>
            </w:r>
            <w:r>
              <w:t xml:space="preserve">н</w:t>
            </w:r>
            <w:r>
              <w:t xml:space="preserve">ного им лица) в соответствии с данными полученного файла.</w:t>
            </w:r>
            <w:r/>
          </w:p>
        </w:tc>
      </w:tr>
      <w:tr>
        <w:trPr>
          <w:trHeight w:val="70"/>
        </w:trPr>
        <w:tc>
          <w:tcPr>
            <w:shd w:val="clear" w:fill="auto" w:color="auto"/>
            <w:tcW w:w="2394" w:type="dxa"/>
            <w:textDirection w:val="lrTb"/>
            <w:noWrap w:val="false"/>
          </w:tcPr>
          <w:p>
            <w:pPr>
              <w:pStyle w:val="1005"/>
              <w:ind w:left="57" w:right="57"/>
            </w:pPr>
            <w:r>
              <w:t xml:space="preserve">Дата</w:t>
            </w:r>
            <w:r/>
          </w:p>
        </w:tc>
        <w:tc>
          <w:tcPr>
            <w:shd w:val="clear" w:fill="auto" w:color="auto"/>
            <w:tcW w:w="7358" w:type="dxa"/>
            <w:textDirection w:val="lrTb"/>
            <w:noWrap w:val="false"/>
          </w:tcPr>
          <w:p>
            <w:pPr>
              <w:pStyle w:val="1005"/>
              <w:ind w:left="57" w:right="57"/>
            </w:pPr>
            <w:r>
              <w:t xml:space="preserve">Дата подписания отчета в соответствии с данными полученного файла.</w:t>
            </w:r>
            <w:r/>
          </w:p>
        </w:tc>
      </w:tr>
      <w:tr>
        <w:trPr>
          <w:trHeight w:val="70"/>
        </w:trPr>
        <w:tc>
          <w:tcPr>
            <w:gridSpan w:val="2"/>
            <w:shd w:val="clear" w:fill="auto" w:color="auto"/>
            <w:tcW w:w="9752" w:type="dxa"/>
            <w:textDirection w:val="lrTb"/>
            <w:noWrap w:val="false"/>
          </w:tcPr>
          <w:p>
            <w:pPr>
              <w:pStyle w:val="1005"/>
              <w:ind w:left="57" w:right="57"/>
            </w:pPr>
            <w:r>
              <w:t xml:space="preserve">Группа полей «Руководитель ФО по субъекту»</w:t>
            </w:r>
            <w:r/>
          </w:p>
        </w:tc>
      </w:tr>
      <w:tr>
        <w:trPr>
          <w:trHeight w:val="70"/>
        </w:trPr>
        <w:tc>
          <w:tcPr>
            <w:shd w:val="clear" w:fill="auto" w:color="auto"/>
            <w:tcW w:w="2394" w:type="dxa"/>
            <w:textDirection w:val="lrTb"/>
            <w:noWrap w:val="false"/>
          </w:tcPr>
          <w:p>
            <w:pPr>
              <w:pStyle w:val="1005"/>
              <w:ind w:left="57" w:right="57"/>
            </w:pPr>
            <w:r>
              <w:t xml:space="preserve">ФИО</w:t>
            </w:r>
            <w:r/>
          </w:p>
        </w:tc>
        <w:tc>
          <w:tcPr>
            <w:shd w:val="clear" w:fill="auto" w:color="auto"/>
            <w:tcW w:w="7358" w:type="dxa"/>
            <w:textDirection w:val="lrTb"/>
            <w:noWrap w:val="false"/>
          </w:tcPr>
          <w:p>
            <w:pPr>
              <w:pStyle w:val="1005"/>
              <w:ind w:left="57" w:right="57"/>
            </w:pPr>
            <w:r>
              <w:t xml:space="preserve">Расшифровка согласующей подписи руководителя ФО (уполномоченн</w:t>
            </w:r>
            <w:r>
              <w:t xml:space="preserve">о</w:t>
            </w:r>
            <w:r>
              <w:t xml:space="preserve">го им лица).</w:t>
            </w:r>
            <w:r/>
          </w:p>
          <w:p>
            <w:pPr>
              <w:pStyle w:val="1005"/>
              <w:ind w:left="57" w:right="57"/>
            </w:pPr>
            <w:r>
              <w:t xml:space="preserve">Заполняется автоматически на основании учетной записи пользоват</w:t>
            </w:r>
            <w:r>
              <w:t xml:space="preserve">е</w:t>
            </w:r>
            <w:r>
              <w:t xml:space="preserve">ля.</w:t>
            </w:r>
            <w:r/>
          </w:p>
        </w:tc>
      </w:tr>
      <w:tr>
        <w:trPr>
          <w:trHeight w:val="70"/>
        </w:trPr>
        <w:tc>
          <w:tcPr>
            <w:shd w:val="clear" w:fill="auto" w:color="auto"/>
            <w:tcW w:w="2394" w:type="dxa"/>
            <w:textDirection w:val="lrTb"/>
            <w:noWrap w:val="false"/>
          </w:tcPr>
          <w:p>
            <w:pPr>
              <w:pStyle w:val="1005"/>
              <w:ind w:left="57" w:right="57"/>
            </w:pPr>
            <w:r>
              <w:t xml:space="preserve">Дата</w:t>
            </w:r>
            <w:r/>
          </w:p>
        </w:tc>
        <w:tc>
          <w:tcPr>
            <w:shd w:val="clear" w:fill="auto" w:color="auto"/>
            <w:tcW w:w="7358" w:type="dxa"/>
            <w:textDirection w:val="lrTb"/>
            <w:noWrap w:val="false"/>
          </w:tcPr>
          <w:p>
            <w:pPr>
              <w:pStyle w:val="1005"/>
              <w:ind w:left="57" w:right="57"/>
            </w:pPr>
            <w:r>
              <w:t xml:space="preserve">Дата согласования отчета в ФО.</w:t>
            </w:r>
            <w:r/>
          </w:p>
          <w:p>
            <w:pPr>
              <w:pStyle w:val="1005"/>
              <w:ind w:left="57" w:right="57"/>
            </w:pPr>
            <w:r>
              <w:t xml:space="preserve">Заполняется автоматически на основании текущей си</w:t>
            </w:r>
            <w:r>
              <w:t xml:space="preserve">с</w:t>
            </w:r>
            <w:r>
              <w:t xml:space="preserve">темной даты.</w:t>
            </w:r>
            <w:r/>
          </w:p>
        </w:tc>
      </w:tr>
      <w:tr>
        <w:trPr>
          <w:trHeight w:val="70"/>
        </w:trPr>
        <w:tc>
          <w:tcPr>
            <w:shd w:val="clear" w:fill="auto" w:color="auto"/>
            <w:tcW w:w="2394" w:type="dxa"/>
            <w:textDirection w:val="lrTb"/>
            <w:noWrap w:val="false"/>
          </w:tcPr>
          <w:p>
            <w:pPr>
              <w:pStyle w:val="1005"/>
              <w:ind w:left="57" w:right="57"/>
            </w:pPr>
            <w:r>
              <w:t xml:space="preserve">Комментарий</w:t>
            </w:r>
            <w:r/>
          </w:p>
        </w:tc>
        <w:tc>
          <w:tcPr>
            <w:shd w:val="clear" w:fill="auto" w:color="auto"/>
            <w:tcW w:w="7358" w:type="dxa"/>
            <w:textDirection w:val="lrTb"/>
            <w:noWrap w:val="false"/>
          </w:tcPr>
          <w:p>
            <w:pPr>
              <w:pStyle w:val="1005"/>
              <w:ind w:left="57" w:right="57"/>
            </w:pPr>
            <w:r>
              <w:t xml:space="preserve">Комментарий к </w:t>
            </w:r>
            <w:r>
              <w:t xml:space="preserve">с</w:t>
            </w:r>
            <w:r>
              <w:t xml:space="preserve">правке.</w:t>
            </w:r>
            <w:r/>
          </w:p>
        </w:tc>
      </w:tr>
    </w:tbl>
    <w:p>
      <w:pPr>
        <w:pStyle w:val="972"/>
      </w:pPr>
      <w:r/>
      <w:bookmarkStart w:id="1540" w:name="_Toc88819146"/>
      <w:r>
        <w:t xml:space="preserve">Периодические</w:t>
      </w:r>
      <w:r>
        <w:t xml:space="preserve"> отчеты</w:t>
      </w:r>
      <w:bookmarkEnd w:id="1540"/>
      <w:r/>
      <w:r/>
    </w:p>
    <w:p>
      <w:pPr>
        <w:pStyle w:val="994"/>
      </w:pPr>
      <w:r>
        <w:t xml:space="preserve">В </w:t>
      </w:r>
      <w:r>
        <w:t xml:space="preserve">группу периодической</w:t>
      </w:r>
      <w:r>
        <w:t xml:space="preserve"> отчет</w:t>
      </w:r>
      <w:r>
        <w:t xml:space="preserve">ности входят</w:t>
      </w:r>
      <w:r>
        <w:t xml:space="preserve"> такие</w:t>
      </w:r>
      <w:r>
        <w:t xml:space="preserve"> отчеты</w:t>
      </w:r>
      <w:r>
        <w:t xml:space="preserve"> как:</w:t>
      </w:r>
      <w:r/>
    </w:p>
    <w:p>
      <w:pPr>
        <w:pStyle w:val="985"/>
      </w:pPr>
      <w:r>
        <w:t xml:space="preserve">Отчет по счету ПБС (Форма 0531794);</w:t>
      </w:r>
      <w:r/>
    </w:p>
    <w:p>
      <w:pPr>
        <w:pStyle w:val="985"/>
      </w:pPr>
      <w:r>
        <w:t xml:space="preserve">Отчет о состоянии лицевого счета бюджета (</w:t>
      </w:r>
      <w:r>
        <w:t xml:space="preserve">П</w:t>
      </w:r>
      <w:r>
        <w:t xml:space="preserve">оказатели ЛС ОЛБ);</w:t>
      </w:r>
      <w:r/>
    </w:p>
    <w:p>
      <w:pPr>
        <w:pStyle w:val="985"/>
      </w:pPr>
      <w:r>
        <w:t xml:space="preserve">Отчет о состоянии лицевого счета РБС (Показатели ЛС ОЛР);</w:t>
      </w:r>
      <w:r/>
    </w:p>
    <w:p>
      <w:pPr>
        <w:pStyle w:val="985"/>
      </w:pPr>
      <w:r>
        <w:t xml:space="preserve">Отчет о состоянии лицевого счета АИФ (Показатели ЛС ОЛА);</w:t>
      </w:r>
      <w:r/>
    </w:p>
    <w:p>
      <w:pPr>
        <w:pStyle w:val="985"/>
      </w:pPr>
      <w:r>
        <w:t xml:space="preserve">Отчет о состоянии лицевого счета ГАИФ (Показатели ЛС ОЛГ);</w:t>
      </w:r>
      <w:r/>
    </w:p>
    <w:p>
      <w:pPr>
        <w:pStyle w:val="985"/>
      </w:pPr>
      <w:r>
        <w:t xml:space="preserve">Отчет о состоянии лицевого счета ИПБС (Показатели ЛС ОЛИ);</w:t>
      </w:r>
      <w:r/>
    </w:p>
    <w:p>
      <w:pPr>
        <w:pStyle w:val="985"/>
      </w:pPr>
      <w:r>
        <w:t xml:space="preserve">Справка по консолидируемым расчетам (Форма 0503125-3);</w:t>
      </w:r>
      <w:r/>
    </w:p>
    <w:p>
      <w:pPr>
        <w:pStyle w:val="985"/>
      </w:pPr>
      <w:r>
        <w:t xml:space="preserve">Отчет об исполнении бюджета (Форма 0503117-3_F);</w:t>
      </w:r>
      <w:r/>
    </w:p>
    <w:p>
      <w:pPr>
        <w:pStyle w:val="985"/>
      </w:pPr>
      <w:r>
        <w:t xml:space="preserve">Сведения об остатках денежных средств на счетах получателя бюдж</w:t>
      </w:r>
      <w:r>
        <w:t xml:space="preserve">етных средств (Форма 0503178-3)</w:t>
      </w:r>
      <w:r/>
    </w:p>
    <w:p>
      <w:pPr>
        <w:pStyle w:val="1029"/>
      </w:pPr>
      <w:r>
        <w:t xml:space="preserve">и другие.</w:t>
      </w:r>
      <w:r/>
    </w:p>
    <w:p>
      <w:pPr>
        <w:pStyle w:val="994"/>
      </w:pPr>
      <w:r>
        <w:t xml:space="preserve">Документ используется для создания документов с данными регламентированной о</w:t>
      </w:r>
      <w:r>
        <w:t xml:space="preserve">т</w:t>
      </w:r>
      <w:r>
        <w:t xml:space="preserve">четности, направляемых от </w:t>
      </w:r>
      <w:r>
        <w:t xml:space="preserve">OEBS</w:t>
      </w:r>
      <w:r>
        <w:t xml:space="preserve"> пользователям</w:t>
      </w:r>
      <w:r>
        <w:t xml:space="preserve">.</w:t>
      </w:r>
      <w:r/>
    </w:p>
    <w:p>
      <w:pPr>
        <w:pStyle w:val="994"/>
      </w:pPr>
      <w:r>
        <w:t xml:space="preserve">ЭД </w:t>
      </w:r>
      <w:r>
        <w:t xml:space="preserve">«Периодические</w:t>
      </w:r>
      <w:r>
        <w:t xml:space="preserve"> отчеты</w:t>
      </w:r>
      <w:r>
        <w:t xml:space="preserve">»</w:t>
      </w:r>
      <w:r>
        <w:t xml:space="preserve"> </w:t>
      </w:r>
      <w:r>
        <w:t xml:space="preserve">(С</w:t>
      </w:r>
      <w:r>
        <w:t xml:space="preserve">ервисный документ доставки типа отчета</w:t>
      </w:r>
      <w:r>
        <w:t xml:space="preserve">) </w:t>
      </w:r>
      <w:r>
        <w:t xml:space="preserve">используется для пересылки между серверными и кл</w:t>
      </w:r>
      <w:r>
        <w:t xml:space="preserve">и</w:t>
      </w:r>
      <w:r>
        <w:t xml:space="preserve">ентскими программными комплексами определений </w:t>
      </w:r>
      <w:r>
        <w:t xml:space="preserve">«</w:t>
      </w:r>
      <w:r>
        <w:t xml:space="preserve">управляемых</w:t>
      </w:r>
      <w:r>
        <w:t xml:space="preserve">»</w:t>
      </w:r>
      <w:r>
        <w:t xml:space="preserve"> типов документов, применяемых для формирования периодической отчетн</w:t>
      </w:r>
      <w:r>
        <w:t xml:space="preserve">о</w:t>
      </w:r>
      <w:r>
        <w:t xml:space="preserve">сти. Документ форм</w:t>
      </w:r>
      <w:r>
        <w:t xml:space="preserve">и</w:t>
      </w:r>
      <w:r>
        <w:t xml:space="preserve">руется на уровне </w:t>
      </w:r>
      <w:r>
        <w:t xml:space="preserve">OEBS</w:t>
      </w:r>
      <w:r>
        <w:t xml:space="preserve"> и рассылается на АРМ БУ (непосредственно или на основе массовой рассылки), от которых ожидается получение периодической отче</w:t>
      </w:r>
      <w:r>
        <w:t xml:space="preserve">т</w:t>
      </w:r>
      <w:r>
        <w:t xml:space="preserve">ности. Тип документа представляет собой </w:t>
      </w:r>
      <w:r>
        <w:t xml:space="preserve">JAR</w:t>
      </w:r>
      <w:r>
        <w:t xml:space="preserve"> архив и содержится в документе как влож</w:t>
      </w:r>
      <w:r>
        <w:t xml:space="preserve">е</w:t>
      </w:r>
      <w:r>
        <w:t xml:space="preserve">ние.</w:t>
      </w:r>
      <w:r/>
    </w:p>
    <w:p>
      <w:pPr>
        <w:pStyle w:val="994"/>
      </w:pPr>
      <w:r>
        <w:t xml:space="preserve">Для работы с документами </w:t>
      </w:r>
      <w:r>
        <w:t xml:space="preserve">«Периодические</w:t>
      </w:r>
      <w:r>
        <w:t xml:space="preserve"> отчеты</w:t>
      </w:r>
      <w:r>
        <w:t xml:space="preserve">»</w:t>
      </w:r>
      <w:r>
        <w:t xml:space="preserve"> следует перейти в пункт меню </w:t>
      </w:r>
      <w:r>
        <w:t xml:space="preserve">«</w:t>
      </w:r>
      <w:r>
        <w:t xml:space="preserve">Док</w:t>
      </w:r>
      <w:r>
        <w:t xml:space="preserve">ументы – </w:t>
      </w:r>
      <w:r>
        <w:t xml:space="preserve">Периодическая</w:t>
      </w:r>
      <w:r>
        <w:t xml:space="preserve"> отч</w:t>
      </w:r>
      <w:r>
        <w:t xml:space="preserve">ё</w:t>
      </w:r>
      <w:r>
        <w:t xml:space="preserve">тность –</w:t>
      </w:r>
      <w:r>
        <w:t xml:space="preserve"> Отчё</w:t>
      </w:r>
      <w:r>
        <w:t xml:space="preserve">ты</w:t>
      </w:r>
      <w:r>
        <w:t xml:space="preserve">»</w:t>
      </w:r>
      <w:r>
        <w:t xml:space="preserve">. Откроется ЭФ списка документов, пре</w:t>
      </w:r>
      <w:r>
        <w:t xml:space="preserve">д</w:t>
      </w:r>
      <w:r>
        <w:t xml:space="preserve">ставленная на рисунке</w:t>
      </w:r>
      <w:r>
        <w:t xml:space="preserve"> </w:t>
      </w:r>
      <w:r>
        <w:fldChar w:fldCharType="begin"/>
      </w:r>
      <w:r>
        <w:instrText xml:space="preserve"> REF _Ref233115566 \h  \* MERGEFORMAT </w:instrText>
      </w:r>
      <w:r>
        <w:fldChar w:fldCharType="separate"/>
      </w:r>
      <w:r>
        <w:t xml:space="preserve">218</w:t>
      </w:r>
      <w:r>
        <w:fldChar w:fldCharType="end"/>
      </w:r>
      <w:r>
        <w:t xml:space="preserve">. </w:t>
      </w:r>
      <w:r/>
    </w:p>
    <w:p>
      <w:pPr>
        <w:pStyle w:val="982"/>
      </w:pPr>
      <w:r>
        <mc:AlternateContent>
          <mc:Choice Requires="wpg">
            <w:drawing>
              <wp:inline xmlns:wp="http://schemas.openxmlformats.org/drawingml/2006/wordprocessingDrawing" distT="0" distB="0" distL="0" distR="0">
                <wp:extent cx="6126480" cy="4122420"/>
                <wp:effectExtent l="0" t="0" r="0" b="0"/>
                <wp:docPr id="33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93"/>
                        <a:stretch/>
                      </pic:blipFill>
                      <pic:spPr bwMode="auto">
                        <a:xfrm>
                          <a:off x="0" y="0"/>
                          <a:ext cx="6126480" cy="41224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9" o:spid="_x0000_s329" type="#_x0000_t75" style="mso-wrap-distance-left:0.0pt;mso-wrap-distance-top:0.0pt;mso-wrap-distance-right:0.0pt;mso-wrap-distance-bottom:0.0pt;width:482.4pt;height:324.6pt;" stroked="f">
                <v:path textboxrect="0,0,0,0"/>
                <v:imagedata r:id="rId293" o:title=""/>
              </v:shape>
            </w:pict>
          </mc:Fallback>
        </mc:AlternateContent>
      </w:r>
      <w:r/>
    </w:p>
    <w:p>
      <w:pPr>
        <w:pStyle w:val="983"/>
      </w:pPr>
      <w:r>
        <w:fldChar w:fldCharType="begin"/>
      </w:r>
      <w:r>
        <w:instrText xml:space="preserve"> SEQ Рисунок \* ARABIC </w:instrText>
      </w:r>
      <w:r>
        <w:fldChar w:fldCharType="separate"/>
      </w:r>
      <w:bookmarkStart w:id="1541" w:name="_Ref233115566"/>
      <w:r/>
      <w:bookmarkStart w:id="1542" w:name="_Toc88819603"/>
      <w:r>
        <w:t xml:space="preserve">218</w:t>
      </w:r>
      <w:bookmarkEnd w:id="1541"/>
      <w:r>
        <w:fldChar w:fldCharType="end"/>
      </w:r>
      <w:r>
        <w:t xml:space="preserve">. </w:t>
      </w:r>
      <w:r>
        <w:t xml:space="preserve">ЭФ списка документов </w:t>
      </w:r>
      <w:r>
        <w:t xml:space="preserve">«</w:t>
      </w:r>
      <w:r>
        <w:t xml:space="preserve">Периодические отчеты</w:t>
      </w:r>
      <w:r>
        <w:t xml:space="preserve">»</w:t>
      </w:r>
      <w:bookmarkEnd w:id="1542"/>
      <w:r/>
      <w:r/>
    </w:p>
    <w:p>
      <w:pPr>
        <w:pStyle w:val="973"/>
      </w:pPr>
      <w:r>
        <w:t xml:space="preserve">Доступные операции</w:t>
      </w:r>
      <w:r/>
    </w:p>
    <w:p>
      <w:pPr>
        <w:pStyle w:val="994"/>
      </w:pPr>
      <w:r>
        <w:t xml:space="preserve">На АРМ </w:t>
      </w:r>
      <w:r>
        <w:t xml:space="preserve">Ф</w:t>
      </w:r>
      <w:r>
        <w:t xml:space="preserve">О</w:t>
      </w:r>
      <w:r>
        <w:t xml:space="preserve"> доступны следующие операции над </w:t>
      </w:r>
      <w:r>
        <w:t xml:space="preserve">документом</w:t>
      </w:r>
      <w:r>
        <w:t xml:space="preserve">:</w:t>
      </w:r>
      <w:r/>
    </w:p>
    <w:p>
      <w:pPr>
        <w:pStyle w:val="985"/>
      </w:pPr>
      <w:r>
        <w:t xml:space="preserve">просмотр ЭД;</w:t>
      </w:r>
      <w:r/>
    </w:p>
    <w:p>
      <w:pPr>
        <w:pStyle w:val="985"/>
      </w:pPr>
      <w:r>
        <w:t xml:space="preserve">просмотр и печать вложенного отчета</w:t>
      </w:r>
      <w:r>
        <w:t xml:space="preserve">.</w:t>
      </w:r>
      <w:r/>
    </w:p>
    <w:p>
      <w:pPr>
        <w:pStyle w:val="973"/>
      </w:pPr>
      <w:r>
        <w:t xml:space="preserve">Экранная форма документа</w:t>
      </w:r>
      <w:r/>
    </w:p>
    <w:p>
      <w:pPr>
        <w:pStyle w:val="994"/>
      </w:pPr>
      <w:r>
        <w:t xml:space="preserve">ЭФ документа </w:t>
      </w:r>
      <w:r>
        <w:t xml:space="preserve">«Периодические отчеты», закладки «</w:t>
      </w:r>
      <w:r>
        <w:t xml:space="preserve">Основные атрибуты</w:t>
      </w:r>
      <w:r>
        <w:t xml:space="preserve">»</w:t>
      </w:r>
      <w:r>
        <w:t xml:space="preserve"> представлена на рисунк</w:t>
      </w:r>
      <w:r>
        <w:t xml:space="preserve">ах</w:t>
      </w:r>
      <w:r>
        <w:t xml:space="preserve"> </w:t>
      </w:r>
      <w:r>
        <w:fldChar w:fldCharType="begin"/>
      </w:r>
      <w:r>
        <w:instrText xml:space="preserve"> REF _Ref233116328 \h </w:instrText>
      </w:r>
      <w:r>
        <w:fldChar w:fldCharType="separate"/>
      </w:r>
      <w:r>
        <w:t xml:space="preserve">219</w:t>
      </w:r>
      <w:r>
        <w:fldChar w:fldCharType="end"/>
      </w:r>
      <w:r>
        <w:t xml:space="preserve">-</w:t>
      </w:r>
      <w:r>
        <w:fldChar w:fldCharType="begin"/>
      </w:r>
      <w:r>
        <w:instrText xml:space="preserve"> REF _Ref434263714 \h </w:instrText>
      </w:r>
      <w:r>
        <w:fldChar w:fldCharType="separate"/>
      </w:r>
      <w:r>
        <w:t xml:space="preserve">221</w:t>
      </w:r>
      <w:r>
        <w:fldChar w:fldCharType="end"/>
      </w:r>
      <w:r>
        <w:t xml:space="preserve">. Форма </w:t>
      </w:r>
      <w:r>
        <w:t xml:space="preserve">содержит следующие закладки:</w:t>
      </w:r>
      <w:r/>
    </w:p>
    <w:p>
      <w:pPr>
        <w:pStyle w:val="985"/>
      </w:pPr>
      <w:r>
        <w:t xml:space="preserve">«</w:t>
      </w:r>
      <w:r>
        <w:t xml:space="preserve">Основные атрибуты</w:t>
      </w:r>
      <w:r>
        <w:t xml:space="preserve">»</w:t>
      </w:r>
      <w:r>
        <w:t xml:space="preserve">;</w:t>
      </w:r>
      <w:r/>
    </w:p>
    <w:p>
      <w:pPr>
        <w:pStyle w:val="985"/>
      </w:pPr>
      <w:r>
        <w:t xml:space="preserve">«</w:t>
      </w:r>
      <w:r>
        <w:t xml:space="preserve">Системные атрибуты</w:t>
      </w:r>
      <w:r>
        <w:t xml:space="preserve">»</w:t>
      </w:r>
      <w:r>
        <w:t xml:space="preserve">;</w:t>
      </w:r>
      <w:r/>
    </w:p>
    <w:p>
      <w:pPr>
        <w:pStyle w:val="985"/>
      </w:pPr>
      <w:r>
        <w:t xml:space="preserve">«</w:t>
      </w:r>
      <w:r>
        <w:t xml:space="preserve">Системные атрибуты</w:t>
      </w:r>
      <w:r>
        <w:t xml:space="preserve">»</w:t>
      </w:r>
      <w:r>
        <w:t xml:space="preserve">;</w:t>
      </w:r>
      <w:r/>
    </w:p>
    <w:p>
      <w:pPr>
        <w:pStyle w:val="985"/>
      </w:pPr>
      <w:r>
        <w:t xml:space="preserve">«</w:t>
      </w:r>
      <w:r>
        <w:t xml:space="preserve">Протоколы</w:t>
      </w:r>
      <w:r>
        <w:t xml:space="preserve">»</w:t>
      </w:r>
      <w:r>
        <w:t xml:space="preserve">.</w:t>
      </w:r>
      <w:r/>
    </w:p>
    <w:p>
      <w:pPr>
        <w:pStyle w:val="982"/>
      </w:pPr>
      <w:r>
        <mc:AlternateContent>
          <mc:Choice Requires="wpg">
            <w:drawing>
              <wp:inline xmlns:wp="http://schemas.openxmlformats.org/drawingml/2006/wordprocessingDrawing" distT="0" distB="0" distL="0" distR="0">
                <wp:extent cx="6126480" cy="4206240"/>
                <wp:effectExtent l="0" t="0" r="0" b="0"/>
                <wp:docPr id="33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94"/>
                        <a:stretch/>
                      </pic:blipFill>
                      <pic:spPr bwMode="auto">
                        <a:xfrm>
                          <a:off x="0" y="0"/>
                          <a:ext cx="6126480" cy="42062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0" o:spid="_x0000_s330" type="#_x0000_t75" style="mso-wrap-distance-left:0.0pt;mso-wrap-distance-top:0.0pt;mso-wrap-distance-right:0.0pt;mso-wrap-distance-bottom:0.0pt;width:482.4pt;height:331.2pt;" stroked="f">
                <v:path textboxrect="0,0,0,0"/>
                <v:imagedata r:id="rId294" o:title=""/>
              </v:shape>
            </w:pict>
          </mc:Fallback>
        </mc:AlternateContent>
      </w:r>
      <w:r/>
    </w:p>
    <w:p>
      <w:pPr>
        <w:pStyle w:val="983"/>
      </w:pPr>
      <w:r>
        <w:fldChar w:fldCharType="begin"/>
      </w:r>
      <w:r>
        <w:instrText xml:space="preserve"> SEQ Рисунок \* ARABIC </w:instrText>
      </w:r>
      <w:r>
        <w:fldChar w:fldCharType="separate"/>
      </w:r>
      <w:bookmarkStart w:id="1543" w:name="_Ref233116328"/>
      <w:r/>
      <w:bookmarkStart w:id="1544" w:name="_Toc88819604"/>
      <w:r>
        <w:t xml:space="preserve">219</w:t>
      </w:r>
      <w:bookmarkEnd w:id="1543"/>
      <w:r>
        <w:fldChar w:fldCharType="end"/>
      </w:r>
      <w:r>
        <w:t xml:space="preserve">. ЭФ </w:t>
      </w:r>
      <w:r>
        <w:t xml:space="preserve">«</w:t>
      </w:r>
      <w:r>
        <w:t xml:space="preserve">Сервисный документ доставки типа отчета</w:t>
      </w:r>
      <w:r>
        <w:t xml:space="preserve">», закладки «</w:t>
      </w:r>
      <w:r>
        <w:t xml:space="preserve">Основные атрибуты</w:t>
      </w:r>
      <w:r>
        <w:t xml:space="preserve">»</w:t>
      </w:r>
      <w:bookmarkEnd w:id="1544"/>
      <w:r/>
      <w:r/>
    </w:p>
    <w:p>
      <w:pPr>
        <w:pStyle w:val="994"/>
      </w:pPr>
      <w:r>
        <w:t xml:space="preserve">Перечень полей документа </w:t>
      </w:r>
      <w:r>
        <w:t xml:space="preserve">«Периодические отчеты</w:t>
      </w:r>
      <w:r>
        <w:t xml:space="preserve">», закладки «</w:t>
      </w:r>
      <w:r>
        <w:t xml:space="preserve">Основные атрибуты</w:t>
      </w:r>
      <w:r>
        <w:t xml:space="preserve">»</w:t>
      </w:r>
      <w:r>
        <w:t xml:space="preserve"> приведен в та</w:t>
      </w:r>
      <w:r>
        <w:t xml:space="preserve">б</w:t>
      </w:r>
      <w:r>
        <w:t xml:space="preserve">лице</w:t>
      </w:r>
      <w:r>
        <w:t xml:space="preserve"> </w:t>
      </w:r>
      <w:r>
        <w:fldChar w:fldCharType="begin"/>
      </w:r>
      <w:r>
        <w:instrText xml:space="preserve"> REF _Ref434263789 \h </w:instrText>
      </w:r>
      <w:r>
        <w:fldChar w:fldCharType="separate"/>
      </w:r>
      <w:r>
        <w:t xml:space="preserve">119</w:t>
      </w:r>
      <w:r>
        <w:fldChar w:fldCharType="end"/>
      </w:r>
      <w:r>
        <w:t xml:space="preserve">. Значения полей передаются из </w:t>
      </w:r>
      <w:r>
        <w:t xml:space="preserve">OEBS</w:t>
      </w:r>
      <w:r>
        <w:t xml:space="preserve"> и недоступны для редактир</w:t>
      </w:r>
      <w:r>
        <w:t xml:space="preserve">о</w:t>
      </w:r>
      <w:r>
        <w:t xml:space="preserve">вания.</w:t>
      </w:r>
      <w:r/>
    </w:p>
    <w:p>
      <w:pPr>
        <w:pStyle w:val="993"/>
      </w:pPr>
      <w:r>
        <w:fldChar w:fldCharType="begin"/>
      </w:r>
      <w:r>
        <w:instrText xml:space="preserve"> SEQ Таблица \* ARABIC </w:instrText>
      </w:r>
      <w:r>
        <w:fldChar w:fldCharType="separate"/>
      </w:r>
      <w:bookmarkStart w:id="1545" w:name="_Ref434263789"/>
      <w:r/>
      <w:bookmarkStart w:id="1546" w:name="_Toc88819306"/>
      <w:r>
        <w:t xml:space="preserve">119</w:t>
      </w:r>
      <w:bookmarkEnd w:id="1545"/>
      <w:r>
        <w:fldChar w:fldCharType="end"/>
      </w:r>
      <w:r>
        <w:t xml:space="preserve">. Описание полей документа </w:t>
      </w:r>
      <w:r>
        <w:t xml:space="preserve">«Периодические отчеты</w:t>
      </w:r>
      <w:r>
        <w:t xml:space="preserve">», закладки «</w:t>
      </w:r>
      <w:r>
        <w:t xml:space="preserve">О</w:t>
      </w:r>
      <w:r>
        <w:t xml:space="preserve">с</w:t>
      </w:r>
      <w:r>
        <w:t xml:space="preserve">новные атриб</w:t>
      </w:r>
      <w:r>
        <w:t xml:space="preserve">у</w:t>
      </w:r>
      <w:r>
        <w:t xml:space="preserve">ты</w:t>
      </w:r>
      <w:r>
        <w:t xml:space="preserve">»</w:t>
      </w:r>
      <w:bookmarkEnd w:id="1546"/>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4026"/>
        <w:gridCol w:w="5726"/>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06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936" w:type="pct"/>
            <w:vAlign w:val="center"/>
            <w:textDirection w:val="lrTb"/>
            <w:noWrap w:val="false"/>
          </w:tcPr>
          <w:p>
            <w:pPr>
              <w:pStyle w:val="1006"/>
            </w:pPr>
            <w:r>
              <w:t xml:space="preserve">Описание поля</w:t>
            </w:r>
            <w:r/>
          </w:p>
        </w:tc>
      </w:tr>
      <w:tr>
        <w:trPr/>
        <w:tc>
          <w:tcPr>
            <w:shd w:val="clear" w:fill="auto" w:color="auto"/>
            <w:tcW w:w="2064" w:type="pct"/>
            <w:textDirection w:val="lrTb"/>
            <w:noWrap w:val="false"/>
          </w:tcPr>
          <w:p>
            <w:pPr>
              <w:pStyle w:val="1005"/>
              <w:ind w:left="57" w:right="57"/>
            </w:pPr>
            <w:r>
              <w:t xml:space="preserve">Отчетная дата</w:t>
            </w:r>
            <w:r/>
          </w:p>
        </w:tc>
        <w:tc>
          <w:tcPr>
            <w:shd w:val="clear" w:fill="auto" w:color="auto"/>
            <w:tcW w:w="2936" w:type="pct"/>
            <w:textDirection w:val="lrTb"/>
            <w:noWrap w:val="false"/>
          </w:tcPr>
          <w:p>
            <w:pPr>
              <w:pStyle w:val="1005"/>
              <w:ind w:left="57" w:right="57"/>
            </w:pPr>
            <w:r>
              <w:t xml:space="preserve">Отчетная дата</w:t>
            </w:r>
            <w:r>
              <w:t xml:space="preserve">.</w:t>
            </w:r>
            <w:r/>
          </w:p>
        </w:tc>
      </w:tr>
      <w:tr>
        <w:trPr/>
        <w:tc>
          <w:tcPr>
            <w:shd w:val="clear" w:fill="auto" w:color="auto"/>
            <w:tcW w:w="2064" w:type="pct"/>
            <w:textDirection w:val="lrTb"/>
            <w:noWrap w:val="false"/>
          </w:tcPr>
          <w:p>
            <w:pPr>
              <w:pStyle w:val="1005"/>
              <w:ind w:left="57" w:right="57"/>
            </w:pPr>
            <w:r>
              <w:t xml:space="preserve">Тип периода</w:t>
            </w:r>
            <w:r/>
          </w:p>
        </w:tc>
        <w:tc>
          <w:tcPr>
            <w:shd w:val="clear" w:fill="auto" w:color="auto"/>
            <w:tcW w:w="2936" w:type="pct"/>
            <w:textDirection w:val="lrTb"/>
            <w:noWrap w:val="false"/>
          </w:tcPr>
          <w:p>
            <w:pPr>
              <w:pStyle w:val="1005"/>
              <w:ind w:left="57" w:right="57"/>
            </w:pPr>
            <w:r>
              <w:t xml:space="preserve">Код и наименование </w:t>
            </w:r>
            <w:r>
              <w:t xml:space="preserve">типа периода</w:t>
            </w:r>
            <w:r>
              <w:t xml:space="preserve"> отчета.</w:t>
            </w:r>
            <w:r/>
          </w:p>
        </w:tc>
      </w:tr>
      <w:tr>
        <w:trPr/>
        <w:tc>
          <w:tcPr>
            <w:shd w:val="clear" w:fill="auto" w:color="auto"/>
            <w:tcW w:w="2064" w:type="pct"/>
            <w:textDirection w:val="lrTb"/>
            <w:noWrap w:val="false"/>
          </w:tcPr>
          <w:p>
            <w:pPr>
              <w:pStyle w:val="1005"/>
              <w:ind w:left="57" w:right="57"/>
            </w:pPr>
            <w:r>
              <w:t xml:space="preserve">Бюджет</w:t>
            </w:r>
            <w:r/>
          </w:p>
        </w:tc>
        <w:tc>
          <w:tcPr>
            <w:shd w:val="clear" w:fill="auto" w:color="auto"/>
            <w:tcW w:w="2936" w:type="pct"/>
            <w:textDirection w:val="lrTb"/>
            <w:noWrap w:val="false"/>
          </w:tcPr>
          <w:p>
            <w:pPr>
              <w:pStyle w:val="1005"/>
              <w:ind w:left="57" w:right="57"/>
            </w:pPr>
            <w:r>
              <w:t xml:space="preserve">Код </w:t>
            </w:r>
            <w:r>
              <w:t xml:space="preserve">и наименование </w:t>
            </w:r>
            <w:r>
              <w:t xml:space="preserve">бюджета.</w:t>
            </w:r>
            <w:r/>
          </w:p>
        </w:tc>
      </w:tr>
      <w:tr>
        <w:trPr/>
        <w:tc>
          <w:tcPr>
            <w:shd w:val="clear" w:fill="auto" w:color="auto"/>
            <w:tcW w:w="2064" w:type="pct"/>
            <w:textDirection w:val="lrTb"/>
            <w:noWrap w:val="false"/>
          </w:tcPr>
          <w:p>
            <w:pPr>
              <w:pStyle w:val="1005"/>
              <w:ind w:left="57" w:right="57"/>
            </w:pPr>
            <w:r>
              <w:t xml:space="preserve">Финансовый год</w:t>
            </w:r>
            <w:r/>
          </w:p>
        </w:tc>
        <w:tc>
          <w:tcPr>
            <w:shd w:val="clear" w:fill="auto" w:color="auto"/>
            <w:tcW w:w="2936" w:type="pct"/>
            <w:textDirection w:val="lrTb"/>
            <w:noWrap w:val="false"/>
          </w:tcPr>
          <w:p>
            <w:pPr>
              <w:pStyle w:val="1005"/>
              <w:ind w:left="57" w:right="57"/>
            </w:pPr>
            <w:r>
              <w:t xml:space="preserve">Финансовый год.</w:t>
            </w:r>
            <w:r/>
          </w:p>
        </w:tc>
      </w:tr>
      <w:tr>
        <w:trPr/>
        <w:tc>
          <w:tcPr>
            <w:shd w:val="clear" w:fill="auto" w:color="auto"/>
            <w:tcW w:w="2064" w:type="pct"/>
            <w:textDirection w:val="lrTb"/>
            <w:noWrap w:val="false"/>
          </w:tcPr>
          <w:p>
            <w:pPr>
              <w:pStyle w:val="1005"/>
              <w:ind w:left="57" w:right="57"/>
            </w:pPr>
            <w:r>
              <w:t xml:space="preserve">Регистрационный номер</w:t>
            </w:r>
            <w:r/>
          </w:p>
        </w:tc>
        <w:tc>
          <w:tcPr>
            <w:shd w:val="clear" w:fill="auto" w:color="auto"/>
            <w:tcW w:w="2936" w:type="pct"/>
            <w:textDirection w:val="lrTb"/>
            <w:noWrap w:val="false"/>
          </w:tcPr>
          <w:p>
            <w:pPr>
              <w:pStyle w:val="1005"/>
              <w:ind w:left="57" w:right="57"/>
            </w:pPr>
            <w:r>
              <w:t xml:space="preserve">Регистрационный номер.</w:t>
            </w:r>
            <w:r/>
          </w:p>
        </w:tc>
      </w:tr>
      <w:tr>
        <w:trPr/>
        <w:tc>
          <w:tcPr>
            <w:shd w:val="clear" w:fill="auto" w:color="auto"/>
            <w:tcW w:w="2064" w:type="pct"/>
            <w:textDirection w:val="lrTb"/>
            <w:noWrap w:val="false"/>
          </w:tcPr>
          <w:p>
            <w:pPr>
              <w:pStyle w:val="1005"/>
              <w:ind w:left="57" w:right="57"/>
            </w:pPr>
            <w:r>
              <w:t xml:space="preserve">Номер д</w:t>
            </w:r>
            <w:r>
              <w:t xml:space="preserve">окумента</w:t>
            </w:r>
            <w:r/>
          </w:p>
        </w:tc>
        <w:tc>
          <w:tcPr>
            <w:shd w:val="clear" w:fill="auto" w:color="auto"/>
            <w:tcW w:w="2936" w:type="pct"/>
            <w:textDirection w:val="lrTb"/>
            <w:noWrap w:val="false"/>
          </w:tcPr>
          <w:p>
            <w:pPr>
              <w:pStyle w:val="1005"/>
              <w:ind w:left="57" w:right="57"/>
            </w:pPr>
            <w:r>
              <w:t xml:space="preserve">Номер </w:t>
            </w:r>
            <w:r>
              <w:t xml:space="preserve">документа.</w:t>
            </w:r>
            <w:r/>
          </w:p>
        </w:tc>
      </w:tr>
      <w:tr>
        <w:trPr/>
        <w:tc>
          <w:tcPr>
            <w:shd w:val="clear" w:fill="auto" w:color="auto"/>
            <w:tcW w:w="2064" w:type="pct"/>
            <w:textDirection w:val="lrTb"/>
            <w:noWrap w:val="false"/>
          </w:tcPr>
          <w:p>
            <w:pPr>
              <w:pStyle w:val="1005"/>
              <w:ind w:left="57" w:right="57"/>
            </w:pPr>
            <w:r>
              <w:t xml:space="preserve">Дата документ</w:t>
            </w:r>
            <w:r/>
          </w:p>
        </w:tc>
        <w:tc>
          <w:tcPr>
            <w:shd w:val="clear" w:fill="auto" w:color="auto"/>
            <w:tcW w:w="2936" w:type="pct"/>
            <w:textDirection w:val="lrTb"/>
            <w:noWrap w:val="false"/>
          </w:tcPr>
          <w:p>
            <w:pPr>
              <w:pStyle w:val="1005"/>
              <w:ind w:left="57" w:right="57"/>
            </w:pPr>
            <w:r>
              <w:t xml:space="preserve">Дата документа.</w:t>
            </w:r>
            <w:r/>
          </w:p>
        </w:tc>
      </w:tr>
      <w:tr>
        <w:trPr/>
        <w:tc>
          <w:tcPr>
            <w:shd w:val="clear" w:fill="auto" w:color="auto"/>
            <w:tcW w:w="2064" w:type="pct"/>
            <w:textDirection w:val="lrTb"/>
            <w:noWrap w:val="false"/>
          </w:tcPr>
          <w:p>
            <w:pPr>
              <w:pStyle w:val="1005"/>
              <w:ind w:left="57" w:right="57"/>
            </w:pPr>
            <w:r>
              <w:t xml:space="preserve">Тип источника</w:t>
            </w:r>
            <w:r/>
          </w:p>
        </w:tc>
        <w:tc>
          <w:tcPr>
            <w:shd w:val="clear" w:fill="auto" w:color="auto"/>
            <w:tcW w:w="2936" w:type="pct"/>
            <w:textDirection w:val="lrTb"/>
            <w:noWrap w:val="false"/>
          </w:tcPr>
          <w:p>
            <w:pPr>
              <w:pStyle w:val="1005"/>
              <w:ind w:left="57" w:right="57"/>
            </w:pPr>
            <w:r>
              <w:t xml:space="preserve">Тип источника.</w:t>
            </w:r>
            <w:r/>
          </w:p>
        </w:tc>
      </w:tr>
      <w:tr>
        <w:trPr/>
        <w:tc>
          <w:tcPr>
            <w:shd w:val="clear" w:fill="auto" w:color="auto"/>
            <w:tcW w:w="2064" w:type="pct"/>
            <w:textDirection w:val="lrTb"/>
            <w:noWrap w:val="false"/>
          </w:tcPr>
          <w:p>
            <w:pPr>
              <w:pStyle w:val="1005"/>
              <w:ind w:left="57" w:right="57"/>
            </w:pPr>
            <w:r>
              <w:t xml:space="preserve">Код источника</w:t>
            </w:r>
            <w:r/>
          </w:p>
        </w:tc>
        <w:tc>
          <w:tcPr>
            <w:shd w:val="clear" w:fill="auto" w:color="auto"/>
            <w:tcW w:w="2936" w:type="pct"/>
            <w:textDirection w:val="lrTb"/>
            <w:noWrap w:val="false"/>
          </w:tcPr>
          <w:p>
            <w:pPr>
              <w:pStyle w:val="1005"/>
              <w:ind w:left="57" w:right="57"/>
            </w:pPr>
            <w:r>
              <w:t xml:space="preserve">Код источника.</w:t>
            </w:r>
            <w:r/>
          </w:p>
        </w:tc>
      </w:tr>
      <w:tr>
        <w:trPr/>
        <w:tc>
          <w:tcPr>
            <w:shd w:val="clear" w:fill="auto" w:color="auto"/>
            <w:tcW w:w="2064" w:type="pct"/>
            <w:textDirection w:val="lrTb"/>
            <w:noWrap w:val="false"/>
          </w:tcPr>
          <w:p>
            <w:pPr>
              <w:pStyle w:val="1005"/>
              <w:ind w:left="57" w:right="57"/>
            </w:pPr>
            <w:r>
              <w:t xml:space="preserve">Наименование </w:t>
            </w:r>
            <w:r>
              <w:t xml:space="preserve">источника</w:t>
            </w:r>
            <w:r/>
          </w:p>
        </w:tc>
        <w:tc>
          <w:tcPr>
            <w:shd w:val="clear" w:fill="auto" w:color="auto"/>
            <w:tcW w:w="2936" w:type="pct"/>
            <w:textDirection w:val="lrTb"/>
            <w:noWrap w:val="false"/>
          </w:tcPr>
          <w:p>
            <w:pPr>
              <w:pStyle w:val="1005"/>
              <w:ind w:left="57" w:right="57"/>
            </w:pPr>
            <w:r>
              <w:t xml:space="preserve">Наименование </w:t>
            </w:r>
            <w:r>
              <w:t xml:space="preserve">источника</w:t>
            </w:r>
            <w:r>
              <w:t xml:space="preserve">.</w:t>
            </w:r>
            <w:r/>
          </w:p>
        </w:tc>
      </w:tr>
      <w:tr>
        <w:trPr/>
        <w:tc>
          <w:tcPr>
            <w:shd w:val="clear" w:fill="auto" w:color="auto"/>
            <w:tcW w:w="2064" w:type="pct"/>
            <w:textDirection w:val="lrTb"/>
            <w:noWrap w:val="false"/>
          </w:tcPr>
          <w:p>
            <w:pPr>
              <w:pStyle w:val="1005"/>
              <w:ind w:left="57" w:right="57"/>
            </w:pPr>
            <w:r>
              <w:t xml:space="preserve">Код ОКПО</w:t>
            </w:r>
            <w:r/>
          </w:p>
        </w:tc>
        <w:tc>
          <w:tcPr>
            <w:shd w:val="clear" w:fill="auto" w:color="auto"/>
            <w:tcW w:w="2936" w:type="pct"/>
            <w:textDirection w:val="lrTb"/>
            <w:noWrap w:val="false"/>
          </w:tcPr>
          <w:p>
            <w:pPr>
              <w:pStyle w:val="1005"/>
              <w:ind w:left="57" w:right="57"/>
            </w:pPr>
            <w:r>
              <w:t xml:space="preserve">Код ОКПО.</w:t>
            </w:r>
            <w:r/>
          </w:p>
        </w:tc>
      </w:tr>
      <w:tr>
        <w:trPr/>
        <w:tc>
          <w:tcPr>
            <w:shd w:val="clear" w:fill="auto" w:color="auto"/>
            <w:tcW w:w="2064" w:type="pct"/>
            <w:textDirection w:val="lrTb"/>
            <w:noWrap w:val="false"/>
          </w:tcPr>
          <w:p>
            <w:pPr>
              <w:pStyle w:val="1005"/>
              <w:ind w:left="57" w:right="57"/>
            </w:pPr>
            <w:r>
              <w:t xml:space="preserve">Бизнес код формы</w:t>
            </w:r>
            <w:r/>
          </w:p>
        </w:tc>
        <w:tc>
          <w:tcPr>
            <w:shd w:val="clear" w:fill="auto" w:color="auto"/>
            <w:tcW w:w="2936" w:type="pct"/>
            <w:textDirection w:val="lrTb"/>
            <w:noWrap w:val="false"/>
          </w:tcPr>
          <w:p>
            <w:pPr>
              <w:pStyle w:val="1005"/>
              <w:ind w:left="57" w:right="57"/>
            </w:pPr>
            <w:r>
              <w:t xml:space="preserve">Бизнес код формы.</w:t>
            </w:r>
            <w:r/>
          </w:p>
        </w:tc>
      </w:tr>
      <w:tr>
        <w:trPr/>
        <w:tc>
          <w:tcPr>
            <w:shd w:val="clear" w:fill="auto" w:color="auto"/>
            <w:tcW w:w="2064" w:type="pct"/>
            <w:textDirection w:val="lrTb"/>
            <w:noWrap w:val="false"/>
          </w:tcPr>
          <w:p>
            <w:pPr>
              <w:pStyle w:val="1005"/>
              <w:ind w:left="57" w:right="57"/>
            </w:pPr>
            <w:r>
              <w:t xml:space="preserve">Код ОКАТО</w:t>
            </w:r>
            <w:r/>
          </w:p>
        </w:tc>
        <w:tc>
          <w:tcPr>
            <w:shd w:val="clear" w:fill="auto" w:color="auto"/>
            <w:tcW w:w="2936" w:type="pct"/>
            <w:textDirection w:val="lrTb"/>
            <w:noWrap w:val="false"/>
          </w:tcPr>
          <w:p>
            <w:pPr>
              <w:pStyle w:val="1005"/>
              <w:ind w:left="57" w:right="57"/>
            </w:pPr>
            <w:r>
              <w:t xml:space="preserve">Код и наименование ОКАТО.</w:t>
            </w:r>
            <w:r/>
          </w:p>
        </w:tc>
      </w:tr>
      <w:tr>
        <w:trPr/>
        <w:tc>
          <w:tcPr>
            <w:shd w:val="clear" w:fill="auto" w:color="auto"/>
            <w:tcW w:w="2064" w:type="pct"/>
            <w:textDirection w:val="lrTb"/>
            <w:noWrap w:val="false"/>
          </w:tcPr>
          <w:p>
            <w:pPr>
              <w:pStyle w:val="1005"/>
              <w:ind w:left="57" w:right="57"/>
            </w:pPr>
            <w:r>
              <w:t xml:space="preserve">Получатель</w:t>
            </w:r>
            <w:r/>
          </w:p>
        </w:tc>
        <w:tc>
          <w:tcPr>
            <w:shd w:val="clear" w:fill="auto" w:color="auto"/>
            <w:tcW w:w="2936" w:type="pct"/>
            <w:textDirection w:val="lrTb"/>
            <w:noWrap w:val="false"/>
          </w:tcPr>
          <w:p>
            <w:pPr>
              <w:pStyle w:val="1005"/>
              <w:ind w:left="57" w:right="57"/>
            </w:pPr>
            <w:r>
              <w:t xml:space="preserve">Код и наименование получателя.</w:t>
            </w:r>
            <w:r/>
          </w:p>
        </w:tc>
      </w:tr>
      <w:tr>
        <w:trPr/>
        <w:tc>
          <w:tcPr>
            <w:shd w:val="clear" w:fill="auto" w:color="auto"/>
            <w:tcW w:w="2064" w:type="pct"/>
            <w:textDirection w:val="lrTb"/>
            <w:noWrap w:val="false"/>
          </w:tcPr>
          <w:p>
            <w:pPr>
              <w:pStyle w:val="1005"/>
              <w:ind w:left="57" w:right="57"/>
            </w:pPr>
            <w:r>
              <w:t xml:space="preserve">Код главы</w:t>
            </w:r>
            <w:r/>
          </w:p>
        </w:tc>
        <w:tc>
          <w:tcPr>
            <w:shd w:val="clear" w:fill="auto" w:color="auto"/>
            <w:tcW w:w="2936" w:type="pct"/>
            <w:textDirection w:val="lrTb"/>
            <w:noWrap w:val="false"/>
          </w:tcPr>
          <w:p>
            <w:pPr>
              <w:pStyle w:val="1005"/>
              <w:ind w:left="57" w:right="57"/>
            </w:pPr>
            <w:r>
              <w:t xml:space="preserve">Код и наименование главы.</w:t>
            </w:r>
            <w:r/>
          </w:p>
        </w:tc>
      </w:tr>
      <w:tr>
        <w:trPr/>
        <w:tc>
          <w:tcPr>
            <w:shd w:val="clear" w:fill="auto" w:color="auto"/>
            <w:tcW w:w="2064" w:type="pct"/>
            <w:textDirection w:val="lrTb"/>
            <w:noWrap w:val="false"/>
          </w:tcPr>
          <w:p>
            <w:pPr>
              <w:pStyle w:val="1005"/>
              <w:ind w:left="57" w:right="57"/>
            </w:pPr>
            <w:r>
              <w:t xml:space="preserve">Контур</w:t>
            </w:r>
            <w:r/>
          </w:p>
        </w:tc>
        <w:tc>
          <w:tcPr>
            <w:shd w:val="clear" w:fill="auto" w:color="auto"/>
            <w:tcW w:w="2936" w:type="pct"/>
            <w:textDirection w:val="lrTb"/>
            <w:noWrap w:val="false"/>
          </w:tcPr>
          <w:p>
            <w:pPr>
              <w:pStyle w:val="1005"/>
              <w:ind w:left="57" w:right="57"/>
            </w:pPr>
            <w:r>
              <w:t xml:space="preserve">Контур, из которого поступил документ.</w:t>
            </w:r>
            <w:r/>
          </w:p>
        </w:tc>
      </w:tr>
      <w:tr>
        <w:trPr/>
        <w:tc>
          <w:tcPr>
            <w:shd w:val="clear" w:fill="auto" w:color="auto"/>
            <w:tcW w:w="2064" w:type="pct"/>
            <w:textDirection w:val="lrTb"/>
            <w:noWrap w:val="false"/>
          </w:tcPr>
          <w:p>
            <w:pPr>
              <w:pStyle w:val="1005"/>
              <w:ind w:left="57" w:right="57"/>
            </w:pPr>
            <w:r>
              <w:t xml:space="preserve">Дата начала</w:t>
            </w:r>
            <w:r/>
          </w:p>
        </w:tc>
        <w:tc>
          <w:tcPr>
            <w:shd w:val="clear" w:fill="auto" w:color="auto"/>
            <w:tcW w:w="2936" w:type="pct"/>
            <w:textDirection w:val="lrTb"/>
            <w:noWrap w:val="false"/>
          </w:tcPr>
          <w:p>
            <w:pPr>
              <w:pStyle w:val="1005"/>
              <w:ind w:left="57" w:right="57"/>
            </w:pPr>
            <w:r>
              <w:t xml:space="preserve">Дата начала.</w:t>
            </w:r>
            <w:r/>
          </w:p>
        </w:tc>
      </w:tr>
      <w:tr>
        <w:trPr/>
        <w:tc>
          <w:tcPr>
            <w:shd w:val="clear" w:fill="auto" w:color="auto"/>
            <w:tcW w:w="2064" w:type="pct"/>
            <w:textDirection w:val="lrTb"/>
            <w:noWrap w:val="false"/>
          </w:tcPr>
          <w:p>
            <w:pPr>
              <w:pStyle w:val="1005"/>
              <w:ind w:left="57" w:right="57"/>
            </w:pPr>
            <w:r>
              <w:t xml:space="preserve">Дата </w:t>
            </w:r>
            <w:r>
              <w:t xml:space="preserve">конца</w:t>
            </w:r>
            <w:r/>
          </w:p>
        </w:tc>
        <w:tc>
          <w:tcPr>
            <w:shd w:val="clear" w:fill="auto" w:color="auto"/>
            <w:tcW w:w="2936" w:type="pct"/>
            <w:textDirection w:val="lrTb"/>
            <w:noWrap w:val="false"/>
          </w:tcPr>
          <w:p>
            <w:pPr>
              <w:pStyle w:val="1005"/>
              <w:ind w:left="57" w:right="57"/>
            </w:pPr>
            <w:r>
              <w:t xml:space="preserve">Дата </w:t>
            </w:r>
            <w:r>
              <w:t xml:space="preserve">конца</w:t>
            </w:r>
            <w:r>
              <w:t xml:space="preserve">.</w:t>
            </w:r>
            <w:r/>
          </w:p>
        </w:tc>
      </w:tr>
      <w:tr>
        <w:trPr/>
        <w:tc>
          <w:tcPr>
            <w:shd w:val="clear" w:fill="auto" w:color="auto"/>
            <w:tcW w:w="2064" w:type="pct"/>
            <w:textDirection w:val="lrTb"/>
            <w:noWrap w:val="false"/>
          </w:tcPr>
          <w:p>
            <w:pPr>
              <w:pStyle w:val="1005"/>
              <w:ind w:left="57" w:right="57"/>
            </w:pPr>
            <w:r>
              <w:t xml:space="preserve">Наименование файла Авиакомпа</w:t>
            </w:r>
            <w:r/>
          </w:p>
        </w:tc>
        <w:tc>
          <w:tcPr>
            <w:shd w:val="clear" w:fill="auto" w:color="auto"/>
            <w:tcW w:w="2936" w:type="pct"/>
            <w:textDirection w:val="lrTb"/>
            <w:noWrap w:val="false"/>
          </w:tcPr>
          <w:p>
            <w:pPr>
              <w:pStyle w:val="1005"/>
              <w:ind w:left="57" w:right="57"/>
            </w:pPr>
            <w:r>
              <w:t xml:space="preserve">Наименование файла Авиакомпа</w:t>
            </w:r>
            <w:r>
              <w:t xml:space="preserve">.</w:t>
            </w:r>
            <w:r/>
          </w:p>
        </w:tc>
      </w:tr>
    </w:tbl>
    <w:p>
      <w:pPr>
        <w:pStyle w:val="994"/>
      </w:pPr>
      <w:r>
        <w:t xml:space="preserve">ЭФ документа </w:t>
      </w:r>
      <w:r>
        <w:t xml:space="preserve">«Периодические отчеты</w:t>
      </w:r>
      <w:r>
        <w:t xml:space="preserve">», закладки «</w:t>
      </w:r>
      <w:r>
        <w:t xml:space="preserve">Системные атрибуты»</w:t>
      </w:r>
      <w:r>
        <w:t xml:space="preserve"> представл</w:t>
      </w:r>
      <w:r>
        <w:t xml:space="preserve">е</w:t>
      </w:r>
      <w:r>
        <w:t xml:space="preserve">на на рисунке </w:t>
      </w:r>
      <w:r>
        <w:fldChar w:fldCharType="begin"/>
      </w:r>
      <w:r>
        <w:instrText xml:space="preserve"> REF _Ref233116330 \h </w:instrText>
      </w:r>
      <w:r>
        <w:fldChar w:fldCharType="separate"/>
      </w:r>
      <w:r>
        <w:t xml:space="preserve">220</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2293620"/>
                <wp:effectExtent l="0" t="0" r="0" b="0"/>
                <wp:docPr id="33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95"/>
                        <a:stretch/>
                      </pic:blipFill>
                      <pic:spPr bwMode="auto">
                        <a:xfrm>
                          <a:off x="0" y="0"/>
                          <a:ext cx="6118860" cy="22936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1" o:spid="_x0000_s331" type="#_x0000_t75" style="mso-wrap-distance-left:0.0pt;mso-wrap-distance-top:0.0pt;mso-wrap-distance-right:0.0pt;mso-wrap-distance-bottom:0.0pt;width:481.8pt;height:180.6pt;" stroked="f">
                <v:path textboxrect="0,0,0,0"/>
                <v:imagedata r:id="rId295" o:title=""/>
              </v:shape>
            </w:pict>
          </mc:Fallback>
        </mc:AlternateContent>
      </w:r>
      <w:r/>
    </w:p>
    <w:p>
      <w:pPr>
        <w:pStyle w:val="983"/>
      </w:pPr>
      <w:r>
        <w:fldChar w:fldCharType="begin"/>
      </w:r>
      <w:r>
        <w:instrText xml:space="preserve"> SEQ Рисунок \* ARABIC </w:instrText>
      </w:r>
      <w:r>
        <w:fldChar w:fldCharType="separate"/>
      </w:r>
      <w:bookmarkStart w:id="1547" w:name="_Ref233116330"/>
      <w:r/>
      <w:bookmarkStart w:id="1548" w:name="_Toc88819605"/>
      <w:r>
        <w:t xml:space="preserve">220</w:t>
      </w:r>
      <w:bookmarkEnd w:id="1547"/>
      <w:r>
        <w:fldChar w:fldCharType="end"/>
      </w:r>
      <w:r>
        <w:t xml:space="preserve">. ЭФ </w:t>
      </w:r>
      <w:r>
        <w:t xml:space="preserve">«</w:t>
      </w:r>
      <w:r>
        <w:t xml:space="preserve">Сервисный документ доставки типа отчета</w:t>
      </w:r>
      <w:r>
        <w:t xml:space="preserve">», закладки «</w:t>
      </w:r>
      <w:r>
        <w:t xml:space="preserve">Системные</w:t>
      </w:r>
      <w:r>
        <w:t xml:space="preserve"> атрибуты</w:t>
      </w:r>
      <w:r>
        <w:t xml:space="preserve">»</w:t>
      </w:r>
      <w:bookmarkEnd w:id="1548"/>
      <w:r/>
      <w:r/>
    </w:p>
    <w:p>
      <w:pPr>
        <w:pStyle w:val="994"/>
      </w:pPr>
      <w:r>
        <w:t xml:space="preserve">Перечень полей документа </w:t>
      </w:r>
      <w:r>
        <w:t xml:space="preserve">«Периодические отчеты</w:t>
      </w:r>
      <w:r>
        <w:t xml:space="preserve">», закладки «</w:t>
      </w:r>
      <w:r>
        <w:t xml:space="preserve">Вложения</w:t>
      </w:r>
      <w:r>
        <w:t xml:space="preserve">»</w:t>
      </w:r>
      <w:r>
        <w:t xml:space="preserve"> приведен в таблице</w:t>
      </w:r>
      <w:r>
        <w:t xml:space="preserve"> </w:t>
      </w:r>
      <w:r>
        <w:fldChar w:fldCharType="begin"/>
      </w:r>
      <w:r>
        <w:instrText xml:space="preserve"> REF _Ref434263767 \h </w:instrText>
      </w:r>
      <w:r>
        <w:fldChar w:fldCharType="separate"/>
      </w:r>
      <w:r>
        <w:t xml:space="preserve">120</w:t>
      </w:r>
      <w:r>
        <w:fldChar w:fldCharType="end"/>
      </w:r>
      <w:r>
        <w:t xml:space="preserve">. Значения полей передаются из OEBS и недоступны для редактирования.</w:t>
      </w:r>
      <w:r/>
    </w:p>
    <w:p>
      <w:pPr>
        <w:pStyle w:val="993"/>
      </w:pPr>
      <w:r>
        <w:fldChar w:fldCharType="begin"/>
      </w:r>
      <w:r>
        <w:instrText xml:space="preserve"> SEQ Таблица \* ARABIC </w:instrText>
      </w:r>
      <w:r>
        <w:fldChar w:fldCharType="separate"/>
      </w:r>
      <w:bookmarkStart w:id="1549" w:name="_Ref434263767"/>
      <w:r/>
      <w:bookmarkStart w:id="1550" w:name="_Toc88819307"/>
      <w:r>
        <w:t xml:space="preserve">120</w:t>
      </w:r>
      <w:bookmarkEnd w:id="1549"/>
      <w:r>
        <w:fldChar w:fldCharType="end"/>
      </w:r>
      <w:r>
        <w:t xml:space="preserve">. Описание полей документа </w:t>
      </w:r>
      <w:r>
        <w:t xml:space="preserve">«Периодические отчеты</w:t>
      </w:r>
      <w:r>
        <w:t xml:space="preserve">», закладки «</w:t>
      </w:r>
      <w:r>
        <w:t xml:space="preserve">Системные атрибуты»</w:t>
      </w:r>
      <w:bookmarkEnd w:id="1550"/>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4026"/>
        <w:gridCol w:w="5726"/>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06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936" w:type="pct"/>
            <w:vAlign w:val="center"/>
            <w:textDirection w:val="lrTb"/>
            <w:noWrap w:val="false"/>
          </w:tcPr>
          <w:p>
            <w:pPr>
              <w:pStyle w:val="1006"/>
            </w:pPr>
            <w:r>
              <w:t xml:space="preserve">Описание поля</w:t>
            </w:r>
            <w:r/>
          </w:p>
        </w:tc>
      </w:tr>
      <w:tr>
        <w:trPr/>
        <w:tc>
          <w:tcPr>
            <w:shd w:val="clear" w:fill="auto" w:color="auto"/>
            <w:tcW w:w="2064" w:type="pct"/>
            <w:textDirection w:val="lrTb"/>
            <w:noWrap w:val="false"/>
          </w:tcPr>
          <w:p>
            <w:pPr>
              <w:pStyle w:val="1005"/>
              <w:ind w:left="57" w:right="57"/>
            </w:pPr>
            <w:r>
              <w:t xml:space="preserve">Бизнес-</w:t>
            </w:r>
            <w:r>
              <w:t xml:space="preserve">статус</w:t>
            </w:r>
            <w:r/>
          </w:p>
        </w:tc>
        <w:tc>
          <w:tcPr>
            <w:shd w:val="clear" w:fill="auto" w:color="auto"/>
            <w:tcW w:w="2936" w:type="pct"/>
            <w:textDirection w:val="lrTb"/>
            <w:noWrap w:val="false"/>
          </w:tcPr>
          <w:p>
            <w:pPr>
              <w:pStyle w:val="1005"/>
              <w:ind w:left="57" w:right="57"/>
            </w:pPr>
            <w:r>
              <w:t xml:space="preserve">Код и наименование бизнес-статуса отчета</w:t>
            </w:r>
            <w:r>
              <w:t xml:space="preserve">.</w:t>
            </w:r>
            <w:r/>
          </w:p>
        </w:tc>
      </w:tr>
      <w:tr>
        <w:trPr/>
        <w:tc>
          <w:tcPr>
            <w:shd w:val="clear" w:fill="auto" w:color="auto"/>
            <w:tcW w:w="2064" w:type="pct"/>
            <w:textDirection w:val="lrTb"/>
            <w:noWrap w:val="false"/>
          </w:tcPr>
          <w:p>
            <w:pPr>
              <w:pStyle w:val="1005"/>
              <w:ind w:left="57" w:right="57"/>
            </w:pPr>
            <w:r>
              <w:t xml:space="preserve">Комментарий</w:t>
            </w:r>
            <w:r/>
          </w:p>
        </w:tc>
        <w:tc>
          <w:tcPr>
            <w:shd w:val="clear" w:fill="auto" w:color="auto"/>
            <w:tcW w:w="2936" w:type="pct"/>
            <w:textDirection w:val="lrTb"/>
            <w:noWrap w:val="false"/>
          </w:tcPr>
          <w:p>
            <w:pPr>
              <w:pStyle w:val="1005"/>
              <w:ind w:left="57" w:right="57"/>
            </w:pPr>
            <w:r>
              <w:t xml:space="preserve">Комментарий</w:t>
            </w:r>
            <w:r>
              <w:t xml:space="preserve">.</w:t>
            </w:r>
            <w:r/>
          </w:p>
        </w:tc>
      </w:tr>
      <w:tr>
        <w:trPr/>
        <w:tc>
          <w:tcPr>
            <w:gridSpan w:val="2"/>
            <w:shd w:val="clear" w:fill="auto" w:color="auto"/>
            <w:tcW w:w="5000" w:type="pct"/>
            <w:textDirection w:val="lrTb"/>
            <w:noWrap w:val="false"/>
          </w:tcPr>
          <w:p>
            <w:pPr>
              <w:pStyle w:val="1005"/>
              <w:ind w:left="57" w:right="57"/>
            </w:pPr>
            <w:r>
              <w:t xml:space="preserve">Группа полей «Отправитель»</w:t>
            </w:r>
            <w:r/>
          </w:p>
        </w:tc>
      </w:tr>
      <w:tr>
        <w:trPr/>
        <w:tc>
          <w:tcPr>
            <w:shd w:val="clear" w:fill="auto" w:color="auto"/>
            <w:tcW w:w="2064" w:type="pct"/>
            <w:textDirection w:val="lrTb"/>
            <w:noWrap w:val="false"/>
          </w:tcPr>
          <w:p>
            <w:pPr>
              <w:pStyle w:val="1005"/>
              <w:ind w:left="57" w:right="57"/>
            </w:pPr>
            <w:r>
              <w:t xml:space="preserve">ТОФК</w:t>
            </w:r>
            <w:r/>
          </w:p>
        </w:tc>
        <w:tc>
          <w:tcPr>
            <w:shd w:val="clear" w:fill="auto" w:color="auto"/>
            <w:tcW w:w="2936" w:type="pct"/>
            <w:textDirection w:val="lrTb"/>
            <w:noWrap w:val="false"/>
          </w:tcPr>
          <w:p>
            <w:pPr>
              <w:pStyle w:val="1005"/>
              <w:ind w:left="57" w:right="57"/>
            </w:pPr>
            <w:r>
              <w:t xml:space="preserve">Код и наименование ТОФК отправителя.</w:t>
            </w:r>
            <w:r/>
          </w:p>
        </w:tc>
      </w:tr>
      <w:tr>
        <w:trPr/>
        <w:tc>
          <w:tcPr>
            <w:shd w:val="clear" w:fill="auto" w:color="auto"/>
            <w:tcW w:w="2064" w:type="pct"/>
            <w:textDirection w:val="lrTb"/>
            <w:noWrap w:val="false"/>
          </w:tcPr>
          <w:p>
            <w:pPr>
              <w:pStyle w:val="1005"/>
              <w:ind w:left="57" w:right="57"/>
            </w:pPr>
            <w:r>
              <w:t xml:space="preserve">Маска</w:t>
            </w:r>
            <w:r/>
          </w:p>
        </w:tc>
        <w:tc>
          <w:tcPr>
            <w:shd w:val="clear" w:fill="auto" w:color="auto"/>
            <w:tcW w:w="2936" w:type="pct"/>
            <w:textDirection w:val="lrTb"/>
            <w:noWrap w:val="false"/>
          </w:tcPr>
          <w:p>
            <w:pPr>
              <w:pStyle w:val="1005"/>
              <w:ind w:left="57" w:right="57"/>
            </w:pPr>
            <w:r>
              <w:t xml:space="preserve">Адресная маска отправителя</w:t>
            </w:r>
            <w:r>
              <w:t xml:space="preserve">.</w:t>
            </w:r>
            <w:r/>
          </w:p>
        </w:tc>
      </w:tr>
      <w:tr>
        <w:trPr/>
        <w:tc>
          <w:tcPr>
            <w:gridSpan w:val="2"/>
            <w:shd w:val="clear" w:fill="auto" w:color="auto"/>
            <w:tcW w:w="5000" w:type="pct"/>
            <w:textDirection w:val="lrTb"/>
            <w:noWrap w:val="false"/>
          </w:tcPr>
          <w:p>
            <w:pPr>
              <w:pStyle w:val="1005"/>
              <w:ind w:left="57" w:right="57"/>
            </w:pPr>
            <w:r>
              <w:t xml:space="preserve">Группа полей «Получатель»</w:t>
            </w:r>
            <w:r/>
          </w:p>
        </w:tc>
      </w:tr>
      <w:tr>
        <w:trPr/>
        <w:tc>
          <w:tcPr>
            <w:shd w:val="clear" w:fill="auto" w:color="auto"/>
            <w:tcW w:w="2064" w:type="pct"/>
            <w:textDirection w:val="lrTb"/>
            <w:noWrap w:val="false"/>
          </w:tcPr>
          <w:p>
            <w:pPr>
              <w:pStyle w:val="1005"/>
              <w:ind w:left="57" w:right="57"/>
            </w:pPr>
            <w:r>
              <w:t xml:space="preserve">ТОФК</w:t>
            </w:r>
            <w:r/>
          </w:p>
        </w:tc>
        <w:tc>
          <w:tcPr>
            <w:shd w:val="clear" w:fill="auto" w:color="auto"/>
            <w:tcW w:w="2936" w:type="pct"/>
            <w:textDirection w:val="lrTb"/>
            <w:noWrap w:val="false"/>
          </w:tcPr>
          <w:p>
            <w:pPr>
              <w:pStyle w:val="1005"/>
              <w:ind w:left="57" w:right="57"/>
            </w:pPr>
            <w:r>
              <w:t xml:space="preserve">Код и наименование ТОФК получателя.</w:t>
            </w:r>
            <w:r/>
          </w:p>
        </w:tc>
      </w:tr>
      <w:tr>
        <w:trPr/>
        <w:tc>
          <w:tcPr>
            <w:shd w:val="clear" w:fill="auto" w:color="auto"/>
            <w:tcW w:w="2064" w:type="pct"/>
            <w:textDirection w:val="lrTb"/>
            <w:noWrap w:val="false"/>
          </w:tcPr>
          <w:p>
            <w:pPr>
              <w:pStyle w:val="1005"/>
              <w:ind w:left="57" w:right="57"/>
            </w:pPr>
            <w:r>
              <w:t xml:space="preserve">Маска</w:t>
            </w:r>
            <w:r/>
          </w:p>
        </w:tc>
        <w:tc>
          <w:tcPr>
            <w:shd w:val="clear" w:fill="auto" w:color="auto"/>
            <w:tcW w:w="2936" w:type="pct"/>
            <w:textDirection w:val="lrTb"/>
            <w:noWrap w:val="false"/>
          </w:tcPr>
          <w:p>
            <w:pPr>
              <w:pStyle w:val="1005"/>
              <w:ind w:left="57" w:right="57"/>
            </w:pPr>
            <w:r>
              <w:t xml:space="preserve">Адресная маска получателя</w:t>
            </w:r>
            <w:r>
              <w:t xml:space="preserve">.</w:t>
            </w:r>
            <w:r/>
          </w:p>
        </w:tc>
      </w:tr>
    </w:tbl>
    <w:p>
      <w:pPr>
        <w:pStyle w:val="994"/>
      </w:pPr>
      <w:r>
        <w:t xml:space="preserve">ЭФ документа </w:t>
      </w:r>
      <w:r>
        <w:t xml:space="preserve">«Периодические отчеты</w:t>
      </w:r>
      <w:r>
        <w:t xml:space="preserve">», закладки «</w:t>
      </w:r>
      <w:r>
        <w:t xml:space="preserve">Системные атрибуты</w:t>
      </w:r>
      <w:r>
        <w:t xml:space="preserve">»</w:t>
      </w:r>
      <w:r>
        <w:t xml:space="preserve"> представл</w:t>
      </w:r>
      <w:r>
        <w:t xml:space="preserve">е</w:t>
      </w:r>
      <w:r>
        <w:t xml:space="preserve">на </w:t>
      </w:r>
      <w:r>
        <w:t xml:space="preserve">на </w:t>
      </w:r>
      <w:r>
        <w:t xml:space="preserve">рисунке </w:t>
      </w:r>
      <w:r>
        <w:fldChar w:fldCharType="begin"/>
      </w:r>
      <w:r>
        <w:instrText xml:space="preserve"> REF _Ref434263714 \h </w:instrText>
      </w:r>
      <w:r>
        <w:fldChar w:fldCharType="separate"/>
      </w:r>
      <w:r>
        <w:t xml:space="preserve">221</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1645920"/>
                <wp:effectExtent l="0" t="0" r="0" b="0"/>
                <wp:docPr id="33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96"/>
                        <a:stretch/>
                      </pic:blipFill>
                      <pic:spPr bwMode="auto">
                        <a:xfrm>
                          <a:off x="0" y="0"/>
                          <a:ext cx="6035039" cy="16459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2" o:spid="_x0000_s332" type="#_x0000_t75" style="mso-wrap-distance-left:0.0pt;mso-wrap-distance-top:0.0pt;mso-wrap-distance-right:0.0pt;mso-wrap-distance-bottom:0.0pt;width:475.2pt;height:129.6pt;" stroked="f">
                <v:path textboxrect="0,0,0,0"/>
                <v:imagedata r:id="rId296" o:title=""/>
              </v:shape>
            </w:pict>
          </mc:Fallback>
        </mc:AlternateContent>
      </w:r>
      <w:r/>
    </w:p>
    <w:p>
      <w:pPr>
        <w:pStyle w:val="983"/>
      </w:pPr>
      <w:r>
        <w:fldChar w:fldCharType="begin"/>
      </w:r>
      <w:r>
        <w:instrText xml:space="preserve"> SEQ Рисунок \* ARABIC </w:instrText>
      </w:r>
      <w:r>
        <w:fldChar w:fldCharType="separate"/>
      </w:r>
      <w:bookmarkStart w:id="1551" w:name="_Ref434263714"/>
      <w:r/>
      <w:bookmarkStart w:id="1552" w:name="_Toc88819606"/>
      <w:r>
        <w:t xml:space="preserve">221</w:t>
      </w:r>
      <w:bookmarkEnd w:id="1551"/>
      <w:r>
        <w:fldChar w:fldCharType="end"/>
      </w:r>
      <w:r>
        <w:t xml:space="preserve">. ЭФ документа </w:t>
      </w:r>
      <w:r>
        <w:t xml:space="preserve">«</w:t>
      </w:r>
      <w:r>
        <w:t xml:space="preserve">Периодические отчеты</w:t>
      </w:r>
      <w:r>
        <w:t xml:space="preserve">», закладки «</w:t>
      </w:r>
      <w:r>
        <w:t xml:space="preserve">Системные атрибуты</w:t>
      </w:r>
      <w:r>
        <w:t xml:space="preserve">»</w:t>
      </w:r>
      <w:bookmarkEnd w:id="1552"/>
      <w:r/>
      <w:r/>
    </w:p>
    <w:p>
      <w:pPr>
        <w:pStyle w:val="994"/>
      </w:pPr>
      <w:r>
        <w:t xml:space="preserve">Для просмотра вложенного отчета нужно на закладке </w:t>
      </w:r>
      <w:r>
        <w:t xml:space="preserve">«</w:t>
      </w:r>
      <w:r>
        <w:t xml:space="preserve">Системные атрибуты</w:t>
      </w:r>
      <w:r>
        <w:t xml:space="preserve">»</w:t>
      </w:r>
      <w:r>
        <w:t xml:space="preserve"> нажать кнопку </w:t>
      </w:r>
      <w:r>
        <mc:AlternateContent>
          <mc:Choice Requires="wpg">
            <w:drawing>
              <wp:inline xmlns:wp="http://schemas.openxmlformats.org/drawingml/2006/wordprocessingDrawing" distT="0" distB="0" distL="0" distR="0">
                <wp:extent cx="274320" cy="274320"/>
                <wp:effectExtent l="0" t="0" r="0" b="0"/>
                <wp:docPr id="33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97"/>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3" o:spid="_x0000_s333" type="#_x0000_t75" style="mso-wrap-distance-left:0.0pt;mso-wrap-distance-top:0.0pt;mso-wrap-distance-right:0.0pt;mso-wrap-distance-bottom:0.0pt;width:21.6pt;height:21.6pt;" stroked="f">
                <v:path textboxrect="0,0,0,0"/>
                <v:imagedata r:id="rId297" o:title=""/>
              </v:shape>
            </w:pict>
          </mc:Fallback>
        </mc:AlternateContent>
      </w:r>
      <w:r>
        <w:t xml:space="preserve"> (</w:t>
      </w:r>
      <w:r>
        <w:t xml:space="preserve">Просмотреть</w:t>
      </w:r>
      <w:r>
        <w:t xml:space="preserve">)</w:t>
      </w:r>
      <w:r>
        <w:t xml:space="preserve">. Для просмотра информации о файле нужно нажать на кнопку </w:t>
      </w:r>
      <w:r>
        <mc:AlternateContent>
          <mc:Choice Requires="wpg">
            <w:drawing>
              <wp:inline xmlns:wp="http://schemas.openxmlformats.org/drawingml/2006/wordprocessingDrawing" distT="0" distB="0" distL="0" distR="0">
                <wp:extent cx="274320" cy="274320"/>
                <wp:effectExtent l="0" t="0" r="0" b="0"/>
                <wp:docPr id="33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98"/>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4" o:spid="_x0000_s334" type="#_x0000_t75" style="mso-wrap-distance-left:0.0pt;mso-wrap-distance-top:0.0pt;mso-wrap-distance-right:0.0pt;mso-wrap-distance-bottom:0.0pt;width:21.6pt;height:21.6pt;" stroked="f">
                <v:path textboxrect="0,0,0,0"/>
                <v:imagedata r:id="rId298" o:title=""/>
              </v:shape>
            </w:pict>
          </mc:Fallback>
        </mc:AlternateContent>
      </w:r>
      <w:r>
        <w:t xml:space="preserve"> (</w:t>
      </w:r>
      <w:r>
        <w:t xml:space="preserve">Пр</w:t>
      </w:r>
      <w:r>
        <w:t xml:space="preserve">о</w:t>
      </w:r>
      <w:r>
        <w:t xml:space="preserve">смотреть информацию о вложении</w:t>
      </w:r>
      <w:r>
        <w:t xml:space="preserve">)</w:t>
      </w:r>
      <w:r>
        <w:t xml:space="preserve">. Для сохранения файла под другим именем н</w:t>
      </w:r>
      <w:r>
        <w:t xml:space="preserve">е</w:t>
      </w:r>
      <w:r>
        <w:t xml:space="preserve">обходимо нажать на кнопку </w:t>
      </w:r>
      <w:r>
        <mc:AlternateContent>
          <mc:Choice Requires="wpg">
            <w:drawing>
              <wp:inline xmlns:wp="http://schemas.openxmlformats.org/drawingml/2006/wordprocessingDrawing" distT="0" distB="0" distL="0" distR="0">
                <wp:extent cx="274320" cy="274320"/>
                <wp:effectExtent l="0" t="0" r="0" b="0"/>
                <wp:docPr id="33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99"/>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5" o:spid="_x0000_s335" type="#_x0000_t75" style="mso-wrap-distance-left:0.0pt;mso-wrap-distance-top:0.0pt;mso-wrap-distance-right:0.0pt;mso-wrap-distance-bottom:0.0pt;width:21.6pt;height:21.6pt;" stroked="f">
                <v:path textboxrect="0,0,0,0"/>
                <v:imagedata r:id="rId299" o:title=""/>
              </v:shape>
            </w:pict>
          </mc:Fallback>
        </mc:AlternateContent>
      </w:r>
      <w:r>
        <w:t xml:space="preserve"> (</w:t>
      </w:r>
      <w:r>
        <w:t xml:space="preserve">Сохран</w:t>
      </w:r>
      <w:r>
        <w:t xml:space="preserve">ить)</w:t>
      </w:r>
      <w:r>
        <w:t xml:space="preserve">. Распечатать файл отчета можно посредством кно</w:t>
      </w:r>
      <w:r>
        <w:t xml:space="preserve">п</w:t>
      </w:r>
      <w:r>
        <w:t xml:space="preserve">ки </w:t>
      </w:r>
      <w:r>
        <mc:AlternateContent>
          <mc:Choice Requires="wpg">
            <w:drawing>
              <wp:inline xmlns:wp="http://schemas.openxmlformats.org/drawingml/2006/wordprocessingDrawing" distT="0" distB="0" distL="0" distR="0">
                <wp:extent cx="274320" cy="274320"/>
                <wp:effectExtent l="0" t="0" r="0" b="0"/>
                <wp:docPr id="33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00"/>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6" o:spid="_x0000_s336" type="#_x0000_t75" style="mso-wrap-distance-left:0.0pt;mso-wrap-distance-top:0.0pt;mso-wrap-distance-right:0.0pt;mso-wrap-distance-bottom:0.0pt;width:21.6pt;height:21.6pt;" stroked="f">
                <v:path textboxrect="0,0,0,0"/>
                <v:imagedata r:id="rId300" o:title=""/>
              </v:shape>
            </w:pict>
          </mc:Fallback>
        </mc:AlternateContent>
      </w:r>
      <w:r>
        <w:t xml:space="preserve"> (П</w:t>
      </w:r>
      <w:r>
        <w:t xml:space="preserve">ечать</w:t>
      </w:r>
      <w:r>
        <w:t xml:space="preserve">)</w:t>
      </w:r>
      <w:r>
        <w:t xml:space="preserve">.</w:t>
      </w:r>
      <w:r/>
    </w:p>
    <w:p>
      <w:pPr>
        <w:pStyle w:val="994"/>
      </w:pPr>
      <w:r>
        <w:t xml:space="preserve">Перечень полей документа </w:t>
      </w:r>
      <w:r>
        <w:t xml:space="preserve">«Периодические отчеты</w:t>
      </w:r>
      <w:r>
        <w:t xml:space="preserve">», закладки «</w:t>
      </w:r>
      <w:r>
        <w:t xml:space="preserve">Системные атрибуты</w:t>
      </w:r>
      <w:r>
        <w:t xml:space="preserve">»</w:t>
      </w:r>
      <w:r>
        <w:t xml:space="preserve"> приведен в таблице</w:t>
      </w:r>
      <w:r>
        <w:t xml:space="preserve"> </w:t>
      </w:r>
      <w:r>
        <w:fldChar w:fldCharType="begin"/>
      </w:r>
      <w:r>
        <w:instrText xml:space="preserve"> REF _Ref434263756 \h </w:instrText>
      </w:r>
      <w:r>
        <w:fldChar w:fldCharType="separate"/>
      </w:r>
      <w:r>
        <w:t xml:space="preserve">121</w:t>
      </w:r>
      <w:r>
        <w:fldChar w:fldCharType="end"/>
      </w:r>
      <w:r>
        <w:t xml:space="preserve">. Значения полей передаются из OEBS и недоступны для редактир</w:t>
      </w:r>
      <w:r>
        <w:t xml:space="preserve">о</w:t>
      </w:r>
      <w:r>
        <w:t xml:space="preserve">вания.</w:t>
      </w:r>
      <w:r/>
    </w:p>
    <w:p>
      <w:pPr>
        <w:pStyle w:val="993"/>
      </w:pPr>
      <w:r>
        <w:fldChar w:fldCharType="begin"/>
      </w:r>
      <w:r>
        <w:instrText xml:space="preserve"> SEQ Таблица \* ARABIC </w:instrText>
      </w:r>
      <w:r>
        <w:fldChar w:fldCharType="separate"/>
      </w:r>
      <w:bookmarkStart w:id="1553" w:name="_Ref434263756"/>
      <w:r/>
      <w:bookmarkStart w:id="1554" w:name="_Toc88819308"/>
      <w:r>
        <w:t xml:space="preserve">121</w:t>
      </w:r>
      <w:bookmarkEnd w:id="1553"/>
      <w:r>
        <w:fldChar w:fldCharType="end"/>
      </w:r>
      <w:r>
        <w:t xml:space="preserve">. Описание полей документа </w:t>
      </w:r>
      <w:r>
        <w:t xml:space="preserve">«Периодические отчеты</w:t>
      </w:r>
      <w:r>
        <w:t xml:space="preserve">», закладки «</w:t>
      </w:r>
      <w:r>
        <w:t xml:space="preserve">Системные атриб</w:t>
      </w:r>
      <w:r>
        <w:t xml:space="preserve">у</w:t>
      </w:r>
      <w:r>
        <w:t xml:space="preserve">ты»</w:t>
      </w:r>
      <w:bookmarkEnd w:id="1554"/>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4026"/>
        <w:gridCol w:w="5726"/>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06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936" w:type="pct"/>
            <w:vAlign w:val="center"/>
            <w:textDirection w:val="lrTb"/>
            <w:noWrap w:val="false"/>
          </w:tcPr>
          <w:p>
            <w:pPr>
              <w:pStyle w:val="1006"/>
            </w:pPr>
            <w:r>
              <w:t xml:space="preserve">Описание поля</w:t>
            </w:r>
            <w:r/>
          </w:p>
        </w:tc>
      </w:tr>
      <w:tr>
        <w:trPr/>
        <w:tc>
          <w:tcPr>
            <w:shd w:val="clear" w:fill="auto" w:color="auto"/>
            <w:tcW w:w="2064" w:type="pct"/>
            <w:textDirection w:val="lrTb"/>
            <w:noWrap w:val="false"/>
          </w:tcPr>
          <w:p>
            <w:pPr>
              <w:pStyle w:val="1005"/>
              <w:ind w:left="57" w:right="57"/>
            </w:pPr>
            <w:r>
              <w:t xml:space="preserve">GUID</w:t>
            </w:r>
            <w:r/>
          </w:p>
        </w:tc>
        <w:tc>
          <w:tcPr>
            <w:shd w:val="clear" w:fill="auto" w:color="auto"/>
            <w:tcW w:w="2936" w:type="pct"/>
            <w:textDirection w:val="lrTb"/>
            <w:noWrap w:val="false"/>
          </w:tcPr>
          <w:p>
            <w:pPr>
              <w:pStyle w:val="1005"/>
              <w:ind w:left="57" w:right="57"/>
            </w:pPr>
            <w:r>
              <w:t xml:space="preserve">ГУИД</w:t>
            </w:r>
            <w:r>
              <w:t xml:space="preserve"> вложения</w:t>
            </w:r>
            <w:r>
              <w:t xml:space="preserve"> </w:t>
            </w:r>
            <w:r>
              <w:t xml:space="preserve">с первичным д</w:t>
            </w:r>
            <w:r>
              <w:t xml:space="preserve">о</w:t>
            </w:r>
            <w:r>
              <w:t xml:space="preserve">кументом</w:t>
            </w:r>
            <w:r>
              <w:t xml:space="preserve">.</w:t>
            </w:r>
            <w:r/>
          </w:p>
        </w:tc>
      </w:tr>
      <w:tr>
        <w:trPr/>
        <w:tc>
          <w:tcPr>
            <w:shd w:val="clear" w:fill="auto" w:color="auto"/>
            <w:tcW w:w="2064" w:type="pct"/>
            <w:textDirection w:val="lrTb"/>
            <w:noWrap w:val="false"/>
          </w:tcPr>
          <w:p>
            <w:pPr>
              <w:pStyle w:val="1005"/>
              <w:ind w:left="57" w:right="57"/>
            </w:pPr>
            <w:r>
              <w:t xml:space="preserve">Тип</w:t>
            </w:r>
            <w:r/>
          </w:p>
        </w:tc>
        <w:tc>
          <w:tcPr>
            <w:shd w:val="clear" w:fill="auto" w:color="auto"/>
            <w:tcW w:w="2936" w:type="pct"/>
            <w:textDirection w:val="lrTb"/>
            <w:noWrap w:val="false"/>
          </w:tcPr>
          <w:p>
            <w:pPr>
              <w:pStyle w:val="1005"/>
              <w:ind w:left="57" w:right="57"/>
            </w:pPr>
            <w:r>
              <w:t xml:space="preserve">Тип </w:t>
            </w:r>
            <w:r>
              <w:t xml:space="preserve">содержимого</w:t>
            </w:r>
            <w:r>
              <w:t xml:space="preserve">.</w:t>
            </w:r>
            <w:r/>
          </w:p>
        </w:tc>
      </w:tr>
      <w:tr>
        <w:trPr/>
        <w:tc>
          <w:tcPr>
            <w:shd w:val="clear" w:fill="auto" w:color="auto"/>
            <w:tcW w:w="2064" w:type="pct"/>
            <w:textDirection w:val="lrTb"/>
            <w:noWrap w:val="false"/>
          </w:tcPr>
          <w:p>
            <w:pPr>
              <w:pStyle w:val="1005"/>
              <w:ind w:left="57" w:right="57"/>
            </w:pPr>
            <w:r>
              <w:t xml:space="preserve">Файл</w:t>
            </w:r>
            <w:r/>
          </w:p>
        </w:tc>
        <w:tc>
          <w:tcPr>
            <w:shd w:val="clear" w:fill="auto" w:color="auto"/>
            <w:tcW w:w="2936" w:type="pct"/>
            <w:textDirection w:val="lrTb"/>
            <w:noWrap w:val="false"/>
          </w:tcPr>
          <w:p>
            <w:pPr>
              <w:pStyle w:val="1005"/>
              <w:ind w:left="57" w:right="57"/>
            </w:pPr>
            <w:r>
              <w:t xml:space="preserve">Имя файла</w:t>
            </w:r>
            <w:r>
              <w:t xml:space="preserve">.</w:t>
            </w:r>
            <w:r/>
          </w:p>
        </w:tc>
      </w:tr>
      <w:tr>
        <w:trPr/>
        <w:tc>
          <w:tcPr>
            <w:shd w:val="clear" w:fill="auto" w:color="auto"/>
            <w:tcW w:w="2064" w:type="pct"/>
            <w:textDirection w:val="lrTb"/>
            <w:noWrap w:val="false"/>
          </w:tcPr>
          <w:p>
            <w:pPr>
              <w:pStyle w:val="1005"/>
              <w:ind w:left="57" w:right="57"/>
            </w:pPr>
            <w:r>
              <w:t xml:space="preserve">Дата</w:t>
            </w:r>
            <w:r>
              <w:t xml:space="preserve"> файла</w:t>
            </w:r>
            <w:r/>
          </w:p>
        </w:tc>
        <w:tc>
          <w:tcPr>
            <w:shd w:val="clear" w:fill="auto" w:color="auto"/>
            <w:tcW w:w="2936" w:type="pct"/>
            <w:textDirection w:val="lrTb"/>
            <w:noWrap w:val="false"/>
          </w:tcPr>
          <w:p>
            <w:pPr>
              <w:pStyle w:val="1005"/>
              <w:ind w:left="57" w:right="57"/>
            </w:pPr>
            <w:r>
              <w:t xml:space="preserve">Дата </w:t>
            </w:r>
            <w:r>
              <w:t xml:space="preserve">файла</w:t>
            </w:r>
            <w:r>
              <w:t xml:space="preserve">.</w:t>
            </w:r>
            <w:r/>
          </w:p>
        </w:tc>
      </w:tr>
      <w:tr>
        <w:trPr/>
        <w:tc>
          <w:tcPr>
            <w:shd w:val="clear" w:fill="auto" w:color="auto"/>
            <w:tcW w:w="2064" w:type="pct"/>
            <w:textDirection w:val="lrTb"/>
            <w:noWrap w:val="false"/>
          </w:tcPr>
          <w:p>
            <w:pPr>
              <w:pStyle w:val="1005"/>
              <w:ind w:left="57" w:right="57"/>
            </w:pPr>
            <w:r>
              <w:t xml:space="preserve">Размер</w:t>
            </w:r>
            <w:r/>
          </w:p>
        </w:tc>
        <w:tc>
          <w:tcPr>
            <w:shd w:val="clear" w:fill="auto" w:color="auto"/>
            <w:tcW w:w="2936" w:type="pct"/>
            <w:textDirection w:val="lrTb"/>
            <w:noWrap w:val="false"/>
          </w:tcPr>
          <w:p>
            <w:pPr>
              <w:pStyle w:val="1005"/>
              <w:ind w:left="57" w:right="57"/>
            </w:pPr>
            <w:r>
              <w:t xml:space="preserve">Размер вложения.</w:t>
            </w:r>
            <w:r/>
          </w:p>
        </w:tc>
      </w:tr>
      <w:tr>
        <w:trPr/>
        <w:tc>
          <w:tcPr>
            <w:shd w:val="clear" w:fill="auto" w:color="auto"/>
            <w:tcW w:w="2064" w:type="pct"/>
            <w:textDirection w:val="lrTb"/>
            <w:noWrap w:val="false"/>
          </w:tcPr>
          <w:p>
            <w:pPr>
              <w:pStyle w:val="1005"/>
              <w:ind w:left="57" w:right="57"/>
            </w:pPr>
            <w:r>
              <w:t xml:space="preserve">Комментарий</w:t>
            </w:r>
            <w:r/>
          </w:p>
        </w:tc>
        <w:tc>
          <w:tcPr>
            <w:shd w:val="clear" w:fill="auto" w:color="auto"/>
            <w:tcW w:w="2936" w:type="pct"/>
            <w:textDirection w:val="lrTb"/>
            <w:noWrap w:val="false"/>
          </w:tcPr>
          <w:p>
            <w:pPr>
              <w:pStyle w:val="1005"/>
              <w:ind w:left="57" w:right="57"/>
            </w:pPr>
            <w:r>
              <w:t xml:space="preserve">Комментарий.</w:t>
            </w:r>
            <w:r/>
          </w:p>
        </w:tc>
      </w:tr>
      <w:tr>
        <w:trPr/>
        <w:tc>
          <w:tcPr>
            <w:shd w:val="clear" w:fill="auto" w:color="auto"/>
            <w:tcW w:w="2064" w:type="pct"/>
            <w:textDirection w:val="lrTb"/>
            <w:noWrap w:val="false"/>
          </w:tcPr>
          <w:p>
            <w:pPr>
              <w:pStyle w:val="1005"/>
              <w:ind w:left="57" w:right="57"/>
            </w:pPr>
            <w:r>
              <w:t xml:space="preserve">Бизнес-тип</w:t>
            </w:r>
            <w:r/>
          </w:p>
        </w:tc>
        <w:tc>
          <w:tcPr>
            <w:shd w:val="clear" w:fill="auto" w:color="auto"/>
            <w:tcW w:w="2936" w:type="pct"/>
            <w:textDirection w:val="lrTb"/>
            <w:noWrap w:val="false"/>
          </w:tcPr>
          <w:p>
            <w:pPr>
              <w:pStyle w:val="1005"/>
              <w:ind w:left="57" w:right="57"/>
            </w:pPr>
            <w:r>
              <w:t xml:space="preserve">Бизнес-тип вложения.</w:t>
            </w:r>
            <w:r/>
          </w:p>
        </w:tc>
      </w:tr>
      <w:tr>
        <w:trPr/>
        <w:tc>
          <w:tcPr>
            <w:shd w:val="clear" w:fill="auto" w:color="auto"/>
            <w:tcW w:w="2064" w:type="pct"/>
            <w:textDirection w:val="lrTb"/>
            <w:noWrap w:val="false"/>
          </w:tcPr>
          <w:p>
            <w:pPr>
              <w:pStyle w:val="1005"/>
              <w:ind w:left="57" w:right="57"/>
            </w:pPr>
            <w:r>
              <w:t xml:space="preserve">Дата вложения</w:t>
            </w:r>
            <w:r/>
          </w:p>
        </w:tc>
        <w:tc>
          <w:tcPr>
            <w:shd w:val="clear" w:fill="auto" w:color="auto"/>
            <w:tcW w:w="2936" w:type="pct"/>
            <w:textDirection w:val="lrTb"/>
            <w:noWrap w:val="false"/>
          </w:tcPr>
          <w:p>
            <w:pPr>
              <w:pStyle w:val="1005"/>
              <w:ind w:left="57" w:right="57"/>
            </w:pPr>
            <w:r>
              <w:t xml:space="preserve">Дата вложения.</w:t>
            </w:r>
            <w:r/>
          </w:p>
        </w:tc>
      </w:tr>
      <w:tr>
        <w:trPr/>
        <w:tc>
          <w:tcPr>
            <w:shd w:val="clear" w:fill="auto" w:color="auto"/>
            <w:tcW w:w="2064" w:type="pct"/>
            <w:textDirection w:val="lrTb"/>
            <w:noWrap w:val="false"/>
          </w:tcPr>
          <w:p>
            <w:pPr>
              <w:pStyle w:val="1005"/>
              <w:ind w:left="57" w:right="57"/>
            </w:pPr>
            <w:r>
              <w:t xml:space="preserve">Название</w:t>
            </w:r>
            <w:r/>
          </w:p>
        </w:tc>
        <w:tc>
          <w:tcPr>
            <w:shd w:val="clear" w:fill="auto" w:color="auto"/>
            <w:tcW w:w="2936" w:type="pct"/>
            <w:textDirection w:val="lrTb"/>
            <w:noWrap w:val="false"/>
          </w:tcPr>
          <w:p>
            <w:pPr>
              <w:pStyle w:val="1005"/>
              <w:ind w:left="57" w:right="57"/>
            </w:pPr>
            <w:r>
              <w:t xml:space="preserve">Название.</w:t>
            </w:r>
            <w:r/>
          </w:p>
        </w:tc>
      </w:tr>
      <w:tr>
        <w:trPr/>
        <w:tc>
          <w:tcPr>
            <w:shd w:val="clear" w:fill="auto" w:color="auto"/>
            <w:tcW w:w="2064" w:type="pct"/>
            <w:textDirection w:val="lrTb"/>
            <w:noWrap w:val="false"/>
          </w:tcPr>
          <w:p>
            <w:pPr>
              <w:pStyle w:val="1005"/>
              <w:ind w:left="57" w:right="57"/>
            </w:pPr>
            <w:r>
              <w:t xml:space="preserve">Организация</w:t>
            </w:r>
            <w:r/>
          </w:p>
        </w:tc>
        <w:tc>
          <w:tcPr>
            <w:shd w:val="clear" w:fill="auto" w:color="auto"/>
            <w:tcW w:w="2936" w:type="pct"/>
            <w:textDirection w:val="lrTb"/>
            <w:noWrap w:val="false"/>
          </w:tcPr>
          <w:p>
            <w:pPr>
              <w:pStyle w:val="1005"/>
              <w:ind w:left="57" w:right="57"/>
            </w:pPr>
            <w:r>
              <w:t xml:space="preserve">Организация.</w:t>
            </w:r>
            <w:r/>
          </w:p>
        </w:tc>
      </w:tr>
      <w:tr>
        <w:trPr/>
        <w:tc>
          <w:tcPr>
            <w:shd w:val="clear" w:fill="auto" w:color="auto"/>
            <w:tcW w:w="2064" w:type="pct"/>
            <w:textDirection w:val="lrTb"/>
            <w:noWrap w:val="false"/>
          </w:tcPr>
          <w:p>
            <w:pPr>
              <w:pStyle w:val="1005"/>
              <w:ind w:left="57" w:right="57"/>
            </w:pPr>
            <w:r>
              <w:t xml:space="preserve">Пользователь</w:t>
            </w:r>
            <w:r/>
          </w:p>
        </w:tc>
        <w:tc>
          <w:tcPr>
            <w:shd w:val="clear" w:fill="auto" w:color="auto"/>
            <w:tcW w:w="2936" w:type="pct"/>
            <w:textDirection w:val="lrTb"/>
            <w:noWrap w:val="false"/>
          </w:tcPr>
          <w:p>
            <w:pPr>
              <w:pStyle w:val="1005"/>
              <w:ind w:left="57" w:right="57"/>
            </w:pPr>
            <w:r>
              <w:t xml:space="preserve">Пользователь.</w:t>
            </w:r>
            <w:r/>
          </w:p>
        </w:tc>
      </w:tr>
      <w:tr>
        <w:trPr/>
        <w:tc>
          <w:tcPr>
            <w:shd w:val="clear" w:fill="auto" w:color="auto"/>
            <w:tcW w:w="2064" w:type="pct"/>
            <w:textDirection w:val="lrTb"/>
            <w:noWrap w:val="false"/>
          </w:tcPr>
          <w:p>
            <w:pPr>
              <w:pStyle w:val="1005"/>
              <w:ind w:left="57" w:right="57"/>
            </w:pPr>
            <w:r>
              <w:t xml:space="preserve">Статус</w:t>
            </w:r>
            <w:r/>
          </w:p>
        </w:tc>
        <w:tc>
          <w:tcPr>
            <w:shd w:val="clear" w:fill="auto" w:color="auto"/>
            <w:tcW w:w="2936" w:type="pct"/>
            <w:textDirection w:val="lrTb"/>
            <w:noWrap w:val="false"/>
          </w:tcPr>
          <w:p>
            <w:pPr>
              <w:pStyle w:val="1005"/>
              <w:ind w:left="57" w:right="57"/>
            </w:pPr>
            <w:r>
              <w:t xml:space="preserve">Статус вложения.</w:t>
            </w:r>
            <w:r/>
          </w:p>
        </w:tc>
      </w:tr>
      <w:tr>
        <w:trPr/>
        <w:tc>
          <w:tcPr>
            <w:shd w:val="clear" w:fill="auto" w:color="auto"/>
            <w:tcW w:w="2064" w:type="pct"/>
            <w:textDirection w:val="lrTb"/>
            <w:noWrap w:val="false"/>
          </w:tcPr>
          <w:p>
            <w:pPr>
              <w:pStyle w:val="1005"/>
              <w:ind w:left="57" w:right="57"/>
            </w:pPr>
            <w:r>
              <w:t xml:space="preserve">ID</w:t>
            </w:r>
            <w:r/>
          </w:p>
        </w:tc>
        <w:tc>
          <w:tcPr>
            <w:shd w:val="clear" w:fill="auto" w:color="auto"/>
            <w:tcW w:w="2936" w:type="pct"/>
            <w:textDirection w:val="lrTb"/>
            <w:noWrap w:val="false"/>
          </w:tcPr>
          <w:p>
            <w:pPr>
              <w:pStyle w:val="1005"/>
              <w:ind w:left="57" w:right="57"/>
            </w:pPr>
            <w:r>
              <w:t xml:space="preserve">ID вложения.</w:t>
            </w:r>
            <w:r/>
          </w:p>
        </w:tc>
      </w:tr>
    </w:tbl>
    <w:p>
      <w:pPr>
        <w:pStyle w:val="971"/>
      </w:pPr>
      <w:r/>
      <w:bookmarkStart w:id="1555" w:name="_Toc88819147"/>
      <w:r>
        <w:t xml:space="preserve">Группа документов «Управление платежами»</w:t>
      </w:r>
      <w:bookmarkEnd w:id="1397"/>
      <w:r/>
      <w:bookmarkEnd w:id="1398"/>
      <w:r/>
      <w:bookmarkEnd w:id="1555"/>
      <w:r/>
      <w:r/>
    </w:p>
    <w:p>
      <w:pPr>
        <w:pStyle w:val="972"/>
      </w:pPr>
      <w:r/>
      <w:bookmarkStart w:id="1556" w:name="_Ref395197271"/>
      <w:r/>
      <w:bookmarkStart w:id="1557" w:name="_Toc422496720"/>
      <w:r/>
      <w:bookmarkStart w:id="1558" w:name="_Toc88819148"/>
      <w:r>
        <w:t xml:space="preserve">Перечень финансового органа</w:t>
      </w:r>
      <w:bookmarkEnd w:id="1556"/>
      <w:r/>
      <w:bookmarkEnd w:id="1557"/>
      <w:r/>
      <w:bookmarkEnd w:id="1558"/>
      <w:r/>
      <w:r/>
    </w:p>
    <w:p>
      <w:pPr>
        <w:pStyle w:val="994"/>
      </w:pPr>
      <w:r>
        <w:t xml:space="preserve">В соответствии с </w:t>
      </w:r>
      <w:r>
        <w:rPr>
          <w:sz w:val="24"/>
          <w:szCs w:val="24"/>
        </w:rPr>
        <w:t xml:space="preserve">Правилами обеспечения наличными денежными средствами, ФО</w:t>
      </w:r>
      <w:r>
        <w:t xml:space="preserve"> представляет в ОрФК по месту своего нахождения документ «</w:t>
      </w:r>
      <w:r>
        <w:rPr>
          <w:sz w:val="24"/>
          <w:szCs w:val="24"/>
        </w:rPr>
        <w:t xml:space="preserve">Перечень удаленных получателей средств бюджета (удаленных неучастников бюджетного процесса)</w:t>
      </w:r>
      <w:r>
        <w:t xml:space="preserve">»</w:t>
      </w:r>
      <w:r>
        <w:rPr>
          <w:sz w:val="24"/>
          <w:szCs w:val="24"/>
        </w:rPr>
        <w:t xml:space="preserve">, наделенных правом на получение наличных денег со счетов № 40116, открытых органу Федерального казначейства</w:t>
      </w:r>
      <w:r>
        <w:t xml:space="preserve">» (далее – Перечень финансового органа). На основании принятых от ФО документов, в </w:t>
      </w:r>
      <w:r>
        <w:t xml:space="preserve">ППО АСФК</w:t>
      </w:r>
      <w:r>
        <w:t xml:space="preserve"> обновляется справочник «Уполномоченные подразделения».</w:t>
      </w:r>
      <w:r/>
    </w:p>
    <w:p>
      <w:pPr>
        <w:pStyle w:val="994"/>
      </w:pPr>
      <w:r>
        <w:t xml:space="preserve">В </w:t>
      </w:r>
      <w:r>
        <w:t xml:space="preserve">ППО АСФК</w:t>
      </w:r>
      <w:r>
        <w:t xml:space="preserve"> обеспечивается следующий порядок предоставления и обработки документа «Перечень финансового органа» и ведения справочника «Уполномоченные подразделения»:</w:t>
      </w:r>
      <w:r/>
    </w:p>
    <w:p>
      <w:pPr>
        <w:pStyle w:val="1156"/>
        <w:numPr>
          <w:ilvl w:val="0"/>
          <w:numId w:val="134"/>
        </w:numPr>
      </w:pPr>
      <w:r>
        <w:t xml:space="preserve">Документ «Перечень финансового органа» создается либо импортируется на АРМ ФО, подписывается ЭП и передается в </w:t>
      </w:r>
      <w:r>
        <w:t xml:space="preserve">ППО OEBS АСФК</w:t>
      </w:r>
      <w:r>
        <w:t xml:space="preserve">.</w:t>
      </w:r>
      <w:r/>
    </w:p>
    <w:p>
      <w:pPr>
        <w:pStyle w:val="1156"/>
      </w:pPr>
      <w:r>
        <w:t xml:space="preserve">Если ФО обслуживается в ОФК, работающем с использованием АРМ ОФК </w:t>
      </w:r>
      <w:r>
        <w:rPr>
          <w:lang w:val="en-US"/>
        </w:rPr>
        <w:t xml:space="preserve">off</w:t>
      </w:r>
      <w:r>
        <w:t xml:space="preserve">-</w:t>
      </w:r>
      <w:r>
        <w:rPr>
          <w:lang w:val="en-US"/>
        </w:rPr>
        <w:t xml:space="preserve">line</w:t>
      </w:r>
      <w:r>
        <w:t xml:space="preserve">, то предоставленный ФО документ «Перечень финансового органа» вводится вручную либо импортируется в </w:t>
      </w:r>
      <w:r>
        <w:t xml:space="preserve">ППО СУФД АСФК</w:t>
      </w:r>
      <w:r>
        <w:t xml:space="preserve">, подписывается ЭП и передается в </w:t>
      </w:r>
      <w:r>
        <w:t xml:space="preserve">ППО OEBS АСФК</w:t>
      </w:r>
      <w:r>
        <w:t xml:space="preserve"> специалистом ОФК, работающего с использованием АРМ ОФК </w:t>
      </w:r>
      <w:r>
        <w:rPr>
          <w:lang w:val="en-US"/>
        </w:rPr>
        <w:t xml:space="preserve">Off</w:t>
      </w:r>
      <w:r>
        <w:t xml:space="preserve">-</w:t>
      </w:r>
      <w:r>
        <w:rPr>
          <w:lang w:val="en-US"/>
        </w:rPr>
        <w:t xml:space="preserve">line</w:t>
      </w:r>
      <w:r>
        <w:t xml:space="preserve">. </w:t>
      </w:r>
      <w:r/>
    </w:p>
    <w:p>
      <w:pPr>
        <w:pStyle w:val="1156"/>
      </w:pPr>
      <w:r>
        <w:t xml:space="preserve">Документ «Перечень финансового органа» проверяется в </w:t>
      </w:r>
      <w:r>
        <w:t xml:space="preserve">ППО OEBS АСФК</w:t>
      </w:r>
      <w:r>
        <w:t xml:space="preserve"> на уровне УФК.</w:t>
      </w:r>
      <w:r/>
    </w:p>
    <w:p>
      <w:pPr>
        <w:pStyle w:val="1156"/>
      </w:pPr>
      <w:r>
        <w:t xml:space="preserve">В случае если контроль пройден, документ регистрируется. Если не пройден – формируется ЭД «</w:t>
      </w:r>
      <w:r>
        <w:t xml:space="preserve">Уведомление (протокол)</w:t>
      </w:r>
      <w:r>
        <w:t xml:space="preserve">», который доводится до клиентского АРМ </w:t>
      </w:r>
      <w:r>
        <w:t xml:space="preserve">ППО СУФД АСФК</w:t>
      </w:r>
      <w:r>
        <w:t xml:space="preserve">, без отражения в Журнале регистрации неисполненных документов.</w:t>
      </w:r>
      <w:r/>
    </w:p>
    <w:p>
      <w:pPr>
        <w:pStyle w:val="1156"/>
      </w:pPr>
      <w:r>
        <w:t xml:space="preserve">Для зарегистрированного документа «Перечень финансового органа» на уровне УФК запускается операция обработки, в процессе которой осуществляется обновление данных справочника «Уполномоченные подразделения» в части реквизитов организаций, являющихся </w:t>
      </w:r>
      <w:r>
        <w:t xml:space="preserve">удаленными получателями средств бюджета (удаленными неучастниками бюджетного процесса)</w:t>
      </w:r>
      <w:r>
        <w:t xml:space="preserve">.</w:t>
      </w:r>
      <w:r/>
    </w:p>
    <w:p>
      <w:pPr>
        <w:pStyle w:val="1156"/>
      </w:pPr>
      <w:r>
        <w:t xml:space="preserve">Измененные/добавленные в процессе выполнения операции записи справочника рассылаются в </w:t>
      </w:r>
      <w:r>
        <w:t xml:space="preserve">ППО СУФД АСФК</w:t>
      </w:r>
      <w:r>
        <w:t xml:space="preserve">.</w:t>
      </w:r>
      <w:r/>
    </w:p>
    <w:p>
      <w:pPr>
        <w:pStyle w:val="994"/>
      </w:pPr>
      <w:r>
        <w:t xml:space="preserve">Для работы с документами </w:t>
      </w:r>
      <w:r>
        <w:t xml:space="preserve">«Перечень финансового органа» следует перейти в пункт меню «Документы – Управление платежами – Работа со счетами по выдаче наличных денежных средств». Откроется ЭФ списка документов, представленная на рисунке</w:t>
      </w:r>
      <w:r>
        <w:t xml:space="preserve"> </w:t>
      </w:r>
      <w:r>
        <w:fldChar w:fldCharType="begin"/>
      </w:r>
      <w:r>
        <w:instrText xml:space="preserve"> REF _Ref395183723 \h </w:instrText>
      </w:r>
      <w:r>
        <w:instrText xml:space="preserve"> \* MERGEFORMAT </w:instrText>
      </w:r>
      <w:r>
        <w:fldChar w:fldCharType="separate"/>
      </w:r>
      <w:r>
        <w:t xml:space="preserve">222</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558540"/>
                <wp:effectExtent l="0" t="0" r="0" b="0"/>
                <wp:docPr id="33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01"/>
                        <a:stretch/>
                      </pic:blipFill>
                      <pic:spPr bwMode="auto">
                        <a:xfrm>
                          <a:off x="0" y="0"/>
                          <a:ext cx="6126480" cy="35585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7" o:spid="_x0000_s337" type="#_x0000_t75" style="mso-wrap-distance-left:0.0pt;mso-wrap-distance-top:0.0pt;mso-wrap-distance-right:0.0pt;mso-wrap-distance-bottom:0.0pt;width:482.4pt;height:280.2pt;" stroked="f">
                <v:path textboxrect="0,0,0,0"/>
                <v:imagedata r:id="rId301" o:title=""/>
              </v:shape>
            </w:pict>
          </mc:Fallback>
        </mc:AlternateContent>
      </w:r>
      <w:r/>
    </w:p>
    <w:p>
      <w:pPr>
        <w:pStyle w:val="983"/>
      </w:pPr>
      <w:r>
        <w:fldChar w:fldCharType="begin"/>
      </w:r>
      <w:r>
        <w:instrText xml:space="preserve"> SEQ Рисунок \* ARABIC </w:instrText>
      </w:r>
      <w:r>
        <w:fldChar w:fldCharType="separate"/>
      </w:r>
      <w:bookmarkStart w:id="1559" w:name="_Ref395183723"/>
      <w:r/>
      <w:bookmarkStart w:id="1560" w:name="_Toc88819607"/>
      <w:r>
        <w:t xml:space="preserve">222</w:t>
      </w:r>
      <w:bookmarkEnd w:id="1559"/>
      <w:r>
        <w:fldChar w:fldCharType="end"/>
      </w:r>
      <w:r>
        <w:t xml:space="preserve">. ЭФ списка документов «Перечень финансового органа»</w:t>
      </w:r>
      <w:bookmarkEnd w:id="1560"/>
      <w:r/>
      <w:r/>
    </w:p>
    <w:p>
      <w:pPr>
        <w:pStyle w:val="973"/>
      </w:pPr>
      <w:r>
        <w:t xml:space="preserve">Доступные операции</w:t>
      </w:r>
      <w:r/>
    </w:p>
    <w:p>
      <w:pPr>
        <w:pStyle w:val="994"/>
      </w:pPr>
      <w:r>
        <w:t xml:space="preserve">На АРМ ФО доступны следующие операции над</w:t>
      </w:r>
      <w:r>
        <w:t xml:space="preserve"> документом</w:t>
      </w:r>
      <w:r>
        <w:t xml:space="preserve">:</w:t>
      </w:r>
      <w:r/>
    </w:p>
    <w:p>
      <w:pPr>
        <w:pStyle w:val="985"/>
      </w:pPr>
      <w:r>
        <w:t xml:space="preserve">ручной ввод;</w:t>
      </w:r>
      <w:r/>
    </w:p>
    <w:p>
      <w:pPr>
        <w:pStyle w:val="985"/>
      </w:pPr>
      <w:r>
        <w:t xml:space="preserve">документарный контроль;</w:t>
      </w:r>
      <w:r/>
    </w:p>
    <w:p>
      <w:pPr>
        <w:pStyle w:val="985"/>
      </w:pPr>
      <w:r>
        <w:t xml:space="preserve">просмотр и редактирование;</w:t>
      </w:r>
      <w:r/>
    </w:p>
    <w:p>
      <w:pPr>
        <w:pStyle w:val="985"/>
      </w:pPr>
      <w:r>
        <w:t xml:space="preserve">копирование и </w:t>
      </w:r>
      <w:r>
        <w:t xml:space="preserve">удаление;</w:t>
      </w:r>
      <w:r/>
    </w:p>
    <w:p>
      <w:pPr>
        <w:pStyle w:val="985"/>
      </w:pPr>
      <w:r>
        <w:t xml:space="preserve">подписание </w:t>
      </w:r>
      <w:r>
        <w:t xml:space="preserve">ЭП</w:t>
      </w:r>
      <w:r>
        <w:t xml:space="preserve">;</w:t>
      </w:r>
      <w:r/>
    </w:p>
    <w:p>
      <w:pPr>
        <w:pStyle w:val="985"/>
      </w:pPr>
      <w:r>
        <w:t xml:space="preserve">печать;</w:t>
      </w:r>
      <w:r/>
    </w:p>
    <w:p>
      <w:pPr>
        <w:pStyle w:val="985"/>
      </w:pPr>
      <w:r>
        <w:t xml:space="preserve">импорт из внешней системы;</w:t>
      </w:r>
      <w:r/>
    </w:p>
    <w:p>
      <w:pPr>
        <w:pStyle w:val="985"/>
      </w:pPr>
      <w:r>
        <w:t xml:space="preserve">экспорт во внешнюю систему;</w:t>
      </w:r>
      <w:r/>
    </w:p>
    <w:p>
      <w:pPr>
        <w:pStyle w:val="985"/>
      </w:pPr>
      <w:r>
        <w:t xml:space="preserve">экспорт в </w:t>
      </w:r>
      <w:r>
        <w:rPr>
          <w:lang w:val="en-US"/>
        </w:rPr>
        <w:t xml:space="preserve">OEBS</w:t>
      </w:r>
      <w:r>
        <w:t xml:space="preserve">.</w:t>
      </w:r>
      <w:r/>
    </w:p>
    <w:p>
      <w:pPr>
        <w:pStyle w:val="973"/>
      </w:pPr>
      <w:r>
        <w:t xml:space="preserve">Экранная форма документа</w:t>
      </w:r>
      <w:r/>
    </w:p>
    <w:p>
      <w:pPr>
        <w:pStyle w:val="994"/>
      </w:pPr>
      <w:r>
        <w:t xml:space="preserve">ЭФ документа «Перечень финансового органа» представлена на рисунке </w:t>
      </w:r>
      <w:r>
        <w:fldChar w:fldCharType="begin"/>
      </w:r>
      <w:r>
        <w:instrText xml:space="preserve"> REF _Ref395190145 \h </w:instrText>
      </w:r>
      <w:r>
        <w:instrText xml:space="preserve"> \* MERGEFORMAT </w:instrText>
      </w:r>
      <w:r>
        <w:fldChar w:fldCharType="separate"/>
      </w:r>
      <w:r>
        <w:t xml:space="preserve">223</w:t>
      </w:r>
      <w:r>
        <w:fldChar w:fldCharType="end"/>
      </w:r>
      <w:r>
        <w:t xml:space="preserve">. </w:t>
      </w:r>
      <w:r>
        <w:t xml:space="preserve">Форма содержит следующие закладки</w:t>
      </w:r>
      <w:r>
        <w:t xml:space="preserve">:</w:t>
      </w:r>
      <w:r/>
    </w:p>
    <w:p>
      <w:pPr>
        <w:pStyle w:val="985"/>
      </w:pPr>
      <w:r>
        <w:t xml:space="preserve">«Общая информация»;</w:t>
      </w:r>
      <w:r/>
    </w:p>
    <w:p>
      <w:pPr>
        <w:pStyle w:val="985"/>
      </w:pPr>
      <w:r>
        <w:t xml:space="preserve">«Реквизиты удаленного УБП/НУБП»;</w:t>
      </w:r>
      <w:r/>
    </w:p>
    <w:p>
      <w:pPr>
        <w:pStyle w:val="985"/>
      </w:pPr>
      <w:r>
        <w:t xml:space="preserve">«Подписи»;</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035040" cy="4198620"/>
                <wp:effectExtent l="0" t="0" r="0" b="0"/>
                <wp:docPr id="33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02"/>
                        <a:stretch/>
                      </pic:blipFill>
                      <pic:spPr bwMode="auto">
                        <a:xfrm>
                          <a:off x="0" y="0"/>
                          <a:ext cx="6035039" cy="41986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8" o:spid="_x0000_s338" type="#_x0000_t75" style="mso-wrap-distance-left:0.0pt;mso-wrap-distance-top:0.0pt;mso-wrap-distance-right:0.0pt;mso-wrap-distance-bottom:0.0pt;width:475.2pt;height:330.6pt;" stroked="f">
                <v:path textboxrect="0,0,0,0"/>
                <v:imagedata r:id="rId302" o:title=""/>
              </v:shape>
            </w:pict>
          </mc:Fallback>
        </mc:AlternateContent>
      </w:r>
      <w:r/>
    </w:p>
    <w:p>
      <w:pPr>
        <w:pStyle w:val="983"/>
      </w:pPr>
      <w:r>
        <w:fldChar w:fldCharType="begin"/>
      </w:r>
      <w:r>
        <w:instrText xml:space="preserve"> SEQ Рисунок \* ARABIC </w:instrText>
      </w:r>
      <w:r>
        <w:fldChar w:fldCharType="separate"/>
      </w:r>
      <w:bookmarkStart w:id="1561" w:name="_Ref395190145"/>
      <w:r/>
      <w:bookmarkStart w:id="1562" w:name="_Toc88819608"/>
      <w:r>
        <w:t xml:space="preserve">223</w:t>
      </w:r>
      <w:bookmarkEnd w:id="1561"/>
      <w:r>
        <w:fldChar w:fldCharType="end"/>
      </w:r>
      <w:r>
        <w:t xml:space="preserve">. ЭФ документа «Перечень финансового органа</w:t>
      </w:r>
      <w:r>
        <w:t xml:space="preserve">», закладки «</w:t>
      </w:r>
      <w:r>
        <w:t xml:space="preserve">Общая информация»</w:t>
      </w:r>
      <w:bookmarkEnd w:id="1562"/>
      <w:r/>
      <w:r/>
    </w:p>
    <w:p>
      <w:pPr>
        <w:pStyle w:val="994"/>
      </w:pPr>
      <w:r>
        <w:t xml:space="preserve">Для ручного ввода документа следует на ЭФ </w:t>
      </w:r>
      <w:r>
        <w:t xml:space="preserve">документа </w:t>
      </w:r>
      <w:r>
        <w:t xml:space="preserve">заполнить поля, доступные для редактирования. </w:t>
      </w:r>
      <w:r/>
    </w:p>
    <w:p>
      <w:pPr>
        <w:pStyle w:val="994"/>
      </w:pPr>
      <w:r>
        <w:t xml:space="preserve">Перечень полей </w:t>
      </w:r>
      <w:r>
        <w:t xml:space="preserve">документа «Перечень финансового </w:t>
      </w:r>
      <w:r>
        <w:t xml:space="preserve">органа</w:t>
      </w:r>
      <w:r>
        <w:t xml:space="preserve">», закладки «</w:t>
      </w:r>
      <w:r>
        <w:t xml:space="preserve">Общая информация»</w:t>
      </w:r>
      <w:r>
        <w:t xml:space="preserve"> </w:t>
      </w:r>
      <w:r>
        <w:t xml:space="preserve">приведен в таблице</w:t>
      </w:r>
      <w:r>
        <w:t xml:space="preserve"> </w:t>
      </w:r>
      <w:r>
        <w:fldChar w:fldCharType="begin"/>
      </w:r>
      <w:r>
        <w:instrText xml:space="preserve"> REF _Ref395190281 \h </w:instrText>
      </w:r>
      <w:r>
        <w:instrText xml:space="preserve"> \* MERGEFORMAT </w:instrText>
      </w:r>
      <w:r>
        <w:fldChar w:fldCharType="separate"/>
      </w:r>
      <w:r>
        <w:t xml:space="preserve">122</w:t>
      </w:r>
      <w:r>
        <w:fldChar w:fldCharType="end"/>
      </w:r>
      <w:r>
        <w:t xml:space="preserve">.</w:t>
      </w:r>
      <w:r/>
    </w:p>
    <w:p>
      <w:pPr>
        <w:pStyle w:val="993"/>
      </w:pPr>
      <w:r>
        <w:fldChar w:fldCharType="begin"/>
      </w:r>
      <w:r>
        <w:instrText xml:space="preserve"> SEQ Таблица \* ARABIC </w:instrText>
      </w:r>
      <w:r>
        <w:fldChar w:fldCharType="separate"/>
      </w:r>
      <w:bookmarkStart w:id="1563" w:name="_Ref395190281"/>
      <w:r/>
      <w:bookmarkStart w:id="1564" w:name="_Toc88819309"/>
      <w:r>
        <w:t xml:space="preserve">122</w:t>
      </w:r>
      <w:bookmarkEnd w:id="1563"/>
      <w:r>
        <w:fldChar w:fldCharType="end"/>
      </w:r>
      <w:r>
        <w:t xml:space="preserve">. Описание полей документа «Перечень финансового </w:t>
      </w:r>
      <w:r>
        <w:t xml:space="preserve">органа</w:t>
      </w:r>
      <w:r>
        <w:t xml:space="preserve">», закладки «</w:t>
      </w:r>
      <w:r>
        <w:t xml:space="preserve">Общая информация»</w:t>
      </w:r>
      <w:bookmarkEnd w:id="1564"/>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80"/>
        <w:gridCol w:w="7472"/>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169"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31" w:type="pct"/>
            <w:vAlign w:val="center"/>
            <w:textDirection w:val="lrTb"/>
            <w:noWrap w:val="false"/>
          </w:tcPr>
          <w:p>
            <w:pPr>
              <w:pStyle w:val="1006"/>
            </w:pPr>
            <w:r>
              <w:t xml:space="preserve">Описание поля</w:t>
            </w:r>
            <w:r/>
          </w:p>
        </w:tc>
      </w:tr>
      <w:tr>
        <w:trPr/>
        <w:tc>
          <w:tcPr>
            <w:shd w:val="clear" w:fill="auto" w:color="auto"/>
            <w:tcW w:w="1169" w:type="pct"/>
            <w:textDirection w:val="lrTb"/>
            <w:noWrap w:val="false"/>
          </w:tcPr>
          <w:p>
            <w:pPr>
              <w:pStyle w:val="1005"/>
              <w:ind w:left="57" w:right="57"/>
            </w:pPr>
            <w:r>
              <w:t xml:space="preserve">Номер перечня</w:t>
            </w:r>
            <w:r/>
          </w:p>
        </w:tc>
        <w:tc>
          <w:tcPr>
            <w:shd w:val="clear" w:fill="auto" w:color="auto"/>
            <w:tcW w:w="3831" w:type="pct"/>
            <w:textDirection w:val="lrTb"/>
            <w:noWrap w:val="false"/>
          </w:tcPr>
          <w:p>
            <w:pPr>
              <w:pStyle w:val="1005"/>
              <w:ind w:left="57" w:right="57"/>
            </w:pPr>
            <w:r>
              <w:t xml:space="preserve">Номер перечня, присвоенный финансовым органом/ органом управления ГВФ РФ/ территориальным органом ГВФ РФ.</w:t>
            </w:r>
            <w:r/>
          </w:p>
          <w:p>
            <w:pPr>
              <w:pStyle w:val="1005"/>
              <w:ind w:left="57" w:right="57"/>
            </w:pPr>
            <w:r>
              <w:t xml:space="preserve">Заполняется вручную.</w:t>
            </w:r>
            <w:r/>
          </w:p>
        </w:tc>
      </w:tr>
      <w:tr>
        <w:trPr/>
        <w:tc>
          <w:tcPr>
            <w:shd w:val="clear" w:fill="auto" w:color="auto"/>
            <w:tcW w:w="1169" w:type="pct"/>
            <w:textDirection w:val="lrTb"/>
            <w:noWrap w:val="false"/>
          </w:tcPr>
          <w:p>
            <w:pPr>
              <w:pStyle w:val="1005"/>
              <w:ind w:left="57" w:right="57"/>
            </w:pPr>
            <w:r>
              <w:t xml:space="preserve">Дата</w:t>
            </w:r>
            <w:r/>
          </w:p>
        </w:tc>
        <w:tc>
          <w:tcPr>
            <w:shd w:val="clear" w:fill="auto" w:color="auto"/>
            <w:tcW w:w="3831" w:type="pct"/>
            <w:textDirection w:val="lrTb"/>
            <w:noWrap w:val="false"/>
          </w:tcPr>
          <w:p>
            <w:pPr>
              <w:pStyle w:val="1005"/>
              <w:ind w:left="57" w:right="57"/>
            </w:pPr>
            <w:r>
              <w:t xml:space="preserve">Дата документа.</w:t>
            </w:r>
            <w:r/>
          </w:p>
          <w:p>
            <w:pPr>
              <w:pStyle w:val="1005"/>
              <w:ind w:left="57" w:right="57"/>
            </w:pPr>
            <w:r>
              <w:t xml:space="preserve">Заполняется автоматически значением текущей системной даты.</w:t>
            </w:r>
            <w:r/>
          </w:p>
          <w:p>
            <w:pPr>
              <w:pStyle w:val="1005"/>
              <w:ind w:left="57" w:right="57"/>
            </w:pPr>
            <w:r>
              <w:t xml:space="preserve">Может быть изменено пользователем вручную, либо выбором значения из системного календаря.</w:t>
            </w:r>
            <w:r/>
          </w:p>
        </w:tc>
      </w:tr>
      <w:tr>
        <w:trPr/>
        <w:tc>
          <w:tcPr>
            <w:shd w:val="clear" w:fill="auto" w:color="auto"/>
            <w:tcW w:w="1169" w:type="pct"/>
            <w:textDirection w:val="lrTb"/>
            <w:noWrap w:val="false"/>
          </w:tcPr>
          <w:p>
            <w:pPr>
              <w:pStyle w:val="1005"/>
              <w:ind w:left="57" w:right="57"/>
            </w:pPr>
            <w:r>
              <w:t xml:space="preserve">Бюджет (код)</w:t>
            </w:r>
            <w:r/>
          </w:p>
        </w:tc>
        <w:tc>
          <w:tcPr>
            <w:shd w:val="clear" w:fill="auto" w:color="auto"/>
            <w:tcW w:w="3831" w:type="pct"/>
            <w:textDirection w:val="lrTb"/>
            <w:noWrap w:val="false"/>
          </w:tcPr>
          <w:p>
            <w:pPr>
              <w:pStyle w:val="1005"/>
              <w:ind w:left="57" w:right="57"/>
            </w:pPr>
            <w:r>
              <w:t xml:space="preserve">Код бюджета.</w:t>
            </w:r>
            <w:r/>
          </w:p>
          <w:p>
            <w:pPr>
              <w:pStyle w:val="1005"/>
              <w:ind w:left="57" w:right="57"/>
            </w:pPr>
            <w:r>
              <w:t xml:space="preserve">Указывается код бюджета. Выбор из справочника «Бюджеты». В список отбора выводятся актуальные на текущий операционный день записи справочника по уровню бюджета «2» (БС), «3» (МБ) </w:t>
            </w:r>
            <w:r>
              <w:rPr>
                <w:sz w:val="24"/>
                <w:szCs w:val="24"/>
              </w:rPr>
              <w:t xml:space="preserve">или </w:t>
            </w:r>
            <w:r>
              <w:t xml:space="preserve">«</w:t>
            </w:r>
            <w:r>
              <w:rPr>
                <w:sz w:val="24"/>
                <w:szCs w:val="24"/>
              </w:rPr>
              <w:t xml:space="preserve">4</w:t>
            </w:r>
            <w:r>
              <w:t xml:space="preserve">»</w:t>
            </w:r>
            <w:r>
              <w:rPr>
                <w:sz w:val="24"/>
                <w:szCs w:val="24"/>
              </w:rPr>
              <w:t xml:space="preserve"> (ГВФ РФ) </w:t>
            </w:r>
            <w:r>
              <w:t xml:space="preserve">с указанием кода и наименования бюджета. Возможен поиск значения по контексту.</w:t>
            </w:r>
            <w:r/>
          </w:p>
          <w:p>
            <w:pPr>
              <w:pStyle w:val="1005"/>
              <w:ind w:left="57" w:right="57"/>
            </w:pPr>
            <w:r>
              <w:t xml:space="preserve">На АРМ ФО автозаполнение – Заполняется автоматически значением системной константы </w:t>
            </w:r>
            <w:r>
              <w:t xml:space="preserve">SelfBudgetCode (Код бюджета)</w:t>
            </w:r>
            <w:r>
              <w:t xml:space="preserve">.</w:t>
            </w:r>
            <w:r/>
          </w:p>
        </w:tc>
      </w:tr>
      <w:tr>
        <w:trPr/>
        <w:tc>
          <w:tcPr>
            <w:shd w:val="clear" w:fill="auto" w:color="auto"/>
            <w:tcW w:w="1169" w:type="pct"/>
            <w:textDirection w:val="lrTb"/>
            <w:noWrap w:val="false"/>
          </w:tcPr>
          <w:p>
            <w:pPr>
              <w:pStyle w:val="1005"/>
              <w:ind w:left="57" w:right="57"/>
            </w:pPr>
            <w:r>
              <w:t xml:space="preserve">Бюджет (наименование)</w:t>
            </w:r>
            <w:r/>
          </w:p>
        </w:tc>
        <w:tc>
          <w:tcPr>
            <w:shd w:val="clear" w:fill="auto" w:color="auto"/>
            <w:tcW w:w="3831" w:type="pct"/>
            <w:textDirection w:val="lrTb"/>
            <w:noWrap w:val="false"/>
          </w:tcPr>
          <w:p>
            <w:pPr>
              <w:pStyle w:val="1005"/>
              <w:ind w:left="57" w:right="57"/>
            </w:pPr>
            <w:r>
              <w:t xml:space="preserve">Наименование бюджета.</w:t>
            </w:r>
            <w:r/>
          </w:p>
          <w:p>
            <w:pPr>
              <w:pStyle w:val="1005"/>
              <w:ind w:left="57" w:right="57"/>
            </w:pPr>
            <w:r>
              <w:t xml:space="preserve">Заполняется автоматически из справочника «Бюджеты» в соответствии со значением поля «Бюджет (код)».</w:t>
            </w:r>
            <w:r/>
          </w:p>
        </w:tc>
      </w:tr>
      <w:tr>
        <w:trPr/>
        <w:tc>
          <w:tcPr>
            <w:shd w:val="clear" w:fill="auto" w:color="auto"/>
            <w:tcW w:w="1169" w:type="pct"/>
            <w:textDirection w:val="lrTb"/>
            <w:noWrap w:val="false"/>
          </w:tcPr>
          <w:p>
            <w:pPr>
              <w:pStyle w:val="1005"/>
              <w:ind w:left="57" w:right="57"/>
            </w:pPr>
            <w:r>
              <w:t xml:space="preserve">Финансовый</w:t>
            </w:r>
            <w:r>
              <w:t xml:space="preserve"> орган (код)</w:t>
            </w:r>
            <w:r/>
          </w:p>
        </w:tc>
        <w:tc>
          <w:tcPr>
            <w:shd w:val="clear" w:fill="auto" w:color="auto"/>
            <w:tcW w:w="3831" w:type="pct"/>
            <w:textDirection w:val="lrTb"/>
            <w:noWrap w:val="false"/>
          </w:tcPr>
          <w:p>
            <w:pPr>
              <w:pStyle w:val="1005"/>
              <w:ind w:left="57" w:right="57"/>
            </w:pPr>
            <w:r>
              <w:t xml:space="preserve">Полное наименование финансового органа/органа управления ГВФ РФ/территориального органа ГВФ РФ.</w:t>
            </w:r>
            <w:r/>
          </w:p>
          <w:p>
            <w:pPr>
              <w:pStyle w:val="1005"/>
              <w:ind w:left="57" w:right="57"/>
            </w:pPr>
            <w:r>
              <w:t xml:space="preserve">Присутствует возможность выбора из справочника «Финансовые органы».</w:t>
            </w:r>
            <w:r/>
          </w:p>
          <w:p>
            <w:pPr>
              <w:pStyle w:val="1005"/>
              <w:ind w:left="57" w:right="57"/>
            </w:pPr>
            <w:r>
              <w:t xml:space="preserve">На АРМ ФО заполняется автоматически значением актуального фин. </w:t>
            </w:r>
            <w:r>
              <w:t xml:space="preserve">О</w:t>
            </w:r>
            <w:r>
              <w:t xml:space="preserve">ргана для указанного бюджета (ищется по коду бюджета в справочнике ФО).</w:t>
            </w:r>
            <w:r/>
          </w:p>
        </w:tc>
      </w:tr>
      <w:tr>
        <w:trPr/>
        <w:tc>
          <w:tcPr>
            <w:shd w:val="clear" w:fill="auto" w:color="auto"/>
            <w:tcW w:w="1169" w:type="pct"/>
            <w:textDirection w:val="lrTb"/>
            <w:noWrap w:val="false"/>
          </w:tcPr>
          <w:p>
            <w:pPr>
              <w:pStyle w:val="1005"/>
              <w:ind w:left="57" w:right="57"/>
            </w:pPr>
            <w:r>
              <w:t xml:space="preserve">Финансовый</w:t>
            </w:r>
            <w:r>
              <w:t xml:space="preserve"> орган (наименование)</w:t>
            </w:r>
            <w:r/>
          </w:p>
        </w:tc>
        <w:tc>
          <w:tcPr>
            <w:shd w:val="clear" w:fill="auto" w:color="auto"/>
            <w:tcW w:w="3831" w:type="pct"/>
            <w:textDirection w:val="lrTb"/>
            <w:noWrap w:val="false"/>
          </w:tcPr>
          <w:p>
            <w:pPr>
              <w:pStyle w:val="1005"/>
              <w:ind w:left="57" w:right="57"/>
            </w:pPr>
            <w:r>
              <w:t xml:space="preserve">Код по ОКПО финансового органа/органа управления ГВФ РФ/территориального органа ГВФ РФ.</w:t>
            </w:r>
            <w:r/>
          </w:p>
          <w:p>
            <w:pPr>
              <w:pStyle w:val="1005"/>
              <w:ind w:left="57" w:right="57"/>
            </w:pPr>
            <w:r>
              <w:t xml:space="preserve">Автозаполнение. </w:t>
            </w:r>
            <w:r/>
          </w:p>
          <w:p>
            <w:pPr>
              <w:pStyle w:val="1005"/>
              <w:ind w:left="57" w:right="57"/>
            </w:pPr>
            <w:r>
              <w:t xml:space="preserve">Указывается значение поля «ОКПО» найденной записи справочника «ПУБП», в которой в поле «Фин. </w:t>
            </w:r>
            <w:r>
              <w:t xml:space="preserve">О</w:t>
            </w:r>
            <w:r>
              <w:t xml:space="preserve">рганов» блока «Код организации по другим справочникам» указано значение кода ФО, определенного по полю «наименованию ФО», найденное в справочнике «Финансовые органы».</w:t>
            </w:r>
            <w:r/>
          </w:p>
        </w:tc>
      </w:tr>
      <w:tr>
        <w:trPr/>
        <w:tc>
          <w:tcPr>
            <w:shd w:val="clear" w:fill="auto" w:color="auto"/>
            <w:tcW w:w="1169" w:type="pct"/>
            <w:textDirection w:val="lrTb"/>
            <w:noWrap w:val="false"/>
          </w:tcPr>
          <w:p>
            <w:pPr>
              <w:pStyle w:val="1005"/>
              <w:ind w:left="57" w:right="57"/>
            </w:pPr>
            <w:r>
              <w:t xml:space="preserve">ТОФК (код)</w:t>
            </w:r>
            <w:r/>
          </w:p>
        </w:tc>
        <w:tc>
          <w:tcPr>
            <w:shd w:val="clear" w:fill="auto" w:color="auto"/>
            <w:tcW w:w="3831" w:type="pct"/>
            <w:textDirection w:val="lrTb"/>
            <w:noWrap w:val="false"/>
          </w:tcPr>
          <w:p>
            <w:pPr>
              <w:pStyle w:val="1005"/>
              <w:ind w:left="57" w:right="57"/>
            </w:pPr>
            <w:r>
              <w:t xml:space="preserve">Код ОрФК.</w:t>
            </w:r>
            <w:r/>
          </w:p>
          <w:p>
            <w:pPr>
              <w:pStyle w:val="1005"/>
              <w:ind w:left="57" w:right="57"/>
            </w:pPr>
            <w:r>
              <w:t xml:space="preserve">Заполняется автоматически значением системной константы </w:t>
            </w:r>
            <w:r>
              <w:t xml:space="preserve">SelfTOFKcode (Код собственного ТОФК)</w:t>
            </w:r>
            <w:r>
              <w:t xml:space="preserve">, если код ОрФК не относится к уровню ОФК (ОрФК не отно</w:t>
            </w:r>
            <w:r>
              <w:t xml:space="preserve">с</w:t>
            </w:r>
            <w:r>
              <w:t xml:space="preserve">ится с уровн</w:t>
            </w:r>
            <w:r>
              <w:t xml:space="preserve">ю</w:t>
            </w:r>
            <w:r>
              <w:t xml:space="preserve"> ОФК, если код соответствует маске xx00), иначе из </w:t>
            </w:r>
            <w:r>
              <w:t xml:space="preserve">HigherTOFKcode (Код вышестоящего ТОФК)</w:t>
            </w:r>
            <w:r>
              <w:t xml:space="preserve">.</w:t>
            </w:r>
            <w:r/>
          </w:p>
          <w:p>
            <w:pPr>
              <w:pStyle w:val="1005"/>
              <w:ind w:left="57" w:right="57"/>
            </w:pPr>
            <w:r>
              <w:t xml:space="preserve">Значение может быть изменено пользователем. Возможен выбор из справочника «Органы Федерального казначейства».</w:t>
            </w:r>
            <w:r/>
          </w:p>
        </w:tc>
      </w:tr>
      <w:tr>
        <w:trPr/>
        <w:tc>
          <w:tcPr>
            <w:shd w:val="clear" w:fill="auto" w:color="auto"/>
            <w:tcW w:w="1169" w:type="pct"/>
            <w:textDirection w:val="lrTb"/>
            <w:noWrap w:val="false"/>
          </w:tcPr>
          <w:p>
            <w:pPr>
              <w:pStyle w:val="1005"/>
              <w:ind w:left="57" w:right="57"/>
            </w:pPr>
            <w:r>
              <w:t xml:space="preserve">ТОФК (наименование)</w:t>
            </w:r>
            <w:r/>
          </w:p>
        </w:tc>
        <w:tc>
          <w:tcPr>
            <w:shd w:val="clear" w:fill="auto" w:color="auto"/>
            <w:tcW w:w="3831" w:type="pct"/>
            <w:textDirection w:val="lrTb"/>
            <w:noWrap w:val="false"/>
          </w:tcPr>
          <w:p>
            <w:pPr>
              <w:pStyle w:val="1005"/>
              <w:ind w:left="57" w:right="57"/>
            </w:pPr>
            <w:r>
              <w:t xml:space="preserve">Наименование ОрФК.</w:t>
            </w:r>
            <w:r/>
          </w:p>
          <w:p>
            <w:pPr>
              <w:pStyle w:val="1005"/>
              <w:ind w:left="57" w:right="57"/>
            </w:pPr>
            <w:r>
              <w:t xml:space="preserve">Заполняется автоматически из справочника «Органы ФК» в соответствии со значением поля «ТОФК (код)».</w:t>
            </w:r>
            <w:r/>
          </w:p>
        </w:tc>
      </w:tr>
      <w:tr>
        <w:trPr/>
        <w:tc>
          <w:tcPr>
            <w:gridSpan w:val="2"/>
            <w:shd w:val="clear" w:fill="auto" w:color="auto"/>
            <w:tcW w:w="5000" w:type="pct"/>
            <w:textDirection w:val="lrTb"/>
            <w:noWrap w:val="false"/>
          </w:tcPr>
          <w:p>
            <w:pPr>
              <w:pStyle w:val="1005"/>
              <w:ind w:left="57" w:right="57"/>
            </w:pPr>
            <w:r>
              <w:t xml:space="preserve">Закладка «Общая информация», группа полей «Счет финансового органа»</w:t>
            </w:r>
            <w:r/>
          </w:p>
        </w:tc>
      </w:tr>
      <w:tr>
        <w:trPr/>
        <w:tc>
          <w:tcPr>
            <w:shd w:val="clear" w:fill="auto" w:color="auto"/>
            <w:tcW w:w="1169" w:type="pct"/>
            <w:textDirection w:val="lrTb"/>
            <w:noWrap w:val="false"/>
          </w:tcPr>
          <w:p>
            <w:pPr>
              <w:pStyle w:val="1005"/>
              <w:ind w:left="57" w:right="57"/>
            </w:pPr>
            <w:r>
              <w:t xml:space="preserve">Номер счета</w:t>
            </w:r>
            <w:r/>
          </w:p>
        </w:tc>
        <w:tc>
          <w:tcPr>
            <w:shd w:val="clear" w:fill="auto" w:color="auto"/>
            <w:tcW w:w="3831" w:type="pct"/>
            <w:textDirection w:val="lrTb"/>
            <w:noWrap w:val="false"/>
          </w:tcPr>
          <w:p>
            <w:pPr>
              <w:pStyle w:val="1005"/>
              <w:ind w:left="57" w:right="57"/>
            </w:pPr>
            <w:r>
              <w:t xml:space="preserve">Номер счета, открытого ФО/органу управления ГВФ РФ/территориальному органу ГВФ РФ в банке. </w:t>
            </w:r>
            <w:r/>
          </w:p>
          <w:p>
            <w:pPr>
              <w:pStyle w:val="1005"/>
              <w:ind w:left="57" w:right="57"/>
            </w:pPr>
            <w:r>
              <w:t xml:space="preserve">Заполняется вручную или выбором </w:t>
            </w:r>
            <w:r>
              <w:t xml:space="preserve">из справочника «Книга ре</w:t>
            </w:r>
            <w:r>
              <w:t xml:space="preserve">гистрации казначейских счетов».</w:t>
            </w:r>
            <w:r/>
          </w:p>
        </w:tc>
      </w:tr>
      <w:tr>
        <w:trPr/>
        <w:tc>
          <w:tcPr>
            <w:shd w:val="clear" w:fill="auto" w:color="auto"/>
            <w:tcW w:w="1169" w:type="pct"/>
            <w:textDirection w:val="lrTb"/>
            <w:noWrap w:val="false"/>
          </w:tcPr>
          <w:p>
            <w:pPr>
              <w:pStyle w:val="1005"/>
              <w:ind w:left="57" w:right="57"/>
            </w:pPr>
            <w:r>
              <w:t xml:space="preserve">БИК </w:t>
            </w:r>
            <w:r>
              <w:t xml:space="preserve">ТОФК</w:t>
            </w:r>
            <w:r/>
          </w:p>
        </w:tc>
        <w:tc>
          <w:tcPr>
            <w:shd w:val="clear" w:fill="auto" w:color="auto"/>
            <w:tcW w:w="3831" w:type="pct"/>
            <w:textDirection w:val="lrTb"/>
            <w:noWrap w:val="false"/>
          </w:tcPr>
          <w:p>
            <w:pPr>
              <w:pStyle w:val="1005"/>
              <w:ind w:left="57" w:right="57"/>
            </w:pPr>
            <w:r>
              <w:t xml:space="preserve">БИК банка, в котором открыт счет ФО/органу управления ГВФ РФ/территориальному органу ГВФ РФ.</w:t>
            </w:r>
            <w:r/>
          </w:p>
          <w:p>
            <w:pPr>
              <w:pStyle w:val="1005"/>
              <w:ind w:left="57" w:right="57"/>
            </w:pPr>
            <w:r>
              <w:t xml:space="preserve">Поле обязательно к заполнению, если заполнено поле «Номер счета ФО».</w:t>
            </w:r>
            <w:r/>
          </w:p>
          <w:p>
            <w:pPr>
              <w:pStyle w:val="1005"/>
              <w:ind w:left="57" w:right="57"/>
            </w:pPr>
            <w:r>
              <w:t xml:space="preserve">Может заполняться вручную, либо а</w:t>
            </w:r>
            <w:r>
              <w:t xml:space="preserve">втоматически значением поля «БИК ТОФК» справочника КРКС при выборе записи </w:t>
            </w:r>
            <w:r>
              <w:t xml:space="preserve">или</w:t>
            </w:r>
            <w:r>
              <w:t xml:space="preserve"> при заполнении вручную поля «Номер счета»</w:t>
            </w:r>
            <w:r>
              <w:t xml:space="preserve">.</w:t>
            </w:r>
            <w:r/>
          </w:p>
        </w:tc>
      </w:tr>
      <w:tr>
        <w:trPr/>
        <w:tc>
          <w:tcPr>
            <w:gridSpan w:val="2"/>
            <w:shd w:val="clear" w:fill="auto" w:color="auto"/>
            <w:tcW w:w="5000" w:type="pct"/>
            <w:textDirection w:val="lrTb"/>
            <w:noWrap w:val="false"/>
          </w:tcPr>
          <w:p>
            <w:pPr>
              <w:pStyle w:val="1005"/>
              <w:ind w:left="57" w:right="57"/>
            </w:pPr>
            <w:r>
              <w:t xml:space="preserve">Закладка «Общая информация», группа полей «Получатель средств бюджета, передающий бюджетные полномочия»</w:t>
            </w:r>
            <w:r/>
          </w:p>
        </w:tc>
      </w:tr>
      <w:tr>
        <w:trPr/>
        <w:tc>
          <w:tcPr>
            <w:shd w:val="clear" w:fill="auto" w:color="auto"/>
            <w:tcW w:w="1169" w:type="pct"/>
            <w:textDirection w:val="lrTb"/>
            <w:noWrap w:val="false"/>
          </w:tcPr>
          <w:p>
            <w:pPr>
              <w:pStyle w:val="1005"/>
              <w:ind w:left="57" w:right="57"/>
            </w:pPr>
            <w:r>
              <w:t xml:space="preserve">Наименование</w:t>
            </w:r>
            <w:r/>
          </w:p>
        </w:tc>
        <w:tc>
          <w:tcPr>
            <w:shd w:val="clear" w:fill="auto" w:color="auto"/>
            <w:tcW w:w="3831" w:type="pct"/>
            <w:textDirection w:val="lrTb"/>
            <w:noWrap w:val="false"/>
          </w:tcPr>
          <w:p>
            <w:pPr>
              <w:pStyle w:val="1005"/>
              <w:ind w:left="57" w:right="57"/>
            </w:pPr>
            <w:r>
              <w:t xml:space="preserve">Полное или сокращенное наименование получателя средств бюджета, передающего бюджетные полномочия.</w:t>
            </w:r>
            <w:r/>
          </w:p>
          <w:p>
            <w:pPr>
              <w:pStyle w:val="1005"/>
              <w:ind w:left="57" w:right="57"/>
            </w:pPr>
            <w:r>
              <w:t xml:space="preserve">Значение вводится пользователем </w:t>
            </w:r>
            <w:r>
              <w:t xml:space="preserve">вручную, либо выбирается </w:t>
            </w:r>
            <w:r>
              <w:t xml:space="preserve">из справочника «Перечень УБП».</w:t>
            </w:r>
            <w:r/>
          </w:p>
          <w:p>
            <w:pPr>
              <w:pStyle w:val="1005"/>
              <w:ind w:left="57" w:right="57"/>
            </w:pPr>
            <w:r>
              <w:t xml:space="preserve">В список отбора выво</w:t>
            </w:r>
            <w:r>
              <w:t xml:space="preserve">д</w:t>
            </w:r>
            <w:r>
              <w:t xml:space="preserve">ятся актуальные на текущий операционный день записи справочника по выбранному бюджету с указанием кода УБП и наименования УБП. Возможно поиск значения по контексту.</w:t>
            </w:r>
            <w:r/>
          </w:p>
        </w:tc>
      </w:tr>
      <w:tr>
        <w:trPr/>
        <w:tc>
          <w:tcPr>
            <w:shd w:val="clear" w:fill="auto" w:color="auto"/>
            <w:tcW w:w="1169" w:type="pct"/>
            <w:textDirection w:val="lrTb"/>
            <w:noWrap w:val="false"/>
          </w:tcPr>
          <w:p>
            <w:pPr>
              <w:pStyle w:val="1005"/>
              <w:ind w:left="57" w:right="57"/>
            </w:pPr>
            <w:r>
              <w:t xml:space="preserve">ИНН</w:t>
            </w:r>
            <w:r/>
          </w:p>
        </w:tc>
        <w:tc>
          <w:tcPr>
            <w:shd w:val="clear" w:fill="auto" w:color="auto"/>
            <w:tcW w:w="3831" w:type="pct"/>
            <w:textDirection w:val="lrTb"/>
            <w:noWrap w:val="false"/>
          </w:tcPr>
          <w:p>
            <w:pPr>
              <w:pStyle w:val="1005"/>
              <w:ind w:left="57" w:right="57"/>
            </w:pPr>
            <w:r>
              <w:t xml:space="preserve">ИНН получателя средств бюджета, передающего бюджетные полномочия. </w:t>
            </w:r>
            <w:r>
              <w:t xml:space="preserve">Поле обязательно к заполнению</w:t>
            </w:r>
            <w:r>
              <w:t xml:space="preserve">,</w:t>
            </w:r>
            <w:r>
              <w:t xml:space="preserve"> если заполнено поле «Наименование ПБС, передающего полномочия».</w:t>
            </w:r>
            <w:r/>
          </w:p>
          <w:p>
            <w:pPr>
              <w:pStyle w:val="1005"/>
              <w:ind w:left="57" w:right="57"/>
            </w:pPr>
            <w:r>
              <w:t xml:space="preserve">Заполняется вручную</w:t>
            </w:r>
            <w:r>
              <w:t xml:space="preserve">.</w:t>
            </w:r>
            <w:r/>
          </w:p>
        </w:tc>
      </w:tr>
      <w:tr>
        <w:trPr/>
        <w:tc>
          <w:tcPr>
            <w:shd w:val="clear" w:fill="auto" w:color="auto"/>
            <w:tcW w:w="1169" w:type="pct"/>
            <w:textDirection w:val="lrTb"/>
            <w:noWrap w:val="false"/>
          </w:tcPr>
          <w:p>
            <w:pPr>
              <w:pStyle w:val="1005"/>
              <w:ind w:left="57" w:right="57"/>
            </w:pPr>
            <w:r>
              <w:t xml:space="preserve">КПП</w:t>
            </w:r>
            <w:r/>
          </w:p>
        </w:tc>
        <w:tc>
          <w:tcPr>
            <w:shd w:val="clear" w:fill="auto" w:color="auto"/>
            <w:tcW w:w="3831" w:type="pct"/>
            <w:textDirection w:val="lrTb"/>
            <w:noWrap w:val="false"/>
          </w:tcPr>
          <w:p>
            <w:pPr>
              <w:pStyle w:val="1005"/>
              <w:ind w:left="57" w:right="57"/>
            </w:pPr>
            <w:r>
              <w:t xml:space="preserve">КПП получателя средств бюджета, передающего бюджетные полномочия.</w:t>
            </w:r>
            <w:r/>
          </w:p>
          <w:p>
            <w:pPr>
              <w:pStyle w:val="1005"/>
              <w:ind w:left="57" w:right="57"/>
            </w:pPr>
            <w:r>
              <w:t xml:space="preserve">Заполняется вручную.</w:t>
            </w:r>
            <w:r/>
          </w:p>
        </w:tc>
      </w:tr>
    </w:tbl>
    <w:p>
      <w:pPr>
        <w:pStyle w:val="994"/>
      </w:pPr>
      <w:r>
        <w:t xml:space="preserve">ЭФ документа «Перечень финансового органа</w:t>
      </w:r>
      <w:r>
        <w:t xml:space="preserve">», закладки «</w:t>
      </w:r>
      <w:r>
        <w:t xml:space="preserve">Реквизиты удаленного УБП/НУБП»</w:t>
      </w:r>
      <w:r>
        <w:t xml:space="preserve"> представлена н</w:t>
      </w:r>
      <w:r>
        <w:t xml:space="preserve">а рисунке</w:t>
      </w:r>
      <w:r>
        <w:t xml:space="preserve"> </w:t>
      </w:r>
      <w:r>
        <w:fldChar w:fldCharType="begin"/>
      </w:r>
      <w:r>
        <w:instrText xml:space="preserve"> REF _Ref395190176 \h </w:instrText>
      </w:r>
      <w:r>
        <w:instrText xml:space="preserve"> \* MERGEFORMAT </w:instrText>
      </w:r>
      <w:r>
        <w:fldChar w:fldCharType="separate"/>
      </w:r>
      <w:r>
        <w:t xml:space="preserve">224</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116580"/>
                <wp:effectExtent l="0" t="0" r="0" b="0"/>
                <wp:docPr id="34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03"/>
                        <a:stretch/>
                      </pic:blipFill>
                      <pic:spPr bwMode="auto">
                        <a:xfrm>
                          <a:off x="0" y="0"/>
                          <a:ext cx="6126480" cy="31165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9" o:spid="_x0000_s339" type="#_x0000_t75" style="mso-wrap-distance-left:0.0pt;mso-wrap-distance-top:0.0pt;mso-wrap-distance-right:0.0pt;mso-wrap-distance-bottom:0.0pt;width:482.4pt;height:245.4pt;" stroked="f">
                <v:path textboxrect="0,0,0,0"/>
                <v:imagedata r:id="rId303" o:title=""/>
              </v:shape>
            </w:pict>
          </mc:Fallback>
        </mc:AlternateContent>
      </w:r>
      <w:r/>
    </w:p>
    <w:p>
      <w:pPr>
        <w:pStyle w:val="983"/>
      </w:pPr>
      <w:r>
        <w:fldChar w:fldCharType="begin"/>
      </w:r>
      <w:r>
        <w:instrText xml:space="preserve"> SEQ Рисунок \* ARABIC </w:instrText>
      </w:r>
      <w:r>
        <w:fldChar w:fldCharType="separate"/>
      </w:r>
      <w:bookmarkStart w:id="1565" w:name="_Ref395190176"/>
      <w:r/>
      <w:bookmarkStart w:id="1566" w:name="_Toc88819609"/>
      <w:r>
        <w:t xml:space="preserve">224</w:t>
      </w:r>
      <w:bookmarkEnd w:id="1565"/>
      <w:r>
        <w:fldChar w:fldCharType="end"/>
      </w:r>
      <w:r>
        <w:t xml:space="preserve">. ЭФ документа «Перечень финансового органа</w:t>
      </w:r>
      <w:r>
        <w:t xml:space="preserve">», закладки «</w:t>
      </w:r>
      <w:r>
        <w:t xml:space="preserve">Реквизиты удаленного УБП/НУБП»</w:t>
      </w:r>
      <w:bookmarkEnd w:id="1566"/>
      <w:r/>
      <w:r/>
    </w:p>
    <w:p>
      <w:pPr>
        <w:pStyle w:val="994"/>
      </w:pPr>
      <w:r>
        <w:t xml:space="preserve">Перечень полей </w:t>
      </w:r>
      <w:r>
        <w:t xml:space="preserve">документа «Перечень финансового органа</w:t>
      </w:r>
      <w:r>
        <w:t xml:space="preserve">», закладки «</w:t>
      </w:r>
      <w:r>
        <w:t xml:space="preserve">Реквизиты удаленного УБП/НУБП»</w:t>
      </w:r>
      <w:r>
        <w:t xml:space="preserve"> </w:t>
      </w:r>
      <w:r>
        <w:t xml:space="preserve">приведен в таблице</w:t>
      </w:r>
      <w:r>
        <w:t xml:space="preserve"> </w:t>
      </w:r>
      <w:r>
        <w:fldChar w:fldCharType="begin"/>
      </w:r>
      <w:r>
        <w:instrText xml:space="preserve"> REF _Ref395190268 \h </w:instrText>
      </w:r>
      <w:r>
        <w:instrText xml:space="preserve"> \* MERGEFORMAT </w:instrText>
      </w:r>
      <w:r>
        <w:fldChar w:fldCharType="separate"/>
      </w:r>
      <w:r>
        <w:t xml:space="preserve">123</w:t>
      </w:r>
      <w:r>
        <w:fldChar w:fldCharType="end"/>
      </w:r>
      <w:r>
        <w:t xml:space="preserve">.</w:t>
      </w:r>
      <w:r/>
    </w:p>
    <w:p>
      <w:pPr>
        <w:pStyle w:val="993"/>
      </w:pPr>
      <w:r>
        <w:fldChar w:fldCharType="begin"/>
      </w:r>
      <w:r>
        <w:instrText xml:space="preserve"> SEQ Таблица \* ARABIC </w:instrText>
      </w:r>
      <w:r>
        <w:fldChar w:fldCharType="separate"/>
      </w:r>
      <w:bookmarkStart w:id="1567" w:name="_Ref395190268"/>
      <w:r/>
      <w:bookmarkStart w:id="1568" w:name="_Toc88819310"/>
      <w:r>
        <w:t xml:space="preserve">123</w:t>
      </w:r>
      <w:bookmarkEnd w:id="1567"/>
      <w:r>
        <w:fldChar w:fldCharType="end"/>
      </w:r>
      <w:r>
        <w:t xml:space="preserve">. Описание полей </w:t>
      </w:r>
      <w:r>
        <w:t xml:space="preserve">документа «Перечень финансового органа</w:t>
      </w:r>
      <w:r>
        <w:t xml:space="preserve">», закладки «</w:t>
      </w:r>
      <w:r>
        <w:t xml:space="preserve">Реквизиты удаленного УБП/НУБП»</w:t>
      </w:r>
      <w:bookmarkEnd w:id="156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035"/>
        <w:gridCol w:w="6717"/>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556"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444"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«Реквизиты удаленного УБП/НУБП»</w:t>
            </w:r>
            <w:r/>
          </w:p>
        </w:tc>
      </w:tr>
      <w:tr>
        <w:trPr/>
        <w:tc>
          <w:tcPr>
            <w:shd w:val="clear" w:fill="auto" w:color="auto"/>
            <w:tcW w:w="1556" w:type="pct"/>
            <w:textDirection w:val="lrTb"/>
            <w:noWrap w:val="false"/>
          </w:tcPr>
          <w:p>
            <w:pPr>
              <w:pStyle w:val="1005"/>
              <w:ind w:left="57" w:right="57"/>
            </w:pPr>
            <w:r>
              <w:t xml:space="preserve">№</w:t>
            </w:r>
            <w:r/>
          </w:p>
        </w:tc>
        <w:tc>
          <w:tcPr>
            <w:shd w:val="clear" w:fill="auto" w:color="auto"/>
            <w:tcW w:w="3444" w:type="pct"/>
            <w:textDirection w:val="lrTb"/>
            <w:noWrap w:val="false"/>
          </w:tcPr>
          <w:p>
            <w:pPr>
              <w:pStyle w:val="1005"/>
              <w:ind w:left="57" w:right="57"/>
            </w:pPr>
            <w:r>
              <w:t xml:space="preserve">Последовательная нумерация строк, начиная с 1. </w:t>
            </w:r>
            <w:r/>
          </w:p>
          <w:p>
            <w:pPr>
              <w:pStyle w:val="1005"/>
              <w:ind w:left="57" w:right="57"/>
            </w:pPr>
            <w:r>
              <w:t xml:space="preserve">Поле заполняется автоматически.</w:t>
            </w:r>
            <w:r/>
          </w:p>
        </w:tc>
      </w:tr>
      <w:tr>
        <w:trPr/>
        <w:tc>
          <w:tcPr>
            <w:shd w:val="clear" w:fill="auto" w:color="auto"/>
            <w:tcW w:w="1556" w:type="pct"/>
            <w:textDirection w:val="lrTb"/>
            <w:noWrap w:val="false"/>
          </w:tcPr>
          <w:p>
            <w:pPr>
              <w:pStyle w:val="1005"/>
              <w:ind w:left="57" w:right="57"/>
            </w:pPr>
            <w:r>
              <w:t xml:space="preserve">Полное наименование</w:t>
            </w:r>
            <w:r/>
          </w:p>
        </w:tc>
        <w:tc>
          <w:tcPr>
            <w:shd w:val="clear" w:fill="auto" w:color="auto"/>
            <w:tcW w:w="3444" w:type="pct"/>
            <w:textDirection w:val="lrTb"/>
            <w:noWrap w:val="false"/>
          </w:tcPr>
          <w:p>
            <w:pPr>
              <w:pStyle w:val="1005"/>
              <w:ind w:left="57" w:right="57"/>
            </w:pPr>
            <w:r>
              <w:t xml:space="preserve">Полное наименование удаленного получателя средств бюджета (удаленного неучастника бюджетного процесса).</w:t>
            </w:r>
            <w:r/>
          </w:p>
          <w:p>
            <w:pPr>
              <w:pStyle w:val="1005"/>
              <w:ind w:left="57" w:right="57"/>
            </w:pPr>
            <w:r>
              <w:t xml:space="preserve">Заполняется вручную.</w:t>
            </w:r>
            <w:r/>
          </w:p>
        </w:tc>
      </w:tr>
      <w:tr>
        <w:trPr/>
        <w:tc>
          <w:tcPr>
            <w:shd w:val="clear" w:fill="auto" w:color="auto"/>
            <w:tcW w:w="1556" w:type="pct"/>
            <w:textDirection w:val="lrTb"/>
            <w:noWrap w:val="false"/>
          </w:tcPr>
          <w:p>
            <w:pPr>
              <w:pStyle w:val="1005"/>
              <w:ind w:left="57" w:right="57"/>
            </w:pPr>
            <w:r>
              <w:t xml:space="preserve">Сокращенное наименование</w:t>
            </w:r>
            <w:r/>
          </w:p>
        </w:tc>
        <w:tc>
          <w:tcPr>
            <w:shd w:val="clear" w:fill="auto" w:color="auto"/>
            <w:tcW w:w="3444" w:type="pct"/>
            <w:textDirection w:val="lrTb"/>
            <w:noWrap w:val="false"/>
          </w:tcPr>
          <w:p>
            <w:pPr>
              <w:pStyle w:val="1005"/>
              <w:ind w:left="57" w:right="57"/>
            </w:pPr>
            <w:r>
              <w:t xml:space="preserve">Сокращенное наименование удаленного получателя средств бюджета (удаленного неучастника бюджетного процесса).</w:t>
            </w:r>
            <w:r/>
          </w:p>
          <w:p>
            <w:pPr>
              <w:pStyle w:val="1005"/>
              <w:ind w:left="57" w:right="57"/>
            </w:pPr>
            <w:r>
              <w:t xml:space="preserve">Заполняется вручную.</w:t>
            </w:r>
            <w:r/>
          </w:p>
        </w:tc>
      </w:tr>
      <w:tr>
        <w:trPr/>
        <w:tc>
          <w:tcPr>
            <w:shd w:val="clear" w:fill="auto" w:color="auto"/>
            <w:tcW w:w="1556" w:type="pct"/>
            <w:textDirection w:val="lrTb"/>
            <w:noWrap w:val="false"/>
          </w:tcPr>
          <w:p>
            <w:pPr>
              <w:pStyle w:val="1005"/>
              <w:ind w:left="57" w:right="57"/>
            </w:pPr>
            <w:r>
              <w:t xml:space="preserve">ИНН</w:t>
            </w:r>
            <w:r/>
          </w:p>
        </w:tc>
        <w:tc>
          <w:tcPr>
            <w:shd w:val="clear" w:fill="auto" w:color="auto"/>
            <w:tcW w:w="3444" w:type="pct"/>
            <w:textDirection w:val="lrTb"/>
            <w:noWrap w:val="false"/>
          </w:tcPr>
          <w:p>
            <w:pPr>
              <w:pStyle w:val="1005"/>
              <w:ind w:left="57" w:right="57"/>
            </w:pPr>
            <w:r>
              <w:t xml:space="preserve">ИНН удаленного получателя средств (удаленного неучастника бюджетного процесса).</w:t>
            </w:r>
            <w:r/>
          </w:p>
          <w:p>
            <w:pPr>
              <w:pStyle w:val="1005"/>
              <w:ind w:left="57" w:right="57"/>
            </w:pPr>
            <w:r>
              <w:t xml:space="preserve">Заполняется вручную.</w:t>
            </w:r>
            <w:r/>
          </w:p>
        </w:tc>
      </w:tr>
      <w:tr>
        <w:trPr/>
        <w:tc>
          <w:tcPr>
            <w:shd w:val="clear" w:fill="auto" w:color="auto"/>
            <w:tcW w:w="1556" w:type="pct"/>
            <w:textDirection w:val="lrTb"/>
            <w:noWrap w:val="false"/>
          </w:tcPr>
          <w:p>
            <w:pPr>
              <w:pStyle w:val="1005"/>
              <w:ind w:left="57" w:right="57"/>
            </w:pPr>
            <w:r>
              <w:t xml:space="preserve">КПП</w:t>
            </w:r>
            <w:r/>
          </w:p>
        </w:tc>
        <w:tc>
          <w:tcPr>
            <w:shd w:val="clear" w:fill="auto" w:color="auto"/>
            <w:tcW w:w="3444" w:type="pct"/>
            <w:textDirection w:val="lrTb"/>
            <w:noWrap w:val="false"/>
          </w:tcPr>
          <w:p>
            <w:pPr>
              <w:pStyle w:val="1005"/>
              <w:ind w:left="57" w:right="57"/>
            </w:pPr>
            <w:r>
              <w:t xml:space="preserve">КПП удаленного получателя средств (удаленного неучастника бюджетного процесса).</w:t>
            </w:r>
            <w:r/>
          </w:p>
          <w:p>
            <w:pPr>
              <w:pStyle w:val="1005"/>
              <w:ind w:left="57" w:right="57"/>
            </w:pPr>
            <w:r>
              <w:t xml:space="preserve">Заполняется вручную.</w:t>
            </w:r>
            <w:r/>
          </w:p>
        </w:tc>
      </w:tr>
      <w:tr>
        <w:trPr/>
        <w:tc>
          <w:tcPr>
            <w:shd w:val="clear" w:fill="auto" w:color="auto"/>
            <w:tcW w:w="1556" w:type="pct"/>
            <w:textDirection w:val="lrTb"/>
            <w:noWrap w:val="false"/>
          </w:tcPr>
          <w:p>
            <w:pPr>
              <w:pStyle w:val="1005"/>
              <w:ind w:left="57" w:right="57"/>
            </w:pPr>
            <w:r>
              <w:t xml:space="preserve">Примечание</w:t>
            </w:r>
            <w:r/>
          </w:p>
        </w:tc>
        <w:tc>
          <w:tcPr>
            <w:shd w:val="clear" w:fill="auto" w:color="auto"/>
            <w:tcW w:w="3444" w:type="pct"/>
            <w:textDirection w:val="lrTb"/>
            <w:noWrap w:val="false"/>
          </w:tcPr>
          <w:p>
            <w:pPr>
              <w:pStyle w:val="1005"/>
              <w:ind w:left="57" w:right="57"/>
            </w:pPr>
            <w:r>
              <w:t xml:space="preserve">Заполняется вручную.</w:t>
            </w:r>
            <w:r/>
          </w:p>
        </w:tc>
      </w:tr>
      <w:tr>
        <w:trPr/>
        <w:tc>
          <w:tcPr>
            <w:shd w:val="clear" w:fill="auto" w:color="auto"/>
            <w:tcW w:w="1556" w:type="pct"/>
            <w:textDirection w:val="lrTb"/>
            <w:noWrap w:val="false"/>
          </w:tcPr>
          <w:p>
            <w:pPr>
              <w:pStyle w:val="1005"/>
              <w:ind w:left="57" w:right="57"/>
            </w:pPr>
            <w:r>
              <w:t xml:space="preserve">Признак строки</w:t>
            </w:r>
            <w:r/>
          </w:p>
        </w:tc>
        <w:tc>
          <w:tcPr>
            <w:shd w:val="clear" w:fill="auto" w:color="auto"/>
            <w:tcW w:w="3444" w:type="pct"/>
            <w:textDirection w:val="lrTb"/>
            <w:noWrap w:val="false"/>
          </w:tcPr>
          <w:p>
            <w:pPr>
              <w:pStyle w:val="1005"/>
              <w:ind w:left="57" w:right="57"/>
            </w:pPr>
            <w:r>
              <w:t xml:space="preserve">Значение выбирается пользователем из перечня:</w:t>
            </w:r>
            <w:r/>
          </w:p>
          <w:p>
            <w:pPr>
              <w:pStyle w:val="1007"/>
            </w:pPr>
            <w:r>
              <w:t xml:space="preserve">1</w:t>
            </w:r>
            <w:r>
              <w:t xml:space="preserve"> – </w:t>
            </w:r>
            <w:r>
              <w:t xml:space="preserve">«включаемая строка»;</w:t>
            </w:r>
            <w:r/>
          </w:p>
          <w:p>
            <w:pPr>
              <w:pStyle w:val="1007"/>
            </w:pPr>
            <w:r>
              <w:t xml:space="preserve">2</w:t>
            </w:r>
            <w:r>
              <w:t xml:space="preserve"> – </w:t>
            </w:r>
            <w:r>
              <w:t xml:space="preserve">«исключаемая строка»;</w:t>
            </w:r>
            <w:r/>
          </w:p>
          <w:p>
            <w:pPr>
              <w:pStyle w:val="1007"/>
            </w:pPr>
            <w:r>
              <w:t xml:space="preserve">3</w:t>
            </w:r>
            <w:r>
              <w:t xml:space="preserve"> – </w:t>
            </w:r>
            <w:r>
              <w:t xml:space="preserve">«изменяемая строка»;</w:t>
            </w:r>
            <w:r/>
          </w:p>
          <w:p>
            <w:pPr>
              <w:pStyle w:val="1007"/>
            </w:pPr>
            <w:r>
              <w:t xml:space="preserve">4</w:t>
            </w:r>
            <w:r>
              <w:t xml:space="preserve"> – </w:t>
            </w:r>
            <w:r>
              <w:t xml:space="preserve">«изменяющая строка».</w:t>
            </w:r>
            <w:r/>
          </w:p>
        </w:tc>
      </w:tr>
      <w:tr>
        <w:trPr/>
        <w:tc>
          <w:tcPr>
            <w:shd w:val="clear" w:fill="auto" w:color="auto"/>
            <w:tcW w:w="1556" w:type="pct"/>
            <w:textDirection w:val="lrTb"/>
            <w:noWrap w:val="false"/>
          </w:tcPr>
          <w:p>
            <w:pPr>
              <w:pStyle w:val="1005"/>
              <w:ind w:left="57" w:right="57"/>
            </w:pPr>
            <w:r>
              <w:t xml:space="preserve">Номер строки</w:t>
            </w:r>
            <w:r/>
          </w:p>
        </w:tc>
        <w:tc>
          <w:tcPr>
            <w:shd w:val="clear" w:fill="auto" w:color="auto"/>
            <w:tcW w:w="3444" w:type="pct"/>
            <w:textDirection w:val="lrTb"/>
            <w:noWrap w:val="false"/>
          </w:tcPr>
          <w:p>
            <w:pPr>
              <w:pStyle w:val="1005"/>
              <w:ind w:left="57" w:right="57"/>
            </w:pPr>
            <w:r>
              <w:t xml:space="preserve">Указывается номер изменяемой или изменяющей строки.</w:t>
            </w:r>
            <w:r/>
          </w:p>
          <w:p>
            <w:pPr>
              <w:pStyle w:val="1005"/>
              <w:ind w:left="57" w:right="57"/>
            </w:pPr>
            <w:r>
              <w:t xml:space="preserve">Значение заполняется пользователем вручную. </w:t>
            </w:r>
            <w:r/>
          </w:p>
          <w:p>
            <w:pPr>
              <w:pStyle w:val="1005"/>
              <w:ind w:left="57" w:right="57"/>
            </w:pPr>
            <w:r>
              <w:t xml:space="preserve">Поле обязательно для заполнения</w:t>
            </w:r>
            <w:r>
              <w:t xml:space="preserve">.</w:t>
            </w:r>
            <w:r>
              <w:t xml:space="preserve"> </w:t>
            </w:r>
            <w:r>
              <w:t xml:space="preserve">В случае если </w:t>
            </w:r>
            <w:r>
              <w:t xml:space="preserve">в поле «Признак строки» указано значение «3» или «4».</w:t>
            </w:r>
            <w:r/>
          </w:p>
        </w:tc>
      </w:tr>
    </w:tbl>
    <w:p>
      <w:pPr>
        <w:pStyle w:val="994"/>
      </w:pPr>
      <w:r>
        <w:t xml:space="preserve">ЭФ документа «Перечень фина</w:t>
      </w:r>
      <w:r>
        <w:t xml:space="preserve">н</w:t>
      </w:r>
      <w:r>
        <w:t xml:space="preserve">сового органа</w:t>
      </w:r>
      <w:r>
        <w:t xml:space="preserve">», закладки «</w:t>
      </w:r>
      <w:r>
        <w:t xml:space="preserve">Подписи»</w:t>
      </w:r>
      <w:r>
        <w:t xml:space="preserve"> представлена н</w:t>
      </w:r>
      <w:r>
        <w:t xml:space="preserve">а рисунке</w:t>
      </w:r>
      <w:r>
        <w:t xml:space="preserve"> </w:t>
      </w:r>
      <w:r>
        <w:fldChar w:fldCharType="begin"/>
      </w:r>
      <w:r>
        <w:instrText xml:space="preserve"> REF _Ref395190223 \h </w:instrText>
      </w:r>
      <w:r>
        <w:instrText xml:space="preserve"> \* MERGEFORMAT </w:instrText>
      </w:r>
      <w:r>
        <w:fldChar w:fldCharType="separate"/>
      </w:r>
      <w:r>
        <w:t xml:space="preserve">225</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468880"/>
                <wp:effectExtent l="0" t="0" r="0" b="0"/>
                <wp:docPr id="34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04"/>
                        <a:stretch/>
                      </pic:blipFill>
                      <pic:spPr bwMode="auto">
                        <a:xfrm>
                          <a:off x="0" y="0"/>
                          <a:ext cx="6126480" cy="2468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0" o:spid="_x0000_s340" type="#_x0000_t75" style="mso-wrap-distance-left:0.0pt;mso-wrap-distance-top:0.0pt;mso-wrap-distance-right:0.0pt;mso-wrap-distance-bottom:0.0pt;width:482.4pt;height:194.4pt;" stroked="f">
                <v:path textboxrect="0,0,0,0"/>
                <v:imagedata r:id="rId304" o:title=""/>
              </v:shape>
            </w:pict>
          </mc:Fallback>
        </mc:AlternateContent>
      </w:r>
      <w:r/>
    </w:p>
    <w:p>
      <w:pPr>
        <w:pStyle w:val="983"/>
      </w:pPr>
      <w:r>
        <w:fldChar w:fldCharType="begin"/>
      </w:r>
      <w:r>
        <w:instrText xml:space="preserve"> SEQ Рисунок \* ARABIC </w:instrText>
      </w:r>
      <w:r>
        <w:fldChar w:fldCharType="separate"/>
      </w:r>
      <w:bookmarkStart w:id="1569" w:name="_Ref395190223"/>
      <w:r/>
      <w:bookmarkStart w:id="1570" w:name="_Toc88819610"/>
      <w:r>
        <w:t xml:space="preserve">225</w:t>
      </w:r>
      <w:bookmarkEnd w:id="1569"/>
      <w:r>
        <w:fldChar w:fldCharType="end"/>
      </w:r>
      <w:r>
        <w:t xml:space="preserve">. ЭФ документа «Перечень финансового органа</w:t>
      </w:r>
      <w:r>
        <w:t xml:space="preserve">», закладки «</w:t>
      </w:r>
      <w:r>
        <w:t xml:space="preserve">Подписи»</w:t>
      </w:r>
      <w:bookmarkEnd w:id="1570"/>
      <w:r/>
      <w:r/>
    </w:p>
    <w:p>
      <w:pPr>
        <w:pStyle w:val="994"/>
      </w:pPr>
      <w:r>
        <w:t xml:space="preserve">Перечень полей </w:t>
      </w:r>
      <w:r>
        <w:t xml:space="preserve">документа «Перечень фина</w:t>
      </w:r>
      <w:r>
        <w:t xml:space="preserve">н</w:t>
      </w:r>
      <w:r>
        <w:t xml:space="preserve">сового органа</w:t>
      </w:r>
      <w:r>
        <w:t xml:space="preserve">», закладки «</w:t>
      </w:r>
      <w:r>
        <w:t xml:space="preserve">Подписи»</w:t>
      </w:r>
      <w:r>
        <w:t xml:space="preserve"> </w:t>
      </w:r>
      <w:r>
        <w:t xml:space="preserve">приведен в таблице</w:t>
      </w:r>
      <w:r>
        <w:t xml:space="preserve"> </w:t>
      </w:r>
      <w:r>
        <w:fldChar w:fldCharType="begin"/>
      </w:r>
      <w:r>
        <w:instrText xml:space="preserve"> REF _Ref395190254 \h </w:instrText>
      </w:r>
      <w:r>
        <w:instrText xml:space="preserve"> \* MERGEFORMAT </w:instrText>
      </w:r>
      <w:r>
        <w:fldChar w:fldCharType="separate"/>
      </w:r>
      <w:r>
        <w:t xml:space="preserve">124</w:t>
      </w:r>
      <w:r>
        <w:fldChar w:fldCharType="end"/>
      </w:r>
      <w:r>
        <w:t xml:space="preserve">.</w:t>
      </w:r>
      <w:r/>
    </w:p>
    <w:p>
      <w:pPr>
        <w:pStyle w:val="993"/>
      </w:pPr>
      <w:r>
        <w:fldChar w:fldCharType="begin"/>
      </w:r>
      <w:r>
        <w:instrText xml:space="preserve"> SEQ Таблица \* ARABIC </w:instrText>
      </w:r>
      <w:r>
        <w:fldChar w:fldCharType="separate"/>
      </w:r>
      <w:bookmarkStart w:id="1571" w:name="_Ref395190254"/>
      <w:r/>
      <w:bookmarkStart w:id="1572" w:name="_Toc88819311"/>
      <w:r>
        <w:t xml:space="preserve">124</w:t>
      </w:r>
      <w:bookmarkEnd w:id="1571"/>
      <w:r>
        <w:fldChar w:fldCharType="end"/>
      </w:r>
      <w:r>
        <w:t xml:space="preserve">. Описание полей </w:t>
      </w:r>
      <w:r>
        <w:t xml:space="preserve">документа «Перечень фина</w:t>
      </w:r>
      <w:r>
        <w:t xml:space="preserve">н</w:t>
      </w:r>
      <w:r>
        <w:t xml:space="preserve">сового органа</w:t>
      </w:r>
      <w:r>
        <w:t xml:space="preserve">», закладки «</w:t>
      </w:r>
      <w:r>
        <w:t xml:space="preserve">Подписи»</w:t>
      </w:r>
      <w:bookmarkEnd w:id="1572"/>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565"/>
        <w:gridCol w:w="7187"/>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315"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685"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Г</w:t>
            </w:r>
            <w:r>
              <w:t xml:space="preserve">руппа полей «Руководитель»</w:t>
            </w:r>
            <w:r/>
          </w:p>
        </w:tc>
      </w:tr>
      <w:tr>
        <w:trPr/>
        <w:tc>
          <w:tcPr>
            <w:shd w:val="clear" w:fill="auto" w:color="auto"/>
            <w:tcW w:w="1315" w:type="pct"/>
            <w:textDirection w:val="lrTb"/>
            <w:noWrap w:val="false"/>
          </w:tcPr>
          <w:p>
            <w:pPr>
              <w:pStyle w:val="1005"/>
              <w:ind w:left="57" w:right="57"/>
            </w:pPr>
            <w:r>
              <w:t xml:space="preserve">Должность руководителя (уполномоченного лица)</w:t>
            </w:r>
            <w:r/>
          </w:p>
        </w:tc>
        <w:tc>
          <w:tcPr>
            <w:shd w:val="clear" w:fill="auto" w:color="auto"/>
            <w:tcW w:w="3685" w:type="pct"/>
            <w:textDirection w:val="lrTb"/>
            <w:noWrap w:val="false"/>
          </w:tcPr>
          <w:p>
            <w:pPr>
              <w:pStyle w:val="1005"/>
              <w:ind w:left="57" w:right="57"/>
            </w:pPr>
            <w:r>
              <w:t xml:space="preserve">Заполняется соответствующим значением из справочника «Сотрудники» значению поля «ФИО руководителя (уполномоченного лица)». </w:t>
            </w:r>
            <w:r/>
          </w:p>
          <w:p>
            <w:pPr>
              <w:pStyle w:val="1005"/>
              <w:ind w:left="57" w:right="57"/>
            </w:pPr>
            <w:r>
              <w:t xml:space="preserve">Может быть отредактировано пользователем вручную.</w:t>
            </w:r>
            <w:r/>
          </w:p>
        </w:tc>
      </w:tr>
      <w:tr>
        <w:trPr/>
        <w:tc>
          <w:tcPr>
            <w:shd w:val="clear" w:fill="auto" w:color="auto"/>
            <w:tcW w:w="1315" w:type="pct"/>
            <w:textDirection w:val="lrTb"/>
            <w:noWrap w:val="false"/>
          </w:tcPr>
          <w:p>
            <w:pPr>
              <w:pStyle w:val="1005"/>
              <w:ind w:left="57" w:right="57"/>
            </w:pPr>
            <w:r>
              <w:t xml:space="preserve">ФИО руководителя (уполномоченного лица)</w:t>
            </w:r>
            <w:r/>
          </w:p>
        </w:tc>
        <w:tc>
          <w:tcPr>
            <w:shd w:val="clear" w:fill="auto" w:color="auto"/>
            <w:tcW w:w="3685" w:type="pct"/>
            <w:textDirection w:val="lrTb"/>
            <w:noWrap w:val="false"/>
          </w:tcPr>
          <w:p>
            <w:pPr>
              <w:pStyle w:val="1005"/>
              <w:ind w:left="57" w:right="57"/>
            </w:pPr>
            <w:r>
              <w:t xml:space="preserve">Возможен выбор из справочника «Сотрудники» (с автоматическим заполнением поля «Должность руководителя (уполномоченного лица)».</w:t>
            </w:r>
            <w:r/>
          </w:p>
          <w:p>
            <w:pPr>
              <w:pStyle w:val="1005"/>
              <w:ind w:left="57" w:right="57"/>
            </w:pPr>
            <w:r>
              <w:t xml:space="preserve">Может быть изменено пользователем вручную.</w:t>
            </w:r>
            <w:r/>
          </w:p>
        </w:tc>
      </w:tr>
      <w:tr>
        <w:trPr/>
        <w:tc>
          <w:tcPr>
            <w:gridSpan w:val="2"/>
            <w:shd w:val="clear" w:fill="auto" w:color="auto"/>
            <w:tcW w:w="5000" w:type="pct"/>
            <w:textDirection w:val="lrTb"/>
            <w:noWrap w:val="false"/>
          </w:tcPr>
          <w:p>
            <w:pPr>
              <w:pStyle w:val="1005"/>
              <w:ind w:left="57" w:right="57"/>
            </w:pPr>
            <w:r>
              <w:t xml:space="preserve">Г</w:t>
            </w:r>
            <w:r>
              <w:t xml:space="preserve">руппа </w:t>
            </w:r>
            <w:r>
              <w:t xml:space="preserve">полей «Главный бухгалтер»</w:t>
            </w:r>
            <w:r/>
          </w:p>
        </w:tc>
      </w:tr>
      <w:tr>
        <w:trPr/>
        <w:tc>
          <w:tcPr>
            <w:shd w:val="clear" w:fill="auto" w:color="auto"/>
            <w:tcW w:w="1315" w:type="pct"/>
            <w:textDirection w:val="lrTb"/>
            <w:noWrap w:val="false"/>
          </w:tcPr>
          <w:p>
            <w:pPr>
              <w:pStyle w:val="1005"/>
              <w:ind w:left="57" w:right="57"/>
            </w:pPr>
            <w:r>
              <w:t xml:space="preserve">Должность главного бухгалтера (уполномоченного лица)</w:t>
            </w:r>
            <w:r/>
          </w:p>
        </w:tc>
        <w:tc>
          <w:tcPr>
            <w:shd w:val="clear" w:fill="auto" w:color="auto"/>
            <w:tcW w:w="3685" w:type="pct"/>
            <w:textDirection w:val="lrTb"/>
            <w:noWrap w:val="false"/>
          </w:tcPr>
          <w:p>
            <w:pPr>
              <w:pStyle w:val="1005"/>
              <w:ind w:left="57" w:right="57"/>
            </w:pPr>
            <w:r>
              <w:t xml:space="preserve">Заполняется соответствующим значением из справочника «Сотрудники» значению поля «ФИО главного бухгалтера».</w:t>
            </w:r>
            <w:r/>
          </w:p>
          <w:p>
            <w:pPr>
              <w:pStyle w:val="1005"/>
              <w:ind w:left="57" w:right="57"/>
            </w:pPr>
            <w:r>
              <w:t xml:space="preserve">Может быть отредактировано пользователем вручную.</w:t>
            </w:r>
            <w:r/>
          </w:p>
        </w:tc>
      </w:tr>
      <w:tr>
        <w:trPr/>
        <w:tc>
          <w:tcPr>
            <w:shd w:val="clear" w:fill="auto" w:color="auto"/>
            <w:tcW w:w="1315" w:type="pct"/>
            <w:textDirection w:val="lrTb"/>
            <w:noWrap w:val="false"/>
          </w:tcPr>
          <w:p>
            <w:pPr>
              <w:pStyle w:val="1005"/>
              <w:ind w:left="57" w:right="57"/>
            </w:pPr>
            <w:r>
              <w:t xml:space="preserve">ФИО главного бухгалтера (уполномоченного лица)</w:t>
            </w:r>
            <w:r/>
          </w:p>
        </w:tc>
        <w:tc>
          <w:tcPr>
            <w:shd w:val="clear" w:fill="auto" w:color="auto"/>
            <w:tcW w:w="3685" w:type="pct"/>
            <w:textDirection w:val="lrTb"/>
            <w:noWrap w:val="false"/>
          </w:tcPr>
          <w:p>
            <w:pPr>
              <w:pStyle w:val="1005"/>
              <w:ind w:left="57" w:right="57"/>
            </w:pPr>
            <w:r>
              <w:t xml:space="preserve">Заполняется автоматически на основании настроек профиля пользователя.</w:t>
            </w:r>
            <w:r/>
          </w:p>
          <w:p>
            <w:pPr>
              <w:pStyle w:val="1005"/>
              <w:ind w:left="57" w:right="57"/>
            </w:pPr>
            <w:r>
              <w:t xml:space="preserve">Возможен выбор из справочника «Сотрудники» (с автоматическим заполнением полей «Должность главного бухгалтера»).</w:t>
            </w:r>
            <w:r/>
          </w:p>
          <w:p>
            <w:pPr>
              <w:pStyle w:val="1005"/>
              <w:ind w:left="57" w:right="57"/>
            </w:pPr>
            <w:r>
              <w:t xml:space="preserve">Может быть отредактировано пользователем вручную.</w:t>
            </w:r>
            <w:r/>
          </w:p>
        </w:tc>
      </w:tr>
    </w:tbl>
    <w:p>
      <w:pPr>
        <w:pStyle w:val="972"/>
      </w:pPr>
      <w:r/>
      <w:bookmarkStart w:id="1573" w:name="_Ref512603087"/>
      <w:r/>
      <w:bookmarkStart w:id="1574" w:name="_Toc422496721"/>
      <w:r/>
      <w:bookmarkStart w:id="1575" w:name="_Toc88819149"/>
      <w:r>
        <w:t xml:space="preserve">Запрос о получении информации по ЭПС участника</w:t>
      </w:r>
      <w:bookmarkEnd w:id="1573"/>
      <w:r/>
      <w:bookmarkEnd w:id="1575"/>
      <w:r/>
      <w:r/>
    </w:p>
    <w:p>
      <w:pPr>
        <w:pStyle w:val="994"/>
      </w:pPr>
      <w:r>
        <w:t xml:space="preserve">Документ предназначен для передачи запроса из банка через учётную систему ФК для клиента ФК.</w:t>
      </w:r>
      <w:r/>
    </w:p>
    <w:p>
      <w:pPr>
        <w:pStyle w:val="994"/>
      </w:pPr>
      <w:r>
        <w:t xml:space="preserve">Для работы с документами </w:t>
      </w:r>
      <w:r>
        <w:t xml:space="preserve">«</w:t>
      </w:r>
      <w:r>
        <w:t xml:space="preserve">Запрос о получении информации по ЭПС участника</w:t>
      </w:r>
      <w:r>
        <w:t xml:space="preserve">» </w:t>
      </w:r>
      <w:r>
        <w:t xml:space="preserve">следует п</w:t>
      </w:r>
      <w:r>
        <w:t xml:space="preserve">е</w:t>
      </w:r>
      <w:r>
        <w:t xml:space="preserve">рейти в пункт</w:t>
      </w:r>
      <w:r>
        <w:t xml:space="preserve"> меню «</w:t>
      </w:r>
      <w:r>
        <w:t xml:space="preserve">Документы</w:t>
      </w:r>
      <w:r>
        <w:t xml:space="preserve"> – </w:t>
      </w:r>
      <w:r>
        <w:t xml:space="preserve">Управление платежами</w:t>
      </w:r>
      <w:r>
        <w:t xml:space="preserve"> – Обмен информацией с банком – </w:t>
      </w:r>
      <w:r>
        <w:t xml:space="preserve">Запрос о получении информации по ЭПС участника</w:t>
      </w:r>
      <w:r>
        <w:t xml:space="preserve">».</w:t>
      </w:r>
      <w:r>
        <w:t xml:space="preserve"> </w:t>
      </w:r>
      <w:r>
        <w:t xml:space="preserve">Откроется ЭФ сп</w:t>
      </w:r>
      <w:r>
        <w:t xml:space="preserve">и</w:t>
      </w:r>
      <w:r>
        <w:t xml:space="preserve">ска документов, представленная на р</w:t>
      </w:r>
      <w:r>
        <w:t xml:space="preserve">и</w:t>
      </w:r>
      <w:r>
        <w:t xml:space="preserve">сунке</w:t>
      </w:r>
      <w:r>
        <w:t xml:space="preserve"> </w:t>
      </w:r>
      <w:r>
        <w:fldChar w:fldCharType="begin"/>
      </w:r>
      <w:r>
        <w:instrText xml:space="preserve"> REF _Ref423442309 \h </w:instrText>
      </w:r>
      <w:r>
        <w:fldChar w:fldCharType="separate"/>
      </w:r>
      <w:r>
        <w:t xml:space="preserve">226</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3025140"/>
                <wp:effectExtent l="0" t="0" r="0" b="0"/>
                <wp:docPr id="34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05"/>
                        <a:stretch/>
                      </pic:blipFill>
                      <pic:spPr bwMode="auto">
                        <a:xfrm>
                          <a:off x="0" y="0"/>
                          <a:ext cx="6035039" cy="30251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1" o:spid="_x0000_s341" type="#_x0000_t75" style="mso-wrap-distance-left:0.0pt;mso-wrap-distance-top:0.0pt;mso-wrap-distance-right:0.0pt;mso-wrap-distance-bottom:0.0pt;width:475.2pt;height:238.2pt;" stroked="f">
                <v:path textboxrect="0,0,0,0"/>
                <v:imagedata r:id="rId305" o:title=""/>
              </v:shape>
            </w:pict>
          </mc:Fallback>
        </mc:AlternateContent>
      </w:r>
      <w:r/>
    </w:p>
    <w:p>
      <w:pPr>
        <w:pStyle w:val="983"/>
      </w:pPr>
      <w:r>
        <w:fldChar w:fldCharType="begin"/>
      </w:r>
      <w:r>
        <w:instrText xml:space="preserve"> SEQ Рисунок \* ARABIC </w:instrText>
      </w:r>
      <w:r>
        <w:fldChar w:fldCharType="separate"/>
      </w:r>
      <w:bookmarkStart w:id="1576" w:name="_Ref423442309"/>
      <w:r/>
      <w:bookmarkStart w:id="1577" w:name="_Toc88819611"/>
      <w:r>
        <w:t xml:space="preserve">226</w:t>
      </w:r>
      <w:bookmarkEnd w:id="1576"/>
      <w:r>
        <w:fldChar w:fldCharType="end"/>
      </w:r>
      <w:r>
        <w:t xml:space="preserve">. </w:t>
      </w:r>
      <w:r>
        <w:t xml:space="preserve">ЭФ списка документов </w:t>
      </w:r>
      <w:r>
        <w:t xml:space="preserve">«</w:t>
      </w:r>
      <w:r>
        <w:t xml:space="preserve">Запрос о получении информации по ЭПС участника</w:t>
      </w:r>
      <w:r>
        <w:t xml:space="preserve">»</w:t>
      </w:r>
      <w:bookmarkEnd w:id="1577"/>
      <w:r/>
      <w:r/>
    </w:p>
    <w:p>
      <w:pPr>
        <w:pStyle w:val="973"/>
      </w:pPr>
      <w:r>
        <w:t xml:space="preserve">Доступные операции</w:t>
      </w:r>
      <w:r/>
    </w:p>
    <w:p>
      <w:pPr>
        <w:pStyle w:val="994"/>
      </w:pPr>
      <w:r>
        <w:t xml:space="preserve">На АРМ </w:t>
      </w:r>
      <w:r>
        <w:t xml:space="preserve">ФО</w:t>
      </w:r>
      <w:r>
        <w:t xml:space="preserve"> доступны следующие операции над документом:</w:t>
      </w:r>
      <w:r/>
    </w:p>
    <w:p>
      <w:pPr>
        <w:pStyle w:val="985"/>
      </w:pPr>
      <w:r>
        <w:t xml:space="preserve">просмотр;</w:t>
      </w:r>
      <w:r/>
    </w:p>
    <w:p>
      <w:pPr>
        <w:pStyle w:val="985"/>
      </w:pPr>
      <w:r>
        <w:t xml:space="preserve">проверка</w:t>
      </w:r>
      <w:r>
        <w:t xml:space="preserve"> </w:t>
      </w:r>
      <w:r>
        <w:t xml:space="preserve">ЭП</w:t>
      </w:r>
      <w:r>
        <w:t xml:space="preserve">;</w:t>
      </w:r>
      <w:r/>
    </w:p>
    <w:p>
      <w:pPr>
        <w:pStyle w:val="985"/>
      </w:pPr>
      <w:r>
        <w:t xml:space="preserve">импорт из OEBS</w:t>
      </w:r>
      <w:r>
        <w:t xml:space="preserve">;</w:t>
      </w:r>
      <w:r/>
    </w:p>
    <w:p>
      <w:pPr>
        <w:pStyle w:val="985"/>
      </w:pPr>
      <w:r>
        <w:t xml:space="preserve">экспорт во внешнюю систему.</w:t>
      </w:r>
      <w:r/>
    </w:p>
    <w:p>
      <w:pPr>
        <w:pStyle w:val="973"/>
      </w:pPr>
      <w:r>
        <w:t xml:space="preserve">Экранная форма документа</w:t>
      </w:r>
      <w:r/>
    </w:p>
    <w:p>
      <w:pPr>
        <w:pStyle w:val="994"/>
      </w:pPr>
      <w:r>
        <w:t xml:space="preserve">ЭФ </w:t>
      </w:r>
      <w:r>
        <w:t xml:space="preserve">документа «</w:t>
      </w:r>
      <w:r>
        <w:t xml:space="preserve">Запрос о получении информации по ЭПС участника</w:t>
      </w:r>
      <w:r>
        <w:t xml:space="preserve">»</w:t>
      </w:r>
      <w:r>
        <w:t xml:space="preserve"> представлена на р</w:t>
      </w:r>
      <w:r>
        <w:t xml:space="preserve">и</w:t>
      </w:r>
      <w:r>
        <w:t xml:space="preserve">сунке </w:t>
      </w:r>
      <w:r>
        <w:fldChar w:fldCharType="begin"/>
      </w:r>
      <w:r>
        <w:instrText xml:space="preserve"> REF _Ref423442321 \h </w:instrText>
      </w:r>
      <w:r>
        <w:fldChar w:fldCharType="separate"/>
      </w:r>
      <w:r>
        <w:t xml:space="preserve">227</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6675120"/>
                <wp:effectExtent l="0" t="0" r="0" b="0"/>
                <wp:docPr id="34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06"/>
                        <a:stretch/>
                      </pic:blipFill>
                      <pic:spPr bwMode="auto">
                        <a:xfrm>
                          <a:off x="0" y="0"/>
                          <a:ext cx="6126480" cy="66751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2" o:spid="_x0000_s342" type="#_x0000_t75" style="mso-wrap-distance-left:0.0pt;mso-wrap-distance-top:0.0pt;mso-wrap-distance-right:0.0pt;mso-wrap-distance-bottom:0.0pt;width:482.4pt;height:525.6pt;" stroked="f">
                <v:path textboxrect="0,0,0,0"/>
                <v:imagedata r:id="rId306" o:title=""/>
              </v:shape>
            </w:pict>
          </mc:Fallback>
        </mc:AlternateContent>
      </w:r>
      <w:r/>
    </w:p>
    <w:p>
      <w:pPr>
        <w:pStyle w:val="983"/>
      </w:pPr>
      <w:r>
        <w:fldChar w:fldCharType="begin"/>
      </w:r>
      <w:r>
        <w:instrText xml:space="preserve"> SEQ Рисунок \* ARABIC </w:instrText>
      </w:r>
      <w:r>
        <w:fldChar w:fldCharType="separate"/>
      </w:r>
      <w:bookmarkStart w:id="1578" w:name="_Ref423442321"/>
      <w:r/>
      <w:bookmarkStart w:id="1579" w:name="_Toc88819612"/>
      <w:r>
        <w:t xml:space="preserve">227</w:t>
      </w:r>
      <w:bookmarkEnd w:id="1578"/>
      <w:r>
        <w:fldChar w:fldCharType="end"/>
      </w:r>
      <w:r>
        <w:t xml:space="preserve">. ЭФ </w:t>
      </w:r>
      <w:r>
        <w:t xml:space="preserve">документа «</w:t>
      </w:r>
      <w:r>
        <w:t xml:space="preserve">Запрос о получении информации по ЭПС участника</w:t>
      </w:r>
      <w:r>
        <w:t xml:space="preserve">»</w:t>
      </w:r>
      <w:bookmarkEnd w:id="1579"/>
      <w:r/>
      <w:r/>
    </w:p>
    <w:p>
      <w:pPr>
        <w:pStyle w:val="994"/>
      </w:pPr>
      <w:r>
        <w:t xml:space="preserve">Перечень </w:t>
      </w:r>
      <w:r>
        <w:t xml:space="preserve">полей </w:t>
      </w:r>
      <w:r>
        <w:t xml:space="preserve">документа</w:t>
      </w:r>
      <w:r>
        <w:t xml:space="preserve"> </w:t>
      </w:r>
      <w:r>
        <w:t xml:space="preserve">«</w:t>
      </w:r>
      <w:r>
        <w:t xml:space="preserve">Запрос о получении информации по ЭПС участника</w:t>
      </w:r>
      <w:r>
        <w:t xml:space="preserve">»</w:t>
      </w:r>
      <w:r>
        <w:t xml:space="preserve"> </w:t>
      </w:r>
      <w:r>
        <w:t xml:space="preserve">приведен в таблице</w:t>
      </w:r>
      <w:r>
        <w:t xml:space="preserve"> </w:t>
      </w:r>
      <w:r>
        <w:fldChar w:fldCharType="begin"/>
      </w:r>
      <w:r>
        <w:instrText xml:space="preserve"> REF _Ref423442221 \h </w:instrText>
      </w:r>
      <w:r>
        <w:fldChar w:fldCharType="separate"/>
      </w:r>
      <w:r>
        <w:t xml:space="preserve">125</w:t>
      </w:r>
      <w:r>
        <w:fldChar w:fldCharType="end"/>
      </w:r>
      <w:r>
        <w:t xml:space="preserve">.</w:t>
      </w:r>
      <w:r/>
    </w:p>
    <w:p>
      <w:pPr>
        <w:pStyle w:val="993"/>
      </w:pPr>
      <w:r>
        <w:fldChar w:fldCharType="begin"/>
      </w:r>
      <w:r>
        <w:instrText xml:space="preserve"> SEQ Таблица \* ARABIC </w:instrText>
      </w:r>
      <w:r>
        <w:fldChar w:fldCharType="separate"/>
      </w:r>
      <w:bookmarkStart w:id="1580" w:name="_Ref423442221"/>
      <w:r/>
      <w:bookmarkStart w:id="1581" w:name="_Toc88819312"/>
      <w:r>
        <w:t xml:space="preserve">125</w:t>
      </w:r>
      <w:bookmarkEnd w:id="1580"/>
      <w:r>
        <w:fldChar w:fldCharType="end"/>
      </w:r>
      <w:r>
        <w:t xml:space="preserve">. Описание полей документа </w:t>
      </w:r>
      <w:r>
        <w:t xml:space="preserve">«</w:t>
      </w:r>
      <w:r>
        <w:t xml:space="preserve">Запрос о получении информации по ЭПС участника</w:t>
      </w:r>
      <w:r>
        <w:t xml:space="preserve">»</w:t>
      </w:r>
      <w:bookmarkEnd w:id="1581"/>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819"/>
        <w:gridCol w:w="5933"/>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958"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042" w:type="pct"/>
            <w:vAlign w:val="center"/>
            <w:textDirection w:val="lrTb"/>
            <w:noWrap w:val="false"/>
          </w:tcPr>
          <w:p>
            <w:pPr>
              <w:pStyle w:val="1006"/>
            </w:pPr>
            <w:r>
              <w:t xml:space="preserve">Описание поля</w:t>
            </w:r>
            <w:r/>
          </w:p>
        </w:tc>
      </w:tr>
      <w:tr>
        <w:trPr/>
        <w:tc>
          <w:tcPr>
            <w:shd w:val="clear" w:fill="auto" w:color="auto"/>
            <w:tcW w:w="1958" w:type="pct"/>
            <w:textDirection w:val="lrTb"/>
            <w:noWrap w:val="false"/>
          </w:tcPr>
          <w:p>
            <w:pPr>
              <w:pStyle w:val="1005"/>
              <w:ind w:left="57" w:right="57"/>
            </w:pPr>
            <w:r>
              <w:t xml:space="preserve">Номер запроса</w:t>
            </w:r>
            <w:r/>
          </w:p>
        </w:tc>
        <w:tc>
          <w:tcPr>
            <w:shd w:val="clear" w:fill="auto" w:color="auto"/>
            <w:tcW w:w="3042" w:type="pct"/>
            <w:textDirection w:val="lrTb"/>
            <w:noWrap w:val="false"/>
          </w:tcPr>
          <w:p>
            <w:pPr>
              <w:pStyle w:val="1005"/>
              <w:ind w:left="57" w:right="57"/>
            </w:pPr>
            <w:r>
              <w:t xml:space="preserve">Номер ЭС в течении опердня.</w:t>
            </w:r>
            <w:r/>
          </w:p>
          <w:p>
            <w:pPr>
              <w:pStyle w:val="1005"/>
              <w:ind w:left="57" w:right="57"/>
            </w:pPr>
            <w:r>
              <w:t xml:space="preserve">Не заполняется.</w:t>
            </w:r>
            <w:r/>
          </w:p>
        </w:tc>
      </w:tr>
      <w:tr>
        <w:trPr/>
        <w:tc>
          <w:tcPr>
            <w:shd w:val="clear" w:fill="auto" w:color="auto"/>
            <w:tcW w:w="1958" w:type="pct"/>
            <w:textDirection w:val="lrTb"/>
            <w:noWrap w:val="false"/>
          </w:tcPr>
          <w:p>
            <w:pPr>
              <w:pStyle w:val="1005"/>
              <w:ind w:left="57" w:right="57"/>
            </w:pPr>
            <w:r>
              <w:t xml:space="preserve">Дата запроса</w:t>
            </w:r>
            <w:r/>
          </w:p>
        </w:tc>
        <w:tc>
          <w:tcPr>
            <w:shd w:val="clear" w:fill="auto" w:color="auto"/>
            <w:tcW w:w="3042" w:type="pct"/>
            <w:textDirection w:val="lrTb"/>
            <w:noWrap w:val="false"/>
          </w:tcPr>
          <w:p>
            <w:pPr>
              <w:pStyle w:val="1005"/>
              <w:ind w:left="57" w:right="57"/>
            </w:pPr>
            <w:r>
              <w:t xml:space="preserve">Дата составления ЭС.</w:t>
            </w:r>
            <w:r/>
          </w:p>
        </w:tc>
      </w:tr>
      <w:tr>
        <w:trPr/>
        <w:tc>
          <w:tcPr>
            <w:shd w:val="clear" w:fill="auto" w:color="auto"/>
            <w:tcW w:w="1958" w:type="pct"/>
            <w:textDirection w:val="lrTb"/>
            <w:noWrap w:val="false"/>
          </w:tcPr>
          <w:p>
            <w:pPr>
              <w:pStyle w:val="1005"/>
              <w:ind w:left="57" w:right="57"/>
            </w:pPr>
            <w:r>
              <w:t xml:space="preserve">Код запроса</w:t>
            </w:r>
            <w:r/>
          </w:p>
        </w:tc>
        <w:tc>
          <w:tcPr>
            <w:shd w:val="clear" w:fill="auto" w:color="auto"/>
            <w:tcW w:w="3042" w:type="pct"/>
            <w:textDirection w:val="lrTb"/>
            <w:noWrap w:val="false"/>
          </w:tcPr>
          <w:p>
            <w:pPr>
              <w:pStyle w:val="1005"/>
              <w:ind w:left="57" w:right="57"/>
            </w:pPr>
            <w:r>
              <w:t xml:space="preserve">Код запроса.</w:t>
            </w:r>
            <w:r/>
          </w:p>
          <w:p>
            <w:pPr>
              <w:pStyle w:val="1005"/>
              <w:ind w:left="57" w:right="57"/>
            </w:pPr>
            <w:r>
              <w:t xml:space="preserve">Всегда по умолчанию указывается значение «09».</w:t>
            </w:r>
            <w:r/>
          </w:p>
          <w:p>
            <w:pPr>
              <w:pStyle w:val="1005"/>
              <w:ind w:left="57" w:right="57"/>
            </w:pPr>
            <w:r>
              <w:t xml:space="preserve">Возможно изменение присвоенного по умолчанию значения путем выбора значения из выпадающего списка:</w:t>
            </w:r>
            <w:r/>
          </w:p>
          <w:p>
            <w:pPr>
              <w:pStyle w:val="1007"/>
            </w:pPr>
            <w:r>
              <w:t xml:space="preserve">01 - </w:t>
            </w:r>
            <w:r>
              <w:tab/>
              <w:t xml:space="preserve">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r/>
          </w:p>
          <w:p>
            <w:pPr>
              <w:pStyle w:val="1007"/>
            </w:pPr>
            <w:r>
              <w:t xml:space="preserve">02</w:t>
            </w:r>
            <w:r>
              <w:tab/>
              <w:t xml:space="preserve"> - Уточните значения реквизитов получателя средств;</w:t>
            </w:r>
            <w:r/>
          </w:p>
          <w:p>
            <w:pPr>
              <w:pStyle w:val="1007"/>
            </w:pPr>
            <w:r>
              <w:t xml:space="preserve">03 - </w:t>
            </w:r>
            <w:r>
              <w:tab/>
              <w:t xml:space="preserve">Подтвердите отсутствие дублирования распоряжения с указанными реквизитами;</w:t>
            </w:r>
            <w:r/>
          </w:p>
          <w:p>
            <w:pPr>
              <w:pStyle w:val="1007"/>
            </w:pPr>
            <w:r>
              <w:t xml:space="preserve">04</w:t>
            </w:r>
            <w:r>
              <w:tab/>
              <w:t xml:space="preserve"> - Подтвердите наименование плательщика;</w:t>
            </w:r>
            <w:r/>
          </w:p>
          <w:p>
            <w:pPr>
              <w:pStyle w:val="1007"/>
            </w:pPr>
            <w:r>
              <w:t xml:space="preserve">05 - </w:t>
            </w:r>
            <w:r>
              <w:tab/>
              <w:t xml:space="preserve">Подтвердите наименование получателя средств;</w:t>
            </w:r>
            <w:r/>
          </w:p>
          <w:p>
            <w:pPr>
              <w:pStyle w:val="1007"/>
            </w:pPr>
            <w:r>
              <w:t xml:space="preserve">06 - </w:t>
            </w:r>
            <w:r>
              <w:tab/>
              <w:t xml:space="preserve">Предоставьте информацию о клиенте кредитной организации </w:t>
            </w:r>
            <w:r>
              <w:t xml:space="preserve">–</w:t>
            </w:r>
            <w:r>
              <w:t xml:space="preserve"> физическом лице, являющемся плательщиком по распоряжению с указанными реквизитами: ИНН либо адрес места жительства (регистрации) или места пребывания;</w:t>
            </w:r>
            <w:r/>
          </w:p>
          <w:p>
            <w:pPr>
              <w:pStyle w:val="1007"/>
            </w:pPr>
            <w:r>
              <w:t xml:space="preserve">07</w:t>
            </w:r>
            <w:r>
              <w:tab/>
              <w:t xml:space="preserve"> - Подтвердите назначение платежа;</w:t>
            </w:r>
            <w:r/>
          </w:p>
          <w:p>
            <w:pPr>
              <w:pStyle w:val="1007"/>
            </w:pPr>
            <w:r>
              <w:t xml:space="preserve">08 - </w:t>
            </w:r>
            <w:r>
              <w:tab/>
              <w:t xml:space="preserve">Подтвердите значение реквизита (реквизитов) распоряжения с номером (номерами);</w:t>
            </w:r>
            <w:r/>
          </w:p>
          <w:p>
            <w:pPr>
              <w:pStyle w:val="1007"/>
            </w:pPr>
            <w:r>
              <w:t xml:space="preserve">09</w:t>
            </w:r>
            <w:r>
              <w:tab/>
              <w:t xml:space="preserve"> - Уточните (дополните) реквизиты, ошибочно указанные (отсутствующие) в ранее направленном распоряжении;</w:t>
            </w:r>
            <w:r/>
          </w:p>
          <w:p>
            <w:pPr>
              <w:pStyle w:val="1007"/>
            </w:pPr>
            <w:r>
              <w:t xml:space="preserve">12 - </w:t>
            </w:r>
            <w:r>
              <w:tab/>
              <w:t xml:space="preserve">Подтвердите значение реквизитов в записи реестра с номером из платежного поручения на общую сумму с реестром;</w:t>
            </w:r>
            <w:r/>
          </w:p>
          <w:p>
            <w:pPr>
              <w:pStyle w:val="1007"/>
            </w:pPr>
            <w:r>
              <w:t xml:space="preserve">14</w:t>
            </w:r>
            <w:r>
              <w:tab/>
              <w:t xml:space="preserve"> - Запрос информации, связанной с операциями с использованием платежных карт;</w:t>
            </w:r>
            <w:r/>
          </w:p>
          <w:p>
            <w:pPr>
              <w:pStyle w:val="1007"/>
            </w:pPr>
            <w:r>
              <w:t xml:space="preserve">15 - </w:t>
            </w:r>
            <w:r>
              <w:tab/>
              <w:t xml:space="preserve">Уточните реквизиты платежной карты с указанным номером;</w:t>
            </w:r>
            <w:r/>
          </w:p>
          <w:p>
            <w:pPr>
              <w:pStyle w:val="1007"/>
            </w:pPr>
            <w:r>
              <w:t xml:space="preserve">99 -</w:t>
            </w:r>
            <w:r>
              <w:tab/>
              <w:t xml:space="preserve">Запрос, для которого не представляется возможным использование иных установленных кодов запроса.</w:t>
            </w:r>
            <w:r/>
          </w:p>
        </w:tc>
      </w:tr>
      <w:tr>
        <w:trPr/>
        <w:tc>
          <w:tcPr>
            <w:gridSpan w:val="2"/>
            <w:shd w:val="clear" w:fill="auto" w:color="auto"/>
            <w:tcW w:w="5000" w:type="pct"/>
            <w:textDirection w:val="lrTb"/>
            <w:noWrap w:val="false"/>
          </w:tcPr>
          <w:p>
            <w:pPr>
              <w:pStyle w:val="1005"/>
              <w:ind w:left="57" w:right="57"/>
            </w:pPr>
            <w:r>
              <w:t xml:space="preserve">Группа </w:t>
            </w:r>
            <w:r>
              <w:t xml:space="preserve">полей </w:t>
            </w:r>
            <w:r>
              <w:t xml:space="preserve">«Идентификаторы исходного ЭПС»</w:t>
            </w:r>
            <w:r/>
          </w:p>
        </w:tc>
      </w:tr>
      <w:tr>
        <w:trPr/>
        <w:tc>
          <w:tcPr>
            <w:shd w:val="clear" w:fill="auto" w:color="auto"/>
            <w:tcW w:w="1958" w:type="pct"/>
            <w:textDirection w:val="lrTb"/>
            <w:noWrap w:val="false"/>
          </w:tcPr>
          <w:p>
            <w:pPr>
              <w:pStyle w:val="1005"/>
              <w:ind w:left="57" w:right="57"/>
            </w:pPr>
            <w:r>
              <w:t xml:space="preserve">Код составителя ЭД</w:t>
            </w:r>
            <w:r/>
          </w:p>
        </w:tc>
        <w:tc>
          <w:tcPr>
            <w:shd w:val="clear" w:fill="auto" w:color="auto"/>
            <w:tcW w:w="3042" w:type="pct"/>
            <w:textDirection w:val="lrTb"/>
            <w:noWrap w:val="false"/>
          </w:tcPr>
          <w:p>
            <w:pPr>
              <w:pStyle w:val="1005"/>
              <w:ind w:left="57" w:right="57"/>
            </w:pPr>
            <w:r>
              <w:t xml:space="preserve">Уникальный идентификатор составителя ЭД.</w:t>
            </w:r>
            <w:r/>
          </w:p>
          <w:p>
            <w:pPr>
              <w:pStyle w:val="1005"/>
              <w:ind w:left="57" w:right="57"/>
            </w:pPr>
            <w:r>
              <w:t xml:space="preserve">Не заполняется.</w:t>
            </w:r>
            <w:r/>
          </w:p>
        </w:tc>
      </w:tr>
      <w:tr>
        <w:trPr/>
        <w:tc>
          <w:tcPr>
            <w:shd w:val="clear" w:fill="auto" w:color="auto"/>
            <w:tcW w:w="1958" w:type="pct"/>
            <w:textDirection w:val="lrTb"/>
            <w:noWrap w:val="false"/>
          </w:tcPr>
          <w:p>
            <w:pPr>
              <w:pStyle w:val="1005"/>
              <w:ind w:left="57" w:right="57"/>
            </w:pPr>
            <w:r>
              <w:t xml:space="preserve">Номер</w:t>
            </w:r>
            <w:r/>
          </w:p>
        </w:tc>
        <w:tc>
          <w:tcPr>
            <w:shd w:val="clear" w:fill="auto" w:color="auto"/>
            <w:tcW w:w="3042" w:type="pct"/>
            <w:textDirection w:val="lrTb"/>
            <w:noWrap w:val="false"/>
          </w:tcPr>
          <w:p>
            <w:pPr>
              <w:pStyle w:val="1005"/>
              <w:ind w:left="57" w:right="57"/>
            </w:pPr>
            <w:r>
              <w:t xml:space="preserve">Номер ЭС в течение опердня</w:t>
            </w:r>
            <w:r>
              <w:t xml:space="preserve">.</w:t>
            </w:r>
            <w:r/>
          </w:p>
          <w:p>
            <w:pPr>
              <w:pStyle w:val="1005"/>
              <w:ind w:left="57" w:right="57"/>
            </w:pPr>
            <w:r>
              <w:t xml:space="preserve">Не заполняется.</w:t>
            </w:r>
            <w:r/>
          </w:p>
        </w:tc>
      </w:tr>
      <w:tr>
        <w:trPr/>
        <w:tc>
          <w:tcPr>
            <w:shd w:val="clear" w:fill="auto" w:color="auto"/>
            <w:tcW w:w="1958" w:type="pct"/>
            <w:textDirection w:val="lrTb"/>
            <w:noWrap w:val="false"/>
          </w:tcPr>
          <w:p>
            <w:pPr>
              <w:pStyle w:val="1005"/>
              <w:ind w:left="57" w:right="57"/>
            </w:pPr>
            <w:r>
              <w:t xml:space="preserve">Дата</w:t>
            </w:r>
            <w:r/>
          </w:p>
        </w:tc>
        <w:tc>
          <w:tcPr>
            <w:shd w:val="clear" w:fill="auto" w:color="auto"/>
            <w:tcW w:w="3042" w:type="pct"/>
            <w:textDirection w:val="lrTb"/>
            <w:noWrap w:val="false"/>
          </w:tcPr>
          <w:p>
            <w:pPr>
              <w:pStyle w:val="1005"/>
              <w:ind w:left="57" w:right="57"/>
            </w:pPr>
            <w:r>
              <w:t xml:space="preserve">Дата составления ЭС.</w:t>
            </w:r>
            <w:r/>
          </w:p>
          <w:p>
            <w:pPr>
              <w:pStyle w:val="1005"/>
              <w:ind w:left="57" w:right="57"/>
            </w:pPr>
            <w:r>
              <w:t xml:space="preserve">Автоматически заполняется значением текущей даты.</w:t>
            </w:r>
            <w:r/>
          </w:p>
        </w:tc>
      </w:tr>
      <w:tr>
        <w:trPr/>
        <w:tc>
          <w:tcPr>
            <w:gridSpan w:val="2"/>
            <w:shd w:val="clear" w:fill="auto" w:color="auto"/>
            <w:tcW w:w="5000" w:type="pct"/>
            <w:textDirection w:val="lrTb"/>
            <w:noWrap w:val="false"/>
          </w:tcPr>
          <w:p>
            <w:pPr>
              <w:pStyle w:val="1005"/>
              <w:ind w:left="57" w:right="57"/>
            </w:pPr>
            <w:r>
              <w:t xml:space="preserve">Группа </w:t>
            </w:r>
            <w:r>
              <w:t xml:space="preserve">полей </w:t>
            </w:r>
            <w:r>
              <w:t xml:space="preserve">«Реквизиты ЭПС, поясняющие запрос»</w:t>
            </w:r>
            <w:r/>
          </w:p>
        </w:tc>
      </w:tr>
      <w:tr>
        <w:trPr/>
        <w:tc>
          <w:tcPr>
            <w:shd w:val="clear" w:fill="auto" w:color="auto"/>
            <w:tcW w:w="1958" w:type="pct"/>
            <w:textDirection w:val="lrTb"/>
            <w:noWrap w:val="false"/>
          </w:tcPr>
          <w:p>
            <w:pPr>
              <w:pStyle w:val="1005"/>
              <w:ind w:left="57" w:right="57"/>
            </w:pPr>
            <w:r>
              <w:t xml:space="preserve">Дата выписки расчетного д</w:t>
            </w:r>
            <w:r>
              <w:t xml:space="preserve">о</w:t>
            </w:r>
            <w:r>
              <w:t xml:space="preserve">кумента</w:t>
            </w:r>
            <w:r/>
          </w:p>
        </w:tc>
        <w:tc>
          <w:tcPr>
            <w:shd w:val="clear" w:fill="auto" w:color="auto"/>
            <w:tcW w:w="3042" w:type="pct"/>
            <w:textDirection w:val="lrTb"/>
            <w:noWrap w:val="false"/>
          </w:tcPr>
          <w:p>
            <w:pPr>
              <w:pStyle w:val="1005"/>
              <w:ind w:left="57" w:right="57"/>
            </w:pPr>
            <w:r>
              <w:t xml:space="preserve">Дата выписки расчетного документа.</w:t>
            </w:r>
            <w:r/>
          </w:p>
        </w:tc>
      </w:tr>
      <w:tr>
        <w:trPr/>
        <w:tc>
          <w:tcPr>
            <w:shd w:val="clear" w:fill="auto" w:color="auto"/>
            <w:tcW w:w="1958" w:type="pct"/>
            <w:textDirection w:val="lrTb"/>
            <w:noWrap w:val="false"/>
          </w:tcPr>
          <w:p>
            <w:pPr>
              <w:pStyle w:val="1005"/>
              <w:ind w:left="57" w:right="57"/>
            </w:pPr>
            <w:r>
              <w:t xml:space="preserve">Номер расчетного документа</w:t>
            </w:r>
            <w:r/>
          </w:p>
        </w:tc>
        <w:tc>
          <w:tcPr>
            <w:shd w:val="clear" w:fill="auto" w:color="auto"/>
            <w:tcW w:w="3042" w:type="pct"/>
            <w:textDirection w:val="lrTb"/>
            <w:noWrap w:val="false"/>
          </w:tcPr>
          <w:p>
            <w:pPr>
              <w:pStyle w:val="1005"/>
              <w:ind w:left="57" w:right="57"/>
            </w:pPr>
            <w:r>
              <w:t xml:space="preserve">Номер расчетного документа.</w:t>
            </w:r>
            <w:r/>
          </w:p>
        </w:tc>
      </w:tr>
      <w:tr>
        <w:trPr/>
        <w:tc>
          <w:tcPr>
            <w:shd w:val="clear" w:fill="auto" w:color="auto"/>
            <w:tcW w:w="1958" w:type="pct"/>
            <w:textDirection w:val="lrTb"/>
            <w:noWrap w:val="false"/>
          </w:tcPr>
          <w:p>
            <w:pPr>
              <w:pStyle w:val="1005"/>
              <w:ind w:left="57" w:right="57"/>
            </w:pPr>
            <w:r>
              <w:t xml:space="preserve">Расчетный счет плательщика</w:t>
            </w:r>
            <w:r/>
          </w:p>
        </w:tc>
        <w:tc>
          <w:tcPr>
            <w:shd w:val="clear" w:fill="auto" w:color="auto"/>
            <w:tcW w:w="3042" w:type="pct"/>
            <w:textDirection w:val="lrTb"/>
            <w:noWrap w:val="false"/>
          </w:tcPr>
          <w:p>
            <w:pPr>
              <w:pStyle w:val="1005"/>
              <w:ind w:left="57" w:right="57"/>
            </w:pPr>
            <w:r>
              <w:t xml:space="preserve">Номер банковского (лицевого) счета плательщика.</w:t>
            </w:r>
            <w:r/>
          </w:p>
        </w:tc>
      </w:tr>
      <w:tr>
        <w:trPr/>
        <w:tc>
          <w:tcPr>
            <w:shd w:val="clear" w:fill="auto" w:color="auto"/>
            <w:tcW w:w="1958" w:type="pct"/>
            <w:textDirection w:val="lrTb"/>
            <w:noWrap w:val="false"/>
          </w:tcPr>
          <w:p>
            <w:pPr>
              <w:pStyle w:val="1005"/>
              <w:ind w:left="57" w:right="57"/>
            </w:pPr>
            <w:r>
              <w:t xml:space="preserve">Расчетный счет получателя</w:t>
            </w:r>
            <w:r/>
          </w:p>
        </w:tc>
        <w:tc>
          <w:tcPr>
            <w:shd w:val="clear" w:fill="auto" w:color="auto"/>
            <w:tcW w:w="3042" w:type="pct"/>
            <w:textDirection w:val="lrTb"/>
            <w:noWrap w:val="false"/>
          </w:tcPr>
          <w:p>
            <w:pPr>
              <w:pStyle w:val="1005"/>
              <w:ind w:left="57" w:right="57"/>
            </w:pPr>
            <w:r>
              <w:t xml:space="preserve">Номер банковского (лицевого) счета получателя.</w:t>
            </w:r>
            <w:r/>
          </w:p>
        </w:tc>
      </w:tr>
      <w:tr>
        <w:trPr/>
        <w:tc>
          <w:tcPr>
            <w:shd w:val="clear" w:fill="auto" w:color="auto"/>
            <w:tcW w:w="1958" w:type="pct"/>
            <w:textDirection w:val="lrTb"/>
            <w:noWrap w:val="false"/>
          </w:tcPr>
          <w:p>
            <w:pPr>
              <w:pStyle w:val="1005"/>
              <w:ind w:left="57" w:right="57"/>
            </w:pPr>
            <w:r>
              <w:t xml:space="preserve">Сумма</w:t>
            </w:r>
            <w:r/>
          </w:p>
        </w:tc>
        <w:tc>
          <w:tcPr>
            <w:shd w:val="clear" w:fill="auto" w:color="auto"/>
            <w:tcW w:w="3042" w:type="pct"/>
            <w:textDirection w:val="lrTb"/>
            <w:noWrap w:val="false"/>
          </w:tcPr>
          <w:p>
            <w:pPr>
              <w:pStyle w:val="1005"/>
              <w:ind w:left="57" w:right="57"/>
            </w:pPr>
            <w:r>
              <w:t xml:space="preserve">Сумма.</w:t>
            </w:r>
            <w:r/>
          </w:p>
        </w:tc>
      </w:tr>
      <w:tr>
        <w:trPr/>
        <w:tc>
          <w:tcPr>
            <w:shd w:val="clear" w:fill="auto" w:color="auto"/>
            <w:tcW w:w="1958" w:type="pct"/>
            <w:textDirection w:val="lrTb"/>
            <w:noWrap w:val="false"/>
          </w:tcPr>
          <w:p>
            <w:pPr>
              <w:pStyle w:val="1005"/>
              <w:ind w:left="57" w:right="57"/>
            </w:pPr>
            <w:r>
              <w:t xml:space="preserve">Плательщик</w:t>
            </w:r>
            <w:r/>
          </w:p>
        </w:tc>
        <w:tc>
          <w:tcPr>
            <w:shd w:val="clear" w:fill="auto" w:color="auto"/>
            <w:tcW w:w="3042" w:type="pct"/>
            <w:textDirection w:val="lrTb"/>
            <w:noWrap w:val="false"/>
          </w:tcPr>
          <w:p>
            <w:pPr>
              <w:pStyle w:val="1005"/>
              <w:ind w:left="57" w:right="57"/>
            </w:pPr>
            <w:r>
              <w:t xml:space="preserve">Наименование плательщика</w:t>
            </w:r>
            <w:r>
              <w:t xml:space="preserve">.</w:t>
            </w:r>
            <w:r/>
          </w:p>
        </w:tc>
      </w:tr>
      <w:tr>
        <w:trPr/>
        <w:tc>
          <w:tcPr>
            <w:shd w:val="clear" w:fill="auto" w:color="auto"/>
            <w:tcW w:w="1958" w:type="pct"/>
            <w:textDirection w:val="lrTb"/>
            <w:noWrap w:val="false"/>
          </w:tcPr>
          <w:p>
            <w:pPr>
              <w:pStyle w:val="1005"/>
              <w:ind w:left="57" w:right="57"/>
            </w:pPr>
            <w:r>
              <w:t xml:space="preserve">Получатель</w:t>
            </w:r>
            <w:r/>
          </w:p>
        </w:tc>
        <w:tc>
          <w:tcPr>
            <w:shd w:val="clear" w:fill="auto" w:color="auto"/>
            <w:tcW w:w="3042" w:type="pct"/>
            <w:textDirection w:val="lrTb"/>
            <w:noWrap w:val="false"/>
          </w:tcPr>
          <w:p>
            <w:pPr>
              <w:pStyle w:val="1005"/>
              <w:ind w:left="57" w:right="57"/>
            </w:pPr>
            <w:r>
              <w:t xml:space="preserve">Наименование получателя</w:t>
            </w:r>
            <w:r>
              <w:t xml:space="preserve">.</w:t>
            </w:r>
            <w:r/>
          </w:p>
        </w:tc>
      </w:tr>
      <w:tr>
        <w:trPr/>
        <w:tc>
          <w:tcPr>
            <w:shd w:val="clear" w:fill="auto" w:color="auto"/>
            <w:tcW w:w="1958" w:type="pct"/>
            <w:textDirection w:val="lrTb"/>
            <w:noWrap w:val="false"/>
          </w:tcPr>
          <w:p>
            <w:pPr>
              <w:pStyle w:val="1005"/>
              <w:ind w:left="57" w:right="57"/>
            </w:pPr>
            <w:r>
              <w:t xml:space="preserve">Текст запроса</w:t>
            </w:r>
            <w:r/>
          </w:p>
        </w:tc>
        <w:tc>
          <w:tcPr>
            <w:shd w:val="clear" w:fill="auto" w:color="auto"/>
            <w:tcW w:w="3042" w:type="pct"/>
            <w:textDirection w:val="lrTb"/>
            <w:noWrap w:val="false"/>
          </w:tcPr>
          <w:p>
            <w:pPr>
              <w:pStyle w:val="1005"/>
              <w:ind w:left="57" w:right="57"/>
            </w:pPr>
            <w:r>
              <w:t xml:space="preserve">Текст запроса/пояснение к запросу.</w:t>
            </w:r>
            <w:r/>
          </w:p>
          <w:p>
            <w:pPr>
              <w:pStyle w:val="1005"/>
              <w:ind w:left="57" w:right="57"/>
            </w:pPr>
            <w:r>
              <w:t xml:space="preserve">Заполняется вручную.</w:t>
            </w:r>
            <w:r/>
          </w:p>
        </w:tc>
      </w:tr>
      <w:tr>
        <w:trPr/>
        <w:tc>
          <w:tcPr>
            <w:shd w:val="clear" w:fill="auto" w:color="auto"/>
            <w:tcW w:w="1958" w:type="pct"/>
            <w:textDirection w:val="lrTb"/>
            <w:noWrap w:val="false"/>
          </w:tcPr>
          <w:p>
            <w:pPr>
              <w:pStyle w:val="1005"/>
              <w:ind w:left="57" w:right="57"/>
            </w:pPr>
            <w:r>
              <w:t xml:space="preserve">Назначение платежа</w:t>
            </w:r>
            <w:r/>
          </w:p>
        </w:tc>
        <w:tc>
          <w:tcPr>
            <w:shd w:val="clear" w:fill="auto" w:color="auto"/>
            <w:tcW w:w="3042" w:type="pct"/>
            <w:textDirection w:val="lrTb"/>
            <w:noWrap w:val="false"/>
          </w:tcPr>
          <w:p>
            <w:pPr>
              <w:pStyle w:val="1005"/>
              <w:ind w:left="57" w:right="57"/>
            </w:pPr>
            <w:r>
              <w:t xml:space="preserve">Текст запроса/пояснение к запросу</w:t>
            </w:r>
            <w:r>
              <w:t xml:space="preserve">.</w:t>
            </w:r>
            <w:r/>
          </w:p>
        </w:tc>
      </w:tr>
      <w:tr>
        <w:trPr/>
        <w:tc>
          <w:tcPr>
            <w:gridSpan w:val="2"/>
            <w:shd w:val="clear" w:fill="auto" w:color="auto"/>
            <w:tcW w:w="5000" w:type="pct"/>
            <w:textDirection w:val="lrTb"/>
            <w:noWrap w:val="false"/>
          </w:tcPr>
          <w:p>
            <w:pPr>
              <w:pStyle w:val="1005"/>
              <w:ind w:left="57" w:right="57"/>
            </w:pPr>
            <w:r>
              <w:t xml:space="preserve">Группа полей «Список уточняемых реквизитов»</w:t>
            </w:r>
            <w:r/>
          </w:p>
        </w:tc>
      </w:tr>
      <w:tr>
        <w:trPr/>
        <w:tc>
          <w:tcPr>
            <w:shd w:val="clear" w:fill="auto" w:color="auto"/>
            <w:tcW w:w="1958" w:type="pct"/>
            <w:textDirection w:val="lrTb"/>
            <w:noWrap w:val="false"/>
          </w:tcPr>
          <w:p>
            <w:pPr>
              <w:pStyle w:val="1005"/>
              <w:ind w:left="57" w:right="57"/>
            </w:pPr>
            <w:r>
              <w:t xml:space="preserve">Наименование реквизита</w:t>
            </w:r>
            <w:r/>
          </w:p>
        </w:tc>
        <w:tc>
          <w:tcPr>
            <w:shd w:val="clear" w:fill="auto" w:color="auto"/>
            <w:tcW w:w="3042" w:type="pct"/>
            <w:textDirection w:val="lrTb"/>
            <w:noWrap w:val="false"/>
          </w:tcPr>
          <w:p>
            <w:pPr>
              <w:pStyle w:val="1005"/>
              <w:ind w:left="57" w:right="57"/>
            </w:pPr>
            <w:r>
              <w:t xml:space="preserve">Заполняется пользователем путем выбора значения</w:t>
            </w:r>
            <w:r>
              <w:t xml:space="preserve"> </w:t>
            </w:r>
            <w:r>
              <w:t xml:space="preserve">из выпадающего списка. </w:t>
            </w:r>
            <w:r>
              <w:t xml:space="preserve">При формировании на основе родительского документа не з</w:t>
            </w:r>
            <w:r>
              <w:t xml:space="preserve">а</w:t>
            </w:r>
            <w:r>
              <w:t xml:space="preserve">полняется.</w:t>
            </w:r>
            <w:r>
              <w:t xml:space="preserve"> </w:t>
            </w:r>
            <w:r>
              <w:t xml:space="preserve">Перечень значений зависит от значения реквизита «Код з</w:t>
            </w:r>
            <w:r>
              <w:t xml:space="preserve">а</w:t>
            </w:r>
            <w:r>
              <w:t xml:space="preserve">проса». Если значение равно «12» или «13», то пользователю предлаг</w:t>
            </w:r>
            <w:r>
              <w:t xml:space="preserve">а</w:t>
            </w:r>
            <w:r>
              <w:t xml:space="preserve">ется перечень наименований уточняемых реквизитов, указываемых в документе «</w:t>
            </w:r>
            <w:r>
              <w:t xml:space="preserve">Запрос о получении информации по ЭПС участника</w:t>
            </w:r>
            <w:r>
              <w:t xml:space="preserve">» для уточнения стр</w:t>
            </w:r>
            <w:r>
              <w:t xml:space="preserve">о</w:t>
            </w:r>
            <w:r>
              <w:t xml:space="preserve">ки реестра:</w:t>
            </w:r>
            <w:r/>
          </w:p>
          <w:p>
            <w:pPr>
              <w:pStyle w:val="1007"/>
            </w:pPr>
            <w:r>
              <w:t xml:space="preserve">дата перевода;</w:t>
            </w:r>
            <w:r/>
          </w:p>
          <w:p>
            <w:pPr>
              <w:pStyle w:val="1007"/>
            </w:pPr>
            <w:r>
              <w:t xml:space="preserve">сумма перевода;</w:t>
            </w:r>
            <w:r/>
          </w:p>
          <w:p>
            <w:pPr>
              <w:pStyle w:val="1007"/>
            </w:pPr>
            <w:r>
              <w:t xml:space="preserve">уникальный идентификатор платежа (уникальный идентификатор начисления);</w:t>
            </w:r>
            <w:r/>
          </w:p>
          <w:p>
            <w:pPr>
              <w:pStyle w:val="1007"/>
            </w:pPr>
            <w:r>
              <w:t xml:space="preserve">уникальный присваиваемый номер операции;</w:t>
            </w:r>
            <w:r/>
          </w:p>
          <w:p>
            <w:pPr>
              <w:pStyle w:val="1007"/>
            </w:pPr>
            <w:r>
              <w:t xml:space="preserve">идентификатор плательщика;</w:t>
            </w:r>
            <w:r/>
          </w:p>
          <w:p>
            <w:pPr>
              <w:pStyle w:val="1007"/>
            </w:pPr>
            <w:r>
              <w:t xml:space="preserve">фамилия, имя и отчество физического лица </w:t>
            </w:r>
            <w:r>
              <w:t xml:space="preserve">– плательщика;</w:t>
            </w:r>
            <w:r/>
          </w:p>
          <w:p>
            <w:pPr>
              <w:pStyle w:val="1007"/>
            </w:pPr>
            <w:r>
              <w:t xml:space="preserve">адрес физического лица – плательщика;</w:t>
            </w:r>
            <w:r/>
          </w:p>
          <w:p>
            <w:pPr>
              <w:pStyle w:val="1007"/>
            </w:pPr>
            <w:r>
              <w:t xml:space="preserve">номер банковского счета плательщика;</w:t>
            </w:r>
            <w:r/>
          </w:p>
          <w:p>
            <w:pPr>
              <w:pStyle w:val="1007"/>
            </w:pPr>
            <w:r>
              <w:t xml:space="preserve">наименование плательщика;</w:t>
            </w:r>
            <w:r/>
          </w:p>
          <w:p>
            <w:pPr>
              <w:pStyle w:val="1007"/>
            </w:pPr>
            <w:r>
              <w:t xml:space="preserve">идентификатор получателя средств;</w:t>
            </w:r>
            <w:r/>
          </w:p>
          <w:p>
            <w:pPr>
              <w:pStyle w:val="1007"/>
            </w:pPr>
            <w:r>
              <w:t xml:space="preserve">фамилия, имя и отчество физического лица </w:t>
            </w:r>
            <w:r>
              <w:t xml:space="preserve">– получателя средств;</w:t>
            </w:r>
            <w:r/>
          </w:p>
          <w:p>
            <w:pPr>
              <w:pStyle w:val="1007"/>
            </w:pPr>
            <w:r>
              <w:t xml:space="preserve">адрес физического лица </w:t>
            </w:r>
            <w:r>
              <w:t xml:space="preserve">– получателя средств;</w:t>
            </w:r>
            <w:r/>
          </w:p>
          <w:p>
            <w:pPr>
              <w:pStyle w:val="1007"/>
            </w:pPr>
            <w:r>
              <w:t xml:space="preserve">номер банковского счета получателя средств;</w:t>
            </w:r>
            <w:r/>
          </w:p>
          <w:p>
            <w:pPr>
              <w:pStyle w:val="1007"/>
            </w:pPr>
            <w:r>
              <w:t xml:space="preserve">наименование получателя средств;</w:t>
            </w:r>
            <w:r/>
          </w:p>
          <w:p>
            <w:pPr>
              <w:pStyle w:val="1007"/>
            </w:pPr>
            <w:r>
              <w:t xml:space="preserve">назначение платежа из распоряжения плательщика;</w:t>
            </w:r>
            <w:r/>
          </w:p>
          <w:p>
            <w:pPr>
              <w:pStyle w:val="1007"/>
            </w:pPr>
            <w:r>
              <w:t xml:space="preserve">информация, связанная с переводом;</w:t>
            </w:r>
            <w:r/>
          </w:p>
          <w:p>
            <w:pPr>
              <w:pStyle w:val="1007"/>
            </w:pPr>
            <w:r>
              <w:t xml:space="preserve">ИНН плательщика;</w:t>
            </w:r>
            <w:r/>
          </w:p>
          <w:p>
            <w:pPr>
              <w:pStyle w:val="1007"/>
            </w:pPr>
            <w:r>
              <w:t xml:space="preserve">ИНН получателя средств;</w:t>
            </w:r>
            <w:r/>
          </w:p>
          <w:p>
            <w:pPr>
              <w:pStyle w:val="1007"/>
            </w:pPr>
            <w:r>
              <w:t xml:space="preserve">101р;</w:t>
            </w:r>
            <w:r>
              <w:t xml:space="preserve"> </w:t>
            </w:r>
            <w:r/>
          </w:p>
          <w:p>
            <w:pPr>
              <w:pStyle w:val="1007"/>
            </w:pPr>
            <w:r>
              <w:t xml:space="preserve">106 р;</w:t>
            </w:r>
            <w:r/>
          </w:p>
          <w:p>
            <w:pPr>
              <w:pStyle w:val="1007"/>
            </w:pPr>
            <w:r>
              <w:t xml:space="preserve">107 р;</w:t>
            </w:r>
            <w:r/>
          </w:p>
          <w:p>
            <w:pPr>
              <w:pStyle w:val="1007"/>
            </w:pPr>
            <w:r>
              <w:t xml:space="preserve">108 р;</w:t>
            </w:r>
            <w:r/>
          </w:p>
          <w:p>
            <w:pPr>
              <w:pStyle w:val="1007"/>
            </w:pPr>
            <w:r>
              <w:t xml:space="preserve">109 р;</w:t>
            </w:r>
            <w:r/>
          </w:p>
          <w:p>
            <w:pPr>
              <w:pStyle w:val="1007"/>
            </w:pPr>
            <w:r>
              <w:t xml:space="preserve">110 р; </w:t>
            </w:r>
            <w:r/>
          </w:p>
          <w:p>
            <w:pPr>
              <w:pStyle w:val="1007"/>
            </w:pPr>
            <w:r>
              <w:t xml:space="preserve">111 р; </w:t>
            </w:r>
            <w:r/>
          </w:p>
          <w:p>
            <w:pPr>
              <w:pStyle w:val="1007"/>
            </w:pPr>
            <w:r>
              <w:t xml:space="preserve">112 р;</w:t>
            </w:r>
            <w:r/>
          </w:p>
          <w:p>
            <w:pPr>
              <w:pStyle w:val="1007"/>
            </w:pPr>
            <w:r>
              <w:t xml:space="preserve">номер распоряжения плательщика;</w:t>
            </w:r>
            <w:r/>
          </w:p>
          <w:p>
            <w:pPr>
              <w:pStyle w:val="1007"/>
            </w:pPr>
            <w:r>
              <w:t xml:space="preserve">дата распоряжения плательщика.</w:t>
            </w:r>
            <w:r/>
          </w:p>
          <w:p>
            <w:pPr>
              <w:pStyle w:val="1005"/>
              <w:ind w:left="57" w:right="57"/>
            </w:pPr>
            <w:r>
              <w:t xml:space="preserve"> При указании иного значения реквизита «Код запроса» пользователю предлагается</w:t>
            </w:r>
            <w:r>
              <w:t xml:space="preserve"> </w:t>
            </w:r>
            <w:r>
              <w:t xml:space="preserve">следующий перечень значений:</w:t>
            </w:r>
            <w:r/>
          </w:p>
          <w:p>
            <w:pPr>
              <w:pStyle w:val="1007"/>
            </w:pPr>
            <w:r>
              <w:t xml:space="preserve">н</w:t>
            </w:r>
            <w:r>
              <w:t xml:space="preserve">аименование плательщика - «Наименование» блок «Плательщик»;</w:t>
            </w:r>
            <w:r/>
          </w:p>
          <w:p>
            <w:pPr>
              <w:pStyle w:val="1007"/>
            </w:pPr>
            <w:r>
              <w:t xml:space="preserve">ном</w:t>
            </w:r>
            <w:r>
              <w:t xml:space="preserve">ер счета плательщика - «Расчетный счет» блок «Плательщик»;</w:t>
            </w:r>
            <w:r/>
          </w:p>
          <w:p>
            <w:pPr>
              <w:pStyle w:val="1007"/>
            </w:pPr>
            <w:r>
              <w:t xml:space="preserve">н</w:t>
            </w:r>
            <w:r>
              <w:t xml:space="preserve">аименование получателя - «Наименование» блок «Получатель»;</w:t>
            </w:r>
            <w:r/>
          </w:p>
          <w:p>
            <w:pPr>
              <w:pStyle w:val="1007"/>
            </w:pPr>
            <w:r>
              <w:t xml:space="preserve">н</w:t>
            </w:r>
            <w:r>
              <w:t xml:space="preserve">омер счета получателя - «Расчетный счет» блок «Получатель»;</w:t>
            </w:r>
            <w:r/>
          </w:p>
          <w:p>
            <w:pPr>
              <w:pStyle w:val="1007"/>
            </w:pPr>
            <w:r>
              <w:t xml:space="preserve">в</w:t>
            </w:r>
            <w:r>
              <w:t xml:space="preserve">ид операции - «Вид операции»;</w:t>
            </w:r>
            <w:r/>
          </w:p>
          <w:p>
            <w:pPr>
              <w:pStyle w:val="1007"/>
            </w:pPr>
            <w:r>
              <w:t xml:space="preserve">о</w:t>
            </w:r>
            <w:r>
              <w:t xml:space="preserve">чередность платежа - «Очередность платежа»;</w:t>
            </w:r>
            <w:r/>
          </w:p>
          <w:p>
            <w:pPr>
              <w:pStyle w:val="1007"/>
            </w:pPr>
            <w:r>
              <w:t xml:space="preserve">назначение платежа - </w:t>
            </w:r>
            <w:r>
              <w:t xml:space="preserve">«</w:t>
            </w:r>
            <w:r>
              <w:t xml:space="preserve">Назначение платежа</w:t>
            </w:r>
            <w:r>
              <w:t xml:space="preserve">»</w:t>
            </w:r>
            <w:r/>
          </w:p>
        </w:tc>
      </w:tr>
      <w:tr>
        <w:trPr/>
        <w:tc>
          <w:tcPr>
            <w:shd w:val="clear" w:fill="auto" w:color="auto"/>
            <w:tcW w:w="1958" w:type="pct"/>
            <w:textDirection w:val="lrTb"/>
            <w:noWrap w:val="false"/>
          </w:tcPr>
          <w:p>
            <w:pPr>
              <w:pStyle w:val="1005"/>
              <w:ind w:left="57" w:right="57"/>
            </w:pPr>
            <w:r>
              <w:t xml:space="preserve">Значение реквизита</w:t>
            </w:r>
            <w:r/>
          </w:p>
        </w:tc>
        <w:tc>
          <w:tcPr>
            <w:shd w:val="clear" w:fill="auto" w:color="auto"/>
            <w:tcW w:w="3042" w:type="pct"/>
            <w:textDirection w:val="lrTb"/>
            <w:noWrap w:val="false"/>
          </w:tcPr>
          <w:p>
            <w:pPr>
              <w:pStyle w:val="1005"/>
              <w:ind w:left="57" w:right="57"/>
            </w:pPr>
            <w:r>
              <w:t xml:space="preserve">Значение реквизита.</w:t>
            </w:r>
            <w:r/>
          </w:p>
          <w:p>
            <w:pPr>
              <w:pStyle w:val="1005"/>
              <w:ind w:left="57" w:right="57"/>
            </w:pPr>
            <w:r>
              <w:t xml:space="preserve">При формировании на основе родительского документа не заполняется.</w:t>
            </w:r>
            <w:r/>
          </w:p>
          <w:p>
            <w:pPr>
              <w:pStyle w:val="1005"/>
              <w:ind w:left="57" w:right="57"/>
            </w:pPr>
            <w:r>
              <w:t xml:space="preserve">Заполняется автоматически из родительского документа значением соответствующего реквизита, выбранного в поле «Номер реквизита (поля)» соответствующей строки.</w:t>
            </w:r>
            <w:r/>
          </w:p>
          <w:p>
            <w:pPr>
              <w:pStyle w:val="1005"/>
              <w:ind w:left="57" w:right="57"/>
            </w:pPr>
            <w:r>
              <w:t xml:space="preserve">Например: если в поле</w:t>
            </w:r>
            <w:r>
              <w:t xml:space="preserve"> </w:t>
            </w:r>
            <w:r>
              <w:t xml:space="preserve">«Номер реквизита (поля)» пользователь указывает значение «60», то в поле «Значение реквизита» подтягивается значение</w:t>
            </w:r>
            <w:r>
              <w:t xml:space="preserve">,</w:t>
            </w:r>
            <w:r>
              <w:t xml:space="preserve"> указанное в поле «ИНН плательщика» родительского документа.</w:t>
            </w:r>
            <w:r/>
          </w:p>
        </w:tc>
      </w:tr>
      <w:tr>
        <w:trPr/>
        <w:tc>
          <w:tcPr>
            <w:shd w:val="clear" w:fill="auto" w:color="auto"/>
            <w:tcW w:w="1958" w:type="pct"/>
            <w:textDirection w:val="lrTb"/>
            <w:noWrap w:val="false"/>
          </w:tcPr>
          <w:p>
            <w:pPr>
              <w:pStyle w:val="1005"/>
              <w:ind w:left="57" w:right="57"/>
            </w:pPr>
            <w:r>
              <w:t xml:space="preserve">Номер</w:t>
            </w:r>
            <w:r>
              <w:t xml:space="preserve"> </w:t>
            </w:r>
            <w:r>
              <w:t xml:space="preserve">записи</w:t>
            </w:r>
            <w:r>
              <w:t xml:space="preserve"> в реестре</w:t>
            </w:r>
            <w:r/>
          </w:p>
        </w:tc>
        <w:tc>
          <w:tcPr>
            <w:shd w:val="clear" w:fill="auto" w:color="auto"/>
            <w:tcW w:w="3042" w:type="pct"/>
            <w:textDirection w:val="lrTb"/>
            <w:noWrap w:val="false"/>
          </w:tcPr>
          <w:p>
            <w:pPr>
              <w:pStyle w:val="1005"/>
              <w:ind w:left="57" w:right="57"/>
            </w:pPr>
            <w:r>
              <w:t xml:space="preserve">Номер записи в реестре.</w:t>
            </w:r>
            <w:r/>
          </w:p>
          <w:p>
            <w:pPr>
              <w:pStyle w:val="1005"/>
              <w:ind w:left="57" w:right="57"/>
            </w:pPr>
            <w:r>
              <w:t xml:space="preserve">При формировании на основе родительского документа не заполняется.</w:t>
            </w:r>
            <w:r/>
          </w:p>
          <w:p>
            <w:pPr>
              <w:pStyle w:val="1005"/>
              <w:ind w:left="57" w:right="57"/>
            </w:pPr>
            <w:r>
              <w:t xml:space="preserve">Заполняется вручную.</w:t>
            </w:r>
            <w:r/>
          </w:p>
        </w:tc>
      </w:tr>
    </w:tbl>
    <w:p>
      <w:pPr>
        <w:pStyle w:val="972"/>
      </w:pPr>
      <w:r/>
      <w:bookmarkStart w:id="1582" w:name="_Toc423442191"/>
      <w:r/>
      <w:bookmarkStart w:id="1583" w:name="_Toc423445641"/>
      <w:r/>
      <w:bookmarkStart w:id="1584" w:name="_Ref423505202"/>
      <w:r/>
      <w:bookmarkStart w:id="1585" w:name="_Ref433107350"/>
      <w:r/>
      <w:bookmarkStart w:id="1586" w:name="_Ref480982294"/>
      <w:r/>
      <w:bookmarkStart w:id="1587" w:name="_Ref483934435"/>
      <w:r/>
      <w:bookmarkStart w:id="1588" w:name="_Ref490217727"/>
      <w:r/>
      <w:bookmarkStart w:id="1589" w:name="_Ref509389082"/>
      <w:r/>
      <w:bookmarkStart w:id="1590" w:name="_Ref512590182"/>
      <w:r/>
      <w:bookmarkStart w:id="1591" w:name="_Ref528761411"/>
      <w:r/>
      <w:bookmarkStart w:id="1592" w:name="_Toc88819150"/>
      <w:r>
        <w:t xml:space="preserve">Ответ на запрос</w:t>
      </w:r>
      <w:r>
        <w:t xml:space="preserve"> (уведомление) по ЭПС</w:t>
      </w:r>
      <w:r>
        <w:t xml:space="preserve"> участника</w:t>
      </w:r>
      <w:bookmarkEnd w:id="1582"/>
      <w:r/>
      <w:bookmarkEnd w:id="1583"/>
      <w:r/>
      <w:bookmarkEnd w:id="1584"/>
      <w:r/>
      <w:bookmarkEnd w:id="1585"/>
      <w:r/>
      <w:bookmarkEnd w:id="1586"/>
      <w:r/>
      <w:bookmarkEnd w:id="1587"/>
      <w:r/>
      <w:bookmarkEnd w:id="1588"/>
      <w:r/>
      <w:bookmarkEnd w:id="1589"/>
      <w:r/>
      <w:bookmarkEnd w:id="1590"/>
      <w:r/>
      <w:bookmarkEnd w:id="1591"/>
      <w:r/>
      <w:bookmarkEnd w:id="1592"/>
      <w:r/>
      <w:r/>
    </w:p>
    <w:p>
      <w:pPr>
        <w:pStyle w:val="994"/>
      </w:pPr>
      <w:r>
        <w:t xml:space="preserve">Документ предназначен для передачи ответа на запрос в банк через учётную систему ФК для клиента ФК.</w:t>
      </w:r>
      <w:r/>
    </w:p>
    <w:p>
      <w:pPr>
        <w:pStyle w:val="994"/>
      </w:pPr>
      <w:r>
        <w:t xml:space="preserve">Для работы с документами </w:t>
      </w:r>
      <w:r>
        <w:t xml:space="preserve">«</w:t>
      </w:r>
      <w:r>
        <w:t xml:space="preserve">Ответ на запрос (уведомление) по ЭПС участника</w:t>
      </w:r>
      <w:r>
        <w:t xml:space="preserve">» </w:t>
      </w:r>
      <w:r>
        <w:t xml:space="preserve">следует п</w:t>
      </w:r>
      <w:r>
        <w:t xml:space="preserve">е</w:t>
      </w:r>
      <w:r>
        <w:t xml:space="preserve">рейти в пункт</w:t>
      </w:r>
      <w:r>
        <w:t xml:space="preserve"> меню «</w:t>
      </w:r>
      <w:r>
        <w:t xml:space="preserve">Док</w:t>
      </w:r>
      <w:r>
        <w:t xml:space="preserve">у</w:t>
      </w:r>
      <w:r>
        <w:t xml:space="preserve">менты</w:t>
      </w:r>
      <w:r>
        <w:t xml:space="preserve"> – </w:t>
      </w:r>
      <w:r>
        <w:t xml:space="preserve">Управление платежами</w:t>
      </w:r>
      <w:r>
        <w:t xml:space="preserve"> – Обмен информацией с банком – </w:t>
      </w:r>
      <w:r>
        <w:t xml:space="preserve">Ответ на запрос (уведомление) по ЭПС участника</w:t>
      </w:r>
      <w:r>
        <w:t xml:space="preserve">».</w:t>
      </w:r>
      <w:r>
        <w:t xml:space="preserve"> </w:t>
      </w:r>
      <w:r>
        <w:t xml:space="preserve">Откроется ЭФ сп</w:t>
      </w:r>
      <w:r>
        <w:t xml:space="preserve">и</w:t>
      </w:r>
      <w:r>
        <w:t xml:space="preserve">ска документов, представленная на р</w:t>
      </w:r>
      <w:r>
        <w:t xml:space="preserve">и</w:t>
      </w:r>
      <w:r>
        <w:t xml:space="preserve">сунке</w:t>
      </w:r>
      <w:r>
        <w:t xml:space="preserve"> </w:t>
      </w:r>
      <w:r>
        <w:fldChar w:fldCharType="begin"/>
      </w:r>
      <w:r>
        <w:instrText xml:space="preserve"> REF _Ref423442353 \h </w:instrText>
      </w:r>
      <w:r>
        <w:fldChar w:fldCharType="separate"/>
      </w:r>
      <w:r>
        <w:t xml:space="preserve">228</w:t>
      </w:r>
      <w:r>
        <w:fldChar w:fldCharType="end"/>
      </w:r>
      <w:r>
        <w:t xml:space="preserve">.</w:t>
      </w:r>
      <w:r/>
    </w:p>
    <w:p>
      <w:pPr>
        <w:pStyle w:val="982"/>
      </w:pPr>
      <w:r>
        <mc:AlternateContent>
          <mc:Choice Requires="wpg">
            <w:drawing>
              <wp:inline xmlns:wp="http://schemas.openxmlformats.org/drawingml/2006/wordprocessingDrawing" distT="0" distB="0" distL="0" distR="0">
                <wp:extent cx="6027420" cy="3291840"/>
                <wp:effectExtent l="0" t="0" r="0" b="0"/>
                <wp:docPr id="34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07"/>
                        <a:stretch/>
                      </pic:blipFill>
                      <pic:spPr bwMode="auto">
                        <a:xfrm>
                          <a:off x="0" y="0"/>
                          <a:ext cx="6027420" cy="32918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3" o:spid="_x0000_s343" type="#_x0000_t75" style="mso-wrap-distance-left:0.0pt;mso-wrap-distance-top:0.0pt;mso-wrap-distance-right:0.0pt;mso-wrap-distance-bottom:0.0pt;width:474.6pt;height:259.2pt;" stroked="f">
                <v:path textboxrect="0,0,0,0"/>
                <v:imagedata r:id="rId307" o:title=""/>
              </v:shape>
            </w:pict>
          </mc:Fallback>
        </mc:AlternateContent>
      </w:r>
      <w:r/>
    </w:p>
    <w:p>
      <w:pPr>
        <w:pStyle w:val="983"/>
      </w:pPr>
      <w:r>
        <w:fldChar w:fldCharType="begin"/>
      </w:r>
      <w:r>
        <w:instrText xml:space="preserve"> SEQ Рисунок \* ARABIC </w:instrText>
      </w:r>
      <w:r>
        <w:fldChar w:fldCharType="separate"/>
      </w:r>
      <w:bookmarkStart w:id="1593" w:name="_Ref423442353"/>
      <w:r/>
      <w:bookmarkStart w:id="1594" w:name="_Toc88819613"/>
      <w:r>
        <w:t xml:space="preserve">228</w:t>
      </w:r>
      <w:bookmarkEnd w:id="1593"/>
      <w:r>
        <w:fldChar w:fldCharType="end"/>
      </w:r>
      <w:r>
        <w:t xml:space="preserve">. </w:t>
      </w:r>
      <w:r>
        <w:t xml:space="preserve">ЭФ списка документов </w:t>
      </w:r>
      <w:r>
        <w:t xml:space="preserve">«</w:t>
      </w:r>
      <w:r>
        <w:t xml:space="preserve">Ответ на запрос (уведомление) по ЭПС участника</w:t>
      </w:r>
      <w:r>
        <w:t xml:space="preserve">»</w:t>
      </w:r>
      <w:bookmarkEnd w:id="1594"/>
      <w:r/>
      <w:r/>
    </w:p>
    <w:p>
      <w:pPr>
        <w:pStyle w:val="973"/>
      </w:pPr>
      <w:r>
        <w:t xml:space="preserve">Доступные операции</w:t>
      </w:r>
      <w:r/>
    </w:p>
    <w:p>
      <w:pPr>
        <w:pStyle w:val="994"/>
      </w:pPr>
      <w:r>
        <w:t xml:space="preserve">На АРМ </w:t>
      </w:r>
      <w:r>
        <w:t xml:space="preserve">ФО</w:t>
      </w:r>
      <w:r>
        <w:t xml:space="preserve"> доступны следующие операции над документом:</w:t>
      </w:r>
      <w:r/>
    </w:p>
    <w:p>
      <w:pPr>
        <w:pStyle w:val="985"/>
      </w:pPr>
      <w:r>
        <w:t xml:space="preserve">Для исходящих документов:</w:t>
      </w:r>
      <w:r/>
    </w:p>
    <w:p>
      <w:pPr>
        <w:pStyle w:val="986"/>
      </w:pPr>
      <w:r>
        <w:t xml:space="preserve">создание на основе </w:t>
      </w:r>
      <w:r>
        <w:t xml:space="preserve">родительского документа</w:t>
      </w:r>
      <w:r>
        <w:t xml:space="preserve">;</w:t>
      </w:r>
      <w:r/>
    </w:p>
    <w:p>
      <w:pPr>
        <w:pStyle w:val="986"/>
      </w:pPr>
      <w:r>
        <w:t xml:space="preserve">просмотр и редактирование;</w:t>
      </w:r>
      <w:r/>
    </w:p>
    <w:p>
      <w:pPr>
        <w:pStyle w:val="986"/>
      </w:pPr>
      <w:r>
        <w:t xml:space="preserve">копирование и удаление;</w:t>
      </w:r>
      <w:r/>
    </w:p>
    <w:p>
      <w:pPr>
        <w:pStyle w:val="986"/>
      </w:pPr>
      <w:r>
        <w:t xml:space="preserve">подписание, проверка и удаление ЭП;</w:t>
      </w:r>
      <w:r/>
    </w:p>
    <w:p>
      <w:pPr>
        <w:pStyle w:val="986"/>
      </w:pPr>
      <w:r>
        <w:t xml:space="preserve">документарный контроль;</w:t>
      </w:r>
      <w:r/>
    </w:p>
    <w:p>
      <w:pPr>
        <w:pStyle w:val="986"/>
      </w:pPr>
      <w:r>
        <w:t xml:space="preserve">отправка в OEBS;</w:t>
      </w:r>
      <w:r/>
    </w:p>
    <w:p>
      <w:pPr>
        <w:pStyle w:val="986"/>
      </w:pPr>
      <w:r>
        <w:t xml:space="preserve">печать скроллера.</w:t>
      </w:r>
      <w:r/>
    </w:p>
    <w:p>
      <w:pPr>
        <w:pStyle w:val="985"/>
      </w:pPr>
      <w:r>
        <w:t xml:space="preserve">Для входящих документов:</w:t>
      </w:r>
      <w:r/>
    </w:p>
    <w:p>
      <w:pPr>
        <w:pStyle w:val="986"/>
      </w:pPr>
      <w:r>
        <w:t xml:space="preserve">просмотр;</w:t>
      </w:r>
      <w:r/>
    </w:p>
    <w:p>
      <w:pPr>
        <w:pStyle w:val="986"/>
      </w:pPr>
      <w:r>
        <w:t xml:space="preserve">проверка</w:t>
      </w:r>
      <w:r>
        <w:t xml:space="preserve"> </w:t>
      </w:r>
      <w:r>
        <w:t xml:space="preserve">ЭП</w:t>
      </w:r>
      <w:r>
        <w:t xml:space="preserve">;</w:t>
      </w:r>
      <w:r/>
    </w:p>
    <w:p>
      <w:pPr>
        <w:pStyle w:val="986"/>
      </w:pPr>
      <w:r>
        <w:t xml:space="preserve">прием из OEBS;</w:t>
      </w:r>
      <w:r/>
    </w:p>
    <w:p>
      <w:pPr>
        <w:pStyle w:val="986"/>
      </w:pPr>
      <w:r>
        <w:t xml:space="preserve">экспорт во внешнюю систему.</w:t>
      </w:r>
      <w:r/>
    </w:p>
    <w:p>
      <w:pPr>
        <w:pStyle w:val="994"/>
      </w:pPr>
      <w:r>
        <w:t xml:space="preserve">Для создания документа на основе родительского документа необходимо в ЭФ документа нажать на кнопку </w:t>
      </w:r>
      <w:r>
        <mc:AlternateContent>
          <mc:Choice Requires="wpg">
            <w:drawing>
              <wp:inline xmlns:wp="http://schemas.openxmlformats.org/drawingml/2006/wordprocessingDrawing" distT="0" distB="0" distL="0" distR="0">
                <wp:extent cx="182880" cy="182880"/>
                <wp:effectExtent l="0" t="0" r="0" b="0"/>
                <wp:docPr id="34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76"/>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4" o:spid="_x0000_s344" type="#_x0000_t75" style="mso-wrap-distance-left:0.0pt;mso-wrap-distance-top:0.0pt;mso-wrap-distance-right:0.0pt;mso-wrap-distance-bottom:0.0pt;width:14.4pt;height:14.4pt;" stroked="f">
                <v:path textboxrect="0,0,0,0"/>
                <v:imagedata r:id="rId76" o:title=""/>
              </v:shape>
            </w:pict>
          </mc:Fallback>
        </mc:AlternateContent>
      </w:r>
      <w:r>
        <w:t xml:space="preserve"> (Выбрать родительский документ), выбрать тип родительского документа: </w:t>
      </w:r>
      <w:r/>
    </w:p>
    <w:p>
      <w:pPr>
        <w:pStyle w:val="985"/>
      </w:pPr>
      <w:r>
        <w:t xml:space="preserve">«Заявка на кассовый расход (сокращенная)»;</w:t>
      </w:r>
      <w:r/>
    </w:p>
    <w:p>
      <w:pPr>
        <w:pStyle w:val="985"/>
      </w:pPr>
      <w:r>
        <w:t xml:space="preserve">«</w:t>
      </w:r>
      <w:r>
        <w:t xml:space="preserve">Запрос о получении информации по ЭПС участника</w:t>
      </w:r>
      <w:r>
        <w:t xml:space="preserve">»;</w:t>
      </w:r>
      <w:r/>
    </w:p>
    <w:p>
      <w:pPr>
        <w:pStyle w:val="985"/>
      </w:pPr>
      <w:r>
        <w:t xml:space="preserve">«Платежное поручение», </w:t>
      </w:r>
      <w:r/>
    </w:p>
    <w:p>
      <w:pPr>
        <w:pStyle w:val="985"/>
      </w:pPr>
      <w:r>
        <w:t xml:space="preserve">«Заявка на кассовый расход»;</w:t>
      </w:r>
      <w:r/>
    </w:p>
    <w:p>
      <w:pPr>
        <w:pStyle w:val="994"/>
      </w:pPr>
      <w:r>
        <w:t xml:space="preserve">а затем сам родительский документ. Все необходимые поля заполнятся автоматически.</w:t>
      </w:r>
      <w:r/>
    </w:p>
    <w:p>
      <w:pPr>
        <w:pStyle w:val="994"/>
      </w:pPr>
      <w:r>
        <w:t xml:space="preserve">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r/>
    </w:p>
    <w:p>
      <w:pPr>
        <w:pStyle w:val="985"/>
      </w:pPr>
      <w:r>
        <w:t xml:space="preserve">статус 344 «Отправлен в банк»;</w:t>
      </w:r>
      <w:r/>
    </w:p>
    <w:p>
      <w:pPr>
        <w:pStyle w:val="985"/>
      </w:pPr>
      <w:r>
        <w:t xml:space="preserve">статус 99Ч «Исполнен частично»;</w:t>
      </w:r>
      <w:r/>
    </w:p>
    <w:p>
      <w:pPr>
        <w:pStyle w:val="985"/>
      </w:pPr>
      <w:r>
        <w:t xml:space="preserve">999 «Исполнен».</w:t>
      </w:r>
      <w:r/>
    </w:p>
    <w:p>
      <w:pPr>
        <w:pStyle w:val="994"/>
      </w:pPr>
      <w:r>
        <w:t xml:space="preserve">При выборе родительского документа, у которого </w:t>
      </w:r>
      <w:r>
        <w:t xml:space="preserve">счет</w:t>
      </w:r>
      <w:r>
        <w:t xml:space="preserve"> получателя и его БИК</w:t>
      </w:r>
      <w:r>
        <w:t xml:space="preserve">,</w:t>
      </w:r>
      <w:r>
        <w:t xml:space="preserve"> равен счету отправителя и </w:t>
      </w:r>
      <w:r>
        <w:rPr>
          <w:rStyle w:val="1400"/>
          <w:lang w:val="ru-RU"/>
        </w:rPr>
        <w:t xml:space="preserve">его БИКу </w:t>
      </w:r>
      <w:r>
        <w:t xml:space="preserve">(внебанковский документ) тип сформированного документа</w:t>
      </w:r>
      <w:r>
        <w:t xml:space="preserve">,</w:t>
      </w:r>
      <w:r>
        <w:t xml:space="preserve"> присв</w:t>
      </w:r>
      <w:r>
        <w:t xml:space="preserve">аивается</w:t>
      </w:r>
      <w:r>
        <w:t xml:space="preserve"> «В44». По умолчанию указ</w:t>
      </w:r>
      <w:r>
        <w:t xml:space="preserve">ывается</w:t>
      </w:r>
      <w:r>
        <w:t xml:space="preserve"> «Номер реквизита (поля)» равным «22» без возможности редактирования пользователем.</w:t>
      </w:r>
      <w:r/>
    </w:p>
    <w:p>
      <w:pPr>
        <w:pStyle w:val="973"/>
      </w:pPr>
      <w:r>
        <w:t xml:space="preserve">Экранная форма документа</w:t>
      </w:r>
      <w:r/>
    </w:p>
    <w:p>
      <w:pPr>
        <w:pStyle w:val="994"/>
      </w:pPr>
      <w:r>
        <w:t xml:space="preserve">ЭФ </w:t>
      </w:r>
      <w:r>
        <w:t xml:space="preserve">документа «</w:t>
      </w:r>
      <w:r>
        <w:t xml:space="preserve">Ответ на запрос (уведомление) по ЭПС участника</w:t>
      </w:r>
      <w:r>
        <w:t xml:space="preserve">»</w:t>
      </w:r>
      <w:r>
        <w:t xml:space="preserve"> представлена на р</w:t>
      </w:r>
      <w:r>
        <w:t xml:space="preserve">и</w:t>
      </w:r>
      <w:r>
        <w:t xml:space="preserve">сунке </w:t>
      </w:r>
      <w:r>
        <w:fldChar w:fldCharType="begin"/>
      </w:r>
      <w:r>
        <w:instrText xml:space="preserve"> REF _Ref423442363 \h </w:instrText>
      </w:r>
      <w:r>
        <w:fldChar w:fldCharType="separate"/>
      </w:r>
      <w:r>
        <w:t xml:space="preserve">229</w:t>
      </w:r>
      <w:r>
        <w:fldChar w:fldCharType="end"/>
      </w:r>
      <w:r>
        <w:t xml:space="preserve">.</w:t>
      </w:r>
      <w:r/>
    </w:p>
    <w:p>
      <w:pPr>
        <w:pStyle w:val="982"/>
      </w:pPr>
      <w:r>
        <mc:AlternateContent>
          <mc:Choice Requires="wpg">
            <w:drawing>
              <wp:inline xmlns:wp="http://schemas.openxmlformats.org/drawingml/2006/wordprocessingDrawing" distT="0" distB="0" distL="0" distR="0">
                <wp:extent cx="5478780" cy="8602980"/>
                <wp:effectExtent l="0" t="0" r="0" b="0"/>
                <wp:docPr id="34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08"/>
                        <a:stretch/>
                      </pic:blipFill>
                      <pic:spPr bwMode="auto">
                        <a:xfrm>
                          <a:off x="0" y="0"/>
                          <a:ext cx="5478780" cy="86029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5" o:spid="_x0000_s345" type="#_x0000_t75" style="mso-wrap-distance-left:0.0pt;mso-wrap-distance-top:0.0pt;mso-wrap-distance-right:0.0pt;mso-wrap-distance-bottom:0.0pt;width:431.4pt;height:677.4pt;" stroked="f">
                <v:path textboxrect="0,0,0,0"/>
                <v:imagedata r:id="rId308" o:title=""/>
              </v:shape>
            </w:pict>
          </mc:Fallback>
        </mc:AlternateContent>
      </w:r>
      <w:r/>
    </w:p>
    <w:p>
      <w:pPr>
        <w:pStyle w:val="983"/>
      </w:pPr>
      <w:r>
        <w:fldChar w:fldCharType="begin"/>
      </w:r>
      <w:r>
        <w:instrText xml:space="preserve"> SEQ Рисунок \* ARABIC </w:instrText>
      </w:r>
      <w:r>
        <w:fldChar w:fldCharType="separate"/>
      </w:r>
      <w:bookmarkStart w:id="1595" w:name="_Ref423442363"/>
      <w:r/>
      <w:bookmarkStart w:id="1596" w:name="_Toc88819614"/>
      <w:r>
        <w:t xml:space="preserve">229</w:t>
      </w:r>
      <w:bookmarkEnd w:id="1595"/>
      <w:r>
        <w:fldChar w:fldCharType="end"/>
      </w:r>
      <w:r>
        <w:t xml:space="preserve">. ЭФ </w:t>
      </w:r>
      <w:r>
        <w:t xml:space="preserve">документа «</w:t>
      </w:r>
      <w:r>
        <w:t xml:space="preserve">Ответ на запрос (уведомление) по ЭПС участника</w:t>
      </w:r>
      <w:r>
        <w:t xml:space="preserve">»</w:t>
      </w:r>
      <w:bookmarkEnd w:id="1596"/>
      <w:r/>
      <w:r/>
    </w:p>
    <w:p>
      <w:pPr>
        <w:pStyle w:val="994"/>
      </w:pPr>
      <w:r>
        <w:t xml:space="preserve">Перечень полей документа</w:t>
      </w:r>
      <w:r>
        <w:t xml:space="preserve"> </w:t>
      </w:r>
      <w:r>
        <w:t xml:space="preserve">«</w:t>
      </w:r>
      <w:r>
        <w:t xml:space="preserve">Ответ на запрос (уведомление) по ЭПС участника</w:t>
      </w:r>
      <w:r>
        <w:t xml:space="preserve">»</w:t>
      </w:r>
      <w:r>
        <w:t xml:space="preserve"> </w:t>
      </w:r>
      <w:r>
        <w:t xml:space="preserve">приведен в таблице</w:t>
      </w:r>
      <w:r>
        <w:t xml:space="preserve"> </w:t>
      </w:r>
      <w:r>
        <w:fldChar w:fldCharType="begin"/>
      </w:r>
      <w:r>
        <w:instrText xml:space="preserve"> REF _Ref423442220 \h </w:instrText>
      </w:r>
      <w:r>
        <w:fldChar w:fldCharType="separate"/>
      </w:r>
      <w:r>
        <w:t xml:space="preserve">126</w:t>
      </w:r>
      <w:r>
        <w:fldChar w:fldCharType="end"/>
      </w:r>
      <w:r>
        <w:t xml:space="preserve">.</w:t>
      </w:r>
      <w:r/>
    </w:p>
    <w:p>
      <w:pPr>
        <w:pStyle w:val="993"/>
      </w:pPr>
      <w:r>
        <w:fldChar w:fldCharType="begin"/>
      </w:r>
      <w:r>
        <w:instrText xml:space="preserve"> SEQ Таблица \* ARABIC </w:instrText>
      </w:r>
      <w:r>
        <w:fldChar w:fldCharType="separate"/>
      </w:r>
      <w:bookmarkStart w:id="1597" w:name="_Ref423442220"/>
      <w:r/>
      <w:bookmarkStart w:id="1598" w:name="_Toc88819313"/>
      <w:r>
        <w:t xml:space="preserve">126</w:t>
      </w:r>
      <w:bookmarkEnd w:id="1597"/>
      <w:r>
        <w:fldChar w:fldCharType="end"/>
      </w:r>
      <w:r>
        <w:t xml:space="preserve">. Описание полей документа </w:t>
      </w:r>
      <w:r>
        <w:t xml:space="preserve">«</w:t>
      </w:r>
      <w:r>
        <w:t xml:space="preserve">Ответ на запрос (уведомление) по ЭПС участника</w:t>
      </w:r>
      <w:r>
        <w:t xml:space="preserve">»</w:t>
      </w:r>
      <w:bookmarkEnd w:id="159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591"/>
        <w:gridCol w:w="6161"/>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841"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159" w:type="pct"/>
            <w:vAlign w:val="center"/>
            <w:textDirection w:val="lrTb"/>
            <w:noWrap w:val="false"/>
          </w:tcPr>
          <w:p>
            <w:pPr>
              <w:pStyle w:val="1006"/>
            </w:pPr>
            <w:r>
              <w:t xml:space="preserve">Описание поля</w:t>
            </w:r>
            <w:r/>
          </w:p>
        </w:tc>
      </w:tr>
      <w:tr>
        <w:trPr/>
        <w:tc>
          <w:tcPr>
            <w:shd w:val="clear" w:fill="auto" w:color="auto"/>
            <w:tcW w:w="1841" w:type="pct"/>
            <w:textDirection w:val="lrTb"/>
            <w:noWrap w:val="false"/>
          </w:tcPr>
          <w:p>
            <w:pPr>
              <w:pStyle w:val="1005"/>
              <w:ind w:left="57" w:right="57"/>
            </w:pPr>
            <w:r>
              <w:t xml:space="preserve">Дата ответа</w:t>
            </w:r>
            <w:r/>
          </w:p>
        </w:tc>
        <w:tc>
          <w:tcPr>
            <w:shd w:val="clear" w:fill="auto" w:color="auto"/>
            <w:tcW w:w="3159" w:type="pct"/>
            <w:textDirection w:val="lrTb"/>
            <w:noWrap w:val="false"/>
          </w:tcPr>
          <w:p>
            <w:pPr>
              <w:pStyle w:val="1005"/>
              <w:ind w:left="57" w:right="57"/>
            </w:pPr>
            <w:r>
              <w:t xml:space="preserve">Дата составления ЭС. </w:t>
            </w:r>
            <w:r/>
          </w:p>
          <w:p>
            <w:pPr>
              <w:pStyle w:val="1005"/>
              <w:ind w:left="57" w:right="57"/>
            </w:pPr>
            <w:r>
              <w:t xml:space="preserve">Заполняется текущей датой.</w:t>
            </w:r>
            <w:r/>
          </w:p>
        </w:tc>
      </w:tr>
      <w:tr>
        <w:trPr/>
        <w:tc>
          <w:tcPr>
            <w:shd w:val="clear" w:fill="auto" w:color="auto"/>
            <w:tcW w:w="1841" w:type="pct"/>
            <w:textDirection w:val="lrTb"/>
            <w:noWrap w:val="false"/>
          </w:tcPr>
          <w:p>
            <w:pPr>
              <w:pStyle w:val="1005"/>
              <w:ind w:left="57" w:right="57"/>
            </w:pPr>
            <w:r>
              <w:t xml:space="preserve">Код запроса</w:t>
            </w:r>
            <w:r/>
          </w:p>
        </w:tc>
        <w:tc>
          <w:tcPr>
            <w:shd w:val="clear" w:fill="auto" w:color="auto"/>
            <w:tcW w:w="3159" w:type="pct"/>
            <w:textDirection w:val="lrTb"/>
            <w:noWrap w:val="false"/>
          </w:tcPr>
          <w:p>
            <w:pPr>
              <w:pStyle w:val="1005"/>
              <w:ind w:left="57" w:right="57"/>
            </w:pPr>
            <w:r>
              <w:t xml:space="preserve">Код запроса родительского документа.</w:t>
            </w:r>
            <w:r/>
          </w:p>
        </w:tc>
      </w:tr>
      <w:tr>
        <w:trPr/>
        <w:tc>
          <w:tcPr>
            <w:shd w:val="clear" w:fill="auto" w:color="auto"/>
            <w:tcW w:w="1841" w:type="pct"/>
            <w:textDirection w:val="lrTb"/>
            <w:noWrap w:val="false"/>
          </w:tcPr>
          <w:p>
            <w:pPr>
              <w:pStyle w:val="1005"/>
              <w:ind w:left="57" w:right="57"/>
            </w:pPr>
            <w:r>
              <w:t xml:space="preserve">Код ответа</w:t>
            </w:r>
            <w:r/>
          </w:p>
        </w:tc>
        <w:tc>
          <w:tcPr>
            <w:shd w:val="clear" w:fill="auto" w:color="auto"/>
            <w:tcW w:w="3159" w:type="pct"/>
            <w:textDirection w:val="lrTb"/>
            <w:noWrap w:val="false"/>
          </w:tcPr>
          <w:p>
            <w:pPr>
              <w:pStyle w:val="1005"/>
              <w:ind w:left="57" w:right="57"/>
            </w:pPr>
            <w:r>
              <w:t xml:space="preserve">Код ответа. Выбирается из кодов ответа.</w:t>
            </w:r>
            <w:r/>
          </w:p>
        </w:tc>
      </w:tr>
      <w:tr>
        <w:trPr/>
        <w:tc>
          <w:tcPr>
            <w:shd w:val="clear" w:fill="auto" w:color="auto"/>
            <w:tcW w:w="1841" w:type="pct"/>
            <w:textDirection w:val="lrTb"/>
            <w:noWrap w:val="false"/>
          </w:tcPr>
          <w:p>
            <w:pPr>
              <w:pStyle w:val="1005"/>
              <w:ind w:left="57" w:right="57"/>
            </w:pPr>
            <w:r>
              <w:t xml:space="preserve">Ответ</w:t>
            </w:r>
            <w:r/>
          </w:p>
        </w:tc>
        <w:tc>
          <w:tcPr>
            <w:shd w:val="clear" w:fill="auto" w:color="auto"/>
            <w:tcW w:w="3159" w:type="pct"/>
            <w:textDirection w:val="lrTb"/>
            <w:noWrap w:val="false"/>
          </w:tcPr>
          <w:p>
            <w:pPr>
              <w:pStyle w:val="1005"/>
              <w:ind w:left="57" w:right="57"/>
            </w:pPr>
            <w:r>
              <w:t xml:space="preserve">Заполняется в ВФ на основании записи из кодов ответа, на</w:t>
            </w:r>
            <w:r>
              <w:t xml:space="preserve">й</w:t>
            </w:r>
            <w:r>
              <w:t xml:space="preserve">денной по коду.</w:t>
            </w:r>
            <w:r/>
          </w:p>
        </w:tc>
      </w:tr>
      <w:tr>
        <w:trPr/>
        <w:tc>
          <w:tcPr>
            <w:gridSpan w:val="2"/>
            <w:shd w:val="clear" w:fill="auto" w:color="auto"/>
            <w:tcW w:w="5000" w:type="pct"/>
            <w:textDirection w:val="lrTb"/>
            <w:noWrap w:val="false"/>
          </w:tcPr>
          <w:p>
            <w:pPr>
              <w:pStyle w:val="1005"/>
              <w:ind w:left="57" w:right="57"/>
            </w:pPr>
            <w:r>
              <w:t xml:space="preserve">Группа</w:t>
            </w:r>
            <w:r>
              <w:t xml:space="preserve"> полей</w:t>
            </w:r>
            <w:r>
              <w:t xml:space="preserve"> «Идентификаторы исходного ЭПС»</w:t>
            </w:r>
            <w:r/>
          </w:p>
        </w:tc>
      </w:tr>
      <w:tr>
        <w:trPr/>
        <w:tc>
          <w:tcPr>
            <w:shd w:val="clear" w:fill="auto" w:color="auto"/>
            <w:tcW w:w="1841" w:type="pct"/>
            <w:textDirection w:val="lrTb"/>
            <w:noWrap w:val="false"/>
          </w:tcPr>
          <w:p>
            <w:pPr>
              <w:pStyle w:val="1005"/>
              <w:ind w:left="57" w:right="57"/>
            </w:pPr>
            <w:r>
              <w:t xml:space="preserve">Номер</w:t>
            </w:r>
            <w:r/>
          </w:p>
        </w:tc>
        <w:tc>
          <w:tcPr>
            <w:shd w:val="clear" w:fill="auto" w:color="auto"/>
            <w:tcW w:w="3159" w:type="pct"/>
            <w:textDirection w:val="lrTb"/>
            <w:noWrap w:val="false"/>
          </w:tcPr>
          <w:p>
            <w:pPr>
              <w:pStyle w:val="1005"/>
              <w:ind w:left="57" w:right="57"/>
            </w:pPr>
            <w:r>
              <w:t xml:space="preserve">Номер ЭС в течение опердня родительского док</w:t>
            </w:r>
            <w:r>
              <w:t xml:space="preserve">у</w:t>
            </w:r>
            <w:r>
              <w:t xml:space="preserve">мента.</w:t>
            </w:r>
            <w:r/>
          </w:p>
        </w:tc>
      </w:tr>
      <w:tr>
        <w:trPr/>
        <w:tc>
          <w:tcPr>
            <w:shd w:val="clear" w:fill="auto" w:color="auto"/>
            <w:tcW w:w="1841" w:type="pct"/>
            <w:textDirection w:val="lrTb"/>
            <w:noWrap w:val="false"/>
          </w:tcPr>
          <w:p>
            <w:pPr>
              <w:pStyle w:val="1005"/>
              <w:ind w:left="57" w:right="57"/>
            </w:pPr>
            <w:r>
              <w:t xml:space="preserve">Дата</w:t>
            </w:r>
            <w:r/>
          </w:p>
        </w:tc>
        <w:tc>
          <w:tcPr>
            <w:shd w:val="clear" w:fill="auto" w:color="auto"/>
            <w:tcW w:w="3159" w:type="pct"/>
            <w:textDirection w:val="lrTb"/>
            <w:noWrap w:val="false"/>
          </w:tcPr>
          <w:p>
            <w:pPr>
              <w:pStyle w:val="1005"/>
              <w:ind w:left="57" w:right="57"/>
            </w:pPr>
            <w:r>
              <w:t xml:space="preserve">Дата составления ЭС родительского документа.</w:t>
            </w:r>
            <w:r/>
          </w:p>
        </w:tc>
      </w:tr>
      <w:tr>
        <w:trPr/>
        <w:tc>
          <w:tcPr>
            <w:gridSpan w:val="2"/>
            <w:shd w:val="clear" w:fill="auto" w:color="auto"/>
            <w:tcW w:w="5000" w:type="pct"/>
            <w:textDirection w:val="lrTb"/>
            <w:noWrap w:val="false"/>
          </w:tcPr>
          <w:p>
            <w:pPr>
              <w:pStyle w:val="1005"/>
              <w:ind w:left="57" w:right="57"/>
            </w:pPr>
            <w:r>
              <w:t xml:space="preserve">Группа</w:t>
            </w:r>
            <w:r>
              <w:t xml:space="preserve"> полей</w:t>
            </w:r>
            <w:r>
              <w:t xml:space="preserve"> «Реквизиты ЭПС, поясняющие </w:t>
            </w:r>
            <w:r>
              <w:t xml:space="preserve">ответ</w:t>
            </w:r>
            <w:r>
              <w:t xml:space="preserve">»</w:t>
            </w:r>
            <w:r/>
          </w:p>
        </w:tc>
      </w:tr>
      <w:tr>
        <w:trPr/>
        <w:tc>
          <w:tcPr>
            <w:shd w:val="clear" w:fill="auto" w:color="auto"/>
            <w:tcW w:w="1841" w:type="pct"/>
            <w:textDirection w:val="lrTb"/>
            <w:noWrap w:val="false"/>
          </w:tcPr>
          <w:p>
            <w:pPr>
              <w:pStyle w:val="1005"/>
              <w:ind w:left="57" w:right="57"/>
            </w:pPr>
            <w:r>
              <w:t xml:space="preserve">Номер распоряжения</w:t>
            </w:r>
            <w:r/>
          </w:p>
        </w:tc>
        <w:tc>
          <w:tcPr>
            <w:shd w:val="clear" w:fill="auto" w:color="auto"/>
            <w:tcW w:w="3159" w:type="pct"/>
            <w:textDirection w:val="lrTb"/>
            <w:noWrap w:val="false"/>
          </w:tcPr>
          <w:p>
            <w:pPr>
              <w:pStyle w:val="1005"/>
              <w:ind w:left="57" w:right="57"/>
            </w:pPr>
            <w:r>
              <w:t xml:space="preserve">Заполняется значениями соответствующих полей документа-основания.</w:t>
            </w:r>
            <w:r/>
          </w:p>
        </w:tc>
      </w:tr>
      <w:tr>
        <w:trPr/>
        <w:tc>
          <w:tcPr>
            <w:shd w:val="clear" w:fill="auto" w:color="auto"/>
            <w:tcW w:w="1841" w:type="pct"/>
            <w:textDirection w:val="lrTb"/>
            <w:noWrap w:val="false"/>
          </w:tcPr>
          <w:p>
            <w:pPr>
              <w:pStyle w:val="1005"/>
              <w:ind w:left="57" w:right="57"/>
            </w:pPr>
            <w:r>
              <w:t xml:space="preserve">Дата составления распоряжения</w:t>
            </w:r>
            <w:r/>
          </w:p>
        </w:tc>
        <w:tc>
          <w:tcPr>
            <w:shd w:val="clear" w:fill="auto" w:color="auto"/>
            <w:tcW w:w="3159" w:type="pct"/>
            <w:textDirection w:val="lrTb"/>
            <w:noWrap w:val="false"/>
          </w:tcPr>
          <w:p>
            <w:pPr>
              <w:pStyle w:val="1005"/>
              <w:ind w:left="57" w:right="57"/>
            </w:pPr>
            <w:r>
              <w:t xml:space="preserve">Заполняется значениями соответствующих полей документа-основания.</w:t>
            </w:r>
            <w:r/>
          </w:p>
        </w:tc>
      </w:tr>
      <w:tr>
        <w:trPr/>
        <w:tc>
          <w:tcPr>
            <w:shd w:val="clear" w:fill="auto" w:color="auto"/>
            <w:tcW w:w="1841" w:type="pct"/>
            <w:textDirection w:val="lrTb"/>
            <w:noWrap w:val="false"/>
          </w:tcPr>
          <w:p>
            <w:pPr>
              <w:pStyle w:val="1005"/>
              <w:ind w:left="57" w:right="57"/>
            </w:pPr>
            <w:r>
              <w:t xml:space="preserve">Расчетный счет плательщика</w:t>
            </w:r>
            <w:r/>
          </w:p>
        </w:tc>
        <w:tc>
          <w:tcPr>
            <w:shd w:val="clear" w:fill="auto" w:color="auto"/>
            <w:tcW w:w="3159" w:type="pct"/>
            <w:textDirection w:val="lrTb"/>
            <w:noWrap w:val="false"/>
          </w:tcPr>
          <w:p>
            <w:pPr>
              <w:pStyle w:val="1005"/>
              <w:ind w:left="57" w:right="57"/>
            </w:pPr>
            <w:r>
              <w:t xml:space="preserve">Номер банковского (лицевого) счета плательщика родительск</w:t>
            </w:r>
            <w:r>
              <w:t xml:space="preserve">о</w:t>
            </w:r>
            <w:r>
              <w:t xml:space="preserve">го документа.</w:t>
            </w:r>
            <w:r/>
          </w:p>
        </w:tc>
      </w:tr>
      <w:tr>
        <w:trPr/>
        <w:tc>
          <w:tcPr>
            <w:shd w:val="clear" w:fill="auto" w:color="auto"/>
            <w:tcW w:w="1841" w:type="pct"/>
            <w:textDirection w:val="lrTb"/>
            <w:noWrap w:val="false"/>
          </w:tcPr>
          <w:p>
            <w:pPr>
              <w:pStyle w:val="1005"/>
              <w:ind w:left="57" w:right="57"/>
            </w:pPr>
            <w:r>
              <w:t xml:space="preserve">Расчетный счет получателя</w:t>
            </w:r>
            <w:r/>
          </w:p>
        </w:tc>
        <w:tc>
          <w:tcPr>
            <w:shd w:val="clear" w:fill="auto" w:color="auto"/>
            <w:tcW w:w="3159" w:type="pct"/>
            <w:textDirection w:val="lrTb"/>
            <w:noWrap w:val="false"/>
          </w:tcPr>
          <w:p>
            <w:pPr>
              <w:pStyle w:val="1005"/>
              <w:ind w:left="57" w:right="57"/>
            </w:pPr>
            <w:r>
              <w:t xml:space="preserve">Номер банковского (лицевого) счета получателя родительск</w:t>
            </w:r>
            <w:r>
              <w:t xml:space="preserve">о</w:t>
            </w:r>
            <w:r>
              <w:t xml:space="preserve">го документа.</w:t>
            </w:r>
            <w:r/>
          </w:p>
        </w:tc>
      </w:tr>
      <w:tr>
        <w:trPr/>
        <w:tc>
          <w:tcPr>
            <w:shd w:val="clear" w:fill="auto" w:color="auto"/>
            <w:tcW w:w="1841" w:type="pct"/>
            <w:textDirection w:val="lrTb"/>
            <w:noWrap w:val="false"/>
          </w:tcPr>
          <w:p>
            <w:pPr>
              <w:pStyle w:val="1005"/>
              <w:ind w:left="57" w:right="57"/>
            </w:pPr>
            <w:r>
              <w:t xml:space="preserve">Сумма</w:t>
            </w:r>
            <w:r/>
          </w:p>
        </w:tc>
        <w:tc>
          <w:tcPr>
            <w:shd w:val="clear" w:fill="auto" w:color="auto"/>
            <w:tcW w:w="3159" w:type="pct"/>
            <w:textDirection w:val="lrTb"/>
            <w:noWrap w:val="false"/>
          </w:tcPr>
          <w:p>
            <w:pPr>
              <w:pStyle w:val="1005"/>
              <w:ind w:left="57" w:right="57"/>
            </w:pPr>
            <w:r>
              <w:t xml:space="preserve">Сумма родительского документа.</w:t>
            </w:r>
            <w:r/>
          </w:p>
        </w:tc>
      </w:tr>
      <w:tr>
        <w:trPr/>
        <w:tc>
          <w:tcPr>
            <w:shd w:val="clear" w:fill="auto" w:color="auto"/>
            <w:tcW w:w="1841" w:type="pct"/>
            <w:textDirection w:val="lrTb"/>
            <w:noWrap w:val="false"/>
          </w:tcPr>
          <w:p>
            <w:pPr>
              <w:pStyle w:val="1005"/>
              <w:ind w:left="57" w:right="57"/>
            </w:pPr>
            <w:r>
              <w:t xml:space="preserve">Дата зачисления получателю</w:t>
            </w:r>
            <w:r/>
          </w:p>
        </w:tc>
        <w:tc>
          <w:tcPr>
            <w:shd w:val="clear" w:fill="auto" w:color="auto"/>
            <w:tcW w:w="3159" w:type="pct"/>
            <w:textDirection w:val="lrTb"/>
            <w:noWrap w:val="false"/>
          </w:tcPr>
          <w:p>
            <w:pPr>
              <w:pStyle w:val="1005"/>
              <w:ind w:left="57" w:right="57"/>
            </w:pPr>
            <w:r>
              <w:t xml:space="preserve">Дата зачисления средств на счет получателя.</w:t>
            </w:r>
            <w:r/>
          </w:p>
          <w:p>
            <w:pPr>
              <w:pStyle w:val="1005"/>
              <w:ind w:left="57" w:right="57"/>
            </w:pPr>
            <w:r>
              <w:t xml:space="preserve">Ручной ввод.</w:t>
            </w:r>
            <w:r/>
          </w:p>
        </w:tc>
      </w:tr>
      <w:tr>
        <w:trPr/>
        <w:tc>
          <w:tcPr>
            <w:shd w:val="clear" w:fill="auto" w:color="auto"/>
            <w:tcW w:w="1841" w:type="pct"/>
            <w:textDirection w:val="lrTb"/>
            <w:noWrap w:val="false"/>
          </w:tcPr>
          <w:p>
            <w:pPr>
              <w:pStyle w:val="1005"/>
              <w:ind w:left="57" w:right="57"/>
            </w:pPr>
            <w:r>
              <w:t xml:space="preserve">К/с банка получателя</w:t>
            </w:r>
            <w:r/>
          </w:p>
        </w:tc>
        <w:tc>
          <w:tcPr>
            <w:shd w:val="clear" w:fill="auto" w:color="auto"/>
            <w:tcW w:w="3159" w:type="pct"/>
            <w:textDirection w:val="lrTb"/>
            <w:noWrap w:val="false"/>
          </w:tcPr>
          <w:p>
            <w:pPr>
              <w:pStyle w:val="1005"/>
              <w:ind w:left="57" w:right="57"/>
            </w:pPr>
            <w:r>
              <w:t xml:space="preserve">Номер к/с банка получателя.</w:t>
            </w:r>
            <w:r/>
          </w:p>
        </w:tc>
      </w:tr>
      <w:tr>
        <w:trPr/>
        <w:tc>
          <w:tcPr>
            <w:shd w:val="clear" w:fill="auto" w:color="auto"/>
            <w:tcW w:w="1841" w:type="pct"/>
            <w:textDirection w:val="lrTb"/>
            <w:noWrap w:val="false"/>
          </w:tcPr>
          <w:p>
            <w:pPr>
              <w:pStyle w:val="1005"/>
              <w:ind w:left="57" w:right="57"/>
            </w:pPr>
            <w:r>
              <w:t xml:space="preserve">БИК банка получателя</w:t>
            </w:r>
            <w:r/>
          </w:p>
        </w:tc>
        <w:tc>
          <w:tcPr>
            <w:shd w:val="clear" w:fill="auto" w:color="auto"/>
            <w:tcW w:w="3159" w:type="pct"/>
            <w:textDirection w:val="lrTb"/>
            <w:noWrap w:val="false"/>
          </w:tcPr>
          <w:p>
            <w:pPr>
              <w:pStyle w:val="1005"/>
              <w:ind w:left="57" w:right="57"/>
            </w:pPr>
            <w:r>
              <w:t xml:space="preserve">БИК банка получателя.</w:t>
            </w:r>
            <w:r/>
          </w:p>
        </w:tc>
      </w:tr>
      <w:tr>
        <w:trPr/>
        <w:tc>
          <w:tcPr>
            <w:shd w:val="clear" w:fill="auto" w:color="auto"/>
            <w:tcW w:w="1841" w:type="pct"/>
            <w:textDirection w:val="lrTb"/>
            <w:noWrap w:val="false"/>
          </w:tcPr>
          <w:p>
            <w:pPr>
              <w:pStyle w:val="1005"/>
              <w:ind w:left="57" w:right="57"/>
            </w:pPr>
            <w:r>
              <w:t xml:space="preserve">Плательщик</w:t>
            </w:r>
            <w:r/>
          </w:p>
        </w:tc>
        <w:tc>
          <w:tcPr>
            <w:shd w:val="clear" w:fill="auto" w:color="auto"/>
            <w:tcW w:w="3159" w:type="pct"/>
            <w:textDirection w:val="lrTb"/>
            <w:noWrap w:val="false"/>
          </w:tcPr>
          <w:p>
            <w:pPr>
              <w:pStyle w:val="1005"/>
              <w:ind w:left="57" w:right="57"/>
            </w:pPr>
            <w:r>
              <w:t xml:space="preserve">Наименование плательщика родительского док</w:t>
            </w:r>
            <w:r>
              <w:t xml:space="preserve">у</w:t>
            </w:r>
            <w:r>
              <w:t xml:space="preserve">мента.</w:t>
            </w:r>
            <w:r/>
          </w:p>
        </w:tc>
      </w:tr>
      <w:tr>
        <w:trPr/>
        <w:tc>
          <w:tcPr>
            <w:shd w:val="clear" w:fill="auto" w:color="auto"/>
            <w:tcW w:w="1841" w:type="pct"/>
            <w:textDirection w:val="lrTb"/>
            <w:noWrap w:val="false"/>
          </w:tcPr>
          <w:p>
            <w:pPr>
              <w:pStyle w:val="1005"/>
              <w:ind w:left="57" w:right="57"/>
            </w:pPr>
            <w:r>
              <w:t xml:space="preserve">Получатель</w:t>
            </w:r>
            <w:r/>
          </w:p>
        </w:tc>
        <w:tc>
          <w:tcPr>
            <w:shd w:val="clear" w:fill="auto" w:color="auto"/>
            <w:tcW w:w="3159" w:type="pct"/>
            <w:textDirection w:val="lrTb"/>
            <w:noWrap w:val="false"/>
          </w:tcPr>
          <w:p>
            <w:pPr>
              <w:pStyle w:val="1005"/>
              <w:ind w:left="57" w:right="57"/>
            </w:pPr>
            <w:r>
              <w:t xml:space="preserve">Наименование получателя родительского док</w:t>
            </w:r>
            <w:r>
              <w:t xml:space="preserve">у</w:t>
            </w:r>
            <w:r>
              <w:t xml:space="preserve">мента.</w:t>
            </w:r>
            <w:r/>
          </w:p>
        </w:tc>
      </w:tr>
      <w:tr>
        <w:trPr/>
        <w:tc>
          <w:tcPr>
            <w:shd w:val="clear" w:fill="auto" w:color="auto"/>
            <w:tcW w:w="1841" w:type="pct"/>
            <w:textDirection w:val="lrTb"/>
            <w:noWrap w:val="false"/>
          </w:tcPr>
          <w:p>
            <w:pPr>
              <w:pStyle w:val="1005"/>
              <w:ind w:left="57" w:right="57"/>
            </w:pPr>
            <w:r>
              <w:t xml:space="preserve">Текст запроса</w:t>
            </w:r>
            <w:r/>
          </w:p>
        </w:tc>
        <w:tc>
          <w:tcPr>
            <w:shd w:val="clear" w:fill="auto" w:color="auto"/>
            <w:tcW w:w="3159" w:type="pct"/>
            <w:textDirection w:val="lrTb"/>
            <w:noWrap w:val="false"/>
          </w:tcPr>
          <w:p>
            <w:pPr>
              <w:pStyle w:val="1005"/>
              <w:ind w:left="57" w:right="57"/>
            </w:pPr>
            <w:r>
              <w:t xml:space="preserve">Текст запроса</w:t>
            </w:r>
            <w:r>
              <w:t xml:space="preserve"> из родительского документа</w:t>
            </w:r>
            <w:r>
              <w:t xml:space="preserve">.</w:t>
            </w:r>
            <w:r/>
          </w:p>
        </w:tc>
      </w:tr>
      <w:tr>
        <w:trPr/>
        <w:tc>
          <w:tcPr>
            <w:shd w:val="clear" w:fill="auto" w:color="auto"/>
            <w:tcW w:w="1841" w:type="pct"/>
            <w:textDirection w:val="lrTb"/>
            <w:noWrap w:val="false"/>
          </w:tcPr>
          <w:p>
            <w:pPr>
              <w:pStyle w:val="1005"/>
              <w:ind w:left="57" w:right="57"/>
            </w:pPr>
            <w:r>
              <w:t xml:space="preserve">Текст ответа</w:t>
            </w:r>
            <w:r/>
          </w:p>
        </w:tc>
        <w:tc>
          <w:tcPr>
            <w:shd w:val="clear" w:fill="auto" w:color="auto"/>
            <w:tcW w:w="3159" w:type="pct"/>
            <w:textDirection w:val="lrTb"/>
            <w:noWrap w:val="false"/>
          </w:tcPr>
          <w:p>
            <w:pPr>
              <w:pStyle w:val="1005"/>
              <w:ind w:left="57" w:right="57"/>
            </w:pPr>
            <w:r>
              <w:t xml:space="preserve">Текст ответа.</w:t>
            </w:r>
            <w:r/>
          </w:p>
          <w:p>
            <w:pPr>
              <w:pStyle w:val="1005"/>
              <w:ind w:left="57" w:right="57"/>
            </w:pPr>
            <w:r>
              <w:t xml:space="preserve">Ручной ввод.</w:t>
            </w:r>
            <w:r/>
          </w:p>
        </w:tc>
      </w:tr>
      <w:tr>
        <w:trPr/>
        <w:tc>
          <w:tcPr>
            <w:gridSpan w:val="2"/>
            <w:shd w:val="clear" w:fill="auto" w:color="auto"/>
            <w:tcW w:w="5000" w:type="pct"/>
            <w:textDirection w:val="lrTb"/>
            <w:noWrap w:val="false"/>
          </w:tcPr>
          <w:p>
            <w:pPr>
              <w:pStyle w:val="1005"/>
              <w:ind w:left="57" w:right="57"/>
            </w:pPr>
            <w:r>
              <w:t xml:space="preserve">Группа полей «Список уточняемых реквизитов»</w:t>
            </w:r>
            <w:r/>
          </w:p>
        </w:tc>
      </w:tr>
      <w:tr>
        <w:trPr/>
        <w:tc>
          <w:tcPr>
            <w:shd w:val="clear" w:fill="auto" w:color="auto"/>
            <w:tcW w:w="1841" w:type="pct"/>
            <w:textDirection w:val="lrTb"/>
            <w:noWrap w:val="false"/>
          </w:tcPr>
          <w:p>
            <w:pPr>
              <w:pStyle w:val="1005"/>
              <w:ind w:left="57" w:right="57"/>
            </w:pPr>
            <w:r>
              <w:t xml:space="preserve">Номер</w:t>
            </w:r>
            <w:r>
              <w:t xml:space="preserve"> реквизита</w:t>
            </w:r>
            <w:r>
              <w:t xml:space="preserve"> (поля)</w:t>
            </w:r>
            <w:r/>
          </w:p>
        </w:tc>
        <w:tc>
          <w:tcPr>
            <w:shd w:val="clear" w:fill="auto" w:color="auto"/>
            <w:tcW w:w="3159" w:type="pct"/>
            <w:textDirection w:val="lrTb"/>
            <w:noWrap w:val="false"/>
          </w:tcPr>
          <w:p>
            <w:pPr>
              <w:pStyle w:val="1005"/>
              <w:ind w:left="57" w:right="57"/>
            </w:pPr>
            <w:r>
              <w:t xml:space="preserve">Номер реквизита (поля) родительского документа.</w:t>
            </w:r>
            <w:r/>
          </w:p>
          <w:p>
            <w:pPr>
              <w:pStyle w:val="1009"/>
            </w:pPr>
            <w:r>
              <w:t xml:space="preserve">При формировании документа на основании</w:t>
            </w:r>
            <w:r>
              <w:t xml:space="preserve"> </w:t>
            </w:r>
            <w:r>
              <w:t xml:space="preserve">родительских докуме</w:t>
            </w:r>
            <w:r>
              <w:t xml:space="preserve">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r/>
          </w:p>
          <w:p>
            <w:pPr>
              <w:pStyle w:val="1009"/>
            </w:pPr>
            <w:r>
              <w:t xml:space="preserve">При формировании документа на основании родительского документа «</w:t>
            </w:r>
            <w:r>
              <w:t xml:space="preserve">Запрос о получении информации по ЭПС участника</w:t>
            </w:r>
            <w:r>
              <w:t xml:space="preserve">» поле не требуется заполнять автоматически. В этом случае значение поля заполняется вручную пользователем из следующего списка:</w:t>
            </w:r>
            <w:r/>
          </w:p>
          <w:p>
            <w:pPr>
              <w:pStyle w:val="1007"/>
            </w:pPr>
            <w:r>
              <w:t xml:space="preserve">22</w:t>
            </w:r>
            <w:r>
              <w:tab/>
              <w:t xml:space="preserve"> – Код (УИН)</w:t>
            </w:r>
            <w:r>
              <w:tab/>
              <w:t xml:space="preserve">;</w:t>
            </w:r>
            <w:r/>
          </w:p>
          <w:p>
            <w:pPr>
              <w:pStyle w:val="1007"/>
            </w:pPr>
            <w:r>
              <w:t xml:space="preserve">60</w:t>
            </w:r>
            <w:r>
              <w:tab/>
              <w:t xml:space="preserve"> – ИНН плательщика;</w:t>
            </w:r>
            <w:r/>
          </w:p>
          <w:p>
            <w:pPr>
              <w:pStyle w:val="1007"/>
            </w:pPr>
            <w:r>
              <w:t xml:space="preserve">61 – ИНН получателя</w:t>
            </w:r>
            <w:r>
              <w:tab/>
              <w:t xml:space="preserve">;</w:t>
            </w:r>
            <w:r/>
          </w:p>
          <w:p>
            <w:pPr>
              <w:pStyle w:val="1007"/>
            </w:pPr>
            <w:r>
              <w:t xml:space="preserve">101 – </w:t>
            </w:r>
            <w:r>
              <w:tab/>
              <w:t xml:space="preserve">Статус налогоплательщика (101);</w:t>
            </w:r>
            <w:r/>
          </w:p>
          <w:p>
            <w:pPr>
              <w:pStyle w:val="1007"/>
            </w:pPr>
            <w:r>
              <w:t xml:space="preserve">102 – КПП плательщика (102)</w:t>
            </w:r>
            <w:r>
              <w:tab/>
              <w:t xml:space="preserve">;</w:t>
            </w:r>
            <w:r/>
          </w:p>
          <w:p>
            <w:pPr>
              <w:pStyle w:val="1007"/>
            </w:pPr>
            <w:r>
              <w:t xml:space="preserve">103 – КПП получателя (103)</w:t>
            </w:r>
            <w:r>
              <w:tab/>
              <w:t xml:space="preserve">;</w:t>
            </w:r>
            <w:r/>
          </w:p>
          <w:p>
            <w:pPr>
              <w:pStyle w:val="1007"/>
            </w:pPr>
            <w:r>
              <w:t xml:space="preserve">104 – КБК;</w:t>
            </w:r>
            <w:r/>
          </w:p>
          <w:p>
            <w:pPr>
              <w:pStyle w:val="1007"/>
            </w:pPr>
            <w:r>
              <w:t xml:space="preserve">105 – ОКТМО;</w:t>
            </w:r>
            <w:r/>
          </w:p>
          <w:p>
            <w:pPr>
              <w:pStyle w:val="1007"/>
            </w:pPr>
            <w:r>
              <w:t xml:space="preserve">106</w:t>
            </w:r>
            <w:r>
              <w:tab/>
              <w:t xml:space="preserve"> – Основание платежа</w:t>
            </w:r>
            <w:r>
              <w:tab/>
              <w:t xml:space="preserve">;</w:t>
            </w:r>
            <w:r/>
          </w:p>
          <w:p>
            <w:pPr>
              <w:pStyle w:val="1007"/>
            </w:pPr>
            <w:r>
              <w:t xml:space="preserve">107 – Налоговый период;</w:t>
            </w:r>
            <w:r/>
          </w:p>
          <w:p>
            <w:pPr>
              <w:pStyle w:val="1007"/>
            </w:pPr>
            <w:r>
              <w:t xml:space="preserve">108</w:t>
            </w:r>
            <w:r>
              <w:tab/>
              <w:t xml:space="preserve"> – Номер документа-основания;</w:t>
            </w:r>
            <w:r/>
          </w:p>
          <w:p>
            <w:pPr>
              <w:pStyle w:val="1007"/>
            </w:pPr>
            <w:r>
              <w:t xml:space="preserve">109 – Дата документа-основания;</w:t>
            </w:r>
            <w:r/>
          </w:p>
          <w:p>
            <w:pPr>
              <w:pStyle w:val="1007"/>
            </w:pPr>
            <w:r>
              <w:t xml:space="preserve">110</w:t>
            </w:r>
            <w:r>
              <w:tab/>
              <w:t xml:space="preserve"> – Тип платежа.</w:t>
            </w:r>
            <w:r/>
          </w:p>
        </w:tc>
      </w:tr>
      <w:tr>
        <w:trPr/>
        <w:tc>
          <w:tcPr>
            <w:shd w:val="clear" w:fill="auto" w:color="auto"/>
            <w:tcW w:w="1841" w:type="pct"/>
            <w:textDirection w:val="lrTb"/>
            <w:noWrap w:val="false"/>
          </w:tcPr>
          <w:p>
            <w:pPr>
              <w:pStyle w:val="1005"/>
              <w:ind w:left="57" w:right="57"/>
            </w:pPr>
            <w:r>
              <w:t xml:space="preserve">Значение реквизита</w:t>
            </w:r>
            <w:r/>
          </w:p>
        </w:tc>
        <w:tc>
          <w:tcPr>
            <w:shd w:val="clear" w:fill="auto" w:color="auto"/>
            <w:tcW w:w="3159" w:type="pct"/>
            <w:textDirection w:val="lrTb"/>
            <w:noWrap w:val="false"/>
          </w:tcPr>
          <w:p>
            <w:pPr>
              <w:pStyle w:val="1005"/>
              <w:ind w:left="57" w:right="57"/>
            </w:pPr>
            <w:r>
              <w:t xml:space="preserve">Значение реквизита родительского документа.</w:t>
            </w:r>
            <w:r/>
          </w:p>
          <w:p>
            <w:pPr>
              <w:pStyle w:val="1005"/>
              <w:ind w:left="57" w:right="57"/>
            </w:pPr>
            <w:r>
              <w:t xml:space="preserve">При формировании</w:t>
            </w:r>
            <w:r>
              <w:t xml:space="preserve"> </w:t>
            </w:r>
            <w:r>
              <w:t xml:space="preserve">не заполняется для документов: ЗКР, СЗКР, Сводная ЗКР, ПП.</w:t>
            </w:r>
            <w:r/>
          </w:p>
        </w:tc>
      </w:tr>
      <w:tr>
        <w:trPr/>
        <w:tc>
          <w:tcPr>
            <w:shd w:val="clear" w:fill="auto" w:color="auto"/>
            <w:tcW w:w="1841" w:type="pct"/>
            <w:textDirection w:val="lrTb"/>
            <w:noWrap w:val="false"/>
          </w:tcPr>
          <w:p>
            <w:pPr>
              <w:pStyle w:val="1005"/>
              <w:ind w:left="57" w:right="57"/>
            </w:pPr>
            <w:r>
              <w:t xml:space="preserve">Номер в реестре</w:t>
            </w:r>
            <w:r/>
          </w:p>
        </w:tc>
        <w:tc>
          <w:tcPr>
            <w:shd w:val="clear" w:fill="auto" w:color="auto"/>
            <w:tcW w:w="3159" w:type="pct"/>
            <w:textDirection w:val="lrTb"/>
            <w:noWrap w:val="false"/>
          </w:tcPr>
          <w:p>
            <w:pPr>
              <w:pStyle w:val="1005"/>
              <w:ind w:left="57" w:right="57"/>
            </w:pPr>
            <w:r>
              <w:t xml:space="preserve">Номер записи в реестре</w:t>
            </w:r>
            <w:r>
              <w:t xml:space="preserve"> </w:t>
            </w:r>
            <w:r>
              <w:t xml:space="preserve">родительского документа.</w:t>
            </w:r>
            <w:r/>
          </w:p>
          <w:p>
            <w:pPr>
              <w:pStyle w:val="1005"/>
              <w:ind w:left="57" w:right="57"/>
            </w:pPr>
            <w:r>
              <w:t xml:space="preserve">При формировании</w:t>
            </w:r>
            <w:r>
              <w:t xml:space="preserve"> </w:t>
            </w:r>
            <w:r>
              <w:t xml:space="preserve">не заполняется для документов: ЗКР, СЗКР, Сводная ЗКР, ПП.</w:t>
            </w:r>
            <w:r/>
          </w:p>
        </w:tc>
      </w:tr>
    </w:tbl>
    <w:p>
      <w:pPr>
        <w:pStyle w:val="971"/>
      </w:pPr>
      <w:r/>
      <w:bookmarkStart w:id="1599" w:name="_Toc88819151"/>
      <w:r>
        <w:t xml:space="preserve">Группа документов «Служебные»</w:t>
      </w:r>
      <w:bookmarkEnd w:id="1399"/>
      <w:r/>
      <w:bookmarkEnd w:id="1400"/>
      <w:r/>
      <w:bookmarkEnd w:id="1401"/>
      <w:r/>
      <w:bookmarkEnd w:id="1574"/>
      <w:r/>
      <w:bookmarkEnd w:id="1599"/>
      <w:r/>
      <w:r/>
    </w:p>
    <w:p>
      <w:pPr>
        <w:pStyle w:val="972"/>
      </w:pPr>
      <w:r/>
      <w:bookmarkStart w:id="1600" w:name="_Toc315164831"/>
      <w:r/>
      <w:bookmarkStart w:id="1601" w:name="_Toc422496722"/>
      <w:r/>
      <w:bookmarkStart w:id="1602" w:name="_Ref449107525"/>
      <w:r/>
      <w:bookmarkStart w:id="1603" w:name="_Toc88819152"/>
      <w:r>
        <w:t xml:space="preserve">Анкета</w:t>
      </w:r>
      <w:bookmarkEnd w:id="1600"/>
      <w:r/>
      <w:bookmarkEnd w:id="1601"/>
      <w:r/>
      <w:bookmarkEnd w:id="1602"/>
      <w:r/>
      <w:bookmarkEnd w:id="1603"/>
      <w:r/>
      <w:r/>
    </w:p>
    <w:p>
      <w:pPr>
        <w:pStyle w:val="994"/>
      </w:pPr>
      <w:r>
        <w:t xml:space="preserve">Документ «Анкета» служит для организации обратной связи разработчиков ППО АСФК (СУФД) с пользователями.</w:t>
      </w:r>
      <w:r/>
    </w:p>
    <w:p>
      <w:pPr>
        <w:pStyle w:val="994"/>
      </w:pPr>
      <w:r>
        <w:t xml:space="preserve">Для работы с документами «</w:t>
      </w:r>
      <w:r>
        <w:t xml:space="preserve">Анкета» </w:t>
      </w:r>
      <w:r>
        <w:t xml:space="preserve">следует перейти в пункт меню </w:t>
      </w:r>
      <w:r>
        <w:t xml:space="preserve">«Документы – Служебные – Анкета». Откроется ЭФ списка документов, представленная на рисунке </w:t>
      </w:r>
      <w:r>
        <w:fldChar w:fldCharType="begin"/>
      </w:r>
      <w:r>
        <w:instrText xml:space="preserve"> REF _Ref315164873 \h  \* MERGEFORMAT </w:instrText>
      </w:r>
      <w:r>
        <w:fldChar w:fldCharType="separate"/>
      </w:r>
      <w:r>
        <w:t xml:space="preserve">230</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4114800"/>
                <wp:effectExtent l="0" t="0" r="0" b="0"/>
                <wp:docPr id="34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09"/>
                        <a:stretch/>
                      </pic:blipFill>
                      <pic:spPr bwMode="auto">
                        <a:xfrm>
                          <a:off x="0" y="0"/>
                          <a:ext cx="6126480" cy="4114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6" o:spid="_x0000_s346" type="#_x0000_t75" style="mso-wrap-distance-left:0.0pt;mso-wrap-distance-top:0.0pt;mso-wrap-distance-right:0.0pt;mso-wrap-distance-bottom:0.0pt;width:482.4pt;height:324.0pt;" stroked="f">
                <v:path textboxrect="0,0,0,0"/>
                <v:imagedata r:id="rId309" o:title=""/>
              </v:shape>
            </w:pict>
          </mc:Fallback>
        </mc:AlternateContent>
      </w:r>
      <w:r/>
    </w:p>
    <w:p>
      <w:pPr>
        <w:pStyle w:val="983"/>
      </w:pPr>
      <w:r>
        <w:fldChar w:fldCharType="begin"/>
      </w:r>
      <w:r>
        <w:instrText xml:space="preserve"> SEQ Рисунок \* ARABIC </w:instrText>
      </w:r>
      <w:r>
        <w:fldChar w:fldCharType="separate"/>
      </w:r>
      <w:bookmarkStart w:id="1604" w:name="_Ref315164873"/>
      <w:r/>
      <w:bookmarkStart w:id="1605" w:name="_Toc88819615"/>
      <w:r>
        <w:t xml:space="preserve">230</w:t>
      </w:r>
      <w:bookmarkEnd w:id="1604"/>
      <w:r>
        <w:fldChar w:fldCharType="end"/>
      </w:r>
      <w:r>
        <w:t xml:space="preserve">. ЭФ списка документов «Анкета»</w:t>
      </w:r>
      <w:bookmarkEnd w:id="1605"/>
      <w:r/>
      <w:r/>
    </w:p>
    <w:p>
      <w:pPr>
        <w:pStyle w:val="995"/>
      </w:pPr>
      <w:r>
        <w:t xml:space="preserve">Для заполнения анкеты необходимо выполнить следующ</w:t>
      </w:r>
      <w:r>
        <w:t xml:space="preserve">ие</w:t>
      </w:r>
      <w:r>
        <w:t xml:space="preserve"> действи</w:t>
      </w:r>
      <w:r>
        <w:t xml:space="preserve">я</w:t>
      </w:r>
      <w:r>
        <w:t xml:space="preserve">:</w:t>
      </w:r>
      <w:r/>
    </w:p>
    <w:p>
      <w:pPr>
        <w:pStyle w:val="1156"/>
        <w:numPr>
          <w:ilvl w:val="0"/>
          <w:numId w:val="50"/>
        </w:numPr>
      </w:pPr>
      <w:r/>
      <w:bookmarkStart w:id="1606" w:name="_Ref383195990"/>
      <w:r/>
      <w:bookmarkStart w:id="1607" w:name="_Ref383430504"/>
      <w:r/>
      <w:bookmarkStart w:id="1608" w:name="_Toc383430762"/>
      <w:r/>
      <w:bookmarkStart w:id="1609" w:name="_Toc383434230"/>
      <w:r/>
      <w:bookmarkStart w:id="1610" w:name="_Toc383437978"/>
      <w:r/>
      <w:bookmarkStart w:id="1611" w:name="_Toc422496723"/>
      <w:r>
        <w:t xml:space="preserve">На панели инструментов нажать кнопку </w:t>
      </w:r>
      <w:r>
        <mc:AlternateContent>
          <mc:Choice Requires="wpg">
            <w:drawing>
              <wp:inline xmlns:wp="http://schemas.openxmlformats.org/drawingml/2006/wordprocessingDrawing" distT="0" distB="0" distL="0" distR="0">
                <wp:extent cx="182880" cy="182880"/>
                <wp:effectExtent l="0" t="0" r="0" b="0"/>
                <wp:docPr id="34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1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7" o:spid="_x0000_s347" type="#_x0000_t75" style="mso-wrap-distance-left:0.0pt;mso-wrap-distance-top:0.0pt;mso-wrap-distance-right:0.0pt;mso-wrap-distance-bottom:0.0pt;width:14.4pt;height:14.4pt;" stroked="f">
                <v:path textboxrect="0,0,0,0"/>
                <v:imagedata r:id="rId310" o:title=""/>
              </v:shape>
            </w:pict>
          </mc:Fallback>
        </mc:AlternateContent>
      </w:r>
      <w:r>
        <w:t xml:space="preserve"> </w:t>
      </w:r>
      <w:r>
        <w:t xml:space="preserve">(Создать новый документ)</w:t>
      </w:r>
      <w:r>
        <w:t xml:space="preserve">. Открое</w:t>
      </w:r>
      <w:r>
        <w:t xml:space="preserve">т</w:t>
      </w:r>
      <w:r>
        <w:t xml:space="preserve">ся ЭФ анкеты (рис.</w:t>
      </w:r>
      <w:r>
        <w:t xml:space="preserve"> </w:t>
      </w:r>
      <w:r>
        <w:fldChar w:fldCharType="begin"/>
      </w:r>
      <w:r>
        <w:instrText xml:space="preserve"> REF _Ref315165849 \h  \* MERGEFORMAT </w:instrText>
      </w:r>
      <w:r>
        <w:fldChar w:fldCharType="separate"/>
      </w:r>
      <w:r>
        <w:t xml:space="preserve">231</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5852160"/>
                <wp:effectExtent l="0" t="0" r="0" b="0"/>
                <wp:docPr id="34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11"/>
                        <a:stretch/>
                      </pic:blipFill>
                      <pic:spPr bwMode="auto">
                        <a:xfrm>
                          <a:off x="0" y="0"/>
                          <a:ext cx="6118860" cy="58521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8" o:spid="_x0000_s348" type="#_x0000_t75" style="mso-wrap-distance-left:0.0pt;mso-wrap-distance-top:0.0pt;mso-wrap-distance-right:0.0pt;mso-wrap-distance-bottom:0.0pt;width:481.8pt;height:460.8pt;" stroked="f">
                <v:path textboxrect="0,0,0,0"/>
                <v:imagedata r:id="rId311" o:title=""/>
              </v:shape>
            </w:pict>
          </mc:Fallback>
        </mc:AlternateContent>
      </w:r>
      <w:r/>
    </w:p>
    <w:p>
      <w:pPr>
        <w:pStyle w:val="983"/>
      </w:pPr>
      <w:r>
        <w:fldChar w:fldCharType="begin"/>
      </w:r>
      <w:r>
        <w:instrText xml:space="preserve"> SEQ Рисунок \* ARABIC </w:instrText>
      </w:r>
      <w:r>
        <w:fldChar w:fldCharType="separate"/>
      </w:r>
      <w:bookmarkStart w:id="1612" w:name="_Ref315165849"/>
      <w:r/>
      <w:bookmarkStart w:id="1613" w:name="_Toc88819616"/>
      <w:r>
        <w:t xml:space="preserve">231</w:t>
      </w:r>
      <w:bookmarkEnd w:id="1612"/>
      <w:r>
        <w:fldChar w:fldCharType="end"/>
      </w:r>
      <w:r>
        <w:t xml:space="preserve">. ЭФ </w:t>
      </w:r>
      <w:r>
        <w:t xml:space="preserve">д</w:t>
      </w:r>
      <w:r>
        <w:t xml:space="preserve">окумент</w:t>
      </w:r>
      <w:r>
        <w:t xml:space="preserve">а</w:t>
      </w:r>
      <w:r>
        <w:t xml:space="preserve"> </w:t>
      </w:r>
      <w:r>
        <w:t xml:space="preserve">«</w:t>
      </w:r>
      <w:r>
        <w:t xml:space="preserve">Анкета</w:t>
      </w:r>
      <w:r>
        <w:t xml:space="preserve">»</w:t>
      </w:r>
      <w:bookmarkEnd w:id="1613"/>
      <w:r/>
      <w:r/>
    </w:p>
    <w:p>
      <w:pPr>
        <w:pStyle w:val="1156"/>
      </w:pPr>
      <w:r>
        <w:t xml:space="preserve">Ответить на вопросы анкеты. Ответы выбираются из выпадающих списков, кот</w:t>
      </w:r>
      <w:r>
        <w:t xml:space="preserve">о</w:t>
      </w:r>
      <w:r>
        <w:t xml:space="preserve">рые открываются при нажатии на кнопку</w:t>
      </w:r>
      <w:r>
        <w:t xml:space="preserve"> выбора</w:t>
      </w:r>
      <w:r>
        <w:t xml:space="preserve"> </w:t>
      </w:r>
      <w:r>
        <mc:AlternateContent>
          <mc:Choice Requires="wpg">
            <w:drawing>
              <wp:inline xmlns:wp="http://schemas.openxmlformats.org/drawingml/2006/wordprocessingDrawing" distT="0" distB="0" distL="0" distR="0">
                <wp:extent cx="281940" cy="182880"/>
                <wp:effectExtent l="0" t="0" r="0" b="0"/>
                <wp:docPr id="35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12"/>
                        <a:stretch/>
                      </pic:blipFill>
                      <pic:spPr bwMode="auto">
                        <a:xfrm>
                          <a:off x="0" y="0"/>
                          <a:ext cx="28194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9" o:spid="_x0000_s349" type="#_x0000_t75" style="mso-wrap-distance-left:0.0pt;mso-wrap-distance-top:0.0pt;mso-wrap-distance-right:0.0pt;mso-wrap-distance-bottom:0.0pt;width:22.2pt;height:14.4pt;" stroked="f">
                <v:path textboxrect="0,0,0,0"/>
                <v:imagedata r:id="rId312" o:title=""/>
              </v:shape>
            </w:pict>
          </mc:Fallback>
        </mc:AlternateContent>
      </w:r>
      <w:r>
        <w:t xml:space="preserve">.</w:t>
      </w:r>
      <w:r/>
    </w:p>
    <w:p>
      <w:pPr>
        <w:pStyle w:val="1156"/>
      </w:pPr>
      <w:r>
        <w:t xml:space="preserve">После ответов на вопросы необходимо сохранить документ, нажав на кнопку</w:t>
      </w:r>
      <w:r>
        <w:t xml:space="preserve"> </w:t>
      </w:r>
      <w:r>
        <mc:AlternateContent>
          <mc:Choice Requires="wpg">
            <w:drawing>
              <wp:inline xmlns:wp="http://schemas.openxmlformats.org/drawingml/2006/wordprocessingDrawing" distT="0" distB="0" distL="0" distR="0">
                <wp:extent cx="274320" cy="274320"/>
                <wp:effectExtent l="0" t="0" r="0" b="0"/>
                <wp:docPr id="35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13"/>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0" o:spid="_x0000_s350" type="#_x0000_t75" style="mso-wrap-distance-left:0.0pt;mso-wrap-distance-top:0.0pt;mso-wrap-distance-right:0.0pt;mso-wrap-distance-bottom:0.0pt;width:21.6pt;height:21.6pt;" stroked="f">
                <v:path textboxrect="0,0,0,0"/>
                <v:imagedata r:id="rId313" o:title=""/>
              </v:shape>
            </w:pict>
          </mc:Fallback>
        </mc:AlternateContent>
      </w:r>
      <w:r>
        <w:t xml:space="preserve"> (Сохранить изменения и закрыть окно)</w:t>
      </w:r>
      <w:r>
        <w:t xml:space="preserve">.</w:t>
      </w:r>
      <w:r/>
    </w:p>
    <w:p>
      <w:pPr>
        <w:pStyle w:val="972"/>
      </w:pPr>
      <w:r/>
      <w:bookmarkStart w:id="1614" w:name="_Toc88819153"/>
      <w:r>
        <w:t xml:space="preserve">Способы автоматического импорта файлов</w:t>
      </w:r>
      <w:bookmarkEnd w:id="1606"/>
      <w:r/>
      <w:bookmarkEnd w:id="1607"/>
      <w:r/>
      <w:bookmarkEnd w:id="1608"/>
      <w:r/>
      <w:bookmarkEnd w:id="1609"/>
      <w:r/>
      <w:bookmarkEnd w:id="1610"/>
      <w:r/>
      <w:bookmarkEnd w:id="1611"/>
      <w:r/>
      <w:bookmarkEnd w:id="1614"/>
      <w:r/>
      <w:r/>
    </w:p>
    <w:p>
      <w:pPr>
        <w:pStyle w:val="994"/>
      </w:pPr>
      <w:r>
        <w:t xml:space="preserve">Документ «Способы автоматического импорта файлов» предназначен для описания спос</w:t>
      </w:r>
      <w:r>
        <w:t xml:space="preserve">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«Информационное сообщение», в который в виде вложения добавляется импортируемый файл.</w:t>
      </w:r>
      <w:r/>
    </w:p>
    <w:p>
      <w:pPr>
        <w:pStyle w:val="994"/>
      </w:pPr>
      <w:r>
        <w:t xml:space="preserve">Документ «Способы автоматического импорта файлов» предназначен для локального использования на всех видах АРМ СУФД. Документ не предназначен для пересылки между АРМ.</w:t>
      </w:r>
      <w:r/>
    </w:p>
    <w:p>
      <w:pPr>
        <w:pStyle w:val="994"/>
      </w:pPr>
      <w:r>
        <w:t xml:space="preserve">Для работы с документами «</w:t>
      </w:r>
      <w:r>
        <w:t xml:space="preserve">Способы автоматического импорта файлов» необходимо включить пользователя в группы «Локальные администраторы» и «Автоимпор</w:t>
      </w:r>
      <w:r>
        <w:t xml:space="preserve">т</w:t>
      </w:r>
      <w:r>
        <w:t xml:space="preserve">/автоэкспорт». </w:t>
      </w:r>
      <w:r/>
    </w:p>
    <w:p>
      <w:pPr>
        <w:pStyle w:val="994"/>
      </w:pPr>
      <w:r>
        <w:t xml:space="preserve">Для работы с документами «</w:t>
      </w:r>
      <w:r>
        <w:t xml:space="preserve">Способы автоматического импорта файлов» </w:t>
      </w:r>
      <w:r>
        <w:t xml:space="preserve">следует перейти в пункт меню </w:t>
      </w:r>
      <w:r>
        <w:t xml:space="preserve">«Документы – Служебные – Способы автоматического импорта файлов». Откроется ЭФ списка документов, представленная на рисунке</w:t>
      </w:r>
      <w:r>
        <w:t xml:space="preserve"> </w:t>
      </w:r>
      <w:r>
        <w:fldChar w:fldCharType="begin"/>
      </w:r>
      <w:r>
        <w:instrText xml:space="preserve"> REF _Ref384122846 \h  \* MERGEFORMAT </w:instrText>
      </w:r>
      <w:r>
        <w:fldChar w:fldCharType="separate"/>
      </w:r>
      <w:r>
        <w:t xml:space="preserve">232</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4114800"/>
                <wp:effectExtent l="0" t="0" r="0" b="0"/>
                <wp:docPr id="35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14"/>
                        <a:stretch/>
                      </pic:blipFill>
                      <pic:spPr bwMode="auto">
                        <a:xfrm>
                          <a:off x="0" y="0"/>
                          <a:ext cx="6126480" cy="4114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1" o:spid="_x0000_s351" type="#_x0000_t75" style="mso-wrap-distance-left:0.0pt;mso-wrap-distance-top:0.0pt;mso-wrap-distance-right:0.0pt;mso-wrap-distance-bottom:0.0pt;width:482.4pt;height:324.0pt;" stroked="f">
                <v:path textboxrect="0,0,0,0"/>
                <v:imagedata r:id="rId314" o:title=""/>
              </v:shape>
            </w:pict>
          </mc:Fallback>
        </mc:AlternateContent>
      </w:r>
      <w:r/>
    </w:p>
    <w:p>
      <w:pPr>
        <w:pStyle w:val="983"/>
      </w:pPr>
      <w:r>
        <w:fldChar w:fldCharType="begin"/>
      </w:r>
      <w:r>
        <w:instrText xml:space="preserve"> SEQ Рисунок \* ARABIC </w:instrText>
      </w:r>
      <w:r>
        <w:fldChar w:fldCharType="separate"/>
      </w:r>
      <w:bookmarkStart w:id="1615" w:name="_Ref384122846"/>
      <w:r/>
      <w:bookmarkStart w:id="1616" w:name="_Toc88819617"/>
      <w:r>
        <w:t xml:space="preserve">232</w:t>
      </w:r>
      <w:bookmarkEnd w:id="1615"/>
      <w:r>
        <w:fldChar w:fldCharType="end"/>
      </w:r>
      <w:r>
        <w:t xml:space="preserve">. ЭФ списка документов «Способы автоматического импорта файлов»</w:t>
      </w:r>
      <w:bookmarkEnd w:id="1616"/>
      <w:r/>
      <w:r/>
    </w:p>
    <w:p>
      <w:pPr>
        <w:pStyle w:val="973"/>
      </w:pPr>
      <w:r>
        <w:t xml:space="preserve">Доступные операции</w:t>
      </w:r>
      <w:r/>
    </w:p>
    <w:p>
      <w:pPr>
        <w:pStyle w:val="994"/>
      </w:pPr>
      <w:r>
        <w:t xml:space="preserve">На АРМ ФО доступны следующие операции над документом:</w:t>
      </w:r>
      <w:r/>
    </w:p>
    <w:p>
      <w:pPr>
        <w:pStyle w:val="985"/>
      </w:pPr>
      <w:r>
        <w:t xml:space="preserve">созда</w:t>
      </w:r>
      <w:r>
        <w:t xml:space="preserve">ние</w:t>
      </w:r>
      <w:r>
        <w:t xml:space="preserve">;</w:t>
      </w:r>
      <w:r/>
    </w:p>
    <w:p>
      <w:pPr>
        <w:pStyle w:val="985"/>
      </w:pPr>
      <w:r>
        <w:t xml:space="preserve">просмотр</w:t>
      </w:r>
      <w:r>
        <w:t xml:space="preserve"> и редактирование</w:t>
      </w:r>
      <w:r>
        <w:t xml:space="preserve">;</w:t>
      </w:r>
      <w:r/>
    </w:p>
    <w:p>
      <w:pPr>
        <w:pStyle w:val="985"/>
      </w:pPr>
      <w:r>
        <w:t xml:space="preserve">копирова</w:t>
      </w:r>
      <w:r>
        <w:t xml:space="preserve">ние</w:t>
      </w:r>
      <w:r>
        <w:t xml:space="preserve"> и </w:t>
      </w:r>
      <w:r>
        <w:t xml:space="preserve">удаление</w:t>
      </w:r>
      <w:r>
        <w:t xml:space="preserve">.</w:t>
      </w:r>
      <w:r/>
    </w:p>
    <w:p>
      <w:pPr>
        <w:pStyle w:val="974"/>
      </w:pPr>
      <w:r>
        <w:t xml:space="preserve">Сценарий «Автоматический импорт произвольных файлов»</w:t>
      </w:r>
      <w:r/>
    </w:p>
    <w:p>
      <w:pPr>
        <w:pStyle w:val="1156"/>
        <w:numPr>
          <w:ilvl w:val="0"/>
          <w:numId w:val="45"/>
        </w:numPr>
      </w:pPr>
      <w:r>
        <w:t xml:space="preserve">Пользователь открывает списковую форму документа «Способы автоматического импорта файлов», который расположен в дереве навигации по пути: «Документы – Служебные».</w:t>
      </w:r>
      <w:r/>
    </w:p>
    <w:p>
      <w:pPr>
        <w:pStyle w:val="1156"/>
      </w:pPr>
      <w:r>
        <w:t xml:space="preserve">Для каждой организации, которая может выступать в роли отправителя документа с произвольным файлом, пользователь определяет способы автоматического импорта файлов и задает:</w:t>
      </w:r>
      <w:r/>
    </w:p>
    <w:p>
      <w:pPr>
        <w:pStyle w:val="992"/>
      </w:pPr>
      <w:r>
        <w:t xml:space="preserve">Название функции обработки файла. В данный момент должна быть указана только одна функция, которая выполняет формирование документа «Информационное сообщение» и добавляет исходный файл во вложение.</w:t>
      </w:r>
      <w:r/>
    </w:p>
    <w:p>
      <w:pPr>
        <w:pStyle w:val="992"/>
      </w:pPr>
      <w:r>
        <w:t xml:space="preserve">Параметры для вычисления адреса отправителя и адреса получателя. </w:t>
      </w:r>
      <w:r/>
    </w:p>
    <w:p>
      <w:pPr>
        <w:pStyle w:val="992"/>
      </w:pPr>
      <w:r>
        <w:t xml:space="preserve">Предварительные значения полей документа «Информационное сообщение». </w:t>
      </w:r>
      <w:r/>
    </w:p>
    <w:p>
      <w:pPr>
        <w:pStyle w:val="992"/>
      </w:pPr>
      <w:r>
        <w:t xml:space="preserve">Дополнительные операции, которые нужно выполнять при импорте файла.</w:t>
      </w:r>
      <w:r/>
    </w:p>
    <w:p>
      <w:pPr>
        <w:pStyle w:val="1156"/>
      </w:pPr>
      <w:r>
        <w:t xml:space="preserve">Пользователь открывает пункт меню «Документы – Произвольные – Информационные сообщения – Информационное сообщение». Открывает список выбора у операции «Импорт». Устанавливает флаг «Автоматический импорт».</w:t>
      </w:r>
      <w:r/>
    </w:p>
    <w:p>
      <w:pPr>
        <w:pStyle w:val="1156"/>
      </w:pPr>
      <w:r>
        <w:t xml:space="preserve">Затем пользователь открывает апплет автоматического импорта-экспорта. Выбирает закладку «Настройка расширенного импорта». В списке «Способы импорта» отображаются документы «Способы автоматического импорта файлов», созданные ранее текущим пользователем. </w:t>
      </w:r>
      <w:r/>
    </w:p>
    <w:p>
      <w:pPr>
        <w:pStyle w:val="1156"/>
      </w:pPr>
      <w:r>
        <w:t xml:space="preserve">После чего пользователь устанавливает активность способов импорта и для каждого способа настраивает каталог для импорта, каталог для ошибок и успешно обработанных файлов.</w:t>
      </w:r>
      <w:r/>
    </w:p>
    <w:p>
      <w:pPr>
        <w:pStyle w:val="1156"/>
      </w:pPr>
      <w:r>
        <w:t xml:space="preserve">Для нескольких способов импорта пользователь может указать один и тот же каталог для импорта, только при условии, что каждый из способов обрабатывает файлы с индивидуальной маской имени файла. Т.е. если способ №</w:t>
      </w:r>
      <w:r>
        <w:t xml:space="preserve"> </w:t>
      </w:r>
      <w:r>
        <w:t xml:space="preserve">1 импорта файлов обрабатывает только файлы с маской *.</w:t>
      </w:r>
      <w:r>
        <w:rPr>
          <w:lang w:val="en-US"/>
        </w:rPr>
        <w:t xml:space="preserve">doc</w:t>
      </w:r>
      <w:r>
        <w:t xml:space="preserve">, а способ №</w:t>
      </w:r>
      <w:r>
        <w:t xml:space="preserve"> </w:t>
      </w:r>
      <w:r>
        <w:t xml:space="preserve">2</w:t>
      </w:r>
      <w:r>
        <w:t xml:space="preserve"> – </w:t>
      </w:r>
      <w:r>
        <w:t xml:space="preserve">файлы с маской *.xls, т</w:t>
      </w:r>
      <w:r>
        <w:t xml:space="preserve">о для обоих способов можно указать один и тот же каталог для импорта. Если пользователь указывает для нескольких способов импорта, обрабатывающих файлы с одинаковыми масками, один и тот же каталог для импорта, то выводится сообщение об ошибке в настройках.</w:t>
      </w:r>
      <w:r/>
    </w:p>
    <w:p>
      <w:pPr>
        <w:pStyle w:val="1156"/>
      </w:pPr>
      <w:r>
        <w:t xml:space="preserve">Выполненные настройки сохраняются в локальном хранилище пользовательских настроек.</w:t>
      </w:r>
      <w:r/>
    </w:p>
    <w:p>
      <w:pPr>
        <w:pStyle w:val="1156"/>
      </w:pPr>
      <w:r>
        <w:t xml:space="preserve">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привязано несколько способов импорта, то выбираем способ импорта по маске файла. </w:t>
      </w:r>
      <w:r/>
    </w:p>
    <w:p>
      <w:pPr>
        <w:pStyle w:val="1156"/>
      </w:pPr>
      <w:r>
        <w:t xml:space="preserve">Апплет передает файл и идентификатор способа импорта на сервер (гуид документа «Способы автоматического импорта файлов»).</w:t>
      </w:r>
      <w:r/>
    </w:p>
    <w:p>
      <w:pPr>
        <w:pStyle w:val="1156"/>
      </w:pPr>
      <w:r>
        <w:t xml:space="preserve">По идентификатору загружается документ «Способы автоматического импорта файлов». Из документа извлекается имя функции по обработке файла. Файл и документ передается функции по обработке файла. </w:t>
      </w:r>
      <w:r/>
    </w:p>
    <w:p>
      <w:pPr>
        <w:pStyle w:val="1156"/>
      </w:pPr>
      <w:r>
        <w:t xml:space="preserve">Функция по обработке файла создает «Информационное сообщение». На основе параметров «Способа импорта файла» вычисляется адрес отправителя, адрес получ</w:t>
      </w:r>
      <w:r>
        <w:t xml:space="preserve">ателя, заполняются поля документа, файл добавляется во вложение. Документ сохраняется в БД на статусе «Черновик». Если в параметрах задано выполнение дополнительной операции, например, документарного контроля, то происходит дальнейшая обработка документа. </w:t>
      </w:r>
      <w:r/>
    </w:p>
    <w:p>
      <w:pPr>
        <w:pStyle w:val="1156"/>
      </w:pPr>
      <w:r>
        <w:t xml:space="preserve">Результат импорта файла передается в апплет. Если импорт завершился успешно, то файл перемещается в каталог для успешных файлов, иначе в каталог для ошибочных файлов, при этом создается новый файл с расширением *.</w:t>
      </w:r>
      <w:r>
        <w:rPr>
          <w:lang w:val="en-US"/>
        </w:rPr>
        <w:t xml:space="preserve">info</w:t>
      </w:r>
      <w:r>
        <w:t xml:space="preserve">, в который записывается сообщение об ошибке импорта или выполнения документарного контроля.</w:t>
      </w:r>
      <w:r/>
    </w:p>
    <w:p>
      <w:pPr>
        <w:pStyle w:val="973"/>
      </w:pPr>
      <w:r>
        <w:t xml:space="preserve">Экранная форма документа</w:t>
      </w:r>
      <w:r/>
    </w:p>
    <w:p>
      <w:pPr>
        <w:pStyle w:val="994"/>
      </w:pPr>
      <w:r>
        <w:t xml:space="preserve">ЭФ документа «Способы автоматического импорта файлов» представлена на рисунках </w:t>
      </w:r>
      <w:r>
        <w:fldChar w:fldCharType="begin"/>
      </w:r>
      <w:r>
        <w:instrText xml:space="preserve"> REF _Ref383101256 \h </w:instrText>
      </w:r>
      <w:r>
        <w:instrText xml:space="preserve"> \* MERGEFORMAT </w:instrText>
      </w:r>
      <w:r>
        <w:fldChar w:fldCharType="separate"/>
      </w:r>
      <w:r>
        <w:t xml:space="preserve">233</w:t>
      </w:r>
      <w:r>
        <w:fldChar w:fldCharType="end"/>
      </w:r>
      <w:r>
        <w:t xml:space="preserve">-</w:t>
      </w:r>
      <w:r>
        <w:fldChar w:fldCharType="begin"/>
      </w:r>
      <w:r>
        <w:instrText xml:space="preserve"> REF _Ref383101375 \h </w:instrText>
      </w:r>
      <w:r>
        <w:instrText xml:space="preserve"> \* MERGEFORMAT </w:instrText>
      </w:r>
      <w:r>
        <w:fldChar w:fldCharType="separate"/>
      </w:r>
      <w:r>
        <w:t xml:space="preserve">235</w:t>
      </w:r>
      <w:r>
        <w:fldChar w:fldCharType="end"/>
      </w:r>
      <w:r>
        <w:t xml:space="preserve">. Форма содержит следующие закладки:</w:t>
      </w:r>
      <w:r/>
    </w:p>
    <w:p>
      <w:pPr>
        <w:pStyle w:val="985"/>
      </w:pPr>
      <w:r>
        <w:t xml:space="preserve">«Отправитель и получатель документа»;</w:t>
      </w:r>
      <w:r/>
    </w:p>
    <w:p>
      <w:pPr>
        <w:pStyle w:val="985"/>
      </w:pPr>
      <w:r>
        <w:t xml:space="preserve">«Параметры документа Информационное сообщение»;</w:t>
      </w:r>
      <w:r/>
    </w:p>
    <w:p>
      <w:pPr>
        <w:pStyle w:val="985"/>
      </w:pPr>
      <w:r>
        <w:t xml:space="preserve">«Дополнительные операции».</w:t>
      </w:r>
      <w:r/>
    </w:p>
    <w:p>
      <w:pPr>
        <w:pStyle w:val="982"/>
      </w:pPr>
      <w:r>
        <mc:AlternateContent>
          <mc:Choice Requires="wpg">
            <w:drawing>
              <wp:inline xmlns:wp="http://schemas.openxmlformats.org/drawingml/2006/wordprocessingDrawing" distT="0" distB="0" distL="0" distR="0">
                <wp:extent cx="6042660" cy="5852160"/>
                <wp:effectExtent l="0" t="0" r="0" b="0"/>
                <wp:docPr id="35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15"/>
                        <a:stretch/>
                      </pic:blipFill>
                      <pic:spPr bwMode="auto">
                        <a:xfrm>
                          <a:off x="0" y="0"/>
                          <a:ext cx="6042660" cy="58521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2" o:spid="_x0000_s352" type="#_x0000_t75" style="mso-wrap-distance-left:0.0pt;mso-wrap-distance-top:0.0pt;mso-wrap-distance-right:0.0pt;mso-wrap-distance-bottom:0.0pt;width:475.8pt;height:460.8pt;" stroked="f">
                <v:path textboxrect="0,0,0,0"/>
                <v:imagedata r:id="rId315" o:title=""/>
              </v:shape>
            </w:pict>
          </mc:Fallback>
        </mc:AlternateContent>
      </w:r>
      <w:r/>
    </w:p>
    <w:p>
      <w:pPr>
        <w:pStyle w:val="983"/>
      </w:pPr>
      <w:r>
        <w:fldChar w:fldCharType="begin"/>
      </w:r>
      <w:r>
        <w:instrText xml:space="preserve"> SEQ Рисунок \* ARABIC </w:instrText>
      </w:r>
      <w:r>
        <w:fldChar w:fldCharType="separate"/>
      </w:r>
      <w:bookmarkStart w:id="1617" w:name="_Ref383101256"/>
      <w:r/>
      <w:bookmarkStart w:id="1618" w:name="_Toc88819618"/>
      <w:r>
        <w:t xml:space="preserve">233</w:t>
      </w:r>
      <w:bookmarkEnd w:id="1617"/>
      <w:r>
        <w:fldChar w:fldCharType="end"/>
      </w:r>
      <w:r>
        <w:t xml:space="preserve">. ЭФ документа «</w:t>
      </w:r>
      <w:r>
        <w:t xml:space="preserve">Способы автоматического импорта файлов</w:t>
      </w:r>
      <w:r>
        <w:t xml:space="preserve">», закладки «</w:t>
      </w:r>
      <w:r>
        <w:t xml:space="preserve">Отправитель и получатель документа</w:t>
      </w:r>
      <w:r>
        <w:t xml:space="preserve">»</w:t>
      </w:r>
      <w:bookmarkEnd w:id="1618"/>
      <w:r/>
      <w:r/>
    </w:p>
    <w:p>
      <w:pPr>
        <w:pStyle w:val="994"/>
      </w:pPr>
      <w:r>
        <w:t xml:space="preserve">Перечень полей документа «</w:t>
      </w:r>
      <w:r>
        <w:t xml:space="preserve">Способы автоматического импорта файлов</w:t>
      </w:r>
      <w:r>
        <w:t xml:space="preserve">», закладки «</w:t>
      </w:r>
      <w:r>
        <w:t xml:space="preserve">Отправитель и получатель документа</w:t>
      </w:r>
      <w:r>
        <w:t xml:space="preserve">»</w:t>
      </w:r>
      <w:r>
        <w:t xml:space="preserve"> </w:t>
      </w:r>
      <w:r>
        <w:t xml:space="preserve">приведен в таблице</w:t>
      </w:r>
      <w:r>
        <w:t xml:space="preserve"> </w:t>
      </w:r>
      <w:r>
        <w:fldChar w:fldCharType="begin"/>
      </w:r>
      <w:r>
        <w:instrText xml:space="preserve"> REF _Ref383423084 \h </w:instrText>
      </w:r>
      <w:r>
        <w:instrText xml:space="preserve"> \* MERGEFORMAT </w:instrText>
      </w:r>
      <w:r>
        <w:fldChar w:fldCharType="separate"/>
      </w:r>
      <w:r>
        <w:t xml:space="preserve">127</w:t>
      </w:r>
      <w:r>
        <w:fldChar w:fldCharType="end"/>
      </w:r>
      <w:r>
        <w:t xml:space="preserve">.</w:t>
      </w:r>
      <w:r/>
    </w:p>
    <w:p>
      <w:pPr>
        <w:pStyle w:val="993"/>
      </w:pPr>
      <w:r>
        <w:fldChar w:fldCharType="begin"/>
      </w:r>
      <w:r>
        <w:instrText xml:space="preserve"> SEQ Таблица \* ARABIC </w:instrText>
      </w:r>
      <w:r>
        <w:fldChar w:fldCharType="separate"/>
      </w:r>
      <w:bookmarkStart w:id="1619" w:name="_Ref383423084"/>
      <w:r/>
      <w:bookmarkStart w:id="1620" w:name="_Toc88819314"/>
      <w:r>
        <w:t xml:space="preserve">127</w:t>
      </w:r>
      <w:bookmarkEnd w:id="1619"/>
      <w:r>
        <w:fldChar w:fldCharType="end"/>
      </w:r>
      <w:r>
        <w:t xml:space="preserve">. </w:t>
      </w:r>
      <w:r>
        <w:t xml:space="preserve">Описание</w:t>
      </w:r>
      <w:r>
        <w:t xml:space="preserve"> полей документа «</w:t>
      </w:r>
      <w:r>
        <w:t xml:space="preserve">Способы автоматического импорта файлов</w:t>
      </w:r>
      <w:r>
        <w:t xml:space="preserve">», закладки «</w:t>
      </w:r>
      <w:r>
        <w:t xml:space="preserve">Отправитель и получатель документа</w:t>
      </w:r>
      <w:r>
        <w:t xml:space="preserve">»</w:t>
      </w:r>
      <w:bookmarkEnd w:id="1620"/>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078"/>
        <w:gridCol w:w="6674"/>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578"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422" w:type="pct"/>
            <w:vAlign w:val="center"/>
            <w:textDirection w:val="lrTb"/>
            <w:noWrap w:val="false"/>
          </w:tcPr>
          <w:p>
            <w:pPr>
              <w:pStyle w:val="1006"/>
            </w:pPr>
            <w:r>
              <w:t xml:space="preserve">Описание поля</w:t>
            </w:r>
            <w:r/>
          </w:p>
        </w:tc>
      </w:tr>
      <w:tr>
        <w:trPr/>
        <w:tc>
          <w:tcPr>
            <w:shd w:val="clear" w:fill="auto" w:color="auto"/>
            <w:tcW w:w="1578" w:type="pct"/>
            <w:textDirection w:val="lrTb"/>
            <w:noWrap w:val="false"/>
          </w:tcPr>
          <w:p>
            <w:pPr>
              <w:pStyle w:val="1005"/>
              <w:ind w:left="57" w:right="57"/>
            </w:pPr>
            <w:r>
              <w:t xml:space="preserve">Наименование способа импорта</w:t>
            </w:r>
            <w:r/>
          </w:p>
        </w:tc>
        <w:tc>
          <w:tcPr>
            <w:shd w:val="clear" w:fill="auto" w:color="auto"/>
            <w:tcW w:w="3422" w:type="pct"/>
            <w:textDirection w:val="lrTb"/>
            <w:noWrap w:val="false"/>
          </w:tcPr>
          <w:p>
            <w:pPr>
              <w:pStyle w:val="1005"/>
              <w:ind w:left="57" w:right="57"/>
            </w:pPr>
            <w:r>
              <w:t xml:space="preserve">Вводится вручную.</w:t>
            </w:r>
            <w:r/>
          </w:p>
        </w:tc>
      </w:tr>
      <w:tr>
        <w:trPr/>
        <w:tc>
          <w:tcPr>
            <w:shd w:val="clear" w:fill="auto" w:color="auto"/>
            <w:tcW w:w="1578" w:type="pct"/>
            <w:textDirection w:val="lrTb"/>
            <w:noWrap w:val="false"/>
          </w:tcPr>
          <w:p>
            <w:pPr>
              <w:pStyle w:val="1005"/>
              <w:ind w:left="57" w:right="57"/>
            </w:pPr>
            <w:r>
              <w:t xml:space="preserve">Функция обработки файлов</w:t>
            </w:r>
            <w:r/>
          </w:p>
        </w:tc>
        <w:tc>
          <w:tcPr>
            <w:shd w:val="clear" w:fill="auto" w:color="auto"/>
            <w:tcW w:w="3422" w:type="pct"/>
            <w:textDirection w:val="lrTb"/>
            <w:noWrap w:val="false"/>
          </w:tcPr>
          <w:p>
            <w:pPr>
              <w:pStyle w:val="1005"/>
              <w:ind w:left="57" w:right="57"/>
            </w:pPr>
            <w:r>
              <w:t xml:space="preserve">Не редактируется. Заполнено значением «Импорт произвольных файлов в виде вложения документа «Информационное сообщение».</w:t>
            </w:r>
            <w:r/>
          </w:p>
        </w:tc>
      </w:tr>
      <w:tr>
        <w:trPr/>
        <w:tc>
          <w:tcPr>
            <w:shd w:val="clear" w:fill="auto" w:color="auto"/>
            <w:tcW w:w="1578" w:type="pct"/>
            <w:textDirection w:val="lrTb"/>
            <w:noWrap w:val="false"/>
          </w:tcPr>
          <w:p>
            <w:pPr>
              <w:pStyle w:val="1005"/>
              <w:ind w:left="57" w:right="57"/>
            </w:pPr>
            <w:r>
              <w:t xml:space="preserve">Идентификатор функции обработки файла</w:t>
            </w:r>
            <w:r/>
          </w:p>
        </w:tc>
        <w:tc>
          <w:tcPr>
            <w:shd w:val="clear" w:fill="auto" w:color="auto"/>
            <w:tcW w:w="3422" w:type="pct"/>
            <w:textDirection w:val="lrTb"/>
            <w:noWrap w:val="false"/>
          </w:tcPr>
          <w:p>
            <w:pPr>
              <w:pStyle w:val="1005"/>
              <w:ind w:left="57" w:right="57"/>
            </w:pPr>
            <w:r>
              <w:t xml:space="preserve">Идентификатор функции обработки файла.</w:t>
            </w:r>
            <w:r/>
          </w:p>
        </w:tc>
      </w:tr>
      <w:tr>
        <w:trPr/>
        <w:tc>
          <w:tcPr>
            <w:shd w:val="clear" w:fill="auto" w:color="auto"/>
            <w:tcW w:w="1578" w:type="pct"/>
            <w:textDirection w:val="lrTb"/>
            <w:noWrap w:val="false"/>
          </w:tcPr>
          <w:p>
            <w:pPr>
              <w:pStyle w:val="1005"/>
              <w:ind w:left="57" w:right="57"/>
            </w:pPr>
            <w:r>
              <w:t xml:space="preserve">Актуальность</w:t>
            </w:r>
            <w:r/>
          </w:p>
        </w:tc>
        <w:tc>
          <w:tcPr>
            <w:shd w:val="clear" w:fill="auto" w:color="auto"/>
            <w:tcW w:w="3422" w:type="pct"/>
            <w:textDirection w:val="lrTb"/>
            <w:noWrap w:val="false"/>
          </w:tcPr>
          <w:p>
            <w:pPr>
              <w:pStyle w:val="1005"/>
              <w:ind w:left="57" w:right="57"/>
            </w:pPr>
            <w:r>
              <w:t xml:space="preserve">Актуальность.</w:t>
            </w:r>
            <w:r/>
          </w:p>
          <w:p>
            <w:pPr>
              <w:pStyle w:val="1005"/>
              <w:ind w:left="57" w:right="57"/>
            </w:pPr>
            <w:r>
              <w:t xml:space="preserve">Чек-бокс.</w:t>
            </w:r>
            <w:r/>
          </w:p>
        </w:tc>
      </w:tr>
      <w:tr>
        <w:trPr/>
        <w:tc>
          <w:tcPr>
            <w:shd w:val="clear" w:fill="auto" w:color="auto"/>
            <w:tcW w:w="1578" w:type="pct"/>
            <w:textDirection w:val="lrTb"/>
            <w:noWrap w:val="false"/>
          </w:tcPr>
          <w:p>
            <w:pPr>
              <w:pStyle w:val="1005"/>
              <w:ind w:left="57" w:right="57"/>
            </w:pPr>
            <w:r>
              <w:t xml:space="preserve">Маски файлов, предназначенных для обработки</w:t>
            </w:r>
            <w:r/>
          </w:p>
        </w:tc>
        <w:tc>
          <w:tcPr>
            <w:shd w:val="clear" w:fill="auto" w:color="auto"/>
            <w:tcW w:w="3422" w:type="pct"/>
            <w:textDirection w:val="lrTb"/>
            <w:noWrap w:val="false"/>
          </w:tcPr>
          <w:p>
            <w:pPr>
              <w:pStyle w:val="1005"/>
              <w:ind w:left="57" w:right="57"/>
            </w:pPr>
            <w:r>
              <w:t xml:space="preserve">Маски файлов, предназначенных для обработки: *.*.</w:t>
            </w:r>
            <w:r/>
          </w:p>
        </w:tc>
      </w:tr>
      <w:tr>
        <w:trPr/>
        <w:tc>
          <w:tcPr>
            <w:gridSpan w:val="2"/>
            <w:shd w:val="clear" w:fill="auto" w:color="auto"/>
            <w:tcW w:w="5000" w:type="pct"/>
            <w:textDirection w:val="lrTb"/>
            <w:noWrap w:val="false"/>
          </w:tcPr>
          <w:p>
            <w:pPr>
              <w:pStyle w:val="1005"/>
              <w:ind w:left="57" w:right="57"/>
            </w:pPr>
            <w:r>
              <w:t xml:space="preserve">Закладка «Отправитель и получатель документа</w:t>
            </w:r>
            <w:r>
              <w:t xml:space="preserve">», группа полей «</w:t>
            </w:r>
            <w:r>
              <w:t xml:space="preserve">Отправитель документа»</w:t>
            </w:r>
            <w:r/>
          </w:p>
        </w:tc>
      </w:tr>
      <w:tr>
        <w:trPr/>
        <w:tc>
          <w:tcPr>
            <w:shd w:val="clear" w:fill="auto" w:color="auto"/>
            <w:tcW w:w="1578" w:type="pct"/>
            <w:textDirection w:val="lrTb"/>
            <w:noWrap w:val="false"/>
          </w:tcPr>
          <w:p>
            <w:pPr>
              <w:pStyle w:val="1005"/>
              <w:ind w:left="57" w:right="57"/>
            </w:pPr>
            <w:r>
              <w:t xml:space="preserve">Текущая организация (наименование)</w:t>
            </w:r>
            <w:r/>
          </w:p>
        </w:tc>
        <w:tc>
          <w:tcPr>
            <w:shd w:val="clear" w:fill="auto" w:color="auto"/>
            <w:tcW w:w="3422" w:type="pct"/>
            <w:textDirection w:val="lrTb"/>
            <w:noWrap w:val="false"/>
          </w:tcPr>
          <w:p>
            <w:pPr>
              <w:pStyle w:val="1005"/>
              <w:ind w:left="57" w:right="57"/>
            </w:pPr>
            <w:r>
              <w:t xml:space="preserve">Заполняется из справочника СРРПБС/ПУБП/НУБП на основе значений системных констант: </w:t>
            </w:r>
            <w:r>
              <w:t xml:space="preserve">SelfBUCode (Код собственного БУ)</w:t>
            </w:r>
            <w:r>
              <w:t xml:space="preserve">, </w:t>
            </w:r>
            <w:r>
              <w:t xml:space="preserve">SelfBudgetCode (Код бюджета)</w:t>
            </w:r>
            <w:r>
              <w:t xml:space="preserve">, </w:t>
            </w:r>
            <w:r>
              <w:t xml:space="preserve">SelfPPPCode (Собственный код ведомства)</w:t>
            </w:r>
            <w:r>
              <w:t xml:space="preserve">.</w:t>
            </w:r>
            <w:r/>
          </w:p>
        </w:tc>
      </w:tr>
      <w:tr>
        <w:trPr/>
        <w:tc>
          <w:tcPr>
            <w:shd w:val="clear" w:fill="auto" w:color="auto"/>
            <w:tcW w:w="1578" w:type="pct"/>
            <w:textDirection w:val="lrTb"/>
            <w:noWrap w:val="false"/>
          </w:tcPr>
          <w:p>
            <w:pPr>
              <w:pStyle w:val="1005"/>
              <w:ind w:left="57" w:right="57"/>
            </w:pPr>
            <w:r>
              <w:t xml:space="preserve">Код организации</w:t>
            </w:r>
            <w:r/>
          </w:p>
        </w:tc>
        <w:tc>
          <w:tcPr>
            <w:shd w:val="clear" w:fill="auto" w:color="auto"/>
            <w:tcW w:w="3422" w:type="pct"/>
            <w:textDirection w:val="lrTb"/>
            <w:noWrap w:val="false"/>
          </w:tcPr>
          <w:p>
            <w:pPr>
              <w:pStyle w:val="1005"/>
              <w:ind w:left="57" w:right="57"/>
            </w:pPr>
            <w:r>
              <w:t xml:space="preserve">Значение системной константы </w:t>
            </w:r>
            <w:r>
              <w:t xml:space="preserve">SelfBUCode (Код собственного БУ)</w:t>
            </w:r>
            <w:r>
              <w:t xml:space="preserve">.</w:t>
            </w:r>
            <w:r/>
          </w:p>
        </w:tc>
      </w:tr>
      <w:tr>
        <w:trPr/>
        <w:tc>
          <w:tcPr>
            <w:shd w:val="clear" w:fill="auto" w:color="auto"/>
            <w:tcW w:w="1578" w:type="pct"/>
            <w:textDirection w:val="lrTb"/>
            <w:noWrap w:val="false"/>
          </w:tcPr>
          <w:p>
            <w:pPr>
              <w:pStyle w:val="1005"/>
              <w:ind w:left="57" w:right="57"/>
            </w:pPr>
            <w:r>
              <w:t xml:space="preserve">Бюджет</w:t>
            </w:r>
            <w:r/>
          </w:p>
        </w:tc>
        <w:tc>
          <w:tcPr>
            <w:shd w:val="clear" w:fill="auto" w:color="auto"/>
            <w:tcW w:w="3422" w:type="pct"/>
            <w:textDirection w:val="lrTb"/>
            <w:noWrap w:val="false"/>
          </w:tcPr>
          <w:p>
            <w:pPr>
              <w:pStyle w:val="1005"/>
              <w:ind w:left="57" w:right="57"/>
            </w:pPr>
            <w:r>
              <w:t xml:space="preserve">Значение системной константы </w:t>
            </w:r>
            <w:r>
              <w:t xml:space="preserve">SelfBudgetCode (Код бюджета)</w:t>
            </w:r>
            <w:r>
              <w:t xml:space="preserve">.</w:t>
            </w:r>
            <w:r/>
          </w:p>
        </w:tc>
      </w:tr>
      <w:tr>
        <w:trPr/>
        <w:tc>
          <w:tcPr>
            <w:shd w:val="clear" w:fill="auto" w:color="auto"/>
            <w:tcW w:w="1578" w:type="pct"/>
            <w:textDirection w:val="lrTb"/>
            <w:noWrap w:val="false"/>
          </w:tcPr>
          <w:p>
            <w:pPr>
              <w:pStyle w:val="1005"/>
              <w:ind w:left="57" w:right="57"/>
            </w:pPr>
            <w:r>
              <w:t xml:space="preserve">Глава</w:t>
            </w:r>
            <w:r/>
          </w:p>
        </w:tc>
        <w:tc>
          <w:tcPr>
            <w:shd w:val="clear" w:fill="auto" w:color="auto"/>
            <w:tcW w:w="3422" w:type="pct"/>
            <w:textDirection w:val="lrTb"/>
            <w:noWrap w:val="false"/>
          </w:tcPr>
          <w:p>
            <w:pPr>
              <w:pStyle w:val="1005"/>
              <w:ind w:left="57" w:right="57"/>
            </w:pPr>
            <w:r>
              <w:t xml:space="preserve">Значение системной константы </w:t>
            </w:r>
            <w:r>
              <w:t xml:space="preserve">SelfPPPCode (Собственный код ведомства)</w:t>
            </w:r>
            <w:r>
              <w:t xml:space="preserve">.</w:t>
            </w:r>
            <w:r/>
          </w:p>
        </w:tc>
      </w:tr>
      <w:tr>
        <w:trPr/>
        <w:tc>
          <w:tcPr>
            <w:shd w:val="clear" w:fill="auto" w:color="auto"/>
            <w:tcW w:w="1578" w:type="pct"/>
            <w:textDirection w:val="lrTb"/>
            <w:noWrap w:val="false"/>
          </w:tcPr>
          <w:p>
            <w:pPr>
              <w:pStyle w:val="1005"/>
              <w:ind w:left="57" w:right="57"/>
            </w:pPr>
            <w:r>
              <w:t xml:space="preserve">ТОФК</w:t>
            </w:r>
            <w:r/>
          </w:p>
        </w:tc>
        <w:tc>
          <w:tcPr>
            <w:shd w:val="clear" w:fill="auto" w:color="auto"/>
            <w:tcW w:w="3422" w:type="pct"/>
            <w:textDirection w:val="lrTb"/>
            <w:noWrap w:val="false"/>
          </w:tcPr>
          <w:p>
            <w:pPr>
              <w:pStyle w:val="1005"/>
              <w:ind w:left="57" w:right="57"/>
            </w:pPr>
            <w:r>
              <w:t xml:space="preserve">Значение системной константы </w:t>
            </w:r>
            <w:r>
              <w:t xml:space="preserve">SelfTOFKcode (Код собственного ТОФК)</w:t>
            </w:r>
            <w:r>
              <w:t xml:space="preserve">.</w:t>
            </w:r>
            <w:r/>
          </w:p>
        </w:tc>
      </w:tr>
      <w:tr>
        <w:trPr/>
        <w:tc>
          <w:tcPr>
            <w:shd w:val="clear" w:fill="auto" w:color="auto"/>
            <w:tcW w:w="1578" w:type="pct"/>
            <w:textDirection w:val="lrTb"/>
            <w:noWrap w:val="false"/>
          </w:tcPr>
          <w:p>
            <w:pPr>
              <w:pStyle w:val="1005"/>
              <w:ind w:left="57" w:right="57"/>
            </w:pPr>
            <w:r>
              <w:t xml:space="preserve">Бизнес-роль (наименование)</w:t>
            </w:r>
            <w:r/>
          </w:p>
        </w:tc>
        <w:tc>
          <w:tcPr>
            <w:shd w:val="clear" w:fill="auto" w:color="auto"/>
            <w:tcW w:w="3422" w:type="pct"/>
            <w:textDirection w:val="lrTb"/>
            <w:noWrap w:val="false"/>
          </w:tcPr>
          <w:p>
            <w:pPr>
              <w:pStyle w:val="1005"/>
              <w:ind w:left="57" w:right="57"/>
            </w:pPr>
            <w:r>
              <w:t xml:space="preserve">Значение вычисляется на основе значения системной константы </w:t>
            </w:r>
            <w:r>
              <w:t xml:space="preserve">OrgRole (Бюджетные полномочия организации)</w:t>
            </w:r>
            <w:r>
              <w:t xml:space="preserve">.</w:t>
            </w:r>
            <w:r/>
          </w:p>
          <w:p>
            <w:pPr>
              <w:pStyle w:val="1005"/>
              <w:ind w:left="57" w:right="57"/>
            </w:pPr>
            <w:r>
              <w:t xml:space="preserve">Если </w:t>
            </w:r>
            <w:r>
              <w:t xml:space="preserve">OrgRole (Бюджетные полномочия организации)</w:t>
            </w:r>
            <w:r>
              <w:t xml:space="preserve"> = PBS, то заполняем ПБС и т.д.:</w:t>
            </w:r>
            <w:r/>
          </w:p>
          <w:p>
            <w:pPr>
              <w:pStyle w:val="1007"/>
            </w:pPr>
            <w:r>
              <w:t xml:space="preserve">GRBS = ГРБС;</w:t>
            </w:r>
            <w:r/>
          </w:p>
          <w:p>
            <w:pPr>
              <w:pStyle w:val="1007"/>
            </w:pPr>
            <w:r>
              <w:t xml:space="preserve">RBS = РБС;</w:t>
            </w:r>
            <w:r/>
          </w:p>
          <w:p>
            <w:pPr>
              <w:pStyle w:val="1007"/>
            </w:pPr>
            <w:r>
              <w:t xml:space="preserve">FO = ФО;</w:t>
            </w:r>
            <w:r/>
          </w:p>
          <w:p>
            <w:pPr>
              <w:pStyle w:val="1007"/>
            </w:pPr>
            <w:r>
              <w:t xml:space="preserve">AP = АП;</w:t>
            </w:r>
            <w:r/>
          </w:p>
          <w:p>
            <w:pPr>
              <w:pStyle w:val="1007"/>
            </w:pPr>
            <w:r>
              <w:t xml:space="preserve">NUBP = НУБП;</w:t>
            </w:r>
            <w:r/>
          </w:p>
          <w:p>
            <w:pPr>
              <w:pStyle w:val="1007"/>
            </w:pPr>
            <w:r>
              <w:t xml:space="preserve">MF = МФ.</w:t>
            </w:r>
            <w:r/>
          </w:p>
        </w:tc>
      </w:tr>
      <w:tr>
        <w:trPr/>
        <w:tc>
          <w:tcPr>
            <w:shd w:val="clear" w:fill="auto" w:color="auto"/>
            <w:tcW w:w="1578" w:type="pct"/>
            <w:textDirection w:val="lrTb"/>
            <w:noWrap w:val="false"/>
          </w:tcPr>
          <w:p>
            <w:pPr>
              <w:pStyle w:val="1005"/>
              <w:ind w:left="57" w:right="57"/>
            </w:pPr>
            <w:r>
              <w:t xml:space="preserve">Бизнес-роль (код)</w:t>
            </w:r>
            <w:r/>
          </w:p>
        </w:tc>
        <w:tc>
          <w:tcPr>
            <w:shd w:val="clear" w:fill="auto" w:color="auto"/>
            <w:tcW w:w="3422" w:type="pct"/>
            <w:textDirection w:val="lrTb"/>
            <w:noWrap w:val="false"/>
          </w:tcPr>
          <w:p>
            <w:pPr>
              <w:pStyle w:val="1005"/>
              <w:ind w:left="57" w:right="57"/>
            </w:pPr>
            <w:r>
              <w:t xml:space="preserve">Значение вычисляется на основе значения системной константы </w:t>
            </w:r>
            <w:r>
              <w:t xml:space="preserve">OrgRole (Бюджетные полномочия организации)</w:t>
            </w:r>
            <w:r>
              <w:t xml:space="preserve">.</w:t>
            </w:r>
            <w:r/>
          </w:p>
        </w:tc>
      </w:tr>
      <w:tr>
        <w:trPr/>
        <w:tc>
          <w:tcPr>
            <w:gridSpan w:val="2"/>
            <w:shd w:val="clear" w:fill="auto" w:color="auto"/>
            <w:tcW w:w="5000" w:type="pct"/>
            <w:textDirection w:val="lrTb"/>
            <w:noWrap w:val="false"/>
          </w:tcPr>
          <w:p>
            <w:pPr>
              <w:pStyle w:val="1005"/>
              <w:ind w:left="57" w:right="57"/>
            </w:pPr>
            <w:r>
              <w:t xml:space="preserve">Закладка «Отправитель и получатель документа</w:t>
            </w:r>
            <w:r>
              <w:t xml:space="preserve">», группа полей «</w:t>
            </w:r>
            <w:r>
              <w:t xml:space="preserve">Получатель документа»</w:t>
            </w:r>
            <w:r/>
          </w:p>
        </w:tc>
      </w:tr>
      <w:tr>
        <w:trPr>
          <w:trHeight w:val="70"/>
        </w:trPr>
        <w:tc>
          <w:tcPr>
            <w:shd w:val="clear" w:fill="auto" w:color="auto"/>
            <w:tcW w:w="1578" w:type="pct"/>
            <w:textDirection w:val="lrTb"/>
            <w:noWrap w:val="false"/>
          </w:tcPr>
          <w:p>
            <w:pPr>
              <w:pStyle w:val="1005"/>
              <w:ind w:left="57" w:right="57"/>
            </w:pPr>
            <w:r>
              <w:t xml:space="preserve">Тип получателя</w:t>
            </w:r>
            <w:r/>
          </w:p>
        </w:tc>
        <w:tc>
          <w:tcPr>
            <w:shd w:val="clear" w:fill="auto" w:color="auto"/>
            <w:tcW w:w="3422" w:type="pct"/>
            <w:textDirection w:val="lrTb"/>
            <w:noWrap w:val="false"/>
          </w:tcPr>
          <w:p>
            <w:pPr>
              <w:pStyle w:val="1005"/>
              <w:ind w:left="57" w:right="57"/>
            </w:pPr>
            <w:r>
              <w:t xml:space="preserve">Тип получателя.</w:t>
            </w:r>
            <w:r/>
          </w:p>
        </w:tc>
      </w:tr>
      <w:tr>
        <w:trPr/>
        <w:tc>
          <w:tcPr>
            <w:gridSpan w:val="2"/>
            <w:shd w:val="clear" w:fill="auto" w:color="auto"/>
            <w:tcW w:w="5000" w:type="pct"/>
            <w:textDirection w:val="lrTb"/>
            <w:noWrap w:val="false"/>
          </w:tcPr>
          <w:p>
            <w:pPr>
              <w:pStyle w:val="1005"/>
              <w:ind w:left="57" w:right="57"/>
            </w:pPr>
            <w:r>
              <w:t xml:space="preserve">Закладка «Отправитель и получатель документа</w:t>
            </w:r>
            <w:r>
              <w:t xml:space="preserve">», группа полей «</w:t>
            </w:r>
            <w:r>
              <w:t xml:space="preserve">Уровень бюджета или номер бюджета организации получателя»</w:t>
            </w:r>
            <w:r/>
          </w:p>
        </w:tc>
      </w:tr>
      <w:tr>
        <w:trPr>
          <w:trHeight w:val="70"/>
        </w:trPr>
        <w:tc>
          <w:tcPr>
            <w:shd w:val="clear" w:fill="auto" w:color="auto"/>
            <w:tcW w:w="1578" w:type="pct"/>
            <w:textDirection w:val="lrTb"/>
            <w:noWrap w:val="false"/>
          </w:tcPr>
          <w:p>
            <w:pPr>
              <w:pStyle w:val="1005"/>
              <w:ind w:left="57" w:right="57"/>
            </w:pPr>
            <w:r>
              <w:t xml:space="preserve">Номер и наименование бюджета</w:t>
            </w:r>
            <w:r/>
          </w:p>
        </w:tc>
        <w:tc>
          <w:tcPr>
            <w:shd w:val="clear" w:fill="auto" w:color="auto"/>
            <w:tcW w:w="3422" w:type="pct"/>
            <w:textDirection w:val="lrTb"/>
            <w:noWrap w:val="false"/>
          </w:tcPr>
          <w:p>
            <w:pPr>
              <w:pStyle w:val="1005"/>
              <w:ind w:left="57" w:right="57"/>
            </w:pPr>
            <w:r>
              <w:t xml:space="preserve">Номер и наименование бюджета.</w:t>
            </w:r>
            <w:r/>
          </w:p>
        </w:tc>
      </w:tr>
      <w:tr>
        <w:trPr/>
        <w:tc>
          <w:tcPr>
            <w:gridSpan w:val="2"/>
            <w:shd w:val="clear" w:fill="auto" w:color="auto"/>
            <w:tcW w:w="5000" w:type="pct"/>
            <w:textDirection w:val="lrTb"/>
            <w:noWrap w:val="false"/>
          </w:tcPr>
          <w:p>
            <w:pPr>
              <w:pStyle w:val="1005"/>
              <w:ind w:left="57" w:right="57"/>
            </w:pPr>
            <w:r>
              <w:t xml:space="preserve">Закладка «Отправитель и получатель документа</w:t>
            </w:r>
            <w:r>
              <w:t xml:space="preserve">», группа полей «</w:t>
            </w:r>
            <w:r>
              <w:t xml:space="preserve">Глава по БК организации получателя»</w:t>
            </w:r>
            <w:r/>
          </w:p>
        </w:tc>
      </w:tr>
      <w:tr>
        <w:trPr>
          <w:trHeight w:val="70"/>
        </w:trPr>
        <w:tc>
          <w:tcPr>
            <w:shd w:val="clear" w:fill="auto" w:color="auto"/>
            <w:tcW w:w="1578" w:type="pct"/>
            <w:textDirection w:val="lrTb"/>
            <w:noWrap w:val="false"/>
          </w:tcPr>
          <w:p>
            <w:pPr>
              <w:pStyle w:val="1005"/>
              <w:ind w:left="57" w:right="57"/>
            </w:pPr>
            <w:r>
              <w:t xml:space="preserve">Код и наименование главы</w:t>
            </w:r>
            <w:r/>
          </w:p>
        </w:tc>
        <w:tc>
          <w:tcPr>
            <w:shd w:val="clear" w:fill="auto" w:color="auto"/>
            <w:tcW w:w="3422" w:type="pct"/>
            <w:textDirection w:val="lrTb"/>
            <w:noWrap w:val="false"/>
          </w:tcPr>
          <w:p>
            <w:pPr>
              <w:pStyle w:val="1005"/>
              <w:ind w:left="57" w:right="57"/>
            </w:pPr>
            <w:r>
              <w:t xml:space="preserve">Код и наименование главы.</w:t>
            </w:r>
            <w:r/>
          </w:p>
        </w:tc>
      </w:tr>
      <w:tr>
        <w:trPr/>
        <w:tc>
          <w:tcPr>
            <w:gridSpan w:val="2"/>
            <w:shd w:val="clear" w:fill="auto" w:color="auto"/>
            <w:tcW w:w="5000" w:type="pct"/>
            <w:textDirection w:val="lrTb"/>
            <w:noWrap w:val="false"/>
          </w:tcPr>
          <w:p>
            <w:pPr>
              <w:pStyle w:val="1005"/>
              <w:ind w:left="57" w:right="57"/>
            </w:pPr>
            <w:r>
              <w:t xml:space="preserve">Закладка «Отправитель и получатель документа</w:t>
            </w:r>
            <w:r>
              <w:t xml:space="preserve">», группа полей «</w:t>
            </w:r>
            <w:r>
              <w:t xml:space="preserve">Орган ФК, обслуживающий организацию получателя»</w:t>
            </w:r>
            <w:r/>
          </w:p>
        </w:tc>
      </w:tr>
      <w:tr>
        <w:trPr>
          <w:trHeight w:val="70"/>
        </w:trPr>
        <w:tc>
          <w:tcPr>
            <w:shd w:val="clear" w:fill="auto" w:color="auto"/>
            <w:tcW w:w="1578" w:type="pct"/>
            <w:textDirection w:val="lrTb"/>
            <w:noWrap w:val="false"/>
          </w:tcPr>
          <w:p>
            <w:pPr>
              <w:pStyle w:val="1005"/>
              <w:ind w:left="57" w:right="57"/>
            </w:pPr>
            <w:r>
              <w:t xml:space="preserve">Код и наименование ОрФК</w:t>
            </w:r>
            <w:r/>
          </w:p>
        </w:tc>
        <w:tc>
          <w:tcPr>
            <w:shd w:val="clear" w:fill="auto" w:color="auto"/>
            <w:tcW w:w="3422" w:type="pct"/>
            <w:textDirection w:val="lrTb"/>
            <w:noWrap w:val="false"/>
          </w:tcPr>
          <w:p>
            <w:pPr>
              <w:pStyle w:val="1005"/>
              <w:ind w:left="57" w:right="57"/>
            </w:pPr>
            <w:r>
              <w:t xml:space="preserve">Код и наименование ОрФК.</w:t>
            </w:r>
            <w:r/>
          </w:p>
        </w:tc>
      </w:tr>
    </w:tbl>
    <w:p>
      <w:pPr>
        <w:pStyle w:val="994"/>
      </w:pPr>
      <w:r>
        <w:t xml:space="preserve">ЭФ документа «Способы автоматического импорта файлов</w:t>
      </w:r>
      <w:r>
        <w:t xml:space="preserve">», закладки «</w:t>
      </w:r>
      <w:r>
        <w:t xml:space="preserve">Параметры документа «Информационное сообщение»»</w:t>
      </w:r>
      <w:r>
        <w:t xml:space="preserve"> </w:t>
      </w:r>
      <w:r>
        <w:t xml:space="preserve">представлена </w:t>
      </w:r>
      <w:r>
        <w:t xml:space="preserve">н</w:t>
      </w:r>
      <w:r>
        <w:t xml:space="preserve">а рис</w:t>
      </w:r>
      <w:r>
        <w:t xml:space="preserve">унке</w:t>
      </w:r>
      <w:r>
        <w:t xml:space="preserve"> </w:t>
      </w:r>
      <w:r>
        <w:fldChar w:fldCharType="begin"/>
      </w:r>
      <w:r>
        <w:instrText xml:space="preserve"> REF _Ref383423808 \h  \* MERGEFORMAT </w:instrText>
      </w:r>
      <w:r>
        <w:fldChar w:fldCharType="separate"/>
      </w:r>
      <w:r>
        <w:t xml:space="preserve">234</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1554480"/>
                <wp:effectExtent l="0" t="0" r="0" b="0"/>
                <wp:docPr id="35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16"/>
                        <a:stretch/>
                      </pic:blipFill>
                      <pic:spPr bwMode="auto">
                        <a:xfrm>
                          <a:off x="0" y="0"/>
                          <a:ext cx="6126480" cy="15544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3" o:spid="_x0000_s353" type="#_x0000_t75" style="mso-wrap-distance-left:0.0pt;mso-wrap-distance-top:0.0pt;mso-wrap-distance-right:0.0pt;mso-wrap-distance-bottom:0.0pt;width:482.4pt;height:122.4pt;" stroked="f">
                <v:path textboxrect="0,0,0,0"/>
                <v:imagedata r:id="rId316" o:title=""/>
              </v:shape>
            </w:pict>
          </mc:Fallback>
        </mc:AlternateContent>
      </w:r>
      <w:r/>
    </w:p>
    <w:p>
      <w:pPr>
        <w:pStyle w:val="983"/>
      </w:pPr>
      <w:r>
        <w:fldChar w:fldCharType="begin"/>
      </w:r>
      <w:r>
        <w:instrText xml:space="preserve"> SEQ Рисунок \* ARABIC </w:instrText>
      </w:r>
      <w:r>
        <w:fldChar w:fldCharType="separate"/>
      </w:r>
      <w:bookmarkStart w:id="1621" w:name="_Ref383423808"/>
      <w:r/>
      <w:bookmarkStart w:id="1622" w:name="_Toc88819619"/>
      <w:r>
        <w:t xml:space="preserve">234</w:t>
      </w:r>
      <w:bookmarkEnd w:id="1621"/>
      <w:r>
        <w:fldChar w:fldCharType="end"/>
      </w:r>
      <w:r>
        <w:t xml:space="preserve">. ЭФ документа «Способы автоматического импорта файлов</w:t>
      </w:r>
      <w:r>
        <w:t xml:space="preserve">», закладки «</w:t>
      </w:r>
      <w:r>
        <w:t xml:space="preserve">Параметры документа Информационное сообщение»</w:t>
      </w:r>
      <w:bookmarkEnd w:id="1622"/>
      <w:r/>
      <w:r/>
    </w:p>
    <w:p>
      <w:pPr>
        <w:pStyle w:val="994"/>
      </w:pPr>
      <w:r>
        <w:t xml:space="preserve">Перечень полей документа «Способы автоматического импорта файлов</w:t>
      </w:r>
      <w:r>
        <w:t xml:space="preserve">», закладки «</w:t>
      </w:r>
      <w:r>
        <w:t xml:space="preserve">Параметры документа Информационное сообщение</w:t>
      </w:r>
      <w:r>
        <w:t xml:space="preserve">»</w:t>
      </w:r>
      <w:r>
        <w:t xml:space="preserve"> </w:t>
      </w:r>
      <w:r>
        <w:t xml:space="preserve">приведен в таблице</w:t>
      </w:r>
      <w:r>
        <w:t xml:space="preserve"> </w:t>
      </w:r>
      <w:r>
        <w:fldChar w:fldCharType="begin"/>
      </w:r>
      <w:r>
        <w:instrText xml:space="preserve"> REF _Ref383423595 \h </w:instrText>
      </w:r>
      <w:r>
        <w:instrText xml:space="preserve"> \* MERGEFORMAT </w:instrText>
      </w:r>
      <w:r>
        <w:fldChar w:fldCharType="separate"/>
      </w:r>
      <w:r>
        <w:t xml:space="preserve">128</w:t>
      </w:r>
      <w:r>
        <w:fldChar w:fldCharType="end"/>
      </w:r>
      <w:r>
        <w:t xml:space="preserve">.</w:t>
      </w:r>
      <w:r/>
    </w:p>
    <w:p>
      <w:pPr>
        <w:pStyle w:val="993"/>
      </w:pPr>
      <w:r>
        <w:fldChar w:fldCharType="begin"/>
      </w:r>
      <w:r>
        <w:instrText xml:space="preserve"> SEQ Таблица \* ARABIC </w:instrText>
      </w:r>
      <w:r>
        <w:fldChar w:fldCharType="separate"/>
      </w:r>
      <w:bookmarkStart w:id="1623" w:name="_Ref383423595"/>
      <w:r/>
      <w:bookmarkStart w:id="1624" w:name="_Toc88819315"/>
      <w:r>
        <w:t xml:space="preserve">128</w:t>
      </w:r>
      <w:bookmarkEnd w:id="1623"/>
      <w:r>
        <w:fldChar w:fldCharType="end"/>
      </w:r>
      <w:r>
        <w:t xml:space="preserve">. </w:t>
      </w:r>
      <w:r>
        <w:t xml:space="preserve">Описание</w:t>
      </w:r>
      <w:r>
        <w:t xml:space="preserve"> полей документа «Способы автоматического импорта файлов</w:t>
      </w:r>
      <w:r>
        <w:t xml:space="preserve">», закладки «</w:t>
      </w:r>
      <w:r>
        <w:t xml:space="preserve">Параметры документа Информационное сообщение»</w:t>
      </w:r>
      <w:bookmarkEnd w:id="1624"/>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736"/>
        <w:gridCol w:w="7016"/>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403"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597"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«Заполнение полей документа Информационное сообщение»</w:t>
            </w:r>
            <w:r/>
          </w:p>
        </w:tc>
      </w:tr>
      <w:tr>
        <w:trPr/>
        <w:tc>
          <w:tcPr>
            <w:shd w:val="clear" w:fill="auto" w:color="auto"/>
            <w:tcW w:w="1403" w:type="pct"/>
            <w:textDirection w:val="lrTb"/>
            <w:noWrap w:val="false"/>
          </w:tcPr>
          <w:p>
            <w:pPr>
              <w:pStyle w:val="1005"/>
              <w:ind w:left="57" w:right="57"/>
            </w:pPr>
            <w:r>
              <w:t xml:space="preserve">Наименование документа</w:t>
            </w:r>
            <w:r/>
          </w:p>
        </w:tc>
        <w:tc>
          <w:tcPr>
            <w:shd w:val="clear" w:fill="auto" w:color="auto"/>
            <w:tcW w:w="3597" w:type="pct"/>
            <w:textDirection w:val="lrTb"/>
            <w:noWrap w:val="false"/>
          </w:tcPr>
          <w:p>
            <w:pPr>
              <w:pStyle w:val="1005"/>
              <w:ind w:left="57" w:right="57"/>
            </w:pPr>
            <w:r>
              <w:t xml:space="preserve">Наименование документа.</w:t>
            </w:r>
            <w:r/>
          </w:p>
        </w:tc>
      </w:tr>
      <w:tr>
        <w:trPr/>
        <w:tc>
          <w:tcPr>
            <w:shd w:val="clear" w:fill="auto" w:color="auto"/>
            <w:tcW w:w="1403" w:type="pct"/>
            <w:textDirection w:val="lrTb"/>
            <w:noWrap w:val="false"/>
          </w:tcPr>
          <w:p>
            <w:pPr>
              <w:pStyle w:val="1005"/>
              <w:ind w:left="57" w:right="57"/>
            </w:pPr>
            <w:r>
              <w:t xml:space="preserve">Тип документа</w:t>
            </w:r>
            <w:r/>
          </w:p>
        </w:tc>
        <w:tc>
          <w:tcPr>
            <w:shd w:val="clear" w:fill="auto" w:color="auto"/>
            <w:tcW w:w="3597" w:type="pct"/>
            <w:textDirection w:val="lrTb"/>
            <w:noWrap w:val="false"/>
          </w:tcPr>
          <w:p>
            <w:pPr>
              <w:pStyle w:val="1005"/>
              <w:ind w:left="57" w:right="57"/>
            </w:pPr>
            <w:r>
              <w:t xml:space="preserve">Тип документа.</w:t>
            </w:r>
            <w:r/>
          </w:p>
        </w:tc>
      </w:tr>
      <w:tr>
        <w:trPr/>
        <w:tc>
          <w:tcPr>
            <w:shd w:val="clear" w:fill="auto" w:color="auto"/>
            <w:tcW w:w="1403" w:type="pct"/>
            <w:textDirection w:val="lrTb"/>
            <w:noWrap w:val="false"/>
          </w:tcPr>
          <w:p>
            <w:pPr>
              <w:pStyle w:val="1005"/>
              <w:ind w:left="57" w:right="57"/>
            </w:pPr>
            <w:r>
              <w:t xml:space="preserve">Тип сообщения</w:t>
            </w:r>
            <w:r/>
          </w:p>
        </w:tc>
        <w:tc>
          <w:tcPr>
            <w:shd w:val="clear" w:fill="auto" w:color="auto"/>
            <w:tcW w:w="3597" w:type="pct"/>
            <w:textDirection w:val="lrTb"/>
            <w:noWrap w:val="false"/>
          </w:tcPr>
          <w:p>
            <w:pPr>
              <w:pStyle w:val="1005"/>
              <w:ind w:left="57" w:right="57"/>
            </w:pPr>
            <w:r>
              <w:t xml:space="preserve">Тип сообщения.</w:t>
            </w:r>
            <w:r/>
          </w:p>
        </w:tc>
      </w:tr>
      <w:tr>
        <w:trPr/>
        <w:tc>
          <w:tcPr>
            <w:shd w:val="clear" w:fill="auto" w:color="auto"/>
            <w:tcW w:w="1403" w:type="pct"/>
            <w:textDirection w:val="lrTb"/>
            <w:noWrap w:val="false"/>
          </w:tcPr>
          <w:p>
            <w:pPr>
              <w:pStyle w:val="1005"/>
              <w:ind w:left="57" w:right="57"/>
            </w:pPr>
            <w:r>
              <w:t xml:space="preserve">Тема сообщения</w:t>
            </w:r>
            <w:r/>
          </w:p>
        </w:tc>
        <w:tc>
          <w:tcPr>
            <w:shd w:val="clear" w:fill="auto" w:color="auto"/>
            <w:tcW w:w="3597" w:type="pct"/>
            <w:textDirection w:val="lrTb"/>
            <w:noWrap w:val="false"/>
          </w:tcPr>
          <w:p>
            <w:pPr>
              <w:pStyle w:val="1005"/>
              <w:ind w:left="57" w:right="57"/>
            </w:pPr>
            <w:r>
              <w:t xml:space="preserve">Заполнить значением «Документ».</w:t>
            </w:r>
            <w:r/>
          </w:p>
        </w:tc>
      </w:tr>
      <w:tr>
        <w:trPr/>
        <w:tc>
          <w:tcPr>
            <w:shd w:val="clear" w:fill="auto" w:color="auto"/>
            <w:tcW w:w="1403" w:type="pct"/>
            <w:textDirection w:val="lrTb"/>
            <w:noWrap w:val="false"/>
          </w:tcPr>
          <w:p>
            <w:pPr>
              <w:pStyle w:val="1005"/>
              <w:ind w:left="57" w:right="57"/>
            </w:pPr>
            <w:r>
              <w:t xml:space="preserve">Краткое описание</w:t>
            </w:r>
            <w:r/>
          </w:p>
        </w:tc>
        <w:tc>
          <w:tcPr>
            <w:shd w:val="clear" w:fill="auto" w:color="auto"/>
            <w:tcW w:w="3597" w:type="pct"/>
            <w:textDirection w:val="lrTb"/>
            <w:noWrap w:val="false"/>
          </w:tcPr>
          <w:p>
            <w:pPr>
              <w:pStyle w:val="1005"/>
              <w:ind w:left="57" w:right="57"/>
            </w:pPr>
            <w:r>
              <w:t xml:space="preserve">Заполнить значением «Документ сформирован на основе».</w:t>
            </w:r>
            <w:r/>
          </w:p>
        </w:tc>
      </w:tr>
      <w:tr>
        <w:trPr/>
        <w:tc>
          <w:tcPr>
            <w:shd w:val="clear" w:fill="auto" w:color="auto"/>
            <w:tcW w:w="1403" w:type="pct"/>
            <w:textDirection w:val="lrTb"/>
            <w:noWrap w:val="false"/>
          </w:tcPr>
          <w:p>
            <w:pPr>
              <w:pStyle w:val="1005"/>
              <w:ind w:left="57" w:right="57"/>
            </w:pPr>
            <w:r>
              <w:t xml:space="preserve">Ответственный</w:t>
            </w:r>
            <w:r/>
          </w:p>
        </w:tc>
        <w:tc>
          <w:tcPr>
            <w:shd w:val="clear" w:fill="auto" w:color="auto"/>
            <w:tcW w:w="3597" w:type="pct"/>
            <w:textDirection w:val="lrTb"/>
            <w:noWrap w:val="false"/>
          </w:tcPr>
          <w:p>
            <w:pPr>
              <w:pStyle w:val="1005"/>
              <w:ind w:left="57" w:right="57"/>
            </w:pPr>
            <w:r>
              <w:t xml:space="preserve">Ответственный.</w:t>
            </w:r>
            <w:r/>
          </w:p>
        </w:tc>
      </w:tr>
    </w:tbl>
    <w:p>
      <w:pPr>
        <w:pStyle w:val="994"/>
      </w:pPr>
      <w:r>
        <w:t xml:space="preserve">ЭФ документа «Способы автоматического импорта файлов</w:t>
      </w:r>
      <w:r>
        <w:t xml:space="preserve">», закладки «</w:t>
      </w:r>
      <w:r>
        <w:t xml:space="preserve">Дополнительные операции»</w:t>
      </w:r>
      <w:r>
        <w:t xml:space="preserve"> </w:t>
      </w:r>
      <w:r>
        <w:t xml:space="preserve">представлена </w:t>
      </w:r>
      <w:r>
        <w:t xml:space="preserve">н</w:t>
      </w:r>
      <w:r>
        <w:t xml:space="preserve">а рис</w:t>
      </w:r>
      <w:r>
        <w:t xml:space="preserve">унке</w:t>
      </w:r>
      <w:r>
        <w:t xml:space="preserve"> </w:t>
      </w:r>
      <w:r>
        <w:fldChar w:fldCharType="begin"/>
      </w:r>
      <w:r>
        <w:instrText xml:space="preserve"> REF _Ref383101375 \h  \* MERGEFORMAT </w:instrText>
      </w:r>
      <w:r>
        <w:fldChar w:fldCharType="separate"/>
      </w:r>
      <w:r>
        <w:t xml:space="preserve">235</w:t>
      </w:r>
      <w:r>
        <w:fldChar w:fldCharType="end"/>
      </w:r>
      <w:r>
        <w:t xml:space="preserve">.</w:t>
      </w:r>
      <w:r/>
    </w:p>
    <w:p>
      <w:pPr>
        <w:pStyle w:val="982"/>
      </w:pPr>
      <w:r>
        <mc:AlternateContent>
          <mc:Choice Requires="wpg">
            <w:drawing>
              <wp:inline xmlns:wp="http://schemas.openxmlformats.org/drawingml/2006/wordprocessingDrawing" distT="0" distB="0" distL="0" distR="0">
                <wp:extent cx="6042660" cy="2567940"/>
                <wp:effectExtent l="0" t="0" r="0" b="0"/>
                <wp:docPr id="35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17"/>
                        <a:stretch/>
                      </pic:blipFill>
                      <pic:spPr bwMode="auto">
                        <a:xfrm>
                          <a:off x="0" y="0"/>
                          <a:ext cx="6042660" cy="25679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4" o:spid="_x0000_s354" type="#_x0000_t75" style="mso-wrap-distance-left:0.0pt;mso-wrap-distance-top:0.0pt;mso-wrap-distance-right:0.0pt;mso-wrap-distance-bottom:0.0pt;width:475.8pt;height:202.2pt;" stroked="f">
                <v:path textboxrect="0,0,0,0"/>
                <v:imagedata r:id="rId317" o:title=""/>
              </v:shape>
            </w:pict>
          </mc:Fallback>
        </mc:AlternateContent>
      </w:r>
      <w:r/>
    </w:p>
    <w:p>
      <w:pPr>
        <w:pStyle w:val="983"/>
      </w:pPr>
      <w:r>
        <w:fldChar w:fldCharType="begin"/>
      </w:r>
      <w:r>
        <w:instrText xml:space="preserve"> SEQ Рисунок \* ARABIC </w:instrText>
      </w:r>
      <w:r>
        <w:fldChar w:fldCharType="separate"/>
      </w:r>
      <w:bookmarkStart w:id="1625" w:name="_Ref383101375"/>
      <w:r/>
      <w:bookmarkStart w:id="1626" w:name="_Toc88819620"/>
      <w:r>
        <w:t xml:space="preserve">235</w:t>
      </w:r>
      <w:bookmarkEnd w:id="1625"/>
      <w:r>
        <w:fldChar w:fldCharType="end"/>
      </w:r>
      <w:r>
        <w:t xml:space="preserve">. ЭФ документа «Способы автоматического импорта файлов</w:t>
      </w:r>
      <w:r>
        <w:t xml:space="preserve">», закладки «</w:t>
      </w:r>
      <w:r>
        <w:t xml:space="preserve">Дополнительные операции»</w:t>
      </w:r>
      <w:bookmarkEnd w:id="1626"/>
      <w:r/>
      <w:r/>
    </w:p>
    <w:p>
      <w:pPr>
        <w:pStyle w:val="994"/>
      </w:pPr>
      <w:r>
        <w:t xml:space="preserve">Перечень полей документа «Способы автоматического импорта файлов</w:t>
      </w:r>
      <w:r>
        <w:t xml:space="preserve">», закладки «</w:t>
      </w:r>
      <w:r>
        <w:t xml:space="preserve">Дополнительные операции» </w:t>
      </w:r>
      <w:r>
        <w:t xml:space="preserve">приведен в таблице</w:t>
      </w:r>
      <w:r>
        <w:t xml:space="preserve"> </w:t>
      </w:r>
      <w:r>
        <w:fldChar w:fldCharType="begin"/>
      </w:r>
      <w:r>
        <w:instrText xml:space="preserve"> REF _Ref383423635 \h </w:instrText>
      </w:r>
      <w:r>
        <w:instrText xml:space="preserve"> \* MERGEFORMAT </w:instrText>
      </w:r>
      <w:r>
        <w:fldChar w:fldCharType="separate"/>
      </w:r>
      <w:r>
        <w:t xml:space="preserve">129</w:t>
      </w:r>
      <w:r>
        <w:fldChar w:fldCharType="end"/>
      </w:r>
      <w:r>
        <w:t xml:space="preserve">.</w:t>
      </w:r>
      <w:r/>
    </w:p>
    <w:p>
      <w:pPr>
        <w:pStyle w:val="993"/>
      </w:pPr>
      <w:r>
        <w:fldChar w:fldCharType="begin"/>
      </w:r>
      <w:r>
        <w:instrText xml:space="preserve"> SEQ Таблица \* ARABIC </w:instrText>
      </w:r>
      <w:r>
        <w:fldChar w:fldCharType="separate"/>
      </w:r>
      <w:bookmarkStart w:id="1627" w:name="_Ref383423635"/>
      <w:r/>
      <w:bookmarkStart w:id="1628" w:name="_Toc88819316"/>
      <w:r>
        <w:t xml:space="preserve">129</w:t>
      </w:r>
      <w:bookmarkEnd w:id="1627"/>
      <w:r>
        <w:fldChar w:fldCharType="end"/>
      </w:r>
      <w:r>
        <w:t xml:space="preserve">. </w:t>
      </w:r>
      <w:r>
        <w:t xml:space="preserve">Описание</w:t>
      </w:r>
      <w:r>
        <w:t xml:space="preserve"> полей документа «Способы автоматического импорта файлов</w:t>
      </w:r>
      <w:r>
        <w:t xml:space="preserve">», закладки «</w:t>
      </w:r>
      <w:r>
        <w:t xml:space="preserve">Дополнительные операции»</w:t>
      </w:r>
      <w:bookmarkEnd w:id="162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736"/>
        <w:gridCol w:w="7016"/>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403"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597"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«Операции</w:t>
            </w:r>
            <w:r>
              <w:t xml:space="preserve">,</w:t>
            </w:r>
            <w:r>
              <w:t xml:space="preserve"> выполняемые после успешного импорта произвольного файла»</w:t>
            </w:r>
            <w:r>
              <w:tab/>
            </w:r>
            <w:r/>
          </w:p>
        </w:tc>
      </w:tr>
      <w:tr>
        <w:trPr/>
        <w:tc>
          <w:tcPr>
            <w:shd w:val="clear" w:fill="auto" w:color="auto"/>
            <w:tcW w:w="1403" w:type="pct"/>
            <w:textDirection w:val="lrTb"/>
            <w:noWrap w:val="false"/>
          </w:tcPr>
          <w:p>
            <w:pPr>
              <w:pStyle w:val="1005"/>
              <w:ind w:left="57" w:right="57"/>
            </w:pPr>
            <w:r>
              <w:t xml:space="preserve">Документарный контроль</w:t>
            </w:r>
            <w:r/>
          </w:p>
        </w:tc>
        <w:tc>
          <w:tcPr>
            <w:shd w:val="clear" w:fill="auto" w:color="auto"/>
            <w:tcW w:w="3597" w:type="pct"/>
            <w:textDirection w:val="lrTb"/>
            <w:noWrap w:val="false"/>
          </w:tcPr>
          <w:p>
            <w:pPr>
              <w:pStyle w:val="1005"/>
              <w:ind w:left="57" w:right="57"/>
            </w:pPr>
            <w:r>
              <w:t xml:space="preserve">Чекбокс. По умолчанию = true.</w:t>
            </w:r>
            <w:r/>
          </w:p>
        </w:tc>
      </w:tr>
      <w:tr>
        <w:trPr/>
        <w:tc>
          <w:tcPr>
            <w:shd w:val="clear" w:fill="auto" w:color="auto"/>
            <w:tcW w:w="1403" w:type="pct"/>
            <w:textDirection w:val="lrTb"/>
            <w:noWrap w:val="false"/>
          </w:tcPr>
          <w:p>
            <w:pPr>
              <w:pStyle w:val="1005"/>
              <w:ind w:left="57" w:right="57"/>
            </w:pPr>
            <w:r>
              <w:t xml:space="preserve">Отправка</w:t>
            </w:r>
            <w:r/>
          </w:p>
        </w:tc>
        <w:tc>
          <w:tcPr>
            <w:shd w:val="clear" w:fill="auto" w:color="auto"/>
            <w:tcW w:w="3597" w:type="pct"/>
            <w:textDirection w:val="lrTb"/>
            <w:noWrap w:val="false"/>
          </w:tcPr>
          <w:p>
            <w:pPr>
              <w:pStyle w:val="1005"/>
              <w:ind w:left="57" w:right="57"/>
            </w:pPr>
            <w:r>
              <w:t xml:space="preserve">Чекбокс. По умолчанию = true.</w:t>
            </w:r>
            <w:r/>
          </w:p>
        </w:tc>
      </w:tr>
    </w:tbl>
    <w:p>
      <w:pPr>
        <w:pStyle w:val="972"/>
      </w:pPr>
      <w:r/>
      <w:bookmarkStart w:id="1629" w:name="_Ref401587730"/>
      <w:r/>
      <w:bookmarkStart w:id="1630" w:name="_Toc422496724"/>
      <w:r/>
      <w:bookmarkStart w:id="1631" w:name="_Toc88819154"/>
      <w:r>
        <w:t xml:space="preserve">Способы автоматического экспорта документов</w:t>
      </w:r>
      <w:bookmarkEnd w:id="1629"/>
      <w:r/>
      <w:bookmarkEnd w:id="1630"/>
      <w:r/>
      <w:bookmarkEnd w:id="1631"/>
      <w:r/>
      <w:r/>
    </w:p>
    <w:p>
      <w:pPr>
        <w:pStyle w:val="994"/>
      </w:pPr>
      <w:r>
        <w:t xml:space="preserve">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r>
        <w:t xml:space="preserve">.</w:t>
      </w:r>
      <w:r/>
    </w:p>
    <w:p>
      <w:pPr>
        <w:pStyle w:val="994"/>
      </w:pPr>
      <w:r>
        <w:t xml:space="preserve">Документ «Способы автоматического экспорта </w:t>
      </w:r>
      <w:r>
        <w:t xml:space="preserve">документов</w:t>
      </w:r>
      <w:r>
        <w:t xml:space="preserve">» предназначен для локального использования на всех видах АРМ СУФД. Документ не предназначен для пересылки между АРМ</w:t>
      </w:r>
      <w:r>
        <w:t xml:space="preserve">.</w:t>
      </w:r>
      <w:r/>
    </w:p>
    <w:p>
      <w:pPr>
        <w:pStyle w:val="994"/>
      </w:pPr>
      <w:r>
        <w:t xml:space="preserve">Для работы с документами «</w:t>
      </w:r>
      <w:r>
        <w:t xml:space="preserve">Способы автоматического экспорта документов</w:t>
      </w:r>
      <w:r>
        <w:t xml:space="preserve">» необходимо включить пользователя в группы «Локальные администраторы» и «Автоимпор</w:t>
      </w:r>
      <w:r>
        <w:t xml:space="preserve">т</w:t>
      </w:r>
      <w:r>
        <w:t xml:space="preserve">/автоэкспорт». </w:t>
      </w:r>
      <w:r/>
    </w:p>
    <w:p>
      <w:pPr>
        <w:pStyle w:val="994"/>
      </w:pPr>
      <w:r>
        <w:t xml:space="preserve">Для работы с документами «</w:t>
      </w:r>
      <w:r>
        <w:t xml:space="preserve">Способы автоматического экспорта документов</w:t>
      </w:r>
      <w:r>
        <w:t xml:space="preserve">» </w:t>
      </w:r>
      <w:r>
        <w:t xml:space="preserve">следует перейти в пункт меню </w:t>
      </w:r>
      <w:r>
        <w:t xml:space="preserve">«Документы – Служебные – </w:t>
      </w:r>
      <w:r>
        <w:t xml:space="preserve">Способы автоматического экспорта документов</w:t>
      </w:r>
      <w:r>
        <w:t xml:space="preserve">». Откроется ЭФ списка документов, представленная на рисунке</w:t>
      </w:r>
      <w:r>
        <w:t xml:space="preserve"> </w:t>
      </w:r>
      <w:r>
        <w:fldChar w:fldCharType="begin"/>
      </w:r>
      <w:r>
        <w:instrText xml:space="preserve"> REF _Ref401587727 \h </w:instrText>
      </w:r>
      <w:r>
        <w:fldChar w:fldCharType="separate"/>
      </w:r>
      <w:r>
        <w:t xml:space="preserve">236</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657600"/>
                <wp:effectExtent l="0" t="0" r="0" b="0"/>
                <wp:docPr id="35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18"/>
                        <a:stretch/>
                      </pic:blipFill>
                      <pic:spPr bwMode="auto">
                        <a:xfrm>
                          <a:off x="0" y="0"/>
                          <a:ext cx="6126480" cy="3657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5" o:spid="_x0000_s355" type="#_x0000_t75" style="mso-wrap-distance-left:0.0pt;mso-wrap-distance-top:0.0pt;mso-wrap-distance-right:0.0pt;mso-wrap-distance-bottom:0.0pt;width:482.4pt;height:288.0pt;" stroked="f">
                <v:path textboxrect="0,0,0,0"/>
                <v:imagedata r:id="rId318" o:title=""/>
              </v:shape>
            </w:pict>
          </mc:Fallback>
        </mc:AlternateContent>
      </w:r>
      <w:r/>
    </w:p>
    <w:p>
      <w:pPr>
        <w:pStyle w:val="983"/>
      </w:pPr>
      <w:r>
        <w:fldChar w:fldCharType="begin"/>
      </w:r>
      <w:r>
        <w:instrText xml:space="preserve"> SEQ Рисунок \* ARABIC </w:instrText>
      </w:r>
      <w:r>
        <w:fldChar w:fldCharType="separate"/>
      </w:r>
      <w:bookmarkStart w:id="1632" w:name="_Ref401587727"/>
      <w:r/>
      <w:bookmarkStart w:id="1633" w:name="_Toc88819621"/>
      <w:r>
        <w:t xml:space="preserve">236</w:t>
      </w:r>
      <w:bookmarkEnd w:id="1632"/>
      <w:r>
        <w:fldChar w:fldCharType="end"/>
      </w:r>
      <w:r>
        <w:t xml:space="preserve">. ЭФ списка документов «Способы автоматического экспорта документов»</w:t>
      </w:r>
      <w:bookmarkEnd w:id="1633"/>
      <w:r/>
      <w:r/>
    </w:p>
    <w:p>
      <w:pPr>
        <w:pStyle w:val="973"/>
      </w:pPr>
      <w:r>
        <w:t xml:space="preserve">Доступные операции</w:t>
      </w:r>
      <w:r/>
    </w:p>
    <w:p>
      <w:pPr>
        <w:pStyle w:val="994"/>
      </w:pPr>
      <w:r>
        <w:t xml:space="preserve">На АРМ ФО доступны следующие операции над документом:</w:t>
      </w:r>
      <w:r/>
    </w:p>
    <w:p>
      <w:pPr>
        <w:pStyle w:val="985"/>
      </w:pPr>
      <w:r>
        <w:t xml:space="preserve">созда</w:t>
      </w:r>
      <w:r>
        <w:t xml:space="preserve">ние</w:t>
      </w:r>
      <w:r>
        <w:t xml:space="preserve">;</w:t>
      </w:r>
      <w:r/>
    </w:p>
    <w:p>
      <w:pPr>
        <w:pStyle w:val="985"/>
      </w:pPr>
      <w:r>
        <w:t xml:space="preserve">просмотр</w:t>
      </w:r>
      <w:r>
        <w:t xml:space="preserve"> и редактирование</w:t>
      </w:r>
      <w:r>
        <w:t xml:space="preserve">;</w:t>
      </w:r>
      <w:r/>
    </w:p>
    <w:p>
      <w:pPr>
        <w:pStyle w:val="985"/>
      </w:pPr>
      <w:r>
        <w:t xml:space="preserve">копирова</w:t>
      </w:r>
      <w:r>
        <w:t xml:space="preserve">ние</w:t>
      </w:r>
      <w:r>
        <w:t xml:space="preserve">;</w:t>
      </w:r>
      <w:r/>
    </w:p>
    <w:p>
      <w:pPr>
        <w:pStyle w:val="985"/>
      </w:pPr>
      <w:r>
        <w:t xml:space="preserve">удаление.</w:t>
      </w:r>
      <w:r/>
    </w:p>
    <w:p>
      <w:pPr>
        <w:pStyle w:val="974"/>
      </w:pPr>
      <w:r>
        <w:t xml:space="preserve">Сценарий «Автоматический </w:t>
      </w:r>
      <w:r>
        <w:t xml:space="preserve">экспорт</w:t>
      </w:r>
      <w:r>
        <w:t xml:space="preserve"> произвольных файлов»</w:t>
      </w:r>
      <w:r/>
    </w:p>
    <w:p>
      <w:pPr>
        <w:pStyle w:val="1156"/>
        <w:numPr>
          <w:ilvl w:val="0"/>
          <w:numId w:val="41"/>
        </w:numPr>
      </w:pPr>
      <w:r>
        <w:t xml:space="preserve">Пользователь открывает списковую форму документа «</w:t>
      </w:r>
      <w:r>
        <w:t xml:space="preserve">Способы автоматического экспорта документов</w:t>
      </w:r>
      <w:r>
        <w:t xml:space="preserve">», который расположен в дереве навигации по пути: «Документы – Служебные».</w:t>
      </w:r>
      <w:r/>
    </w:p>
    <w:p>
      <w:pPr>
        <w:pStyle w:val="1156"/>
      </w:pPr>
      <w:r>
        <w:rPr>
          <w:sz w:val="24"/>
          <w:szCs w:val="24"/>
        </w:rPr>
        <w:t xml:space="preserve">Пользователь создает конфигурационный документ «Способ автоматического экспорта»</w:t>
      </w:r>
      <w:r>
        <w:rPr>
          <w:sz w:val="24"/>
          <w:szCs w:val="24"/>
        </w:rPr>
        <w:t xml:space="preserve">.</w:t>
      </w:r>
      <w:r/>
    </w:p>
    <w:p>
      <w:pPr>
        <w:pStyle w:val="1156"/>
      </w:pPr>
      <w:r>
        <w:rPr>
          <w:sz w:val="24"/>
          <w:szCs w:val="24"/>
        </w:rPr>
        <w:t xml:space="preserve">Пользователь указывает наименование способа автоэкспорта</w:t>
      </w:r>
      <w:r>
        <w:rPr>
          <w:sz w:val="24"/>
          <w:szCs w:val="24"/>
        </w:rPr>
        <w:t xml:space="preserve">.</w:t>
      </w:r>
      <w:r/>
    </w:p>
    <w:p>
      <w:pPr>
        <w:pStyle w:val="1156"/>
      </w:pPr>
      <w:r>
        <w:rPr>
          <w:sz w:val="24"/>
          <w:szCs w:val="24"/>
        </w:rPr>
        <w:t xml:space="preserve">Пользователь выбирает тип документа, экземпляры которого нужно группировать при экспорте.</w:t>
      </w:r>
      <w:r/>
    </w:p>
    <w:p>
      <w:pPr>
        <w:pStyle w:val="1156"/>
      </w:pPr>
      <w:r>
        <w:rPr>
          <w:sz w:val="24"/>
          <w:szCs w:val="24"/>
        </w:rPr>
        <w:t xml:space="preserve">При необходимо</w:t>
      </w:r>
      <w:r>
        <w:rPr>
          <w:sz w:val="24"/>
          <w:szCs w:val="24"/>
        </w:rPr>
        <w:t xml:space="preserve">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«Типы документов для экспорта» и «Фильтровать экземпляры документов по полям» находятся в отношении </w:t>
      </w:r>
      <w:r>
        <w:rPr>
          <w:sz w:val="24"/>
          <w:szCs w:val="24"/>
          <w:lang w:val="en-US"/>
        </w:rPr>
        <w:t xml:space="preserve">master</w:t>
      </w:r>
      <w:r>
        <w:rPr>
          <w:sz w:val="24"/>
          <w:szCs w:val="24"/>
        </w:rPr>
        <w:t xml:space="preserve">-</w:t>
      </w:r>
      <w:r>
        <w:rPr>
          <w:sz w:val="24"/>
          <w:szCs w:val="24"/>
          <w:lang w:val="en-US"/>
        </w:rPr>
        <w:t xml:space="preserve">detail</w:t>
      </w:r>
      <w:r>
        <w:rPr>
          <w:sz w:val="24"/>
          <w:szCs w:val="24"/>
        </w:rPr>
        <w:t xml:space="preserve">. Например, для того чтобы отобрать экземпляры документов по конкретно</w:t>
      </w:r>
      <w:r>
        <w:rPr>
          <w:sz w:val="24"/>
          <w:szCs w:val="24"/>
        </w:rPr>
        <w:t xml:space="preserve">му</w:t>
      </w:r>
      <w:r>
        <w:rPr>
          <w:sz w:val="24"/>
          <w:szCs w:val="24"/>
        </w:rPr>
        <w:t xml:space="preserve"> полю, то в разделе «Отфильтровать экземпляры документов по полям» выбрать имя поля документа и указать требуемое значение для фильтрации. Для выбора должны быть доступны поля документа, которые хранятся</w:t>
      </w:r>
      <w:r>
        <w:t xml:space="preserve"> в</w:t>
      </w:r>
      <w:r>
        <w:rPr>
          <w:sz w:val="24"/>
          <w:szCs w:val="24"/>
        </w:rPr>
        <w:t xml:space="preserve"> </w:t>
      </w:r>
      <w:r>
        <w:rPr>
          <w:sz w:val="24"/>
          <w:szCs w:val="24"/>
        </w:rPr>
        <w:t xml:space="preserve">справочнике </w:t>
      </w:r>
      <w:r>
        <w:rPr>
          <w:sz w:val="24"/>
          <w:szCs w:val="24"/>
        </w:rPr>
        <w:t xml:space="preserve">«Типы документов для расширенного автоматического экспорта»</w:t>
      </w:r>
      <w:r>
        <w:rPr>
          <w:sz w:val="24"/>
          <w:szCs w:val="24"/>
        </w:rPr>
        <w:t xml:space="preserve">.</w:t>
      </w:r>
      <w:r/>
    </w:p>
    <w:p>
      <w:pPr>
        <w:pStyle w:val="1156"/>
      </w:pPr>
      <w:r>
        <w:rPr>
          <w:sz w:val="24"/>
          <w:szCs w:val="24"/>
        </w:rPr>
        <w:t xml:space="preserve">Пользователь указывает групповые признаки, по</w:t>
      </w:r>
      <w:r>
        <w:rPr>
          <w:sz w:val="24"/>
          <w:szCs w:val="24"/>
        </w:rPr>
        <w:t xml:space="preserve"> которым будет выполняться группировка. Пользователь выбирает групповой признак из списка доступных для типов документов, которые выбраны в разделе «Типы документов для экспорта». Если у типов документов нет общих групповых признаков, то список будет пуст.</w:t>
      </w:r>
      <w:r/>
    </w:p>
    <w:p>
      <w:pPr>
        <w:pStyle w:val="1156"/>
      </w:pPr>
      <w:r>
        <w:rPr>
          <w:sz w:val="24"/>
          <w:szCs w:val="24"/>
        </w:rPr>
        <w:t xml:space="preserve">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 разделенными символом </w:t>
      </w:r>
      <w:r>
        <w:t xml:space="preserve">«</w:t>
      </w:r>
      <w:r>
        <w:rPr>
          <w:sz w:val="24"/>
          <w:szCs w:val="24"/>
        </w:rPr>
        <w:t xml:space="preserve">/</w:t>
      </w:r>
      <w:r>
        <w:t xml:space="preserve">»</w:t>
      </w:r>
      <w:r>
        <w:rPr>
          <w:sz w:val="24"/>
          <w:szCs w:val="24"/>
        </w:rPr>
        <w:t xml:space="preserve">. Строка доступна для редактирования</w:t>
      </w:r>
      <w:r>
        <w:rPr>
          <w:sz w:val="24"/>
          <w:szCs w:val="24"/>
        </w:rPr>
        <w:t xml:space="preserve">.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w:t>
      </w:r>
      <w:r>
        <w:rPr>
          <w:sz w:val="24"/>
          <w:szCs w:val="24"/>
        </w:rPr>
        <w:t xml:space="preserve"> </w:t>
      </w:r>
      <w:r>
        <w:rPr>
          <w:sz w:val="24"/>
          <w:szCs w:val="24"/>
        </w:rPr>
        <w:t xml:space="preserve">%</w:t>
      </w:r>
      <w:r>
        <w:rPr>
          <w:sz w:val="24"/>
          <w:szCs w:val="24"/>
          <w:lang w:val="en-US"/>
        </w:rPr>
        <w:t xml:space="preserve">ACCOUNT</w:t>
      </w:r>
      <w:r>
        <w:rPr>
          <w:sz w:val="24"/>
          <w:szCs w:val="24"/>
        </w:rPr>
        <w:t xml:space="preserve">%/%</w:t>
      </w:r>
      <w:r>
        <w:rPr>
          <w:sz w:val="24"/>
          <w:szCs w:val="24"/>
          <w:lang w:val="en-US"/>
        </w:rPr>
        <w:t xml:space="preserve">DOCTYPE</w:t>
      </w:r>
      <w:r>
        <w:rPr>
          <w:sz w:val="24"/>
          <w:szCs w:val="24"/>
        </w:rPr>
        <w:t xml:space="preserve">%, то к основному каталогу экспорта могут быть добавлены подкаталоги: </w:t>
      </w:r>
      <w:r>
        <w:rPr>
          <w:sz w:val="24"/>
          <w:szCs w:val="24"/>
        </w:rPr>
        <w:t xml:space="preserve">…</w:t>
      </w:r>
      <w:r>
        <w:rPr>
          <w:sz w:val="24"/>
          <w:szCs w:val="24"/>
        </w:rPr>
        <w:t xml:space="preserve">/02123456789/REP;</w:t>
      </w:r>
      <w:r>
        <w:rPr>
          <w:sz w:val="24"/>
          <w:szCs w:val="24"/>
        </w:rPr>
        <w:t xml:space="preserve"> </w:t>
      </w:r>
      <w:r>
        <w:rPr>
          <w:sz w:val="24"/>
          <w:szCs w:val="24"/>
        </w:rPr>
        <w:t xml:space="preserve">/02123456789/</w:t>
      </w:r>
      <w:r>
        <w:rPr>
          <w:sz w:val="24"/>
          <w:szCs w:val="24"/>
          <w:lang w:val="en-US"/>
        </w:rPr>
        <w:t xml:space="preserve">PROTOKOL</w:t>
      </w:r>
      <w:r>
        <w:rPr>
          <w:sz w:val="24"/>
          <w:szCs w:val="24"/>
        </w:rPr>
        <w:t xml:space="preserve">. Где 02123456789</w:t>
      </w:r>
      <w:r>
        <w:rPr>
          <w:sz w:val="24"/>
          <w:szCs w:val="24"/>
        </w:rPr>
        <w:t xml:space="preserve"> – </w:t>
      </w:r>
      <w:r>
        <w:rPr>
          <w:sz w:val="24"/>
          <w:szCs w:val="24"/>
        </w:rPr>
        <w:t xml:space="preserve">лицевой счет, указанный в экспортируемом документе; </w:t>
      </w:r>
      <w:r>
        <w:rPr>
          <w:sz w:val="24"/>
          <w:szCs w:val="24"/>
          <w:lang w:val="en-US"/>
        </w:rPr>
        <w:t xml:space="preserve">PROTOKOL</w:t>
      </w:r>
      <w:r>
        <w:rPr>
          <w:sz w:val="24"/>
          <w:szCs w:val="24"/>
        </w:rPr>
        <w:t xml:space="preserve"> – </w:t>
      </w:r>
      <w:r>
        <w:rPr>
          <w:sz w:val="24"/>
          <w:szCs w:val="24"/>
        </w:rPr>
        <w:t xml:space="preserve">тип документа.</w:t>
      </w:r>
      <w:r/>
    </w:p>
    <w:p>
      <w:pPr>
        <w:pStyle w:val="1156"/>
      </w:pPr>
      <w:r>
        <w:rPr>
          <w:sz w:val="24"/>
          <w:szCs w:val="24"/>
        </w:rPr>
        <w:t xml:space="preserve">Пользователь сохраняет конфигурационный документ</w:t>
      </w:r>
      <w:r>
        <w:rPr>
          <w:sz w:val="24"/>
          <w:szCs w:val="24"/>
        </w:rPr>
        <w:t xml:space="preserve">.</w:t>
      </w:r>
      <w:r/>
    </w:p>
    <w:p>
      <w:pPr>
        <w:pStyle w:val="973"/>
      </w:pPr>
      <w:r>
        <w:t xml:space="preserve">Экранная форма документа</w:t>
      </w:r>
      <w:r/>
    </w:p>
    <w:p>
      <w:pPr>
        <w:pStyle w:val="994"/>
      </w:pPr>
      <w:r>
        <w:t xml:space="preserve">ЭФ документа «</w:t>
      </w:r>
      <w:r>
        <w:t xml:space="preserve">Способы автоматического экспорта документов</w:t>
      </w:r>
      <w:r>
        <w:t xml:space="preserve">» представлена на рисунк</w:t>
      </w:r>
      <w:r>
        <w:t xml:space="preserve">е</w:t>
      </w:r>
      <w:r>
        <w:t xml:space="preserve"> </w:t>
      </w:r>
      <w:r>
        <w:fldChar w:fldCharType="begin"/>
      </w:r>
      <w:r>
        <w:instrText xml:space="preserve"> REF _Ref401587728 \h </w:instrText>
      </w:r>
      <w:r>
        <w:fldChar w:fldCharType="separate"/>
      </w:r>
      <w:r>
        <w:t xml:space="preserve">237</w:t>
      </w:r>
      <w:r>
        <w:fldChar w:fldCharType="end"/>
      </w:r>
      <w:r>
        <w:t xml:space="preserve">. </w:t>
      </w:r>
      <w:r/>
    </w:p>
    <w:p>
      <w:pPr>
        <w:pStyle w:val="982"/>
      </w:pPr>
      <w:r>
        <mc:AlternateContent>
          <mc:Choice Requires="wpg">
            <w:drawing>
              <wp:inline xmlns:wp="http://schemas.openxmlformats.org/drawingml/2006/wordprocessingDrawing" distT="0" distB="0" distL="0" distR="0">
                <wp:extent cx="6126480" cy="6400800"/>
                <wp:effectExtent l="0" t="0" r="0" b="0"/>
                <wp:docPr id="35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19"/>
                        <a:stretch/>
                      </pic:blipFill>
                      <pic:spPr bwMode="auto">
                        <a:xfrm>
                          <a:off x="0" y="0"/>
                          <a:ext cx="6126480" cy="6400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6" o:spid="_x0000_s356" type="#_x0000_t75" style="mso-wrap-distance-left:0.0pt;mso-wrap-distance-top:0.0pt;mso-wrap-distance-right:0.0pt;mso-wrap-distance-bottom:0.0pt;width:482.4pt;height:504.0pt;" stroked="f">
                <v:path textboxrect="0,0,0,0"/>
                <v:imagedata r:id="rId319" o:title=""/>
              </v:shape>
            </w:pict>
          </mc:Fallback>
        </mc:AlternateContent>
      </w:r>
      <w:r/>
    </w:p>
    <w:p>
      <w:pPr>
        <w:pStyle w:val="983"/>
      </w:pPr>
      <w:r>
        <w:fldChar w:fldCharType="begin"/>
      </w:r>
      <w:r>
        <w:instrText xml:space="preserve"> SEQ Рисунок \* ARABIC </w:instrText>
      </w:r>
      <w:r>
        <w:fldChar w:fldCharType="separate"/>
      </w:r>
      <w:bookmarkStart w:id="1634" w:name="_Ref401587728"/>
      <w:r/>
      <w:bookmarkStart w:id="1635" w:name="_Toc88819622"/>
      <w:r>
        <w:t xml:space="preserve">237</w:t>
      </w:r>
      <w:bookmarkEnd w:id="1634"/>
      <w:r>
        <w:fldChar w:fldCharType="end"/>
      </w:r>
      <w:r>
        <w:t xml:space="preserve">. ЭФ документа «Способы автоматического экспорта документов»</w:t>
      </w:r>
      <w:bookmarkEnd w:id="1635"/>
      <w:r/>
      <w:r/>
    </w:p>
    <w:p>
      <w:pPr>
        <w:pStyle w:val="994"/>
      </w:pPr>
      <w:r>
        <w:t xml:space="preserve">Перечень полей документа «</w:t>
      </w:r>
      <w:r>
        <w:t xml:space="preserve">Способы автоматического экспорта документов</w:t>
      </w:r>
      <w:r>
        <w:t xml:space="preserve">»</w:t>
      </w:r>
      <w:r>
        <w:t xml:space="preserve"> </w:t>
      </w:r>
      <w:r>
        <w:t xml:space="preserve">приведен в таблице</w:t>
      </w:r>
      <w:r>
        <w:t xml:space="preserve"> </w:t>
      </w:r>
      <w:r>
        <w:fldChar w:fldCharType="begin"/>
      </w:r>
      <w:r>
        <w:instrText xml:space="preserve"> REF _Ref401587729 \h </w:instrText>
      </w:r>
      <w:r>
        <w:fldChar w:fldCharType="separate"/>
      </w:r>
      <w:r>
        <w:t xml:space="preserve">130</w:t>
      </w:r>
      <w:r>
        <w:fldChar w:fldCharType="end"/>
      </w:r>
      <w:r>
        <w:t xml:space="preserve">.</w:t>
      </w:r>
      <w:r/>
    </w:p>
    <w:p>
      <w:pPr>
        <w:pStyle w:val="993"/>
      </w:pPr>
      <w:r>
        <w:fldChar w:fldCharType="begin"/>
      </w:r>
      <w:r>
        <w:instrText xml:space="preserve"> SEQ Таблица \* ARABIC </w:instrText>
      </w:r>
      <w:r>
        <w:fldChar w:fldCharType="separate"/>
      </w:r>
      <w:bookmarkStart w:id="1636" w:name="_Ref401587729"/>
      <w:r/>
      <w:bookmarkStart w:id="1637" w:name="_Toc88819317"/>
      <w:r>
        <w:t xml:space="preserve">130</w:t>
      </w:r>
      <w:bookmarkEnd w:id="1636"/>
      <w:r>
        <w:fldChar w:fldCharType="end"/>
      </w:r>
      <w:r>
        <w:t xml:space="preserve">. </w:t>
      </w:r>
      <w:r>
        <w:t xml:space="preserve">Описание</w:t>
      </w:r>
      <w:r>
        <w:t xml:space="preserve"> полей документа «</w:t>
      </w:r>
      <w:r>
        <w:t xml:space="preserve">Способы автоматического экспорта документов»</w:t>
      </w:r>
      <w:bookmarkEnd w:id="1637"/>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93"/>
        <w:gridCol w:w="7359"/>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22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73" w:type="pct"/>
            <w:vAlign w:val="center"/>
            <w:textDirection w:val="lrTb"/>
            <w:noWrap w:val="false"/>
          </w:tcPr>
          <w:p>
            <w:pPr>
              <w:pStyle w:val="1006"/>
            </w:pPr>
            <w:r>
              <w:t xml:space="preserve">Описание поля</w:t>
            </w:r>
            <w:r/>
          </w:p>
        </w:tc>
      </w:tr>
      <w:tr>
        <w:trPr/>
        <w:tc>
          <w:tcPr>
            <w:shd w:val="clear" w:fill="auto" w:color="auto"/>
            <w:tcW w:w="1227" w:type="pct"/>
            <w:textDirection w:val="lrTb"/>
            <w:noWrap w:val="false"/>
          </w:tcPr>
          <w:p>
            <w:pPr>
              <w:pStyle w:val="1005"/>
              <w:ind w:left="57" w:right="57"/>
            </w:pPr>
            <w:r>
              <w:t xml:space="preserve">Наименование способа экс</w:t>
            </w:r>
            <w:r>
              <w:t xml:space="preserve">порта</w:t>
            </w:r>
            <w:r/>
          </w:p>
        </w:tc>
        <w:tc>
          <w:tcPr>
            <w:shd w:val="clear" w:fill="auto" w:color="auto"/>
            <w:tcW w:w="3773" w:type="pct"/>
            <w:textDirection w:val="lrTb"/>
            <w:noWrap w:val="false"/>
          </w:tcPr>
          <w:p>
            <w:pPr>
              <w:pStyle w:val="1005"/>
              <w:ind w:left="57" w:right="57"/>
            </w:pPr>
            <w:r>
              <w:t xml:space="preserve">Вводится вручную.</w:t>
            </w:r>
            <w:r/>
          </w:p>
        </w:tc>
      </w:tr>
      <w:tr>
        <w:trPr/>
        <w:tc>
          <w:tcPr>
            <w:shd w:val="clear" w:fill="auto" w:color="auto"/>
            <w:tcW w:w="1227" w:type="pct"/>
            <w:textDirection w:val="lrTb"/>
            <w:noWrap w:val="false"/>
          </w:tcPr>
          <w:p>
            <w:pPr>
              <w:pStyle w:val="1005"/>
              <w:ind w:left="57" w:right="57"/>
            </w:pPr>
            <w:r>
              <w:t xml:space="preserve">Функция обработки </w:t>
            </w:r>
            <w:r>
              <w:t xml:space="preserve">документов</w:t>
            </w:r>
            <w:r/>
          </w:p>
        </w:tc>
        <w:tc>
          <w:tcPr>
            <w:shd w:val="clear" w:fill="auto" w:color="auto"/>
            <w:tcW w:w="3773" w:type="pct"/>
            <w:textDirection w:val="lrTb"/>
            <w:noWrap w:val="false"/>
          </w:tcPr>
          <w:p>
            <w:pPr>
              <w:pStyle w:val="1005"/>
              <w:ind w:left="57" w:right="57"/>
            </w:pPr>
            <w:r>
              <w:t xml:space="preserve">Не редактируется. </w:t>
            </w:r>
            <w:r/>
          </w:p>
          <w:p>
            <w:pPr>
              <w:pStyle w:val="1005"/>
              <w:ind w:left="57" w:right="57"/>
            </w:pPr>
            <w:r>
              <w:t xml:space="preserve">Заполнено значением «</w:t>
            </w:r>
            <w:r>
              <w:t xml:space="preserve">Расширенный экспорт документов</w:t>
            </w:r>
            <w:r>
              <w:t xml:space="preserve">».</w:t>
            </w:r>
            <w:r/>
          </w:p>
        </w:tc>
      </w:tr>
      <w:tr>
        <w:trPr/>
        <w:tc>
          <w:tcPr>
            <w:shd w:val="clear" w:fill="auto" w:color="auto"/>
            <w:tcW w:w="1227" w:type="pct"/>
            <w:textDirection w:val="lrTb"/>
            <w:noWrap w:val="false"/>
          </w:tcPr>
          <w:p>
            <w:pPr>
              <w:pStyle w:val="1005"/>
              <w:ind w:left="57" w:right="57"/>
            </w:pPr>
            <w:r>
              <w:t xml:space="preserve">Актуальность</w:t>
            </w:r>
            <w:r/>
          </w:p>
        </w:tc>
        <w:tc>
          <w:tcPr>
            <w:shd w:val="clear" w:fill="auto" w:color="auto"/>
            <w:tcW w:w="3773" w:type="pct"/>
            <w:textDirection w:val="lrTb"/>
            <w:noWrap w:val="false"/>
          </w:tcPr>
          <w:p>
            <w:pPr>
              <w:pStyle w:val="1005"/>
              <w:ind w:left="57" w:right="57"/>
            </w:pPr>
            <w:r>
              <w:t xml:space="preserve">Устанавливается пользователем вручную. </w:t>
            </w:r>
            <w:r/>
          </w:p>
          <w:p>
            <w:pPr>
              <w:pStyle w:val="1005"/>
              <w:ind w:left="57" w:right="57"/>
            </w:pPr>
            <w:r>
              <w:t xml:space="preserve">Чек-бокс.</w:t>
            </w:r>
            <w:r/>
          </w:p>
        </w:tc>
      </w:tr>
      <w:tr>
        <w:trPr/>
        <w:tc>
          <w:tcPr>
            <w:shd w:val="clear" w:fill="auto" w:color="auto"/>
            <w:tcW w:w="1227" w:type="pct"/>
            <w:textDirection w:val="lrTb"/>
            <w:noWrap w:val="false"/>
          </w:tcPr>
          <w:p>
            <w:pPr>
              <w:pStyle w:val="1005"/>
              <w:ind w:left="57" w:right="57"/>
            </w:pPr>
            <w:r>
              <w:t xml:space="preserve">Сохранить документы в подкаталоге с соответствующим шаблоном</w:t>
            </w:r>
            <w:r/>
          </w:p>
        </w:tc>
        <w:tc>
          <w:tcPr>
            <w:shd w:val="clear" w:fill="auto" w:color="auto"/>
            <w:tcW w:w="3773" w:type="pct"/>
            <w:textDirection w:val="lrTb"/>
            <w:noWrap w:val="false"/>
          </w:tcPr>
          <w:p>
            <w:pPr>
              <w:pStyle w:val="1005"/>
              <w:ind w:left="57" w:right="57"/>
            </w:pPr>
            <w:r>
              <w:t xml:space="preserve">Заполняется автоматически идентификаторами групповых признаков</w:t>
            </w:r>
            <w:r>
              <w:t xml:space="preserve">,</w:t>
            </w:r>
            <w:r>
              <w:t xml:space="preserve"> разделенными символом «/». </w:t>
            </w:r>
            <w:r/>
          </w:p>
          <w:p>
            <w:pPr>
              <w:pStyle w:val="1005"/>
              <w:ind w:left="57" w:right="57"/>
            </w:pPr>
            <w:r>
              <w:t xml:space="preserve">Строка доступна для редактирования.</w:t>
            </w:r>
            <w:r/>
          </w:p>
        </w:tc>
      </w:tr>
      <w:tr>
        <w:trPr/>
        <w:tc>
          <w:tcPr>
            <w:gridSpan w:val="2"/>
            <w:shd w:val="clear" w:fill="auto" w:color="auto"/>
            <w:tcW w:w="5000" w:type="pct"/>
            <w:textDirection w:val="lrTb"/>
            <w:noWrap w:val="false"/>
          </w:tcPr>
          <w:p>
            <w:pPr>
              <w:pStyle w:val="1005"/>
              <w:ind w:left="57" w:right="57"/>
            </w:pPr>
            <w:r>
              <w:t xml:space="preserve">Группа полей «Типы документов для экспорта» скроллер строк.</w:t>
            </w:r>
            <w:r>
              <w:t xml:space="preserve"> </w:t>
            </w:r>
            <w:r>
              <w:t xml:space="preserve">Добавление новой строки по кнопке «Добавить», удаление – по кнопке «Удалить»</w:t>
            </w:r>
            <w:r/>
          </w:p>
        </w:tc>
      </w:tr>
      <w:tr>
        <w:trPr/>
        <w:tc>
          <w:tcPr>
            <w:shd w:val="clear" w:fill="auto" w:color="auto"/>
            <w:tcW w:w="1227" w:type="pct"/>
            <w:textDirection w:val="lrTb"/>
            <w:noWrap w:val="false"/>
          </w:tcPr>
          <w:p>
            <w:pPr>
              <w:pStyle w:val="1005"/>
              <w:ind w:left="57" w:right="57"/>
            </w:pPr>
            <w:r>
              <w:t xml:space="preserve">Тип документа</w:t>
            </w:r>
            <w:r/>
          </w:p>
        </w:tc>
        <w:tc>
          <w:tcPr>
            <w:shd w:val="clear" w:fill="auto" w:color="auto"/>
            <w:tcW w:w="3773" w:type="pct"/>
            <w:textDirection w:val="lrTb"/>
            <w:noWrap w:val="false"/>
          </w:tcPr>
          <w:p>
            <w:pPr>
              <w:pStyle w:val="1005"/>
              <w:ind w:left="57" w:right="57"/>
            </w:pPr>
            <w:r>
              <w:t xml:space="preserve">Заполняется при нажатии кнопки «Добавить» выбором из справочника «Типы документов для расширенного автоэкспорта».</w:t>
            </w:r>
            <w:r/>
          </w:p>
        </w:tc>
      </w:tr>
      <w:tr>
        <w:trPr/>
        <w:tc>
          <w:tcPr>
            <w:gridSpan w:val="2"/>
            <w:shd w:val="clear" w:fill="auto" w:color="auto"/>
            <w:tcW w:w="5000" w:type="pct"/>
            <w:textDirection w:val="lrTb"/>
            <w:noWrap w:val="false"/>
          </w:tcPr>
          <w:p>
            <w:pPr>
              <w:pStyle w:val="1005"/>
              <w:ind w:left="57" w:right="57"/>
            </w:pPr>
            <w:r>
              <w:t xml:space="preserve">Группа полей «Фильтровать экземпляры документов по полям» скроллер строк. Добавление новой строки по кнопке «Добавить», удаление – по кнопке «Удалить»</w:t>
            </w:r>
            <w:r>
              <w:t xml:space="preserve">. </w:t>
            </w:r>
            <w:r/>
          </w:p>
        </w:tc>
      </w:tr>
      <w:tr>
        <w:trPr/>
        <w:tc>
          <w:tcPr>
            <w:shd w:val="clear" w:fill="auto" w:color="auto"/>
            <w:tcW w:w="1227" w:type="pct"/>
            <w:textDirection w:val="lrTb"/>
            <w:noWrap w:val="false"/>
          </w:tcPr>
          <w:p>
            <w:pPr>
              <w:pStyle w:val="1005"/>
              <w:ind w:left="57" w:right="57"/>
            </w:pPr>
            <w:r>
              <w:t xml:space="preserve">Поле</w:t>
            </w:r>
            <w:r/>
          </w:p>
        </w:tc>
        <w:tc>
          <w:tcPr>
            <w:shd w:val="clear" w:fill="auto" w:color="auto"/>
            <w:tcW w:w="3773" w:type="pct"/>
            <w:textDirection w:val="lrTb"/>
            <w:noWrap w:val="false"/>
          </w:tcPr>
          <w:p>
            <w:pPr>
              <w:pStyle w:val="1005"/>
              <w:ind w:left="57" w:right="57"/>
            </w:pPr>
            <w:r>
              <w:t xml:space="preserve">Имя поля документа</w:t>
            </w:r>
            <w:r>
              <w:t xml:space="preserve">.</w:t>
            </w:r>
            <w:r/>
          </w:p>
          <w:p>
            <w:pPr>
              <w:pStyle w:val="1005"/>
              <w:ind w:left="57" w:right="57"/>
            </w:pPr>
            <w:r>
              <w:t xml:space="preserve">Для выбора доступны поля документа, которые хранятся в справочнике «Типы документов для расширенного автоматического экспорта».</w:t>
            </w:r>
            <w:r/>
          </w:p>
        </w:tc>
      </w:tr>
      <w:tr>
        <w:trPr/>
        <w:tc>
          <w:tcPr>
            <w:shd w:val="clear" w:fill="auto" w:color="auto"/>
            <w:tcW w:w="1227" w:type="pct"/>
            <w:textDirection w:val="lrTb"/>
            <w:noWrap w:val="false"/>
          </w:tcPr>
          <w:p>
            <w:pPr>
              <w:pStyle w:val="1005"/>
              <w:ind w:left="57" w:right="57"/>
            </w:pPr>
            <w:r>
              <w:t xml:space="preserve">Операция</w:t>
            </w:r>
            <w:r/>
          </w:p>
        </w:tc>
        <w:tc>
          <w:tcPr>
            <w:shd w:val="clear" w:fill="auto" w:color="auto"/>
            <w:tcW w:w="3773" w:type="pct"/>
            <w:textDirection w:val="lrTb"/>
            <w:noWrap w:val="false"/>
          </w:tcPr>
          <w:p>
            <w:pPr>
              <w:pStyle w:val="1005"/>
              <w:ind w:left="57" w:right="57"/>
            </w:pPr>
            <w:r>
              <w:t xml:space="preserve">Указывается условие, согласно которого будет осуществляться фильтрация. </w:t>
            </w:r>
            <w:r/>
          </w:p>
          <w:p>
            <w:pPr>
              <w:pStyle w:val="1005"/>
              <w:ind w:left="57" w:right="57"/>
            </w:pPr>
            <w:r>
              <w:t xml:space="preserve">На выбор доступны только 3 условия:</w:t>
            </w:r>
            <w:r/>
          </w:p>
          <w:p>
            <w:pPr>
              <w:pStyle w:val="1009"/>
              <w:numPr>
                <w:ilvl w:val="0"/>
                <w:numId w:val="93"/>
              </w:numPr>
            </w:pPr>
            <w:r>
              <w:t xml:space="preserve">Равенства «=», установленное по умолчанию.</w:t>
            </w:r>
            <w:r/>
          </w:p>
          <w:p>
            <w:pPr>
              <w:pStyle w:val="1009"/>
            </w:pPr>
            <w:r>
              <w:t xml:space="preserve">Вхождения в список значений «IN». При этом в одной строке</w:t>
            </w:r>
            <w:r>
              <w:t xml:space="preserve"> </w:t>
            </w:r>
            <w:r>
              <w:t xml:space="preserve">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r/>
          </w:p>
          <w:p>
            <w:pPr>
              <w:pStyle w:val="1009"/>
            </w:pPr>
            <w:r>
              <w:t xml:space="preserve">Неравенства конкретному значению: «&lt;&gt; (не равно)».</w:t>
            </w:r>
            <w:r/>
          </w:p>
        </w:tc>
      </w:tr>
      <w:tr>
        <w:trPr/>
        <w:tc>
          <w:tcPr>
            <w:shd w:val="clear" w:fill="auto" w:color="auto"/>
            <w:tcW w:w="1227" w:type="pct"/>
            <w:textDirection w:val="lrTb"/>
            <w:noWrap w:val="false"/>
          </w:tcPr>
          <w:p>
            <w:pPr>
              <w:pStyle w:val="1005"/>
              <w:ind w:left="57" w:right="57"/>
            </w:pPr>
            <w:r>
              <w:t xml:space="preserve">Значение</w:t>
            </w:r>
            <w:r/>
          </w:p>
        </w:tc>
        <w:tc>
          <w:tcPr>
            <w:shd w:val="clear" w:fill="auto" w:color="auto"/>
            <w:tcW w:w="3773" w:type="pct"/>
            <w:textDirection w:val="lrTb"/>
            <w:noWrap w:val="false"/>
          </w:tcPr>
          <w:p>
            <w:pPr>
              <w:pStyle w:val="1005"/>
              <w:ind w:left="57" w:right="57"/>
            </w:pPr>
            <w:r>
              <w:t xml:space="preserve">Вводится вручную. </w:t>
            </w:r>
            <w:r/>
          </w:p>
          <w:p>
            <w:pPr>
              <w:pStyle w:val="1005"/>
              <w:ind w:left="57" w:right="57"/>
            </w:pPr>
            <w:r>
              <w:t xml:space="preserve">Указывается значение поля документа, которое будет учитываться при фильтрации с указанным условием</w:t>
            </w:r>
            <w:r>
              <w:t xml:space="preserve">.</w:t>
            </w:r>
            <w:r/>
          </w:p>
        </w:tc>
      </w:tr>
      <w:tr>
        <w:trPr/>
        <w:tc>
          <w:tcPr>
            <w:gridSpan w:val="2"/>
            <w:shd w:val="clear" w:fill="auto" w:color="auto"/>
            <w:tcW w:w="5000" w:type="pct"/>
            <w:textDirection w:val="lrTb"/>
            <w:noWrap w:val="false"/>
          </w:tcPr>
          <w:p>
            <w:pPr>
              <w:pStyle w:val="1005"/>
              <w:ind w:left="57" w:right="57"/>
            </w:pPr>
            <w:r>
              <w:t xml:space="preserve">Группа полей «Группировать документы по признакам» скроллер строк. Удаление строки по кнопке «Удалить»</w:t>
            </w:r>
            <w:r>
              <w:t xml:space="preserve">. </w:t>
            </w:r>
            <w:r>
              <w:t xml:space="preserve">Если для документа не разработаны группиров</w:t>
            </w:r>
            <w:r>
              <w:t xml:space="preserve">о</w:t>
            </w:r>
            <w:r>
              <w:t xml:space="preserve">чные признаки, кнопка «добавить» в блоке «Группировать документы по признакам» недоступна.</w:t>
            </w:r>
            <w:r/>
          </w:p>
        </w:tc>
      </w:tr>
      <w:tr>
        <w:trPr>
          <w:trHeight w:val="70"/>
        </w:trPr>
        <w:tc>
          <w:tcPr>
            <w:shd w:val="clear" w:fill="auto" w:color="auto"/>
            <w:tcW w:w="1227" w:type="pct"/>
            <w:textDirection w:val="lrTb"/>
            <w:noWrap w:val="false"/>
          </w:tcPr>
          <w:p>
            <w:pPr>
              <w:pStyle w:val="1005"/>
              <w:ind w:left="57" w:right="57"/>
            </w:pPr>
            <w:r>
              <w:t xml:space="preserve">Н</w:t>
            </w:r>
            <w:r>
              <w:t xml:space="preserve">аименование </w:t>
            </w:r>
            <w:r>
              <w:t xml:space="preserve">признака</w:t>
            </w:r>
            <w:r/>
          </w:p>
        </w:tc>
        <w:tc>
          <w:tcPr>
            <w:shd w:val="clear" w:fill="auto" w:color="auto"/>
            <w:tcW w:w="3773" w:type="pct"/>
            <w:textDirection w:val="lrTb"/>
            <w:noWrap w:val="false"/>
          </w:tcPr>
          <w:p>
            <w:pPr>
              <w:pStyle w:val="1005"/>
              <w:ind w:left="57" w:right="57"/>
            </w:pPr>
            <w:r>
              <w:t xml:space="preserve">Заполняется автоматически при выборе типа документа доступными значениями полей из справочника «Типы документов для расширенного автоматического экспорта</w:t>
            </w:r>
            <w:r>
              <w:t xml:space="preserve">»</w:t>
            </w:r>
            <w:r>
              <w:t xml:space="preserve">.</w:t>
            </w:r>
            <w:r>
              <w:t xml:space="preserve"> </w:t>
            </w:r>
            <w:r/>
          </w:p>
          <w:p>
            <w:pPr>
              <w:pStyle w:val="1005"/>
              <w:ind w:left="57" w:right="57"/>
            </w:pPr>
            <w:r>
              <w:t xml:space="preserve">Если у типов документов нет общих групповых признаков, то список будет пуст.</w:t>
            </w:r>
            <w:r/>
          </w:p>
        </w:tc>
      </w:tr>
      <w:tr>
        <w:trPr>
          <w:trHeight w:val="70"/>
        </w:trPr>
        <w:tc>
          <w:tcPr>
            <w:shd w:val="clear" w:fill="auto" w:color="auto"/>
            <w:tcW w:w="1227" w:type="pct"/>
            <w:textDirection w:val="lrTb"/>
            <w:noWrap w:val="false"/>
          </w:tcPr>
          <w:p>
            <w:pPr>
              <w:pStyle w:val="1005"/>
              <w:ind w:left="57" w:right="57"/>
            </w:pPr>
            <w:r>
              <w:t xml:space="preserve">Идентификатор признака</w:t>
            </w:r>
            <w:r/>
          </w:p>
        </w:tc>
        <w:tc>
          <w:tcPr>
            <w:shd w:val="clear" w:fill="auto" w:color="auto"/>
            <w:tcW w:w="3773" w:type="pct"/>
            <w:textDirection w:val="lrTb"/>
            <w:noWrap w:val="false"/>
          </w:tcPr>
          <w:p>
            <w:pPr>
              <w:pStyle w:val="1005"/>
              <w:ind w:left="57" w:right="57"/>
            </w:pPr>
            <w:r>
              <w:t xml:space="preserve">Указывается идентификатор группового признака для выбранного</w:t>
            </w:r>
            <w:r>
              <w:t xml:space="preserve"> </w:t>
            </w:r>
            <w:r>
              <w:t xml:space="preserve">значения «Название признака» из справочника «Групповые признаки документов». </w:t>
            </w:r>
            <w:r/>
          </w:p>
          <w:p>
            <w:pPr>
              <w:pStyle w:val="1005"/>
              <w:ind w:left="57" w:right="57"/>
            </w:pPr>
            <w:r>
              <w:t xml:space="preserve">Заполняется автоматически</w:t>
            </w:r>
            <w:r>
              <w:t xml:space="preserve">.</w:t>
            </w:r>
            <w:r/>
          </w:p>
        </w:tc>
      </w:tr>
    </w:tbl>
    <w:p>
      <w:pPr>
        <w:pStyle w:val="971"/>
      </w:pPr>
      <w:r/>
      <w:bookmarkStart w:id="1638" w:name="_Toc422496725"/>
      <w:r/>
      <w:bookmarkStart w:id="1639" w:name="_Toc88819155"/>
      <w:r>
        <w:t xml:space="preserve">Группа документов «Оперативная отчетность»</w:t>
      </w:r>
      <w:bookmarkEnd w:id="1402"/>
      <w:r/>
      <w:bookmarkEnd w:id="1403"/>
      <w:r/>
      <w:bookmarkEnd w:id="1404"/>
      <w:r/>
      <w:bookmarkEnd w:id="1405"/>
      <w:r/>
      <w:bookmarkEnd w:id="1638"/>
      <w:r/>
      <w:bookmarkEnd w:id="1639"/>
      <w:r>
        <w:t xml:space="preserve"> </w:t>
      </w:r>
      <w:r/>
    </w:p>
    <w:p>
      <w:pPr>
        <w:pStyle w:val="972"/>
      </w:pPr>
      <w:r/>
      <w:bookmarkStart w:id="1640" w:name="_Toc240286459"/>
      <w:r/>
      <w:bookmarkStart w:id="1641" w:name="_Ref413935099"/>
      <w:r/>
      <w:bookmarkStart w:id="1642" w:name="_Toc422496726"/>
      <w:r/>
      <w:bookmarkStart w:id="1643" w:name="_Ref434242746"/>
      <w:r/>
      <w:bookmarkStart w:id="1644" w:name="_Ref448762970"/>
      <w:r/>
      <w:bookmarkStart w:id="1645" w:name="_Toc88819156"/>
      <w:r>
        <w:t xml:space="preserve">Отчеты</w:t>
      </w:r>
      <w:bookmarkEnd w:id="1640"/>
      <w:r/>
      <w:bookmarkEnd w:id="1641"/>
      <w:r/>
      <w:bookmarkEnd w:id="1642"/>
      <w:r/>
      <w:bookmarkEnd w:id="1643"/>
      <w:r/>
      <w:bookmarkEnd w:id="1644"/>
      <w:r/>
      <w:bookmarkEnd w:id="1645"/>
      <w:r/>
      <w:r/>
    </w:p>
    <w:p>
      <w:pPr>
        <w:pStyle w:val="994"/>
      </w:pPr>
      <w:r>
        <w:t xml:space="preserve">ЭД «Отчеты» используется для доставки в ФО оперативных данных регламентированной отчетности, направляемых из учетной системы ОрФК. Это такие отчеты, как:</w:t>
      </w:r>
      <w:r/>
    </w:p>
    <w:p>
      <w:pPr>
        <w:pStyle w:val="985"/>
      </w:pPr>
      <w:r>
        <w:t xml:space="preserve">Ведомость по кассовым выплатам из бюджетов;</w:t>
      </w:r>
      <w:r/>
    </w:p>
    <w:p>
      <w:pPr>
        <w:pStyle w:val="985"/>
      </w:pPr>
      <w:r>
        <w:t xml:space="preserve">Справка об операциях по исполнению бюджета;</w:t>
      </w:r>
      <w:r/>
    </w:p>
    <w:p>
      <w:pPr>
        <w:pStyle w:val="985"/>
      </w:pPr>
      <w:r>
        <w:t xml:space="preserve">Ведомость кассовых поступлений в бюджет;</w:t>
      </w:r>
      <w:r/>
    </w:p>
    <w:p>
      <w:pPr>
        <w:pStyle w:val="985"/>
      </w:pPr>
      <w:r>
        <w:t xml:space="preserve">Ведомость по движению свободного остатка средств бюджета;</w:t>
      </w:r>
      <w:r/>
    </w:p>
    <w:p>
      <w:pPr>
        <w:pStyle w:val="985"/>
      </w:pPr>
      <w:r>
        <w:t xml:space="preserve">Справка к ведомости по движению свободного остатка средств бюджета;</w:t>
      </w:r>
      <w:r/>
    </w:p>
    <w:p>
      <w:pPr>
        <w:pStyle w:val="985"/>
      </w:pPr>
      <w:r>
        <w:t xml:space="preserve">Выписка из ЛС бюджета;</w:t>
      </w:r>
      <w:r/>
    </w:p>
    <w:p>
      <w:pPr>
        <w:pStyle w:val="985"/>
      </w:pPr>
      <w:r>
        <w:t xml:space="preserve">Приложение к Выписке из ЛС бюджета;</w:t>
      </w:r>
      <w:r/>
    </w:p>
    <w:p>
      <w:pPr>
        <w:pStyle w:val="985"/>
      </w:pPr>
      <w:r>
        <w:t xml:space="preserve">Отчет о состоянии ЛС бюджета</w:t>
      </w:r>
      <w:r>
        <w:t xml:space="preserve">;</w:t>
      </w:r>
      <w:r/>
    </w:p>
    <w:p>
      <w:pPr>
        <w:pStyle w:val="985"/>
      </w:pPr>
      <w:r>
        <w:t xml:space="preserve">Прогноз поступлений доходов от </w:t>
      </w:r>
      <w:r>
        <w:t xml:space="preserve">уплаты акцизов на нефтепродукты</w:t>
      </w:r>
      <w:r/>
    </w:p>
    <w:p>
      <w:pPr>
        <w:pStyle w:val="994"/>
      </w:pPr>
      <w:r>
        <w:t xml:space="preserve">и другие.</w:t>
      </w:r>
      <w:r/>
    </w:p>
    <w:p>
      <w:pPr>
        <w:pStyle w:val="994"/>
      </w:pPr>
      <w:r>
        <w:t xml:space="preserve">Документ может содержать несколько вложений, одним из которых является отчет «Реестр вложений»</w:t>
      </w:r>
      <w:r>
        <w:t xml:space="preserve"> </w:t>
      </w:r>
      <w:r>
        <w:t xml:space="preserve">в формате XML, содержащий значения атрибутов первичных документов, а остальные содержат другие прикрепленные документы.</w:t>
      </w:r>
      <w:r/>
    </w:p>
    <w:p>
      <w:pPr>
        <w:pStyle w:val="994"/>
      </w:pPr>
      <w:r>
        <w:t xml:space="preserve">Для работы с документами </w:t>
      </w:r>
      <w:r>
        <w:t xml:space="preserve">«Отчеты» следует перейти в пункт меню «Документы – Оперативная отчетность – Отчеты – Отчеты». Откроется ЭФ списка документов, представленная на рисунке </w:t>
      </w:r>
      <w:r>
        <w:fldChar w:fldCharType="begin"/>
      </w:r>
      <w:r>
        <w:instrText xml:space="preserve"> REF _Ref240275542 \h  \* MERGEFORMAT </w:instrText>
      </w:r>
      <w:r>
        <w:fldChar w:fldCharType="separate"/>
      </w:r>
      <w:r>
        <w:t xml:space="preserve">238</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474720"/>
                <wp:effectExtent l="0" t="0" r="0" b="0"/>
                <wp:docPr id="35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20"/>
                        <a:stretch/>
                      </pic:blipFill>
                      <pic:spPr bwMode="auto">
                        <a:xfrm>
                          <a:off x="0" y="0"/>
                          <a:ext cx="6126480" cy="34747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7" o:spid="_x0000_s357" type="#_x0000_t75" style="mso-wrap-distance-left:0.0pt;mso-wrap-distance-top:0.0pt;mso-wrap-distance-right:0.0pt;mso-wrap-distance-bottom:0.0pt;width:482.4pt;height:273.6pt;" stroked="f">
                <v:path textboxrect="0,0,0,0"/>
                <v:imagedata r:id="rId320" o:title=""/>
              </v:shape>
            </w:pict>
          </mc:Fallback>
        </mc:AlternateContent>
      </w:r>
      <w:r/>
    </w:p>
    <w:p>
      <w:pPr>
        <w:pStyle w:val="983"/>
      </w:pPr>
      <w:r>
        <w:fldChar w:fldCharType="begin"/>
      </w:r>
      <w:r>
        <w:instrText xml:space="preserve"> SEQ Рисунок \* ARABIC </w:instrText>
      </w:r>
      <w:r>
        <w:fldChar w:fldCharType="separate"/>
      </w:r>
      <w:bookmarkStart w:id="1646" w:name="_Ref240275542"/>
      <w:r/>
      <w:bookmarkStart w:id="1647" w:name="_Toc88819623"/>
      <w:r>
        <w:t xml:space="preserve">238</w:t>
      </w:r>
      <w:bookmarkEnd w:id="1646"/>
      <w:r>
        <w:fldChar w:fldCharType="end"/>
      </w:r>
      <w:r>
        <w:t xml:space="preserve">. ЭФ списка документов «Отчеты»</w:t>
      </w:r>
      <w:bookmarkEnd w:id="1647"/>
      <w:r/>
      <w:r/>
    </w:p>
    <w:p>
      <w:pPr>
        <w:pStyle w:val="974"/>
      </w:pPr>
      <w:r>
        <w:t xml:space="preserve">Работа с предварительными отчетами</w:t>
      </w:r>
      <w:r/>
    </w:p>
    <w:p>
      <w:pPr>
        <w:pStyle w:val="994"/>
      </w:pPr>
      <w:r>
        <w:t xml:space="preserve">Из </w:t>
      </w:r>
      <w:r>
        <w:t xml:space="preserve">ППО OEBS АСФК</w:t>
      </w:r>
      <w:r>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t xml:space="preserve"> – </w:t>
      </w:r>
      <w:r>
        <w:t xml:space="preserve">промежуточные отчеты. Промежуточные отчёты отправл</w:t>
      </w:r>
      <w:r>
        <w:t xml:space="preserve">я</w:t>
      </w:r>
      <w:r>
        <w:t xml:space="preserve">ются неподписанными.</w:t>
      </w:r>
      <w:r/>
    </w:p>
    <w:p>
      <w:pPr>
        <w:pStyle w:val="994"/>
      </w:pPr>
      <w:r>
        <w:t xml:space="preserve">Реализована выгрузка следующих промежуточных отчётов:</w:t>
      </w:r>
      <w:r/>
    </w:p>
    <w:p>
      <w:pPr>
        <w:pStyle w:val="985"/>
      </w:pPr>
      <w:r>
        <w:t xml:space="preserve">Отчет «Выписка из лицевого счёта бюджета (код формы по КФД 0531775)»;</w:t>
      </w:r>
      <w:r/>
    </w:p>
    <w:p>
      <w:pPr>
        <w:pStyle w:val="985"/>
      </w:pPr>
      <w:r>
        <w:t xml:space="preserve">Отчет «Приложение к выписке из лицевого счёта бюджета (код формы по КФД 0531784)»;</w:t>
      </w:r>
      <w:r/>
    </w:p>
    <w:p>
      <w:pPr>
        <w:pStyle w:val="985"/>
      </w:pPr>
      <w:r>
        <w:t xml:space="preserve">Отчет «Ведомость кассовых поступлений в бюджет (код формы по КФД 0531812)»;</w:t>
      </w:r>
      <w:r/>
    </w:p>
    <w:p>
      <w:pPr>
        <w:pStyle w:val="985"/>
      </w:pPr>
      <w:r>
        <w:t xml:space="preserve">Отчет «Сводная ведомость по кассовым выплатам из бюджета (код формы по КФД 0531813)»;</w:t>
      </w:r>
      <w:r/>
    </w:p>
    <w:p>
      <w:pPr>
        <w:pStyle w:val="985"/>
      </w:pPr>
      <w:r>
        <w:t xml:space="preserve">Отчет «Ведомость по движению свободного остатка средств бюджета (код формы по КФД 0531819)»;</w:t>
      </w:r>
      <w:r/>
    </w:p>
    <w:p>
      <w:pPr>
        <w:pStyle w:val="985"/>
      </w:pPr>
      <w:r>
        <w:t xml:space="preserve">Отчет «Выписка из лицевого счета главного распорядителя (распорядителя) бю</w:t>
      </w:r>
      <w:r>
        <w:t xml:space="preserve">джетных средств (код формы по КФД 0531758)»;</w:t>
      </w:r>
      <w:r/>
    </w:p>
    <w:p>
      <w:pPr>
        <w:pStyle w:val="985"/>
      </w:pPr>
      <w:r>
        <w:t xml:space="preserve">Отчет «Приложение к выписке из лицевого счета главного распорядителя (распор</w:t>
      </w:r>
      <w:r>
        <w:t xml:space="preserve">ядителя) бюджетных средств (код формы по КФД 0531777)»;</w:t>
      </w:r>
      <w:r/>
    </w:p>
    <w:p>
      <w:pPr>
        <w:pStyle w:val="985"/>
      </w:pPr>
      <w:r>
        <w:t xml:space="preserve">Отчет «Выписка из лицевого счета получателя бюджетных средств (код формы по КФД 0531759»;</w:t>
      </w:r>
      <w:r/>
    </w:p>
    <w:p>
      <w:pPr>
        <w:pStyle w:val="985"/>
      </w:pPr>
      <w:r>
        <w:t xml:space="preserve">Отчет «Приложение к выписке из лицевого счета получателя (код формы по КФД 0531778)»;</w:t>
      </w:r>
      <w:r/>
    </w:p>
    <w:p>
      <w:pPr>
        <w:pStyle w:val="985"/>
      </w:pPr>
      <w:r>
        <w:t xml:space="preserve">Отчет «Выписка из лицевого счета администратора доходов бюджета (код формы по КФД 0531761)»;</w:t>
      </w:r>
      <w:r/>
    </w:p>
    <w:p>
      <w:pPr>
        <w:pStyle w:val="985"/>
      </w:pPr>
      <w:r>
        <w:t xml:space="preserve">Отчет «Приложение к выписке из лицевого счёта администратора доходов бюджета (код формы по КФД 0531779)».</w:t>
      </w:r>
      <w:r/>
    </w:p>
    <w:p>
      <w:pPr>
        <w:pStyle w:val="994"/>
      </w:pPr>
      <w:r>
        <w:t xml:space="preserve">В списке отчетов промежуточные отчёты имеют два отличительных признака:</w:t>
      </w:r>
      <w:r/>
    </w:p>
    <w:p>
      <w:pPr>
        <w:pStyle w:val="985"/>
      </w:pPr>
      <w:r>
        <w:t xml:space="preserve">промежуточные отчеты имеют статус 002;</w:t>
      </w:r>
      <w:r/>
    </w:p>
    <w:p>
      <w:pPr>
        <w:pStyle w:val="985"/>
      </w:pPr>
      <w:r>
        <w:t xml:space="preserve">промежуточные отчеты не подписаны. </w:t>
      </w:r>
      <w:r/>
    </w:p>
    <w:p>
      <w:pPr>
        <w:pStyle w:val="996"/>
      </w:pPr>
      <w:r>
        <w:rPr>
          <w:rStyle w:val="1001"/>
        </w:rPr>
        <w:t xml:space="preserve">Примечание.</w:t>
      </w:r>
      <w:r>
        <w:tab/>
        <w:t xml:space="preserve">Итоговые отчеты имеют статус 003</w:t>
      </w:r>
      <w:r>
        <w:t xml:space="preserve">,</w:t>
      </w:r>
      <w:r>
        <w:t xml:space="preserve"> и они подписаны.</w:t>
      </w:r>
      <w:r/>
    </w:p>
    <w:p>
      <w:pPr>
        <w:pStyle w:val="973"/>
      </w:pPr>
      <w:r>
        <w:t xml:space="preserve">Доступные операции</w:t>
      </w:r>
      <w:r/>
    </w:p>
    <w:p>
      <w:pPr>
        <w:pStyle w:val="994"/>
      </w:pPr>
      <w:r>
        <w:t xml:space="preserve">На АРМ ФО доступны следующие операции над</w:t>
      </w:r>
      <w:r>
        <w:t xml:space="preserve"> документом</w:t>
      </w:r>
      <w:r>
        <w:t xml:space="preserve">:</w:t>
      </w:r>
      <w:r/>
    </w:p>
    <w:p>
      <w:pPr>
        <w:pStyle w:val="985"/>
      </w:pPr>
      <w:r>
        <w:t xml:space="preserve">просмотр ЭД;</w:t>
      </w:r>
      <w:r/>
    </w:p>
    <w:p>
      <w:pPr>
        <w:pStyle w:val="985"/>
      </w:pPr>
      <w:r>
        <w:t xml:space="preserve">просмотр и печать вложенного отчета.</w:t>
      </w:r>
      <w:r/>
    </w:p>
    <w:p>
      <w:pPr>
        <w:pStyle w:val="973"/>
      </w:pPr>
      <w:r/>
      <w:bookmarkStart w:id="1648" w:name="_Ref361680359"/>
      <w:r/>
      <w:bookmarkStart w:id="1649" w:name="_Toc361680626"/>
      <w:r>
        <w:t xml:space="preserve">Экранная форма документа</w:t>
      </w:r>
      <w:r/>
    </w:p>
    <w:p>
      <w:pPr>
        <w:pStyle w:val="994"/>
      </w:pPr>
      <w:r/>
      <w:bookmarkStart w:id="1650" w:name="_Toc422496727"/>
      <w:r/>
      <w:bookmarkStart w:id="1651" w:name="_Ref423594243"/>
      <w:r>
        <w:t xml:space="preserve">ЭФ документа </w:t>
      </w:r>
      <w:r>
        <w:t xml:space="preserve">«</w:t>
      </w:r>
      <w:r>
        <w:t xml:space="preserve">Отчеты</w:t>
      </w:r>
      <w:r>
        <w:t xml:space="preserve">»</w:t>
      </w:r>
      <w:r>
        <w:t xml:space="preserve"> </w:t>
      </w:r>
      <w:r>
        <w:t xml:space="preserve">представлена на рисунке</w:t>
      </w:r>
      <w:r>
        <w:t xml:space="preserve"> </w:t>
      </w:r>
      <w:r>
        <w:fldChar w:fldCharType="begin"/>
      </w:r>
      <w:r>
        <w:instrText xml:space="preserve"> REF _Ref240276979 \h  \* MERGEFORMAT </w:instrText>
      </w:r>
      <w:r>
        <w:fldChar w:fldCharType="separate"/>
      </w:r>
      <w:r>
        <w:t xml:space="preserve">239</w:t>
      </w:r>
      <w:r>
        <w:fldChar w:fldCharType="end"/>
      </w:r>
      <w:r>
        <w:t xml:space="preserve">.</w:t>
      </w:r>
      <w:r>
        <w:t xml:space="preserve"> Форма </w:t>
      </w:r>
      <w:r>
        <w:t xml:space="preserve">содержит следующие закладки</w:t>
      </w:r>
      <w:r>
        <w:t xml:space="preserve">:</w:t>
      </w:r>
      <w:r/>
    </w:p>
    <w:p>
      <w:pPr>
        <w:pStyle w:val="985"/>
      </w:pPr>
      <w:r>
        <w:t xml:space="preserve">«</w:t>
      </w:r>
      <w:r>
        <w:t xml:space="preserve">Основные атрибуты</w:t>
      </w:r>
      <w:r>
        <w:t xml:space="preserve">»</w:t>
      </w:r>
      <w:r>
        <w:t xml:space="preserve">;</w:t>
      </w:r>
      <w:r/>
    </w:p>
    <w:p>
      <w:pPr>
        <w:pStyle w:val="985"/>
      </w:pPr>
      <w:r>
        <w:t xml:space="preserve">«</w:t>
      </w:r>
      <w:r>
        <w:t xml:space="preserve">Вложения</w:t>
      </w:r>
      <w:r>
        <w:t xml:space="preserve">»;</w:t>
      </w:r>
      <w:r/>
    </w:p>
    <w:p>
      <w:pPr>
        <w:pStyle w:val="985"/>
      </w:pPr>
      <w:r>
        <w:t xml:space="preserve">«Реестр вложений первичных документов»</w:t>
      </w:r>
      <w:r>
        <w:t xml:space="preserve">.</w:t>
      </w:r>
      <w:r/>
    </w:p>
    <w:p>
      <w:pPr>
        <w:pStyle w:val="982"/>
      </w:pPr>
      <w:r>
        <mc:AlternateContent>
          <mc:Choice Requires="wpg">
            <w:drawing>
              <wp:inline xmlns:wp="http://schemas.openxmlformats.org/drawingml/2006/wordprocessingDrawing" distT="0" distB="0" distL="0" distR="0">
                <wp:extent cx="6027420" cy="4579620"/>
                <wp:effectExtent l="0" t="0" r="0" b="0"/>
                <wp:docPr id="35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21"/>
                        <a:stretch/>
                      </pic:blipFill>
                      <pic:spPr bwMode="auto">
                        <a:xfrm>
                          <a:off x="0" y="0"/>
                          <a:ext cx="6027420" cy="45796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8" o:spid="_x0000_s358" type="#_x0000_t75" style="mso-wrap-distance-left:0.0pt;mso-wrap-distance-top:0.0pt;mso-wrap-distance-right:0.0pt;mso-wrap-distance-bottom:0.0pt;width:474.6pt;height:360.6pt;" stroked="f">
                <v:path textboxrect="0,0,0,0"/>
                <v:imagedata r:id="rId321" o:title=""/>
              </v:shape>
            </w:pict>
          </mc:Fallback>
        </mc:AlternateContent>
      </w:r>
      <w:r/>
    </w:p>
    <w:p>
      <w:pPr>
        <w:pStyle w:val="983"/>
      </w:pPr>
      <w:r>
        <w:fldChar w:fldCharType="begin"/>
      </w:r>
      <w:r>
        <w:instrText xml:space="preserve"> SEQ Рисунок \* ARABIC </w:instrText>
      </w:r>
      <w:r>
        <w:fldChar w:fldCharType="separate"/>
      </w:r>
      <w:bookmarkStart w:id="1652" w:name="_Ref240276979"/>
      <w:r/>
      <w:bookmarkStart w:id="1653" w:name="_Toc88819624"/>
      <w:r>
        <w:t xml:space="preserve">239</w:t>
      </w:r>
      <w:bookmarkEnd w:id="1652"/>
      <w:r>
        <w:fldChar w:fldCharType="end"/>
      </w:r>
      <w:r>
        <w:t xml:space="preserve">. ЭФ документа </w:t>
      </w:r>
      <w:r>
        <w:t xml:space="preserve">«</w:t>
      </w:r>
      <w:r>
        <w:t xml:space="preserve">Отчеты</w:t>
      </w:r>
      <w:r>
        <w:t xml:space="preserve">», закладки «</w:t>
      </w:r>
      <w:r>
        <w:t xml:space="preserve">Основные атрибуты</w:t>
      </w:r>
      <w:r>
        <w:t xml:space="preserve">»</w:t>
      </w:r>
      <w:bookmarkEnd w:id="1653"/>
      <w:r/>
      <w:r/>
    </w:p>
    <w:p>
      <w:pPr>
        <w:pStyle w:val="994"/>
      </w:pPr>
      <w:r>
        <w:t xml:space="preserve">Перечень полей документа </w:t>
      </w:r>
      <w:r>
        <w:t xml:space="preserve">«</w:t>
      </w:r>
      <w:r>
        <w:t xml:space="preserve">Отчеты</w:t>
      </w:r>
      <w:r>
        <w:t xml:space="preserve">», закладки «</w:t>
      </w:r>
      <w:r>
        <w:t xml:space="preserve">Основные атрибуты</w:t>
      </w:r>
      <w:r>
        <w:t xml:space="preserve">»</w:t>
      </w:r>
      <w:r>
        <w:t xml:space="preserve"> приведен в та</w:t>
      </w:r>
      <w:r>
        <w:t xml:space="preserve">б</w:t>
      </w:r>
      <w:r>
        <w:t xml:space="preserve">лице</w:t>
      </w:r>
      <w:r>
        <w:t xml:space="preserve"> </w:t>
      </w:r>
      <w:r>
        <w:fldChar w:fldCharType="begin"/>
      </w:r>
      <w:r>
        <w:instrText xml:space="preserve"> REF _Ref249265081 \h  \* MERGEFORMAT </w:instrText>
      </w:r>
      <w:r>
        <w:fldChar w:fldCharType="separate"/>
      </w:r>
      <w:r>
        <w:t xml:space="preserve">131</w:t>
      </w:r>
      <w:r>
        <w:fldChar w:fldCharType="end"/>
      </w:r>
      <w:r>
        <w:t xml:space="preserve">. Значения полей передаются из </w:t>
      </w:r>
      <w:r>
        <w:t xml:space="preserve">OEBS</w:t>
      </w:r>
      <w:r>
        <w:t xml:space="preserve"> и недоступны для редактирования.</w:t>
      </w:r>
      <w:r/>
    </w:p>
    <w:p>
      <w:pPr>
        <w:pStyle w:val="993"/>
      </w:pPr>
      <w:r>
        <w:fldChar w:fldCharType="begin"/>
      </w:r>
      <w:r>
        <w:instrText xml:space="preserve"> SEQ Таблица \* ARABIC </w:instrText>
      </w:r>
      <w:r>
        <w:fldChar w:fldCharType="separate"/>
      </w:r>
      <w:bookmarkStart w:id="1654" w:name="_Ref249265081"/>
      <w:r/>
      <w:bookmarkStart w:id="1655" w:name="_Toc88819318"/>
      <w:r>
        <w:t xml:space="preserve">131</w:t>
      </w:r>
      <w:bookmarkEnd w:id="1654"/>
      <w:r>
        <w:fldChar w:fldCharType="end"/>
      </w:r>
      <w:r>
        <w:t xml:space="preserve">. Описание полей документа </w:t>
      </w:r>
      <w:r>
        <w:t xml:space="preserve">«</w:t>
      </w:r>
      <w:r>
        <w:t xml:space="preserve">Отчеты</w:t>
      </w:r>
      <w:r>
        <w:t xml:space="preserve">», закладки «</w:t>
      </w:r>
      <w:r>
        <w:t xml:space="preserve">Основные атриб</w:t>
      </w:r>
      <w:r>
        <w:t xml:space="preserve">у</w:t>
      </w:r>
      <w:r>
        <w:t xml:space="preserve">ты</w:t>
      </w:r>
      <w:r>
        <w:t xml:space="preserve">»</w:t>
      </w:r>
      <w:bookmarkEnd w:id="1655"/>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4026"/>
        <w:gridCol w:w="5726"/>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06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936" w:type="pct"/>
            <w:vAlign w:val="center"/>
            <w:textDirection w:val="lrTb"/>
            <w:noWrap w:val="false"/>
          </w:tcPr>
          <w:p>
            <w:pPr>
              <w:pStyle w:val="1006"/>
            </w:pPr>
            <w:r>
              <w:t xml:space="preserve">Описание поля</w:t>
            </w:r>
            <w:r/>
          </w:p>
        </w:tc>
      </w:tr>
      <w:tr>
        <w:trPr/>
        <w:tc>
          <w:tcPr>
            <w:shd w:val="clear" w:fill="auto" w:color="auto"/>
            <w:tcW w:w="2064" w:type="pct"/>
            <w:textDirection w:val="lrTb"/>
            <w:noWrap w:val="false"/>
          </w:tcPr>
          <w:p>
            <w:pPr>
              <w:pStyle w:val="1005"/>
              <w:ind w:left="57" w:right="57"/>
            </w:pPr>
            <w:r>
              <w:t xml:space="preserve">Дата отчета</w:t>
            </w:r>
            <w:r/>
          </w:p>
        </w:tc>
        <w:tc>
          <w:tcPr>
            <w:shd w:val="clear" w:fill="auto" w:color="auto"/>
            <w:tcW w:w="2936" w:type="pct"/>
            <w:textDirection w:val="lrTb"/>
            <w:noWrap w:val="false"/>
          </w:tcPr>
          <w:p>
            <w:pPr>
              <w:pStyle w:val="1005"/>
              <w:ind w:left="57" w:right="57"/>
            </w:pPr>
            <w:r>
              <w:t xml:space="preserve">Дата отчета.</w:t>
            </w:r>
            <w:r/>
          </w:p>
        </w:tc>
      </w:tr>
      <w:tr>
        <w:trPr/>
        <w:tc>
          <w:tcPr>
            <w:shd w:val="clear" w:fill="auto" w:color="auto"/>
            <w:tcW w:w="2064" w:type="pct"/>
            <w:textDirection w:val="lrTb"/>
            <w:noWrap w:val="false"/>
          </w:tcPr>
          <w:p>
            <w:pPr>
              <w:pStyle w:val="1005"/>
              <w:ind w:left="57" w:right="57"/>
            </w:pPr>
            <w:r>
              <w:t xml:space="preserve">Бизнес-статус</w:t>
            </w:r>
            <w:r/>
          </w:p>
        </w:tc>
        <w:tc>
          <w:tcPr>
            <w:shd w:val="clear" w:fill="auto" w:color="auto"/>
            <w:tcW w:w="2936" w:type="pct"/>
            <w:textDirection w:val="lrTb"/>
            <w:noWrap w:val="false"/>
          </w:tcPr>
          <w:p>
            <w:pPr>
              <w:pStyle w:val="1005"/>
              <w:ind w:left="57" w:right="57"/>
            </w:pPr>
            <w:r>
              <w:t xml:space="preserve">Код и наименование бизнес-статуса отчета.</w:t>
            </w:r>
            <w:r/>
          </w:p>
        </w:tc>
      </w:tr>
      <w:tr>
        <w:trPr/>
        <w:tc>
          <w:tcPr>
            <w:shd w:val="clear" w:fill="auto" w:color="auto"/>
            <w:tcW w:w="2064" w:type="pct"/>
            <w:textDirection w:val="lrTb"/>
            <w:noWrap w:val="false"/>
          </w:tcPr>
          <w:p>
            <w:pPr>
              <w:pStyle w:val="1005"/>
              <w:ind w:left="57" w:right="57"/>
            </w:pPr>
            <w:r>
              <w:t xml:space="preserve">Тип отчета (код)</w:t>
            </w:r>
            <w:r/>
          </w:p>
        </w:tc>
        <w:tc>
          <w:tcPr>
            <w:shd w:val="clear" w:fill="auto" w:color="auto"/>
            <w:tcW w:w="2936" w:type="pct"/>
            <w:textDirection w:val="lrTb"/>
            <w:noWrap w:val="false"/>
          </w:tcPr>
          <w:p>
            <w:pPr>
              <w:pStyle w:val="1005"/>
              <w:ind w:left="57" w:right="57"/>
            </w:pPr>
            <w:r>
              <w:t xml:space="preserve">Тип отчета (код).</w:t>
            </w:r>
            <w:r/>
          </w:p>
        </w:tc>
      </w:tr>
      <w:tr>
        <w:trPr/>
        <w:tc>
          <w:tcPr>
            <w:shd w:val="clear" w:fill="auto" w:color="auto"/>
            <w:tcW w:w="2064" w:type="pct"/>
            <w:textDirection w:val="lrTb"/>
            <w:noWrap w:val="false"/>
          </w:tcPr>
          <w:p>
            <w:pPr>
              <w:pStyle w:val="1005"/>
              <w:ind w:left="57" w:right="57"/>
            </w:pPr>
            <w:r>
              <w:t xml:space="preserve">Наличие шаблона</w:t>
            </w:r>
            <w:r/>
          </w:p>
        </w:tc>
        <w:tc>
          <w:tcPr>
            <w:shd w:val="clear" w:fill="auto" w:color="auto"/>
            <w:tcW w:w="2936" w:type="pct"/>
            <w:textDirection w:val="lrTb"/>
            <w:noWrap w:val="false"/>
          </w:tcPr>
          <w:p>
            <w:pPr>
              <w:pStyle w:val="1005"/>
              <w:ind w:left="57" w:right="57"/>
            </w:pPr>
            <w:r>
              <w:t xml:space="preserve">Флаг наличия шаблона.</w:t>
            </w:r>
            <w:r/>
          </w:p>
        </w:tc>
      </w:tr>
      <w:tr>
        <w:trPr/>
        <w:tc>
          <w:tcPr>
            <w:shd w:val="clear" w:fill="auto" w:color="auto"/>
            <w:tcW w:w="2064" w:type="pct"/>
            <w:textDirection w:val="lrTb"/>
            <w:noWrap w:val="false"/>
          </w:tcPr>
          <w:p>
            <w:pPr>
              <w:pStyle w:val="1005"/>
              <w:ind w:left="57" w:right="57"/>
            </w:pPr>
            <w:r>
              <w:t xml:space="preserve">Наличие документа</w:t>
            </w:r>
            <w:r/>
          </w:p>
        </w:tc>
        <w:tc>
          <w:tcPr>
            <w:shd w:val="clear" w:fill="auto" w:color="auto"/>
            <w:tcW w:w="2936" w:type="pct"/>
            <w:textDirection w:val="lrTb"/>
            <w:noWrap w:val="false"/>
          </w:tcPr>
          <w:p>
            <w:pPr>
              <w:pStyle w:val="1005"/>
              <w:ind w:left="57" w:right="57"/>
            </w:pPr>
            <w:r>
              <w:t xml:space="preserve">Флаг наличия документа.</w:t>
            </w:r>
            <w:r/>
          </w:p>
        </w:tc>
      </w:tr>
      <w:tr>
        <w:trPr/>
        <w:tc>
          <w:tcPr>
            <w:shd w:val="clear" w:fill="auto" w:color="auto"/>
            <w:tcW w:w="2064" w:type="pct"/>
            <w:textDirection w:val="lrTb"/>
            <w:noWrap w:val="false"/>
          </w:tcPr>
          <w:p>
            <w:pPr>
              <w:pStyle w:val="1005"/>
              <w:ind w:left="57" w:right="57"/>
            </w:pPr>
            <w:r>
              <w:t xml:space="preserve">Код последней ошибки</w:t>
            </w:r>
            <w:r/>
          </w:p>
        </w:tc>
        <w:tc>
          <w:tcPr>
            <w:shd w:val="clear" w:fill="auto" w:color="auto"/>
            <w:tcW w:w="2936" w:type="pct"/>
            <w:textDirection w:val="lrTb"/>
            <w:noWrap w:val="false"/>
          </w:tcPr>
          <w:p>
            <w:pPr>
              <w:pStyle w:val="1005"/>
              <w:ind w:left="57" w:right="57"/>
            </w:pPr>
            <w:r>
              <w:t xml:space="preserve">Код последней ошибки.</w:t>
            </w:r>
            <w:r/>
          </w:p>
        </w:tc>
      </w:tr>
      <w:tr>
        <w:trPr/>
        <w:tc>
          <w:tcPr>
            <w:shd w:val="clear" w:fill="auto" w:color="auto"/>
            <w:tcW w:w="2064" w:type="pct"/>
            <w:textDirection w:val="lrTb"/>
            <w:noWrap w:val="false"/>
          </w:tcPr>
          <w:p>
            <w:pPr>
              <w:pStyle w:val="1005"/>
              <w:ind w:left="57" w:right="57"/>
            </w:pPr>
            <w:r>
              <w:t xml:space="preserve">№ Документа</w:t>
            </w:r>
            <w:r/>
          </w:p>
        </w:tc>
        <w:tc>
          <w:tcPr>
            <w:shd w:val="clear" w:fill="auto" w:color="auto"/>
            <w:tcW w:w="2936" w:type="pct"/>
            <w:textDirection w:val="lrTb"/>
            <w:noWrap w:val="false"/>
          </w:tcPr>
          <w:p>
            <w:pPr>
              <w:pStyle w:val="1005"/>
              <w:ind w:left="57" w:right="57"/>
            </w:pPr>
            <w:r>
              <w:t xml:space="preserve">№ документа.</w:t>
            </w:r>
            <w:r/>
          </w:p>
        </w:tc>
      </w:tr>
      <w:tr>
        <w:trPr/>
        <w:tc>
          <w:tcPr>
            <w:shd w:val="clear" w:fill="auto" w:color="auto"/>
            <w:tcW w:w="2064" w:type="pct"/>
            <w:textDirection w:val="lrTb"/>
            <w:noWrap w:val="false"/>
          </w:tcPr>
          <w:p>
            <w:pPr>
              <w:pStyle w:val="1005"/>
              <w:ind w:left="57" w:right="57"/>
            </w:pPr>
            <w:r>
              <w:t xml:space="preserve">Наименование отчета</w:t>
            </w:r>
            <w:r/>
          </w:p>
        </w:tc>
        <w:tc>
          <w:tcPr>
            <w:shd w:val="clear" w:fill="auto" w:color="auto"/>
            <w:tcW w:w="2936" w:type="pct"/>
            <w:textDirection w:val="lrTb"/>
            <w:noWrap w:val="false"/>
          </w:tcPr>
          <w:p>
            <w:pPr>
              <w:pStyle w:val="1005"/>
              <w:ind w:left="57" w:right="57"/>
            </w:pPr>
            <w:r>
              <w:t xml:space="preserve">Наименование отчета.</w:t>
            </w:r>
            <w:r/>
          </w:p>
        </w:tc>
      </w:tr>
      <w:tr>
        <w:trPr/>
        <w:tc>
          <w:tcPr>
            <w:shd w:val="clear" w:fill="auto" w:color="auto"/>
            <w:tcW w:w="2064" w:type="pct"/>
            <w:textDirection w:val="lrTb"/>
            <w:noWrap w:val="false"/>
          </w:tcPr>
          <w:p>
            <w:pPr>
              <w:pStyle w:val="1005"/>
              <w:ind w:left="57" w:right="57"/>
            </w:pPr>
            <w:r>
              <w:t xml:space="preserve">Дата создания</w:t>
            </w:r>
            <w:r/>
          </w:p>
        </w:tc>
        <w:tc>
          <w:tcPr>
            <w:shd w:val="clear" w:fill="auto" w:color="auto"/>
            <w:tcW w:w="2936" w:type="pct"/>
            <w:textDirection w:val="lrTb"/>
            <w:noWrap w:val="false"/>
          </w:tcPr>
          <w:p>
            <w:pPr>
              <w:pStyle w:val="1005"/>
              <w:ind w:left="57" w:right="57"/>
            </w:pPr>
            <w:r>
              <w:t xml:space="preserve">Дата создания отчета.</w:t>
            </w:r>
            <w:r/>
          </w:p>
        </w:tc>
      </w:tr>
      <w:tr>
        <w:trPr/>
        <w:tc>
          <w:tcPr>
            <w:shd w:val="clear" w:fill="auto" w:color="auto"/>
            <w:tcW w:w="2064" w:type="pct"/>
            <w:textDirection w:val="lrTb"/>
            <w:noWrap w:val="false"/>
          </w:tcPr>
          <w:p>
            <w:pPr>
              <w:pStyle w:val="1005"/>
              <w:ind w:left="57" w:right="57"/>
            </w:pPr>
            <w:r>
              <w:t xml:space="preserve">Оператор</w:t>
            </w:r>
            <w:r/>
          </w:p>
        </w:tc>
        <w:tc>
          <w:tcPr>
            <w:shd w:val="clear" w:fill="auto" w:color="auto"/>
            <w:tcW w:w="2936" w:type="pct"/>
            <w:textDirection w:val="lrTb"/>
            <w:noWrap w:val="false"/>
          </w:tcPr>
          <w:p>
            <w:pPr>
              <w:pStyle w:val="1005"/>
              <w:ind w:left="57" w:right="57"/>
            </w:pPr>
            <w:r>
              <w:t xml:space="preserve">Оператор документа.</w:t>
            </w:r>
            <w:r/>
          </w:p>
        </w:tc>
      </w:tr>
      <w:tr>
        <w:trPr/>
        <w:tc>
          <w:tcPr>
            <w:shd w:val="clear" w:fill="auto" w:color="auto"/>
            <w:tcW w:w="2064" w:type="pct"/>
            <w:textDirection w:val="lrTb"/>
            <w:noWrap w:val="false"/>
          </w:tcPr>
          <w:p>
            <w:pPr>
              <w:pStyle w:val="1005"/>
              <w:ind w:left="57" w:right="57"/>
            </w:pPr>
            <w:r>
              <w:t xml:space="preserve">Контур</w:t>
            </w:r>
            <w:r/>
          </w:p>
        </w:tc>
        <w:tc>
          <w:tcPr>
            <w:shd w:val="clear" w:fill="auto" w:color="auto"/>
            <w:tcW w:w="2936" w:type="pct"/>
            <w:textDirection w:val="lrTb"/>
            <w:noWrap w:val="false"/>
          </w:tcPr>
          <w:p>
            <w:pPr>
              <w:pStyle w:val="1005"/>
              <w:ind w:left="57" w:right="57"/>
            </w:pPr>
            <w:r>
              <w:t xml:space="preserve">Контур, из которого поступил документ.</w:t>
            </w:r>
            <w:r/>
          </w:p>
        </w:tc>
      </w:tr>
      <w:tr>
        <w:trPr/>
        <w:tc>
          <w:tcPr>
            <w:shd w:val="clear" w:fill="auto" w:color="auto"/>
            <w:tcW w:w="2064" w:type="pct"/>
            <w:textDirection w:val="lrTb"/>
            <w:noWrap w:val="false"/>
          </w:tcPr>
          <w:p>
            <w:pPr>
              <w:pStyle w:val="1005"/>
              <w:ind w:left="57" w:right="57"/>
            </w:pPr>
            <w:r>
              <w:t xml:space="preserve">Бюджет</w:t>
            </w:r>
            <w:r/>
          </w:p>
        </w:tc>
        <w:tc>
          <w:tcPr>
            <w:shd w:val="clear" w:fill="auto" w:color="auto"/>
            <w:tcW w:w="2936" w:type="pct"/>
            <w:textDirection w:val="lrTb"/>
            <w:noWrap w:val="false"/>
          </w:tcPr>
          <w:p>
            <w:pPr>
              <w:pStyle w:val="1005"/>
              <w:ind w:left="57" w:right="57"/>
            </w:pPr>
            <w:r>
              <w:t xml:space="preserve">Код бюджета.</w:t>
            </w:r>
            <w:r/>
          </w:p>
        </w:tc>
      </w:tr>
      <w:tr>
        <w:trPr/>
        <w:tc>
          <w:tcPr>
            <w:shd w:val="clear" w:fill="auto" w:color="auto"/>
            <w:tcW w:w="2064" w:type="pct"/>
            <w:textDirection w:val="lrTb"/>
            <w:noWrap w:val="false"/>
          </w:tcPr>
          <w:p>
            <w:pPr>
              <w:pStyle w:val="1005"/>
              <w:ind w:left="57" w:right="57"/>
            </w:pPr>
            <w:r>
              <w:t xml:space="preserve">Тип источника</w:t>
            </w:r>
            <w:r/>
          </w:p>
        </w:tc>
        <w:tc>
          <w:tcPr>
            <w:shd w:val="clear" w:fill="auto" w:color="auto"/>
            <w:tcW w:w="2936" w:type="pct"/>
            <w:textDirection w:val="lrTb"/>
            <w:noWrap w:val="false"/>
          </w:tcPr>
          <w:p>
            <w:pPr>
              <w:pStyle w:val="1005"/>
              <w:ind w:left="57" w:right="57"/>
            </w:pPr>
            <w:r>
              <w:t xml:space="preserve">Тип источника.</w:t>
            </w:r>
            <w:r/>
          </w:p>
        </w:tc>
      </w:tr>
      <w:tr>
        <w:trPr/>
        <w:tc>
          <w:tcPr>
            <w:shd w:val="clear" w:fill="auto" w:color="auto"/>
            <w:tcW w:w="2064" w:type="pct"/>
            <w:textDirection w:val="lrTb"/>
            <w:noWrap w:val="false"/>
          </w:tcPr>
          <w:p>
            <w:pPr>
              <w:pStyle w:val="1005"/>
              <w:ind w:left="57" w:right="57"/>
            </w:pPr>
            <w:r>
              <w:t xml:space="preserve">Код источника</w:t>
            </w:r>
            <w:r/>
          </w:p>
        </w:tc>
        <w:tc>
          <w:tcPr>
            <w:shd w:val="clear" w:fill="auto" w:color="auto"/>
            <w:tcW w:w="2936" w:type="pct"/>
            <w:textDirection w:val="lrTb"/>
            <w:noWrap w:val="false"/>
          </w:tcPr>
          <w:p>
            <w:pPr>
              <w:pStyle w:val="1005"/>
              <w:ind w:left="57" w:right="57"/>
            </w:pPr>
            <w:r>
              <w:t xml:space="preserve">Код источника.</w:t>
            </w:r>
            <w:r/>
          </w:p>
        </w:tc>
      </w:tr>
      <w:tr>
        <w:trPr/>
        <w:tc>
          <w:tcPr>
            <w:shd w:val="clear" w:fill="auto" w:color="auto"/>
            <w:tcW w:w="2064" w:type="pct"/>
            <w:textDirection w:val="lrTb"/>
            <w:noWrap w:val="false"/>
          </w:tcPr>
          <w:p>
            <w:pPr>
              <w:pStyle w:val="1005"/>
              <w:ind w:left="57" w:right="57"/>
            </w:pPr>
            <w:r>
              <w:t xml:space="preserve">Наименование источника</w:t>
            </w:r>
            <w:r/>
          </w:p>
        </w:tc>
        <w:tc>
          <w:tcPr>
            <w:shd w:val="clear" w:fill="auto" w:color="auto"/>
            <w:tcW w:w="2936" w:type="pct"/>
            <w:textDirection w:val="lrTb"/>
            <w:noWrap w:val="false"/>
          </w:tcPr>
          <w:p>
            <w:pPr>
              <w:pStyle w:val="1005"/>
              <w:ind w:left="57" w:right="57"/>
            </w:pPr>
            <w:r>
              <w:t xml:space="preserve">Наименование источника.</w:t>
            </w:r>
            <w:r/>
          </w:p>
        </w:tc>
      </w:tr>
      <w:tr>
        <w:trPr/>
        <w:tc>
          <w:tcPr>
            <w:shd w:val="clear" w:fill="auto" w:color="auto"/>
            <w:tcW w:w="2064" w:type="pct"/>
            <w:textDirection w:val="lrTb"/>
            <w:noWrap w:val="false"/>
          </w:tcPr>
          <w:p>
            <w:pPr>
              <w:pStyle w:val="1005"/>
              <w:ind w:left="57" w:right="57"/>
            </w:pPr>
            <w:r>
              <w:t xml:space="preserve">Тип получателя</w:t>
            </w:r>
            <w:r/>
          </w:p>
        </w:tc>
        <w:tc>
          <w:tcPr>
            <w:shd w:val="clear" w:fill="auto" w:color="auto"/>
            <w:tcW w:w="2936" w:type="pct"/>
            <w:textDirection w:val="lrTb"/>
            <w:noWrap w:val="false"/>
          </w:tcPr>
          <w:p>
            <w:pPr>
              <w:pStyle w:val="1005"/>
              <w:ind w:left="57" w:right="57"/>
            </w:pPr>
            <w:r>
              <w:t xml:space="preserve">Тип получателя.</w:t>
            </w:r>
            <w:r/>
          </w:p>
        </w:tc>
      </w:tr>
      <w:tr>
        <w:trPr/>
        <w:tc>
          <w:tcPr>
            <w:shd w:val="clear" w:fill="auto" w:color="auto"/>
            <w:tcW w:w="2064" w:type="pct"/>
            <w:textDirection w:val="lrTb"/>
            <w:noWrap w:val="false"/>
          </w:tcPr>
          <w:p>
            <w:pPr>
              <w:pStyle w:val="1005"/>
              <w:ind w:left="57" w:right="57"/>
            </w:pPr>
            <w:r>
              <w:t xml:space="preserve">Код получателя</w:t>
            </w:r>
            <w:r/>
          </w:p>
        </w:tc>
        <w:tc>
          <w:tcPr>
            <w:shd w:val="clear" w:fill="auto" w:color="auto"/>
            <w:tcW w:w="2936" w:type="pct"/>
            <w:textDirection w:val="lrTb"/>
            <w:noWrap w:val="false"/>
          </w:tcPr>
          <w:p>
            <w:pPr>
              <w:pStyle w:val="1005"/>
              <w:ind w:left="57" w:right="57"/>
            </w:pPr>
            <w:r>
              <w:t xml:space="preserve">Код получателя.</w:t>
            </w:r>
            <w:r/>
          </w:p>
        </w:tc>
      </w:tr>
      <w:tr>
        <w:trPr/>
        <w:tc>
          <w:tcPr>
            <w:shd w:val="clear" w:fill="auto" w:color="auto"/>
            <w:tcW w:w="2064" w:type="pct"/>
            <w:textDirection w:val="lrTb"/>
            <w:noWrap w:val="false"/>
          </w:tcPr>
          <w:p>
            <w:pPr>
              <w:pStyle w:val="1005"/>
              <w:ind w:left="57" w:right="57"/>
            </w:pPr>
            <w:r>
              <w:t xml:space="preserve">Наименование получателя</w:t>
            </w:r>
            <w:r/>
          </w:p>
        </w:tc>
        <w:tc>
          <w:tcPr>
            <w:shd w:val="clear" w:fill="auto" w:color="auto"/>
            <w:tcW w:w="2936" w:type="pct"/>
            <w:textDirection w:val="lrTb"/>
            <w:noWrap w:val="false"/>
          </w:tcPr>
          <w:p>
            <w:pPr>
              <w:pStyle w:val="1005"/>
              <w:ind w:left="57" w:right="57"/>
            </w:pPr>
            <w:r>
              <w:t xml:space="preserve">Наименование получателя.</w:t>
            </w:r>
            <w:r/>
          </w:p>
        </w:tc>
      </w:tr>
      <w:tr>
        <w:trPr/>
        <w:tc>
          <w:tcPr>
            <w:shd w:val="clear" w:fill="auto" w:color="auto"/>
            <w:tcW w:w="2064" w:type="pct"/>
            <w:textDirection w:val="lrTb"/>
            <w:noWrap w:val="false"/>
          </w:tcPr>
          <w:p>
            <w:pPr>
              <w:pStyle w:val="1005"/>
              <w:ind w:left="57" w:right="57"/>
            </w:pPr>
            <w:r>
              <w:t xml:space="preserve">Периодичность</w:t>
            </w:r>
            <w:r/>
          </w:p>
        </w:tc>
        <w:tc>
          <w:tcPr>
            <w:shd w:val="clear" w:fill="auto" w:color="auto"/>
            <w:tcW w:w="2936" w:type="pct"/>
            <w:textDirection w:val="lrTb"/>
            <w:noWrap w:val="false"/>
          </w:tcPr>
          <w:p>
            <w:pPr>
              <w:pStyle w:val="1005"/>
              <w:ind w:left="57" w:right="57"/>
            </w:pPr>
            <w:r>
              <w:t xml:space="preserve">Периодичность.</w:t>
            </w:r>
            <w:r/>
          </w:p>
        </w:tc>
      </w:tr>
      <w:tr>
        <w:trPr/>
        <w:tc>
          <w:tcPr>
            <w:shd w:val="clear" w:fill="auto" w:color="auto"/>
            <w:tcW w:w="2064" w:type="pct"/>
            <w:textDirection w:val="lrTb"/>
            <w:noWrap w:val="false"/>
          </w:tcPr>
          <w:p>
            <w:pPr>
              <w:pStyle w:val="1005"/>
              <w:ind w:left="57" w:right="57"/>
            </w:pPr>
            <w:r>
              <w:t xml:space="preserve">Дата регистрации</w:t>
            </w:r>
            <w:r/>
          </w:p>
        </w:tc>
        <w:tc>
          <w:tcPr>
            <w:shd w:val="clear" w:fill="auto" w:color="auto"/>
            <w:tcW w:w="2936" w:type="pct"/>
            <w:textDirection w:val="lrTb"/>
            <w:noWrap w:val="false"/>
          </w:tcPr>
          <w:p>
            <w:pPr>
              <w:pStyle w:val="1005"/>
              <w:ind w:left="57" w:right="57"/>
            </w:pPr>
            <w:r>
              <w:t xml:space="preserve">Дата регистрации документа.</w:t>
            </w:r>
            <w:r/>
          </w:p>
        </w:tc>
      </w:tr>
      <w:tr>
        <w:trPr/>
        <w:tc>
          <w:tcPr>
            <w:shd w:val="clear" w:fill="auto" w:color="auto"/>
            <w:tcW w:w="2064" w:type="pct"/>
            <w:textDirection w:val="lrTb"/>
            <w:noWrap w:val="false"/>
          </w:tcPr>
          <w:p>
            <w:pPr>
              <w:pStyle w:val="1005"/>
              <w:ind w:left="57" w:right="57"/>
            </w:pPr>
            <w:r>
              <w:t xml:space="preserve">Тип документа</w:t>
            </w:r>
            <w:r/>
          </w:p>
        </w:tc>
        <w:tc>
          <w:tcPr>
            <w:shd w:val="clear" w:fill="auto" w:color="auto"/>
            <w:tcW w:w="2936" w:type="pct"/>
            <w:textDirection w:val="lrTb"/>
            <w:noWrap w:val="false"/>
          </w:tcPr>
          <w:p>
            <w:pPr>
              <w:pStyle w:val="1005"/>
              <w:ind w:left="57" w:right="57"/>
            </w:pPr>
            <w:r>
              <w:t xml:space="preserve">Тип документа.</w:t>
            </w:r>
            <w:r/>
          </w:p>
        </w:tc>
      </w:tr>
      <w:tr>
        <w:trPr/>
        <w:tc>
          <w:tcPr>
            <w:shd w:val="clear" w:fill="auto" w:color="auto"/>
            <w:tcW w:w="2064" w:type="pct"/>
            <w:textDirection w:val="lrTb"/>
            <w:noWrap w:val="false"/>
          </w:tcPr>
          <w:p>
            <w:pPr>
              <w:pStyle w:val="1005"/>
              <w:ind w:left="57" w:right="57"/>
            </w:pPr>
            <w:r>
              <w:t xml:space="preserve">Признак конфиденциальности</w:t>
            </w:r>
            <w:r/>
          </w:p>
        </w:tc>
        <w:tc>
          <w:tcPr>
            <w:shd w:val="clear" w:fill="auto" w:color="auto"/>
            <w:tcW w:w="2936" w:type="pct"/>
            <w:textDirection w:val="lrTb"/>
            <w:noWrap w:val="false"/>
          </w:tcPr>
          <w:p>
            <w:pPr>
              <w:pStyle w:val="1005"/>
              <w:ind w:left="57" w:right="57"/>
            </w:pPr>
            <w:r>
              <w:t xml:space="preserve">Уровень </w:t>
            </w:r>
            <w:r>
              <w:t xml:space="preserve">конфиденциальности</w:t>
            </w:r>
            <w:r>
              <w:t xml:space="preserve">.</w:t>
            </w:r>
            <w:r/>
          </w:p>
        </w:tc>
      </w:tr>
    </w:tbl>
    <w:p>
      <w:pPr>
        <w:pStyle w:val="994"/>
      </w:pPr>
      <w:r>
        <w:t xml:space="preserve">На закладке «</w:t>
      </w:r>
      <w:r>
        <w:t xml:space="preserve">Вложения</w:t>
      </w:r>
      <w:r>
        <w:t xml:space="preserve">»</w:t>
      </w:r>
      <w:r>
        <w:t xml:space="preserve"> содержится вложенный файл отчета.</w:t>
      </w:r>
      <w:r>
        <w:t xml:space="preserve"> </w:t>
      </w:r>
      <w:r>
        <w:t xml:space="preserve">ЭФ документа </w:t>
      </w:r>
      <w:r>
        <w:t xml:space="preserve">«</w:t>
      </w:r>
      <w:r>
        <w:t xml:space="preserve">Отч</w:t>
      </w:r>
      <w:r>
        <w:t xml:space="preserve">е</w:t>
      </w:r>
      <w:r>
        <w:t xml:space="preserve">ты</w:t>
      </w:r>
      <w:r>
        <w:t xml:space="preserve">», закладки «</w:t>
      </w:r>
      <w:r>
        <w:t xml:space="preserve">Вложения</w:t>
      </w:r>
      <w:r>
        <w:t xml:space="preserve">»</w:t>
      </w:r>
      <w:r>
        <w:t xml:space="preserve"> представлена на рисунке</w:t>
      </w:r>
      <w:r>
        <w:t xml:space="preserve"> </w:t>
      </w:r>
      <w:r>
        <w:fldChar w:fldCharType="begin"/>
      </w:r>
      <w:r>
        <w:instrText xml:space="preserve"> REF _Ref447031087 \h </w:instrText>
      </w:r>
      <w:r>
        <w:fldChar w:fldCharType="separate"/>
      </w:r>
      <w:r>
        <w:t xml:space="preserve">240</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2186940"/>
                <wp:effectExtent l="0" t="0" r="0" b="0"/>
                <wp:docPr id="36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22"/>
                        <a:stretch/>
                      </pic:blipFill>
                      <pic:spPr bwMode="auto">
                        <a:xfrm>
                          <a:off x="0" y="0"/>
                          <a:ext cx="6118860" cy="21869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9" o:spid="_x0000_s359" type="#_x0000_t75" style="mso-wrap-distance-left:0.0pt;mso-wrap-distance-top:0.0pt;mso-wrap-distance-right:0.0pt;mso-wrap-distance-bottom:0.0pt;width:481.8pt;height:172.2pt;" stroked="f">
                <v:path textboxrect="0,0,0,0"/>
                <v:imagedata r:id="rId322" o:title=""/>
              </v:shape>
            </w:pict>
          </mc:Fallback>
        </mc:AlternateContent>
      </w:r>
      <w:r/>
    </w:p>
    <w:p>
      <w:pPr>
        <w:pStyle w:val="983"/>
      </w:pPr>
      <w:r>
        <w:fldChar w:fldCharType="begin"/>
      </w:r>
      <w:r>
        <w:instrText xml:space="preserve"> SEQ Рисунок \* ARABIC </w:instrText>
      </w:r>
      <w:r>
        <w:fldChar w:fldCharType="separate"/>
      </w:r>
      <w:bookmarkStart w:id="1656" w:name="_Ref447031087"/>
      <w:r/>
      <w:bookmarkStart w:id="1657" w:name="_Toc88819625"/>
      <w:r>
        <w:t xml:space="preserve">240</w:t>
      </w:r>
      <w:bookmarkEnd w:id="1656"/>
      <w:r>
        <w:fldChar w:fldCharType="end"/>
      </w:r>
      <w:r>
        <w:t xml:space="preserve">. ЭФ документа </w:t>
      </w:r>
      <w:r>
        <w:t xml:space="preserve">«</w:t>
      </w:r>
      <w:r>
        <w:t xml:space="preserve">Отчеты</w:t>
      </w:r>
      <w:r>
        <w:t xml:space="preserve">», закладки «</w:t>
      </w:r>
      <w:r>
        <w:t xml:space="preserve">Вложения</w:t>
      </w:r>
      <w:r>
        <w:t xml:space="preserve">»</w:t>
      </w:r>
      <w:bookmarkEnd w:id="1657"/>
      <w:r/>
      <w:r/>
    </w:p>
    <w:p>
      <w:pPr>
        <w:pStyle w:val="994"/>
      </w:pPr>
      <w:r>
        <w:t xml:space="preserve">Для просмотра вложенного отчета нужно на закладке </w:t>
      </w:r>
      <w:r>
        <w:t xml:space="preserve">«</w:t>
      </w:r>
      <w:r>
        <w:t xml:space="preserve">Вложени</w:t>
      </w:r>
      <w:r>
        <w:t xml:space="preserve">я</w:t>
      </w:r>
      <w:r>
        <w:t xml:space="preserve">»</w:t>
      </w:r>
      <w:r>
        <w:t xml:space="preserve"> нажать кнопку</w:t>
      </w:r>
      <w:r>
        <w:t xml:space="preserve"> </w:t>
      </w:r>
      <w:r>
        <mc:AlternateContent>
          <mc:Choice Requires="wpg">
            <w:drawing>
              <wp:inline xmlns:wp="http://schemas.openxmlformats.org/drawingml/2006/wordprocessingDrawing" distT="0" distB="0" distL="0" distR="0">
                <wp:extent cx="274320" cy="274320"/>
                <wp:effectExtent l="0" t="0" r="0" b="0"/>
                <wp:docPr id="36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97"/>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0" o:spid="_x0000_s360" type="#_x0000_t75" style="mso-wrap-distance-left:0.0pt;mso-wrap-distance-top:0.0pt;mso-wrap-distance-right:0.0pt;mso-wrap-distance-bottom:0.0pt;width:21.6pt;height:21.6pt;" stroked="f">
                <v:path textboxrect="0,0,0,0"/>
                <v:imagedata r:id="rId297" o:title=""/>
              </v:shape>
            </w:pict>
          </mc:Fallback>
        </mc:AlternateContent>
      </w:r>
      <w:r>
        <w:t xml:space="preserve"> </w:t>
      </w:r>
      <w:r>
        <w:t xml:space="preserve">(</w:t>
      </w:r>
      <w:r>
        <w:t xml:space="preserve">Просмотреть</w:t>
      </w:r>
      <w:r>
        <w:t xml:space="preserve">)</w:t>
      </w:r>
      <w:r>
        <w:t xml:space="preserve">. Для просмотра информации о файле нужно нажать на кнопку </w:t>
      </w:r>
      <w:r>
        <mc:AlternateContent>
          <mc:Choice Requires="wpg">
            <w:drawing>
              <wp:inline xmlns:wp="http://schemas.openxmlformats.org/drawingml/2006/wordprocessingDrawing" distT="0" distB="0" distL="0" distR="0">
                <wp:extent cx="274320" cy="274320"/>
                <wp:effectExtent l="0" t="0" r="0" b="0"/>
                <wp:docPr id="36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98"/>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1" o:spid="_x0000_s361" type="#_x0000_t75" style="mso-wrap-distance-left:0.0pt;mso-wrap-distance-top:0.0pt;mso-wrap-distance-right:0.0pt;mso-wrap-distance-bottom:0.0pt;width:21.6pt;height:21.6pt;" stroked="f">
                <v:path textboxrect="0,0,0,0"/>
                <v:imagedata r:id="rId298" o:title=""/>
              </v:shape>
            </w:pict>
          </mc:Fallback>
        </mc:AlternateContent>
      </w:r>
      <w:r>
        <w:t xml:space="preserve"> </w:t>
      </w:r>
      <w:r>
        <w:t xml:space="preserve">(</w:t>
      </w:r>
      <w:r>
        <w:t xml:space="preserve">Пр</w:t>
      </w:r>
      <w:r>
        <w:t xml:space="preserve">о</w:t>
      </w:r>
      <w:r>
        <w:t xml:space="preserve">смотреть информацию о вложении</w:t>
      </w:r>
      <w:r>
        <w:t xml:space="preserve">)</w:t>
      </w:r>
      <w:r>
        <w:t xml:space="preserve">. Для сохранения файла под другим именем необходимо нажать на кнопку </w:t>
      </w:r>
      <w:r>
        <mc:AlternateContent>
          <mc:Choice Requires="wpg">
            <w:drawing>
              <wp:inline xmlns:wp="http://schemas.openxmlformats.org/drawingml/2006/wordprocessingDrawing" distT="0" distB="0" distL="0" distR="0">
                <wp:extent cx="274320" cy="274320"/>
                <wp:effectExtent l="0" t="0" r="0" b="0"/>
                <wp:docPr id="36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99"/>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2" o:spid="_x0000_s362" type="#_x0000_t75" style="mso-wrap-distance-left:0.0pt;mso-wrap-distance-top:0.0pt;mso-wrap-distance-right:0.0pt;mso-wrap-distance-bottom:0.0pt;width:21.6pt;height:21.6pt;" stroked="f">
                <v:path textboxrect="0,0,0,0"/>
                <v:imagedata r:id="rId299" o:title=""/>
              </v:shape>
            </w:pict>
          </mc:Fallback>
        </mc:AlternateContent>
      </w:r>
      <w:r>
        <w:t xml:space="preserve"> </w:t>
      </w:r>
      <w:r>
        <w:t xml:space="preserve">(</w:t>
      </w:r>
      <w:r>
        <w:t xml:space="preserve">Сохран</w:t>
      </w:r>
      <w:r>
        <w:t xml:space="preserve">ить</w:t>
      </w:r>
      <w:r>
        <w:t xml:space="preserve">)</w:t>
      </w:r>
      <w:r>
        <w:t xml:space="preserve">. Распечатать файл отчета можно посредством кно</w:t>
      </w:r>
      <w:r>
        <w:t xml:space="preserve">п</w:t>
      </w:r>
      <w:r>
        <w:t xml:space="preserve">ки </w:t>
      </w:r>
      <w:r>
        <mc:AlternateContent>
          <mc:Choice Requires="wpg">
            <w:drawing>
              <wp:inline xmlns:wp="http://schemas.openxmlformats.org/drawingml/2006/wordprocessingDrawing" distT="0" distB="0" distL="0" distR="0">
                <wp:extent cx="274320" cy="274320"/>
                <wp:effectExtent l="0" t="0" r="0" b="0"/>
                <wp:docPr id="36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00"/>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3" o:spid="_x0000_s363" type="#_x0000_t75" style="mso-wrap-distance-left:0.0pt;mso-wrap-distance-top:0.0pt;mso-wrap-distance-right:0.0pt;mso-wrap-distance-bottom:0.0pt;width:21.6pt;height:21.6pt;" stroked="f">
                <v:path textboxrect="0,0,0,0"/>
                <v:imagedata r:id="rId300" o:title=""/>
              </v:shape>
            </w:pict>
          </mc:Fallback>
        </mc:AlternateContent>
      </w:r>
      <w:r>
        <w:t xml:space="preserve"> </w:t>
      </w:r>
      <w:r>
        <w:t xml:space="preserve">(</w:t>
      </w:r>
      <w:r>
        <w:t xml:space="preserve">Напеч</w:t>
      </w:r>
      <w:r>
        <w:t xml:space="preserve">а</w:t>
      </w:r>
      <w:r>
        <w:t xml:space="preserve">тать</w:t>
      </w:r>
      <w:r>
        <w:t xml:space="preserve">)</w:t>
      </w:r>
      <w:r>
        <w:t xml:space="preserve">.</w:t>
      </w:r>
      <w:r/>
    </w:p>
    <w:p>
      <w:pPr>
        <w:pStyle w:val="994"/>
      </w:pPr>
      <w:r>
        <w:t xml:space="preserve">Перечень полей документа </w:t>
      </w:r>
      <w:r>
        <w:t xml:space="preserve">«</w:t>
      </w:r>
      <w:r>
        <w:t xml:space="preserve">Отчеты</w:t>
      </w:r>
      <w:r>
        <w:t xml:space="preserve">», закладки «</w:t>
      </w:r>
      <w:r>
        <w:t xml:space="preserve">Вложения</w:t>
      </w:r>
      <w:r>
        <w:t xml:space="preserve">»</w:t>
      </w:r>
      <w:r>
        <w:t xml:space="preserve"> приведен в таблице</w:t>
      </w:r>
      <w:r>
        <w:t xml:space="preserve"> </w:t>
      </w:r>
      <w:r>
        <w:fldChar w:fldCharType="begin"/>
      </w:r>
      <w:r>
        <w:instrText xml:space="preserve"> REF _Ref413926232 \h </w:instrText>
      </w:r>
      <w:r>
        <w:fldChar w:fldCharType="separate"/>
      </w:r>
      <w:r>
        <w:t xml:space="preserve">132</w:t>
      </w:r>
      <w:r>
        <w:fldChar w:fldCharType="end"/>
      </w:r>
      <w:r>
        <w:t xml:space="preserve">. Значения полей передаются из </w:t>
      </w:r>
      <w:r>
        <w:t xml:space="preserve">OEBS</w:t>
      </w:r>
      <w:r>
        <w:t xml:space="preserve"> и недоступны для редактирования.</w:t>
      </w:r>
      <w:r/>
    </w:p>
    <w:p>
      <w:pPr>
        <w:pStyle w:val="993"/>
      </w:pPr>
      <w:r>
        <w:fldChar w:fldCharType="begin"/>
      </w:r>
      <w:r>
        <w:instrText xml:space="preserve"> SEQ Таблица \* ARABIC </w:instrText>
      </w:r>
      <w:r>
        <w:fldChar w:fldCharType="separate"/>
      </w:r>
      <w:bookmarkStart w:id="1658" w:name="_Ref413926232"/>
      <w:r/>
      <w:bookmarkStart w:id="1659" w:name="_Toc88819319"/>
      <w:r>
        <w:t xml:space="preserve">132</w:t>
      </w:r>
      <w:bookmarkEnd w:id="1658"/>
      <w:r>
        <w:fldChar w:fldCharType="end"/>
      </w:r>
      <w:r>
        <w:t xml:space="preserve">. Описание полей документа </w:t>
      </w:r>
      <w:r>
        <w:t xml:space="preserve">«</w:t>
      </w:r>
      <w:r>
        <w:t xml:space="preserve">Отчеты</w:t>
      </w:r>
      <w:r>
        <w:t xml:space="preserve">», закладки «</w:t>
      </w:r>
      <w:r>
        <w:t xml:space="preserve">Вложения</w:t>
      </w:r>
      <w:r>
        <w:t xml:space="preserve">»</w:t>
      </w:r>
      <w:bookmarkEnd w:id="1659"/>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4026"/>
        <w:gridCol w:w="5726"/>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06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936" w:type="pct"/>
            <w:vAlign w:val="center"/>
            <w:textDirection w:val="lrTb"/>
            <w:noWrap w:val="false"/>
          </w:tcPr>
          <w:p>
            <w:pPr>
              <w:pStyle w:val="1006"/>
            </w:pPr>
            <w:r>
              <w:t xml:space="preserve">Описание поля</w:t>
            </w:r>
            <w:r/>
          </w:p>
        </w:tc>
      </w:tr>
      <w:tr>
        <w:trPr/>
        <w:tc>
          <w:tcPr>
            <w:shd w:val="clear" w:fill="auto" w:color="auto"/>
            <w:tcW w:w="2064" w:type="pct"/>
            <w:textDirection w:val="lrTb"/>
            <w:noWrap w:val="false"/>
          </w:tcPr>
          <w:p>
            <w:pPr>
              <w:pStyle w:val="1005"/>
              <w:ind w:left="57" w:right="57"/>
            </w:pPr>
            <w:r>
              <w:t xml:space="preserve">Тип</w:t>
            </w:r>
            <w:r/>
          </w:p>
        </w:tc>
        <w:tc>
          <w:tcPr>
            <w:shd w:val="clear" w:fill="auto" w:color="auto"/>
            <w:tcW w:w="2936" w:type="pct"/>
            <w:textDirection w:val="lrTb"/>
            <w:noWrap w:val="false"/>
          </w:tcPr>
          <w:p>
            <w:pPr>
              <w:pStyle w:val="1005"/>
              <w:ind w:left="57" w:right="57"/>
            </w:pPr>
            <w:r>
              <w:t xml:space="preserve">Тип </w:t>
            </w:r>
            <w:r>
              <w:t xml:space="preserve">содержимого</w:t>
            </w:r>
            <w:r>
              <w:t xml:space="preserve">.</w:t>
            </w:r>
            <w:r/>
          </w:p>
        </w:tc>
      </w:tr>
      <w:tr>
        <w:trPr/>
        <w:tc>
          <w:tcPr>
            <w:shd w:val="clear" w:fill="auto" w:color="auto"/>
            <w:tcW w:w="2064" w:type="pct"/>
            <w:textDirection w:val="lrTb"/>
            <w:noWrap w:val="false"/>
          </w:tcPr>
          <w:p>
            <w:pPr>
              <w:pStyle w:val="1005"/>
              <w:ind w:left="57" w:right="57"/>
            </w:pPr>
            <w:r>
              <w:t xml:space="preserve">Дата</w:t>
            </w:r>
            <w:r/>
          </w:p>
        </w:tc>
        <w:tc>
          <w:tcPr>
            <w:shd w:val="clear" w:fill="auto" w:color="auto"/>
            <w:tcW w:w="2936" w:type="pct"/>
            <w:textDirection w:val="lrTb"/>
            <w:noWrap w:val="false"/>
          </w:tcPr>
          <w:p>
            <w:pPr>
              <w:pStyle w:val="1005"/>
              <w:ind w:left="57" w:right="57"/>
            </w:pPr>
            <w:r>
              <w:t xml:space="preserve">Дата </w:t>
            </w:r>
            <w:r>
              <w:t xml:space="preserve">документа</w:t>
            </w:r>
            <w:r>
              <w:t xml:space="preserve">.</w:t>
            </w:r>
            <w:r/>
          </w:p>
        </w:tc>
      </w:tr>
      <w:tr>
        <w:trPr/>
        <w:tc>
          <w:tcPr>
            <w:shd w:val="clear" w:fill="auto" w:color="auto"/>
            <w:tcW w:w="2064" w:type="pct"/>
            <w:textDirection w:val="lrTb"/>
            <w:noWrap w:val="false"/>
          </w:tcPr>
          <w:p>
            <w:pPr>
              <w:pStyle w:val="1005"/>
              <w:ind w:left="57" w:right="57"/>
            </w:pPr>
            <w:r>
              <w:t xml:space="preserve">Документ</w:t>
            </w:r>
            <w:r/>
          </w:p>
        </w:tc>
        <w:tc>
          <w:tcPr>
            <w:shd w:val="clear" w:fill="auto" w:color="auto"/>
            <w:tcW w:w="2936" w:type="pct"/>
            <w:textDirection w:val="lrTb"/>
            <w:noWrap w:val="false"/>
          </w:tcPr>
          <w:p>
            <w:pPr>
              <w:pStyle w:val="1005"/>
              <w:ind w:left="57" w:right="57"/>
            </w:pPr>
            <w:r>
              <w:t xml:space="preserve">Документ.</w:t>
            </w:r>
            <w:r/>
          </w:p>
        </w:tc>
      </w:tr>
      <w:tr>
        <w:trPr/>
        <w:tc>
          <w:tcPr>
            <w:shd w:val="clear" w:fill="auto" w:color="auto"/>
            <w:tcW w:w="2064" w:type="pct"/>
            <w:textDirection w:val="lrTb"/>
            <w:noWrap w:val="false"/>
          </w:tcPr>
          <w:p>
            <w:pPr>
              <w:pStyle w:val="1005"/>
              <w:ind w:left="57" w:right="57"/>
            </w:pPr>
            <w:r>
              <w:t xml:space="preserve">GUID</w:t>
            </w:r>
            <w:r/>
          </w:p>
        </w:tc>
        <w:tc>
          <w:tcPr>
            <w:shd w:val="clear" w:fill="auto" w:color="auto"/>
            <w:tcW w:w="2936" w:type="pct"/>
            <w:textDirection w:val="lrTb"/>
            <w:noWrap w:val="false"/>
          </w:tcPr>
          <w:p>
            <w:pPr>
              <w:pStyle w:val="1005"/>
              <w:ind w:left="57" w:right="57"/>
            </w:pPr>
            <w:r>
              <w:t xml:space="preserve">ГУИД</w:t>
            </w:r>
            <w:r>
              <w:t xml:space="preserve"> вложения</w:t>
            </w:r>
            <w:r>
              <w:t xml:space="preserve"> </w:t>
            </w:r>
            <w:r>
              <w:t xml:space="preserve">с первичным д</w:t>
            </w:r>
            <w:r>
              <w:t xml:space="preserve">о</w:t>
            </w:r>
            <w:r>
              <w:t xml:space="preserve">кументом</w:t>
            </w:r>
            <w:r>
              <w:t xml:space="preserve">.</w:t>
            </w:r>
            <w:r/>
          </w:p>
        </w:tc>
      </w:tr>
      <w:tr>
        <w:trPr/>
        <w:tc>
          <w:tcPr>
            <w:shd w:val="clear" w:fill="auto" w:color="auto"/>
            <w:tcW w:w="2064" w:type="pct"/>
            <w:textDirection w:val="lrTb"/>
            <w:noWrap w:val="false"/>
          </w:tcPr>
          <w:p>
            <w:pPr>
              <w:pStyle w:val="1005"/>
              <w:ind w:left="57" w:right="57"/>
            </w:pPr>
            <w:r>
              <w:t xml:space="preserve">Файл</w:t>
            </w:r>
            <w:r/>
          </w:p>
        </w:tc>
        <w:tc>
          <w:tcPr>
            <w:shd w:val="clear" w:fill="auto" w:color="auto"/>
            <w:tcW w:w="2936" w:type="pct"/>
            <w:textDirection w:val="lrTb"/>
            <w:noWrap w:val="false"/>
          </w:tcPr>
          <w:p>
            <w:pPr>
              <w:pStyle w:val="1005"/>
              <w:ind w:left="57" w:right="57"/>
            </w:pPr>
            <w:r>
              <w:t xml:space="preserve">Имя файла</w:t>
            </w:r>
            <w:r>
              <w:t xml:space="preserve">.</w:t>
            </w:r>
            <w:r/>
          </w:p>
        </w:tc>
      </w:tr>
      <w:tr>
        <w:trPr/>
        <w:tc>
          <w:tcPr>
            <w:shd w:val="clear" w:fill="auto" w:color="auto"/>
            <w:tcW w:w="2064" w:type="pct"/>
            <w:textDirection w:val="lrTb"/>
            <w:noWrap w:val="false"/>
          </w:tcPr>
          <w:p>
            <w:pPr>
              <w:pStyle w:val="1005"/>
              <w:ind w:left="57" w:right="57"/>
            </w:pPr>
            <w:r>
              <w:t xml:space="preserve">Размер</w:t>
            </w:r>
            <w:r/>
          </w:p>
        </w:tc>
        <w:tc>
          <w:tcPr>
            <w:shd w:val="clear" w:fill="auto" w:color="auto"/>
            <w:tcW w:w="2936" w:type="pct"/>
            <w:textDirection w:val="lrTb"/>
            <w:noWrap w:val="false"/>
          </w:tcPr>
          <w:p>
            <w:pPr>
              <w:pStyle w:val="1005"/>
              <w:ind w:left="57" w:right="57"/>
            </w:pPr>
            <w:r>
              <w:t xml:space="preserve">Размер вложения.</w:t>
            </w:r>
            <w:r/>
          </w:p>
        </w:tc>
      </w:tr>
      <w:tr>
        <w:trPr/>
        <w:tc>
          <w:tcPr>
            <w:shd w:val="clear" w:fill="auto" w:color="auto"/>
            <w:tcW w:w="2064" w:type="pct"/>
            <w:textDirection w:val="lrTb"/>
            <w:noWrap w:val="false"/>
          </w:tcPr>
          <w:p>
            <w:pPr>
              <w:pStyle w:val="1005"/>
              <w:ind w:left="57" w:right="57"/>
            </w:pPr>
            <w:r>
              <w:t xml:space="preserve">Бизнес-тип</w:t>
            </w:r>
            <w:r/>
          </w:p>
        </w:tc>
        <w:tc>
          <w:tcPr>
            <w:shd w:val="clear" w:fill="auto" w:color="auto"/>
            <w:tcW w:w="2936" w:type="pct"/>
            <w:textDirection w:val="lrTb"/>
            <w:noWrap w:val="false"/>
          </w:tcPr>
          <w:p>
            <w:pPr>
              <w:pStyle w:val="1005"/>
              <w:ind w:left="57" w:right="57"/>
            </w:pPr>
            <w:r>
              <w:t xml:space="preserve">Бизнес-тип вложения.</w:t>
            </w:r>
            <w:r/>
          </w:p>
        </w:tc>
      </w:tr>
      <w:tr>
        <w:trPr/>
        <w:tc>
          <w:tcPr>
            <w:shd w:val="clear" w:fill="auto" w:color="auto"/>
            <w:tcW w:w="2064" w:type="pct"/>
            <w:textDirection w:val="lrTb"/>
            <w:noWrap w:val="false"/>
          </w:tcPr>
          <w:p>
            <w:pPr>
              <w:pStyle w:val="1005"/>
              <w:ind w:left="57" w:right="57"/>
            </w:pPr>
            <w:r>
              <w:t xml:space="preserve">ID</w:t>
            </w:r>
            <w:r/>
          </w:p>
        </w:tc>
        <w:tc>
          <w:tcPr>
            <w:shd w:val="clear" w:fill="auto" w:color="auto"/>
            <w:tcW w:w="2936" w:type="pct"/>
            <w:textDirection w:val="lrTb"/>
            <w:noWrap w:val="false"/>
          </w:tcPr>
          <w:p>
            <w:pPr>
              <w:pStyle w:val="1005"/>
              <w:ind w:left="57" w:right="57"/>
            </w:pPr>
            <w:r>
              <w:t xml:space="preserve">ID вложения.</w:t>
            </w:r>
            <w:r/>
          </w:p>
        </w:tc>
      </w:tr>
    </w:tbl>
    <w:p>
      <w:pPr>
        <w:pStyle w:val="994"/>
      </w:pPr>
      <w:r>
        <w:t xml:space="preserve">ЭФ документа </w:t>
      </w:r>
      <w:r>
        <w:t xml:space="preserve">«</w:t>
      </w:r>
      <w:r>
        <w:t xml:space="preserve">Отчеты</w:t>
      </w:r>
      <w:r>
        <w:t xml:space="preserve">», закладки «</w:t>
      </w:r>
      <w:r>
        <w:t xml:space="preserve">Реестр вложений первичных документов</w:t>
      </w:r>
      <w:r>
        <w:t xml:space="preserve">»</w:t>
      </w:r>
      <w:r>
        <w:t xml:space="preserve"> пре</w:t>
      </w:r>
      <w:r>
        <w:t xml:space="preserve">д</w:t>
      </w:r>
      <w:r>
        <w:t xml:space="preserve">ставлена на рисунке</w:t>
      </w:r>
      <w:r>
        <w:t xml:space="preserve"> </w:t>
      </w:r>
      <w:r>
        <w:fldChar w:fldCharType="begin"/>
      </w:r>
      <w:r>
        <w:instrText xml:space="preserve"> REF _Ref415133048 \h </w:instrText>
      </w:r>
      <w:r>
        <w:fldChar w:fldCharType="separate"/>
      </w:r>
      <w:r>
        <w:t xml:space="preserve">241</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2301240"/>
                <wp:effectExtent l="0" t="0" r="0" b="0"/>
                <wp:docPr id="36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23"/>
                        <a:stretch/>
                      </pic:blipFill>
                      <pic:spPr bwMode="auto">
                        <a:xfrm>
                          <a:off x="0" y="0"/>
                          <a:ext cx="6118860" cy="23012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4" o:spid="_x0000_s364" type="#_x0000_t75" style="mso-wrap-distance-left:0.0pt;mso-wrap-distance-top:0.0pt;mso-wrap-distance-right:0.0pt;mso-wrap-distance-bottom:0.0pt;width:481.8pt;height:181.2pt;" stroked="f">
                <v:path textboxrect="0,0,0,0"/>
                <v:imagedata r:id="rId323" o:title=""/>
              </v:shape>
            </w:pict>
          </mc:Fallback>
        </mc:AlternateContent>
      </w:r>
      <w:r/>
    </w:p>
    <w:p>
      <w:pPr>
        <w:pStyle w:val="983"/>
      </w:pPr>
      <w:r>
        <w:fldChar w:fldCharType="begin"/>
      </w:r>
      <w:r>
        <w:instrText xml:space="preserve"> SEQ Рисунок \* ARABIC </w:instrText>
      </w:r>
      <w:r>
        <w:fldChar w:fldCharType="separate"/>
      </w:r>
      <w:bookmarkStart w:id="1660" w:name="_Ref415133048"/>
      <w:r/>
      <w:bookmarkStart w:id="1661" w:name="_Toc88819626"/>
      <w:r>
        <w:t xml:space="preserve">241</w:t>
      </w:r>
      <w:bookmarkEnd w:id="1660"/>
      <w:r>
        <w:fldChar w:fldCharType="end"/>
      </w:r>
      <w:r>
        <w:t xml:space="preserve">. ЭФ документа </w:t>
      </w:r>
      <w:r>
        <w:t xml:space="preserve">«</w:t>
      </w:r>
      <w:r>
        <w:t xml:space="preserve">Отчеты</w:t>
      </w:r>
      <w:r>
        <w:t xml:space="preserve">», закладки «</w:t>
      </w:r>
      <w:r>
        <w:t xml:space="preserve">Реестр вложений первичных документов</w:t>
      </w:r>
      <w:r>
        <w:t xml:space="preserve">»</w:t>
      </w:r>
      <w:bookmarkEnd w:id="1661"/>
      <w:r/>
      <w:r/>
    </w:p>
    <w:p>
      <w:pPr>
        <w:pStyle w:val="994"/>
      </w:pPr>
      <w:r>
        <w:t xml:space="preserve">Вложенная таблица </w:t>
      </w:r>
      <w:r>
        <w:t xml:space="preserve">на закладке </w:t>
      </w:r>
      <w:r>
        <w:t xml:space="preserve">«</w:t>
      </w:r>
      <w:r>
        <w:t xml:space="preserve">Реестр вложений первичных документов</w:t>
      </w:r>
      <w:r>
        <w:t xml:space="preserve">»</w:t>
      </w:r>
      <w:r>
        <w:t xml:space="preserve"> преобраз</w:t>
      </w:r>
      <w:r>
        <w:t xml:space="preserve">о</w:t>
      </w:r>
      <w:r>
        <w:t xml:space="preserve">вывается из документа-вложения </w:t>
      </w:r>
      <w:r>
        <w:t xml:space="preserve">«</w:t>
      </w:r>
      <w:r>
        <w:t xml:space="preserve">Реестр вложений</w:t>
      </w:r>
      <w:r>
        <w:t xml:space="preserve">»</w:t>
      </w:r>
      <w:r>
        <w:t xml:space="preserve">. Для сохранения вложения под другим именем необходимо нажать на кнопку </w:t>
      </w:r>
      <w:r>
        <mc:AlternateContent>
          <mc:Choice Requires="wpg">
            <w:drawing>
              <wp:inline xmlns:wp="http://schemas.openxmlformats.org/drawingml/2006/wordprocessingDrawing" distT="0" distB="0" distL="0" distR="0">
                <wp:extent cx="274320" cy="274320"/>
                <wp:effectExtent l="0" t="0" r="0" b="0"/>
                <wp:docPr id="36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99"/>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5" o:spid="_x0000_s365" type="#_x0000_t75" style="mso-wrap-distance-left:0.0pt;mso-wrap-distance-top:0.0pt;mso-wrap-distance-right:0.0pt;mso-wrap-distance-bottom:0.0pt;width:21.6pt;height:21.6pt;" stroked="f">
                <v:path textboxrect="0,0,0,0"/>
                <v:imagedata r:id="rId299" o:title=""/>
              </v:shape>
            </w:pict>
          </mc:Fallback>
        </mc:AlternateContent>
      </w:r>
      <w:r>
        <w:t xml:space="preserve"> </w:t>
      </w:r>
      <w:r>
        <w:t xml:space="preserve">(</w:t>
      </w:r>
      <w:r>
        <w:t xml:space="preserve">Сохранить вложение</w:t>
      </w:r>
      <w:r>
        <w:t xml:space="preserve">)</w:t>
      </w:r>
      <w:r>
        <w:t xml:space="preserve">. Для проверки подписи вложенного отчета нужно нажать кнопку </w:t>
      </w:r>
      <w:r>
        <mc:AlternateContent>
          <mc:Choice Requires="wpg">
            <w:drawing>
              <wp:inline xmlns:wp="http://schemas.openxmlformats.org/drawingml/2006/wordprocessingDrawing" distT="0" distB="0" distL="0" distR="0">
                <wp:extent cx="274320" cy="274320"/>
                <wp:effectExtent l="0" t="0" r="0" b="0"/>
                <wp:docPr id="36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24"/>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6" o:spid="_x0000_s366" type="#_x0000_t75" style="mso-wrap-distance-left:0.0pt;mso-wrap-distance-top:0.0pt;mso-wrap-distance-right:0.0pt;mso-wrap-distance-bottom:0.0pt;width:21.6pt;height:21.6pt;" stroked="f">
                <v:path textboxrect="0,0,0,0"/>
                <v:imagedata r:id="rId324" o:title=""/>
              </v:shape>
            </w:pict>
          </mc:Fallback>
        </mc:AlternateContent>
      </w:r>
      <w:r>
        <w:t xml:space="preserve"> </w:t>
      </w:r>
      <w:r>
        <w:t xml:space="preserve">(</w:t>
      </w:r>
      <w:r>
        <w:t xml:space="preserve">Проверить подпись вложений</w:t>
      </w:r>
      <w:r>
        <w:t xml:space="preserve">)</w:t>
      </w:r>
      <w:r>
        <w:t xml:space="preserve">. Распечатать файл отчета можно посредством кнопки </w:t>
      </w:r>
      <w:r>
        <mc:AlternateContent>
          <mc:Choice Requires="wpg">
            <w:drawing>
              <wp:inline xmlns:wp="http://schemas.openxmlformats.org/drawingml/2006/wordprocessingDrawing" distT="0" distB="0" distL="0" distR="0">
                <wp:extent cx="274320" cy="274320"/>
                <wp:effectExtent l="0" t="0" r="0" b="0"/>
                <wp:docPr id="36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00"/>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7" o:spid="_x0000_s367" type="#_x0000_t75" style="mso-wrap-distance-left:0.0pt;mso-wrap-distance-top:0.0pt;mso-wrap-distance-right:0.0pt;mso-wrap-distance-bottom:0.0pt;width:21.6pt;height:21.6pt;" stroked="f">
                <v:path textboxrect="0,0,0,0"/>
                <v:imagedata r:id="rId300" o:title=""/>
              </v:shape>
            </w:pict>
          </mc:Fallback>
        </mc:AlternateContent>
      </w:r>
      <w:r>
        <w:t xml:space="preserve"> </w:t>
      </w:r>
      <w:r>
        <w:t xml:space="preserve">(</w:t>
      </w:r>
      <w:r>
        <w:t xml:space="preserve">Напечатать вложения</w:t>
      </w:r>
      <w:r>
        <w:t xml:space="preserve">)</w:t>
      </w:r>
      <w:r>
        <w:t xml:space="preserve">.</w:t>
      </w:r>
      <w:r/>
    </w:p>
    <w:p>
      <w:pPr>
        <w:pStyle w:val="994"/>
      </w:pPr>
      <w:r>
        <w:t xml:space="preserve">Перечень полей документа </w:t>
      </w:r>
      <w:r>
        <w:t xml:space="preserve">«</w:t>
      </w:r>
      <w:r>
        <w:t xml:space="preserve">Отчеты</w:t>
      </w:r>
      <w:r>
        <w:t xml:space="preserve">», закладки «</w:t>
      </w:r>
      <w:r>
        <w:t xml:space="preserve">Реестр вложений первичных докуме</w:t>
      </w:r>
      <w:r>
        <w:t xml:space="preserve">н</w:t>
      </w:r>
      <w:r>
        <w:t xml:space="preserve">тов</w:t>
      </w:r>
      <w:r>
        <w:t xml:space="preserve">»</w:t>
      </w:r>
      <w:r>
        <w:t xml:space="preserve"> приведен в таблице </w:t>
      </w:r>
      <w:r>
        <w:fldChar w:fldCharType="begin"/>
      </w:r>
      <w:r>
        <w:instrText xml:space="preserve"> REF _Ref415133077 \h </w:instrText>
      </w:r>
      <w:r>
        <w:fldChar w:fldCharType="separate"/>
      </w:r>
      <w:r>
        <w:t xml:space="preserve">133</w:t>
      </w:r>
      <w:r>
        <w:fldChar w:fldCharType="end"/>
      </w:r>
      <w:r>
        <w:t xml:space="preserve">. Значения полей передаются из </w:t>
      </w:r>
      <w:r>
        <w:t xml:space="preserve">OEBS</w:t>
      </w:r>
      <w:r>
        <w:t xml:space="preserve"> и недоступны для реда</w:t>
      </w:r>
      <w:r>
        <w:t xml:space="preserve">к</w:t>
      </w:r>
      <w:r>
        <w:t xml:space="preserve">тирования.</w:t>
      </w:r>
      <w:r/>
    </w:p>
    <w:p>
      <w:pPr>
        <w:pStyle w:val="993"/>
      </w:pPr>
      <w:r>
        <w:fldChar w:fldCharType="begin"/>
      </w:r>
      <w:r>
        <w:instrText xml:space="preserve"> SEQ Таблица \* ARABIC </w:instrText>
      </w:r>
      <w:r>
        <w:fldChar w:fldCharType="separate"/>
      </w:r>
      <w:bookmarkStart w:id="1662" w:name="_Ref415133077"/>
      <w:r/>
      <w:bookmarkStart w:id="1663" w:name="_Toc88819320"/>
      <w:r>
        <w:t xml:space="preserve">133</w:t>
      </w:r>
      <w:bookmarkEnd w:id="1662"/>
      <w:r>
        <w:fldChar w:fldCharType="end"/>
      </w:r>
      <w:r>
        <w:t xml:space="preserve">. Описание полей документа </w:t>
      </w:r>
      <w:r>
        <w:t xml:space="preserve">«</w:t>
      </w:r>
      <w:r>
        <w:t xml:space="preserve">Отчеты</w:t>
      </w:r>
      <w:r>
        <w:t xml:space="preserve">», закладки «</w:t>
      </w:r>
      <w:r>
        <w:t xml:space="preserve">Реестр вложений первичных документов»</w:t>
      </w:r>
      <w:bookmarkEnd w:id="1663"/>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4166"/>
        <w:gridCol w:w="5586"/>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136"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864" w:type="pct"/>
            <w:vAlign w:val="center"/>
            <w:textDirection w:val="lrTb"/>
            <w:noWrap w:val="false"/>
          </w:tcPr>
          <w:p>
            <w:pPr>
              <w:pStyle w:val="1006"/>
            </w:pPr>
            <w:r>
              <w:t xml:space="preserve">Описание поля</w:t>
            </w:r>
            <w:r/>
          </w:p>
        </w:tc>
      </w:tr>
      <w:tr>
        <w:trPr/>
        <w:tc>
          <w:tcPr>
            <w:shd w:val="clear" w:fill="auto" w:color="auto"/>
            <w:tcW w:w="2136" w:type="pct"/>
            <w:textDirection w:val="lrTb"/>
            <w:noWrap w:val="false"/>
          </w:tcPr>
          <w:p>
            <w:pPr>
              <w:pStyle w:val="1005"/>
              <w:ind w:left="57" w:right="57"/>
            </w:pPr>
            <w:r>
              <w:t xml:space="preserve">Краткое наименование документа</w:t>
            </w:r>
            <w:r/>
          </w:p>
        </w:tc>
        <w:tc>
          <w:tcPr>
            <w:shd w:val="clear" w:fill="auto" w:color="auto"/>
            <w:tcW w:w="2864" w:type="pct"/>
            <w:textDirection w:val="lrTb"/>
            <w:noWrap w:val="false"/>
          </w:tcPr>
          <w:p>
            <w:pPr>
              <w:pStyle w:val="1005"/>
              <w:ind w:left="57" w:right="57"/>
            </w:pPr>
            <w:r>
              <w:t xml:space="preserve">Краткое наименование вложенного документа.</w:t>
            </w:r>
            <w:r/>
          </w:p>
        </w:tc>
      </w:tr>
      <w:tr>
        <w:trPr/>
        <w:tc>
          <w:tcPr>
            <w:shd w:val="clear" w:fill="auto" w:color="auto"/>
            <w:tcW w:w="2136" w:type="pct"/>
            <w:textDirection w:val="lrTb"/>
            <w:noWrap w:val="false"/>
          </w:tcPr>
          <w:p>
            <w:pPr>
              <w:pStyle w:val="1005"/>
              <w:ind w:left="57" w:right="57"/>
            </w:pPr>
            <w:r>
              <w:t xml:space="preserve">Тип документа</w:t>
            </w:r>
            <w:r/>
          </w:p>
        </w:tc>
        <w:tc>
          <w:tcPr>
            <w:shd w:val="clear" w:fill="auto" w:color="auto"/>
            <w:tcW w:w="2864" w:type="pct"/>
            <w:textDirection w:val="lrTb"/>
            <w:noWrap w:val="false"/>
          </w:tcPr>
          <w:p>
            <w:pPr>
              <w:pStyle w:val="1005"/>
              <w:ind w:left="57" w:right="57"/>
            </w:pPr>
            <w:r>
              <w:t xml:space="preserve">Тип вложенного документа.</w:t>
            </w:r>
            <w:r/>
          </w:p>
        </w:tc>
      </w:tr>
      <w:tr>
        <w:trPr/>
        <w:tc>
          <w:tcPr>
            <w:shd w:val="clear" w:fill="auto" w:color="auto"/>
            <w:tcW w:w="2136" w:type="pct"/>
            <w:textDirection w:val="lrTb"/>
            <w:noWrap w:val="false"/>
          </w:tcPr>
          <w:p>
            <w:pPr>
              <w:pStyle w:val="1005"/>
              <w:ind w:left="57" w:right="57"/>
            </w:pPr>
            <w:r>
              <w:t xml:space="preserve">№ документа</w:t>
            </w:r>
            <w:r/>
          </w:p>
        </w:tc>
        <w:tc>
          <w:tcPr>
            <w:shd w:val="clear" w:fill="auto" w:color="auto"/>
            <w:tcW w:w="2864" w:type="pct"/>
            <w:textDirection w:val="lrTb"/>
            <w:noWrap w:val="false"/>
          </w:tcPr>
          <w:p>
            <w:pPr>
              <w:pStyle w:val="1005"/>
              <w:ind w:left="57" w:right="57"/>
            </w:pPr>
            <w:r>
              <w:t xml:space="preserve">№ вложенного документа.</w:t>
            </w:r>
            <w:r/>
          </w:p>
        </w:tc>
      </w:tr>
      <w:tr>
        <w:trPr/>
        <w:tc>
          <w:tcPr>
            <w:shd w:val="clear" w:fill="auto" w:color="auto"/>
            <w:tcW w:w="2136" w:type="pct"/>
            <w:textDirection w:val="lrTb"/>
            <w:noWrap w:val="false"/>
          </w:tcPr>
          <w:p>
            <w:pPr>
              <w:pStyle w:val="1005"/>
              <w:ind w:left="57" w:right="57"/>
            </w:pPr>
            <w:r>
              <w:t xml:space="preserve">Дата документа</w:t>
            </w:r>
            <w:r/>
          </w:p>
        </w:tc>
        <w:tc>
          <w:tcPr>
            <w:shd w:val="clear" w:fill="auto" w:color="auto"/>
            <w:tcW w:w="2864" w:type="pct"/>
            <w:textDirection w:val="lrTb"/>
            <w:noWrap w:val="false"/>
          </w:tcPr>
          <w:p>
            <w:pPr>
              <w:pStyle w:val="1005"/>
              <w:ind w:left="57" w:right="57"/>
            </w:pPr>
            <w:r>
              <w:t xml:space="preserve">Дата вложенного документа.</w:t>
            </w:r>
            <w:r/>
          </w:p>
        </w:tc>
      </w:tr>
      <w:tr>
        <w:trPr/>
        <w:tc>
          <w:tcPr>
            <w:shd w:val="clear" w:fill="auto" w:color="auto"/>
            <w:tcW w:w="2136" w:type="pct"/>
            <w:textDirection w:val="lrTb"/>
            <w:noWrap w:val="false"/>
          </w:tcPr>
          <w:p>
            <w:pPr>
              <w:pStyle w:val="1005"/>
              <w:ind w:left="57" w:right="57"/>
            </w:pPr>
            <w:r>
              <w:t xml:space="preserve">Сумма первичного документа</w:t>
            </w:r>
            <w:r/>
          </w:p>
        </w:tc>
        <w:tc>
          <w:tcPr>
            <w:shd w:val="clear" w:fill="auto" w:color="auto"/>
            <w:tcW w:w="2864" w:type="pct"/>
            <w:textDirection w:val="lrTb"/>
            <w:noWrap w:val="false"/>
          </w:tcPr>
          <w:p>
            <w:pPr>
              <w:pStyle w:val="1005"/>
              <w:ind w:left="57" w:right="57"/>
            </w:pPr>
            <w:r>
              <w:t xml:space="preserve">Сумма первичного документа.</w:t>
            </w:r>
            <w:r/>
          </w:p>
        </w:tc>
      </w:tr>
      <w:tr>
        <w:trPr/>
        <w:tc>
          <w:tcPr>
            <w:shd w:val="clear" w:fill="auto" w:color="auto"/>
            <w:tcW w:w="2136" w:type="pct"/>
            <w:textDirection w:val="lrTb"/>
            <w:noWrap w:val="false"/>
          </w:tcPr>
          <w:p>
            <w:pPr>
              <w:pStyle w:val="1005"/>
              <w:ind w:left="57" w:right="57"/>
            </w:pPr>
            <w:r>
              <w:t xml:space="preserve">Размер</w:t>
            </w:r>
            <w:r/>
          </w:p>
        </w:tc>
        <w:tc>
          <w:tcPr>
            <w:shd w:val="clear" w:fill="auto" w:color="auto"/>
            <w:tcW w:w="2864" w:type="pct"/>
            <w:textDirection w:val="lrTb"/>
            <w:noWrap w:val="false"/>
          </w:tcPr>
          <w:p>
            <w:pPr>
              <w:pStyle w:val="1005"/>
              <w:ind w:left="57" w:right="57"/>
            </w:pPr>
            <w:r>
              <w:t xml:space="preserve">Размер вложения.</w:t>
            </w:r>
            <w:r/>
          </w:p>
        </w:tc>
      </w:tr>
      <w:tr>
        <w:trPr/>
        <w:tc>
          <w:tcPr>
            <w:shd w:val="clear" w:fill="auto" w:color="auto"/>
            <w:tcW w:w="2136" w:type="pct"/>
            <w:textDirection w:val="lrTb"/>
            <w:noWrap w:val="false"/>
          </w:tcPr>
          <w:p>
            <w:pPr>
              <w:pStyle w:val="1005"/>
              <w:ind w:left="57" w:right="57"/>
            </w:pPr>
            <w:r>
              <w:t xml:space="preserve">Тип</w:t>
            </w:r>
            <w:r/>
          </w:p>
        </w:tc>
        <w:tc>
          <w:tcPr>
            <w:shd w:val="clear" w:fill="auto" w:color="auto"/>
            <w:tcW w:w="2864" w:type="pct"/>
            <w:textDirection w:val="lrTb"/>
            <w:noWrap w:val="false"/>
          </w:tcPr>
          <w:p>
            <w:pPr>
              <w:pStyle w:val="1005"/>
              <w:ind w:left="57" w:right="57"/>
            </w:pPr>
            <w:r>
              <w:t xml:space="preserve">Тип содержимого.</w:t>
            </w:r>
            <w:r/>
          </w:p>
        </w:tc>
      </w:tr>
      <w:tr>
        <w:trPr/>
        <w:tc>
          <w:tcPr>
            <w:shd w:val="clear" w:fill="auto" w:color="auto"/>
            <w:tcW w:w="2136" w:type="pct"/>
            <w:textDirection w:val="lrTb"/>
            <w:noWrap w:val="false"/>
          </w:tcPr>
          <w:p>
            <w:pPr>
              <w:pStyle w:val="1005"/>
              <w:ind w:left="57" w:right="57"/>
            </w:pPr>
            <w:r>
              <w:t xml:space="preserve">ГУИД</w:t>
            </w:r>
            <w:r/>
          </w:p>
        </w:tc>
        <w:tc>
          <w:tcPr>
            <w:shd w:val="clear" w:fill="auto" w:color="auto"/>
            <w:tcW w:w="2864" w:type="pct"/>
            <w:textDirection w:val="lrTb"/>
            <w:noWrap w:val="false"/>
          </w:tcPr>
          <w:p>
            <w:pPr>
              <w:pStyle w:val="1005"/>
              <w:ind w:left="57" w:right="57"/>
            </w:pPr>
            <w:r>
              <w:t xml:space="preserve">ГУИД.</w:t>
            </w:r>
            <w:r/>
          </w:p>
        </w:tc>
      </w:tr>
      <w:tr>
        <w:trPr/>
        <w:tc>
          <w:tcPr>
            <w:shd w:val="clear" w:fill="auto" w:color="auto"/>
            <w:tcW w:w="2136" w:type="pct"/>
            <w:textDirection w:val="lrTb"/>
            <w:noWrap w:val="false"/>
          </w:tcPr>
          <w:p>
            <w:pPr>
              <w:pStyle w:val="1005"/>
              <w:ind w:left="57" w:right="57"/>
            </w:pPr>
            <w:r>
              <w:t xml:space="preserve">ГУИД отчета</w:t>
            </w:r>
            <w:r/>
          </w:p>
        </w:tc>
        <w:tc>
          <w:tcPr>
            <w:shd w:val="clear" w:fill="auto" w:color="auto"/>
            <w:tcW w:w="2864" w:type="pct"/>
            <w:textDirection w:val="lrTb"/>
            <w:noWrap w:val="false"/>
          </w:tcPr>
          <w:p>
            <w:pPr>
              <w:pStyle w:val="1005"/>
              <w:ind w:left="57" w:right="57"/>
            </w:pPr>
            <w:r>
              <w:t xml:space="preserve">ГУИД отчета.</w:t>
            </w:r>
            <w:r/>
          </w:p>
        </w:tc>
      </w:tr>
      <w:tr>
        <w:trPr/>
        <w:tc>
          <w:tcPr>
            <w:shd w:val="clear" w:fill="auto" w:color="auto"/>
            <w:tcW w:w="2136" w:type="pct"/>
            <w:textDirection w:val="lrTb"/>
            <w:noWrap w:val="false"/>
          </w:tcPr>
          <w:p>
            <w:pPr>
              <w:pStyle w:val="1005"/>
              <w:ind w:left="57" w:right="57"/>
            </w:pPr>
            <w:r>
              <w:t xml:space="preserve">Гуид</w:t>
            </w:r>
            <w:r>
              <w:t xml:space="preserve"> вложения</w:t>
            </w:r>
            <w:r>
              <w:t xml:space="preserve"> </w:t>
            </w:r>
            <w:r>
              <w:t xml:space="preserve">с первичным д</w:t>
            </w:r>
            <w:r>
              <w:t xml:space="preserve">о</w:t>
            </w:r>
            <w:r>
              <w:t xml:space="preserve">к</w:t>
            </w:r>
            <w:r>
              <w:t xml:space="preserve">у</w:t>
            </w:r>
            <w:r>
              <w:t xml:space="preserve">ментом</w:t>
            </w:r>
            <w:r/>
          </w:p>
        </w:tc>
        <w:tc>
          <w:tcPr>
            <w:shd w:val="clear" w:fill="auto" w:color="auto"/>
            <w:tcW w:w="2864" w:type="pct"/>
            <w:textDirection w:val="lrTb"/>
            <w:noWrap w:val="false"/>
          </w:tcPr>
          <w:p>
            <w:pPr>
              <w:pStyle w:val="1005"/>
              <w:ind w:left="57" w:right="57"/>
            </w:pPr>
            <w:r>
              <w:t xml:space="preserve">Гуид</w:t>
            </w:r>
            <w:r>
              <w:t xml:space="preserve"> вложения</w:t>
            </w:r>
            <w:r>
              <w:t xml:space="preserve"> </w:t>
            </w:r>
            <w:r>
              <w:t xml:space="preserve">с первичным д</w:t>
            </w:r>
            <w:r>
              <w:t xml:space="preserve">о</w:t>
            </w:r>
            <w:r>
              <w:t xml:space="preserve">к</w:t>
            </w:r>
            <w:r>
              <w:t xml:space="preserve">у</w:t>
            </w:r>
            <w:r>
              <w:t xml:space="preserve">ментом</w:t>
            </w:r>
            <w:r>
              <w:t xml:space="preserve">.</w:t>
            </w:r>
            <w:r/>
          </w:p>
        </w:tc>
      </w:tr>
      <w:tr>
        <w:trPr/>
        <w:tc>
          <w:tcPr>
            <w:shd w:val="clear" w:fill="auto" w:color="auto"/>
            <w:tcW w:w="2136" w:type="pct"/>
            <w:textDirection w:val="lrTb"/>
            <w:noWrap w:val="false"/>
          </w:tcPr>
          <w:p>
            <w:pPr>
              <w:pStyle w:val="1005"/>
              <w:ind w:left="57" w:right="57"/>
            </w:pPr>
            <w:r>
              <w:t xml:space="preserve">Файл</w:t>
            </w:r>
            <w:r/>
          </w:p>
        </w:tc>
        <w:tc>
          <w:tcPr>
            <w:shd w:val="clear" w:fill="auto" w:color="auto"/>
            <w:tcW w:w="2864" w:type="pct"/>
            <w:textDirection w:val="lrTb"/>
            <w:noWrap w:val="false"/>
          </w:tcPr>
          <w:p>
            <w:pPr>
              <w:pStyle w:val="1005"/>
              <w:ind w:left="57" w:right="57"/>
            </w:pPr>
            <w:r>
              <w:t xml:space="preserve">Имя файла.</w:t>
            </w:r>
            <w:r/>
          </w:p>
        </w:tc>
      </w:tr>
    </w:tbl>
    <w:p>
      <w:pPr>
        <w:pStyle w:val="972"/>
      </w:pPr>
      <w:r/>
      <w:bookmarkStart w:id="1664" w:name="_Ref355695440"/>
      <w:r/>
      <w:bookmarkStart w:id="1665" w:name="_Toc355695569"/>
      <w:r/>
      <w:bookmarkStart w:id="1666" w:name="_Toc355698237"/>
      <w:r/>
      <w:bookmarkStart w:id="1667" w:name="_Toc355699772"/>
      <w:r/>
      <w:bookmarkStart w:id="1668" w:name="_Toc422496731"/>
      <w:r/>
      <w:bookmarkStart w:id="1669" w:name="_Toc261952347"/>
      <w:r/>
      <w:bookmarkStart w:id="1670" w:name="_Ref364090605"/>
      <w:r/>
      <w:bookmarkStart w:id="1671" w:name="_Toc364090912"/>
      <w:r/>
      <w:bookmarkStart w:id="1672" w:name="_Toc364092590"/>
      <w:r/>
      <w:bookmarkStart w:id="1673" w:name="_Toc364099207"/>
      <w:r/>
      <w:bookmarkStart w:id="1674" w:name="_Toc364158632"/>
      <w:r/>
      <w:bookmarkStart w:id="1675" w:name="_Toc364159856"/>
      <w:r/>
      <w:bookmarkStart w:id="1676" w:name="_Toc422496728"/>
      <w:r/>
      <w:bookmarkStart w:id="1677" w:name="_Toc88819157"/>
      <w:r/>
      <w:bookmarkEnd w:id="1648"/>
      <w:r/>
      <w:bookmarkEnd w:id="1649"/>
      <w:r/>
      <w:bookmarkEnd w:id="1650"/>
      <w:r/>
      <w:bookmarkEnd w:id="1651"/>
      <w:r>
        <w:t xml:space="preserve">Информация из РД</w:t>
      </w:r>
      <w:bookmarkEnd w:id="1664"/>
      <w:r/>
      <w:bookmarkEnd w:id="1665"/>
      <w:r/>
      <w:bookmarkEnd w:id="1666"/>
      <w:r/>
      <w:bookmarkEnd w:id="1667"/>
      <w:r/>
      <w:bookmarkEnd w:id="1668"/>
      <w:r/>
      <w:bookmarkEnd w:id="1677"/>
      <w:r/>
      <w:r/>
    </w:p>
    <w:p>
      <w:pPr>
        <w:pStyle w:val="994"/>
      </w:pPr>
      <w:r>
        <w:t xml:space="preserve">ЭД «Информация из расчетных документов» («Информация из РД») предназначен для выполнения функции хранения, просмотра, печати данных документа «Информация из ра</w:t>
      </w:r>
      <w:r>
        <w:t xml:space="preserve">с</w:t>
      </w:r>
      <w:r>
        <w:t xml:space="preserve">четных документов, подтверждающих банковские операции клиентов Федерального казн</w:t>
      </w:r>
      <w:r>
        <w:t xml:space="preserve">а</w:t>
      </w:r>
      <w:r>
        <w:t xml:space="preserve">чейства при расчетах с контрагентами, и прилагаемых к выписке из лицевого счета, к сво</w:t>
      </w:r>
      <w:r>
        <w:t xml:space="preserve">д</w:t>
      </w:r>
      <w:r>
        <w:t xml:space="preserve">ной ведомости о кассовых выплатах из бюджета (ежедневная), к сводной ведомости по ка</w:t>
      </w:r>
      <w:r>
        <w:t xml:space="preserve">с</w:t>
      </w:r>
      <w:r>
        <w:t xml:space="preserve">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t xml:space="preserve">д</w:t>
      </w:r>
      <w:r>
        <w:t xml:space="preserve">ному реестру поступлений и выбытий».</w:t>
      </w:r>
      <w:r/>
    </w:p>
    <w:p>
      <w:pPr>
        <w:pStyle w:val="994"/>
      </w:pPr>
      <w:r>
        <w:t xml:space="preserve">Для работы с документами </w:t>
      </w:r>
      <w:r>
        <w:t xml:space="preserve">«Информация из расчетных документов» следует перейти в пункт м</w:t>
      </w:r>
      <w:r>
        <w:t xml:space="preserve">е</w:t>
      </w:r>
      <w:r>
        <w:t xml:space="preserve">ню «</w:t>
      </w:r>
      <w:r>
        <w:t xml:space="preserve">Документы – Оперативная отчё</w:t>
      </w:r>
      <w:r>
        <w:t xml:space="preserve">тность – Отч</w:t>
      </w:r>
      <w:r>
        <w:t xml:space="preserve">ё</w:t>
      </w:r>
      <w:r>
        <w:t xml:space="preserve">ты – Информация из расчетных докуме</w:t>
      </w:r>
      <w:r>
        <w:t xml:space="preserve">н</w:t>
      </w:r>
      <w:r>
        <w:t xml:space="preserve">тов»</w:t>
      </w:r>
      <w:r>
        <w:t xml:space="preserve">. </w:t>
      </w:r>
      <w:r>
        <w:t xml:space="preserve">Откроется ЭФ списка документов, предста</w:t>
      </w:r>
      <w:r>
        <w:t xml:space="preserve">в</w:t>
      </w:r>
      <w:r>
        <w:t xml:space="preserve">ленная на рисунке</w:t>
      </w:r>
      <w:r>
        <w:t xml:space="preserve"> </w:t>
      </w:r>
      <w:r>
        <w:fldChar w:fldCharType="begin"/>
      </w:r>
      <w:r>
        <w:instrText xml:space="preserve"> REF _Ref363510841 \h  \* MERGEFORMAT </w:instrText>
      </w:r>
      <w:r>
        <w:fldChar w:fldCharType="separate"/>
      </w:r>
      <w:r>
        <w:t xml:space="preserve">242</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009900"/>
                <wp:effectExtent l="0" t="0" r="0" b="0"/>
                <wp:docPr id="36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25"/>
                        <a:stretch/>
                      </pic:blipFill>
                      <pic:spPr bwMode="auto">
                        <a:xfrm>
                          <a:off x="0" y="0"/>
                          <a:ext cx="6126480" cy="30099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8" o:spid="_x0000_s368" type="#_x0000_t75" style="mso-wrap-distance-left:0.0pt;mso-wrap-distance-top:0.0pt;mso-wrap-distance-right:0.0pt;mso-wrap-distance-bottom:0.0pt;width:482.4pt;height:237.0pt;" stroked="f">
                <v:path textboxrect="0,0,0,0"/>
                <v:imagedata r:id="rId325" o:title=""/>
              </v:shape>
            </w:pict>
          </mc:Fallback>
        </mc:AlternateContent>
      </w:r>
      <w:r/>
    </w:p>
    <w:p>
      <w:pPr>
        <w:pStyle w:val="983"/>
      </w:pPr>
      <w:r>
        <w:fldChar w:fldCharType="begin"/>
      </w:r>
      <w:r>
        <w:instrText xml:space="preserve"> SEQ Рисунок \* ARABIC </w:instrText>
      </w:r>
      <w:r>
        <w:fldChar w:fldCharType="separate"/>
      </w:r>
      <w:bookmarkStart w:id="1678" w:name="_Ref363510841"/>
      <w:r/>
      <w:bookmarkStart w:id="1679" w:name="_Toc88819627"/>
      <w:r>
        <w:t xml:space="preserve">242</w:t>
      </w:r>
      <w:bookmarkEnd w:id="1678"/>
      <w:r>
        <w:fldChar w:fldCharType="end"/>
      </w:r>
      <w:r>
        <w:t xml:space="preserve">. ЭФ списка документов «Информация из расчетных документов»</w:t>
      </w:r>
      <w:bookmarkEnd w:id="1679"/>
      <w:r/>
      <w:r/>
    </w:p>
    <w:p>
      <w:pPr>
        <w:pStyle w:val="973"/>
      </w:pPr>
      <w:r>
        <w:t xml:space="preserve">Доступные операции</w:t>
      </w:r>
      <w:r/>
    </w:p>
    <w:p>
      <w:pPr>
        <w:pStyle w:val="994"/>
      </w:pPr>
      <w:r>
        <w:t xml:space="preserve">На АРМ ФО </w:t>
      </w:r>
      <w:r>
        <w:t xml:space="preserve">над</w:t>
      </w:r>
      <w:r>
        <w:t xml:space="preserve"> документом</w:t>
      </w:r>
      <w:r>
        <w:t xml:space="preserve"> доступн</w:t>
      </w:r>
      <w:r>
        <w:t xml:space="preserve">а </w:t>
      </w:r>
      <w:r>
        <w:t xml:space="preserve">операци</w:t>
      </w:r>
      <w:r>
        <w:t xml:space="preserve">я «</w:t>
      </w:r>
      <w:r>
        <w:t xml:space="preserve">просмотр РД</w:t>
      </w:r>
      <w:r>
        <w:t xml:space="preserve">».</w:t>
      </w:r>
      <w:r/>
    </w:p>
    <w:p>
      <w:pPr>
        <w:pStyle w:val="994"/>
      </w:pPr>
      <w:r>
        <w:t xml:space="preserve">Для таблиц доступны следующие операции: </w:t>
      </w:r>
      <w:r/>
    </w:p>
    <w:p>
      <w:pPr>
        <w:pStyle w:val="985"/>
      </w:pPr>
      <w:r>
        <w:t xml:space="preserve">печать таблицы;</w:t>
      </w:r>
      <w:r/>
    </w:p>
    <w:p>
      <w:pPr>
        <w:pStyle w:val="985"/>
      </w:pPr>
      <w:r>
        <w:t xml:space="preserve">настройка таблицы.</w:t>
      </w:r>
      <w:r/>
    </w:p>
    <w:p>
      <w:pPr>
        <w:pStyle w:val="973"/>
      </w:pPr>
      <w:r>
        <w:t xml:space="preserve">Экранная форма документа</w:t>
      </w:r>
      <w:r/>
    </w:p>
    <w:p>
      <w:pPr>
        <w:pStyle w:val="994"/>
      </w:pPr>
      <w:r>
        <w:t xml:space="preserve">ЭФ документа «Информация из РД» представлена на рисунке</w:t>
      </w:r>
      <w:r>
        <w:t xml:space="preserve"> </w:t>
      </w:r>
      <w:r>
        <w:fldChar w:fldCharType="begin"/>
      </w:r>
      <w:r>
        <w:instrText xml:space="preserve"> REF _Ref355631692 \h  \* MERGEFORMAT </w:instrText>
      </w:r>
      <w:r>
        <w:fldChar w:fldCharType="separate"/>
      </w:r>
      <w:r>
        <w:t xml:space="preserve">243</w:t>
      </w:r>
      <w:r>
        <w:fldChar w:fldCharType="end"/>
      </w:r>
      <w:r>
        <w:t xml:space="preserve">. </w:t>
      </w:r>
      <w:r/>
    </w:p>
    <w:p>
      <w:pPr>
        <w:pStyle w:val="994"/>
      </w:pPr>
      <w:r>
        <w:t xml:space="preserve">На визуальной форме документа размещены две вложенные таблицы: «Ра</w:t>
      </w:r>
      <w:r>
        <w:t xml:space="preserve">с</w:t>
      </w:r>
      <w:r>
        <w:t xml:space="preserve">четные д</w:t>
      </w:r>
      <w:r>
        <w:t xml:space="preserve">о</w:t>
      </w:r>
      <w:r>
        <w:t xml:space="preserve">кументы» и «Расшифровка по КБК», которые находятся в отношении один-ко-многим (</w:t>
      </w:r>
      <w:r>
        <w:rPr>
          <w:lang w:val="en-US"/>
        </w:rPr>
        <w:t xml:space="preserve">master</w:t>
      </w:r>
      <w:r>
        <w:t xml:space="preserve">-</w:t>
      </w:r>
      <w:r>
        <w:rPr>
          <w:lang w:val="en-US"/>
        </w:rPr>
        <w:t xml:space="preserve">detail</w:t>
      </w:r>
      <w:r>
        <w:t xml:space="preserve">)</w:t>
      </w:r>
      <w:r>
        <w:t xml:space="preserve">. </w:t>
      </w:r>
      <w:r>
        <w:t xml:space="preserve">При выборе записи из таблицы «Расчетные документы» в табл</w:t>
      </w:r>
      <w:r>
        <w:t xml:space="preserve">и</w:t>
      </w:r>
      <w:r>
        <w:t xml:space="preserve">це «Расшифровка по КБК» отображаются связанные зап</w:t>
      </w:r>
      <w:r>
        <w:t xml:space="preserve">и</w:t>
      </w:r>
      <w:r>
        <w:t xml:space="preserve">си</w:t>
      </w:r>
      <w:r>
        <w:t xml:space="preserve">.</w:t>
      </w:r>
      <w:r/>
    </w:p>
    <w:p>
      <w:pPr>
        <w:pStyle w:val="982"/>
      </w:pPr>
      <w:r>
        <mc:AlternateContent>
          <mc:Choice Requires="wpg">
            <w:drawing>
              <wp:inline xmlns:wp="http://schemas.openxmlformats.org/drawingml/2006/wordprocessingDrawing" distT="0" distB="0" distL="0" distR="0">
                <wp:extent cx="6027420" cy="5943600"/>
                <wp:effectExtent l="0" t="0" r="0" b="0"/>
                <wp:docPr id="37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26"/>
                        <a:stretch/>
                      </pic:blipFill>
                      <pic:spPr bwMode="auto">
                        <a:xfrm>
                          <a:off x="0" y="0"/>
                          <a:ext cx="6027420" cy="5943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9" o:spid="_x0000_s369" type="#_x0000_t75" style="mso-wrap-distance-left:0.0pt;mso-wrap-distance-top:0.0pt;mso-wrap-distance-right:0.0pt;mso-wrap-distance-bottom:0.0pt;width:474.6pt;height:468.0pt;" stroked="f">
                <v:path textboxrect="0,0,0,0"/>
                <v:imagedata r:id="rId326" o:title=""/>
              </v:shape>
            </w:pict>
          </mc:Fallback>
        </mc:AlternateContent>
      </w:r>
      <w:r/>
    </w:p>
    <w:p>
      <w:pPr>
        <w:pStyle w:val="983"/>
      </w:pPr>
      <w:r>
        <w:fldChar w:fldCharType="begin"/>
      </w:r>
      <w:r>
        <w:instrText xml:space="preserve"> SEQ Рисунок \* ARABIC </w:instrText>
      </w:r>
      <w:r>
        <w:fldChar w:fldCharType="separate"/>
      </w:r>
      <w:bookmarkStart w:id="1680" w:name="_Ref355631692"/>
      <w:r/>
      <w:bookmarkStart w:id="1681" w:name="_Toc88819628"/>
      <w:r>
        <w:t xml:space="preserve">243</w:t>
      </w:r>
      <w:bookmarkEnd w:id="1680"/>
      <w:r>
        <w:fldChar w:fldCharType="end"/>
      </w:r>
      <w:r>
        <w:t xml:space="preserve">. ЭФ документа «Информация РД»</w:t>
      </w:r>
      <w:bookmarkEnd w:id="1681"/>
      <w:r/>
      <w:r/>
    </w:p>
    <w:p>
      <w:pPr>
        <w:pStyle w:val="994"/>
      </w:pPr>
      <w:r>
        <w:t xml:space="preserve">Перечень полей ЭФ документа «Информация из РД» приведен в таблице</w:t>
      </w:r>
      <w:r>
        <w:t xml:space="preserve"> </w:t>
      </w:r>
      <w:r>
        <w:fldChar w:fldCharType="begin"/>
      </w:r>
      <w:r>
        <w:instrText xml:space="preserve"> REF _Ref355631652 \h  \* MERGEFORMAT </w:instrText>
      </w:r>
      <w:r>
        <w:fldChar w:fldCharType="separate"/>
      </w:r>
      <w:r>
        <w:t xml:space="preserve">134</w:t>
      </w:r>
      <w:r>
        <w:fldChar w:fldCharType="end"/>
      </w:r>
      <w:r>
        <w:t xml:space="preserve">.</w:t>
      </w:r>
      <w:r/>
    </w:p>
    <w:p>
      <w:pPr>
        <w:pStyle w:val="993"/>
      </w:pPr>
      <w:r>
        <w:fldChar w:fldCharType="begin"/>
      </w:r>
      <w:r>
        <w:instrText xml:space="preserve"> SEQ Таблица \* ARABIC </w:instrText>
      </w:r>
      <w:r>
        <w:fldChar w:fldCharType="separate"/>
      </w:r>
      <w:bookmarkStart w:id="1682" w:name="_Ref355631652"/>
      <w:r/>
      <w:bookmarkStart w:id="1683" w:name="_Toc88819321"/>
      <w:r>
        <w:t xml:space="preserve">134</w:t>
      </w:r>
      <w:bookmarkEnd w:id="1682"/>
      <w:r>
        <w:fldChar w:fldCharType="end"/>
      </w:r>
      <w:r>
        <w:t xml:space="preserve">. Описание полей ЭФ документа «Информация РД»</w:t>
      </w:r>
      <w:bookmarkEnd w:id="1683"/>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4376"/>
        <w:gridCol w:w="5376"/>
      </w:tblGrid>
      <w:tr>
        <w:trPr>
          <w:trHeight w:val="20"/>
          <w:tblHeader/>
        </w:trPr>
        <w:tc>
          <w:tcPr>
            <w:shd w:val="clear" w:fill="E6E6E6" w:color="auto"/>
            <w:tcBorders>
              <w:left w:val="single" w:sz="4" w:space="0" w:color="auto"/>
              <w:top w:val="single" w:sz="4" w:space="0" w:color="auto"/>
              <w:right w:val="single" w:sz="4" w:space="0" w:color="auto"/>
              <w:bottom w:val="single" w:sz="4" w:space="0" w:color="auto"/>
            </w:tcBorders>
            <w:tcW w:w="4376" w:type="dxa"/>
            <w:vAlign w:val="center"/>
            <w:textDirection w:val="lrTb"/>
            <w:noWrap w:val="false"/>
          </w:tcPr>
          <w:p>
            <w:pPr>
              <w:pStyle w:val="1006"/>
            </w:pPr>
            <w:r>
              <w:t xml:space="preserve">Наименование поля </w:t>
            </w:r>
            <w:r/>
          </w:p>
        </w:tc>
        <w:tc>
          <w:tcPr>
            <w:shd w:val="clear" w:fill="E6E6E6" w:color="auto"/>
            <w:tcBorders>
              <w:left w:val="single" w:sz="4" w:space="0" w:color="auto"/>
              <w:top w:val="single" w:sz="4" w:space="0" w:color="auto"/>
              <w:right w:val="single" w:sz="4" w:space="0" w:color="auto"/>
              <w:bottom w:val="single" w:sz="4" w:space="0" w:color="auto"/>
            </w:tcBorders>
            <w:tcW w:w="5376" w:type="dxa"/>
            <w:vAlign w:val="center"/>
            <w:textDirection w:val="lrTb"/>
            <w:noWrap w:val="false"/>
          </w:tcPr>
          <w:p>
            <w:pPr>
              <w:pStyle w:val="1006"/>
            </w:pPr>
            <w:r>
              <w:t xml:space="preserve">Описание поля</w:t>
            </w:r>
            <w:r/>
          </w:p>
        </w:tc>
      </w:tr>
      <w:tr>
        <w:trPr>
          <w:trHeight w:val="20"/>
        </w:trPr>
        <w:tc>
          <w:tcPr>
            <w:shd w:val="clear" w:fill="auto" w:color="auto"/>
            <w:tcW w:w="4376" w:type="dxa"/>
            <w:textDirection w:val="lrTb"/>
            <w:noWrap w:val="false"/>
          </w:tcPr>
          <w:p>
            <w:pPr>
              <w:pStyle w:val="1005"/>
              <w:ind w:left="57" w:right="57"/>
            </w:pPr>
            <w:r>
              <w:t xml:space="preserve">Номер документа/лицевого сч</w:t>
            </w:r>
            <w:r>
              <w:t xml:space="preserve">ета</w:t>
            </w:r>
            <w:r/>
          </w:p>
        </w:tc>
        <w:tc>
          <w:tcPr>
            <w:shd w:val="clear" w:fill="auto" w:color="auto"/>
            <w:tcW w:w="5376" w:type="dxa"/>
            <w:textDirection w:val="lrTb"/>
            <w:noWrap w:val="false"/>
          </w:tcPr>
          <w:p>
            <w:pPr>
              <w:pStyle w:val="1005"/>
              <w:ind w:left="57" w:right="57"/>
            </w:pPr>
            <w:r>
              <w:t xml:space="preserve">Номер л/с клиента или номер реестра платежей, поступивших минуя счет ТОФК, или номер сводного реестра поступлений и выбытий.</w:t>
            </w:r>
            <w:r/>
          </w:p>
          <w:p>
            <w:pPr>
              <w:pStyle w:val="1005"/>
              <w:ind w:left="57" w:right="57"/>
            </w:pPr>
            <w:r>
              <w:t xml:space="preserve">При передаче информации в адрес уполномоченного подразделения, удаленного ПБС, удаленного НУБП поле не заполняется.</w:t>
            </w:r>
            <w:r/>
          </w:p>
        </w:tc>
      </w:tr>
      <w:tr>
        <w:trPr>
          <w:trHeight w:val="20"/>
        </w:trPr>
        <w:tc>
          <w:tcPr>
            <w:shd w:val="clear" w:fill="auto" w:color="auto"/>
            <w:tcW w:w="4376" w:type="dxa"/>
            <w:textDirection w:val="lrTb"/>
            <w:noWrap w:val="false"/>
          </w:tcPr>
          <w:p>
            <w:pPr>
              <w:pStyle w:val="1005"/>
              <w:ind w:left="57" w:right="57"/>
            </w:pPr>
            <w:r>
              <w:t xml:space="preserve">Дата документа</w:t>
            </w:r>
            <w:r/>
          </w:p>
        </w:tc>
        <w:tc>
          <w:tcPr>
            <w:shd w:val="clear" w:fill="auto" w:color="auto"/>
            <w:tcW w:w="5376" w:type="dxa"/>
            <w:textDirection w:val="lrTb"/>
            <w:noWrap w:val="false"/>
          </w:tcPr>
          <w:p>
            <w:pPr>
              <w:pStyle w:val="1005"/>
              <w:ind w:left="57" w:right="57"/>
            </w:pPr>
            <w:r>
              <w:t xml:space="preserve">Дата документа, к которому прилагается информация из расче</w:t>
            </w:r>
            <w:r>
              <w:t xml:space="preserve">тных документов.</w:t>
            </w:r>
            <w:r/>
          </w:p>
        </w:tc>
      </w:tr>
      <w:tr>
        <w:trPr>
          <w:trHeight w:val="20"/>
        </w:trPr>
        <w:tc>
          <w:tcPr>
            <w:shd w:val="clear" w:fill="auto" w:color="auto"/>
            <w:tcW w:w="4376" w:type="dxa"/>
            <w:textDirection w:val="lrTb"/>
            <w:noWrap w:val="false"/>
          </w:tcPr>
          <w:p>
            <w:pPr>
              <w:pStyle w:val="1005"/>
              <w:ind w:left="57" w:right="57"/>
            </w:pPr>
            <w:r>
              <w:t xml:space="preserve">Расчетных докуме</w:t>
            </w:r>
            <w:r>
              <w:t xml:space="preserve">нтов</w:t>
            </w:r>
            <w:r/>
          </w:p>
        </w:tc>
        <w:tc>
          <w:tcPr>
            <w:shd w:val="clear" w:fill="auto" w:color="auto"/>
            <w:tcW w:w="5376" w:type="dxa"/>
            <w:textDirection w:val="lrTb"/>
            <w:noWrap w:val="false"/>
          </w:tcPr>
          <w:p>
            <w:pPr>
              <w:pStyle w:val="1005"/>
              <w:ind w:left="57" w:right="57"/>
            </w:pPr>
            <w:r>
              <w:t xml:space="preserve">Количество прилагаемых РД.</w:t>
            </w:r>
            <w:r/>
          </w:p>
        </w:tc>
      </w:tr>
      <w:tr>
        <w:trPr>
          <w:trHeight w:val="20"/>
        </w:trPr>
        <w:tc>
          <w:tcPr>
            <w:shd w:val="clear" w:fill="auto" w:color="auto"/>
            <w:tcW w:w="4376" w:type="dxa"/>
            <w:textDirection w:val="lrTb"/>
            <w:noWrap w:val="false"/>
          </w:tcPr>
          <w:p>
            <w:pPr>
              <w:pStyle w:val="1005"/>
              <w:ind w:left="57" w:right="57"/>
            </w:pPr>
            <w:r>
              <w:t xml:space="preserve">Общая сумма</w:t>
            </w:r>
            <w:r/>
          </w:p>
        </w:tc>
        <w:tc>
          <w:tcPr>
            <w:shd w:val="clear" w:fill="auto" w:color="auto"/>
            <w:tcW w:w="5376" w:type="dxa"/>
            <w:textDirection w:val="lrTb"/>
            <w:noWrap w:val="false"/>
          </w:tcPr>
          <w:p>
            <w:pPr>
              <w:pStyle w:val="1005"/>
              <w:ind w:left="57" w:right="57"/>
            </w:pPr>
            <w:r>
              <w:t xml:space="preserve">Общая сумма по прилагаемым РД</w:t>
            </w:r>
            <w:r>
              <w:t xml:space="preserve">.</w:t>
            </w:r>
            <w:r/>
          </w:p>
        </w:tc>
      </w:tr>
      <w:tr>
        <w:trPr>
          <w:trHeight w:val="20"/>
        </w:trPr>
        <w:tc>
          <w:tcPr>
            <w:shd w:val="clear" w:fill="auto" w:color="auto"/>
            <w:tcW w:w="4376" w:type="dxa"/>
            <w:textDirection w:val="lrTb"/>
            <w:noWrap w:val="false"/>
          </w:tcPr>
          <w:p>
            <w:pPr>
              <w:pStyle w:val="1005"/>
              <w:ind w:left="57" w:right="57"/>
            </w:pPr>
            <w:r>
              <w:t xml:space="preserve">Метка конфиденциальности</w:t>
            </w:r>
            <w:r/>
          </w:p>
        </w:tc>
        <w:tc>
          <w:tcPr>
            <w:shd w:val="clear" w:fill="auto" w:color="auto"/>
            <w:tcW w:w="5376" w:type="dxa"/>
            <w:textDirection w:val="lrTb"/>
            <w:noWrap w:val="false"/>
          </w:tcPr>
          <w:p>
            <w:pPr>
              <w:pStyle w:val="1005"/>
              <w:ind w:left="57" w:right="57"/>
            </w:pPr>
            <w:r>
              <w:t xml:space="preserve">Метка конфиденциальности. Допустимые наименования:</w:t>
            </w:r>
            <w:r/>
          </w:p>
          <w:p>
            <w:pPr>
              <w:pStyle w:val="1007"/>
            </w:pPr>
            <w:r>
              <w:t xml:space="preserve">0 </w:t>
            </w:r>
            <w:r>
              <w:t xml:space="preserve">–</w:t>
            </w:r>
            <w:r>
              <w:t xml:space="preserve"> не секретно;</w:t>
            </w:r>
            <w:r/>
          </w:p>
          <w:p>
            <w:pPr>
              <w:pStyle w:val="1007"/>
            </w:pPr>
            <w:r>
              <w:t xml:space="preserve">1 </w:t>
            </w:r>
            <w:r>
              <w:t xml:space="preserve">–</w:t>
            </w:r>
            <w:r>
              <w:t xml:space="preserve"> </w:t>
            </w:r>
            <w:r>
              <w:t xml:space="preserve">для служебного пользования</w:t>
            </w:r>
            <w:r>
              <w:t xml:space="preserve">;</w:t>
            </w:r>
            <w:r/>
          </w:p>
          <w:p>
            <w:pPr>
              <w:pStyle w:val="1007"/>
            </w:pPr>
            <w:r>
              <w:t xml:space="preserve">2 </w:t>
            </w:r>
            <w:r>
              <w:t xml:space="preserve">–</w:t>
            </w:r>
            <w:r>
              <w:t xml:space="preserve"> секретно;</w:t>
            </w:r>
            <w:r/>
          </w:p>
          <w:p>
            <w:pPr>
              <w:pStyle w:val="1007"/>
            </w:pPr>
            <w:r>
              <w:t xml:space="preserve">3 </w:t>
            </w:r>
            <w:r>
              <w:t xml:space="preserve">–</w:t>
            </w:r>
            <w:r>
              <w:t xml:space="preserve"> совершенно секретно.</w:t>
            </w:r>
            <w:r/>
          </w:p>
          <w:p>
            <w:pPr>
              <w:pStyle w:val="1005"/>
              <w:ind w:left="57" w:right="57"/>
            </w:pPr>
            <w:r>
              <w:t xml:space="preserve">Поле недоступно для редактирования</w:t>
            </w:r>
            <w:r>
              <w:t xml:space="preserve">. </w:t>
            </w:r>
            <w:r/>
          </w:p>
        </w:tc>
      </w:tr>
      <w:tr>
        <w:trPr>
          <w:trHeight w:val="20"/>
        </w:trPr>
        <w:tc>
          <w:tcPr>
            <w:shd w:val="clear" w:fill="auto" w:color="auto"/>
            <w:tcW w:w="4376" w:type="dxa"/>
            <w:textDirection w:val="lrTb"/>
            <w:noWrap w:val="false"/>
          </w:tcPr>
          <w:p>
            <w:pPr>
              <w:pStyle w:val="1005"/>
              <w:ind w:left="57" w:right="57"/>
            </w:pPr>
            <w:r>
              <w:t xml:space="preserve">Пункт перечня</w:t>
            </w:r>
            <w:r/>
          </w:p>
        </w:tc>
        <w:tc>
          <w:tcPr>
            <w:shd w:val="clear" w:fill="auto" w:color="auto"/>
            <w:tcW w:w="5376" w:type="dxa"/>
            <w:textDirection w:val="lrTb"/>
            <w:noWrap w:val="false"/>
          </w:tcPr>
          <w:p>
            <w:pPr>
              <w:pStyle w:val="1005"/>
              <w:ind w:left="57" w:right="57"/>
            </w:pPr>
            <w:r>
              <w:t xml:space="preserve">Указывается пункт перечня, на основании которого документ является конфиденциальным.</w:t>
            </w:r>
            <w:r/>
          </w:p>
        </w:tc>
      </w:tr>
      <w:tr>
        <w:trPr>
          <w:trHeight w:val="20"/>
        </w:trPr>
        <w:tc>
          <w:tcPr>
            <w:shd w:val="clear" w:fill="auto" w:color="auto"/>
            <w:tcW w:w="4376" w:type="dxa"/>
            <w:textDirection w:val="lrTb"/>
            <w:noWrap w:val="false"/>
          </w:tcPr>
          <w:p>
            <w:pPr>
              <w:pStyle w:val="1005"/>
              <w:ind w:left="57" w:right="57"/>
            </w:pPr>
            <w:r>
              <w:t xml:space="preserve">Вид </w:t>
            </w:r>
            <w:r>
              <w:t xml:space="preserve">документа-основания</w:t>
            </w:r>
            <w:r/>
          </w:p>
        </w:tc>
        <w:tc>
          <w:tcPr>
            <w:shd w:val="clear" w:fill="auto" w:color="auto"/>
            <w:tcW w:w="5376" w:type="dxa"/>
            <w:textDirection w:val="lrTb"/>
            <w:noWrap w:val="false"/>
          </w:tcPr>
          <w:p>
            <w:pPr>
              <w:pStyle w:val="1005"/>
              <w:ind w:left="57" w:right="57"/>
            </w:pPr>
            <w:r>
              <w:t xml:space="preserve">Вид документа-основания.</w:t>
            </w:r>
            <w:r/>
          </w:p>
        </w:tc>
      </w:tr>
      <w:tr>
        <w:trPr>
          <w:trHeight w:val="20"/>
        </w:trPr>
        <w:tc>
          <w:tcPr>
            <w:shd w:val="clear" w:fill="auto" w:color="auto"/>
            <w:tcW w:w="4376" w:type="dxa"/>
            <w:textDirection w:val="lrTb"/>
            <w:noWrap w:val="false"/>
          </w:tcPr>
          <w:p>
            <w:pPr>
              <w:pStyle w:val="1005"/>
              <w:ind w:left="57" w:right="57"/>
            </w:pPr>
            <w:r>
              <w:t xml:space="preserve">Признак принадлежности к пр</w:t>
            </w:r>
            <w:r>
              <w:t xml:space="preserve">омежуточному отчёту</w:t>
            </w:r>
            <w:r/>
          </w:p>
        </w:tc>
        <w:tc>
          <w:tcPr>
            <w:shd w:val="clear" w:fill="auto" w:color="auto"/>
            <w:tcW w:w="5376" w:type="dxa"/>
            <w:textDirection w:val="lrTb"/>
            <w:noWrap w:val="false"/>
          </w:tcPr>
          <w:p>
            <w:pPr>
              <w:pStyle w:val="1005"/>
              <w:ind w:left="57" w:right="57"/>
            </w:pPr>
            <w:r>
              <w:t xml:space="preserve">Установленный признак указывает на то, что документ прилаг</w:t>
            </w:r>
            <w:r>
              <w:t xml:space="preserve">ается к промежуточному отчету (в составе которого идет BD).</w:t>
            </w:r>
            <w:r/>
          </w:p>
          <w:p>
            <w:pPr>
              <w:pStyle w:val="1005"/>
              <w:ind w:left="57" w:right="57"/>
            </w:pPr>
            <w:r>
              <w:t xml:space="preserve">Пустое поле указывает на то, что документ прилагается к итог</w:t>
            </w:r>
            <w:r>
              <w:t xml:space="preserve">овому отчету.</w:t>
            </w:r>
            <w:r/>
          </w:p>
        </w:tc>
      </w:tr>
      <w:tr>
        <w:trPr>
          <w:trHeight w:val="20"/>
        </w:trPr>
        <w:tc>
          <w:tcPr>
            <w:gridSpan w:val="2"/>
            <w:shd w:val="clear" w:fill="auto" w:color="auto"/>
            <w:tcW w:w="9752" w:type="dxa"/>
            <w:textDirection w:val="lrTb"/>
            <w:noWrap w:val="false"/>
          </w:tcPr>
          <w:p>
            <w:pPr>
              <w:pStyle w:val="1005"/>
              <w:ind w:left="57" w:right="57"/>
            </w:pPr>
            <w:r>
              <w:t xml:space="preserve">Группа полей </w:t>
            </w:r>
            <w:r>
              <w:t xml:space="preserve">«Расчетные документы» </w:t>
            </w:r>
            <w:r/>
          </w:p>
        </w:tc>
      </w:tr>
      <w:tr>
        <w:trPr>
          <w:trHeight w:val="20"/>
        </w:trPr>
        <w:tc>
          <w:tcPr>
            <w:shd w:val="clear" w:fill="auto" w:color="auto"/>
            <w:tcW w:w="4376" w:type="dxa"/>
            <w:textDirection w:val="lrTb"/>
            <w:noWrap w:val="false"/>
          </w:tcPr>
          <w:p>
            <w:pPr>
              <w:pStyle w:val="1005"/>
              <w:ind w:left="57" w:right="57"/>
            </w:pPr>
            <w:r>
              <w:rPr>
                <w:rFonts w:eastAsia="Calibri"/>
              </w:rPr>
              <w:t xml:space="preserve">Номер документа</w:t>
            </w:r>
            <w:r/>
          </w:p>
        </w:tc>
        <w:tc>
          <w:tcPr>
            <w:shd w:val="clear" w:fill="auto" w:color="auto"/>
            <w:tcW w:w="5376" w:type="dxa"/>
            <w:textDirection w:val="lrTb"/>
            <w:noWrap w:val="false"/>
          </w:tcPr>
          <w:p>
            <w:pPr>
              <w:pStyle w:val="1005"/>
              <w:ind w:left="57" w:right="57"/>
            </w:pPr>
            <w:r>
              <w:rPr>
                <w:rFonts w:eastAsia="Calibri"/>
              </w:rPr>
              <w:t xml:space="preserve">Номер платежного документа.</w:t>
            </w:r>
            <w:r/>
          </w:p>
        </w:tc>
      </w:tr>
      <w:tr>
        <w:trPr>
          <w:trHeight w:val="20"/>
        </w:trPr>
        <w:tc>
          <w:tcPr>
            <w:shd w:val="clear" w:fill="auto" w:color="auto"/>
            <w:tcW w:w="4376" w:type="dxa"/>
            <w:textDirection w:val="lrTb"/>
            <w:noWrap w:val="false"/>
          </w:tcPr>
          <w:p>
            <w:pPr>
              <w:pStyle w:val="1005"/>
              <w:ind w:left="57" w:right="57"/>
            </w:pPr>
            <w:r>
              <w:rPr>
                <w:rFonts w:eastAsia="Calibri"/>
              </w:rPr>
              <w:t xml:space="preserve">Дата документа</w:t>
            </w:r>
            <w:r/>
          </w:p>
        </w:tc>
        <w:tc>
          <w:tcPr>
            <w:shd w:val="clear" w:fill="auto" w:color="auto"/>
            <w:tcW w:w="5376" w:type="dxa"/>
            <w:textDirection w:val="lrTb"/>
            <w:noWrap w:val="false"/>
          </w:tcPr>
          <w:p>
            <w:pPr>
              <w:pStyle w:val="1005"/>
              <w:ind w:left="57" w:right="57"/>
            </w:pPr>
            <w:r>
              <w:rPr>
                <w:rFonts w:eastAsia="Calibri"/>
              </w:rPr>
              <w:t xml:space="preserve">Дата платежного документа.</w:t>
            </w:r>
            <w:r/>
          </w:p>
        </w:tc>
      </w:tr>
      <w:tr>
        <w:trPr>
          <w:trHeight w:val="20"/>
        </w:trPr>
        <w:tc>
          <w:tcPr>
            <w:shd w:val="clear" w:fill="auto" w:color="auto"/>
            <w:tcW w:w="4376" w:type="dxa"/>
            <w:textDirection w:val="lrTb"/>
            <w:noWrap w:val="false"/>
          </w:tcPr>
          <w:p>
            <w:pPr>
              <w:pStyle w:val="1005"/>
              <w:ind w:left="57" w:right="57"/>
            </w:pPr>
            <w:r>
              <w:rPr>
                <w:rFonts w:eastAsia="Calibri"/>
              </w:rPr>
              <w:t xml:space="preserve">Сумма документа</w:t>
            </w:r>
            <w:r/>
          </w:p>
        </w:tc>
        <w:tc>
          <w:tcPr>
            <w:shd w:val="clear" w:fill="auto" w:color="auto"/>
            <w:tcW w:w="5376" w:type="dxa"/>
            <w:textDirection w:val="lrTb"/>
            <w:noWrap w:val="false"/>
          </w:tcPr>
          <w:p>
            <w:pPr>
              <w:pStyle w:val="1005"/>
              <w:ind w:left="57" w:right="57"/>
            </w:pPr>
            <w:r>
              <w:rPr>
                <w:rFonts w:eastAsia="Calibri"/>
              </w:rPr>
              <w:t xml:space="preserve">Сумма платежного поручения.</w:t>
            </w:r>
            <w:r/>
          </w:p>
        </w:tc>
      </w:tr>
      <w:tr>
        <w:trPr>
          <w:trHeight w:val="20"/>
        </w:trPr>
        <w:tc>
          <w:tcPr>
            <w:shd w:val="clear" w:fill="auto" w:color="auto"/>
            <w:tcW w:w="4376" w:type="dxa"/>
            <w:textDirection w:val="lrTb"/>
            <w:noWrap w:val="false"/>
          </w:tcPr>
          <w:p>
            <w:pPr>
              <w:pStyle w:val="1005"/>
              <w:ind w:left="57" w:right="57"/>
            </w:pPr>
            <w:r>
              <w:rPr>
                <w:rFonts w:eastAsia="Calibri"/>
              </w:rPr>
              <w:t xml:space="preserve">ИНН плательщика</w:t>
            </w:r>
            <w:r/>
          </w:p>
        </w:tc>
        <w:tc>
          <w:tcPr>
            <w:shd w:val="clear" w:fill="auto" w:color="auto"/>
            <w:tcW w:w="5376" w:type="dxa"/>
            <w:textDirection w:val="lrTb"/>
            <w:noWrap w:val="false"/>
          </w:tcPr>
          <w:p>
            <w:pPr>
              <w:pStyle w:val="1005"/>
              <w:ind w:left="57" w:right="57"/>
            </w:pPr>
            <w:r>
              <w:rPr>
                <w:rFonts w:eastAsia="Calibri"/>
              </w:rPr>
              <w:t xml:space="preserve">ИНН плательщика.</w:t>
            </w:r>
            <w:r/>
          </w:p>
        </w:tc>
      </w:tr>
      <w:tr>
        <w:trPr>
          <w:trHeight w:val="20"/>
        </w:trPr>
        <w:tc>
          <w:tcPr>
            <w:shd w:val="clear" w:fill="auto" w:color="auto"/>
            <w:tcW w:w="4376" w:type="dxa"/>
            <w:textDirection w:val="lrTb"/>
            <w:noWrap w:val="false"/>
          </w:tcPr>
          <w:p>
            <w:pPr>
              <w:pStyle w:val="1005"/>
              <w:ind w:left="57" w:right="57"/>
            </w:pPr>
            <w:r>
              <w:rPr>
                <w:rFonts w:eastAsia="Calibri"/>
              </w:rPr>
              <w:t xml:space="preserve">КПП плательщика</w:t>
            </w:r>
            <w:r/>
          </w:p>
        </w:tc>
        <w:tc>
          <w:tcPr>
            <w:shd w:val="clear" w:fill="auto" w:color="auto"/>
            <w:tcW w:w="5376" w:type="dxa"/>
            <w:textDirection w:val="lrTb"/>
            <w:noWrap w:val="false"/>
          </w:tcPr>
          <w:p>
            <w:pPr>
              <w:pStyle w:val="1005"/>
              <w:ind w:left="57" w:right="57"/>
            </w:pPr>
            <w:r>
              <w:rPr>
                <w:rFonts w:eastAsia="Calibri"/>
              </w:rPr>
              <w:t xml:space="preserve">КПП плательщика.</w:t>
            </w:r>
            <w:r/>
          </w:p>
        </w:tc>
      </w:tr>
      <w:tr>
        <w:trPr>
          <w:trHeight w:val="20"/>
        </w:trPr>
        <w:tc>
          <w:tcPr>
            <w:shd w:val="clear" w:fill="auto" w:color="auto"/>
            <w:tcW w:w="4376" w:type="dxa"/>
            <w:textDirection w:val="lrTb"/>
            <w:noWrap w:val="false"/>
          </w:tcPr>
          <w:p>
            <w:pPr>
              <w:pStyle w:val="1005"/>
              <w:ind w:left="57" w:right="57"/>
            </w:pPr>
            <w:r>
              <w:rPr>
                <w:rFonts w:eastAsia="Calibri"/>
              </w:rPr>
              <w:t xml:space="preserve">ИНН получателя</w:t>
            </w:r>
            <w:r/>
          </w:p>
        </w:tc>
        <w:tc>
          <w:tcPr>
            <w:shd w:val="clear" w:fill="auto" w:color="auto"/>
            <w:tcW w:w="5376" w:type="dxa"/>
            <w:textDirection w:val="lrTb"/>
            <w:noWrap w:val="false"/>
          </w:tcPr>
          <w:p>
            <w:pPr>
              <w:pStyle w:val="1005"/>
              <w:ind w:left="57" w:right="57"/>
            </w:pPr>
            <w:r>
              <w:rPr>
                <w:rFonts w:eastAsia="Calibri"/>
              </w:rPr>
              <w:t xml:space="preserve">ИНН получателя.</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КПП получателя</w:t>
            </w:r>
            <w:r/>
          </w:p>
        </w:tc>
        <w:tc>
          <w:tcPr>
            <w:shd w:val="clear" w:fill="auto" w:color="auto"/>
            <w:tcW w:w="5376" w:type="dxa"/>
            <w:textDirection w:val="lrTb"/>
            <w:noWrap w:val="false"/>
          </w:tcPr>
          <w:p>
            <w:pPr>
              <w:pStyle w:val="1005"/>
              <w:ind w:left="57" w:right="57"/>
            </w:pPr>
            <w:r>
              <w:rPr>
                <w:rFonts w:eastAsia="Calibri"/>
              </w:rPr>
              <w:t xml:space="preserve">КПП получателя.</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Вид платежа (наименование)</w:t>
            </w:r>
            <w:r/>
          </w:p>
        </w:tc>
        <w:tc>
          <w:tcPr>
            <w:shd w:val="clear" w:fill="auto" w:color="auto"/>
            <w:tcW w:w="5376" w:type="dxa"/>
            <w:textDirection w:val="lrTb"/>
            <w:noWrap w:val="false"/>
          </w:tcPr>
          <w:p>
            <w:pPr>
              <w:pStyle w:val="1005"/>
              <w:ind w:left="57" w:right="57"/>
            </w:pPr>
            <w:r>
              <w:t xml:space="preserve">На визуальной форме отображаем текстовое значение в завис</w:t>
            </w:r>
            <w:r>
              <w:t xml:space="preserve">имости от значения поля «Вид платежа (код)»:</w:t>
            </w:r>
            <w:r/>
          </w:p>
          <w:p>
            <w:pPr>
              <w:pStyle w:val="1007"/>
            </w:pPr>
            <w:r>
              <w:t xml:space="preserve">0</w:t>
            </w:r>
            <w:r>
              <w:t xml:space="preserve"> – «</w:t>
            </w:r>
            <w:r>
              <w:t xml:space="preserve">пусто</w:t>
            </w:r>
            <w:r>
              <w:t xml:space="preserve">»</w:t>
            </w:r>
            <w:r>
              <w:t xml:space="preserve">;</w:t>
            </w:r>
            <w:r/>
          </w:p>
          <w:p>
            <w:pPr>
              <w:pStyle w:val="1007"/>
            </w:pPr>
            <w:r>
              <w:t xml:space="preserve">1</w:t>
            </w:r>
            <w:r>
              <w:t xml:space="preserve"> – «</w:t>
            </w:r>
            <w:r>
              <w:t xml:space="preserve">почтой</w:t>
            </w:r>
            <w:r>
              <w:t xml:space="preserve">»</w:t>
            </w:r>
            <w:r>
              <w:t xml:space="preserve">;</w:t>
            </w:r>
            <w:r/>
          </w:p>
          <w:p>
            <w:pPr>
              <w:pStyle w:val="1007"/>
            </w:pPr>
            <w:r>
              <w:t xml:space="preserve">2</w:t>
            </w:r>
            <w:r>
              <w:t xml:space="preserve"> – «</w:t>
            </w:r>
            <w:r>
              <w:t xml:space="preserve">телеграфом</w:t>
            </w:r>
            <w:r>
              <w:t xml:space="preserve">»</w:t>
            </w:r>
            <w:r>
              <w:t xml:space="preserve">;</w:t>
            </w:r>
            <w:r/>
          </w:p>
          <w:p>
            <w:pPr>
              <w:pStyle w:val="1007"/>
            </w:pPr>
            <w:r>
              <w:t xml:space="preserve">3</w:t>
            </w:r>
            <w:r>
              <w:t xml:space="preserve"> – </w:t>
            </w:r>
            <w:r>
              <w:rPr>
                <w:rStyle w:val="1400"/>
              </w:rPr>
              <w:t xml:space="preserve">«электронно»</w:t>
            </w:r>
            <w:r>
              <w:t xml:space="preserve">;</w:t>
            </w:r>
            <w:r/>
          </w:p>
          <w:p>
            <w:pPr>
              <w:pStyle w:val="1007"/>
            </w:pPr>
            <w:r>
              <w:t xml:space="preserve">4</w:t>
            </w:r>
            <w:r>
              <w:t xml:space="preserve"> – «</w:t>
            </w:r>
            <w:r>
              <w:t xml:space="preserve">срочно</w:t>
            </w:r>
            <w:r>
              <w:t xml:space="preserve">»</w:t>
            </w:r>
            <w:r>
              <w:t xml:space="preserve">.</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Дата поступления в банк плательщика</w:t>
            </w:r>
            <w:r/>
          </w:p>
        </w:tc>
        <w:tc>
          <w:tcPr>
            <w:shd w:val="clear" w:fill="auto" w:color="auto"/>
            <w:tcW w:w="5376" w:type="dxa"/>
            <w:textDirection w:val="lrTb"/>
            <w:noWrap w:val="false"/>
          </w:tcPr>
          <w:p>
            <w:pPr>
              <w:pStyle w:val="1005"/>
              <w:ind w:left="57" w:right="57"/>
            </w:pPr>
            <w:r>
              <w:rPr>
                <w:rFonts w:eastAsia="Calibri"/>
              </w:rPr>
              <w:t xml:space="preserve">Дата поступления в банк плательщика.</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Дата списания со счета плательщика</w:t>
            </w:r>
            <w:r/>
          </w:p>
        </w:tc>
        <w:tc>
          <w:tcPr>
            <w:shd w:val="clear" w:fill="auto" w:color="auto"/>
            <w:tcW w:w="5376" w:type="dxa"/>
            <w:textDirection w:val="lrTb"/>
            <w:noWrap w:val="false"/>
          </w:tcPr>
          <w:p>
            <w:pPr>
              <w:pStyle w:val="1005"/>
              <w:ind w:left="57" w:right="57"/>
            </w:pPr>
            <w:r>
              <w:rPr>
                <w:rFonts w:eastAsia="Calibri"/>
              </w:rPr>
              <w:t xml:space="preserve">Дата списания со счета плательщика.</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Вид операции</w:t>
            </w:r>
            <w:r/>
          </w:p>
        </w:tc>
        <w:tc>
          <w:tcPr>
            <w:shd w:val="clear" w:fill="auto" w:color="auto"/>
            <w:tcW w:w="5376" w:type="dxa"/>
            <w:textDirection w:val="lrTb"/>
            <w:noWrap w:val="false"/>
          </w:tcPr>
          <w:p>
            <w:pPr>
              <w:pStyle w:val="1005"/>
              <w:ind w:left="57" w:right="57"/>
            </w:pPr>
            <w:r>
              <w:rPr>
                <w:rFonts w:eastAsia="Calibri"/>
              </w:rPr>
              <w:t xml:space="preserve">Вид операции.</w:t>
            </w:r>
            <w:r/>
          </w:p>
        </w:tc>
      </w:tr>
      <w:tr>
        <w:trPr>
          <w:trHeight w:val="20"/>
        </w:trPr>
        <w:tc>
          <w:tcPr>
            <w:shd w:val="clear" w:fill="auto" w:color="auto"/>
            <w:tcW w:w="4376" w:type="dxa"/>
            <w:textDirection w:val="lrTb"/>
            <w:noWrap w:val="false"/>
          </w:tcPr>
          <w:p>
            <w:pPr>
              <w:pStyle w:val="1005"/>
              <w:ind w:left="57" w:right="57"/>
              <w:rPr>
                <w:rFonts w:eastAsia="Calibri"/>
              </w:rPr>
            </w:pPr>
            <w:r>
              <w:t xml:space="preserve">Порядковый номер ЭС</w:t>
            </w:r>
            <w:r/>
          </w:p>
        </w:tc>
        <w:tc>
          <w:tcPr>
            <w:shd w:val="clear" w:fill="auto" w:color="auto"/>
            <w:tcW w:w="5376" w:type="dxa"/>
            <w:textDirection w:val="lrTb"/>
            <w:noWrap w:val="false"/>
          </w:tcPr>
          <w:p>
            <w:pPr>
              <w:pStyle w:val="1005"/>
              <w:ind w:left="57" w:right="57"/>
              <w:rPr>
                <w:rFonts w:eastAsia="Calibri"/>
              </w:rPr>
            </w:pPr>
            <w:r>
              <w:t xml:space="preserve">Порядковый номер ЭС.</w:t>
            </w:r>
            <w:r/>
          </w:p>
        </w:tc>
      </w:tr>
      <w:tr>
        <w:trPr>
          <w:trHeight w:val="20"/>
        </w:trPr>
        <w:tc>
          <w:tcPr>
            <w:shd w:val="clear" w:fill="auto" w:color="auto"/>
            <w:tcW w:w="4376" w:type="dxa"/>
            <w:textDirection w:val="lrTb"/>
            <w:noWrap w:val="false"/>
          </w:tcPr>
          <w:p>
            <w:pPr>
              <w:pStyle w:val="1005"/>
              <w:ind w:left="57" w:right="57"/>
              <w:rPr>
                <w:rFonts w:eastAsia="Calibri"/>
              </w:rPr>
            </w:pPr>
            <w:r>
              <w:t xml:space="preserve">Дата составления ЭС</w:t>
            </w:r>
            <w:r/>
          </w:p>
        </w:tc>
        <w:tc>
          <w:tcPr>
            <w:shd w:val="clear" w:fill="auto" w:color="auto"/>
            <w:tcW w:w="5376" w:type="dxa"/>
            <w:textDirection w:val="lrTb"/>
            <w:noWrap w:val="false"/>
          </w:tcPr>
          <w:p>
            <w:pPr>
              <w:pStyle w:val="1005"/>
              <w:ind w:left="57" w:right="57"/>
              <w:rPr>
                <w:rFonts w:eastAsia="Calibri"/>
              </w:rPr>
            </w:pPr>
            <w:r>
              <w:t xml:space="preserve">Дата составления ЭС.</w:t>
            </w:r>
            <w:r/>
          </w:p>
        </w:tc>
      </w:tr>
      <w:tr>
        <w:trPr>
          <w:trHeight w:val="20"/>
        </w:trPr>
        <w:tc>
          <w:tcPr>
            <w:shd w:val="clear" w:fill="auto" w:color="auto"/>
            <w:tcW w:w="4376" w:type="dxa"/>
            <w:textDirection w:val="lrTb"/>
            <w:noWrap w:val="false"/>
          </w:tcPr>
          <w:p>
            <w:pPr>
              <w:pStyle w:val="1005"/>
              <w:ind w:left="57" w:right="57"/>
              <w:rPr>
                <w:rFonts w:eastAsia="Calibri"/>
              </w:rPr>
            </w:pPr>
            <w:r>
              <w:t xml:space="preserve">Уникальный идентификатор составителя </w:t>
            </w:r>
            <w:r>
              <w:t xml:space="preserve">ЭС</w:t>
            </w:r>
            <w:r/>
          </w:p>
        </w:tc>
        <w:tc>
          <w:tcPr>
            <w:shd w:val="clear" w:fill="auto" w:color="auto"/>
            <w:tcW w:w="5376" w:type="dxa"/>
            <w:textDirection w:val="lrTb"/>
            <w:noWrap w:val="false"/>
          </w:tcPr>
          <w:p>
            <w:pPr>
              <w:pStyle w:val="1005"/>
              <w:ind w:left="57" w:right="57"/>
              <w:rPr>
                <w:rFonts w:eastAsia="Calibri"/>
              </w:rPr>
            </w:pPr>
            <w:r>
              <w:t xml:space="preserve">Уникальный идентификатор составителя ЭС.</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Наименование плательщика</w:t>
            </w:r>
            <w:r/>
          </w:p>
        </w:tc>
        <w:tc>
          <w:tcPr>
            <w:shd w:val="clear" w:fill="auto" w:color="auto"/>
            <w:tcW w:w="5376" w:type="dxa"/>
            <w:textDirection w:val="lrTb"/>
            <w:noWrap w:val="false"/>
          </w:tcPr>
          <w:p>
            <w:pPr>
              <w:pStyle w:val="1005"/>
              <w:ind w:left="57" w:right="57"/>
              <w:rPr>
                <w:rFonts w:eastAsia="Calibri"/>
              </w:rPr>
            </w:pPr>
            <w:r>
              <w:rPr>
                <w:rFonts w:eastAsia="Calibri"/>
              </w:rPr>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Расчетный счет плательщика</w:t>
            </w:r>
            <w:r/>
          </w:p>
        </w:tc>
        <w:tc>
          <w:tcPr>
            <w:shd w:val="clear" w:fill="auto" w:color="auto"/>
            <w:tcW w:w="5376" w:type="dxa"/>
            <w:textDirection w:val="lrTb"/>
            <w:noWrap w:val="false"/>
          </w:tcPr>
          <w:p>
            <w:pPr>
              <w:pStyle w:val="1005"/>
              <w:ind w:left="57" w:right="57"/>
            </w:pPr>
            <w:r>
              <w:rPr>
                <w:rFonts w:eastAsia="Calibri"/>
              </w:rPr>
              <w:t xml:space="preserve">С</w:t>
            </w:r>
            <w:r>
              <w:rPr>
                <w:rFonts w:eastAsia="Calibri"/>
              </w:rPr>
              <w:t xml:space="preserve">чет плательщика.</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БИК банка плательщика</w:t>
            </w:r>
            <w:r/>
          </w:p>
        </w:tc>
        <w:tc>
          <w:tcPr>
            <w:shd w:val="clear" w:fill="auto" w:color="auto"/>
            <w:tcW w:w="5376" w:type="dxa"/>
            <w:textDirection w:val="lrTb"/>
            <w:noWrap w:val="false"/>
          </w:tcPr>
          <w:p>
            <w:pPr>
              <w:pStyle w:val="1005"/>
              <w:ind w:left="57" w:right="57"/>
            </w:pPr>
            <w:r>
              <w:rPr>
                <w:rFonts w:eastAsia="Calibri"/>
              </w:rPr>
              <w:t xml:space="preserve">БИК банка плательщика.</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Наименование банка плательщика</w:t>
            </w:r>
            <w:r/>
          </w:p>
        </w:tc>
        <w:tc>
          <w:tcPr>
            <w:shd w:val="clear" w:fill="auto" w:color="auto"/>
            <w:tcW w:w="5376" w:type="dxa"/>
            <w:textDirection w:val="lrTb"/>
            <w:noWrap w:val="false"/>
          </w:tcPr>
          <w:p>
            <w:pPr>
              <w:pStyle w:val="1005"/>
              <w:ind w:left="57" w:right="57"/>
            </w:pPr>
            <w:r>
              <w:rPr>
                <w:rFonts w:eastAsia="Calibri"/>
              </w:rPr>
              <w:t xml:space="preserve">Наименование банка плательщика.</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Корсчет банка плательщика</w:t>
            </w:r>
            <w:r/>
          </w:p>
        </w:tc>
        <w:tc>
          <w:tcPr>
            <w:shd w:val="clear" w:fill="auto" w:color="auto"/>
            <w:tcW w:w="5376" w:type="dxa"/>
            <w:textDirection w:val="lrTb"/>
            <w:noWrap w:val="false"/>
          </w:tcPr>
          <w:p>
            <w:pPr>
              <w:pStyle w:val="1005"/>
              <w:ind w:left="57" w:right="57"/>
            </w:pPr>
            <w:r>
              <w:rPr>
                <w:rFonts w:eastAsia="Calibri"/>
              </w:rPr>
              <w:t xml:space="preserve">Корсчет банка плательщика.</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Наименование получателя</w:t>
            </w:r>
            <w:r/>
          </w:p>
        </w:tc>
        <w:tc>
          <w:tcPr>
            <w:shd w:val="clear" w:fill="auto" w:color="auto"/>
            <w:tcW w:w="5376" w:type="dxa"/>
            <w:textDirection w:val="lrTb"/>
            <w:noWrap w:val="false"/>
          </w:tcPr>
          <w:p>
            <w:pPr>
              <w:pStyle w:val="1005"/>
              <w:ind w:left="57" w:right="57"/>
            </w:pPr>
            <w:r>
              <w:rPr>
                <w:rFonts w:eastAsia="Calibri"/>
              </w:rPr>
              <w:t xml:space="preserve">Наименование получателя.</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Расчетный счет получателя</w:t>
            </w:r>
            <w:r/>
          </w:p>
        </w:tc>
        <w:tc>
          <w:tcPr>
            <w:shd w:val="clear" w:fill="auto" w:color="auto"/>
            <w:tcW w:w="5376" w:type="dxa"/>
            <w:textDirection w:val="lrTb"/>
            <w:noWrap w:val="false"/>
          </w:tcPr>
          <w:p>
            <w:pPr>
              <w:pStyle w:val="1005"/>
              <w:ind w:left="57" w:right="57"/>
            </w:pPr>
            <w:r>
              <w:rPr>
                <w:rFonts w:eastAsia="Calibri"/>
              </w:rPr>
              <w:t xml:space="preserve">С</w:t>
            </w:r>
            <w:r>
              <w:rPr>
                <w:rFonts w:eastAsia="Calibri"/>
              </w:rPr>
              <w:t xml:space="preserve">чет получателя.</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БИК банка получателя</w:t>
            </w:r>
            <w:r/>
          </w:p>
        </w:tc>
        <w:tc>
          <w:tcPr>
            <w:shd w:val="clear" w:fill="auto" w:color="auto"/>
            <w:tcW w:w="5376" w:type="dxa"/>
            <w:textDirection w:val="lrTb"/>
            <w:noWrap w:val="false"/>
          </w:tcPr>
          <w:p>
            <w:pPr>
              <w:pStyle w:val="1005"/>
              <w:ind w:left="57" w:right="57"/>
            </w:pPr>
            <w:r>
              <w:rPr>
                <w:rFonts w:eastAsia="Calibri"/>
              </w:rPr>
              <w:t xml:space="preserve">БИК банка получателя.</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Наименование банка получателя</w:t>
            </w:r>
            <w:r/>
          </w:p>
        </w:tc>
        <w:tc>
          <w:tcPr>
            <w:shd w:val="clear" w:fill="auto" w:color="auto"/>
            <w:tcW w:w="5376" w:type="dxa"/>
            <w:textDirection w:val="lrTb"/>
            <w:noWrap w:val="false"/>
          </w:tcPr>
          <w:p>
            <w:pPr>
              <w:pStyle w:val="1005"/>
              <w:ind w:left="57" w:right="57"/>
            </w:pPr>
            <w:r>
              <w:rPr>
                <w:rFonts w:eastAsia="Calibri"/>
              </w:rPr>
              <w:t xml:space="preserve">Наименование банка получателя.</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Корсчет банка получателя</w:t>
            </w:r>
            <w:r/>
          </w:p>
        </w:tc>
        <w:tc>
          <w:tcPr>
            <w:shd w:val="clear" w:fill="auto" w:color="auto"/>
            <w:tcW w:w="5376" w:type="dxa"/>
            <w:textDirection w:val="lrTb"/>
            <w:noWrap w:val="false"/>
          </w:tcPr>
          <w:p>
            <w:pPr>
              <w:pStyle w:val="1005"/>
              <w:ind w:left="57" w:right="57"/>
            </w:pPr>
            <w:r>
              <w:rPr>
                <w:rFonts w:eastAsia="Calibri"/>
              </w:rPr>
              <w:t xml:space="preserve">Корсчет банка получателя.</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Срок платежа</w:t>
            </w:r>
            <w:r/>
          </w:p>
        </w:tc>
        <w:tc>
          <w:tcPr>
            <w:shd w:val="clear" w:fill="auto" w:color="auto"/>
            <w:tcW w:w="5376" w:type="dxa"/>
            <w:textDirection w:val="lrTb"/>
            <w:noWrap w:val="false"/>
          </w:tcPr>
          <w:p>
            <w:pPr>
              <w:pStyle w:val="1005"/>
              <w:ind w:left="57" w:right="57"/>
            </w:pPr>
            <w:r>
              <w:rPr>
                <w:rFonts w:eastAsia="Calibri"/>
              </w:rPr>
              <w:t xml:space="preserve">Срок платежа.</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Очередность платежа</w:t>
            </w:r>
            <w:r/>
          </w:p>
        </w:tc>
        <w:tc>
          <w:tcPr>
            <w:shd w:val="clear" w:fill="auto" w:color="auto"/>
            <w:tcW w:w="5376" w:type="dxa"/>
            <w:textDirection w:val="lrTb"/>
            <w:noWrap w:val="false"/>
          </w:tcPr>
          <w:p>
            <w:pPr>
              <w:pStyle w:val="1005"/>
              <w:ind w:left="57" w:right="57"/>
            </w:pPr>
            <w:r>
              <w:rPr>
                <w:rFonts w:eastAsia="Calibri"/>
              </w:rPr>
              <w:t xml:space="preserve">Очередность платежа.</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Код</w:t>
            </w:r>
            <w:r/>
          </w:p>
        </w:tc>
        <w:tc>
          <w:tcPr>
            <w:shd w:val="clear" w:fill="auto" w:color="auto"/>
            <w:tcW w:w="5376" w:type="dxa"/>
            <w:textDirection w:val="lrTb"/>
            <w:noWrap w:val="false"/>
          </w:tcPr>
          <w:p>
            <w:pPr>
              <w:pStyle w:val="1005"/>
              <w:ind w:left="57" w:right="57"/>
              <w:rPr>
                <w:rFonts w:eastAsia="Calibri"/>
              </w:rPr>
            </w:pPr>
            <w:r>
              <w:rPr>
                <w:rFonts w:eastAsia="Calibri"/>
              </w:rPr>
              <w:t xml:space="preserve">Уникальный идентификатор начисления (Код).</w:t>
            </w:r>
            <w:r/>
          </w:p>
          <w:p>
            <w:pPr>
              <w:pStyle w:val="1005"/>
              <w:ind w:left="57" w:right="57"/>
              <w:rPr>
                <w:rFonts w:eastAsia="Calibri"/>
              </w:rPr>
            </w:pPr>
            <w:r>
              <w:rPr>
                <w:rFonts w:eastAsia="Calibri"/>
              </w:rPr>
              <w:t xml:space="preserve">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Назначение платежа</w:t>
            </w:r>
            <w:r/>
          </w:p>
        </w:tc>
        <w:tc>
          <w:tcPr>
            <w:shd w:val="clear" w:fill="auto" w:color="auto"/>
            <w:tcW w:w="5376" w:type="dxa"/>
            <w:textDirection w:val="lrTb"/>
            <w:noWrap w:val="false"/>
          </w:tcPr>
          <w:p>
            <w:pPr>
              <w:pStyle w:val="1005"/>
              <w:ind w:left="57" w:right="57"/>
            </w:pPr>
            <w:r>
              <w:rPr>
                <w:rFonts w:eastAsia="Calibri"/>
              </w:rPr>
              <w:t xml:space="preserve">Назначение платежа.</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Статус составителя расчетного документа</w:t>
            </w:r>
            <w:r/>
          </w:p>
        </w:tc>
        <w:tc>
          <w:tcPr>
            <w:shd w:val="clear" w:fill="auto" w:color="auto"/>
            <w:tcW w:w="5376" w:type="dxa"/>
            <w:textDirection w:val="lrTb"/>
            <w:noWrap w:val="false"/>
          </w:tcPr>
          <w:p>
            <w:pPr>
              <w:pStyle w:val="1005"/>
              <w:ind w:left="57" w:right="57"/>
            </w:pPr>
            <w:r>
              <w:rPr>
                <w:rFonts w:eastAsia="Calibri"/>
              </w:rPr>
              <w:t xml:space="preserve">Статус составителя расчетного документа.</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Код бюджетной классификации</w:t>
            </w:r>
            <w:r/>
          </w:p>
        </w:tc>
        <w:tc>
          <w:tcPr>
            <w:shd w:val="clear" w:fill="auto" w:color="auto"/>
            <w:tcW w:w="5376" w:type="dxa"/>
            <w:textDirection w:val="lrTb"/>
            <w:noWrap w:val="false"/>
          </w:tcPr>
          <w:p>
            <w:pPr>
              <w:pStyle w:val="1005"/>
              <w:ind w:left="57" w:right="57"/>
            </w:pPr>
            <w:r>
              <w:rPr>
                <w:rFonts w:eastAsia="Calibri"/>
              </w:rPr>
              <w:t xml:space="preserve">Код бюджетной классификации.</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Код по ОКТМО</w:t>
            </w:r>
            <w:r/>
          </w:p>
        </w:tc>
        <w:tc>
          <w:tcPr>
            <w:shd w:val="clear" w:fill="auto" w:color="auto"/>
            <w:tcW w:w="5376" w:type="dxa"/>
            <w:textDirection w:val="lrTb"/>
            <w:noWrap w:val="false"/>
          </w:tcPr>
          <w:p>
            <w:pPr>
              <w:pStyle w:val="1005"/>
              <w:ind w:left="57" w:right="57"/>
            </w:pPr>
            <w:r>
              <w:rPr>
                <w:rFonts w:eastAsia="Calibri"/>
              </w:rPr>
              <w:t xml:space="preserve">Код по ОКТМО.</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Показатель основания платежа</w:t>
            </w:r>
            <w:r/>
          </w:p>
        </w:tc>
        <w:tc>
          <w:tcPr>
            <w:shd w:val="clear" w:fill="auto" w:color="auto"/>
            <w:tcW w:w="5376" w:type="dxa"/>
            <w:textDirection w:val="lrTb"/>
            <w:noWrap w:val="false"/>
          </w:tcPr>
          <w:p>
            <w:pPr>
              <w:pStyle w:val="1005"/>
              <w:ind w:left="57" w:right="57"/>
            </w:pPr>
            <w:r>
              <w:rPr>
                <w:rFonts w:eastAsia="Calibri"/>
              </w:rPr>
              <w:t xml:space="preserve">Показатель основания платежа.</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Показатель налогового периода</w:t>
            </w:r>
            <w:r/>
          </w:p>
        </w:tc>
        <w:tc>
          <w:tcPr>
            <w:shd w:val="clear" w:fill="auto" w:color="auto"/>
            <w:tcW w:w="5376" w:type="dxa"/>
            <w:textDirection w:val="lrTb"/>
            <w:noWrap w:val="false"/>
          </w:tcPr>
          <w:p>
            <w:pPr>
              <w:pStyle w:val="1005"/>
              <w:ind w:left="57" w:right="57"/>
            </w:pPr>
            <w:r>
              <w:rPr>
                <w:rFonts w:eastAsia="Calibri"/>
              </w:rPr>
              <w:t xml:space="preserve">Показатель налогового периода.</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Показатель номера документа</w:t>
            </w:r>
            <w:r/>
          </w:p>
        </w:tc>
        <w:tc>
          <w:tcPr>
            <w:shd w:val="clear" w:fill="auto" w:color="auto"/>
            <w:tcW w:w="5376" w:type="dxa"/>
            <w:textDirection w:val="lrTb"/>
            <w:noWrap w:val="false"/>
          </w:tcPr>
          <w:p>
            <w:pPr>
              <w:pStyle w:val="1005"/>
              <w:ind w:left="57" w:right="57"/>
            </w:pPr>
            <w:r>
              <w:rPr>
                <w:rFonts w:eastAsia="Calibri"/>
              </w:rPr>
              <w:t xml:space="preserve">Показатель номера документа.</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Показатель даты документа</w:t>
            </w:r>
            <w:r/>
          </w:p>
        </w:tc>
        <w:tc>
          <w:tcPr>
            <w:shd w:val="clear" w:fill="auto" w:color="auto"/>
            <w:tcW w:w="5376" w:type="dxa"/>
            <w:textDirection w:val="lrTb"/>
            <w:noWrap w:val="false"/>
          </w:tcPr>
          <w:p>
            <w:pPr>
              <w:pStyle w:val="1005"/>
              <w:ind w:left="57" w:right="57"/>
            </w:pPr>
            <w:r>
              <w:rPr>
                <w:rFonts w:eastAsia="Calibri"/>
              </w:rPr>
              <w:t xml:space="preserve">Показатель даты документа.</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Тип платежа</w:t>
            </w:r>
            <w:r/>
          </w:p>
        </w:tc>
        <w:tc>
          <w:tcPr>
            <w:shd w:val="clear" w:fill="auto" w:color="auto"/>
            <w:tcW w:w="5376" w:type="dxa"/>
            <w:textDirection w:val="lrTb"/>
            <w:noWrap w:val="false"/>
          </w:tcPr>
          <w:p>
            <w:pPr>
              <w:pStyle w:val="1005"/>
              <w:ind w:left="57" w:right="57"/>
            </w:pPr>
            <w:r>
              <w:rPr>
                <w:rFonts w:eastAsia="Calibri"/>
              </w:rPr>
              <w:t xml:space="preserve">Тип платежа.</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Номер частичного платежа</w:t>
            </w:r>
            <w:r/>
          </w:p>
        </w:tc>
        <w:tc>
          <w:tcPr>
            <w:shd w:val="clear" w:fill="auto" w:color="auto"/>
            <w:tcW w:w="5376" w:type="dxa"/>
            <w:textDirection w:val="lrTb"/>
            <w:noWrap w:val="false"/>
          </w:tcPr>
          <w:p>
            <w:pPr>
              <w:pStyle w:val="1005"/>
              <w:ind w:left="57" w:right="57"/>
            </w:pPr>
            <w:r>
              <w:rPr>
                <w:rFonts w:eastAsia="Calibri"/>
              </w:rPr>
              <w:t xml:space="preserve">Номер частичного платежа.</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Шифр платежного документа</w:t>
            </w:r>
            <w:r/>
          </w:p>
        </w:tc>
        <w:tc>
          <w:tcPr>
            <w:shd w:val="clear" w:fill="auto" w:color="auto"/>
            <w:tcW w:w="5376" w:type="dxa"/>
            <w:textDirection w:val="lrTb"/>
            <w:noWrap w:val="false"/>
          </w:tcPr>
          <w:p>
            <w:pPr>
              <w:pStyle w:val="1005"/>
              <w:ind w:left="57" w:right="57"/>
            </w:pPr>
            <w:r>
              <w:rPr>
                <w:rFonts w:eastAsia="Calibri"/>
              </w:rPr>
              <w:t xml:space="preserve">Шифр платежного документа.</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Номер платежного документа</w:t>
            </w:r>
            <w:r/>
          </w:p>
        </w:tc>
        <w:tc>
          <w:tcPr>
            <w:shd w:val="clear" w:fill="auto" w:color="auto"/>
            <w:tcW w:w="5376" w:type="dxa"/>
            <w:textDirection w:val="lrTb"/>
            <w:noWrap w:val="false"/>
          </w:tcPr>
          <w:p>
            <w:pPr>
              <w:pStyle w:val="1005"/>
              <w:ind w:left="57" w:right="57"/>
            </w:pPr>
            <w:r>
              <w:rPr>
                <w:rFonts w:eastAsia="Calibri"/>
              </w:rPr>
              <w:t xml:space="preserve">Номер платежного документа.</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Дата платежного документа</w:t>
            </w:r>
            <w:r/>
          </w:p>
        </w:tc>
        <w:tc>
          <w:tcPr>
            <w:shd w:val="clear" w:fill="auto" w:color="auto"/>
            <w:tcW w:w="5376" w:type="dxa"/>
            <w:textDirection w:val="lrTb"/>
            <w:noWrap w:val="false"/>
          </w:tcPr>
          <w:p>
            <w:pPr>
              <w:pStyle w:val="1005"/>
              <w:ind w:left="57" w:right="57"/>
            </w:pPr>
            <w:r>
              <w:rPr>
                <w:rFonts w:eastAsia="Calibri"/>
              </w:rPr>
              <w:t xml:space="preserve">Дата платежного документа.</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Сумма остатка платежа</w:t>
            </w:r>
            <w:r/>
          </w:p>
        </w:tc>
        <w:tc>
          <w:tcPr>
            <w:shd w:val="clear" w:fill="auto" w:color="auto"/>
            <w:tcW w:w="5376" w:type="dxa"/>
            <w:textDirection w:val="lrTb"/>
            <w:noWrap w:val="false"/>
          </w:tcPr>
          <w:p>
            <w:pPr>
              <w:pStyle w:val="1005"/>
              <w:ind w:left="57" w:right="57"/>
            </w:pPr>
            <w:r>
              <w:rPr>
                <w:rFonts w:eastAsia="Calibri"/>
              </w:rPr>
              <w:t xml:space="preserve">Сумма остатка платежа.</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Содержание операции</w:t>
            </w:r>
            <w:r/>
          </w:p>
        </w:tc>
        <w:tc>
          <w:tcPr>
            <w:shd w:val="clear" w:fill="auto" w:color="auto"/>
            <w:tcW w:w="5376" w:type="dxa"/>
            <w:textDirection w:val="lrTb"/>
            <w:noWrap w:val="false"/>
          </w:tcPr>
          <w:p>
            <w:pPr>
              <w:pStyle w:val="1005"/>
              <w:ind w:left="57" w:right="57"/>
            </w:pPr>
            <w:r>
              <w:rPr>
                <w:rFonts w:eastAsia="Calibri"/>
              </w:rPr>
              <w:t xml:space="preserve">Содержание операции.</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Дата выписки</w:t>
            </w:r>
            <w:r/>
          </w:p>
        </w:tc>
        <w:tc>
          <w:tcPr>
            <w:shd w:val="clear" w:fill="auto" w:color="auto"/>
            <w:tcW w:w="5376" w:type="dxa"/>
            <w:textDirection w:val="lrTb"/>
            <w:noWrap w:val="false"/>
          </w:tcPr>
          <w:p>
            <w:pPr>
              <w:pStyle w:val="1005"/>
              <w:ind w:left="57" w:right="57"/>
            </w:pPr>
            <w:r>
              <w:rPr>
                <w:rFonts w:eastAsia="Calibri"/>
              </w:rPr>
              <w:t xml:space="preserve">Дата выписки.</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Глобальный идентификатор</w:t>
            </w:r>
            <w:r/>
          </w:p>
        </w:tc>
        <w:tc>
          <w:tcPr>
            <w:shd w:val="clear" w:fill="auto" w:color="auto"/>
            <w:tcW w:w="5376" w:type="dxa"/>
            <w:textDirection w:val="lrTb"/>
            <w:noWrap w:val="false"/>
          </w:tcPr>
          <w:p>
            <w:pPr>
              <w:pStyle w:val="1005"/>
              <w:ind w:left="57" w:right="57"/>
            </w:pPr>
            <w:r>
              <w:rPr>
                <w:rFonts w:eastAsia="Calibri"/>
              </w:rPr>
              <w:t xml:space="preserve">Глобальный уникальный идентификатор документа, присвоенный ТОФК.</w:t>
            </w:r>
            <w:r/>
          </w:p>
        </w:tc>
      </w:tr>
      <w:tr>
        <w:trPr>
          <w:trHeight w:val="20"/>
        </w:trPr>
        <w:tc>
          <w:tcPr>
            <w:shd w:val="clear" w:fill="auto" w:color="auto"/>
            <w:tcW w:w="4376" w:type="dxa"/>
            <w:textDirection w:val="lrTb"/>
            <w:noWrap w:val="false"/>
          </w:tcPr>
          <w:p>
            <w:pPr>
              <w:pStyle w:val="1005"/>
              <w:ind w:left="57" w:right="57"/>
              <w:rPr>
                <w:rFonts w:eastAsia="Calibri"/>
              </w:rPr>
            </w:pPr>
            <w:r>
              <w:t xml:space="preserve">Идентификатор контракта</w:t>
            </w:r>
            <w:r/>
          </w:p>
        </w:tc>
        <w:tc>
          <w:tcPr>
            <w:shd w:val="clear" w:fill="auto" w:color="auto"/>
            <w:tcW w:w="5376" w:type="dxa"/>
            <w:textDirection w:val="lrTb"/>
            <w:noWrap w:val="false"/>
          </w:tcPr>
          <w:p>
            <w:pPr>
              <w:pStyle w:val="1005"/>
              <w:ind w:left="57" w:right="57"/>
              <w:rPr>
                <w:rFonts w:eastAsia="Calibri"/>
              </w:rPr>
            </w:pPr>
            <w:r>
              <w:t xml:space="preserve">Идентификатор государственного контракта (контракта, договора, соглашения).</w:t>
            </w:r>
            <w:r/>
          </w:p>
        </w:tc>
      </w:tr>
      <w:tr>
        <w:trPr>
          <w:trHeight w:val="20"/>
        </w:trPr>
        <w:tc>
          <w:tcPr>
            <w:shd w:val="clear" w:fill="auto" w:color="auto"/>
            <w:tcW w:w="4376" w:type="dxa"/>
            <w:textDirection w:val="lrTb"/>
            <w:noWrap w:val="false"/>
          </w:tcPr>
          <w:p>
            <w:pPr>
              <w:pStyle w:val="1005"/>
              <w:ind w:left="57" w:right="57"/>
              <w:rPr>
                <w:rFonts w:eastAsia="Calibri"/>
              </w:rPr>
            </w:pPr>
            <w:r>
              <w:t xml:space="preserve">Номер </w:t>
            </w:r>
            <w:r>
              <w:t xml:space="preserve">КОО</w:t>
            </w:r>
            <w:r/>
          </w:p>
        </w:tc>
        <w:tc>
          <w:tcPr>
            <w:shd w:val="clear" w:fill="auto" w:color="auto"/>
            <w:tcW w:w="5376" w:type="dxa"/>
            <w:textDirection w:val="lrTb"/>
            <w:noWrap w:val="false"/>
          </w:tcPr>
          <w:p>
            <w:pPr>
              <w:pStyle w:val="1005"/>
              <w:ind w:left="57" w:right="57"/>
              <w:rPr>
                <w:rFonts w:eastAsia="Calibri"/>
              </w:rPr>
            </w:pPr>
            <w:r>
              <w:rPr>
                <w:rFonts w:eastAsia="Calibri"/>
              </w:rPr>
              <w:t xml:space="preserve">Номер КОО</w:t>
            </w:r>
            <w:r/>
          </w:p>
        </w:tc>
      </w:tr>
      <w:tr>
        <w:trPr>
          <w:trHeight w:val="20"/>
        </w:trPr>
        <w:tc>
          <w:tcPr>
            <w:shd w:val="clear" w:fill="auto" w:color="auto"/>
            <w:tcW w:w="4376" w:type="dxa"/>
            <w:textDirection w:val="lrTb"/>
            <w:noWrap w:val="false"/>
          </w:tcPr>
          <w:p>
            <w:pPr>
              <w:pStyle w:val="1005"/>
              <w:ind w:left="57" w:right="57"/>
              <w:rPr>
                <w:rFonts w:eastAsia="Calibri"/>
              </w:rPr>
            </w:pPr>
            <w:r>
              <w:t xml:space="preserve">Сумма НДС, итого</w:t>
            </w:r>
            <w:r/>
          </w:p>
        </w:tc>
        <w:tc>
          <w:tcPr>
            <w:shd w:val="clear" w:fill="auto" w:color="auto"/>
            <w:tcW w:w="5376" w:type="dxa"/>
            <w:textDirection w:val="lrTb"/>
            <w:noWrap w:val="false"/>
          </w:tcPr>
          <w:p>
            <w:pPr>
              <w:pStyle w:val="1005"/>
              <w:ind w:left="57" w:right="57"/>
              <w:rPr>
                <w:rFonts w:eastAsia="Calibri"/>
              </w:rPr>
            </w:pPr>
            <w:r>
              <w:t xml:space="preserve">Сумма НДС по документу.</w:t>
            </w:r>
            <w:r/>
          </w:p>
        </w:tc>
      </w:tr>
      <w:tr>
        <w:trPr>
          <w:trHeight w:val="20"/>
        </w:trPr>
        <w:tc>
          <w:tcPr>
            <w:gridSpan w:val="2"/>
            <w:shd w:val="clear" w:fill="auto" w:color="auto"/>
            <w:tcW w:w="9752" w:type="dxa"/>
            <w:textDirection w:val="lrTb"/>
            <w:noWrap w:val="false"/>
          </w:tcPr>
          <w:p>
            <w:pPr>
              <w:pStyle w:val="1005"/>
              <w:ind w:left="57" w:right="57"/>
            </w:pPr>
            <w:r>
              <w:t xml:space="preserve">Группа полей «Расшифровка по КБК</w:t>
            </w:r>
            <w:r>
              <w:t xml:space="preserve">»</w:t>
            </w:r>
            <w:r>
              <w:t xml:space="preserve"> (де</w:t>
            </w:r>
            <w:r>
              <w:t xml:space="preserve">тализация расчётных документов)</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КБК</w:t>
            </w:r>
            <w:r>
              <w:rPr>
                <w:rFonts w:eastAsia="Calibri"/>
              </w:rPr>
              <w:tab/>
            </w:r>
            <w:r/>
          </w:p>
        </w:tc>
        <w:tc>
          <w:tcPr>
            <w:shd w:val="clear" w:fill="auto" w:color="auto"/>
            <w:tcW w:w="5376" w:type="dxa"/>
            <w:textDirection w:val="lrTb"/>
            <w:noWrap w:val="false"/>
          </w:tcPr>
          <w:p>
            <w:pPr>
              <w:pStyle w:val="1005"/>
              <w:ind w:left="57" w:right="57"/>
            </w:pPr>
            <w:r>
              <w:t xml:space="preserve">Код бюджетной классификации.</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Тип КБК (наименование)</w:t>
            </w:r>
            <w:r/>
          </w:p>
        </w:tc>
        <w:tc>
          <w:tcPr>
            <w:shd w:val="clear" w:fill="auto" w:color="auto"/>
            <w:tcW w:w="5376" w:type="dxa"/>
            <w:textDirection w:val="lrTb"/>
            <w:noWrap w:val="false"/>
          </w:tcPr>
          <w:p>
            <w:pPr>
              <w:pStyle w:val="1005"/>
              <w:ind w:left="57" w:right="57"/>
            </w:pPr>
            <w:r>
              <w:rPr>
                <w:rFonts w:eastAsia="Calibri"/>
              </w:rPr>
              <w:t xml:space="preserve">Наименование типа КБК.</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Сумма</w:t>
            </w:r>
            <w:r/>
          </w:p>
        </w:tc>
        <w:tc>
          <w:tcPr>
            <w:shd w:val="clear" w:fill="auto" w:color="auto"/>
            <w:tcW w:w="5376" w:type="dxa"/>
            <w:textDirection w:val="lrTb"/>
            <w:noWrap w:val="false"/>
          </w:tcPr>
          <w:p>
            <w:pPr>
              <w:pStyle w:val="1005"/>
              <w:ind w:left="57" w:right="57"/>
            </w:pPr>
            <w:r>
              <w:rPr>
                <w:rFonts w:eastAsia="Calibri"/>
              </w:rPr>
              <w:t xml:space="preserve">Сумма документа.</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Сумма НДС</w:t>
            </w:r>
            <w:r/>
          </w:p>
        </w:tc>
        <w:tc>
          <w:tcPr>
            <w:shd w:val="clear" w:fill="auto" w:color="auto"/>
            <w:tcW w:w="5376" w:type="dxa"/>
            <w:textDirection w:val="lrTb"/>
            <w:noWrap w:val="false"/>
          </w:tcPr>
          <w:p>
            <w:pPr>
              <w:pStyle w:val="1005"/>
              <w:ind w:left="57" w:right="57"/>
              <w:rPr>
                <w:rFonts w:eastAsia="Calibri"/>
              </w:rPr>
            </w:pPr>
            <w:r>
              <w:rPr>
                <w:rFonts w:eastAsia="Calibri"/>
              </w:rPr>
              <w:t xml:space="preserve">Сумма НДС по документу.</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Направление платежа (наименование)</w:t>
            </w:r>
            <w:r/>
          </w:p>
        </w:tc>
        <w:tc>
          <w:tcPr>
            <w:shd w:val="clear" w:fill="auto" w:color="auto"/>
            <w:tcW w:w="5376" w:type="dxa"/>
            <w:textDirection w:val="lrTb"/>
            <w:noWrap w:val="false"/>
          </w:tcPr>
          <w:p>
            <w:pPr>
              <w:pStyle w:val="1005"/>
              <w:ind w:left="57" w:right="57"/>
              <w:rPr>
                <w:rFonts w:eastAsia="Calibri"/>
              </w:rPr>
            </w:pPr>
            <w:r>
              <w:rPr>
                <w:rFonts w:eastAsia="Calibri"/>
              </w:rPr>
              <w:t xml:space="preserve">Наименование направления платежа. </w:t>
            </w:r>
            <w:r/>
          </w:p>
          <w:p>
            <w:pPr>
              <w:pStyle w:val="1005"/>
              <w:ind w:left="57" w:right="57"/>
            </w:pPr>
            <w:r>
              <w:t xml:space="preserve">Допустимые значения:</w:t>
            </w:r>
            <w:r/>
          </w:p>
          <w:p>
            <w:pPr>
              <w:pStyle w:val="1007"/>
            </w:pPr>
            <w:r>
              <w:t xml:space="preserve">0 </w:t>
            </w:r>
            <w:r>
              <w:t xml:space="preserve">–</w:t>
            </w:r>
            <w:r>
              <w:t xml:space="preserve"> зачисление;</w:t>
            </w:r>
            <w:r/>
          </w:p>
          <w:p>
            <w:pPr>
              <w:pStyle w:val="1007"/>
            </w:pPr>
            <w:r>
              <w:t xml:space="preserve">1 </w:t>
            </w:r>
            <w:r>
              <w:t xml:space="preserve">–</w:t>
            </w:r>
            <w:r>
              <w:t xml:space="preserve"> списание.</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Код цели</w:t>
            </w:r>
            <w:r/>
          </w:p>
        </w:tc>
        <w:tc>
          <w:tcPr>
            <w:shd w:val="clear" w:fill="auto" w:color="auto"/>
            <w:tcW w:w="5376" w:type="dxa"/>
            <w:textDirection w:val="lrTb"/>
            <w:noWrap w:val="false"/>
          </w:tcPr>
          <w:p>
            <w:pPr>
              <w:pStyle w:val="1005"/>
              <w:ind w:left="57" w:right="57"/>
            </w:pPr>
            <w:r>
              <w:rPr>
                <w:rFonts w:eastAsia="Calibri"/>
              </w:rPr>
              <w:t xml:space="preserve">Код цели.</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Номер бюджетного обязательства</w:t>
            </w:r>
            <w:r/>
          </w:p>
        </w:tc>
        <w:tc>
          <w:tcPr>
            <w:shd w:val="clear" w:fill="auto" w:color="auto"/>
            <w:tcW w:w="5376" w:type="dxa"/>
            <w:textDirection w:val="lrTb"/>
            <w:noWrap w:val="false"/>
          </w:tcPr>
          <w:p>
            <w:pPr>
              <w:pStyle w:val="1005"/>
              <w:ind w:left="57" w:right="57"/>
            </w:pPr>
            <w:r>
              <w:t xml:space="preserve">Учетный номер БО, присвоенный в ТОФК.</w:t>
            </w:r>
            <w:r/>
          </w:p>
          <w:p>
            <w:pPr>
              <w:pStyle w:val="1005"/>
              <w:ind w:left="57" w:right="57"/>
            </w:pPr>
            <w:r>
              <w:t xml:space="preserve">Не заполняется в случае отсутствия БО.</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Код по ОКТМО</w:t>
            </w:r>
            <w:r/>
          </w:p>
        </w:tc>
        <w:tc>
          <w:tcPr>
            <w:shd w:val="clear" w:fill="auto" w:color="auto"/>
            <w:tcW w:w="5376" w:type="dxa"/>
            <w:textDirection w:val="lrTb"/>
            <w:noWrap w:val="false"/>
          </w:tcPr>
          <w:p>
            <w:pPr>
              <w:pStyle w:val="1005"/>
              <w:ind w:left="57" w:right="57"/>
            </w:pPr>
            <w:r>
              <w:rPr>
                <w:rFonts w:eastAsia="Calibri"/>
              </w:rPr>
              <w:t xml:space="preserve">Указывается код в соответствии с ОКТМО.</w:t>
            </w:r>
            <w:r/>
          </w:p>
        </w:tc>
      </w:tr>
      <w:tr>
        <w:trPr>
          <w:trHeight w:val="20"/>
        </w:trPr>
        <w:tc>
          <w:tcPr>
            <w:shd w:val="clear" w:fill="auto" w:color="auto"/>
            <w:tcW w:w="4376" w:type="dxa"/>
            <w:textDirection w:val="lrTb"/>
            <w:noWrap w:val="false"/>
          </w:tcPr>
          <w:p>
            <w:pPr>
              <w:pStyle w:val="1005"/>
              <w:ind w:left="57" w:right="57"/>
              <w:rPr>
                <w:rFonts w:eastAsia="Calibri"/>
              </w:rPr>
            </w:pPr>
            <w:r>
              <w:rPr>
                <w:rFonts w:eastAsia="Calibri"/>
              </w:rPr>
              <w:t xml:space="preserve">Месяц финансирования</w:t>
            </w:r>
            <w:r/>
          </w:p>
        </w:tc>
        <w:tc>
          <w:tcPr>
            <w:shd w:val="clear" w:fill="auto" w:color="auto"/>
            <w:tcW w:w="5376" w:type="dxa"/>
            <w:textDirection w:val="lrTb"/>
            <w:noWrap w:val="false"/>
          </w:tcPr>
          <w:p>
            <w:pPr>
              <w:pStyle w:val="1005"/>
              <w:ind w:left="57" w:right="57"/>
            </w:pPr>
            <w:r>
              <w:rPr>
                <w:rFonts w:eastAsia="Calibri"/>
              </w:rPr>
              <w:t xml:space="preserve">Месяц финансирования.</w:t>
            </w:r>
            <w:r/>
          </w:p>
        </w:tc>
      </w:tr>
    </w:tbl>
    <w:p>
      <w:pPr>
        <w:pStyle w:val="994"/>
      </w:pPr>
      <w:r>
        <w:t xml:space="preserve">ЭФ документа «</w:t>
      </w:r>
      <w:r>
        <w:t xml:space="preserve">Информация из РД</w:t>
      </w:r>
      <w:r>
        <w:t xml:space="preserve">», закладки «</w:t>
      </w:r>
      <w:r>
        <w:t xml:space="preserve">Распоряжения о совершении казначейского платежа</w:t>
      </w:r>
      <w:r>
        <w:t xml:space="preserve">»</w:t>
      </w:r>
      <w:r>
        <w:t xml:space="preserve"> представлена н</w:t>
      </w:r>
      <w:r>
        <w:t xml:space="preserve">а рисунке</w:t>
      </w:r>
      <w:r>
        <w:t xml:space="preserve"> </w:t>
      </w:r>
      <w:r>
        <w:fldChar w:fldCharType="begin"/>
      </w:r>
      <w:r>
        <w:instrText xml:space="preserve"> REF _Ref58868991 \h </w:instrText>
      </w:r>
      <w:r>
        <w:fldChar w:fldCharType="separate"/>
      </w:r>
      <w:r>
        <w:t xml:space="preserve">244</w:t>
      </w:r>
      <w:r>
        <w:fldChar w:fldCharType="end"/>
      </w:r>
      <w:r>
        <w:t xml:space="preserve">.</w:t>
      </w:r>
      <w:r/>
    </w:p>
    <w:p>
      <w:pPr>
        <w:pStyle w:val="982"/>
      </w:pPr>
      <w:r>
        <mc:AlternateContent>
          <mc:Choice Requires="wpg">
            <w:drawing>
              <wp:inline xmlns:wp="http://schemas.openxmlformats.org/drawingml/2006/wordprocessingDrawing" distT="0" distB="0" distL="0" distR="0">
                <wp:extent cx="6042660" cy="4297680"/>
                <wp:effectExtent l="0" t="0" r="0" b="0"/>
                <wp:docPr id="37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27"/>
                        <a:stretch/>
                      </pic:blipFill>
                      <pic:spPr bwMode="auto">
                        <a:xfrm>
                          <a:off x="0" y="0"/>
                          <a:ext cx="6042660" cy="42976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0" o:spid="_x0000_s370" type="#_x0000_t75" style="mso-wrap-distance-left:0.0pt;mso-wrap-distance-top:0.0pt;mso-wrap-distance-right:0.0pt;mso-wrap-distance-bottom:0.0pt;width:475.8pt;height:338.4pt;" stroked="f">
                <v:path textboxrect="0,0,0,0"/>
                <v:imagedata r:id="rId327" o:title=""/>
              </v:shape>
            </w:pict>
          </mc:Fallback>
        </mc:AlternateContent>
      </w:r>
      <w:r/>
    </w:p>
    <w:p>
      <w:pPr>
        <w:pStyle w:val="983"/>
      </w:pPr>
      <w:r>
        <w:fldChar w:fldCharType="begin"/>
      </w:r>
      <w:r>
        <w:instrText xml:space="preserve"> SEQ Рисунок \* ARABIC </w:instrText>
      </w:r>
      <w:r>
        <w:fldChar w:fldCharType="separate"/>
      </w:r>
      <w:bookmarkStart w:id="1684" w:name="_Ref58868991"/>
      <w:r/>
      <w:bookmarkStart w:id="1685" w:name="_Toc58868932"/>
      <w:r/>
      <w:bookmarkStart w:id="1686" w:name="_Toc88819629"/>
      <w:r>
        <w:t xml:space="preserve">244</w:t>
      </w:r>
      <w:bookmarkEnd w:id="1684"/>
      <w:r>
        <w:fldChar w:fldCharType="end"/>
      </w:r>
      <w:r>
        <w:t xml:space="preserve">. ЭФ документа </w:t>
      </w:r>
      <w:r>
        <w:t xml:space="preserve">«Информация из РД», закладки «Распоряжения о совершении казначейского платежа»</w:t>
      </w:r>
      <w:bookmarkEnd w:id="1685"/>
      <w:r/>
      <w:bookmarkEnd w:id="1686"/>
      <w:r/>
      <w:r/>
    </w:p>
    <w:p>
      <w:pPr>
        <w:pStyle w:val="994"/>
      </w:pPr>
      <w:r>
        <w:t xml:space="preserve">Перечень полей закладки </w:t>
      </w:r>
      <w:r>
        <w:t xml:space="preserve">«Распоряжения о совершении казначейского платежа»</w:t>
      </w:r>
      <w:r>
        <w:t xml:space="preserve"> документа </w:t>
      </w:r>
      <w:r>
        <w:t xml:space="preserve">«Информация из РД»</w:t>
      </w:r>
      <w:r>
        <w:t xml:space="preserve"> представлены </w:t>
      </w:r>
      <w:r>
        <w:t xml:space="preserve">в таблице </w:t>
      </w:r>
      <w:r>
        <w:fldChar w:fldCharType="begin"/>
      </w:r>
      <w:r>
        <w:instrText xml:space="preserve"> REF _Ref58868992 \h </w:instrText>
      </w:r>
      <w:r>
        <w:fldChar w:fldCharType="separate"/>
      </w:r>
      <w:r>
        <w:t xml:space="preserve">135</w:t>
      </w:r>
      <w:r>
        <w:fldChar w:fldCharType="end"/>
      </w:r>
      <w:r>
        <w:t xml:space="preserve">.</w:t>
      </w:r>
      <w:r/>
    </w:p>
    <w:p>
      <w:pPr>
        <w:pStyle w:val="993"/>
      </w:pPr>
      <w:r>
        <w:fldChar w:fldCharType="begin"/>
      </w:r>
      <w:r>
        <w:instrText xml:space="preserve"> SEQ Таблица \* ARABIC </w:instrText>
      </w:r>
      <w:r>
        <w:fldChar w:fldCharType="separate"/>
      </w:r>
      <w:bookmarkStart w:id="1687" w:name="_Ref58868992"/>
      <w:r/>
      <w:bookmarkStart w:id="1688" w:name="_Toc58868709"/>
      <w:r/>
      <w:bookmarkStart w:id="1689" w:name="_Toc88819322"/>
      <w:r>
        <w:t xml:space="preserve">135</w:t>
      </w:r>
      <w:bookmarkEnd w:id="1687"/>
      <w:r>
        <w:fldChar w:fldCharType="end"/>
      </w:r>
      <w:r>
        <w:t xml:space="preserve">. Описание полей документа </w:t>
      </w:r>
      <w:r>
        <w:t xml:space="preserve">«Информация из РД», закладки «Распоряжения о совершении казначейского платежа»</w:t>
      </w:r>
      <w:bookmarkEnd w:id="1688"/>
      <w:r/>
      <w:bookmarkEnd w:id="1689"/>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456"/>
        <w:gridCol w:w="7296"/>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259"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41" w:type="pct"/>
            <w:vAlign w:val="center"/>
            <w:textDirection w:val="lrTb"/>
            <w:noWrap w:val="false"/>
          </w:tcPr>
          <w:p>
            <w:pPr>
              <w:pStyle w:val="1006"/>
            </w:pPr>
            <w:r>
              <w:t xml:space="preserve">Описание поля</w:t>
            </w:r>
            <w:r/>
          </w:p>
        </w:tc>
      </w:tr>
      <w:tr>
        <w:trPr/>
        <w:tc>
          <w:tcPr>
            <w:shd w:val="clear" w:fill="auto" w:color="auto"/>
            <w:tcW w:w="1259" w:type="pct"/>
            <w:textDirection w:val="lrTb"/>
            <w:noWrap w:val="false"/>
          </w:tcPr>
          <w:p>
            <w:pPr>
              <w:pStyle w:val="1005"/>
              <w:ind w:left="57" w:right="57"/>
            </w:pPr>
            <w:r>
              <w:t xml:space="preserve">Номер</w:t>
            </w:r>
            <w:r/>
          </w:p>
        </w:tc>
        <w:tc>
          <w:tcPr>
            <w:shd w:val="clear" w:fill="auto" w:color="auto"/>
            <w:tcW w:w="3741" w:type="pct"/>
            <w:textDirection w:val="lrTb"/>
            <w:noWrap w:val="false"/>
          </w:tcPr>
          <w:p>
            <w:pPr>
              <w:pStyle w:val="1005"/>
              <w:ind w:left="57" w:right="57"/>
            </w:pPr>
            <w:r>
              <w:t xml:space="preserve">Указывается номер распоряжения.</w:t>
            </w:r>
            <w:r/>
          </w:p>
          <w:p>
            <w:pPr>
              <w:pStyle w:val="1005"/>
              <w:ind w:left="57" w:right="57"/>
            </w:pPr>
            <w:r>
              <w:t xml:space="preserve">Заполняется </w:t>
            </w:r>
            <w:r>
              <w:t xml:space="preserve">при формировании соответствующи</w:t>
            </w:r>
            <w:r>
              <w:t xml:space="preserve">ми данными документа «Поручение о перечислении на счет» и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Дата</w:t>
            </w:r>
            <w:r/>
          </w:p>
        </w:tc>
        <w:tc>
          <w:tcPr>
            <w:shd w:val="clear" w:fill="auto" w:color="auto"/>
            <w:tcW w:w="3741" w:type="pct"/>
            <w:textDirection w:val="lrTb"/>
            <w:noWrap w:val="false"/>
          </w:tcPr>
          <w:p>
            <w:pPr>
              <w:pStyle w:val="1005"/>
              <w:ind w:left="57" w:right="57"/>
            </w:pPr>
            <w:r>
              <w:t xml:space="preserve">Указывается дата составления распоряжения.</w:t>
            </w:r>
            <w:r/>
          </w:p>
          <w:p>
            <w:pPr>
              <w:pStyle w:val="1005"/>
              <w:ind w:left="57" w:right="57"/>
            </w:pPr>
            <w:r>
              <w:t xml:space="preserve">Заполняется при формировании соответствующими данными документа «Поручение о перечислении на счет» и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Дата исполнения</w:t>
            </w:r>
            <w:r/>
          </w:p>
        </w:tc>
        <w:tc>
          <w:tcPr>
            <w:shd w:val="clear" w:fill="auto" w:color="auto"/>
            <w:tcW w:w="3741" w:type="pct"/>
            <w:textDirection w:val="lrTb"/>
            <w:noWrap w:val="false"/>
          </w:tcPr>
          <w:p>
            <w:pPr>
              <w:pStyle w:val="1005"/>
              <w:ind w:left="57" w:right="57"/>
            </w:pPr>
            <w:r>
              <w:t xml:space="preserve">Указывается дата исполнения распоряжения.</w:t>
            </w:r>
            <w:r/>
          </w:p>
          <w:p>
            <w:pPr>
              <w:pStyle w:val="1005"/>
              <w:ind w:left="57" w:right="57"/>
            </w:pPr>
            <w:r>
              <w:t xml:space="preserve">Заполняется при формировании соответствующими данными документа «Поручение о перечислении на счет» и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Сумма</w:t>
            </w:r>
            <w:r/>
          </w:p>
        </w:tc>
        <w:tc>
          <w:tcPr>
            <w:shd w:val="clear" w:fill="auto" w:color="auto"/>
            <w:tcW w:w="3741" w:type="pct"/>
            <w:textDirection w:val="lrTb"/>
            <w:noWrap w:val="false"/>
          </w:tcPr>
          <w:p>
            <w:pPr>
              <w:pStyle w:val="1005"/>
              <w:ind w:left="57" w:right="57"/>
            </w:pPr>
            <w:r>
              <w:t xml:space="preserve">Указывается сумма платежа в валюте.</w:t>
            </w:r>
            <w:r/>
          </w:p>
          <w:p>
            <w:pPr>
              <w:pStyle w:val="1005"/>
              <w:ind w:left="57" w:right="57"/>
            </w:pPr>
            <w:r>
              <w:t xml:space="preserve">Заполняется при формировании соответствующими данными документа «Поручение о перечислении на счет» и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Аналитический код</w:t>
            </w:r>
            <w:r/>
          </w:p>
        </w:tc>
        <w:tc>
          <w:tcPr>
            <w:shd w:val="clear" w:fill="auto" w:color="auto"/>
            <w:tcW w:w="3741" w:type="pct"/>
            <w:textDirection w:val="lrTb"/>
            <w:noWrap w:val="false"/>
          </w:tcPr>
          <w:p>
            <w:pPr>
              <w:pStyle w:val="1005"/>
              <w:ind w:left="57" w:right="57"/>
            </w:pPr>
            <w:r>
              <w:t xml:space="preserve">Указывается а</w:t>
            </w:r>
            <w:r>
              <w:t xml:space="preserve">налитический код, код источника поступлений (код направле</w:t>
            </w:r>
            <w:r>
              <w:t xml:space="preserve">ния расходования), идентификаци</w:t>
            </w:r>
            <w:r>
              <w:t xml:space="preserve">онный код поступлений (выплат)</w:t>
            </w:r>
            <w:r>
              <w:t xml:space="preserve">.</w:t>
            </w:r>
            <w:r/>
          </w:p>
          <w:p>
            <w:pPr>
              <w:pStyle w:val="1005"/>
              <w:ind w:left="57" w:right="57"/>
            </w:pPr>
            <w:r>
              <w:t xml:space="preserve">Заполняется при формировании соответствующими данными документа «Поручение о перечислении на счет»</w:t>
            </w:r>
            <w:r>
              <w:t xml:space="preserve">. </w:t>
            </w:r>
            <w:r>
              <w:t xml:space="preserve">При формировании на основании   документа «Требование получателя платежа»</w:t>
            </w:r>
            <w:r>
              <w:t xml:space="preserve">.</w:t>
            </w:r>
            <w:r/>
          </w:p>
        </w:tc>
      </w:tr>
      <w:tr>
        <w:trPr/>
        <w:tc>
          <w:tcPr>
            <w:shd w:val="clear" w:fill="auto" w:color="auto"/>
            <w:tcW w:w="1259" w:type="pct"/>
            <w:textDirection w:val="lrTb"/>
            <w:noWrap w:val="false"/>
          </w:tcPr>
          <w:p>
            <w:pPr>
              <w:pStyle w:val="1005"/>
              <w:ind w:left="57" w:right="57"/>
            </w:pPr>
            <w:r>
              <w:t xml:space="preserve">Наименование плательщика</w:t>
            </w:r>
            <w:r/>
          </w:p>
        </w:tc>
        <w:tc>
          <w:tcPr>
            <w:shd w:val="clear" w:fill="auto" w:color="auto"/>
            <w:tcW w:w="3741" w:type="pct"/>
            <w:textDirection w:val="lrTb"/>
            <w:noWrap w:val="false"/>
          </w:tcPr>
          <w:p>
            <w:pPr>
              <w:pStyle w:val="1005"/>
              <w:ind w:left="57" w:right="57"/>
            </w:pPr>
            <w:r>
              <w:t xml:space="preserve">Указывается наименование плательщика.</w:t>
            </w:r>
            <w:r/>
          </w:p>
          <w:p>
            <w:pPr>
              <w:pStyle w:val="1005"/>
              <w:ind w:left="57" w:right="57"/>
            </w:pPr>
            <w:r>
              <w:t xml:space="preserve">Заполняется при формировании соответствующими данными документа «Поручение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ИНН фактического плательщика</w:t>
            </w:r>
            <w:r/>
          </w:p>
        </w:tc>
        <w:tc>
          <w:tcPr>
            <w:shd w:val="clear" w:fill="auto" w:color="auto"/>
            <w:tcW w:w="3741" w:type="pct"/>
            <w:textDirection w:val="lrTb"/>
            <w:noWrap w:val="false"/>
          </w:tcPr>
          <w:p>
            <w:pPr>
              <w:pStyle w:val="1005"/>
              <w:ind w:left="57" w:right="57"/>
            </w:pPr>
            <w:r>
              <w:t xml:space="preserve">Указывается и</w:t>
            </w:r>
            <w:r>
              <w:t xml:space="preserve">дентификационный номер налогоплательщика </w:t>
            </w:r>
            <w:r>
              <w:t xml:space="preserve">–</w:t>
            </w:r>
            <w:r>
              <w:t xml:space="preserve"> фактического плательщика</w:t>
            </w:r>
            <w:r>
              <w:t xml:space="preserve">.</w:t>
            </w:r>
            <w:r/>
          </w:p>
          <w:p>
            <w:pPr>
              <w:pStyle w:val="1005"/>
              <w:ind w:left="57" w:right="57"/>
            </w:pPr>
            <w:r>
              <w:t xml:space="preserve">Заполняется при формировании соответствующими данными документа «Поручение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КПП фактического плательщика</w:t>
            </w:r>
            <w:r/>
          </w:p>
        </w:tc>
        <w:tc>
          <w:tcPr>
            <w:shd w:val="clear" w:fill="auto" w:color="auto"/>
            <w:tcW w:w="3741" w:type="pct"/>
            <w:textDirection w:val="lrTb"/>
            <w:noWrap w:val="false"/>
          </w:tcPr>
          <w:p>
            <w:pPr>
              <w:pStyle w:val="1005"/>
              <w:ind w:left="57" w:right="57"/>
            </w:pPr>
            <w:r>
              <w:t xml:space="preserve">Указывается к</w:t>
            </w:r>
            <w:r>
              <w:t xml:space="preserve">од причины постановки на учет в налоговом органе </w:t>
            </w:r>
            <w:r>
              <w:t xml:space="preserve">–</w:t>
            </w:r>
            <w:r>
              <w:t xml:space="preserve"> фактического плательщика</w:t>
            </w:r>
            <w:r>
              <w:t xml:space="preserve">.</w:t>
            </w:r>
            <w:r/>
          </w:p>
          <w:p>
            <w:pPr>
              <w:pStyle w:val="1005"/>
              <w:ind w:left="57" w:right="57"/>
            </w:pPr>
            <w:r>
              <w:t xml:space="preserve">Заполняется при формировании соо</w:t>
            </w:r>
            <w:r>
              <w:t xml:space="preserve">тветствующими данными документа </w:t>
            </w:r>
            <w:r>
              <w:t xml:space="preserve">«Поручение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БИК ТОФК плательщика</w:t>
            </w:r>
            <w:r/>
          </w:p>
        </w:tc>
        <w:tc>
          <w:tcPr>
            <w:shd w:val="clear" w:fill="auto" w:color="auto"/>
            <w:tcW w:w="3741" w:type="pct"/>
            <w:textDirection w:val="lrTb"/>
            <w:noWrap w:val="false"/>
          </w:tcPr>
          <w:p>
            <w:pPr>
              <w:pStyle w:val="1005"/>
              <w:ind w:left="57" w:right="57"/>
            </w:pPr>
            <w:r>
              <w:t xml:space="preserve">Указывается б</w:t>
            </w:r>
            <w:r>
              <w:t xml:space="preserve">анковский идентификационный код обслуживающей организации</w:t>
            </w:r>
            <w:r>
              <w:t xml:space="preserve">.</w:t>
            </w:r>
            <w:r/>
          </w:p>
          <w:p>
            <w:pPr>
              <w:pStyle w:val="1005"/>
              <w:ind w:left="57" w:right="57"/>
            </w:pPr>
            <w:r>
              <w:t xml:space="preserve">Заполняется при формировании соо</w:t>
            </w:r>
            <w:r>
              <w:t xml:space="preserve">тветствующими данными документа </w:t>
            </w:r>
            <w:r>
              <w:t xml:space="preserve">«Поручение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ЕКС плательщика</w:t>
            </w:r>
            <w:r/>
          </w:p>
        </w:tc>
        <w:tc>
          <w:tcPr>
            <w:shd w:val="clear" w:fill="auto" w:color="auto"/>
            <w:tcW w:w="3741" w:type="pct"/>
            <w:textDirection w:val="lrTb"/>
            <w:noWrap w:val="false"/>
          </w:tcPr>
          <w:p>
            <w:pPr>
              <w:pStyle w:val="1005"/>
              <w:ind w:left="57" w:right="57"/>
            </w:pPr>
            <w:r>
              <w:t xml:space="preserve">Указывается н</w:t>
            </w:r>
            <w:r>
              <w:t xml:space="preserve">омер счета обслуживающей организации</w:t>
            </w:r>
            <w:r>
              <w:t xml:space="preserve">.</w:t>
            </w:r>
            <w:r/>
          </w:p>
          <w:p>
            <w:pPr>
              <w:pStyle w:val="1005"/>
              <w:ind w:left="57" w:right="57"/>
            </w:pPr>
            <w:r>
              <w:t xml:space="preserve">Заполняется при формировании соо</w:t>
            </w:r>
            <w:r>
              <w:t xml:space="preserve">тветствующими данными документа </w:t>
            </w:r>
            <w:r>
              <w:t xml:space="preserve">«Поручение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ИНН получателя</w:t>
            </w:r>
            <w:r/>
          </w:p>
        </w:tc>
        <w:tc>
          <w:tcPr>
            <w:shd w:val="clear" w:fill="auto" w:color="auto"/>
            <w:tcW w:w="3741" w:type="pct"/>
            <w:textDirection w:val="lrTb"/>
            <w:noWrap w:val="false"/>
          </w:tcPr>
          <w:p>
            <w:pPr>
              <w:pStyle w:val="1005"/>
              <w:ind w:left="57" w:right="57"/>
            </w:pPr>
            <w:r>
              <w:t xml:space="preserve">Указывается и</w:t>
            </w:r>
            <w:r>
              <w:t xml:space="preserve">дентификационный номер налогоплательщика </w:t>
            </w:r>
            <w:r>
              <w:t xml:space="preserve">–</w:t>
            </w:r>
            <w:r>
              <w:t xml:space="preserve"> получателя средств</w:t>
            </w:r>
            <w:r>
              <w:t xml:space="preserve">.</w:t>
            </w:r>
            <w:r/>
          </w:p>
          <w:p>
            <w:pPr>
              <w:pStyle w:val="1005"/>
              <w:ind w:left="57" w:right="57"/>
            </w:pPr>
            <w:r>
              <w:t xml:space="preserve">Заполняется при формировании соо</w:t>
            </w:r>
            <w:r>
              <w:t xml:space="preserve">тветствующими данными документа </w:t>
            </w:r>
            <w:r>
              <w:t xml:space="preserve">«Поручение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КПП получателя</w:t>
            </w:r>
            <w:r/>
          </w:p>
        </w:tc>
        <w:tc>
          <w:tcPr>
            <w:shd w:val="clear" w:fill="auto" w:color="auto"/>
            <w:tcW w:w="3741" w:type="pct"/>
            <w:textDirection w:val="lrTb"/>
            <w:noWrap w:val="false"/>
          </w:tcPr>
          <w:p>
            <w:pPr>
              <w:pStyle w:val="1005"/>
              <w:ind w:left="57" w:right="57"/>
            </w:pPr>
            <w:r>
              <w:t xml:space="preserve">Указывается к</w:t>
            </w:r>
            <w:r>
              <w:t xml:space="preserve">од причины постановки на учет в налоговом органе получателя средств</w:t>
            </w:r>
            <w:r>
              <w:t xml:space="preserve">.</w:t>
            </w:r>
            <w:r/>
          </w:p>
          <w:p>
            <w:pPr>
              <w:pStyle w:val="1005"/>
              <w:ind w:left="57" w:right="57"/>
            </w:pPr>
            <w:r>
              <w:t xml:space="preserve">Заполняется при формировании соо</w:t>
            </w:r>
            <w:r>
              <w:t xml:space="preserve">тветствующими данными документа </w:t>
            </w:r>
            <w:r>
              <w:t xml:space="preserve">«Поручение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К/с банка/ЕКС получателя</w:t>
            </w:r>
            <w:r/>
          </w:p>
        </w:tc>
        <w:tc>
          <w:tcPr>
            <w:shd w:val="clear" w:fill="auto" w:color="auto"/>
            <w:tcW w:w="3741" w:type="pct"/>
            <w:textDirection w:val="lrTb"/>
            <w:noWrap w:val="false"/>
          </w:tcPr>
          <w:p>
            <w:pPr>
              <w:pStyle w:val="1005"/>
              <w:ind w:left="57" w:right="57"/>
            </w:pPr>
            <w:r>
              <w:t xml:space="preserve">Указывается н</w:t>
            </w:r>
            <w:r>
              <w:t xml:space="preserve">омер счета обслуживающей организации</w:t>
            </w:r>
            <w:r>
              <w:t xml:space="preserve">.</w:t>
            </w:r>
            <w:r/>
          </w:p>
          <w:p>
            <w:pPr>
              <w:pStyle w:val="1005"/>
              <w:ind w:left="57" w:right="57"/>
            </w:pPr>
            <w:r>
              <w:t xml:space="preserve">Заполняется при формировании соо</w:t>
            </w:r>
            <w:r>
              <w:t xml:space="preserve">тветствующими данными документа </w:t>
            </w:r>
            <w:r>
              <w:t xml:space="preserve">«Поручение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Банк/ТОФК получателя</w:t>
            </w:r>
            <w:r/>
          </w:p>
        </w:tc>
        <w:tc>
          <w:tcPr>
            <w:shd w:val="clear" w:fill="auto" w:color="auto"/>
            <w:tcW w:w="3741" w:type="pct"/>
            <w:textDirection w:val="lrTb"/>
            <w:noWrap w:val="false"/>
          </w:tcPr>
          <w:p>
            <w:pPr>
              <w:pStyle w:val="1005"/>
              <w:ind w:left="57" w:right="57"/>
            </w:pPr>
            <w:r>
              <w:t xml:space="preserve">Указывается н</w:t>
            </w:r>
            <w:r>
              <w:t xml:space="preserve">аименование обслуживающей организации</w:t>
            </w:r>
            <w:r>
              <w:t xml:space="preserve">.</w:t>
            </w:r>
            <w:r/>
          </w:p>
          <w:p>
            <w:pPr>
              <w:pStyle w:val="1005"/>
              <w:ind w:left="57" w:right="57"/>
            </w:pPr>
            <w:r>
              <w:t xml:space="preserve">Заполняется при формировании соо</w:t>
            </w:r>
            <w:r>
              <w:t xml:space="preserve">тветствующими данными документа </w:t>
            </w:r>
            <w:r>
              <w:t xml:space="preserve">«Поручение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БИК банка/ТОФК по</w:t>
            </w:r>
            <w:r>
              <w:t xml:space="preserve">лучателя</w:t>
            </w:r>
            <w:r/>
          </w:p>
        </w:tc>
        <w:tc>
          <w:tcPr>
            <w:shd w:val="clear" w:fill="auto" w:color="auto"/>
            <w:tcW w:w="3741" w:type="pct"/>
            <w:textDirection w:val="lrTb"/>
            <w:noWrap w:val="false"/>
          </w:tcPr>
          <w:p>
            <w:pPr>
              <w:pStyle w:val="1005"/>
              <w:ind w:left="57" w:right="57"/>
            </w:pPr>
            <w:r>
              <w:t xml:space="preserve">Указывается б</w:t>
            </w:r>
            <w:r>
              <w:t xml:space="preserve">анковский идентификационный код обслуживающей орга</w:t>
            </w:r>
            <w:r>
              <w:t xml:space="preserve">н</w:t>
            </w:r>
            <w:r>
              <w:t xml:space="preserve">изации</w:t>
            </w:r>
            <w:r>
              <w:t xml:space="preserve">.</w:t>
            </w:r>
            <w:r/>
          </w:p>
          <w:p>
            <w:pPr>
              <w:pStyle w:val="1005"/>
              <w:ind w:left="57" w:right="57"/>
            </w:pPr>
            <w:r>
              <w:t xml:space="preserve">Заполняется при формировании соо</w:t>
            </w:r>
            <w:r>
              <w:t xml:space="preserve">тветствующими данными документа </w:t>
            </w:r>
            <w:r>
              <w:t xml:space="preserve">«Поручение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Счет получателя</w:t>
            </w:r>
            <w:r/>
          </w:p>
        </w:tc>
        <w:tc>
          <w:tcPr>
            <w:shd w:val="clear" w:fill="auto" w:color="auto"/>
            <w:tcW w:w="3741" w:type="pct"/>
            <w:textDirection w:val="lrTb"/>
            <w:noWrap w:val="false"/>
          </w:tcPr>
          <w:p>
            <w:pPr>
              <w:pStyle w:val="1005"/>
              <w:ind w:left="57" w:right="57"/>
            </w:pPr>
            <w:r>
              <w:t xml:space="preserve">Указывается номер счета получателя средств</w:t>
            </w:r>
            <w:r>
              <w:t xml:space="preserve">.</w:t>
            </w:r>
            <w:r/>
          </w:p>
          <w:p>
            <w:pPr>
              <w:pStyle w:val="1005"/>
              <w:ind w:left="57" w:right="57"/>
            </w:pPr>
            <w:r>
              <w:t xml:space="preserve">Заполняется при формировании соо</w:t>
            </w:r>
            <w:r>
              <w:t xml:space="preserve">тветствующими данными документа </w:t>
            </w:r>
            <w:r>
              <w:t xml:space="preserve">«Поручение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ФАИП (КМИ)</w:t>
            </w:r>
            <w:r/>
          </w:p>
        </w:tc>
        <w:tc>
          <w:tcPr>
            <w:shd w:val="clear" w:fill="auto" w:color="auto"/>
            <w:tcW w:w="3741" w:type="pct"/>
            <w:textDirection w:val="lrTb"/>
            <w:noWrap w:val="false"/>
          </w:tcPr>
          <w:p>
            <w:pPr>
              <w:pStyle w:val="1005"/>
              <w:ind w:left="57" w:right="57"/>
            </w:pPr>
            <w:r>
              <w:t xml:space="preserve">Указывается к</w:t>
            </w:r>
            <w:r>
              <w:t xml:space="preserve">од объекта по федеральной адресной инвестиционной программе (мероприятия по информатизации)</w:t>
            </w:r>
            <w:r>
              <w:t xml:space="preserve">.</w:t>
            </w:r>
            <w:r/>
          </w:p>
          <w:p>
            <w:pPr>
              <w:pStyle w:val="1005"/>
              <w:ind w:left="57" w:right="57"/>
            </w:pPr>
            <w:r>
              <w:t xml:space="preserve">Заполняется при формировании соо</w:t>
            </w:r>
            <w:r>
              <w:t xml:space="preserve">тветствующими данными документа </w:t>
            </w:r>
            <w:r>
              <w:t xml:space="preserve">«Поручение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Код по БК</w:t>
            </w:r>
            <w:r/>
          </w:p>
        </w:tc>
        <w:tc>
          <w:tcPr>
            <w:shd w:val="clear" w:fill="auto" w:color="auto"/>
            <w:tcW w:w="3741" w:type="pct"/>
            <w:textDirection w:val="lrTb"/>
            <w:noWrap w:val="false"/>
          </w:tcPr>
          <w:p>
            <w:pPr>
              <w:pStyle w:val="1005"/>
              <w:ind w:left="57" w:right="57"/>
            </w:pPr>
            <w:r>
              <w:t xml:space="preserve">Указывается к</w:t>
            </w:r>
            <w:r>
              <w:t xml:space="preserve">од классификации доходов бюджетов</w:t>
            </w:r>
            <w:r>
              <w:t xml:space="preserve">.</w:t>
            </w:r>
            <w:r/>
          </w:p>
          <w:p>
            <w:pPr>
              <w:pStyle w:val="1005"/>
              <w:ind w:left="57" w:right="57"/>
            </w:pPr>
            <w:r>
              <w:t xml:space="preserve">Заполняется при формировании соо</w:t>
            </w:r>
            <w:r>
              <w:t xml:space="preserve">тветствующими данными документа </w:t>
            </w:r>
            <w:r>
              <w:t xml:space="preserve">«Поручение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Код ОКТМО</w:t>
            </w:r>
            <w:r/>
          </w:p>
        </w:tc>
        <w:tc>
          <w:tcPr>
            <w:shd w:val="clear" w:fill="auto" w:color="auto"/>
            <w:tcW w:w="3741" w:type="pct"/>
            <w:textDirection w:val="lrTb"/>
            <w:noWrap w:val="false"/>
          </w:tcPr>
          <w:p>
            <w:pPr>
              <w:pStyle w:val="1005"/>
              <w:ind w:left="57" w:right="57"/>
            </w:pPr>
            <w:r>
              <w:t xml:space="preserve">Указывается код по Общероссийскому классификатору территорий муниципальных образований получателя</w:t>
            </w:r>
            <w:r>
              <w:t xml:space="preserve">.</w:t>
            </w:r>
            <w:r/>
          </w:p>
          <w:p>
            <w:pPr>
              <w:pStyle w:val="1005"/>
              <w:ind w:left="57" w:right="57"/>
            </w:pPr>
            <w:r>
              <w:t xml:space="preserve">Заполняется при формировании соо</w:t>
            </w:r>
            <w:r>
              <w:t xml:space="preserve">тветствующими данными документа </w:t>
            </w:r>
            <w:r>
              <w:t xml:space="preserve">«Поручение о перечислении на счет», документа «Требование получателя платежа».</w:t>
            </w:r>
            <w:r/>
          </w:p>
        </w:tc>
      </w:tr>
      <w:tr>
        <w:trPr/>
        <w:tc>
          <w:tcPr>
            <w:gridSpan w:val="2"/>
            <w:shd w:val="clear" w:fill="auto" w:color="auto"/>
            <w:tcW w:w="5000" w:type="pct"/>
            <w:textDirection w:val="lrTb"/>
            <w:noWrap w:val="false"/>
          </w:tcPr>
          <w:p>
            <w:pPr>
              <w:pStyle w:val="1005"/>
              <w:ind w:left="57" w:right="57"/>
            </w:pPr>
            <w:r>
              <w:t xml:space="preserve">Группа полей «Расшифровка по КБК</w:t>
            </w:r>
            <w:r>
              <w:t xml:space="preserve">»</w:t>
            </w:r>
            <w:r>
              <w:t xml:space="preserve"> (детализация </w:t>
            </w:r>
            <w:r>
              <w:t xml:space="preserve">распоряжений</w:t>
            </w:r>
            <w:r>
              <w:t xml:space="preserve">)</w:t>
            </w:r>
            <w:r/>
          </w:p>
        </w:tc>
      </w:tr>
      <w:tr>
        <w:trPr/>
        <w:tc>
          <w:tcPr>
            <w:shd w:val="clear" w:fill="auto" w:color="auto"/>
            <w:tcW w:w="1259" w:type="pct"/>
            <w:textDirection w:val="lrTb"/>
            <w:noWrap w:val="false"/>
          </w:tcPr>
          <w:p>
            <w:pPr>
              <w:pStyle w:val="1005"/>
              <w:ind w:left="57" w:right="57"/>
            </w:pPr>
            <w:r>
              <w:t xml:space="preserve">Код по БК</w:t>
            </w:r>
            <w:r/>
          </w:p>
        </w:tc>
        <w:tc>
          <w:tcPr>
            <w:shd w:val="clear" w:fill="auto" w:color="auto"/>
            <w:tcW w:w="3741" w:type="pct"/>
            <w:textDirection w:val="lrTb"/>
            <w:noWrap w:val="false"/>
          </w:tcPr>
          <w:p>
            <w:pPr>
              <w:ind w:left="57" w:right="57" w:firstLine="0"/>
              <w:spacing w:after="60" w:before="60"/>
            </w:pPr>
            <w:r>
              <w:t xml:space="preserve">Указывается КБК в соответствии с действующими Указаниями по БК.</w:t>
            </w:r>
            <w:r/>
          </w:p>
          <w:p>
            <w:pPr>
              <w:ind w:left="57" w:right="57" w:firstLine="0"/>
              <w:spacing w:after="60" w:before="60"/>
            </w:pPr>
            <w:r>
              <w:t xml:space="preserve">Заполняется при формировании соответствующими данными документа «Поручение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Тип КБК (код)</w:t>
            </w:r>
            <w:r/>
          </w:p>
        </w:tc>
        <w:tc>
          <w:tcPr>
            <w:shd w:val="clear" w:fill="auto" w:color="auto"/>
            <w:tcW w:w="3741" w:type="pct"/>
            <w:textDirection w:val="lrTb"/>
            <w:noWrap w:val="false"/>
          </w:tcPr>
          <w:p>
            <w:pPr>
              <w:ind w:left="57" w:right="57" w:firstLine="0"/>
              <w:spacing w:after="60" w:before="60"/>
            </w:pPr>
            <w:r>
              <w:t xml:space="preserve">Заполняется при формировании соответствующими данными документа «Поручение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Тип КБК (название)</w:t>
            </w:r>
            <w:r/>
          </w:p>
        </w:tc>
        <w:tc>
          <w:tcPr>
            <w:shd w:val="clear" w:fill="auto" w:color="auto"/>
            <w:tcW w:w="3741" w:type="pct"/>
            <w:textDirection w:val="lrTb"/>
            <w:noWrap w:val="false"/>
          </w:tcPr>
          <w:p>
            <w:pPr>
              <w:ind w:left="57" w:right="57" w:firstLine="0"/>
              <w:spacing w:after="60" w:before="60"/>
            </w:pPr>
            <w:r>
              <w:t xml:space="preserve">Заполняется при формировании соответствующими данными документа «Поручение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Код цели (аналитический код)</w:t>
            </w:r>
            <w:r/>
          </w:p>
        </w:tc>
        <w:tc>
          <w:tcPr>
            <w:shd w:val="clear" w:fill="auto" w:color="auto"/>
            <w:tcW w:w="3741" w:type="pct"/>
            <w:textDirection w:val="lrTb"/>
            <w:noWrap w:val="false"/>
          </w:tcPr>
          <w:p>
            <w:pPr>
              <w:ind w:left="57" w:right="57" w:firstLine="0"/>
              <w:spacing w:after="60" w:before="60"/>
            </w:pPr>
            <w:r>
              <w:t xml:space="preserve">Заполняется при формировании соответствующими данными документа «Поручение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Номер бюджетного обязательства</w:t>
            </w:r>
            <w:r/>
          </w:p>
        </w:tc>
        <w:tc>
          <w:tcPr>
            <w:shd w:val="clear" w:fill="auto" w:color="auto"/>
            <w:tcW w:w="3741" w:type="pct"/>
            <w:textDirection w:val="lrTb"/>
            <w:noWrap w:val="false"/>
          </w:tcPr>
          <w:p>
            <w:pPr>
              <w:ind w:left="57" w:right="57" w:firstLine="0"/>
              <w:spacing w:after="60" w:before="60"/>
            </w:pPr>
            <w:r>
              <w:t xml:space="preserve">Указывается у</w:t>
            </w:r>
            <w:r>
              <w:t xml:space="preserve">четный номер БО, присвоенный в ТОФК</w:t>
            </w:r>
            <w:r>
              <w:t xml:space="preserve">.</w:t>
            </w:r>
            <w:r/>
          </w:p>
          <w:p>
            <w:pPr>
              <w:ind w:left="57" w:right="57" w:firstLine="0"/>
              <w:spacing w:after="60" w:before="60"/>
            </w:pPr>
            <w:r>
              <w:t xml:space="preserve">Заполняется при формировании соответствующими данными документа «Поручение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Код по ОКТМО</w:t>
            </w:r>
            <w:r/>
          </w:p>
        </w:tc>
        <w:tc>
          <w:tcPr>
            <w:shd w:val="clear" w:fill="auto" w:color="auto"/>
            <w:tcW w:w="3741" w:type="pct"/>
            <w:textDirection w:val="lrTb"/>
            <w:noWrap w:val="false"/>
          </w:tcPr>
          <w:p>
            <w:pPr>
              <w:ind w:left="57" w:right="57" w:firstLine="0"/>
              <w:spacing w:after="60" w:before="60"/>
            </w:pPr>
            <w:r>
              <w:t xml:space="preserve">Указывается код в соответствии с ОКТМО</w:t>
            </w:r>
            <w:r>
              <w:t xml:space="preserve">.</w:t>
            </w:r>
            <w:r/>
          </w:p>
          <w:p>
            <w:pPr>
              <w:ind w:left="57" w:right="57" w:firstLine="0"/>
              <w:spacing w:after="60" w:before="60"/>
            </w:pPr>
            <w:r>
              <w:t xml:space="preserve">Заполняется при формировании соответствующими данными документа «Поручение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Сумма</w:t>
            </w:r>
            <w:r/>
          </w:p>
        </w:tc>
        <w:tc>
          <w:tcPr>
            <w:shd w:val="clear" w:fill="auto" w:color="auto"/>
            <w:tcW w:w="3741" w:type="pct"/>
            <w:textDirection w:val="lrTb"/>
            <w:noWrap w:val="false"/>
          </w:tcPr>
          <w:p>
            <w:pPr>
              <w:ind w:left="57" w:right="57" w:firstLine="0"/>
              <w:spacing w:after="60" w:before="60"/>
            </w:pPr>
            <w:r>
              <w:t xml:space="preserve">Указывается сумма по КБК.</w:t>
            </w:r>
            <w:r/>
          </w:p>
          <w:p>
            <w:pPr>
              <w:ind w:left="57" w:right="57" w:firstLine="0"/>
              <w:spacing w:after="60" w:before="60"/>
            </w:pPr>
            <w:r>
              <w:t xml:space="preserve">Заполняется при формировании соответствующими данными документа «Поручение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Направление платежа (код)</w:t>
            </w:r>
            <w:r/>
          </w:p>
        </w:tc>
        <w:tc>
          <w:tcPr>
            <w:shd w:val="clear" w:fill="auto" w:color="auto"/>
            <w:tcW w:w="3741" w:type="pct"/>
            <w:textDirection w:val="lrTb"/>
            <w:noWrap w:val="false"/>
          </w:tcPr>
          <w:p>
            <w:pPr>
              <w:ind w:left="57" w:right="57" w:firstLine="0"/>
              <w:spacing w:after="60" w:before="60"/>
            </w:pPr>
            <w:r>
              <w:t xml:space="preserve">Заполняется при формировании соответствующими данными документа «Поручение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Направление платежа (наименование)</w:t>
            </w:r>
            <w:r/>
          </w:p>
        </w:tc>
        <w:tc>
          <w:tcPr>
            <w:shd w:val="clear" w:fill="auto" w:color="auto"/>
            <w:tcW w:w="3741" w:type="pct"/>
            <w:textDirection w:val="lrTb"/>
            <w:noWrap w:val="false"/>
          </w:tcPr>
          <w:p>
            <w:pPr>
              <w:ind w:left="57" w:right="57" w:firstLine="0"/>
              <w:spacing w:after="60" w:before="60"/>
            </w:pPr>
            <w:r>
              <w:t xml:space="preserve">Заполняется при формировании соответствующими данными документа «Поручение о перечислении на счет», документа «Требование получателя платежа».</w:t>
            </w:r>
            <w:r/>
          </w:p>
        </w:tc>
      </w:tr>
      <w:tr>
        <w:trPr/>
        <w:tc>
          <w:tcPr>
            <w:shd w:val="clear" w:fill="auto" w:color="auto"/>
            <w:tcW w:w="1259" w:type="pct"/>
            <w:textDirection w:val="lrTb"/>
            <w:noWrap w:val="false"/>
          </w:tcPr>
          <w:p>
            <w:pPr>
              <w:pStyle w:val="1005"/>
              <w:ind w:left="57" w:right="57"/>
            </w:pPr>
            <w:r>
              <w:t xml:space="preserve">Резервное поле</w:t>
            </w:r>
            <w:r/>
          </w:p>
        </w:tc>
        <w:tc>
          <w:tcPr>
            <w:shd w:val="clear" w:fill="auto" w:color="auto"/>
            <w:tcW w:w="3741" w:type="pct"/>
            <w:textDirection w:val="lrTb"/>
            <w:noWrap w:val="false"/>
          </w:tcPr>
          <w:p>
            <w:pPr>
              <w:ind w:left="57" w:right="57" w:firstLine="0"/>
              <w:spacing w:after="60" w:before="60"/>
            </w:pPr>
            <w:r>
              <w:t xml:space="preserve">Заполняется при формировании соответствующими данными документа «Поручение о перечислении на счет», документа «Требование получателя платежа».</w:t>
            </w:r>
            <w:r/>
          </w:p>
        </w:tc>
      </w:tr>
    </w:tbl>
    <w:p>
      <w:pPr>
        <w:pStyle w:val="972"/>
      </w:pPr>
      <w:r/>
      <w:bookmarkStart w:id="1690" w:name="_Ref474936869"/>
      <w:r/>
      <w:bookmarkStart w:id="1691" w:name="_Toc88819158"/>
      <w:r/>
      <w:bookmarkEnd w:id="1669"/>
      <w:r>
        <w:t xml:space="preserve">Запрос на предоставление отчета клиента</w:t>
      </w:r>
      <w:bookmarkEnd w:id="1670"/>
      <w:r/>
      <w:bookmarkEnd w:id="1671"/>
      <w:r/>
      <w:bookmarkEnd w:id="1672"/>
      <w:r/>
      <w:bookmarkEnd w:id="1673"/>
      <w:r/>
      <w:bookmarkEnd w:id="1674"/>
      <w:r/>
      <w:bookmarkEnd w:id="1675"/>
      <w:r/>
      <w:bookmarkEnd w:id="1676"/>
      <w:r/>
      <w:bookmarkEnd w:id="1690"/>
      <w:r/>
      <w:bookmarkEnd w:id="1691"/>
      <w:r/>
      <w:r/>
    </w:p>
    <w:p>
      <w:pPr>
        <w:pStyle w:val="994"/>
      </w:pPr>
      <w:r>
        <w:t xml:space="preserve">ЭД «Запрос на предоставление отчета клиента» используется для автоматического п</w:t>
      </w:r>
      <w:r>
        <w:t xml:space="preserve">о</w:t>
      </w:r>
      <w:r>
        <w:t xml:space="preserve">вторного получения клиентами своих отчетов без участия сотрудников ОрФК, а так же авт</w:t>
      </w:r>
      <w:r>
        <w:t xml:space="preserve">о</w:t>
      </w:r>
      <w:r>
        <w:t xml:space="preserve">матического формирования отчетов по запросу клиента на любую дату. </w:t>
      </w:r>
      <w:r/>
    </w:p>
    <w:p>
      <w:pPr>
        <w:pStyle w:val="994"/>
      </w:pPr>
      <w:r>
        <w:t xml:space="preserve">Выгрузке подлежат отчеты, ранее сформированные в системе, находящиеся в статусе «Зарегистрирован», с подписью сотрудника ОрФК, зарегистрировавшего отчет ранее.</w:t>
      </w:r>
      <w:r/>
    </w:p>
    <w:p>
      <w:pPr>
        <w:pStyle w:val="994"/>
      </w:pPr>
      <w:r>
        <w:t xml:space="preserve">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r/>
    </w:p>
    <w:p>
      <w:pPr>
        <w:pStyle w:val="985"/>
      </w:pPr>
      <w:r>
        <w:t xml:space="preserve">закрыт, то сформированный отчет направить на регистрацию ответственному испо</w:t>
      </w:r>
      <w:r>
        <w:t xml:space="preserve">л</w:t>
      </w:r>
      <w:r>
        <w:t xml:space="preserve">нителю;</w:t>
      </w:r>
      <w:r/>
    </w:p>
    <w:p>
      <w:pPr>
        <w:pStyle w:val="985"/>
      </w:pPr>
      <w:r>
        <w:t xml:space="preserve">не закрыт, то документ «Запрос на предоставление отчета клиента» ожидает закр</w:t>
      </w:r>
      <w:r>
        <w:t xml:space="preserve">ы</w:t>
      </w:r>
      <w:r>
        <w:t xml:space="preserve">тия операционного дня, и формирование отчета проводится после закрытия опер</w:t>
      </w:r>
      <w:r>
        <w:t xml:space="preserve">а</w:t>
      </w:r>
      <w:r>
        <w:t xml:space="preserve">ционного дня.</w:t>
      </w:r>
      <w:r/>
    </w:p>
    <w:p>
      <w:pPr>
        <w:pStyle w:val="994"/>
      </w:pPr>
      <w:r>
        <w:t xml:space="preserve">ЭД «Запрос на предоставление отчета клиента» представляется на каждый отчет о</w:t>
      </w:r>
      <w:r>
        <w:t xml:space="preserve">т</w:t>
      </w:r>
      <w:r>
        <w:t xml:space="preserve">дельно.</w:t>
      </w:r>
      <w:r/>
    </w:p>
    <w:p>
      <w:pPr>
        <w:pStyle w:val="994"/>
      </w:pPr>
      <w:r>
        <w:t xml:space="preserve">Для работы с документами </w:t>
      </w:r>
      <w:r>
        <w:t xml:space="preserve">«Запрос на предоставление отчета клиента» следует перейти в пункт меню «Документы – Оперативная отчетность – Отчеты – Запрос на предоставление отчета клиента». Откроется ЭФ списка документов, представленная на рисунке</w:t>
      </w:r>
      <w:r>
        <w:t xml:space="preserve"> </w:t>
      </w:r>
      <w:r>
        <w:fldChar w:fldCharType="begin"/>
      </w:r>
      <w:r>
        <w:instrText xml:space="preserve"> REF _Ref364078718 \h  \* MERGEFORMAT </w:instrText>
      </w:r>
      <w:r>
        <w:fldChar w:fldCharType="separate"/>
      </w:r>
      <w:r>
        <w:t xml:space="preserve">245</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474720"/>
                <wp:effectExtent l="0" t="0" r="0" b="0"/>
                <wp:docPr id="37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28"/>
                        <a:stretch/>
                      </pic:blipFill>
                      <pic:spPr bwMode="auto">
                        <a:xfrm>
                          <a:off x="0" y="0"/>
                          <a:ext cx="6126480" cy="34747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1" o:spid="_x0000_s371" type="#_x0000_t75" style="mso-wrap-distance-left:0.0pt;mso-wrap-distance-top:0.0pt;mso-wrap-distance-right:0.0pt;mso-wrap-distance-bottom:0.0pt;width:482.4pt;height:273.6pt;" stroked="f">
                <v:path textboxrect="0,0,0,0"/>
                <v:imagedata r:id="rId328" o:title=""/>
              </v:shape>
            </w:pict>
          </mc:Fallback>
        </mc:AlternateContent>
      </w:r>
      <w:r/>
    </w:p>
    <w:p>
      <w:pPr>
        <w:pStyle w:val="983"/>
      </w:pPr>
      <w:r>
        <w:fldChar w:fldCharType="begin"/>
      </w:r>
      <w:r>
        <w:instrText xml:space="preserve"> SEQ Рисунок \* ARABIC </w:instrText>
      </w:r>
      <w:r>
        <w:fldChar w:fldCharType="separate"/>
      </w:r>
      <w:bookmarkStart w:id="1692" w:name="_Ref364078718"/>
      <w:r/>
      <w:bookmarkStart w:id="1693" w:name="_Toc88819630"/>
      <w:r>
        <w:t xml:space="preserve">245</w:t>
      </w:r>
      <w:bookmarkEnd w:id="1692"/>
      <w:r>
        <w:fldChar w:fldCharType="end"/>
      </w:r>
      <w:r>
        <w:t xml:space="preserve">. ЭФ списка документов «Запрос на предоставление отчета клиента»</w:t>
      </w:r>
      <w:bookmarkEnd w:id="1693"/>
      <w:r/>
      <w:r/>
    </w:p>
    <w:p>
      <w:pPr>
        <w:pStyle w:val="973"/>
      </w:pPr>
      <w:r>
        <w:t xml:space="preserve">Доступные операции</w:t>
      </w:r>
      <w:r/>
    </w:p>
    <w:p>
      <w:pPr>
        <w:pStyle w:val="994"/>
      </w:pPr>
      <w:r>
        <w:t xml:space="preserve">На АРМ ФО доступны следующие операции</w:t>
      </w:r>
      <w:r>
        <w:t xml:space="preserve"> над документом</w:t>
      </w:r>
      <w:r>
        <w:t xml:space="preserve">:</w:t>
      </w:r>
      <w:r/>
    </w:p>
    <w:p>
      <w:pPr>
        <w:pStyle w:val="985"/>
      </w:pPr>
      <w:r>
        <w:t xml:space="preserve">ручной ввод;</w:t>
      </w:r>
      <w:r/>
    </w:p>
    <w:p>
      <w:pPr>
        <w:pStyle w:val="985"/>
      </w:pPr>
      <w:r>
        <w:t xml:space="preserve">просмотр и </w:t>
      </w:r>
      <w:r>
        <w:t xml:space="preserve">редактирование;</w:t>
      </w:r>
      <w:r/>
    </w:p>
    <w:p>
      <w:pPr>
        <w:pStyle w:val="985"/>
      </w:pPr>
      <w:r>
        <w:t xml:space="preserve">копирование и </w:t>
      </w:r>
      <w:r>
        <w:t xml:space="preserve">удаление;</w:t>
      </w:r>
      <w:r/>
    </w:p>
    <w:p>
      <w:pPr>
        <w:pStyle w:val="985"/>
      </w:pPr>
      <w:r>
        <w:t xml:space="preserve">печать;</w:t>
      </w:r>
      <w:r/>
    </w:p>
    <w:p>
      <w:pPr>
        <w:pStyle w:val="985"/>
      </w:pPr>
      <w:r>
        <w:t xml:space="preserve">подпи</w:t>
      </w:r>
      <w:r>
        <w:t xml:space="preserve">сание, </w:t>
      </w:r>
      <w:r>
        <w:t xml:space="preserve">проверка </w:t>
      </w:r>
      <w:r>
        <w:t xml:space="preserve">и </w:t>
      </w:r>
      <w:r>
        <w:t xml:space="preserve">удаление </w:t>
      </w:r>
      <w:r>
        <w:t xml:space="preserve">ЭП</w:t>
      </w:r>
      <w:r>
        <w:t xml:space="preserve">;</w:t>
      </w:r>
      <w:r/>
    </w:p>
    <w:p>
      <w:pPr>
        <w:pStyle w:val="985"/>
      </w:pPr>
      <w:r>
        <w:t xml:space="preserve">экспорт в ППО «(OEBS)»;</w:t>
      </w:r>
      <w:r/>
    </w:p>
    <w:p>
      <w:pPr>
        <w:pStyle w:val="985"/>
      </w:pPr>
      <w:r>
        <w:t xml:space="preserve">отправ</w:t>
      </w:r>
      <w:r>
        <w:t xml:space="preserve">ка</w:t>
      </w:r>
      <w:r>
        <w:t xml:space="preserve">.</w:t>
      </w:r>
      <w:r/>
    </w:p>
    <w:p>
      <w:pPr>
        <w:pStyle w:val="973"/>
      </w:pPr>
      <w:r>
        <w:t xml:space="preserve">Экранная форма документа</w:t>
      </w:r>
      <w:r/>
    </w:p>
    <w:p>
      <w:pPr>
        <w:pStyle w:val="994"/>
      </w:pPr>
      <w:r>
        <w:t xml:space="preserve">ЭФ документа «Запрос на предоставление отчета клиента» представлена на рисунках</w:t>
      </w:r>
      <w:r>
        <w:t xml:space="preserve"> </w:t>
      </w:r>
      <w:r>
        <w:fldChar w:fldCharType="begin"/>
      </w:r>
      <w:r>
        <w:instrText xml:space="preserve"> REF _Ref364080810 \h </w:instrText>
      </w:r>
      <w:r>
        <w:instrText xml:space="preserve"> \* MERGEFORMAT </w:instrText>
      </w:r>
      <w:r>
        <w:fldChar w:fldCharType="separate"/>
      </w:r>
      <w:r>
        <w:t xml:space="preserve">246</w:t>
      </w:r>
      <w:r>
        <w:fldChar w:fldCharType="end"/>
      </w:r>
      <w:r>
        <w:t xml:space="preserve"> </w:t>
      </w:r>
      <w:r>
        <w:t xml:space="preserve">и </w:t>
      </w:r>
      <w:r>
        <w:fldChar w:fldCharType="begin"/>
      </w:r>
      <w:r>
        <w:instrText xml:space="preserve"> REF _Ref364080706 \h </w:instrText>
      </w:r>
      <w:r>
        <w:instrText xml:space="preserve"> \* MERGEFORMAT </w:instrText>
      </w:r>
      <w:r>
        <w:fldChar w:fldCharType="separate"/>
      </w:r>
      <w:r>
        <w:t xml:space="preserve">247</w:t>
      </w:r>
      <w:r>
        <w:fldChar w:fldCharType="end"/>
      </w:r>
      <w:r>
        <w:t xml:space="preserve">. </w:t>
      </w:r>
      <w:r>
        <w:t xml:space="preserve">Форма содержит следующие закладки</w:t>
      </w:r>
      <w:r>
        <w:t xml:space="preserve">:</w:t>
      </w:r>
      <w:r/>
    </w:p>
    <w:p>
      <w:pPr>
        <w:pStyle w:val="985"/>
      </w:pPr>
      <w:r>
        <w:t xml:space="preserve">«Основные атрибуты»;</w:t>
      </w:r>
      <w:r/>
    </w:p>
    <w:p>
      <w:pPr>
        <w:pStyle w:val="985"/>
      </w:pPr>
      <w:r>
        <w:t xml:space="preserve">«Подписи/Дополнительные атрибуты»;</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126480" cy="4572000"/>
                <wp:effectExtent l="0" t="0" r="0" b="0"/>
                <wp:docPr id="37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29"/>
                        <a:stretch/>
                      </pic:blipFill>
                      <pic:spPr bwMode="auto">
                        <a:xfrm>
                          <a:off x="0" y="0"/>
                          <a:ext cx="6126480" cy="45720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2" o:spid="_x0000_s372" type="#_x0000_t75" style="mso-wrap-distance-left:0.0pt;mso-wrap-distance-top:0.0pt;mso-wrap-distance-right:0.0pt;mso-wrap-distance-bottom:0.0pt;width:482.4pt;height:360.0pt;" stroked="f">
                <v:path textboxrect="0,0,0,0"/>
                <v:imagedata r:id="rId329" o:title=""/>
              </v:shape>
            </w:pict>
          </mc:Fallback>
        </mc:AlternateContent>
      </w:r>
      <w:r/>
    </w:p>
    <w:p>
      <w:pPr>
        <w:pStyle w:val="983"/>
      </w:pPr>
      <w:r>
        <w:fldChar w:fldCharType="begin"/>
      </w:r>
      <w:r>
        <w:instrText xml:space="preserve"> SEQ Рисунок \* ARABIC </w:instrText>
      </w:r>
      <w:r>
        <w:fldChar w:fldCharType="separate"/>
      </w:r>
      <w:bookmarkStart w:id="1694" w:name="_Ref364080810"/>
      <w:r/>
      <w:bookmarkStart w:id="1695" w:name="_Toc88819631"/>
      <w:r>
        <w:t xml:space="preserve">246</w:t>
      </w:r>
      <w:bookmarkEnd w:id="1694"/>
      <w:r>
        <w:fldChar w:fldCharType="end"/>
      </w:r>
      <w:r>
        <w:t xml:space="preserve">. ЭФ документа «Запрос на предоставление отчета клиента</w:t>
      </w:r>
      <w:r>
        <w:t xml:space="preserve">», закладки «</w:t>
      </w:r>
      <w:r>
        <w:t xml:space="preserve">Основные атрибуты»</w:t>
      </w:r>
      <w:bookmarkEnd w:id="1695"/>
      <w:r/>
      <w:r/>
    </w:p>
    <w:p>
      <w:pPr>
        <w:pStyle w:val="994"/>
      </w:pPr>
      <w:r>
        <w:t xml:space="preserve">На закладке «Основные атрибуты» документа «Запрос на предоставление отчета кл</w:t>
      </w:r>
      <w:r>
        <w:t xml:space="preserve">и</w:t>
      </w:r>
      <w:r>
        <w:t xml:space="preserve">ента» (см.</w:t>
      </w:r>
      <w:r>
        <w:t xml:space="preserve"> </w:t>
      </w:r>
      <w:r>
        <w:t xml:space="preserve">рис. </w:t>
      </w:r>
      <w:r>
        <w:fldChar w:fldCharType="begin"/>
      </w:r>
      <w:r>
        <w:instrText xml:space="preserve"> REF _Ref364080810 \h  \* MERGEFORMAT </w:instrText>
      </w:r>
      <w:r>
        <w:fldChar w:fldCharType="separate"/>
      </w:r>
      <w:r>
        <w:t xml:space="preserve">246</w:t>
      </w:r>
      <w:r>
        <w:fldChar w:fldCharType="end"/>
      </w:r>
      <w:r>
        <w:t xml:space="preserve">) показана общая информация о документе.</w:t>
      </w:r>
      <w:r/>
    </w:p>
    <w:p>
      <w:pPr>
        <w:pStyle w:val="994"/>
      </w:pPr>
      <w:r>
        <w:t xml:space="preserve">Перечень полей документа «Запрос на предоставление отчета клиента</w:t>
      </w:r>
      <w:r>
        <w:t xml:space="preserve">», закладки «</w:t>
      </w:r>
      <w:r>
        <w:t xml:space="preserve">О</w:t>
      </w:r>
      <w:r>
        <w:t xml:space="preserve">с</w:t>
      </w:r>
      <w:r>
        <w:t xml:space="preserve">новные атрибуты» приведен в таблице</w:t>
      </w:r>
      <w:r>
        <w:t xml:space="preserve"> </w:t>
      </w:r>
      <w:r>
        <w:fldChar w:fldCharType="begin"/>
      </w:r>
      <w:r>
        <w:instrText xml:space="preserve"> REF _Ref364080838 \h  \* MERGEFORMAT </w:instrText>
      </w:r>
      <w:r>
        <w:fldChar w:fldCharType="separate"/>
      </w:r>
      <w:r>
        <w:t xml:space="preserve">136</w:t>
      </w:r>
      <w:r>
        <w:fldChar w:fldCharType="end"/>
      </w:r>
      <w:r>
        <w:t xml:space="preserve">.</w:t>
      </w:r>
      <w:r/>
    </w:p>
    <w:p>
      <w:pPr>
        <w:pStyle w:val="993"/>
      </w:pPr>
      <w:r>
        <w:fldChar w:fldCharType="begin"/>
      </w:r>
      <w:r>
        <w:instrText xml:space="preserve"> SEQ Таблица \* ARABIC </w:instrText>
      </w:r>
      <w:r>
        <w:fldChar w:fldCharType="separate"/>
      </w:r>
      <w:bookmarkStart w:id="1696" w:name="_Ref364080838"/>
      <w:r/>
      <w:bookmarkStart w:id="1697" w:name="_Toc88819323"/>
      <w:r>
        <w:t xml:space="preserve">136</w:t>
      </w:r>
      <w:bookmarkEnd w:id="1696"/>
      <w:r>
        <w:fldChar w:fldCharType="end"/>
      </w:r>
      <w:r>
        <w:t xml:space="preserve">. Описание полей документа «Запрос на предоставление отчета клиента</w:t>
      </w:r>
      <w:r>
        <w:t xml:space="preserve">», закладки «</w:t>
      </w:r>
      <w:r>
        <w:t xml:space="preserve">Основные атрибуты»</w:t>
      </w:r>
      <w:bookmarkEnd w:id="1697"/>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93"/>
        <w:gridCol w:w="7359"/>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22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73" w:type="pct"/>
            <w:vAlign w:val="center"/>
            <w:textDirection w:val="lrTb"/>
            <w:noWrap w:val="false"/>
          </w:tcPr>
          <w:p>
            <w:pPr>
              <w:pStyle w:val="1006"/>
            </w:pPr>
            <w:r>
              <w:t xml:space="preserve">Описание поля</w:t>
            </w:r>
            <w:r/>
          </w:p>
        </w:tc>
      </w:tr>
      <w:tr>
        <w:trPr/>
        <w:tc>
          <w:tcPr>
            <w:shd w:val="clear" w:fill="auto" w:color="auto"/>
            <w:tcW w:w="1227" w:type="pct"/>
            <w:textDirection w:val="lrTb"/>
            <w:noWrap w:val="false"/>
          </w:tcPr>
          <w:p>
            <w:pPr>
              <w:pStyle w:val="1005"/>
              <w:ind w:left="57" w:right="57"/>
            </w:pPr>
            <w:r>
              <w:t xml:space="preserve">Номер</w:t>
            </w:r>
            <w:r/>
          </w:p>
        </w:tc>
        <w:tc>
          <w:tcPr>
            <w:shd w:val="clear" w:fill="auto" w:color="auto"/>
            <w:tcW w:w="3773" w:type="pct"/>
            <w:textDirection w:val="lrTb"/>
            <w:noWrap w:val="false"/>
          </w:tcPr>
          <w:p>
            <w:pPr>
              <w:pStyle w:val="1005"/>
              <w:ind w:left="57" w:right="57"/>
            </w:pPr>
            <w:r>
              <w:t xml:space="preserve">По умолчанию значение рассчитывается автоматически на основании н</w:t>
            </w:r>
            <w:r>
              <w:t xml:space="preserve">а</w:t>
            </w:r>
            <w:r>
              <w:t xml:space="preserve">строек для текущего типа документа в справочнике «Параметры автонум</w:t>
            </w:r>
            <w:r>
              <w:t xml:space="preserve">е</w:t>
            </w:r>
            <w:r>
              <w:t xml:space="preserve">рации д</w:t>
            </w:r>
            <w:r>
              <w:t xml:space="preserve">о</w:t>
            </w:r>
            <w:r>
              <w:t xml:space="preserve">кументов».</w:t>
            </w:r>
            <w:r/>
          </w:p>
          <w:p>
            <w:pPr>
              <w:pStyle w:val="1005"/>
              <w:ind w:left="57" w:right="57"/>
            </w:pPr>
            <w:r>
              <w:t xml:space="preserve">Может быть заполнено вручную.</w:t>
            </w:r>
            <w:r/>
          </w:p>
          <w:p>
            <w:pPr>
              <w:pStyle w:val="1005"/>
              <w:ind w:left="57" w:right="57"/>
            </w:pPr>
            <w:r>
              <w:t xml:space="preserve">В случае если </w:t>
            </w:r>
            <w:r>
              <w:t xml:space="preserve">значение было изменено вручную и не соответствует автом</w:t>
            </w:r>
            <w:r>
              <w:t xml:space="preserve">а</w:t>
            </w:r>
            <w:r>
              <w:t xml:space="preserve">тически вычисленному значению, правильный порядковый номер может быть проставлен по нажатию кно</w:t>
            </w:r>
            <w:r>
              <w:t xml:space="preserve">п</w:t>
            </w:r>
            <w:r>
              <w:t xml:space="preserve">ки.</w:t>
            </w:r>
            <w:r/>
          </w:p>
        </w:tc>
      </w:tr>
      <w:tr>
        <w:trPr/>
        <w:tc>
          <w:tcPr>
            <w:shd w:val="clear" w:fill="auto" w:color="auto"/>
            <w:tcW w:w="1227" w:type="pct"/>
            <w:textDirection w:val="lrTb"/>
            <w:noWrap w:val="false"/>
          </w:tcPr>
          <w:p>
            <w:pPr>
              <w:pStyle w:val="1005"/>
              <w:ind w:left="57" w:right="57"/>
            </w:pPr>
            <w:r>
              <w:t xml:space="preserve">Дата </w:t>
            </w:r>
            <w:r>
              <w:t xml:space="preserve">документа</w:t>
            </w:r>
            <w:r/>
          </w:p>
        </w:tc>
        <w:tc>
          <w:tcPr>
            <w:shd w:val="clear" w:fill="auto" w:color="auto"/>
            <w:tcW w:w="3773" w:type="pct"/>
            <w:textDirection w:val="lrTb"/>
            <w:noWrap w:val="false"/>
          </w:tcPr>
          <w:p>
            <w:pPr>
              <w:pStyle w:val="1005"/>
              <w:ind w:left="57" w:right="57"/>
            </w:pPr>
            <w:r>
              <w:t xml:space="preserve">Заполняется автоматически значением текущей системной д</w:t>
            </w:r>
            <w:r>
              <w:t xml:space="preserve">а</w:t>
            </w:r>
            <w:r>
              <w:t xml:space="preserve">ты.</w:t>
            </w:r>
            <w:r/>
          </w:p>
          <w:p>
            <w:pPr>
              <w:pStyle w:val="1005"/>
              <w:ind w:left="57" w:right="57"/>
            </w:pPr>
            <w:r>
              <w:t xml:space="preserve">Может быть заполнено вручную; доступен выбор значения из календаря.</w:t>
            </w:r>
            <w:r/>
          </w:p>
        </w:tc>
      </w:tr>
      <w:tr>
        <w:trPr/>
        <w:tc>
          <w:tcPr>
            <w:shd w:val="clear" w:fill="auto" w:color="auto"/>
            <w:tcW w:w="1227" w:type="pct"/>
            <w:textDirection w:val="lrTb"/>
            <w:noWrap w:val="false"/>
          </w:tcPr>
          <w:p>
            <w:pPr>
              <w:pStyle w:val="1005"/>
              <w:ind w:left="57" w:right="57"/>
            </w:pPr>
            <w:r>
              <w:t xml:space="preserve">Статус </w:t>
            </w:r>
            <w:r/>
          </w:p>
        </w:tc>
        <w:tc>
          <w:tcPr>
            <w:shd w:val="clear" w:fill="auto" w:color="auto"/>
            <w:tcW w:w="3773" w:type="pct"/>
            <w:textDirection w:val="lrTb"/>
            <w:noWrap w:val="false"/>
          </w:tcPr>
          <w:p>
            <w:pPr>
              <w:pStyle w:val="1005"/>
              <w:ind w:left="57" w:right="57"/>
            </w:pPr>
            <w:r>
              <w:t xml:space="preserve">Заполняется автоматически при обработке документа в OEBS (доводится Квитком).</w:t>
            </w:r>
            <w:r/>
          </w:p>
          <w:p>
            <w:pPr>
              <w:pStyle w:val="1005"/>
              <w:ind w:left="57" w:right="57"/>
            </w:pPr>
            <w:r>
              <w:t xml:space="preserve">По умолчанию значение «000».</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«Наименования»</w:t>
            </w:r>
            <w:r/>
          </w:p>
        </w:tc>
      </w:tr>
      <w:tr>
        <w:trPr/>
        <w:tc>
          <w:tcPr>
            <w:shd w:val="clear" w:fill="auto" w:color="auto"/>
            <w:tcW w:w="1227" w:type="pct"/>
            <w:textDirection w:val="lrTb"/>
            <w:noWrap w:val="false"/>
          </w:tcPr>
          <w:p>
            <w:pPr>
              <w:pStyle w:val="1005"/>
              <w:ind w:left="57" w:right="57"/>
            </w:pPr>
            <w:r>
              <w:t xml:space="preserve">Наименование клиента</w:t>
            </w:r>
            <w:r/>
          </w:p>
        </w:tc>
        <w:tc>
          <w:tcPr>
            <w:shd w:val="clear" w:fill="auto" w:color="auto"/>
            <w:tcW w:w="3773" w:type="pct"/>
            <w:textDirection w:val="lrTb"/>
            <w:noWrap w:val="false"/>
          </w:tcPr>
          <w:p>
            <w:pPr>
              <w:pStyle w:val="1005"/>
              <w:ind w:left="57" w:right="57"/>
            </w:pPr>
            <w:r>
              <w:t xml:space="preserve">Заполняется автоматически на основании системной константы </w:t>
            </w:r>
            <w:r>
              <w:t xml:space="preserve">SelfBUCode (Код собственного БУ)</w:t>
            </w:r>
            <w:r>
              <w:t xml:space="preserve"> по справочнику «СРРПБС»/ «ПУБП»/ «НУБП» (с учётом Бюджета); запо</w:t>
            </w:r>
            <w:r>
              <w:t xml:space="preserve">л</w:t>
            </w:r>
            <w:r>
              <w:t xml:space="preserve">няется автоматически на основании указанного кода «Код клиента» (с уч</w:t>
            </w:r>
            <w:r>
              <w:t xml:space="preserve">ё</w:t>
            </w:r>
            <w:r>
              <w:t xml:space="preserve">том Бюджета) из справо</w:t>
            </w:r>
            <w:r>
              <w:t xml:space="preserve">ч</w:t>
            </w:r>
            <w:r>
              <w:t xml:space="preserve">ника «СРРПБС»/ «ПУБП»/ «НУБП».</w:t>
            </w:r>
            <w:r/>
          </w:p>
          <w:p>
            <w:pPr>
              <w:pStyle w:val="1005"/>
              <w:ind w:left="57" w:right="57"/>
            </w:pPr>
            <w:r>
              <w:t xml:space="preserve">Может быть заполнено вручную.</w:t>
            </w:r>
            <w:r/>
          </w:p>
        </w:tc>
      </w:tr>
      <w:tr>
        <w:trPr/>
        <w:tc>
          <w:tcPr>
            <w:shd w:val="clear" w:fill="auto" w:color="auto"/>
            <w:tcW w:w="1227" w:type="pct"/>
            <w:textDirection w:val="lrTb"/>
            <w:noWrap w:val="false"/>
          </w:tcPr>
          <w:p>
            <w:pPr>
              <w:pStyle w:val="1005"/>
              <w:ind w:left="57" w:right="57"/>
            </w:pPr>
            <w:r>
              <w:t xml:space="preserve">Бюджет</w:t>
            </w:r>
            <w:r/>
          </w:p>
        </w:tc>
        <w:tc>
          <w:tcPr>
            <w:shd w:val="clear" w:fill="auto" w:color="auto"/>
            <w:tcW w:w="3773" w:type="pct"/>
            <w:textDirection w:val="lrTb"/>
            <w:noWrap w:val="false"/>
          </w:tcPr>
          <w:p>
            <w:pPr>
              <w:pStyle w:val="1005"/>
              <w:ind w:left="57" w:right="57"/>
            </w:pPr>
            <w:r>
              <w:t xml:space="preserve">Заполняется автоматически на основании системной константы </w:t>
            </w:r>
            <w:r>
              <w:t xml:space="preserve">SelfBudgetCode (Код бюджета)</w:t>
            </w:r>
            <w:r>
              <w:t xml:space="preserve"> по справочнику «Бюдж</w:t>
            </w:r>
            <w:r>
              <w:t xml:space="preserve">е</w:t>
            </w:r>
            <w:r>
              <w:t xml:space="preserve">ты».</w:t>
            </w:r>
            <w:r/>
          </w:p>
          <w:p>
            <w:pPr>
              <w:pStyle w:val="1005"/>
              <w:ind w:left="57" w:right="57"/>
            </w:pPr>
            <w:r>
              <w:t xml:space="preserve">Может быть заполнено выбором из справочника «Бюджеты».</w:t>
            </w:r>
            <w:r/>
          </w:p>
          <w:p>
            <w:pPr>
              <w:pStyle w:val="1005"/>
              <w:ind w:left="57" w:right="57"/>
            </w:pPr>
            <w:r>
              <w:t xml:space="preserve">Может быть заполнено вручную.</w:t>
            </w:r>
            <w:r/>
          </w:p>
        </w:tc>
      </w:tr>
      <w:tr>
        <w:trPr/>
        <w:tc>
          <w:tcPr>
            <w:shd w:val="clear" w:fill="auto" w:color="auto"/>
            <w:tcW w:w="1227" w:type="pct"/>
            <w:textDirection w:val="lrTb"/>
            <w:noWrap w:val="false"/>
          </w:tcPr>
          <w:p>
            <w:pPr>
              <w:pStyle w:val="1005"/>
              <w:ind w:left="57" w:right="57"/>
            </w:pPr>
            <w:r>
              <w:t xml:space="preserve">Орган ФК</w:t>
            </w:r>
            <w:r/>
          </w:p>
        </w:tc>
        <w:tc>
          <w:tcPr>
            <w:shd w:val="clear" w:fill="auto" w:color="auto"/>
            <w:tcW w:w="3773" w:type="pct"/>
            <w:textDirection w:val="lrTb"/>
            <w:noWrap w:val="false"/>
          </w:tcPr>
          <w:p>
            <w:pPr>
              <w:pStyle w:val="1005"/>
              <w:ind w:left="57" w:right="57"/>
            </w:pPr>
            <w:r>
              <w:t xml:space="preserve">Заполняется автоматически на основании системной константы </w:t>
            </w:r>
            <w:r>
              <w:t xml:space="preserve">SelfTOFKcode (Код собственного ТОФК)</w:t>
            </w:r>
            <w:r>
              <w:t xml:space="preserve"> по справочнику «Органы Федерального казн</w:t>
            </w:r>
            <w:r>
              <w:t xml:space="preserve">а</w:t>
            </w:r>
            <w:r>
              <w:t xml:space="preserve">чейства».</w:t>
            </w:r>
            <w:r/>
          </w:p>
          <w:p>
            <w:pPr>
              <w:pStyle w:val="1005"/>
              <w:ind w:left="57" w:right="57"/>
            </w:pPr>
            <w:r>
              <w:t xml:space="preserve">Заполняется автоматически из справочника «Органы Федерального казн</w:t>
            </w:r>
            <w:r>
              <w:t xml:space="preserve">а</w:t>
            </w:r>
            <w:r>
              <w:t xml:space="preserve">чейства» на основании кода «по КОФК».</w:t>
            </w:r>
            <w:r/>
          </w:p>
          <w:p>
            <w:pPr>
              <w:pStyle w:val="1005"/>
              <w:ind w:left="57" w:right="57"/>
            </w:pPr>
            <w:r>
              <w:t xml:space="preserve">Может быть заполнено вручную.</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w:t>
            </w:r>
            <w:r>
              <w:t xml:space="preserve">«Коды»</w:t>
            </w:r>
            <w:r/>
          </w:p>
        </w:tc>
      </w:tr>
      <w:tr>
        <w:trPr/>
        <w:tc>
          <w:tcPr>
            <w:shd w:val="clear" w:fill="auto" w:color="auto"/>
            <w:tcW w:w="1227" w:type="pct"/>
            <w:textDirection w:val="lrTb"/>
            <w:noWrap w:val="false"/>
          </w:tcPr>
          <w:p>
            <w:pPr>
              <w:pStyle w:val="1005"/>
              <w:ind w:left="57" w:right="57"/>
            </w:pPr>
            <w:r>
              <w:t xml:space="preserve">Код клиента</w:t>
            </w:r>
            <w:r/>
          </w:p>
        </w:tc>
        <w:tc>
          <w:tcPr>
            <w:shd w:val="clear" w:fill="auto" w:color="auto"/>
            <w:tcW w:w="3773" w:type="pct"/>
            <w:textDirection w:val="lrTb"/>
            <w:noWrap w:val="false"/>
          </w:tcPr>
          <w:p>
            <w:pPr>
              <w:pStyle w:val="1005"/>
              <w:ind w:left="57" w:right="57"/>
            </w:pPr>
            <w:r>
              <w:t xml:space="preserve">Заполняется автоматически на основании системной константы </w:t>
            </w:r>
            <w:r>
              <w:t xml:space="preserve">SelfBUCode (Код собственного БУ)</w:t>
            </w:r>
            <w:r>
              <w:t xml:space="preserve">.</w:t>
            </w:r>
            <w:r/>
          </w:p>
          <w:p>
            <w:pPr>
              <w:pStyle w:val="1005"/>
              <w:ind w:left="57" w:right="57"/>
            </w:pPr>
            <w:r>
              <w:t xml:space="preserve">Может быть заполнено выбором из справочника:</w:t>
            </w:r>
            <w:r/>
          </w:p>
          <w:p>
            <w:pPr>
              <w:pStyle w:val="1007"/>
            </w:pPr>
            <w:r>
              <w:t xml:space="preserve">«ПУБП», если бюджет отличен от ФБ;</w:t>
            </w:r>
            <w:r/>
          </w:p>
          <w:p>
            <w:pPr>
              <w:pStyle w:val="1007"/>
            </w:pPr>
            <w:r>
              <w:t xml:space="preserve">«НУБП», если Глава текущей организации = 000.</w:t>
            </w:r>
            <w:r/>
          </w:p>
          <w:p>
            <w:pPr>
              <w:pStyle w:val="1005"/>
              <w:ind w:left="57" w:right="57"/>
            </w:pPr>
            <w:r>
              <w:t xml:space="preserve">Может быть заполнено вручную.</w:t>
            </w:r>
            <w:r/>
          </w:p>
        </w:tc>
      </w:tr>
      <w:tr>
        <w:trPr/>
        <w:tc>
          <w:tcPr>
            <w:shd w:val="clear" w:fill="auto" w:color="auto"/>
            <w:tcW w:w="1227" w:type="pct"/>
            <w:textDirection w:val="lrTb"/>
            <w:noWrap w:val="false"/>
          </w:tcPr>
          <w:p>
            <w:pPr>
              <w:pStyle w:val="1005"/>
              <w:ind w:left="57" w:right="57"/>
            </w:pPr>
            <w:r>
              <w:t xml:space="preserve">Номер ЛС</w:t>
            </w:r>
            <w:r/>
          </w:p>
        </w:tc>
        <w:tc>
          <w:tcPr>
            <w:shd w:val="clear" w:fill="auto" w:color="auto"/>
            <w:tcW w:w="3773" w:type="pct"/>
            <w:textDirection w:val="lrTb"/>
            <w:noWrap w:val="false"/>
          </w:tcPr>
          <w:p>
            <w:pPr>
              <w:pStyle w:val="1005"/>
              <w:ind w:left="57" w:right="57"/>
            </w:pPr>
            <w:r>
              <w:t xml:space="preserve">Заполняется выбором из справочника «Лицевые счета», сп</w:t>
            </w:r>
            <w:r>
              <w:t xml:space="preserve">и</w:t>
            </w:r>
            <w:r>
              <w:t xml:space="preserve">сок ограничен типом ЛС в разрезе АРМ + код </w:t>
            </w:r>
            <w:r>
              <w:t xml:space="preserve">К</w:t>
            </w:r>
            <w:r>
              <w:t xml:space="preserve">лиента + код Бюджета:</w:t>
            </w:r>
            <w:r/>
          </w:p>
          <w:p>
            <w:pPr>
              <w:pStyle w:val="1007"/>
            </w:pPr>
            <w:r>
              <w:t xml:space="preserve">на ФО: 02, 12.</w:t>
            </w:r>
            <w:r/>
          </w:p>
          <w:p>
            <w:pPr>
              <w:pStyle w:val="1005"/>
              <w:ind w:left="57" w:right="57"/>
            </w:pPr>
            <w:r>
              <w:t xml:space="preserve">Если по указанным параметрам существует несколько записей, то по умо</w:t>
            </w:r>
            <w:r>
              <w:t xml:space="preserve">л</w:t>
            </w:r>
            <w:r>
              <w:t xml:space="preserve">чанию заполняется первым из сформированного сп</w:t>
            </w:r>
            <w:r>
              <w:t xml:space="preserve">и</w:t>
            </w:r>
            <w:r>
              <w:t xml:space="preserve">ска ЛС.</w:t>
            </w:r>
            <w:r/>
          </w:p>
          <w:p>
            <w:pPr>
              <w:pStyle w:val="1005"/>
              <w:ind w:left="57" w:right="57"/>
            </w:pPr>
            <w:r>
              <w:t xml:space="preserve">Может быть заполнено вручную.</w:t>
            </w:r>
            <w:r/>
          </w:p>
        </w:tc>
      </w:tr>
      <w:tr>
        <w:trPr/>
        <w:tc>
          <w:tcPr>
            <w:shd w:val="clear" w:fill="auto" w:color="auto"/>
            <w:tcW w:w="1227" w:type="pct"/>
            <w:textDirection w:val="lrTb"/>
            <w:noWrap w:val="false"/>
          </w:tcPr>
          <w:p>
            <w:pPr>
              <w:pStyle w:val="1005"/>
              <w:ind w:left="57" w:right="57"/>
            </w:pPr>
            <w:r>
              <w:t xml:space="preserve">ИНН</w:t>
            </w:r>
            <w:r/>
          </w:p>
        </w:tc>
        <w:tc>
          <w:tcPr>
            <w:shd w:val="clear" w:fill="auto" w:color="auto"/>
            <w:tcW w:w="3773" w:type="pct"/>
            <w:textDirection w:val="lrTb"/>
            <w:noWrap w:val="false"/>
          </w:tcPr>
          <w:p>
            <w:pPr>
              <w:pStyle w:val="1005"/>
              <w:ind w:left="57" w:right="57"/>
            </w:pPr>
            <w:r>
              <w:t xml:space="preserve">Заполняется автоматически на основании указанного значения поля «Н</w:t>
            </w:r>
            <w:r>
              <w:t xml:space="preserve">а</w:t>
            </w:r>
            <w:r>
              <w:t xml:space="preserve">именование клиента» (с учётом Бюджета) из справочника «СРРПБС»/ «ПУБП»/ «НУБП».</w:t>
            </w:r>
            <w:r/>
          </w:p>
          <w:p>
            <w:pPr>
              <w:pStyle w:val="1005"/>
              <w:ind w:left="57" w:right="57"/>
            </w:pPr>
            <w:r>
              <w:t xml:space="preserve">Может быть заполнено вручную.</w:t>
            </w:r>
            <w:r/>
          </w:p>
        </w:tc>
      </w:tr>
      <w:tr>
        <w:trPr/>
        <w:tc>
          <w:tcPr>
            <w:shd w:val="clear" w:fill="auto" w:color="auto"/>
            <w:tcW w:w="1227" w:type="pct"/>
            <w:textDirection w:val="lrTb"/>
            <w:noWrap w:val="false"/>
          </w:tcPr>
          <w:p>
            <w:pPr>
              <w:pStyle w:val="1005"/>
              <w:ind w:left="57" w:right="57"/>
            </w:pPr>
            <w:r>
              <w:t xml:space="preserve">КПП</w:t>
            </w:r>
            <w:r/>
          </w:p>
        </w:tc>
        <w:tc>
          <w:tcPr>
            <w:shd w:val="clear" w:fill="auto" w:color="auto"/>
            <w:tcW w:w="3773" w:type="pct"/>
            <w:textDirection w:val="lrTb"/>
            <w:noWrap w:val="false"/>
          </w:tcPr>
          <w:p>
            <w:pPr>
              <w:pStyle w:val="1005"/>
              <w:ind w:left="57" w:right="57"/>
            </w:pPr>
            <w:r>
              <w:t xml:space="preserve">Заполняется автоматически на основании указанного значения поля «Н</w:t>
            </w:r>
            <w:r>
              <w:t xml:space="preserve">а</w:t>
            </w:r>
            <w:r>
              <w:t xml:space="preserve">именование клиента» (с учётом Бюджета) из справочника «СРРПБС»/ «ПУБП»/ «НУБП».</w:t>
            </w:r>
            <w:r/>
          </w:p>
          <w:p>
            <w:pPr>
              <w:pStyle w:val="1005"/>
              <w:ind w:left="57" w:right="57"/>
            </w:pPr>
            <w:r>
              <w:t xml:space="preserve">Может быть заполнено вручную.</w:t>
            </w:r>
            <w:r/>
          </w:p>
        </w:tc>
      </w:tr>
      <w:tr>
        <w:trPr/>
        <w:tc>
          <w:tcPr>
            <w:shd w:val="clear" w:fill="auto" w:color="auto"/>
            <w:tcW w:w="1227" w:type="pct"/>
            <w:textDirection w:val="lrTb"/>
            <w:noWrap w:val="false"/>
          </w:tcPr>
          <w:p>
            <w:pPr>
              <w:pStyle w:val="1005"/>
              <w:ind w:left="57" w:right="57"/>
            </w:pPr>
            <w:r>
              <w:t xml:space="preserve">По КОФК</w:t>
            </w:r>
            <w:r/>
          </w:p>
        </w:tc>
        <w:tc>
          <w:tcPr>
            <w:shd w:val="clear" w:fill="auto" w:color="auto"/>
            <w:tcW w:w="3773" w:type="pct"/>
            <w:textDirection w:val="lrTb"/>
            <w:noWrap w:val="false"/>
          </w:tcPr>
          <w:p>
            <w:pPr>
              <w:pStyle w:val="1005"/>
              <w:ind w:left="57" w:right="57"/>
            </w:pPr>
            <w:r>
              <w:t xml:space="preserve">Заполняется автоматически на основании системной константы </w:t>
            </w:r>
            <w:r>
              <w:t xml:space="preserve">SelfTOFKcode (Код собственного ТОФК)</w:t>
            </w:r>
            <w:r>
              <w:t xml:space="preserve">.</w:t>
            </w:r>
            <w:r/>
          </w:p>
          <w:p>
            <w:pPr>
              <w:pStyle w:val="1005"/>
              <w:ind w:left="57" w:right="57"/>
            </w:pPr>
            <w:r>
              <w:t xml:space="preserve">Может быть заполнено выбором из справочника «Органы Ф</w:t>
            </w:r>
            <w:r>
              <w:t xml:space="preserve">е</w:t>
            </w:r>
            <w:r>
              <w:t xml:space="preserve">дерального казначейства». </w:t>
            </w:r>
            <w:r/>
          </w:p>
          <w:p>
            <w:pPr>
              <w:pStyle w:val="1005"/>
              <w:ind w:left="57" w:right="57"/>
            </w:pPr>
            <w:r>
              <w:t xml:space="preserve">Может быть заполнено вручную. </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w:t>
            </w:r>
            <w:r>
              <w:t xml:space="preserve">«Информация об отчёте»</w:t>
            </w:r>
            <w:r/>
          </w:p>
        </w:tc>
      </w:tr>
      <w:tr>
        <w:trPr/>
        <w:tc>
          <w:tcPr>
            <w:shd w:val="clear" w:fill="auto" w:color="auto"/>
            <w:tcW w:w="1227" w:type="pct"/>
            <w:textDirection w:val="lrTb"/>
            <w:noWrap w:val="false"/>
          </w:tcPr>
          <w:p>
            <w:pPr>
              <w:pStyle w:val="1005"/>
              <w:ind w:left="57" w:right="57"/>
            </w:pPr>
            <w:r>
              <w:t xml:space="preserve">По состоянию на о</w:t>
            </w:r>
            <w:r>
              <w:t xml:space="preserve">т</w:t>
            </w:r>
            <w:r>
              <w:t xml:space="preserve">чётную дату</w:t>
            </w:r>
            <w:r/>
          </w:p>
        </w:tc>
        <w:tc>
          <w:tcPr>
            <w:shd w:val="clear" w:fill="auto" w:color="auto"/>
            <w:tcW w:w="3773" w:type="pct"/>
            <w:textDirection w:val="lrTb"/>
            <w:noWrap w:val="false"/>
          </w:tcPr>
          <w:p>
            <w:pPr>
              <w:pStyle w:val="1005"/>
              <w:ind w:left="57" w:right="57"/>
            </w:pPr>
            <w:r>
              <w:t xml:space="preserve">Заполняется вручную (доступен выбор значения из календ</w:t>
            </w:r>
            <w:r>
              <w:t xml:space="preserve">а</w:t>
            </w:r>
            <w:r>
              <w:t xml:space="preserve">ря).</w:t>
            </w:r>
            <w:r/>
          </w:p>
          <w:p>
            <w:pPr>
              <w:pStyle w:val="1005"/>
              <w:ind w:left="57" w:right="57"/>
            </w:pPr>
            <w:r>
              <w:t xml:space="preserve">Не может быть указана дата</w:t>
            </w:r>
            <w:r>
              <w:t xml:space="preserve">,</w:t>
            </w:r>
            <w:r>
              <w:t xml:space="preserve"> превышающая дату запроса (док</w:t>
            </w:r>
            <w:r>
              <w:t xml:space="preserve">у</w:t>
            </w:r>
            <w:r>
              <w:t xml:space="preserve">мента).</w:t>
            </w:r>
            <w:r/>
          </w:p>
          <w:p>
            <w:pPr>
              <w:pStyle w:val="1005"/>
              <w:ind w:left="57" w:right="57"/>
            </w:pPr>
            <w:r>
              <w:t xml:space="preserve">Не может быть указана дата не соответствующая текущему г</w:t>
            </w:r>
            <w:r>
              <w:t xml:space="preserve">о</w:t>
            </w:r>
            <w:r>
              <w:t xml:space="preserve">ду.</w:t>
            </w:r>
            <w:r/>
          </w:p>
        </w:tc>
      </w:tr>
      <w:tr>
        <w:trPr/>
        <w:tc>
          <w:tcPr>
            <w:shd w:val="clear" w:fill="auto" w:color="auto"/>
            <w:tcW w:w="1227" w:type="pct"/>
            <w:textDirection w:val="lrTb"/>
            <w:noWrap w:val="false"/>
          </w:tcPr>
          <w:p>
            <w:pPr>
              <w:pStyle w:val="1005"/>
              <w:ind w:left="57" w:right="57"/>
            </w:pPr>
            <w:r>
              <w:t xml:space="preserve">Наименование отчёта </w:t>
            </w:r>
            <w:r/>
          </w:p>
        </w:tc>
        <w:tc>
          <w:tcPr>
            <w:shd w:val="clear" w:fill="auto" w:color="auto"/>
            <w:tcW w:w="3773" w:type="pct"/>
            <w:textDirection w:val="lrTb"/>
            <w:noWrap w:val="false"/>
          </w:tcPr>
          <w:p>
            <w:pPr>
              <w:pStyle w:val="1005"/>
              <w:ind w:left="57" w:right="57"/>
            </w:pPr>
            <w:r>
              <w:t xml:space="preserve">По умолчанию пустое поле.</w:t>
            </w:r>
            <w:r/>
          </w:p>
          <w:p>
            <w:pPr>
              <w:pStyle w:val="1005"/>
              <w:ind w:left="57" w:right="57"/>
            </w:pPr>
            <w:r>
              <w:t xml:space="preserve">Заполняется выбранным значением из выпадающего списка (см. таб. </w:t>
            </w:r>
            <w:r>
              <w:fldChar w:fldCharType="begin"/>
            </w:r>
            <w:r>
              <w:instrText xml:space="preserve"> REF _Ref364086432 \h  \* MERGEFORMAT </w:instrText>
            </w:r>
            <w:r>
              <w:fldChar w:fldCharType="separate"/>
            </w:r>
            <w:r>
              <w:t xml:space="preserve">137</w:t>
            </w:r>
            <w:r>
              <w:fldChar w:fldCharType="end"/>
            </w:r>
            <w:r>
              <w:t xml:space="preserve">).</w:t>
            </w:r>
            <w:r/>
          </w:p>
        </w:tc>
      </w:tr>
      <w:tr>
        <w:trPr/>
        <w:tc>
          <w:tcPr>
            <w:shd w:val="clear" w:fill="auto" w:color="auto"/>
            <w:tcW w:w="1227" w:type="pct"/>
            <w:textDirection w:val="lrTb"/>
            <w:noWrap w:val="false"/>
          </w:tcPr>
          <w:p>
            <w:pPr>
              <w:pStyle w:val="1005"/>
              <w:ind w:left="57" w:right="57"/>
            </w:pPr>
            <w:r>
              <w:t xml:space="preserve">Код формы отчёта</w:t>
            </w:r>
            <w:r/>
          </w:p>
        </w:tc>
        <w:tc>
          <w:tcPr>
            <w:shd w:val="clear" w:fill="auto" w:color="auto"/>
            <w:tcW w:w="3773" w:type="pct"/>
            <w:textDirection w:val="lrTb"/>
            <w:noWrap w:val="false"/>
          </w:tcPr>
          <w:p>
            <w:pPr>
              <w:pStyle w:val="1005"/>
              <w:ind w:left="57" w:right="57"/>
            </w:pPr>
            <w:r>
              <w:t xml:space="preserve">По умолчанию пустое поле.</w:t>
            </w:r>
            <w:r/>
          </w:p>
          <w:p>
            <w:pPr>
              <w:pStyle w:val="1005"/>
              <w:ind w:left="57" w:right="57"/>
            </w:pPr>
            <w:r>
              <w:t xml:space="preserve">Заполняется автоматически на основании указанного значения в поле «Н</w:t>
            </w:r>
            <w:r>
              <w:t xml:space="preserve">а</w:t>
            </w:r>
            <w:r>
              <w:t xml:space="preserve">именование отчёта» в соответствии со списком значений (см. таб. </w:t>
            </w:r>
            <w:r>
              <w:fldChar w:fldCharType="begin"/>
            </w:r>
            <w:r>
              <w:instrText xml:space="preserve"> REF _Ref364086432 \h  \* MERGEFORMAT </w:instrText>
            </w:r>
            <w:r>
              <w:fldChar w:fldCharType="separate"/>
            </w:r>
            <w:r>
              <w:t xml:space="preserve">137</w:t>
            </w:r>
            <w:r>
              <w:fldChar w:fldCharType="end"/>
            </w:r>
            <w:r>
              <w:t xml:space="preserve">).</w:t>
            </w:r>
            <w:r/>
          </w:p>
        </w:tc>
      </w:tr>
      <w:tr>
        <w:trPr/>
        <w:tc>
          <w:tcPr>
            <w:shd w:val="clear" w:fill="auto" w:color="auto"/>
            <w:tcW w:w="1227" w:type="pct"/>
            <w:textDirection w:val="lrTb"/>
            <w:noWrap w:val="false"/>
          </w:tcPr>
          <w:p>
            <w:pPr>
              <w:pStyle w:val="1005"/>
              <w:ind w:left="57" w:right="57"/>
            </w:pPr>
            <w:r>
              <w:t xml:space="preserve">Вид обязательств</w:t>
            </w:r>
            <w:r/>
          </w:p>
        </w:tc>
        <w:tc>
          <w:tcPr>
            <w:shd w:val="clear" w:fill="auto" w:color="auto"/>
            <w:tcW w:w="3773" w:type="pct"/>
            <w:textDirection w:val="lrTb"/>
            <w:noWrap w:val="false"/>
          </w:tcPr>
          <w:p>
            <w:pPr>
              <w:pStyle w:val="1005"/>
              <w:ind w:left="57" w:right="57"/>
            </w:pPr>
            <w:r>
              <w:t xml:space="preserve">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r/>
          </w:p>
          <w:p>
            <w:pPr>
              <w:pStyle w:val="1005"/>
              <w:ind w:left="57" w:right="57"/>
            </w:pPr>
            <w:r>
              <w:t xml:space="preserve">По умолчанию </w:t>
            </w:r>
            <w:r>
              <w:t xml:space="preserve">–</w:t>
            </w:r>
            <w:r>
              <w:t xml:space="preserve"> пустое поле.</w:t>
            </w:r>
            <w:r/>
          </w:p>
          <w:p>
            <w:pPr>
              <w:pStyle w:val="1005"/>
              <w:ind w:left="57" w:right="57"/>
            </w:pPr>
            <w:r>
              <w:t xml:space="preserve">Заполняется вручную выбранным значением из выпадающего списка:</w:t>
            </w:r>
            <w:r/>
          </w:p>
          <w:p>
            <w:pPr>
              <w:pStyle w:val="1007"/>
            </w:pPr>
            <w:r>
              <w:t xml:space="preserve">«Бюджетные обязательства»;</w:t>
            </w:r>
            <w:r/>
          </w:p>
          <w:p>
            <w:pPr>
              <w:pStyle w:val="1007"/>
            </w:pPr>
            <w:r>
              <w:t xml:space="preserve">«Денежные обязательства».</w:t>
            </w:r>
            <w:r/>
          </w:p>
        </w:tc>
      </w:tr>
    </w:tbl>
    <w:p>
      <w:pPr>
        <w:pStyle w:val="994"/>
      </w:pPr>
      <w:r>
        <w:t xml:space="preserve">С</w:t>
      </w:r>
      <w:r>
        <w:t xml:space="preserve">оответствие типа л/с наименованию и коду формы отч</w:t>
      </w:r>
      <w:r>
        <w:t xml:space="preserve">е</w:t>
      </w:r>
      <w:r>
        <w:t xml:space="preserve">та/выписки/приложения к выписке</w:t>
      </w:r>
      <w:r>
        <w:t xml:space="preserve"> приведено в</w:t>
      </w:r>
      <w:r>
        <w:t xml:space="preserve"> таблице</w:t>
      </w:r>
      <w:r>
        <w:t xml:space="preserve"> </w:t>
      </w:r>
      <w:r>
        <w:fldChar w:fldCharType="begin"/>
      </w:r>
      <w:r>
        <w:instrText xml:space="preserve"> REF _Ref364086432 \h </w:instrText>
      </w:r>
      <w:r>
        <w:instrText xml:space="preserve"> \* MERGEFORMAT </w:instrText>
      </w:r>
      <w:r>
        <w:fldChar w:fldCharType="separate"/>
      </w:r>
      <w:r>
        <w:t xml:space="preserve">137</w:t>
      </w:r>
      <w:r>
        <w:fldChar w:fldCharType="end"/>
      </w:r>
      <w:r>
        <w:t xml:space="preserve">.</w:t>
      </w:r>
      <w:r/>
    </w:p>
    <w:p>
      <w:pPr>
        <w:pStyle w:val="993"/>
      </w:pPr>
      <w:r>
        <w:fldChar w:fldCharType="begin"/>
      </w:r>
      <w:r>
        <w:instrText xml:space="preserve"> SEQ Таблица \* ARABIC </w:instrText>
      </w:r>
      <w:r>
        <w:fldChar w:fldCharType="separate"/>
      </w:r>
      <w:bookmarkStart w:id="1698" w:name="_Ref364086432"/>
      <w:r/>
      <w:bookmarkStart w:id="1699" w:name="_Toc88819324"/>
      <w:r>
        <w:t xml:space="preserve">137</w:t>
      </w:r>
      <w:bookmarkEnd w:id="1698"/>
      <w:r>
        <w:fldChar w:fldCharType="end"/>
      </w:r>
      <w:r>
        <w:t xml:space="preserve">. Соответствие типа л/с наименованию и коду формы отчета/выписки/приложения к выписке</w:t>
      </w:r>
      <w:bookmarkEnd w:id="1699"/>
      <w:r/>
      <w:r/>
    </w:p>
    <w:tbl>
      <w:tblPr>
        <w:tblW w:w="9752"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792"/>
        <w:gridCol w:w="7581"/>
        <w:gridCol w:w="1379"/>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792" w:type="dxa"/>
            <w:vAlign w:val="center"/>
            <w:textDirection w:val="lrTb"/>
            <w:noWrap w:val="false"/>
          </w:tcPr>
          <w:p>
            <w:pPr>
              <w:pStyle w:val="1006"/>
            </w:pPr>
            <w:r>
              <w:t xml:space="preserve">Тип л/с</w:t>
            </w:r>
            <w:r/>
          </w:p>
        </w:tc>
        <w:tc>
          <w:tcPr>
            <w:shd w:val="clear" w:fill="E6E6E6" w:color="auto"/>
            <w:tcBorders>
              <w:left w:val="single" w:sz="4" w:space="0" w:color="auto"/>
              <w:top w:val="single" w:sz="4" w:space="0" w:color="auto"/>
              <w:right w:val="single" w:sz="4" w:space="0" w:color="auto"/>
              <w:bottom w:val="single" w:sz="4" w:space="0" w:color="auto"/>
            </w:tcBorders>
            <w:tcW w:w="7581" w:type="dxa"/>
            <w:vAlign w:val="center"/>
            <w:textDirection w:val="lrTb"/>
            <w:noWrap w:val="false"/>
          </w:tcPr>
          <w:p>
            <w:pPr>
              <w:pStyle w:val="1006"/>
            </w:pPr>
            <w:r>
              <w:t xml:space="preserve">Наименование отчета о состоянии л/с</w:t>
            </w:r>
            <w:r/>
          </w:p>
        </w:tc>
        <w:tc>
          <w:tcPr>
            <w:shd w:val="clear" w:fill="E6E6E6" w:color="auto"/>
            <w:tcBorders>
              <w:left w:val="single" w:sz="4" w:space="0" w:color="auto"/>
              <w:top w:val="single" w:sz="4" w:space="0" w:color="auto"/>
              <w:right w:val="single" w:sz="4" w:space="0" w:color="auto"/>
              <w:bottom w:val="single" w:sz="4" w:space="0" w:color="auto"/>
            </w:tcBorders>
            <w:tcW w:w="1379" w:type="dxa"/>
            <w:vAlign w:val="center"/>
            <w:textDirection w:val="lrTb"/>
            <w:noWrap w:val="false"/>
          </w:tcPr>
          <w:p>
            <w:pPr>
              <w:pStyle w:val="1006"/>
            </w:pPr>
            <w:r>
              <w:t xml:space="preserve">Код формы по КФД</w:t>
            </w:r>
            <w:r/>
          </w:p>
        </w:tc>
      </w:tr>
      <w:tr>
        <w:trPr/>
        <w:tc>
          <w:tcPr>
            <w:shd w:val="clear" w:fill="auto" w:color="auto"/>
            <w:tcW w:w="792" w:type="dxa"/>
            <w:vMerge w:val="restart"/>
            <w:textDirection w:val="lrTb"/>
            <w:noWrap w:val="false"/>
          </w:tcPr>
          <w:p>
            <w:pPr>
              <w:pStyle w:val="1005"/>
              <w:ind w:left="57" w:right="57"/>
            </w:pPr>
            <w:r>
              <w:t xml:space="preserve">01</w:t>
            </w:r>
            <w:r/>
          </w:p>
        </w:tc>
        <w:tc>
          <w:tcPr>
            <w:shd w:val="clear" w:fill="auto" w:color="auto"/>
            <w:tcW w:w="7581" w:type="dxa"/>
            <w:textDirection w:val="lrTb"/>
            <w:noWrap w:val="false"/>
          </w:tcPr>
          <w:p>
            <w:pPr>
              <w:pStyle w:val="1005"/>
              <w:ind w:left="57" w:right="57"/>
            </w:pPr>
            <w:r>
              <w:t xml:space="preserve">Отчет о состоянии лицевого счета главного распорядителя (распоряд</w:t>
            </w:r>
            <w:r>
              <w:t xml:space="preserve">и</w:t>
            </w:r>
            <w:r>
              <w:t xml:space="preserve">теля) бюджетных средств</w:t>
            </w:r>
            <w:r/>
          </w:p>
        </w:tc>
        <w:tc>
          <w:tcPr>
            <w:shd w:val="clear" w:fill="auto" w:color="auto"/>
            <w:tcW w:w="1379" w:type="dxa"/>
            <w:textDirection w:val="lrTb"/>
            <w:noWrap w:val="false"/>
          </w:tcPr>
          <w:p>
            <w:pPr>
              <w:pStyle w:val="1005"/>
              <w:ind w:left="57" w:right="57"/>
            </w:pPr>
            <w:r>
              <w:t xml:space="preserve">0531785</w:t>
            </w:r>
            <w:r/>
          </w:p>
        </w:tc>
      </w:tr>
      <w:tr>
        <w:trPr/>
        <w:tc>
          <w:tcPr>
            <w:shd w:val="clear" w:fill="auto" w:color="auto"/>
            <w:tcW w:w="792" w:type="dxa"/>
            <w:vMerge w:val="continue"/>
            <w:textDirection w:val="lrTb"/>
            <w:noWrap w:val="false"/>
          </w:tcPr>
          <w:p>
            <w:pPr>
              <w:pStyle w:val="1005"/>
              <w:ind w:left="57" w:right="57"/>
            </w:pPr>
            <w:r/>
            <w:r/>
          </w:p>
        </w:tc>
        <w:tc>
          <w:tcPr>
            <w:shd w:val="clear" w:fill="auto" w:color="auto"/>
            <w:tcW w:w="7581" w:type="dxa"/>
            <w:textDirection w:val="lrTb"/>
            <w:noWrap w:val="false"/>
          </w:tcPr>
          <w:p>
            <w:pPr>
              <w:pStyle w:val="1005"/>
              <w:ind w:left="57" w:right="57"/>
            </w:pPr>
            <w:r>
              <w:t xml:space="preserve">Выписка из лицевого счета главного распорядителя (распорядителя) бюдже</w:t>
            </w:r>
            <w:r>
              <w:t xml:space="preserve">т</w:t>
            </w:r>
            <w:r>
              <w:t xml:space="preserve">ных средств</w:t>
            </w:r>
            <w:r/>
          </w:p>
        </w:tc>
        <w:tc>
          <w:tcPr>
            <w:shd w:val="clear" w:fill="auto" w:color="auto"/>
            <w:tcW w:w="1379" w:type="dxa"/>
            <w:textDirection w:val="lrTb"/>
            <w:noWrap w:val="false"/>
          </w:tcPr>
          <w:p>
            <w:pPr>
              <w:pStyle w:val="1005"/>
              <w:ind w:left="57" w:right="57"/>
            </w:pPr>
            <w:r>
              <w:t xml:space="preserve">0531758</w:t>
            </w:r>
            <w:r/>
          </w:p>
        </w:tc>
      </w:tr>
      <w:tr>
        <w:trPr/>
        <w:tc>
          <w:tcPr>
            <w:shd w:val="clear" w:fill="auto" w:color="auto"/>
            <w:tcW w:w="792" w:type="dxa"/>
            <w:vMerge w:val="restart"/>
            <w:textDirection w:val="lrTb"/>
            <w:noWrap w:val="false"/>
          </w:tcPr>
          <w:p>
            <w:pPr>
              <w:pStyle w:val="1005"/>
              <w:ind w:left="57" w:right="57"/>
            </w:pPr>
            <w:r>
              <w:t xml:space="preserve">02</w:t>
            </w:r>
            <w:r/>
          </w:p>
        </w:tc>
        <w:tc>
          <w:tcPr>
            <w:shd w:val="clear" w:fill="auto" w:color="auto"/>
            <w:tcW w:w="7581" w:type="dxa"/>
            <w:textDirection w:val="lrTb"/>
            <w:noWrap w:val="false"/>
          </w:tcPr>
          <w:p>
            <w:pPr>
              <w:pStyle w:val="1005"/>
              <w:ind w:left="57" w:right="57"/>
            </w:pPr>
            <w:r>
              <w:t xml:space="preserve">Отчет о состоянии лицевого счета бюджета</w:t>
            </w:r>
            <w:r/>
          </w:p>
        </w:tc>
        <w:tc>
          <w:tcPr>
            <w:shd w:val="clear" w:fill="auto" w:color="auto"/>
            <w:tcW w:w="1379" w:type="dxa"/>
            <w:textDirection w:val="lrTb"/>
            <w:noWrap w:val="false"/>
          </w:tcPr>
          <w:p>
            <w:pPr>
              <w:pStyle w:val="1005"/>
              <w:ind w:left="57" w:right="57"/>
            </w:pPr>
            <w:r>
              <w:t xml:space="preserve">0531793</w:t>
            </w:r>
            <w:r/>
          </w:p>
        </w:tc>
      </w:tr>
      <w:tr>
        <w:trPr/>
        <w:tc>
          <w:tcPr>
            <w:shd w:val="clear" w:fill="auto" w:color="auto"/>
            <w:tcW w:w="792" w:type="dxa"/>
            <w:vMerge w:val="continue"/>
            <w:textDirection w:val="lrTb"/>
            <w:noWrap w:val="false"/>
          </w:tcPr>
          <w:p>
            <w:pPr>
              <w:pStyle w:val="1005"/>
              <w:ind w:left="57" w:right="57"/>
            </w:pPr>
            <w:r/>
            <w:r/>
          </w:p>
        </w:tc>
        <w:tc>
          <w:tcPr>
            <w:shd w:val="clear" w:fill="auto" w:color="auto"/>
            <w:tcW w:w="7581" w:type="dxa"/>
            <w:textDirection w:val="lrTb"/>
            <w:noWrap w:val="false"/>
          </w:tcPr>
          <w:p>
            <w:pPr>
              <w:pStyle w:val="1005"/>
              <w:ind w:left="57" w:right="57"/>
            </w:pPr>
            <w:r>
              <w:t xml:space="preserve">Выписка из лицевого счета бюджета</w:t>
            </w:r>
            <w:r/>
          </w:p>
        </w:tc>
        <w:tc>
          <w:tcPr>
            <w:shd w:val="clear" w:fill="auto" w:color="auto"/>
            <w:tcW w:w="1379" w:type="dxa"/>
            <w:textDirection w:val="lrTb"/>
            <w:noWrap w:val="false"/>
          </w:tcPr>
          <w:p>
            <w:pPr>
              <w:pStyle w:val="1005"/>
              <w:ind w:left="57" w:right="57"/>
            </w:pPr>
            <w:r>
              <w:t xml:space="preserve">0531775</w:t>
            </w:r>
            <w:r/>
          </w:p>
        </w:tc>
      </w:tr>
      <w:tr>
        <w:trPr/>
        <w:tc>
          <w:tcPr>
            <w:shd w:val="clear" w:fill="auto" w:color="auto"/>
            <w:tcW w:w="792" w:type="dxa"/>
            <w:vMerge w:val="restart"/>
            <w:textDirection w:val="lrTb"/>
            <w:noWrap w:val="false"/>
          </w:tcPr>
          <w:p>
            <w:pPr>
              <w:pStyle w:val="1005"/>
              <w:ind w:left="57" w:right="57"/>
            </w:pPr>
            <w:r>
              <w:t xml:space="preserve">03/14</w:t>
            </w:r>
            <w:r/>
          </w:p>
        </w:tc>
        <w:tc>
          <w:tcPr>
            <w:shd w:val="clear" w:fill="auto" w:color="auto"/>
            <w:tcW w:w="7581" w:type="dxa"/>
            <w:textDirection w:val="lrTb"/>
            <w:noWrap w:val="false"/>
          </w:tcPr>
          <w:p>
            <w:pPr>
              <w:pStyle w:val="1005"/>
              <w:ind w:left="57" w:right="57"/>
            </w:pPr>
            <w:r>
              <w:t xml:space="preserve">Отчет о состоянии лицевого счета получателя бюджетных средств</w:t>
            </w:r>
            <w:r/>
          </w:p>
        </w:tc>
        <w:tc>
          <w:tcPr>
            <w:shd w:val="clear" w:fill="auto" w:color="auto"/>
            <w:tcW w:w="1379" w:type="dxa"/>
            <w:textDirection w:val="lrTb"/>
            <w:noWrap w:val="false"/>
          </w:tcPr>
          <w:p>
            <w:pPr>
              <w:pStyle w:val="1005"/>
              <w:ind w:left="57" w:right="57"/>
            </w:pPr>
            <w:r>
              <w:t xml:space="preserve">0531786</w:t>
            </w:r>
            <w:r/>
          </w:p>
        </w:tc>
      </w:tr>
      <w:tr>
        <w:trPr/>
        <w:tc>
          <w:tcPr>
            <w:shd w:val="clear" w:fill="auto" w:color="auto"/>
            <w:tcW w:w="792" w:type="dxa"/>
            <w:vMerge w:val="continue"/>
            <w:textDirection w:val="lrTb"/>
            <w:noWrap w:val="false"/>
          </w:tcPr>
          <w:p>
            <w:pPr>
              <w:pStyle w:val="1005"/>
              <w:ind w:left="57" w:right="57"/>
            </w:pPr>
            <w:r/>
            <w:r/>
          </w:p>
        </w:tc>
        <w:tc>
          <w:tcPr>
            <w:shd w:val="clear" w:fill="auto" w:color="auto"/>
            <w:tcW w:w="7581" w:type="dxa"/>
            <w:textDirection w:val="lrTb"/>
            <w:noWrap w:val="false"/>
          </w:tcPr>
          <w:p>
            <w:pPr>
              <w:pStyle w:val="1005"/>
              <w:ind w:left="57" w:right="57"/>
            </w:pPr>
            <w:r>
              <w:t xml:space="preserve">Выписка из лицевого счета получателя бюджетных средств</w:t>
            </w:r>
            <w:r/>
          </w:p>
        </w:tc>
        <w:tc>
          <w:tcPr>
            <w:shd w:val="clear" w:fill="auto" w:color="auto"/>
            <w:tcW w:w="1379" w:type="dxa"/>
            <w:textDirection w:val="lrTb"/>
            <w:noWrap w:val="false"/>
          </w:tcPr>
          <w:p>
            <w:pPr>
              <w:pStyle w:val="1005"/>
              <w:ind w:left="57" w:right="57"/>
            </w:pPr>
            <w:r>
              <w:t xml:space="preserve">0531759</w:t>
            </w:r>
            <w:r/>
          </w:p>
        </w:tc>
      </w:tr>
      <w:tr>
        <w:trPr/>
        <w:tc>
          <w:tcPr>
            <w:shd w:val="clear" w:fill="auto" w:color="auto"/>
            <w:tcW w:w="792" w:type="dxa"/>
            <w:vMerge w:val="continue"/>
            <w:textDirection w:val="lrTb"/>
            <w:noWrap w:val="false"/>
          </w:tcPr>
          <w:p>
            <w:pPr>
              <w:pStyle w:val="1005"/>
              <w:ind w:left="57" w:right="57"/>
            </w:pPr>
            <w:r/>
            <w:r/>
          </w:p>
        </w:tc>
        <w:tc>
          <w:tcPr>
            <w:shd w:val="clear" w:fill="auto" w:color="auto"/>
            <w:tcW w:w="7581" w:type="dxa"/>
            <w:textDirection w:val="lrTb"/>
            <w:noWrap w:val="false"/>
          </w:tcPr>
          <w:p>
            <w:pPr>
              <w:pStyle w:val="1005"/>
              <w:ind w:left="57" w:right="57"/>
            </w:pPr>
            <w:r>
              <w:t xml:space="preserve">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w:t>
            </w:r>
            <w:r>
              <w:t xml:space="preserve">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r/>
          </w:p>
        </w:tc>
        <w:tc>
          <w:tcPr>
            <w:shd w:val="clear" w:fill="auto" w:color="auto"/>
            <w:tcW w:w="1379" w:type="dxa"/>
            <w:textDirection w:val="lrTb"/>
            <w:noWrap w:val="false"/>
          </w:tcPr>
          <w:p>
            <w:pPr>
              <w:pStyle w:val="1005"/>
              <w:ind w:left="57" w:right="57"/>
            </w:pPr>
            <w:r>
              <w:t xml:space="preserve">0506103</w:t>
            </w:r>
            <w:r/>
          </w:p>
        </w:tc>
      </w:tr>
      <w:tr>
        <w:trPr/>
        <w:tc>
          <w:tcPr>
            <w:shd w:val="clear" w:fill="auto" w:color="auto"/>
            <w:tcW w:w="792" w:type="dxa"/>
            <w:vMerge w:val="continue"/>
            <w:textDirection w:val="lrTb"/>
            <w:noWrap w:val="false"/>
          </w:tcPr>
          <w:p>
            <w:pPr>
              <w:pStyle w:val="1005"/>
              <w:ind w:left="57" w:right="57"/>
            </w:pPr>
            <w:r/>
            <w:r/>
          </w:p>
        </w:tc>
        <w:tc>
          <w:tcPr>
            <w:shd w:val="clear" w:fill="auto" w:color="auto"/>
            <w:tcW w:w="7581" w:type="dxa"/>
            <w:textDirection w:val="lrTb"/>
            <w:noWrap w:val="false"/>
          </w:tcPr>
          <w:p>
            <w:pPr>
              <w:pStyle w:val="1005"/>
              <w:ind w:left="57" w:right="57"/>
            </w:pPr>
            <w:r>
              <w:t xml:space="preserve">Справка об исполнении принятых на учет обязательств</w:t>
            </w:r>
            <w:r/>
          </w:p>
        </w:tc>
        <w:tc>
          <w:tcPr>
            <w:shd w:val="clear" w:fill="auto" w:color="auto"/>
            <w:tcW w:w="1379" w:type="dxa"/>
            <w:textDirection w:val="lrTb"/>
            <w:noWrap w:val="false"/>
          </w:tcPr>
          <w:p>
            <w:pPr>
              <w:pStyle w:val="1005"/>
              <w:ind w:left="57" w:right="57"/>
            </w:pPr>
            <w:r>
              <w:t xml:space="preserve">0506602</w:t>
            </w:r>
            <w:r/>
          </w:p>
        </w:tc>
      </w:tr>
      <w:tr>
        <w:trPr/>
        <w:tc>
          <w:tcPr>
            <w:shd w:val="clear" w:fill="auto" w:color="auto"/>
            <w:tcW w:w="792" w:type="dxa"/>
            <w:vMerge w:val="restart"/>
            <w:textDirection w:val="lrTb"/>
            <w:noWrap w:val="false"/>
          </w:tcPr>
          <w:p>
            <w:pPr>
              <w:pStyle w:val="1005"/>
              <w:ind w:left="57" w:right="57"/>
            </w:pPr>
            <w:r>
              <w:t xml:space="preserve">04</w:t>
            </w:r>
            <w:r/>
          </w:p>
        </w:tc>
        <w:tc>
          <w:tcPr>
            <w:shd w:val="clear" w:fill="auto" w:color="auto"/>
            <w:tcW w:w="7581" w:type="dxa"/>
            <w:textDirection w:val="lrTb"/>
            <w:noWrap w:val="false"/>
          </w:tcPr>
          <w:p>
            <w:pPr>
              <w:pStyle w:val="1005"/>
              <w:ind w:left="57" w:right="57"/>
            </w:pPr>
            <w:r>
              <w:t xml:space="preserve">Отчет о состоянии лицевого счета администратора доходов бюджета</w:t>
            </w:r>
            <w:r/>
          </w:p>
        </w:tc>
        <w:tc>
          <w:tcPr>
            <w:shd w:val="clear" w:fill="auto" w:color="auto"/>
            <w:tcW w:w="1379" w:type="dxa"/>
            <w:textDirection w:val="lrTb"/>
            <w:noWrap w:val="false"/>
          </w:tcPr>
          <w:p>
            <w:pPr>
              <w:pStyle w:val="1005"/>
              <w:ind w:left="57" w:right="57"/>
            </w:pPr>
            <w:r>
              <w:t xml:space="preserve">0531787</w:t>
            </w:r>
            <w:r/>
          </w:p>
        </w:tc>
      </w:tr>
      <w:tr>
        <w:trPr/>
        <w:tc>
          <w:tcPr>
            <w:shd w:val="clear" w:fill="auto" w:color="auto"/>
            <w:tcW w:w="792" w:type="dxa"/>
            <w:vMerge w:val="continue"/>
            <w:textDirection w:val="lrTb"/>
            <w:noWrap w:val="false"/>
          </w:tcPr>
          <w:p>
            <w:pPr>
              <w:pStyle w:val="1005"/>
              <w:ind w:left="57" w:right="57"/>
            </w:pPr>
            <w:r/>
            <w:r/>
          </w:p>
        </w:tc>
        <w:tc>
          <w:tcPr>
            <w:shd w:val="clear" w:fill="auto" w:color="auto"/>
            <w:tcW w:w="7581" w:type="dxa"/>
            <w:textDirection w:val="lrTb"/>
            <w:noWrap w:val="false"/>
          </w:tcPr>
          <w:p>
            <w:pPr>
              <w:pStyle w:val="1005"/>
              <w:ind w:left="57" w:right="57"/>
            </w:pPr>
            <w:r>
              <w:t xml:space="preserve">Выписка из лицевого счета администратора доходов бюджета</w:t>
            </w:r>
            <w:r/>
          </w:p>
        </w:tc>
        <w:tc>
          <w:tcPr>
            <w:shd w:val="clear" w:fill="auto" w:color="auto"/>
            <w:tcW w:w="1379" w:type="dxa"/>
            <w:textDirection w:val="lrTb"/>
            <w:noWrap w:val="false"/>
          </w:tcPr>
          <w:p>
            <w:pPr>
              <w:pStyle w:val="1005"/>
              <w:ind w:left="57" w:right="57"/>
            </w:pPr>
            <w:r>
              <w:t xml:space="preserve">0531761</w:t>
            </w:r>
            <w:r/>
          </w:p>
        </w:tc>
      </w:tr>
      <w:tr>
        <w:trPr/>
        <w:tc>
          <w:tcPr>
            <w:shd w:val="clear" w:fill="auto" w:color="auto"/>
            <w:tcW w:w="792" w:type="dxa"/>
            <w:vMerge w:val="restart"/>
            <w:textDirection w:val="lrTb"/>
            <w:noWrap w:val="false"/>
          </w:tcPr>
          <w:p>
            <w:pPr>
              <w:pStyle w:val="1005"/>
              <w:ind w:left="57" w:right="57"/>
            </w:pPr>
            <w:r>
              <w:t xml:space="preserve">05</w:t>
            </w:r>
            <w:r/>
          </w:p>
        </w:tc>
        <w:tc>
          <w:tcPr>
            <w:shd w:val="clear" w:fill="auto" w:color="auto"/>
            <w:tcW w:w="7581" w:type="dxa"/>
            <w:textDirection w:val="lrTb"/>
            <w:noWrap w:val="false"/>
          </w:tcPr>
          <w:p>
            <w:pPr>
              <w:pStyle w:val="1005"/>
              <w:ind w:left="57" w:right="57"/>
            </w:pPr>
            <w:r>
              <w:t xml:space="preserve">Отчет о состоянии лицевого счета для учета операций со средствами, пост</w:t>
            </w:r>
            <w:r>
              <w:t xml:space="preserve">у</w:t>
            </w:r>
            <w:r>
              <w:t xml:space="preserve">пающими во временное распоряжение получателя бюджетных средств</w:t>
            </w:r>
            <w:r/>
          </w:p>
        </w:tc>
        <w:tc>
          <w:tcPr>
            <w:shd w:val="clear" w:fill="auto" w:color="auto"/>
            <w:tcW w:w="1379" w:type="dxa"/>
            <w:textDirection w:val="lrTb"/>
            <w:noWrap w:val="false"/>
          </w:tcPr>
          <w:p>
            <w:pPr>
              <w:pStyle w:val="1005"/>
              <w:ind w:left="57" w:right="57"/>
            </w:pPr>
            <w:r>
              <w:t xml:space="preserve">0531788</w:t>
            </w:r>
            <w:r/>
          </w:p>
        </w:tc>
      </w:tr>
      <w:tr>
        <w:trPr/>
        <w:tc>
          <w:tcPr>
            <w:shd w:val="clear" w:fill="auto" w:color="auto"/>
            <w:tcW w:w="792" w:type="dxa"/>
            <w:vMerge w:val="continue"/>
            <w:textDirection w:val="lrTb"/>
            <w:noWrap w:val="false"/>
          </w:tcPr>
          <w:p>
            <w:pPr>
              <w:pStyle w:val="1005"/>
              <w:ind w:left="57" w:right="57"/>
            </w:pPr>
            <w:r/>
            <w:r/>
          </w:p>
        </w:tc>
        <w:tc>
          <w:tcPr>
            <w:shd w:val="clear" w:fill="auto" w:color="auto"/>
            <w:tcW w:w="7581" w:type="dxa"/>
            <w:textDirection w:val="lrTb"/>
            <w:noWrap w:val="false"/>
          </w:tcPr>
          <w:p>
            <w:pPr>
              <w:pStyle w:val="1005"/>
              <w:ind w:left="57" w:right="57"/>
            </w:pPr>
            <w:r>
              <w:t xml:space="preserve">Выписка из лицевого счета для учета операций со средствами, поступающ</w:t>
            </w:r>
            <w:r>
              <w:t xml:space="preserve">и</w:t>
            </w:r>
            <w:r>
              <w:t xml:space="preserve">ми во временное распоряжение получателя бюджетных средств</w:t>
            </w:r>
            <w:r/>
          </w:p>
        </w:tc>
        <w:tc>
          <w:tcPr>
            <w:shd w:val="clear" w:fill="auto" w:color="auto"/>
            <w:tcW w:w="1379" w:type="dxa"/>
            <w:textDirection w:val="lrTb"/>
            <w:noWrap w:val="false"/>
          </w:tcPr>
          <w:p>
            <w:pPr>
              <w:pStyle w:val="1005"/>
              <w:ind w:left="57" w:right="57"/>
            </w:pPr>
            <w:r>
              <w:t xml:space="preserve">0531762</w:t>
            </w:r>
            <w:r/>
          </w:p>
        </w:tc>
      </w:tr>
      <w:tr>
        <w:trPr/>
        <w:tc>
          <w:tcPr>
            <w:shd w:val="clear" w:fill="auto" w:color="auto"/>
            <w:tcW w:w="792" w:type="dxa"/>
            <w:vMerge w:val="restart"/>
            <w:textDirection w:val="lrTb"/>
            <w:noWrap w:val="false"/>
          </w:tcPr>
          <w:p>
            <w:pPr>
              <w:pStyle w:val="1005"/>
              <w:ind w:left="57" w:right="57"/>
            </w:pPr>
            <w:r>
              <w:t xml:space="preserve">06/07</w:t>
            </w:r>
            <w:r/>
          </w:p>
        </w:tc>
        <w:tc>
          <w:tcPr>
            <w:shd w:val="clear" w:fill="auto" w:color="auto"/>
            <w:tcW w:w="7581" w:type="dxa"/>
            <w:textDirection w:val="lrTb"/>
            <w:noWrap w:val="false"/>
          </w:tcPr>
          <w:p>
            <w:pPr>
              <w:pStyle w:val="1005"/>
              <w:ind w:left="57" w:right="57"/>
            </w:pPr>
            <w:r>
              <w:t xml:space="preserve">Отчет о состоянии лицевого счета главного администратора источников ф</w:t>
            </w:r>
            <w:r>
              <w:t xml:space="preserve">и</w:t>
            </w:r>
            <w:r>
              <w:t xml:space="preserve">нансирования дефицита бюджета (администратора источников финансиров</w:t>
            </w:r>
            <w:r>
              <w:t xml:space="preserve">а</w:t>
            </w:r>
            <w:r>
              <w:t xml:space="preserve">ния дефицита бюджета с полномочиями главного администратора)</w:t>
            </w:r>
            <w:r/>
          </w:p>
        </w:tc>
        <w:tc>
          <w:tcPr>
            <w:shd w:val="clear" w:fill="auto" w:color="auto"/>
            <w:tcW w:w="1379" w:type="dxa"/>
            <w:textDirection w:val="lrTb"/>
            <w:noWrap w:val="false"/>
          </w:tcPr>
          <w:p>
            <w:pPr>
              <w:pStyle w:val="1005"/>
              <w:ind w:left="57" w:right="57"/>
            </w:pPr>
            <w:r>
              <w:t xml:space="preserve">0531789</w:t>
            </w:r>
            <w:r/>
          </w:p>
        </w:tc>
      </w:tr>
      <w:tr>
        <w:trPr/>
        <w:tc>
          <w:tcPr>
            <w:shd w:val="clear" w:fill="auto" w:color="auto"/>
            <w:tcW w:w="792" w:type="dxa"/>
            <w:vMerge w:val="continue"/>
            <w:textDirection w:val="lrTb"/>
            <w:noWrap w:val="false"/>
          </w:tcPr>
          <w:p>
            <w:pPr>
              <w:pStyle w:val="1005"/>
              <w:ind w:left="57" w:right="57"/>
            </w:pPr>
            <w:r/>
            <w:r/>
          </w:p>
        </w:tc>
        <w:tc>
          <w:tcPr>
            <w:shd w:val="clear" w:fill="auto" w:color="auto"/>
            <w:tcW w:w="7581" w:type="dxa"/>
            <w:textDirection w:val="lrTb"/>
            <w:noWrap w:val="false"/>
          </w:tcPr>
          <w:p>
            <w:pPr>
              <w:pStyle w:val="1005"/>
              <w:ind w:left="57" w:right="57"/>
            </w:pPr>
            <w:r>
              <w:t xml:space="preserve">Выписка из лицевого счета главного администратора источников финансир</w:t>
            </w:r>
            <w:r>
              <w:t xml:space="preserve">о</w:t>
            </w:r>
            <w:r>
              <w:t xml:space="preserve">вания дефицита бюджета (администратора источников финансирования д</w:t>
            </w:r>
            <w:r>
              <w:t xml:space="preserve">е</w:t>
            </w:r>
            <w:r>
              <w:t xml:space="preserve">фицита бюджета с полномочиями главного администратора)</w:t>
            </w:r>
            <w:r/>
          </w:p>
        </w:tc>
        <w:tc>
          <w:tcPr>
            <w:shd w:val="clear" w:fill="auto" w:color="auto"/>
            <w:tcW w:w="1379" w:type="dxa"/>
            <w:textDirection w:val="lrTb"/>
            <w:noWrap w:val="false"/>
          </w:tcPr>
          <w:p>
            <w:pPr>
              <w:pStyle w:val="1005"/>
              <w:ind w:left="57" w:right="57"/>
            </w:pPr>
            <w:r>
              <w:t xml:space="preserve">0531763</w:t>
            </w:r>
            <w:r/>
          </w:p>
        </w:tc>
      </w:tr>
      <w:tr>
        <w:trPr/>
        <w:tc>
          <w:tcPr>
            <w:shd w:val="clear" w:fill="auto" w:color="auto"/>
            <w:tcW w:w="792" w:type="dxa"/>
            <w:vMerge w:val="restart"/>
            <w:textDirection w:val="lrTb"/>
            <w:noWrap w:val="false"/>
          </w:tcPr>
          <w:p>
            <w:pPr>
              <w:pStyle w:val="1005"/>
              <w:ind w:left="57" w:right="57"/>
            </w:pPr>
            <w:r>
              <w:t xml:space="preserve">08/09</w:t>
            </w:r>
            <w:r/>
          </w:p>
        </w:tc>
        <w:tc>
          <w:tcPr>
            <w:shd w:val="clear" w:fill="auto" w:color="auto"/>
            <w:tcW w:w="7581" w:type="dxa"/>
            <w:textDirection w:val="lrTb"/>
            <w:noWrap w:val="false"/>
          </w:tcPr>
          <w:p>
            <w:pPr>
              <w:pStyle w:val="1005"/>
              <w:ind w:left="57" w:right="57"/>
            </w:pPr>
            <w:r>
              <w:t xml:space="preserve">Отчет о состоянии лицевого счета администратора источников финансиров</w:t>
            </w:r>
            <w:r>
              <w:t xml:space="preserve">а</w:t>
            </w:r>
            <w:r>
              <w:t xml:space="preserve">ния дефицита бюджета</w:t>
            </w:r>
            <w:r/>
          </w:p>
        </w:tc>
        <w:tc>
          <w:tcPr>
            <w:shd w:val="clear" w:fill="auto" w:color="auto"/>
            <w:tcW w:w="1379" w:type="dxa"/>
            <w:textDirection w:val="lrTb"/>
            <w:noWrap w:val="false"/>
          </w:tcPr>
          <w:p>
            <w:pPr>
              <w:pStyle w:val="1005"/>
              <w:ind w:left="57" w:right="57"/>
            </w:pPr>
            <w:r>
              <w:t xml:space="preserve">0531791</w:t>
            </w:r>
            <w:r/>
          </w:p>
        </w:tc>
      </w:tr>
      <w:tr>
        <w:trPr/>
        <w:tc>
          <w:tcPr>
            <w:shd w:val="clear" w:fill="auto" w:color="auto"/>
            <w:tcW w:w="792" w:type="dxa"/>
            <w:vMerge w:val="continue"/>
            <w:textDirection w:val="lrTb"/>
            <w:noWrap w:val="false"/>
          </w:tcPr>
          <w:p>
            <w:pPr>
              <w:pStyle w:val="1005"/>
              <w:ind w:left="57" w:right="57"/>
            </w:pPr>
            <w:r/>
            <w:r/>
          </w:p>
        </w:tc>
        <w:tc>
          <w:tcPr>
            <w:shd w:val="clear" w:fill="auto" w:color="auto"/>
            <w:tcW w:w="7581" w:type="dxa"/>
            <w:textDirection w:val="lrTb"/>
            <w:noWrap w:val="false"/>
          </w:tcPr>
          <w:p>
            <w:pPr>
              <w:pStyle w:val="1005"/>
              <w:ind w:left="57" w:right="57"/>
            </w:pPr>
            <w:r>
              <w:t xml:space="preserve">Выписка из лицевого счета администратора источников финансирования д</w:t>
            </w:r>
            <w:r>
              <w:t xml:space="preserve">е</w:t>
            </w:r>
            <w:r>
              <w:t xml:space="preserve">фицита бюджета</w:t>
            </w:r>
            <w:r/>
          </w:p>
        </w:tc>
        <w:tc>
          <w:tcPr>
            <w:shd w:val="clear" w:fill="auto" w:color="auto"/>
            <w:tcW w:w="1379" w:type="dxa"/>
            <w:textDirection w:val="lrTb"/>
            <w:noWrap w:val="false"/>
          </w:tcPr>
          <w:p>
            <w:pPr>
              <w:pStyle w:val="1005"/>
              <w:ind w:left="57" w:right="57"/>
            </w:pPr>
            <w:r>
              <w:t xml:space="preserve">0531764</w:t>
            </w:r>
            <w:r/>
          </w:p>
        </w:tc>
      </w:tr>
      <w:tr>
        <w:trPr/>
        <w:tc>
          <w:tcPr>
            <w:shd w:val="clear" w:fill="auto" w:color="auto"/>
            <w:tcW w:w="792" w:type="dxa"/>
            <w:vMerge w:val="restart"/>
            <w:textDirection w:val="lrTb"/>
            <w:noWrap w:val="false"/>
          </w:tcPr>
          <w:p>
            <w:pPr>
              <w:pStyle w:val="1005"/>
              <w:ind w:left="57" w:right="57"/>
            </w:pPr>
            <w:r>
              <w:t xml:space="preserve">10</w:t>
            </w:r>
            <w:r/>
          </w:p>
        </w:tc>
        <w:tc>
          <w:tcPr>
            <w:shd w:val="clear" w:fill="auto" w:color="auto"/>
            <w:tcW w:w="7581" w:type="dxa"/>
            <w:textDirection w:val="lrTb"/>
            <w:noWrap w:val="false"/>
          </w:tcPr>
          <w:p>
            <w:pPr>
              <w:pStyle w:val="1005"/>
              <w:ind w:left="57" w:right="57"/>
            </w:pPr>
            <w:r>
              <w:t xml:space="preserve">Отчет о состоянии лицевого счета иного получателя бюджетных средств</w:t>
            </w:r>
            <w:r/>
          </w:p>
        </w:tc>
        <w:tc>
          <w:tcPr>
            <w:shd w:val="clear" w:fill="auto" w:color="auto"/>
            <w:tcW w:w="1379" w:type="dxa"/>
            <w:textDirection w:val="lrTb"/>
            <w:noWrap w:val="false"/>
          </w:tcPr>
          <w:p>
            <w:pPr>
              <w:pStyle w:val="1005"/>
              <w:ind w:left="57" w:right="57"/>
            </w:pPr>
            <w:r>
              <w:t xml:space="preserve">0531797</w:t>
            </w:r>
            <w:r/>
          </w:p>
        </w:tc>
      </w:tr>
      <w:tr>
        <w:trPr/>
        <w:tc>
          <w:tcPr>
            <w:shd w:val="clear" w:fill="auto" w:color="auto"/>
            <w:tcW w:w="792" w:type="dxa"/>
            <w:vMerge w:val="continue"/>
            <w:textDirection w:val="lrTb"/>
            <w:noWrap w:val="false"/>
          </w:tcPr>
          <w:p>
            <w:pPr>
              <w:pStyle w:val="1005"/>
              <w:ind w:left="57" w:right="57"/>
            </w:pPr>
            <w:r/>
            <w:r/>
          </w:p>
        </w:tc>
        <w:tc>
          <w:tcPr>
            <w:shd w:val="clear" w:fill="auto" w:color="auto"/>
            <w:tcW w:w="7581" w:type="dxa"/>
            <w:textDirection w:val="lrTb"/>
            <w:noWrap w:val="false"/>
          </w:tcPr>
          <w:p>
            <w:pPr>
              <w:pStyle w:val="1005"/>
              <w:ind w:left="57" w:right="57"/>
            </w:pPr>
            <w:r>
              <w:t xml:space="preserve">Выписка из лицевого счета иного получателя бюджетных средств</w:t>
            </w:r>
            <w:r/>
          </w:p>
        </w:tc>
        <w:tc>
          <w:tcPr>
            <w:shd w:val="clear" w:fill="auto" w:color="auto"/>
            <w:tcW w:w="1379" w:type="dxa"/>
            <w:textDirection w:val="lrTb"/>
            <w:noWrap w:val="false"/>
          </w:tcPr>
          <w:p>
            <w:pPr>
              <w:pStyle w:val="1005"/>
              <w:ind w:left="57" w:right="57"/>
            </w:pPr>
            <w:r>
              <w:t xml:space="preserve">0531765</w:t>
            </w:r>
            <w:r/>
          </w:p>
        </w:tc>
      </w:tr>
      <w:tr>
        <w:trPr/>
        <w:tc>
          <w:tcPr>
            <w:shd w:val="clear" w:fill="auto" w:color="auto"/>
            <w:tcW w:w="792" w:type="dxa"/>
            <w:textDirection w:val="lrTb"/>
            <w:noWrap w:val="false"/>
          </w:tcPr>
          <w:p>
            <w:pPr>
              <w:pStyle w:val="1005"/>
              <w:ind w:left="57" w:right="57"/>
            </w:pPr>
            <w:r>
              <w:t xml:space="preserve">20/30</w:t>
            </w:r>
            <w:r/>
          </w:p>
          <w:p>
            <w:pPr>
              <w:pStyle w:val="1005"/>
              <w:ind w:left="57" w:right="57"/>
            </w:pPr>
            <w:r>
              <w:t xml:space="preserve">22/32</w:t>
            </w:r>
            <w:r/>
          </w:p>
        </w:tc>
        <w:tc>
          <w:tcPr>
            <w:shd w:val="clear" w:fill="auto" w:color="auto"/>
            <w:tcW w:w="7581" w:type="dxa"/>
            <w:textDirection w:val="lrTb"/>
            <w:noWrap w:val="false"/>
          </w:tcPr>
          <w:p>
            <w:pPr>
              <w:pStyle w:val="1005"/>
              <w:ind w:left="57" w:right="57"/>
            </w:pPr>
            <w:r>
              <w:t xml:space="preserve">Отчет о состоянии лицевого счета бюджетного (автономного) учрежд</w:t>
            </w:r>
            <w:r>
              <w:t xml:space="preserve">е</w:t>
            </w:r>
            <w:r>
              <w:t xml:space="preserve">ния</w:t>
            </w:r>
            <w:r/>
          </w:p>
        </w:tc>
        <w:tc>
          <w:tcPr>
            <w:shd w:val="clear" w:fill="auto" w:color="auto"/>
            <w:tcW w:w="1379" w:type="dxa"/>
            <w:textDirection w:val="lrTb"/>
            <w:noWrap w:val="false"/>
          </w:tcPr>
          <w:p>
            <w:pPr>
              <w:pStyle w:val="1005"/>
              <w:ind w:left="57" w:right="57"/>
            </w:pPr>
            <w:r>
              <w:t xml:space="preserve">0531965</w:t>
            </w:r>
            <w:r/>
          </w:p>
        </w:tc>
      </w:tr>
      <w:tr>
        <w:trPr/>
        <w:tc>
          <w:tcPr>
            <w:shd w:val="clear" w:fill="auto" w:color="auto"/>
            <w:tcW w:w="792" w:type="dxa"/>
            <w:textDirection w:val="lrTb"/>
            <w:noWrap w:val="false"/>
          </w:tcPr>
          <w:p>
            <w:pPr>
              <w:pStyle w:val="1005"/>
              <w:ind w:left="57" w:right="57"/>
            </w:pPr>
            <w:r>
              <w:t xml:space="preserve">20/22</w:t>
            </w:r>
            <w:r/>
          </w:p>
        </w:tc>
        <w:tc>
          <w:tcPr>
            <w:shd w:val="clear" w:fill="auto" w:color="auto"/>
            <w:tcW w:w="7581" w:type="dxa"/>
            <w:textDirection w:val="lrTb"/>
            <w:noWrap w:val="false"/>
          </w:tcPr>
          <w:p>
            <w:pPr>
              <w:pStyle w:val="1005"/>
              <w:ind w:left="57" w:right="57"/>
            </w:pPr>
            <w:r>
              <w:t xml:space="preserve">Выписка из лицевого счета бюджетного учреждения </w:t>
            </w:r>
            <w:r/>
          </w:p>
        </w:tc>
        <w:tc>
          <w:tcPr>
            <w:shd w:val="clear" w:fill="auto" w:color="auto"/>
            <w:tcW w:w="1379" w:type="dxa"/>
            <w:textDirection w:val="lrTb"/>
            <w:noWrap w:val="false"/>
          </w:tcPr>
          <w:p>
            <w:pPr>
              <w:pStyle w:val="1005"/>
              <w:ind w:left="57" w:right="57"/>
            </w:pPr>
            <w:r>
              <w:t xml:space="preserve">0531962</w:t>
            </w:r>
            <w:r/>
          </w:p>
        </w:tc>
      </w:tr>
      <w:tr>
        <w:trPr/>
        <w:tc>
          <w:tcPr>
            <w:shd w:val="clear" w:fill="auto" w:color="auto"/>
            <w:tcW w:w="792" w:type="dxa"/>
            <w:textDirection w:val="lrTb"/>
            <w:noWrap w:val="false"/>
          </w:tcPr>
          <w:p>
            <w:pPr>
              <w:pStyle w:val="1005"/>
              <w:ind w:left="57" w:right="57"/>
            </w:pPr>
            <w:r>
              <w:t xml:space="preserve">30/32</w:t>
            </w:r>
            <w:r/>
          </w:p>
        </w:tc>
        <w:tc>
          <w:tcPr>
            <w:shd w:val="clear" w:fill="auto" w:color="auto"/>
            <w:tcW w:w="7581" w:type="dxa"/>
            <w:textDirection w:val="lrTb"/>
            <w:noWrap w:val="false"/>
          </w:tcPr>
          <w:p>
            <w:pPr>
              <w:pStyle w:val="1005"/>
              <w:ind w:left="57" w:right="57"/>
            </w:pPr>
            <w:r>
              <w:t xml:space="preserve">Выписка из лицевого счета автономного учреждения </w:t>
            </w:r>
            <w:r/>
          </w:p>
        </w:tc>
        <w:tc>
          <w:tcPr>
            <w:shd w:val="clear" w:fill="auto" w:color="auto"/>
            <w:tcW w:w="1379" w:type="dxa"/>
            <w:textDirection w:val="lrTb"/>
            <w:noWrap w:val="false"/>
          </w:tcPr>
          <w:p>
            <w:pPr>
              <w:pStyle w:val="1005"/>
              <w:ind w:left="57" w:right="57"/>
            </w:pPr>
            <w:r>
              <w:t xml:space="preserve">0531963</w:t>
            </w:r>
            <w:r/>
          </w:p>
        </w:tc>
      </w:tr>
      <w:tr>
        <w:trPr/>
        <w:tc>
          <w:tcPr>
            <w:shd w:val="clear" w:fill="auto" w:color="auto"/>
            <w:tcW w:w="792" w:type="dxa"/>
            <w:vMerge w:val="restart"/>
            <w:textDirection w:val="lrTb"/>
            <w:noWrap w:val="false"/>
          </w:tcPr>
          <w:p>
            <w:pPr>
              <w:pStyle w:val="1005"/>
              <w:ind w:left="57" w:right="57"/>
            </w:pPr>
            <w:r>
              <w:t xml:space="preserve">21/31</w:t>
            </w:r>
            <w:r/>
          </w:p>
        </w:tc>
        <w:tc>
          <w:tcPr>
            <w:shd w:val="clear" w:fill="auto" w:color="auto"/>
            <w:tcW w:w="7581" w:type="dxa"/>
            <w:textDirection w:val="lrTb"/>
            <w:noWrap w:val="false"/>
          </w:tcPr>
          <w:p>
            <w:pPr>
              <w:pStyle w:val="1005"/>
              <w:ind w:left="57" w:right="57"/>
            </w:pPr>
            <w:r>
              <w:t xml:space="preserve">Отчет о состоянии отдельного лицевого счета бюджетного (автономного) у</w:t>
            </w:r>
            <w:r>
              <w:t xml:space="preserve">ч</w:t>
            </w:r>
            <w:r>
              <w:t xml:space="preserve">реждения</w:t>
            </w:r>
            <w:r/>
          </w:p>
        </w:tc>
        <w:tc>
          <w:tcPr>
            <w:shd w:val="clear" w:fill="auto" w:color="auto"/>
            <w:tcW w:w="1379" w:type="dxa"/>
            <w:textDirection w:val="lrTb"/>
            <w:noWrap w:val="false"/>
          </w:tcPr>
          <w:p>
            <w:pPr>
              <w:pStyle w:val="1005"/>
              <w:ind w:left="57" w:right="57"/>
            </w:pPr>
            <w:r>
              <w:t xml:space="preserve">0531966</w:t>
            </w:r>
            <w:r/>
          </w:p>
        </w:tc>
      </w:tr>
      <w:tr>
        <w:trPr/>
        <w:tc>
          <w:tcPr>
            <w:shd w:val="clear" w:fill="auto" w:color="auto"/>
            <w:tcW w:w="792" w:type="dxa"/>
            <w:vMerge w:val="continue"/>
            <w:textDirection w:val="lrTb"/>
            <w:noWrap w:val="false"/>
          </w:tcPr>
          <w:p>
            <w:pPr>
              <w:pStyle w:val="1005"/>
              <w:ind w:left="57" w:right="57"/>
            </w:pPr>
            <w:r/>
            <w:r/>
          </w:p>
        </w:tc>
        <w:tc>
          <w:tcPr>
            <w:shd w:val="clear" w:fill="auto" w:color="auto"/>
            <w:tcW w:w="7581" w:type="dxa"/>
            <w:textDirection w:val="lrTb"/>
            <w:noWrap w:val="false"/>
          </w:tcPr>
          <w:p>
            <w:pPr>
              <w:pStyle w:val="1005"/>
              <w:ind w:left="57" w:right="57"/>
            </w:pPr>
            <w:r>
              <w:t xml:space="preserve">Выписка из отдельного лицевого счета бюджетного (автономного) учрежд</w:t>
            </w:r>
            <w:r>
              <w:t xml:space="preserve">е</w:t>
            </w:r>
            <w:r>
              <w:t xml:space="preserve">ния</w:t>
            </w:r>
            <w:r/>
          </w:p>
        </w:tc>
        <w:tc>
          <w:tcPr>
            <w:shd w:val="clear" w:fill="auto" w:color="auto"/>
            <w:tcW w:w="1379" w:type="dxa"/>
            <w:textDirection w:val="lrTb"/>
            <w:noWrap w:val="false"/>
          </w:tcPr>
          <w:p>
            <w:pPr>
              <w:pStyle w:val="1005"/>
              <w:ind w:left="57" w:right="57"/>
            </w:pPr>
            <w:r>
              <w:t xml:space="preserve">0531964</w:t>
            </w:r>
            <w:r/>
          </w:p>
        </w:tc>
      </w:tr>
      <w:tr>
        <w:trPr/>
        <w:tc>
          <w:tcPr>
            <w:shd w:val="clear" w:fill="auto" w:color="auto"/>
            <w:tcW w:w="792" w:type="dxa"/>
            <w:vMerge w:val="restart"/>
            <w:textDirection w:val="lrTb"/>
            <w:noWrap w:val="false"/>
          </w:tcPr>
          <w:p>
            <w:pPr>
              <w:pStyle w:val="1005"/>
              <w:ind w:left="57" w:right="57"/>
            </w:pPr>
            <w:r>
              <w:t xml:space="preserve">41</w:t>
            </w:r>
            <w:r/>
          </w:p>
        </w:tc>
        <w:tc>
          <w:tcPr>
            <w:shd w:val="clear" w:fill="auto" w:color="auto"/>
            <w:tcW w:w="7581" w:type="dxa"/>
            <w:textDirection w:val="lrTb"/>
            <w:noWrap w:val="false"/>
          </w:tcPr>
          <w:p>
            <w:pPr>
              <w:pStyle w:val="1005"/>
              <w:ind w:left="57" w:right="57"/>
            </w:pPr>
            <w:r>
              <w:t xml:space="preserve">Отчет о состоянии лицевого счета для учета операций неучастника бюдже</w:t>
            </w:r>
            <w:r>
              <w:t xml:space="preserve">т</w:t>
            </w:r>
            <w:r>
              <w:t xml:space="preserve">ного процесса</w:t>
            </w:r>
            <w:r/>
          </w:p>
        </w:tc>
        <w:tc>
          <w:tcPr>
            <w:shd w:val="clear" w:fill="auto" w:color="auto"/>
            <w:tcW w:w="1379" w:type="dxa"/>
            <w:textDirection w:val="lrTb"/>
            <w:noWrap w:val="false"/>
          </w:tcPr>
          <w:p>
            <w:pPr>
              <w:pStyle w:val="1005"/>
              <w:ind w:left="57" w:right="57"/>
            </w:pPr>
            <w:r>
              <w:t xml:space="preserve">0531837</w:t>
            </w:r>
            <w:r/>
          </w:p>
        </w:tc>
      </w:tr>
      <w:tr>
        <w:trPr/>
        <w:tc>
          <w:tcPr>
            <w:shd w:val="clear" w:fill="auto" w:color="auto"/>
            <w:tcW w:w="792" w:type="dxa"/>
            <w:vMerge w:val="continue"/>
            <w:textDirection w:val="lrTb"/>
            <w:noWrap w:val="false"/>
          </w:tcPr>
          <w:p>
            <w:pPr>
              <w:pStyle w:val="1005"/>
              <w:ind w:left="57" w:right="57"/>
            </w:pPr>
            <w:r/>
            <w:r/>
          </w:p>
        </w:tc>
        <w:tc>
          <w:tcPr>
            <w:shd w:val="clear" w:fill="auto" w:color="auto"/>
            <w:tcW w:w="7581" w:type="dxa"/>
            <w:textDirection w:val="lrTb"/>
            <w:noWrap w:val="false"/>
          </w:tcPr>
          <w:p>
            <w:pPr>
              <w:pStyle w:val="1005"/>
              <w:ind w:left="57" w:right="57"/>
            </w:pPr>
            <w:r>
              <w:t xml:space="preserve">Выписка из лицевого счета для учета операций неучастника бюджетного процесса</w:t>
            </w:r>
            <w:r/>
          </w:p>
        </w:tc>
        <w:tc>
          <w:tcPr>
            <w:shd w:val="clear" w:fill="auto" w:color="auto"/>
            <w:tcW w:w="1379" w:type="dxa"/>
            <w:textDirection w:val="lrTb"/>
            <w:noWrap w:val="false"/>
          </w:tcPr>
          <w:p>
            <w:pPr>
              <w:pStyle w:val="1005"/>
              <w:ind w:left="57" w:right="57"/>
            </w:pPr>
            <w:r>
              <w:t xml:space="preserve">0531834</w:t>
            </w:r>
            <w:r/>
          </w:p>
        </w:tc>
      </w:tr>
    </w:tbl>
    <w:p>
      <w:pPr>
        <w:pStyle w:val="994"/>
      </w:pPr>
      <w:r>
        <w:t xml:space="preserve">ЭФ </w:t>
      </w:r>
      <w:r>
        <w:t xml:space="preserve">документа «Запрос на предоставление отчета клиента</w:t>
      </w:r>
      <w:r>
        <w:t xml:space="preserve">», закладки «</w:t>
      </w:r>
      <w:r>
        <w:t xml:space="preserve">Подписи/Дополнительные атрибуты»</w:t>
      </w:r>
      <w:r>
        <w:t xml:space="preserve"> представлена н</w:t>
      </w:r>
      <w:r>
        <w:t xml:space="preserve">а рисунке</w:t>
      </w:r>
      <w:r>
        <w:t xml:space="preserve"> </w:t>
      </w:r>
      <w:r>
        <w:fldChar w:fldCharType="begin"/>
      </w:r>
      <w:r>
        <w:instrText xml:space="preserve"> REF _Ref364080706 \h </w:instrText>
      </w:r>
      <w:r>
        <w:instrText xml:space="preserve"> \* MERGEFORMAT </w:instrText>
      </w:r>
      <w:r>
        <w:fldChar w:fldCharType="separate"/>
      </w:r>
      <w:r>
        <w:t xml:space="preserve">247</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1463040"/>
                <wp:effectExtent l="0" t="0" r="0" b="0"/>
                <wp:docPr id="37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30"/>
                        <a:stretch/>
                      </pic:blipFill>
                      <pic:spPr bwMode="auto">
                        <a:xfrm>
                          <a:off x="0" y="0"/>
                          <a:ext cx="6118860" cy="14630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3" o:spid="_x0000_s373" type="#_x0000_t75" style="mso-wrap-distance-left:0.0pt;mso-wrap-distance-top:0.0pt;mso-wrap-distance-right:0.0pt;mso-wrap-distance-bottom:0.0pt;width:481.8pt;height:115.2pt;" stroked="f">
                <v:path textboxrect="0,0,0,0"/>
                <v:imagedata r:id="rId330" o:title=""/>
              </v:shape>
            </w:pict>
          </mc:Fallback>
        </mc:AlternateContent>
      </w:r>
      <w:r/>
    </w:p>
    <w:p>
      <w:pPr>
        <w:pStyle w:val="983"/>
      </w:pPr>
      <w:r>
        <w:fldChar w:fldCharType="begin"/>
      </w:r>
      <w:r>
        <w:instrText xml:space="preserve"> SEQ Рисунок \* ARABIC </w:instrText>
      </w:r>
      <w:r>
        <w:fldChar w:fldCharType="separate"/>
      </w:r>
      <w:bookmarkStart w:id="1700" w:name="_Ref364080706"/>
      <w:r/>
      <w:bookmarkStart w:id="1701" w:name="_Toc88819632"/>
      <w:r>
        <w:t xml:space="preserve">247</w:t>
      </w:r>
      <w:bookmarkEnd w:id="1700"/>
      <w:r>
        <w:fldChar w:fldCharType="end"/>
      </w:r>
      <w:r>
        <w:t xml:space="preserve">. ЭФ документа «Запрос на предоставление отчета клиента</w:t>
      </w:r>
      <w:r>
        <w:t xml:space="preserve">», закладки «</w:t>
      </w:r>
      <w:r>
        <w:t xml:space="preserve">Подписи/Дополнительные атрибуты»</w:t>
      </w:r>
      <w:bookmarkEnd w:id="1701"/>
      <w:r/>
      <w:r/>
    </w:p>
    <w:p>
      <w:pPr>
        <w:pStyle w:val="994"/>
      </w:pPr>
      <w:r>
        <w:t xml:space="preserve">Перечень полей </w:t>
      </w:r>
      <w:r>
        <w:t xml:space="preserve">документа «Запрос на предоставление отчета клиента</w:t>
      </w:r>
      <w:r>
        <w:t xml:space="preserve">», закладки «Подписи/Дополнительные атрибуты»</w:t>
      </w:r>
      <w:r>
        <w:t xml:space="preserve"> </w:t>
      </w:r>
      <w:r>
        <w:t xml:space="preserve">приведен в таблице</w:t>
      </w:r>
      <w:r>
        <w:t xml:space="preserve"> </w:t>
      </w:r>
      <w:r>
        <w:fldChar w:fldCharType="begin"/>
      </w:r>
      <w:r>
        <w:instrText xml:space="preserve"> REF _Ref364080654 \h  \* MERGEFORMAT </w:instrText>
      </w:r>
      <w:r>
        <w:fldChar w:fldCharType="separate"/>
      </w:r>
      <w:r>
        <w:t xml:space="preserve">138</w:t>
      </w:r>
      <w:r>
        <w:fldChar w:fldCharType="end"/>
      </w:r>
      <w:r>
        <w:t xml:space="preserve">.</w:t>
      </w:r>
      <w:r/>
    </w:p>
    <w:p>
      <w:pPr>
        <w:pStyle w:val="993"/>
      </w:pPr>
      <w:r>
        <w:fldChar w:fldCharType="begin"/>
      </w:r>
      <w:r>
        <w:instrText xml:space="preserve"> SEQ Таблица \* ARABIC </w:instrText>
      </w:r>
      <w:r>
        <w:fldChar w:fldCharType="separate"/>
      </w:r>
      <w:bookmarkStart w:id="1702" w:name="_Ref364080654"/>
      <w:r/>
      <w:bookmarkStart w:id="1703" w:name="_Toc88819325"/>
      <w:r>
        <w:t xml:space="preserve">138</w:t>
      </w:r>
      <w:bookmarkEnd w:id="1702"/>
      <w:r>
        <w:fldChar w:fldCharType="end"/>
      </w:r>
      <w:r>
        <w:t xml:space="preserve">. Описание полей документа «Запрос на предоставление отчета клиента</w:t>
      </w:r>
      <w:r>
        <w:t xml:space="preserve">», закладки «</w:t>
      </w:r>
      <w:r>
        <w:t xml:space="preserve">Подписи/Дополнительные атрибуты»</w:t>
      </w:r>
      <w:bookmarkEnd w:id="1703"/>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565"/>
        <w:gridCol w:w="7187"/>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315"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685" w:type="pct"/>
            <w:vAlign w:val="center"/>
            <w:textDirection w:val="lrTb"/>
            <w:noWrap w:val="false"/>
          </w:tcPr>
          <w:p>
            <w:pPr>
              <w:pStyle w:val="1006"/>
            </w:pPr>
            <w:r>
              <w:t xml:space="preserve">Описание поля</w:t>
            </w:r>
            <w:r/>
          </w:p>
        </w:tc>
      </w:tr>
      <w:tr>
        <w:trPr/>
        <w:tc>
          <w:tcPr>
            <w:shd w:val="clear" w:fill="auto" w:color="auto"/>
            <w:tcW w:w="1315" w:type="pct"/>
            <w:textDirection w:val="lrTb"/>
            <w:noWrap w:val="false"/>
          </w:tcPr>
          <w:p>
            <w:pPr>
              <w:pStyle w:val="1005"/>
              <w:ind w:left="57" w:right="57"/>
            </w:pPr>
            <w:r>
              <w:t xml:space="preserve">Бизнес-статус (код)</w:t>
            </w:r>
            <w:r/>
          </w:p>
        </w:tc>
        <w:tc>
          <w:tcPr>
            <w:shd w:val="clear" w:fill="auto" w:color="auto"/>
            <w:tcW w:w="3685" w:type="pct"/>
            <w:textDirection w:val="lrTb"/>
            <w:noWrap w:val="false"/>
          </w:tcPr>
          <w:p>
            <w:pPr>
              <w:pStyle w:val="1005"/>
              <w:ind w:left="57" w:right="57"/>
            </w:pPr>
            <w:r>
              <w:t xml:space="preserve">Заполняется автоматически при обработке документа или выгружается из OEBS. Значение равно полю «Статус» закладки «Основные атр</w:t>
            </w:r>
            <w:r>
              <w:t xml:space="preserve">и</w:t>
            </w:r>
            <w:r>
              <w:t xml:space="preserve">буты».</w:t>
            </w:r>
            <w:r/>
          </w:p>
        </w:tc>
      </w:tr>
      <w:tr>
        <w:trPr/>
        <w:tc>
          <w:tcPr>
            <w:shd w:val="clear" w:fill="auto" w:color="auto"/>
            <w:tcW w:w="1315" w:type="pct"/>
            <w:textDirection w:val="lrTb"/>
            <w:noWrap w:val="false"/>
          </w:tcPr>
          <w:p>
            <w:pPr>
              <w:pStyle w:val="1005"/>
              <w:ind w:left="57" w:right="57"/>
            </w:pPr>
            <w:r>
              <w:t xml:space="preserve">Бизнес статус (наимен</w:t>
            </w:r>
            <w:r>
              <w:t xml:space="preserve">о</w:t>
            </w:r>
            <w:r>
              <w:t xml:space="preserve">вание)</w:t>
            </w:r>
            <w:r/>
          </w:p>
        </w:tc>
        <w:tc>
          <w:tcPr>
            <w:shd w:val="clear" w:fill="auto" w:color="auto"/>
            <w:tcW w:w="3685" w:type="pct"/>
            <w:textDirection w:val="lrTb"/>
            <w:noWrap w:val="false"/>
          </w:tcPr>
          <w:p>
            <w:pPr>
              <w:pStyle w:val="1005"/>
              <w:ind w:left="57" w:right="57"/>
            </w:pPr>
            <w:r>
              <w:t xml:space="preserve">Наименования поля заполняются по коду из спр</w:t>
            </w:r>
            <w:r>
              <w:t xml:space="preserve">а</w:t>
            </w:r>
            <w:r>
              <w:t xml:space="preserve">вочника «Соответствия типов и статусов».</w:t>
            </w:r>
            <w:r/>
          </w:p>
        </w:tc>
      </w:tr>
      <w:tr>
        <w:trPr/>
        <w:tc>
          <w:tcPr>
            <w:shd w:val="clear" w:fill="auto" w:color="auto"/>
            <w:tcW w:w="1315" w:type="pct"/>
            <w:textDirection w:val="lrTb"/>
            <w:noWrap w:val="false"/>
          </w:tcPr>
          <w:p>
            <w:pPr>
              <w:pStyle w:val="1005"/>
              <w:ind w:left="57" w:right="57"/>
            </w:pPr>
            <w:r>
              <w:t xml:space="preserve">Статус Передачи (код)</w:t>
            </w:r>
            <w:r/>
          </w:p>
        </w:tc>
        <w:tc>
          <w:tcPr>
            <w:shd w:val="clear" w:fill="auto" w:color="auto"/>
            <w:tcW w:w="3685" w:type="pct"/>
            <w:textDirection w:val="lrTb"/>
            <w:noWrap w:val="false"/>
          </w:tcPr>
          <w:p>
            <w:pPr>
              <w:pStyle w:val="1005"/>
              <w:ind w:left="57" w:right="57"/>
            </w:pPr>
            <w:r>
              <w:t xml:space="preserve">Заполняется автоматически при обработке док</w:t>
            </w:r>
            <w:r>
              <w:t xml:space="preserve">у</w:t>
            </w:r>
            <w:r>
              <w:t xml:space="preserve">мента или выгружается из OEBS.</w:t>
            </w:r>
            <w:r/>
          </w:p>
        </w:tc>
      </w:tr>
      <w:tr>
        <w:trPr/>
        <w:tc>
          <w:tcPr>
            <w:shd w:val="clear" w:fill="auto" w:color="auto"/>
            <w:tcW w:w="1315" w:type="pct"/>
            <w:textDirection w:val="lrTb"/>
            <w:noWrap w:val="false"/>
          </w:tcPr>
          <w:p>
            <w:pPr>
              <w:pStyle w:val="1005"/>
              <w:ind w:left="57" w:right="57"/>
            </w:pPr>
            <w:r>
              <w:t xml:space="preserve">Статус Передачи (наим</w:t>
            </w:r>
            <w:r>
              <w:t xml:space="preserve">е</w:t>
            </w:r>
            <w:r>
              <w:t xml:space="preserve">нов</w:t>
            </w:r>
            <w:r>
              <w:t xml:space="preserve">а</w:t>
            </w:r>
            <w:r>
              <w:t xml:space="preserve">ние)</w:t>
            </w:r>
            <w:r/>
          </w:p>
        </w:tc>
        <w:tc>
          <w:tcPr>
            <w:shd w:val="clear" w:fill="auto" w:color="auto"/>
            <w:tcW w:w="3685" w:type="pct"/>
            <w:textDirection w:val="lrTb"/>
            <w:noWrap w:val="false"/>
          </w:tcPr>
          <w:p>
            <w:pPr>
              <w:pStyle w:val="1005"/>
              <w:ind w:left="57" w:right="57"/>
            </w:pPr>
            <w:r>
              <w:t xml:space="preserve">Наименования поля заполняются по коду из спр</w:t>
            </w:r>
            <w:r>
              <w:t xml:space="preserve">а</w:t>
            </w:r>
            <w:r>
              <w:t xml:space="preserve">вочника «Соответствия типов и статусов».</w:t>
            </w:r>
            <w:r/>
          </w:p>
        </w:tc>
      </w:tr>
      <w:tr>
        <w:trPr/>
        <w:tc>
          <w:tcPr>
            <w:shd w:val="clear" w:fill="auto" w:color="auto"/>
            <w:tcW w:w="1315" w:type="pct"/>
            <w:textDirection w:val="lrTb"/>
            <w:noWrap w:val="false"/>
          </w:tcPr>
          <w:p>
            <w:pPr>
              <w:pStyle w:val="1005"/>
              <w:ind w:left="57" w:right="57"/>
            </w:pPr>
            <w:r>
              <w:t xml:space="preserve">Статус утверждения (код)</w:t>
            </w:r>
            <w:r/>
          </w:p>
        </w:tc>
        <w:tc>
          <w:tcPr>
            <w:shd w:val="clear" w:fill="auto" w:color="auto"/>
            <w:tcW w:w="3685" w:type="pct"/>
            <w:textDirection w:val="lrTb"/>
            <w:noWrap w:val="false"/>
          </w:tcPr>
          <w:p>
            <w:pPr>
              <w:pStyle w:val="1005"/>
              <w:ind w:left="57" w:right="57"/>
            </w:pPr>
            <w:r>
              <w:t xml:space="preserve">Заполняется автоматически при обработке док</w:t>
            </w:r>
            <w:r>
              <w:t xml:space="preserve">у</w:t>
            </w:r>
            <w:r>
              <w:t xml:space="preserve">мента или выгружается из OEBS.</w:t>
            </w:r>
            <w:r/>
          </w:p>
        </w:tc>
      </w:tr>
      <w:tr>
        <w:trPr/>
        <w:tc>
          <w:tcPr>
            <w:shd w:val="clear" w:fill="auto" w:color="auto"/>
            <w:tcW w:w="1315" w:type="pct"/>
            <w:textDirection w:val="lrTb"/>
            <w:noWrap w:val="false"/>
          </w:tcPr>
          <w:p>
            <w:pPr>
              <w:pStyle w:val="1005"/>
              <w:ind w:left="57" w:right="57"/>
            </w:pPr>
            <w:r>
              <w:t xml:space="preserve">Статус утверждения (н</w:t>
            </w:r>
            <w:r>
              <w:t xml:space="preserve">а</w:t>
            </w:r>
            <w:r>
              <w:t xml:space="preserve">имен</w:t>
            </w:r>
            <w:r>
              <w:t xml:space="preserve">о</w:t>
            </w:r>
            <w:r>
              <w:t xml:space="preserve">вание)</w:t>
            </w:r>
            <w:r/>
          </w:p>
        </w:tc>
        <w:tc>
          <w:tcPr>
            <w:shd w:val="clear" w:fill="auto" w:color="auto"/>
            <w:tcW w:w="3685" w:type="pct"/>
            <w:textDirection w:val="lrTb"/>
            <w:noWrap w:val="false"/>
          </w:tcPr>
          <w:p>
            <w:pPr>
              <w:pStyle w:val="1005"/>
              <w:ind w:left="57" w:right="57"/>
            </w:pPr>
            <w:r>
              <w:t xml:space="preserve">Наименования поля заполняются по коду из спр</w:t>
            </w:r>
            <w:r>
              <w:t xml:space="preserve">а</w:t>
            </w:r>
            <w:r>
              <w:t xml:space="preserve">вочника «Соответствия типов и статусов».</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«Руководитель (уполномоченное лицо)»</w:t>
            </w:r>
            <w:r/>
          </w:p>
        </w:tc>
      </w:tr>
      <w:tr>
        <w:trPr/>
        <w:tc>
          <w:tcPr>
            <w:shd w:val="clear" w:fill="auto" w:color="auto"/>
            <w:tcW w:w="1315" w:type="pct"/>
            <w:textDirection w:val="lrTb"/>
            <w:noWrap w:val="false"/>
          </w:tcPr>
          <w:p>
            <w:pPr>
              <w:pStyle w:val="1005"/>
              <w:ind w:left="57" w:right="57"/>
            </w:pPr>
            <w:r>
              <w:t xml:space="preserve">ФИО руководителя (уполном</w:t>
            </w:r>
            <w:r>
              <w:t xml:space="preserve">о</w:t>
            </w:r>
            <w:r>
              <w:t xml:space="preserve">ченное лицо)</w:t>
            </w:r>
            <w:r/>
          </w:p>
          <w:p>
            <w:pPr>
              <w:pStyle w:val="1005"/>
              <w:ind w:left="57" w:right="57"/>
            </w:pPr>
            <w:r/>
            <w:r/>
          </w:p>
        </w:tc>
        <w:tc>
          <w:tcPr>
            <w:shd w:val="clear" w:fill="auto" w:color="auto"/>
            <w:tcW w:w="3685" w:type="pct"/>
            <w:textDirection w:val="lrTb"/>
            <w:noWrap w:val="false"/>
          </w:tcPr>
          <w:p>
            <w:pPr>
              <w:pStyle w:val="1005"/>
              <w:ind w:left="57" w:right="57"/>
            </w:pPr>
            <w:r>
              <w:t xml:space="preserve">Может быть заполнено выбором из справочника «Список сотрудников». Может быть заполнено вручную</w:t>
            </w:r>
            <w:r>
              <w:t xml:space="preserve">.</w:t>
            </w:r>
            <w:r/>
          </w:p>
          <w:p>
            <w:pPr>
              <w:pStyle w:val="1005"/>
              <w:ind w:left="57" w:right="57"/>
            </w:pPr>
            <w:r>
              <w:t xml:space="preserve">Для ОФК: заполняется вручную.</w:t>
            </w:r>
            <w:r/>
          </w:p>
        </w:tc>
      </w:tr>
      <w:tr>
        <w:trPr/>
        <w:tc>
          <w:tcPr>
            <w:shd w:val="clear" w:fill="auto" w:color="auto"/>
            <w:tcW w:w="1315" w:type="pct"/>
            <w:textDirection w:val="lrTb"/>
            <w:noWrap w:val="false"/>
          </w:tcPr>
          <w:p>
            <w:pPr>
              <w:pStyle w:val="1005"/>
              <w:ind w:left="57" w:right="57"/>
            </w:pPr>
            <w:r>
              <w:t xml:space="preserve">Должность </w:t>
            </w:r>
            <w:r/>
          </w:p>
        </w:tc>
        <w:tc>
          <w:tcPr>
            <w:shd w:val="clear" w:fill="auto" w:color="auto"/>
            <w:tcW w:w="3685" w:type="pct"/>
            <w:textDirection w:val="lrTb"/>
            <w:noWrap w:val="false"/>
          </w:tcPr>
          <w:p>
            <w:pPr>
              <w:pStyle w:val="1005"/>
              <w:ind w:left="57" w:right="57"/>
            </w:pPr>
            <w:r>
              <w:t xml:space="preserve">Заполняется автоматически на основании значения поля «ФИО» из спр</w:t>
            </w:r>
            <w:r>
              <w:t xml:space="preserve">а</w:t>
            </w:r>
            <w:r>
              <w:t xml:space="preserve">вочника «Список сотрудников». Может быть заполнено вручную</w:t>
            </w:r>
            <w:r>
              <w:t xml:space="preserve">.</w:t>
            </w:r>
            <w:r/>
          </w:p>
        </w:tc>
      </w:tr>
    </w:tbl>
    <w:p>
      <w:pPr>
        <w:pStyle w:val="972"/>
      </w:pPr>
      <w:r/>
      <w:bookmarkStart w:id="1704" w:name="_Toc58938214"/>
      <w:r/>
      <w:bookmarkStart w:id="1705" w:name="_Ref58932903"/>
      <w:r/>
      <w:bookmarkStart w:id="1706" w:name="_Ref58935798"/>
      <w:r/>
      <w:bookmarkStart w:id="1707" w:name="_Toc359765069"/>
      <w:r/>
      <w:bookmarkStart w:id="1708" w:name="_Toc88819159"/>
      <w:r>
        <w:t xml:space="preserve">Запрос на предоставление выписки из казначейского счета</w:t>
      </w:r>
      <w:bookmarkEnd w:id="1704"/>
      <w:r/>
      <w:bookmarkEnd w:id="1705"/>
      <w:r/>
      <w:bookmarkEnd w:id="1706"/>
      <w:r/>
      <w:bookmarkEnd w:id="1708"/>
      <w:r/>
      <w:r/>
    </w:p>
    <w:p>
      <w:pPr>
        <w:pStyle w:val="994"/>
      </w:pPr>
      <w:r>
        <w:t xml:space="preserve">ЭД «Запрос на предоставление выписки из казначейского счета» используется для автоматического повторного получения клиентами своих отчетов без участия сотрудников ОрФК, а так же автоматического формирования отчетов по запросу клиента на любую дату.</w:t>
      </w:r>
      <w:r/>
    </w:p>
    <w:p>
      <w:pPr>
        <w:pStyle w:val="994"/>
      </w:pPr>
      <w:r>
        <w:t xml:space="preserve">Выгрузке подлежат отчеты, ранее сформированные в системе, находящиеся в статусе «Зарегистрирован», с подписью сотрудника ТОФК, зарегистрировавшего отчет ранее.</w:t>
      </w:r>
      <w:r/>
    </w:p>
    <w:p>
      <w:pPr>
        <w:pStyle w:val="994"/>
      </w:pPr>
      <w:r>
        <w:t xml:space="preserve">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r/>
    </w:p>
    <w:p>
      <w:pPr>
        <w:pStyle w:val="985"/>
        <w:numPr>
          <w:ilvl w:val="0"/>
          <w:numId w:val="132"/>
        </w:numPr>
      </w:pPr>
      <w:r>
        <w:t xml:space="preserve">закрыт, то сформированный отчет направить на регистрацию ответственному исполнителю;</w:t>
      </w:r>
      <w:r/>
    </w:p>
    <w:p>
      <w:pPr>
        <w:pStyle w:val="985"/>
        <w:numPr>
          <w:ilvl w:val="0"/>
          <w:numId w:val="132"/>
        </w:numPr>
      </w:pPr>
      <w:r>
        <w:t xml:space="preserve">не закрыт, то документ «Запрос на предоставление отчета клиента» ожидает закрытия операционного дня, и формирование отчета проводится после закрытия операционного дня.</w:t>
      </w:r>
      <w:r/>
    </w:p>
    <w:p>
      <w:pPr>
        <w:pStyle w:val="994"/>
      </w:pPr>
      <w:r>
        <w:t xml:space="preserve">ЭД «Запрос на предоставление выписки из казначейского счета» представляется на каждый отчет отдельно.</w:t>
      </w:r>
      <w:r/>
    </w:p>
    <w:p>
      <w:pPr>
        <w:pStyle w:val="994"/>
      </w:pPr>
      <w:r>
        <w:t xml:space="preserve">Для работы с докуме</w:t>
      </w:r>
      <w:r>
        <w:t xml:space="preserve">нтами «Запрос на предоставление выписки из казначейского счета» следует перейти в пункт меню «Документы – Оперативная отчетность – Отчеты – Запрос на предоставление выписки из казначейского счета». Откроется ЭФ списка документов, представленная на рисунке </w:t>
      </w:r>
      <w:r>
        <w:fldChar w:fldCharType="begin"/>
      </w:r>
      <w:r>
        <w:instrText xml:space="preserve"> REF _Ref58936812 \h </w:instrText>
      </w:r>
      <w:r>
        <w:fldChar w:fldCharType="separate"/>
      </w:r>
      <w:r>
        <w:t xml:space="preserve">248</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842260"/>
                <wp:effectExtent l="0" t="0" r="0" b="0"/>
                <wp:docPr id="37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31"/>
                        <a:stretch/>
                      </pic:blipFill>
                      <pic:spPr bwMode="auto">
                        <a:xfrm>
                          <a:off x="0" y="0"/>
                          <a:ext cx="6126480" cy="28422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4" o:spid="_x0000_s374" type="#_x0000_t75" style="mso-wrap-distance-left:0.0pt;mso-wrap-distance-top:0.0pt;mso-wrap-distance-right:0.0pt;mso-wrap-distance-bottom:0.0pt;width:482.4pt;height:223.8pt;" stroked="f">
                <v:path textboxrect="0,0,0,0"/>
                <v:imagedata r:id="rId331" o:title=""/>
              </v:shape>
            </w:pict>
          </mc:Fallback>
        </mc:AlternateContent>
      </w:r>
      <w:r/>
    </w:p>
    <w:p>
      <w:pPr>
        <w:pStyle w:val="983"/>
        <w:numPr>
          <w:ilvl w:val="0"/>
          <w:numId w:val="126"/>
        </w:numPr>
      </w:pPr>
      <w:r>
        <w:fldChar w:fldCharType="begin"/>
      </w:r>
      <w:r>
        <w:instrText xml:space="preserve"> SEQ Рисунок \* ARABIC </w:instrText>
      </w:r>
      <w:r>
        <w:fldChar w:fldCharType="separate"/>
      </w:r>
      <w:bookmarkStart w:id="1709" w:name="_Ref58936812"/>
      <w:r/>
      <w:bookmarkStart w:id="1710" w:name="_Toc58939154"/>
      <w:r/>
      <w:bookmarkStart w:id="1711" w:name="_Toc88819633"/>
      <w:r>
        <w:t xml:space="preserve">248</w:t>
      </w:r>
      <w:bookmarkEnd w:id="1709"/>
      <w:r>
        <w:fldChar w:fldCharType="end"/>
      </w:r>
      <w:r>
        <w:t xml:space="preserve">. ЭФ списка документов «Запрос на предоставление выписки из казначейского счета»</w:t>
      </w:r>
      <w:bookmarkEnd w:id="1710"/>
      <w:r/>
      <w:bookmarkEnd w:id="1711"/>
      <w:r/>
      <w:r/>
    </w:p>
    <w:p>
      <w:pPr>
        <w:pStyle w:val="973"/>
      </w:pPr>
      <w:r>
        <w:rPr>
          <w:b w:val="false"/>
        </w:rPr>
        <w:t xml:space="preserve">Доступные операции</w:t>
      </w:r>
      <w:r/>
    </w:p>
    <w:p>
      <w:pPr>
        <w:pStyle w:val="994"/>
      </w:pPr>
      <w:r>
        <w:t xml:space="preserve">На АРМ ОФК доступны следующие операции над документом:</w:t>
      </w:r>
      <w:r/>
    </w:p>
    <w:p>
      <w:pPr>
        <w:pStyle w:val="985"/>
        <w:numPr>
          <w:ilvl w:val="0"/>
          <w:numId w:val="132"/>
        </w:numPr>
      </w:pPr>
      <w:r>
        <w:t xml:space="preserve">Для исходящего документа:</w:t>
      </w:r>
      <w:r/>
    </w:p>
    <w:p>
      <w:pPr>
        <w:pStyle w:val="986"/>
        <w:numPr>
          <w:ilvl w:val="0"/>
          <w:numId w:val="133"/>
        </w:numPr>
      </w:pPr>
      <w:r>
        <w:t xml:space="preserve">ручной ввод;</w:t>
      </w:r>
      <w:r/>
    </w:p>
    <w:p>
      <w:pPr>
        <w:pStyle w:val="986"/>
        <w:numPr>
          <w:ilvl w:val="0"/>
          <w:numId w:val="133"/>
        </w:numPr>
      </w:pPr>
      <w:r>
        <w:t xml:space="preserve">просмотр и редактирование;</w:t>
      </w:r>
      <w:r/>
    </w:p>
    <w:p>
      <w:pPr>
        <w:pStyle w:val="986"/>
        <w:numPr>
          <w:ilvl w:val="0"/>
          <w:numId w:val="133"/>
        </w:numPr>
      </w:pPr>
      <w:r>
        <w:t xml:space="preserve">копирование и удаление;</w:t>
      </w:r>
      <w:r/>
    </w:p>
    <w:p>
      <w:pPr>
        <w:pStyle w:val="986"/>
        <w:numPr>
          <w:ilvl w:val="0"/>
          <w:numId w:val="133"/>
        </w:numPr>
      </w:pPr>
      <w:r>
        <w:t xml:space="preserve">печать;</w:t>
      </w:r>
      <w:r/>
    </w:p>
    <w:p>
      <w:pPr>
        <w:pStyle w:val="986"/>
        <w:numPr>
          <w:ilvl w:val="0"/>
          <w:numId w:val="133"/>
        </w:numPr>
      </w:pPr>
      <w:r>
        <w:t xml:space="preserve">подписание, проверка и удаление ЭП;</w:t>
      </w:r>
      <w:r/>
    </w:p>
    <w:p>
      <w:pPr>
        <w:pStyle w:val="986"/>
        <w:numPr>
          <w:ilvl w:val="0"/>
          <w:numId w:val="133"/>
        </w:numPr>
      </w:pPr>
      <w:r>
        <w:t xml:space="preserve">экспорт в ППО OEBS;</w:t>
      </w:r>
      <w:r/>
    </w:p>
    <w:p>
      <w:pPr>
        <w:pStyle w:val="986"/>
        <w:numPr>
          <w:ilvl w:val="0"/>
          <w:numId w:val="133"/>
        </w:numPr>
      </w:pPr>
      <w:r>
        <w:t xml:space="preserve">отправка.</w:t>
      </w:r>
      <w:r/>
    </w:p>
    <w:p>
      <w:pPr>
        <w:pStyle w:val="985"/>
        <w:numPr>
          <w:ilvl w:val="0"/>
          <w:numId w:val="132"/>
        </w:numPr>
      </w:pPr>
      <w:r>
        <w:t xml:space="preserve">Для транзитного документа:</w:t>
      </w:r>
      <w:r/>
    </w:p>
    <w:p>
      <w:pPr>
        <w:pStyle w:val="986"/>
        <w:numPr>
          <w:ilvl w:val="0"/>
          <w:numId w:val="133"/>
        </w:numPr>
      </w:pPr>
      <w:r>
        <w:t xml:space="preserve">просмотр;</w:t>
      </w:r>
      <w:r/>
    </w:p>
    <w:p>
      <w:pPr>
        <w:pStyle w:val="986"/>
        <w:numPr>
          <w:ilvl w:val="0"/>
          <w:numId w:val="133"/>
        </w:numPr>
      </w:pPr>
      <w:r>
        <w:t xml:space="preserve">печать;</w:t>
      </w:r>
      <w:r/>
    </w:p>
    <w:p>
      <w:pPr>
        <w:pStyle w:val="986"/>
        <w:numPr>
          <w:ilvl w:val="0"/>
          <w:numId w:val="133"/>
        </w:numPr>
      </w:pPr>
      <w:r>
        <w:t xml:space="preserve">подписание и проверка ЭП;</w:t>
      </w:r>
      <w:r/>
    </w:p>
    <w:p>
      <w:pPr>
        <w:pStyle w:val="986"/>
        <w:numPr>
          <w:ilvl w:val="0"/>
          <w:numId w:val="133"/>
        </w:numPr>
      </w:pPr>
      <w:r>
        <w:t xml:space="preserve">документарный контроль;</w:t>
      </w:r>
      <w:r/>
    </w:p>
    <w:p>
      <w:pPr>
        <w:pStyle w:val="986"/>
        <w:numPr>
          <w:ilvl w:val="0"/>
          <w:numId w:val="133"/>
        </w:numPr>
      </w:pPr>
      <w:r>
        <w:t xml:space="preserve">экспорт в ППО OEBS;</w:t>
      </w:r>
      <w:r/>
    </w:p>
    <w:p>
      <w:pPr>
        <w:pStyle w:val="986"/>
        <w:numPr>
          <w:ilvl w:val="0"/>
          <w:numId w:val="133"/>
        </w:numPr>
      </w:pPr>
      <w:r>
        <w:t xml:space="preserve">отправка.</w:t>
      </w:r>
      <w:r/>
    </w:p>
    <w:p>
      <w:pPr>
        <w:pStyle w:val="973"/>
      </w:pPr>
      <w:r>
        <w:rPr>
          <w:b w:val="false"/>
        </w:rPr>
        <w:t xml:space="preserve">Экранная форма документа</w:t>
      </w:r>
      <w:r/>
    </w:p>
    <w:p>
      <w:pPr>
        <w:pStyle w:val="994"/>
      </w:pPr>
      <w:r>
        <w:t xml:space="preserve">ЭФ документа «Запрос на предоставление выписки из казначейского счета» представлена на рисунках </w:t>
      </w:r>
      <w:r>
        <w:fldChar w:fldCharType="begin"/>
      </w:r>
      <w:r>
        <w:instrText xml:space="preserve"> REF _Ref58938043 \h </w:instrText>
      </w:r>
      <w:r>
        <w:fldChar w:fldCharType="separate"/>
      </w:r>
      <w:r>
        <w:t xml:space="preserve">249</w:t>
      </w:r>
      <w:r>
        <w:fldChar w:fldCharType="end"/>
      </w:r>
      <w:r>
        <w:t xml:space="preserve"> и </w:t>
      </w:r>
      <w:r>
        <w:fldChar w:fldCharType="begin"/>
      </w:r>
      <w:r>
        <w:instrText xml:space="preserve"> REF _Ref58938045 \h </w:instrText>
      </w:r>
      <w:r>
        <w:fldChar w:fldCharType="separate"/>
      </w:r>
      <w:r>
        <w:t xml:space="preserve">250</w:t>
      </w:r>
      <w:r>
        <w:fldChar w:fldCharType="end"/>
      </w:r>
      <w:r>
        <w:t xml:space="preserve">. Форма содержит следующие закладки:</w:t>
      </w:r>
      <w:r/>
    </w:p>
    <w:p>
      <w:pPr>
        <w:pStyle w:val="985"/>
        <w:numPr>
          <w:ilvl w:val="0"/>
          <w:numId w:val="132"/>
        </w:numPr>
      </w:pPr>
      <w:r>
        <w:t xml:space="preserve">«Основные атрибуты»;</w:t>
      </w:r>
      <w:r/>
    </w:p>
    <w:p>
      <w:pPr>
        <w:pStyle w:val="985"/>
        <w:numPr>
          <w:ilvl w:val="0"/>
          <w:numId w:val="132"/>
        </w:numPr>
      </w:pPr>
      <w:r>
        <w:t xml:space="preserve">«Подписи/Дополнительные атрибуты»;</w:t>
      </w:r>
      <w:r/>
    </w:p>
    <w:p>
      <w:pPr>
        <w:pStyle w:val="985"/>
        <w:numPr>
          <w:ilvl w:val="0"/>
          <w:numId w:val="132"/>
        </w:numPr>
      </w:pPr>
      <w:r>
        <w:t xml:space="preserve">«Системные атрибуты»;</w:t>
      </w:r>
      <w:r/>
    </w:p>
    <w:p>
      <w:pPr>
        <w:pStyle w:val="985"/>
        <w:numPr>
          <w:ilvl w:val="0"/>
          <w:numId w:val="132"/>
        </w:numPr>
      </w:pPr>
      <w:r>
        <w:t xml:space="preserve">«Протоколы».</w:t>
      </w:r>
      <w:r/>
    </w:p>
    <w:p>
      <w:pPr>
        <w:pStyle w:val="982"/>
      </w:pPr>
      <w:r>
        <mc:AlternateContent>
          <mc:Choice Requires="wpg">
            <w:drawing>
              <wp:inline xmlns:wp="http://schemas.openxmlformats.org/drawingml/2006/wordprocessingDrawing" distT="0" distB="0" distL="0" distR="0">
                <wp:extent cx="5768340" cy="4472940"/>
                <wp:effectExtent l="0" t="0" r="0" b="0"/>
                <wp:docPr id="37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32"/>
                        <a:stretch/>
                      </pic:blipFill>
                      <pic:spPr bwMode="auto">
                        <a:xfrm>
                          <a:off x="0" y="0"/>
                          <a:ext cx="5768340" cy="44729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5" o:spid="_x0000_s375" type="#_x0000_t75" style="mso-wrap-distance-left:0.0pt;mso-wrap-distance-top:0.0pt;mso-wrap-distance-right:0.0pt;mso-wrap-distance-bottom:0.0pt;width:454.2pt;height:352.2pt;" stroked="f">
                <v:path textboxrect="0,0,0,0"/>
                <v:imagedata r:id="rId332" o:title=""/>
              </v:shape>
            </w:pict>
          </mc:Fallback>
        </mc:AlternateContent>
      </w:r>
      <w:r/>
    </w:p>
    <w:p>
      <w:pPr>
        <w:pStyle w:val="983"/>
        <w:numPr>
          <w:ilvl w:val="0"/>
          <w:numId w:val="126"/>
        </w:numPr>
      </w:pPr>
      <w:r>
        <w:fldChar w:fldCharType="begin"/>
      </w:r>
      <w:r>
        <w:instrText xml:space="preserve"> SEQ Рисунок \* ARABIC </w:instrText>
      </w:r>
      <w:r>
        <w:fldChar w:fldCharType="separate"/>
      </w:r>
      <w:bookmarkStart w:id="1712" w:name="_Ref58938043"/>
      <w:r/>
      <w:bookmarkStart w:id="1713" w:name="_Toc58939155"/>
      <w:r/>
      <w:bookmarkStart w:id="1714" w:name="_Toc88819634"/>
      <w:r>
        <w:t xml:space="preserve">249</w:t>
      </w:r>
      <w:bookmarkEnd w:id="1712"/>
      <w:r>
        <w:fldChar w:fldCharType="end"/>
      </w:r>
      <w:r>
        <w:t xml:space="preserve">. ЭФ документа «Запрос на предоставление выписки из казначейского счета», закладки «Основные атрибуты»</w:t>
      </w:r>
      <w:bookmarkEnd w:id="1713"/>
      <w:r/>
      <w:bookmarkEnd w:id="1714"/>
      <w:r/>
      <w:r/>
    </w:p>
    <w:p>
      <w:pPr>
        <w:pStyle w:val="994"/>
      </w:pPr>
      <w:r>
        <w:t xml:space="preserve">Перечень полей документа «Запрос на предоставление выписки из казначейского счета», закладки «Основные атрибуты» приведен в таблице </w:t>
      </w:r>
      <w:r>
        <w:fldChar w:fldCharType="begin"/>
      </w:r>
      <w:r>
        <w:instrText xml:space="preserve"> REF _Ref58938046 \h </w:instrText>
      </w:r>
      <w:r>
        <w:fldChar w:fldCharType="separate"/>
      </w:r>
      <w:r>
        <w:t xml:space="preserve">139</w:t>
      </w:r>
      <w:r>
        <w:fldChar w:fldCharType="end"/>
      </w:r>
      <w:r>
        <w:t xml:space="preserve">.</w:t>
      </w:r>
      <w:r/>
    </w:p>
    <w:p>
      <w:pPr>
        <w:pStyle w:val="993"/>
        <w:numPr>
          <w:ilvl w:val="0"/>
          <w:numId w:val="129"/>
        </w:numPr>
      </w:pPr>
      <w:r>
        <w:fldChar w:fldCharType="begin"/>
      </w:r>
      <w:r>
        <w:instrText xml:space="preserve"> SEQ Таблица \* ARABIC </w:instrText>
      </w:r>
      <w:r>
        <w:fldChar w:fldCharType="separate"/>
      </w:r>
      <w:bookmarkStart w:id="1715" w:name="_Ref58938046"/>
      <w:r/>
      <w:bookmarkStart w:id="1716" w:name="_Toc58938573"/>
      <w:r/>
      <w:bookmarkStart w:id="1717" w:name="_Toc88819326"/>
      <w:r>
        <w:t xml:space="preserve">139</w:t>
      </w:r>
      <w:bookmarkEnd w:id="1715"/>
      <w:r>
        <w:fldChar w:fldCharType="end"/>
      </w:r>
      <w:r>
        <w:t xml:space="preserve">. Описание полей документа «Запрос на предоставление выписки из казначейского счета», закладки «Основные атрибуты»</w:t>
      </w:r>
      <w:bookmarkEnd w:id="1716"/>
      <w:r/>
      <w:bookmarkEnd w:id="1717"/>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37"/>
        <w:gridCol w:w="7415"/>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198"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02" w:type="pct"/>
            <w:vAlign w:val="center"/>
            <w:textDirection w:val="lrTb"/>
            <w:noWrap w:val="false"/>
          </w:tcPr>
          <w:p>
            <w:pPr>
              <w:pStyle w:val="1006"/>
            </w:pPr>
            <w:r>
              <w:t xml:space="preserve">Описание поля</w:t>
            </w:r>
            <w:r/>
          </w:p>
        </w:tc>
      </w:tr>
      <w:tr>
        <w:trPr/>
        <w:tc>
          <w:tcPr>
            <w:shd w:val="clear" w:fill="auto" w:color="auto"/>
            <w:tcW w:w="1198" w:type="pct"/>
            <w:textDirection w:val="lrTb"/>
            <w:noWrap w:val="false"/>
          </w:tcPr>
          <w:p>
            <w:pPr>
              <w:pStyle w:val="1005"/>
              <w:ind w:left="57" w:right="57"/>
            </w:pPr>
            <w:r>
              <w:t xml:space="preserve">Номер</w:t>
            </w:r>
            <w:r/>
          </w:p>
        </w:tc>
        <w:tc>
          <w:tcPr>
            <w:shd w:val="clear" w:fill="auto" w:color="auto"/>
            <w:tcW w:w="3802" w:type="pct"/>
            <w:textDirection w:val="lrTb"/>
            <w:noWrap w:val="false"/>
          </w:tcPr>
          <w:p>
            <w:pPr>
              <w:pStyle w:val="1005"/>
              <w:ind w:left="57" w:right="57"/>
            </w:pPr>
            <w:r>
              <w:t xml:space="preserve">По умолчанию значение рассчитывается автоматически на основании настроек для текущего типа документа в справочнике «Параметры автонумерации документов».</w:t>
            </w:r>
            <w:r/>
          </w:p>
          <w:p>
            <w:pPr>
              <w:pStyle w:val="1005"/>
              <w:ind w:left="57" w:right="57"/>
            </w:pPr>
            <w:r>
              <w:t xml:space="preserve">Может быть заполнено вручную.</w:t>
            </w:r>
            <w:r/>
          </w:p>
          <w:p>
            <w:pPr>
              <w:pStyle w:val="1005"/>
              <w:ind w:left="57" w:right="57"/>
            </w:pPr>
            <w:r>
              <w:t xml:space="preserve">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r/>
          </w:p>
        </w:tc>
      </w:tr>
      <w:tr>
        <w:trPr/>
        <w:tc>
          <w:tcPr>
            <w:shd w:val="clear" w:fill="auto" w:color="auto"/>
            <w:tcW w:w="1198" w:type="pct"/>
            <w:textDirection w:val="lrTb"/>
            <w:noWrap w:val="false"/>
          </w:tcPr>
          <w:p>
            <w:pPr>
              <w:pStyle w:val="1005"/>
              <w:ind w:left="57" w:right="57"/>
            </w:pPr>
            <w:r>
              <w:t xml:space="preserve">Дата документа</w:t>
            </w:r>
            <w:r/>
          </w:p>
        </w:tc>
        <w:tc>
          <w:tcPr>
            <w:shd w:val="clear" w:fill="auto" w:color="auto"/>
            <w:tcW w:w="3802" w:type="pct"/>
            <w:textDirection w:val="lrTb"/>
            <w:noWrap w:val="false"/>
          </w:tcPr>
          <w:p>
            <w:pPr>
              <w:pStyle w:val="1005"/>
              <w:ind w:left="57" w:right="57"/>
            </w:pPr>
            <w:r>
              <w:t xml:space="preserve">Заполняется автоматически значением текущей системной даты.</w:t>
            </w:r>
            <w:r/>
          </w:p>
          <w:p>
            <w:pPr>
              <w:pStyle w:val="1005"/>
              <w:ind w:left="57" w:right="57"/>
            </w:pPr>
            <w:r>
              <w:t xml:space="preserve">Может быть заполнено вручную; доступен выбор значения из календаря.</w:t>
            </w:r>
            <w:r/>
          </w:p>
        </w:tc>
      </w:tr>
      <w:tr>
        <w:trPr/>
        <w:tc>
          <w:tcPr>
            <w:shd w:val="clear" w:fill="auto" w:color="auto"/>
            <w:tcW w:w="1198" w:type="pct"/>
            <w:textDirection w:val="lrTb"/>
            <w:noWrap w:val="false"/>
          </w:tcPr>
          <w:p>
            <w:pPr>
              <w:pStyle w:val="1005"/>
              <w:ind w:left="57" w:right="57"/>
            </w:pPr>
            <w:r>
              <w:t xml:space="preserve">Статус </w:t>
            </w:r>
            <w:r/>
          </w:p>
        </w:tc>
        <w:tc>
          <w:tcPr>
            <w:shd w:val="clear" w:fill="auto" w:color="auto"/>
            <w:tcW w:w="3802" w:type="pct"/>
            <w:textDirection w:val="lrTb"/>
            <w:noWrap w:val="false"/>
          </w:tcPr>
          <w:p>
            <w:pPr>
              <w:pStyle w:val="1005"/>
              <w:ind w:left="57" w:right="57"/>
            </w:pPr>
            <w:r>
              <w:t xml:space="preserve">Заполняется автоматически при обработке документа в OEBS (доводится Квитком).</w:t>
            </w:r>
            <w:r/>
          </w:p>
          <w:p>
            <w:pPr>
              <w:pStyle w:val="1005"/>
              <w:ind w:left="57" w:right="57"/>
            </w:pPr>
            <w:r>
              <w:t xml:space="preserve">По умолчанию значение «000».</w:t>
            </w:r>
            <w:r/>
          </w:p>
        </w:tc>
      </w:tr>
      <w:tr>
        <w:trPr/>
        <w:tc>
          <w:tcPr>
            <w:gridSpan w:val="2"/>
            <w:shd w:val="clear" w:fill="auto" w:color="auto"/>
            <w:tcW w:w="5000" w:type="pct"/>
            <w:textDirection w:val="lrTb"/>
            <w:noWrap w:val="false"/>
          </w:tcPr>
          <w:p>
            <w:pPr>
              <w:pStyle w:val="1005"/>
              <w:ind w:left="57" w:right="57"/>
            </w:pPr>
            <w:r>
              <w:t xml:space="preserve">Группа полей «Наименования»</w:t>
            </w:r>
            <w:r/>
          </w:p>
        </w:tc>
      </w:tr>
      <w:tr>
        <w:trPr/>
        <w:tc>
          <w:tcPr>
            <w:shd w:val="clear" w:fill="auto" w:color="auto"/>
            <w:tcW w:w="1198" w:type="pct"/>
            <w:textDirection w:val="lrTb"/>
            <w:noWrap w:val="false"/>
          </w:tcPr>
          <w:p>
            <w:pPr>
              <w:pStyle w:val="1005"/>
              <w:ind w:left="57" w:right="57"/>
            </w:pPr>
            <w:r>
              <w:t xml:space="preserve">Клиент</w:t>
            </w:r>
            <w:r/>
          </w:p>
        </w:tc>
        <w:tc>
          <w:tcPr>
            <w:shd w:val="clear" w:fill="auto" w:color="auto"/>
            <w:tcW w:w="3802" w:type="pct"/>
            <w:textDirection w:val="lrTb"/>
            <w:noWrap w:val="false"/>
          </w:tcPr>
          <w:p>
            <w:pPr>
              <w:pStyle w:val="1005"/>
              <w:ind w:left="57" w:right="57"/>
            </w:pPr>
            <w:r>
              <w:t xml:space="preserve">Заполняется в соответствии со справочником ПУБП. Автоматически подтя</w:t>
            </w:r>
            <w:r>
              <w:t xml:space="preserve">гивается значение после выбора «Код клиента». Допускается заполнение вручную.</w:t>
            </w:r>
            <w:r/>
          </w:p>
        </w:tc>
      </w:tr>
      <w:tr>
        <w:trPr/>
        <w:tc>
          <w:tcPr>
            <w:shd w:val="clear" w:fill="auto" w:color="auto"/>
            <w:tcW w:w="1198" w:type="pct"/>
            <w:textDirection w:val="lrTb"/>
            <w:noWrap w:val="false"/>
          </w:tcPr>
          <w:p>
            <w:pPr>
              <w:pStyle w:val="1005"/>
              <w:ind w:left="57" w:right="57"/>
            </w:pPr>
            <w:r>
              <w:t xml:space="preserve">Бюджет</w:t>
            </w:r>
            <w:r/>
          </w:p>
        </w:tc>
        <w:tc>
          <w:tcPr>
            <w:shd w:val="clear" w:fill="auto" w:color="auto"/>
            <w:tcW w:w="3802" w:type="pct"/>
            <w:textDirection w:val="lrTb"/>
            <w:noWrap w:val="false"/>
          </w:tcPr>
          <w:p>
            <w:pPr>
              <w:pStyle w:val="1005"/>
              <w:ind w:left="57" w:right="57"/>
            </w:pPr>
            <w:r>
              <w:t xml:space="preserve">Автоматически подтягивается значение из справочника «Справочник бюджетов». </w:t>
            </w:r>
            <w:r/>
          </w:p>
          <w:p>
            <w:pPr>
              <w:pStyle w:val="1005"/>
              <w:ind w:left="57" w:right="57"/>
            </w:pPr>
            <w:r>
              <w:t xml:space="preserve">Допускается заполнение вручную или путем выбора из справочника «Справочник бюджетов».</w:t>
            </w:r>
            <w:r/>
          </w:p>
        </w:tc>
      </w:tr>
      <w:tr>
        <w:trPr/>
        <w:tc>
          <w:tcPr>
            <w:shd w:val="clear" w:fill="auto" w:color="auto"/>
            <w:tcW w:w="1198" w:type="pct"/>
            <w:textDirection w:val="lrTb"/>
            <w:noWrap w:val="false"/>
          </w:tcPr>
          <w:p>
            <w:pPr>
              <w:pStyle w:val="1005"/>
              <w:ind w:left="57" w:right="57"/>
            </w:pPr>
            <w:r>
              <w:t xml:space="preserve">Орган ФК</w:t>
            </w:r>
            <w:r/>
          </w:p>
        </w:tc>
        <w:tc>
          <w:tcPr>
            <w:shd w:val="clear" w:fill="auto" w:color="auto"/>
            <w:tcW w:w="3802" w:type="pct"/>
            <w:textDirection w:val="lrTb"/>
            <w:noWrap w:val="false"/>
          </w:tcPr>
          <w:p>
            <w:pPr>
              <w:pStyle w:val="1005"/>
              <w:ind w:left="57" w:right="57"/>
            </w:pPr>
            <w:r>
              <w:t xml:space="preserve">Заполняется в соответствии с централизованным справочником органов ФК. Автоматически подтягивается значение после выбора ТОФК.</w:t>
            </w:r>
            <w:r/>
          </w:p>
        </w:tc>
      </w:tr>
      <w:tr>
        <w:trPr/>
        <w:tc>
          <w:tcPr>
            <w:gridSpan w:val="2"/>
            <w:shd w:val="clear" w:fill="auto" w:color="auto"/>
            <w:tcW w:w="5000" w:type="pct"/>
            <w:textDirection w:val="lrTb"/>
            <w:noWrap w:val="false"/>
          </w:tcPr>
          <w:p>
            <w:pPr>
              <w:pStyle w:val="1005"/>
              <w:ind w:left="57" w:right="57"/>
            </w:pPr>
            <w:r>
              <w:t xml:space="preserve">Группа полей «Коды»</w:t>
            </w:r>
            <w:r/>
          </w:p>
        </w:tc>
      </w:tr>
      <w:tr>
        <w:trPr/>
        <w:tc>
          <w:tcPr>
            <w:shd w:val="clear" w:fill="auto" w:color="auto"/>
            <w:tcW w:w="1198" w:type="pct"/>
            <w:textDirection w:val="lrTb"/>
            <w:noWrap w:val="false"/>
          </w:tcPr>
          <w:p>
            <w:pPr>
              <w:pStyle w:val="1005"/>
              <w:ind w:left="57" w:right="57"/>
            </w:pPr>
            <w:r>
              <w:t xml:space="preserve">Код клиента</w:t>
            </w:r>
            <w:r/>
          </w:p>
        </w:tc>
        <w:tc>
          <w:tcPr>
            <w:shd w:val="clear" w:fill="auto" w:color="auto"/>
            <w:tcW w:w="3802" w:type="pct"/>
            <w:textDirection w:val="lrTb"/>
            <w:noWrap w:val="false"/>
          </w:tcPr>
          <w:p>
            <w:pPr>
              <w:pStyle w:val="1005"/>
              <w:ind w:left="57" w:right="57"/>
            </w:pPr>
            <w:r>
              <w:t xml:space="preserve">Заполняется вручную или путем выбора из справочника ПУБП.</w:t>
            </w:r>
            <w:r/>
          </w:p>
        </w:tc>
      </w:tr>
      <w:tr>
        <w:trPr/>
        <w:tc>
          <w:tcPr>
            <w:shd w:val="clear" w:fill="auto" w:color="auto"/>
            <w:tcW w:w="1198" w:type="pct"/>
            <w:textDirection w:val="lrTb"/>
            <w:noWrap w:val="false"/>
          </w:tcPr>
          <w:p>
            <w:pPr>
              <w:pStyle w:val="1005"/>
              <w:ind w:left="57" w:right="57"/>
            </w:pPr>
            <w:r>
              <w:t xml:space="preserve">Номер казначейского счета</w:t>
            </w:r>
            <w:r/>
          </w:p>
        </w:tc>
        <w:tc>
          <w:tcPr>
            <w:shd w:val="clear" w:fill="auto" w:color="auto"/>
            <w:tcW w:w="3802" w:type="pct"/>
            <w:textDirection w:val="lrTb"/>
            <w:noWrap w:val="false"/>
          </w:tcPr>
          <w:p>
            <w:pPr>
              <w:pStyle w:val="1005"/>
              <w:ind w:left="57" w:right="57"/>
            </w:pPr>
            <w:r>
              <w:t xml:space="preserve">Заполняется вручную или путем выбора из справочника «Книга регистрации казначейских счетов». При выборе по справочнику «Книга регистрации казначейских счетов» автоматически осуществляется фильтрация по коду бюджета, указанному в документе.</w:t>
            </w:r>
            <w:r/>
          </w:p>
        </w:tc>
      </w:tr>
      <w:tr>
        <w:trPr/>
        <w:tc>
          <w:tcPr>
            <w:shd w:val="clear" w:fill="auto" w:color="auto"/>
            <w:tcW w:w="1198" w:type="pct"/>
            <w:textDirection w:val="lrTb"/>
            <w:noWrap w:val="false"/>
          </w:tcPr>
          <w:p>
            <w:pPr>
              <w:pStyle w:val="1005"/>
              <w:ind w:left="57" w:right="57"/>
            </w:pPr>
            <w:r>
              <w:t xml:space="preserve">ИНН</w:t>
            </w:r>
            <w:r/>
          </w:p>
        </w:tc>
        <w:tc>
          <w:tcPr>
            <w:shd w:val="clear" w:fill="auto" w:color="auto"/>
            <w:tcW w:w="3802" w:type="pct"/>
            <w:textDirection w:val="lrTb"/>
            <w:noWrap w:val="false"/>
          </w:tcPr>
          <w:p>
            <w:pPr>
              <w:pStyle w:val="1005"/>
              <w:ind w:left="57" w:right="57"/>
            </w:pPr>
            <w:r>
              <w:t xml:space="preserve">Автоматически подтягивается значение после выбора Код клиента из справочника ПУБП.</w:t>
            </w:r>
            <w:r/>
          </w:p>
          <w:p>
            <w:pPr>
              <w:pStyle w:val="1005"/>
              <w:ind w:left="57" w:right="57"/>
            </w:pPr>
            <w:r>
              <w:t xml:space="preserve">Допускается заполнение вручную.</w:t>
            </w:r>
            <w:r/>
          </w:p>
        </w:tc>
      </w:tr>
      <w:tr>
        <w:trPr/>
        <w:tc>
          <w:tcPr>
            <w:shd w:val="clear" w:fill="auto" w:color="auto"/>
            <w:tcW w:w="1198" w:type="pct"/>
            <w:textDirection w:val="lrTb"/>
            <w:noWrap w:val="false"/>
          </w:tcPr>
          <w:p>
            <w:pPr>
              <w:pStyle w:val="1005"/>
              <w:ind w:left="57" w:right="57"/>
            </w:pPr>
            <w:r>
              <w:t xml:space="preserve">КПП</w:t>
            </w:r>
            <w:r/>
          </w:p>
        </w:tc>
        <w:tc>
          <w:tcPr>
            <w:shd w:val="clear" w:fill="auto" w:color="auto"/>
            <w:tcW w:w="3802" w:type="pct"/>
            <w:textDirection w:val="lrTb"/>
            <w:noWrap w:val="false"/>
          </w:tcPr>
          <w:p>
            <w:pPr>
              <w:pStyle w:val="1005"/>
              <w:ind w:left="57" w:right="57"/>
            </w:pPr>
            <w:r>
              <w:t xml:space="preserve">Автоматически подтягивается значение после выбора Код клиента из справочника ПУБП.</w:t>
            </w:r>
            <w:r/>
          </w:p>
          <w:p>
            <w:pPr>
              <w:pStyle w:val="1005"/>
              <w:ind w:left="57" w:right="57"/>
            </w:pPr>
            <w:r>
              <w:t xml:space="preserve">Допускается заполнение вручную.</w:t>
            </w:r>
            <w:r/>
          </w:p>
        </w:tc>
      </w:tr>
      <w:tr>
        <w:trPr/>
        <w:tc>
          <w:tcPr>
            <w:shd w:val="clear" w:fill="auto" w:color="auto"/>
            <w:tcW w:w="1198" w:type="pct"/>
            <w:textDirection w:val="lrTb"/>
            <w:noWrap w:val="false"/>
          </w:tcPr>
          <w:p>
            <w:pPr>
              <w:pStyle w:val="1005"/>
              <w:ind w:left="57" w:right="57"/>
            </w:pPr>
            <w:r>
              <w:t xml:space="preserve">По КОФК</w:t>
            </w:r>
            <w:r/>
          </w:p>
        </w:tc>
        <w:tc>
          <w:tcPr>
            <w:shd w:val="clear" w:fill="auto" w:color="auto"/>
            <w:tcW w:w="3802" w:type="pct"/>
            <w:textDirection w:val="lrTb"/>
            <w:noWrap w:val="false"/>
          </w:tcPr>
          <w:p>
            <w:pPr>
              <w:pStyle w:val="1005"/>
              <w:ind w:left="57" w:right="57"/>
            </w:pPr>
            <w:r>
              <w:t xml:space="preserve">Заполняется в соответствии с централизованным справочником органов ФК вручную или путем выбора.</w:t>
            </w:r>
            <w:r/>
          </w:p>
        </w:tc>
      </w:tr>
      <w:tr>
        <w:trPr/>
        <w:tc>
          <w:tcPr>
            <w:gridSpan w:val="2"/>
            <w:shd w:val="clear" w:fill="auto" w:color="auto"/>
            <w:tcW w:w="5000" w:type="pct"/>
            <w:textDirection w:val="lrTb"/>
            <w:noWrap w:val="false"/>
          </w:tcPr>
          <w:p>
            <w:pPr>
              <w:pStyle w:val="1005"/>
              <w:ind w:left="57" w:right="57"/>
            </w:pPr>
            <w:r>
              <w:t xml:space="preserve">Группа полей «Информация об отчёте»</w:t>
            </w:r>
            <w:r/>
          </w:p>
        </w:tc>
      </w:tr>
      <w:tr>
        <w:trPr/>
        <w:tc>
          <w:tcPr>
            <w:shd w:val="clear" w:fill="auto" w:color="auto"/>
            <w:tcW w:w="1198" w:type="pct"/>
            <w:textDirection w:val="lrTb"/>
            <w:noWrap w:val="false"/>
          </w:tcPr>
          <w:p>
            <w:pPr>
              <w:pStyle w:val="1005"/>
              <w:ind w:left="57" w:right="57"/>
            </w:pPr>
            <w:r>
              <w:t xml:space="preserve">По состоянию на отчётную дату</w:t>
            </w:r>
            <w:r/>
          </w:p>
        </w:tc>
        <w:tc>
          <w:tcPr>
            <w:shd w:val="clear" w:fill="auto" w:color="auto"/>
            <w:tcW w:w="3802" w:type="pct"/>
            <w:textDirection w:val="lrTb"/>
            <w:noWrap w:val="false"/>
          </w:tcPr>
          <w:p>
            <w:pPr>
              <w:pStyle w:val="1005"/>
              <w:ind w:left="57" w:right="57"/>
            </w:pPr>
            <w:r>
              <w:t xml:space="preserve">Указывается дата запрашиваемого отчета. </w:t>
            </w:r>
            <w:r/>
          </w:p>
          <w:p>
            <w:pPr>
              <w:pStyle w:val="1005"/>
              <w:ind w:left="57" w:right="57"/>
            </w:pPr>
            <w:r>
              <w:t xml:space="preserve">Может заполняться путем выбора из календаря любого числа любого месяца текущего года.</w:t>
            </w:r>
            <w:r/>
          </w:p>
        </w:tc>
      </w:tr>
      <w:tr>
        <w:trPr/>
        <w:tc>
          <w:tcPr>
            <w:shd w:val="clear" w:fill="auto" w:color="auto"/>
            <w:tcW w:w="1198" w:type="pct"/>
            <w:textDirection w:val="lrTb"/>
            <w:noWrap w:val="false"/>
          </w:tcPr>
          <w:p>
            <w:pPr>
              <w:pStyle w:val="1005"/>
              <w:ind w:left="57" w:right="57"/>
            </w:pPr>
            <w:r>
              <w:t xml:space="preserve">Наименование отчёта </w:t>
            </w:r>
            <w:r/>
          </w:p>
        </w:tc>
        <w:tc>
          <w:tcPr>
            <w:shd w:val="clear" w:fill="auto" w:color="auto"/>
            <w:tcW w:w="3802" w:type="pct"/>
            <w:textDirection w:val="lrTb"/>
            <w:noWrap w:val="false"/>
          </w:tcPr>
          <w:p>
            <w:pPr>
              <w:pStyle w:val="1005"/>
              <w:ind w:left="57" w:right="57"/>
            </w:pPr>
            <w:r>
              <w:t xml:space="preserve">Указывается наименование оперативного отчета «Выписка из казначейского счета».</w:t>
            </w:r>
            <w:r/>
          </w:p>
          <w:p>
            <w:pPr>
              <w:pStyle w:val="1005"/>
              <w:ind w:left="57" w:right="57"/>
            </w:pPr>
            <w:r>
              <w:t xml:space="preserve">Заполняется выбранным значением из выпадающего списка (см. таб. </w:t>
            </w:r>
            <w:r>
              <w:fldChar w:fldCharType="begin"/>
            </w:r>
            <w:r>
              <w:instrText xml:space="preserve"> REF _Ref364086432 \h  \* MERGEFORMAT </w:instrText>
            </w:r>
            <w:r>
              <w:fldChar w:fldCharType="separate"/>
            </w:r>
            <w:r>
              <w:t xml:space="preserve">137</w:t>
            </w:r>
            <w:r>
              <w:fldChar w:fldCharType="end"/>
            </w:r>
            <w:r>
              <w:t xml:space="preserve">).</w:t>
            </w:r>
            <w:r/>
          </w:p>
        </w:tc>
      </w:tr>
      <w:tr>
        <w:trPr/>
        <w:tc>
          <w:tcPr>
            <w:shd w:val="clear" w:fill="auto" w:color="auto"/>
            <w:tcW w:w="1198" w:type="pct"/>
            <w:textDirection w:val="lrTb"/>
            <w:noWrap w:val="false"/>
          </w:tcPr>
          <w:p>
            <w:pPr>
              <w:pStyle w:val="1005"/>
              <w:ind w:left="57" w:right="57"/>
            </w:pPr>
            <w:r>
              <w:t xml:space="preserve">Код формы отчёта</w:t>
            </w:r>
            <w:r/>
          </w:p>
        </w:tc>
        <w:tc>
          <w:tcPr>
            <w:shd w:val="clear" w:fill="auto" w:color="auto"/>
            <w:tcW w:w="3802" w:type="pct"/>
            <w:textDirection w:val="lrTb"/>
            <w:noWrap w:val="false"/>
          </w:tcPr>
          <w:p>
            <w:pPr>
              <w:pStyle w:val="1005"/>
              <w:ind w:left="57" w:right="57"/>
            </w:pPr>
            <w:r>
              <w:t xml:space="preserve">Указывается код отчетной формы GL_X01_01 иначе заполняется автоматически на основании указанного значения в поле «Наименование отчёта» в соответствии со списком значений (см. таб. </w:t>
            </w:r>
            <w:r>
              <w:fldChar w:fldCharType="begin"/>
            </w:r>
            <w:r>
              <w:instrText xml:space="preserve"> REF _Ref364086432 \h  \* MERGEFORMAT </w:instrText>
            </w:r>
            <w:r>
              <w:fldChar w:fldCharType="separate"/>
            </w:r>
            <w:r>
              <w:t xml:space="preserve">137</w:t>
            </w:r>
            <w:r>
              <w:fldChar w:fldCharType="end"/>
            </w:r>
            <w:r>
              <w:t xml:space="preserve">).</w:t>
            </w:r>
            <w:r/>
          </w:p>
        </w:tc>
      </w:tr>
    </w:tbl>
    <w:p>
      <w:pPr>
        <w:pStyle w:val="994"/>
      </w:pPr>
      <w:r>
        <w:t xml:space="preserve">Соответствие типа л/с наименованию и коду формы отчета/выписки/приложения к выписке представлено в таблице </w:t>
      </w:r>
      <w:r>
        <w:fldChar w:fldCharType="begin"/>
      </w:r>
      <w:r>
        <w:instrText xml:space="preserve"> REF _Ref58938047 \h </w:instrText>
      </w:r>
      <w:r>
        <w:fldChar w:fldCharType="separate"/>
      </w:r>
      <w:r>
        <w:t xml:space="preserve">140</w:t>
      </w:r>
      <w:r>
        <w:fldChar w:fldCharType="end"/>
      </w:r>
      <w:r>
        <w:t xml:space="preserve">.</w:t>
      </w:r>
      <w:r/>
    </w:p>
    <w:p>
      <w:pPr>
        <w:pStyle w:val="993"/>
        <w:numPr>
          <w:ilvl w:val="0"/>
          <w:numId w:val="129"/>
        </w:numPr>
      </w:pPr>
      <w:r>
        <w:fldChar w:fldCharType="begin"/>
      </w:r>
      <w:r>
        <w:instrText xml:space="preserve"> SEQ Таблица \* ARABIC </w:instrText>
      </w:r>
      <w:r>
        <w:fldChar w:fldCharType="separate"/>
      </w:r>
      <w:bookmarkStart w:id="1718" w:name="_Ref58938047"/>
      <w:r/>
      <w:bookmarkStart w:id="1719" w:name="_Toc58938574"/>
      <w:r/>
      <w:bookmarkStart w:id="1720" w:name="_Toc88819327"/>
      <w:r>
        <w:t xml:space="preserve">140</w:t>
      </w:r>
      <w:bookmarkEnd w:id="1718"/>
      <w:r>
        <w:fldChar w:fldCharType="end"/>
      </w:r>
      <w:r>
        <w:t xml:space="preserve">. Соответствие типа л/с наименованию и коду формы отчета/выписки/приложения к выписке</w:t>
      </w:r>
      <w:bookmarkEnd w:id="1719"/>
      <w:r/>
      <w:bookmarkEnd w:id="1720"/>
      <w:r/>
      <w:r/>
    </w:p>
    <w:tbl>
      <w:tblPr>
        <w:tblW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771"/>
        <w:gridCol w:w="7560"/>
        <w:gridCol w:w="1421"/>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771" w:type="dxa"/>
            <w:vAlign w:val="center"/>
            <w:textDirection w:val="lrTb"/>
            <w:noWrap w:val="false"/>
          </w:tcPr>
          <w:p>
            <w:pPr>
              <w:pStyle w:val="1006"/>
            </w:pPr>
            <w:r>
              <w:t xml:space="preserve">Тип л/с</w:t>
            </w:r>
            <w:r/>
          </w:p>
        </w:tc>
        <w:tc>
          <w:tcPr>
            <w:shd w:val="clear" w:fill="E6E6E6" w:color="auto"/>
            <w:tcBorders>
              <w:left w:val="single" w:sz="4" w:space="0" w:color="auto"/>
              <w:top w:val="single" w:sz="4" w:space="0" w:color="auto"/>
              <w:right w:val="single" w:sz="4" w:space="0" w:color="auto"/>
              <w:bottom w:val="single" w:sz="4" w:space="0" w:color="auto"/>
            </w:tcBorders>
            <w:tcW w:w="7560" w:type="dxa"/>
            <w:vAlign w:val="center"/>
            <w:textDirection w:val="lrTb"/>
            <w:noWrap w:val="false"/>
          </w:tcPr>
          <w:p>
            <w:pPr>
              <w:pStyle w:val="1006"/>
            </w:pPr>
            <w:r>
              <w:t xml:space="preserve">Наименование отчета о состоянии л/с</w:t>
            </w:r>
            <w:r/>
          </w:p>
        </w:tc>
        <w:tc>
          <w:tcPr>
            <w:shd w:val="clear" w:fill="E6E6E6" w:color="auto"/>
            <w:tcBorders>
              <w:left w:val="single" w:sz="4" w:space="0" w:color="auto"/>
              <w:top w:val="single" w:sz="4" w:space="0" w:color="auto"/>
              <w:right w:val="single" w:sz="4" w:space="0" w:color="auto"/>
              <w:bottom w:val="single" w:sz="4" w:space="0" w:color="auto"/>
            </w:tcBorders>
            <w:tcW w:w="1421" w:type="dxa"/>
            <w:vAlign w:val="center"/>
            <w:textDirection w:val="lrTb"/>
            <w:noWrap w:val="false"/>
          </w:tcPr>
          <w:p>
            <w:pPr>
              <w:pStyle w:val="1006"/>
            </w:pPr>
            <w:r>
              <w:t xml:space="preserve">Код формы по КФД</w:t>
            </w:r>
            <w:r/>
          </w:p>
        </w:tc>
      </w:tr>
      <w:tr>
        <w:trPr/>
        <w:tc>
          <w:tcPr>
            <w:shd w:val="clear" w:fill="auto" w:color="auto"/>
            <w:tcW w:w="771" w:type="dxa"/>
            <w:vMerge w:val="restart"/>
            <w:textDirection w:val="lrTb"/>
            <w:noWrap w:val="false"/>
          </w:tcPr>
          <w:p>
            <w:pPr>
              <w:pStyle w:val="1005"/>
              <w:ind w:left="57" w:right="57"/>
            </w:pPr>
            <w:r>
              <w:t xml:space="preserve">01</w:t>
            </w:r>
            <w:r/>
          </w:p>
        </w:tc>
        <w:tc>
          <w:tcPr>
            <w:shd w:val="clear" w:fill="auto" w:color="auto"/>
            <w:tcW w:w="7560" w:type="dxa"/>
            <w:textDirection w:val="lrTb"/>
            <w:noWrap w:val="false"/>
          </w:tcPr>
          <w:p>
            <w:pPr>
              <w:pStyle w:val="1005"/>
              <w:ind w:left="57" w:right="57"/>
            </w:pPr>
            <w:r>
              <w:t xml:space="preserve">Отчет о состоянии лицевого счета главного распорядителя (распорядителя) бюджетных средств</w:t>
            </w:r>
            <w:r/>
          </w:p>
        </w:tc>
        <w:tc>
          <w:tcPr>
            <w:shd w:val="clear" w:fill="auto" w:color="auto"/>
            <w:tcW w:w="1421" w:type="dxa"/>
            <w:textDirection w:val="lrTb"/>
            <w:noWrap w:val="false"/>
          </w:tcPr>
          <w:p>
            <w:pPr>
              <w:pStyle w:val="1005"/>
              <w:ind w:left="57" w:right="57"/>
            </w:pPr>
            <w:r>
              <w:t xml:space="preserve">0531785</w:t>
            </w:r>
            <w:r/>
          </w:p>
        </w:tc>
      </w:tr>
      <w:tr>
        <w:trPr/>
        <w:tc>
          <w:tcPr>
            <w:shd w:val="clear" w:fill="auto" w:color="auto"/>
            <w:tcW w:w="771" w:type="dxa"/>
            <w:vMerge w:val="continue"/>
            <w:textDirection w:val="lrTb"/>
            <w:noWrap w:val="false"/>
          </w:tcPr>
          <w:p>
            <w:pPr>
              <w:ind w:left="57" w:right="57" w:firstLine="0"/>
              <w:jc w:val="left"/>
              <w:spacing w:after="60" w:before="60"/>
              <w:rPr>
                <w:sz w:val="22"/>
              </w:rPr>
            </w:pPr>
            <w:r>
              <w:rPr>
                <w:sz w:val="22"/>
              </w:rPr>
            </w:r>
            <w:r/>
          </w:p>
        </w:tc>
        <w:tc>
          <w:tcPr>
            <w:shd w:val="clear" w:fill="auto" w:color="auto"/>
            <w:tcW w:w="7560" w:type="dxa"/>
            <w:textDirection w:val="lrTb"/>
            <w:noWrap w:val="false"/>
          </w:tcPr>
          <w:p>
            <w:pPr>
              <w:pStyle w:val="1005"/>
              <w:ind w:left="57" w:right="57"/>
            </w:pPr>
            <w:r>
              <w:t xml:space="preserve">Выписка из лицевого счета главного распорядителя (распорядителя) бюджетных средств</w:t>
            </w:r>
            <w:r/>
          </w:p>
        </w:tc>
        <w:tc>
          <w:tcPr>
            <w:shd w:val="clear" w:fill="auto" w:color="auto"/>
            <w:tcW w:w="1421" w:type="dxa"/>
            <w:textDirection w:val="lrTb"/>
            <w:noWrap w:val="false"/>
          </w:tcPr>
          <w:p>
            <w:pPr>
              <w:pStyle w:val="1005"/>
              <w:ind w:left="57" w:right="57"/>
            </w:pPr>
            <w:r>
              <w:t xml:space="preserve">0531758</w:t>
            </w:r>
            <w:r/>
          </w:p>
        </w:tc>
      </w:tr>
      <w:tr>
        <w:trPr/>
        <w:tc>
          <w:tcPr>
            <w:shd w:val="clear" w:fill="auto" w:color="auto"/>
            <w:tcW w:w="771" w:type="dxa"/>
            <w:vMerge w:val="restart"/>
            <w:textDirection w:val="lrTb"/>
            <w:noWrap w:val="false"/>
          </w:tcPr>
          <w:p>
            <w:pPr>
              <w:pStyle w:val="1005"/>
              <w:ind w:left="57" w:right="57"/>
            </w:pPr>
            <w:r>
              <w:t xml:space="preserve">02</w:t>
            </w:r>
            <w:r/>
          </w:p>
        </w:tc>
        <w:tc>
          <w:tcPr>
            <w:shd w:val="clear" w:fill="auto" w:color="auto"/>
            <w:tcW w:w="7560" w:type="dxa"/>
            <w:textDirection w:val="lrTb"/>
            <w:noWrap w:val="false"/>
          </w:tcPr>
          <w:p>
            <w:pPr>
              <w:pStyle w:val="1005"/>
              <w:ind w:left="57" w:right="57"/>
            </w:pPr>
            <w:r>
              <w:t xml:space="preserve">Отчет о состоянии лицевого счета бюджета</w:t>
            </w:r>
            <w:r/>
          </w:p>
        </w:tc>
        <w:tc>
          <w:tcPr>
            <w:shd w:val="clear" w:fill="auto" w:color="auto"/>
            <w:tcW w:w="1421" w:type="dxa"/>
            <w:textDirection w:val="lrTb"/>
            <w:noWrap w:val="false"/>
          </w:tcPr>
          <w:p>
            <w:pPr>
              <w:pStyle w:val="1005"/>
              <w:ind w:left="57" w:right="57"/>
            </w:pPr>
            <w:r>
              <w:t xml:space="preserve">0531793</w:t>
            </w:r>
            <w:r/>
          </w:p>
        </w:tc>
      </w:tr>
      <w:tr>
        <w:trPr/>
        <w:tc>
          <w:tcPr>
            <w:shd w:val="clear" w:fill="auto" w:color="auto"/>
            <w:tcW w:w="771" w:type="dxa"/>
            <w:vMerge w:val="continue"/>
            <w:textDirection w:val="lrTb"/>
            <w:noWrap w:val="false"/>
          </w:tcPr>
          <w:p>
            <w:pPr>
              <w:ind w:left="57" w:right="57" w:firstLine="0"/>
              <w:jc w:val="left"/>
              <w:spacing w:after="60" w:before="60"/>
              <w:rPr>
                <w:sz w:val="22"/>
              </w:rPr>
            </w:pPr>
            <w:r>
              <w:rPr>
                <w:sz w:val="22"/>
              </w:rPr>
            </w:r>
            <w:r/>
          </w:p>
        </w:tc>
        <w:tc>
          <w:tcPr>
            <w:shd w:val="clear" w:fill="auto" w:color="auto"/>
            <w:tcW w:w="7560" w:type="dxa"/>
            <w:textDirection w:val="lrTb"/>
            <w:noWrap w:val="false"/>
          </w:tcPr>
          <w:p>
            <w:pPr>
              <w:pStyle w:val="1005"/>
              <w:ind w:left="57" w:right="57"/>
            </w:pPr>
            <w:r>
              <w:t xml:space="preserve">Выписка из лицевого счета бюджета</w:t>
            </w:r>
            <w:r/>
          </w:p>
        </w:tc>
        <w:tc>
          <w:tcPr>
            <w:shd w:val="clear" w:fill="auto" w:color="auto"/>
            <w:tcW w:w="1421" w:type="dxa"/>
            <w:textDirection w:val="lrTb"/>
            <w:noWrap w:val="false"/>
          </w:tcPr>
          <w:p>
            <w:pPr>
              <w:pStyle w:val="1005"/>
              <w:ind w:left="57" w:right="57"/>
            </w:pPr>
            <w:r>
              <w:t xml:space="preserve">0531775</w:t>
            </w:r>
            <w:r/>
          </w:p>
        </w:tc>
      </w:tr>
      <w:tr>
        <w:trPr/>
        <w:tc>
          <w:tcPr>
            <w:shd w:val="clear" w:fill="auto" w:color="auto"/>
            <w:tcW w:w="771" w:type="dxa"/>
            <w:vMerge w:val="restart"/>
            <w:textDirection w:val="lrTb"/>
            <w:noWrap w:val="false"/>
          </w:tcPr>
          <w:p>
            <w:pPr>
              <w:pStyle w:val="1005"/>
              <w:ind w:left="57" w:right="57"/>
            </w:pPr>
            <w:r>
              <w:t xml:space="preserve">03/14</w:t>
            </w:r>
            <w:r/>
          </w:p>
        </w:tc>
        <w:tc>
          <w:tcPr>
            <w:shd w:val="clear" w:fill="auto" w:color="auto"/>
            <w:tcW w:w="7560" w:type="dxa"/>
            <w:textDirection w:val="lrTb"/>
            <w:noWrap w:val="false"/>
          </w:tcPr>
          <w:p>
            <w:pPr>
              <w:pStyle w:val="1005"/>
              <w:ind w:left="57" w:right="57"/>
            </w:pPr>
            <w:r>
              <w:t xml:space="preserve">Отчет о состоянии лицевого счета получателя бюджетных средств</w:t>
            </w:r>
            <w:r/>
          </w:p>
        </w:tc>
        <w:tc>
          <w:tcPr>
            <w:shd w:val="clear" w:fill="auto" w:color="auto"/>
            <w:tcW w:w="1421" w:type="dxa"/>
            <w:textDirection w:val="lrTb"/>
            <w:noWrap w:val="false"/>
          </w:tcPr>
          <w:p>
            <w:pPr>
              <w:pStyle w:val="1005"/>
              <w:ind w:left="57" w:right="57"/>
            </w:pPr>
            <w:r>
              <w:t xml:space="preserve">0531786</w:t>
            </w:r>
            <w:r/>
          </w:p>
        </w:tc>
      </w:tr>
      <w:tr>
        <w:trPr/>
        <w:tc>
          <w:tcPr>
            <w:shd w:val="clear" w:fill="auto" w:color="auto"/>
            <w:tcW w:w="771" w:type="dxa"/>
            <w:vMerge w:val="continue"/>
            <w:textDirection w:val="lrTb"/>
            <w:noWrap w:val="false"/>
          </w:tcPr>
          <w:p>
            <w:pPr>
              <w:ind w:left="57" w:right="57" w:firstLine="0"/>
              <w:jc w:val="left"/>
              <w:spacing w:after="60" w:before="60"/>
              <w:rPr>
                <w:sz w:val="22"/>
              </w:rPr>
            </w:pPr>
            <w:r>
              <w:rPr>
                <w:sz w:val="22"/>
              </w:rPr>
            </w:r>
            <w:r/>
          </w:p>
        </w:tc>
        <w:tc>
          <w:tcPr>
            <w:shd w:val="clear" w:fill="auto" w:color="auto"/>
            <w:tcW w:w="7560" w:type="dxa"/>
            <w:textDirection w:val="lrTb"/>
            <w:noWrap w:val="false"/>
          </w:tcPr>
          <w:p>
            <w:pPr>
              <w:pStyle w:val="1005"/>
              <w:ind w:left="57" w:right="57"/>
            </w:pPr>
            <w:r>
              <w:t xml:space="preserve">Выписка из лицевого счета получателя бюджетных средств</w:t>
            </w:r>
            <w:r/>
          </w:p>
        </w:tc>
        <w:tc>
          <w:tcPr>
            <w:shd w:val="clear" w:fill="auto" w:color="auto"/>
            <w:tcW w:w="1421" w:type="dxa"/>
            <w:textDirection w:val="lrTb"/>
            <w:noWrap w:val="false"/>
          </w:tcPr>
          <w:p>
            <w:pPr>
              <w:pStyle w:val="1005"/>
              <w:ind w:left="57" w:right="57"/>
            </w:pPr>
            <w:r>
              <w:t xml:space="preserve">0531759</w:t>
            </w:r>
            <w:r/>
          </w:p>
        </w:tc>
      </w:tr>
      <w:tr>
        <w:trPr/>
        <w:tc>
          <w:tcPr>
            <w:shd w:val="clear" w:fill="auto" w:color="auto"/>
            <w:tcW w:w="771" w:type="dxa"/>
            <w:vMerge w:val="continue"/>
            <w:textDirection w:val="lrTb"/>
            <w:noWrap w:val="false"/>
          </w:tcPr>
          <w:p>
            <w:pPr>
              <w:ind w:left="57" w:right="57" w:firstLine="0"/>
              <w:jc w:val="left"/>
              <w:spacing w:after="60" w:before="60"/>
              <w:rPr>
                <w:sz w:val="22"/>
              </w:rPr>
            </w:pPr>
            <w:r>
              <w:rPr>
                <w:sz w:val="22"/>
              </w:rPr>
            </w:r>
            <w:r/>
          </w:p>
        </w:tc>
        <w:tc>
          <w:tcPr>
            <w:shd w:val="clear" w:fill="auto" w:color="auto"/>
            <w:tcW w:w="7560" w:type="dxa"/>
            <w:textDirection w:val="lrTb"/>
            <w:noWrap w:val="false"/>
          </w:tcPr>
          <w:p>
            <w:pPr>
              <w:pStyle w:val="1005"/>
              <w:ind w:left="57" w:right="57"/>
            </w:pPr>
            <w:r>
              <w:t xml:space="preserve">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w:t>
            </w:r>
            <w:r>
              <w:t xml:space="preserve">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r/>
          </w:p>
        </w:tc>
        <w:tc>
          <w:tcPr>
            <w:shd w:val="clear" w:fill="auto" w:color="auto"/>
            <w:tcW w:w="1421" w:type="dxa"/>
            <w:textDirection w:val="lrTb"/>
            <w:noWrap w:val="false"/>
          </w:tcPr>
          <w:p>
            <w:pPr>
              <w:pStyle w:val="1005"/>
              <w:ind w:left="57" w:right="57"/>
            </w:pPr>
            <w:r>
              <w:t xml:space="preserve">0506103</w:t>
            </w:r>
            <w:r/>
          </w:p>
        </w:tc>
      </w:tr>
      <w:tr>
        <w:trPr/>
        <w:tc>
          <w:tcPr>
            <w:shd w:val="clear" w:fill="auto" w:color="auto"/>
            <w:tcW w:w="771" w:type="dxa"/>
            <w:vMerge w:val="continue"/>
            <w:textDirection w:val="lrTb"/>
            <w:noWrap w:val="false"/>
          </w:tcPr>
          <w:p>
            <w:pPr>
              <w:ind w:left="57" w:right="57" w:firstLine="0"/>
              <w:jc w:val="left"/>
              <w:spacing w:after="60" w:before="60"/>
              <w:rPr>
                <w:sz w:val="22"/>
              </w:rPr>
            </w:pPr>
            <w:r>
              <w:rPr>
                <w:sz w:val="22"/>
              </w:rPr>
            </w:r>
            <w:r/>
          </w:p>
        </w:tc>
        <w:tc>
          <w:tcPr>
            <w:shd w:val="clear" w:fill="auto" w:color="auto"/>
            <w:tcW w:w="7560" w:type="dxa"/>
            <w:textDirection w:val="lrTb"/>
            <w:noWrap w:val="false"/>
          </w:tcPr>
          <w:p>
            <w:pPr>
              <w:pStyle w:val="1005"/>
              <w:ind w:left="57" w:right="57"/>
            </w:pPr>
            <w:r>
              <w:t xml:space="preserve">Справка об исполнении принятых на учет обязательств</w:t>
            </w:r>
            <w:r/>
          </w:p>
        </w:tc>
        <w:tc>
          <w:tcPr>
            <w:shd w:val="clear" w:fill="auto" w:color="auto"/>
            <w:tcW w:w="1421" w:type="dxa"/>
            <w:textDirection w:val="lrTb"/>
            <w:noWrap w:val="false"/>
          </w:tcPr>
          <w:p>
            <w:pPr>
              <w:pStyle w:val="1005"/>
              <w:ind w:left="57" w:right="57"/>
            </w:pPr>
            <w:r>
              <w:t xml:space="preserve">0506602</w:t>
            </w:r>
            <w:r/>
          </w:p>
        </w:tc>
      </w:tr>
      <w:tr>
        <w:trPr/>
        <w:tc>
          <w:tcPr>
            <w:shd w:val="clear" w:fill="auto" w:color="auto"/>
            <w:tcW w:w="771" w:type="dxa"/>
            <w:vMerge w:val="restart"/>
            <w:textDirection w:val="lrTb"/>
            <w:noWrap w:val="false"/>
          </w:tcPr>
          <w:p>
            <w:pPr>
              <w:pStyle w:val="1005"/>
              <w:ind w:left="57" w:right="57"/>
            </w:pPr>
            <w:r>
              <w:t xml:space="preserve">04</w:t>
            </w:r>
            <w:r/>
          </w:p>
        </w:tc>
        <w:tc>
          <w:tcPr>
            <w:shd w:val="clear" w:fill="auto" w:color="auto"/>
            <w:tcW w:w="7560" w:type="dxa"/>
            <w:textDirection w:val="lrTb"/>
            <w:noWrap w:val="false"/>
          </w:tcPr>
          <w:p>
            <w:pPr>
              <w:pStyle w:val="1005"/>
              <w:ind w:left="57" w:right="57"/>
            </w:pPr>
            <w:r>
              <w:t xml:space="preserve">Отчет о состоянии лицевого счета администратора доходов бюджета</w:t>
            </w:r>
            <w:r/>
          </w:p>
        </w:tc>
        <w:tc>
          <w:tcPr>
            <w:shd w:val="clear" w:fill="auto" w:color="auto"/>
            <w:tcW w:w="1421" w:type="dxa"/>
            <w:textDirection w:val="lrTb"/>
            <w:noWrap w:val="false"/>
          </w:tcPr>
          <w:p>
            <w:pPr>
              <w:pStyle w:val="1005"/>
              <w:ind w:left="57" w:right="57"/>
            </w:pPr>
            <w:r>
              <w:t xml:space="preserve">0531787</w:t>
            </w:r>
            <w:r/>
          </w:p>
        </w:tc>
      </w:tr>
      <w:tr>
        <w:trPr/>
        <w:tc>
          <w:tcPr>
            <w:shd w:val="clear" w:fill="auto" w:color="auto"/>
            <w:tcW w:w="771" w:type="dxa"/>
            <w:vMerge w:val="continue"/>
            <w:textDirection w:val="lrTb"/>
            <w:noWrap w:val="false"/>
          </w:tcPr>
          <w:p>
            <w:pPr>
              <w:ind w:left="57" w:right="57" w:firstLine="0"/>
              <w:jc w:val="left"/>
              <w:spacing w:after="60" w:before="60"/>
              <w:rPr>
                <w:sz w:val="22"/>
              </w:rPr>
            </w:pPr>
            <w:r>
              <w:rPr>
                <w:sz w:val="22"/>
              </w:rPr>
            </w:r>
            <w:r/>
          </w:p>
        </w:tc>
        <w:tc>
          <w:tcPr>
            <w:shd w:val="clear" w:fill="auto" w:color="auto"/>
            <w:tcW w:w="7560" w:type="dxa"/>
            <w:textDirection w:val="lrTb"/>
            <w:noWrap w:val="false"/>
          </w:tcPr>
          <w:p>
            <w:pPr>
              <w:pStyle w:val="1005"/>
              <w:ind w:left="57" w:right="57"/>
            </w:pPr>
            <w:r>
              <w:t xml:space="preserve">Выписка из лицевого счета администратора доходов бюджета</w:t>
            </w:r>
            <w:r/>
          </w:p>
        </w:tc>
        <w:tc>
          <w:tcPr>
            <w:shd w:val="clear" w:fill="auto" w:color="auto"/>
            <w:tcW w:w="1421" w:type="dxa"/>
            <w:textDirection w:val="lrTb"/>
            <w:noWrap w:val="false"/>
          </w:tcPr>
          <w:p>
            <w:pPr>
              <w:pStyle w:val="1005"/>
              <w:ind w:left="57" w:right="57"/>
            </w:pPr>
            <w:r>
              <w:t xml:space="preserve">0531761</w:t>
            </w:r>
            <w:r/>
          </w:p>
        </w:tc>
      </w:tr>
      <w:tr>
        <w:trPr/>
        <w:tc>
          <w:tcPr>
            <w:shd w:val="clear" w:fill="auto" w:color="auto"/>
            <w:tcW w:w="771" w:type="dxa"/>
            <w:vMerge w:val="restart"/>
            <w:textDirection w:val="lrTb"/>
            <w:noWrap w:val="false"/>
          </w:tcPr>
          <w:p>
            <w:pPr>
              <w:pStyle w:val="1005"/>
              <w:ind w:left="57" w:right="57"/>
            </w:pPr>
            <w:r>
              <w:t xml:space="preserve">05</w:t>
            </w:r>
            <w:r/>
          </w:p>
        </w:tc>
        <w:tc>
          <w:tcPr>
            <w:shd w:val="clear" w:fill="auto" w:color="auto"/>
            <w:tcW w:w="7560" w:type="dxa"/>
            <w:textDirection w:val="lrTb"/>
            <w:noWrap w:val="false"/>
          </w:tcPr>
          <w:p>
            <w:pPr>
              <w:pStyle w:val="1005"/>
              <w:ind w:left="57" w:right="57"/>
            </w:pPr>
            <w:r>
              <w:t xml:space="preserve">Отчет о состоянии лицевого счета для учета операций со средствами, поступающими во временное распоряжение получателя бюджетных средств</w:t>
            </w:r>
            <w:r/>
          </w:p>
        </w:tc>
        <w:tc>
          <w:tcPr>
            <w:shd w:val="clear" w:fill="auto" w:color="auto"/>
            <w:tcW w:w="1421" w:type="dxa"/>
            <w:textDirection w:val="lrTb"/>
            <w:noWrap w:val="false"/>
          </w:tcPr>
          <w:p>
            <w:pPr>
              <w:pStyle w:val="1005"/>
              <w:ind w:left="57" w:right="57"/>
            </w:pPr>
            <w:r>
              <w:t xml:space="preserve">0531788</w:t>
            </w:r>
            <w:r/>
          </w:p>
        </w:tc>
      </w:tr>
      <w:tr>
        <w:trPr/>
        <w:tc>
          <w:tcPr>
            <w:shd w:val="clear" w:fill="auto" w:color="auto"/>
            <w:tcW w:w="771" w:type="dxa"/>
            <w:vMerge w:val="continue"/>
            <w:textDirection w:val="lrTb"/>
            <w:noWrap w:val="false"/>
          </w:tcPr>
          <w:p>
            <w:pPr>
              <w:ind w:left="57" w:right="57" w:firstLine="0"/>
              <w:jc w:val="left"/>
              <w:spacing w:after="60" w:before="60"/>
              <w:rPr>
                <w:sz w:val="22"/>
              </w:rPr>
            </w:pPr>
            <w:r>
              <w:rPr>
                <w:sz w:val="22"/>
              </w:rPr>
            </w:r>
            <w:r/>
          </w:p>
        </w:tc>
        <w:tc>
          <w:tcPr>
            <w:shd w:val="clear" w:fill="auto" w:color="auto"/>
            <w:tcW w:w="7560" w:type="dxa"/>
            <w:textDirection w:val="lrTb"/>
            <w:noWrap w:val="false"/>
          </w:tcPr>
          <w:p>
            <w:pPr>
              <w:pStyle w:val="1005"/>
              <w:ind w:left="57" w:right="57"/>
            </w:pPr>
            <w:r>
              <w:t xml:space="preserve">Выписка из лицевого счета для учета операций со средствами, поступающими во временное распоряжение получателя бюджетных средств</w:t>
            </w:r>
            <w:r/>
          </w:p>
        </w:tc>
        <w:tc>
          <w:tcPr>
            <w:shd w:val="clear" w:fill="auto" w:color="auto"/>
            <w:tcW w:w="1421" w:type="dxa"/>
            <w:textDirection w:val="lrTb"/>
            <w:noWrap w:val="false"/>
          </w:tcPr>
          <w:p>
            <w:pPr>
              <w:pStyle w:val="1005"/>
              <w:ind w:left="57" w:right="57"/>
            </w:pPr>
            <w:r>
              <w:t xml:space="preserve">0531762</w:t>
            </w:r>
            <w:r/>
          </w:p>
        </w:tc>
      </w:tr>
      <w:tr>
        <w:trPr/>
        <w:tc>
          <w:tcPr>
            <w:shd w:val="clear" w:fill="auto" w:color="auto"/>
            <w:tcW w:w="771" w:type="dxa"/>
            <w:vMerge w:val="restart"/>
            <w:textDirection w:val="lrTb"/>
            <w:noWrap w:val="false"/>
          </w:tcPr>
          <w:p>
            <w:pPr>
              <w:pStyle w:val="1005"/>
              <w:ind w:left="57" w:right="57"/>
            </w:pPr>
            <w:r>
              <w:t xml:space="preserve">06/07</w:t>
            </w:r>
            <w:r/>
          </w:p>
        </w:tc>
        <w:tc>
          <w:tcPr>
            <w:shd w:val="clear" w:fill="auto" w:color="auto"/>
            <w:tcW w:w="7560" w:type="dxa"/>
            <w:textDirection w:val="lrTb"/>
            <w:noWrap w:val="false"/>
          </w:tcPr>
          <w:p>
            <w:pPr>
              <w:pStyle w:val="1005"/>
              <w:ind w:left="57" w:right="57"/>
            </w:pPr>
            <w:r>
              <w:t xml:space="preserve">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p>
        </w:tc>
        <w:tc>
          <w:tcPr>
            <w:shd w:val="clear" w:fill="auto" w:color="auto"/>
            <w:tcW w:w="1421" w:type="dxa"/>
            <w:textDirection w:val="lrTb"/>
            <w:noWrap w:val="false"/>
          </w:tcPr>
          <w:p>
            <w:pPr>
              <w:pStyle w:val="1005"/>
              <w:ind w:left="57" w:right="57"/>
            </w:pPr>
            <w:r>
              <w:t xml:space="preserve">0531789</w:t>
            </w:r>
            <w:r/>
          </w:p>
        </w:tc>
      </w:tr>
      <w:tr>
        <w:trPr/>
        <w:tc>
          <w:tcPr>
            <w:shd w:val="clear" w:fill="auto" w:color="auto"/>
            <w:tcW w:w="771" w:type="dxa"/>
            <w:vMerge w:val="continue"/>
            <w:textDirection w:val="lrTb"/>
            <w:noWrap w:val="false"/>
          </w:tcPr>
          <w:p>
            <w:pPr>
              <w:ind w:left="57" w:right="57" w:firstLine="0"/>
              <w:jc w:val="left"/>
              <w:spacing w:after="60" w:before="60"/>
              <w:rPr>
                <w:sz w:val="22"/>
              </w:rPr>
            </w:pPr>
            <w:r>
              <w:rPr>
                <w:sz w:val="22"/>
              </w:rPr>
            </w:r>
            <w:r/>
          </w:p>
        </w:tc>
        <w:tc>
          <w:tcPr>
            <w:shd w:val="clear" w:fill="auto" w:color="auto"/>
            <w:tcW w:w="7560" w:type="dxa"/>
            <w:textDirection w:val="lrTb"/>
            <w:noWrap w:val="false"/>
          </w:tcPr>
          <w:p>
            <w:pPr>
              <w:pStyle w:val="1005"/>
              <w:ind w:left="57" w:right="57"/>
            </w:pPr>
            <w:r>
              <w:t xml:space="preserve">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p>
        </w:tc>
        <w:tc>
          <w:tcPr>
            <w:shd w:val="clear" w:fill="auto" w:color="auto"/>
            <w:tcW w:w="1421" w:type="dxa"/>
            <w:textDirection w:val="lrTb"/>
            <w:noWrap w:val="false"/>
          </w:tcPr>
          <w:p>
            <w:pPr>
              <w:pStyle w:val="1005"/>
              <w:ind w:left="57" w:right="57"/>
            </w:pPr>
            <w:r>
              <w:t xml:space="preserve">0531763</w:t>
            </w:r>
            <w:r/>
          </w:p>
        </w:tc>
      </w:tr>
      <w:tr>
        <w:trPr/>
        <w:tc>
          <w:tcPr>
            <w:shd w:val="clear" w:fill="auto" w:color="auto"/>
            <w:tcW w:w="771" w:type="dxa"/>
            <w:vMerge w:val="restart"/>
            <w:textDirection w:val="lrTb"/>
            <w:noWrap w:val="false"/>
          </w:tcPr>
          <w:p>
            <w:pPr>
              <w:pStyle w:val="1005"/>
              <w:ind w:left="57" w:right="57"/>
            </w:pPr>
            <w:r>
              <w:t xml:space="preserve">08/09</w:t>
            </w:r>
            <w:r/>
          </w:p>
        </w:tc>
        <w:tc>
          <w:tcPr>
            <w:shd w:val="clear" w:fill="auto" w:color="auto"/>
            <w:tcW w:w="7560" w:type="dxa"/>
            <w:textDirection w:val="lrTb"/>
            <w:noWrap w:val="false"/>
          </w:tcPr>
          <w:p>
            <w:pPr>
              <w:pStyle w:val="1005"/>
              <w:ind w:left="57" w:right="57"/>
            </w:pPr>
            <w:r>
              <w:t xml:space="preserve">Отчет о состоянии лицевого счета администратора источников финансирования дефицита бюджета</w:t>
            </w:r>
            <w:r/>
          </w:p>
        </w:tc>
        <w:tc>
          <w:tcPr>
            <w:shd w:val="clear" w:fill="auto" w:color="auto"/>
            <w:tcW w:w="1421" w:type="dxa"/>
            <w:textDirection w:val="lrTb"/>
            <w:noWrap w:val="false"/>
          </w:tcPr>
          <w:p>
            <w:pPr>
              <w:pStyle w:val="1005"/>
              <w:ind w:left="57" w:right="57"/>
            </w:pPr>
            <w:r>
              <w:t xml:space="preserve">0531791</w:t>
            </w:r>
            <w:r/>
          </w:p>
        </w:tc>
      </w:tr>
      <w:tr>
        <w:trPr/>
        <w:tc>
          <w:tcPr>
            <w:shd w:val="clear" w:fill="auto" w:color="auto"/>
            <w:tcW w:w="771" w:type="dxa"/>
            <w:vMerge w:val="continue"/>
            <w:textDirection w:val="lrTb"/>
            <w:noWrap w:val="false"/>
          </w:tcPr>
          <w:p>
            <w:pPr>
              <w:ind w:left="57" w:right="57" w:firstLine="0"/>
              <w:jc w:val="left"/>
              <w:spacing w:after="60" w:before="60"/>
              <w:rPr>
                <w:sz w:val="22"/>
              </w:rPr>
            </w:pPr>
            <w:r>
              <w:rPr>
                <w:sz w:val="22"/>
              </w:rPr>
            </w:r>
            <w:r/>
          </w:p>
        </w:tc>
        <w:tc>
          <w:tcPr>
            <w:shd w:val="clear" w:fill="auto" w:color="auto"/>
            <w:tcW w:w="7560" w:type="dxa"/>
            <w:textDirection w:val="lrTb"/>
            <w:noWrap w:val="false"/>
          </w:tcPr>
          <w:p>
            <w:pPr>
              <w:pStyle w:val="1005"/>
              <w:ind w:left="57" w:right="57"/>
            </w:pPr>
            <w:r>
              <w:t xml:space="preserve">Выписка из лицевого счета администратора источников финансирования дефицита бюджета</w:t>
            </w:r>
            <w:r/>
          </w:p>
        </w:tc>
        <w:tc>
          <w:tcPr>
            <w:shd w:val="clear" w:fill="auto" w:color="auto"/>
            <w:tcW w:w="1421" w:type="dxa"/>
            <w:textDirection w:val="lrTb"/>
            <w:noWrap w:val="false"/>
          </w:tcPr>
          <w:p>
            <w:pPr>
              <w:pStyle w:val="1005"/>
              <w:ind w:left="57" w:right="57"/>
            </w:pPr>
            <w:r>
              <w:t xml:space="preserve">0531764</w:t>
            </w:r>
            <w:r/>
          </w:p>
        </w:tc>
      </w:tr>
      <w:tr>
        <w:trPr/>
        <w:tc>
          <w:tcPr>
            <w:shd w:val="clear" w:fill="auto" w:color="auto"/>
            <w:tcW w:w="771" w:type="dxa"/>
            <w:vMerge w:val="restart"/>
            <w:textDirection w:val="lrTb"/>
            <w:noWrap w:val="false"/>
          </w:tcPr>
          <w:p>
            <w:pPr>
              <w:pStyle w:val="1005"/>
              <w:ind w:left="57" w:right="57"/>
            </w:pPr>
            <w:r>
              <w:t xml:space="preserve">10</w:t>
            </w:r>
            <w:r/>
          </w:p>
        </w:tc>
        <w:tc>
          <w:tcPr>
            <w:shd w:val="clear" w:fill="auto" w:color="auto"/>
            <w:tcW w:w="7560" w:type="dxa"/>
            <w:textDirection w:val="lrTb"/>
            <w:noWrap w:val="false"/>
          </w:tcPr>
          <w:p>
            <w:pPr>
              <w:pStyle w:val="1005"/>
              <w:ind w:left="57" w:right="57"/>
            </w:pPr>
            <w:r>
              <w:t xml:space="preserve">Отчет о состоянии лицевого счета иного получателя бюджетных средств</w:t>
            </w:r>
            <w:r/>
          </w:p>
        </w:tc>
        <w:tc>
          <w:tcPr>
            <w:shd w:val="clear" w:fill="auto" w:color="auto"/>
            <w:tcW w:w="1421" w:type="dxa"/>
            <w:textDirection w:val="lrTb"/>
            <w:noWrap w:val="false"/>
          </w:tcPr>
          <w:p>
            <w:pPr>
              <w:pStyle w:val="1005"/>
              <w:ind w:left="57" w:right="57"/>
            </w:pPr>
            <w:r>
              <w:t xml:space="preserve">0531797</w:t>
            </w:r>
            <w:r/>
          </w:p>
        </w:tc>
      </w:tr>
      <w:tr>
        <w:trPr/>
        <w:tc>
          <w:tcPr>
            <w:shd w:val="clear" w:fill="auto" w:color="auto"/>
            <w:tcW w:w="771" w:type="dxa"/>
            <w:vMerge w:val="continue"/>
            <w:textDirection w:val="lrTb"/>
            <w:noWrap w:val="false"/>
          </w:tcPr>
          <w:p>
            <w:pPr>
              <w:ind w:left="57" w:right="57" w:firstLine="0"/>
              <w:jc w:val="left"/>
              <w:spacing w:after="60" w:before="60"/>
              <w:rPr>
                <w:sz w:val="22"/>
              </w:rPr>
            </w:pPr>
            <w:r>
              <w:rPr>
                <w:sz w:val="22"/>
              </w:rPr>
            </w:r>
            <w:r/>
          </w:p>
        </w:tc>
        <w:tc>
          <w:tcPr>
            <w:shd w:val="clear" w:fill="auto" w:color="auto"/>
            <w:tcW w:w="7560" w:type="dxa"/>
            <w:textDirection w:val="lrTb"/>
            <w:noWrap w:val="false"/>
          </w:tcPr>
          <w:p>
            <w:pPr>
              <w:pStyle w:val="1005"/>
              <w:ind w:left="57" w:right="57"/>
            </w:pPr>
            <w:r>
              <w:t xml:space="preserve">Выписка из лицевого счета иного получателя бюджетных средств</w:t>
            </w:r>
            <w:r/>
          </w:p>
        </w:tc>
        <w:tc>
          <w:tcPr>
            <w:shd w:val="clear" w:fill="auto" w:color="auto"/>
            <w:tcW w:w="1421" w:type="dxa"/>
            <w:textDirection w:val="lrTb"/>
            <w:noWrap w:val="false"/>
          </w:tcPr>
          <w:p>
            <w:pPr>
              <w:pStyle w:val="1005"/>
              <w:ind w:left="57" w:right="57"/>
            </w:pPr>
            <w:r>
              <w:t xml:space="preserve">0531765</w:t>
            </w:r>
            <w:r/>
          </w:p>
        </w:tc>
      </w:tr>
      <w:tr>
        <w:trPr/>
        <w:tc>
          <w:tcPr>
            <w:shd w:val="clear" w:fill="auto" w:color="auto"/>
            <w:tcW w:w="771" w:type="dxa"/>
            <w:textDirection w:val="lrTb"/>
            <w:noWrap w:val="false"/>
          </w:tcPr>
          <w:p>
            <w:pPr>
              <w:pStyle w:val="1005"/>
              <w:ind w:left="57" w:right="57"/>
            </w:pPr>
            <w:r>
              <w:t xml:space="preserve">20/30</w:t>
            </w:r>
            <w:r/>
          </w:p>
          <w:p>
            <w:pPr>
              <w:pStyle w:val="1005"/>
              <w:ind w:left="57" w:right="57"/>
            </w:pPr>
            <w:r>
              <w:t xml:space="preserve">22/32</w:t>
            </w:r>
            <w:r/>
          </w:p>
        </w:tc>
        <w:tc>
          <w:tcPr>
            <w:shd w:val="clear" w:fill="auto" w:color="auto"/>
            <w:tcW w:w="7560" w:type="dxa"/>
            <w:textDirection w:val="lrTb"/>
            <w:noWrap w:val="false"/>
          </w:tcPr>
          <w:p>
            <w:pPr>
              <w:pStyle w:val="1005"/>
              <w:ind w:left="57" w:right="57"/>
            </w:pPr>
            <w:r>
              <w:t xml:space="preserve">Отчет о состоянии лицевого счета бюджетного (автономного) учреждения</w:t>
            </w:r>
            <w:r/>
          </w:p>
        </w:tc>
        <w:tc>
          <w:tcPr>
            <w:shd w:val="clear" w:fill="auto" w:color="auto"/>
            <w:tcW w:w="1421" w:type="dxa"/>
            <w:textDirection w:val="lrTb"/>
            <w:noWrap w:val="false"/>
          </w:tcPr>
          <w:p>
            <w:pPr>
              <w:pStyle w:val="1005"/>
              <w:ind w:left="57" w:right="57"/>
            </w:pPr>
            <w:r>
              <w:t xml:space="preserve">0531965</w:t>
            </w:r>
            <w:r/>
          </w:p>
        </w:tc>
      </w:tr>
      <w:tr>
        <w:trPr/>
        <w:tc>
          <w:tcPr>
            <w:shd w:val="clear" w:fill="auto" w:color="auto"/>
            <w:tcW w:w="771" w:type="dxa"/>
            <w:textDirection w:val="lrTb"/>
            <w:noWrap w:val="false"/>
          </w:tcPr>
          <w:p>
            <w:pPr>
              <w:pStyle w:val="1005"/>
              <w:ind w:left="57" w:right="57"/>
            </w:pPr>
            <w:r>
              <w:t xml:space="preserve">20/22</w:t>
            </w:r>
            <w:r/>
          </w:p>
        </w:tc>
        <w:tc>
          <w:tcPr>
            <w:shd w:val="clear" w:fill="auto" w:color="auto"/>
            <w:tcW w:w="7560" w:type="dxa"/>
            <w:textDirection w:val="lrTb"/>
            <w:noWrap w:val="false"/>
          </w:tcPr>
          <w:p>
            <w:pPr>
              <w:pStyle w:val="1005"/>
              <w:ind w:left="57" w:right="57"/>
            </w:pPr>
            <w:r>
              <w:t xml:space="preserve">Выписка из лицевого счета бюджетного учреждения </w:t>
            </w:r>
            <w:r/>
          </w:p>
        </w:tc>
        <w:tc>
          <w:tcPr>
            <w:shd w:val="clear" w:fill="auto" w:color="auto"/>
            <w:tcW w:w="1421" w:type="dxa"/>
            <w:textDirection w:val="lrTb"/>
            <w:noWrap w:val="false"/>
          </w:tcPr>
          <w:p>
            <w:pPr>
              <w:pStyle w:val="1005"/>
              <w:ind w:left="57" w:right="57"/>
            </w:pPr>
            <w:r>
              <w:t xml:space="preserve">0531962</w:t>
            </w:r>
            <w:r/>
          </w:p>
        </w:tc>
      </w:tr>
      <w:tr>
        <w:trPr/>
        <w:tc>
          <w:tcPr>
            <w:shd w:val="clear" w:fill="auto" w:color="auto"/>
            <w:tcW w:w="771" w:type="dxa"/>
            <w:textDirection w:val="lrTb"/>
            <w:noWrap w:val="false"/>
          </w:tcPr>
          <w:p>
            <w:pPr>
              <w:pStyle w:val="1005"/>
              <w:ind w:left="57" w:right="57"/>
            </w:pPr>
            <w:r>
              <w:t xml:space="preserve">30/32</w:t>
            </w:r>
            <w:r/>
          </w:p>
        </w:tc>
        <w:tc>
          <w:tcPr>
            <w:shd w:val="clear" w:fill="auto" w:color="auto"/>
            <w:tcW w:w="7560" w:type="dxa"/>
            <w:textDirection w:val="lrTb"/>
            <w:noWrap w:val="false"/>
          </w:tcPr>
          <w:p>
            <w:pPr>
              <w:pStyle w:val="1005"/>
              <w:ind w:left="57" w:right="57"/>
            </w:pPr>
            <w:r>
              <w:t xml:space="preserve">Выписка из лицевого счета автономного учреждения </w:t>
            </w:r>
            <w:r/>
          </w:p>
        </w:tc>
        <w:tc>
          <w:tcPr>
            <w:shd w:val="clear" w:fill="auto" w:color="auto"/>
            <w:tcW w:w="1421" w:type="dxa"/>
            <w:textDirection w:val="lrTb"/>
            <w:noWrap w:val="false"/>
          </w:tcPr>
          <w:p>
            <w:pPr>
              <w:pStyle w:val="1005"/>
              <w:ind w:left="57" w:right="57"/>
            </w:pPr>
            <w:r>
              <w:t xml:space="preserve">0531963</w:t>
            </w:r>
            <w:r/>
          </w:p>
        </w:tc>
      </w:tr>
      <w:tr>
        <w:trPr/>
        <w:tc>
          <w:tcPr>
            <w:shd w:val="clear" w:fill="auto" w:color="auto"/>
            <w:tcW w:w="771" w:type="dxa"/>
            <w:vMerge w:val="restart"/>
            <w:textDirection w:val="lrTb"/>
            <w:noWrap w:val="false"/>
          </w:tcPr>
          <w:p>
            <w:pPr>
              <w:pStyle w:val="1005"/>
              <w:ind w:left="57" w:right="57"/>
            </w:pPr>
            <w:r>
              <w:t xml:space="preserve">21/31</w:t>
            </w:r>
            <w:r/>
          </w:p>
        </w:tc>
        <w:tc>
          <w:tcPr>
            <w:shd w:val="clear" w:fill="auto" w:color="auto"/>
            <w:tcW w:w="7560" w:type="dxa"/>
            <w:textDirection w:val="lrTb"/>
            <w:noWrap w:val="false"/>
          </w:tcPr>
          <w:p>
            <w:pPr>
              <w:pStyle w:val="1005"/>
              <w:ind w:left="57" w:right="57"/>
            </w:pPr>
            <w:r>
              <w:t xml:space="preserve">Отчет о состоянии отдельного лицевого счета бюджетного (автономного) учреждения</w:t>
            </w:r>
            <w:r/>
          </w:p>
        </w:tc>
        <w:tc>
          <w:tcPr>
            <w:shd w:val="clear" w:fill="auto" w:color="auto"/>
            <w:tcW w:w="1421" w:type="dxa"/>
            <w:textDirection w:val="lrTb"/>
            <w:noWrap w:val="false"/>
          </w:tcPr>
          <w:p>
            <w:pPr>
              <w:pStyle w:val="1005"/>
              <w:ind w:left="57" w:right="57"/>
            </w:pPr>
            <w:r>
              <w:t xml:space="preserve">0531966</w:t>
            </w:r>
            <w:r/>
          </w:p>
        </w:tc>
      </w:tr>
      <w:tr>
        <w:trPr/>
        <w:tc>
          <w:tcPr>
            <w:shd w:val="clear" w:fill="auto" w:color="auto"/>
            <w:tcW w:w="771" w:type="dxa"/>
            <w:vMerge w:val="continue"/>
            <w:textDirection w:val="lrTb"/>
            <w:noWrap w:val="false"/>
          </w:tcPr>
          <w:p>
            <w:pPr>
              <w:ind w:left="57" w:right="57" w:firstLine="0"/>
              <w:jc w:val="left"/>
              <w:spacing w:after="60" w:before="60"/>
              <w:rPr>
                <w:sz w:val="22"/>
              </w:rPr>
            </w:pPr>
            <w:r>
              <w:rPr>
                <w:sz w:val="22"/>
              </w:rPr>
            </w:r>
            <w:r/>
          </w:p>
        </w:tc>
        <w:tc>
          <w:tcPr>
            <w:shd w:val="clear" w:fill="auto" w:color="auto"/>
            <w:tcW w:w="7560" w:type="dxa"/>
            <w:textDirection w:val="lrTb"/>
            <w:noWrap w:val="false"/>
          </w:tcPr>
          <w:p>
            <w:pPr>
              <w:pStyle w:val="1005"/>
              <w:ind w:left="57" w:right="57"/>
            </w:pPr>
            <w:r>
              <w:t xml:space="preserve">Выписка из отдельного лицевого счета бюджетного (автономного) учреждения</w:t>
            </w:r>
            <w:r/>
          </w:p>
        </w:tc>
        <w:tc>
          <w:tcPr>
            <w:shd w:val="clear" w:fill="auto" w:color="auto"/>
            <w:tcW w:w="1421" w:type="dxa"/>
            <w:textDirection w:val="lrTb"/>
            <w:noWrap w:val="false"/>
          </w:tcPr>
          <w:p>
            <w:pPr>
              <w:pStyle w:val="1005"/>
              <w:ind w:left="57" w:right="57"/>
            </w:pPr>
            <w:r>
              <w:t xml:space="preserve">0531964</w:t>
            </w:r>
            <w:r/>
          </w:p>
        </w:tc>
      </w:tr>
      <w:tr>
        <w:trPr/>
        <w:tc>
          <w:tcPr>
            <w:shd w:val="clear" w:fill="auto" w:color="auto"/>
            <w:tcW w:w="771" w:type="dxa"/>
            <w:vMerge w:val="restart"/>
            <w:textDirection w:val="lrTb"/>
            <w:noWrap w:val="false"/>
          </w:tcPr>
          <w:p>
            <w:pPr>
              <w:pStyle w:val="1005"/>
              <w:ind w:left="57" w:right="57"/>
            </w:pPr>
            <w:r>
              <w:t xml:space="preserve">41</w:t>
            </w:r>
            <w:r/>
          </w:p>
        </w:tc>
        <w:tc>
          <w:tcPr>
            <w:shd w:val="clear" w:fill="auto" w:color="auto"/>
            <w:tcW w:w="7560" w:type="dxa"/>
            <w:textDirection w:val="lrTb"/>
            <w:noWrap w:val="false"/>
          </w:tcPr>
          <w:p>
            <w:pPr>
              <w:pStyle w:val="1005"/>
              <w:ind w:left="57" w:right="57"/>
            </w:pPr>
            <w:r>
              <w:t xml:space="preserve">Отчет о состоянии лицевого счета для учета операций неучастника бюджетного процесса</w:t>
            </w:r>
            <w:r/>
          </w:p>
        </w:tc>
        <w:tc>
          <w:tcPr>
            <w:shd w:val="clear" w:fill="auto" w:color="auto"/>
            <w:tcW w:w="1421" w:type="dxa"/>
            <w:textDirection w:val="lrTb"/>
            <w:noWrap w:val="false"/>
          </w:tcPr>
          <w:p>
            <w:pPr>
              <w:pStyle w:val="1005"/>
              <w:ind w:left="57" w:right="57"/>
            </w:pPr>
            <w:r>
              <w:t xml:space="preserve">0531837</w:t>
            </w:r>
            <w:r/>
          </w:p>
        </w:tc>
      </w:tr>
      <w:tr>
        <w:trPr/>
        <w:tc>
          <w:tcPr>
            <w:shd w:val="clear" w:fill="auto" w:color="auto"/>
            <w:tcW w:w="771" w:type="dxa"/>
            <w:vMerge w:val="continue"/>
            <w:textDirection w:val="lrTb"/>
            <w:noWrap w:val="false"/>
          </w:tcPr>
          <w:p>
            <w:pPr>
              <w:ind w:left="57" w:right="57" w:firstLine="0"/>
              <w:jc w:val="left"/>
              <w:spacing w:after="60" w:before="60"/>
              <w:rPr>
                <w:sz w:val="22"/>
              </w:rPr>
            </w:pPr>
            <w:r>
              <w:rPr>
                <w:sz w:val="22"/>
              </w:rPr>
            </w:r>
            <w:r/>
          </w:p>
        </w:tc>
        <w:tc>
          <w:tcPr>
            <w:shd w:val="clear" w:fill="auto" w:color="auto"/>
            <w:tcW w:w="7560" w:type="dxa"/>
            <w:textDirection w:val="lrTb"/>
            <w:noWrap w:val="false"/>
          </w:tcPr>
          <w:p>
            <w:pPr>
              <w:pStyle w:val="1005"/>
              <w:ind w:left="57" w:right="57"/>
            </w:pPr>
            <w:r>
              <w:t xml:space="preserve">Выписка из лицевого счета для учета операций неучастника бюджетного </w:t>
            </w:r>
            <w:r>
              <w:t xml:space="preserve">процесса</w:t>
            </w:r>
            <w:r/>
          </w:p>
        </w:tc>
        <w:tc>
          <w:tcPr>
            <w:shd w:val="clear" w:fill="auto" w:color="auto"/>
            <w:tcW w:w="1421" w:type="dxa"/>
            <w:textDirection w:val="lrTb"/>
            <w:noWrap w:val="false"/>
          </w:tcPr>
          <w:p>
            <w:pPr>
              <w:pStyle w:val="1005"/>
              <w:ind w:left="57" w:right="57"/>
            </w:pPr>
            <w:r>
              <w:t xml:space="preserve">0531834</w:t>
            </w:r>
            <w:r/>
          </w:p>
        </w:tc>
      </w:tr>
    </w:tbl>
    <w:p>
      <w:pPr>
        <w:pStyle w:val="994"/>
      </w:pPr>
      <w:r>
        <w:t xml:space="preserve">ЭФ документа «Запрос на предоставление выписки из казначейского счета», закладки «Подписи/Дополнительные атрибуты» представлена на рисунке </w:t>
      </w:r>
      <w:r>
        <w:fldChar w:fldCharType="begin"/>
      </w:r>
      <w:r>
        <w:instrText xml:space="preserve"> REF _Ref364080706 \h  \* MERGEFORMAT </w:instrText>
      </w:r>
      <w:r>
        <w:fldChar w:fldCharType="separate"/>
      </w:r>
      <w:r>
        <w:t xml:space="preserve">247</w:t>
      </w:r>
      <w:r>
        <w:fldChar w:fldCharType="end"/>
      </w:r>
      <w:r>
        <w:t xml:space="preserve">.</w:t>
      </w:r>
      <w:r/>
    </w:p>
    <w:p>
      <w:pPr>
        <w:pStyle w:val="982"/>
      </w:pPr>
      <w:r>
        <mc:AlternateContent>
          <mc:Choice Requires="wpg">
            <w:drawing>
              <wp:inline xmlns:wp="http://schemas.openxmlformats.org/drawingml/2006/wordprocessingDrawing" distT="0" distB="0" distL="0" distR="0">
                <wp:extent cx="6217920" cy="1554480"/>
                <wp:effectExtent l="0" t="0" r="0" b="0"/>
                <wp:docPr id="37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33"/>
                        <a:stretch/>
                      </pic:blipFill>
                      <pic:spPr bwMode="auto">
                        <a:xfrm>
                          <a:off x="0" y="0"/>
                          <a:ext cx="6217920" cy="15544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6" o:spid="_x0000_s376" type="#_x0000_t75" style="mso-wrap-distance-left:0.0pt;mso-wrap-distance-top:0.0pt;mso-wrap-distance-right:0.0pt;mso-wrap-distance-bottom:0.0pt;width:489.6pt;height:122.4pt;" stroked="f">
                <v:path textboxrect="0,0,0,0"/>
                <v:imagedata r:id="rId333" o:title=""/>
              </v:shape>
            </w:pict>
          </mc:Fallback>
        </mc:AlternateContent>
      </w:r>
      <w:r/>
    </w:p>
    <w:p>
      <w:pPr>
        <w:pStyle w:val="983"/>
        <w:numPr>
          <w:ilvl w:val="0"/>
          <w:numId w:val="126"/>
        </w:numPr>
      </w:pPr>
      <w:r>
        <w:fldChar w:fldCharType="begin"/>
      </w:r>
      <w:r>
        <w:instrText xml:space="preserve"> SEQ Рисунок \* ARABIC </w:instrText>
      </w:r>
      <w:r>
        <w:fldChar w:fldCharType="separate"/>
      </w:r>
      <w:bookmarkStart w:id="1721" w:name="_Ref58938045"/>
      <w:r/>
      <w:bookmarkStart w:id="1722" w:name="_Toc58939156"/>
      <w:r/>
      <w:bookmarkStart w:id="1723" w:name="_Toc88819635"/>
      <w:r>
        <w:t xml:space="preserve">250</w:t>
      </w:r>
      <w:bookmarkEnd w:id="1721"/>
      <w:r>
        <w:fldChar w:fldCharType="end"/>
      </w:r>
      <w:r>
        <w:t xml:space="preserve">. ЭФ документа «Запрос на предоставление выписки из казначейского счета», закладки «Подписи/Дополнительные атрибуты»</w:t>
      </w:r>
      <w:bookmarkEnd w:id="1722"/>
      <w:r/>
      <w:bookmarkEnd w:id="1723"/>
      <w:r/>
      <w:r/>
    </w:p>
    <w:p>
      <w:pPr>
        <w:pStyle w:val="994"/>
      </w:pPr>
      <w:r>
        <w:t xml:space="preserve">Перечень полей документа «Запрос на предоставление выписки из казначейского счета», закладки «Подписи/Дополнительные атрибуты» приведен в таблице </w:t>
      </w:r>
      <w:r>
        <w:fldChar w:fldCharType="begin"/>
      </w:r>
      <w:r>
        <w:instrText xml:space="preserve"> REF _Ref58938048 \h </w:instrText>
      </w:r>
      <w:r>
        <w:fldChar w:fldCharType="separate"/>
      </w:r>
      <w:r>
        <w:t xml:space="preserve">141</w:t>
      </w:r>
      <w:r>
        <w:fldChar w:fldCharType="end"/>
      </w:r>
      <w:r>
        <w:t xml:space="preserve">.</w:t>
      </w:r>
      <w:r/>
    </w:p>
    <w:p>
      <w:pPr>
        <w:pStyle w:val="993"/>
        <w:numPr>
          <w:ilvl w:val="0"/>
          <w:numId w:val="129"/>
        </w:numPr>
      </w:pPr>
      <w:r>
        <w:fldChar w:fldCharType="begin"/>
      </w:r>
      <w:r>
        <w:instrText xml:space="preserve"> SEQ Таблица \* ARABIC </w:instrText>
      </w:r>
      <w:r>
        <w:fldChar w:fldCharType="separate"/>
      </w:r>
      <w:bookmarkStart w:id="1724" w:name="_Ref58938048"/>
      <w:r/>
      <w:bookmarkStart w:id="1725" w:name="_Toc58938575"/>
      <w:r/>
      <w:bookmarkStart w:id="1726" w:name="_Toc88819328"/>
      <w:r>
        <w:t xml:space="preserve">141</w:t>
      </w:r>
      <w:bookmarkEnd w:id="1724"/>
      <w:r>
        <w:fldChar w:fldCharType="end"/>
      </w:r>
      <w:r>
        <w:t xml:space="preserve">. Описание полей документа «Запрос на предоставление выписки из казначейского счета», закладки «Подписи/Дополнительные атрибуты»</w:t>
      </w:r>
      <w:bookmarkEnd w:id="1725"/>
      <w:r/>
      <w:bookmarkEnd w:id="1726"/>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576"/>
        <w:gridCol w:w="7176"/>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321"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679" w:type="pct"/>
            <w:vAlign w:val="center"/>
            <w:textDirection w:val="lrTb"/>
            <w:noWrap w:val="false"/>
          </w:tcPr>
          <w:p>
            <w:pPr>
              <w:pStyle w:val="1006"/>
            </w:pPr>
            <w:r>
              <w:t xml:space="preserve">Описание поля</w:t>
            </w:r>
            <w:r/>
          </w:p>
        </w:tc>
      </w:tr>
      <w:tr>
        <w:trPr/>
        <w:tc>
          <w:tcPr>
            <w:shd w:val="clear" w:fill="auto" w:color="auto"/>
            <w:tcW w:w="1321" w:type="pct"/>
            <w:textDirection w:val="lrTb"/>
            <w:noWrap w:val="false"/>
          </w:tcPr>
          <w:p>
            <w:pPr>
              <w:pStyle w:val="1005"/>
              <w:ind w:left="57" w:right="57"/>
            </w:pPr>
            <w:r>
              <w:t xml:space="preserve">Бизнес-статус (код)</w:t>
            </w:r>
            <w:r/>
          </w:p>
        </w:tc>
        <w:tc>
          <w:tcPr>
            <w:shd w:val="clear" w:fill="auto" w:color="auto"/>
            <w:tcW w:w="3679" w:type="pct"/>
            <w:textDirection w:val="lrTb"/>
            <w:noWrap w:val="false"/>
          </w:tcPr>
          <w:p>
            <w:pPr>
              <w:pStyle w:val="1005"/>
              <w:ind w:left="57" w:right="57"/>
            </w:pPr>
            <w:r>
              <w:t xml:space="preserve">Заполняется автоматически при обработке документа или выгружается из OEBS. Значение равно полю «Статус» закладки «Основные атрибуты».</w:t>
            </w:r>
            <w:r/>
          </w:p>
        </w:tc>
      </w:tr>
      <w:tr>
        <w:trPr/>
        <w:tc>
          <w:tcPr>
            <w:shd w:val="clear" w:fill="auto" w:color="auto"/>
            <w:tcW w:w="1321" w:type="pct"/>
            <w:textDirection w:val="lrTb"/>
            <w:noWrap w:val="false"/>
          </w:tcPr>
          <w:p>
            <w:pPr>
              <w:pStyle w:val="1005"/>
              <w:ind w:left="57" w:right="57"/>
            </w:pPr>
            <w:r>
              <w:t xml:space="preserve">Бизнес статус (наименование)</w:t>
            </w:r>
            <w:r/>
          </w:p>
        </w:tc>
        <w:tc>
          <w:tcPr>
            <w:shd w:val="clear" w:fill="auto" w:color="auto"/>
            <w:tcW w:w="3679" w:type="pct"/>
            <w:textDirection w:val="lrTb"/>
            <w:noWrap w:val="false"/>
          </w:tcPr>
          <w:p>
            <w:pPr>
              <w:pStyle w:val="1005"/>
              <w:ind w:left="57" w:right="57"/>
            </w:pPr>
            <w:r>
              <w:t xml:space="preserve">Наименования поля заполняются по коду из справочника «Соответствия типов и статусов».</w:t>
            </w:r>
            <w:r/>
          </w:p>
        </w:tc>
      </w:tr>
      <w:tr>
        <w:trPr/>
        <w:tc>
          <w:tcPr>
            <w:shd w:val="clear" w:fill="auto" w:color="auto"/>
            <w:tcW w:w="1321" w:type="pct"/>
            <w:textDirection w:val="lrTb"/>
            <w:noWrap w:val="false"/>
          </w:tcPr>
          <w:p>
            <w:pPr>
              <w:pStyle w:val="1005"/>
              <w:ind w:left="57" w:right="57"/>
            </w:pPr>
            <w:r>
              <w:t xml:space="preserve">Статус Передачи (код)</w:t>
            </w:r>
            <w:r/>
          </w:p>
        </w:tc>
        <w:tc>
          <w:tcPr>
            <w:shd w:val="clear" w:fill="auto" w:color="auto"/>
            <w:tcW w:w="3679" w:type="pct"/>
            <w:textDirection w:val="lrTb"/>
            <w:noWrap w:val="false"/>
          </w:tcPr>
          <w:p>
            <w:pPr>
              <w:pStyle w:val="1005"/>
              <w:ind w:left="57" w:right="57"/>
            </w:pPr>
            <w:r>
              <w:t xml:space="preserve">Заполняется автоматически при обработке документа или выгружается из OEBS.</w:t>
            </w:r>
            <w:r/>
          </w:p>
        </w:tc>
      </w:tr>
      <w:tr>
        <w:trPr/>
        <w:tc>
          <w:tcPr>
            <w:shd w:val="clear" w:fill="auto" w:color="auto"/>
            <w:tcW w:w="1321" w:type="pct"/>
            <w:textDirection w:val="lrTb"/>
            <w:noWrap w:val="false"/>
          </w:tcPr>
          <w:p>
            <w:pPr>
              <w:pStyle w:val="1005"/>
              <w:ind w:left="57" w:right="57"/>
            </w:pPr>
            <w:r>
              <w:t xml:space="preserve">Статус Передачи (наименование)</w:t>
            </w:r>
            <w:r/>
          </w:p>
        </w:tc>
        <w:tc>
          <w:tcPr>
            <w:shd w:val="clear" w:fill="auto" w:color="auto"/>
            <w:tcW w:w="3679" w:type="pct"/>
            <w:textDirection w:val="lrTb"/>
            <w:noWrap w:val="false"/>
          </w:tcPr>
          <w:p>
            <w:pPr>
              <w:pStyle w:val="1005"/>
              <w:ind w:left="57" w:right="57"/>
            </w:pPr>
            <w:r>
              <w:t xml:space="preserve">Наименования поля заполняются по коду из справочника «Соответствия типов и статусов».</w:t>
            </w:r>
            <w:r/>
          </w:p>
        </w:tc>
      </w:tr>
      <w:tr>
        <w:trPr/>
        <w:tc>
          <w:tcPr>
            <w:shd w:val="clear" w:fill="auto" w:color="auto"/>
            <w:tcW w:w="1321" w:type="pct"/>
            <w:textDirection w:val="lrTb"/>
            <w:noWrap w:val="false"/>
          </w:tcPr>
          <w:p>
            <w:pPr>
              <w:pStyle w:val="1005"/>
              <w:ind w:left="57" w:right="57"/>
            </w:pPr>
            <w:r>
              <w:t xml:space="preserve">Статус утверждения (код)</w:t>
            </w:r>
            <w:r/>
          </w:p>
        </w:tc>
        <w:tc>
          <w:tcPr>
            <w:shd w:val="clear" w:fill="auto" w:color="auto"/>
            <w:tcW w:w="3679" w:type="pct"/>
            <w:textDirection w:val="lrTb"/>
            <w:noWrap w:val="false"/>
          </w:tcPr>
          <w:p>
            <w:pPr>
              <w:pStyle w:val="1005"/>
              <w:ind w:left="57" w:right="57"/>
            </w:pPr>
            <w:r>
              <w:t xml:space="preserve">Заполняется автоматически при обработке документа или выгружается из OEBS.</w:t>
            </w:r>
            <w:r/>
          </w:p>
        </w:tc>
      </w:tr>
      <w:tr>
        <w:trPr/>
        <w:tc>
          <w:tcPr>
            <w:shd w:val="clear" w:fill="auto" w:color="auto"/>
            <w:tcW w:w="1321" w:type="pct"/>
            <w:textDirection w:val="lrTb"/>
            <w:noWrap w:val="false"/>
          </w:tcPr>
          <w:p>
            <w:pPr>
              <w:pStyle w:val="1005"/>
              <w:ind w:left="57" w:right="57"/>
            </w:pPr>
            <w:r>
              <w:t xml:space="preserve">Статус утверждения (наименование)</w:t>
            </w:r>
            <w:r/>
          </w:p>
        </w:tc>
        <w:tc>
          <w:tcPr>
            <w:shd w:val="clear" w:fill="auto" w:color="auto"/>
            <w:tcW w:w="3679" w:type="pct"/>
            <w:textDirection w:val="lrTb"/>
            <w:noWrap w:val="false"/>
          </w:tcPr>
          <w:p>
            <w:pPr>
              <w:pStyle w:val="1005"/>
              <w:ind w:left="57" w:right="57"/>
            </w:pPr>
            <w:r>
              <w:t xml:space="preserve">Наименования поля заполняются по коду из справочника «Соответствия типов и статусов».</w:t>
            </w:r>
            <w:r/>
          </w:p>
        </w:tc>
      </w:tr>
      <w:tr>
        <w:trPr/>
        <w:tc>
          <w:tcPr>
            <w:gridSpan w:val="2"/>
            <w:shd w:val="clear" w:fill="auto" w:color="auto"/>
            <w:tcW w:w="5000" w:type="pct"/>
            <w:textDirection w:val="lrTb"/>
            <w:noWrap w:val="false"/>
          </w:tcPr>
          <w:p>
            <w:pPr>
              <w:pStyle w:val="1005"/>
              <w:ind w:left="57" w:right="57"/>
            </w:pPr>
            <w:r>
              <w:t xml:space="preserve">Группа полей «Руководитель (уполномоченное лицо)»</w:t>
            </w:r>
            <w:r/>
          </w:p>
        </w:tc>
      </w:tr>
      <w:tr>
        <w:trPr/>
        <w:tc>
          <w:tcPr>
            <w:shd w:val="clear" w:fill="auto" w:color="auto"/>
            <w:tcW w:w="1321" w:type="pct"/>
            <w:textDirection w:val="lrTb"/>
            <w:noWrap w:val="false"/>
          </w:tcPr>
          <w:p>
            <w:pPr>
              <w:pStyle w:val="1005"/>
              <w:ind w:left="57" w:right="57"/>
            </w:pPr>
            <w:r>
              <w:t xml:space="preserve">ФИО руководителя (уполномоченное лицо)</w:t>
            </w:r>
            <w:r/>
          </w:p>
          <w:p>
            <w:pPr>
              <w:pStyle w:val="1005"/>
              <w:ind w:left="57" w:right="57"/>
            </w:pPr>
            <w:r/>
            <w:r/>
          </w:p>
        </w:tc>
        <w:tc>
          <w:tcPr>
            <w:shd w:val="clear" w:fill="auto" w:color="auto"/>
            <w:tcW w:w="3679" w:type="pct"/>
            <w:textDirection w:val="lrTb"/>
            <w:noWrap w:val="false"/>
          </w:tcPr>
          <w:p>
            <w:pPr>
              <w:pStyle w:val="1005"/>
              <w:ind w:left="57" w:right="57"/>
            </w:pPr>
            <w:r>
              <w:t xml:space="preserve">Заполняется вручную или выбором из справочника «Список сотрудников».</w:t>
            </w:r>
            <w:r/>
          </w:p>
        </w:tc>
      </w:tr>
      <w:tr>
        <w:trPr/>
        <w:tc>
          <w:tcPr>
            <w:shd w:val="clear" w:fill="auto" w:color="auto"/>
            <w:tcW w:w="1321" w:type="pct"/>
            <w:textDirection w:val="lrTb"/>
            <w:noWrap w:val="false"/>
          </w:tcPr>
          <w:p>
            <w:pPr>
              <w:pStyle w:val="1005"/>
              <w:ind w:left="57" w:right="57"/>
            </w:pPr>
            <w:r>
              <w:t xml:space="preserve">Должность </w:t>
            </w:r>
            <w:r/>
          </w:p>
        </w:tc>
        <w:tc>
          <w:tcPr>
            <w:shd w:val="clear" w:fill="auto" w:color="auto"/>
            <w:tcW w:w="3679" w:type="pct"/>
            <w:textDirection w:val="lrTb"/>
            <w:noWrap w:val="false"/>
          </w:tcPr>
          <w:p>
            <w:pPr>
              <w:pStyle w:val="1005"/>
              <w:ind w:left="57" w:right="57"/>
            </w:pPr>
            <w:r>
              <w:t xml:space="preserve">Заполняется автоматически на основании значения поля «ФИО» из справочника «Список сотрудников». Может быть заполнено вручную.</w:t>
            </w:r>
            <w:r/>
          </w:p>
          <w:p>
            <w:pPr>
              <w:pStyle w:val="1005"/>
              <w:ind w:left="57" w:right="57"/>
            </w:pPr>
            <w:r>
              <w:t xml:space="preserve">Для ОФК: заполняется вручную.</w:t>
            </w:r>
            <w:r/>
          </w:p>
        </w:tc>
      </w:tr>
    </w:tbl>
    <w:p>
      <w:pPr>
        <w:pStyle w:val="972"/>
      </w:pPr>
      <w:r/>
      <w:bookmarkStart w:id="1727" w:name="_Ref480795837"/>
      <w:r/>
      <w:bookmarkStart w:id="1728" w:name="_Toc88819160"/>
      <w:r>
        <w:t xml:space="preserve">Информация о кассовых операциях на лицевых счетах учреждений</w:t>
      </w:r>
      <w:bookmarkEnd w:id="1727"/>
      <w:r/>
      <w:bookmarkEnd w:id="1728"/>
      <w:r/>
      <w:r/>
    </w:p>
    <w:p>
      <w:pPr>
        <w:pStyle w:val="994"/>
      </w:pPr>
      <w:r>
        <w:t xml:space="preserve">ЭД «Информация о кассовых операциях на лицевых счетах учреждений» предназначен для предоставления ОрФК финансовым органам субъектов РФ (МО), органам управления ТГВБФ в качестве копии документа, служащего основанием для отражения кассовых опер</w:t>
      </w:r>
      <w:r>
        <w:t xml:space="preserve">а</w:t>
      </w:r>
      <w:r>
        <w:t xml:space="preserve">ций на л/с УБП, БУ, АУ.</w:t>
      </w:r>
      <w:bookmarkEnd w:id="1707"/>
      <w:r/>
      <w:r/>
    </w:p>
    <w:p>
      <w:pPr>
        <w:pStyle w:val="994"/>
      </w:pPr>
      <w:r>
        <w:t xml:space="preserve">Для работы с документами </w:t>
      </w:r>
      <w:r>
        <w:t xml:space="preserve">«Информация о кассовых операциях на лицевых счетах учреждений» </w:t>
      </w:r>
      <w:r>
        <w:t xml:space="preserve">следует перейти</w:t>
      </w:r>
      <w:r>
        <w:t xml:space="preserve"> в пункте меню «Документы – Оперативная отчетность – Отчеты»</w:t>
      </w:r>
      <w:r>
        <w:t xml:space="preserve">. Откроется ЭФ списка документов</w:t>
      </w:r>
      <w:r>
        <w:t xml:space="preserve">, </w:t>
      </w:r>
      <w:r>
        <w:t xml:space="preserve">представленная на </w:t>
      </w:r>
      <w:r>
        <w:t xml:space="preserve">рисун</w:t>
      </w:r>
      <w:r>
        <w:t xml:space="preserve">ке</w:t>
      </w:r>
      <w:r>
        <w:t xml:space="preserve"> </w:t>
      </w:r>
      <w:r>
        <w:fldChar w:fldCharType="begin"/>
      </w:r>
      <w:r>
        <w:instrText xml:space="preserve"> REF _Ref363741868 \h  \* MERGEFORMAT </w:instrText>
      </w:r>
      <w:r>
        <w:fldChar w:fldCharType="separate"/>
      </w:r>
      <w:r>
        <w:t xml:space="preserve">251</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3474720"/>
                <wp:effectExtent l="0" t="0" r="0" b="0"/>
                <wp:docPr id="37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34"/>
                        <a:stretch/>
                      </pic:blipFill>
                      <pic:spPr bwMode="auto">
                        <a:xfrm>
                          <a:off x="0" y="0"/>
                          <a:ext cx="6118860" cy="34747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7" o:spid="_x0000_s377" type="#_x0000_t75" style="mso-wrap-distance-left:0.0pt;mso-wrap-distance-top:0.0pt;mso-wrap-distance-right:0.0pt;mso-wrap-distance-bottom:0.0pt;width:481.8pt;height:273.6pt;" stroked="f">
                <v:path textboxrect="0,0,0,0"/>
                <v:imagedata r:id="rId334" o:title=""/>
              </v:shape>
            </w:pict>
          </mc:Fallback>
        </mc:AlternateContent>
      </w:r>
      <w:r/>
    </w:p>
    <w:p>
      <w:pPr>
        <w:pStyle w:val="983"/>
      </w:pPr>
      <w:r>
        <w:fldChar w:fldCharType="begin"/>
      </w:r>
      <w:r>
        <w:instrText xml:space="preserve"> SEQ Рисунок \* ARABIC </w:instrText>
      </w:r>
      <w:r>
        <w:fldChar w:fldCharType="separate"/>
      </w:r>
      <w:bookmarkStart w:id="1729" w:name="_Ref363741868"/>
      <w:r/>
      <w:bookmarkStart w:id="1730" w:name="_Toc88819636"/>
      <w:r>
        <w:t xml:space="preserve">251</w:t>
      </w:r>
      <w:bookmarkEnd w:id="1729"/>
      <w:r>
        <w:fldChar w:fldCharType="end"/>
      </w:r>
      <w:r>
        <w:t xml:space="preserve">. ЭФ списка документов «Информация о кассовых операциях на лицевых счетах учреждений»</w:t>
      </w:r>
      <w:bookmarkEnd w:id="1730"/>
      <w:r/>
      <w:r/>
    </w:p>
    <w:p>
      <w:pPr>
        <w:pStyle w:val="973"/>
      </w:pPr>
      <w:r>
        <w:t xml:space="preserve">Доступные операции</w:t>
      </w:r>
      <w:r/>
    </w:p>
    <w:p>
      <w:pPr>
        <w:pStyle w:val="994"/>
      </w:pPr>
      <w:r>
        <w:t xml:space="preserve">На АРМ ФО доступны следующие операции над </w:t>
      </w:r>
      <w:r>
        <w:t xml:space="preserve">документом</w:t>
      </w:r>
      <w:r>
        <w:t xml:space="preserve">:</w:t>
      </w:r>
      <w:r/>
    </w:p>
    <w:p>
      <w:pPr>
        <w:pStyle w:val="985"/>
      </w:pPr>
      <w:r>
        <w:t xml:space="preserve">просмотр;</w:t>
      </w:r>
      <w:r/>
    </w:p>
    <w:p>
      <w:pPr>
        <w:pStyle w:val="985"/>
      </w:pPr>
      <w:r>
        <w:t xml:space="preserve">печать.</w:t>
      </w:r>
      <w:r/>
    </w:p>
    <w:p>
      <w:pPr>
        <w:pStyle w:val="973"/>
      </w:pPr>
      <w:r>
        <w:t xml:space="preserve">Экранная форма документа</w:t>
      </w:r>
      <w:r/>
    </w:p>
    <w:p>
      <w:pPr>
        <w:pStyle w:val="994"/>
      </w:pPr>
      <w:r>
        <w:t xml:space="preserve">ЭФ документа «Информация о кассовых операциях на лицевых счетах учреждений»</w:t>
      </w:r>
      <w:r>
        <w:t xml:space="preserve">, табличного</w:t>
      </w:r>
      <w:r>
        <w:t xml:space="preserve"> пол</w:t>
      </w:r>
      <w:r>
        <w:t xml:space="preserve">я</w:t>
      </w:r>
      <w:r>
        <w:t xml:space="preserve"> «Основные атрибуты» представлена на рисунке </w:t>
      </w:r>
      <w:r>
        <w:fldChar w:fldCharType="begin"/>
      </w:r>
      <w:r>
        <w:instrText xml:space="preserve"> REF _Ref361676555 \h </w:instrText>
      </w:r>
      <w:r>
        <w:instrText xml:space="preserve"> \* MERGEFORMAT </w:instrText>
      </w:r>
      <w:r>
        <w:fldChar w:fldCharType="separate"/>
      </w:r>
      <w:r>
        <w:t xml:space="preserve">252</w:t>
      </w:r>
      <w:r>
        <w:fldChar w:fldCharType="end"/>
      </w:r>
      <w:r>
        <w:t xml:space="preserve">. Форма содержит следующие закладки:</w:t>
      </w:r>
      <w:r/>
    </w:p>
    <w:p>
      <w:pPr>
        <w:pStyle w:val="985"/>
      </w:pPr>
      <w:r>
        <w:t xml:space="preserve">«Заявка на кассовый расход»;</w:t>
      </w:r>
      <w:r/>
    </w:p>
    <w:p>
      <w:pPr>
        <w:pStyle w:val="985"/>
      </w:pPr>
      <w:r>
        <w:t xml:space="preserve">«Заявка на кассовый расход </w:t>
      </w:r>
      <w:r>
        <w:t xml:space="preserve">(</w:t>
      </w:r>
      <w:r>
        <w:t xml:space="preserve">сокращенная</w:t>
      </w:r>
      <w:r>
        <w:t xml:space="preserve">)</w:t>
      </w:r>
      <w:r>
        <w:t xml:space="preserve">»;</w:t>
      </w:r>
      <w:r/>
    </w:p>
    <w:p>
      <w:pPr>
        <w:pStyle w:val="985"/>
      </w:pPr>
      <w:r>
        <w:t xml:space="preserve">«Заявка на получение наличных денег»;</w:t>
      </w:r>
      <w:r/>
    </w:p>
    <w:p>
      <w:pPr>
        <w:pStyle w:val="985"/>
      </w:pPr>
      <w:r>
        <w:t xml:space="preserve">«Заявка на получение наличных денег, перечисляемых на карту»;</w:t>
      </w:r>
      <w:r/>
    </w:p>
    <w:p>
      <w:pPr>
        <w:pStyle w:val="985"/>
      </w:pPr>
      <w:r>
        <w:t xml:space="preserve">«Заявка на возврат»;</w:t>
      </w:r>
      <w:r/>
    </w:p>
    <w:p>
      <w:pPr>
        <w:pStyle w:val="985"/>
      </w:pPr>
      <w:r>
        <w:t xml:space="preserve">«</w:t>
      </w:r>
      <w:r>
        <w:t xml:space="preserve">Бухгалтерская справка ф. 0504833</w:t>
      </w:r>
      <w:r>
        <w:t xml:space="preserve">»;</w:t>
      </w:r>
      <w:r/>
    </w:p>
    <w:p>
      <w:pPr>
        <w:pStyle w:val="985"/>
      </w:pPr>
      <w:r>
        <w:t xml:space="preserve">«Уведомление об уточнении операций клиента»;</w:t>
      </w:r>
      <w:r/>
    </w:p>
    <w:p>
      <w:pPr>
        <w:pStyle w:val="985"/>
      </w:pPr>
      <w:r>
        <w:t xml:space="preserve">«Уведомление об уточнении вида и принадлежности платежа»;</w:t>
      </w:r>
      <w:r/>
    </w:p>
    <w:p>
      <w:pPr>
        <w:pStyle w:val="985"/>
      </w:pPr>
      <w:r>
        <w:t xml:space="preserve">«Платёжное поручение»;</w:t>
      </w:r>
      <w:r/>
    </w:p>
    <w:p>
      <w:pPr>
        <w:pStyle w:val="985"/>
      </w:pPr>
      <w:r>
        <w:t xml:space="preserve">«Сво</w:t>
      </w:r>
      <w:r>
        <w:t xml:space="preserve">дная заявка на кассовый расход»;</w:t>
      </w:r>
      <w:r/>
    </w:p>
    <w:p>
      <w:pPr>
        <w:pStyle w:val="985"/>
      </w:pPr>
      <w:r>
        <w:t xml:space="preserve">«Распоряжение о перечислении денежных средств на банковские карты «Мир» фи-</w:t>
      </w:r>
      <w:r>
        <w:rPr>
          <w:rStyle w:val="1400"/>
          <w:lang w:val="ru-RU"/>
        </w:rPr>
        <w:t xml:space="preserve">зических</w:t>
      </w:r>
      <w:r>
        <w:t xml:space="preserve"> лиц»;</w:t>
      </w:r>
      <w:r/>
    </w:p>
    <w:p>
      <w:pPr>
        <w:pStyle w:val="985"/>
      </w:pPr>
      <w:r>
        <w:tab/>
        <w:t xml:space="preserve">«Извещение об исполнении распоряжения о перечислении денежных средств на банковские карты «Мир» физических лиц».</w:t>
      </w:r>
      <w:r/>
    </w:p>
    <w:p>
      <w:pPr>
        <w:pStyle w:val="982"/>
      </w:pPr>
      <w:r>
        <mc:AlternateContent>
          <mc:Choice Requires="wpg">
            <w:drawing>
              <wp:inline xmlns:wp="http://schemas.openxmlformats.org/drawingml/2006/wordprocessingDrawing" distT="0" distB="0" distL="0" distR="0">
                <wp:extent cx="6126480" cy="2011680"/>
                <wp:effectExtent l="0" t="0" r="0" b="0"/>
                <wp:docPr id="37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35"/>
                        <a:stretch/>
                      </pic:blipFill>
                      <pic:spPr bwMode="auto">
                        <a:xfrm>
                          <a:off x="0" y="0"/>
                          <a:ext cx="6126480" cy="20116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8" o:spid="_x0000_s378" type="#_x0000_t75" style="mso-wrap-distance-left:0.0pt;mso-wrap-distance-top:0.0pt;mso-wrap-distance-right:0.0pt;mso-wrap-distance-bottom:0.0pt;width:482.4pt;height:158.4pt;" stroked="f">
                <v:path textboxrect="0,0,0,0"/>
                <v:imagedata r:id="rId335" o:title=""/>
              </v:shape>
            </w:pict>
          </mc:Fallback>
        </mc:AlternateContent>
      </w:r>
      <w:r/>
    </w:p>
    <w:p>
      <w:pPr>
        <w:pStyle w:val="983"/>
      </w:pPr>
      <w:r>
        <w:fldChar w:fldCharType="begin"/>
      </w:r>
      <w:r>
        <w:instrText xml:space="preserve"> SEQ Рисунок \* ARABIC </w:instrText>
      </w:r>
      <w:r>
        <w:fldChar w:fldCharType="separate"/>
      </w:r>
      <w:bookmarkStart w:id="1731" w:name="_Ref361676555"/>
      <w:r/>
      <w:bookmarkStart w:id="1732" w:name="_Toc88819637"/>
      <w:r>
        <w:t xml:space="preserve">252</w:t>
      </w:r>
      <w:bookmarkEnd w:id="1731"/>
      <w:r>
        <w:fldChar w:fldCharType="end"/>
      </w:r>
      <w:r>
        <w:t xml:space="preserve">. ЭФ документа «Информация о кассовых операциях на лицевых счетах учрежде</w:t>
      </w:r>
      <w:r>
        <w:t xml:space="preserve">ний», т</w:t>
      </w:r>
      <w:r>
        <w:t xml:space="preserve">аблично</w:t>
      </w:r>
      <w:r>
        <w:t xml:space="preserve">го поля</w:t>
      </w:r>
      <w:r>
        <w:t xml:space="preserve"> «Основные атрибуты»</w:t>
      </w:r>
      <w:bookmarkEnd w:id="1732"/>
      <w:r/>
      <w:r/>
    </w:p>
    <w:p>
      <w:pPr>
        <w:pStyle w:val="994"/>
      </w:pPr>
      <w:r>
        <w:t xml:space="preserve">В таблично</w:t>
      </w:r>
      <w:r>
        <w:t xml:space="preserve">м поле «Основные атрибуты» (см.</w:t>
      </w:r>
      <w:r>
        <w:t xml:space="preserve"> </w:t>
      </w:r>
      <w:r>
        <w:t xml:space="preserve">рис. </w:t>
      </w:r>
      <w:r>
        <w:fldChar w:fldCharType="begin"/>
      </w:r>
      <w:r>
        <w:instrText xml:space="preserve"> REF _Ref361676555 \h  \* MERGEFORMAT </w:instrText>
      </w:r>
      <w:r>
        <w:fldChar w:fldCharType="separate"/>
      </w:r>
      <w:r>
        <w:t xml:space="preserve">252</w:t>
      </w:r>
      <w:r>
        <w:fldChar w:fldCharType="end"/>
      </w:r>
      <w:r>
        <w:t xml:space="preserve">) показана общая информация о документе.</w:t>
      </w:r>
      <w:r>
        <w:t xml:space="preserve"> </w:t>
      </w:r>
      <w:r>
        <w:t xml:space="preserve">Значения полей передаются из OEBS и недо</w:t>
      </w:r>
      <w:r>
        <w:t xml:space="preserve">ступны для редактирования.</w:t>
      </w:r>
      <w:r/>
    </w:p>
    <w:p>
      <w:pPr>
        <w:pStyle w:val="994"/>
      </w:pPr>
      <w:r>
        <w:t xml:space="preserve">Перечень полей документа «Информация о кассовых операциях на лицевых счетах </w:t>
      </w:r>
      <w:r>
        <w:t xml:space="preserve">учрежд</w:t>
      </w:r>
      <w:r>
        <w:t xml:space="preserve">е</w:t>
      </w:r>
      <w:r>
        <w:t xml:space="preserve">ний», т</w:t>
      </w:r>
      <w:r>
        <w:t xml:space="preserve">аблично</w:t>
      </w:r>
      <w:r>
        <w:t xml:space="preserve">го поля</w:t>
      </w:r>
      <w:r>
        <w:t xml:space="preserve"> «Основные атрибуты»</w:t>
      </w:r>
      <w:r>
        <w:t xml:space="preserve"> </w:t>
      </w:r>
      <w:r>
        <w:t xml:space="preserve">приведен в таблице</w:t>
      </w:r>
      <w:r>
        <w:t xml:space="preserve"> </w:t>
      </w:r>
      <w:r>
        <w:fldChar w:fldCharType="begin"/>
      </w:r>
      <w:r>
        <w:instrText xml:space="preserve"> REF _Ref372023134 \h  \* MERGEFORMAT </w:instrText>
      </w:r>
      <w:r>
        <w:fldChar w:fldCharType="separate"/>
      </w:r>
      <w:r>
        <w:t xml:space="preserve">142</w:t>
      </w:r>
      <w:r>
        <w:fldChar w:fldCharType="end"/>
      </w:r>
      <w:r>
        <w:t xml:space="preserve">. </w:t>
      </w:r>
      <w:r/>
    </w:p>
    <w:p>
      <w:pPr>
        <w:pStyle w:val="993"/>
      </w:pPr>
      <w:r>
        <w:fldChar w:fldCharType="begin"/>
      </w:r>
      <w:r>
        <w:instrText xml:space="preserve"> SEQ Таблица \* ARABIC </w:instrText>
      </w:r>
      <w:r>
        <w:fldChar w:fldCharType="separate"/>
      </w:r>
      <w:bookmarkStart w:id="1733" w:name="_Ref372023134"/>
      <w:r/>
      <w:bookmarkStart w:id="1734" w:name="_Toc88819329"/>
      <w:r>
        <w:t xml:space="preserve">142</w:t>
      </w:r>
      <w:bookmarkEnd w:id="1733"/>
      <w:r>
        <w:fldChar w:fldCharType="end"/>
      </w:r>
      <w:r>
        <w:t xml:space="preserve">. Описание полей документа «Информация о кассовых операциях на лицевых счетах </w:t>
      </w:r>
      <w:r>
        <w:t xml:space="preserve">учрежд</w:t>
      </w:r>
      <w:r>
        <w:t xml:space="preserve">ений», табличного поля «Основные атрибуты»</w:t>
      </w:r>
      <w:bookmarkEnd w:id="1734"/>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600"/>
        <w:gridCol w:w="6152"/>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846"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154" w:type="pct"/>
            <w:vAlign w:val="center"/>
            <w:textDirection w:val="lrTb"/>
            <w:noWrap w:val="false"/>
          </w:tcPr>
          <w:p>
            <w:pPr>
              <w:pStyle w:val="1006"/>
            </w:pPr>
            <w:r>
              <w:t xml:space="preserve">Описание поля</w:t>
            </w:r>
            <w:r/>
          </w:p>
        </w:tc>
      </w:tr>
      <w:tr>
        <w:trPr/>
        <w:tc>
          <w:tcPr>
            <w:shd w:val="clear" w:fill="auto" w:color="auto"/>
            <w:tcW w:w="1846" w:type="pct"/>
            <w:textDirection w:val="lrTb"/>
            <w:noWrap w:val="false"/>
          </w:tcPr>
          <w:p>
            <w:pPr>
              <w:pStyle w:val="1005"/>
              <w:ind w:left="57" w:right="57"/>
            </w:pPr>
            <w:r>
              <w:t xml:space="preserve">Дата документа</w:t>
            </w:r>
            <w:r/>
          </w:p>
        </w:tc>
        <w:tc>
          <w:tcPr>
            <w:shd w:val="clear" w:fill="auto" w:color="auto"/>
            <w:tcW w:w="315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«Основные атрибуты»</w:t>
            </w:r>
            <w:r/>
          </w:p>
        </w:tc>
      </w:tr>
      <w:tr>
        <w:trPr/>
        <w:tc>
          <w:tcPr>
            <w:shd w:val="clear" w:fill="auto" w:color="auto"/>
            <w:tcW w:w="1846" w:type="pct"/>
            <w:textDirection w:val="lrTb"/>
            <w:noWrap w:val="false"/>
          </w:tcPr>
          <w:p>
            <w:pPr>
              <w:pStyle w:val="1005"/>
              <w:ind w:left="57" w:right="57"/>
            </w:pPr>
            <w:r>
              <w:t xml:space="preserve">ИНН</w:t>
            </w:r>
            <w:r/>
          </w:p>
        </w:tc>
        <w:tc>
          <w:tcPr>
            <w:shd w:val="clear" w:fill="auto" w:color="auto"/>
            <w:tcW w:w="315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846" w:type="pct"/>
            <w:textDirection w:val="lrTb"/>
            <w:noWrap w:val="false"/>
          </w:tcPr>
          <w:p>
            <w:pPr>
              <w:pStyle w:val="1005"/>
              <w:ind w:left="57" w:right="57"/>
            </w:pPr>
            <w:r>
              <w:t xml:space="preserve">КПП</w:t>
            </w:r>
            <w:r/>
          </w:p>
        </w:tc>
        <w:tc>
          <w:tcPr>
            <w:shd w:val="clear" w:fill="auto" w:color="auto"/>
            <w:tcW w:w="315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846" w:type="pct"/>
            <w:textDirection w:val="lrTb"/>
            <w:noWrap w:val="false"/>
          </w:tcPr>
          <w:p>
            <w:pPr>
              <w:pStyle w:val="1005"/>
              <w:ind w:left="57" w:right="57"/>
            </w:pPr>
            <w:r>
              <w:t xml:space="preserve">Наименование клиента</w:t>
            </w:r>
            <w:r/>
          </w:p>
        </w:tc>
        <w:tc>
          <w:tcPr>
            <w:shd w:val="clear" w:fill="auto" w:color="auto"/>
            <w:tcW w:w="315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846" w:type="pct"/>
            <w:textDirection w:val="lrTb"/>
            <w:noWrap w:val="false"/>
          </w:tcPr>
          <w:p>
            <w:pPr>
              <w:pStyle w:val="1005"/>
              <w:ind w:left="57" w:right="57"/>
            </w:pPr>
            <w:r>
              <w:t xml:space="preserve">Номер лицевого счета</w:t>
            </w:r>
            <w:r/>
          </w:p>
        </w:tc>
        <w:tc>
          <w:tcPr>
            <w:shd w:val="clear" w:fill="auto" w:color="auto"/>
            <w:tcW w:w="315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846" w:type="pct"/>
            <w:textDirection w:val="lrTb"/>
            <w:noWrap w:val="false"/>
          </w:tcPr>
          <w:p>
            <w:pPr>
              <w:pStyle w:val="1005"/>
              <w:ind w:left="57" w:right="57"/>
            </w:pPr>
            <w:r>
              <w:t xml:space="preserve">Дата отчета</w:t>
            </w:r>
            <w:r/>
          </w:p>
        </w:tc>
        <w:tc>
          <w:tcPr>
            <w:shd w:val="clear" w:fill="auto" w:color="auto"/>
            <w:tcW w:w="3154" w:type="pct"/>
            <w:textDirection w:val="lrTb"/>
            <w:noWrap w:val="false"/>
          </w:tcPr>
          <w:p>
            <w:pPr>
              <w:pStyle w:val="1005"/>
              <w:ind w:left="57" w:right="57"/>
            </w:pPr>
            <w:r>
              <w:t xml:space="preserve">Дата, за которую прилагается информация из документов </w:t>
            </w:r>
            <w:r>
              <w:t xml:space="preserve">казначейского </w:t>
            </w:r>
            <w:r>
              <w:t xml:space="preserve">обслуживания.</w:t>
            </w:r>
            <w:r/>
          </w:p>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846" w:type="pct"/>
            <w:textDirection w:val="lrTb"/>
            <w:noWrap w:val="false"/>
          </w:tcPr>
          <w:p>
            <w:pPr>
              <w:pStyle w:val="1005"/>
              <w:ind w:left="57" w:right="57"/>
            </w:pPr>
            <w:r>
              <w:t xml:space="preserve">Наименование бюджета</w:t>
            </w:r>
            <w:r/>
          </w:p>
        </w:tc>
        <w:tc>
          <w:tcPr>
            <w:shd w:val="clear" w:fill="auto" w:color="auto"/>
            <w:tcW w:w="315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846" w:type="pct"/>
            <w:textDirection w:val="lrTb"/>
            <w:noWrap w:val="false"/>
          </w:tcPr>
          <w:p>
            <w:pPr>
              <w:pStyle w:val="1005"/>
              <w:ind w:left="57" w:right="57"/>
            </w:pPr>
            <w:r>
              <w:t xml:space="preserve">Наименование финансового органа</w:t>
            </w:r>
            <w:r/>
          </w:p>
        </w:tc>
        <w:tc>
          <w:tcPr>
            <w:shd w:val="clear" w:fill="auto" w:color="auto"/>
            <w:tcW w:w="315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846" w:type="pct"/>
            <w:textDirection w:val="lrTb"/>
            <w:noWrap w:val="false"/>
          </w:tcPr>
          <w:p>
            <w:pPr>
              <w:pStyle w:val="1005"/>
              <w:ind w:left="57" w:right="57"/>
            </w:pPr>
            <w:r>
              <w:t xml:space="preserve">Количество документов</w:t>
            </w:r>
            <w:r/>
          </w:p>
        </w:tc>
        <w:tc>
          <w:tcPr>
            <w:shd w:val="clear" w:fill="auto" w:color="auto"/>
            <w:tcW w:w="315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846" w:type="pct"/>
            <w:textDirection w:val="lrTb"/>
            <w:noWrap w:val="false"/>
          </w:tcPr>
          <w:p>
            <w:pPr>
              <w:pStyle w:val="1005"/>
              <w:ind w:left="57" w:right="57"/>
            </w:pPr>
            <w:r>
              <w:t xml:space="preserve">Глобальный идентификатор</w:t>
            </w:r>
            <w:r/>
          </w:p>
        </w:tc>
        <w:tc>
          <w:tcPr>
            <w:shd w:val="clear" w:fill="auto" w:color="auto"/>
            <w:tcW w:w="3154" w:type="pct"/>
            <w:textDirection w:val="lrTb"/>
            <w:noWrap w:val="false"/>
          </w:tcPr>
          <w:p>
            <w:pPr>
              <w:pStyle w:val="1005"/>
              <w:ind w:left="57" w:right="57"/>
            </w:pPr>
            <w:r>
              <w:t xml:space="preserve">Заполняется соответствующим значением, выгруженным из ППО OEBS АСФК.</w:t>
            </w:r>
            <w:r/>
          </w:p>
        </w:tc>
      </w:tr>
    </w:tbl>
    <w:p>
      <w:pPr>
        <w:pStyle w:val="994"/>
      </w:pPr>
      <w:r>
        <w:t xml:space="preserve">ЭФ документа «Информация о кассовых операциях на лицевых счетах учреждений</w:t>
      </w:r>
      <w:r>
        <w:t xml:space="preserve">», закладки «</w:t>
      </w:r>
      <w:r>
        <w:t xml:space="preserve">Заявка на кассовый расход» </w:t>
      </w:r>
      <w:r>
        <w:t xml:space="preserve">представлена на рисунке </w:t>
      </w:r>
      <w:r>
        <w:fldChar w:fldCharType="begin"/>
      </w:r>
      <w:r>
        <w:instrText xml:space="preserve"> REF _Ref404853470 \h </w:instrText>
      </w:r>
      <w:r>
        <w:fldChar w:fldCharType="separate"/>
      </w:r>
      <w:r>
        <w:t xml:space="preserve">253</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3840480"/>
                <wp:effectExtent l="0" t="0" r="0" b="0"/>
                <wp:docPr id="38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36"/>
                        <a:stretch/>
                      </pic:blipFill>
                      <pic:spPr bwMode="auto">
                        <a:xfrm>
                          <a:off x="0" y="0"/>
                          <a:ext cx="6118860" cy="38404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9" o:spid="_x0000_s379" type="#_x0000_t75" style="mso-wrap-distance-left:0.0pt;mso-wrap-distance-top:0.0pt;mso-wrap-distance-right:0.0pt;mso-wrap-distance-bottom:0.0pt;width:481.8pt;height:302.4pt;" stroked="f">
                <v:path textboxrect="0,0,0,0"/>
                <v:imagedata r:id="rId336" o:title=""/>
              </v:shape>
            </w:pict>
          </mc:Fallback>
        </mc:AlternateContent>
      </w:r>
      <w:r/>
    </w:p>
    <w:p>
      <w:pPr>
        <w:pStyle w:val="983"/>
      </w:pPr>
      <w:r>
        <w:fldChar w:fldCharType="begin"/>
      </w:r>
      <w:r>
        <w:instrText xml:space="preserve"> SEQ Рисунок \* ARABIC </w:instrText>
      </w:r>
      <w:r>
        <w:fldChar w:fldCharType="separate"/>
      </w:r>
      <w:bookmarkStart w:id="1735" w:name="_Ref404853470"/>
      <w:r/>
      <w:bookmarkStart w:id="1736" w:name="_Toc88819638"/>
      <w:r>
        <w:t xml:space="preserve">253</w:t>
      </w:r>
      <w:bookmarkEnd w:id="1735"/>
      <w:r>
        <w:fldChar w:fldCharType="end"/>
      </w:r>
      <w:r>
        <w:t xml:space="preserve">. ЭФ документа «Информация о кассовых операциях на лицевых счетах учреждений</w:t>
      </w:r>
      <w:r>
        <w:t xml:space="preserve">», закладки «</w:t>
      </w:r>
      <w:r>
        <w:t xml:space="preserve">Заявка на кассовый расход»</w:t>
      </w:r>
      <w:bookmarkEnd w:id="1736"/>
      <w:r/>
      <w:r/>
    </w:p>
    <w:p>
      <w:pPr>
        <w:pStyle w:val="994"/>
      </w:pPr>
      <w:r>
        <w:t xml:space="preserve">Перечень полей документа «Информация о кассовых операциях на лицевых счетах учреждений</w:t>
      </w:r>
      <w:r>
        <w:t xml:space="preserve">», закладки «</w:t>
      </w:r>
      <w:r>
        <w:t xml:space="preserve">Заявка на кассовый расход» </w:t>
      </w:r>
      <w:r>
        <w:t xml:space="preserve">приведен</w:t>
      </w:r>
      <w:r>
        <w:t xml:space="preserve"> </w:t>
      </w:r>
      <w:r>
        <w:t xml:space="preserve">в таблице</w:t>
      </w:r>
      <w:r>
        <w:t xml:space="preserve"> </w:t>
      </w:r>
      <w:r>
        <w:fldChar w:fldCharType="begin"/>
      </w:r>
      <w:r>
        <w:instrText xml:space="preserve"> REF _Ref372023560 \h </w:instrText>
      </w:r>
      <w:r>
        <w:instrText xml:space="preserve"> \* MERGEFORMAT </w:instrText>
      </w:r>
      <w:r>
        <w:fldChar w:fldCharType="separate"/>
      </w:r>
      <w:r>
        <w:t xml:space="preserve">143</w:t>
      </w:r>
      <w:r>
        <w:fldChar w:fldCharType="end"/>
      </w:r>
      <w:r>
        <w:t xml:space="preserve">.</w:t>
      </w:r>
      <w:r/>
    </w:p>
    <w:p>
      <w:pPr>
        <w:pStyle w:val="993"/>
      </w:pPr>
      <w:r>
        <w:fldChar w:fldCharType="begin"/>
      </w:r>
      <w:r>
        <w:instrText xml:space="preserve"> SEQ Таблица \* ARABIC </w:instrText>
      </w:r>
      <w:r>
        <w:fldChar w:fldCharType="separate"/>
      </w:r>
      <w:bookmarkStart w:id="1737" w:name="_Ref372023560"/>
      <w:r/>
      <w:bookmarkStart w:id="1738" w:name="_Toc88819330"/>
      <w:r>
        <w:t xml:space="preserve">143</w:t>
      </w:r>
      <w:bookmarkEnd w:id="1737"/>
      <w:r>
        <w:fldChar w:fldCharType="end"/>
      </w:r>
      <w:r>
        <w:t xml:space="preserve">. Описание полей документа «Информация о кассовых операциях на лицевых счетах учреждений</w:t>
      </w:r>
      <w:r>
        <w:t xml:space="preserve">», закладки «</w:t>
      </w:r>
      <w:r>
        <w:t xml:space="preserve">Заявка на кассовый расход»</w:t>
      </w:r>
      <w:bookmarkEnd w:id="173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4673"/>
        <w:gridCol w:w="5079"/>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396"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604"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Заявка на кассовый расход</w:t>
            </w:r>
            <w:r>
              <w:t xml:space="preserve">»</w:t>
            </w:r>
            <w:r/>
          </w:p>
        </w:tc>
      </w:tr>
      <w:tr>
        <w:trPr/>
        <w:tc>
          <w:tcPr>
            <w:shd w:val="clear" w:fill="auto" w:color="auto"/>
            <w:tcW w:w="2396" w:type="pct"/>
            <w:textDirection w:val="lrTb"/>
            <w:noWrap w:val="false"/>
          </w:tcPr>
          <w:p>
            <w:pPr>
              <w:pStyle w:val="1005"/>
              <w:ind w:left="57" w:right="57"/>
            </w:pPr>
            <w:r>
              <w:t xml:space="preserve">Номер заявки</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Дата заявки</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Наименование клиента</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Номер лицевого счета клиента</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Сумма документа в валюте выплаты</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Назначение платежа</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Наименование / ФИО контрагента</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ИНН контрагента</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КПП контрагента</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Лицевой счет контрагента</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Банковский счет контрагента</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Наименование банка контрагента</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БИК банка контрагента</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Корсчет банка контрагента</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«Реквизиты документа-основания (Вложенная таблица)»</w:t>
            </w:r>
            <w:r/>
          </w:p>
        </w:tc>
      </w:tr>
      <w:tr>
        <w:trPr/>
        <w:tc>
          <w:tcPr>
            <w:shd w:val="clear" w:fill="auto" w:color="auto"/>
            <w:tcW w:w="2396" w:type="pct"/>
            <w:textDirection w:val="lrTb"/>
            <w:noWrap w:val="false"/>
          </w:tcPr>
          <w:p>
            <w:pPr>
              <w:pStyle w:val="1005"/>
              <w:ind w:left="57" w:right="57"/>
            </w:pPr>
            <w:r>
              <w:t xml:space="preserve">Вид</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Номер</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Дата</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Предмет</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«Расшифровка заявки на кассовый расход (Вложенная таблица)»</w:t>
            </w:r>
            <w:r/>
          </w:p>
        </w:tc>
      </w:tr>
      <w:tr>
        <w:trPr/>
        <w:tc>
          <w:tcPr>
            <w:shd w:val="clear" w:fill="auto" w:color="auto"/>
            <w:tcW w:w="2396" w:type="pct"/>
            <w:textDirection w:val="lrTb"/>
            <w:noWrap w:val="false"/>
          </w:tcPr>
          <w:p>
            <w:pPr>
              <w:pStyle w:val="1005"/>
              <w:ind w:left="57" w:right="57"/>
            </w:pPr>
            <w:r>
              <w:t xml:space="preserve">№</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Вид средств (код)</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Наименование вида средств</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Код по БК плательщика</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Код главы</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ФКР</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КЦСР</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w:t>
            </w:r>
            <w:r>
              <w:t xml:space="preserve">женным из ППО OEBS АСФК.</w:t>
            </w:r>
            <w:r/>
          </w:p>
        </w:tc>
      </w:tr>
      <w:tr>
        <w:trPr/>
        <w:tc>
          <w:tcPr>
            <w:shd w:val="clear" w:fill="auto" w:color="auto"/>
            <w:tcW w:w="2396" w:type="pct"/>
            <w:textDirection w:val="lrTb"/>
            <w:noWrap w:val="false"/>
          </w:tcPr>
          <w:p>
            <w:pPr>
              <w:pStyle w:val="1005"/>
              <w:ind w:left="57" w:right="57"/>
            </w:pPr>
            <w:r>
              <w:t xml:space="preserve">КВР</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КОСГУ</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rHeight w:val="451"/>
        </w:trPr>
        <w:tc>
          <w:tcPr>
            <w:shd w:val="clear" w:fill="auto" w:color="auto"/>
            <w:tcW w:w="2396" w:type="pct"/>
            <w:textDirection w:val="lrTb"/>
            <w:noWrap w:val="false"/>
          </w:tcPr>
          <w:p>
            <w:pPr>
              <w:pStyle w:val="1005"/>
              <w:ind w:left="57" w:right="57"/>
            </w:pPr>
            <w:r>
              <w:t xml:space="preserve">КЦ (аналит. </w:t>
            </w:r>
            <w:r>
              <w:t xml:space="preserve">К</w:t>
            </w:r>
            <w:r>
              <w:t xml:space="preserve">од)</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Код цели (наименование)</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Код по БК получателя</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Код главы</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ФКР</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КЦСР</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КВР</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КОСГУ</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Код цели получателя</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Код цели получателя (наименование)</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Сумма в вал. </w:t>
            </w:r>
            <w:r>
              <w:t xml:space="preserve">З</w:t>
            </w:r>
            <w:r>
              <w:t xml:space="preserve">аявки</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Сумма в рублях</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Назначение платежа</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96" w:type="pct"/>
            <w:textDirection w:val="lrTb"/>
            <w:noWrap w:val="false"/>
          </w:tcPr>
          <w:p>
            <w:pPr>
              <w:pStyle w:val="1005"/>
              <w:ind w:left="57" w:right="57"/>
            </w:pPr>
            <w:r>
              <w:t xml:space="preserve">Примечание</w:t>
            </w:r>
            <w:r/>
          </w:p>
        </w:tc>
        <w:tc>
          <w:tcPr>
            <w:shd w:val="clear" w:fill="auto" w:color="auto"/>
            <w:tcW w:w="2604" w:type="pct"/>
            <w:textDirection w:val="lrTb"/>
            <w:noWrap w:val="false"/>
          </w:tcPr>
          <w:p>
            <w:pPr>
              <w:pStyle w:val="1005"/>
              <w:ind w:left="57" w:right="57"/>
            </w:pPr>
            <w:r>
              <w:t xml:space="preserve">Заполняется соответствующим значением, выгруженным из ППО OEBS АСФК.</w:t>
            </w:r>
            <w:r/>
          </w:p>
        </w:tc>
      </w:tr>
    </w:tbl>
    <w:p>
      <w:pPr>
        <w:pStyle w:val="994"/>
      </w:pPr>
      <w:r>
        <w:t xml:space="preserve">ЭФ документа «Информация о кассовых операциях на лицевых счетах учреждений</w:t>
      </w:r>
      <w:r>
        <w:t xml:space="preserve">», закладки «</w:t>
      </w:r>
      <w:r>
        <w:t xml:space="preserve">Заявка на кассовый расход</w:t>
      </w:r>
      <w:r>
        <w:t xml:space="preserve"> (сокращенная)</w:t>
      </w:r>
      <w:r>
        <w:t xml:space="preserve">» представлена на рисунке</w:t>
      </w:r>
      <w:r>
        <w:t xml:space="preserve"> </w:t>
      </w:r>
      <w:r>
        <w:fldChar w:fldCharType="begin"/>
      </w:r>
      <w:r>
        <w:instrText xml:space="preserve"> REF _Ref404853634 \h </w:instrText>
      </w:r>
      <w:r>
        <w:fldChar w:fldCharType="separate"/>
      </w:r>
      <w:r>
        <w:t xml:space="preserve">254</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1280160"/>
                <wp:effectExtent l="0" t="0" r="0" b="0"/>
                <wp:docPr id="38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37"/>
                        <a:stretch/>
                      </pic:blipFill>
                      <pic:spPr bwMode="auto">
                        <a:xfrm>
                          <a:off x="0" y="0"/>
                          <a:ext cx="6118860" cy="12801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0" o:spid="_x0000_s380" type="#_x0000_t75" style="mso-wrap-distance-left:0.0pt;mso-wrap-distance-top:0.0pt;mso-wrap-distance-right:0.0pt;mso-wrap-distance-bottom:0.0pt;width:481.8pt;height:100.8pt;" stroked="f">
                <v:path textboxrect="0,0,0,0"/>
                <v:imagedata r:id="rId337" o:title=""/>
              </v:shape>
            </w:pict>
          </mc:Fallback>
        </mc:AlternateContent>
      </w:r>
      <w:r/>
    </w:p>
    <w:p>
      <w:pPr>
        <w:pStyle w:val="983"/>
      </w:pPr>
      <w:r>
        <w:fldChar w:fldCharType="begin"/>
      </w:r>
      <w:r>
        <w:instrText xml:space="preserve"> SEQ Рисунок \* ARABIC </w:instrText>
      </w:r>
      <w:r>
        <w:fldChar w:fldCharType="separate"/>
      </w:r>
      <w:bookmarkStart w:id="1739" w:name="_Ref404853634"/>
      <w:r/>
      <w:bookmarkStart w:id="1740" w:name="_Toc88819639"/>
      <w:r>
        <w:t xml:space="preserve">254</w:t>
      </w:r>
      <w:bookmarkEnd w:id="1739"/>
      <w:r>
        <w:fldChar w:fldCharType="end"/>
      </w:r>
      <w:r>
        <w:t xml:space="preserve">. ЭФ документа «Информация о кассовых операциях на лицевых счетах учреждений</w:t>
      </w:r>
      <w:r>
        <w:t xml:space="preserve">», закладки «</w:t>
      </w:r>
      <w:r>
        <w:t xml:space="preserve">Заявка на кассовый расход </w:t>
      </w:r>
      <w:r>
        <w:t xml:space="preserve">(</w:t>
      </w:r>
      <w:r>
        <w:t xml:space="preserve">сокращенная</w:t>
      </w:r>
      <w:r>
        <w:t xml:space="preserve">)</w:t>
      </w:r>
      <w:r>
        <w:t xml:space="preserve">»</w:t>
      </w:r>
      <w:bookmarkEnd w:id="1740"/>
      <w:r/>
      <w:r/>
    </w:p>
    <w:p>
      <w:pPr>
        <w:pStyle w:val="994"/>
      </w:pPr>
      <w:r>
        <w:t xml:space="preserve">Перечень полей документа «Информация о кассовых операциях на лицевых счетах учреждений</w:t>
      </w:r>
      <w:r>
        <w:t xml:space="preserve">», закладки «</w:t>
      </w:r>
      <w:r>
        <w:t xml:space="preserve">Заявка на кассовый расход </w:t>
      </w:r>
      <w:r>
        <w:t xml:space="preserve">(</w:t>
      </w:r>
      <w:r>
        <w:t xml:space="preserve">сокращенная</w:t>
      </w:r>
      <w:r>
        <w:t xml:space="preserve">)</w:t>
      </w:r>
      <w:r>
        <w:t xml:space="preserve">» </w:t>
      </w:r>
      <w:r>
        <w:t xml:space="preserve">приведен в таблице </w:t>
      </w:r>
      <w:r>
        <w:fldChar w:fldCharType="begin"/>
      </w:r>
      <w:r>
        <w:instrText xml:space="preserve"> REF _Ref372023626 \h </w:instrText>
      </w:r>
      <w:r>
        <w:instrText xml:space="preserve"> \* MERGEFORMAT </w:instrText>
      </w:r>
      <w:r>
        <w:fldChar w:fldCharType="separate"/>
      </w:r>
      <w:r>
        <w:t xml:space="preserve">144</w:t>
      </w:r>
      <w:r>
        <w:fldChar w:fldCharType="end"/>
      </w:r>
      <w:r>
        <w:t xml:space="preserve">.</w:t>
      </w:r>
      <w:r/>
    </w:p>
    <w:p>
      <w:pPr>
        <w:pStyle w:val="993"/>
      </w:pPr>
      <w:r>
        <w:fldChar w:fldCharType="begin"/>
      </w:r>
      <w:r>
        <w:instrText xml:space="preserve"> SEQ Таблица \* ARABIC </w:instrText>
      </w:r>
      <w:r>
        <w:fldChar w:fldCharType="separate"/>
      </w:r>
      <w:bookmarkStart w:id="1741" w:name="_Ref372023626"/>
      <w:r/>
      <w:bookmarkStart w:id="1742" w:name="_Toc88819331"/>
      <w:r>
        <w:t xml:space="preserve">144</w:t>
      </w:r>
      <w:bookmarkEnd w:id="1741"/>
      <w:r>
        <w:fldChar w:fldCharType="end"/>
      </w:r>
      <w:r>
        <w:t xml:space="preserve">. Описание полей документа «Информация о кассовых операциях на лицевых счетах учреждений</w:t>
      </w:r>
      <w:r>
        <w:t xml:space="preserve">», закладки «</w:t>
      </w:r>
      <w:r>
        <w:t xml:space="preserve">Заявка на кассовый расход сокращенная»</w:t>
      </w:r>
      <w:bookmarkEnd w:id="1742"/>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4617"/>
        <w:gridCol w:w="5135"/>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36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633"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Заявка на кассовый расход сокращенная</w:t>
            </w:r>
            <w:r>
              <w:t xml:space="preserve">»</w:t>
            </w:r>
            <w:r/>
          </w:p>
        </w:tc>
      </w:tr>
      <w:tr>
        <w:trPr/>
        <w:tc>
          <w:tcPr>
            <w:shd w:val="clear" w:fill="auto" w:color="auto"/>
            <w:tcW w:w="2367" w:type="pct"/>
            <w:textDirection w:val="lrTb"/>
            <w:noWrap w:val="false"/>
          </w:tcPr>
          <w:p>
            <w:pPr>
              <w:pStyle w:val="1005"/>
              <w:ind w:left="57" w:right="57"/>
            </w:pPr>
            <w:r>
              <w:t xml:space="preserve">Номер заявки</w:t>
            </w:r>
            <w:r/>
          </w:p>
        </w:tc>
        <w:tc>
          <w:tcPr>
            <w:shd w:val="clear" w:fill="auto" w:color="auto"/>
            <w:tcW w:w="263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67" w:type="pct"/>
            <w:textDirection w:val="lrTb"/>
            <w:noWrap w:val="false"/>
          </w:tcPr>
          <w:p>
            <w:pPr>
              <w:pStyle w:val="1005"/>
              <w:ind w:left="57" w:right="57"/>
            </w:pPr>
            <w:r>
              <w:t xml:space="preserve">Дата заявки</w:t>
            </w:r>
            <w:r/>
          </w:p>
        </w:tc>
        <w:tc>
          <w:tcPr>
            <w:shd w:val="clear" w:fill="auto" w:color="auto"/>
            <w:tcW w:w="263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67" w:type="pct"/>
            <w:textDirection w:val="lrTb"/>
            <w:noWrap w:val="false"/>
          </w:tcPr>
          <w:p>
            <w:pPr>
              <w:pStyle w:val="1005"/>
              <w:ind w:left="57" w:right="57"/>
            </w:pPr>
            <w:r>
              <w:t xml:space="preserve">Наименование клиента</w:t>
            </w:r>
            <w:r/>
          </w:p>
        </w:tc>
        <w:tc>
          <w:tcPr>
            <w:shd w:val="clear" w:fill="auto" w:color="auto"/>
            <w:tcW w:w="263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67" w:type="pct"/>
            <w:textDirection w:val="lrTb"/>
            <w:noWrap w:val="false"/>
          </w:tcPr>
          <w:p>
            <w:pPr>
              <w:pStyle w:val="1005"/>
              <w:ind w:left="57" w:right="57"/>
            </w:pPr>
            <w:r>
              <w:t xml:space="preserve">Номер лицевого счета клиента</w:t>
            </w:r>
            <w:r/>
          </w:p>
        </w:tc>
        <w:tc>
          <w:tcPr>
            <w:shd w:val="clear" w:fill="auto" w:color="auto"/>
            <w:tcW w:w="263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67" w:type="pct"/>
            <w:textDirection w:val="lrTb"/>
            <w:noWrap w:val="false"/>
          </w:tcPr>
          <w:p>
            <w:pPr>
              <w:pStyle w:val="1005"/>
              <w:ind w:left="57" w:right="57"/>
            </w:pPr>
            <w:r>
              <w:t xml:space="preserve">ИНН клиента</w:t>
            </w:r>
            <w:r/>
          </w:p>
        </w:tc>
        <w:tc>
          <w:tcPr>
            <w:shd w:val="clear" w:fill="auto" w:color="auto"/>
            <w:tcW w:w="263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67" w:type="pct"/>
            <w:textDirection w:val="lrTb"/>
            <w:noWrap w:val="false"/>
          </w:tcPr>
          <w:p>
            <w:pPr>
              <w:pStyle w:val="1005"/>
              <w:ind w:left="57" w:right="57"/>
            </w:pPr>
            <w:r>
              <w:t xml:space="preserve">КПП клиента</w:t>
            </w:r>
            <w:r/>
          </w:p>
        </w:tc>
        <w:tc>
          <w:tcPr>
            <w:shd w:val="clear" w:fill="auto" w:color="auto"/>
            <w:tcW w:w="263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67" w:type="pct"/>
            <w:textDirection w:val="lrTb"/>
            <w:noWrap w:val="false"/>
          </w:tcPr>
          <w:p>
            <w:pPr>
              <w:pStyle w:val="1005"/>
              <w:ind w:left="57" w:right="57"/>
            </w:pPr>
            <w:r>
              <w:t xml:space="preserve">Сумма документа в валюте выплаты</w:t>
            </w:r>
            <w:r/>
          </w:p>
        </w:tc>
        <w:tc>
          <w:tcPr>
            <w:shd w:val="clear" w:fill="auto" w:color="auto"/>
            <w:tcW w:w="263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67" w:type="pct"/>
            <w:textDirection w:val="lrTb"/>
            <w:noWrap w:val="false"/>
          </w:tcPr>
          <w:p>
            <w:pPr>
              <w:pStyle w:val="1005"/>
              <w:ind w:left="57" w:right="57"/>
            </w:pPr>
            <w:r>
              <w:t xml:space="preserve">Назначение платежа</w:t>
            </w:r>
            <w:r/>
          </w:p>
        </w:tc>
        <w:tc>
          <w:tcPr>
            <w:shd w:val="clear" w:fill="auto" w:color="auto"/>
            <w:tcW w:w="263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67" w:type="pct"/>
            <w:textDirection w:val="lrTb"/>
            <w:noWrap w:val="false"/>
          </w:tcPr>
          <w:p>
            <w:pPr>
              <w:pStyle w:val="1005"/>
              <w:ind w:left="57" w:right="57"/>
            </w:pPr>
            <w:r>
              <w:t xml:space="preserve">Наименование / ФИО контрагента</w:t>
            </w:r>
            <w:r/>
          </w:p>
        </w:tc>
        <w:tc>
          <w:tcPr>
            <w:shd w:val="clear" w:fill="auto" w:color="auto"/>
            <w:tcW w:w="263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67" w:type="pct"/>
            <w:textDirection w:val="lrTb"/>
            <w:noWrap w:val="false"/>
          </w:tcPr>
          <w:p>
            <w:pPr>
              <w:pStyle w:val="1005"/>
              <w:ind w:left="57" w:right="57"/>
            </w:pPr>
            <w:r>
              <w:t xml:space="preserve">ИНН контрагента</w:t>
            </w:r>
            <w:r/>
          </w:p>
        </w:tc>
        <w:tc>
          <w:tcPr>
            <w:shd w:val="clear" w:fill="auto" w:color="auto"/>
            <w:tcW w:w="263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67" w:type="pct"/>
            <w:textDirection w:val="lrTb"/>
            <w:noWrap w:val="false"/>
          </w:tcPr>
          <w:p>
            <w:pPr>
              <w:pStyle w:val="1005"/>
              <w:ind w:left="57" w:right="57"/>
            </w:pPr>
            <w:r>
              <w:t xml:space="preserve">КПП контрагента</w:t>
            </w:r>
            <w:r/>
          </w:p>
        </w:tc>
        <w:tc>
          <w:tcPr>
            <w:shd w:val="clear" w:fill="auto" w:color="auto"/>
            <w:tcW w:w="263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67" w:type="pct"/>
            <w:textDirection w:val="lrTb"/>
            <w:noWrap w:val="false"/>
          </w:tcPr>
          <w:p>
            <w:pPr>
              <w:pStyle w:val="1005"/>
              <w:ind w:left="57" w:right="57"/>
            </w:pPr>
            <w:r>
              <w:t xml:space="preserve">Лицевой счет контрагента</w:t>
            </w:r>
            <w:r/>
          </w:p>
        </w:tc>
        <w:tc>
          <w:tcPr>
            <w:shd w:val="clear" w:fill="auto" w:color="auto"/>
            <w:tcW w:w="263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67" w:type="pct"/>
            <w:textDirection w:val="lrTb"/>
            <w:noWrap w:val="false"/>
          </w:tcPr>
          <w:p>
            <w:pPr>
              <w:pStyle w:val="1005"/>
              <w:ind w:left="57" w:right="57"/>
            </w:pPr>
            <w:r>
              <w:t xml:space="preserve">Банковский счет контрагента</w:t>
            </w:r>
            <w:r/>
          </w:p>
        </w:tc>
        <w:tc>
          <w:tcPr>
            <w:shd w:val="clear" w:fill="auto" w:color="auto"/>
            <w:tcW w:w="263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67" w:type="pct"/>
            <w:textDirection w:val="lrTb"/>
            <w:noWrap w:val="false"/>
          </w:tcPr>
          <w:p>
            <w:pPr>
              <w:pStyle w:val="1005"/>
              <w:ind w:left="57" w:right="57"/>
            </w:pPr>
            <w:r>
              <w:t xml:space="preserve">Наименование банка контрагента</w:t>
            </w:r>
            <w:r/>
          </w:p>
        </w:tc>
        <w:tc>
          <w:tcPr>
            <w:shd w:val="clear" w:fill="auto" w:color="auto"/>
            <w:tcW w:w="263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67" w:type="pct"/>
            <w:textDirection w:val="lrTb"/>
            <w:noWrap w:val="false"/>
          </w:tcPr>
          <w:p>
            <w:pPr>
              <w:pStyle w:val="1005"/>
              <w:ind w:left="57" w:right="57"/>
            </w:pPr>
            <w:r>
              <w:t xml:space="preserve">БИК банка контрагента</w:t>
            </w:r>
            <w:r/>
          </w:p>
        </w:tc>
        <w:tc>
          <w:tcPr>
            <w:shd w:val="clear" w:fill="auto" w:color="auto"/>
            <w:tcW w:w="263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67" w:type="pct"/>
            <w:textDirection w:val="lrTb"/>
            <w:noWrap w:val="false"/>
          </w:tcPr>
          <w:p>
            <w:pPr>
              <w:pStyle w:val="1005"/>
              <w:ind w:left="57" w:right="57"/>
            </w:pPr>
            <w:r>
              <w:t xml:space="preserve">Корсчет банка контрагента</w:t>
            </w:r>
            <w:r/>
          </w:p>
        </w:tc>
        <w:tc>
          <w:tcPr>
            <w:shd w:val="clear" w:fill="auto" w:color="auto"/>
            <w:tcW w:w="2633" w:type="pct"/>
            <w:textDirection w:val="lrTb"/>
            <w:noWrap w:val="false"/>
          </w:tcPr>
          <w:p>
            <w:pPr>
              <w:pStyle w:val="1005"/>
              <w:ind w:left="57" w:right="57"/>
            </w:pPr>
            <w:r>
              <w:t xml:space="preserve">Заполняется соответствующим значением, выгруженным из ППО OEBS АСФК.</w:t>
            </w:r>
            <w:r/>
          </w:p>
        </w:tc>
      </w:tr>
    </w:tbl>
    <w:p>
      <w:pPr>
        <w:pStyle w:val="994"/>
      </w:pPr>
      <w:r>
        <w:t xml:space="preserve">ЭФ документа «Информация о кассовых операциях на лицевых счетах учреждений</w:t>
      </w:r>
      <w:r>
        <w:t xml:space="preserve">», закладки «</w:t>
      </w:r>
      <w:r>
        <w:t xml:space="preserve">Заявка на получение наличных денег</w:t>
      </w:r>
      <w:r>
        <w:t xml:space="preserve">» представлена на рисунке</w:t>
      </w:r>
      <w:r>
        <w:t xml:space="preserve"> </w:t>
      </w:r>
      <w:r>
        <w:fldChar w:fldCharType="begin"/>
      </w:r>
      <w:r>
        <w:instrText xml:space="preserve"> REF _Ref404853732 \h </w:instrText>
      </w:r>
      <w:r>
        <w:fldChar w:fldCharType="separate"/>
      </w:r>
      <w:r>
        <w:t xml:space="preserve">255</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749040"/>
                <wp:effectExtent l="0" t="0" r="0" b="0"/>
                <wp:docPr id="38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38"/>
                        <a:stretch/>
                      </pic:blipFill>
                      <pic:spPr bwMode="auto">
                        <a:xfrm>
                          <a:off x="0" y="0"/>
                          <a:ext cx="6126480" cy="37490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1" o:spid="_x0000_s381" type="#_x0000_t75" style="mso-wrap-distance-left:0.0pt;mso-wrap-distance-top:0.0pt;mso-wrap-distance-right:0.0pt;mso-wrap-distance-bottom:0.0pt;width:482.4pt;height:295.2pt;" stroked="f">
                <v:path textboxrect="0,0,0,0"/>
                <v:imagedata r:id="rId338" o:title=""/>
              </v:shape>
            </w:pict>
          </mc:Fallback>
        </mc:AlternateContent>
      </w:r>
      <w:r/>
    </w:p>
    <w:p>
      <w:pPr>
        <w:pStyle w:val="983"/>
      </w:pPr>
      <w:r>
        <w:fldChar w:fldCharType="begin"/>
      </w:r>
      <w:r>
        <w:instrText xml:space="preserve"> SEQ Рисунок \* ARABIC </w:instrText>
      </w:r>
      <w:r>
        <w:fldChar w:fldCharType="separate"/>
      </w:r>
      <w:bookmarkStart w:id="1743" w:name="_Ref404853732"/>
      <w:r/>
      <w:bookmarkStart w:id="1744" w:name="_Toc88819640"/>
      <w:r>
        <w:t xml:space="preserve">255</w:t>
      </w:r>
      <w:bookmarkEnd w:id="1743"/>
      <w:r>
        <w:fldChar w:fldCharType="end"/>
      </w:r>
      <w:r>
        <w:t xml:space="preserve">. ЭФ документа «Информация о кассовых операциях на лицевых счетах учреждений</w:t>
      </w:r>
      <w:r>
        <w:t xml:space="preserve">», закладки «</w:t>
      </w:r>
      <w:r>
        <w:t xml:space="preserve">Заявка на получение наличных денег»</w:t>
      </w:r>
      <w:bookmarkEnd w:id="1744"/>
      <w:r/>
      <w:r/>
    </w:p>
    <w:p>
      <w:pPr>
        <w:pStyle w:val="994"/>
      </w:pPr>
      <w:r>
        <w:t xml:space="preserve">Перечень полей документа «Информация о кассовых операциях на лицевых счетах учреждений</w:t>
      </w:r>
      <w:r>
        <w:t xml:space="preserve">», закладки «</w:t>
      </w:r>
      <w:r>
        <w:t xml:space="preserve">Заявка на получение наличных денег» </w:t>
      </w:r>
      <w:r>
        <w:t xml:space="preserve">приведен в таблице </w:t>
      </w:r>
      <w:r>
        <w:fldChar w:fldCharType="begin"/>
      </w:r>
      <w:r>
        <w:instrText xml:space="preserve"> REF _Ref372023702 \h </w:instrText>
      </w:r>
      <w:r>
        <w:instrText xml:space="preserve"> \* MERGEFORMAT </w:instrText>
      </w:r>
      <w:r>
        <w:fldChar w:fldCharType="separate"/>
      </w:r>
      <w:r>
        <w:t xml:space="preserve">145</w:t>
      </w:r>
      <w:r>
        <w:fldChar w:fldCharType="end"/>
      </w:r>
      <w:r>
        <w:t xml:space="preserve">.</w:t>
      </w:r>
      <w:r/>
    </w:p>
    <w:p>
      <w:pPr>
        <w:pStyle w:val="993"/>
      </w:pPr>
      <w:r>
        <w:fldChar w:fldCharType="begin"/>
      </w:r>
      <w:r>
        <w:instrText xml:space="preserve"> SEQ Таблица \* ARABIC </w:instrText>
      </w:r>
      <w:r>
        <w:fldChar w:fldCharType="separate"/>
      </w:r>
      <w:bookmarkStart w:id="1745" w:name="_Ref372023702"/>
      <w:r/>
      <w:bookmarkStart w:id="1746" w:name="_Toc88819332"/>
      <w:r>
        <w:t xml:space="preserve">145</w:t>
      </w:r>
      <w:bookmarkEnd w:id="1745"/>
      <w:r>
        <w:fldChar w:fldCharType="end"/>
      </w:r>
      <w:r>
        <w:t xml:space="preserve">. Описание полей документа «Информация о кассовых операциях на лицевых счетах учреждений</w:t>
      </w:r>
      <w:r>
        <w:t xml:space="preserve">», закладки «</w:t>
      </w:r>
      <w:r>
        <w:t xml:space="preserve">Заявка на получение наличных денег»</w:t>
      </w:r>
      <w:bookmarkEnd w:id="1746"/>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468"/>
        <w:gridCol w:w="6284"/>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778"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222"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Заявка на получение наличных денег</w:t>
            </w:r>
            <w:r>
              <w:t xml:space="preserve">»</w:t>
            </w:r>
            <w:r/>
          </w:p>
        </w:tc>
      </w:tr>
      <w:tr>
        <w:trPr/>
        <w:tc>
          <w:tcPr>
            <w:shd w:val="clear" w:fill="auto" w:color="auto"/>
            <w:tcW w:w="1778" w:type="pct"/>
            <w:textDirection w:val="lrTb"/>
            <w:noWrap w:val="false"/>
          </w:tcPr>
          <w:p>
            <w:pPr>
              <w:pStyle w:val="1005"/>
              <w:ind w:left="57" w:right="57"/>
            </w:pPr>
            <w:r>
              <w:t xml:space="preserve">Номер документа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Дата документа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Наименование клиента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Номер лицевого счета клиента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Итоговая сумма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Идентификатор контракта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«Реквизиты чека (Вложенная таблица)»</w:t>
            </w:r>
            <w:r/>
          </w:p>
        </w:tc>
      </w:tr>
      <w:tr>
        <w:trPr/>
        <w:tc>
          <w:tcPr>
            <w:shd w:val="clear" w:fill="auto" w:color="auto"/>
            <w:tcW w:w="1778" w:type="pct"/>
            <w:textDirection w:val="lrTb"/>
            <w:noWrap w:val="false"/>
          </w:tcPr>
          <w:p>
            <w:pPr>
              <w:pStyle w:val="1005"/>
              <w:ind w:left="57" w:right="57"/>
            </w:pPr>
            <w:r>
              <w:t xml:space="preserve">№</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Сумма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Номер чека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Серия чека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Дата чека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Срок действия чека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Символ кассового плана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ИТОГО</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«Расшифровка заявки на получение наличных денег (Вложенная таблица)»</w:t>
            </w:r>
            <w:r/>
          </w:p>
        </w:tc>
      </w:tr>
      <w:tr>
        <w:trPr/>
        <w:tc>
          <w:tcPr>
            <w:shd w:val="clear" w:fill="auto" w:color="auto"/>
            <w:tcW w:w="1778" w:type="pct"/>
            <w:textDirection w:val="lrTb"/>
            <w:noWrap w:val="false"/>
          </w:tcPr>
          <w:p>
            <w:pPr>
              <w:pStyle w:val="1005"/>
              <w:ind w:left="57" w:right="57"/>
            </w:pPr>
            <w:r>
              <w:t xml:space="preserve">№</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Вид средств (код)</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Наименование вида средств</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Код по БК</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Код главы</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ФКР</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КЦСР</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КВР</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КОСГУ</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rHeight w:val="451"/>
        </w:trPr>
        <w:tc>
          <w:tcPr>
            <w:shd w:val="clear" w:fill="auto" w:color="auto"/>
            <w:tcW w:w="1778" w:type="pct"/>
            <w:textDirection w:val="lrTb"/>
            <w:noWrap w:val="false"/>
          </w:tcPr>
          <w:p>
            <w:pPr>
              <w:pStyle w:val="1005"/>
              <w:ind w:left="57" w:right="57"/>
            </w:pPr>
            <w:r>
              <w:t xml:space="preserve">Сумма в рублях</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Назначение платежа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w:t>
            </w:r>
            <w:r>
              <w:t xml:space="preserve">ППО OEBS АСФК.</w:t>
            </w:r>
            <w:r/>
          </w:p>
        </w:tc>
      </w:tr>
      <w:tr>
        <w:trPr/>
        <w:tc>
          <w:tcPr>
            <w:shd w:val="clear" w:fill="auto" w:color="auto"/>
            <w:tcW w:w="1778" w:type="pct"/>
            <w:textDirection w:val="lrTb"/>
            <w:noWrap w:val="false"/>
          </w:tcPr>
          <w:p>
            <w:pPr>
              <w:pStyle w:val="1005"/>
              <w:ind w:left="57" w:right="57"/>
            </w:pPr>
            <w:r>
              <w:t xml:space="preserve">КЦ (аналитический код)</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Примечание</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bl>
    <w:p>
      <w:pPr>
        <w:pStyle w:val="994"/>
      </w:pPr>
      <w:r>
        <w:t xml:space="preserve">ЭФ документа «Информация о кассовых операциях на лицевых счетах учреждений</w:t>
      </w:r>
      <w:r>
        <w:t xml:space="preserve">», закладки «</w:t>
      </w:r>
      <w:r>
        <w:t xml:space="preserve">Заявка на получение наличных денег, перечисляемых на карту</w:t>
      </w:r>
      <w:r>
        <w:t xml:space="preserve">» представлена на рисунке</w:t>
      </w:r>
      <w:r>
        <w:t xml:space="preserve"> </w:t>
      </w:r>
      <w:r>
        <w:fldChar w:fldCharType="begin"/>
      </w:r>
      <w:r>
        <w:instrText xml:space="preserve"> REF _Ref404853818 \h </w:instrText>
      </w:r>
      <w:r>
        <w:fldChar w:fldCharType="separate"/>
      </w:r>
      <w:r>
        <w:t xml:space="preserve">256</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2560320"/>
                <wp:effectExtent l="0" t="0" r="0" b="0"/>
                <wp:docPr id="38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39"/>
                        <a:stretch/>
                      </pic:blipFill>
                      <pic:spPr bwMode="auto">
                        <a:xfrm>
                          <a:off x="0" y="0"/>
                          <a:ext cx="6035039" cy="2560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2" o:spid="_x0000_s382" type="#_x0000_t75" style="mso-wrap-distance-left:0.0pt;mso-wrap-distance-top:0.0pt;mso-wrap-distance-right:0.0pt;mso-wrap-distance-bottom:0.0pt;width:475.2pt;height:201.6pt;" stroked="f">
                <v:path textboxrect="0,0,0,0"/>
                <v:imagedata r:id="rId339" o:title=""/>
              </v:shape>
            </w:pict>
          </mc:Fallback>
        </mc:AlternateContent>
      </w:r>
      <w:r/>
    </w:p>
    <w:p>
      <w:pPr>
        <w:pStyle w:val="983"/>
      </w:pPr>
      <w:r>
        <w:fldChar w:fldCharType="begin"/>
      </w:r>
      <w:r>
        <w:instrText xml:space="preserve"> SEQ Рисунок \* ARABIC </w:instrText>
      </w:r>
      <w:r>
        <w:fldChar w:fldCharType="separate"/>
      </w:r>
      <w:bookmarkStart w:id="1747" w:name="_Ref404853818"/>
      <w:r/>
      <w:bookmarkStart w:id="1748" w:name="_Toc88819641"/>
      <w:r>
        <w:t xml:space="preserve">256</w:t>
      </w:r>
      <w:bookmarkEnd w:id="1747"/>
      <w:r>
        <w:fldChar w:fldCharType="end"/>
      </w:r>
      <w:r>
        <w:t xml:space="preserve">. ЭФ документа «Информация о кассовых операциях на лицевых счетах учреждений</w:t>
      </w:r>
      <w:r>
        <w:t xml:space="preserve">», закладки «</w:t>
      </w:r>
      <w:r>
        <w:t xml:space="preserve">Заявка на получение наличных денег, перечисляемых на карту»</w:t>
      </w:r>
      <w:bookmarkEnd w:id="1748"/>
      <w:r/>
      <w:r/>
    </w:p>
    <w:p>
      <w:pPr>
        <w:pStyle w:val="994"/>
      </w:pPr>
      <w:r>
        <w:t xml:space="preserve">Перечень полей документа «Информация о кассовых операциях на лицевых счетах учреждений</w:t>
      </w:r>
      <w:r>
        <w:t xml:space="preserve">», закладки «</w:t>
      </w:r>
      <w:r>
        <w:t xml:space="preserve">Заявка на получение наличных денег, перечисляемых на карту» </w:t>
      </w:r>
      <w:r>
        <w:t xml:space="preserve">приведен в таблице </w:t>
      </w:r>
      <w:r>
        <w:fldChar w:fldCharType="begin"/>
      </w:r>
      <w:r>
        <w:instrText xml:space="preserve"> REF _Ref372023777 \h </w:instrText>
      </w:r>
      <w:r>
        <w:instrText xml:space="preserve"> \* MERGEFORMAT </w:instrText>
      </w:r>
      <w:r>
        <w:fldChar w:fldCharType="separate"/>
      </w:r>
      <w:r>
        <w:t xml:space="preserve">146</w:t>
      </w:r>
      <w:r>
        <w:fldChar w:fldCharType="end"/>
      </w:r>
      <w:r>
        <w:t xml:space="preserve">.</w:t>
      </w:r>
      <w:r/>
    </w:p>
    <w:p>
      <w:pPr>
        <w:pStyle w:val="993"/>
      </w:pPr>
      <w:r>
        <w:fldChar w:fldCharType="begin"/>
      </w:r>
      <w:r>
        <w:instrText xml:space="preserve"> SEQ Таблица \* ARABIC </w:instrText>
      </w:r>
      <w:r>
        <w:fldChar w:fldCharType="separate"/>
      </w:r>
      <w:bookmarkStart w:id="1749" w:name="_Ref372023777"/>
      <w:r/>
      <w:bookmarkStart w:id="1750" w:name="_Toc88819333"/>
      <w:r>
        <w:t xml:space="preserve">146</w:t>
      </w:r>
      <w:bookmarkEnd w:id="1749"/>
      <w:r>
        <w:fldChar w:fldCharType="end"/>
      </w:r>
      <w:r>
        <w:t xml:space="preserve">. Описание полей документа «Информация о кассовых операциях на лицевых счетах учреждений</w:t>
      </w:r>
      <w:r>
        <w:t xml:space="preserve">», закладки «</w:t>
      </w:r>
      <w:r>
        <w:t xml:space="preserve">Заявка на получение наличных денег, перечисляемых на карту»</w:t>
      </w:r>
      <w:bookmarkEnd w:id="1750"/>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468"/>
        <w:gridCol w:w="6284"/>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778"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222"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Заявка на получение наличных денег, перечисляемых на карту</w:t>
            </w:r>
            <w:r>
              <w:t xml:space="preserve">»</w:t>
            </w:r>
            <w:r/>
          </w:p>
        </w:tc>
      </w:tr>
      <w:tr>
        <w:trPr/>
        <w:tc>
          <w:tcPr>
            <w:shd w:val="clear" w:fill="auto" w:color="auto"/>
            <w:tcW w:w="1778" w:type="pct"/>
            <w:textDirection w:val="lrTb"/>
            <w:noWrap w:val="false"/>
          </w:tcPr>
          <w:p>
            <w:pPr>
              <w:pStyle w:val="1005"/>
              <w:ind w:left="57" w:right="57"/>
            </w:pPr>
            <w:r>
              <w:t xml:space="preserve">Номер документа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Дата документа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Наименование клиента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Номер лицевого счета клиента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Итоговая сумма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Идентификатор контракта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«Расшифровка заявки (Вложенная таблица)»</w:t>
            </w:r>
            <w:r/>
          </w:p>
        </w:tc>
      </w:tr>
      <w:tr>
        <w:trPr/>
        <w:tc>
          <w:tcPr>
            <w:shd w:val="clear" w:fill="auto" w:color="auto"/>
            <w:tcW w:w="1778" w:type="pct"/>
            <w:textDirection w:val="lrTb"/>
            <w:noWrap w:val="false"/>
          </w:tcPr>
          <w:p>
            <w:pPr>
              <w:pStyle w:val="1005"/>
              <w:ind w:left="57" w:right="57"/>
            </w:pPr>
            <w:r>
              <w:t xml:space="preserve">№</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КБК</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Код цели</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Сумма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Назначение</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Символ</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Примечание</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Итого</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bl>
    <w:p>
      <w:pPr>
        <w:pStyle w:val="994"/>
      </w:pPr>
      <w:r>
        <w:t xml:space="preserve">ЭФ документа «Информация о кассовых операциях на лицевых счетах учреждений</w:t>
      </w:r>
      <w:r>
        <w:t xml:space="preserve">», закладки «</w:t>
      </w:r>
      <w:r>
        <w:t xml:space="preserve">Заявка на возврат</w:t>
      </w:r>
      <w:r>
        <w:t xml:space="preserve">» представлена на рисунке</w:t>
      </w:r>
      <w:r>
        <w:t xml:space="preserve"> </w:t>
      </w:r>
      <w:r>
        <w:fldChar w:fldCharType="begin"/>
      </w:r>
      <w:r>
        <w:instrText xml:space="preserve"> REF _Ref404854040 \h </w:instrText>
      </w:r>
      <w:r>
        <w:fldChar w:fldCharType="separate"/>
      </w:r>
      <w:r>
        <w:t xml:space="preserve">257</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5036820"/>
                <wp:effectExtent l="0" t="0" r="0" b="0"/>
                <wp:docPr id="38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40"/>
                        <a:stretch/>
                      </pic:blipFill>
                      <pic:spPr bwMode="auto">
                        <a:xfrm>
                          <a:off x="0" y="0"/>
                          <a:ext cx="6118860" cy="50368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3" o:spid="_x0000_s383" type="#_x0000_t75" style="mso-wrap-distance-left:0.0pt;mso-wrap-distance-top:0.0pt;mso-wrap-distance-right:0.0pt;mso-wrap-distance-bottom:0.0pt;width:481.8pt;height:396.6pt;" stroked="f">
                <v:path textboxrect="0,0,0,0"/>
                <v:imagedata r:id="rId340" o:title=""/>
              </v:shape>
            </w:pict>
          </mc:Fallback>
        </mc:AlternateContent>
      </w:r>
      <w:r/>
    </w:p>
    <w:p>
      <w:pPr>
        <w:pStyle w:val="983"/>
      </w:pPr>
      <w:r>
        <w:fldChar w:fldCharType="begin"/>
      </w:r>
      <w:r>
        <w:instrText xml:space="preserve"> SEQ Рисунок \* ARABIC </w:instrText>
      </w:r>
      <w:r>
        <w:fldChar w:fldCharType="separate"/>
      </w:r>
      <w:bookmarkStart w:id="1751" w:name="_Ref404854040"/>
      <w:r/>
      <w:bookmarkStart w:id="1752" w:name="_Toc88819642"/>
      <w:r>
        <w:t xml:space="preserve">257</w:t>
      </w:r>
      <w:bookmarkEnd w:id="1751"/>
      <w:r>
        <w:fldChar w:fldCharType="end"/>
      </w:r>
      <w:r>
        <w:t xml:space="preserve">. ЭФ документа «Информация о кассовых операциях на лицевых счетах учреждений</w:t>
      </w:r>
      <w:r>
        <w:t xml:space="preserve">», закладки «</w:t>
      </w:r>
      <w:r>
        <w:t xml:space="preserve">Заявка на возврат»</w:t>
      </w:r>
      <w:bookmarkEnd w:id="1752"/>
      <w:r/>
      <w:r/>
    </w:p>
    <w:p>
      <w:pPr>
        <w:pStyle w:val="994"/>
      </w:pPr>
      <w:r>
        <w:t xml:space="preserve">Перечень полей документа «Информация о кассовых операциях на лицевых счетах учреждений</w:t>
      </w:r>
      <w:r>
        <w:t xml:space="preserve">», закладки «</w:t>
      </w:r>
      <w:r>
        <w:t xml:space="preserve">Заявка на возврат» </w:t>
      </w:r>
      <w:r>
        <w:t xml:space="preserve">приведен в таблице </w:t>
      </w:r>
      <w:r>
        <w:fldChar w:fldCharType="begin"/>
      </w:r>
      <w:r>
        <w:instrText xml:space="preserve"> REF _Ref372023841 \h </w:instrText>
      </w:r>
      <w:r>
        <w:instrText xml:space="preserve"> \* MERGEFORMAT </w:instrText>
      </w:r>
      <w:r>
        <w:fldChar w:fldCharType="separate"/>
      </w:r>
      <w:r>
        <w:t xml:space="preserve">147</w:t>
      </w:r>
      <w:r>
        <w:fldChar w:fldCharType="end"/>
      </w:r>
      <w:r>
        <w:t xml:space="preserve">.</w:t>
      </w:r>
      <w:r/>
    </w:p>
    <w:p>
      <w:pPr>
        <w:pStyle w:val="993"/>
      </w:pPr>
      <w:r>
        <w:fldChar w:fldCharType="begin"/>
      </w:r>
      <w:r>
        <w:instrText xml:space="preserve"> SEQ Таблица \* ARABIC </w:instrText>
      </w:r>
      <w:r>
        <w:fldChar w:fldCharType="separate"/>
      </w:r>
      <w:bookmarkStart w:id="1753" w:name="_Ref372023841"/>
      <w:r/>
      <w:bookmarkStart w:id="1754" w:name="_Toc88819334"/>
      <w:r>
        <w:t xml:space="preserve">147</w:t>
      </w:r>
      <w:bookmarkEnd w:id="1753"/>
      <w:r>
        <w:fldChar w:fldCharType="end"/>
      </w:r>
      <w:r>
        <w:t xml:space="preserve">. Описание полей документа «Информация о кассовых операциях на лицевых счетах учреждений</w:t>
      </w:r>
      <w:r>
        <w:t xml:space="preserve">», закладки «</w:t>
      </w:r>
      <w:r>
        <w:t xml:space="preserve">Заявка на возврат»</w:t>
      </w:r>
      <w:bookmarkEnd w:id="1754"/>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4447"/>
        <w:gridCol w:w="5305"/>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28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720"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Заявка на возврат</w:t>
            </w:r>
            <w:r>
              <w:t xml:space="preserve">»</w:t>
            </w:r>
            <w:r/>
          </w:p>
        </w:tc>
      </w:tr>
      <w:tr>
        <w:trPr/>
        <w:tc>
          <w:tcPr>
            <w:shd w:val="clear" w:fill="auto" w:color="auto"/>
            <w:tcW w:w="2280" w:type="pct"/>
            <w:textDirection w:val="lrTb"/>
            <w:noWrap w:val="false"/>
          </w:tcPr>
          <w:p>
            <w:pPr>
              <w:pStyle w:val="1005"/>
              <w:ind w:left="57" w:right="57"/>
            </w:pPr>
            <w:r>
              <w:t xml:space="preserve">Номер заявки</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280" w:type="pct"/>
            <w:textDirection w:val="lrTb"/>
            <w:noWrap w:val="false"/>
          </w:tcPr>
          <w:p>
            <w:pPr>
              <w:pStyle w:val="1005"/>
              <w:ind w:left="57" w:right="57"/>
            </w:pPr>
            <w:r>
              <w:t xml:space="preserve">Дата заявки</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280" w:type="pct"/>
            <w:textDirection w:val="lrTb"/>
            <w:noWrap w:val="false"/>
          </w:tcPr>
          <w:p>
            <w:pPr>
              <w:pStyle w:val="1005"/>
              <w:ind w:left="57" w:right="57"/>
            </w:pPr>
            <w:r>
              <w:t xml:space="preserve">Наименование клиента</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280" w:type="pct"/>
            <w:textDirection w:val="lrTb"/>
            <w:noWrap w:val="false"/>
          </w:tcPr>
          <w:p>
            <w:pPr>
              <w:pStyle w:val="1005"/>
              <w:ind w:left="57" w:right="57"/>
            </w:pPr>
            <w:r>
              <w:t xml:space="preserve">Номер лицевого счета клиента</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Табличное поле «Реквизиты документа (Вложенная таблица)»</w:t>
            </w:r>
            <w:r/>
          </w:p>
        </w:tc>
      </w:tr>
      <w:tr>
        <w:trPr/>
        <w:tc>
          <w:tcPr>
            <w:shd w:val="clear" w:fill="auto" w:color="auto"/>
            <w:tcW w:w="2280" w:type="pct"/>
            <w:textDirection w:val="lrTb"/>
            <w:noWrap w:val="false"/>
          </w:tcPr>
          <w:p>
            <w:pPr>
              <w:pStyle w:val="1005"/>
              <w:ind w:left="57" w:right="57"/>
            </w:pPr>
            <w:r>
              <w:t xml:space="preserve">Код по БК</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w:t>
            </w:r>
            <w:r>
              <w:t xml:space="preserve">женным из ППО OEBS АСФК.</w:t>
            </w:r>
            <w:r/>
          </w:p>
        </w:tc>
      </w:tr>
      <w:tr>
        <w:trPr/>
        <w:tc>
          <w:tcPr>
            <w:shd w:val="clear" w:fill="auto" w:color="auto"/>
            <w:tcW w:w="2280" w:type="pct"/>
            <w:textDirection w:val="lrTb"/>
            <w:noWrap w:val="false"/>
          </w:tcPr>
          <w:p>
            <w:pPr>
              <w:pStyle w:val="1005"/>
              <w:ind w:left="57" w:right="57"/>
            </w:pPr>
            <w:r>
              <w:t xml:space="preserve">Вид средств для осуществления возврата</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280" w:type="pct"/>
            <w:textDirection w:val="lrTb"/>
            <w:noWrap w:val="false"/>
          </w:tcPr>
          <w:p>
            <w:pPr>
              <w:pStyle w:val="1005"/>
              <w:ind w:left="57" w:right="57"/>
            </w:pPr>
            <w:r>
              <w:t xml:space="preserve">Код источника средств</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280" w:type="pct"/>
            <w:textDirection w:val="lrTb"/>
            <w:noWrap w:val="false"/>
          </w:tcPr>
          <w:p>
            <w:pPr>
              <w:pStyle w:val="1005"/>
              <w:ind w:left="57" w:right="57"/>
            </w:pPr>
            <w:r>
              <w:t xml:space="preserve">Код ОКАТО</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280" w:type="pct"/>
            <w:textDirection w:val="lrTb"/>
            <w:noWrap w:val="false"/>
          </w:tcPr>
          <w:p>
            <w:pPr>
              <w:pStyle w:val="1005"/>
              <w:ind w:left="57" w:right="57"/>
            </w:pPr>
            <w:r>
              <w:t xml:space="preserve">Сумма в валюте</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280" w:type="pct"/>
            <w:textDirection w:val="lrTb"/>
            <w:noWrap w:val="false"/>
          </w:tcPr>
          <w:p>
            <w:pPr>
              <w:pStyle w:val="1005"/>
              <w:ind w:left="57" w:right="57"/>
            </w:pPr>
            <w:r>
              <w:t xml:space="preserve">Код валюты по ОКВ</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280" w:type="pct"/>
            <w:textDirection w:val="lrTb"/>
            <w:noWrap w:val="false"/>
          </w:tcPr>
          <w:p>
            <w:pPr>
              <w:pStyle w:val="1005"/>
              <w:ind w:left="57" w:right="57"/>
            </w:pPr>
            <w:r>
              <w:t xml:space="preserve">Сумма в рублях</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280" w:type="pct"/>
            <w:textDirection w:val="lrTb"/>
            <w:noWrap w:val="false"/>
          </w:tcPr>
          <w:p>
            <w:pPr>
              <w:pStyle w:val="1005"/>
              <w:ind w:left="57" w:right="57"/>
            </w:pPr>
            <w:r>
              <w:t xml:space="preserve">Очередность платежа</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280" w:type="pct"/>
            <w:textDirection w:val="lrTb"/>
            <w:noWrap w:val="false"/>
          </w:tcPr>
          <w:p>
            <w:pPr>
              <w:pStyle w:val="1005"/>
              <w:ind w:left="57" w:right="57"/>
            </w:pPr>
            <w:r>
              <w:t xml:space="preserve">Вид платежа</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280" w:type="pct"/>
            <w:textDirection w:val="lrTb"/>
            <w:noWrap w:val="false"/>
          </w:tcPr>
          <w:p>
            <w:pPr>
              <w:pStyle w:val="1005"/>
              <w:ind w:left="57" w:right="57"/>
            </w:pPr>
            <w:r>
              <w:t xml:space="preserve">Код цели</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280" w:type="pct"/>
            <w:textDirection w:val="lrTb"/>
            <w:noWrap w:val="false"/>
          </w:tcPr>
          <w:p>
            <w:pPr>
              <w:pStyle w:val="1005"/>
              <w:ind w:left="57" w:right="57"/>
            </w:pPr>
            <w:r>
              <w:t xml:space="preserve">Назначение платежа</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«Реквизиты документа-основания (Вложенная таблица)»</w:t>
            </w:r>
            <w:r/>
          </w:p>
        </w:tc>
      </w:tr>
      <w:tr>
        <w:trPr/>
        <w:tc>
          <w:tcPr>
            <w:shd w:val="clear" w:fill="auto" w:color="auto"/>
            <w:tcW w:w="2280" w:type="pct"/>
            <w:textDirection w:val="lrTb"/>
            <w:noWrap w:val="false"/>
          </w:tcPr>
          <w:p>
            <w:pPr>
              <w:pStyle w:val="1005"/>
              <w:ind w:left="57" w:right="57"/>
            </w:pPr>
            <w:r>
              <w:t xml:space="preserve">Вид</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280" w:type="pct"/>
            <w:textDirection w:val="lrTb"/>
            <w:noWrap w:val="false"/>
          </w:tcPr>
          <w:p>
            <w:pPr>
              <w:pStyle w:val="1005"/>
              <w:ind w:left="57" w:right="57"/>
            </w:pPr>
            <w:r>
              <w:t xml:space="preserve">Номер</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280" w:type="pct"/>
            <w:textDirection w:val="lrTb"/>
            <w:noWrap w:val="false"/>
          </w:tcPr>
          <w:p>
            <w:pPr>
              <w:pStyle w:val="1005"/>
              <w:ind w:left="57" w:right="57"/>
            </w:pPr>
            <w:r>
              <w:t xml:space="preserve">Дата</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«Реквизиты получателя (Вложенная таблица)»</w:t>
            </w:r>
            <w:r/>
          </w:p>
        </w:tc>
      </w:tr>
      <w:tr>
        <w:trPr/>
        <w:tc>
          <w:tcPr>
            <w:shd w:val="clear" w:fill="auto" w:color="auto"/>
            <w:tcW w:w="2280" w:type="pct"/>
            <w:textDirection w:val="lrTb"/>
            <w:noWrap w:val="false"/>
          </w:tcPr>
          <w:p>
            <w:pPr>
              <w:pStyle w:val="1005"/>
              <w:ind w:left="57" w:right="57"/>
            </w:pPr>
            <w:r>
              <w:t xml:space="preserve">Наименование получателя</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280" w:type="pct"/>
            <w:textDirection w:val="lrTb"/>
            <w:noWrap w:val="false"/>
          </w:tcPr>
          <w:p>
            <w:pPr>
              <w:pStyle w:val="1005"/>
              <w:ind w:left="57" w:right="57"/>
            </w:pPr>
            <w:r>
              <w:t xml:space="preserve">Код главы</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280" w:type="pct"/>
            <w:textDirection w:val="lrTb"/>
            <w:noWrap w:val="false"/>
          </w:tcPr>
          <w:p>
            <w:pPr>
              <w:pStyle w:val="1005"/>
              <w:ind w:left="57" w:right="57"/>
            </w:pPr>
            <w:r>
              <w:t xml:space="preserve">ИНН</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280" w:type="pct"/>
            <w:textDirection w:val="lrTb"/>
            <w:noWrap w:val="false"/>
          </w:tcPr>
          <w:p>
            <w:pPr>
              <w:pStyle w:val="1005"/>
              <w:ind w:left="57" w:right="57"/>
            </w:pPr>
            <w:r>
              <w:t xml:space="preserve">КПП</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280" w:type="pct"/>
            <w:textDirection w:val="lrTb"/>
            <w:noWrap w:val="false"/>
          </w:tcPr>
          <w:p>
            <w:pPr>
              <w:pStyle w:val="1005"/>
              <w:ind w:left="57" w:right="57"/>
            </w:pPr>
            <w:r>
              <w:t xml:space="preserve">Лицевой счет</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280" w:type="pct"/>
            <w:textDirection w:val="lrTb"/>
            <w:noWrap w:val="false"/>
          </w:tcPr>
          <w:p>
            <w:pPr>
              <w:pStyle w:val="1005"/>
              <w:ind w:left="57" w:right="57"/>
            </w:pPr>
            <w:r>
              <w:t xml:space="preserve">Банковский счет</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rHeight w:val="451"/>
        </w:trPr>
        <w:tc>
          <w:tcPr>
            <w:shd w:val="clear" w:fill="auto" w:color="auto"/>
            <w:tcW w:w="2280" w:type="pct"/>
            <w:textDirection w:val="lrTb"/>
            <w:noWrap w:val="false"/>
          </w:tcPr>
          <w:p>
            <w:pPr>
              <w:pStyle w:val="1005"/>
              <w:ind w:left="57" w:right="57"/>
            </w:pPr>
            <w:r>
              <w:t xml:space="preserve">БИК / SWIFT</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280" w:type="pct"/>
            <w:textDirection w:val="lrTb"/>
            <w:noWrap w:val="false"/>
          </w:tcPr>
          <w:p>
            <w:pPr>
              <w:pStyle w:val="1005"/>
              <w:ind w:left="57" w:right="57"/>
            </w:pPr>
            <w:r>
              <w:t xml:space="preserve">Корр. Счет</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280" w:type="pct"/>
            <w:textDirection w:val="lrTb"/>
            <w:noWrap w:val="false"/>
          </w:tcPr>
          <w:p>
            <w:pPr>
              <w:pStyle w:val="1005"/>
              <w:ind w:left="57" w:right="57"/>
            </w:pPr>
            <w:r>
              <w:t xml:space="preserve">Наименование банка</w:t>
            </w:r>
            <w:r/>
          </w:p>
        </w:tc>
        <w:tc>
          <w:tcPr>
            <w:shd w:val="clear" w:fill="auto" w:color="auto"/>
            <w:tcW w:w="2720" w:type="pct"/>
            <w:textDirection w:val="lrTb"/>
            <w:noWrap w:val="false"/>
          </w:tcPr>
          <w:p>
            <w:pPr>
              <w:pStyle w:val="1005"/>
              <w:ind w:left="57" w:right="57"/>
            </w:pPr>
            <w:r>
              <w:t xml:space="preserve">Заполняется соответствующим значением, выгруженным из ППО OEBS АСФК.</w:t>
            </w:r>
            <w:r/>
          </w:p>
        </w:tc>
      </w:tr>
    </w:tbl>
    <w:p>
      <w:pPr>
        <w:pStyle w:val="994"/>
      </w:pPr>
      <w:r>
        <w:t xml:space="preserve">ЭФ документа «Информация о кассовых операциях на лицевых счетах учреждений</w:t>
      </w:r>
      <w:r>
        <w:t xml:space="preserve">», закладки «</w:t>
      </w:r>
      <w:r>
        <w:t xml:space="preserve">Бухгалтерская справка ф. 0504833</w:t>
      </w:r>
      <w:r>
        <w:t xml:space="preserve">» представлена на рисунке</w:t>
      </w:r>
      <w:r>
        <w:t xml:space="preserve"> </w:t>
      </w:r>
      <w:r>
        <w:fldChar w:fldCharType="begin"/>
      </w:r>
      <w:r>
        <w:instrText xml:space="preserve"> REF _Ref404854054 \h </w:instrText>
      </w:r>
      <w:r>
        <w:fldChar w:fldCharType="separate"/>
      </w:r>
      <w:r>
        <w:t xml:space="preserve">258</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560320"/>
                <wp:effectExtent l="0" t="0" r="0" b="0"/>
                <wp:docPr id="38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41"/>
                        <a:stretch/>
                      </pic:blipFill>
                      <pic:spPr bwMode="auto">
                        <a:xfrm>
                          <a:off x="0" y="0"/>
                          <a:ext cx="6126480" cy="2560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4" o:spid="_x0000_s384" type="#_x0000_t75" style="mso-wrap-distance-left:0.0pt;mso-wrap-distance-top:0.0pt;mso-wrap-distance-right:0.0pt;mso-wrap-distance-bottom:0.0pt;width:482.4pt;height:201.6pt;" stroked="f">
                <v:path textboxrect="0,0,0,0"/>
                <v:imagedata r:id="rId341" o:title=""/>
              </v:shape>
            </w:pict>
          </mc:Fallback>
        </mc:AlternateContent>
      </w:r>
      <w:r/>
    </w:p>
    <w:p>
      <w:pPr>
        <w:pStyle w:val="983"/>
      </w:pPr>
      <w:r>
        <w:fldChar w:fldCharType="begin"/>
      </w:r>
      <w:r>
        <w:instrText xml:space="preserve"> SEQ Рисунок \* ARABIC </w:instrText>
      </w:r>
      <w:r>
        <w:fldChar w:fldCharType="separate"/>
      </w:r>
      <w:bookmarkStart w:id="1755" w:name="_Ref404854054"/>
      <w:r/>
      <w:bookmarkStart w:id="1756" w:name="_Toc88819643"/>
      <w:r>
        <w:t xml:space="preserve">258</w:t>
      </w:r>
      <w:bookmarkEnd w:id="1755"/>
      <w:r>
        <w:fldChar w:fldCharType="end"/>
      </w:r>
      <w:r>
        <w:t xml:space="preserve">. ЭФ документа «Информация о кассовых операциях на лицевых счетах учреждений</w:t>
      </w:r>
      <w:r>
        <w:t xml:space="preserve">», закладки «</w:t>
      </w:r>
      <w:r>
        <w:t xml:space="preserve">Бухгалтерская справка ф. 0504833</w:t>
      </w:r>
      <w:r>
        <w:t xml:space="preserve">»</w:t>
      </w:r>
      <w:bookmarkEnd w:id="1756"/>
      <w:r/>
      <w:r/>
    </w:p>
    <w:p>
      <w:pPr>
        <w:pStyle w:val="994"/>
      </w:pPr>
      <w:r>
        <w:t xml:space="preserve">Перечень полей документа «Информация о кассовых операциях на лицевых счетах учреждений</w:t>
      </w:r>
      <w:r>
        <w:t xml:space="preserve">», закладки «</w:t>
      </w:r>
      <w:r>
        <w:t xml:space="preserve">Бухгалтерская справка ф. 0504833</w:t>
      </w:r>
      <w:r>
        <w:t xml:space="preserve">» </w:t>
      </w:r>
      <w:r>
        <w:t xml:space="preserve">приведен в таблице </w:t>
      </w:r>
      <w:r>
        <w:fldChar w:fldCharType="begin"/>
      </w:r>
      <w:r>
        <w:instrText xml:space="preserve"> REF _Ref372023924 \h </w:instrText>
      </w:r>
      <w:r>
        <w:instrText xml:space="preserve"> \* MERGEFORMAT </w:instrText>
      </w:r>
      <w:r>
        <w:fldChar w:fldCharType="separate"/>
      </w:r>
      <w:r>
        <w:t xml:space="preserve">148</w:t>
      </w:r>
      <w:r>
        <w:fldChar w:fldCharType="end"/>
      </w:r>
      <w:r>
        <w:t xml:space="preserve">.</w:t>
      </w:r>
      <w:r/>
    </w:p>
    <w:p>
      <w:pPr>
        <w:pStyle w:val="993"/>
      </w:pPr>
      <w:r>
        <w:fldChar w:fldCharType="begin"/>
      </w:r>
      <w:r>
        <w:instrText xml:space="preserve"> SEQ Таблица \* ARABIC </w:instrText>
      </w:r>
      <w:r>
        <w:fldChar w:fldCharType="separate"/>
      </w:r>
      <w:bookmarkStart w:id="1757" w:name="_Ref372023924"/>
      <w:r/>
      <w:bookmarkStart w:id="1758" w:name="_Toc88819335"/>
      <w:r>
        <w:t xml:space="preserve">148</w:t>
      </w:r>
      <w:bookmarkEnd w:id="1757"/>
      <w:r>
        <w:fldChar w:fldCharType="end"/>
      </w:r>
      <w:r>
        <w:t xml:space="preserve">. Описание полей документа «Информация о кассовых операциях на лицевых счетах учреждений</w:t>
      </w:r>
      <w:r>
        <w:t xml:space="preserve">», закладки «</w:t>
      </w:r>
      <w:r>
        <w:t xml:space="preserve">Бухгалтерская справка ф. 0504833</w:t>
      </w:r>
      <w:r>
        <w:t xml:space="preserve">»</w:t>
      </w:r>
      <w:bookmarkEnd w:id="175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468"/>
        <w:gridCol w:w="6284"/>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778"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222"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Бухгалтерская справка ф. 0504833</w:t>
            </w:r>
            <w:r>
              <w:t xml:space="preserve">»</w:t>
            </w:r>
            <w:r/>
          </w:p>
        </w:tc>
      </w:tr>
      <w:tr>
        <w:trPr/>
        <w:tc>
          <w:tcPr>
            <w:shd w:val="clear" w:fill="auto" w:color="auto"/>
            <w:tcW w:w="1778" w:type="pct"/>
            <w:textDirection w:val="lrTb"/>
            <w:noWrap w:val="false"/>
          </w:tcPr>
          <w:p>
            <w:pPr>
              <w:pStyle w:val="1005"/>
              <w:ind w:left="57" w:right="57"/>
            </w:pPr>
            <w:r>
              <w:t xml:space="preserve">Номер Справки</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Дата Справки</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Номер документа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Дата формирования документа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Наименование документа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Наименование клиента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Номер лицевого счета клиента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«Реквизиты получателя (Вложенная таблица)»</w:t>
            </w:r>
            <w:r/>
          </w:p>
        </w:tc>
      </w:tr>
      <w:tr>
        <w:trPr/>
        <w:tc>
          <w:tcPr>
            <w:shd w:val="clear" w:fill="auto" w:color="auto"/>
            <w:tcW w:w="1778" w:type="pct"/>
            <w:textDirection w:val="lrTb"/>
            <w:noWrap w:val="false"/>
          </w:tcPr>
          <w:p>
            <w:pPr>
              <w:pStyle w:val="1005"/>
              <w:ind w:left="57" w:right="57"/>
            </w:pPr>
            <w:r>
              <w:t xml:space="preserve">Номер</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Дата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Основание операции</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Номер счета по дебету</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Номер счета по кредиту</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Сумма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bl>
    <w:p>
      <w:pPr>
        <w:pStyle w:val="994"/>
      </w:pPr>
      <w:r>
        <w:t xml:space="preserve">ЭФ документа «Информация о кассовых операциях на лицевых счетах учреждений</w:t>
      </w:r>
      <w:r>
        <w:t xml:space="preserve">», закладки «</w:t>
      </w:r>
      <w:r>
        <w:t xml:space="preserve">Уведомление об уточнении операций клиента</w:t>
      </w:r>
      <w:r>
        <w:t xml:space="preserve">» представлена на рисунке</w:t>
      </w:r>
      <w:r>
        <w:t xml:space="preserve"> </w:t>
      </w:r>
      <w:r>
        <w:fldChar w:fldCharType="begin"/>
      </w:r>
      <w:r>
        <w:instrText xml:space="preserve"> REF _Ref404854148 \h </w:instrText>
      </w:r>
      <w:r>
        <w:fldChar w:fldCharType="separate"/>
      </w:r>
      <w:r>
        <w:t xml:space="preserve">259</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3749040"/>
                <wp:effectExtent l="0" t="0" r="0" b="0"/>
                <wp:docPr id="38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42"/>
                        <a:stretch/>
                      </pic:blipFill>
                      <pic:spPr bwMode="auto">
                        <a:xfrm>
                          <a:off x="0" y="0"/>
                          <a:ext cx="6134100" cy="37490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5" o:spid="_x0000_s385" type="#_x0000_t75" style="mso-wrap-distance-left:0.0pt;mso-wrap-distance-top:0.0pt;mso-wrap-distance-right:0.0pt;mso-wrap-distance-bottom:0.0pt;width:483.0pt;height:295.2pt;" stroked="f">
                <v:path textboxrect="0,0,0,0"/>
                <v:imagedata r:id="rId342" o:title=""/>
              </v:shape>
            </w:pict>
          </mc:Fallback>
        </mc:AlternateContent>
      </w:r>
      <w:r/>
    </w:p>
    <w:p>
      <w:pPr>
        <w:pStyle w:val="983"/>
      </w:pPr>
      <w:r>
        <w:fldChar w:fldCharType="begin"/>
      </w:r>
      <w:r>
        <w:instrText xml:space="preserve"> SEQ Рисунок \* ARABIC </w:instrText>
      </w:r>
      <w:r>
        <w:fldChar w:fldCharType="separate"/>
      </w:r>
      <w:bookmarkStart w:id="1759" w:name="_Ref404854148"/>
      <w:r/>
      <w:bookmarkStart w:id="1760" w:name="_Toc88819644"/>
      <w:r>
        <w:t xml:space="preserve">259</w:t>
      </w:r>
      <w:bookmarkEnd w:id="1759"/>
      <w:r>
        <w:fldChar w:fldCharType="end"/>
      </w:r>
      <w:r>
        <w:t xml:space="preserve">. ЭФ документа «Информация о кассовых операциях на лицевых счетах учреждений</w:t>
      </w:r>
      <w:r>
        <w:t xml:space="preserve">», закладки «</w:t>
      </w:r>
      <w:r>
        <w:t xml:space="preserve">Уведомление об уточнении операций клиента»</w:t>
      </w:r>
      <w:bookmarkEnd w:id="1760"/>
      <w:r/>
      <w:r/>
    </w:p>
    <w:p>
      <w:pPr>
        <w:pStyle w:val="994"/>
      </w:pPr>
      <w:r>
        <w:t xml:space="preserve">Перечень полей документа «Информация о кассовых операциях на лицевых счетах учреждений</w:t>
      </w:r>
      <w:r>
        <w:t xml:space="preserve">», закладки «</w:t>
      </w:r>
      <w:r>
        <w:t xml:space="preserve">Уведомление об уточнении операций клиента» </w:t>
      </w:r>
      <w:r>
        <w:t xml:space="preserve">приведен в таблице </w:t>
      </w:r>
      <w:r>
        <w:fldChar w:fldCharType="begin"/>
      </w:r>
      <w:r>
        <w:instrText xml:space="preserve"> REF _Ref372023986 \h </w:instrText>
      </w:r>
      <w:r>
        <w:instrText xml:space="preserve"> \* MERGEFORMAT </w:instrText>
      </w:r>
      <w:r>
        <w:fldChar w:fldCharType="separate"/>
      </w:r>
      <w:r>
        <w:t xml:space="preserve">149</w:t>
      </w:r>
      <w:r>
        <w:fldChar w:fldCharType="end"/>
      </w:r>
      <w:r>
        <w:t xml:space="preserve">.</w:t>
      </w:r>
      <w:r/>
    </w:p>
    <w:p>
      <w:pPr>
        <w:pStyle w:val="993"/>
      </w:pPr>
      <w:r>
        <w:fldChar w:fldCharType="begin"/>
      </w:r>
      <w:r>
        <w:instrText xml:space="preserve"> SEQ Таблица \* ARABIC </w:instrText>
      </w:r>
      <w:r>
        <w:fldChar w:fldCharType="separate"/>
      </w:r>
      <w:bookmarkStart w:id="1761" w:name="_Ref372023986"/>
      <w:r/>
      <w:bookmarkStart w:id="1762" w:name="_Toc88819336"/>
      <w:r>
        <w:t xml:space="preserve">149</w:t>
      </w:r>
      <w:bookmarkEnd w:id="1761"/>
      <w:r>
        <w:fldChar w:fldCharType="end"/>
      </w:r>
      <w:r>
        <w:t xml:space="preserve">. Описание полей документа «Информация о кассовых операциях на лицевых счетах учреждений</w:t>
      </w:r>
      <w:r>
        <w:t xml:space="preserve">», закладки «</w:t>
      </w:r>
      <w:r>
        <w:t xml:space="preserve">Уведомление об уточнении операций клиента»</w:t>
      </w:r>
      <w:bookmarkEnd w:id="1762"/>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4560"/>
        <w:gridCol w:w="5192"/>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338"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662"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Уведомление об уточнении операций клиента</w:t>
            </w:r>
            <w:r>
              <w:t xml:space="preserve">»</w:t>
            </w:r>
            <w:r/>
          </w:p>
        </w:tc>
      </w:tr>
      <w:tr>
        <w:trPr/>
        <w:tc>
          <w:tcPr>
            <w:shd w:val="clear" w:fill="auto" w:color="auto"/>
            <w:tcW w:w="2338" w:type="pct"/>
            <w:textDirection w:val="lrTb"/>
            <w:noWrap w:val="false"/>
          </w:tcPr>
          <w:p>
            <w:pPr>
              <w:pStyle w:val="1005"/>
              <w:ind w:left="57" w:right="57"/>
            </w:pPr>
            <w:r>
              <w:t xml:space="preserve">Номер Уведомления, присвоенный клиентом</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Дата Уведомления</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Дата запроса</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Номер запроса</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Наименование клиента</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Номер лицевого счета клиента</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«Реквизиты платежного документа (Вложенная таблица)»</w:t>
            </w:r>
            <w:r/>
          </w:p>
        </w:tc>
      </w:tr>
      <w:tr>
        <w:trPr/>
        <w:tc>
          <w:tcPr>
            <w:shd w:val="clear" w:fill="auto" w:color="auto"/>
            <w:tcW w:w="2338" w:type="pct"/>
            <w:textDirection w:val="lrTb"/>
            <w:noWrap w:val="false"/>
          </w:tcPr>
          <w:p>
            <w:pPr>
              <w:pStyle w:val="1005"/>
              <w:ind w:left="57" w:right="57"/>
            </w:pPr>
            <w:r>
              <w:t xml:space="preserve">№ п/п</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Наименование</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Номер</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Дата</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Наименование получателя</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ИНН</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КПП</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Код классификации операции</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Код цели</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ФАИП</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Номер КОО</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ИГК</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Аналитический код раздела</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Сумма</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Назначение платежа</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Примечание</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«Изменить на реквизиты (Вложенная таблица)»</w:t>
            </w:r>
            <w:r/>
          </w:p>
        </w:tc>
      </w:tr>
      <w:tr>
        <w:trPr/>
        <w:tc>
          <w:tcPr>
            <w:shd w:val="clear" w:fill="auto" w:color="auto"/>
            <w:tcW w:w="2338" w:type="pct"/>
            <w:textDirection w:val="lrTb"/>
            <w:noWrap w:val="false"/>
          </w:tcPr>
          <w:p>
            <w:pPr>
              <w:pStyle w:val="1005"/>
              <w:ind w:left="57" w:right="57"/>
            </w:pPr>
            <w:r>
              <w:t xml:space="preserve">№ п/п</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Наименование получателя</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ИНН</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КПП</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Код классификации операции</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Код цели</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ФАИП</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Номер КОО</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ИГК</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Аналитический код раздела</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rHeight w:val="451"/>
        </w:trPr>
        <w:tc>
          <w:tcPr>
            <w:shd w:val="clear" w:fill="auto" w:color="auto"/>
            <w:tcW w:w="2338" w:type="pct"/>
            <w:textDirection w:val="lrTb"/>
            <w:noWrap w:val="false"/>
          </w:tcPr>
          <w:p>
            <w:pPr>
              <w:pStyle w:val="1005"/>
              <w:ind w:left="57" w:right="57"/>
            </w:pPr>
            <w:r>
              <w:t xml:space="preserve">Сумма</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Назначение платежа</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338" w:type="pct"/>
            <w:textDirection w:val="lrTb"/>
            <w:noWrap w:val="false"/>
          </w:tcPr>
          <w:p>
            <w:pPr>
              <w:pStyle w:val="1005"/>
              <w:ind w:left="57" w:right="57"/>
            </w:pPr>
            <w:r>
              <w:t xml:space="preserve">Примечание</w:t>
            </w:r>
            <w:r/>
          </w:p>
        </w:tc>
        <w:tc>
          <w:tcPr>
            <w:shd w:val="clear" w:fill="auto" w:color="auto"/>
            <w:tcW w:w="2662" w:type="pct"/>
            <w:textDirection w:val="lrTb"/>
            <w:noWrap w:val="false"/>
          </w:tcPr>
          <w:p>
            <w:pPr>
              <w:pStyle w:val="1005"/>
              <w:ind w:left="57" w:right="57"/>
            </w:pPr>
            <w:r>
              <w:t xml:space="preserve">Заполняется соответствующим значением, выгруженным из ППО OEBS АСФК.</w:t>
            </w:r>
            <w:r/>
          </w:p>
        </w:tc>
      </w:tr>
    </w:tbl>
    <w:p>
      <w:pPr>
        <w:pStyle w:val="994"/>
      </w:pPr>
      <w:r>
        <w:t xml:space="preserve">ЭФ документа «Информация о кассовых операциях на лицевых счетах учреждений</w:t>
      </w:r>
      <w:r>
        <w:t xml:space="preserve">», закладки «</w:t>
      </w:r>
      <w:r>
        <w:t xml:space="preserve">Уведомление об уточнении вида и прина</w:t>
      </w:r>
      <w:r>
        <w:t xml:space="preserve">длежности платежа» представлена на рисунке</w:t>
      </w:r>
      <w:r>
        <w:t xml:space="preserve"> </w:t>
      </w:r>
      <w:r>
        <w:fldChar w:fldCharType="begin"/>
      </w:r>
      <w:r>
        <w:instrText xml:space="preserve"> REF _Ref404854306 \h </w:instrText>
      </w:r>
      <w:r>
        <w:fldChar w:fldCharType="separate"/>
      </w:r>
      <w:r>
        <w:t xml:space="preserve">260</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749040"/>
                <wp:effectExtent l="0" t="0" r="0" b="0"/>
                <wp:docPr id="38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43"/>
                        <a:stretch/>
                      </pic:blipFill>
                      <pic:spPr bwMode="auto">
                        <a:xfrm>
                          <a:off x="0" y="0"/>
                          <a:ext cx="6126480" cy="37490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6" o:spid="_x0000_s386" type="#_x0000_t75" style="mso-wrap-distance-left:0.0pt;mso-wrap-distance-top:0.0pt;mso-wrap-distance-right:0.0pt;mso-wrap-distance-bottom:0.0pt;width:482.4pt;height:295.2pt;" stroked="f">
                <v:path textboxrect="0,0,0,0"/>
                <v:imagedata r:id="rId343" o:title=""/>
              </v:shape>
            </w:pict>
          </mc:Fallback>
        </mc:AlternateContent>
      </w:r>
      <w:r/>
    </w:p>
    <w:p>
      <w:pPr>
        <w:pStyle w:val="983"/>
      </w:pPr>
      <w:r>
        <w:fldChar w:fldCharType="begin"/>
      </w:r>
      <w:r>
        <w:instrText xml:space="preserve"> SEQ Рисунок \* ARABIC </w:instrText>
      </w:r>
      <w:r>
        <w:fldChar w:fldCharType="separate"/>
      </w:r>
      <w:bookmarkStart w:id="1763" w:name="_Ref404854306"/>
      <w:r/>
      <w:bookmarkStart w:id="1764" w:name="_Toc88819645"/>
      <w:r>
        <w:t xml:space="preserve">260</w:t>
      </w:r>
      <w:bookmarkEnd w:id="1763"/>
      <w:r>
        <w:fldChar w:fldCharType="end"/>
      </w:r>
      <w:r>
        <w:t xml:space="preserve">. ЭФ документа «Информация о кассовых операциях на лицевых счетах учреждений</w:t>
      </w:r>
      <w:r>
        <w:t xml:space="preserve">», закладки «</w:t>
      </w:r>
      <w:r>
        <w:t xml:space="preserve">Уведомление об уточнении вида и прина</w:t>
      </w:r>
      <w:r>
        <w:t xml:space="preserve">д</w:t>
      </w:r>
      <w:r>
        <w:t xml:space="preserve">лежности платежа»</w:t>
      </w:r>
      <w:bookmarkEnd w:id="1764"/>
      <w:r/>
      <w:r/>
    </w:p>
    <w:p>
      <w:pPr>
        <w:pStyle w:val="994"/>
      </w:pPr>
      <w:r>
        <w:t xml:space="preserve">Перечень полей документа «Информация о кассовых операциях на лицевых счетах учреждений</w:t>
      </w:r>
      <w:r>
        <w:t xml:space="preserve">», закладки «</w:t>
      </w:r>
      <w:r>
        <w:t xml:space="preserve">Уведомление об уточнении вида и принадлежности платежа» </w:t>
      </w:r>
      <w:r>
        <w:t xml:space="preserve">приведен в таблице </w:t>
      </w:r>
      <w:r>
        <w:fldChar w:fldCharType="begin"/>
      </w:r>
      <w:r>
        <w:instrText xml:space="preserve"> REF _Ref372024069 \h </w:instrText>
      </w:r>
      <w:r>
        <w:instrText xml:space="preserve"> \* MERGEFORMAT </w:instrText>
      </w:r>
      <w:r>
        <w:fldChar w:fldCharType="separate"/>
      </w:r>
      <w:r>
        <w:t xml:space="preserve">150</w:t>
      </w:r>
      <w:r>
        <w:fldChar w:fldCharType="end"/>
      </w:r>
      <w:r>
        <w:t xml:space="preserve">.</w:t>
      </w:r>
      <w:r/>
    </w:p>
    <w:p>
      <w:pPr>
        <w:pStyle w:val="993"/>
      </w:pPr>
      <w:r>
        <w:fldChar w:fldCharType="begin"/>
      </w:r>
      <w:r>
        <w:instrText xml:space="preserve"> SEQ Таблица \* ARABIC </w:instrText>
      </w:r>
      <w:r>
        <w:fldChar w:fldCharType="separate"/>
      </w:r>
      <w:bookmarkStart w:id="1765" w:name="_Ref372024069"/>
      <w:r/>
      <w:bookmarkStart w:id="1766" w:name="_Toc88819337"/>
      <w:r>
        <w:t xml:space="preserve">150</w:t>
      </w:r>
      <w:bookmarkEnd w:id="1765"/>
      <w:r>
        <w:fldChar w:fldCharType="end"/>
      </w:r>
      <w:r>
        <w:t xml:space="preserve">. Описание полей документа «Информация о кассовых операциях на лицевых счетах учреждений</w:t>
      </w:r>
      <w:r>
        <w:t xml:space="preserve">», закладки «</w:t>
      </w:r>
      <w:r>
        <w:t xml:space="preserve">Уведомление об уточнении вида и принадлежности платежа»</w:t>
      </w:r>
      <w:bookmarkEnd w:id="1766"/>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4160"/>
        <w:gridCol w:w="5592"/>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133"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867"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Уведомление об уточнении вида и принадлежности платежа</w:t>
            </w:r>
            <w:r>
              <w:t xml:space="preserve">»</w:t>
            </w:r>
            <w:r/>
          </w:p>
        </w:tc>
      </w:tr>
      <w:tr>
        <w:trPr/>
        <w:tc>
          <w:tcPr>
            <w:shd w:val="clear" w:fill="auto" w:color="auto"/>
            <w:tcW w:w="2133" w:type="pct"/>
            <w:textDirection w:val="lrTb"/>
            <w:noWrap w:val="false"/>
          </w:tcPr>
          <w:p>
            <w:pPr>
              <w:pStyle w:val="1005"/>
              <w:ind w:left="57" w:right="57"/>
            </w:pPr>
            <w:r>
              <w:t xml:space="preserve">Номер Уведомления</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Дата Уведомления</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Наименование клиента</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Номер лицевого счета клиента</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«Реквизиты платежного документа (Вложенная таблица)»</w:t>
            </w:r>
            <w:r/>
          </w:p>
        </w:tc>
      </w:tr>
      <w:tr>
        <w:trPr/>
        <w:tc>
          <w:tcPr>
            <w:shd w:val="clear" w:fill="auto" w:color="auto"/>
            <w:tcW w:w="2133" w:type="pct"/>
            <w:textDirection w:val="lrTb"/>
            <w:noWrap w:val="false"/>
          </w:tcPr>
          <w:p>
            <w:pPr>
              <w:pStyle w:val="1005"/>
              <w:ind w:left="57" w:right="57"/>
            </w:pPr>
            <w:r>
              <w:t xml:space="preserve">Номер п/п</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GUID ЭПД</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Наименование документа</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w:t>
            </w:r>
            <w:r>
              <w:t xml:space="preserve">ным из ППО OEBS АСФК.</w:t>
            </w:r>
            <w:r/>
          </w:p>
        </w:tc>
      </w:tr>
      <w:tr>
        <w:trPr/>
        <w:tc>
          <w:tcPr>
            <w:shd w:val="clear" w:fill="auto" w:color="auto"/>
            <w:tcW w:w="2133" w:type="pct"/>
            <w:textDirection w:val="lrTb"/>
            <w:noWrap w:val="false"/>
          </w:tcPr>
          <w:p>
            <w:pPr>
              <w:pStyle w:val="1005"/>
              <w:ind w:left="57" w:right="57"/>
            </w:pPr>
            <w:r>
              <w:t xml:space="preserve">Номер документа</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Дата документа</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Наименование получателя</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ИНН получателя</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КПП получателя</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Код по БК</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Код цели субсидий / субвенций</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Код ОКАТО</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Сумма в рублях</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Примечание</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Назначение платежа</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Табличное поле «Изменить на реквизиты (является вложенной по отношению к табличной части «Реквизиты платежного документа») (Вложенная таблица)»</w:t>
            </w:r>
            <w:r/>
          </w:p>
        </w:tc>
      </w:tr>
      <w:tr>
        <w:trPr/>
        <w:tc>
          <w:tcPr>
            <w:shd w:val="clear" w:fill="auto" w:color="auto"/>
            <w:tcW w:w="2133" w:type="pct"/>
            <w:textDirection w:val="lrTb"/>
            <w:noWrap w:val="false"/>
          </w:tcPr>
          <w:p>
            <w:pPr>
              <w:pStyle w:val="1005"/>
              <w:ind w:left="57" w:right="57"/>
            </w:pPr>
            <w:r>
              <w:t xml:space="preserve">Номер п/п</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Наименование получателя</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ИНН получателя</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КПП получателя</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Код ОКАТО</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Лицевой счет</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rHeight w:val="451"/>
        </w:trPr>
        <w:tc>
          <w:tcPr>
            <w:shd w:val="clear" w:fill="auto" w:color="auto"/>
            <w:tcW w:w="2133" w:type="pct"/>
            <w:textDirection w:val="lrTb"/>
            <w:noWrap w:val="false"/>
          </w:tcPr>
          <w:p>
            <w:pPr>
              <w:pStyle w:val="1005"/>
              <w:ind w:left="57" w:right="57"/>
            </w:pPr>
            <w:r>
              <w:t xml:space="preserve">Код по БК</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Код цели субсидий / субвенций</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Сумма в рублях</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Назначение платежа</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133" w:type="pct"/>
            <w:textDirection w:val="lrTb"/>
            <w:noWrap w:val="false"/>
          </w:tcPr>
          <w:p>
            <w:pPr>
              <w:pStyle w:val="1005"/>
              <w:ind w:left="57" w:right="57"/>
            </w:pPr>
            <w:r>
              <w:t xml:space="preserve">Вид средств</w:t>
            </w:r>
            <w:r/>
          </w:p>
        </w:tc>
        <w:tc>
          <w:tcPr>
            <w:shd w:val="clear" w:fill="auto" w:color="auto"/>
            <w:tcW w:w="2867" w:type="pct"/>
            <w:textDirection w:val="lrTb"/>
            <w:noWrap w:val="false"/>
          </w:tcPr>
          <w:p>
            <w:pPr>
              <w:pStyle w:val="1005"/>
              <w:ind w:left="57" w:right="57"/>
            </w:pPr>
            <w:r>
              <w:t xml:space="preserve">Заполняется соответствующим значением, выгруженным из ППО OEBS АСФК.</w:t>
            </w:r>
            <w:r/>
          </w:p>
        </w:tc>
      </w:tr>
    </w:tbl>
    <w:p>
      <w:pPr>
        <w:pStyle w:val="994"/>
      </w:pPr>
      <w:r>
        <w:t xml:space="preserve">ЭФ документа «Информация о кассовых операциях на лицевых счетах учреждений</w:t>
      </w:r>
      <w:r>
        <w:t xml:space="preserve">», закладки «</w:t>
      </w:r>
      <w:r>
        <w:t xml:space="preserve">Платежное поручение</w:t>
      </w:r>
      <w:r>
        <w:t xml:space="preserve">» представлена на рисунке</w:t>
      </w:r>
      <w:r>
        <w:t xml:space="preserve"> </w:t>
      </w:r>
      <w:r>
        <w:fldChar w:fldCharType="begin"/>
      </w:r>
      <w:r>
        <w:instrText xml:space="preserve"> REF _Ref404854369 \h </w:instrText>
      </w:r>
      <w:r>
        <w:fldChar w:fldCharType="separate"/>
      </w:r>
      <w:r>
        <w:t xml:space="preserve">261</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926080"/>
                <wp:effectExtent l="0" t="0" r="0" b="0"/>
                <wp:docPr id="38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44"/>
                        <a:stretch/>
                      </pic:blipFill>
                      <pic:spPr bwMode="auto">
                        <a:xfrm>
                          <a:off x="0" y="0"/>
                          <a:ext cx="6126480" cy="29260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7" o:spid="_x0000_s387" type="#_x0000_t75" style="mso-wrap-distance-left:0.0pt;mso-wrap-distance-top:0.0pt;mso-wrap-distance-right:0.0pt;mso-wrap-distance-bottom:0.0pt;width:482.4pt;height:230.4pt;" stroked="f">
                <v:path textboxrect="0,0,0,0"/>
                <v:imagedata r:id="rId344" o:title=""/>
              </v:shape>
            </w:pict>
          </mc:Fallback>
        </mc:AlternateContent>
      </w:r>
      <w:r/>
    </w:p>
    <w:p>
      <w:pPr>
        <w:pStyle w:val="983"/>
      </w:pPr>
      <w:r>
        <w:fldChar w:fldCharType="begin"/>
      </w:r>
      <w:r>
        <w:instrText xml:space="preserve"> SEQ Рисунок \* ARABIC </w:instrText>
      </w:r>
      <w:r>
        <w:fldChar w:fldCharType="separate"/>
      </w:r>
      <w:bookmarkStart w:id="1767" w:name="_Ref404854369"/>
      <w:r/>
      <w:bookmarkStart w:id="1768" w:name="_Toc88819646"/>
      <w:r>
        <w:t xml:space="preserve">261</w:t>
      </w:r>
      <w:bookmarkEnd w:id="1767"/>
      <w:r>
        <w:fldChar w:fldCharType="end"/>
      </w:r>
      <w:r>
        <w:t xml:space="preserve">. ЭФ документа «Информация о кассовых операциях на лицевых счетах у</w:t>
      </w:r>
      <w:r>
        <w:t xml:space="preserve">ч</w:t>
      </w:r>
      <w:r>
        <w:t xml:space="preserve">реждений</w:t>
      </w:r>
      <w:r>
        <w:t xml:space="preserve">», закладки «</w:t>
      </w:r>
      <w:r>
        <w:t xml:space="preserve">Платежное поручение»</w:t>
      </w:r>
      <w:bookmarkEnd w:id="1768"/>
      <w:r/>
      <w:r/>
    </w:p>
    <w:p>
      <w:pPr>
        <w:pStyle w:val="994"/>
      </w:pPr>
      <w:r>
        <w:t xml:space="preserve">Перечень полей документа «Информация о кассовых операциях на лицевых счетах учреждений</w:t>
      </w:r>
      <w:r>
        <w:t xml:space="preserve">», закладки «</w:t>
      </w:r>
      <w:r>
        <w:t xml:space="preserve">Платежное поручение» </w:t>
      </w:r>
      <w:r>
        <w:t xml:space="preserve">приведен в таблице </w:t>
      </w:r>
      <w:r>
        <w:fldChar w:fldCharType="begin"/>
      </w:r>
      <w:r>
        <w:instrText xml:space="preserve"> REF _Ref372024147 \h </w:instrText>
      </w:r>
      <w:r>
        <w:instrText xml:space="preserve"> \* MERGEFORMAT </w:instrText>
      </w:r>
      <w:r>
        <w:fldChar w:fldCharType="separate"/>
      </w:r>
      <w:r>
        <w:t xml:space="preserve">151</w:t>
      </w:r>
      <w:r>
        <w:fldChar w:fldCharType="end"/>
      </w:r>
      <w:r>
        <w:t xml:space="preserve">.</w:t>
      </w:r>
      <w:r/>
    </w:p>
    <w:p>
      <w:pPr>
        <w:pStyle w:val="993"/>
      </w:pPr>
      <w:r>
        <w:fldChar w:fldCharType="begin"/>
      </w:r>
      <w:r>
        <w:instrText xml:space="preserve"> SEQ Таблица \* ARABIC </w:instrText>
      </w:r>
      <w:r>
        <w:fldChar w:fldCharType="separate"/>
      </w:r>
      <w:bookmarkStart w:id="1769" w:name="_Ref372024147"/>
      <w:r/>
      <w:bookmarkStart w:id="1770" w:name="_Toc88819338"/>
      <w:r>
        <w:t xml:space="preserve">151</w:t>
      </w:r>
      <w:bookmarkEnd w:id="1769"/>
      <w:r>
        <w:fldChar w:fldCharType="end"/>
      </w:r>
      <w:r>
        <w:t xml:space="preserve">. Описание полей документа «Информация о кассовых операциях на лицевых счетах учреждений</w:t>
      </w:r>
      <w:r>
        <w:t xml:space="preserve">», закладки «</w:t>
      </w:r>
      <w:r>
        <w:t xml:space="preserve">Платежное поручение»</w:t>
      </w:r>
      <w:bookmarkEnd w:id="1770"/>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934"/>
        <w:gridCol w:w="5818"/>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01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983"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Платежное поручение</w:t>
            </w:r>
            <w:r>
              <w:t xml:space="preserve">»</w:t>
            </w:r>
            <w:r/>
          </w:p>
        </w:tc>
      </w:tr>
      <w:tr>
        <w:trPr/>
        <w:tc>
          <w:tcPr>
            <w:shd w:val="clear" w:fill="auto" w:color="auto"/>
            <w:tcW w:w="2017" w:type="pct"/>
            <w:textDirection w:val="lrTb"/>
            <w:noWrap w:val="false"/>
          </w:tcPr>
          <w:p>
            <w:pPr>
              <w:pStyle w:val="1005"/>
              <w:ind w:left="57" w:right="57"/>
            </w:pPr>
            <w:r>
              <w:t xml:space="preserve">Номер платежного документа</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Дата платежного документа</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Сумма</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Вид платежа</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ИНН плательщика</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КПП плательщика</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Наименование плательщика</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w:t>
            </w:r>
            <w:r>
              <w:t xml:space="preserve">из ППО OEBS АСФК.</w:t>
            </w:r>
            <w:r/>
          </w:p>
        </w:tc>
      </w:tr>
      <w:tr>
        <w:trPr/>
        <w:tc>
          <w:tcPr>
            <w:shd w:val="clear" w:fill="auto" w:color="auto"/>
            <w:tcW w:w="2017" w:type="pct"/>
            <w:textDirection w:val="lrTb"/>
            <w:noWrap w:val="false"/>
          </w:tcPr>
          <w:p>
            <w:pPr>
              <w:pStyle w:val="1005"/>
              <w:ind w:left="57" w:right="57"/>
            </w:pPr>
            <w:r>
              <w:t xml:space="preserve">Расчетный счет плательщика</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БИК банка плательщика</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Банк плательщика</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Корсчет банка плательщика</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ИНН получателя</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КПП получателя</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Наименование получателя</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Расчетный счет получателя</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БИК банка получателя</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Банк получателя</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Срок платежа</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Очередность платежа</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Код</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Идентификатор контракта</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Номер </w:t>
            </w:r>
            <w:r>
              <w:t xml:space="preserve">КОО</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Назначение платежа</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Код бюджетной классификации Российской Федерации</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Код ОКТМО</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Группа полей «Расшифровка по КБК (детализация расчетных документов)</w:t>
            </w:r>
            <w:r>
              <w:t xml:space="preserve"> (Вложенная таблица)</w:t>
            </w:r>
            <w:r>
              <w:t xml:space="preserve">»</w:t>
            </w:r>
            <w:r/>
          </w:p>
        </w:tc>
      </w:tr>
      <w:tr>
        <w:trPr/>
        <w:tc>
          <w:tcPr>
            <w:shd w:val="clear" w:fill="auto" w:color="auto"/>
            <w:tcW w:w="2017" w:type="pct"/>
            <w:textDirection w:val="lrTb"/>
            <w:noWrap w:val="false"/>
          </w:tcPr>
          <w:p>
            <w:pPr>
              <w:pStyle w:val="1005"/>
              <w:ind w:left="57" w:right="57"/>
            </w:pPr>
            <w:r>
              <w:t xml:space="preserve">Код по БК</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Тип КБК (код)</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Тип КБК (название)</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w:t>
            </w:r>
            <w:r>
              <w:t xml:space="preserve">из ППО OEBS АСФК.</w:t>
            </w:r>
            <w:r/>
          </w:p>
        </w:tc>
      </w:tr>
      <w:tr>
        <w:trPr/>
        <w:tc>
          <w:tcPr>
            <w:shd w:val="clear" w:fill="auto" w:color="auto"/>
            <w:tcW w:w="2017" w:type="pct"/>
            <w:textDirection w:val="lrTb"/>
            <w:noWrap w:val="false"/>
          </w:tcPr>
          <w:p>
            <w:pPr>
              <w:pStyle w:val="1005"/>
              <w:ind w:left="57" w:right="57"/>
            </w:pPr>
            <w:r>
              <w:t xml:space="preserve">Код цели</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Сумма НДС</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Сумма НДС, итого</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Номер бюджетного обязательства</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ОКАТО</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Сумма</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Направление платежа (код)</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Направление платежа (наименование)</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17" w:type="pct"/>
            <w:textDirection w:val="lrTb"/>
            <w:noWrap w:val="false"/>
          </w:tcPr>
          <w:p>
            <w:pPr>
              <w:pStyle w:val="1005"/>
              <w:ind w:left="57" w:right="57"/>
            </w:pPr>
            <w:r>
              <w:t xml:space="preserve">Месяц финансирования</w:t>
            </w:r>
            <w:r/>
          </w:p>
        </w:tc>
        <w:tc>
          <w:tcPr>
            <w:shd w:val="clear" w:fill="auto" w:color="auto"/>
            <w:tcW w:w="2983" w:type="pct"/>
            <w:textDirection w:val="lrTb"/>
            <w:noWrap w:val="false"/>
          </w:tcPr>
          <w:p>
            <w:pPr>
              <w:pStyle w:val="1005"/>
              <w:ind w:left="57" w:right="57"/>
            </w:pPr>
            <w:r>
              <w:t xml:space="preserve">Заполняется соответствующим значением, выгруженным из ППО OEBS АСФК.</w:t>
            </w:r>
            <w:r/>
          </w:p>
        </w:tc>
      </w:tr>
    </w:tbl>
    <w:p>
      <w:pPr>
        <w:pStyle w:val="994"/>
      </w:pPr>
      <w:r>
        <w:t xml:space="preserve">ЭФ документа «Информация о кассовых операциях на лицевых счетах учреждений</w:t>
      </w:r>
      <w:r>
        <w:t xml:space="preserve">», закладки «</w:t>
      </w:r>
      <w:r>
        <w:t xml:space="preserve">Сводная заявка на кассовый расход</w:t>
      </w:r>
      <w:r>
        <w:t xml:space="preserve">» представлена на рисунке</w:t>
      </w:r>
      <w:r>
        <w:t xml:space="preserve"> </w:t>
      </w:r>
      <w:r>
        <w:fldChar w:fldCharType="begin"/>
      </w:r>
      <w:r>
        <w:instrText xml:space="preserve"> REF _Ref404854460 \h </w:instrText>
      </w:r>
      <w:r>
        <w:fldChar w:fldCharType="separate"/>
      </w:r>
      <w:r>
        <w:t xml:space="preserve">262</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3749040"/>
                <wp:effectExtent l="0" t="0" r="0" b="0"/>
                <wp:docPr id="38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45"/>
                        <a:stretch/>
                      </pic:blipFill>
                      <pic:spPr bwMode="auto">
                        <a:xfrm>
                          <a:off x="0" y="0"/>
                          <a:ext cx="6134100" cy="37490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8" o:spid="_x0000_s388" type="#_x0000_t75" style="mso-wrap-distance-left:0.0pt;mso-wrap-distance-top:0.0pt;mso-wrap-distance-right:0.0pt;mso-wrap-distance-bottom:0.0pt;width:483.0pt;height:295.2pt;" stroked="f">
                <v:path textboxrect="0,0,0,0"/>
                <v:imagedata r:id="rId345" o:title=""/>
              </v:shape>
            </w:pict>
          </mc:Fallback>
        </mc:AlternateContent>
      </w:r>
      <w:r/>
    </w:p>
    <w:p>
      <w:pPr>
        <w:pStyle w:val="983"/>
      </w:pPr>
      <w:r>
        <w:fldChar w:fldCharType="begin"/>
      </w:r>
      <w:r>
        <w:instrText xml:space="preserve"> SEQ Рисунок \* ARABIC </w:instrText>
      </w:r>
      <w:r>
        <w:fldChar w:fldCharType="separate"/>
      </w:r>
      <w:bookmarkStart w:id="1771" w:name="_Ref404854460"/>
      <w:r/>
      <w:bookmarkStart w:id="1772" w:name="_Toc88819647"/>
      <w:r>
        <w:t xml:space="preserve">262</w:t>
      </w:r>
      <w:bookmarkEnd w:id="1771"/>
      <w:r>
        <w:fldChar w:fldCharType="end"/>
      </w:r>
      <w:r>
        <w:t xml:space="preserve">. ЭФ документа «Информация о кассовых операциях на лицевых счетах у</w:t>
      </w:r>
      <w:r>
        <w:t xml:space="preserve">ч</w:t>
      </w:r>
      <w:r>
        <w:t xml:space="preserve">реждений</w:t>
      </w:r>
      <w:r>
        <w:t xml:space="preserve">», закладки «</w:t>
      </w:r>
      <w:r>
        <w:t xml:space="preserve">Сводная заявка на кассовый расход»</w:t>
      </w:r>
      <w:bookmarkEnd w:id="1772"/>
      <w:r/>
      <w:r/>
    </w:p>
    <w:p>
      <w:pPr>
        <w:pStyle w:val="994"/>
      </w:pPr>
      <w:r>
        <w:t xml:space="preserve">Перечень полей документа «Информация о кассовых операциях на лицевых счетах учреждений</w:t>
      </w:r>
      <w:r>
        <w:t xml:space="preserve">», закладки «</w:t>
      </w:r>
      <w:r>
        <w:t xml:space="preserve">Сводная заявка на кассовый расход» </w:t>
      </w:r>
      <w:r>
        <w:t xml:space="preserve">приведен в таблице </w:t>
      </w:r>
      <w:r>
        <w:fldChar w:fldCharType="begin"/>
      </w:r>
      <w:r>
        <w:instrText xml:space="preserve"> REF _Ref372024132 \h </w:instrText>
      </w:r>
      <w:r>
        <w:instrText xml:space="preserve"> \* MERGEFORMAT </w:instrText>
      </w:r>
      <w:r>
        <w:fldChar w:fldCharType="separate"/>
      </w:r>
      <w:r>
        <w:t xml:space="preserve">152</w:t>
      </w:r>
      <w:r>
        <w:fldChar w:fldCharType="end"/>
      </w:r>
      <w:r>
        <w:t xml:space="preserve">.</w:t>
      </w:r>
      <w:r/>
    </w:p>
    <w:p>
      <w:pPr>
        <w:pStyle w:val="993"/>
      </w:pPr>
      <w:r>
        <w:fldChar w:fldCharType="begin"/>
      </w:r>
      <w:r>
        <w:instrText xml:space="preserve"> SEQ Таблица \* ARABIC </w:instrText>
      </w:r>
      <w:r>
        <w:fldChar w:fldCharType="separate"/>
      </w:r>
      <w:bookmarkStart w:id="1773" w:name="_Ref372024132"/>
      <w:r/>
      <w:bookmarkStart w:id="1774" w:name="_Toc88819339"/>
      <w:r>
        <w:t xml:space="preserve">152</w:t>
      </w:r>
      <w:bookmarkEnd w:id="1773"/>
      <w:r>
        <w:fldChar w:fldCharType="end"/>
      </w:r>
      <w:r>
        <w:t xml:space="preserve">. Описание полей документа «Информация о кассовых операциях на лицевых счетах учреждений</w:t>
      </w:r>
      <w:r>
        <w:t xml:space="preserve">», закладки «</w:t>
      </w:r>
      <w:r>
        <w:t xml:space="preserve">Сводная заявка на кассовый расход»</w:t>
      </w:r>
      <w:bookmarkEnd w:id="1774"/>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468"/>
        <w:gridCol w:w="6284"/>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778"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222"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Сводная заявка на кассовый расход</w:t>
            </w:r>
            <w:r>
              <w:t xml:space="preserve">»</w:t>
            </w:r>
            <w:r/>
          </w:p>
        </w:tc>
      </w:tr>
      <w:tr>
        <w:trPr/>
        <w:tc>
          <w:tcPr>
            <w:shd w:val="clear" w:fill="auto" w:color="auto"/>
            <w:tcW w:w="1778" w:type="pct"/>
            <w:textDirection w:val="lrTb"/>
            <w:noWrap w:val="false"/>
          </w:tcPr>
          <w:p>
            <w:pPr>
              <w:pStyle w:val="1005"/>
              <w:ind w:left="57" w:right="57"/>
            </w:pPr>
            <w:r>
              <w:t xml:space="preserve">Номер заявки</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Дата заявки</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Наименование клиента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Номер лицевого счета клиента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Табличное поле «Реквизиты документа (Вложенная таблица)»</w:t>
            </w:r>
            <w:r/>
          </w:p>
        </w:tc>
      </w:tr>
      <w:tr>
        <w:trPr/>
        <w:tc>
          <w:tcPr>
            <w:shd w:val="clear" w:fill="auto" w:color="auto"/>
            <w:tcW w:w="1778" w:type="pct"/>
            <w:textDirection w:val="lrTb"/>
            <w:noWrap w:val="false"/>
          </w:tcPr>
          <w:p>
            <w:pPr>
              <w:pStyle w:val="1005"/>
              <w:ind w:left="57" w:right="57"/>
            </w:pPr>
            <w:r>
              <w:t xml:space="preserve">Код БК по расходам</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Код БК по доходам</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Статус налогоплательщика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Вид платежа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Очередность платежа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Сумма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Код цели плательщика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Назначение платежа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Примечание</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Табличное поле «Раздел 2 (Вложенная таблица)»</w:t>
            </w:r>
            <w:r/>
          </w:p>
        </w:tc>
      </w:tr>
      <w:tr>
        <w:trPr/>
        <w:tc>
          <w:tcPr>
            <w:gridSpan w:val="2"/>
            <w:shd w:val="clear" w:fill="auto" w:color="auto"/>
            <w:tcW w:w="5000" w:type="pct"/>
            <w:textDirection w:val="lrTb"/>
            <w:noWrap w:val="false"/>
          </w:tcPr>
          <w:p>
            <w:pPr>
              <w:pStyle w:val="1005"/>
              <w:ind w:left="57" w:right="57"/>
            </w:pPr>
            <w:r>
              <w:t xml:space="preserve">Группа полей «Плательщик/ Реквизиты получателя платежа»</w:t>
            </w:r>
            <w:r/>
          </w:p>
        </w:tc>
      </w:tr>
      <w:tr>
        <w:trPr/>
        <w:tc>
          <w:tcPr>
            <w:shd w:val="clear" w:fill="auto" w:color="auto"/>
            <w:tcW w:w="1778" w:type="pct"/>
            <w:textDirection w:val="lrTb"/>
            <w:noWrap w:val="false"/>
          </w:tcPr>
          <w:p>
            <w:pPr>
              <w:pStyle w:val="1005"/>
              <w:ind w:left="57" w:right="57"/>
            </w:pPr>
            <w:r>
              <w:t xml:space="preserve">№ п/п</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ИНН</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КПП</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Сумма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Номер БО</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rHeight w:val="451"/>
        </w:trPr>
        <w:tc>
          <w:tcPr>
            <w:shd w:val="clear" w:fill="auto" w:color="auto"/>
            <w:tcW w:w="1778" w:type="pct"/>
            <w:textDirection w:val="lrTb"/>
            <w:noWrap w:val="false"/>
          </w:tcPr>
          <w:p>
            <w:pPr>
              <w:pStyle w:val="1005"/>
              <w:ind w:left="57" w:right="57"/>
            </w:pPr>
            <w:r>
              <w:t xml:space="preserve">Наименование ОрФК (наименование налогового органа)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ИНН налог. </w:t>
            </w:r>
            <w:r>
              <w:t xml:space="preserve">О</w:t>
            </w:r>
            <w:r>
              <w:t xml:space="preserve">ргана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КПП налог. </w:t>
            </w:r>
            <w:r>
              <w:t xml:space="preserve">О</w:t>
            </w:r>
            <w:r>
              <w:t xml:space="preserve">ргана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Счет получателя</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Наименование банка получателя</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БИК</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Корреспондентский счет</w:t>
            </w:r>
            <w:r/>
          </w:p>
        </w:tc>
        <w:tc>
          <w:tcPr>
            <w:shd w:val="clear" w:fill="auto" w:color="auto"/>
            <w:tcW w:w="3222" w:type="pct"/>
            <w:textDirection w:val="lrTb"/>
            <w:noWrap w:val="false"/>
          </w:tcPr>
          <w:p>
            <w:pPr>
              <w:pStyle w:val="1005"/>
              <w:ind w:left="57" w:right="57"/>
            </w:pPr>
            <w:r/>
            <w:r/>
          </w:p>
        </w:tc>
      </w:tr>
      <w:tr>
        <w:trPr/>
        <w:tc>
          <w:tcPr>
            <w:gridSpan w:val="2"/>
            <w:shd w:val="clear" w:fill="auto" w:color="auto"/>
            <w:tcW w:w="5000" w:type="pct"/>
            <w:textDirection w:val="lrTb"/>
            <w:noWrap w:val="false"/>
          </w:tcPr>
          <w:p>
            <w:pPr>
              <w:pStyle w:val="1005"/>
              <w:ind w:left="57" w:right="57"/>
            </w:pPr>
            <w:r>
              <w:t xml:space="preserve">Группа полей «Реквизиты налоговых платежей»</w:t>
            </w:r>
            <w:r/>
          </w:p>
        </w:tc>
      </w:tr>
      <w:tr>
        <w:trPr/>
        <w:tc>
          <w:tcPr>
            <w:shd w:val="clear" w:fill="auto" w:color="auto"/>
            <w:tcW w:w="1778" w:type="pct"/>
            <w:textDirection w:val="lrTb"/>
            <w:noWrap w:val="false"/>
          </w:tcPr>
          <w:p>
            <w:pPr>
              <w:pStyle w:val="1005"/>
              <w:ind w:left="57" w:right="57"/>
            </w:pPr>
            <w:r>
              <w:t xml:space="preserve">ОКАТО</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Основание платежа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Налоговый период</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Номер документа-основания</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Дата документа-основания</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Тип платежа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Назначение платежа</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1778" w:type="pct"/>
            <w:textDirection w:val="lrTb"/>
            <w:noWrap w:val="false"/>
          </w:tcPr>
          <w:p>
            <w:pPr>
              <w:pStyle w:val="1005"/>
              <w:ind w:left="57" w:right="57"/>
            </w:pPr>
            <w:r>
              <w:t xml:space="preserve">Примечание</w:t>
            </w:r>
            <w:r/>
          </w:p>
        </w:tc>
        <w:tc>
          <w:tcPr>
            <w:shd w:val="clear" w:fill="auto" w:color="auto"/>
            <w:tcW w:w="3222" w:type="pct"/>
            <w:textDirection w:val="lrTb"/>
            <w:noWrap w:val="false"/>
          </w:tcPr>
          <w:p>
            <w:pPr>
              <w:pStyle w:val="1005"/>
              <w:ind w:left="57" w:right="57"/>
            </w:pPr>
            <w:r>
              <w:t xml:space="preserve">Заполняется соответствующим значением, выгруженным из ППО OEBS АСФК.</w:t>
            </w:r>
            <w:r/>
          </w:p>
        </w:tc>
      </w:tr>
    </w:tbl>
    <w:p>
      <w:pPr>
        <w:pStyle w:val="994"/>
      </w:pPr>
      <w:r/>
      <w:bookmarkStart w:id="1775" w:name="_Ref372032707"/>
      <w:r/>
      <w:bookmarkStart w:id="1776" w:name="_Toc371526037"/>
      <w:r>
        <w:t xml:space="preserve">ЭФ документа </w:t>
      </w:r>
      <w:r>
        <w:t xml:space="preserve">«Информация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 представлена на рисунке </w:t>
      </w:r>
      <w:r>
        <w:fldChar w:fldCharType="begin"/>
      </w:r>
      <w:r>
        <w:instrText xml:space="preserve"> REF _Ref490048204 \h </w:instrText>
      </w:r>
      <w:r>
        <w:fldChar w:fldCharType="separate"/>
      </w:r>
      <w:r>
        <w:t xml:space="preserve">263</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4838700"/>
                <wp:effectExtent l="0" t="0" r="0" b="0"/>
                <wp:docPr id="39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46"/>
                        <a:stretch/>
                      </pic:blipFill>
                      <pic:spPr bwMode="auto">
                        <a:xfrm>
                          <a:off x="0" y="0"/>
                          <a:ext cx="6134100" cy="48387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9" o:spid="_x0000_s389" type="#_x0000_t75" style="mso-wrap-distance-left:0.0pt;mso-wrap-distance-top:0.0pt;mso-wrap-distance-right:0.0pt;mso-wrap-distance-bottom:0.0pt;width:483.0pt;height:381.0pt;" stroked="f">
                <v:path textboxrect="0,0,0,0"/>
                <v:imagedata r:id="rId346" o:title=""/>
              </v:shape>
            </w:pict>
          </mc:Fallback>
        </mc:AlternateContent>
      </w:r>
      <w:r/>
    </w:p>
    <w:p>
      <w:pPr>
        <w:pStyle w:val="983"/>
      </w:pPr>
      <w:r>
        <w:fldChar w:fldCharType="begin"/>
      </w:r>
      <w:r>
        <w:instrText xml:space="preserve"> SEQ Рисунок \* ARABIC </w:instrText>
      </w:r>
      <w:r>
        <w:fldChar w:fldCharType="separate"/>
      </w:r>
      <w:bookmarkStart w:id="1777" w:name="_Ref490048204"/>
      <w:r/>
      <w:bookmarkStart w:id="1778" w:name="_Toc88819648"/>
      <w:r>
        <w:t xml:space="preserve">263</w:t>
      </w:r>
      <w:bookmarkEnd w:id="1777"/>
      <w:r>
        <w:fldChar w:fldCharType="end"/>
      </w:r>
      <w:r>
        <w:t xml:space="preserve">. ЭФ документа </w:t>
      </w:r>
      <w:r>
        <w:t xml:space="preserve">«</w:t>
      </w:r>
      <w:r>
        <w:t xml:space="preserve">Информация о кассовых операциях на лицевых счетах у</w:t>
      </w:r>
      <w:r>
        <w:t xml:space="preserve">ч</w:t>
      </w:r>
      <w:r>
        <w:t xml:space="preserve">реждений</w:t>
      </w:r>
      <w:r>
        <w:t xml:space="preserve">», закладки «Распоряжение о перечислении денежных средств на банковские карты </w:t>
      </w:r>
      <w:r>
        <w:t xml:space="preserve">«</w:t>
      </w:r>
      <w:r>
        <w:t xml:space="preserve">Мир</w:t>
      </w:r>
      <w:r>
        <w:t xml:space="preserve">»</w:t>
      </w:r>
      <w:r>
        <w:t xml:space="preserve"> ф</w:t>
      </w:r>
      <w:r>
        <w:t xml:space="preserve">и</w:t>
      </w:r>
      <w:r>
        <w:t xml:space="preserve">зических лиц»</w:t>
      </w:r>
      <w:bookmarkEnd w:id="1778"/>
      <w:r/>
      <w:r/>
    </w:p>
    <w:p>
      <w:pPr>
        <w:pStyle w:val="994"/>
      </w:pPr>
      <w:r>
        <w:t xml:space="preserve">Перечень полей документа </w:t>
      </w:r>
      <w:r>
        <w:t xml:space="preserve">«Информация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 представлен в таблице </w:t>
      </w:r>
      <w:r>
        <w:fldChar w:fldCharType="begin"/>
      </w:r>
      <w:r>
        <w:instrText xml:space="preserve"> REF _Ref490048205 \h </w:instrText>
      </w:r>
      <w:r>
        <w:fldChar w:fldCharType="separate"/>
      </w:r>
      <w:r>
        <w:t xml:space="preserve">153</w:t>
      </w:r>
      <w:r>
        <w:fldChar w:fldCharType="end"/>
      </w:r>
      <w:r>
        <w:t xml:space="preserve">.</w:t>
      </w:r>
      <w:r/>
    </w:p>
    <w:p>
      <w:pPr>
        <w:pStyle w:val="993"/>
      </w:pPr>
      <w:r>
        <w:fldChar w:fldCharType="begin"/>
      </w:r>
      <w:r>
        <w:instrText xml:space="preserve"> SEQ Таблица \* ARABIC </w:instrText>
      </w:r>
      <w:r>
        <w:fldChar w:fldCharType="separate"/>
      </w:r>
      <w:bookmarkStart w:id="1779" w:name="_Ref490048205"/>
      <w:r/>
      <w:bookmarkStart w:id="1780" w:name="_Toc88819340"/>
      <w:r>
        <w:t xml:space="preserve">153</w:t>
      </w:r>
      <w:bookmarkEnd w:id="1779"/>
      <w:r>
        <w:fldChar w:fldCharType="end"/>
      </w:r>
      <w:r>
        <w:t xml:space="preserve">. Описание полей документа «Информация о кассовых операциях на лицевых счетах учреждений», закладки «Распоряжение о перечислении денежных средств на банковские карты «Мир» физических лиц»</w:t>
      </w:r>
      <w:bookmarkEnd w:id="1780"/>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4045"/>
        <w:gridCol w:w="5707"/>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07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926"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«Р</w:t>
            </w:r>
            <w:r>
              <w:t xml:space="preserve">аспоряжение о перечислении денежных средств на банковские карты «Мир» физич</w:t>
            </w:r>
            <w:r>
              <w:t xml:space="preserve">е</w:t>
            </w:r>
            <w:r>
              <w:t xml:space="preserve">ских лиц</w:t>
            </w:r>
            <w:r>
              <w:t xml:space="preserve">». Основные реквизиты документа.</w:t>
            </w:r>
            <w:r/>
          </w:p>
        </w:tc>
      </w:tr>
      <w:tr>
        <w:trPr/>
        <w:tc>
          <w:tcPr>
            <w:shd w:val="clear" w:fill="auto" w:color="auto"/>
            <w:tcW w:w="2074" w:type="pct"/>
            <w:textDirection w:val="lrTb"/>
            <w:noWrap w:val="false"/>
          </w:tcPr>
          <w:p>
            <w:pPr>
              <w:pStyle w:val="1005"/>
              <w:ind w:left="57" w:right="57"/>
            </w:pPr>
            <w:r>
              <w:t xml:space="preserve">Номер </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Дата </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Сумма всего</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Код</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Номер ЛС</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Наименование клиента</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БО</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w:t>
            </w:r>
            <w:r>
              <w:t xml:space="preserve">Информация о выплатах</w:t>
            </w:r>
            <w:r>
              <w:t xml:space="preserve">»</w:t>
            </w:r>
            <w:r/>
          </w:p>
        </w:tc>
      </w:tr>
      <w:tr>
        <w:trPr/>
        <w:tc>
          <w:tcPr>
            <w:shd w:val="clear" w:fill="auto" w:color="auto"/>
            <w:tcW w:w="2074" w:type="pct"/>
            <w:textDirection w:val="lrTb"/>
            <w:noWrap w:val="false"/>
          </w:tcPr>
          <w:p>
            <w:pPr>
              <w:pStyle w:val="1005"/>
              <w:ind w:left="57" w:right="57"/>
            </w:pPr>
            <w:r>
              <w:t xml:space="preserve">№</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Код вида выплаты</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Сумма выплаты</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w:t>
            </w:r>
            <w:r>
              <w:t xml:space="preserve">Информация о выплатах по КБК</w:t>
            </w:r>
            <w:r>
              <w:t xml:space="preserve">»</w:t>
            </w:r>
            <w:r/>
          </w:p>
        </w:tc>
      </w:tr>
      <w:tr>
        <w:trPr/>
        <w:tc>
          <w:tcPr>
            <w:shd w:val="clear" w:fill="auto" w:color="auto"/>
            <w:tcW w:w="2074" w:type="pct"/>
            <w:textDirection w:val="lrTb"/>
            <w:noWrap w:val="false"/>
          </w:tcPr>
          <w:p>
            <w:pPr>
              <w:pStyle w:val="1005"/>
              <w:ind w:left="57" w:right="57"/>
            </w:pPr>
            <w:r>
              <w:t xml:space="preserve">КБК</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Сумма</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bl>
    <w:p>
      <w:pPr>
        <w:pStyle w:val="994"/>
      </w:pPr>
      <w:r>
        <w:t xml:space="preserve">ЭФ документа </w:t>
      </w:r>
      <w:r>
        <w:t xml:space="preserve">«Информация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представлена на рисунке </w:t>
      </w:r>
      <w:r>
        <w:fldChar w:fldCharType="begin"/>
      </w:r>
      <w:r>
        <w:instrText xml:space="preserve"> REF _Ref490048206 \h </w:instrText>
      </w:r>
      <w:r>
        <w:fldChar w:fldCharType="separate"/>
      </w:r>
      <w:r>
        <w:t xml:space="preserve">264</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4861560"/>
                <wp:effectExtent l="0" t="0" r="0" b="0"/>
                <wp:docPr id="39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47"/>
                        <a:stretch/>
                      </pic:blipFill>
                      <pic:spPr bwMode="auto">
                        <a:xfrm>
                          <a:off x="0" y="0"/>
                          <a:ext cx="6118860" cy="48615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0" o:spid="_x0000_s390" type="#_x0000_t75" style="mso-wrap-distance-left:0.0pt;mso-wrap-distance-top:0.0pt;mso-wrap-distance-right:0.0pt;mso-wrap-distance-bottom:0.0pt;width:481.8pt;height:382.8pt;" stroked="f">
                <v:path textboxrect="0,0,0,0"/>
                <v:imagedata r:id="rId347" o:title=""/>
              </v:shape>
            </w:pict>
          </mc:Fallback>
        </mc:AlternateContent>
      </w:r>
      <w:r/>
    </w:p>
    <w:p>
      <w:pPr>
        <w:pStyle w:val="983"/>
      </w:pPr>
      <w:r>
        <w:fldChar w:fldCharType="begin"/>
      </w:r>
      <w:r>
        <w:instrText xml:space="preserve"> SEQ Рисунок \* ARABIC </w:instrText>
      </w:r>
      <w:r>
        <w:fldChar w:fldCharType="separate"/>
      </w:r>
      <w:bookmarkStart w:id="1781" w:name="_Ref490048206"/>
      <w:r/>
      <w:bookmarkStart w:id="1782" w:name="_Toc88819649"/>
      <w:r>
        <w:t xml:space="preserve">264</w:t>
      </w:r>
      <w:bookmarkEnd w:id="1781"/>
      <w:r>
        <w:fldChar w:fldCharType="end"/>
      </w:r>
      <w:r>
        <w:t xml:space="preserve">. ЭФ документа </w:t>
      </w:r>
      <w:r>
        <w:t xml:space="preserve">«</w:t>
      </w:r>
      <w:r>
        <w:t xml:space="preserve">Информация о кассовых операциях на лицевых счетах у</w:t>
      </w:r>
      <w:r>
        <w:t xml:space="preserve">ч</w:t>
      </w:r>
      <w:r>
        <w:t xml:space="preserve">реждений</w:t>
      </w:r>
      <w:r>
        <w:t xml:space="preserve">», закладки «Извещение об исполнении распоряжения о перечислении денежных средств на банковские карты </w:t>
      </w:r>
      <w:r>
        <w:t xml:space="preserve">«</w:t>
      </w:r>
      <w:r>
        <w:t xml:space="preserve">Мир</w:t>
      </w:r>
      <w:r>
        <w:t xml:space="preserve">»</w:t>
      </w:r>
      <w:r>
        <w:t xml:space="preserve"> физических лиц»</w:t>
      </w:r>
      <w:bookmarkEnd w:id="1782"/>
      <w:r/>
      <w:r/>
    </w:p>
    <w:p>
      <w:pPr>
        <w:pStyle w:val="994"/>
      </w:pPr>
      <w:r>
        <w:t xml:space="preserve">Перечень полей документа </w:t>
      </w:r>
      <w:r>
        <w:t xml:space="preserve">«Информация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 представлен в таблице </w:t>
      </w:r>
      <w:r>
        <w:fldChar w:fldCharType="begin"/>
      </w:r>
      <w:r>
        <w:instrText xml:space="preserve"> REF _Ref490048207 \h </w:instrText>
      </w:r>
      <w:r>
        <w:fldChar w:fldCharType="separate"/>
      </w:r>
      <w:r>
        <w:t xml:space="preserve">154</w:t>
      </w:r>
      <w:r>
        <w:fldChar w:fldCharType="end"/>
      </w:r>
      <w:r>
        <w:t xml:space="preserve">.</w:t>
      </w:r>
      <w:r/>
    </w:p>
    <w:p>
      <w:pPr>
        <w:pStyle w:val="993"/>
      </w:pPr>
      <w:r>
        <w:fldChar w:fldCharType="begin"/>
      </w:r>
      <w:r>
        <w:instrText xml:space="preserve"> SEQ Таблица \* ARABIC </w:instrText>
      </w:r>
      <w:r>
        <w:fldChar w:fldCharType="separate"/>
      </w:r>
      <w:bookmarkStart w:id="1783" w:name="_Ref490048207"/>
      <w:r/>
      <w:bookmarkStart w:id="1784" w:name="_Toc88819341"/>
      <w:r>
        <w:t xml:space="preserve">154</w:t>
      </w:r>
      <w:bookmarkEnd w:id="1783"/>
      <w:r>
        <w:fldChar w:fldCharType="end"/>
      </w:r>
      <w:r>
        <w:t xml:space="preserve">. Описание полей документа «Информация о кассовых операциях на лицевых счетах учреждений», закладки «Извещение об исполнении распоряжения о перечислении денежных средств на банковские карты «Мир» физических лиц»</w:t>
      </w:r>
      <w:bookmarkEnd w:id="1784"/>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4045"/>
        <w:gridCol w:w="5707"/>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07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926"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«Извещение об исполнении распоряжения о перечислении денежных средств на ба</w:t>
            </w:r>
            <w:r>
              <w:t xml:space="preserve">н</w:t>
            </w:r>
            <w:r>
              <w:t xml:space="preserve">ковские карты </w:t>
            </w:r>
            <w:r>
              <w:t xml:space="preserve">«</w:t>
            </w:r>
            <w:r>
              <w:t xml:space="preserve">Мир</w:t>
            </w:r>
            <w:r>
              <w:t xml:space="preserve">»</w:t>
            </w:r>
            <w:r>
              <w:t xml:space="preserve"> физических лиц». Основные реквизиты документа.</w:t>
            </w:r>
            <w:r/>
          </w:p>
        </w:tc>
      </w:tr>
      <w:tr>
        <w:trPr/>
        <w:tc>
          <w:tcPr>
            <w:shd w:val="clear" w:fill="auto" w:color="auto"/>
            <w:tcW w:w="2074" w:type="pct"/>
            <w:textDirection w:val="lrTb"/>
            <w:noWrap w:val="false"/>
          </w:tcPr>
          <w:p>
            <w:pPr>
              <w:pStyle w:val="1005"/>
              <w:ind w:left="57" w:right="57"/>
            </w:pPr>
            <w:r>
              <w:t xml:space="preserve">Номер </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Дата </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Сумма всего</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Код</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Номер ЛС</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Наименование клиента</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Дата </w:t>
            </w:r>
            <w:r>
              <w:t xml:space="preserve">распоряжения</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Номер распоряжения</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Количество неподтвержденных выплат</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Сумма неподтвержденных выплат, итого</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Количество исполненных выплат</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Сумма исполненных выплат, итого</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w:t>
            </w:r>
            <w:r>
              <w:t xml:space="preserve">Информация о неподтвержденных выплатах</w:t>
            </w:r>
            <w:r>
              <w:t xml:space="preserve">»</w:t>
            </w:r>
            <w:r/>
          </w:p>
        </w:tc>
      </w:tr>
      <w:tr>
        <w:trPr/>
        <w:tc>
          <w:tcPr>
            <w:shd w:val="clear" w:fill="auto" w:color="auto"/>
            <w:tcW w:w="2074" w:type="pct"/>
            <w:textDirection w:val="lrTb"/>
            <w:noWrap w:val="false"/>
          </w:tcPr>
          <w:p>
            <w:pPr>
              <w:pStyle w:val="1005"/>
              <w:ind w:left="57" w:right="57"/>
            </w:pPr>
            <w:r>
              <w:t xml:space="preserve">№ п/п</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 строки выплаты в распоряжении</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Код вида выплаты</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Сумма выплаты</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w:t>
            </w:r>
            <w:r>
              <w:t xml:space="preserve">Информация о выплатах по КБК</w:t>
            </w:r>
            <w:r>
              <w:t xml:space="preserve">»</w:t>
            </w:r>
            <w:r>
              <w:t xml:space="preserve">. </w:t>
            </w:r>
            <w:r>
              <w:t xml:space="preserve">Таблица заполняется построчно из реквизитов «КБК» и «Сумма» из табличных частей первого порядка «Информация по неподтвержденным выпл</w:t>
            </w:r>
            <w:r>
              <w:t xml:space="preserve">а</w:t>
            </w:r>
            <w:r>
              <w:t xml:space="preserve">там в разрезе КБК» (#т1) и «Информация по исполненным выплатам в разрезе КБК» (#т2) (Копируе</w:t>
            </w:r>
            <w:r>
              <w:t xml:space="preserve">т</w:t>
            </w:r>
            <w:r>
              <w:t xml:space="preserve">ся из полей КБК и Сумма из документа «Распоряжение о перечислении денежных средств на банко</w:t>
            </w:r>
            <w:r>
              <w:t xml:space="preserve">в</w:t>
            </w:r>
            <w:r>
              <w:t xml:space="preserve">ские карты «Мир» физических лиц».</w:t>
            </w:r>
            <w:r/>
          </w:p>
        </w:tc>
      </w:tr>
      <w:tr>
        <w:trPr/>
        <w:tc>
          <w:tcPr>
            <w:shd w:val="clear" w:fill="auto" w:color="auto"/>
            <w:tcW w:w="2074" w:type="pct"/>
            <w:textDirection w:val="lrTb"/>
            <w:noWrap w:val="false"/>
          </w:tcPr>
          <w:p>
            <w:pPr>
              <w:pStyle w:val="1005"/>
              <w:ind w:left="57" w:right="57"/>
            </w:pPr>
            <w:r>
              <w:t xml:space="preserve">КБК</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Сумма</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Категория</w:t>
            </w:r>
            <w:r/>
          </w:p>
        </w:tc>
        <w:tc>
          <w:tcPr>
            <w:shd w:val="clear" w:fill="auto" w:color="auto"/>
            <w:tcW w:w="2926" w:type="pct"/>
            <w:textDirection w:val="lrTb"/>
            <w:noWrap w:val="false"/>
          </w:tcPr>
          <w:p>
            <w:pPr>
              <w:pStyle w:val="1005"/>
              <w:ind w:left="57" w:right="57"/>
            </w:pPr>
            <w:r>
              <w:t xml:space="preserve">Для реквизитов таблицы #т1 отражается текст «Не испо</w:t>
            </w:r>
            <w:r>
              <w:t xml:space="preserve">л</w:t>
            </w:r>
            <w:r>
              <w:t xml:space="preserve">нено». </w:t>
            </w:r>
            <w:r/>
          </w:p>
          <w:p>
            <w:pPr>
              <w:pStyle w:val="1005"/>
              <w:ind w:left="57" w:right="57"/>
            </w:pPr>
            <w:r>
              <w:t xml:space="preserve">Для реквизитов таблицы #т2 отражается текст «Исполн</w:t>
            </w:r>
            <w:r>
              <w:t xml:space="preserve">е</w:t>
            </w:r>
            <w:r>
              <w:t xml:space="preserve">но».</w:t>
            </w:r>
            <w:r/>
          </w:p>
          <w:p>
            <w:pPr>
              <w:pStyle w:val="1005"/>
              <w:ind w:left="57" w:right="57"/>
            </w:pPr>
            <w:r>
              <w:t xml:space="preserve">Для реквизитов 3.3.1, 3.3.2 отражается текст «Не исполн</w:t>
            </w:r>
            <w:r>
              <w:t xml:space="preserve">е</w:t>
            </w:r>
            <w:r>
              <w:t xml:space="preserve">но».</w:t>
            </w:r>
            <w:r/>
          </w:p>
          <w:p>
            <w:pPr>
              <w:pStyle w:val="1005"/>
              <w:ind w:left="57" w:right="57"/>
            </w:pPr>
            <w:r>
              <w:t xml:space="preserve"> Для реквизитов 3.4.1, 3.4.2 отражается текст «Исполн</w:t>
            </w:r>
            <w:r>
              <w:t xml:space="preserve">е</w:t>
            </w:r>
            <w:r>
              <w:t xml:space="preserve">но».</w:t>
            </w:r>
            <w:bookmarkEnd w:id="1775"/>
            <w:r/>
          </w:p>
        </w:tc>
      </w:tr>
    </w:tbl>
    <w:p>
      <w:pPr>
        <w:pStyle w:val="994"/>
      </w:pPr>
      <w:r>
        <w:t xml:space="preserve">ЭФ документа </w:t>
      </w:r>
      <w:r>
        <w:t xml:space="preserve">«Информация о кассовых операциях на лицевых счетах учреждений», закладки «Заявка для обеспечения наличными денежными средствами» представлена рисунке </w:t>
      </w:r>
      <w:r>
        <w:fldChar w:fldCharType="begin"/>
      </w:r>
      <w:r>
        <w:instrText xml:space="preserve"> REF _Ref496282098 \h </w:instrText>
      </w:r>
      <w:r>
        <w:fldChar w:fldCharType="separate"/>
      </w:r>
      <w:r>
        <w:t xml:space="preserve">265</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468880"/>
                <wp:effectExtent l="0" t="0" r="0" b="0"/>
                <wp:docPr id="39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48"/>
                        <a:stretch/>
                      </pic:blipFill>
                      <pic:spPr bwMode="auto">
                        <a:xfrm>
                          <a:off x="0" y="0"/>
                          <a:ext cx="6126480" cy="2468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1" o:spid="_x0000_s391" type="#_x0000_t75" style="mso-wrap-distance-left:0.0pt;mso-wrap-distance-top:0.0pt;mso-wrap-distance-right:0.0pt;mso-wrap-distance-bottom:0.0pt;width:482.4pt;height:194.4pt;" stroked="f">
                <v:path textboxrect="0,0,0,0"/>
                <v:imagedata r:id="rId348" o:title=""/>
              </v:shape>
            </w:pict>
          </mc:Fallback>
        </mc:AlternateContent>
      </w:r>
      <w:r/>
    </w:p>
    <w:p>
      <w:pPr>
        <w:pStyle w:val="983"/>
      </w:pPr>
      <w:r>
        <w:fldChar w:fldCharType="begin"/>
      </w:r>
      <w:r>
        <w:instrText xml:space="preserve"> SEQ Рисунок \* ARABIC </w:instrText>
      </w:r>
      <w:r>
        <w:fldChar w:fldCharType="separate"/>
      </w:r>
      <w:bookmarkStart w:id="1785" w:name="_Ref496282098"/>
      <w:r/>
      <w:bookmarkStart w:id="1786" w:name="_Toc88819650"/>
      <w:r>
        <w:t xml:space="preserve">265</w:t>
      </w:r>
      <w:bookmarkEnd w:id="1785"/>
      <w:r>
        <w:fldChar w:fldCharType="end"/>
      </w:r>
      <w:r>
        <w:t xml:space="preserve">. ЭФ документа </w:t>
      </w:r>
      <w:r>
        <w:t xml:space="preserve">«</w:t>
      </w:r>
      <w:r>
        <w:t xml:space="preserve">Информация о кассовых операциях на лицевых счетах у</w:t>
      </w:r>
      <w:r>
        <w:t xml:space="preserve">ч</w:t>
      </w:r>
      <w:r>
        <w:t xml:space="preserve">реждений</w:t>
      </w:r>
      <w:r>
        <w:t xml:space="preserve">», закладки «</w:t>
      </w:r>
      <w:r>
        <w:t xml:space="preserve">Заявка для обеспечения наличными денежными средствами</w:t>
      </w:r>
      <w:r>
        <w:t xml:space="preserve">»</w:t>
      </w:r>
      <w:bookmarkEnd w:id="1786"/>
      <w:r/>
      <w:r/>
    </w:p>
    <w:p>
      <w:pPr>
        <w:pStyle w:val="994"/>
      </w:pPr>
      <w:r>
        <w:t xml:space="preserve">Перечень полей документа </w:t>
      </w:r>
      <w:r>
        <w:t xml:space="preserve">«Информация о кассовых операциях на лицевых счетах учреждений», закладки «Заявка для обеспечения наличными денежными средствами» представлен в таблице </w:t>
      </w:r>
      <w:r>
        <w:fldChar w:fldCharType="begin"/>
      </w:r>
      <w:r>
        <w:instrText xml:space="preserve"> REF _Ref496282118 \h </w:instrText>
      </w:r>
      <w:r>
        <w:fldChar w:fldCharType="separate"/>
      </w:r>
      <w:r>
        <w:t xml:space="preserve">155</w:t>
      </w:r>
      <w:r>
        <w:fldChar w:fldCharType="end"/>
      </w:r>
      <w:r>
        <w:t xml:space="preserve">.</w:t>
      </w:r>
      <w:r/>
    </w:p>
    <w:p>
      <w:pPr>
        <w:pStyle w:val="993"/>
      </w:pPr>
      <w:r>
        <w:fldChar w:fldCharType="begin"/>
      </w:r>
      <w:r>
        <w:instrText xml:space="preserve"> SEQ Таблица \* ARABIC </w:instrText>
      </w:r>
      <w:r>
        <w:fldChar w:fldCharType="separate"/>
      </w:r>
      <w:bookmarkStart w:id="1787" w:name="_Ref496282118"/>
      <w:r/>
      <w:bookmarkStart w:id="1788" w:name="_Toc88819342"/>
      <w:r>
        <w:t xml:space="preserve">155</w:t>
      </w:r>
      <w:bookmarkEnd w:id="1787"/>
      <w:r>
        <w:fldChar w:fldCharType="end"/>
      </w:r>
      <w:r>
        <w:t xml:space="preserve">. Описание полей документа «Информация о кассовых операциях на лицевых счетах учреждений», закладки «Заявка для обеспечения наличными денежными средствами»</w:t>
      </w:r>
      <w:bookmarkEnd w:id="1788"/>
      <w:r>
        <w:t xml:space="preserve"> </w:t>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4045"/>
        <w:gridCol w:w="5707"/>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07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926"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Закладка </w:t>
            </w:r>
            <w:r>
              <w:t xml:space="preserve">«</w:t>
            </w:r>
            <w:r>
              <w:t xml:space="preserve">Заявка для обеспечения наличными денежными средствами</w:t>
            </w:r>
            <w:r>
              <w:t xml:space="preserve">»</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w:t>
            </w:r>
            <w:r>
              <w:t xml:space="preserve">Основные реквизиты документа</w:t>
            </w:r>
            <w:r>
              <w:t xml:space="preserve">»</w:t>
            </w:r>
            <w:r/>
          </w:p>
        </w:tc>
      </w:tr>
      <w:tr>
        <w:trPr/>
        <w:tc>
          <w:tcPr>
            <w:shd w:val="clear" w:fill="auto" w:color="auto"/>
            <w:tcW w:w="2074" w:type="pct"/>
            <w:textDirection w:val="lrTb"/>
            <w:noWrap w:val="false"/>
          </w:tcPr>
          <w:p>
            <w:pPr>
              <w:pStyle w:val="1005"/>
              <w:ind w:left="57" w:right="57"/>
            </w:pPr>
            <w:r>
              <w:t xml:space="preserve">Номер</w:t>
            </w:r>
            <w:r/>
          </w:p>
        </w:tc>
        <w:tc>
          <w:tcPr>
            <w:shd w:val="clear" w:fill="auto" w:color="auto"/>
            <w:tcW w:w="2926" w:type="pct"/>
            <w:textDirection w:val="lrTb"/>
            <w:noWrap w:val="false"/>
          </w:tcPr>
          <w:p>
            <w:pPr>
              <w:pStyle w:val="1005"/>
              <w:ind w:left="57" w:right="57"/>
            </w:pPr>
            <w:r>
              <w:t xml:space="preserve">Номер документа.</w:t>
            </w:r>
            <w:r/>
          </w:p>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Дата </w:t>
            </w:r>
            <w:r/>
          </w:p>
        </w:tc>
        <w:tc>
          <w:tcPr>
            <w:shd w:val="clear" w:fill="auto" w:color="auto"/>
            <w:tcW w:w="2926" w:type="pct"/>
            <w:textDirection w:val="lrTb"/>
            <w:noWrap w:val="false"/>
          </w:tcPr>
          <w:p>
            <w:pPr>
              <w:pStyle w:val="1005"/>
              <w:ind w:left="57" w:right="57"/>
            </w:pPr>
            <w:r>
              <w:t xml:space="preserve">Дата документа.</w:t>
            </w:r>
            <w:r/>
          </w:p>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Сумма</w:t>
            </w:r>
            <w:r/>
          </w:p>
        </w:tc>
        <w:tc>
          <w:tcPr>
            <w:shd w:val="clear" w:fill="auto" w:color="auto"/>
            <w:tcW w:w="2926" w:type="pct"/>
            <w:textDirection w:val="lrTb"/>
            <w:noWrap w:val="false"/>
          </w:tcPr>
          <w:p>
            <w:pPr>
              <w:pStyle w:val="1005"/>
              <w:ind w:left="57" w:right="57"/>
            </w:pPr>
            <w:r>
              <w:t xml:space="preserve">Итоговая сумма.</w:t>
            </w:r>
            <w:r/>
          </w:p>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Код клиента</w:t>
            </w:r>
            <w:r/>
          </w:p>
        </w:tc>
        <w:tc>
          <w:tcPr>
            <w:shd w:val="clear" w:fill="auto" w:color="auto"/>
            <w:tcW w:w="2926" w:type="pct"/>
            <w:textDirection w:val="lrTb"/>
            <w:noWrap w:val="false"/>
          </w:tcPr>
          <w:p>
            <w:pPr>
              <w:pStyle w:val="1005"/>
              <w:ind w:left="57" w:right="57"/>
            </w:pPr>
            <w:r>
              <w:t xml:space="preserve">Код по Сводному реестру клиента (учетный номер клиента).</w:t>
            </w:r>
            <w:r/>
          </w:p>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Номер ЛС</w:t>
            </w:r>
            <w:r/>
          </w:p>
        </w:tc>
        <w:tc>
          <w:tcPr>
            <w:shd w:val="clear" w:fill="auto" w:color="auto"/>
            <w:tcW w:w="2926" w:type="pct"/>
            <w:textDirection w:val="lrTb"/>
            <w:noWrap w:val="false"/>
          </w:tcPr>
          <w:p>
            <w:pPr>
              <w:pStyle w:val="1005"/>
              <w:ind w:left="57" w:right="57"/>
            </w:pPr>
            <w:r>
              <w:t xml:space="preserve">Номер лицевого счета клиента.</w:t>
            </w:r>
            <w:r/>
          </w:p>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Наименование клиента</w:t>
            </w:r>
            <w:r/>
          </w:p>
        </w:tc>
        <w:tc>
          <w:tcPr>
            <w:shd w:val="clear" w:fill="auto" w:color="auto"/>
            <w:tcW w:w="2926" w:type="pct"/>
            <w:textDirection w:val="lrTb"/>
            <w:noWrap w:val="false"/>
          </w:tcPr>
          <w:p>
            <w:pPr>
              <w:pStyle w:val="1005"/>
              <w:ind w:left="57" w:right="57"/>
            </w:pPr>
            <w:r>
              <w:t xml:space="preserve">Наименование клиента.</w:t>
            </w:r>
            <w:r/>
          </w:p>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Банковский счет</w:t>
            </w:r>
            <w:r/>
          </w:p>
        </w:tc>
        <w:tc>
          <w:tcPr>
            <w:shd w:val="clear" w:fill="auto" w:color="auto"/>
            <w:tcW w:w="2926" w:type="pct"/>
            <w:textDirection w:val="lrTb"/>
            <w:noWrap w:val="false"/>
          </w:tcPr>
          <w:p>
            <w:pPr>
              <w:pStyle w:val="1005"/>
              <w:ind w:left="57" w:right="57"/>
            </w:pPr>
            <w:r>
              <w:t xml:space="preserve">Номер банковского счета.</w:t>
            </w:r>
            <w:r/>
          </w:p>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БИК</w:t>
            </w:r>
            <w:r/>
          </w:p>
        </w:tc>
        <w:tc>
          <w:tcPr>
            <w:shd w:val="clear" w:fill="auto" w:color="auto"/>
            <w:tcW w:w="2926" w:type="pct"/>
            <w:textDirection w:val="lrTb"/>
            <w:noWrap w:val="false"/>
          </w:tcPr>
          <w:p>
            <w:pPr>
              <w:pStyle w:val="1005"/>
              <w:ind w:left="57" w:right="57"/>
            </w:pPr>
            <w:r>
              <w:t xml:space="preserve">БИК.</w:t>
            </w:r>
            <w:r/>
          </w:p>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БО</w:t>
            </w:r>
            <w:r/>
          </w:p>
        </w:tc>
        <w:tc>
          <w:tcPr>
            <w:shd w:val="clear" w:fill="auto" w:color="auto"/>
            <w:tcW w:w="2926" w:type="pct"/>
            <w:textDirection w:val="lrTb"/>
            <w:noWrap w:val="false"/>
          </w:tcPr>
          <w:p>
            <w:pPr>
              <w:pStyle w:val="1005"/>
              <w:ind w:left="57" w:right="57"/>
            </w:pPr>
            <w:r>
              <w:t xml:space="preserve">Номер бюджетного обязательства.</w:t>
            </w:r>
            <w:r/>
          </w:p>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Код объекта по ФАИП</w:t>
            </w:r>
            <w:r/>
          </w:p>
        </w:tc>
        <w:tc>
          <w:tcPr>
            <w:shd w:val="clear" w:fill="auto" w:color="auto"/>
            <w:tcW w:w="2926" w:type="pct"/>
            <w:textDirection w:val="lrTb"/>
            <w:noWrap w:val="false"/>
          </w:tcPr>
          <w:p>
            <w:pPr>
              <w:pStyle w:val="1005"/>
              <w:ind w:left="57" w:right="57"/>
            </w:pPr>
            <w:r>
              <w:t xml:space="preserve">Заполняется соответствующим значением, выгруженным из ППО OEBS АСФК.</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w:t>
            </w:r>
            <w:r>
              <w:t xml:space="preserve">Расшифровка документа</w:t>
            </w:r>
            <w:r>
              <w:t xml:space="preserve">»</w:t>
            </w:r>
            <w:r/>
          </w:p>
        </w:tc>
      </w:tr>
      <w:tr>
        <w:trPr/>
        <w:tc>
          <w:tcPr>
            <w:shd w:val="clear" w:fill="auto" w:color="auto"/>
            <w:tcW w:w="2074" w:type="pct"/>
            <w:textDirection w:val="lrTb"/>
            <w:noWrap w:val="false"/>
          </w:tcPr>
          <w:p>
            <w:pPr>
              <w:pStyle w:val="1005"/>
              <w:ind w:left="57" w:right="57"/>
            </w:pPr>
            <w:r>
              <w:t xml:space="preserve">№</w:t>
            </w:r>
            <w:r/>
          </w:p>
        </w:tc>
        <w:tc>
          <w:tcPr>
            <w:shd w:val="clear" w:fill="auto" w:color="auto"/>
            <w:tcW w:w="2926" w:type="pct"/>
            <w:textDirection w:val="lrTb"/>
            <w:noWrap w:val="false"/>
          </w:tcPr>
          <w:p>
            <w:pPr>
              <w:pStyle w:val="1005"/>
              <w:ind w:left="57" w:right="57"/>
            </w:pPr>
            <w:r>
              <w:t xml:space="preserve">Номер строки.</w:t>
            </w:r>
            <w:r/>
          </w:p>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Вид средств</w:t>
            </w:r>
            <w:r/>
          </w:p>
        </w:tc>
        <w:tc>
          <w:tcPr>
            <w:shd w:val="clear" w:fill="auto" w:color="auto"/>
            <w:tcW w:w="2926" w:type="pct"/>
            <w:textDirection w:val="lrTb"/>
            <w:noWrap w:val="false"/>
          </w:tcPr>
          <w:p>
            <w:pPr>
              <w:pStyle w:val="1005"/>
              <w:ind w:left="57" w:right="57"/>
            </w:pPr>
            <w:r>
              <w:t xml:space="preserve">Вид средств.</w:t>
            </w:r>
            <w:r/>
          </w:p>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Код по БК</w:t>
            </w:r>
            <w:r/>
          </w:p>
        </w:tc>
        <w:tc>
          <w:tcPr>
            <w:shd w:val="clear" w:fill="auto" w:color="auto"/>
            <w:tcW w:w="2926" w:type="pct"/>
            <w:textDirection w:val="lrTb"/>
            <w:noWrap w:val="false"/>
          </w:tcPr>
          <w:p>
            <w:pPr>
              <w:pStyle w:val="1005"/>
              <w:ind w:left="57" w:right="57"/>
            </w:pPr>
            <w:r>
              <w:t xml:space="preserve">Код по БК.</w:t>
            </w:r>
            <w:r/>
          </w:p>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Код цели (аналитический код)</w:t>
            </w:r>
            <w:r/>
          </w:p>
        </w:tc>
        <w:tc>
          <w:tcPr>
            <w:shd w:val="clear" w:fill="auto" w:color="auto"/>
            <w:tcW w:w="2926" w:type="pct"/>
            <w:textDirection w:val="lrTb"/>
            <w:noWrap w:val="false"/>
          </w:tcPr>
          <w:p>
            <w:pPr>
              <w:pStyle w:val="1005"/>
              <w:ind w:left="57" w:right="57"/>
            </w:pPr>
            <w:r>
              <w:t xml:space="preserve">Код цели (аналитический код).</w:t>
            </w:r>
            <w:r/>
          </w:p>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Символ</w:t>
            </w:r>
            <w:r/>
          </w:p>
        </w:tc>
        <w:tc>
          <w:tcPr>
            <w:shd w:val="clear" w:fill="auto" w:color="auto"/>
            <w:tcW w:w="2926" w:type="pct"/>
            <w:textDirection w:val="lrTb"/>
            <w:noWrap w:val="false"/>
          </w:tcPr>
          <w:p>
            <w:pPr>
              <w:pStyle w:val="1005"/>
              <w:ind w:left="57" w:right="57"/>
            </w:pPr>
            <w:r>
              <w:t xml:space="preserve">Символ кассового плана.</w:t>
            </w:r>
            <w:r/>
          </w:p>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Сумма</w:t>
            </w:r>
            <w:r/>
          </w:p>
        </w:tc>
        <w:tc>
          <w:tcPr>
            <w:shd w:val="clear" w:fill="auto" w:color="auto"/>
            <w:tcW w:w="2926" w:type="pct"/>
            <w:textDirection w:val="lrTb"/>
            <w:noWrap w:val="false"/>
          </w:tcPr>
          <w:p>
            <w:pPr>
              <w:pStyle w:val="1005"/>
              <w:ind w:left="57" w:right="57"/>
            </w:pPr>
            <w:r>
              <w:t xml:space="preserve">Сумма.</w:t>
            </w:r>
            <w:r/>
          </w:p>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Назначение платежа</w:t>
            </w:r>
            <w:r/>
          </w:p>
        </w:tc>
        <w:tc>
          <w:tcPr>
            <w:shd w:val="clear" w:fill="auto" w:color="auto"/>
            <w:tcW w:w="2926" w:type="pct"/>
            <w:textDirection w:val="lrTb"/>
            <w:noWrap w:val="false"/>
          </w:tcPr>
          <w:p>
            <w:pPr>
              <w:pStyle w:val="1005"/>
              <w:ind w:left="57" w:right="57"/>
            </w:pPr>
            <w:r>
              <w:t xml:space="preserve">Назначение платежа.</w:t>
            </w:r>
            <w:r/>
          </w:p>
          <w:p>
            <w:pPr>
              <w:pStyle w:val="1005"/>
              <w:ind w:left="57" w:right="57"/>
            </w:pPr>
            <w:r>
              <w:t xml:space="preserve">Заполняется соответствующим значением, выгруженным из ППО OEBS АСФК.</w:t>
            </w:r>
            <w:r/>
          </w:p>
        </w:tc>
      </w:tr>
      <w:tr>
        <w:trPr/>
        <w:tc>
          <w:tcPr>
            <w:shd w:val="clear" w:fill="auto" w:color="auto"/>
            <w:tcW w:w="2074" w:type="pct"/>
            <w:textDirection w:val="lrTb"/>
            <w:noWrap w:val="false"/>
          </w:tcPr>
          <w:p>
            <w:pPr>
              <w:pStyle w:val="1005"/>
              <w:ind w:left="57" w:right="57"/>
            </w:pPr>
            <w:r>
              <w:t xml:space="preserve">Примечание</w:t>
            </w:r>
            <w:r/>
          </w:p>
        </w:tc>
        <w:tc>
          <w:tcPr>
            <w:shd w:val="clear" w:fill="auto" w:color="auto"/>
            <w:tcW w:w="2926" w:type="pct"/>
            <w:textDirection w:val="lrTb"/>
            <w:noWrap w:val="false"/>
          </w:tcPr>
          <w:p>
            <w:pPr>
              <w:pStyle w:val="1005"/>
              <w:ind w:left="57" w:right="57"/>
            </w:pPr>
            <w:r>
              <w:t xml:space="preserve">Примечание.</w:t>
            </w:r>
            <w:r/>
          </w:p>
          <w:p>
            <w:pPr>
              <w:pStyle w:val="1005"/>
              <w:ind w:left="57" w:right="57"/>
            </w:pPr>
            <w:r>
              <w:t xml:space="preserve">Заполняется соответствующим значением, выгруженным из ППО OEBS АСФК.</w:t>
            </w:r>
            <w:r/>
          </w:p>
        </w:tc>
      </w:tr>
    </w:tbl>
    <w:p>
      <w:pPr>
        <w:pStyle w:val="973"/>
      </w:pPr>
      <w:r>
        <w:t xml:space="preserve">Отчет «</w:t>
      </w:r>
      <w:r>
        <w:t xml:space="preserve">Бухгалтерская справка ф. 0504833</w:t>
      </w:r>
      <w:r>
        <w:t xml:space="preserve">»</w:t>
      </w:r>
      <w:r/>
    </w:p>
    <w:p>
      <w:pPr>
        <w:pStyle w:val="994"/>
      </w:pPr>
      <w:r>
        <w:t xml:space="preserve">Отчет «</w:t>
      </w:r>
      <w:r>
        <w:t xml:space="preserve">Бухгалтерская справка ф.</w:t>
      </w:r>
      <w:r>
        <w:t xml:space="preserve"> </w:t>
      </w:r>
      <w:r>
        <w:t xml:space="preserve">0504833</w:t>
      </w:r>
      <w:r>
        <w:t xml:space="preserve">» (тип документа СБС) можно вывести на э</w:t>
      </w:r>
      <w:r>
        <w:t xml:space="preserve">к</w:t>
      </w:r>
      <w:r>
        <w:t xml:space="preserve">ран по кнопке </w:t>
      </w:r>
      <w:r>
        <mc:AlternateContent>
          <mc:Choice Requires="wpg">
            <w:drawing>
              <wp:inline xmlns:wp="http://schemas.openxmlformats.org/drawingml/2006/wordprocessingDrawing" distT="0" distB="0" distL="0" distR="0">
                <wp:extent cx="274320" cy="274320"/>
                <wp:effectExtent l="0" t="0" r="0" b="0"/>
                <wp:docPr id="39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148"/>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2" o:spid="_x0000_s392" type="#_x0000_t75" style="mso-wrap-distance-left:0.0pt;mso-wrap-distance-top:0.0pt;mso-wrap-distance-right:0.0pt;mso-wrap-distance-bottom:0.0pt;width:21.6pt;height:21.6pt;" stroked="f">
                <v:path textboxrect="0,0,0,0"/>
                <v:imagedata r:id="rId148" o:title=""/>
              </v:shape>
            </w:pict>
          </mc:Fallback>
        </mc:AlternateContent>
      </w:r>
      <w:r>
        <w:t xml:space="preserve"> </w:t>
      </w:r>
      <w:r>
        <w:t xml:space="preserve">(П</w:t>
      </w:r>
      <w:r>
        <w:t xml:space="preserve">росмотр</w:t>
      </w:r>
      <w:r>
        <w:t xml:space="preserve">еть строку как документ)</w:t>
      </w:r>
      <w:r>
        <w:t xml:space="preserve"> из </w:t>
      </w:r>
      <w:r>
        <w:t xml:space="preserve">ЭФ документа</w:t>
      </w:r>
      <w:r>
        <w:t xml:space="preserve"> «</w:t>
      </w:r>
      <w:r>
        <w:t xml:space="preserve">Информация о </w:t>
      </w:r>
      <w:r>
        <w:t xml:space="preserve">кассовых операциях на лицевых счетах у</w:t>
      </w:r>
      <w:r>
        <w:t xml:space="preserve">ч</w:t>
      </w:r>
      <w:r>
        <w:t xml:space="preserve">реждений</w:t>
      </w:r>
      <w:r>
        <w:t xml:space="preserve">»</w:t>
      </w:r>
      <w:r>
        <w:t xml:space="preserve">, закладки </w:t>
      </w:r>
      <w:r>
        <w:t xml:space="preserve">«</w:t>
      </w:r>
      <w:r>
        <w:t xml:space="preserve">Бухгалтерская справка ф.</w:t>
      </w:r>
      <w:r>
        <w:t xml:space="preserve"> </w:t>
      </w:r>
      <w:r>
        <w:t xml:space="preserve">0504833</w:t>
      </w:r>
      <w:r>
        <w:t xml:space="preserve">»</w:t>
      </w:r>
      <w:r>
        <w:t xml:space="preserve"> (рис.</w:t>
      </w:r>
      <w:r>
        <w:t xml:space="preserve"> </w:t>
      </w:r>
      <w:r>
        <w:fldChar w:fldCharType="begin"/>
      </w:r>
      <w:r>
        <w:instrText xml:space="preserve"> REF _Ref404854054 \h </w:instrText>
      </w:r>
      <w:r>
        <w:fldChar w:fldCharType="separate"/>
      </w:r>
      <w:r>
        <w:t xml:space="preserve">258</w:t>
      </w:r>
      <w:r>
        <w:fldChar w:fldCharType="end"/>
      </w:r>
      <w:r>
        <w:t xml:space="preserve">)</w:t>
      </w:r>
      <w:r>
        <w:t xml:space="preserve">. </w:t>
      </w:r>
      <w:r/>
    </w:p>
    <w:p>
      <w:pPr>
        <w:pStyle w:val="994"/>
      </w:pPr>
      <w:r>
        <w:t xml:space="preserve">ЭФ документа «</w:t>
      </w:r>
      <w:r>
        <w:t xml:space="preserve">Бухгалтерская справка ф. 0504833</w:t>
      </w:r>
      <w:r>
        <w:t xml:space="preserve">»</w:t>
      </w:r>
      <w:bookmarkEnd w:id="1776"/>
      <w:r>
        <w:t xml:space="preserve"> представлена на рисунках</w:t>
      </w:r>
      <w:r>
        <w:t xml:space="preserve"> </w:t>
      </w:r>
      <w:r>
        <w:fldChar w:fldCharType="begin"/>
      </w:r>
      <w:r>
        <w:instrText xml:space="preserve"> REF _Ref372026200 \h </w:instrText>
      </w:r>
      <w:r>
        <w:instrText xml:space="preserve"> \* MERGEFORMAT </w:instrText>
      </w:r>
      <w:r>
        <w:fldChar w:fldCharType="separate"/>
      </w:r>
      <w:r>
        <w:t xml:space="preserve">266</w:t>
      </w:r>
      <w:r>
        <w:fldChar w:fldCharType="end"/>
      </w:r>
      <w:r>
        <w:t xml:space="preserve">, </w:t>
      </w:r>
      <w:r>
        <w:fldChar w:fldCharType="begin"/>
      </w:r>
      <w:r>
        <w:instrText xml:space="preserve"> REF _Ref372026223 \h </w:instrText>
      </w:r>
      <w:r>
        <w:instrText xml:space="preserve"> \* MERGEFORMAT </w:instrText>
      </w:r>
      <w:r>
        <w:fldChar w:fldCharType="separate"/>
      </w:r>
      <w:r>
        <w:t xml:space="preserve">267</w:t>
      </w:r>
      <w:r>
        <w:fldChar w:fldCharType="end"/>
      </w:r>
      <w:r>
        <w:t xml:space="preserve"> и </w:t>
      </w:r>
      <w:r>
        <w:fldChar w:fldCharType="begin"/>
      </w:r>
      <w:r>
        <w:instrText xml:space="preserve"> REF _Ref372026251 \h </w:instrText>
      </w:r>
      <w:r>
        <w:instrText xml:space="preserve"> \* MERGEFORMAT </w:instrText>
      </w:r>
      <w:r>
        <w:fldChar w:fldCharType="separate"/>
      </w:r>
      <w:r>
        <w:t xml:space="preserve">268</w:t>
      </w:r>
      <w:r>
        <w:fldChar w:fldCharType="end"/>
      </w:r>
      <w:r>
        <w:t xml:space="preserve">. Форма содержит следующие закладки:</w:t>
      </w:r>
      <w:r/>
    </w:p>
    <w:p>
      <w:pPr>
        <w:pStyle w:val="985"/>
      </w:pPr>
      <w:r>
        <w:t xml:space="preserve">«Основные»;</w:t>
      </w:r>
      <w:r/>
    </w:p>
    <w:p>
      <w:pPr>
        <w:pStyle w:val="985"/>
      </w:pPr>
      <w:r>
        <w:t xml:space="preserve">«</w:t>
      </w:r>
      <w:r>
        <w:t xml:space="preserve">Раздел 1 (2)</w:t>
      </w:r>
      <w:r>
        <w:t xml:space="preserve">»;</w:t>
      </w:r>
      <w:r/>
    </w:p>
    <w:p>
      <w:pPr>
        <w:pStyle w:val="985"/>
      </w:pPr>
      <w:r>
        <w:t xml:space="preserve">«</w:t>
      </w:r>
      <w:r>
        <w:t xml:space="preserve">Подписи (3)</w:t>
      </w:r>
      <w:r>
        <w:t xml:space="preserve">».</w:t>
      </w:r>
      <w:r/>
    </w:p>
    <w:p>
      <w:pPr>
        <w:pStyle w:val="982"/>
      </w:pPr>
      <w:r>
        <mc:AlternateContent>
          <mc:Choice Requires="wpg">
            <w:drawing>
              <wp:inline xmlns:wp="http://schemas.openxmlformats.org/drawingml/2006/wordprocessingDrawing" distT="0" distB="0" distL="0" distR="0">
                <wp:extent cx="6126480" cy="3840480"/>
                <wp:effectExtent l="0" t="0" r="0" b="0"/>
                <wp:docPr id="39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49"/>
                        <a:stretch/>
                      </pic:blipFill>
                      <pic:spPr bwMode="auto">
                        <a:xfrm>
                          <a:off x="0" y="0"/>
                          <a:ext cx="6126480" cy="38404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3" o:spid="_x0000_s393" type="#_x0000_t75" style="mso-wrap-distance-left:0.0pt;mso-wrap-distance-top:0.0pt;mso-wrap-distance-right:0.0pt;mso-wrap-distance-bottom:0.0pt;width:482.4pt;height:302.4pt;" stroked="f">
                <v:path textboxrect="0,0,0,0"/>
                <v:imagedata r:id="rId349" o:title=""/>
              </v:shape>
            </w:pict>
          </mc:Fallback>
        </mc:AlternateContent>
      </w:r>
      <w:r/>
    </w:p>
    <w:p>
      <w:pPr>
        <w:pStyle w:val="983"/>
      </w:pPr>
      <w:r>
        <w:fldChar w:fldCharType="begin"/>
      </w:r>
      <w:r>
        <w:instrText xml:space="preserve"> SEQ Рисунок \* ARABIC </w:instrText>
      </w:r>
      <w:r>
        <w:fldChar w:fldCharType="separate"/>
      </w:r>
      <w:bookmarkStart w:id="1789" w:name="_Ref372026200"/>
      <w:r/>
      <w:bookmarkStart w:id="1790" w:name="_Toc88819651"/>
      <w:r>
        <w:t xml:space="preserve">266</w:t>
      </w:r>
      <w:bookmarkEnd w:id="1789"/>
      <w:r>
        <w:fldChar w:fldCharType="end"/>
      </w:r>
      <w:r>
        <w:t xml:space="preserve">. ЭФ документа «</w:t>
      </w:r>
      <w:r>
        <w:t xml:space="preserve">Бухгалтерская справка ф. 0504833</w:t>
      </w:r>
      <w:r>
        <w:t xml:space="preserve">», закладки «</w:t>
      </w:r>
      <w:r>
        <w:t xml:space="preserve">Основные»</w:t>
      </w:r>
      <w:bookmarkEnd w:id="1790"/>
      <w:r/>
      <w:r/>
    </w:p>
    <w:p>
      <w:pPr>
        <w:pStyle w:val="982"/>
      </w:pPr>
      <w:r>
        <mc:AlternateContent>
          <mc:Choice Requires="wpg">
            <w:drawing>
              <wp:inline xmlns:wp="http://schemas.openxmlformats.org/drawingml/2006/wordprocessingDrawing" distT="0" distB="0" distL="0" distR="0">
                <wp:extent cx="6126480" cy="2194560"/>
                <wp:effectExtent l="0" t="0" r="0" b="0"/>
                <wp:docPr id="39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50"/>
                        <a:stretch/>
                      </pic:blipFill>
                      <pic:spPr bwMode="auto">
                        <a:xfrm>
                          <a:off x="0" y="0"/>
                          <a:ext cx="6126480" cy="21945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4" o:spid="_x0000_s394" type="#_x0000_t75" style="mso-wrap-distance-left:0.0pt;mso-wrap-distance-top:0.0pt;mso-wrap-distance-right:0.0pt;mso-wrap-distance-bottom:0.0pt;width:482.4pt;height:172.8pt;" stroked="f">
                <v:path textboxrect="0,0,0,0"/>
                <v:imagedata r:id="rId350" o:title=""/>
              </v:shape>
            </w:pict>
          </mc:Fallback>
        </mc:AlternateContent>
      </w:r>
      <w:r/>
    </w:p>
    <w:p>
      <w:pPr>
        <w:pStyle w:val="983"/>
      </w:pPr>
      <w:r>
        <w:fldChar w:fldCharType="begin"/>
      </w:r>
      <w:r>
        <w:instrText xml:space="preserve"> SEQ Рисунок \* ARABIC </w:instrText>
      </w:r>
      <w:r>
        <w:fldChar w:fldCharType="separate"/>
      </w:r>
      <w:bookmarkStart w:id="1791" w:name="_Ref372026223"/>
      <w:r/>
      <w:bookmarkStart w:id="1792" w:name="_Toc88819652"/>
      <w:r>
        <w:t xml:space="preserve">267</w:t>
      </w:r>
      <w:bookmarkEnd w:id="1791"/>
      <w:r>
        <w:fldChar w:fldCharType="end"/>
      </w:r>
      <w:r>
        <w:t xml:space="preserve">. ЭФ документа «</w:t>
      </w:r>
      <w:r>
        <w:t xml:space="preserve">Бухгалтерская справка ф. 0504833</w:t>
      </w:r>
      <w:r>
        <w:t xml:space="preserve">», закладки «</w:t>
      </w:r>
      <w:r>
        <w:t xml:space="preserve">Раздел 1 (2)</w:t>
      </w:r>
      <w:r>
        <w:t xml:space="preserve">»</w:t>
      </w:r>
      <w:bookmarkEnd w:id="1792"/>
      <w:r/>
      <w:r/>
    </w:p>
    <w:p>
      <w:pPr>
        <w:pStyle w:val="982"/>
      </w:pPr>
      <w:r>
        <mc:AlternateContent>
          <mc:Choice Requires="wpg">
            <w:drawing>
              <wp:inline xmlns:wp="http://schemas.openxmlformats.org/drawingml/2006/wordprocessingDrawing" distT="0" distB="0" distL="0" distR="0">
                <wp:extent cx="6111240" cy="2194560"/>
                <wp:effectExtent l="0" t="0" r="0" b="0"/>
                <wp:docPr id="39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51"/>
                        <a:stretch/>
                      </pic:blipFill>
                      <pic:spPr bwMode="auto">
                        <a:xfrm>
                          <a:off x="0" y="0"/>
                          <a:ext cx="6111240" cy="21945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5" o:spid="_x0000_s395" type="#_x0000_t75" style="mso-wrap-distance-left:0.0pt;mso-wrap-distance-top:0.0pt;mso-wrap-distance-right:0.0pt;mso-wrap-distance-bottom:0.0pt;width:481.2pt;height:172.8pt;" stroked="f">
                <v:path textboxrect="0,0,0,0"/>
                <v:imagedata r:id="rId351" o:title=""/>
              </v:shape>
            </w:pict>
          </mc:Fallback>
        </mc:AlternateContent>
      </w:r>
      <w:r/>
    </w:p>
    <w:p>
      <w:pPr>
        <w:pStyle w:val="983"/>
      </w:pPr>
      <w:r>
        <w:fldChar w:fldCharType="begin"/>
      </w:r>
      <w:r>
        <w:instrText xml:space="preserve"> SEQ Рисунок \* ARABIC </w:instrText>
      </w:r>
      <w:r>
        <w:fldChar w:fldCharType="separate"/>
      </w:r>
      <w:bookmarkStart w:id="1793" w:name="_Ref372026251"/>
      <w:r/>
      <w:bookmarkStart w:id="1794" w:name="_Toc88819653"/>
      <w:r>
        <w:t xml:space="preserve">268</w:t>
      </w:r>
      <w:bookmarkEnd w:id="1793"/>
      <w:r>
        <w:fldChar w:fldCharType="end"/>
      </w:r>
      <w:r>
        <w:t xml:space="preserve">. ЭФ документа «</w:t>
      </w:r>
      <w:r>
        <w:t xml:space="preserve">Бухгалтерская справка ф. 0504833</w:t>
      </w:r>
      <w:r>
        <w:t xml:space="preserve">», закладки «</w:t>
      </w:r>
      <w:r>
        <w:t xml:space="preserve">Подписи (3)</w:t>
      </w:r>
      <w:r>
        <w:t xml:space="preserve">»</w:t>
      </w:r>
      <w:bookmarkEnd w:id="1794"/>
      <w:r/>
      <w:r/>
    </w:p>
    <w:p>
      <w:pPr>
        <w:pStyle w:val="994"/>
      </w:pPr>
      <w:r>
        <w:t xml:space="preserve">Перечень полей документа «</w:t>
      </w:r>
      <w:r>
        <w:t xml:space="preserve">Бухгалтерская справка ф. 0504833</w:t>
      </w:r>
      <w:r>
        <w:t xml:space="preserve">» привед</w:t>
      </w:r>
      <w:r>
        <w:t xml:space="preserve">е</w:t>
      </w:r>
      <w:r>
        <w:t xml:space="preserve">н в таблице</w:t>
      </w:r>
      <w:r>
        <w:t xml:space="preserve"> </w:t>
      </w:r>
      <w:r>
        <w:fldChar w:fldCharType="begin"/>
      </w:r>
      <w:r>
        <w:instrText xml:space="preserve"> REF _Ref372026034 \h </w:instrText>
      </w:r>
      <w:r>
        <w:instrText xml:space="preserve"> \* MERGEFORMAT </w:instrText>
      </w:r>
      <w:r>
        <w:fldChar w:fldCharType="separate"/>
      </w:r>
      <w:r>
        <w:t xml:space="preserve">156</w:t>
      </w:r>
      <w:r>
        <w:fldChar w:fldCharType="end"/>
      </w:r>
      <w:r>
        <w:t xml:space="preserve">.</w:t>
      </w:r>
      <w:r/>
    </w:p>
    <w:p>
      <w:pPr>
        <w:pStyle w:val="993"/>
      </w:pPr>
      <w:r>
        <w:fldChar w:fldCharType="begin"/>
      </w:r>
      <w:r>
        <w:instrText xml:space="preserve"> SEQ Таблица \* ARABIC </w:instrText>
      </w:r>
      <w:r>
        <w:fldChar w:fldCharType="separate"/>
      </w:r>
      <w:bookmarkStart w:id="1795" w:name="_Ref372026034"/>
      <w:r/>
      <w:bookmarkStart w:id="1796" w:name="_Toc88819343"/>
      <w:r>
        <w:t xml:space="preserve">156</w:t>
      </w:r>
      <w:bookmarkEnd w:id="1795"/>
      <w:r>
        <w:fldChar w:fldCharType="end"/>
      </w:r>
      <w:r>
        <w:t xml:space="preserve">. Описание полей документа «</w:t>
      </w:r>
      <w:r>
        <w:t xml:space="preserve">Бухгалтерская справка ф. 0504833</w:t>
      </w:r>
      <w:r>
        <w:t xml:space="preserve">»</w:t>
      </w:r>
      <w:bookmarkEnd w:id="1796"/>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4219"/>
        <w:gridCol w:w="5533"/>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2163"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837" w:type="pct"/>
            <w:vAlign w:val="center"/>
            <w:textDirection w:val="lrTb"/>
            <w:noWrap w:val="false"/>
          </w:tcPr>
          <w:p>
            <w:pPr>
              <w:pStyle w:val="1006"/>
            </w:pPr>
            <w:r>
              <w:t xml:space="preserve">Описание поля</w:t>
            </w:r>
            <w:r/>
          </w:p>
        </w:tc>
      </w:tr>
      <w:tr>
        <w:trPr>
          <w:trHeight w:val="70"/>
        </w:trPr>
        <w:tc>
          <w:tcPr>
            <w:shd w:val="clear" w:fill="auto" w:color="auto"/>
            <w:tcW w:w="2163" w:type="pct"/>
            <w:textDirection w:val="lrTb"/>
            <w:noWrap w:val="false"/>
          </w:tcPr>
          <w:p>
            <w:pPr>
              <w:pStyle w:val="1005"/>
              <w:ind w:left="57" w:right="57"/>
            </w:pPr>
            <w:r>
              <w:t xml:space="preserve">Родительский документ</w:t>
            </w:r>
            <w:r/>
          </w:p>
        </w:tc>
        <w:tc>
          <w:tcPr>
            <w:shd w:val="clear" w:fill="auto" w:color="auto"/>
            <w:tcW w:w="2837" w:type="pct"/>
            <w:textDirection w:val="lrTb"/>
            <w:noWrap w:val="false"/>
          </w:tcPr>
          <w:p>
            <w:pPr>
              <w:pStyle w:val="1005"/>
              <w:ind w:left="57" w:right="57"/>
            </w:pPr>
            <w:r>
              <w:t xml:space="preserve">Родительский документ.</w:t>
            </w:r>
            <w:r/>
          </w:p>
          <w:p>
            <w:pPr>
              <w:pStyle w:val="1005"/>
              <w:ind w:left="57" w:right="57"/>
            </w:pPr>
            <w:r>
              <w:t xml:space="preserve">Н</w:t>
            </w:r>
            <w:r>
              <w:t xml:space="preserve">е заполняется, </w:t>
            </w:r>
            <w:r>
              <w:t xml:space="preserve">отсутствует</w:t>
            </w:r>
            <w:r>
              <w:t xml:space="preserve"> в ТФФ</w:t>
            </w:r>
            <w:r>
              <w:t xml:space="preserve">.</w:t>
            </w:r>
            <w:r/>
          </w:p>
        </w:tc>
      </w:tr>
      <w:tr>
        <w:trPr>
          <w:trHeight w:val="70"/>
        </w:trPr>
        <w:tc>
          <w:tcPr>
            <w:shd w:val="clear" w:fill="auto" w:color="auto"/>
            <w:tcW w:w="2163" w:type="pct"/>
            <w:textDirection w:val="lrTb"/>
            <w:noWrap w:val="false"/>
          </w:tcPr>
          <w:p>
            <w:pPr>
              <w:pStyle w:val="1005"/>
              <w:ind w:left="57" w:right="57"/>
            </w:pPr>
            <w:r>
              <w:t xml:space="preserve">Дата документа</w:t>
            </w:r>
            <w:r>
              <w:t xml:space="preserve">, к которому прилагается Бухга</w:t>
            </w:r>
            <w:r>
              <w:t xml:space="preserve">л</w:t>
            </w:r>
            <w:r>
              <w:t xml:space="preserve">терская справка ф. 0504833</w:t>
            </w:r>
            <w:r/>
          </w:p>
        </w:tc>
        <w:tc>
          <w:tcPr>
            <w:shd w:val="clear" w:fill="auto" w:color="auto"/>
            <w:tcW w:w="2837" w:type="pct"/>
            <w:textDirection w:val="lrTb"/>
            <w:noWrap w:val="false"/>
          </w:tcPr>
          <w:p>
            <w:pPr>
              <w:pStyle w:val="1005"/>
              <w:ind w:left="57" w:right="57"/>
            </w:pPr>
            <w:r>
              <w:t xml:space="preserve">Дата документа</w:t>
            </w:r>
            <w:r>
              <w:t xml:space="preserve">, к которому прилагается Бухга</w:t>
            </w:r>
            <w:r>
              <w:t xml:space="preserve">л</w:t>
            </w:r>
            <w:r>
              <w:t xml:space="preserve">терская справка ф. 0504833.</w:t>
            </w:r>
            <w:r/>
          </w:p>
          <w:p>
            <w:pPr>
              <w:pStyle w:val="1005"/>
              <w:ind w:left="57" w:right="57"/>
            </w:pPr>
            <w:r>
              <w:t xml:space="preserve">З</w:t>
            </w:r>
            <w:r>
              <w:t xml:space="preserve">аполняется из ТФФ</w:t>
            </w:r>
            <w:r>
              <w:t xml:space="preserve">.</w:t>
            </w:r>
            <w:r/>
          </w:p>
        </w:tc>
      </w:tr>
      <w:tr>
        <w:trPr/>
        <w:tc>
          <w:tcPr>
            <w:gridSpan w:val="2"/>
            <w:shd w:val="clear" w:fill="auto" w:color="auto"/>
            <w:tcW w:w="5000" w:type="pct"/>
            <w:textDirection w:val="lrTb"/>
            <w:noWrap w:val="false"/>
          </w:tcPr>
          <w:p>
            <w:pPr>
              <w:pStyle w:val="1005"/>
              <w:ind w:left="57" w:right="57"/>
            </w:pPr>
            <w:r>
              <w:t xml:space="preserve">Закладка «</w:t>
            </w:r>
            <w:r>
              <w:t xml:space="preserve">Основные</w:t>
            </w:r>
            <w:r>
              <w:t xml:space="preserve">»</w:t>
            </w:r>
            <w:r/>
          </w:p>
        </w:tc>
      </w:tr>
      <w:tr>
        <w:trPr/>
        <w:tc>
          <w:tcPr>
            <w:shd w:val="clear" w:fill="auto" w:color="auto"/>
            <w:tcW w:w="2163" w:type="pct"/>
            <w:textDirection w:val="lrTb"/>
            <w:noWrap w:val="false"/>
          </w:tcPr>
          <w:p>
            <w:pPr>
              <w:pStyle w:val="1005"/>
              <w:ind w:left="57" w:right="57"/>
            </w:pPr>
            <w:r>
              <w:t xml:space="preserve">Номер документа</w:t>
            </w:r>
            <w:r/>
          </w:p>
        </w:tc>
        <w:tc>
          <w:tcPr>
            <w:shd w:val="clear" w:fill="auto" w:color="auto"/>
            <w:tcW w:w="2837" w:type="pct"/>
            <w:textDirection w:val="lrTb"/>
            <w:noWrap w:val="false"/>
          </w:tcPr>
          <w:p>
            <w:pPr>
              <w:pStyle w:val="1005"/>
              <w:ind w:left="57" w:right="57"/>
            </w:pPr>
            <w:r>
              <w:t xml:space="preserve">Номер документа.</w:t>
            </w:r>
            <w:r/>
          </w:p>
        </w:tc>
      </w:tr>
      <w:tr>
        <w:trPr/>
        <w:tc>
          <w:tcPr>
            <w:shd w:val="clear" w:fill="auto" w:color="auto"/>
            <w:tcW w:w="2163" w:type="pct"/>
            <w:textDirection w:val="lrTb"/>
            <w:noWrap w:val="false"/>
          </w:tcPr>
          <w:p>
            <w:pPr>
              <w:pStyle w:val="1005"/>
              <w:ind w:left="57" w:right="57"/>
            </w:pPr>
            <w:r>
              <w:t xml:space="preserve">Дата документа</w:t>
            </w:r>
            <w:r/>
          </w:p>
        </w:tc>
        <w:tc>
          <w:tcPr>
            <w:shd w:val="clear" w:fill="auto" w:color="auto"/>
            <w:tcW w:w="2837" w:type="pct"/>
            <w:textDirection w:val="lrTb"/>
            <w:noWrap w:val="false"/>
          </w:tcPr>
          <w:p>
            <w:pPr>
              <w:pStyle w:val="1005"/>
              <w:ind w:left="57" w:right="57"/>
            </w:pPr>
            <w:r>
              <w:t xml:space="preserve">Дата документа.</w:t>
            </w:r>
            <w:r/>
          </w:p>
        </w:tc>
      </w:tr>
      <w:tr>
        <w:trPr/>
        <w:tc>
          <w:tcPr>
            <w:shd w:val="clear" w:fill="auto" w:color="auto"/>
            <w:tcW w:w="2163" w:type="pct"/>
            <w:textDirection w:val="lrTb"/>
            <w:noWrap w:val="false"/>
          </w:tcPr>
          <w:p>
            <w:pPr>
              <w:pStyle w:val="1005"/>
              <w:ind w:left="57" w:right="57"/>
            </w:pPr>
            <w:r>
              <w:t xml:space="preserve">Номер ЛС</w:t>
            </w:r>
            <w:r/>
          </w:p>
        </w:tc>
        <w:tc>
          <w:tcPr>
            <w:shd w:val="clear" w:fill="auto" w:color="auto"/>
            <w:tcW w:w="2837" w:type="pct"/>
            <w:textDirection w:val="lrTb"/>
            <w:noWrap w:val="false"/>
          </w:tcPr>
          <w:p>
            <w:pPr>
              <w:pStyle w:val="1005"/>
              <w:ind w:left="57" w:right="57"/>
            </w:pPr>
            <w:r>
              <w:t xml:space="preserve">Номер ЛС.</w:t>
            </w:r>
            <w:r/>
          </w:p>
        </w:tc>
      </w:tr>
      <w:tr>
        <w:trPr/>
        <w:tc>
          <w:tcPr>
            <w:shd w:val="clear" w:fill="auto" w:color="auto"/>
            <w:tcW w:w="2163" w:type="pct"/>
            <w:textDirection w:val="lrTb"/>
            <w:noWrap w:val="false"/>
          </w:tcPr>
          <w:p>
            <w:pPr>
              <w:pStyle w:val="1005"/>
              <w:ind w:left="57" w:right="57"/>
            </w:pPr>
            <w:r>
              <w:t xml:space="preserve">По ОКПО</w:t>
            </w:r>
            <w:r/>
          </w:p>
        </w:tc>
        <w:tc>
          <w:tcPr>
            <w:shd w:val="clear" w:fill="auto" w:color="auto"/>
            <w:tcW w:w="2837" w:type="pct"/>
            <w:textDirection w:val="lrTb"/>
            <w:noWrap w:val="false"/>
          </w:tcPr>
          <w:p>
            <w:pPr>
              <w:pStyle w:val="1005"/>
              <w:ind w:left="57" w:right="57"/>
            </w:pPr>
            <w:r>
              <w:t xml:space="preserve">По ОКПО.</w:t>
            </w:r>
            <w:r/>
          </w:p>
        </w:tc>
      </w:tr>
      <w:tr>
        <w:trPr/>
        <w:tc>
          <w:tcPr>
            <w:shd w:val="clear" w:fill="auto" w:color="auto"/>
            <w:tcW w:w="2163" w:type="pct"/>
            <w:textDirection w:val="lrTb"/>
            <w:noWrap w:val="false"/>
          </w:tcPr>
          <w:p>
            <w:pPr>
              <w:pStyle w:val="1005"/>
              <w:ind w:left="57" w:right="57"/>
            </w:pPr>
            <w:r>
              <w:t xml:space="preserve">ИНН</w:t>
            </w:r>
            <w:r/>
          </w:p>
        </w:tc>
        <w:tc>
          <w:tcPr>
            <w:shd w:val="clear" w:fill="auto" w:color="auto"/>
            <w:tcW w:w="2837" w:type="pct"/>
            <w:textDirection w:val="lrTb"/>
            <w:noWrap w:val="false"/>
          </w:tcPr>
          <w:p>
            <w:pPr>
              <w:pStyle w:val="1005"/>
              <w:ind w:left="57" w:right="57"/>
            </w:pPr>
            <w:r>
              <w:t xml:space="preserve">ИНН. </w:t>
            </w:r>
            <w:r/>
          </w:p>
          <w:p>
            <w:pPr>
              <w:pStyle w:val="1005"/>
              <w:ind w:left="57" w:right="57"/>
            </w:pPr>
            <w:r>
              <w:t xml:space="preserve">З</w:t>
            </w:r>
            <w:r>
              <w:t xml:space="preserve">аполняется из ТФФ</w:t>
            </w:r>
            <w:r>
              <w:t xml:space="preserve">.</w:t>
            </w:r>
            <w:r/>
          </w:p>
        </w:tc>
      </w:tr>
      <w:tr>
        <w:trPr/>
        <w:tc>
          <w:tcPr>
            <w:shd w:val="clear" w:fill="auto" w:color="auto"/>
            <w:tcW w:w="2163" w:type="pct"/>
            <w:textDirection w:val="lrTb"/>
            <w:noWrap w:val="false"/>
          </w:tcPr>
          <w:p>
            <w:pPr>
              <w:pStyle w:val="1005"/>
              <w:ind w:left="57" w:right="57"/>
            </w:pPr>
            <w:r>
              <w:t xml:space="preserve">КПП</w:t>
            </w:r>
            <w:r/>
          </w:p>
        </w:tc>
        <w:tc>
          <w:tcPr>
            <w:shd w:val="clear" w:fill="auto" w:color="auto"/>
            <w:tcW w:w="2837" w:type="pct"/>
            <w:textDirection w:val="lrTb"/>
            <w:noWrap w:val="false"/>
          </w:tcPr>
          <w:p>
            <w:pPr>
              <w:pStyle w:val="1005"/>
              <w:ind w:left="57" w:right="57"/>
            </w:pPr>
            <w:r>
              <w:t xml:space="preserve">КПП. </w:t>
            </w:r>
            <w:r/>
          </w:p>
          <w:p>
            <w:pPr>
              <w:pStyle w:val="1005"/>
              <w:ind w:left="57" w:right="57"/>
            </w:pPr>
            <w:r>
              <w:t xml:space="preserve">З</w:t>
            </w:r>
            <w:r>
              <w:t xml:space="preserve">аполняется из ТФФ</w:t>
            </w:r>
            <w:r>
              <w:t xml:space="preserve">.</w:t>
            </w:r>
            <w:r/>
          </w:p>
        </w:tc>
      </w:tr>
      <w:tr>
        <w:trPr/>
        <w:tc>
          <w:tcPr>
            <w:shd w:val="clear" w:fill="auto" w:color="auto"/>
            <w:tcW w:w="2163" w:type="pct"/>
            <w:textDirection w:val="lrTb"/>
            <w:noWrap w:val="false"/>
          </w:tcPr>
          <w:p>
            <w:pPr>
              <w:pStyle w:val="1005"/>
              <w:ind w:left="57" w:right="57"/>
            </w:pPr>
            <w:r>
              <w:t xml:space="preserve">Наименование бюджета</w:t>
            </w:r>
            <w:r/>
          </w:p>
        </w:tc>
        <w:tc>
          <w:tcPr>
            <w:shd w:val="clear" w:fill="auto" w:color="auto"/>
            <w:tcW w:w="2837" w:type="pct"/>
            <w:textDirection w:val="lrTb"/>
            <w:noWrap w:val="false"/>
          </w:tcPr>
          <w:p>
            <w:pPr>
              <w:pStyle w:val="1005"/>
              <w:ind w:left="57" w:right="57"/>
            </w:pPr>
            <w:r>
              <w:t xml:space="preserve">Наименование бюджета.</w:t>
            </w:r>
            <w:r/>
          </w:p>
          <w:p>
            <w:pPr>
              <w:pStyle w:val="1005"/>
              <w:ind w:left="57" w:right="57"/>
            </w:pPr>
            <w:r>
              <w:t xml:space="preserve">Заполняется из IK</w:t>
            </w:r>
            <w:r>
              <w:t xml:space="preserve">.</w:t>
            </w:r>
            <w:r/>
          </w:p>
        </w:tc>
      </w:tr>
      <w:tr>
        <w:trPr/>
        <w:tc>
          <w:tcPr>
            <w:shd w:val="clear" w:fill="auto" w:color="auto"/>
            <w:tcW w:w="2163" w:type="pct"/>
            <w:textDirection w:val="lrTb"/>
            <w:noWrap w:val="false"/>
          </w:tcPr>
          <w:p>
            <w:pPr>
              <w:pStyle w:val="1005"/>
              <w:ind w:left="57" w:right="57"/>
            </w:pPr>
            <w:r>
              <w:t xml:space="preserve">Отправитель ТОФК</w:t>
            </w:r>
            <w:r/>
          </w:p>
        </w:tc>
        <w:tc>
          <w:tcPr>
            <w:shd w:val="clear" w:fill="auto" w:color="auto"/>
            <w:tcW w:w="2837" w:type="pct"/>
            <w:textDirection w:val="lrTb"/>
            <w:noWrap w:val="false"/>
          </w:tcPr>
          <w:p>
            <w:pPr>
              <w:pStyle w:val="1005"/>
              <w:ind w:left="57" w:right="57"/>
            </w:pPr>
            <w:r>
              <w:t xml:space="preserve">Код и наименование ТОФК-отправителя.</w:t>
            </w:r>
            <w:r/>
          </w:p>
          <w:p>
            <w:pPr>
              <w:pStyle w:val="1005"/>
              <w:ind w:left="57" w:right="57"/>
            </w:pPr>
            <w:r>
              <w:t xml:space="preserve">Заполняется из IK</w:t>
            </w:r>
            <w:r>
              <w:t xml:space="preserve">.</w:t>
            </w:r>
            <w:r/>
          </w:p>
        </w:tc>
      </w:tr>
      <w:tr>
        <w:trPr/>
        <w:tc>
          <w:tcPr>
            <w:shd w:val="clear" w:fill="auto" w:color="auto"/>
            <w:tcW w:w="2163" w:type="pct"/>
            <w:textDirection w:val="lrTb"/>
            <w:noWrap w:val="false"/>
          </w:tcPr>
          <w:p>
            <w:pPr>
              <w:pStyle w:val="1005"/>
              <w:ind w:left="57" w:right="57"/>
            </w:pPr>
            <w:r>
              <w:t xml:space="preserve">Финансовый орган</w:t>
            </w:r>
            <w:r/>
          </w:p>
        </w:tc>
        <w:tc>
          <w:tcPr>
            <w:shd w:val="clear" w:fill="auto" w:color="auto"/>
            <w:tcW w:w="2837" w:type="pct"/>
            <w:textDirection w:val="lrTb"/>
            <w:noWrap w:val="false"/>
          </w:tcPr>
          <w:p>
            <w:pPr>
              <w:pStyle w:val="1005"/>
              <w:ind w:left="57" w:right="57"/>
            </w:pPr>
            <w:r>
              <w:t xml:space="preserve">Финансовый орган.</w:t>
            </w:r>
            <w:r/>
          </w:p>
          <w:p>
            <w:pPr>
              <w:pStyle w:val="1005"/>
              <w:ind w:left="57" w:right="57"/>
            </w:pPr>
            <w:r>
              <w:t xml:space="preserve">Заполняется из IK</w:t>
            </w:r>
            <w:r>
              <w:t xml:space="preserve">.</w:t>
            </w:r>
            <w:r/>
          </w:p>
        </w:tc>
      </w:tr>
      <w:tr>
        <w:trPr/>
        <w:tc>
          <w:tcPr>
            <w:shd w:val="clear" w:fill="auto" w:color="auto"/>
            <w:tcW w:w="2163" w:type="pct"/>
            <w:textDirection w:val="lrTb"/>
            <w:noWrap w:val="false"/>
          </w:tcPr>
          <w:p>
            <w:pPr>
              <w:pStyle w:val="1005"/>
              <w:ind w:left="57" w:right="57"/>
            </w:pPr>
            <w:r>
              <w:t xml:space="preserve">Структурное подразделение</w:t>
            </w:r>
            <w:r/>
          </w:p>
        </w:tc>
        <w:tc>
          <w:tcPr>
            <w:shd w:val="clear" w:fill="auto" w:color="auto"/>
            <w:tcW w:w="2837" w:type="pct"/>
            <w:textDirection w:val="lrTb"/>
            <w:noWrap w:val="false"/>
          </w:tcPr>
          <w:p>
            <w:pPr>
              <w:pStyle w:val="1005"/>
              <w:ind w:left="57" w:right="57"/>
            </w:pPr>
            <w:r>
              <w:t xml:space="preserve">Структурное подразделение.</w:t>
            </w:r>
            <w:r/>
          </w:p>
          <w:p>
            <w:pPr>
              <w:pStyle w:val="1005"/>
              <w:ind w:left="57" w:right="57"/>
            </w:pPr>
            <w:r>
              <w:t xml:space="preserve">Заполняется из IK</w:t>
            </w:r>
            <w:r>
              <w:t xml:space="preserve">.</w:t>
            </w:r>
            <w:r/>
          </w:p>
        </w:tc>
      </w:tr>
      <w:tr>
        <w:trPr/>
        <w:tc>
          <w:tcPr>
            <w:shd w:val="clear" w:fill="auto" w:color="auto"/>
            <w:tcW w:w="2163" w:type="pct"/>
            <w:textDirection w:val="lrTb"/>
            <w:noWrap w:val="false"/>
          </w:tcPr>
          <w:p>
            <w:pPr>
              <w:pStyle w:val="1005"/>
              <w:ind w:left="57" w:right="57"/>
            </w:pPr>
            <w:r>
              <w:t xml:space="preserve">Номер счета</w:t>
            </w:r>
            <w:r/>
          </w:p>
        </w:tc>
        <w:tc>
          <w:tcPr>
            <w:shd w:val="clear" w:fill="auto" w:color="auto"/>
            <w:tcW w:w="2837" w:type="pct"/>
            <w:textDirection w:val="lrTb"/>
            <w:noWrap w:val="false"/>
          </w:tcPr>
          <w:p>
            <w:pPr>
              <w:pStyle w:val="1005"/>
              <w:ind w:left="57" w:right="57"/>
            </w:pPr>
            <w:r>
              <w:t xml:space="preserve">Номер счета.</w:t>
            </w:r>
            <w:r/>
          </w:p>
          <w:p>
            <w:pPr>
              <w:pStyle w:val="1005"/>
              <w:ind w:left="57" w:right="57"/>
            </w:pPr>
            <w:r>
              <w:t xml:space="preserve">Н</w:t>
            </w:r>
            <w:r>
              <w:t xml:space="preserve">е заполняется, </w:t>
            </w:r>
            <w:r>
              <w:t xml:space="preserve">отсутствует</w:t>
            </w:r>
            <w:r>
              <w:t xml:space="preserve"> в ТФФ</w:t>
            </w:r>
            <w:r>
              <w:t xml:space="preserve">.</w:t>
            </w:r>
            <w:r/>
          </w:p>
        </w:tc>
      </w:tr>
      <w:tr>
        <w:trPr/>
        <w:tc>
          <w:tcPr>
            <w:shd w:val="clear" w:fill="auto" w:color="auto"/>
            <w:tcW w:w="2163" w:type="pct"/>
            <w:textDirection w:val="lrTb"/>
            <w:noWrap w:val="false"/>
          </w:tcPr>
          <w:p>
            <w:pPr>
              <w:pStyle w:val="1005"/>
              <w:ind w:left="57" w:right="57"/>
            </w:pPr>
            <w:r>
              <w:t xml:space="preserve">Учреждение</w:t>
            </w:r>
            <w:r/>
          </w:p>
        </w:tc>
        <w:tc>
          <w:tcPr>
            <w:shd w:val="clear" w:fill="auto" w:color="auto"/>
            <w:tcW w:w="2837" w:type="pct"/>
            <w:textDirection w:val="lrTb"/>
            <w:noWrap w:val="false"/>
          </w:tcPr>
          <w:p>
            <w:pPr>
              <w:pStyle w:val="1005"/>
              <w:ind w:left="57" w:right="57"/>
            </w:pPr>
            <w:r>
              <w:t xml:space="preserve">Учреждение.</w:t>
            </w:r>
            <w:r/>
          </w:p>
          <w:p>
            <w:pPr>
              <w:pStyle w:val="1005"/>
              <w:ind w:left="57" w:right="57"/>
            </w:pPr>
            <w:r>
              <w:t xml:space="preserve">Н</w:t>
            </w:r>
            <w:r>
              <w:t xml:space="preserve">е заполняется, </w:t>
            </w:r>
            <w:r>
              <w:t xml:space="preserve">отсутствует</w:t>
            </w:r>
            <w:r>
              <w:t xml:space="preserve"> в ТФФ</w:t>
            </w:r>
            <w:r>
              <w:t xml:space="preserve">.</w:t>
            </w:r>
            <w:r/>
          </w:p>
        </w:tc>
      </w:tr>
      <w:tr>
        <w:trPr/>
        <w:tc>
          <w:tcPr>
            <w:gridSpan w:val="2"/>
            <w:shd w:val="clear" w:fill="auto" w:color="auto"/>
            <w:tcW w:w="5000" w:type="pct"/>
            <w:textDirection w:val="lrTb"/>
            <w:noWrap w:val="false"/>
          </w:tcPr>
          <w:p>
            <w:pPr>
              <w:pStyle w:val="1005"/>
              <w:ind w:left="57" w:right="57"/>
            </w:pPr>
            <w:r>
              <w:t xml:space="preserve">Закладка «Раздел 1 (2)»</w:t>
            </w:r>
            <w:r/>
          </w:p>
        </w:tc>
      </w:tr>
      <w:tr>
        <w:trPr/>
        <w:tc>
          <w:tcPr>
            <w:shd w:val="clear" w:fill="auto" w:color="auto"/>
            <w:tcW w:w="2163" w:type="pct"/>
            <w:textDirection w:val="lrTb"/>
            <w:noWrap w:val="false"/>
          </w:tcPr>
          <w:p>
            <w:pPr>
              <w:pStyle w:val="1005"/>
              <w:ind w:left="57" w:right="57"/>
            </w:pPr>
            <w:r>
              <w:t xml:space="preserve">Номер</w:t>
            </w:r>
            <w:r>
              <w:tab/>
            </w:r>
            <w:r/>
          </w:p>
        </w:tc>
        <w:tc>
          <w:tcPr>
            <w:shd w:val="clear" w:fill="auto" w:color="auto"/>
            <w:tcW w:w="2837" w:type="pct"/>
            <w:textDirection w:val="lrTb"/>
            <w:noWrap w:val="false"/>
          </w:tcPr>
          <w:p>
            <w:pPr>
              <w:pStyle w:val="1005"/>
              <w:ind w:left="57" w:right="57"/>
            </w:pPr>
            <w:r>
              <w:t xml:space="preserve">Номер.</w:t>
            </w:r>
            <w:r/>
          </w:p>
        </w:tc>
      </w:tr>
      <w:tr>
        <w:trPr/>
        <w:tc>
          <w:tcPr>
            <w:shd w:val="clear" w:fill="auto" w:color="auto"/>
            <w:tcW w:w="2163" w:type="pct"/>
            <w:textDirection w:val="lrTb"/>
            <w:noWrap w:val="false"/>
          </w:tcPr>
          <w:p>
            <w:pPr>
              <w:pStyle w:val="1005"/>
              <w:ind w:left="57" w:right="57"/>
            </w:pPr>
            <w:r>
              <w:t xml:space="preserve">Дата</w:t>
            </w:r>
            <w:r/>
          </w:p>
        </w:tc>
        <w:tc>
          <w:tcPr>
            <w:shd w:val="clear" w:fill="auto" w:color="auto"/>
            <w:tcW w:w="2837" w:type="pct"/>
            <w:textDirection w:val="lrTb"/>
            <w:noWrap w:val="false"/>
          </w:tcPr>
          <w:p>
            <w:pPr>
              <w:pStyle w:val="1005"/>
              <w:ind w:left="57" w:right="57"/>
            </w:pPr>
            <w:r>
              <w:t xml:space="preserve">Дата.</w:t>
            </w:r>
            <w:r/>
          </w:p>
        </w:tc>
      </w:tr>
      <w:tr>
        <w:trPr/>
        <w:tc>
          <w:tcPr>
            <w:shd w:val="clear" w:fill="auto" w:color="auto"/>
            <w:tcW w:w="2163" w:type="pct"/>
            <w:textDirection w:val="lrTb"/>
            <w:noWrap w:val="false"/>
          </w:tcPr>
          <w:p>
            <w:pPr>
              <w:pStyle w:val="1005"/>
              <w:ind w:left="57" w:right="57"/>
            </w:pPr>
            <w:r>
              <w:t xml:space="preserve">Наименование документа</w:t>
            </w:r>
            <w:r/>
          </w:p>
        </w:tc>
        <w:tc>
          <w:tcPr>
            <w:shd w:val="clear" w:fill="auto" w:color="auto"/>
            <w:tcW w:w="2837" w:type="pct"/>
            <w:textDirection w:val="lrTb"/>
            <w:noWrap w:val="false"/>
          </w:tcPr>
          <w:p>
            <w:pPr>
              <w:pStyle w:val="1005"/>
              <w:ind w:left="57" w:right="57"/>
            </w:pPr>
            <w:r>
              <w:t xml:space="preserve">Наименование документа.</w:t>
            </w:r>
            <w:r/>
          </w:p>
        </w:tc>
      </w:tr>
      <w:tr>
        <w:trPr/>
        <w:tc>
          <w:tcPr>
            <w:shd w:val="clear" w:fill="auto" w:color="auto"/>
            <w:tcW w:w="2163" w:type="pct"/>
            <w:textDirection w:val="lrTb"/>
            <w:noWrap w:val="false"/>
          </w:tcPr>
          <w:p>
            <w:pPr>
              <w:pStyle w:val="1005"/>
              <w:ind w:left="57" w:right="57"/>
            </w:pPr>
            <w:r>
              <w:t xml:space="preserve">Основание операции</w:t>
            </w:r>
            <w:r/>
          </w:p>
        </w:tc>
        <w:tc>
          <w:tcPr>
            <w:shd w:val="clear" w:fill="auto" w:color="auto"/>
            <w:tcW w:w="2837" w:type="pct"/>
            <w:textDirection w:val="lrTb"/>
            <w:noWrap w:val="false"/>
          </w:tcPr>
          <w:p>
            <w:pPr>
              <w:pStyle w:val="1005"/>
              <w:ind w:left="57" w:right="57"/>
            </w:pPr>
            <w:r>
              <w:t xml:space="preserve">Основание операции.</w:t>
            </w:r>
            <w:r/>
          </w:p>
        </w:tc>
      </w:tr>
      <w:tr>
        <w:trPr/>
        <w:tc>
          <w:tcPr>
            <w:shd w:val="clear" w:fill="auto" w:color="auto"/>
            <w:tcW w:w="2163" w:type="pct"/>
            <w:textDirection w:val="lrTb"/>
            <w:noWrap w:val="false"/>
          </w:tcPr>
          <w:p>
            <w:pPr>
              <w:pStyle w:val="1005"/>
              <w:ind w:left="57" w:right="57"/>
            </w:pPr>
            <w:r>
              <w:t xml:space="preserve">Номер счета по дебету</w:t>
            </w:r>
            <w:r/>
          </w:p>
        </w:tc>
        <w:tc>
          <w:tcPr>
            <w:shd w:val="clear" w:fill="auto" w:color="auto"/>
            <w:tcW w:w="2837" w:type="pct"/>
            <w:textDirection w:val="lrTb"/>
            <w:noWrap w:val="false"/>
          </w:tcPr>
          <w:p>
            <w:pPr>
              <w:pStyle w:val="1005"/>
              <w:ind w:left="57" w:right="57"/>
            </w:pPr>
            <w:r>
              <w:t xml:space="preserve">Номер счета по дебету.</w:t>
            </w:r>
            <w:r/>
          </w:p>
        </w:tc>
      </w:tr>
      <w:tr>
        <w:trPr/>
        <w:tc>
          <w:tcPr>
            <w:shd w:val="clear" w:fill="auto" w:color="auto"/>
            <w:tcW w:w="2163" w:type="pct"/>
            <w:textDirection w:val="lrTb"/>
            <w:noWrap w:val="false"/>
          </w:tcPr>
          <w:p>
            <w:pPr>
              <w:pStyle w:val="1005"/>
              <w:ind w:left="57" w:right="57"/>
            </w:pPr>
            <w:r>
              <w:t xml:space="preserve">Номер счета по кредиту</w:t>
            </w:r>
            <w:r/>
          </w:p>
        </w:tc>
        <w:tc>
          <w:tcPr>
            <w:shd w:val="clear" w:fill="auto" w:color="auto"/>
            <w:tcW w:w="2837" w:type="pct"/>
            <w:textDirection w:val="lrTb"/>
            <w:noWrap w:val="false"/>
          </w:tcPr>
          <w:p>
            <w:pPr>
              <w:pStyle w:val="1005"/>
              <w:ind w:left="57" w:right="57"/>
            </w:pPr>
            <w:r>
              <w:t xml:space="preserve">Номер счета по кредиту.</w:t>
            </w:r>
            <w:r/>
          </w:p>
        </w:tc>
      </w:tr>
      <w:tr>
        <w:trPr/>
        <w:tc>
          <w:tcPr>
            <w:shd w:val="clear" w:fill="auto" w:color="auto"/>
            <w:tcW w:w="2163" w:type="pct"/>
            <w:textDirection w:val="lrTb"/>
            <w:noWrap w:val="false"/>
          </w:tcPr>
          <w:p>
            <w:pPr>
              <w:pStyle w:val="1005"/>
              <w:ind w:left="57" w:right="57"/>
            </w:pPr>
            <w:r>
              <w:t xml:space="preserve">Сумма</w:t>
            </w:r>
            <w:r/>
          </w:p>
        </w:tc>
        <w:tc>
          <w:tcPr>
            <w:shd w:val="clear" w:fill="auto" w:color="auto"/>
            <w:tcW w:w="2837" w:type="pct"/>
            <w:textDirection w:val="lrTb"/>
            <w:noWrap w:val="false"/>
          </w:tcPr>
          <w:p>
            <w:pPr>
              <w:pStyle w:val="1005"/>
              <w:ind w:left="57" w:right="57"/>
            </w:pPr>
            <w:r>
              <w:t xml:space="preserve">Сумма.</w:t>
            </w:r>
            <w:r/>
          </w:p>
        </w:tc>
      </w:tr>
      <w:tr>
        <w:trPr/>
        <w:tc>
          <w:tcPr>
            <w:gridSpan w:val="2"/>
            <w:shd w:val="clear" w:fill="auto" w:color="auto"/>
            <w:tcW w:w="5000" w:type="pct"/>
            <w:textDirection w:val="lrTb"/>
            <w:noWrap w:val="false"/>
          </w:tcPr>
          <w:p>
            <w:pPr>
              <w:pStyle w:val="1005"/>
              <w:ind w:left="57" w:right="57"/>
            </w:pPr>
            <w:r>
              <w:t xml:space="preserve">Закладка «Подписи (3)»</w:t>
            </w:r>
            <w:r/>
          </w:p>
        </w:tc>
      </w:tr>
      <w:tr>
        <w:trPr/>
        <w:tc>
          <w:tcPr>
            <w:shd w:val="clear" w:fill="auto" w:color="auto"/>
            <w:tcW w:w="2163" w:type="pct"/>
            <w:textDirection w:val="lrTb"/>
            <w:noWrap w:val="false"/>
          </w:tcPr>
          <w:p>
            <w:pPr>
              <w:pStyle w:val="1005"/>
              <w:ind w:left="57" w:right="57"/>
            </w:pPr>
            <w:r>
              <w:t xml:space="preserve">Руководитель (</w:t>
            </w:r>
            <w:r>
              <w:rPr>
                <w:rStyle w:val="1400"/>
              </w:rPr>
              <w:t xml:space="preserve">уполн</w:t>
            </w:r>
            <w:r>
              <w:t xml:space="preserve">.</w:t>
            </w:r>
            <w:r>
              <w:t xml:space="preserve"> </w:t>
            </w:r>
            <w:r>
              <w:t xml:space="preserve">Л</w:t>
            </w:r>
            <w:r>
              <w:t xml:space="preserve">ицо)</w:t>
            </w:r>
            <w:r/>
          </w:p>
        </w:tc>
        <w:tc>
          <w:tcPr>
            <w:shd w:val="clear" w:fill="auto" w:color="auto"/>
            <w:tcW w:w="2837" w:type="pct"/>
            <w:textDirection w:val="lrTb"/>
            <w:noWrap w:val="false"/>
          </w:tcPr>
          <w:p>
            <w:pPr>
              <w:pStyle w:val="1005"/>
              <w:ind w:left="57" w:right="57"/>
            </w:pPr>
            <w:r>
              <w:t xml:space="preserve">Руководитель (уполн.</w:t>
            </w:r>
            <w:r>
              <w:t xml:space="preserve"> </w:t>
            </w:r>
            <w:r>
              <w:t xml:space="preserve">Л</w:t>
            </w:r>
            <w:r>
              <w:t xml:space="preserve">ицо).</w:t>
            </w:r>
            <w:r/>
          </w:p>
        </w:tc>
      </w:tr>
      <w:tr>
        <w:trPr/>
        <w:tc>
          <w:tcPr>
            <w:shd w:val="clear" w:fill="auto" w:color="auto"/>
            <w:tcW w:w="2163" w:type="pct"/>
            <w:textDirection w:val="lrTb"/>
            <w:noWrap w:val="false"/>
          </w:tcPr>
          <w:p>
            <w:pPr>
              <w:pStyle w:val="1005"/>
              <w:ind w:left="57" w:right="57"/>
            </w:pPr>
            <w:r>
              <w:t xml:space="preserve">Расшифровка подписи</w:t>
            </w:r>
            <w:r/>
          </w:p>
        </w:tc>
        <w:tc>
          <w:tcPr>
            <w:shd w:val="clear" w:fill="auto" w:color="auto"/>
            <w:tcW w:w="2837" w:type="pct"/>
            <w:textDirection w:val="lrTb"/>
            <w:noWrap w:val="false"/>
          </w:tcPr>
          <w:p>
            <w:pPr>
              <w:pStyle w:val="1005"/>
              <w:ind w:left="57" w:right="57"/>
            </w:pPr>
            <w:r>
              <w:t xml:space="preserve">Расшифровка подписи</w:t>
            </w:r>
            <w:r>
              <w:t xml:space="preserve"> руководителя </w:t>
            </w:r>
            <w:r>
              <w:t xml:space="preserve">(уполн.</w:t>
            </w:r>
            <w:r>
              <w:t xml:space="preserve"> </w:t>
            </w:r>
            <w:r>
              <w:t xml:space="preserve">Л</w:t>
            </w:r>
            <w:r>
              <w:t xml:space="preserve">ица</w:t>
            </w:r>
            <w:r>
              <w:t xml:space="preserve">)</w:t>
            </w:r>
            <w:r>
              <w:t xml:space="preserve">.</w:t>
            </w:r>
            <w:r/>
          </w:p>
        </w:tc>
      </w:tr>
      <w:tr>
        <w:trPr/>
        <w:tc>
          <w:tcPr>
            <w:shd w:val="clear" w:fill="auto" w:color="auto"/>
            <w:tcW w:w="2163" w:type="pct"/>
            <w:textDirection w:val="lrTb"/>
            <w:noWrap w:val="false"/>
          </w:tcPr>
          <w:p>
            <w:pPr>
              <w:pStyle w:val="1005"/>
              <w:ind w:left="57" w:right="57"/>
            </w:pPr>
            <w:r>
              <w:t xml:space="preserve">Должность исполнителя</w:t>
            </w:r>
            <w:r/>
          </w:p>
        </w:tc>
        <w:tc>
          <w:tcPr>
            <w:shd w:val="clear" w:fill="auto" w:color="auto"/>
            <w:tcW w:w="2837" w:type="pct"/>
            <w:textDirection w:val="lrTb"/>
            <w:noWrap w:val="false"/>
          </w:tcPr>
          <w:p>
            <w:pPr>
              <w:pStyle w:val="1005"/>
              <w:ind w:left="57" w:right="57"/>
            </w:pPr>
            <w:r>
              <w:t xml:space="preserve">Должность исполнителя.</w:t>
            </w:r>
            <w:r/>
          </w:p>
        </w:tc>
      </w:tr>
      <w:tr>
        <w:trPr/>
        <w:tc>
          <w:tcPr>
            <w:shd w:val="clear" w:fill="auto" w:color="auto"/>
            <w:tcW w:w="2163" w:type="pct"/>
            <w:textDirection w:val="lrTb"/>
            <w:noWrap w:val="false"/>
          </w:tcPr>
          <w:p>
            <w:pPr>
              <w:pStyle w:val="1005"/>
              <w:ind w:left="57" w:right="57"/>
            </w:pPr>
            <w:r>
              <w:t xml:space="preserve">Расшифровка подписи</w:t>
            </w:r>
            <w:r/>
          </w:p>
        </w:tc>
        <w:tc>
          <w:tcPr>
            <w:shd w:val="clear" w:fill="auto" w:color="auto"/>
            <w:tcW w:w="2837" w:type="pct"/>
            <w:textDirection w:val="lrTb"/>
            <w:noWrap w:val="false"/>
          </w:tcPr>
          <w:p>
            <w:pPr>
              <w:pStyle w:val="1005"/>
              <w:ind w:left="57" w:right="57"/>
            </w:pPr>
            <w:r>
              <w:t xml:space="preserve">Расшифровка подписи</w:t>
            </w:r>
            <w:r>
              <w:t xml:space="preserve"> </w:t>
            </w:r>
            <w:r>
              <w:t xml:space="preserve">исполнителя</w:t>
            </w:r>
            <w:r>
              <w:t xml:space="preserve">.</w:t>
            </w:r>
            <w:r/>
          </w:p>
        </w:tc>
      </w:tr>
      <w:tr>
        <w:trPr/>
        <w:tc>
          <w:tcPr>
            <w:shd w:val="clear" w:fill="auto" w:color="auto"/>
            <w:tcW w:w="2163" w:type="pct"/>
            <w:textDirection w:val="lrTb"/>
            <w:noWrap w:val="false"/>
          </w:tcPr>
          <w:p>
            <w:pPr>
              <w:pStyle w:val="1005"/>
              <w:ind w:left="57" w:right="57"/>
            </w:pPr>
            <w:r>
              <w:t xml:space="preserve">Дата подписания</w:t>
            </w:r>
            <w:r/>
          </w:p>
        </w:tc>
        <w:tc>
          <w:tcPr>
            <w:shd w:val="clear" w:fill="auto" w:color="auto"/>
            <w:tcW w:w="2837" w:type="pct"/>
            <w:textDirection w:val="lrTb"/>
            <w:noWrap w:val="false"/>
          </w:tcPr>
          <w:p>
            <w:pPr>
              <w:pStyle w:val="1005"/>
              <w:ind w:left="57" w:right="57"/>
            </w:pPr>
            <w:r>
              <w:t xml:space="preserve">Дата подписания.</w:t>
            </w:r>
            <w:r/>
          </w:p>
        </w:tc>
      </w:tr>
      <w:tr>
        <w:trPr/>
        <w:tc>
          <w:tcPr>
            <w:gridSpan w:val="2"/>
            <w:shd w:val="clear" w:fill="auto" w:color="auto"/>
            <w:tcW w:w="5000" w:type="pct"/>
            <w:textDirection w:val="lrTb"/>
            <w:noWrap w:val="false"/>
          </w:tcPr>
          <w:p>
            <w:pPr>
              <w:pStyle w:val="1005"/>
              <w:ind w:left="57" w:right="57"/>
            </w:pPr>
            <w:r>
              <w:t xml:space="preserve">Закладка «Подписи (3)»</w:t>
            </w:r>
            <w:r>
              <w:t xml:space="preserve">, группа полей </w:t>
            </w:r>
            <w:r>
              <w:t xml:space="preserve">«</w:t>
            </w:r>
            <w:r>
              <w:t xml:space="preserve">Ответственный исполнитель</w:t>
            </w:r>
            <w:r>
              <w:t xml:space="preserve">»</w:t>
            </w:r>
            <w:r/>
          </w:p>
        </w:tc>
      </w:tr>
      <w:tr>
        <w:trPr/>
        <w:tc>
          <w:tcPr>
            <w:shd w:val="clear" w:fill="auto" w:color="auto"/>
            <w:tcW w:w="2163" w:type="pct"/>
            <w:textDirection w:val="lrTb"/>
            <w:noWrap w:val="false"/>
          </w:tcPr>
          <w:p>
            <w:pPr>
              <w:pStyle w:val="1005"/>
              <w:ind w:left="57" w:right="57"/>
            </w:pPr>
            <w:r>
              <w:t xml:space="preserve">Должность</w:t>
            </w:r>
            <w:r/>
          </w:p>
        </w:tc>
        <w:tc>
          <w:tcPr>
            <w:shd w:val="clear" w:fill="auto" w:color="auto"/>
            <w:tcW w:w="2837" w:type="pct"/>
            <w:textDirection w:val="lrTb"/>
            <w:noWrap w:val="false"/>
          </w:tcPr>
          <w:p>
            <w:pPr>
              <w:pStyle w:val="1005"/>
              <w:ind w:left="57" w:right="57"/>
            </w:pPr>
            <w:r>
              <w:t xml:space="preserve">Должность ответственного исполнителя.</w:t>
            </w:r>
            <w:r/>
          </w:p>
        </w:tc>
      </w:tr>
      <w:tr>
        <w:trPr/>
        <w:tc>
          <w:tcPr>
            <w:shd w:val="clear" w:fill="auto" w:color="auto"/>
            <w:tcW w:w="2163" w:type="pct"/>
            <w:textDirection w:val="lrTb"/>
            <w:noWrap w:val="false"/>
          </w:tcPr>
          <w:p>
            <w:pPr>
              <w:pStyle w:val="1005"/>
              <w:ind w:left="57" w:right="57"/>
            </w:pPr>
            <w:r>
              <w:t xml:space="preserve">Расшифровка подписи</w:t>
            </w:r>
            <w:r/>
          </w:p>
        </w:tc>
        <w:tc>
          <w:tcPr>
            <w:shd w:val="clear" w:fill="auto" w:color="auto"/>
            <w:tcW w:w="2837" w:type="pct"/>
            <w:textDirection w:val="lrTb"/>
            <w:noWrap w:val="false"/>
          </w:tcPr>
          <w:p>
            <w:pPr>
              <w:pStyle w:val="1005"/>
              <w:ind w:left="57" w:right="57"/>
            </w:pPr>
            <w:r>
              <w:t xml:space="preserve">Расшифровка подписи ответственного исполнителя.</w:t>
            </w:r>
            <w:r/>
          </w:p>
        </w:tc>
      </w:tr>
      <w:tr>
        <w:trPr/>
        <w:tc>
          <w:tcPr>
            <w:shd w:val="clear" w:fill="auto" w:color="auto"/>
            <w:tcW w:w="2163" w:type="pct"/>
            <w:textDirection w:val="lrTb"/>
            <w:noWrap w:val="false"/>
          </w:tcPr>
          <w:p>
            <w:pPr>
              <w:pStyle w:val="1005"/>
              <w:ind w:left="57" w:right="57"/>
            </w:pPr>
            <w:r>
              <w:t xml:space="preserve">Дата подписи</w:t>
            </w:r>
            <w:r/>
          </w:p>
        </w:tc>
        <w:tc>
          <w:tcPr>
            <w:shd w:val="clear" w:fill="auto" w:color="auto"/>
            <w:tcW w:w="2837" w:type="pct"/>
            <w:textDirection w:val="lrTb"/>
            <w:noWrap w:val="false"/>
          </w:tcPr>
          <w:p>
            <w:pPr>
              <w:pStyle w:val="1005"/>
              <w:ind w:left="57" w:right="57"/>
            </w:pPr>
            <w:r>
              <w:t xml:space="preserve">Дата подписи.</w:t>
            </w:r>
            <w:r/>
          </w:p>
        </w:tc>
      </w:tr>
    </w:tbl>
    <w:p>
      <w:pPr>
        <w:pStyle w:val="972"/>
      </w:pPr>
      <w:r/>
      <w:bookmarkStart w:id="1797" w:name="_Ref20824578"/>
      <w:r/>
      <w:bookmarkStart w:id="1798" w:name="_Toc20825355"/>
      <w:r/>
      <w:bookmarkStart w:id="1799" w:name="_Toc422496732"/>
      <w:r/>
      <w:bookmarkStart w:id="1800" w:name="_Toc88819161"/>
      <w:r>
        <w:t xml:space="preserve">Отчетность ПУР</w:t>
      </w:r>
      <w:bookmarkEnd w:id="1797"/>
      <w:r/>
      <w:bookmarkEnd w:id="1798"/>
      <w:r/>
      <w:bookmarkEnd w:id="1800"/>
      <w:r/>
      <w:r/>
    </w:p>
    <w:p>
      <w:pPr>
        <w:pStyle w:val="994"/>
      </w:pPr>
      <w:r>
        <w:t xml:space="preserve">Документ «Отчетность ПУР» предназначен для п</w:t>
      </w:r>
      <w:r>
        <w:t xml:space="preserve">риём</w:t>
      </w:r>
      <w:r>
        <w:t xml:space="preserve">а</w:t>
      </w:r>
      <w:r>
        <w:t xml:space="preserve"> клиентом отчетов из ПУР.</w:t>
      </w:r>
      <w:r/>
    </w:p>
    <w:p>
      <w:pPr>
        <w:pStyle w:val="994"/>
      </w:pPr>
      <w:r>
        <w:t xml:space="preserve">Для работы с документами «Отчетность ПУР</w:t>
      </w:r>
      <w:r>
        <w:t xml:space="preserve">» следует перейти в пункт меню «Документы – Оперативная отч</w:t>
      </w:r>
      <w:r>
        <w:t xml:space="preserve">ё</w:t>
      </w:r>
      <w:r>
        <w:t xml:space="preserve">тность – </w:t>
      </w:r>
      <w:r>
        <w:t xml:space="preserve">Отчёты</w:t>
      </w:r>
      <w:r>
        <w:t xml:space="preserve"> – </w:t>
      </w:r>
      <w:r>
        <w:t xml:space="preserve">Отчетность ПУР</w:t>
      </w:r>
      <w:r>
        <w:t xml:space="preserve">». Откроется ЭФ списка документов, представленная на рисунке </w:t>
      </w:r>
      <w:r>
        <w:fldChar w:fldCharType="begin"/>
      </w:r>
      <w:r>
        <w:instrText xml:space="preserve"> REF _Ref20826097 \h </w:instrText>
      </w:r>
      <w:r>
        <w:fldChar w:fldCharType="separate"/>
      </w:r>
      <w:r>
        <w:t xml:space="preserve">269</w:t>
      </w:r>
      <w:r>
        <w:fldChar w:fldCharType="end"/>
      </w:r>
      <w:r>
        <w:t xml:space="preserve">.</w:t>
      </w:r>
      <w:r/>
    </w:p>
    <w:p>
      <w:pPr>
        <w:pStyle w:val="982"/>
      </w:pPr>
      <w:r>
        <mc:AlternateContent>
          <mc:Choice Requires="wpg">
            <w:drawing>
              <wp:inline xmlns:wp="http://schemas.openxmlformats.org/drawingml/2006/wordprocessingDrawing" distT="0" distB="0" distL="0" distR="0">
                <wp:extent cx="5859780" cy="2461260"/>
                <wp:effectExtent l="0" t="0" r="0" b="0"/>
                <wp:docPr id="39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52"/>
                        <a:stretch/>
                      </pic:blipFill>
                      <pic:spPr bwMode="auto">
                        <a:xfrm>
                          <a:off x="0" y="0"/>
                          <a:ext cx="5859780" cy="24612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6" o:spid="_x0000_s396" type="#_x0000_t75" style="mso-wrap-distance-left:0.0pt;mso-wrap-distance-top:0.0pt;mso-wrap-distance-right:0.0pt;mso-wrap-distance-bottom:0.0pt;width:461.4pt;height:193.8pt;" stroked="f">
                <v:path textboxrect="0,0,0,0"/>
                <v:imagedata r:id="rId352" o:title=""/>
              </v:shape>
            </w:pict>
          </mc:Fallback>
        </mc:AlternateContent>
      </w:r>
      <w:r/>
    </w:p>
    <w:p>
      <w:pPr>
        <w:pStyle w:val="983"/>
      </w:pPr>
      <w:r>
        <w:fldChar w:fldCharType="begin"/>
      </w:r>
      <w:r>
        <w:instrText xml:space="preserve"> SEQ Рисунок \* ARABIC </w:instrText>
      </w:r>
      <w:r>
        <w:fldChar w:fldCharType="separate"/>
      </w:r>
      <w:bookmarkStart w:id="1801" w:name="_Ref20826097"/>
      <w:r/>
      <w:bookmarkStart w:id="1802" w:name="_Toc20825578"/>
      <w:r/>
      <w:bookmarkStart w:id="1803" w:name="_Toc88819654"/>
      <w:r>
        <w:t xml:space="preserve">269</w:t>
      </w:r>
      <w:bookmarkEnd w:id="1801"/>
      <w:r>
        <w:fldChar w:fldCharType="end"/>
      </w:r>
      <w:r>
        <w:t xml:space="preserve">. ЭФ списка документов «</w:t>
      </w:r>
      <w:r>
        <w:t xml:space="preserve">Отчетность ПУР</w:t>
      </w:r>
      <w:r>
        <w:t xml:space="preserve">»</w:t>
      </w:r>
      <w:bookmarkEnd w:id="1802"/>
      <w:r/>
      <w:bookmarkEnd w:id="1803"/>
      <w:r/>
      <w:r/>
    </w:p>
    <w:p>
      <w:pPr>
        <w:pStyle w:val="973"/>
      </w:pPr>
      <w:r>
        <w:t xml:space="preserve">Доступные операции</w:t>
      </w:r>
      <w:r/>
    </w:p>
    <w:p>
      <w:pPr>
        <w:pStyle w:val="994"/>
      </w:pPr>
      <w:r>
        <w:t xml:space="preserve">На АРМ </w:t>
      </w:r>
      <w:r>
        <w:t xml:space="preserve">ФО</w:t>
      </w:r>
      <w:r>
        <w:t xml:space="preserve"> доступны следующие операции над </w:t>
      </w:r>
      <w:r>
        <w:t xml:space="preserve">документом</w:t>
      </w:r>
      <w:r>
        <w:t xml:space="preserve">:</w:t>
      </w:r>
      <w:r/>
    </w:p>
    <w:p>
      <w:pPr>
        <w:pStyle w:val="985"/>
      </w:pPr>
      <w:r>
        <w:t xml:space="preserve">просмотр;</w:t>
      </w:r>
      <w:r/>
    </w:p>
    <w:p>
      <w:pPr>
        <w:pStyle w:val="985"/>
      </w:pPr>
      <w:r>
        <w:t xml:space="preserve">печать;</w:t>
      </w:r>
      <w:r/>
    </w:p>
    <w:p>
      <w:pPr>
        <w:pStyle w:val="985"/>
      </w:pPr>
      <w:r>
        <w:t xml:space="preserve">проверка ЭП;</w:t>
      </w:r>
      <w:r/>
    </w:p>
    <w:p>
      <w:pPr>
        <w:pStyle w:val="985"/>
      </w:pPr>
      <w:r>
        <w:t xml:space="preserve">экспорт </w:t>
      </w:r>
      <w:r>
        <w:t xml:space="preserve">в</w:t>
      </w:r>
      <w:r>
        <w:t xml:space="preserve">о внешнюю си</w:t>
      </w:r>
      <w:r>
        <w:t xml:space="preserve">с</w:t>
      </w:r>
      <w:r>
        <w:t xml:space="preserve">тему.</w:t>
      </w:r>
      <w:r/>
    </w:p>
    <w:p>
      <w:pPr>
        <w:pStyle w:val="973"/>
      </w:pPr>
      <w:r>
        <w:t xml:space="preserve">Экранная форма документа</w:t>
      </w:r>
      <w:r/>
    </w:p>
    <w:p>
      <w:pPr>
        <w:pStyle w:val="994"/>
      </w:pPr>
      <w:r>
        <w:t xml:space="preserve">ЭФ </w:t>
      </w:r>
      <w:r>
        <w:t xml:space="preserve">документа </w:t>
      </w:r>
      <w:r>
        <w:t xml:space="preserve">«</w:t>
      </w:r>
      <w:r>
        <w:t xml:space="preserve">Отчетность ПУР</w:t>
      </w:r>
      <w:r>
        <w:t xml:space="preserve">» представлена на р</w:t>
      </w:r>
      <w:r>
        <w:t xml:space="preserve">и</w:t>
      </w:r>
      <w:r>
        <w:t xml:space="preserve">сунке </w:t>
      </w:r>
      <w:r>
        <w:fldChar w:fldCharType="begin"/>
      </w:r>
      <w:r>
        <w:instrText xml:space="preserve"> REF _Ref20826098 \h </w:instrText>
      </w:r>
      <w:r>
        <w:fldChar w:fldCharType="separate"/>
      </w:r>
      <w:r>
        <w:t xml:space="preserve">270</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5029200"/>
                <wp:effectExtent l="0" t="0" r="0" b="0"/>
                <wp:docPr id="39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53"/>
                        <a:stretch/>
                      </pic:blipFill>
                      <pic:spPr bwMode="auto">
                        <a:xfrm>
                          <a:off x="0" y="0"/>
                          <a:ext cx="6126480" cy="50292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7" o:spid="_x0000_s397" type="#_x0000_t75" style="mso-wrap-distance-left:0.0pt;mso-wrap-distance-top:0.0pt;mso-wrap-distance-right:0.0pt;mso-wrap-distance-bottom:0.0pt;width:482.4pt;height:396.0pt;" stroked="f">
                <v:path textboxrect="0,0,0,0"/>
                <v:imagedata r:id="rId353" o:title=""/>
              </v:shape>
            </w:pict>
          </mc:Fallback>
        </mc:AlternateContent>
      </w:r>
      <w:r/>
    </w:p>
    <w:p>
      <w:pPr>
        <w:pStyle w:val="983"/>
      </w:pPr>
      <w:r>
        <w:fldChar w:fldCharType="begin"/>
      </w:r>
      <w:r>
        <w:instrText xml:space="preserve"> SEQ Рисунок \* ARABIC </w:instrText>
      </w:r>
      <w:r>
        <w:fldChar w:fldCharType="separate"/>
      </w:r>
      <w:bookmarkStart w:id="1804" w:name="_Ref20826098"/>
      <w:r/>
      <w:bookmarkStart w:id="1805" w:name="_Toc20825579"/>
      <w:r/>
      <w:bookmarkStart w:id="1806" w:name="_Toc88819655"/>
      <w:r>
        <w:t xml:space="preserve">270</w:t>
      </w:r>
      <w:bookmarkEnd w:id="1804"/>
      <w:r>
        <w:fldChar w:fldCharType="end"/>
      </w:r>
      <w:r>
        <w:t xml:space="preserve">. ЭФ </w:t>
      </w:r>
      <w:r>
        <w:t xml:space="preserve">документа </w:t>
      </w:r>
      <w:r>
        <w:t xml:space="preserve">«</w:t>
      </w:r>
      <w:r>
        <w:t xml:space="preserve">Отчетность ПУР</w:t>
      </w:r>
      <w:r>
        <w:t xml:space="preserve">»</w:t>
      </w:r>
      <w:bookmarkEnd w:id="1805"/>
      <w:r/>
      <w:bookmarkEnd w:id="1806"/>
      <w:r/>
      <w:r/>
    </w:p>
    <w:p>
      <w:pPr>
        <w:pStyle w:val="994"/>
      </w:pPr>
      <w:r>
        <w:t xml:space="preserve">Перечень полей </w:t>
      </w:r>
      <w:r>
        <w:t xml:space="preserve">документа </w:t>
      </w:r>
      <w:r>
        <w:t xml:space="preserve">«</w:t>
      </w:r>
      <w:r>
        <w:t xml:space="preserve">Отчетность ПУР</w:t>
      </w:r>
      <w:r>
        <w:t xml:space="preserve">»</w:t>
      </w:r>
      <w:r>
        <w:t xml:space="preserve"> </w:t>
      </w:r>
      <w:r>
        <w:t xml:space="preserve">приведен в таблице</w:t>
      </w:r>
      <w:r>
        <w:t xml:space="preserve"> </w:t>
      </w:r>
      <w:r>
        <w:fldChar w:fldCharType="begin"/>
      </w:r>
      <w:r>
        <w:instrText xml:space="preserve"> REF _Ref20826099 \h </w:instrText>
      </w:r>
      <w:r>
        <w:fldChar w:fldCharType="separate"/>
      </w:r>
      <w:r>
        <w:t xml:space="preserve">157</w:t>
      </w:r>
      <w:r>
        <w:fldChar w:fldCharType="end"/>
      </w:r>
      <w:r>
        <w:t xml:space="preserve">. </w:t>
      </w:r>
      <w:r/>
    </w:p>
    <w:p>
      <w:pPr>
        <w:pStyle w:val="993"/>
      </w:pPr>
      <w:r>
        <w:fldChar w:fldCharType="begin"/>
      </w:r>
      <w:r>
        <w:instrText xml:space="preserve"> SEQ Таблица \* ARABIC </w:instrText>
      </w:r>
      <w:r>
        <w:fldChar w:fldCharType="separate"/>
      </w:r>
      <w:bookmarkStart w:id="1807" w:name="_Ref20826099"/>
      <w:r/>
      <w:bookmarkStart w:id="1808" w:name="_Toc20825431"/>
      <w:r/>
      <w:bookmarkStart w:id="1809" w:name="_Toc88819344"/>
      <w:r>
        <w:t xml:space="preserve">157</w:t>
      </w:r>
      <w:bookmarkEnd w:id="1807"/>
      <w:r>
        <w:fldChar w:fldCharType="end"/>
      </w:r>
      <w:r>
        <w:t xml:space="preserve">. Описание полей документа «</w:t>
      </w:r>
      <w:r>
        <w:t xml:space="preserve">Отчетность ПУР</w:t>
      </w:r>
      <w:r>
        <w:t xml:space="preserve">»</w:t>
      </w:r>
      <w:bookmarkEnd w:id="1808"/>
      <w:r/>
      <w:bookmarkEnd w:id="1809"/>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3419"/>
        <w:gridCol w:w="6333"/>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753"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247" w:type="pct"/>
            <w:vAlign w:val="center"/>
            <w:textDirection w:val="lrTb"/>
            <w:noWrap w:val="false"/>
          </w:tcPr>
          <w:p>
            <w:pPr>
              <w:pStyle w:val="1006"/>
            </w:pPr>
            <w:r>
              <w:t xml:space="preserve">Описание поля</w:t>
            </w:r>
            <w:r/>
          </w:p>
        </w:tc>
      </w:tr>
      <w:tr>
        <w:trPr/>
        <w:tc>
          <w:tcPr>
            <w:shd w:val="clear" w:fill="auto" w:color="auto"/>
            <w:tcW w:w="1753" w:type="pct"/>
            <w:textDirection w:val="lrTb"/>
            <w:noWrap w:val="false"/>
          </w:tcPr>
          <w:p>
            <w:pPr>
              <w:pStyle w:val="1005"/>
              <w:ind w:left="57" w:right="57"/>
            </w:pPr>
            <w:r>
              <w:t xml:space="preserve">Дата</w:t>
            </w:r>
            <w:r/>
          </w:p>
        </w:tc>
        <w:tc>
          <w:tcPr>
            <w:shd w:val="clear" w:fill="auto" w:color="auto"/>
            <w:tcW w:w="3247" w:type="pct"/>
            <w:textDirection w:val="lrTb"/>
            <w:noWrap w:val="false"/>
          </w:tcPr>
          <w:p>
            <w:pPr>
              <w:pStyle w:val="1005"/>
              <w:ind w:left="57" w:right="57"/>
            </w:pPr>
            <w:r>
              <w:t xml:space="preserve">Дата отчета.</w:t>
            </w:r>
            <w:r/>
          </w:p>
        </w:tc>
      </w:tr>
      <w:tr>
        <w:trPr/>
        <w:tc>
          <w:tcPr>
            <w:shd w:val="clear" w:fill="auto" w:color="auto"/>
            <w:tcW w:w="1753" w:type="pct"/>
            <w:textDirection w:val="lrTb"/>
            <w:noWrap w:val="false"/>
          </w:tcPr>
          <w:p>
            <w:pPr>
              <w:pStyle w:val="1005"/>
              <w:ind w:left="57" w:right="57"/>
            </w:pPr>
            <w:r>
              <w:t xml:space="preserve">Регистрационный номер</w:t>
            </w:r>
            <w:r/>
          </w:p>
        </w:tc>
        <w:tc>
          <w:tcPr>
            <w:shd w:val="clear" w:fill="auto" w:color="auto"/>
            <w:tcW w:w="3247" w:type="pct"/>
            <w:textDirection w:val="lrTb"/>
            <w:noWrap w:val="false"/>
          </w:tcPr>
          <w:p>
            <w:pPr>
              <w:pStyle w:val="1005"/>
              <w:ind w:left="57" w:right="57"/>
            </w:pPr>
            <w:r>
              <w:t xml:space="preserve">Регистрационный номер.</w:t>
            </w:r>
            <w:r/>
          </w:p>
        </w:tc>
      </w:tr>
      <w:tr>
        <w:trPr/>
        <w:tc>
          <w:tcPr>
            <w:shd w:val="clear" w:fill="auto" w:color="auto"/>
            <w:tcW w:w="1753" w:type="pct"/>
            <w:textDirection w:val="lrTb"/>
            <w:noWrap w:val="false"/>
          </w:tcPr>
          <w:p>
            <w:pPr>
              <w:pStyle w:val="1005"/>
              <w:ind w:left="57" w:right="57"/>
            </w:pPr>
            <w:r>
              <w:t xml:space="preserve">Дата предыдущей выписки</w:t>
            </w:r>
            <w:r/>
          </w:p>
        </w:tc>
        <w:tc>
          <w:tcPr>
            <w:shd w:val="clear" w:fill="auto" w:color="auto"/>
            <w:tcW w:w="3247" w:type="pct"/>
            <w:textDirection w:val="lrTb"/>
            <w:noWrap w:val="false"/>
          </w:tcPr>
          <w:p>
            <w:pPr>
              <w:pStyle w:val="1005"/>
              <w:ind w:left="57" w:right="57"/>
            </w:pPr>
            <w:r>
              <w:t xml:space="preserve">Дата предыдущей выписки отчета.</w:t>
            </w:r>
            <w:r/>
          </w:p>
        </w:tc>
      </w:tr>
      <w:tr>
        <w:trPr/>
        <w:tc>
          <w:tcPr>
            <w:shd w:val="clear" w:fill="auto" w:color="auto"/>
            <w:tcW w:w="1753" w:type="pct"/>
            <w:textDirection w:val="lrTb"/>
            <w:noWrap w:val="false"/>
          </w:tcPr>
          <w:p>
            <w:pPr>
              <w:pStyle w:val="1005"/>
              <w:ind w:left="57" w:right="57"/>
            </w:pPr>
            <w:r>
              <w:t xml:space="preserve">Форма по КФД</w:t>
            </w:r>
            <w:r/>
          </w:p>
        </w:tc>
        <w:tc>
          <w:tcPr>
            <w:shd w:val="clear" w:fill="auto" w:color="auto"/>
            <w:tcW w:w="3247" w:type="pct"/>
            <w:textDirection w:val="lrTb"/>
            <w:noWrap w:val="false"/>
          </w:tcPr>
          <w:p>
            <w:pPr>
              <w:pStyle w:val="1005"/>
              <w:ind w:left="57" w:right="57"/>
            </w:pPr>
            <w:r>
              <w:t xml:space="preserve">Форма по к</w:t>
            </w:r>
            <w:r>
              <w:t xml:space="preserve">лассификатор</w:t>
            </w:r>
            <w:r>
              <w:t xml:space="preserve">у</w:t>
            </w:r>
            <w:r>
              <w:t xml:space="preserve"> форм документов</w:t>
            </w:r>
            <w:r>
              <w:t xml:space="preserve">.</w:t>
            </w:r>
            <w:r/>
          </w:p>
        </w:tc>
      </w:tr>
      <w:tr>
        <w:trPr/>
        <w:tc>
          <w:tcPr>
            <w:shd w:val="clear" w:fill="auto" w:color="auto"/>
            <w:tcW w:w="1753" w:type="pct"/>
            <w:textDirection w:val="lrTb"/>
            <w:noWrap w:val="false"/>
          </w:tcPr>
          <w:p>
            <w:pPr>
              <w:pStyle w:val="1005"/>
              <w:ind w:left="57" w:right="57"/>
            </w:pPr>
            <w:r>
              <w:t xml:space="preserve">ТОФК</w:t>
            </w:r>
            <w:r/>
          </w:p>
        </w:tc>
        <w:tc>
          <w:tcPr>
            <w:shd w:val="clear" w:fill="auto" w:color="auto"/>
            <w:tcW w:w="3247" w:type="pct"/>
            <w:textDirection w:val="lrTb"/>
            <w:noWrap w:val="false"/>
          </w:tcPr>
          <w:p>
            <w:pPr>
              <w:pStyle w:val="1005"/>
              <w:ind w:left="57" w:right="57"/>
            </w:pPr>
            <w:r>
              <w:t xml:space="preserve">Наименование т</w:t>
            </w:r>
            <w:r>
              <w:t xml:space="preserve">ерриториальн</w:t>
            </w:r>
            <w:r>
              <w:t xml:space="preserve">ого</w:t>
            </w:r>
            <w:r>
              <w:t xml:space="preserve"> орган</w:t>
            </w:r>
            <w:r>
              <w:t xml:space="preserve">а</w:t>
            </w:r>
            <w:r>
              <w:t xml:space="preserve"> Федерального казначейства</w:t>
            </w:r>
            <w:r>
              <w:t xml:space="preserve">.</w:t>
            </w:r>
            <w:r/>
          </w:p>
        </w:tc>
      </w:tr>
      <w:tr>
        <w:trPr/>
        <w:tc>
          <w:tcPr>
            <w:shd w:val="clear" w:fill="auto" w:color="auto"/>
            <w:tcW w:w="1753" w:type="pct"/>
            <w:textDirection w:val="lrTb"/>
            <w:noWrap w:val="false"/>
          </w:tcPr>
          <w:p>
            <w:pPr>
              <w:pStyle w:val="1005"/>
              <w:ind w:left="57" w:right="57"/>
            </w:pPr>
            <w:r>
              <w:t xml:space="preserve">Код по КОФК</w:t>
            </w:r>
            <w:r/>
          </w:p>
        </w:tc>
        <w:tc>
          <w:tcPr>
            <w:shd w:val="clear" w:fill="auto" w:color="auto"/>
            <w:tcW w:w="3247" w:type="pct"/>
            <w:textDirection w:val="lrTb"/>
            <w:noWrap w:val="false"/>
          </w:tcPr>
          <w:p>
            <w:pPr>
              <w:pStyle w:val="1005"/>
              <w:ind w:left="57" w:right="57"/>
            </w:pPr>
            <w:r>
              <w:t xml:space="preserve">Код по к</w:t>
            </w:r>
            <w:r>
              <w:t xml:space="preserve">лассификатор</w:t>
            </w:r>
            <w:r>
              <w:t xml:space="preserve">у</w:t>
            </w:r>
            <w:r>
              <w:t xml:space="preserve"> органов Федерального казначейства</w:t>
            </w:r>
            <w:r>
              <w:t xml:space="preserve">.</w:t>
            </w:r>
            <w:r/>
          </w:p>
        </w:tc>
      </w:tr>
      <w:tr>
        <w:trPr/>
        <w:tc>
          <w:tcPr>
            <w:shd w:val="clear" w:fill="auto" w:color="auto"/>
            <w:tcW w:w="1753" w:type="pct"/>
            <w:textDirection w:val="lrTb"/>
            <w:noWrap w:val="false"/>
          </w:tcPr>
          <w:p>
            <w:pPr>
              <w:pStyle w:val="1005"/>
              <w:ind w:left="57" w:right="57"/>
            </w:pPr>
            <w:r>
              <w:t xml:space="preserve">Клиент</w:t>
            </w:r>
            <w:r/>
          </w:p>
        </w:tc>
        <w:tc>
          <w:tcPr>
            <w:shd w:val="clear" w:fill="auto" w:color="auto"/>
            <w:tcW w:w="3247" w:type="pct"/>
            <w:textDirection w:val="lrTb"/>
            <w:noWrap w:val="false"/>
          </w:tcPr>
          <w:p>
            <w:pPr>
              <w:pStyle w:val="1005"/>
              <w:ind w:left="57" w:right="57"/>
            </w:pPr>
            <w:r>
              <w:t xml:space="preserve">Наименование клиента.</w:t>
            </w:r>
            <w:r/>
          </w:p>
        </w:tc>
      </w:tr>
      <w:tr>
        <w:trPr/>
        <w:tc>
          <w:tcPr>
            <w:shd w:val="clear" w:fill="auto" w:color="auto"/>
            <w:tcW w:w="1753" w:type="pct"/>
            <w:textDirection w:val="lrTb"/>
            <w:noWrap w:val="false"/>
          </w:tcPr>
          <w:p>
            <w:pPr>
              <w:pStyle w:val="1005"/>
              <w:ind w:left="57" w:right="57"/>
            </w:pPr>
            <w:r>
              <w:t xml:space="preserve">Код по СР</w:t>
            </w:r>
            <w:r/>
          </w:p>
        </w:tc>
        <w:tc>
          <w:tcPr>
            <w:shd w:val="clear" w:fill="auto" w:color="auto"/>
            <w:tcW w:w="3247" w:type="pct"/>
            <w:textDirection w:val="lrTb"/>
            <w:noWrap w:val="false"/>
          </w:tcPr>
          <w:p>
            <w:pPr>
              <w:pStyle w:val="1005"/>
              <w:ind w:left="57" w:right="57"/>
            </w:pPr>
            <w:r>
              <w:t xml:space="preserve">Код по Сводному реестру.</w:t>
            </w:r>
            <w:r/>
          </w:p>
        </w:tc>
      </w:tr>
      <w:tr>
        <w:trPr/>
        <w:tc>
          <w:tcPr>
            <w:shd w:val="clear" w:fill="auto" w:color="auto"/>
            <w:tcW w:w="1753" w:type="pct"/>
            <w:textDirection w:val="lrTb"/>
            <w:noWrap w:val="false"/>
          </w:tcPr>
          <w:p>
            <w:pPr>
              <w:pStyle w:val="1005"/>
              <w:ind w:left="57" w:right="57"/>
            </w:pPr>
            <w:r>
              <w:t xml:space="preserve">Номер л/с</w:t>
            </w:r>
            <w:r/>
          </w:p>
        </w:tc>
        <w:tc>
          <w:tcPr>
            <w:shd w:val="clear" w:fill="auto" w:color="auto"/>
            <w:tcW w:w="3247" w:type="pct"/>
            <w:textDirection w:val="lrTb"/>
            <w:noWrap w:val="false"/>
          </w:tcPr>
          <w:p>
            <w:pPr>
              <w:pStyle w:val="1005"/>
              <w:ind w:left="57" w:right="57"/>
            </w:pPr>
            <w:r>
              <w:t xml:space="preserve">Номер лицевого счета.</w:t>
            </w:r>
            <w:r/>
          </w:p>
        </w:tc>
      </w:tr>
      <w:tr>
        <w:trPr/>
        <w:tc>
          <w:tcPr>
            <w:shd w:val="clear" w:fill="auto" w:color="auto"/>
            <w:tcW w:w="1753" w:type="pct"/>
            <w:textDirection w:val="lrTb"/>
            <w:noWrap w:val="false"/>
          </w:tcPr>
          <w:p>
            <w:pPr>
              <w:pStyle w:val="1005"/>
              <w:ind w:left="57" w:right="57"/>
            </w:pPr>
            <w:r>
              <w:t xml:space="preserve">РБС</w:t>
            </w:r>
            <w:r/>
          </w:p>
        </w:tc>
        <w:tc>
          <w:tcPr>
            <w:shd w:val="clear" w:fill="auto" w:color="auto"/>
            <w:tcW w:w="3247" w:type="pct"/>
            <w:textDirection w:val="lrTb"/>
            <w:noWrap w:val="false"/>
          </w:tcPr>
          <w:p>
            <w:pPr>
              <w:pStyle w:val="1005"/>
              <w:ind w:left="57" w:right="57"/>
            </w:pPr>
            <w:r>
              <w:t xml:space="preserve">Распорядители бюджетных средств</w:t>
            </w:r>
            <w:r>
              <w:t xml:space="preserve">.</w:t>
            </w:r>
            <w:r/>
          </w:p>
        </w:tc>
      </w:tr>
      <w:tr>
        <w:trPr/>
        <w:tc>
          <w:tcPr>
            <w:shd w:val="clear" w:fill="auto" w:color="auto"/>
            <w:tcW w:w="1753" w:type="pct"/>
            <w:textDirection w:val="lrTb"/>
            <w:noWrap w:val="false"/>
          </w:tcPr>
          <w:p>
            <w:pPr>
              <w:pStyle w:val="1005"/>
              <w:ind w:left="57" w:right="57"/>
            </w:pPr>
            <w:r>
              <w:t xml:space="preserve">Код по СР</w:t>
            </w:r>
            <w:r/>
          </w:p>
        </w:tc>
        <w:tc>
          <w:tcPr>
            <w:shd w:val="clear" w:fill="auto" w:color="auto"/>
            <w:tcW w:w="3247" w:type="pct"/>
            <w:textDirection w:val="lrTb"/>
            <w:noWrap w:val="false"/>
          </w:tcPr>
          <w:p>
            <w:pPr>
              <w:pStyle w:val="1005"/>
              <w:ind w:left="57" w:right="57"/>
            </w:pPr>
            <w:r>
              <w:t xml:space="preserve">Код по Сводному реестру.</w:t>
            </w:r>
            <w:r/>
          </w:p>
        </w:tc>
      </w:tr>
      <w:tr>
        <w:trPr/>
        <w:tc>
          <w:tcPr>
            <w:shd w:val="clear" w:fill="auto" w:color="auto"/>
            <w:tcW w:w="1753" w:type="pct"/>
            <w:textDirection w:val="lrTb"/>
            <w:noWrap w:val="false"/>
          </w:tcPr>
          <w:p>
            <w:pPr>
              <w:pStyle w:val="1005"/>
              <w:ind w:left="57" w:right="57"/>
            </w:pPr>
            <w:r>
              <w:t xml:space="preserve">Глава</w:t>
            </w:r>
            <w:r/>
          </w:p>
        </w:tc>
        <w:tc>
          <w:tcPr>
            <w:shd w:val="clear" w:fill="auto" w:color="auto"/>
            <w:tcW w:w="3247" w:type="pct"/>
            <w:textDirection w:val="lrTb"/>
            <w:noWrap w:val="false"/>
          </w:tcPr>
          <w:p>
            <w:pPr>
              <w:pStyle w:val="1005"/>
              <w:ind w:left="57" w:right="57"/>
            </w:pPr>
            <w:r>
              <w:t xml:space="preserve">Глава.</w:t>
            </w:r>
            <w:r/>
          </w:p>
        </w:tc>
      </w:tr>
      <w:tr>
        <w:trPr/>
        <w:tc>
          <w:tcPr>
            <w:shd w:val="clear" w:fill="auto" w:color="auto"/>
            <w:tcW w:w="1753" w:type="pct"/>
            <w:textDirection w:val="lrTb"/>
            <w:noWrap w:val="false"/>
          </w:tcPr>
          <w:p>
            <w:pPr>
              <w:pStyle w:val="1005"/>
              <w:ind w:left="57" w:right="57"/>
            </w:pPr>
            <w:r>
              <w:t xml:space="preserve">Код</w:t>
            </w:r>
            <w:r/>
          </w:p>
        </w:tc>
        <w:tc>
          <w:tcPr>
            <w:shd w:val="clear" w:fill="auto" w:color="auto"/>
            <w:tcW w:w="3247" w:type="pct"/>
            <w:textDirection w:val="lrTb"/>
            <w:noWrap w:val="false"/>
          </w:tcPr>
          <w:p>
            <w:pPr>
              <w:pStyle w:val="1005"/>
              <w:ind w:left="57" w:right="57"/>
            </w:pPr>
            <w:r>
              <w:t xml:space="preserve">Код главы.</w:t>
            </w:r>
            <w:r/>
          </w:p>
        </w:tc>
      </w:tr>
      <w:tr>
        <w:trPr/>
        <w:tc>
          <w:tcPr>
            <w:shd w:val="clear" w:fill="auto" w:color="auto"/>
            <w:tcW w:w="1753" w:type="pct"/>
            <w:textDirection w:val="lrTb"/>
            <w:noWrap w:val="false"/>
          </w:tcPr>
          <w:p>
            <w:pPr>
              <w:pStyle w:val="1005"/>
              <w:ind w:left="57" w:right="57"/>
            </w:pPr>
            <w:r>
              <w:t xml:space="preserve">Бюджет</w:t>
            </w:r>
            <w:r/>
          </w:p>
        </w:tc>
        <w:tc>
          <w:tcPr>
            <w:shd w:val="clear" w:fill="auto" w:color="auto"/>
            <w:tcW w:w="3247" w:type="pct"/>
            <w:textDirection w:val="lrTb"/>
            <w:noWrap w:val="false"/>
          </w:tcPr>
          <w:p>
            <w:pPr>
              <w:pStyle w:val="1005"/>
              <w:ind w:left="57" w:right="57"/>
            </w:pPr>
            <w:r>
              <w:t xml:space="preserve">Наименование бюджета.</w:t>
            </w:r>
            <w:r/>
          </w:p>
        </w:tc>
      </w:tr>
      <w:tr>
        <w:trPr/>
        <w:tc>
          <w:tcPr>
            <w:shd w:val="clear" w:fill="auto" w:color="auto"/>
            <w:tcW w:w="1753" w:type="pct"/>
            <w:textDirection w:val="lrTb"/>
            <w:noWrap w:val="false"/>
          </w:tcPr>
          <w:p>
            <w:pPr>
              <w:pStyle w:val="1005"/>
              <w:ind w:left="57" w:right="57"/>
            </w:pPr>
            <w:r>
              <w:t xml:space="preserve">Код</w:t>
            </w:r>
            <w:r/>
          </w:p>
        </w:tc>
        <w:tc>
          <w:tcPr>
            <w:shd w:val="clear" w:fill="auto" w:color="auto"/>
            <w:tcW w:w="3247" w:type="pct"/>
            <w:textDirection w:val="lrTb"/>
            <w:noWrap w:val="false"/>
          </w:tcPr>
          <w:p>
            <w:pPr>
              <w:pStyle w:val="1005"/>
              <w:ind w:left="57" w:right="57"/>
            </w:pPr>
            <w:r>
              <w:t xml:space="preserve">Код бюджета.</w:t>
            </w:r>
            <w:r/>
          </w:p>
        </w:tc>
      </w:tr>
      <w:tr>
        <w:trPr/>
        <w:tc>
          <w:tcPr>
            <w:shd w:val="clear" w:fill="auto" w:color="auto"/>
            <w:tcW w:w="1753" w:type="pct"/>
            <w:textDirection w:val="lrTb"/>
            <w:noWrap w:val="false"/>
          </w:tcPr>
          <w:p>
            <w:pPr>
              <w:pStyle w:val="1005"/>
              <w:ind w:left="57" w:right="57"/>
            </w:pPr>
            <w:r>
              <w:t xml:space="preserve">Финансовый орган</w:t>
            </w:r>
            <w:r/>
          </w:p>
        </w:tc>
        <w:tc>
          <w:tcPr>
            <w:shd w:val="clear" w:fill="auto" w:color="auto"/>
            <w:tcW w:w="3247" w:type="pct"/>
            <w:textDirection w:val="lrTb"/>
            <w:noWrap w:val="false"/>
          </w:tcPr>
          <w:p>
            <w:pPr>
              <w:pStyle w:val="1005"/>
              <w:ind w:left="57" w:right="57"/>
            </w:pPr>
            <w:r>
              <w:t xml:space="preserve">Наименование финансового органа.</w:t>
            </w:r>
            <w:r/>
          </w:p>
        </w:tc>
      </w:tr>
      <w:tr>
        <w:trPr/>
        <w:tc>
          <w:tcPr>
            <w:shd w:val="clear" w:fill="auto" w:color="auto"/>
            <w:tcW w:w="1753" w:type="pct"/>
            <w:textDirection w:val="lrTb"/>
            <w:noWrap w:val="false"/>
          </w:tcPr>
          <w:p>
            <w:pPr>
              <w:pStyle w:val="1005"/>
              <w:ind w:left="57" w:right="57"/>
            </w:pPr>
            <w:r>
              <w:t xml:space="preserve">П</w:t>
            </w:r>
            <w:r>
              <w:t xml:space="preserve">о ОКПО</w:t>
            </w:r>
            <w:r/>
          </w:p>
        </w:tc>
        <w:tc>
          <w:tcPr>
            <w:shd w:val="clear" w:fill="auto" w:color="auto"/>
            <w:tcW w:w="3247" w:type="pct"/>
            <w:textDirection w:val="lrTb"/>
            <w:noWrap w:val="false"/>
          </w:tcPr>
          <w:p>
            <w:pPr>
              <w:pStyle w:val="1005"/>
              <w:ind w:left="57" w:right="57"/>
            </w:pPr>
            <w:r>
              <w:t xml:space="preserve">По ОКПО.</w:t>
            </w:r>
            <w:r/>
          </w:p>
        </w:tc>
      </w:tr>
      <w:tr>
        <w:trPr/>
        <w:tc>
          <w:tcPr>
            <w:shd w:val="clear" w:fill="auto" w:color="auto"/>
            <w:tcW w:w="1753" w:type="pct"/>
            <w:textDirection w:val="lrTb"/>
            <w:noWrap w:val="false"/>
          </w:tcPr>
          <w:p>
            <w:pPr>
              <w:pStyle w:val="1005"/>
              <w:ind w:left="57" w:right="57"/>
            </w:pPr>
            <w:r>
              <w:t xml:space="preserve">Уровень конфиденциальности</w:t>
            </w:r>
            <w:r/>
          </w:p>
        </w:tc>
        <w:tc>
          <w:tcPr>
            <w:shd w:val="clear" w:fill="auto" w:color="auto"/>
            <w:tcW w:w="3247" w:type="pct"/>
            <w:textDirection w:val="lrTb"/>
            <w:noWrap w:val="false"/>
          </w:tcPr>
          <w:p>
            <w:pPr>
              <w:pStyle w:val="1005"/>
              <w:ind w:left="57" w:right="57"/>
            </w:pPr>
            <w:r>
              <w:t xml:space="preserve">Уровень конфиденциальности.</w:t>
            </w:r>
            <w:r/>
          </w:p>
        </w:tc>
      </w:tr>
      <w:tr>
        <w:trPr/>
        <w:tc>
          <w:tcPr>
            <w:shd w:val="clear" w:fill="auto" w:color="auto"/>
            <w:tcW w:w="1753" w:type="pct"/>
            <w:textDirection w:val="lrTb"/>
            <w:noWrap w:val="false"/>
          </w:tcPr>
          <w:p>
            <w:pPr>
              <w:pStyle w:val="1005"/>
              <w:ind w:left="57" w:right="57"/>
            </w:pPr>
            <w:r>
              <w:t xml:space="preserve">Режим формирования</w:t>
            </w:r>
            <w:r/>
          </w:p>
        </w:tc>
        <w:tc>
          <w:tcPr>
            <w:shd w:val="clear" w:fill="auto" w:color="auto"/>
            <w:tcW w:w="3247" w:type="pct"/>
            <w:textDirection w:val="lrTb"/>
            <w:noWrap w:val="false"/>
          </w:tcPr>
          <w:p>
            <w:pPr>
              <w:pStyle w:val="1005"/>
              <w:ind w:left="57" w:right="57"/>
            </w:pPr>
            <w:r>
              <w:t xml:space="preserve">Возможные значения:</w:t>
            </w:r>
            <w:r/>
          </w:p>
          <w:p>
            <w:pPr>
              <w:pStyle w:val="1007"/>
            </w:pPr>
            <w:r>
              <w:t xml:space="preserve">Предварительный;</w:t>
            </w:r>
            <w:r/>
          </w:p>
          <w:p>
            <w:pPr>
              <w:pStyle w:val="1007"/>
            </w:pPr>
            <w:r>
              <w:t xml:space="preserve">Промежуточный;</w:t>
            </w:r>
            <w:r/>
          </w:p>
          <w:p>
            <w:pPr>
              <w:pStyle w:val="1007"/>
            </w:pPr>
            <w:r>
              <w:t xml:space="preserve">Итоговый.</w:t>
            </w:r>
            <w:r/>
          </w:p>
        </w:tc>
      </w:tr>
      <w:tr>
        <w:trPr/>
        <w:tc>
          <w:tcPr>
            <w:shd w:val="clear" w:fill="auto" w:color="auto"/>
            <w:tcW w:w="1753" w:type="pct"/>
            <w:textDirection w:val="lrTb"/>
            <w:noWrap w:val="false"/>
          </w:tcPr>
          <w:p>
            <w:pPr>
              <w:pStyle w:val="1005"/>
              <w:ind w:left="57" w:right="57"/>
            </w:pPr>
            <w:r>
              <w:t xml:space="preserve">ОКТМО</w:t>
            </w:r>
            <w:r/>
          </w:p>
        </w:tc>
        <w:tc>
          <w:tcPr>
            <w:shd w:val="clear" w:fill="auto" w:color="auto"/>
            <w:tcW w:w="3247" w:type="pct"/>
            <w:textDirection w:val="lrTb"/>
            <w:noWrap w:val="false"/>
          </w:tcPr>
          <w:p>
            <w:pPr>
              <w:pStyle w:val="1005"/>
              <w:ind w:left="57" w:right="57"/>
            </w:pPr>
            <w:r>
              <w:t xml:space="preserve">По ОКТМО.</w:t>
            </w:r>
            <w:r/>
          </w:p>
        </w:tc>
      </w:tr>
      <w:tr>
        <w:trPr/>
        <w:tc>
          <w:tcPr>
            <w:gridSpan w:val="2"/>
            <w:shd w:val="clear" w:fill="auto" w:color="auto"/>
            <w:tcW w:w="5000" w:type="pct"/>
            <w:textDirection w:val="lrTb"/>
            <w:noWrap w:val="false"/>
          </w:tcPr>
          <w:p>
            <w:pPr>
              <w:pStyle w:val="1005"/>
              <w:ind w:left="57" w:right="57"/>
            </w:pPr>
            <w:r>
              <w:t xml:space="preserve">Закладка полей «Выписка из л/с для учета операций со средствами, поступающими во временное распоряжение получателя бюджетных средств»</w:t>
            </w:r>
            <w:r/>
          </w:p>
        </w:tc>
      </w:tr>
      <w:tr>
        <w:trPr/>
        <w:tc>
          <w:tcPr>
            <w:shd w:val="clear" w:fill="auto" w:color="auto"/>
            <w:tcW w:w="1753" w:type="pct"/>
            <w:textDirection w:val="lrTb"/>
            <w:noWrap w:val="false"/>
          </w:tcPr>
          <w:p>
            <w:pPr>
              <w:pStyle w:val="1005"/>
              <w:ind w:left="57" w:right="57"/>
            </w:pPr>
            <w:r>
              <w:t xml:space="preserve">Остаток средств на начало дня</w:t>
            </w:r>
            <w:r/>
          </w:p>
        </w:tc>
        <w:tc>
          <w:tcPr>
            <w:shd w:val="clear" w:fill="auto" w:color="auto"/>
            <w:tcW w:w="3247" w:type="pct"/>
            <w:textDirection w:val="lrTb"/>
            <w:noWrap w:val="false"/>
          </w:tcPr>
          <w:p>
            <w:pPr>
              <w:pStyle w:val="1005"/>
              <w:ind w:left="57" w:right="57"/>
            </w:pPr>
            <w:r>
              <w:t xml:space="preserve">Указывается остаток средств на начало дня.</w:t>
            </w:r>
            <w:r/>
          </w:p>
        </w:tc>
      </w:tr>
      <w:tr>
        <w:trPr/>
        <w:tc>
          <w:tcPr>
            <w:shd w:val="clear" w:fill="auto" w:color="auto"/>
            <w:tcW w:w="1753" w:type="pct"/>
            <w:textDirection w:val="lrTb"/>
            <w:noWrap w:val="false"/>
          </w:tcPr>
          <w:p>
            <w:pPr>
              <w:pStyle w:val="1005"/>
              <w:ind w:left="57" w:right="57"/>
            </w:pPr>
            <w:r>
              <w:t xml:space="preserve">Остаток средств на конец дня</w:t>
            </w:r>
            <w:r/>
          </w:p>
        </w:tc>
        <w:tc>
          <w:tcPr>
            <w:shd w:val="clear" w:fill="auto" w:color="auto"/>
            <w:tcW w:w="3247" w:type="pct"/>
            <w:textDirection w:val="lrTb"/>
            <w:noWrap w:val="false"/>
          </w:tcPr>
          <w:p>
            <w:pPr>
              <w:pStyle w:val="1005"/>
              <w:ind w:left="57" w:right="57"/>
            </w:pPr>
            <w:r>
              <w:t xml:space="preserve">Указывается остаток средств на конец дня.</w:t>
            </w:r>
            <w:r/>
          </w:p>
        </w:tc>
      </w:tr>
      <w:tr>
        <w:trPr/>
        <w:tc>
          <w:tcPr>
            <w:shd w:val="clear" w:fill="auto" w:color="auto"/>
            <w:tcW w:w="1753" w:type="pct"/>
            <w:textDirection w:val="lrTb"/>
            <w:noWrap w:val="false"/>
          </w:tcPr>
          <w:p>
            <w:pPr>
              <w:pStyle w:val="1005"/>
              <w:ind w:left="57" w:right="57"/>
            </w:pPr>
            <w:r>
              <w:t xml:space="preserve">№ п/п</w:t>
            </w:r>
            <w:r/>
          </w:p>
        </w:tc>
        <w:tc>
          <w:tcPr>
            <w:shd w:val="clear" w:fill="auto" w:color="auto"/>
            <w:tcW w:w="3247" w:type="pct"/>
            <w:textDirection w:val="lrTb"/>
            <w:noWrap w:val="false"/>
          </w:tcPr>
          <w:p>
            <w:pPr>
              <w:pStyle w:val="1005"/>
              <w:ind w:left="57" w:right="57"/>
            </w:pPr>
            <w:r>
              <w:t xml:space="preserve">Указывается номер в порядке возрастания, начиная с 1.</w:t>
            </w:r>
            <w:r/>
          </w:p>
        </w:tc>
      </w:tr>
      <w:tr>
        <w:trPr/>
        <w:tc>
          <w:tcPr>
            <w:shd w:val="clear" w:fill="auto" w:color="auto"/>
            <w:tcW w:w="1753" w:type="pct"/>
            <w:textDirection w:val="lrTb"/>
            <w:noWrap w:val="false"/>
          </w:tcPr>
          <w:p>
            <w:pPr>
              <w:pStyle w:val="1005"/>
              <w:ind w:left="57" w:right="57"/>
            </w:pPr>
            <w:r>
              <w:t xml:space="preserve">Код цели (аналитический код)</w:t>
            </w:r>
            <w:r/>
          </w:p>
        </w:tc>
        <w:tc>
          <w:tcPr>
            <w:shd w:val="clear" w:fill="auto" w:color="auto"/>
            <w:tcW w:w="3247" w:type="pct"/>
            <w:textDirection w:val="lrTb"/>
            <w:noWrap w:val="false"/>
          </w:tcPr>
          <w:p>
            <w:pPr>
              <w:pStyle w:val="1005"/>
              <w:ind w:left="57" w:right="57"/>
            </w:pPr>
            <w:r>
              <w:t xml:space="preserve">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r/>
          </w:p>
        </w:tc>
      </w:tr>
      <w:tr>
        <w:trPr/>
        <w:tc>
          <w:tcPr>
            <w:shd w:val="clear" w:fill="auto" w:color="auto"/>
            <w:tcW w:w="1753" w:type="pct"/>
            <w:textDirection w:val="lrTb"/>
            <w:noWrap w:val="false"/>
          </w:tcPr>
          <w:p>
            <w:pPr>
              <w:pStyle w:val="1005"/>
              <w:ind w:left="57" w:right="57"/>
            </w:pPr>
            <w:r>
              <w:t xml:space="preserve">Наименование (подтверждающий документ)</w:t>
            </w:r>
            <w:r/>
          </w:p>
        </w:tc>
        <w:tc>
          <w:tcPr>
            <w:shd w:val="clear" w:fill="auto" w:color="auto"/>
            <w:tcW w:w="3247" w:type="pct"/>
            <w:textDirection w:val="lrTb"/>
            <w:noWrap w:val="false"/>
          </w:tcPr>
          <w:p>
            <w:pPr>
              <w:pStyle w:val="1005"/>
              <w:ind w:left="57" w:right="57"/>
            </w:pPr>
            <w:r>
              <w:t xml:space="preserve">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 xml:space="preserve">.</w:t>
            </w:r>
            <w:r/>
          </w:p>
        </w:tc>
      </w:tr>
      <w:tr>
        <w:trPr/>
        <w:tc>
          <w:tcPr>
            <w:shd w:val="clear" w:fill="auto" w:color="auto"/>
            <w:tcW w:w="1753" w:type="pct"/>
            <w:textDirection w:val="lrTb"/>
            <w:noWrap w:val="false"/>
          </w:tcPr>
          <w:p>
            <w:pPr>
              <w:pStyle w:val="1005"/>
              <w:ind w:left="57" w:right="57"/>
            </w:pPr>
            <w:r>
              <w:t xml:space="preserve">Номер (подтверждающий документ)</w:t>
            </w:r>
            <w:r/>
          </w:p>
        </w:tc>
        <w:tc>
          <w:tcPr>
            <w:shd w:val="clear" w:fill="auto" w:color="auto"/>
            <w:tcW w:w="3247" w:type="pct"/>
            <w:textDirection w:val="lrTb"/>
            <w:noWrap w:val="false"/>
          </w:tcPr>
          <w:p>
            <w:pPr>
              <w:pStyle w:val="1005"/>
              <w:ind w:left="57" w:right="57"/>
            </w:pPr>
            <w:r>
              <w:t xml:space="preserve">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r/>
          </w:p>
        </w:tc>
      </w:tr>
      <w:tr>
        <w:trPr/>
        <w:tc>
          <w:tcPr>
            <w:shd w:val="clear" w:fill="auto" w:color="auto"/>
            <w:tcW w:w="1753" w:type="pct"/>
            <w:textDirection w:val="lrTb"/>
            <w:noWrap w:val="false"/>
          </w:tcPr>
          <w:p>
            <w:pPr>
              <w:pStyle w:val="1005"/>
              <w:ind w:left="57" w:right="57"/>
            </w:pPr>
            <w:r>
              <w:t xml:space="preserve">Дата (подтверждающий документ)</w:t>
            </w:r>
            <w:r/>
          </w:p>
        </w:tc>
        <w:tc>
          <w:tcPr>
            <w:shd w:val="clear" w:fill="auto" w:color="auto"/>
            <w:tcW w:w="3247" w:type="pct"/>
            <w:textDirection w:val="lrTb"/>
            <w:noWrap w:val="false"/>
          </w:tcPr>
          <w:p>
            <w:pPr>
              <w:pStyle w:val="1005"/>
              <w:ind w:left="57" w:right="57"/>
            </w:pPr>
            <w:r>
              <w:t xml:space="preserve">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r/>
          </w:p>
        </w:tc>
      </w:tr>
      <w:tr>
        <w:trPr/>
        <w:tc>
          <w:tcPr>
            <w:shd w:val="clear" w:fill="auto" w:color="auto"/>
            <w:tcW w:w="1753" w:type="pct"/>
            <w:textDirection w:val="lrTb"/>
            <w:noWrap w:val="false"/>
          </w:tcPr>
          <w:p>
            <w:pPr>
              <w:pStyle w:val="1005"/>
              <w:ind w:left="57" w:right="57"/>
            </w:pPr>
            <w:r>
              <w:rPr>
                <w:lang w:val="en-US"/>
              </w:rPr>
              <w:t xml:space="preserve">GUID </w:t>
            </w:r>
            <w:r>
              <w:t xml:space="preserve">первичного документа</w:t>
            </w:r>
            <w:r/>
          </w:p>
        </w:tc>
        <w:tc>
          <w:tcPr>
            <w:shd w:val="clear" w:fill="auto" w:color="auto"/>
            <w:tcW w:w="3247" w:type="pct"/>
            <w:textDirection w:val="lrTb"/>
            <w:noWrap w:val="false"/>
          </w:tcPr>
          <w:p>
            <w:pPr>
              <w:pStyle w:val="1005"/>
              <w:ind w:left="57" w:right="57"/>
            </w:pPr>
            <w:r>
              <w:t xml:space="preserve">Указывается GUID первичного документа.</w:t>
            </w:r>
            <w:r/>
          </w:p>
        </w:tc>
      </w:tr>
      <w:tr>
        <w:trPr/>
        <w:tc>
          <w:tcPr>
            <w:shd w:val="clear" w:fill="auto" w:color="auto"/>
            <w:tcW w:w="1753" w:type="pct"/>
            <w:textDirection w:val="lrTb"/>
            <w:noWrap w:val="false"/>
          </w:tcPr>
          <w:p>
            <w:pPr>
              <w:pStyle w:val="1005"/>
              <w:ind w:left="57" w:right="57"/>
            </w:pPr>
            <w:r>
              <w:t xml:space="preserve">Наименование (документ-</w:t>
            </w:r>
            <w:r>
              <w:t xml:space="preserve">основание)</w:t>
            </w:r>
            <w:r/>
          </w:p>
        </w:tc>
        <w:tc>
          <w:tcPr>
            <w:shd w:val="clear" w:fill="auto" w:color="auto"/>
            <w:tcW w:w="3247" w:type="pct"/>
            <w:textDirection w:val="lrTb"/>
            <w:noWrap w:val="false"/>
          </w:tcPr>
          <w:p>
            <w:pPr>
              <w:pStyle w:val="1005"/>
              <w:ind w:left="57" w:right="57"/>
            </w:pPr>
            <w:r>
              <w:t xml:space="preserve">Указывается наименование документа участника бюджетного </w:t>
            </w:r>
            <w:r>
              <w:t xml:space="preserve">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r/>
          </w:p>
        </w:tc>
      </w:tr>
      <w:tr>
        <w:trPr/>
        <w:tc>
          <w:tcPr>
            <w:shd w:val="clear" w:fill="auto" w:color="auto"/>
            <w:tcW w:w="1753" w:type="pct"/>
            <w:textDirection w:val="lrTb"/>
            <w:noWrap w:val="false"/>
          </w:tcPr>
          <w:p>
            <w:pPr>
              <w:pStyle w:val="1005"/>
              <w:ind w:left="57" w:right="57"/>
            </w:pPr>
            <w:r>
              <w:t xml:space="preserve">Номер (документ-основание)</w:t>
            </w:r>
            <w:r/>
          </w:p>
        </w:tc>
        <w:tc>
          <w:tcPr>
            <w:shd w:val="clear" w:fill="auto" w:color="auto"/>
            <w:tcW w:w="3247" w:type="pct"/>
            <w:textDirection w:val="lrTb"/>
            <w:noWrap w:val="false"/>
          </w:tcPr>
          <w:p>
            <w:pPr>
              <w:pStyle w:val="1005"/>
              <w:ind w:left="57" w:right="57"/>
            </w:pPr>
            <w:r>
              <w:t xml:space="preserve">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r/>
          </w:p>
        </w:tc>
      </w:tr>
      <w:tr>
        <w:trPr/>
        <w:tc>
          <w:tcPr>
            <w:shd w:val="clear" w:fill="auto" w:color="auto"/>
            <w:tcW w:w="1753" w:type="pct"/>
            <w:textDirection w:val="lrTb"/>
            <w:noWrap w:val="false"/>
          </w:tcPr>
          <w:p>
            <w:pPr>
              <w:pStyle w:val="1005"/>
              <w:ind w:left="57" w:right="57"/>
            </w:pPr>
            <w:r>
              <w:t xml:space="preserve">Дата (документ-основание)</w:t>
            </w:r>
            <w:r/>
          </w:p>
        </w:tc>
        <w:tc>
          <w:tcPr>
            <w:shd w:val="clear" w:fill="auto" w:color="auto"/>
            <w:tcW w:w="3247" w:type="pct"/>
            <w:textDirection w:val="lrTb"/>
            <w:noWrap w:val="false"/>
          </w:tcPr>
          <w:p>
            <w:pPr>
              <w:pStyle w:val="1005"/>
              <w:ind w:left="57" w:right="57"/>
            </w:pPr>
            <w:r>
              <w:t xml:space="preserve">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r/>
          </w:p>
        </w:tc>
      </w:tr>
      <w:tr>
        <w:trPr/>
        <w:tc>
          <w:tcPr>
            <w:shd w:val="clear" w:fill="auto" w:color="auto"/>
            <w:tcW w:w="1753" w:type="pct"/>
            <w:textDirection w:val="lrTb"/>
            <w:noWrap w:val="false"/>
          </w:tcPr>
          <w:p>
            <w:pPr>
              <w:pStyle w:val="1005"/>
              <w:ind w:left="57" w:right="57"/>
            </w:pPr>
            <w:r>
              <w:t xml:space="preserve">Поступления</w:t>
            </w:r>
            <w:r/>
          </w:p>
        </w:tc>
        <w:tc>
          <w:tcPr>
            <w:shd w:val="clear" w:fill="auto" w:color="auto"/>
            <w:tcW w:w="3247" w:type="pct"/>
            <w:textDirection w:val="lrTb"/>
            <w:noWrap w:val="false"/>
          </w:tcPr>
          <w:p>
            <w:pPr>
              <w:pStyle w:val="1005"/>
              <w:ind w:left="57" w:right="57"/>
            </w:pPr>
            <w:r>
              <w:t xml:space="preserve">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r/>
          </w:p>
          <w:p>
            <w:pPr>
              <w:pStyle w:val="1005"/>
              <w:ind w:left="57" w:right="57"/>
            </w:pPr>
            <w:r>
              <w:t xml:space="preserve">В случае отсутствия данных указывается значение «0,00».</w:t>
            </w:r>
            <w:r/>
          </w:p>
        </w:tc>
      </w:tr>
      <w:tr>
        <w:trPr/>
        <w:tc>
          <w:tcPr>
            <w:shd w:val="clear" w:fill="auto" w:color="auto"/>
            <w:tcW w:w="1753" w:type="pct"/>
            <w:textDirection w:val="lrTb"/>
            <w:noWrap w:val="false"/>
          </w:tcPr>
          <w:p>
            <w:pPr>
              <w:pStyle w:val="1005"/>
              <w:ind w:left="57" w:right="57"/>
            </w:pPr>
            <w:r>
              <w:t xml:space="preserve">Выплаты</w:t>
            </w:r>
            <w:r/>
          </w:p>
        </w:tc>
        <w:tc>
          <w:tcPr>
            <w:shd w:val="clear" w:fill="auto" w:color="auto"/>
            <w:tcW w:w="3247" w:type="pct"/>
            <w:textDirection w:val="lrTb"/>
            <w:noWrap w:val="false"/>
          </w:tcPr>
          <w:p>
            <w:pPr>
              <w:ind w:firstLine="0"/>
              <w:spacing w:lineRule="auto" w:line="256" w:after="60" w:before="60"/>
              <w:rPr>
                <w:sz w:val="22"/>
                <w:szCs w:val="22"/>
                <w:lang w:eastAsia="en-US"/>
              </w:rPr>
            </w:pPr>
            <w:r>
              <w:rPr>
                <w:sz w:val="22"/>
                <w:szCs w:val="22"/>
                <w:lang w:eastAsia="en-US"/>
              </w:rPr>
              <w:t xml:space="preserve">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r/>
          </w:p>
          <w:p>
            <w:pPr>
              <w:pStyle w:val="1005"/>
              <w:ind w:left="57" w:right="57"/>
            </w:pPr>
            <w:r>
              <w:rPr>
                <w:sz w:val="22"/>
                <w:szCs w:val="22"/>
                <w:lang w:eastAsia="en-US"/>
              </w:rPr>
              <w:t xml:space="preserve">В случае отсутствия данных указывается значение «0,00».</w:t>
            </w:r>
            <w:r/>
          </w:p>
        </w:tc>
      </w:tr>
      <w:tr>
        <w:trPr/>
        <w:tc>
          <w:tcPr>
            <w:gridSpan w:val="2"/>
            <w:shd w:val="clear" w:fill="auto" w:color="auto"/>
            <w:tcW w:w="5000" w:type="pct"/>
            <w:textDirection w:val="lrTb"/>
            <w:noWrap w:val="false"/>
          </w:tcPr>
          <w:p>
            <w:pPr>
              <w:pStyle w:val="1005"/>
              <w:ind w:left="57" w:right="57"/>
            </w:pPr>
            <w:r>
              <w:t xml:space="preserve">Группа полей «Подписи»</w:t>
            </w:r>
            <w:r/>
          </w:p>
        </w:tc>
      </w:tr>
      <w:tr>
        <w:trPr/>
        <w:tc>
          <w:tcPr>
            <w:shd w:val="clear" w:fill="auto" w:color="auto"/>
            <w:tcW w:w="1753" w:type="pct"/>
            <w:textDirection w:val="lrTb"/>
            <w:noWrap w:val="false"/>
          </w:tcPr>
          <w:p>
            <w:pPr>
              <w:pStyle w:val="1005"/>
              <w:ind w:left="57" w:right="57"/>
            </w:pPr>
            <w:r>
              <w:t xml:space="preserve">Должность (Ответственный исполнитель)</w:t>
            </w:r>
            <w:r/>
          </w:p>
        </w:tc>
        <w:tc>
          <w:tcPr>
            <w:shd w:val="clear" w:fill="auto" w:color="auto"/>
            <w:tcW w:w="3247" w:type="pct"/>
            <w:textDirection w:val="lrTb"/>
            <w:noWrap w:val="false"/>
          </w:tcPr>
          <w:p>
            <w:pPr>
              <w:pStyle w:val="1005"/>
              <w:ind w:left="57" w:right="57"/>
            </w:pPr>
            <w:r>
              <w:t xml:space="preserve">Должность ответственного исполнителя.</w:t>
            </w:r>
            <w:r/>
          </w:p>
        </w:tc>
      </w:tr>
      <w:tr>
        <w:trPr/>
        <w:tc>
          <w:tcPr>
            <w:shd w:val="clear" w:fill="auto" w:color="auto"/>
            <w:tcW w:w="1753" w:type="pct"/>
            <w:textDirection w:val="lrTb"/>
            <w:noWrap w:val="false"/>
          </w:tcPr>
          <w:p>
            <w:pPr>
              <w:pStyle w:val="1005"/>
              <w:ind w:left="57" w:right="57"/>
            </w:pPr>
            <w:r>
              <w:t xml:space="preserve">Расшифровка подписи (Ответственный исполнитель)</w:t>
            </w:r>
            <w:r/>
          </w:p>
        </w:tc>
        <w:tc>
          <w:tcPr>
            <w:shd w:val="clear" w:fill="auto" w:color="auto"/>
            <w:tcW w:w="3247" w:type="pct"/>
            <w:textDirection w:val="lrTb"/>
            <w:noWrap w:val="false"/>
          </w:tcPr>
          <w:p>
            <w:pPr>
              <w:pStyle w:val="1005"/>
              <w:ind w:left="57" w:right="57"/>
            </w:pPr>
            <w:r>
              <w:t xml:space="preserve">Расшифровка подписи ответственного исполнителя.</w:t>
            </w:r>
            <w:r/>
          </w:p>
        </w:tc>
      </w:tr>
      <w:tr>
        <w:trPr/>
        <w:tc>
          <w:tcPr>
            <w:shd w:val="clear" w:fill="auto" w:color="auto"/>
            <w:tcW w:w="1753" w:type="pct"/>
            <w:textDirection w:val="lrTb"/>
            <w:noWrap w:val="false"/>
          </w:tcPr>
          <w:p>
            <w:pPr>
              <w:pStyle w:val="1005"/>
              <w:ind w:left="57" w:right="57"/>
            </w:pPr>
            <w:r>
              <w:t xml:space="preserve">Телефон (Ответственный исполнитель)</w:t>
            </w:r>
            <w:r/>
          </w:p>
        </w:tc>
        <w:tc>
          <w:tcPr>
            <w:shd w:val="clear" w:fill="auto" w:color="auto"/>
            <w:tcW w:w="3247" w:type="pct"/>
            <w:textDirection w:val="lrTb"/>
            <w:noWrap w:val="false"/>
          </w:tcPr>
          <w:p>
            <w:pPr>
              <w:pStyle w:val="1005"/>
              <w:ind w:left="57" w:right="57"/>
            </w:pPr>
            <w:r>
              <w:t xml:space="preserve">Телефон ответственного исполнителя.</w:t>
            </w:r>
            <w:r/>
          </w:p>
        </w:tc>
      </w:tr>
      <w:tr>
        <w:trPr/>
        <w:tc>
          <w:tcPr>
            <w:shd w:val="clear" w:fill="auto" w:color="auto"/>
            <w:tcW w:w="1753" w:type="pct"/>
            <w:textDirection w:val="lrTb"/>
            <w:noWrap w:val="false"/>
          </w:tcPr>
          <w:p>
            <w:pPr>
              <w:pStyle w:val="1005"/>
              <w:ind w:left="57" w:right="57"/>
            </w:pPr>
            <w:r>
              <w:t xml:space="preserve">Дата подписания</w:t>
            </w:r>
            <w:r/>
          </w:p>
        </w:tc>
        <w:tc>
          <w:tcPr>
            <w:shd w:val="clear" w:fill="auto" w:color="auto"/>
            <w:tcW w:w="3247" w:type="pct"/>
            <w:textDirection w:val="lrTb"/>
            <w:noWrap w:val="false"/>
          </w:tcPr>
          <w:p>
            <w:pPr>
              <w:pStyle w:val="1005"/>
              <w:ind w:left="57" w:right="57"/>
            </w:pPr>
            <w:r>
              <w:t xml:space="preserve">Дата подписания.</w:t>
            </w:r>
            <w:r/>
          </w:p>
        </w:tc>
      </w:tr>
      <w:tr>
        <w:trPr/>
        <w:tc>
          <w:tcPr>
            <w:gridSpan w:val="2"/>
            <w:shd w:val="clear" w:fill="auto" w:color="auto"/>
            <w:tcW w:w="5000" w:type="pct"/>
            <w:textDirection w:val="lrTb"/>
            <w:noWrap w:val="false"/>
          </w:tcPr>
          <w:p>
            <w:pPr>
              <w:pStyle w:val="1005"/>
              <w:ind w:left="57" w:right="57"/>
            </w:pPr>
            <w:r>
              <w:t xml:space="preserve">Группа полей «Вложения». Сворачиваемая группа с многострочным блоком «Вложения».</w:t>
            </w:r>
            <w:r/>
          </w:p>
        </w:tc>
      </w:tr>
    </w:tbl>
    <w:p>
      <w:pPr>
        <w:pStyle w:val="972"/>
      </w:pPr>
      <w:r/>
      <w:bookmarkStart w:id="1810" w:name="_Toc410212992"/>
      <w:r/>
      <w:bookmarkStart w:id="1811" w:name="_Toc449696714"/>
      <w:r/>
      <w:bookmarkStart w:id="1812" w:name="_Toc88819162"/>
      <w:r>
        <w:t xml:space="preserve">Сервисный документ доставки шаблона отчета</w:t>
      </w:r>
      <w:bookmarkEnd w:id="1810"/>
      <w:r/>
      <w:bookmarkEnd w:id="1811"/>
      <w:r/>
      <w:bookmarkEnd w:id="1812"/>
      <w:r/>
      <w:r/>
    </w:p>
    <w:p>
      <w:pPr>
        <w:pStyle w:val="994"/>
      </w:pPr>
      <w:r>
        <w:t xml:space="preserve">Сервисный документ доставки шаблона отчета</w:t>
      </w:r>
      <w:r>
        <w:t xml:space="preserve"> используется для пересылки между се</w:t>
      </w:r>
      <w:r>
        <w:t xml:space="preserve">р</w:t>
      </w:r>
      <w:r>
        <w:t xml:space="preserve">верными и клиентскими комплексами определений шаблонов </w:t>
      </w:r>
      <w:r>
        <w:t xml:space="preserve">регламентированных </w:t>
      </w:r>
      <w:r>
        <w:t xml:space="preserve">отчета. Шаблон содержится в документе как вложение, а свойства документа определяют основные его параметры</w:t>
      </w:r>
      <w:r>
        <w:t xml:space="preserve">. При получении документа на АРМ </w:t>
      </w:r>
      <w:r>
        <w:t xml:space="preserve">ФО</w:t>
      </w:r>
      <w:r>
        <w:t xml:space="preserve"> осуществляется формирование н</w:t>
      </w:r>
      <w:r>
        <w:t xml:space="preserve">о</w:t>
      </w:r>
      <w:r>
        <w:t xml:space="preserve">вой версии описания шаблона в словаре шаблонов отчетов на основе свойств полученного док</w:t>
      </w:r>
      <w:r>
        <w:t xml:space="preserve">у</w:t>
      </w:r>
      <w:r>
        <w:t xml:space="preserve">мента и содержащегося в нем, как вложение, шаблона отчета.</w:t>
      </w:r>
      <w:r/>
    </w:p>
    <w:p>
      <w:pPr>
        <w:pStyle w:val="994"/>
      </w:pPr>
      <w:r>
        <w:t xml:space="preserve">Для работы с документами </w:t>
      </w:r>
      <w:r>
        <w:t xml:space="preserve">«Сервисный документ доставки шаблона отчета» следует перейти в пункт меню «Документы – Оперативная отчетность – Сервис – Сервисный документ доста</w:t>
      </w:r>
      <w:r>
        <w:t xml:space="preserve">в</w:t>
      </w:r>
      <w:r>
        <w:t xml:space="preserve">ки шаблона отчета». Откроется ЭФ списка документов, представленная на рисунке </w:t>
      </w:r>
      <w:r>
        <w:fldChar w:fldCharType="begin"/>
      </w:r>
      <w:r>
        <w:instrText xml:space="preserve"> REF _Ref449696726 \h </w:instrText>
      </w:r>
      <w:r>
        <w:fldChar w:fldCharType="separate"/>
      </w:r>
      <w:r>
        <w:t xml:space="preserve">271</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291840"/>
                <wp:effectExtent l="0" t="0" r="0" b="0"/>
                <wp:docPr id="39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54"/>
                        <a:stretch/>
                      </pic:blipFill>
                      <pic:spPr bwMode="auto">
                        <a:xfrm>
                          <a:off x="0" y="0"/>
                          <a:ext cx="6126480" cy="32918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8" o:spid="_x0000_s398" type="#_x0000_t75" style="mso-wrap-distance-left:0.0pt;mso-wrap-distance-top:0.0pt;mso-wrap-distance-right:0.0pt;mso-wrap-distance-bottom:0.0pt;width:482.4pt;height:259.2pt;" stroked="f">
                <v:path textboxrect="0,0,0,0"/>
                <v:imagedata r:id="rId354" o:title=""/>
              </v:shape>
            </w:pict>
          </mc:Fallback>
        </mc:AlternateContent>
      </w:r>
      <w:r/>
    </w:p>
    <w:p>
      <w:pPr>
        <w:pStyle w:val="983"/>
      </w:pPr>
      <w:r>
        <w:fldChar w:fldCharType="begin"/>
      </w:r>
      <w:r>
        <w:instrText xml:space="preserve"> SEQ Рисунок \* ARABIC </w:instrText>
      </w:r>
      <w:r>
        <w:fldChar w:fldCharType="separate"/>
      </w:r>
      <w:bookmarkStart w:id="1813" w:name="_Ref449696726"/>
      <w:r/>
      <w:bookmarkStart w:id="1814" w:name="_Toc88819656"/>
      <w:r>
        <w:t xml:space="preserve">271</w:t>
      </w:r>
      <w:bookmarkEnd w:id="1813"/>
      <w:r>
        <w:fldChar w:fldCharType="end"/>
      </w:r>
      <w:r>
        <w:t xml:space="preserve">. ЭФ списка документов «Сервисный документ доставки шаблона отчета»</w:t>
      </w:r>
      <w:bookmarkEnd w:id="1814"/>
      <w:r/>
      <w:r/>
    </w:p>
    <w:p>
      <w:pPr>
        <w:pStyle w:val="973"/>
      </w:pPr>
      <w:r>
        <w:t xml:space="preserve">Доступные операции</w:t>
      </w:r>
      <w:r/>
    </w:p>
    <w:p>
      <w:pPr>
        <w:pStyle w:val="994"/>
      </w:pPr>
      <w:r>
        <w:t xml:space="preserve">На АРМ </w:t>
      </w:r>
      <w:r>
        <w:t xml:space="preserve">ФО</w:t>
      </w:r>
      <w:r>
        <w:t xml:space="preserve"> доступны следующие операции над </w:t>
      </w:r>
      <w:r>
        <w:t xml:space="preserve">документом</w:t>
      </w:r>
      <w:r>
        <w:t xml:space="preserve">:</w:t>
      </w:r>
      <w:r/>
    </w:p>
    <w:p>
      <w:pPr>
        <w:pStyle w:val="985"/>
      </w:pPr>
      <w:r>
        <w:t xml:space="preserve">просмотр;</w:t>
      </w:r>
      <w:r/>
    </w:p>
    <w:p>
      <w:pPr>
        <w:pStyle w:val="985"/>
      </w:pPr>
      <w:r>
        <w:t xml:space="preserve">отправка БУ-клиентам.</w:t>
      </w:r>
      <w:r/>
    </w:p>
    <w:p>
      <w:pPr>
        <w:pStyle w:val="973"/>
      </w:pPr>
      <w:r>
        <w:t xml:space="preserve">Экранная форма документа</w:t>
      </w:r>
      <w:r/>
    </w:p>
    <w:p>
      <w:pPr>
        <w:pStyle w:val="994"/>
      </w:pPr>
      <w:r>
        <w:t xml:space="preserve">ЭФ </w:t>
      </w:r>
      <w:r>
        <w:t xml:space="preserve">документа </w:t>
      </w:r>
      <w:r>
        <w:t xml:space="preserve">«Сервисный документ доставки шаблона отчета» представлена на р</w:t>
      </w:r>
      <w:r>
        <w:t xml:space="preserve">и</w:t>
      </w:r>
      <w:r>
        <w:t xml:space="preserve">сунке </w:t>
      </w:r>
      <w:r>
        <w:fldChar w:fldCharType="begin"/>
      </w:r>
      <w:r>
        <w:instrText xml:space="preserve"> REF _Ref449696727 \h </w:instrText>
      </w:r>
      <w:r>
        <w:fldChar w:fldCharType="separate"/>
      </w:r>
      <w:r>
        <w:t xml:space="preserve">272</w:t>
      </w:r>
      <w:r>
        <w:fldChar w:fldCharType="end"/>
      </w:r>
      <w:r>
        <w:t xml:space="preserve">. </w:t>
      </w:r>
      <w:r>
        <w:t xml:space="preserve">Форма содержит следующие закладки</w:t>
      </w:r>
      <w:r>
        <w:t xml:space="preserve">:</w:t>
      </w:r>
      <w:r/>
    </w:p>
    <w:p>
      <w:pPr>
        <w:pStyle w:val="985"/>
      </w:pPr>
      <w:r>
        <w:t xml:space="preserve">«</w:t>
      </w:r>
      <w:r>
        <w:t xml:space="preserve">Основные атрибуты»;</w:t>
      </w:r>
      <w:r/>
    </w:p>
    <w:p>
      <w:pPr>
        <w:pStyle w:val="985"/>
      </w:pPr>
      <w:r>
        <w:t xml:space="preserve">«</w:t>
      </w:r>
      <w:r>
        <w:t xml:space="preserve">Системные атрибуты»;</w:t>
      </w:r>
      <w:r/>
    </w:p>
    <w:p>
      <w:pPr>
        <w:pStyle w:val="985"/>
      </w:pPr>
      <w:r>
        <w:t xml:space="preserve"> «</w:t>
      </w:r>
      <w:r>
        <w:t xml:space="preserve">Системные атрибуты»;</w:t>
      </w:r>
      <w:r/>
    </w:p>
    <w:p>
      <w:pPr>
        <w:pStyle w:val="985"/>
      </w:pPr>
      <w:r>
        <w:t xml:space="preserve">«</w:t>
      </w:r>
      <w:r>
        <w:t xml:space="preserve">Протоколы».</w:t>
      </w:r>
      <w:r/>
    </w:p>
    <w:p>
      <w:pPr>
        <w:pStyle w:val="982"/>
      </w:pPr>
      <w:r>
        <mc:AlternateContent>
          <mc:Choice Requires="wpg">
            <w:drawing>
              <wp:inline xmlns:wp="http://schemas.openxmlformats.org/drawingml/2006/wordprocessingDrawing" distT="0" distB="0" distL="0" distR="0">
                <wp:extent cx="6126480" cy="5212080"/>
                <wp:effectExtent l="0" t="0" r="0" b="0"/>
                <wp:docPr id="40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55"/>
                        <a:stretch/>
                      </pic:blipFill>
                      <pic:spPr bwMode="auto">
                        <a:xfrm>
                          <a:off x="0" y="0"/>
                          <a:ext cx="6126480" cy="52120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9" o:spid="_x0000_s399" type="#_x0000_t75" style="mso-wrap-distance-left:0.0pt;mso-wrap-distance-top:0.0pt;mso-wrap-distance-right:0.0pt;mso-wrap-distance-bottom:0.0pt;width:482.4pt;height:410.4pt;" stroked="f">
                <v:path textboxrect="0,0,0,0"/>
                <v:imagedata r:id="rId355" o:title=""/>
              </v:shape>
            </w:pict>
          </mc:Fallback>
        </mc:AlternateContent>
      </w:r>
      <w:r/>
    </w:p>
    <w:p>
      <w:pPr>
        <w:pStyle w:val="983"/>
      </w:pPr>
      <w:r>
        <w:fldChar w:fldCharType="begin"/>
      </w:r>
      <w:r>
        <w:instrText xml:space="preserve"> SEQ Рисунок \* ARABIC </w:instrText>
      </w:r>
      <w:r>
        <w:fldChar w:fldCharType="separate"/>
      </w:r>
      <w:bookmarkStart w:id="1815" w:name="_Ref449696727"/>
      <w:r/>
      <w:bookmarkStart w:id="1816" w:name="_Toc88819657"/>
      <w:r>
        <w:t xml:space="preserve">272</w:t>
      </w:r>
      <w:bookmarkEnd w:id="1815"/>
      <w:r>
        <w:fldChar w:fldCharType="end"/>
      </w:r>
      <w:r>
        <w:t xml:space="preserve">. ЭФ </w:t>
      </w:r>
      <w:r>
        <w:t xml:space="preserve">документа </w:t>
      </w:r>
      <w:r>
        <w:t xml:space="preserve">«Сервисный документ доставки шаблона отчета</w:t>
      </w:r>
      <w:r>
        <w:t xml:space="preserve">», закладки «</w:t>
      </w:r>
      <w:r>
        <w:t xml:space="preserve">Основные атр</w:t>
      </w:r>
      <w:r>
        <w:t xml:space="preserve">и</w:t>
      </w:r>
      <w:r>
        <w:t xml:space="preserve">буты»</w:t>
      </w:r>
      <w:bookmarkEnd w:id="1816"/>
      <w:r/>
      <w:r/>
    </w:p>
    <w:p>
      <w:pPr>
        <w:pStyle w:val="994"/>
      </w:pPr>
      <w:r>
        <w:t xml:space="preserve">Перечень полей </w:t>
      </w:r>
      <w:r>
        <w:t xml:space="preserve">документа </w:t>
      </w:r>
      <w:r>
        <w:t xml:space="preserve">ЭФ </w:t>
      </w:r>
      <w:r>
        <w:t xml:space="preserve">документа </w:t>
      </w:r>
      <w:r>
        <w:t xml:space="preserve">«Сервисный документ доставки шаблона о</w:t>
      </w:r>
      <w:r>
        <w:t xml:space="preserve">т</w:t>
      </w:r>
      <w:r>
        <w:t xml:space="preserve">чета</w:t>
      </w:r>
      <w:r>
        <w:t xml:space="preserve">», закладки «</w:t>
      </w:r>
      <w:r>
        <w:t xml:space="preserve">Основные атр</w:t>
      </w:r>
      <w:r>
        <w:t xml:space="preserve">и</w:t>
      </w:r>
      <w:r>
        <w:t xml:space="preserve">буты»</w:t>
      </w:r>
      <w:r>
        <w:t xml:space="preserve"> </w:t>
      </w:r>
      <w:r>
        <w:t xml:space="preserve">приведен в таблице</w:t>
      </w:r>
      <w:r>
        <w:t xml:space="preserve"> </w:t>
      </w:r>
      <w:r>
        <w:fldChar w:fldCharType="begin"/>
      </w:r>
      <w:r>
        <w:instrText xml:space="preserve"> REF _Ref472503344 \h </w:instrText>
      </w:r>
      <w:r>
        <w:fldChar w:fldCharType="separate"/>
      </w:r>
      <w:r>
        <w:t xml:space="preserve">158</w:t>
      </w:r>
      <w:r>
        <w:fldChar w:fldCharType="end"/>
      </w:r>
      <w:r>
        <w:t xml:space="preserve">. Значения полей передаются из </w:t>
      </w:r>
      <w:r>
        <w:t xml:space="preserve">OEBS</w:t>
      </w:r>
      <w:r>
        <w:t xml:space="preserve"> и н</w:t>
      </w:r>
      <w:r>
        <w:t xml:space="preserve">е</w:t>
      </w:r>
      <w:r>
        <w:t xml:space="preserve">до</w:t>
      </w:r>
      <w:r>
        <w:t xml:space="preserve">с</w:t>
      </w:r>
      <w:r>
        <w:t xml:space="preserve">тупны для редактирования.</w:t>
      </w:r>
      <w:r/>
    </w:p>
    <w:p>
      <w:pPr>
        <w:pStyle w:val="993"/>
      </w:pPr>
      <w:r/>
      <w:bookmarkStart w:id="1817" w:name="_Ref449696728"/>
      <w:r>
        <w:fldChar w:fldCharType="begin"/>
      </w:r>
      <w:r>
        <w:instrText xml:space="preserve"> SEQ Таблица \* ARABIC </w:instrText>
      </w:r>
      <w:r>
        <w:fldChar w:fldCharType="separate"/>
      </w:r>
      <w:bookmarkStart w:id="1818" w:name="_Ref472503344"/>
      <w:r/>
      <w:bookmarkStart w:id="1819" w:name="_Toc88819345"/>
      <w:r>
        <w:t xml:space="preserve">158</w:t>
      </w:r>
      <w:bookmarkEnd w:id="1818"/>
      <w:r>
        <w:fldChar w:fldCharType="end"/>
      </w:r>
      <w:r>
        <w:t xml:space="preserve">. Описание полей документа «Сервисный документ доставки шаблона отчета»</w:t>
      </w:r>
      <w:bookmarkEnd w:id="1817"/>
      <w:r/>
      <w:bookmarkEnd w:id="1819"/>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3419"/>
        <w:gridCol w:w="6333"/>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753"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247"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 группа полей «Тип отчета»</w:t>
            </w:r>
            <w:r/>
          </w:p>
        </w:tc>
      </w:tr>
      <w:tr>
        <w:trPr/>
        <w:tc>
          <w:tcPr>
            <w:shd w:val="clear" w:fill="auto" w:color="auto"/>
            <w:tcW w:w="1753" w:type="pct"/>
            <w:textDirection w:val="lrTb"/>
            <w:noWrap w:val="false"/>
          </w:tcPr>
          <w:p>
            <w:pPr>
              <w:pStyle w:val="1005"/>
              <w:ind w:left="57" w:right="57"/>
            </w:pPr>
            <w:r>
              <w:t xml:space="preserve">Код</w:t>
            </w:r>
            <w:r/>
          </w:p>
        </w:tc>
        <w:tc>
          <w:tcPr>
            <w:shd w:val="clear" w:fill="auto" w:color="auto"/>
            <w:tcW w:w="3247" w:type="pct"/>
            <w:textDirection w:val="lrTb"/>
            <w:noWrap w:val="false"/>
          </w:tcPr>
          <w:p>
            <w:pPr>
              <w:pStyle w:val="1005"/>
              <w:ind w:left="57" w:right="57"/>
            </w:pPr>
            <w:r>
              <w:t xml:space="preserve">Код типа отчета.</w:t>
            </w:r>
            <w:r/>
          </w:p>
        </w:tc>
      </w:tr>
      <w:tr>
        <w:trPr/>
        <w:tc>
          <w:tcPr>
            <w:shd w:val="clear" w:fill="auto" w:color="auto"/>
            <w:tcW w:w="1753" w:type="pct"/>
            <w:textDirection w:val="lrTb"/>
            <w:noWrap w:val="false"/>
          </w:tcPr>
          <w:p>
            <w:pPr>
              <w:pStyle w:val="1005"/>
              <w:ind w:left="57" w:right="57"/>
            </w:pPr>
            <w:r>
              <w:t xml:space="preserve">Наименование</w:t>
            </w:r>
            <w:r/>
          </w:p>
        </w:tc>
        <w:tc>
          <w:tcPr>
            <w:shd w:val="clear" w:fill="auto" w:color="auto"/>
            <w:tcW w:w="3247" w:type="pct"/>
            <w:textDirection w:val="lrTb"/>
            <w:noWrap w:val="false"/>
          </w:tcPr>
          <w:p>
            <w:pPr>
              <w:pStyle w:val="1005"/>
              <w:ind w:left="57" w:right="57"/>
            </w:pPr>
            <w:r>
              <w:t xml:space="preserve">Наименование типа отчета.</w:t>
            </w:r>
            <w:r/>
          </w:p>
        </w:tc>
      </w:tr>
      <w:tr>
        <w:trPr/>
        <w:tc>
          <w:tcPr>
            <w:shd w:val="clear" w:fill="auto" w:color="auto"/>
            <w:tcW w:w="1753" w:type="pct"/>
            <w:textDirection w:val="lrTb"/>
            <w:noWrap w:val="false"/>
          </w:tcPr>
          <w:p>
            <w:pPr>
              <w:pStyle w:val="1005"/>
              <w:ind w:left="57" w:right="57"/>
            </w:pPr>
            <w:r>
              <w:t xml:space="preserve">Описание</w:t>
            </w:r>
            <w:r/>
          </w:p>
        </w:tc>
        <w:tc>
          <w:tcPr>
            <w:shd w:val="clear" w:fill="auto" w:color="auto"/>
            <w:tcW w:w="3247" w:type="pct"/>
            <w:textDirection w:val="lrTb"/>
            <w:noWrap w:val="false"/>
          </w:tcPr>
          <w:p>
            <w:pPr>
              <w:pStyle w:val="1005"/>
              <w:ind w:left="57" w:right="57"/>
            </w:pPr>
            <w:r>
              <w:t xml:space="preserve">Описание типа отчета.</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 группа полей «Тип шаблона»</w:t>
            </w:r>
            <w:r/>
          </w:p>
        </w:tc>
      </w:tr>
      <w:tr>
        <w:trPr/>
        <w:tc>
          <w:tcPr>
            <w:shd w:val="clear" w:fill="auto" w:color="auto"/>
            <w:tcW w:w="1753" w:type="pct"/>
            <w:textDirection w:val="lrTb"/>
            <w:noWrap w:val="false"/>
          </w:tcPr>
          <w:p>
            <w:pPr>
              <w:pStyle w:val="1005"/>
              <w:ind w:left="57" w:right="57"/>
            </w:pPr>
            <w:r>
              <w:t xml:space="preserve">Код</w:t>
            </w:r>
            <w:r/>
          </w:p>
        </w:tc>
        <w:tc>
          <w:tcPr>
            <w:shd w:val="clear" w:fill="auto" w:color="auto"/>
            <w:tcW w:w="3247" w:type="pct"/>
            <w:textDirection w:val="lrTb"/>
            <w:noWrap w:val="false"/>
          </w:tcPr>
          <w:p>
            <w:pPr>
              <w:pStyle w:val="1005"/>
              <w:ind w:left="57" w:right="57"/>
            </w:pPr>
            <w:r>
              <w:t xml:space="preserve">Код типа шаблона.</w:t>
            </w:r>
            <w:r/>
          </w:p>
        </w:tc>
      </w:tr>
      <w:tr>
        <w:trPr/>
        <w:tc>
          <w:tcPr>
            <w:shd w:val="clear" w:fill="auto" w:color="auto"/>
            <w:tcW w:w="1753" w:type="pct"/>
            <w:textDirection w:val="lrTb"/>
            <w:noWrap w:val="false"/>
          </w:tcPr>
          <w:p>
            <w:pPr>
              <w:pStyle w:val="1005"/>
              <w:ind w:left="57" w:right="57"/>
            </w:pPr>
            <w:r>
              <w:t xml:space="preserve">Наименование</w:t>
            </w:r>
            <w:r/>
          </w:p>
        </w:tc>
        <w:tc>
          <w:tcPr>
            <w:shd w:val="clear" w:fill="auto" w:color="auto"/>
            <w:tcW w:w="3247" w:type="pct"/>
            <w:textDirection w:val="lrTb"/>
            <w:noWrap w:val="false"/>
          </w:tcPr>
          <w:p>
            <w:pPr>
              <w:pStyle w:val="1005"/>
              <w:ind w:left="57" w:right="57"/>
            </w:pPr>
            <w:r>
              <w:t xml:space="preserve">Наименование типа шаблона.</w:t>
            </w:r>
            <w:r/>
          </w:p>
        </w:tc>
      </w:tr>
      <w:tr>
        <w:trPr/>
        <w:tc>
          <w:tcPr>
            <w:shd w:val="clear" w:fill="auto" w:color="auto"/>
            <w:tcW w:w="1753" w:type="pct"/>
            <w:textDirection w:val="lrTb"/>
            <w:noWrap w:val="false"/>
          </w:tcPr>
          <w:p>
            <w:pPr>
              <w:pStyle w:val="1005"/>
              <w:ind w:left="57" w:right="57"/>
            </w:pPr>
            <w:r>
              <w:t xml:space="preserve">Описание</w:t>
            </w:r>
            <w:r/>
          </w:p>
        </w:tc>
        <w:tc>
          <w:tcPr>
            <w:shd w:val="clear" w:fill="auto" w:color="auto"/>
            <w:tcW w:w="3247" w:type="pct"/>
            <w:textDirection w:val="lrTb"/>
            <w:noWrap w:val="false"/>
          </w:tcPr>
          <w:p>
            <w:pPr>
              <w:pStyle w:val="1005"/>
              <w:ind w:left="57" w:right="57"/>
            </w:pPr>
            <w:r>
              <w:t xml:space="preserve">Описание типа шаблона.</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w:t>
            </w:r>
            <w:r/>
          </w:p>
        </w:tc>
      </w:tr>
      <w:tr>
        <w:trPr/>
        <w:tc>
          <w:tcPr>
            <w:shd w:val="clear" w:fill="auto" w:color="auto"/>
            <w:tcW w:w="1753" w:type="pct"/>
            <w:textDirection w:val="lrTb"/>
            <w:noWrap w:val="false"/>
          </w:tcPr>
          <w:p>
            <w:pPr>
              <w:pStyle w:val="1005"/>
              <w:ind w:left="57" w:right="57"/>
            </w:pPr>
            <w:r>
              <w:t xml:space="preserve">Версия шаблона (описание)</w:t>
            </w:r>
            <w:r/>
          </w:p>
        </w:tc>
        <w:tc>
          <w:tcPr>
            <w:shd w:val="clear" w:fill="auto" w:color="auto"/>
            <w:tcW w:w="3247" w:type="pct"/>
            <w:textDirection w:val="lrTb"/>
            <w:noWrap w:val="false"/>
          </w:tcPr>
          <w:p>
            <w:pPr>
              <w:pStyle w:val="1005"/>
              <w:ind w:left="57" w:right="57"/>
            </w:pPr>
            <w:r>
              <w:t xml:space="preserve">Номер версии шаблона (опис</w:t>
            </w:r>
            <w:r>
              <w:t xml:space="preserve">а</w:t>
            </w:r>
            <w:r>
              <w:t xml:space="preserve">ние).</w:t>
            </w:r>
            <w:r/>
          </w:p>
        </w:tc>
      </w:tr>
      <w:tr>
        <w:trPr/>
        <w:tc>
          <w:tcPr>
            <w:shd w:val="clear" w:fill="auto" w:color="auto"/>
            <w:tcW w:w="1753" w:type="pct"/>
            <w:textDirection w:val="lrTb"/>
            <w:noWrap w:val="false"/>
          </w:tcPr>
          <w:p>
            <w:pPr>
              <w:pStyle w:val="1005"/>
              <w:ind w:left="57" w:right="57"/>
            </w:pPr>
            <w:r>
              <w:t xml:space="preserve">Код БПС формирования о</w:t>
            </w:r>
            <w:r>
              <w:t xml:space="preserve">т</w:t>
            </w:r>
            <w:r>
              <w:t xml:space="preserve">чета</w:t>
            </w:r>
            <w:r/>
          </w:p>
        </w:tc>
        <w:tc>
          <w:tcPr>
            <w:shd w:val="clear" w:fill="auto" w:color="auto"/>
            <w:tcW w:w="3247" w:type="pct"/>
            <w:textDirection w:val="lrTb"/>
            <w:noWrap w:val="false"/>
          </w:tcPr>
          <w:p>
            <w:pPr>
              <w:pStyle w:val="1005"/>
              <w:ind w:left="57" w:right="57"/>
            </w:pPr>
            <w:r>
              <w:t xml:space="preserve">Код БПС формирования отчета.</w:t>
            </w:r>
            <w:r/>
          </w:p>
        </w:tc>
      </w:tr>
      <w:tr>
        <w:trPr/>
        <w:tc>
          <w:tcPr>
            <w:shd w:val="clear" w:fill="auto" w:color="auto"/>
            <w:tcW w:w="1753" w:type="pct"/>
            <w:textDirection w:val="lrTb"/>
            <w:noWrap w:val="false"/>
          </w:tcPr>
          <w:p>
            <w:pPr>
              <w:pStyle w:val="1005"/>
              <w:ind w:left="57" w:right="57"/>
            </w:pPr>
            <w:r>
              <w:t xml:space="preserve">Код типа офисного докуме</w:t>
            </w:r>
            <w:r>
              <w:t xml:space="preserve">н</w:t>
            </w:r>
            <w:r>
              <w:t xml:space="preserve">та шаблона</w:t>
            </w:r>
            <w:r/>
          </w:p>
        </w:tc>
        <w:tc>
          <w:tcPr>
            <w:shd w:val="clear" w:fill="auto" w:color="auto"/>
            <w:tcW w:w="3247" w:type="pct"/>
            <w:textDirection w:val="lrTb"/>
            <w:noWrap w:val="false"/>
          </w:tcPr>
          <w:p>
            <w:pPr>
              <w:pStyle w:val="1005"/>
              <w:ind w:left="57" w:right="57"/>
            </w:pPr>
            <w:r>
              <w:t xml:space="preserve">Код типа офисного документа шаблона.</w:t>
            </w:r>
            <w:r/>
          </w:p>
        </w:tc>
      </w:tr>
      <w:tr>
        <w:trPr/>
        <w:tc>
          <w:tcPr>
            <w:shd w:val="clear" w:fill="auto" w:color="auto"/>
            <w:tcW w:w="1753" w:type="pct"/>
            <w:textDirection w:val="lrTb"/>
            <w:noWrap w:val="false"/>
          </w:tcPr>
          <w:p>
            <w:pPr>
              <w:pStyle w:val="1005"/>
              <w:ind w:left="57" w:right="57"/>
            </w:pPr>
            <w:r>
              <w:t xml:space="preserve">Флаг активности</w:t>
            </w:r>
            <w:r/>
          </w:p>
        </w:tc>
        <w:tc>
          <w:tcPr>
            <w:shd w:val="clear" w:fill="auto" w:color="auto"/>
            <w:tcW w:w="3247" w:type="pct"/>
            <w:textDirection w:val="lrTb"/>
            <w:noWrap w:val="false"/>
          </w:tcPr>
          <w:p>
            <w:pPr>
              <w:pStyle w:val="1005"/>
              <w:ind w:left="57" w:right="57"/>
            </w:pPr>
            <w:r>
              <w:t xml:space="preserve">Флаг активности.</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 группа полей «Период действия»</w:t>
            </w:r>
            <w:r/>
          </w:p>
        </w:tc>
      </w:tr>
      <w:tr>
        <w:trPr/>
        <w:tc>
          <w:tcPr>
            <w:shd w:val="clear" w:fill="auto" w:color="auto"/>
            <w:tcW w:w="1753" w:type="pct"/>
            <w:textDirection w:val="lrTb"/>
            <w:noWrap w:val="false"/>
          </w:tcPr>
          <w:p>
            <w:pPr>
              <w:pStyle w:val="1005"/>
              <w:ind w:left="57" w:right="57"/>
            </w:pPr>
            <w:r>
              <w:t xml:space="preserve">Начало</w:t>
            </w:r>
            <w:r/>
          </w:p>
        </w:tc>
        <w:tc>
          <w:tcPr>
            <w:shd w:val="clear" w:fill="auto" w:color="auto"/>
            <w:tcW w:w="3247" w:type="pct"/>
            <w:textDirection w:val="lrTb"/>
            <w:noWrap w:val="false"/>
          </w:tcPr>
          <w:p>
            <w:pPr>
              <w:pStyle w:val="1005"/>
              <w:ind w:left="57" w:right="57"/>
            </w:pPr>
            <w:r>
              <w:t xml:space="preserve">Дата начала действия версии оп</w:t>
            </w:r>
            <w:r>
              <w:t xml:space="preserve">и</w:t>
            </w:r>
            <w:r>
              <w:t xml:space="preserve">сания шаблона.</w:t>
            </w:r>
            <w:r/>
          </w:p>
        </w:tc>
      </w:tr>
      <w:tr>
        <w:trPr/>
        <w:tc>
          <w:tcPr>
            <w:shd w:val="clear" w:fill="auto" w:color="auto"/>
            <w:tcW w:w="1753" w:type="pct"/>
            <w:textDirection w:val="lrTb"/>
            <w:noWrap w:val="false"/>
          </w:tcPr>
          <w:p>
            <w:pPr>
              <w:pStyle w:val="1005"/>
              <w:ind w:left="57" w:right="57"/>
            </w:pPr>
            <w:r>
              <w:t xml:space="preserve">Конец</w:t>
            </w:r>
            <w:r/>
          </w:p>
        </w:tc>
        <w:tc>
          <w:tcPr>
            <w:shd w:val="clear" w:fill="auto" w:color="auto"/>
            <w:tcW w:w="3247" w:type="pct"/>
            <w:textDirection w:val="lrTb"/>
            <w:noWrap w:val="false"/>
          </w:tcPr>
          <w:p>
            <w:pPr>
              <w:pStyle w:val="1005"/>
              <w:ind w:left="57" w:right="57"/>
            </w:pPr>
            <w:r>
              <w:t xml:space="preserve">Дата окончания действия версии описания шаблона.</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 табличный блок полей «Вложения»</w:t>
            </w:r>
            <w:r/>
          </w:p>
        </w:tc>
      </w:tr>
      <w:tr>
        <w:trPr/>
        <w:tc>
          <w:tcPr>
            <w:shd w:val="clear" w:fill="auto" w:color="auto"/>
            <w:tcW w:w="1753" w:type="pct"/>
            <w:textDirection w:val="lrTb"/>
            <w:noWrap w:val="false"/>
          </w:tcPr>
          <w:p>
            <w:pPr>
              <w:pStyle w:val="1005"/>
              <w:ind w:left="57" w:right="57"/>
            </w:pPr>
            <w:r>
              <w:t xml:space="preserve">GUID</w:t>
            </w:r>
            <w:r/>
          </w:p>
        </w:tc>
        <w:tc>
          <w:tcPr>
            <w:shd w:val="clear" w:fill="auto" w:color="auto"/>
            <w:tcW w:w="3247" w:type="pct"/>
            <w:textDirection w:val="lrTb"/>
            <w:noWrap w:val="false"/>
          </w:tcPr>
          <w:p>
            <w:pPr>
              <w:pStyle w:val="1005"/>
              <w:ind w:left="57" w:right="57"/>
            </w:pPr>
            <w:r>
              <w:t xml:space="preserve">Уникальный идентификатор (</w:t>
            </w:r>
            <w:r>
              <w:t xml:space="preserve">GUID</w:t>
            </w:r>
            <w:r>
              <w:t xml:space="preserve">) вложения.</w:t>
            </w:r>
            <w:r/>
          </w:p>
        </w:tc>
      </w:tr>
      <w:tr>
        <w:trPr/>
        <w:tc>
          <w:tcPr>
            <w:shd w:val="clear" w:fill="auto" w:color="auto"/>
            <w:tcW w:w="1753" w:type="pct"/>
            <w:textDirection w:val="lrTb"/>
            <w:noWrap w:val="false"/>
          </w:tcPr>
          <w:p>
            <w:pPr>
              <w:pStyle w:val="1005"/>
              <w:ind w:left="57" w:right="57"/>
            </w:pPr>
            <w:r>
              <w:t xml:space="preserve">Тип</w:t>
            </w:r>
            <w:r/>
          </w:p>
        </w:tc>
        <w:tc>
          <w:tcPr>
            <w:shd w:val="clear" w:fill="auto" w:color="auto"/>
            <w:tcW w:w="3247" w:type="pct"/>
            <w:textDirection w:val="lrTb"/>
            <w:noWrap w:val="false"/>
          </w:tcPr>
          <w:p>
            <w:pPr>
              <w:pStyle w:val="1005"/>
              <w:ind w:left="57" w:right="57"/>
            </w:pPr>
            <w:r>
              <w:t xml:space="preserve">Тип вложения.</w:t>
            </w:r>
            <w:r/>
          </w:p>
        </w:tc>
      </w:tr>
      <w:tr>
        <w:trPr/>
        <w:tc>
          <w:tcPr>
            <w:shd w:val="clear" w:fill="auto" w:color="auto"/>
            <w:tcW w:w="1753" w:type="pct"/>
            <w:textDirection w:val="lrTb"/>
            <w:noWrap w:val="false"/>
          </w:tcPr>
          <w:p>
            <w:pPr>
              <w:pStyle w:val="1005"/>
              <w:ind w:left="57" w:right="57"/>
            </w:pPr>
            <w:r>
              <w:t xml:space="preserve">Файл</w:t>
            </w:r>
            <w:r/>
          </w:p>
        </w:tc>
        <w:tc>
          <w:tcPr>
            <w:shd w:val="clear" w:fill="auto" w:color="auto"/>
            <w:tcW w:w="3247" w:type="pct"/>
            <w:textDirection w:val="lrTb"/>
            <w:noWrap w:val="false"/>
          </w:tcPr>
          <w:p>
            <w:pPr>
              <w:pStyle w:val="1005"/>
              <w:ind w:left="57" w:right="57"/>
            </w:pPr>
            <w:r>
              <w:t xml:space="preserve">Файл вложения.</w:t>
            </w:r>
            <w:r/>
          </w:p>
        </w:tc>
      </w:tr>
      <w:tr>
        <w:trPr/>
        <w:tc>
          <w:tcPr>
            <w:shd w:val="clear" w:fill="auto" w:color="auto"/>
            <w:tcW w:w="1753" w:type="pct"/>
            <w:textDirection w:val="lrTb"/>
            <w:noWrap w:val="false"/>
          </w:tcPr>
          <w:p>
            <w:pPr>
              <w:pStyle w:val="1005"/>
              <w:ind w:left="57" w:right="57"/>
            </w:pPr>
            <w:r>
              <w:t xml:space="preserve">Дата</w:t>
            </w:r>
            <w:r>
              <w:t xml:space="preserve"> файла</w:t>
            </w:r>
            <w:r/>
          </w:p>
        </w:tc>
        <w:tc>
          <w:tcPr>
            <w:shd w:val="clear" w:fill="auto" w:color="auto"/>
            <w:tcW w:w="3247" w:type="pct"/>
            <w:textDirection w:val="lrTb"/>
            <w:noWrap w:val="false"/>
          </w:tcPr>
          <w:p>
            <w:pPr>
              <w:pStyle w:val="1005"/>
              <w:ind w:left="57" w:right="57"/>
            </w:pPr>
            <w:r>
              <w:t xml:space="preserve">Дата </w:t>
            </w:r>
            <w:r>
              <w:t xml:space="preserve">файла</w:t>
            </w:r>
            <w:r>
              <w:t xml:space="preserve">.</w:t>
            </w:r>
            <w:r/>
          </w:p>
        </w:tc>
      </w:tr>
      <w:tr>
        <w:trPr/>
        <w:tc>
          <w:tcPr>
            <w:shd w:val="clear" w:fill="auto" w:color="auto"/>
            <w:tcW w:w="1753" w:type="pct"/>
            <w:textDirection w:val="lrTb"/>
            <w:noWrap w:val="false"/>
          </w:tcPr>
          <w:p>
            <w:pPr>
              <w:pStyle w:val="1005"/>
              <w:ind w:left="57" w:right="57"/>
            </w:pPr>
            <w:r>
              <w:t xml:space="preserve">Размер</w:t>
            </w:r>
            <w:r/>
          </w:p>
        </w:tc>
        <w:tc>
          <w:tcPr>
            <w:shd w:val="clear" w:fill="auto" w:color="auto"/>
            <w:tcW w:w="3247" w:type="pct"/>
            <w:textDirection w:val="lrTb"/>
            <w:noWrap w:val="false"/>
          </w:tcPr>
          <w:p>
            <w:pPr>
              <w:pStyle w:val="1005"/>
              <w:ind w:left="57" w:right="57"/>
            </w:pPr>
            <w:r>
              <w:t xml:space="preserve">Размер вложения.</w:t>
            </w:r>
            <w:r/>
          </w:p>
        </w:tc>
      </w:tr>
      <w:tr>
        <w:trPr/>
        <w:tc>
          <w:tcPr>
            <w:shd w:val="clear" w:fill="auto" w:color="auto"/>
            <w:tcW w:w="1753" w:type="pct"/>
            <w:textDirection w:val="lrTb"/>
            <w:noWrap w:val="false"/>
          </w:tcPr>
          <w:p>
            <w:pPr>
              <w:pStyle w:val="1005"/>
              <w:ind w:left="57" w:right="57"/>
            </w:pPr>
            <w:r>
              <w:t xml:space="preserve">Комментарий</w:t>
            </w:r>
            <w:r/>
          </w:p>
        </w:tc>
        <w:tc>
          <w:tcPr>
            <w:shd w:val="clear" w:fill="auto" w:color="auto"/>
            <w:tcW w:w="3247" w:type="pct"/>
            <w:textDirection w:val="lrTb"/>
            <w:noWrap w:val="false"/>
          </w:tcPr>
          <w:p>
            <w:pPr>
              <w:pStyle w:val="1005"/>
              <w:ind w:left="57" w:right="57"/>
            </w:pPr>
            <w:r>
              <w:t xml:space="preserve">Комментарий.</w:t>
            </w:r>
            <w:r/>
          </w:p>
        </w:tc>
      </w:tr>
      <w:tr>
        <w:trPr/>
        <w:tc>
          <w:tcPr>
            <w:shd w:val="clear" w:fill="auto" w:color="auto"/>
            <w:tcW w:w="1753" w:type="pct"/>
            <w:textDirection w:val="lrTb"/>
            <w:noWrap w:val="false"/>
          </w:tcPr>
          <w:p>
            <w:pPr>
              <w:pStyle w:val="1005"/>
              <w:ind w:left="57" w:right="57"/>
            </w:pPr>
            <w:r>
              <w:t xml:space="preserve">Бизнес-тип</w:t>
            </w:r>
            <w:r/>
          </w:p>
        </w:tc>
        <w:tc>
          <w:tcPr>
            <w:shd w:val="clear" w:fill="auto" w:color="auto"/>
            <w:tcW w:w="3247" w:type="pct"/>
            <w:textDirection w:val="lrTb"/>
            <w:noWrap w:val="false"/>
          </w:tcPr>
          <w:p>
            <w:pPr>
              <w:pStyle w:val="1005"/>
              <w:ind w:left="57" w:right="57"/>
            </w:pPr>
            <w:r>
              <w:t xml:space="preserve">Бизнес-тип вложения.</w:t>
            </w:r>
            <w:r/>
          </w:p>
        </w:tc>
      </w:tr>
      <w:tr>
        <w:trPr/>
        <w:tc>
          <w:tcPr>
            <w:shd w:val="clear" w:fill="auto" w:color="auto"/>
            <w:tcW w:w="1753" w:type="pct"/>
            <w:textDirection w:val="lrTb"/>
            <w:noWrap w:val="false"/>
          </w:tcPr>
          <w:p>
            <w:pPr>
              <w:pStyle w:val="1005"/>
              <w:ind w:left="57" w:right="57"/>
            </w:pPr>
            <w:r>
              <w:t xml:space="preserve">Дата вложения</w:t>
            </w:r>
            <w:r/>
          </w:p>
        </w:tc>
        <w:tc>
          <w:tcPr>
            <w:shd w:val="clear" w:fill="auto" w:color="auto"/>
            <w:tcW w:w="3247" w:type="pct"/>
            <w:textDirection w:val="lrTb"/>
            <w:noWrap w:val="false"/>
          </w:tcPr>
          <w:p>
            <w:pPr>
              <w:pStyle w:val="1005"/>
              <w:ind w:left="57" w:right="57"/>
            </w:pPr>
            <w:r>
              <w:t xml:space="preserve">Дата вложения</w:t>
            </w:r>
            <w:r>
              <w:t xml:space="preserve">.</w:t>
            </w:r>
            <w:r/>
          </w:p>
        </w:tc>
      </w:tr>
      <w:tr>
        <w:trPr/>
        <w:tc>
          <w:tcPr>
            <w:shd w:val="clear" w:fill="auto" w:color="auto"/>
            <w:tcW w:w="1753" w:type="pct"/>
            <w:textDirection w:val="lrTb"/>
            <w:noWrap w:val="false"/>
          </w:tcPr>
          <w:p>
            <w:pPr>
              <w:pStyle w:val="1005"/>
              <w:ind w:left="57" w:right="57"/>
            </w:pPr>
            <w:r>
              <w:t xml:space="preserve">Название</w:t>
            </w:r>
            <w:r/>
          </w:p>
        </w:tc>
        <w:tc>
          <w:tcPr>
            <w:shd w:val="clear" w:fill="auto" w:color="auto"/>
            <w:tcW w:w="3247" w:type="pct"/>
            <w:textDirection w:val="lrTb"/>
            <w:noWrap w:val="false"/>
          </w:tcPr>
          <w:p>
            <w:pPr>
              <w:pStyle w:val="1005"/>
              <w:ind w:left="57" w:right="57"/>
            </w:pPr>
            <w:r>
              <w:t xml:space="preserve">Название.</w:t>
            </w:r>
            <w:r/>
          </w:p>
        </w:tc>
      </w:tr>
      <w:tr>
        <w:trPr/>
        <w:tc>
          <w:tcPr>
            <w:shd w:val="clear" w:fill="auto" w:color="auto"/>
            <w:tcW w:w="1753" w:type="pct"/>
            <w:textDirection w:val="lrTb"/>
            <w:noWrap w:val="false"/>
          </w:tcPr>
          <w:p>
            <w:pPr>
              <w:pStyle w:val="1005"/>
              <w:ind w:left="57" w:right="57"/>
            </w:pPr>
            <w:r>
              <w:t xml:space="preserve">Организация</w:t>
            </w:r>
            <w:r/>
          </w:p>
        </w:tc>
        <w:tc>
          <w:tcPr>
            <w:shd w:val="clear" w:fill="auto" w:color="auto"/>
            <w:tcW w:w="3247" w:type="pct"/>
            <w:textDirection w:val="lrTb"/>
            <w:noWrap w:val="false"/>
          </w:tcPr>
          <w:p>
            <w:pPr>
              <w:pStyle w:val="1005"/>
              <w:ind w:left="57" w:right="57"/>
            </w:pPr>
            <w:r>
              <w:t xml:space="preserve">Организация.</w:t>
            </w:r>
            <w:r/>
          </w:p>
        </w:tc>
      </w:tr>
      <w:tr>
        <w:trPr/>
        <w:tc>
          <w:tcPr>
            <w:shd w:val="clear" w:fill="auto" w:color="auto"/>
            <w:tcW w:w="1753" w:type="pct"/>
            <w:textDirection w:val="lrTb"/>
            <w:noWrap w:val="false"/>
          </w:tcPr>
          <w:p>
            <w:pPr>
              <w:pStyle w:val="1005"/>
              <w:ind w:left="57" w:right="57"/>
            </w:pPr>
            <w:r>
              <w:t xml:space="preserve">Пользователь</w:t>
            </w:r>
            <w:r/>
          </w:p>
        </w:tc>
        <w:tc>
          <w:tcPr>
            <w:shd w:val="clear" w:fill="auto" w:color="auto"/>
            <w:tcW w:w="3247" w:type="pct"/>
            <w:textDirection w:val="lrTb"/>
            <w:noWrap w:val="false"/>
          </w:tcPr>
          <w:p>
            <w:pPr>
              <w:pStyle w:val="1005"/>
              <w:ind w:left="57" w:right="57"/>
            </w:pPr>
            <w:r>
              <w:t xml:space="preserve">Пользователь.</w:t>
            </w:r>
            <w:r/>
          </w:p>
        </w:tc>
      </w:tr>
      <w:tr>
        <w:trPr/>
        <w:tc>
          <w:tcPr>
            <w:shd w:val="clear" w:fill="auto" w:color="auto"/>
            <w:tcW w:w="1753" w:type="pct"/>
            <w:textDirection w:val="lrTb"/>
            <w:noWrap w:val="false"/>
          </w:tcPr>
          <w:p>
            <w:pPr>
              <w:pStyle w:val="1005"/>
              <w:ind w:left="57" w:right="57"/>
            </w:pPr>
            <w:r>
              <w:t xml:space="preserve">Статус</w:t>
            </w:r>
            <w:r/>
          </w:p>
        </w:tc>
        <w:tc>
          <w:tcPr>
            <w:shd w:val="clear" w:fill="auto" w:color="auto"/>
            <w:tcW w:w="3247" w:type="pct"/>
            <w:textDirection w:val="lrTb"/>
            <w:noWrap w:val="false"/>
          </w:tcPr>
          <w:p>
            <w:pPr>
              <w:pStyle w:val="1005"/>
              <w:ind w:left="57" w:right="57"/>
            </w:pPr>
            <w:r>
              <w:t xml:space="preserve">Статус вложения.</w:t>
            </w:r>
            <w:r/>
          </w:p>
        </w:tc>
      </w:tr>
      <w:tr>
        <w:trPr/>
        <w:tc>
          <w:tcPr>
            <w:shd w:val="clear" w:fill="auto" w:color="auto"/>
            <w:tcW w:w="1753" w:type="pct"/>
            <w:textDirection w:val="lrTb"/>
            <w:noWrap w:val="false"/>
          </w:tcPr>
          <w:p>
            <w:pPr>
              <w:pStyle w:val="1005"/>
              <w:ind w:left="57" w:right="57"/>
            </w:pPr>
            <w:r>
              <w:t xml:space="preserve">ID</w:t>
            </w:r>
            <w:r/>
          </w:p>
        </w:tc>
        <w:tc>
          <w:tcPr>
            <w:shd w:val="clear" w:fill="auto" w:color="auto"/>
            <w:tcW w:w="3247" w:type="pct"/>
            <w:textDirection w:val="lrTb"/>
            <w:noWrap w:val="false"/>
          </w:tcPr>
          <w:p>
            <w:pPr>
              <w:pStyle w:val="1005"/>
              <w:ind w:left="57" w:right="57"/>
            </w:pPr>
            <w:r>
              <w:t xml:space="preserve">ID вложения.</w:t>
            </w:r>
            <w:r/>
          </w:p>
        </w:tc>
      </w:tr>
    </w:tbl>
    <w:p>
      <w:pPr>
        <w:pStyle w:val="971"/>
      </w:pPr>
      <w:r/>
      <w:bookmarkStart w:id="1820" w:name="_Toc422496738"/>
      <w:r/>
      <w:bookmarkStart w:id="1821" w:name="_Toc88819163"/>
      <w:r/>
      <w:bookmarkEnd w:id="1799"/>
      <w:r>
        <w:t xml:space="preserve">Группа документов «Ведение справочника участников бюджетного процесса»</w:t>
      </w:r>
      <w:bookmarkEnd w:id="1820"/>
      <w:r/>
      <w:bookmarkEnd w:id="1821"/>
      <w:r/>
      <w:r/>
    </w:p>
    <w:p>
      <w:pPr>
        <w:pStyle w:val="972"/>
      </w:pPr>
      <w:r/>
      <w:bookmarkStart w:id="1822" w:name="_Ref342401790"/>
      <w:r/>
      <w:bookmarkStart w:id="1823" w:name="_Toc422496739"/>
      <w:r/>
      <w:bookmarkStart w:id="1824" w:name="_Toc88819164"/>
      <w:r>
        <w:t xml:space="preserve">Перечень участников бюджетного процесса</w:t>
      </w:r>
      <w:bookmarkEnd w:id="1822"/>
      <w:r/>
      <w:bookmarkEnd w:id="1823"/>
      <w:r/>
      <w:bookmarkEnd w:id="1824"/>
      <w:r/>
      <w:r/>
    </w:p>
    <w:p>
      <w:pPr>
        <w:pStyle w:val="994"/>
      </w:pPr>
      <w:r>
        <w:t xml:space="preserve">«Перечень участников бюджетного процесса субъектов РФ (МО)» представляет собой документ на изменение справочной информации об организациях – участниках бюджетного процесса по местным бюджетам (аналог заявки на включение (изменение) / исключение ре</w:t>
      </w:r>
      <w:r>
        <w:t xml:space="preserve">к</w:t>
      </w:r>
      <w:r>
        <w:t xml:space="preserve">визитов УБП по Сводному реестру). Таким образом, помимо учета документов на изменение необходимо вести справочник, содержащий непосредственно актуальную информацию об организациях (аналог справочника СРРПБС (РУБП)).</w:t>
      </w:r>
      <w:r/>
    </w:p>
    <w:p>
      <w:pPr>
        <w:pStyle w:val="994"/>
      </w:pPr>
      <w:r>
        <w:t xml:space="preserve">Перечень формируется финансовым органом соответствующего бюджета и предста</w:t>
      </w:r>
      <w:r>
        <w:t xml:space="preserve">в</w:t>
      </w:r>
      <w:r>
        <w:t xml:space="preserve">ляется в электронном виде из АРМ ФО или на бумажном носителе в УФК, для открытия л</w:t>
      </w:r>
      <w:r>
        <w:t xml:space="preserve">и</w:t>
      </w:r>
      <w:r>
        <w:t xml:space="preserve">цевых счетов. </w:t>
      </w:r>
      <w:r>
        <w:t xml:space="preserve">В случае изменения Перечня УБП до УФК доводятся только измененные з</w:t>
      </w:r>
      <w:r>
        <w:t xml:space="preserve">а</w:t>
      </w:r>
      <w:r>
        <w:t xml:space="preserve">писи.</w:t>
      </w:r>
      <w:r/>
    </w:p>
    <w:p>
      <w:pPr>
        <w:pStyle w:val="994"/>
      </w:pPr>
      <w:r>
        <w:t xml:space="preserve">Для работы с документами </w:t>
      </w:r>
      <w:r>
        <w:t xml:space="preserve">«Перечень участников бюджетного процесса субъектов РФ (МО)» следует перейти в пункт меню «Документы – Ведение справочника участников бюд</w:t>
      </w:r>
      <w:r>
        <w:t xml:space="preserve">жетного процесса – Перечень участников бюджетного процесса». Откроется ЭФ списка документов, представленная на рисунке </w:t>
      </w:r>
      <w:r>
        <w:fldChar w:fldCharType="begin"/>
      </w:r>
      <w:r>
        <w:instrText xml:space="preserve"> REF _Ref263694180 \h  \* MERGEFORMAT </w:instrText>
      </w:r>
      <w:r>
        <w:fldChar w:fldCharType="separate"/>
      </w:r>
      <w:r>
        <w:t xml:space="preserve">273</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840480"/>
                <wp:effectExtent l="0" t="0" r="0" b="0"/>
                <wp:docPr id="40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56"/>
                        <a:stretch/>
                      </pic:blipFill>
                      <pic:spPr bwMode="auto">
                        <a:xfrm>
                          <a:off x="0" y="0"/>
                          <a:ext cx="6126480" cy="38404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0" o:spid="_x0000_s400" type="#_x0000_t75" style="mso-wrap-distance-left:0.0pt;mso-wrap-distance-top:0.0pt;mso-wrap-distance-right:0.0pt;mso-wrap-distance-bottom:0.0pt;width:482.4pt;height:302.4pt;" stroked="f">
                <v:path textboxrect="0,0,0,0"/>
                <v:imagedata r:id="rId356" o:title=""/>
              </v:shape>
            </w:pict>
          </mc:Fallback>
        </mc:AlternateContent>
      </w:r>
      <w:r/>
    </w:p>
    <w:p>
      <w:pPr>
        <w:pStyle w:val="983"/>
      </w:pPr>
      <w:r>
        <w:fldChar w:fldCharType="begin"/>
      </w:r>
      <w:r>
        <w:instrText xml:space="preserve"> SEQ Рисунок \* ARABIC </w:instrText>
      </w:r>
      <w:r>
        <w:fldChar w:fldCharType="separate"/>
      </w:r>
      <w:bookmarkStart w:id="1825" w:name="_Ref263694180"/>
      <w:r/>
      <w:bookmarkStart w:id="1826" w:name="_Toc88819658"/>
      <w:r>
        <w:t xml:space="preserve">273</w:t>
      </w:r>
      <w:bookmarkEnd w:id="1825"/>
      <w:r>
        <w:fldChar w:fldCharType="end"/>
      </w:r>
      <w:r>
        <w:t xml:space="preserve">. ЭФ списка документов «Перечень участников бюджетного процесса»</w:t>
      </w:r>
      <w:bookmarkEnd w:id="1826"/>
      <w:r/>
      <w:r/>
    </w:p>
    <w:p>
      <w:pPr>
        <w:pStyle w:val="973"/>
      </w:pPr>
      <w:r>
        <w:t xml:space="preserve">Доступные операции</w:t>
      </w:r>
      <w:r/>
    </w:p>
    <w:p>
      <w:pPr>
        <w:pStyle w:val="994"/>
      </w:pPr>
      <w:r>
        <w:t xml:space="preserve">На АРМ ФО доступны следующие операции над </w:t>
      </w:r>
      <w:r>
        <w:t xml:space="preserve">документом</w:t>
      </w:r>
      <w:r>
        <w:t xml:space="preserve">:</w:t>
      </w:r>
      <w:r/>
    </w:p>
    <w:p>
      <w:pPr>
        <w:pStyle w:val="985"/>
      </w:pPr>
      <w:r>
        <w:t xml:space="preserve">ввод вручную;</w:t>
      </w:r>
      <w:r/>
    </w:p>
    <w:p>
      <w:pPr>
        <w:pStyle w:val="985"/>
      </w:pPr>
      <w:r>
        <w:t xml:space="preserve">импорт из внешней системы;</w:t>
      </w:r>
      <w:r/>
    </w:p>
    <w:p>
      <w:pPr>
        <w:pStyle w:val="985"/>
      </w:pPr>
      <w:r>
        <w:t xml:space="preserve">документарный контроль;</w:t>
      </w:r>
      <w:r/>
    </w:p>
    <w:p>
      <w:pPr>
        <w:pStyle w:val="985"/>
      </w:pPr>
      <w:r>
        <w:t xml:space="preserve">просмотр и редактирование;</w:t>
      </w:r>
      <w:r/>
    </w:p>
    <w:p>
      <w:pPr>
        <w:pStyle w:val="985"/>
      </w:pPr>
      <w:r>
        <w:t xml:space="preserve">подписание, просмотр и удаление ЭП;</w:t>
      </w:r>
      <w:r/>
    </w:p>
    <w:p>
      <w:pPr>
        <w:pStyle w:val="985"/>
      </w:pPr>
      <w:r>
        <w:t xml:space="preserve">удаление;</w:t>
      </w:r>
      <w:r/>
    </w:p>
    <w:p>
      <w:pPr>
        <w:pStyle w:val="985"/>
      </w:pPr>
      <w:r>
        <w:t xml:space="preserve">отправка в ОФК (УФК).</w:t>
      </w:r>
      <w:r/>
    </w:p>
    <w:p>
      <w:pPr>
        <w:pStyle w:val="973"/>
      </w:pPr>
      <w:r>
        <w:t xml:space="preserve">Экранная форма документа</w:t>
      </w:r>
      <w:r/>
    </w:p>
    <w:p>
      <w:pPr>
        <w:pStyle w:val="994"/>
      </w:pPr>
      <w:r/>
      <w:bookmarkStart w:id="1827" w:name="_Toc257977622"/>
      <w:r/>
      <w:bookmarkStart w:id="1828" w:name="_Toc422496740"/>
      <w:r/>
      <w:bookmarkStart w:id="1829" w:name="_Toc247608944"/>
      <w:r/>
      <w:bookmarkStart w:id="1830" w:name="_Toc248062673"/>
      <w:r/>
      <w:bookmarkStart w:id="1831" w:name="_Toc248648075"/>
      <w:r>
        <w:t xml:space="preserve">ЭФ документа «Перечень участников бюджетного процесса» содержит следующие закладки:</w:t>
      </w:r>
      <w:r/>
    </w:p>
    <w:p>
      <w:pPr>
        <w:pStyle w:val="985"/>
      </w:pPr>
      <w:r>
        <w:t xml:space="preserve">«Основные атрибуты»;</w:t>
      </w:r>
      <w:r/>
    </w:p>
    <w:p>
      <w:pPr>
        <w:pStyle w:val="985"/>
      </w:pPr>
      <w:r>
        <w:t xml:space="preserve">«Системные атрибуты»;</w:t>
      </w:r>
      <w:r/>
    </w:p>
    <w:p>
      <w:pPr>
        <w:pStyle w:val="985"/>
      </w:pPr>
      <w:r>
        <w:t xml:space="preserve">«Примечание»;</w:t>
      </w:r>
      <w:r/>
    </w:p>
    <w:p>
      <w:pPr>
        <w:pStyle w:val="985"/>
      </w:pPr>
      <w:r>
        <w:t xml:space="preserve">«Протоколы».</w:t>
      </w:r>
      <w:r/>
    </w:p>
    <w:p>
      <w:pPr>
        <w:pStyle w:val="994"/>
      </w:pPr>
      <w:r>
        <w:t xml:space="preserve">ЭФ документа «Перечень участников бюджетного процесса</w:t>
      </w:r>
      <w:r>
        <w:t xml:space="preserve">», закладки «</w:t>
      </w:r>
      <w:r>
        <w:t xml:space="preserve">Основные атрибуты» представлена на рисунке</w:t>
      </w:r>
      <w:r>
        <w:t xml:space="preserve"> </w:t>
      </w:r>
      <w:r>
        <w:fldChar w:fldCharType="begin"/>
      </w:r>
      <w:r>
        <w:instrText xml:space="preserve"> REF _Ref232277003 \h </w:instrText>
      </w:r>
      <w:r>
        <w:fldChar w:fldCharType="separate"/>
      </w:r>
      <w:r>
        <w:t xml:space="preserve">274</w:t>
      </w:r>
      <w:r>
        <w:fldChar w:fldCharType="end"/>
      </w:r>
      <w:r>
        <w:t xml:space="preserve">.</w:t>
      </w:r>
      <w:r/>
    </w:p>
    <w:p>
      <w:pPr>
        <w:pStyle w:val="982"/>
      </w:pPr>
      <w:r>
        <mc:AlternateContent>
          <mc:Choice Requires="wpg">
            <w:drawing>
              <wp:inline xmlns:wp="http://schemas.openxmlformats.org/drawingml/2006/wordprocessingDrawing" distT="0" distB="0" distL="0" distR="0">
                <wp:extent cx="6019800" cy="3840480"/>
                <wp:effectExtent l="0" t="0" r="0" b="0"/>
                <wp:docPr id="40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57"/>
                        <a:stretch/>
                      </pic:blipFill>
                      <pic:spPr bwMode="auto">
                        <a:xfrm>
                          <a:off x="0" y="0"/>
                          <a:ext cx="6019800" cy="38404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1" o:spid="_x0000_s401" type="#_x0000_t75" style="mso-wrap-distance-left:0.0pt;mso-wrap-distance-top:0.0pt;mso-wrap-distance-right:0.0pt;mso-wrap-distance-bottom:0.0pt;width:474.0pt;height:302.4pt;" stroked="f">
                <v:path textboxrect="0,0,0,0"/>
                <v:imagedata r:id="rId357" o:title=""/>
              </v:shape>
            </w:pict>
          </mc:Fallback>
        </mc:AlternateContent>
      </w:r>
      <w:r/>
    </w:p>
    <w:p>
      <w:pPr>
        <w:pStyle w:val="983"/>
      </w:pPr>
      <w:r>
        <w:fldChar w:fldCharType="begin"/>
      </w:r>
      <w:r>
        <w:instrText xml:space="preserve"> SEQ Рисунок \* ARABIC </w:instrText>
      </w:r>
      <w:r>
        <w:fldChar w:fldCharType="separate"/>
      </w:r>
      <w:bookmarkStart w:id="1832" w:name="_Ref232277003"/>
      <w:r/>
      <w:bookmarkStart w:id="1833" w:name="_Toc88819659"/>
      <w:r>
        <w:t xml:space="preserve">274</w:t>
      </w:r>
      <w:bookmarkEnd w:id="1832"/>
      <w:r>
        <w:fldChar w:fldCharType="end"/>
      </w:r>
      <w:r>
        <w:t xml:space="preserve">. ЭФ документа «Перечень участников бюджетного процесса</w:t>
      </w:r>
      <w:r>
        <w:t xml:space="preserve">», закладки «</w:t>
      </w:r>
      <w:r>
        <w:t xml:space="preserve">Основные атрибуты»</w:t>
      </w:r>
      <w:bookmarkEnd w:id="1833"/>
      <w:r/>
      <w:r/>
    </w:p>
    <w:p>
      <w:pPr>
        <w:pStyle w:val="994"/>
      </w:pPr>
      <w:r>
        <w:t xml:space="preserve">Для ручного ввода документа следует на ЭФ </w:t>
      </w:r>
      <w:r>
        <w:t xml:space="preserve">документа </w:t>
      </w:r>
      <w:r>
        <w:t xml:space="preserve">заполнить поля, доступные для редактирования. </w:t>
      </w:r>
      <w:r/>
    </w:p>
    <w:p>
      <w:pPr>
        <w:pStyle w:val="994"/>
      </w:pPr>
      <w:r>
        <w:t xml:space="preserve">Перечень полей документа «Перечень участников бюджетного процесса</w:t>
      </w:r>
      <w:r>
        <w:t xml:space="preserve">», закладки «</w:t>
      </w:r>
      <w:r>
        <w:t xml:space="preserve">Основные атрибуты» приведен в таблице </w:t>
      </w:r>
      <w:r>
        <w:fldChar w:fldCharType="begin"/>
      </w:r>
      <w:r>
        <w:instrText xml:space="preserve"> REF _Ref319337382 \h  \* MERGEFORMAT </w:instrText>
      </w:r>
      <w:r>
        <w:fldChar w:fldCharType="separate"/>
      </w:r>
      <w:r>
        <w:t xml:space="preserve">159</w:t>
      </w:r>
      <w:r>
        <w:fldChar w:fldCharType="end"/>
      </w:r>
      <w:r>
        <w:t xml:space="preserve">.</w:t>
      </w:r>
      <w:r/>
    </w:p>
    <w:p>
      <w:pPr>
        <w:pStyle w:val="993"/>
      </w:pPr>
      <w:r>
        <w:fldChar w:fldCharType="begin"/>
      </w:r>
      <w:r>
        <w:instrText xml:space="preserve"> SEQ Таблица \* ARABIC </w:instrText>
      </w:r>
      <w:r>
        <w:fldChar w:fldCharType="separate"/>
      </w:r>
      <w:bookmarkStart w:id="1834" w:name="_Ref319337382"/>
      <w:r/>
      <w:bookmarkStart w:id="1835" w:name="_Ref317677819"/>
      <w:r/>
      <w:bookmarkStart w:id="1836" w:name="_Toc88819346"/>
      <w:r>
        <w:t xml:space="preserve">159</w:t>
      </w:r>
      <w:bookmarkEnd w:id="1834"/>
      <w:r/>
      <w:bookmarkEnd w:id="1835"/>
      <w:r>
        <w:fldChar w:fldCharType="end"/>
      </w:r>
      <w:r>
        <w:t xml:space="preserve">. Описание полей документа «Перечень участников бюджетного процесса</w:t>
      </w:r>
      <w:r>
        <w:t xml:space="preserve">», закладки «</w:t>
      </w:r>
      <w:r>
        <w:t xml:space="preserve">Основные атрибуты»</w:t>
      </w:r>
      <w:bookmarkEnd w:id="1836"/>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18"/>
        <w:gridCol w:w="7534"/>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13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63" w:type="pct"/>
            <w:vAlign w:val="center"/>
            <w:textDirection w:val="lrTb"/>
            <w:noWrap w:val="false"/>
          </w:tcPr>
          <w:p>
            <w:pPr>
              <w:pStyle w:val="1006"/>
            </w:pPr>
            <w:r>
              <w:t xml:space="preserve">Описание поля</w:t>
            </w:r>
            <w:r/>
          </w:p>
        </w:tc>
      </w:tr>
      <w:tr>
        <w:trPr/>
        <w:tc>
          <w:tcPr>
            <w:shd w:val="clear" w:fill="auto" w:color="auto"/>
            <w:tcW w:w="1137" w:type="pct"/>
            <w:textDirection w:val="lrTb"/>
            <w:noWrap w:val="false"/>
          </w:tcPr>
          <w:p>
            <w:pPr>
              <w:pStyle w:val="1005"/>
              <w:ind w:left="57" w:right="57"/>
            </w:pPr>
            <w:r>
              <w:t xml:space="preserve">Номер перечня</w:t>
            </w:r>
            <w:r/>
          </w:p>
        </w:tc>
        <w:tc>
          <w:tcPr>
            <w:shd w:val="clear" w:fill="auto" w:color="auto"/>
            <w:tcW w:w="3863" w:type="pct"/>
            <w:textDirection w:val="lrTb"/>
            <w:noWrap w:val="false"/>
          </w:tcPr>
          <w:p>
            <w:pPr>
              <w:pStyle w:val="1005"/>
              <w:ind w:left="57" w:right="57"/>
            </w:pPr>
            <w:r>
              <w:t xml:space="preserve">Номер документа.</w:t>
            </w:r>
            <w:r/>
          </w:p>
          <w:p>
            <w:pPr>
              <w:pStyle w:val="1005"/>
              <w:ind w:left="57" w:right="57"/>
            </w:pPr>
            <w:r>
              <w:t xml:space="preserve">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r/>
          </w:p>
          <w:p>
            <w:pPr>
              <w:pStyle w:val="1005"/>
              <w:ind w:left="57" w:right="57"/>
            </w:pPr>
            <w:r>
              <w:t xml:space="preserve">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r/>
          </w:p>
          <w:p>
            <w:pPr>
              <w:pStyle w:val="1005"/>
              <w:ind w:left="57" w:right="57"/>
            </w:pPr>
            <w:r>
              <w:t xml:space="preserve">Если ЭД «Перечень УБП» формируется по Федеральному бюджету, то в номере перечня необходимо указывать значения «ПБУ» или «ПАУ».</w:t>
            </w:r>
            <w:r/>
          </w:p>
        </w:tc>
      </w:tr>
      <w:tr>
        <w:trPr/>
        <w:tc>
          <w:tcPr>
            <w:shd w:val="clear" w:fill="auto" w:color="auto"/>
            <w:tcW w:w="1137" w:type="pct"/>
            <w:textDirection w:val="lrTb"/>
            <w:noWrap w:val="false"/>
          </w:tcPr>
          <w:p>
            <w:pPr>
              <w:pStyle w:val="1005"/>
              <w:ind w:left="57" w:right="57"/>
            </w:pPr>
            <w:r>
              <w:t xml:space="preserve">Дата</w:t>
            </w:r>
            <w:r/>
          </w:p>
        </w:tc>
        <w:tc>
          <w:tcPr>
            <w:shd w:val="clear" w:fill="auto" w:color="auto"/>
            <w:tcW w:w="3863" w:type="pct"/>
            <w:textDirection w:val="lrTb"/>
            <w:noWrap w:val="false"/>
          </w:tcPr>
          <w:p>
            <w:pPr>
              <w:pStyle w:val="1005"/>
              <w:ind w:left="57" w:right="57"/>
            </w:pPr>
            <w:r>
              <w:t xml:space="preserve">Дата документа.</w:t>
            </w:r>
            <w:r/>
          </w:p>
          <w:p>
            <w:pPr>
              <w:pStyle w:val="1005"/>
              <w:ind w:left="57" w:right="57"/>
            </w:pPr>
            <w:r>
              <w:t xml:space="preserve">Значение поля по умолчанию – текущая дата. Может быть изменено пользователем вручную.</w:t>
            </w:r>
            <w:r/>
          </w:p>
        </w:tc>
      </w:tr>
      <w:tr>
        <w:trPr/>
        <w:tc>
          <w:tcPr>
            <w:shd w:val="clear" w:fill="auto" w:color="auto"/>
            <w:tcW w:w="1137" w:type="pct"/>
            <w:textDirection w:val="lrTb"/>
            <w:noWrap w:val="false"/>
          </w:tcPr>
          <w:p>
            <w:pPr>
              <w:pStyle w:val="1005"/>
              <w:ind w:left="57" w:right="57"/>
            </w:pPr>
            <w:r>
              <w:t xml:space="preserve">Наименование финансового органа</w:t>
            </w:r>
            <w:r/>
          </w:p>
        </w:tc>
        <w:tc>
          <w:tcPr>
            <w:shd w:val="clear" w:fill="auto" w:color="auto"/>
            <w:tcW w:w="3863" w:type="pct"/>
            <w:textDirection w:val="lrTb"/>
            <w:noWrap w:val="false"/>
          </w:tcPr>
          <w:p>
            <w:pPr>
              <w:pStyle w:val="1005"/>
              <w:ind w:left="57" w:right="57"/>
            </w:pPr>
            <w:r>
              <w:t xml:space="preserve">АРМ ФО:</w:t>
            </w:r>
            <w:r/>
          </w:p>
          <w:p>
            <w:pPr>
              <w:pStyle w:val="1008"/>
              <w:numPr>
                <w:ilvl w:val="0"/>
                <w:numId w:val="49"/>
              </w:numPr>
            </w:pPr>
            <w:r>
              <w:t xml:space="preserve">Значения поля автоматически подтягивается по коду бюджета из справочника «Финансовые органы».</w:t>
            </w:r>
            <w:r/>
          </w:p>
          <w:p>
            <w:pPr>
              <w:pStyle w:val="1008"/>
            </w:pPr>
            <w:r>
              <w:t xml:space="preserve">Может быть изменено пользователем вручную.</w:t>
            </w:r>
            <w:r/>
          </w:p>
          <w:p>
            <w:pPr>
              <w:pStyle w:val="1008"/>
            </w:pPr>
            <w:r>
              <w:t xml:space="preserve">Может быт изменено пользователем путём выбора из справочника «ФО».</w:t>
            </w:r>
            <w:r/>
          </w:p>
        </w:tc>
      </w:tr>
      <w:tr>
        <w:trPr/>
        <w:tc>
          <w:tcPr>
            <w:shd w:val="clear" w:fill="auto" w:color="auto"/>
            <w:tcW w:w="1137" w:type="pct"/>
            <w:textDirection w:val="lrTb"/>
            <w:noWrap w:val="false"/>
          </w:tcPr>
          <w:p>
            <w:pPr>
              <w:pStyle w:val="1005"/>
              <w:ind w:left="57" w:right="57"/>
            </w:pPr>
            <w:r>
              <w:t xml:space="preserve">ОКПО ФО</w:t>
            </w:r>
            <w:r/>
          </w:p>
        </w:tc>
        <w:tc>
          <w:tcPr>
            <w:shd w:val="clear" w:fill="auto" w:color="auto"/>
            <w:tcW w:w="3863" w:type="pct"/>
            <w:textDirection w:val="lrTb"/>
            <w:noWrap w:val="false"/>
          </w:tcPr>
          <w:p>
            <w:pPr>
              <w:pStyle w:val="1005"/>
              <w:ind w:left="57" w:right="57"/>
            </w:pPr>
            <w:r>
              <w:t xml:space="preserve">Код ОКПО Финансового органа.</w:t>
            </w:r>
            <w:r/>
          </w:p>
          <w:p>
            <w:pPr>
              <w:pStyle w:val="1005"/>
              <w:ind w:left="57" w:right="57"/>
            </w:pPr>
            <w:r>
              <w:t xml:space="preserve">Значения поля автоматически устанавливается по коду бюджета из справочника «Финансовые органы».</w:t>
            </w:r>
            <w:r/>
          </w:p>
          <w:p>
            <w:pPr>
              <w:pStyle w:val="1005"/>
              <w:ind w:left="57" w:right="57"/>
            </w:pPr>
            <w:r>
              <w:t xml:space="preserve">Может быть изменено пользователем вручную.</w:t>
            </w:r>
            <w:r/>
          </w:p>
          <w:p>
            <w:pPr>
              <w:pStyle w:val="1005"/>
              <w:ind w:left="57" w:right="57"/>
            </w:pPr>
            <w:r>
              <w:t xml:space="preserve">Может быть изменено пользователем путём выбора из справочника «ФО».</w:t>
            </w:r>
            <w:r/>
          </w:p>
        </w:tc>
      </w:tr>
      <w:tr>
        <w:trPr/>
        <w:tc>
          <w:tcPr>
            <w:shd w:val="clear" w:fill="auto" w:color="auto"/>
            <w:tcW w:w="1137" w:type="pct"/>
            <w:textDirection w:val="lrTb"/>
            <w:noWrap w:val="false"/>
          </w:tcPr>
          <w:p>
            <w:pPr>
              <w:pStyle w:val="1005"/>
              <w:ind w:left="57" w:right="57"/>
            </w:pPr>
            <w:r>
              <w:t xml:space="preserve">Наименование бюджета</w:t>
            </w:r>
            <w:r/>
          </w:p>
        </w:tc>
        <w:tc>
          <w:tcPr>
            <w:shd w:val="clear" w:fill="auto" w:color="auto"/>
            <w:tcW w:w="3863" w:type="pct"/>
            <w:textDirection w:val="lrTb"/>
            <w:noWrap w:val="false"/>
          </w:tcPr>
          <w:p>
            <w:pPr>
              <w:pStyle w:val="1005"/>
              <w:ind w:left="57" w:right="57"/>
            </w:pPr>
            <w:r>
              <w:t xml:space="preserve">Значение поля выбирается из справочника бюджетов, так же может быть отредактировано вручную. </w:t>
            </w:r>
            <w:r/>
          </w:p>
          <w:p>
            <w:pPr>
              <w:pStyle w:val="1005"/>
              <w:ind w:left="57" w:right="57"/>
            </w:pPr>
            <w:r>
              <w:t xml:space="preserve">Для АРМ ГРБС и АДБ в списке значений для выбора из справочника присутствует значение «Федеральный бюджет».</w:t>
            </w:r>
            <w:r/>
          </w:p>
        </w:tc>
      </w:tr>
      <w:tr>
        <w:trPr/>
        <w:tc>
          <w:tcPr>
            <w:shd w:val="clear" w:fill="auto" w:color="auto"/>
            <w:tcW w:w="1137" w:type="pct"/>
            <w:textDirection w:val="lrTb"/>
            <w:noWrap w:val="false"/>
          </w:tcPr>
          <w:p>
            <w:pPr>
              <w:pStyle w:val="1005"/>
              <w:ind w:left="57" w:right="57"/>
            </w:pPr>
            <w:r>
              <w:t xml:space="preserve">Наименование органа ФК</w:t>
            </w:r>
            <w:r/>
          </w:p>
        </w:tc>
        <w:tc>
          <w:tcPr>
            <w:shd w:val="clear" w:fill="auto" w:color="auto"/>
            <w:tcW w:w="3863" w:type="pct"/>
            <w:textDirection w:val="lrTb"/>
            <w:noWrap w:val="false"/>
          </w:tcPr>
          <w:p>
            <w:pPr>
              <w:pStyle w:val="1005"/>
              <w:ind w:left="57" w:right="57"/>
            </w:pPr>
            <w:r>
              <w:t xml:space="preserve">Наименование органа ФК, в котором обслуживается ЛС ФО.</w:t>
            </w:r>
            <w:r/>
          </w:p>
          <w:p>
            <w:pPr>
              <w:pStyle w:val="1005"/>
              <w:ind w:left="57" w:right="57"/>
            </w:pPr>
            <w:r>
              <w:t xml:space="preserve">Значение поля подтягивается по коду КОФК из справочника органов ФК, так же может быть отредактировано вручную.</w:t>
            </w:r>
            <w:r/>
          </w:p>
        </w:tc>
      </w:tr>
      <w:tr>
        <w:trPr/>
        <w:tc>
          <w:tcPr>
            <w:shd w:val="clear" w:fill="auto" w:color="auto"/>
            <w:tcW w:w="1137" w:type="pct"/>
            <w:textDirection w:val="lrTb"/>
            <w:noWrap w:val="false"/>
          </w:tcPr>
          <w:p>
            <w:pPr>
              <w:pStyle w:val="1005"/>
              <w:ind w:left="57" w:right="57"/>
            </w:pPr>
            <w:r>
              <w:t xml:space="preserve">П</w:t>
            </w:r>
            <w:r>
              <w:t xml:space="preserve">о КОФК</w:t>
            </w:r>
            <w:r/>
          </w:p>
        </w:tc>
        <w:tc>
          <w:tcPr>
            <w:shd w:val="clear" w:fill="auto" w:color="auto"/>
            <w:tcW w:w="3863" w:type="pct"/>
            <w:textDirection w:val="lrTb"/>
            <w:noWrap w:val="false"/>
          </w:tcPr>
          <w:p>
            <w:pPr>
              <w:pStyle w:val="1005"/>
              <w:ind w:left="57" w:right="57"/>
            </w:pPr>
            <w:r>
              <w:t xml:space="preserve">Код органа ФК по КОФК.</w:t>
            </w:r>
            <w:r/>
          </w:p>
          <w:p>
            <w:pPr>
              <w:pStyle w:val="1005"/>
              <w:ind w:left="57" w:right="57"/>
            </w:pPr>
            <w:r>
              <w:t xml:space="preserve">Значение поля заполняется из справочника органов ФК, так же может быть отредактировано вручную.</w:t>
            </w:r>
            <w:r/>
          </w:p>
        </w:tc>
      </w:tr>
      <w:tr>
        <w:trPr/>
        <w:tc>
          <w:tcPr>
            <w:shd w:val="clear" w:fill="auto" w:color="auto"/>
            <w:tcW w:w="1137" w:type="pct"/>
            <w:textDirection w:val="lrTb"/>
            <w:noWrap w:val="false"/>
          </w:tcPr>
          <w:p>
            <w:pPr>
              <w:pStyle w:val="1005"/>
              <w:ind w:left="57" w:right="57"/>
            </w:pPr>
            <w:r>
              <w:t xml:space="preserve">Номер строки</w:t>
            </w:r>
            <w:r/>
          </w:p>
        </w:tc>
        <w:tc>
          <w:tcPr>
            <w:shd w:val="clear" w:fill="auto" w:color="auto"/>
            <w:tcW w:w="3863" w:type="pct"/>
            <w:textDirection w:val="lrTb"/>
            <w:noWrap w:val="false"/>
          </w:tcPr>
          <w:p>
            <w:pPr>
              <w:pStyle w:val="1005"/>
              <w:ind w:left="57" w:right="57"/>
            </w:pPr>
            <w:r>
              <w:t xml:space="preserve">Порядковый номер записи документа.</w:t>
            </w:r>
            <w:r/>
          </w:p>
          <w:p>
            <w:pPr>
              <w:pStyle w:val="1005"/>
              <w:ind w:left="57" w:right="57"/>
            </w:pPr>
            <w:r>
              <w:t xml:space="preserve">Автозаполнение.</w:t>
            </w:r>
            <w:r/>
          </w:p>
        </w:tc>
      </w:tr>
      <w:tr>
        <w:trPr/>
        <w:tc>
          <w:tcPr>
            <w:shd w:val="clear" w:fill="auto" w:color="auto"/>
            <w:tcW w:w="1137" w:type="pct"/>
            <w:textDirection w:val="lrTb"/>
            <w:noWrap w:val="false"/>
          </w:tcPr>
          <w:p>
            <w:pPr>
              <w:pStyle w:val="1005"/>
              <w:ind w:left="57" w:right="57"/>
            </w:pPr>
            <w:r>
              <w:t xml:space="preserve">Полное наименование</w:t>
            </w:r>
            <w:r/>
          </w:p>
        </w:tc>
        <w:tc>
          <w:tcPr>
            <w:shd w:val="clear" w:fill="auto" w:color="auto"/>
            <w:tcW w:w="3863" w:type="pct"/>
            <w:textDirection w:val="lrTb"/>
            <w:noWrap w:val="false"/>
          </w:tcPr>
          <w:p>
            <w:pPr>
              <w:pStyle w:val="1005"/>
              <w:ind w:left="57" w:right="57"/>
            </w:pPr>
            <w:r>
              <w:t xml:space="preserve">Полное наименование УБП.</w:t>
            </w:r>
            <w:r/>
          </w:p>
          <w:p>
            <w:pPr>
              <w:pStyle w:val="1005"/>
              <w:ind w:left="57" w:right="57"/>
            </w:pPr>
            <w:r>
              <w:t xml:space="preserve">Значение поля заполняется вручную</w:t>
            </w:r>
            <w:r>
              <w:t xml:space="preserve">.</w:t>
            </w:r>
            <w:r/>
          </w:p>
        </w:tc>
      </w:tr>
      <w:tr>
        <w:trPr/>
        <w:tc>
          <w:tcPr>
            <w:shd w:val="clear" w:fill="auto" w:color="auto"/>
            <w:tcW w:w="1137" w:type="pct"/>
            <w:textDirection w:val="lrTb"/>
            <w:noWrap w:val="false"/>
          </w:tcPr>
          <w:p>
            <w:pPr>
              <w:pStyle w:val="1005"/>
              <w:ind w:left="57" w:right="57"/>
            </w:pPr>
            <w:r>
              <w:t xml:space="preserve">Сокращенное наименование</w:t>
            </w:r>
            <w:r/>
          </w:p>
        </w:tc>
        <w:tc>
          <w:tcPr>
            <w:shd w:val="clear" w:fill="auto" w:color="auto"/>
            <w:tcW w:w="3863" w:type="pct"/>
            <w:textDirection w:val="lrTb"/>
            <w:noWrap w:val="false"/>
          </w:tcPr>
          <w:p>
            <w:pPr>
              <w:pStyle w:val="1005"/>
              <w:ind w:left="57" w:right="57"/>
            </w:pPr>
            <w:r>
              <w:t xml:space="preserve">Сокращенное наименование УБП.</w:t>
            </w:r>
            <w:r/>
          </w:p>
          <w:p>
            <w:pPr>
              <w:pStyle w:val="1005"/>
              <w:ind w:left="57" w:right="57"/>
            </w:pPr>
            <w:r>
              <w:t xml:space="preserve">Значение поля заполняется вручную</w:t>
            </w:r>
            <w:r>
              <w:t xml:space="preserve">.</w:t>
            </w:r>
            <w:r/>
          </w:p>
        </w:tc>
      </w:tr>
      <w:tr>
        <w:trPr/>
        <w:tc>
          <w:tcPr>
            <w:shd w:val="clear" w:fill="auto" w:color="auto"/>
            <w:tcW w:w="1137" w:type="pct"/>
            <w:textDirection w:val="lrTb"/>
            <w:noWrap w:val="false"/>
          </w:tcPr>
          <w:p>
            <w:pPr>
              <w:pStyle w:val="1005"/>
              <w:ind w:left="57" w:right="57"/>
            </w:pPr>
            <w:r>
              <w:t xml:space="preserve">Код главы по БК</w:t>
            </w:r>
            <w:r/>
          </w:p>
        </w:tc>
        <w:tc>
          <w:tcPr>
            <w:shd w:val="clear" w:fill="auto" w:color="auto"/>
            <w:tcW w:w="3863" w:type="pct"/>
            <w:textDirection w:val="lrTb"/>
            <w:noWrap w:val="false"/>
          </w:tcPr>
          <w:p>
            <w:pPr>
              <w:pStyle w:val="1005"/>
              <w:ind w:left="57" w:right="57"/>
            </w:pPr>
            <w:r>
              <w:t xml:space="preserve">Код вышестоящего УБП.</w:t>
            </w:r>
            <w:r/>
          </w:p>
          <w:p>
            <w:pPr>
              <w:pStyle w:val="1005"/>
              <w:ind w:left="57" w:right="57"/>
            </w:pPr>
            <w:r>
              <w:t xml:space="preserve">Значение поля заполняется из справочника «Ведомств» (выборка из справочника в рамках заданного бюджета), может быть отредактировано вручную.</w:t>
            </w:r>
            <w:r/>
          </w:p>
        </w:tc>
      </w:tr>
      <w:tr>
        <w:trPr/>
        <w:tc>
          <w:tcPr>
            <w:shd w:val="clear" w:fill="auto" w:color="auto"/>
            <w:tcW w:w="1137" w:type="pct"/>
            <w:textDirection w:val="lrTb"/>
            <w:noWrap w:val="false"/>
          </w:tcPr>
          <w:p>
            <w:pPr>
              <w:pStyle w:val="1005"/>
              <w:ind w:left="57" w:right="57"/>
            </w:pPr>
            <w:r>
              <w:t xml:space="preserve">Полное наименование вышестоящего УБП</w:t>
            </w:r>
            <w:r/>
          </w:p>
        </w:tc>
        <w:tc>
          <w:tcPr>
            <w:shd w:val="clear" w:fill="auto" w:color="auto"/>
            <w:tcW w:w="3863" w:type="pct"/>
            <w:textDirection w:val="lrTb"/>
            <w:noWrap w:val="false"/>
          </w:tcPr>
          <w:p>
            <w:pPr>
              <w:pStyle w:val="1005"/>
              <w:ind w:left="57" w:right="57"/>
            </w:pPr>
            <w:r>
              <w:t xml:space="preserve">Полное наименование вышестоящего УБП.</w:t>
            </w:r>
            <w:r/>
          </w:p>
          <w:p>
            <w:pPr>
              <w:pStyle w:val="1005"/>
              <w:ind w:left="57" w:right="57"/>
            </w:pPr>
            <w:r>
              <w:t xml:space="preserve">Значение поля заполняется вручную</w:t>
            </w:r>
            <w:r>
              <w:t xml:space="preserve">.</w:t>
            </w:r>
            <w:r/>
          </w:p>
        </w:tc>
      </w:tr>
      <w:tr>
        <w:trPr/>
        <w:tc>
          <w:tcPr>
            <w:shd w:val="clear" w:fill="auto" w:color="auto"/>
            <w:tcW w:w="1137" w:type="pct"/>
            <w:textDirection w:val="lrTb"/>
            <w:noWrap w:val="false"/>
          </w:tcPr>
          <w:p>
            <w:pPr>
              <w:pStyle w:val="1005"/>
              <w:ind w:left="57" w:right="57"/>
            </w:pPr>
            <w:r>
              <w:t xml:space="preserve">Вид изменений</w:t>
            </w:r>
            <w:r/>
          </w:p>
        </w:tc>
        <w:tc>
          <w:tcPr>
            <w:shd w:val="clear" w:fill="auto" w:color="auto"/>
            <w:tcW w:w="3863" w:type="pct"/>
            <w:textDirection w:val="lrTb"/>
            <w:noWrap w:val="false"/>
          </w:tcPr>
          <w:p>
            <w:pPr>
              <w:pStyle w:val="1005"/>
              <w:ind w:left="57" w:right="57"/>
            </w:pPr>
            <w:r>
              <w:t xml:space="preserve">Значение поля выбирается из списка: </w:t>
            </w:r>
            <w:r/>
          </w:p>
          <w:p>
            <w:pPr>
              <w:pStyle w:val="1007"/>
            </w:pPr>
            <w:r>
              <w:t xml:space="preserve">Включение;</w:t>
            </w:r>
            <w:r/>
          </w:p>
          <w:p>
            <w:pPr>
              <w:pStyle w:val="1007"/>
            </w:pPr>
            <w:r>
              <w:t xml:space="preserve">Исключение;</w:t>
            </w:r>
            <w:r/>
          </w:p>
          <w:p>
            <w:pPr>
              <w:pStyle w:val="1007"/>
            </w:pPr>
            <w:r>
              <w:t xml:space="preserve">Заменяется строкой №;</w:t>
            </w:r>
            <w:r/>
          </w:p>
          <w:p>
            <w:pPr>
              <w:pStyle w:val="1007"/>
            </w:pPr>
            <w:r>
              <w:t xml:space="preserve">Изменяет строку №.</w:t>
            </w:r>
            <w:r/>
          </w:p>
          <w:p>
            <w:pPr>
              <w:pStyle w:val="1005"/>
              <w:ind w:left="57" w:right="57"/>
            </w:pPr>
            <w:r>
              <w:t xml:space="preserve">Поле закрыто на редактирование.</w:t>
            </w:r>
            <w:r/>
          </w:p>
          <w:p>
            <w:pPr>
              <w:pStyle w:val="1005"/>
              <w:ind w:left="57" w:right="57"/>
            </w:pPr>
            <w:r>
              <w:t xml:space="preserve">Если пользователь выбрал из списка вид изменения: «Заменяется строкой №» или «Изменяется </w:t>
            </w:r>
            <w:r>
              <w:t xml:space="preserve">строка</w:t>
            </w:r>
            <w:r>
              <w:t xml:space="preserve"> №» то рядом появляется поле, куда можно вбить номер строки. При интеграции передаётся одним тегом.</w:t>
            </w:r>
            <w:r/>
          </w:p>
        </w:tc>
      </w:tr>
      <w:tr>
        <w:trPr/>
        <w:tc>
          <w:tcPr>
            <w:gridSpan w:val="2"/>
            <w:shd w:val="clear" w:fill="auto" w:color="auto"/>
            <w:tcW w:w="5000" w:type="pct"/>
            <w:textDirection w:val="lrTb"/>
            <w:noWrap w:val="false"/>
          </w:tcPr>
          <w:p>
            <w:pPr>
              <w:pStyle w:val="1005"/>
              <w:ind w:left="57" w:right="57"/>
            </w:pPr>
            <w:r>
              <w:t xml:space="preserve">Г</w:t>
            </w:r>
            <w:r>
              <w:t xml:space="preserve">руппа полей «Подпись руководителя»</w:t>
            </w:r>
            <w:r/>
          </w:p>
        </w:tc>
      </w:tr>
      <w:tr>
        <w:trPr/>
        <w:tc>
          <w:tcPr>
            <w:shd w:val="clear" w:fill="auto" w:color="auto"/>
            <w:tcW w:w="1137" w:type="pct"/>
            <w:textDirection w:val="lrTb"/>
            <w:noWrap w:val="false"/>
          </w:tcPr>
          <w:p>
            <w:pPr>
              <w:pStyle w:val="1005"/>
              <w:ind w:left="57" w:right="57"/>
            </w:pPr>
            <w:r>
              <w:t xml:space="preserve">Должность</w:t>
            </w:r>
            <w:r/>
          </w:p>
        </w:tc>
        <w:tc>
          <w:tcPr>
            <w:shd w:val="clear" w:fill="auto" w:color="auto"/>
            <w:tcW w:w="3863" w:type="pct"/>
            <w:textDirection w:val="lrTb"/>
            <w:noWrap w:val="false"/>
          </w:tcPr>
          <w:p>
            <w:pPr>
              <w:pStyle w:val="1005"/>
              <w:ind w:left="57" w:right="57"/>
            </w:pPr>
            <w:r>
              <w:t xml:space="preserve">Должность руководителя.</w:t>
            </w:r>
            <w:r/>
          </w:p>
          <w:p>
            <w:pPr>
              <w:pStyle w:val="1005"/>
              <w:ind w:left="57" w:right="57"/>
            </w:pPr>
            <w:r>
              <w:t xml:space="preserve">Значение поля подтягивается по ФИО из справочника «Список сотрудников».</w:t>
            </w:r>
            <w:r/>
          </w:p>
          <w:p>
            <w:pPr>
              <w:pStyle w:val="1005"/>
              <w:ind w:left="57" w:right="57"/>
            </w:pPr>
            <w:r>
              <w:t xml:space="preserve">Значение вводится вручную.</w:t>
            </w:r>
            <w:r/>
          </w:p>
        </w:tc>
      </w:tr>
      <w:tr>
        <w:trPr/>
        <w:tc>
          <w:tcPr>
            <w:shd w:val="clear" w:fill="auto" w:color="auto"/>
            <w:tcW w:w="1137" w:type="pct"/>
            <w:textDirection w:val="lrTb"/>
            <w:noWrap w:val="false"/>
          </w:tcPr>
          <w:p>
            <w:pPr>
              <w:pStyle w:val="1005"/>
              <w:ind w:left="57" w:right="57"/>
            </w:pPr>
            <w:r>
              <w:t xml:space="preserve">ФИО</w:t>
            </w:r>
            <w:r/>
          </w:p>
        </w:tc>
        <w:tc>
          <w:tcPr>
            <w:shd w:val="clear" w:fill="auto" w:color="auto"/>
            <w:tcW w:w="3863" w:type="pct"/>
            <w:textDirection w:val="lrTb"/>
            <w:noWrap w:val="false"/>
          </w:tcPr>
          <w:p>
            <w:pPr>
              <w:pStyle w:val="1005"/>
              <w:ind w:left="57" w:right="57"/>
            </w:pPr>
            <w:r>
              <w:t xml:space="preserve">ФИО руководителя.</w:t>
            </w:r>
            <w:r/>
          </w:p>
          <w:p>
            <w:pPr>
              <w:pStyle w:val="1005"/>
              <w:ind w:left="57" w:right="57"/>
            </w:pPr>
            <w:r>
              <w:t xml:space="preserve">Значение поля заполняется из справочника «Список сотрудников».</w:t>
            </w:r>
            <w:r/>
          </w:p>
          <w:p>
            <w:pPr>
              <w:pStyle w:val="1005"/>
              <w:ind w:left="57" w:right="57"/>
            </w:pPr>
            <w:r>
              <w:t xml:space="preserve">Значение вводится вручную.</w:t>
            </w:r>
            <w:r/>
          </w:p>
        </w:tc>
      </w:tr>
      <w:tr>
        <w:trPr/>
        <w:tc>
          <w:tcPr>
            <w:shd w:val="clear" w:fill="auto" w:color="auto"/>
            <w:tcW w:w="1137" w:type="pct"/>
            <w:textDirection w:val="lrTb"/>
            <w:noWrap w:val="false"/>
          </w:tcPr>
          <w:p>
            <w:pPr>
              <w:pStyle w:val="1005"/>
              <w:ind w:left="57" w:right="57"/>
            </w:pPr>
            <w:r>
              <w:t xml:space="preserve">От</w:t>
            </w:r>
            <w:r/>
          </w:p>
        </w:tc>
        <w:tc>
          <w:tcPr>
            <w:shd w:val="clear" w:fill="auto" w:color="auto"/>
            <w:tcW w:w="3863" w:type="pct"/>
            <w:textDirection w:val="lrTb"/>
            <w:noWrap w:val="false"/>
          </w:tcPr>
          <w:p>
            <w:pPr>
              <w:pStyle w:val="1005"/>
              <w:ind w:left="57" w:right="57"/>
            </w:pPr>
            <w:r>
              <w:t xml:space="preserve">Дата подписи руководителя. </w:t>
            </w:r>
            <w:r/>
          </w:p>
          <w:p>
            <w:pPr>
              <w:pStyle w:val="1005"/>
              <w:ind w:left="57" w:right="57"/>
            </w:pPr>
            <w:r>
              <w:t xml:space="preserve">Вводится вручную или из системного календаря. По умолчанию текущая дата.</w:t>
            </w:r>
            <w:r/>
          </w:p>
        </w:tc>
      </w:tr>
      <w:tr>
        <w:trPr/>
        <w:tc>
          <w:tcPr>
            <w:gridSpan w:val="2"/>
            <w:shd w:val="clear" w:fill="auto" w:color="auto"/>
            <w:tcW w:w="5000" w:type="pct"/>
            <w:textDirection w:val="lrTb"/>
            <w:noWrap w:val="false"/>
          </w:tcPr>
          <w:p>
            <w:pPr>
              <w:pStyle w:val="1005"/>
              <w:ind w:left="57" w:right="57"/>
            </w:pPr>
            <w:r>
              <w:t xml:space="preserve">Г</w:t>
            </w:r>
            <w:r>
              <w:t xml:space="preserve">руппа полей «Подпись исполнителя»</w:t>
            </w:r>
            <w:r/>
          </w:p>
        </w:tc>
      </w:tr>
      <w:tr>
        <w:trPr/>
        <w:tc>
          <w:tcPr>
            <w:shd w:val="clear" w:fill="auto" w:color="auto"/>
            <w:tcW w:w="1137" w:type="pct"/>
            <w:textDirection w:val="lrTb"/>
            <w:noWrap w:val="false"/>
          </w:tcPr>
          <w:p>
            <w:pPr>
              <w:pStyle w:val="1005"/>
              <w:ind w:left="57" w:right="57"/>
            </w:pPr>
            <w:r>
              <w:t xml:space="preserve">Должность</w:t>
            </w:r>
            <w:r/>
          </w:p>
        </w:tc>
        <w:tc>
          <w:tcPr>
            <w:shd w:val="clear" w:fill="auto" w:color="auto"/>
            <w:tcW w:w="3863" w:type="pct"/>
            <w:textDirection w:val="lrTb"/>
            <w:noWrap w:val="false"/>
          </w:tcPr>
          <w:p>
            <w:pPr>
              <w:pStyle w:val="1005"/>
              <w:ind w:left="57" w:right="57"/>
            </w:pPr>
            <w:r>
              <w:t xml:space="preserve">Должность исполнителя.</w:t>
            </w:r>
            <w:r/>
          </w:p>
          <w:p>
            <w:pPr>
              <w:pStyle w:val="1005"/>
              <w:ind w:left="57" w:right="57"/>
            </w:pPr>
            <w:r>
              <w:t xml:space="preserve">Значение поля подтягивается по ФИО из справочника «Список сотрудников».</w:t>
            </w:r>
            <w:r/>
          </w:p>
          <w:p>
            <w:pPr>
              <w:pStyle w:val="1005"/>
              <w:ind w:left="57" w:right="57"/>
            </w:pPr>
            <w:r>
              <w:t xml:space="preserve">Значение поля заполняется из справочника «Список сотрудников».</w:t>
            </w:r>
            <w:r/>
          </w:p>
          <w:p>
            <w:pPr>
              <w:pStyle w:val="1005"/>
              <w:ind w:left="57" w:right="57"/>
            </w:pPr>
            <w:r>
              <w:t xml:space="preserve">Значение вводится вручную.</w:t>
            </w:r>
            <w:r/>
          </w:p>
        </w:tc>
      </w:tr>
      <w:tr>
        <w:trPr/>
        <w:tc>
          <w:tcPr>
            <w:shd w:val="clear" w:fill="auto" w:color="auto"/>
            <w:tcW w:w="1137" w:type="pct"/>
            <w:textDirection w:val="lrTb"/>
            <w:noWrap w:val="false"/>
          </w:tcPr>
          <w:p>
            <w:pPr>
              <w:pStyle w:val="1005"/>
              <w:ind w:left="57" w:right="57"/>
            </w:pPr>
            <w:r>
              <w:t xml:space="preserve">ФИО</w:t>
            </w:r>
            <w:r/>
          </w:p>
        </w:tc>
        <w:tc>
          <w:tcPr>
            <w:shd w:val="clear" w:fill="auto" w:color="auto"/>
            <w:tcW w:w="3863" w:type="pct"/>
            <w:textDirection w:val="lrTb"/>
            <w:noWrap w:val="false"/>
          </w:tcPr>
          <w:p>
            <w:pPr>
              <w:pStyle w:val="1005"/>
              <w:ind w:left="57" w:right="57"/>
            </w:pPr>
            <w:r>
              <w:t xml:space="preserve">ФИО исполнителя.</w:t>
            </w:r>
            <w:r/>
          </w:p>
          <w:p>
            <w:pPr>
              <w:pStyle w:val="1005"/>
              <w:ind w:left="57" w:right="57"/>
            </w:pPr>
            <w:r>
              <w:t xml:space="preserve">Значение поля подтягивается по ФИО пользователя, вошедшего в систему.</w:t>
            </w:r>
            <w:r/>
          </w:p>
          <w:p>
            <w:pPr>
              <w:pStyle w:val="1005"/>
              <w:ind w:left="57" w:right="57"/>
            </w:pPr>
            <w:r>
              <w:t xml:space="preserve">Может быть изменено из справочника «Список сотрудников».</w:t>
            </w:r>
            <w:r/>
          </w:p>
          <w:p>
            <w:pPr>
              <w:pStyle w:val="1005"/>
              <w:ind w:left="57" w:right="57"/>
            </w:pPr>
            <w:r>
              <w:t xml:space="preserve">Значение вводится вручную.</w:t>
            </w:r>
            <w:r/>
          </w:p>
        </w:tc>
      </w:tr>
      <w:tr>
        <w:trPr/>
        <w:tc>
          <w:tcPr>
            <w:shd w:val="clear" w:fill="auto" w:color="auto"/>
            <w:tcW w:w="1137" w:type="pct"/>
            <w:textDirection w:val="lrTb"/>
            <w:noWrap w:val="false"/>
          </w:tcPr>
          <w:p>
            <w:pPr>
              <w:pStyle w:val="1005"/>
              <w:ind w:left="57" w:right="57"/>
            </w:pPr>
            <w:r>
              <w:t xml:space="preserve">Телефон</w:t>
            </w:r>
            <w:r/>
          </w:p>
        </w:tc>
        <w:tc>
          <w:tcPr>
            <w:shd w:val="clear" w:fill="auto" w:color="auto"/>
            <w:tcW w:w="3863" w:type="pct"/>
            <w:textDirection w:val="lrTb"/>
            <w:noWrap w:val="false"/>
          </w:tcPr>
          <w:p>
            <w:pPr>
              <w:pStyle w:val="1005"/>
              <w:ind w:left="57" w:right="57"/>
            </w:pPr>
            <w:r>
              <w:t xml:space="preserve">Номер телефона исполнителя.</w:t>
            </w:r>
            <w:r/>
          </w:p>
          <w:p>
            <w:pPr>
              <w:pStyle w:val="1005"/>
              <w:ind w:left="57" w:right="57"/>
            </w:pPr>
            <w:r>
              <w:t xml:space="preserve">Значение поля подтягивается по ФИО из справочника «Список сотрудников».</w:t>
            </w:r>
            <w:r/>
          </w:p>
          <w:p>
            <w:pPr>
              <w:pStyle w:val="1005"/>
              <w:ind w:left="57" w:right="57"/>
            </w:pPr>
            <w:r>
              <w:t xml:space="preserve">Значение вводится вручную.</w:t>
            </w:r>
            <w:r/>
          </w:p>
        </w:tc>
      </w:tr>
      <w:tr>
        <w:trPr/>
        <w:tc>
          <w:tcPr>
            <w:shd w:val="clear" w:fill="auto" w:color="auto"/>
            <w:tcW w:w="1137" w:type="pct"/>
            <w:textDirection w:val="lrTb"/>
            <w:noWrap w:val="false"/>
          </w:tcPr>
          <w:p>
            <w:pPr>
              <w:pStyle w:val="1005"/>
              <w:ind w:left="57" w:right="57"/>
            </w:pPr>
            <w:r>
              <w:t xml:space="preserve">Бизнес-cтатус</w:t>
            </w:r>
            <w:r/>
          </w:p>
        </w:tc>
        <w:tc>
          <w:tcPr>
            <w:shd w:val="clear" w:fill="auto" w:color="auto"/>
            <w:tcW w:w="3863" w:type="pct"/>
            <w:textDirection w:val="lrTb"/>
            <w:noWrap w:val="false"/>
          </w:tcPr>
          <w:p>
            <w:pPr>
              <w:pStyle w:val="1005"/>
              <w:ind w:left="57" w:right="57"/>
            </w:pPr>
            <w:r>
              <w:t xml:space="preserve">Код и наименование бизнес-статуса документа. </w:t>
            </w:r>
            <w:r/>
          </w:p>
          <w:p>
            <w:pPr>
              <w:pStyle w:val="1005"/>
              <w:ind w:left="57" w:right="57"/>
            </w:pPr>
            <w:r>
              <w:t xml:space="preserve">Закрыто для редактирования.</w:t>
            </w:r>
            <w:r/>
          </w:p>
          <w:p>
            <w:pPr>
              <w:pStyle w:val="1005"/>
              <w:ind w:left="57" w:right="57"/>
            </w:pPr>
            <w:r>
              <w:t xml:space="preserve">Код заполняется автоматически при обработке документа или присылается из OEBS. Наименование поля подтягивается по коду из справочника.</w:t>
            </w:r>
            <w:r/>
          </w:p>
        </w:tc>
      </w:tr>
    </w:tbl>
    <w:p>
      <w:pPr>
        <w:pStyle w:val="994"/>
      </w:pPr>
      <w:r>
        <w:t xml:space="preserve">В табличном блоке вводятся строки с информацией по изменению (добавлению, исключению) записей регионального перечня УБП. Для добавления строки следует нажать на кнопку </w:t>
      </w:r>
      <w:r>
        <mc:AlternateContent>
          <mc:Choice Requires="wpg">
            <w:drawing>
              <wp:inline xmlns:wp="http://schemas.openxmlformats.org/drawingml/2006/wordprocessingDrawing" distT="0" distB="0" distL="0" distR="0">
                <wp:extent cx="274320" cy="274320"/>
                <wp:effectExtent l="0" t="0" r="0" b="0"/>
                <wp:docPr id="40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2" o:spid="_x0000_s402" type="#_x0000_t75" style="mso-wrap-distance-left:0.0pt;mso-wrap-distance-top:0.0pt;mso-wrap-distance-right:0.0pt;mso-wrap-distance-bottom:0.0pt;width:21.6pt;height:21.6pt;" stroked="f">
                <v:path textboxrect="0,0,0,0"/>
                <v:imagedata r:id="rId80" o:title=""/>
              </v:shape>
            </w:pict>
          </mc:Fallback>
        </mc:AlternateContent>
      </w:r>
      <w:r>
        <w:t xml:space="preserve"> (Добавить новую строку). Открое</w:t>
      </w:r>
      <w:r>
        <w:t xml:space="preserve">тся форма «Добавление записи»</w:t>
      </w:r>
      <w:r>
        <w:t xml:space="preserve"> (рис. </w:t>
      </w:r>
      <w:r>
        <w:fldChar w:fldCharType="begin"/>
      </w:r>
      <w:r>
        <w:instrText xml:space="preserve"> REF _Ref233131713 \h  \* MERGEFORMAT </w:instrText>
      </w:r>
      <w:r>
        <w:fldChar w:fldCharType="separate"/>
      </w:r>
      <w:r>
        <w:t xml:space="preserve">275</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743200"/>
                <wp:effectExtent l="0" t="0" r="0" b="0"/>
                <wp:docPr id="40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58"/>
                        <a:stretch/>
                      </pic:blipFill>
                      <pic:spPr bwMode="auto">
                        <a:xfrm>
                          <a:off x="0" y="0"/>
                          <a:ext cx="6126480" cy="27432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3" o:spid="_x0000_s403" type="#_x0000_t75" style="mso-wrap-distance-left:0.0pt;mso-wrap-distance-top:0.0pt;mso-wrap-distance-right:0.0pt;mso-wrap-distance-bottom:0.0pt;width:482.4pt;height:216.0pt;" stroked="f">
                <v:path textboxrect="0,0,0,0"/>
                <v:imagedata r:id="rId358" o:title=""/>
              </v:shape>
            </w:pict>
          </mc:Fallback>
        </mc:AlternateContent>
      </w:r>
      <w:r/>
    </w:p>
    <w:p>
      <w:pPr>
        <w:pStyle w:val="983"/>
      </w:pPr>
      <w:r>
        <w:fldChar w:fldCharType="begin"/>
      </w:r>
      <w:r>
        <w:instrText xml:space="preserve"> SEQ Рисунок \* ARABIC </w:instrText>
      </w:r>
      <w:r>
        <w:fldChar w:fldCharType="separate"/>
      </w:r>
      <w:bookmarkStart w:id="1837" w:name="_Ref233131713"/>
      <w:r/>
      <w:bookmarkStart w:id="1838" w:name="_Toc88819660"/>
      <w:r>
        <w:t xml:space="preserve">275</w:t>
      </w:r>
      <w:bookmarkEnd w:id="1837"/>
      <w:r>
        <w:fldChar w:fldCharType="end"/>
      </w:r>
      <w:r>
        <w:t xml:space="preserve">. </w:t>
      </w:r>
      <w:r>
        <w:t xml:space="preserve">Форма «Добавление записи»</w:t>
      </w:r>
      <w:bookmarkEnd w:id="1838"/>
      <w:r/>
      <w:r/>
    </w:p>
    <w:p>
      <w:pPr>
        <w:pStyle w:val="994"/>
      </w:pPr>
      <w:r>
        <w:t xml:space="preserve">На форме «Добавление записи» заполняются следующие поля:</w:t>
      </w:r>
      <w:r/>
    </w:p>
    <w:p>
      <w:pPr>
        <w:pStyle w:val="985"/>
      </w:pPr>
      <w:r>
        <w:t xml:space="preserve">«№» – номер заменяющей (заменяемой, исключаемой) строки;</w:t>
      </w:r>
      <w:r/>
    </w:p>
    <w:p>
      <w:pPr>
        <w:pStyle w:val="985"/>
      </w:pPr>
      <w:r>
        <w:t xml:space="preserve">«Полное наименование УБП» – полное наименование УБП;</w:t>
      </w:r>
      <w:r/>
    </w:p>
    <w:p>
      <w:pPr>
        <w:pStyle w:val="985"/>
      </w:pPr>
      <w:r>
        <w:t xml:space="preserve">«Сокращенное наименование» – краткое наименование УБП;</w:t>
      </w:r>
      <w:r/>
    </w:p>
    <w:p>
      <w:pPr>
        <w:pStyle w:val="985"/>
      </w:pPr>
      <w:r>
        <w:t xml:space="preserve">«Код главы по БК» – код вышестоящего УБП;</w:t>
      </w:r>
      <w:r/>
    </w:p>
    <w:p>
      <w:pPr>
        <w:pStyle w:val="985"/>
      </w:pPr>
      <w:r>
        <w:t xml:space="preserve">«Полное наименование вышестоящего УБП» – полное наименование вышестоящего УБП, согласно справочнику ведомств;</w:t>
      </w:r>
      <w:r/>
    </w:p>
    <w:p>
      <w:pPr>
        <w:pStyle w:val="985"/>
      </w:pPr>
      <w:r>
        <w:t xml:space="preserve">«Вид изменений» – значение выбирается из выпадающего списка; если выбрано значение «Заменяется строкой №» или «Изменяет строку №», то справа открывается поле для ввода номера соответствующей строки перечня УБП.</w:t>
      </w:r>
      <w:r/>
    </w:p>
    <w:p>
      <w:pPr>
        <w:pStyle w:val="994"/>
      </w:pPr>
      <w:r>
        <w:t xml:space="preserve">Для сохранения заполненной строки следует нажать на </w:t>
      </w:r>
      <w:r>
        <w:t xml:space="preserve">кнопку «Ok»</w:t>
      </w:r>
      <w:r>
        <w:t xml:space="preserve"> – в таблице появится созданная запись. При потоковом вводе строк вместо «ОК» нажимается кнопка «Сохранить и создать».</w:t>
      </w:r>
      <w:r/>
    </w:p>
    <w:p>
      <w:pPr>
        <w:pStyle w:val="994"/>
      </w:pPr>
      <w:r>
        <w:t xml:space="preserve">ЭФ документа «Перечень участников бюджетного процесса</w:t>
      </w:r>
      <w:r>
        <w:t xml:space="preserve">», закладки «</w:t>
      </w:r>
      <w:r>
        <w:t xml:space="preserve">Примечание» представлена на рисунке</w:t>
      </w:r>
      <w:r>
        <w:t xml:space="preserve"> </w:t>
      </w:r>
      <w:r>
        <w:fldChar w:fldCharType="begin"/>
      </w:r>
      <w:r>
        <w:instrText xml:space="preserve"> REF _Ref448754686 \h </w:instrText>
      </w:r>
      <w:r>
        <w:fldChar w:fldCharType="separate"/>
      </w:r>
      <w:r>
        <w:t xml:space="preserve">276</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1645920"/>
                <wp:effectExtent l="0" t="0" r="0" b="0"/>
                <wp:docPr id="40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59"/>
                        <a:stretch/>
                      </pic:blipFill>
                      <pic:spPr bwMode="auto">
                        <a:xfrm>
                          <a:off x="0" y="0"/>
                          <a:ext cx="6134100" cy="16459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4" o:spid="_x0000_s404" type="#_x0000_t75" style="mso-wrap-distance-left:0.0pt;mso-wrap-distance-top:0.0pt;mso-wrap-distance-right:0.0pt;mso-wrap-distance-bottom:0.0pt;width:483.0pt;height:129.6pt;" stroked="f">
                <v:path textboxrect="0,0,0,0"/>
                <v:imagedata r:id="rId359" o:title=""/>
              </v:shape>
            </w:pict>
          </mc:Fallback>
        </mc:AlternateContent>
      </w:r>
      <w:r/>
    </w:p>
    <w:p>
      <w:pPr>
        <w:pStyle w:val="983"/>
      </w:pPr>
      <w:r>
        <w:fldChar w:fldCharType="begin"/>
      </w:r>
      <w:r>
        <w:instrText xml:space="preserve"> SEQ Рисунок \* ARABIC </w:instrText>
      </w:r>
      <w:r>
        <w:fldChar w:fldCharType="separate"/>
      </w:r>
      <w:bookmarkStart w:id="1839" w:name="_Ref448754686"/>
      <w:r/>
      <w:bookmarkStart w:id="1840" w:name="_Toc88819661"/>
      <w:r>
        <w:t xml:space="preserve">276</w:t>
      </w:r>
      <w:bookmarkEnd w:id="1839"/>
      <w:r>
        <w:fldChar w:fldCharType="end"/>
      </w:r>
      <w:r>
        <w:t xml:space="preserve">. ЭФ документа «Перечень участников бюджетного процесса</w:t>
      </w:r>
      <w:r>
        <w:t xml:space="preserve">», закладки «</w:t>
      </w:r>
      <w:r>
        <w:t xml:space="preserve">Примечание»</w:t>
      </w:r>
      <w:bookmarkEnd w:id="1840"/>
      <w:r/>
      <w:r/>
    </w:p>
    <w:p>
      <w:pPr>
        <w:pStyle w:val="994"/>
      </w:pPr>
      <w:r>
        <w:t xml:space="preserve">Перечень полей документа «Перечень участников бюджетного процесса</w:t>
      </w:r>
      <w:r>
        <w:t xml:space="preserve">», закладки «</w:t>
      </w:r>
      <w:r>
        <w:t xml:space="preserve">Примечание» приведен в таблице</w:t>
      </w:r>
      <w:r>
        <w:t xml:space="preserve"> </w:t>
      </w:r>
      <w:r>
        <w:fldChar w:fldCharType="begin"/>
      </w:r>
      <w:r>
        <w:instrText xml:space="preserve"> REF _Ref448757942 \h </w:instrText>
      </w:r>
      <w:r>
        <w:fldChar w:fldCharType="separate"/>
      </w:r>
      <w:r>
        <w:t xml:space="preserve">160</w:t>
      </w:r>
      <w:r>
        <w:fldChar w:fldCharType="end"/>
      </w:r>
      <w:r>
        <w:t xml:space="preserve">.</w:t>
      </w:r>
      <w:r/>
    </w:p>
    <w:p>
      <w:pPr>
        <w:pStyle w:val="993"/>
      </w:pPr>
      <w:r>
        <w:fldChar w:fldCharType="begin"/>
      </w:r>
      <w:r>
        <w:instrText xml:space="preserve"> SEQ Таблица \* ARABIC </w:instrText>
      </w:r>
      <w:r>
        <w:fldChar w:fldCharType="separate"/>
      </w:r>
      <w:bookmarkStart w:id="1841" w:name="_Ref448757942"/>
      <w:r/>
      <w:bookmarkStart w:id="1842" w:name="_Toc88819347"/>
      <w:r>
        <w:t xml:space="preserve">160</w:t>
      </w:r>
      <w:bookmarkEnd w:id="1841"/>
      <w:r>
        <w:fldChar w:fldCharType="end"/>
      </w:r>
      <w:r>
        <w:t xml:space="preserve">. Описание полей документа «Перечень участников бюджетного процесса</w:t>
      </w:r>
      <w:r>
        <w:t xml:space="preserve">», закладки «</w:t>
      </w:r>
      <w:r>
        <w:t xml:space="preserve">Примечание»</w:t>
      </w:r>
      <w:bookmarkEnd w:id="1842"/>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536"/>
        <w:gridCol w:w="6216"/>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813"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187" w:type="pct"/>
            <w:vAlign w:val="center"/>
            <w:textDirection w:val="lrTb"/>
            <w:noWrap w:val="false"/>
          </w:tcPr>
          <w:p>
            <w:pPr>
              <w:pStyle w:val="1006"/>
            </w:pPr>
            <w:r>
              <w:t xml:space="preserve">Описание поля</w:t>
            </w:r>
            <w:r/>
          </w:p>
        </w:tc>
      </w:tr>
      <w:tr>
        <w:trPr/>
        <w:tc>
          <w:tcPr>
            <w:shd w:val="clear" w:fill="auto" w:color="auto"/>
            <w:tcW w:w="1813" w:type="pct"/>
            <w:textDirection w:val="lrTb"/>
            <w:noWrap w:val="false"/>
          </w:tcPr>
          <w:p>
            <w:pPr>
              <w:pStyle w:val="1005"/>
              <w:ind w:left="57" w:right="57"/>
            </w:pPr>
            <w:r>
              <w:t xml:space="preserve">Результат обработки в СЭД</w:t>
            </w:r>
            <w:r/>
          </w:p>
        </w:tc>
        <w:tc>
          <w:tcPr>
            <w:shd w:val="clear" w:fill="auto" w:color="auto"/>
            <w:tcW w:w="3187" w:type="pct"/>
            <w:textDirection w:val="lrTb"/>
            <w:noWrap w:val="false"/>
          </w:tcPr>
          <w:p>
            <w:pPr>
              <w:pStyle w:val="1005"/>
              <w:ind w:left="57" w:right="57"/>
            </w:pPr>
            <w:r>
              <w:t xml:space="preserve">Значение поля заполняется из Квитка поля «Комментарий».</w:t>
            </w:r>
            <w:r/>
          </w:p>
        </w:tc>
      </w:tr>
    </w:tbl>
    <w:p>
      <w:pPr>
        <w:pStyle w:val="971"/>
      </w:pPr>
      <w:r/>
      <w:bookmarkStart w:id="1843" w:name="_Toc88819165"/>
      <w:r>
        <w:t xml:space="preserve">Группа документов «Произвольные»</w:t>
      </w:r>
      <w:bookmarkEnd w:id="1827"/>
      <w:r/>
      <w:bookmarkEnd w:id="1828"/>
      <w:r/>
      <w:bookmarkEnd w:id="1843"/>
      <w:r>
        <w:t xml:space="preserve"> </w:t>
      </w:r>
      <w:bookmarkEnd w:id="1829"/>
      <w:r/>
      <w:bookmarkEnd w:id="1830"/>
      <w:r/>
      <w:bookmarkEnd w:id="1831"/>
      <w:r/>
      <w:r/>
    </w:p>
    <w:p>
      <w:pPr>
        <w:pStyle w:val="972"/>
      </w:pPr>
      <w:r/>
      <w:bookmarkStart w:id="1844" w:name="_Ref299370510"/>
      <w:r/>
      <w:bookmarkStart w:id="1845" w:name="_Toc422496741"/>
      <w:r/>
      <w:bookmarkStart w:id="1846" w:name="_Toc88819166"/>
      <w:r>
        <w:t xml:space="preserve">Информационное сообщение</w:t>
      </w:r>
      <w:bookmarkEnd w:id="1844"/>
      <w:r/>
      <w:bookmarkEnd w:id="1845"/>
      <w:r/>
      <w:bookmarkEnd w:id="1846"/>
      <w:r/>
      <w:r/>
    </w:p>
    <w:p>
      <w:pPr>
        <w:pStyle w:val="994"/>
      </w:pPr>
      <w:r>
        <w:t xml:space="preserve">Документ «Информационное сообщение» предназначен для доставки писем и иных с</w:t>
      </w:r>
      <w:r>
        <w:t xml:space="preserve">о</w:t>
      </w:r>
      <w:r>
        <w:t xml:space="preserve">общений в виде приложенных файлов в АСФК</w:t>
      </w:r>
      <w:r>
        <w:t xml:space="preserve">.</w:t>
      </w:r>
      <w:r/>
    </w:p>
    <w:p>
      <w:pPr>
        <w:pStyle w:val="994"/>
      </w:pPr>
      <w:r>
        <w:t xml:space="preserve">Информационн</w:t>
      </w:r>
      <w:r>
        <w:t xml:space="preserve">о</w:t>
      </w:r>
      <w:r>
        <w:t xml:space="preserve">е сообщени</w:t>
      </w:r>
      <w:r>
        <w:t xml:space="preserve">е формируе</w:t>
      </w:r>
      <w:r>
        <w:t xml:space="preserve">тся в учетной системе </w:t>
      </w:r>
      <w:r>
        <w:t xml:space="preserve">МОУ</w:t>
      </w:r>
      <w:r>
        <w:t xml:space="preserve"> или УФК и дов</w:t>
      </w:r>
      <w:r>
        <w:t xml:space="preserve">о</w:t>
      </w:r>
      <w:r>
        <w:t xml:space="preserve">ди</w:t>
      </w:r>
      <w:r>
        <w:t xml:space="preserve">тся через УФК и ОФК до остальных УБП.</w:t>
      </w:r>
      <w:r/>
    </w:p>
    <w:p>
      <w:pPr>
        <w:pStyle w:val="994"/>
      </w:pPr>
      <w:r>
        <w:t xml:space="preserve">Документ доставляется из </w:t>
      </w:r>
      <w:r>
        <w:t xml:space="preserve">OEBS</w:t>
      </w:r>
      <w:r>
        <w:t xml:space="preserve"> в СУФД со статусом «003» (Зарегистрировано) или «004» (Проведено). Статус в дальнейшем не меняется.</w:t>
      </w:r>
      <w:r/>
    </w:p>
    <w:p>
      <w:pPr>
        <w:pStyle w:val="994"/>
      </w:pPr>
      <w:r>
        <w:t xml:space="preserve">В</w:t>
      </w:r>
      <w:r>
        <w:t xml:space="preserve"> качестве вложения к документу «Информационное сообщение» до АРМ ТОАП, НУБП</w:t>
      </w:r>
      <w:r>
        <w:t xml:space="preserve">, ПБС и ФО</w:t>
      </w:r>
      <w:r>
        <w:t xml:space="preserve"> доставляется xml-файл в формате – «Платежное поручение на общую сумму с реестром»</w:t>
      </w:r>
      <w:r>
        <w:t xml:space="preserve">.</w:t>
      </w:r>
      <w:r>
        <w:t xml:space="preserve"> </w:t>
      </w:r>
      <w:r>
        <w:t xml:space="preserve">В</w:t>
      </w:r>
      <w:r>
        <w:t xml:space="preserve"> этом случае документ отображается в навигаторе как «Платежное п</w:t>
      </w:r>
      <w:r>
        <w:t xml:space="preserve">о</w:t>
      </w:r>
      <w:r>
        <w:t xml:space="preserve">ручение на общую сумму с реестром»</w:t>
      </w:r>
      <w:r>
        <w:t xml:space="preserve">. </w:t>
      </w:r>
      <w:r>
        <w:t xml:space="preserve">Если вложение в документ, само платежное поруч</w:t>
      </w:r>
      <w:r>
        <w:t xml:space="preserve">е</w:t>
      </w:r>
      <w:r>
        <w:t xml:space="preserve">ние на общую сумму с реестром, было при приёме из ППО АСФК (</w:t>
      </w:r>
      <w:r>
        <w:rPr>
          <w:lang w:val="en-US"/>
        </w:rPr>
        <w:t xml:space="preserve">OE</w:t>
      </w:r>
      <w:r>
        <w:rPr>
          <w:lang w:val="en-US"/>
        </w:rPr>
        <w:t xml:space="preserve">BS</w:t>
      </w:r>
      <w:r>
        <w:t xml:space="preserve">) привязано к в</w:t>
      </w:r>
      <w:r>
        <w:t xml:space="preserve">ы</w:t>
      </w:r>
      <w:r>
        <w:t xml:space="preserve">писке из л/с и выписка уже была в</w:t>
      </w:r>
      <w:r>
        <w:t xml:space="preserve">ы</w:t>
      </w:r>
      <w:r>
        <w:t xml:space="preserve">гружена с вложениями, то статус экспорта у связанного документа </w:t>
      </w:r>
      <w:r>
        <w:t xml:space="preserve">будет автоматически изменен на «Экспортирован»</w:t>
      </w:r>
      <w:r>
        <w:t xml:space="preserve"> и его экспорт не будет треб</w:t>
      </w:r>
      <w:r>
        <w:t xml:space="preserve">о</w:t>
      </w:r>
      <w:r>
        <w:t xml:space="preserve">ваться.</w:t>
      </w:r>
      <w:r/>
    </w:p>
    <w:p>
      <w:pPr>
        <w:pStyle w:val="994"/>
      </w:pPr>
      <w:r>
        <w:t xml:space="preserve">В качестве вложения к документу «Информационное сообщение» до АРМ ФО доста</w:t>
      </w:r>
      <w:r>
        <w:t xml:space="preserve">в</w:t>
      </w:r>
      <w:r>
        <w:t xml:space="preserve">ляется архив, содержащий 2 xml-файла: банковскую выписку и п/п в формате УФЭБС – «Выписка ФО по отдельному банковскому счету»</w:t>
      </w:r>
      <w:r>
        <w:t xml:space="preserve">.</w:t>
      </w:r>
      <w:r>
        <w:t xml:space="preserve"> </w:t>
      </w:r>
      <w:r>
        <w:t xml:space="preserve">В</w:t>
      </w:r>
      <w:r>
        <w:t xml:space="preserve"> этом случае документ отображается в навигаторе как «Выписка ФО по отдельному банковскому счету»</w:t>
      </w:r>
      <w:r>
        <w:t xml:space="preserve">.</w:t>
      </w:r>
      <w:r/>
    </w:p>
    <w:p>
      <w:pPr>
        <w:pStyle w:val="994"/>
      </w:pPr>
      <w:r>
        <w:t xml:space="preserve">Также на АРМ ФО документы «Информационное сообщение» используются для до</w:t>
      </w:r>
      <w:r>
        <w:t xml:space="preserve">с</w:t>
      </w:r>
      <w:r>
        <w:t xml:space="preserve">тавки отчетов ФО в ЦАФК.</w:t>
      </w:r>
      <w:r/>
    </w:p>
    <w:p>
      <w:pPr>
        <w:pStyle w:val="994"/>
      </w:pPr>
      <w:r>
        <w:t xml:space="preserve">Для работы с </w:t>
      </w:r>
      <w:r>
        <w:t xml:space="preserve">входящими </w:t>
      </w:r>
      <w:r>
        <w:t xml:space="preserve">документами «Информационное сообщение» следует перейти в пункт меню «Документы</w:t>
      </w:r>
      <w:r>
        <w:t xml:space="preserve"> – </w:t>
      </w:r>
      <w:r>
        <w:t xml:space="preserve">Произвольные</w:t>
      </w:r>
      <w:r>
        <w:t xml:space="preserve"> – </w:t>
      </w:r>
      <w:r>
        <w:t xml:space="preserve">Информационные сообщения</w:t>
      </w:r>
      <w:r>
        <w:t xml:space="preserve"> – </w:t>
      </w:r>
      <w:r>
        <w:t xml:space="preserve">Информационное сообщение</w:t>
      </w:r>
      <w:r>
        <w:t xml:space="preserve"> (входящие)</w:t>
      </w:r>
      <w:r>
        <w:t xml:space="preserve">». Откроется ЭФ списка документов, представленная на рисунке</w:t>
      </w:r>
      <w:r>
        <w:t xml:space="preserve"> </w:t>
      </w:r>
      <w:r>
        <w:fldChar w:fldCharType="begin"/>
      </w:r>
      <w:r>
        <w:instrText xml:space="preserve"> REF _Ref245812088 \h </w:instrText>
      </w:r>
      <w:r>
        <w:instrText xml:space="preserve"> \* MERGEFORMAT </w:instrText>
      </w:r>
      <w:r>
        <w:fldChar w:fldCharType="separate"/>
      </w:r>
      <w:r>
        <w:t xml:space="preserve">277</w:t>
      </w:r>
      <w:r>
        <w:fldChar w:fldCharType="end"/>
      </w:r>
      <w:r>
        <w:t xml:space="preserve">.</w:t>
      </w:r>
      <w:r/>
    </w:p>
    <w:p>
      <w:pPr>
        <w:pStyle w:val="994"/>
      </w:pPr>
      <w:r>
        <w:t xml:space="preserve">Для работы с </w:t>
      </w:r>
      <w:r>
        <w:t xml:space="preserve">исходящими </w:t>
      </w:r>
      <w:r>
        <w:t xml:space="preserve">документами «Информационное сообщение» следует перейти в пункт меню «Документы</w:t>
      </w:r>
      <w:r>
        <w:t xml:space="preserve"> – </w:t>
      </w:r>
      <w:r>
        <w:t xml:space="preserve">Произвольные</w:t>
      </w:r>
      <w:r>
        <w:t xml:space="preserve"> – </w:t>
      </w:r>
      <w:r>
        <w:t xml:space="preserve">Информационные сообщения</w:t>
      </w:r>
      <w:r>
        <w:t xml:space="preserve"> – </w:t>
      </w:r>
      <w:r>
        <w:t xml:space="preserve">Информационное сообщение</w:t>
      </w:r>
      <w:r>
        <w:t xml:space="preserve"> (исходящие)</w:t>
      </w:r>
      <w:r>
        <w:t xml:space="preserve">».</w:t>
      </w:r>
      <w:r>
        <w:t xml:space="preserve"> </w:t>
      </w:r>
      <w:r/>
    </w:p>
    <w:p>
      <w:pPr>
        <w:pStyle w:val="982"/>
      </w:pPr>
      <w:r>
        <mc:AlternateContent>
          <mc:Choice Requires="wpg">
            <w:drawing>
              <wp:inline xmlns:wp="http://schemas.openxmlformats.org/drawingml/2006/wordprocessingDrawing" distT="0" distB="0" distL="0" distR="0">
                <wp:extent cx="6035040" cy="3749040"/>
                <wp:effectExtent l="0" t="0" r="0" b="0"/>
                <wp:docPr id="40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60"/>
                        <a:stretch/>
                      </pic:blipFill>
                      <pic:spPr bwMode="auto">
                        <a:xfrm>
                          <a:off x="0" y="0"/>
                          <a:ext cx="6035039" cy="37490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5" o:spid="_x0000_s405" type="#_x0000_t75" style="mso-wrap-distance-left:0.0pt;mso-wrap-distance-top:0.0pt;mso-wrap-distance-right:0.0pt;mso-wrap-distance-bottom:0.0pt;width:475.2pt;height:295.2pt;" stroked="f">
                <v:path textboxrect="0,0,0,0"/>
                <v:imagedata r:id="rId360" o:title=""/>
              </v:shape>
            </w:pict>
          </mc:Fallback>
        </mc:AlternateContent>
      </w:r>
      <w:r/>
    </w:p>
    <w:p>
      <w:pPr>
        <w:pStyle w:val="983"/>
      </w:pPr>
      <w:r>
        <w:fldChar w:fldCharType="begin"/>
      </w:r>
      <w:r>
        <w:instrText xml:space="preserve"> SEQ Рисунок \* ARABIC </w:instrText>
      </w:r>
      <w:r>
        <w:fldChar w:fldCharType="separate"/>
      </w:r>
      <w:bookmarkStart w:id="1847" w:name="_Ref245812088"/>
      <w:r/>
      <w:bookmarkStart w:id="1848" w:name="_Toc88819662"/>
      <w:r>
        <w:t xml:space="preserve">277</w:t>
      </w:r>
      <w:bookmarkEnd w:id="1847"/>
      <w:r>
        <w:fldChar w:fldCharType="end"/>
      </w:r>
      <w:r>
        <w:t xml:space="preserve">. ЭФ списка документов </w:t>
      </w:r>
      <w:r>
        <w:t xml:space="preserve">«</w:t>
      </w:r>
      <w:r>
        <w:t xml:space="preserve">Информационное сообщение</w:t>
      </w:r>
      <w:r>
        <w:t xml:space="preserve"> (входящие)»</w:t>
      </w:r>
      <w:bookmarkEnd w:id="1848"/>
      <w:r/>
      <w:r/>
    </w:p>
    <w:p>
      <w:pPr>
        <w:pStyle w:val="994"/>
      </w:pPr>
      <w:r>
        <w:t xml:space="preserve">Для работы с документами «Информационное сообщение» с вложениями «Платежное поручение на общую сумму с реестром» следует перейти в пункт меню «Документы – Произвольные – Информационные сообщения – Платежное поручение на общую сумму с реестром». </w:t>
      </w:r>
      <w:r/>
    </w:p>
    <w:p>
      <w:pPr>
        <w:pStyle w:val="994"/>
      </w:pPr>
      <w:r>
        <w:t xml:space="preserve">Для работы с документами «Информационное сообщение» с вложениями «Выписка ФО по отдельному банковскому счету» следует перейти в пункт меню «Документы – Произвольные – Информационные сообщения – Выписка ФО по отдельному банковскому счету».</w:t>
      </w:r>
      <w:r/>
    </w:p>
    <w:p>
      <w:pPr>
        <w:pStyle w:val="973"/>
      </w:pPr>
      <w:r>
        <w:t xml:space="preserve">Доступные операции</w:t>
      </w:r>
      <w:r/>
    </w:p>
    <w:p>
      <w:pPr>
        <w:pStyle w:val="994"/>
      </w:pPr>
      <w:r>
        <w:t xml:space="preserve">На АРМ ФО доступны следующие операции над документом:</w:t>
      </w:r>
      <w:r/>
    </w:p>
    <w:p>
      <w:pPr>
        <w:pStyle w:val="985"/>
      </w:pPr>
      <w:r>
        <w:t xml:space="preserve">Для входящих документов:</w:t>
      </w:r>
      <w:r/>
    </w:p>
    <w:p>
      <w:pPr>
        <w:pStyle w:val="986"/>
      </w:pPr>
      <w:r>
        <w:t xml:space="preserve">просмотр;</w:t>
      </w:r>
      <w:r/>
    </w:p>
    <w:p>
      <w:pPr>
        <w:pStyle w:val="986"/>
      </w:pPr>
      <w:r>
        <w:t xml:space="preserve">проверка </w:t>
      </w:r>
      <w:r>
        <w:t xml:space="preserve">ЭП</w:t>
      </w:r>
      <w:r>
        <w:t xml:space="preserve">;</w:t>
      </w:r>
      <w:r/>
    </w:p>
    <w:p>
      <w:pPr>
        <w:pStyle w:val="986"/>
      </w:pPr>
      <w:r>
        <w:t xml:space="preserve">печать</w:t>
      </w:r>
      <w:r>
        <w:t xml:space="preserve">;</w:t>
      </w:r>
      <w:r/>
    </w:p>
    <w:p>
      <w:pPr>
        <w:pStyle w:val="986"/>
      </w:pPr>
      <w:r>
        <w:t xml:space="preserve">экспорт;</w:t>
      </w:r>
      <w:r/>
    </w:p>
    <w:p>
      <w:pPr>
        <w:pStyle w:val="986"/>
      </w:pPr>
      <w:r>
        <w:t xml:space="preserve">отказ и отмена регистрации;</w:t>
      </w:r>
      <w:r/>
    </w:p>
    <w:p>
      <w:pPr>
        <w:pStyle w:val="986"/>
      </w:pPr>
      <w:r>
        <w:t xml:space="preserve">исполнение</w:t>
      </w:r>
      <w:r>
        <w:t xml:space="preserve">.</w:t>
      </w:r>
      <w:r/>
    </w:p>
    <w:p>
      <w:pPr>
        <w:pStyle w:val="985"/>
      </w:pPr>
      <w:r>
        <w:t xml:space="preserve">Для исходящих документов:</w:t>
      </w:r>
      <w:r/>
    </w:p>
    <w:p>
      <w:pPr>
        <w:pStyle w:val="986"/>
      </w:pPr>
      <w:r>
        <w:t xml:space="preserve">ввод вручную;</w:t>
      </w:r>
      <w:r/>
    </w:p>
    <w:p>
      <w:pPr>
        <w:pStyle w:val="986"/>
      </w:pPr>
      <w:r>
        <w:t xml:space="preserve">документарный контроль;</w:t>
      </w:r>
      <w:r/>
    </w:p>
    <w:p>
      <w:pPr>
        <w:pStyle w:val="986"/>
      </w:pPr>
      <w:r>
        <w:t xml:space="preserve">просмотр и редактирование;</w:t>
      </w:r>
      <w:r/>
    </w:p>
    <w:p>
      <w:pPr>
        <w:pStyle w:val="986"/>
      </w:pPr>
      <w:r>
        <w:t xml:space="preserve">копирование;</w:t>
      </w:r>
      <w:r/>
    </w:p>
    <w:p>
      <w:pPr>
        <w:pStyle w:val="986"/>
      </w:pPr>
      <w:r>
        <w:t xml:space="preserve">отмена и удаление документа;</w:t>
      </w:r>
      <w:r/>
    </w:p>
    <w:p>
      <w:pPr>
        <w:pStyle w:val="986"/>
      </w:pPr>
      <w:r>
        <w:t xml:space="preserve">подписание</w:t>
      </w:r>
      <w:r>
        <w:t xml:space="preserve">, проверка и удаление</w:t>
      </w:r>
      <w:r>
        <w:t xml:space="preserve"> </w:t>
      </w:r>
      <w:r>
        <w:t xml:space="preserve">ЭП</w:t>
      </w:r>
      <w:r>
        <w:t xml:space="preserve">;</w:t>
      </w:r>
      <w:r/>
    </w:p>
    <w:p>
      <w:pPr>
        <w:pStyle w:val="986"/>
      </w:pPr>
      <w:r>
        <w:t xml:space="preserve">печать;</w:t>
      </w:r>
      <w:r/>
    </w:p>
    <w:p>
      <w:pPr>
        <w:pStyle w:val="986"/>
      </w:pPr>
      <w:r>
        <w:t xml:space="preserve">импорт;</w:t>
      </w:r>
      <w:r/>
    </w:p>
    <w:p>
      <w:pPr>
        <w:pStyle w:val="986"/>
      </w:pPr>
      <w:r>
        <w:t xml:space="preserve">отправка в УФК</w:t>
      </w:r>
      <w:r>
        <w:t xml:space="preserve">, ЦАФК;</w:t>
      </w:r>
      <w:r/>
    </w:p>
    <w:p>
      <w:pPr>
        <w:pStyle w:val="986"/>
      </w:pPr>
      <w:r>
        <w:t xml:space="preserve">аннулирование.</w:t>
      </w:r>
      <w:r/>
    </w:p>
    <w:p>
      <w:pPr>
        <w:pStyle w:val="996"/>
      </w:pPr>
      <w:r>
        <w:rPr>
          <w:rStyle w:val="1001"/>
        </w:rPr>
        <w:t xml:space="preserve">Примечание.</w:t>
      </w:r>
      <w:r>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w:t>
      </w:r>
      <w:r>
        <w:t xml:space="preserve">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r/>
    </w:p>
    <w:p>
      <w:pPr>
        <w:pStyle w:val="985"/>
      </w:pPr>
      <w:r>
        <w:t xml:space="preserve">Для входящих документов, с вложением «Платежное поручение на общую сумму с реестром»:</w:t>
      </w:r>
      <w:r/>
    </w:p>
    <w:p>
      <w:pPr>
        <w:pStyle w:val="986"/>
      </w:pPr>
      <w:r>
        <w:t xml:space="preserve">просмотр;</w:t>
      </w:r>
      <w:r/>
    </w:p>
    <w:p>
      <w:pPr>
        <w:pStyle w:val="986"/>
      </w:pPr>
      <w:r>
        <w:t xml:space="preserve">экспорт.</w:t>
      </w:r>
      <w:r/>
    </w:p>
    <w:p>
      <w:pPr>
        <w:pStyle w:val="985"/>
      </w:pPr>
      <w:r>
        <w:t xml:space="preserve">Для входящих документов, с вложением «</w:t>
      </w:r>
      <w:r>
        <w:t xml:space="preserve">Выписка ФО по отдельному банковскому счету</w:t>
      </w:r>
      <w:r>
        <w:t xml:space="preserve">»:</w:t>
      </w:r>
      <w:r/>
    </w:p>
    <w:p>
      <w:pPr>
        <w:pStyle w:val="986"/>
      </w:pPr>
      <w:r>
        <w:t xml:space="preserve">просмотр;</w:t>
      </w:r>
      <w:r/>
    </w:p>
    <w:p>
      <w:pPr>
        <w:pStyle w:val="986"/>
      </w:pPr>
      <w:r>
        <w:t xml:space="preserve">проверка </w:t>
      </w:r>
      <w:r>
        <w:t xml:space="preserve">ЭП</w:t>
      </w:r>
      <w:r>
        <w:t xml:space="preserve">;</w:t>
      </w:r>
      <w:r/>
    </w:p>
    <w:p>
      <w:pPr>
        <w:pStyle w:val="986"/>
      </w:pPr>
      <w:r>
        <w:t xml:space="preserve">экспорт.</w:t>
      </w:r>
      <w:r/>
    </w:p>
    <w:p>
      <w:pPr>
        <w:pStyle w:val="973"/>
      </w:pPr>
      <w:r>
        <w:t xml:space="preserve">Экранная форма документа</w:t>
      </w:r>
      <w:r/>
    </w:p>
    <w:p>
      <w:pPr>
        <w:pStyle w:val="994"/>
      </w:pPr>
      <w:r/>
      <w:bookmarkStart w:id="1849" w:name="_Ref331757744"/>
      <w:r/>
      <w:bookmarkStart w:id="1850" w:name="_Ref449107182"/>
      <w:r>
        <w:t xml:space="preserve">ЭФ документа «Информационное сообщение» представлена на рисунке </w:t>
      </w:r>
      <w:r>
        <w:fldChar w:fldCharType="begin"/>
      </w:r>
      <w:r>
        <w:instrText xml:space="preserve"> REF _Ref246222684 \h  \* MERGEFORMAT </w:instrText>
      </w:r>
      <w:r>
        <w:fldChar w:fldCharType="separate"/>
      </w:r>
      <w:r>
        <w:t xml:space="preserve">278</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6591300"/>
                <wp:effectExtent l="0" t="0" r="0" b="0"/>
                <wp:docPr id="40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61"/>
                        <a:stretch/>
                      </pic:blipFill>
                      <pic:spPr bwMode="auto">
                        <a:xfrm>
                          <a:off x="0" y="0"/>
                          <a:ext cx="6134100" cy="65913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6" o:spid="_x0000_s406" type="#_x0000_t75" style="mso-wrap-distance-left:0.0pt;mso-wrap-distance-top:0.0pt;mso-wrap-distance-right:0.0pt;mso-wrap-distance-bottom:0.0pt;width:483.0pt;height:519.0pt;" stroked="f">
                <v:path textboxrect="0,0,0,0"/>
                <v:imagedata r:id="rId361" o:title=""/>
              </v:shape>
            </w:pict>
          </mc:Fallback>
        </mc:AlternateContent>
      </w:r>
      <w:r/>
    </w:p>
    <w:p>
      <w:pPr>
        <w:pStyle w:val="983"/>
      </w:pPr>
      <w:r>
        <w:fldChar w:fldCharType="begin"/>
      </w:r>
      <w:r>
        <w:instrText xml:space="preserve"> SEQ Рисунок \* ARABIC </w:instrText>
      </w:r>
      <w:r>
        <w:fldChar w:fldCharType="separate"/>
      </w:r>
      <w:bookmarkStart w:id="1851" w:name="_Ref246222684"/>
      <w:r/>
      <w:bookmarkStart w:id="1852" w:name="_Toc88819663"/>
      <w:r>
        <w:t xml:space="preserve">278</w:t>
      </w:r>
      <w:bookmarkEnd w:id="1851"/>
      <w:r>
        <w:fldChar w:fldCharType="end"/>
      </w:r>
      <w:r>
        <w:t xml:space="preserve">. ЭФ документа «Информационное сообщение»</w:t>
      </w:r>
      <w:bookmarkEnd w:id="1852"/>
      <w:r/>
      <w:r/>
    </w:p>
    <w:p>
      <w:pPr>
        <w:pStyle w:val="994"/>
      </w:pPr>
      <w:r>
        <w:t xml:space="preserve">Для ручного ввода документа следует на ЭФ </w:t>
      </w:r>
      <w:r>
        <w:t xml:space="preserve">документа </w:t>
      </w:r>
      <w:r>
        <w:t xml:space="preserve">заполнить поля, доступные для редактирования. </w:t>
      </w:r>
      <w:r/>
    </w:p>
    <w:p>
      <w:pPr>
        <w:pStyle w:val="994"/>
      </w:pPr>
      <w:r>
        <w:t xml:space="preserve">Перечень полей </w:t>
      </w:r>
      <w:r>
        <w:t xml:space="preserve">документа «Информационное сообщение»</w:t>
      </w:r>
      <w:r>
        <w:t xml:space="preserve"> </w:t>
      </w:r>
      <w:r>
        <w:t xml:space="preserve">приведен в таблице</w:t>
      </w:r>
      <w:r>
        <w:t xml:space="preserve"> </w:t>
      </w:r>
      <w:r>
        <w:fldChar w:fldCharType="begin"/>
      </w:r>
      <w:r>
        <w:instrText xml:space="preserve"> REF _Ref318388267 \h  \* MERGEFORMAT </w:instrText>
      </w:r>
      <w:r>
        <w:fldChar w:fldCharType="separate"/>
      </w:r>
      <w:r>
        <w:t xml:space="preserve">161</w:t>
      </w:r>
      <w:r>
        <w:fldChar w:fldCharType="end"/>
      </w:r>
      <w:r>
        <w:t xml:space="preserve">.</w:t>
      </w:r>
      <w:r/>
    </w:p>
    <w:p>
      <w:pPr>
        <w:pStyle w:val="993"/>
      </w:pPr>
      <w:r>
        <w:fldChar w:fldCharType="begin"/>
      </w:r>
      <w:r>
        <w:instrText xml:space="preserve"> SEQ Таблица \* ARABIC </w:instrText>
      </w:r>
      <w:r>
        <w:fldChar w:fldCharType="separate"/>
      </w:r>
      <w:bookmarkStart w:id="1853" w:name="_Ref318388267"/>
      <w:r/>
      <w:bookmarkStart w:id="1854" w:name="_Ref317684262"/>
      <w:r/>
      <w:bookmarkStart w:id="1855" w:name="_Ref246222677"/>
      <w:r/>
      <w:bookmarkStart w:id="1856" w:name="_Toc88819348"/>
      <w:r>
        <w:t xml:space="preserve">161</w:t>
      </w:r>
      <w:bookmarkEnd w:id="1853"/>
      <w:r/>
      <w:bookmarkEnd w:id="1854"/>
      <w:r/>
      <w:bookmarkEnd w:id="1855"/>
      <w:r>
        <w:fldChar w:fldCharType="end"/>
      </w:r>
      <w:r>
        <w:t xml:space="preserve">. Описание полей документа «Информационное сообщение»</w:t>
      </w:r>
      <w:bookmarkEnd w:id="1856"/>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80"/>
        <w:gridCol w:w="7472"/>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169"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31"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«Получатель»</w:t>
            </w:r>
            <w:r/>
          </w:p>
        </w:tc>
      </w:tr>
      <w:tr>
        <w:trPr/>
        <w:tc>
          <w:tcPr>
            <w:shd w:val="clear" w:fill="auto" w:color="auto"/>
            <w:tcW w:w="1169" w:type="pct"/>
            <w:textDirection w:val="lrTb"/>
            <w:noWrap w:val="false"/>
          </w:tcPr>
          <w:p>
            <w:pPr>
              <w:pStyle w:val="1005"/>
              <w:ind w:left="57" w:right="57"/>
            </w:pPr>
            <w:r>
              <w:t xml:space="preserve">6</w:t>
            </w:r>
            <w:r>
              <w:t xml:space="preserve"> текстовых полей; </w:t>
            </w:r>
            <w:r/>
          </w:p>
          <w:p>
            <w:pPr>
              <w:pStyle w:val="1005"/>
              <w:ind w:left="57" w:right="57"/>
            </w:pPr>
            <w:r>
              <w:t xml:space="preserve">3</w:t>
            </w:r>
            <w:r>
              <w:t xml:space="preserve"> выпадающих списка</w:t>
            </w:r>
            <w:r/>
          </w:p>
        </w:tc>
        <w:tc>
          <w:tcPr>
            <w:shd w:val="clear" w:fill="auto" w:color="auto"/>
            <w:tcW w:w="3831" w:type="pct"/>
            <w:textDirection w:val="lrTb"/>
            <w:noWrap w:val="false"/>
          </w:tcPr>
          <w:p>
            <w:pPr>
              <w:pStyle w:val="1005"/>
              <w:ind w:left="57" w:right="57"/>
            </w:pPr>
            <w:r>
              <w:t xml:space="preserve">Поля для ввода адреса получателя документа. </w:t>
            </w:r>
            <w:r/>
          </w:p>
          <w:p>
            <w:pPr>
              <w:pStyle w:val="1005"/>
              <w:ind w:left="57" w:right="57"/>
            </w:pPr>
            <w:r>
              <w:t xml:space="preserve">Запо</w:t>
            </w:r>
            <w:r>
              <w:t xml:space="preserve">лняются при необходимости.</w:t>
            </w:r>
            <w:r/>
          </w:p>
        </w:tc>
      </w:tr>
      <w:tr>
        <w:trPr/>
        <w:tc>
          <w:tcPr>
            <w:shd w:val="clear" w:fill="auto" w:color="auto"/>
            <w:tcW w:w="1169" w:type="pct"/>
            <w:textDirection w:val="lrTb"/>
            <w:noWrap w:val="false"/>
          </w:tcPr>
          <w:p>
            <w:pPr>
              <w:pStyle w:val="1005"/>
              <w:ind w:left="57" w:right="57"/>
            </w:pPr>
            <w:r>
              <w:t xml:space="preserve">Бюджет</w:t>
            </w:r>
            <w:r/>
          </w:p>
        </w:tc>
        <w:tc>
          <w:tcPr>
            <w:shd w:val="clear" w:fill="auto" w:color="auto"/>
            <w:tcW w:w="3831" w:type="pct"/>
            <w:textDirection w:val="lrTb"/>
            <w:noWrap w:val="false"/>
          </w:tcPr>
          <w:p>
            <w:pPr>
              <w:pStyle w:val="1005"/>
              <w:ind w:left="57" w:right="57"/>
            </w:pPr>
            <w:r>
              <w:t xml:space="preserve">Заполня</w:t>
            </w:r>
            <w:r>
              <w:t xml:space="preserve">ется</w:t>
            </w:r>
            <w:r>
              <w:t xml:space="preserve"> на основании данных из справочника «Сводный реестр», «Уполномоченные подразделения» и «Прочие организации», в зависимости от в</w:t>
            </w:r>
            <w:r>
              <w:t xml:space="preserve">ы</w:t>
            </w:r>
            <w:r>
              <w:t xml:space="preserve">бранной роли и выбранного наименования получателя.</w:t>
            </w:r>
            <w:r/>
          </w:p>
        </w:tc>
      </w:tr>
      <w:tr>
        <w:trPr/>
        <w:tc>
          <w:tcPr>
            <w:shd w:val="clear" w:fill="auto" w:color="auto"/>
            <w:tcW w:w="1169" w:type="pct"/>
            <w:textDirection w:val="lrTb"/>
            <w:noWrap w:val="false"/>
          </w:tcPr>
          <w:p>
            <w:pPr>
              <w:pStyle w:val="1005"/>
              <w:ind w:left="57" w:right="57"/>
            </w:pPr>
            <w:r>
              <w:t xml:space="preserve">Глава по БК</w:t>
            </w:r>
            <w:r/>
          </w:p>
        </w:tc>
        <w:tc>
          <w:tcPr>
            <w:shd w:val="clear" w:fill="auto" w:color="auto"/>
            <w:tcW w:w="3831" w:type="pct"/>
            <w:textDirection w:val="lrTb"/>
            <w:noWrap w:val="false"/>
          </w:tcPr>
          <w:p>
            <w:pPr>
              <w:pStyle w:val="1005"/>
              <w:ind w:left="57" w:right="57"/>
            </w:pPr>
            <w:r>
              <w:t xml:space="preserve">Для организаций, отличных от УП, заполня</w:t>
            </w:r>
            <w:r>
              <w:t xml:space="preserve">ется</w:t>
            </w:r>
            <w:r>
              <w:t xml:space="preserve"> на основании данных из справочника «Сводный реестр» и «Прочие организации», в зависимости от в</w:t>
            </w:r>
            <w:r>
              <w:t xml:space="preserve">ы</w:t>
            </w:r>
            <w:r>
              <w:t xml:space="preserve">бранной роли и выбранного наименования получателя.</w:t>
            </w:r>
            <w:r/>
          </w:p>
        </w:tc>
      </w:tr>
      <w:tr>
        <w:trPr/>
        <w:tc>
          <w:tcPr>
            <w:shd w:val="clear" w:fill="auto" w:color="auto"/>
            <w:tcW w:w="1169" w:type="pct"/>
            <w:textDirection w:val="lrTb"/>
            <w:noWrap w:val="false"/>
          </w:tcPr>
          <w:p>
            <w:pPr>
              <w:pStyle w:val="1005"/>
              <w:ind w:left="57" w:right="57"/>
            </w:pPr>
            <w:r>
              <w:t xml:space="preserve">Код УБП</w:t>
            </w:r>
            <w:r/>
          </w:p>
        </w:tc>
        <w:tc>
          <w:tcPr>
            <w:shd w:val="clear" w:fill="auto" w:color="auto"/>
            <w:tcW w:w="3831" w:type="pct"/>
            <w:textDirection w:val="lrTb"/>
            <w:noWrap w:val="false"/>
          </w:tcPr>
          <w:p>
            <w:pPr>
              <w:pStyle w:val="1005"/>
              <w:ind w:left="57" w:right="57"/>
            </w:pPr>
            <w:r>
              <w:t xml:space="preserve">Заполняется автоматически при заполнении кода роли организации-получателя и наименования получателя учетным номером клиента из спр</w:t>
            </w:r>
            <w:r>
              <w:t xml:space="preserve">а</w:t>
            </w:r>
            <w:r>
              <w:t xml:space="preserve">вочника «Сводный реестр» (для ролей, отличных от PR и UP), «Уполном</w:t>
            </w:r>
            <w:r>
              <w:t xml:space="preserve">о</w:t>
            </w:r>
            <w:r>
              <w:t xml:space="preserve">ченные подразделения» (для роли UP) и «Прочие организации» (для роли PR)</w:t>
            </w:r>
            <w:r>
              <w:t xml:space="preserve">.</w:t>
            </w:r>
            <w:r/>
          </w:p>
        </w:tc>
      </w:tr>
      <w:tr>
        <w:trPr/>
        <w:tc>
          <w:tcPr>
            <w:shd w:val="clear" w:fill="auto" w:color="auto"/>
            <w:tcW w:w="1169" w:type="pct"/>
            <w:textDirection w:val="lrTb"/>
            <w:noWrap w:val="false"/>
          </w:tcPr>
          <w:p>
            <w:pPr>
              <w:pStyle w:val="1005"/>
              <w:ind w:left="57" w:right="57"/>
            </w:pPr>
            <w:r>
              <w:t xml:space="preserve">Контур</w:t>
            </w:r>
            <w:r/>
          </w:p>
        </w:tc>
        <w:tc>
          <w:tcPr>
            <w:shd w:val="clear" w:fill="auto" w:color="auto"/>
            <w:tcW w:w="3831" w:type="pct"/>
            <w:textDirection w:val="lrTb"/>
            <w:noWrap w:val="false"/>
          </w:tcPr>
          <w:p>
            <w:pPr>
              <w:pStyle w:val="1005"/>
              <w:ind w:left="57" w:right="57"/>
            </w:pPr>
            <w:r>
              <w:t xml:space="preserve">Выбирается из списка допустимых знач</w:t>
            </w:r>
            <w:r>
              <w:t xml:space="preserve">ений:</w:t>
            </w:r>
            <w:r/>
          </w:p>
          <w:p>
            <w:pPr>
              <w:pStyle w:val="1007"/>
            </w:pPr>
            <w:r>
              <w:t xml:space="preserve">Открытый</w:t>
            </w:r>
            <w:r>
              <w:t xml:space="preserve">;</w:t>
            </w:r>
            <w:r/>
          </w:p>
          <w:p>
            <w:pPr>
              <w:pStyle w:val="1007"/>
            </w:pPr>
            <w:r>
              <w:t xml:space="preserve">Закрытый</w:t>
            </w:r>
            <w:r>
              <w:t xml:space="preserve">.</w:t>
            </w:r>
            <w:r/>
          </w:p>
          <w:p>
            <w:pPr>
              <w:pStyle w:val="1005"/>
              <w:ind w:left="57" w:right="57"/>
            </w:pPr>
            <w:r>
              <w:t xml:space="preserve">По умолчанию поле заполнено значением «</w:t>
            </w:r>
            <w:r>
              <w:t xml:space="preserve">Открытый</w:t>
            </w:r>
            <w:r>
              <w:t xml:space="preserve">».</w:t>
            </w:r>
            <w:r/>
          </w:p>
        </w:tc>
      </w:tr>
      <w:tr>
        <w:trPr/>
        <w:tc>
          <w:tcPr>
            <w:shd w:val="clear" w:fill="auto" w:color="auto"/>
            <w:tcW w:w="1169" w:type="pct"/>
            <w:textDirection w:val="lrTb"/>
            <w:noWrap w:val="false"/>
          </w:tcPr>
          <w:p>
            <w:pPr>
              <w:pStyle w:val="1005"/>
              <w:ind w:left="57" w:right="57"/>
            </w:pPr>
            <w:r>
              <w:t xml:space="preserve">ППО</w:t>
            </w:r>
            <w:r/>
          </w:p>
        </w:tc>
        <w:tc>
          <w:tcPr>
            <w:shd w:val="clear" w:fill="auto" w:color="auto"/>
            <w:tcW w:w="3831" w:type="pct"/>
            <w:textDirection w:val="lrTb"/>
            <w:noWrap w:val="false"/>
          </w:tcPr>
          <w:p>
            <w:pPr>
              <w:pStyle w:val="1005"/>
              <w:ind w:left="57" w:right="57"/>
            </w:pPr>
            <w:r>
              <w:t xml:space="preserve">Выбирается из списка допустимых знач</w:t>
            </w:r>
            <w:r>
              <w:t xml:space="preserve">ений:</w:t>
            </w:r>
            <w:r/>
          </w:p>
          <w:p>
            <w:pPr>
              <w:pStyle w:val="1007"/>
            </w:pPr>
            <w:r>
              <w:t xml:space="preserve">СЭД</w:t>
            </w:r>
            <w:r>
              <w:t xml:space="preserve">;</w:t>
            </w:r>
            <w:r/>
          </w:p>
          <w:p>
            <w:pPr>
              <w:pStyle w:val="1007"/>
            </w:pPr>
            <w:r>
              <w:t xml:space="preserve">СУФД</w:t>
            </w:r>
            <w:r>
              <w:t xml:space="preserve">;</w:t>
            </w:r>
            <w:r/>
          </w:p>
          <w:p>
            <w:pPr>
              <w:pStyle w:val="1007"/>
            </w:pPr>
            <w:r>
              <w:t xml:space="preserve">OEBS</w:t>
            </w:r>
            <w:r>
              <w:t xml:space="preserve">;</w:t>
            </w:r>
            <w:r/>
          </w:p>
          <w:p>
            <w:pPr>
              <w:pStyle w:val="1007"/>
            </w:pPr>
            <w:r>
              <w:t xml:space="preserve">Авикомп</w:t>
            </w:r>
            <w:r>
              <w:t xml:space="preserve">;</w:t>
            </w:r>
            <w:r/>
          </w:p>
          <w:p>
            <w:pPr>
              <w:pStyle w:val="1007"/>
            </w:pPr>
            <w:r>
              <w:t xml:space="preserve">ССПД</w:t>
            </w:r>
            <w:r>
              <w:t xml:space="preserve">;</w:t>
            </w:r>
            <w:r/>
          </w:p>
          <w:p>
            <w:pPr>
              <w:pStyle w:val="1007"/>
            </w:pPr>
            <w:r>
              <w:t xml:space="preserve">АТЛАС</w:t>
            </w:r>
            <w:r>
              <w:t xml:space="preserve">.</w:t>
            </w:r>
            <w:r/>
          </w:p>
          <w:p>
            <w:pPr>
              <w:pStyle w:val="1005"/>
              <w:ind w:left="57" w:right="57"/>
            </w:pPr>
            <w:r>
              <w:t xml:space="preserve">По умолчанию заполнено значением «</w:t>
            </w:r>
            <w:r>
              <w:t xml:space="preserve">OEBS</w:t>
            </w:r>
            <w:r>
              <w:t xml:space="preserve">»</w:t>
            </w:r>
            <w:r>
              <w:t xml:space="preserve">.</w:t>
            </w:r>
            <w:r/>
          </w:p>
        </w:tc>
      </w:tr>
      <w:tr>
        <w:trPr/>
        <w:tc>
          <w:tcPr>
            <w:shd w:val="clear" w:fill="auto" w:color="auto"/>
            <w:tcW w:w="1169" w:type="pct"/>
            <w:textDirection w:val="lrTb"/>
            <w:noWrap w:val="false"/>
          </w:tcPr>
          <w:p>
            <w:pPr>
              <w:pStyle w:val="1005"/>
              <w:ind w:left="57" w:right="57"/>
            </w:pPr>
            <w:r>
              <w:t xml:space="preserve">Роль</w:t>
            </w:r>
            <w:r/>
          </w:p>
        </w:tc>
        <w:tc>
          <w:tcPr>
            <w:shd w:val="clear" w:fill="auto" w:color="auto"/>
            <w:tcW w:w="3831" w:type="pct"/>
            <w:textDirection w:val="lrTb"/>
            <w:noWrap w:val="false"/>
          </w:tcPr>
          <w:p>
            <w:pPr>
              <w:pStyle w:val="1005"/>
              <w:ind w:left="57" w:right="57"/>
            </w:pPr>
            <w:r>
              <w:t xml:space="preserve">Выбирается из списка допустимых знач</w:t>
            </w:r>
            <w:r>
              <w:t xml:space="preserve">ений: </w:t>
            </w:r>
            <w:r/>
          </w:p>
          <w:p>
            <w:pPr>
              <w:pStyle w:val="1007"/>
            </w:pPr>
            <w:r>
              <w:t xml:space="preserve">&lt;пусто&gt;</w:t>
            </w:r>
            <w:r>
              <w:t xml:space="preserve"> – </w:t>
            </w:r>
            <w:r>
              <w:t xml:space="preserve">по умолчанию</w:t>
            </w:r>
            <w:r>
              <w:t xml:space="preserve">;</w:t>
            </w:r>
            <w:r/>
          </w:p>
          <w:p>
            <w:pPr>
              <w:pStyle w:val="1007"/>
            </w:pPr>
            <w:r>
              <w:t xml:space="preserve">АП</w:t>
            </w:r>
            <w:r>
              <w:t xml:space="preserve">;</w:t>
            </w:r>
            <w:r/>
          </w:p>
          <w:p>
            <w:pPr>
              <w:pStyle w:val="1007"/>
            </w:pPr>
            <w:r>
              <w:t xml:space="preserve">ГРБС</w:t>
            </w:r>
            <w:r>
              <w:t xml:space="preserve">;</w:t>
            </w:r>
            <w:r/>
          </w:p>
          <w:p>
            <w:pPr>
              <w:pStyle w:val="1007"/>
            </w:pPr>
            <w:r>
              <w:t xml:space="preserve">МФ</w:t>
            </w:r>
            <w:r>
              <w:t xml:space="preserve"> – д</w:t>
            </w:r>
            <w:r>
              <w:t xml:space="preserve">оступно только для АРМ ГРБС уровня МОУ</w:t>
            </w:r>
            <w:r>
              <w:t xml:space="preserve">;</w:t>
            </w:r>
            <w:r/>
          </w:p>
          <w:p>
            <w:pPr>
              <w:pStyle w:val="1007"/>
            </w:pPr>
            <w:r>
              <w:t xml:space="preserve">НУБП</w:t>
            </w:r>
            <w:r>
              <w:t xml:space="preserve">;</w:t>
            </w:r>
            <w:r/>
          </w:p>
          <w:p>
            <w:pPr>
              <w:pStyle w:val="1007"/>
            </w:pPr>
            <w:r>
              <w:t xml:space="preserve">ПБС</w:t>
            </w:r>
            <w:r>
              <w:t xml:space="preserve">;</w:t>
            </w:r>
            <w:r/>
          </w:p>
          <w:p>
            <w:pPr>
              <w:pStyle w:val="1007"/>
            </w:pPr>
            <w:r>
              <w:t xml:space="preserve">РБС</w:t>
            </w:r>
            <w:r>
              <w:t xml:space="preserve">;</w:t>
            </w:r>
            <w:r/>
          </w:p>
          <w:p>
            <w:pPr>
              <w:pStyle w:val="1007"/>
            </w:pPr>
            <w:r>
              <w:t xml:space="preserve">УП</w:t>
            </w:r>
            <w:r>
              <w:t xml:space="preserve">;</w:t>
            </w:r>
            <w:r/>
          </w:p>
          <w:p>
            <w:pPr>
              <w:pStyle w:val="1007"/>
            </w:pPr>
            <w:r>
              <w:t xml:space="preserve">ФО</w:t>
            </w:r>
            <w:r>
              <w:t xml:space="preserve">;</w:t>
            </w:r>
            <w:r/>
          </w:p>
          <w:p>
            <w:pPr>
              <w:pStyle w:val="1007"/>
            </w:pPr>
            <w:r>
              <w:t xml:space="preserve">ПР.</w:t>
            </w:r>
            <w:r/>
          </w:p>
        </w:tc>
      </w:tr>
      <w:tr>
        <w:trPr/>
        <w:tc>
          <w:tcPr>
            <w:gridSpan w:val="2"/>
            <w:shd w:val="clear" w:fill="auto" w:color="auto"/>
            <w:tcW w:w="5000" w:type="pct"/>
            <w:textDirection w:val="lrTb"/>
            <w:noWrap w:val="false"/>
          </w:tcPr>
          <w:p>
            <w:pPr>
              <w:pStyle w:val="1005"/>
              <w:ind w:left="57" w:right="57"/>
            </w:pPr>
            <w:r>
              <w:t xml:space="preserve">Поля без группы</w:t>
            </w:r>
            <w:r/>
          </w:p>
        </w:tc>
      </w:tr>
      <w:tr>
        <w:trPr/>
        <w:tc>
          <w:tcPr>
            <w:shd w:val="clear" w:fill="auto" w:color="auto"/>
            <w:tcW w:w="1169" w:type="pct"/>
            <w:textDirection w:val="lrTb"/>
            <w:noWrap w:val="false"/>
          </w:tcPr>
          <w:p>
            <w:pPr>
              <w:pStyle w:val="1005"/>
              <w:ind w:left="57" w:right="57"/>
            </w:pPr>
            <w:r>
              <w:t xml:space="preserve">Номер</w:t>
            </w:r>
            <w:r/>
          </w:p>
        </w:tc>
        <w:tc>
          <w:tcPr>
            <w:shd w:val="clear" w:fill="auto" w:color="auto"/>
            <w:tcW w:w="3831" w:type="pct"/>
            <w:textDirection w:val="lrTb"/>
            <w:noWrap w:val="false"/>
          </w:tcPr>
          <w:p>
            <w:pPr>
              <w:pStyle w:val="1005"/>
              <w:ind w:left="57" w:right="57"/>
            </w:pPr>
            <w:r>
              <w:t xml:space="preserve">Номер документа. </w:t>
            </w:r>
            <w:r/>
          </w:p>
          <w:p>
            <w:pPr>
              <w:pStyle w:val="1005"/>
              <w:ind w:left="57" w:right="57"/>
            </w:pPr>
            <w:r>
              <w:t xml:space="preserve">По умолчанию не заполнено. Значение рассчитывается по нажатию кно</w:t>
            </w:r>
            <w:r>
              <w:t xml:space="preserve">п</w:t>
            </w:r>
            <w:r>
              <w:t xml:space="preserve">ки на основании настроек для текущего типа документа в справо</w:t>
            </w:r>
            <w:r>
              <w:t xml:space="preserve">чнике «Параметры автонумерации документов».</w:t>
            </w:r>
            <w:r>
              <w:t xml:space="preserve"> </w:t>
            </w:r>
            <w:r>
              <w:t xml:space="preserve">Может быть заполнено вру</w:t>
            </w:r>
            <w:r>
              <w:t xml:space="preserve">ч</w:t>
            </w:r>
            <w:r>
              <w:t xml:space="preserve">ную.</w:t>
            </w:r>
            <w:r/>
          </w:p>
          <w:p>
            <w:pPr>
              <w:pStyle w:val="1005"/>
              <w:ind w:left="57" w:right="57"/>
            </w:pPr>
            <w:r>
              <w:t xml:space="preserve">В случае если значение было изменено вручную и не соответствует в</w:t>
            </w:r>
            <w:r>
              <w:t xml:space="preserve">ы</w:t>
            </w:r>
            <w:r>
              <w:t xml:space="preserve">численному значению, правильный порядковый номер может быть пр</w:t>
            </w:r>
            <w:r>
              <w:t xml:space="preserve">о</w:t>
            </w:r>
            <w:r>
              <w:t xml:space="preserve">ставлен по нажатию кнопки.</w:t>
            </w:r>
            <w:r/>
          </w:p>
        </w:tc>
      </w:tr>
      <w:tr>
        <w:trPr/>
        <w:tc>
          <w:tcPr>
            <w:shd w:val="clear" w:fill="auto" w:color="auto"/>
            <w:tcW w:w="1169" w:type="pct"/>
            <w:textDirection w:val="lrTb"/>
            <w:noWrap w:val="false"/>
          </w:tcPr>
          <w:p>
            <w:pPr>
              <w:pStyle w:val="1005"/>
              <w:ind w:left="57" w:right="57"/>
            </w:pPr>
            <w:r>
              <w:t xml:space="preserve">Дата действия докуме</w:t>
            </w:r>
            <w:r>
              <w:t xml:space="preserve">нта</w:t>
            </w:r>
            <w:r/>
          </w:p>
        </w:tc>
        <w:tc>
          <w:tcPr>
            <w:shd w:val="clear" w:fill="auto" w:color="auto"/>
            <w:tcW w:w="3831" w:type="pct"/>
            <w:textDirection w:val="lrTb"/>
            <w:noWrap w:val="false"/>
          </w:tcPr>
          <w:p>
            <w:pPr>
              <w:pStyle w:val="1005"/>
              <w:ind w:left="57" w:right="57"/>
            </w:pPr>
            <w:r>
              <w:t xml:space="preserve">Дата действия документа. </w:t>
            </w:r>
            <w:r/>
          </w:p>
          <w:p>
            <w:pPr>
              <w:pStyle w:val="1005"/>
              <w:ind w:left="57" w:right="57"/>
            </w:pPr>
            <w:r>
              <w:t xml:space="preserve">Входящий: передается из OEBS.</w:t>
            </w:r>
            <w:r/>
          </w:p>
          <w:p>
            <w:pPr>
              <w:pStyle w:val="1005"/>
              <w:ind w:left="57" w:right="57"/>
            </w:pPr>
            <w:r>
              <w:t xml:space="preserve">Исходящий: значение заполняется вручную или выбирается из систе</w:t>
            </w:r>
            <w:r>
              <w:t xml:space="preserve">мн</w:t>
            </w:r>
            <w:r>
              <w:t xml:space="preserve">о</w:t>
            </w:r>
            <w:r>
              <w:t xml:space="preserve">го календаря дат.</w:t>
            </w:r>
            <w:r/>
          </w:p>
        </w:tc>
      </w:tr>
      <w:tr>
        <w:trPr/>
        <w:tc>
          <w:tcPr>
            <w:shd w:val="clear" w:fill="auto" w:color="auto"/>
            <w:tcW w:w="1169" w:type="pct"/>
            <w:textDirection w:val="lrTb"/>
            <w:noWrap w:val="false"/>
          </w:tcPr>
          <w:p>
            <w:pPr>
              <w:pStyle w:val="1005"/>
              <w:ind w:left="57" w:right="57"/>
            </w:pPr>
            <w:r>
              <w:t xml:space="preserve">Наименование докуме</w:t>
            </w:r>
            <w:r>
              <w:t xml:space="preserve">нта</w:t>
            </w:r>
            <w:r/>
          </w:p>
        </w:tc>
        <w:tc>
          <w:tcPr>
            <w:shd w:val="clear" w:fill="auto" w:color="auto"/>
            <w:tcW w:w="3831" w:type="pct"/>
            <w:textDirection w:val="lrTb"/>
            <w:noWrap w:val="false"/>
          </w:tcPr>
          <w:p>
            <w:pPr>
              <w:pStyle w:val="1005"/>
              <w:ind w:left="57" w:right="57"/>
            </w:pPr>
            <w:r>
              <w:t xml:space="preserve">Наименование документа. </w:t>
            </w:r>
            <w:r/>
          </w:p>
          <w:p>
            <w:pPr>
              <w:pStyle w:val="1005"/>
              <w:ind w:left="57" w:right="57"/>
            </w:pPr>
            <w:r>
              <w:t xml:space="preserve">Входящий: передается из OEBS</w:t>
            </w:r>
            <w:r>
              <w:t xml:space="preserve">.</w:t>
            </w:r>
            <w:r/>
          </w:p>
          <w:p>
            <w:pPr>
              <w:pStyle w:val="1005"/>
              <w:ind w:left="57" w:right="57"/>
            </w:pPr>
            <w:r>
              <w:t xml:space="preserve">Исходящий: значение заполняется вручную, либо выбирается пользов</w:t>
            </w:r>
            <w:r>
              <w:t xml:space="preserve">ат</w:t>
            </w:r>
            <w:r>
              <w:t xml:space="preserve">е</w:t>
            </w:r>
            <w:r>
              <w:t xml:space="preserve">лем из справочника «Типы документов».</w:t>
            </w:r>
            <w:r/>
          </w:p>
        </w:tc>
      </w:tr>
      <w:tr>
        <w:trPr/>
        <w:tc>
          <w:tcPr>
            <w:shd w:val="clear" w:fill="auto" w:color="auto"/>
            <w:tcW w:w="1169" w:type="pct"/>
            <w:textDirection w:val="lrTb"/>
            <w:noWrap w:val="false"/>
          </w:tcPr>
          <w:p>
            <w:pPr>
              <w:pStyle w:val="1005"/>
              <w:ind w:left="57" w:right="57"/>
            </w:pPr>
            <w:r>
              <w:t xml:space="preserve">Отправитель сообщения</w:t>
            </w:r>
            <w:r/>
          </w:p>
        </w:tc>
        <w:tc>
          <w:tcPr>
            <w:shd w:val="clear" w:fill="auto" w:color="auto"/>
            <w:tcW w:w="3831" w:type="pct"/>
            <w:textDirection w:val="lrTb"/>
            <w:noWrap w:val="false"/>
          </w:tcPr>
          <w:p>
            <w:pPr>
              <w:pStyle w:val="1005"/>
              <w:ind w:left="57" w:right="57"/>
            </w:pPr>
            <w:r>
              <w:t xml:space="preserve">Наименование отправителя сообщения согласно спр</w:t>
            </w:r>
            <w:r>
              <w:t xml:space="preserve">авочник</w:t>
            </w:r>
            <w:r>
              <w:t xml:space="preserve">у</w:t>
            </w:r>
            <w:r>
              <w:t xml:space="preserve"> СРРПБС или ПУБП. </w:t>
            </w:r>
            <w:r/>
          </w:p>
          <w:p>
            <w:pPr>
              <w:pStyle w:val="1005"/>
              <w:ind w:left="57" w:right="57"/>
            </w:pPr>
            <w:r>
              <w:t xml:space="preserve">Для федерального бюджета (</w:t>
            </w:r>
            <w:r>
              <w:t xml:space="preserve">SelfBudgetCode (Код бюджета)</w:t>
            </w:r>
            <w:r>
              <w:t xml:space="preserve"> = «99010001») подтягивае</w:t>
            </w:r>
            <w:r>
              <w:t xml:space="preserve">тся «Краткое наименование» из СРРПБС в соответствии с</w:t>
            </w:r>
            <w:r>
              <w:t xml:space="preserve"> </w:t>
            </w:r>
            <w:r>
              <w:t xml:space="preserve">SelfBUCode (Код собственного БУ)</w:t>
            </w:r>
            <w:r>
              <w:t xml:space="preserve"> из system_const. Для других бюджетов – из ПУБП.</w:t>
            </w:r>
            <w:r/>
          </w:p>
          <w:p>
            <w:pPr>
              <w:pStyle w:val="1005"/>
              <w:ind w:left="57" w:right="57"/>
            </w:pPr>
            <w:r>
              <w:t xml:space="preserve">Привязан СРРПБС или ПУБП (в зависимости от бюджета).</w:t>
            </w:r>
            <w:r/>
          </w:p>
        </w:tc>
      </w:tr>
      <w:tr>
        <w:trPr/>
        <w:tc>
          <w:tcPr>
            <w:shd w:val="clear" w:fill="auto" w:color="auto"/>
            <w:tcW w:w="1169" w:type="pct"/>
            <w:textDirection w:val="lrTb"/>
            <w:noWrap w:val="false"/>
          </w:tcPr>
          <w:p>
            <w:pPr>
              <w:pStyle w:val="1005"/>
              <w:ind w:left="57" w:right="57"/>
            </w:pPr>
            <w:r>
              <w:t xml:space="preserve">Получатель сообщения</w:t>
            </w:r>
            <w:r/>
          </w:p>
        </w:tc>
        <w:tc>
          <w:tcPr>
            <w:shd w:val="clear" w:fill="auto" w:color="auto"/>
            <w:tcW w:w="3831" w:type="pct"/>
            <w:textDirection w:val="lrTb"/>
            <w:noWrap w:val="false"/>
          </w:tcPr>
          <w:p>
            <w:pPr>
              <w:pStyle w:val="1005"/>
              <w:ind w:left="57" w:right="57"/>
            </w:pPr>
            <w:r>
              <w:t xml:space="preserve">Наименование получателя сообщения. </w:t>
            </w:r>
            <w:r/>
          </w:p>
          <w:p>
            <w:pPr>
              <w:pStyle w:val="1005"/>
              <w:ind w:left="57" w:right="57"/>
            </w:pPr>
            <w:r>
              <w:t xml:space="preserve">Привязан СР/СРРПБС/ПУБП/НУБП (поле «Краткое наименование»), «Уполномоченные подразделения» (сокращенное наименование), «Прочие орган</w:t>
            </w:r>
            <w:r>
              <w:t xml:space="preserve">и</w:t>
            </w:r>
            <w:r>
              <w:t xml:space="preserve">зации» (наименование).</w:t>
            </w:r>
            <w:r/>
          </w:p>
        </w:tc>
      </w:tr>
      <w:tr>
        <w:trPr/>
        <w:tc>
          <w:tcPr>
            <w:shd w:val="clear" w:fill="auto" w:color="auto"/>
            <w:tcW w:w="1169" w:type="pct"/>
            <w:textDirection w:val="lrTb"/>
            <w:noWrap w:val="false"/>
          </w:tcPr>
          <w:p>
            <w:pPr>
              <w:pStyle w:val="1005"/>
              <w:ind w:left="57" w:right="57"/>
            </w:pPr>
            <w:r>
              <w:t xml:space="preserve">Дата получения выписки</w:t>
            </w:r>
            <w:r/>
          </w:p>
        </w:tc>
        <w:tc>
          <w:tcPr>
            <w:shd w:val="clear" w:fill="auto" w:color="auto"/>
            <w:tcW w:w="3831" w:type="pct"/>
            <w:textDirection w:val="lrTb"/>
            <w:noWrap w:val="false"/>
          </w:tcPr>
          <w:p>
            <w:pPr>
              <w:pStyle w:val="1005"/>
              <w:ind w:left="57" w:right="57"/>
            </w:pPr>
            <w:r>
              <w:t xml:space="preserve">На ВФ поле выводится только для «ИНФ»</w:t>
            </w:r>
            <w:r>
              <w:t xml:space="preserve">,</w:t>
            </w:r>
            <w:r>
              <w:t xml:space="preserve"> у которого поле «Наименов</w:t>
            </w:r>
            <w:r>
              <w:t xml:space="preserve">а</w:t>
            </w:r>
            <w:r>
              <w:t xml:space="preserve">ние документа» = «Выписка ФО по отдельному банковскому счету».</w:t>
            </w:r>
            <w:r/>
          </w:p>
          <w:p>
            <w:pPr>
              <w:pStyle w:val="1005"/>
              <w:ind w:left="57" w:right="57"/>
            </w:pPr>
            <w:r>
              <w:t xml:space="preserve">Поле заполняется автоматически при импорте выписки ФО от </w:t>
            </w:r>
            <w:r>
              <w:t xml:space="preserve">OEBS.</w:t>
            </w:r>
            <w:r/>
          </w:p>
        </w:tc>
      </w:tr>
      <w:tr>
        <w:trPr/>
        <w:tc>
          <w:tcPr>
            <w:shd w:val="clear" w:fill="auto" w:color="auto"/>
            <w:tcW w:w="1169" w:type="pct"/>
            <w:textDirection w:val="lrTb"/>
            <w:noWrap w:val="false"/>
          </w:tcPr>
          <w:p>
            <w:pPr>
              <w:pStyle w:val="1005"/>
              <w:ind w:left="57" w:right="57"/>
            </w:pPr>
            <w:r>
              <w:t xml:space="preserve">Орган ФК</w:t>
            </w:r>
            <w:r/>
          </w:p>
        </w:tc>
        <w:tc>
          <w:tcPr>
            <w:shd w:val="clear" w:fill="auto" w:color="auto"/>
            <w:tcW w:w="3831" w:type="pct"/>
            <w:textDirection w:val="lrTb"/>
            <w:noWrap w:val="false"/>
          </w:tcPr>
          <w:p>
            <w:pPr>
              <w:pStyle w:val="1005"/>
              <w:ind w:left="57" w:right="57"/>
            </w:pPr>
            <w:r>
              <w:t xml:space="preserve">Наименование органа Федерального казначейства. </w:t>
            </w:r>
            <w:r/>
          </w:p>
          <w:p>
            <w:pPr>
              <w:pStyle w:val="1005"/>
              <w:ind w:left="57" w:right="57"/>
            </w:pPr>
            <w:r>
              <w:t xml:space="preserve">Входящий: значение подтягивается по docTofkCode из справочника О</w:t>
            </w:r>
            <w:r>
              <w:t xml:space="preserve">р</w:t>
            </w:r>
            <w:r>
              <w:t xml:space="preserve">ганы ФК.</w:t>
            </w:r>
            <w:r/>
          </w:p>
          <w:p>
            <w:pPr>
              <w:pStyle w:val="1005"/>
              <w:ind w:left="57" w:right="57"/>
            </w:pPr>
            <w:r>
              <w:t xml:space="preserve">Исходящий: значение поля подтягивается из поля «Наименование» кода ТОФК получателя.</w:t>
            </w:r>
            <w:r/>
          </w:p>
        </w:tc>
      </w:tr>
      <w:tr>
        <w:trPr/>
        <w:tc>
          <w:tcPr>
            <w:shd w:val="clear" w:fill="auto" w:color="auto"/>
            <w:tcW w:w="1169" w:type="pct"/>
            <w:textDirection w:val="lrTb"/>
            <w:noWrap w:val="false"/>
          </w:tcPr>
          <w:p>
            <w:pPr>
              <w:pStyle w:val="1005"/>
              <w:ind w:left="57" w:right="57"/>
            </w:pPr>
            <w:r>
              <w:t xml:space="preserve">Ответственный</w:t>
            </w:r>
            <w:r/>
          </w:p>
        </w:tc>
        <w:tc>
          <w:tcPr>
            <w:shd w:val="clear" w:fill="auto" w:color="auto"/>
            <w:tcW w:w="3831" w:type="pct"/>
            <w:textDirection w:val="lrTb"/>
            <w:noWrap w:val="false"/>
          </w:tcPr>
          <w:p>
            <w:pPr>
              <w:pStyle w:val="1005"/>
              <w:ind w:left="57" w:right="57"/>
            </w:pPr>
            <w:r>
              <w:t xml:space="preserve">ФИО ответственного исполнителя.</w:t>
            </w:r>
            <w:r/>
          </w:p>
          <w:p>
            <w:pPr>
              <w:pStyle w:val="1005"/>
              <w:ind w:left="57" w:right="57"/>
            </w:pPr>
            <w:r>
              <w:t xml:space="preserve">Входящий: передается из OEBS.</w:t>
            </w:r>
            <w:r/>
          </w:p>
          <w:p>
            <w:pPr>
              <w:pStyle w:val="1005"/>
              <w:ind w:left="57" w:right="57"/>
            </w:pPr>
            <w:r>
              <w:t xml:space="preserve">Исходящий: значение заполняется вручную.</w:t>
            </w:r>
            <w:r/>
          </w:p>
        </w:tc>
      </w:tr>
      <w:tr>
        <w:trPr/>
        <w:tc>
          <w:tcPr>
            <w:gridSpan w:val="2"/>
            <w:shd w:val="clear" w:fill="auto" w:color="auto"/>
            <w:tcW w:w="5000" w:type="pct"/>
            <w:textDirection w:val="lrTb"/>
            <w:noWrap w:val="false"/>
          </w:tcPr>
          <w:p>
            <w:pPr>
              <w:pStyle w:val="1005"/>
              <w:ind w:left="57" w:right="57"/>
            </w:pPr>
            <w:r>
              <w:t xml:space="preserve">Группа полей «Основные</w:t>
            </w:r>
            <w:r>
              <w:t xml:space="preserve">»</w:t>
            </w:r>
            <w:r/>
          </w:p>
        </w:tc>
      </w:tr>
      <w:tr>
        <w:trPr/>
        <w:tc>
          <w:tcPr>
            <w:shd w:val="clear" w:fill="auto" w:color="auto"/>
            <w:tcW w:w="1169" w:type="pct"/>
            <w:textDirection w:val="lrTb"/>
            <w:noWrap w:val="false"/>
          </w:tcPr>
          <w:p>
            <w:pPr>
              <w:pStyle w:val="1005"/>
              <w:ind w:left="57" w:right="57"/>
            </w:pPr>
            <w:r>
              <w:t xml:space="preserve">Тип сообщения</w:t>
            </w:r>
            <w:r/>
          </w:p>
        </w:tc>
        <w:tc>
          <w:tcPr>
            <w:shd w:val="clear" w:fill="auto" w:color="auto"/>
            <w:tcW w:w="3831" w:type="pct"/>
            <w:textDirection w:val="lrTb"/>
            <w:noWrap w:val="false"/>
          </w:tcPr>
          <w:p>
            <w:pPr>
              <w:pStyle w:val="1005"/>
              <w:ind w:left="57" w:right="57"/>
            </w:pPr>
            <w:r>
              <w:t xml:space="preserve">Тип сообщения. </w:t>
            </w:r>
            <w:r/>
          </w:p>
          <w:p>
            <w:pPr>
              <w:pStyle w:val="1005"/>
              <w:ind w:left="57" w:right="57"/>
            </w:pPr>
            <w:r>
              <w:t xml:space="preserve">По умолчанию «Письмо». Возможно ручное редактирование</w:t>
            </w:r>
            <w:r>
              <w:t xml:space="preserve">.</w:t>
            </w:r>
            <w:r/>
          </w:p>
        </w:tc>
      </w:tr>
      <w:tr>
        <w:trPr/>
        <w:tc>
          <w:tcPr>
            <w:shd w:val="clear" w:fill="auto" w:color="auto"/>
            <w:tcW w:w="1169" w:type="pct"/>
            <w:textDirection w:val="lrTb"/>
            <w:noWrap w:val="false"/>
          </w:tcPr>
          <w:p>
            <w:pPr>
              <w:pStyle w:val="1005"/>
              <w:ind w:left="57" w:right="57"/>
            </w:pPr>
            <w:r>
              <w:t xml:space="preserve">Тема сообщения</w:t>
            </w:r>
            <w:r/>
          </w:p>
        </w:tc>
        <w:tc>
          <w:tcPr>
            <w:shd w:val="clear" w:fill="auto" w:color="auto"/>
            <w:tcW w:w="3831" w:type="pct"/>
            <w:textDirection w:val="lrTb"/>
            <w:noWrap w:val="false"/>
          </w:tcPr>
          <w:p>
            <w:pPr>
              <w:pStyle w:val="1005"/>
              <w:ind w:left="57" w:right="57"/>
            </w:pPr>
            <w:r>
              <w:t xml:space="preserve">Тема сообщения. </w:t>
            </w:r>
            <w:r/>
          </w:p>
          <w:p>
            <w:pPr>
              <w:pStyle w:val="1005"/>
              <w:ind w:left="57" w:right="57"/>
            </w:pPr>
            <w:r>
              <w:t xml:space="preserve">Заполняется </w:t>
            </w:r>
            <w:r>
              <w:t xml:space="preserve">вручную.</w:t>
            </w:r>
            <w:r/>
          </w:p>
        </w:tc>
      </w:tr>
      <w:tr>
        <w:trPr/>
        <w:tc>
          <w:tcPr>
            <w:shd w:val="clear" w:fill="auto" w:color="auto"/>
            <w:tcW w:w="1169" w:type="pct"/>
            <w:textDirection w:val="lrTb"/>
            <w:noWrap w:val="false"/>
          </w:tcPr>
          <w:p>
            <w:pPr>
              <w:pStyle w:val="1005"/>
              <w:ind w:left="57" w:right="57"/>
            </w:pPr>
            <w:r>
              <w:t xml:space="preserve">Краткое описание</w:t>
            </w:r>
            <w:r/>
          </w:p>
        </w:tc>
        <w:tc>
          <w:tcPr>
            <w:shd w:val="clear" w:fill="auto" w:color="auto"/>
            <w:tcW w:w="3831" w:type="pct"/>
            <w:textDirection w:val="lrTb"/>
            <w:noWrap w:val="false"/>
          </w:tcPr>
          <w:p>
            <w:pPr>
              <w:pStyle w:val="1005"/>
              <w:ind w:left="57" w:right="57"/>
            </w:pPr>
            <w:r>
              <w:t xml:space="preserve">Краткое описание информационного сообщения.</w:t>
            </w:r>
            <w:r/>
          </w:p>
          <w:p>
            <w:pPr>
              <w:pStyle w:val="1005"/>
              <w:ind w:left="57" w:right="57"/>
            </w:pPr>
            <w:r>
              <w:t xml:space="preserve">Входящий: передается из OEBS.</w:t>
            </w:r>
            <w:r/>
          </w:p>
          <w:p>
            <w:pPr>
              <w:pStyle w:val="1005"/>
              <w:ind w:left="57" w:right="57"/>
            </w:pPr>
            <w:r>
              <w:t xml:space="preserve">Исходящий: значение заполняется вручную.</w:t>
            </w:r>
            <w:r/>
          </w:p>
        </w:tc>
      </w:tr>
      <w:tr>
        <w:trPr/>
        <w:tc>
          <w:tcPr>
            <w:shd w:val="clear" w:fill="auto" w:color="auto"/>
            <w:tcW w:w="1169" w:type="pct"/>
            <w:textDirection w:val="lrTb"/>
            <w:noWrap w:val="false"/>
          </w:tcPr>
          <w:p>
            <w:pPr>
              <w:pStyle w:val="1005"/>
              <w:ind w:left="57" w:right="57"/>
            </w:pPr>
            <w:r>
              <w:t xml:space="preserve">Основание</w:t>
            </w:r>
            <w:r/>
          </w:p>
        </w:tc>
        <w:tc>
          <w:tcPr>
            <w:shd w:val="clear" w:fill="auto" w:color="auto"/>
            <w:tcW w:w="3831" w:type="pct"/>
            <w:textDirection w:val="lrTb"/>
            <w:noWrap w:val="false"/>
          </w:tcPr>
          <w:p>
            <w:pPr>
              <w:pStyle w:val="1005"/>
              <w:ind w:left="57" w:right="57"/>
            </w:pPr>
            <w:r>
              <w:t xml:space="preserve">Основание для информационного сообщения. </w:t>
            </w:r>
            <w:r/>
          </w:p>
          <w:p>
            <w:pPr>
              <w:pStyle w:val="1005"/>
              <w:ind w:left="57" w:right="57"/>
            </w:pPr>
            <w:r>
              <w:t xml:space="preserve">Заполняется </w:t>
            </w:r>
            <w:r>
              <w:t xml:space="preserve">вручную.</w:t>
            </w:r>
            <w:r/>
          </w:p>
        </w:tc>
      </w:tr>
      <w:tr>
        <w:trPr/>
        <w:tc>
          <w:tcPr>
            <w:shd w:val="clear" w:fill="auto" w:color="auto"/>
            <w:tcW w:w="1169" w:type="pct"/>
            <w:textDirection w:val="lrTb"/>
            <w:noWrap w:val="false"/>
          </w:tcPr>
          <w:p>
            <w:pPr>
              <w:pStyle w:val="1005"/>
              <w:ind w:left="57" w:right="57"/>
            </w:pPr>
            <w:r>
              <w:t xml:space="preserve">Причина отказа</w:t>
            </w:r>
            <w:r/>
          </w:p>
        </w:tc>
        <w:tc>
          <w:tcPr>
            <w:shd w:val="clear" w:fill="auto" w:color="auto"/>
            <w:tcW w:w="3831" w:type="pct"/>
            <w:textDirection w:val="lrTb"/>
            <w:noWrap w:val="false"/>
          </w:tcPr>
          <w:p>
            <w:pPr>
              <w:pStyle w:val="1005"/>
              <w:ind w:left="57" w:right="57"/>
            </w:pPr>
            <w:r>
              <w:t xml:space="preserve">Заполняется из поля «Примечание» связанного документа «</w:t>
            </w:r>
            <w:r>
              <w:t xml:space="preserve">Уведомление (протокол)</w:t>
            </w:r>
            <w:r>
              <w:t xml:space="preserve">».</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Вложения»</w:t>
            </w:r>
            <w:r/>
          </w:p>
        </w:tc>
      </w:tr>
      <w:tr>
        <w:trPr/>
        <w:tc>
          <w:tcPr>
            <w:shd w:val="clear" w:fill="auto" w:color="auto"/>
            <w:tcW w:w="1169" w:type="pct"/>
            <w:textDirection w:val="lrTb"/>
            <w:noWrap w:val="false"/>
          </w:tcPr>
          <w:p>
            <w:pPr>
              <w:pStyle w:val="1005"/>
              <w:ind w:left="57" w:right="57"/>
            </w:pPr>
            <w:r>
              <w:t xml:space="preserve">GUID</w:t>
            </w:r>
            <w:r/>
          </w:p>
        </w:tc>
        <w:tc>
          <w:tcPr>
            <w:shd w:val="clear" w:fill="auto" w:color="auto"/>
            <w:tcW w:w="3831" w:type="pct"/>
            <w:textDirection w:val="lrTb"/>
            <w:noWrap w:val="false"/>
          </w:tcPr>
          <w:p>
            <w:pPr>
              <w:pStyle w:val="1005"/>
              <w:ind w:left="57" w:right="57"/>
            </w:pPr>
            <w:r>
              <w:t xml:space="preserve">Уникальный идентификатор (GUID) вложения.</w:t>
            </w:r>
            <w:r/>
          </w:p>
        </w:tc>
      </w:tr>
      <w:tr>
        <w:trPr/>
        <w:tc>
          <w:tcPr>
            <w:shd w:val="clear" w:fill="auto" w:color="auto"/>
            <w:tcW w:w="1169" w:type="pct"/>
            <w:textDirection w:val="lrTb"/>
            <w:noWrap w:val="false"/>
          </w:tcPr>
          <w:p>
            <w:pPr>
              <w:pStyle w:val="1005"/>
              <w:ind w:left="57" w:right="57"/>
            </w:pPr>
            <w:r>
              <w:t xml:space="preserve">Тип</w:t>
            </w:r>
            <w:r/>
          </w:p>
        </w:tc>
        <w:tc>
          <w:tcPr>
            <w:shd w:val="clear" w:fill="auto" w:color="auto"/>
            <w:tcW w:w="3831" w:type="pct"/>
            <w:textDirection w:val="lrTb"/>
            <w:noWrap w:val="false"/>
          </w:tcPr>
          <w:p>
            <w:pPr>
              <w:pStyle w:val="1005"/>
              <w:ind w:left="57" w:right="57"/>
            </w:pPr>
            <w:r>
              <w:t xml:space="preserve">Тип вложения.</w:t>
            </w:r>
            <w:r/>
          </w:p>
        </w:tc>
      </w:tr>
      <w:tr>
        <w:trPr/>
        <w:tc>
          <w:tcPr>
            <w:shd w:val="clear" w:fill="auto" w:color="auto"/>
            <w:tcW w:w="1169" w:type="pct"/>
            <w:textDirection w:val="lrTb"/>
            <w:noWrap w:val="false"/>
          </w:tcPr>
          <w:p>
            <w:pPr>
              <w:pStyle w:val="1005"/>
              <w:ind w:left="57" w:right="57"/>
            </w:pPr>
            <w:r>
              <w:t xml:space="preserve">Файл</w:t>
            </w:r>
            <w:r/>
          </w:p>
        </w:tc>
        <w:tc>
          <w:tcPr>
            <w:shd w:val="clear" w:fill="auto" w:color="auto"/>
            <w:tcW w:w="3831" w:type="pct"/>
            <w:textDirection w:val="lrTb"/>
            <w:noWrap w:val="false"/>
          </w:tcPr>
          <w:p>
            <w:pPr>
              <w:pStyle w:val="1005"/>
              <w:ind w:left="57" w:right="57"/>
            </w:pPr>
            <w:r>
              <w:t xml:space="preserve">Файл вложения.</w:t>
            </w:r>
            <w:r/>
          </w:p>
        </w:tc>
      </w:tr>
      <w:tr>
        <w:trPr/>
        <w:tc>
          <w:tcPr>
            <w:shd w:val="clear" w:fill="auto" w:color="auto"/>
            <w:tcW w:w="1169" w:type="pct"/>
            <w:textDirection w:val="lrTb"/>
            <w:noWrap w:val="false"/>
          </w:tcPr>
          <w:p>
            <w:pPr>
              <w:pStyle w:val="1005"/>
              <w:ind w:left="57" w:right="57"/>
            </w:pPr>
            <w:r>
              <w:t xml:space="preserve">Дата</w:t>
            </w:r>
            <w:r/>
          </w:p>
        </w:tc>
        <w:tc>
          <w:tcPr>
            <w:shd w:val="clear" w:fill="auto" w:color="auto"/>
            <w:tcW w:w="3831" w:type="pct"/>
            <w:textDirection w:val="lrTb"/>
            <w:noWrap w:val="false"/>
          </w:tcPr>
          <w:p>
            <w:pPr>
              <w:pStyle w:val="1005"/>
              <w:ind w:left="57" w:right="57"/>
            </w:pPr>
            <w:r>
              <w:t xml:space="preserve">Дата вложения.</w:t>
            </w:r>
            <w:r/>
          </w:p>
        </w:tc>
      </w:tr>
      <w:tr>
        <w:trPr/>
        <w:tc>
          <w:tcPr>
            <w:shd w:val="clear" w:fill="auto" w:color="auto"/>
            <w:tcW w:w="1169" w:type="pct"/>
            <w:textDirection w:val="lrTb"/>
            <w:noWrap w:val="false"/>
          </w:tcPr>
          <w:p>
            <w:pPr>
              <w:pStyle w:val="1005"/>
              <w:ind w:left="57" w:right="57"/>
            </w:pPr>
            <w:r>
              <w:t xml:space="preserve">Размер</w:t>
            </w:r>
            <w:r/>
          </w:p>
        </w:tc>
        <w:tc>
          <w:tcPr>
            <w:shd w:val="clear" w:fill="auto" w:color="auto"/>
            <w:tcW w:w="3831" w:type="pct"/>
            <w:textDirection w:val="lrTb"/>
            <w:noWrap w:val="false"/>
          </w:tcPr>
          <w:p>
            <w:pPr>
              <w:pStyle w:val="1005"/>
              <w:ind w:left="57" w:right="57"/>
            </w:pPr>
            <w:r>
              <w:t xml:space="preserve">Размер вложения.</w:t>
            </w:r>
            <w:r/>
          </w:p>
        </w:tc>
      </w:tr>
      <w:tr>
        <w:trPr/>
        <w:tc>
          <w:tcPr>
            <w:shd w:val="clear" w:fill="auto" w:color="auto"/>
            <w:tcW w:w="1169" w:type="pct"/>
            <w:textDirection w:val="lrTb"/>
            <w:noWrap w:val="false"/>
          </w:tcPr>
          <w:p>
            <w:pPr>
              <w:pStyle w:val="1005"/>
              <w:ind w:left="57" w:right="57"/>
            </w:pPr>
            <w:r>
              <w:t xml:space="preserve">Комментарий</w:t>
            </w:r>
            <w:r/>
          </w:p>
        </w:tc>
        <w:tc>
          <w:tcPr>
            <w:shd w:val="clear" w:fill="auto" w:color="auto"/>
            <w:tcW w:w="3831" w:type="pct"/>
            <w:textDirection w:val="lrTb"/>
            <w:noWrap w:val="false"/>
          </w:tcPr>
          <w:p>
            <w:pPr>
              <w:pStyle w:val="1005"/>
              <w:ind w:left="57" w:right="57"/>
            </w:pPr>
            <w:r>
              <w:t xml:space="preserve">Комментарий.</w:t>
            </w:r>
            <w:r/>
          </w:p>
        </w:tc>
      </w:tr>
      <w:tr>
        <w:trPr/>
        <w:tc>
          <w:tcPr>
            <w:shd w:val="clear" w:fill="auto" w:color="auto"/>
            <w:tcW w:w="1169" w:type="pct"/>
            <w:textDirection w:val="lrTb"/>
            <w:noWrap w:val="false"/>
          </w:tcPr>
          <w:p>
            <w:pPr>
              <w:pStyle w:val="1005"/>
              <w:ind w:left="57" w:right="57"/>
            </w:pPr>
            <w:r>
              <w:t xml:space="preserve">Бизнес-тип</w:t>
            </w:r>
            <w:r/>
          </w:p>
        </w:tc>
        <w:tc>
          <w:tcPr>
            <w:shd w:val="clear" w:fill="auto" w:color="auto"/>
            <w:tcW w:w="3831" w:type="pct"/>
            <w:textDirection w:val="lrTb"/>
            <w:noWrap w:val="false"/>
          </w:tcPr>
          <w:p>
            <w:pPr>
              <w:pStyle w:val="1005"/>
              <w:ind w:left="57" w:right="57"/>
            </w:pPr>
            <w:r>
              <w:t xml:space="preserve">Бизнес-тип вложения.</w:t>
            </w:r>
            <w:r/>
          </w:p>
        </w:tc>
      </w:tr>
    </w:tbl>
    <w:p>
      <w:pPr>
        <w:pStyle w:val="994"/>
      </w:pPr>
      <w:r>
        <w:t xml:space="preserve">В табличном блоке полей «Вложения» добавляются строки с данными вложенных фа</w:t>
      </w:r>
      <w:r>
        <w:t xml:space="preserve">й</w:t>
      </w:r>
      <w:r>
        <w:t xml:space="preserve">лов. </w:t>
      </w:r>
      <w:r>
        <w:t xml:space="preserve">Поля табличного блока приведены в таблице</w:t>
      </w:r>
      <w:r>
        <w:t xml:space="preserve"> </w:t>
      </w:r>
      <w:r>
        <w:fldChar w:fldCharType="begin"/>
      </w:r>
      <w:r>
        <w:instrText xml:space="preserve"> REF _Ref318388267 \h  \* MERGEFORMAT </w:instrText>
      </w:r>
      <w:r>
        <w:fldChar w:fldCharType="separate"/>
      </w:r>
      <w:r>
        <w:t xml:space="preserve">161</w:t>
      </w:r>
      <w:r>
        <w:fldChar w:fldCharType="end"/>
      </w:r>
      <w:r>
        <w:t xml:space="preserve">. Поддерживаются любые типы файлов. Количество файлов не ограничено. Максимальный совокупный размер вложения зависит от настроек сервера в УФК.</w:t>
      </w:r>
      <w:r/>
    </w:p>
    <w:p>
      <w:pPr>
        <w:pStyle w:val="994"/>
      </w:pPr>
      <w:r>
        <w:t xml:space="preserve">Для добавления файла в блоке </w:t>
      </w:r>
      <w:r>
        <w:t xml:space="preserve">«</w:t>
      </w:r>
      <w:r>
        <w:t xml:space="preserve">Вложения</w:t>
      </w:r>
      <w:r>
        <w:t xml:space="preserve">»</w:t>
      </w:r>
      <w:r>
        <w:t xml:space="preserve"> следует нажать на кнопку</w:t>
      </w:r>
      <w:r>
        <w:t xml:space="preserve"> </w:t>
      </w:r>
      <w:r>
        <mc:AlternateContent>
          <mc:Choice Requires="wpg">
            <w:drawing>
              <wp:inline xmlns:wp="http://schemas.openxmlformats.org/drawingml/2006/wordprocessingDrawing" distT="0" distB="0" distL="0" distR="0">
                <wp:extent cx="274320" cy="274320"/>
                <wp:effectExtent l="0" t="0" r="0" b="0"/>
                <wp:docPr id="40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62"/>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7" o:spid="_x0000_s407" type="#_x0000_t75" style="mso-wrap-distance-left:0.0pt;mso-wrap-distance-top:0.0pt;mso-wrap-distance-right:0.0pt;mso-wrap-distance-bottom:0.0pt;width:21.6pt;height:21.6pt;" stroked="f">
                <v:path textboxrect="0,0,0,0"/>
                <v:imagedata r:id="rId362" o:title=""/>
              </v:shape>
            </w:pict>
          </mc:Fallback>
        </mc:AlternateContent>
      </w:r>
      <w:r>
        <w:t xml:space="preserve"> </w:t>
      </w:r>
      <w:r>
        <w:t xml:space="preserve">(</w:t>
      </w:r>
      <w:r>
        <w:t xml:space="preserve">Добавить вложение</w:t>
      </w:r>
      <w:r>
        <w:t xml:space="preserve">)</w:t>
      </w:r>
      <w:r>
        <w:t xml:space="preserve">. В открывшейся форме </w:t>
      </w:r>
      <w:r>
        <w:t xml:space="preserve">«</w:t>
      </w:r>
      <w:r>
        <w:t xml:space="preserve">Добавление вложения</w:t>
      </w:r>
      <w:r>
        <w:t xml:space="preserve">» (рис. </w:t>
      </w:r>
      <w:r>
        <w:fldChar w:fldCharType="begin"/>
      </w:r>
      <w:r>
        <w:instrText xml:space="preserve"> REF _Ref279491691 \h  \* MERGEFORMAT </w:instrText>
      </w:r>
      <w:r>
        <w:fldChar w:fldCharType="separate"/>
      </w:r>
      <w:r>
        <w:t xml:space="preserve">279</w:t>
      </w:r>
      <w:r>
        <w:fldChar w:fldCharType="end"/>
      </w:r>
      <w:r>
        <w:t xml:space="preserve">) заполняются следу</w:t>
      </w:r>
      <w:r>
        <w:t xml:space="preserve">ю</w:t>
      </w:r>
      <w:r>
        <w:t xml:space="preserve">щие поля:</w:t>
      </w:r>
      <w:r/>
    </w:p>
    <w:p>
      <w:pPr>
        <w:pStyle w:val="985"/>
      </w:pPr>
      <w:r>
        <w:t xml:space="preserve">«</w:t>
      </w:r>
      <w:r>
        <w:t xml:space="preserve">Бизнес-тип вложения</w:t>
      </w:r>
      <w:r>
        <w:t xml:space="preserve">»</w:t>
      </w:r>
      <w:r>
        <w:t xml:space="preserve"> </w:t>
      </w:r>
      <w:r>
        <w:t xml:space="preserve">–</w:t>
      </w:r>
      <w:r>
        <w:t xml:space="preserve"> п</w:t>
      </w:r>
      <w:r>
        <w:t xml:space="preserve">оле заполняется автоматически</w:t>
      </w:r>
      <w:r>
        <w:t xml:space="preserve">;</w:t>
      </w:r>
      <w:r/>
    </w:p>
    <w:p>
      <w:pPr>
        <w:pStyle w:val="985"/>
      </w:pPr>
      <w:r>
        <w:t xml:space="preserve">«</w:t>
      </w:r>
      <w:r>
        <w:t xml:space="preserve">Файл</w:t>
      </w:r>
      <w:r>
        <w:t xml:space="preserve">»</w:t>
      </w:r>
      <w:r>
        <w:t xml:space="preserve"> – имя файла вложения</w:t>
      </w:r>
      <w:r>
        <w:t xml:space="preserve">; н</w:t>
      </w:r>
      <w:r>
        <w:t xml:space="preserve">ажать на кнопку</w:t>
      </w:r>
      <w:r>
        <w:t xml:space="preserve"> </w:t>
      </w:r>
      <w:r>
        <mc:AlternateContent>
          <mc:Choice Requires="wpg">
            <w:drawing>
              <wp:inline xmlns:wp="http://schemas.openxmlformats.org/drawingml/2006/wordprocessingDrawing" distT="0" distB="0" distL="0" distR="0">
                <wp:extent cx="182880" cy="182880"/>
                <wp:effectExtent l="0" t="0" r="0" b="0"/>
                <wp:docPr id="40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63"/>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8" o:spid="_x0000_s408" type="#_x0000_t75" style="mso-wrap-distance-left:0.0pt;mso-wrap-distance-top:0.0pt;mso-wrap-distance-right:0.0pt;mso-wrap-distance-bottom:0.0pt;width:14.4pt;height:14.4pt;" stroked="f">
                <v:path textboxrect="0,0,0,0"/>
                <v:imagedata r:id="rId363" o:title=""/>
              </v:shape>
            </w:pict>
          </mc:Fallback>
        </mc:AlternateContent>
      </w:r>
      <w:r>
        <w:t xml:space="preserve"> и выбрать нужный файл вл</w:t>
      </w:r>
      <w:r>
        <w:t xml:space="preserve">о</w:t>
      </w:r>
      <w:r>
        <w:t xml:space="preserve">жения;</w:t>
      </w:r>
      <w:r/>
    </w:p>
    <w:p>
      <w:pPr>
        <w:pStyle w:val="985"/>
      </w:pPr>
      <w:r>
        <w:t xml:space="preserve">«</w:t>
      </w:r>
      <w:r>
        <w:t xml:space="preserve">Тип вложения</w:t>
      </w:r>
      <w:r>
        <w:t xml:space="preserve">»</w:t>
      </w:r>
      <w:r>
        <w:t xml:space="preserve"> </w:t>
      </w:r>
      <w:r>
        <w:t xml:space="preserve">–</w:t>
      </w:r>
      <w:r>
        <w:t xml:space="preserve"> п</w:t>
      </w:r>
      <w:r>
        <w:t xml:space="preserve">оле заполняется</w:t>
      </w:r>
      <w:r>
        <w:t xml:space="preserve"> автоматически при выборе файла;</w:t>
      </w:r>
      <w:r/>
    </w:p>
    <w:p>
      <w:pPr>
        <w:pStyle w:val="985"/>
      </w:pPr>
      <w:r>
        <w:t xml:space="preserve">«</w:t>
      </w:r>
      <w:r>
        <w:t xml:space="preserve">Комментарий</w:t>
      </w:r>
      <w:r>
        <w:t xml:space="preserve">»</w:t>
      </w:r>
      <w:r>
        <w:t xml:space="preserve"> – комментарий к файлу</w:t>
      </w:r>
      <w:r>
        <w:t xml:space="preserve">; е</w:t>
      </w:r>
      <w:r>
        <w:t xml:space="preserve">сли вложение является платежным пор</w:t>
      </w:r>
      <w:r>
        <w:t xml:space="preserve">у</w:t>
      </w:r>
      <w:r>
        <w:t xml:space="preserve">чением на общую сумму с реестром, то после привязки вложения к выписке из л/с в поле</w:t>
      </w:r>
      <w:r>
        <w:t xml:space="preserve"> комментарий добавляется текст «</w:t>
      </w:r>
      <w:r>
        <w:t xml:space="preserve">Платежное поручение на общую сумму с р</w:t>
      </w:r>
      <w:r>
        <w:t xml:space="preserve">е</w:t>
      </w:r>
      <w:r>
        <w:t xml:space="preserve">е</w:t>
      </w:r>
      <w:r>
        <w:t xml:space="preserve">стром».</w:t>
      </w:r>
      <w:r/>
    </w:p>
    <w:p>
      <w:pPr>
        <w:pStyle w:val="982"/>
      </w:pPr>
      <w:r>
        <mc:AlternateContent>
          <mc:Choice Requires="wpg">
            <w:drawing>
              <wp:inline xmlns:wp="http://schemas.openxmlformats.org/drawingml/2006/wordprocessingDrawing" distT="0" distB="0" distL="0" distR="0">
                <wp:extent cx="6118860" cy="2743200"/>
                <wp:effectExtent l="0" t="0" r="0" b="0"/>
                <wp:docPr id="41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64"/>
                        <a:stretch/>
                      </pic:blipFill>
                      <pic:spPr bwMode="auto">
                        <a:xfrm>
                          <a:off x="0" y="0"/>
                          <a:ext cx="6118860" cy="27432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9" o:spid="_x0000_s409" type="#_x0000_t75" style="mso-wrap-distance-left:0.0pt;mso-wrap-distance-top:0.0pt;mso-wrap-distance-right:0.0pt;mso-wrap-distance-bottom:0.0pt;width:481.8pt;height:216.0pt;" stroked="f">
                <v:path textboxrect="0,0,0,0"/>
                <v:imagedata r:id="rId364" o:title=""/>
              </v:shape>
            </w:pict>
          </mc:Fallback>
        </mc:AlternateContent>
      </w:r>
      <w:r/>
    </w:p>
    <w:p>
      <w:pPr>
        <w:pStyle w:val="983"/>
      </w:pPr>
      <w:r>
        <w:fldChar w:fldCharType="begin"/>
      </w:r>
      <w:r>
        <w:instrText xml:space="preserve"> SEQ Рисунок \* ARABIC </w:instrText>
      </w:r>
      <w:r>
        <w:fldChar w:fldCharType="separate"/>
      </w:r>
      <w:bookmarkStart w:id="1857" w:name="_Ref279491691"/>
      <w:r/>
      <w:bookmarkStart w:id="1858" w:name="_Toc88819664"/>
      <w:r>
        <w:t xml:space="preserve">279</w:t>
      </w:r>
      <w:bookmarkEnd w:id="1857"/>
      <w:r>
        <w:fldChar w:fldCharType="end"/>
      </w:r>
      <w:r>
        <w:t xml:space="preserve">. ЭФ «Добавление вложения»</w:t>
      </w:r>
      <w:bookmarkEnd w:id="1858"/>
      <w:r/>
      <w:r/>
    </w:p>
    <w:p>
      <w:pPr>
        <w:pStyle w:val="994"/>
      </w:pPr>
      <w:r>
        <w:t xml:space="preserve">Нажать на </w:t>
      </w:r>
      <w:r>
        <w:t xml:space="preserve">кнопку «Ok»</w:t>
      </w:r>
      <w:r>
        <w:t xml:space="preserve"> для сохранения данных о вложенном файле. В списке файлов вложений в блоке «Вложения» появится добавленная запись.</w:t>
      </w:r>
      <w:r/>
    </w:p>
    <w:p>
      <w:pPr>
        <w:pStyle w:val="994"/>
      </w:pPr>
      <w:r>
        <w:t xml:space="preserve">Для </w:t>
      </w:r>
      <w:r>
        <w:t xml:space="preserve">проверки подписи файла следует выбрать строку с именем файла и нажать на кнопку </w:t>
      </w:r>
      <w:r>
        <mc:AlternateContent>
          <mc:Choice Requires="wpg">
            <w:drawing>
              <wp:inline xmlns:wp="http://schemas.openxmlformats.org/drawingml/2006/wordprocessingDrawing" distT="0" distB="0" distL="0" distR="0">
                <wp:extent cx="274320" cy="274320"/>
                <wp:effectExtent l="0" t="0" r="0" b="0"/>
                <wp:docPr id="41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65"/>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0" o:spid="_x0000_s410" type="#_x0000_t75" style="mso-wrap-distance-left:0.0pt;mso-wrap-distance-top:0.0pt;mso-wrap-distance-right:0.0pt;mso-wrap-distance-bottom:0.0pt;width:21.6pt;height:21.6pt;" stroked="f">
                <v:path textboxrect="0,0,0,0"/>
                <v:imagedata r:id="rId365" o:title=""/>
              </v:shape>
            </w:pict>
          </mc:Fallback>
        </mc:AlternateContent>
      </w:r>
      <w:r>
        <w:t xml:space="preserve"> (Проверить подпись) на панели инструментов.</w:t>
      </w:r>
      <w:r/>
    </w:p>
    <w:p>
      <w:pPr>
        <w:pStyle w:val="994"/>
      </w:pPr>
      <w:r>
        <w:t xml:space="preserve">Для просмотра информации о файле следует выделить в списке файлов вложений ну</w:t>
      </w:r>
      <w:r>
        <w:t xml:space="preserve">жную запись и нажать на кнопку </w:t>
      </w:r>
      <w:r>
        <mc:AlternateContent>
          <mc:Choice Requires="wpg">
            <w:drawing>
              <wp:inline xmlns:wp="http://schemas.openxmlformats.org/drawingml/2006/wordprocessingDrawing" distT="0" distB="0" distL="0" distR="0">
                <wp:extent cx="274320" cy="274320"/>
                <wp:effectExtent l="0" t="0" r="0" b="0"/>
                <wp:docPr id="41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98"/>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1" o:spid="_x0000_s411" type="#_x0000_t75" style="mso-wrap-distance-left:0.0pt;mso-wrap-distance-top:0.0pt;mso-wrap-distance-right:0.0pt;mso-wrap-distance-bottom:0.0pt;width:21.6pt;height:21.6pt;" stroked="f">
                <v:path textboxrect="0,0,0,0"/>
                <v:imagedata r:id="rId298" o:title=""/>
              </v:shape>
            </w:pict>
          </mc:Fallback>
        </mc:AlternateContent>
      </w:r>
      <w:r>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t xml:space="preserve">кнопку «Ok»</w:t>
      </w:r>
      <w:r>
        <w:t xml:space="preserve">.</w:t>
      </w:r>
      <w:r/>
    </w:p>
    <w:p>
      <w:pPr>
        <w:pStyle w:val="994"/>
      </w:pPr>
      <w:r>
        <w:t xml:space="preserve">Для просмотра файла следует выделить в списке файлов вложений требуемую запись и нажать на кнопку</w:t>
      </w:r>
      <w:r>
        <w:t xml:space="preserve"> </w:t>
      </w:r>
      <w:r>
        <mc:AlternateContent>
          <mc:Choice Requires="wpg">
            <w:drawing>
              <wp:inline xmlns:wp="http://schemas.openxmlformats.org/drawingml/2006/wordprocessingDrawing" distT="0" distB="0" distL="0" distR="0">
                <wp:extent cx="274320" cy="274320"/>
                <wp:effectExtent l="0" t="0" r="0" b="0"/>
                <wp:docPr id="41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97"/>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2" o:spid="_x0000_s412" type="#_x0000_t75" style="mso-wrap-distance-left:0.0pt;mso-wrap-distance-top:0.0pt;mso-wrap-distance-right:0.0pt;mso-wrap-distance-bottom:0.0pt;width:21.6pt;height:21.6pt;" stroked="f">
                <v:path textboxrect="0,0,0,0"/>
                <v:imagedata r:id="rId297" o:title=""/>
              </v:shape>
            </w:pict>
          </mc:Fallback>
        </mc:AlternateContent>
      </w:r>
      <w:r>
        <w:t xml:space="preserve"> (Просмотреть).</w:t>
      </w:r>
      <w:r/>
    </w:p>
    <w:p>
      <w:pPr>
        <w:pStyle w:val="994"/>
      </w:pPr>
      <w:r>
        <w:t xml:space="preserve">Для сохранения файла под другим именем следует выделить в списке файлов вложений требуемую запись и нажать на кнопку</w:t>
      </w:r>
      <w:r>
        <w:t xml:space="preserve"> </w:t>
      </w:r>
      <w:r>
        <mc:AlternateContent>
          <mc:Choice Requires="wpg">
            <w:drawing>
              <wp:inline xmlns:wp="http://schemas.openxmlformats.org/drawingml/2006/wordprocessingDrawing" distT="0" distB="0" distL="0" distR="0">
                <wp:extent cx="274320" cy="274320"/>
                <wp:effectExtent l="0" t="0" r="0" b="0"/>
                <wp:docPr id="41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299"/>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3" o:spid="_x0000_s413" type="#_x0000_t75" style="mso-wrap-distance-left:0.0pt;mso-wrap-distance-top:0.0pt;mso-wrap-distance-right:0.0pt;mso-wrap-distance-bottom:0.0pt;width:21.6pt;height:21.6pt;" stroked="f">
                <v:path textboxrect="0,0,0,0"/>
                <v:imagedata r:id="rId299" o:title=""/>
              </v:shape>
            </w:pict>
          </mc:Fallback>
        </mc:AlternateContent>
      </w:r>
      <w:r>
        <w:t xml:space="preserve"> (Сохранить).</w:t>
      </w:r>
      <w:r/>
    </w:p>
    <w:p>
      <w:pPr>
        <w:pStyle w:val="994"/>
      </w:pPr>
      <w:r>
        <w:t xml:space="preserve">Для удаления файла следует выделить в списке файлов вложений требуемую запись и нажать на кнопку</w:t>
      </w:r>
      <w:r>
        <w:t xml:space="preserve"> </w:t>
      </w:r>
      <w:r>
        <mc:AlternateContent>
          <mc:Choice Requires="wpg">
            <w:drawing>
              <wp:inline xmlns:wp="http://schemas.openxmlformats.org/drawingml/2006/wordprocessingDrawing" distT="0" distB="0" distL="0" distR="0">
                <wp:extent cx="274320" cy="274320"/>
                <wp:effectExtent l="0" t="0" r="0" b="0"/>
                <wp:docPr id="41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66"/>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4" o:spid="_x0000_s414" type="#_x0000_t75" style="mso-wrap-distance-left:0.0pt;mso-wrap-distance-top:0.0pt;mso-wrap-distance-right:0.0pt;mso-wrap-distance-bottom:0.0pt;width:21.6pt;height:21.6pt;" stroked="f">
                <v:path textboxrect="0,0,0,0"/>
                <v:imagedata r:id="rId366" o:title=""/>
              </v:shape>
            </w:pict>
          </mc:Fallback>
        </mc:AlternateContent>
      </w:r>
      <w:r>
        <w:t xml:space="preserve"> (Удалить вложение).</w:t>
      </w:r>
      <w:r/>
    </w:p>
    <w:p>
      <w:pPr>
        <w:pStyle w:val="994"/>
      </w:pPr>
      <w:r>
        <w:t xml:space="preserve">С помощью кнопки</w:t>
      </w:r>
      <w:r>
        <w:t xml:space="preserve"> </w:t>
      </w:r>
      <w:r>
        <mc:AlternateContent>
          <mc:Choice Requires="wpg">
            <w:drawing>
              <wp:inline xmlns:wp="http://schemas.openxmlformats.org/drawingml/2006/wordprocessingDrawing" distT="0" distB="0" distL="0" distR="0">
                <wp:extent cx="274320" cy="274320"/>
                <wp:effectExtent l="0" t="0" r="0" b="0"/>
                <wp:docPr id="41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00"/>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5" o:spid="_x0000_s415" type="#_x0000_t75" style="mso-wrap-distance-left:0.0pt;mso-wrap-distance-top:0.0pt;mso-wrap-distance-right:0.0pt;mso-wrap-distance-bottom:0.0pt;width:21.6pt;height:21.6pt;" stroked="f">
                <v:path textboxrect="0,0,0,0"/>
                <v:imagedata r:id="rId300" o:title=""/>
              </v:shape>
            </w:pict>
          </mc:Fallback>
        </mc:AlternateContent>
      </w:r>
      <w:r>
        <w:t xml:space="preserve"> (Напечатать)</w:t>
      </w:r>
      <w:r>
        <w:t xml:space="preserve"> можно послать вложенный файл на печать.</w:t>
      </w:r>
      <w:r/>
    </w:p>
    <w:p>
      <w:pPr>
        <w:pStyle w:val="973"/>
      </w:pPr>
      <w:r/>
      <w:bookmarkStart w:id="1859" w:name="_Ref452627405"/>
      <w:r>
        <w:t xml:space="preserve">Процесс передачи отчетности ФО в МОУ</w:t>
      </w:r>
      <w:bookmarkEnd w:id="1849"/>
      <w:r/>
      <w:bookmarkEnd w:id="1850"/>
      <w:r/>
      <w:bookmarkEnd w:id="1859"/>
      <w:r/>
      <w:r/>
    </w:p>
    <w:p>
      <w:pPr>
        <w:pStyle w:val="994"/>
      </w:pPr>
      <w:r>
        <w:t xml:space="preserve">В ППО АСФК «СУФД» реализован следующий сценарий пересылки отчетов для ФО</w:t>
      </w:r>
      <w:r>
        <w:t xml:space="preserve">.</w:t>
      </w:r>
      <w:r/>
    </w:p>
    <w:p>
      <w:pPr>
        <w:pStyle w:val="994"/>
      </w:pPr>
      <w:r>
        <w:t xml:space="preserve">Для передачи отчетности ФО в МОУ необходимо выполнить следующую последовательность действий:</w:t>
      </w:r>
      <w:r/>
    </w:p>
    <w:p>
      <w:pPr>
        <w:pStyle w:val="1156"/>
        <w:numPr>
          <w:ilvl w:val="0"/>
          <w:numId w:val="46"/>
        </w:numPr>
      </w:pPr>
      <w:r>
        <w:t xml:space="preserve">На АРМ ФО СУФД-Портал, на панели навигации перейти по следующему пути: «Документы – Произвольные – Информационные сообщения – Информационное сообщение».</w:t>
      </w:r>
      <w:r/>
    </w:p>
    <w:p>
      <w:pPr>
        <w:pStyle w:val="1156"/>
      </w:pPr>
      <w:r>
        <w:t xml:space="preserve">Нажать кнопку </w:t>
      </w:r>
      <w:r>
        <mc:AlternateContent>
          <mc:Choice Requires="wpg">
            <w:drawing>
              <wp:inline xmlns:wp="http://schemas.openxmlformats.org/drawingml/2006/wordprocessingDrawing" distT="0" distB="0" distL="0" distR="0">
                <wp:extent cx="182880" cy="274320"/>
                <wp:effectExtent l="0" t="0" r="0" b="0"/>
                <wp:docPr id="41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67"/>
                        <a:srcRect l="0" t="-11319" r="0" b="0"/>
                        <a:stretch/>
                      </pic:blipFill>
                      <pic:spPr bwMode="auto">
                        <a:xfrm>
                          <a:off x="0" y="0"/>
                          <a:ext cx="18288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6" o:spid="_x0000_s416" type="#_x0000_t75" style="mso-wrap-distance-left:0.0pt;mso-wrap-distance-top:0.0pt;mso-wrap-distance-right:0.0pt;mso-wrap-distance-bottom:0.0pt;width:14.4pt;height:21.6pt;" stroked="f">
                <v:path textboxrect="0,0,0,0"/>
                <v:imagedata r:id="rId367" o:title=""/>
              </v:shape>
            </w:pict>
          </mc:Fallback>
        </mc:AlternateContent>
      </w:r>
      <w:r>
        <w:t xml:space="preserve"> </w:t>
      </w:r>
      <w:r>
        <w:t xml:space="preserve">(Создать новый документ).</w:t>
      </w:r>
      <w:r/>
    </w:p>
    <w:p>
      <w:pPr>
        <w:pStyle w:val="1156"/>
      </w:pPr>
      <w:r>
        <w:t xml:space="preserve">В открывшейся экранной форме нажать кнопку </w:t>
      </w:r>
      <w:r>
        <mc:AlternateContent>
          <mc:Choice Requires="wpg">
            <w:drawing>
              <wp:inline xmlns:wp="http://schemas.openxmlformats.org/drawingml/2006/wordprocessingDrawing" distT="0" distB="0" distL="0" distR="0">
                <wp:extent cx="274320" cy="281940"/>
                <wp:effectExtent l="0" t="0" r="0" b="0"/>
                <wp:docPr id="41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68"/>
                        <a:srcRect l="0" t="-11043" r="0" b="0"/>
                        <a:stretch/>
                      </pic:blipFill>
                      <pic:spPr bwMode="auto">
                        <a:xfrm>
                          <a:off x="0" y="0"/>
                          <a:ext cx="274320" cy="2819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7" o:spid="_x0000_s417" type="#_x0000_t75" style="mso-wrap-distance-left:0.0pt;mso-wrap-distance-top:0.0pt;mso-wrap-distance-right:0.0pt;mso-wrap-distance-bottom:0.0pt;width:21.6pt;height:22.2pt;" stroked="f">
                <v:path textboxrect="0,0,0,0"/>
                <v:imagedata r:id="rId368" o:title=""/>
              </v:shape>
            </w:pict>
          </mc:Fallback>
        </mc:AlternateContent>
      </w:r>
      <w:r>
        <w:t xml:space="preserve"> </w:t>
      </w:r>
      <w:r>
        <w:t xml:space="preserve">(Добавить вложение), после чего в открывшемся окне выбрать бизнес-тип вложения «Отчетность ФО».</w:t>
      </w:r>
      <w:r/>
    </w:p>
    <w:p>
      <w:pPr>
        <w:pStyle w:val="1156"/>
      </w:pPr>
      <w:r>
        <w:t xml:space="preserve">Далее выбрать файл вложения отчетности ФО для пересылки (при необходимости указать текст комментария) и нажать </w:t>
      </w:r>
      <w:r>
        <w:t xml:space="preserve">кнопку «Ok»</w:t>
      </w:r>
      <w:r>
        <w:t xml:space="preserve">. После чего в поле «Получатель» будет указан адрес получателя «9500</w:t>
      </w:r>
      <w:r>
        <w:t xml:space="preserve">…</w:t>
      </w:r>
      <w:r>
        <w:t xml:space="preserve">. – Не секретный – Авикомп».</w:t>
      </w:r>
      <w:r/>
    </w:p>
    <w:p>
      <w:pPr>
        <w:pStyle w:val="1156"/>
      </w:pPr>
      <w:r>
        <w:t xml:space="preserve">При необходимости вложение подписывается и заполняется поле «Краткое описание», после чего документ сохраняется и отправляется стандартным способом.</w:t>
      </w:r>
      <w:r/>
    </w:p>
    <w:p>
      <w:pPr>
        <w:pStyle w:val="994"/>
      </w:pPr>
      <w:r>
        <w:t xml:space="preserve">Далее документ автоматически средствами СУФД пересылается конечному получателю и на уровне СУФД ЦАФК выкладывается вложение данного «Информационного сообщения» в директорию 9500.</w:t>
      </w:r>
      <w:r>
        <w:rPr>
          <w:lang w:val="en-US"/>
        </w:rPr>
        <w:t xml:space="preserve">AVICOMP</w:t>
      </w:r>
      <w:r>
        <w:t xml:space="preserve">.</w:t>
      </w:r>
      <w:r/>
    </w:p>
    <w:p>
      <w:pPr>
        <w:pStyle w:val="996"/>
      </w:pPr>
      <w:r>
        <w:rPr>
          <w:rStyle w:val="1001"/>
        </w:rPr>
        <w:t xml:space="preserve">Примечание.</w:t>
      </w:r>
      <w:r>
        <w:tab/>
        <w:t xml:space="preserve">Процесс настройки функционала передачи отчетности ФО в МОУ описан в </w:t>
      </w:r>
      <w:r>
        <w:t xml:space="preserve">руководстве</w:t>
      </w:r>
      <w:r>
        <w:t xml:space="preserve"> по администрированию системы</w:t>
      </w:r>
      <w:r>
        <w:t xml:space="preserve"> </w:t>
      </w:r>
      <w:r>
        <w:t xml:space="preserve">«Руководство по установке и настройке системы (СУФД)»</w:t>
      </w:r>
      <w:r>
        <w:t xml:space="preserve">. Настройка выполняется администратором системы.</w:t>
      </w:r>
      <w:r/>
    </w:p>
    <w:p>
      <w:pPr>
        <w:pStyle w:val="971"/>
      </w:pPr>
      <w:r/>
      <w:bookmarkStart w:id="1860" w:name="_Toc404785964"/>
      <w:r/>
      <w:bookmarkStart w:id="1861" w:name="_Toc422496742"/>
      <w:r/>
      <w:bookmarkStart w:id="1862" w:name="_Toc249273754"/>
      <w:r/>
      <w:bookmarkStart w:id="1863" w:name="_Toc88819167"/>
      <w:r>
        <w:t xml:space="preserve">Группа документов «</w:t>
      </w:r>
      <w:r>
        <w:t xml:space="preserve">Предоставление бюджетных кредитов</w:t>
      </w:r>
      <w:r>
        <w:t xml:space="preserve">»</w:t>
      </w:r>
      <w:bookmarkEnd w:id="1860"/>
      <w:r/>
      <w:bookmarkEnd w:id="1861"/>
      <w:r/>
      <w:bookmarkEnd w:id="1863"/>
      <w:r/>
      <w:r/>
    </w:p>
    <w:p>
      <w:pPr>
        <w:pStyle w:val="972"/>
      </w:pPr>
      <w:r/>
      <w:bookmarkStart w:id="1864" w:name="_Toc404785965"/>
      <w:r/>
      <w:bookmarkStart w:id="1865" w:name="_Ref404845692"/>
      <w:r/>
      <w:bookmarkStart w:id="1866" w:name="_Ref410396254"/>
      <w:r/>
      <w:bookmarkStart w:id="1867" w:name="_Toc422496743"/>
      <w:r/>
      <w:bookmarkStart w:id="1868" w:name="_Ref503270182"/>
      <w:r/>
      <w:bookmarkStart w:id="1869" w:name="_Toc88819168"/>
      <w:r>
        <w:t xml:space="preserve">Кредитный договор</w:t>
      </w:r>
      <w:bookmarkEnd w:id="1864"/>
      <w:r/>
      <w:bookmarkEnd w:id="1865"/>
      <w:r/>
      <w:bookmarkEnd w:id="1866"/>
      <w:r/>
      <w:bookmarkEnd w:id="1867"/>
      <w:r/>
      <w:bookmarkEnd w:id="1868"/>
      <w:r/>
      <w:bookmarkEnd w:id="1869"/>
      <w:r/>
      <w:r/>
    </w:p>
    <w:p>
      <w:pPr>
        <w:pStyle w:val="994"/>
      </w:pPr>
      <w:r>
        <w:t xml:space="preserve">Предоставление </w:t>
      </w:r>
      <w:r>
        <w:t xml:space="preserve">территориальными ОрФК бю</w:t>
      </w:r>
      <w:r>
        <w:t xml:space="preserve">д</w:t>
      </w:r>
      <w:r>
        <w:t xml:space="preserve">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t xml:space="preserve">т</w:t>
      </w:r>
      <w:r>
        <w:t xml:space="preserve">ным кредитам</w:t>
      </w:r>
      <w:r>
        <w:t xml:space="preserve">, </w:t>
      </w:r>
      <w:r>
        <w:t xml:space="preserve">осуществляется между УФК и уполномоченным органом в электронном виде </w:t>
      </w:r>
      <w:r>
        <w:t xml:space="preserve">посредством </w:t>
      </w:r>
      <w:r>
        <w:t xml:space="preserve">ЭД «</w:t>
      </w:r>
      <w:r>
        <w:t xml:space="preserve">Кредитный договор</w:t>
      </w:r>
      <w:r>
        <w:t xml:space="preserve">»</w:t>
      </w:r>
      <w:r>
        <w:t xml:space="preserve"> с </w:t>
      </w:r>
      <w:r>
        <w:t xml:space="preserve">и</w:t>
      </w:r>
      <w:r>
        <w:t xml:space="preserve">с</w:t>
      </w:r>
      <w:r>
        <w:t xml:space="preserve">пользованием </w:t>
      </w:r>
      <w:r>
        <w:t xml:space="preserve">ППО СУФД АСФК</w:t>
      </w:r>
      <w:r>
        <w:t xml:space="preserve">.</w:t>
      </w:r>
      <w:r/>
    </w:p>
    <w:p>
      <w:pPr>
        <w:pStyle w:val="994"/>
      </w:pPr>
      <w:r>
        <w:t xml:space="preserve">Для работы с документами </w:t>
      </w:r>
      <w:r>
        <w:t xml:space="preserve">«</w:t>
      </w:r>
      <w:r>
        <w:t xml:space="preserve">Кредитный договор</w:t>
      </w:r>
      <w:r>
        <w:t xml:space="preserve">» следует перейти в пункт меню «Документы – </w:t>
      </w:r>
      <w:r>
        <w:t xml:space="preserve">Предоставление бюджетных кредитов</w:t>
      </w:r>
      <w:r>
        <w:t xml:space="preserve"> – </w:t>
      </w:r>
      <w:r>
        <w:t xml:space="preserve">Кредитный договор</w:t>
      </w:r>
      <w:r>
        <w:t xml:space="preserve">». Откроется ЭФ списка документов, представленная на рисунке</w:t>
      </w:r>
      <w:r>
        <w:t xml:space="preserve"> </w:t>
      </w:r>
      <w:r>
        <w:fldChar w:fldCharType="begin"/>
      </w:r>
      <w:r>
        <w:instrText xml:space="preserve"> REF _Ref404840240 \h </w:instrText>
      </w:r>
      <w:r>
        <w:fldChar w:fldCharType="separate"/>
      </w:r>
      <w:r>
        <w:t xml:space="preserve">280</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3474720"/>
                <wp:effectExtent l="0" t="0" r="0" b="0"/>
                <wp:docPr id="41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69"/>
                        <a:stretch/>
                      </pic:blipFill>
                      <pic:spPr bwMode="auto">
                        <a:xfrm>
                          <a:off x="0" y="0"/>
                          <a:ext cx="6118860" cy="34747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8" o:spid="_x0000_s418" type="#_x0000_t75" style="mso-wrap-distance-left:0.0pt;mso-wrap-distance-top:0.0pt;mso-wrap-distance-right:0.0pt;mso-wrap-distance-bottom:0.0pt;width:481.8pt;height:273.6pt;" stroked="f">
                <v:path textboxrect="0,0,0,0"/>
                <v:imagedata r:id="rId369" o:title=""/>
              </v:shape>
            </w:pict>
          </mc:Fallback>
        </mc:AlternateContent>
      </w:r>
      <w:r/>
    </w:p>
    <w:p>
      <w:pPr>
        <w:pStyle w:val="983"/>
      </w:pPr>
      <w:r>
        <w:fldChar w:fldCharType="begin"/>
      </w:r>
      <w:r>
        <w:instrText xml:space="preserve"> SEQ Рисунок \* ARABIC </w:instrText>
      </w:r>
      <w:r>
        <w:fldChar w:fldCharType="separate"/>
      </w:r>
      <w:bookmarkStart w:id="1870" w:name="_Ref404840240"/>
      <w:r/>
      <w:bookmarkStart w:id="1871" w:name="_Toc88819665"/>
      <w:r>
        <w:t xml:space="preserve">280</w:t>
      </w:r>
      <w:bookmarkEnd w:id="1870"/>
      <w:r>
        <w:fldChar w:fldCharType="end"/>
      </w:r>
      <w:r>
        <w:t xml:space="preserve">. ЭФ списка документов «</w:t>
      </w:r>
      <w:r>
        <w:t xml:space="preserve">Кредитный договор</w:t>
      </w:r>
      <w:r>
        <w:t xml:space="preserve">»</w:t>
      </w:r>
      <w:bookmarkEnd w:id="1871"/>
      <w:r/>
      <w:r/>
    </w:p>
    <w:p>
      <w:pPr>
        <w:pStyle w:val="973"/>
      </w:pPr>
      <w:r>
        <w:t xml:space="preserve">Доступные операции</w:t>
      </w:r>
      <w:r/>
    </w:p>
    <w:p>
      <w:pPr>
        <w:pStyle w:val="994"/>
      </w:pPr>
      <w:r>
        <w:t xml:space="preserve">На АРМ </w:t>
      </w:r>
      <w:r>
        <w:t xml:space="preserve">ФО</w:t>
      </w:r>
      <w:r>
        <w:t xml:space="preserve"> </w:t>
      </w:r>
      <w:r>
        <w:t xml:space="preserve">доступны </w:t>
      </w:r>
      <w:r>
        <w:t xml:space="preserve">следующие операции</w:t>
      </w:r>
      <w:r>
        <w:t xml:space="preserve"> над документом</w:t>
      </w:r>
      <w:r>
        <w:t xml:space="preserve">:</w:t>
      </w:r>
      <w:r/>
    </w:p>
    <w:p>
      <w:pPr>
        <w:pStyle w:val="985"/>
      </w:pPr>
      <w:r>
        <w:t xml:space="preserve">ручной ввод;</w:t>
      </w:r>
      <w:r/>
    </w:p>
    <w:p>
      <w:pPr>
        <w:pStyle w:val="985"/>
      </w:pPr>
      <w:r>
        <w:t xml:space="preserve">просмотр и редактирование;</w:t>
      </w:r>
      <w:r/>
    </w:p>
    <w:p>
      <w:pPr>
        <w:pStyle w:val="985"/>
      </w:pPr>
      <w:r>
        <w:t xml:space="preserve">копирование;</w:t>
      </w:r>
      <w:r/>
    </w:p>
    <w:p>
      <w:pPr>
        <w:pStyle w:val="985"/>
      </w:pPr>
      <w:r>
        <w:t xml:space="preserve">документарный контроль;</w:t>
      </w:r>
      <w:r/>
    </w:p>
    <w:p>
      <w:pPr>
        <w:pStyle w:val="985"/>
      </w:pPr>
      <w:r>
        <w:t xml:space="preserve">подписание, проверка и удаление </w:t>
      </w:r>
      <w:r>
        <w:t xml:space="preserve">ЭП</w:t>
      </w:r>
      <w:r>
        <w:t xml:space="preserve">;</w:t>
      </w:r>
      <w:r/>
    </w:p>
    <w:p>
      <w:pPr>
        <w:pStyle w:val="985"/>
      </w:pPr>
      <w:r>
        <w:t xml:space="preserve">удаление;</w:t>
      </w:r>
      <w:r/>
    </w:p>
    <w:p>
      <w:pPr>
        <w:pStyle w:val="985"/>
      </w:pPr>
      <w:r>
        <w:t xml:space="preserve">печать;</w:t>
      </w:r>
      <w:r/>
    </w:p>
    <w:p>
      <w:pPr>
        <w:pStyle w:val="985"/>
      </w:pPr>
      <w:r>
        <w:t xml:space="preserve">отправка в УФК;</w:t>
      </w:r>
      <w:r/>
    </w:p>
    <w:p>
      <w:pPr>
        <w:pStyle w:val="985"/>
      </w:pPr>
      <w:r>
        <w:t xml:space="preserve">экспорт во внешнюю систему</w:t>
      </w:r>
      <w:r>
        <w:t xml:space="preserve">;</w:t>
      </w:r>
      <w:r/>
    </w:p>
    <w:p>
      <w:pPr>
        <w:pStyle w:val="985"/>
      </w:pPr>
      <w:r>
        <w:t xml:space="preserve">откат статуса передачи.</w:t>
      </w:r>
      <w:r/>
    </w:p>
    <w:p>
      <w:pPr>
        <w:pStyle w:val="994"/>
      </w:pPr>
      <w:r>
        <w:t xml:space="preserve">Уточнения по доступности операций над документом в зависимости от бизнес-статуса (БС) и/или статуса утверждения (СУ), при отличии от стандартных правил </w:t>
      </w:r>
      <w:r>
        <w:t xml:space="preserve">приведен</w:t>
      </w:r>
      <w:r>
        <w:t xml:space="preserve">ы</w:t>
      </w:r>
      <w:r>
        <w:t xml:space="preserve"> в таблице</w:t>
      </w:r>
      <w:r>
        <w:t xml:space="preserve"> </w:t>
      </w:r>
      <w:r>
        <w:fldChar w:fldCharType="begin"/>
      </w:r>
      <w:r>
        <w:instrText xml:space="preserve"> REF _Ref410394097 \h </w:instrText>
      </w:r>
      <w:r>
        <w:fldChar w:fldCharType="separate"/>
      </w:r>
      <w:r>
        <w:t xml:space="preserve">162</w:t>
      </w:r>
      <w:r>
        <w:fldChar w:fldCharType="end"/>
      </w:r>
      <w:r>
        <w:t xml:space="preserve">.</w:t>
      </w:r>
      <w:r/>
    </w:p>
    <w:p>
      <w:pPr>
        <w:pStyle w:val="993"/>
      </w:pPr>
      <w:r>
        <w:fldChar w:fldCharType="begin"/>
      </w:r>
      <w:r>
        <w:instrText xml:space="preserve"> SEQ Таблица \* ARABIC </w:instrText>
      </w:r>
      <w:r>
        <w:fldChar w:fldCharType="separate"/>
      </w:r>
      <w:bookmarkStart w:id="1872" w:name="_Ref410394097"/>
      <w:r/>
      <w:bookmarkStart w:id="1873" w:name="_Toc88819349"/>
      <w:r>
        <w:t xml:space="preserve">162</w:t>
      </w:r>
      <w:bookmarkEnd w:id="1872"/>
      <w:r>
        <w:fldChar w:fldCharType="end"/>
      </w:r>
      <w:r>
        <w:t xml:space="preserve">. Уточнения по</w:t>
      </w:r>
      <w:r>
        <w:t xml:space="preserve"> </w:t>
      </w:r>
      <w:r>
        <w:t xml:space="preserve">доступности операций над документом «Кредитный договор»</w:t>
      </w:r>
      <w:bookmarkEnd w:id="1873"/>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93"/>
        <w:gridCol w:w="7359"/>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22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73" w:type="pct"/>
            <w:vAlign w:val="center"/>
            <w:textDirection w:val="lrTb"/>
            <w:noWrap w:val="false"/>
          </w:tcPr>
          <w:p>
            <w:pPr>
              <w:pStyle w:val="1006"/>
            </w:pPr>
            <w:r>
              <w:t xml:space="preserve">Описание поля</w:t>
            </w:r>
            <w:r/>
          </w:p>
        </w:tc>
      </w:tr>
      <w:tr>
        <w:trPr/>
        <w:tc>
          <w:tcPr>
            <w:shd w:val="clear" w:fill="auto" w:color="auto"/>
            <w:tcW w:w="1227" w:type="pct"/>
            <w:textDirection w:val="lrTb"/>
            <w:noWrap w:val="false"/>
          </w:tcPr>
          <w:p>
            <w:pPr>
              <w:pStyle w:val="1005"/>
              <w:ind w:left="57" w:right="57"/>
            </w:pPr>
            <w:r>
              <w:t xml:space="preserve">Откат статуса передачи</w:t>
            </w:r>
            <w:r/>
          </w:p>
        </w:tc>
        <w:tc>
          <w:tcPr>
            <w:shd w:val="clear" w:fill="auto" w:color="auto"/>
            <w:tcW w:w="3773" w:type="pct"/>
            <w:textDirection w:val="lrTb"/>
            <w:noWrap w:val="false"/>
          </w:tcPr>
          <w:p>
            <w:pPr>
              <w:pStyle w:val="1005"/>
              <w:ind w:left="57" w:right="57"/>
            </w:pPr>
            <w:r>
              <w:t xml:space="preserve">М</w:t>
            </w:r>
            <w:r>
              <w:t xml:space="preserve">ожет выполняться на следующих БС:</w:t>
            </w:r>
            <w:r/>
          </w:p>
          <w:p>
            <w:pPr>
              <w:pStyle w:val="1008"/>
              <w:numPr>
                <w:ilvl w:val="0"/>
                <w:numId w:val="47"/>
              </w:numPr>
            </w:pPr>
            <w:r>
              <w:t xml:space="preserve">С 001 на 000</w:t>
            </w:r>
            <w:r>
              <w:t xml:space="preserve"> – </w:t>
            </w:r>
            <w:r>
              <w:t xml:space="preserve">стандартно.</w:t>
            </w:r>
            <w:r/>
          </w:p>
          <w:p>
            <w:pPr>
              <w:pStyle w:val="1008"/>
            </w:pPr>
            <w:r>
              <w:t xml:space="preserve">С 110 на 881</w:t>
            </w:r>
            <w:r>
              <w:t xml:space="preserve"> – </w:t>
            </w:r>
            <w:r>
              <w:t xml:space="preserve">при этом: </w:t>
            </w:r>
            <w:r/>
          </w:p>
          <w:p>
            <w:pPr>
              <w:pStyle w:val="1007"/>
            </w:pPr>
            <w:r>
              <w:t xml:space="preserve">если ЭД подписан на стороне УФК, то пользователю выво</w:t>
            </w:r>
            <w:r>
              <w:t xml:space="preserve">дится </w:t>
            </w:r>
            <w:r>
              <w:t xml:space="preserve">сообщение</w:t>
            </w:r>
            <w:r>
              <w:t xml:space="preserve">:</w:t>
            </w:r>
            <w:r>
              <w:t xml:space="preserve"> «Откат статуса не </w:t>
            </w:r>
            <w:r>
              <w:t xml:space="preserve">может быть выполнен над утвержде</w:t>
            </w:r>
            <w:r>
              <w:t xml:space="preserve">нным документом. Требу</w:t>
            </w:r>
            <w:r>
              <w:t xml:space="preserve">ется снять ЭП»; </w:t>
            </w:r>
            <w:r/>
          </w:p>
          <w:p>
            <w:pPr>
              <w:pStyle w:val="1007"/>
            </w:pPr>
            <w:r>
              <w:t xml:space="preserve">иначе</w:t>
            </w:r>
            <w:r>
              <w:t xml:space="preserve"> – </w:t>
            </w:r>
            <w:r>
              <w:t xml:space="preserve">проводит</w:t>
            </w:r>
            <w:r>
              <w:t xml:space="preserve">ся</w:t>
            </w:r>
            <w:r>
              <w:t xml:space="preserve"> откат.</w:t>
            </w:r>
            <w:r/>
          </w:p>
          <w:p>
            <w:pPr>
              <w:pStyle w:val="1008"/>
            </w:pPr>
            <w:r>
              <w:t xml:space="preserve">С 880 на 881</w:t>
            </w:r>
            <w:r>
              <w:t xml:space="preserve"> – </w:t>
            </w:r>
            <w:r>
              <w:t xml:space="preserve">при этом: </w:t>
            </w:r>
            <w:r/>
          </w:p>
          <w:p>
            <w:pPr>
              <w:pStyle w:val="1007"/>
            </w:pPr>
            <w:r>
              <w:t xml:space="preserve">если ЭД подписан на стороне УФК, то пользователю выводится сообщение</w:t>
            </w:r>
            <w:r>
              <w:t xml:space="preserve">:</w:t>
            </w:r>
            <w:r>
              <w:t xml:space="preserve"> «Откат статуса не может быть выполнен над утвержд</w:t>
            </w:r>
            <w:r>
              <w:t xml:space="preserve">е</w:t>
            </w:r>
            <w:r>
              <w:t xml:space="preserve">нным документом. Требу</w:t>
            </w:r>
            <w:r>
              <w:t xml:space="preserve">ется снять ЭП»; </w:t>
            </w:r>
            <w:r/>
          </w:p>
          <w:p>
            <w:pPr>
              <w:pStyle w:val="1007"/>
            </w:pPr>
            <w:r>
              <w:t xml:space="preserve">иначе</w:t>
            </w:r>
            <w:r>
              <w:t xml:space="preserve"> – </w:t>
            </w:r>
            <w:r>
              <w:t xml:space="preserve">проводит</w:t>
            </w:r>
            <w:r>
              <w:t xml:space="preserve">ся</w:t>
            </w:r>
            <w:r>
              <w:t xml:space="preserve"> проверк</w:t>
            </w:r>
            <w:r>
              <w:t xml:space="preserve">а</w:t>
            </w:r>
            <w:r>
              <w:t xml:space="preserve"> наличия ИНФ с типом Уведомление об отказе в заключении Кредитного договора и анализ БС ИНФ:</w:t>
            </w:r>
            <w:r/>
          </w:p>
          <w:p>
            <w:pPr>
              <w:pStyle w:val="1007"/>
              <w:ind w:left="653" w:hanging="283"/>
              <w:tabs>
                <w:tab w:val="clear" w:pos="170" w:leader="none"/>
                <w:tab w:val="num" w:pos="653" w:leader="none"/>
              </w:tabs>
            </w:pPr>
            <w:r>
              <w:t xml:space="preserve">если он на БС = 000, то документ</w:t>
            </w:r>
            <w:r>
              <w:t xml:space="preserve"> удаляется</w:t>
            </w:r>
            <w:r>
              <w:t xml:space="preserve"> полностью;</w:t>
            </w:r>
            <w:r/>
          </w:p>
          <w:p>
            <w:pPr>
              <w:pStyle w:val="1007"/>
              <w:ind w:left="653" w:hanging="283"/>
              <w:tabs>
                <w:tab w:val="clear" w:pos="170" w:leader="none"/>
                <w:tab w:val="num" w:pos="653" w:leader="none"/>
              </w:tabs>
            </w:pPr>
            <w:r>
              <w:t xml:space="preserve">если на БС = 001, то пользователю выводится сообщение:</w:t>
            </w:r>
            <w:r>
              <w:t xml:space="preserve"> </w:t>
            </w:r>
            <w:r>
              <w:t xml:space="preserve">«В системе присутствуют не удал</w:t>
            </w:r>
            <w:r>
              <w:t xml:space="preserve">е</w:t>
            </w:r>
            <w:r>
              <w:t xml:space="preserve">нные Уведомление об отказе в заключении Кредитного договора».</w:t>
            </w:r>
            <w:r/>
          </w:p>
        </w:tc>
      </w:tr>
    </w:tbl>
    <w:p>
      <w:pPr>
        <w:pStyle w:val="973"/>
      </w:pPr>
      <w:r>
        <w:t xml:space="preserve">Экранная форма документа</w:t>
      </w:r>
      <w:r/>
    </w:p>
    <w:p>
      <w:pPr>
        <w:pStyle w:val="994"/>
      </w:pPr>
      <w:r>
        <w:t xml:space="preserve">ЭФ документа «</w:t>
      </w:r>
      <w:r>
        <w:t xml:space="preserve">Кредитный договор</w:t>
      </w:r>
      <w:r>
        <w:t xml:space="preserve">»</w:t>
      </w:r>
      <w:r>
        <w:t xml:space="preserve">, закладки </w:t>
      </w:r>
      <w:r>
        <w:t xml:space="preserve">«Документ (1)»</w:t>
      </w:r>
      <w:r>
        <w:t xml:space="preserve"> представлена на рису</w:t>
      </w:r>
      <w:r>
        <w:t xml:space="preserve">н</w:t>
      </w:r>
      <w:r>
        <w:t xml:space="preserve">ке</w:t>
      </w:r>
      <w:r>
        <w:t xml:space="preserve"> </w:t>
      </w:r>
      <w:r>
        <w:fldChar w:fldCharType="begin"/>
      </w:r>
      <w:r>
        <w:instrText xml:space="preserve"> REF _Ref404840241 \h </w:instrText>
      </w:r>
      <w:r>
        <w:fldChar w:fldCharType="separate"/>
      </w:r>
      <w:r>
        <w:t xml:space="preserve">281</w:t>
      </w:r>
      <w:r>
        <w:fldChar w:fldCharType="end"/>
      </w:r>
      <w:r>
        <w:t xml:space="preserve">. Форма</w:t>
      </w:r>
      <w:r>
        <w:t xml:space="preserve"> содержит следующие закладки:</w:t>
      </w:r>
      <w:r/>
    </w:p>
    <w:p>
      <w:pPr>
        <w:pStyle w:val="985"/>
      </w:pPr>
      <w:r>
        <w:t xml:space="preserve">«Документ (1)»;</w:t>
      </w:r>
      <w:r/>
    </w:p>
    <w:p>
      <w:pPr>
        <w:pStyle w:val="985"/>
      </w:pPr>
      <w:r>
        <w:t xml:space="preserve">«</w:t>
      </w:r>
      <w:r>
        <w:t xml:space="preserve">Параметры Кредита (2)</w:t>
      </w:r>
      <w:r>
        <w:t xml:space="preserve">»;</w:t>
      </w:r>
      <w:r/>
    </w:p>
    <w:p>
      <w:pPr>
        <w:pStyle w:val="985"/>
      </w:pPr>
      <w:r>
        <w:t xml:space="preserve">«</w:t>
      </w:r>
      <w:r>
        <w:t xml:space="preserve">Реквизиты сторон (3)</w:t>
      </w:r>
      <w:r>
        <w:t xml:space="preserve">»;</w:t>
      </w:r>
      <w:r/>
    </w:p>
    <w:p>
      <w:pPr>
        <w:pStyle w:val="985"/>
      </w:pPr>
      <w:r>
        <w:t xml:space="preserve">«</w:t>
      </w:r>
      <w:r>
        <w:t xml:space="preserve">Подписи сторон (4)</w:t>
      </w:r>
      <w:r>
        <w:t xml:space="preserve">».</w:t>
      </w:r>
      <w:r/>
    </w:p>
    <w:p>
      <w:pPr>
        <w:pStyle w:val="982"/>
      </w:pPr>
      <w:r>
        <mc:AlternateContent>
          <mc:Choice Requires="wpg">
            <w:drawing>
              <wp:inline xmlns:wp="http://schemas.openxmlformats.org/drawingml/2006/wordprocessingDrawing" distT="0" distB="0" distL="0" distR="0">
                <wp:extent cx="6126480" cy="4846320"/>
                <wp:effectExtent l="0" t="0" r="0" b="0"/>
                <wp:docPr id="42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70"/>
                        <a:stretch/>
                      </pic:blipFill>
                      <pic:spPr bwMode="auto">
                        <a:xfrm>
                          <a:off x="0" y="0"/>
                          <a:ext cx="6126480" cy="4846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9" o:spid="_x0000_s419" type="#_x0000_t75" style="mso-wrap-distance-left:0.0pt;mso-wrap-distance-top:0.0pt;mso-wrap-distance-right:0.0pt;mso-wrap-distance-bottom:0.0pt;width:482.4pt;height:381.6pt;" stroked="f">
                <v:path textboxrect="0,0,0,0"/>
                <v:imagedata r:id="rId370" o:title=""/>
              </v:shape>
            </w:pict>
          </mc:Fallback>
        </mc:AlternateContent>
      </w:r>
      <w:r/>
    </w:p>
    <w:p>
      <w:pPr>
        <w:pStyle w:val="983"/>
      </w:pPr>
      <w:r>
        <w:fldChar w:fldCharType="begin"/>
      </w:r>
      <w:r>
        <w:instrText xml:space="preserve"> SEQ Рисунок \* ARABIC </w:instrText>
      </w:r>
      <w:r>
        <w:fldChar w:fldCharType="separate"/>
      </w:r>
      <w:bookmarkStart w:id="1874" w:name="_Ref404840241"/>
      <w:r/>
      <w:bookmarkStart w:id="1875" w:name="_Toc88819666"/>
      <w:r>
        <w:t xml:space="preserve">281</w:t>
      </w:r>
      <w:bookmarkEnd w:id="1874"/>
      <w:r>
        <w:fldChar w:fldCharType="end"/>
      </w:r>
      <w:r>
        <w:t xml:space="preserve">. ЭФ документа «</w:t>
      </w:r>
      <w:r>
        <w:t xml:space="preserve">Кредитный договор</w:t>
      </w:r>
      <w:r>
        <w:t xml:space="preserve">», закладки «</w:t>
      </w:r>
      <w:r>
        <w:t xml:space="preserve">Документ (1)»</w:t>
      </w:r>
      <w:bookmarkEnd w:id="1875"/>
      <w:r/>
      <w:r/>
    </w:p>
    <w:p>
      <w:pPr>
        <w:pStyle w:val="994"/>
      </w:pPr>
      <w:r>
        <w:t xml:space="preserve">Перечень</w:t>
      </w:r>
      <w:r>
        <w:t xml:space="preserve"> полей</w:t>
      </w:r>
      <w:r>
        <w:t xml:space="preserve"> </w:t>
      </w:r>
      <w:r>
        <w:t xml:space="preserve">документа «</w:t>
      </w:r>
      <w:r>
        <w:t xml:space="preserve">Кредитный договор</w:t>
      </w:r>
      <w:r>
        <w:t xml:space="preserve">»</w:t>
      </w:r>
      <w:r>
        <w:t xml:space="preserve">, закладки </w:t>
      </w:r>
      <w:r>
        <w:t xml:space="preserve">«Документ (1)»</w:t>
      </w:r>
      <w:r>
        <w:t xml:space="preserve"> </w:t>
      </w:r>
      <w:r>
        <w:t xml:space="preserve">приведен в таблице</w:t>
      </w:r>
      <w:r>
        <w:t xml:space="preserve"> </w:t>
      </w:r>
      <w:r>
        <w:fldChar w:fldCharType="begin"/>
      </w:r>
      <w:r>
        <w:instrText xml:space="preserve"> REF _Ref404840244 \h </w:instrText>
      </w:r>
      <w:r>
        <w:fldChar w:fldCharType="separate"/>
      </w:r>
      <w:r>
        <w:t xml:space="preserve">163</w:t>
      </w:r>
      <w:r>
        <w:fldChar w:fldCharType="end"/>
      </w:r>
      <w:r>
        <w:t xml:space="preserve">.</w:t>
      </w:r>
      <w:r/>
    </w:p>
    <w:p>
      <w:pPr>
        <w:pStyle w:val="993"/>
      </w:pPr>
      <w:r>
        <w:fldChar w:fldCharType="begin"/>
      </w:r>
      <w:r>
        <w:instrText xml:space="preserve"> SEQ Таблица \* ARABIC </w:instrText>
      </w:r>
      <w:r>
        <w:fldChar w:fldCharType="separate"/>
      </w:r>
      <w:bookmarkStart w:id="1876" w:name="_Ref404840244"/>
      <w:r/>
      <w:bookmarkStart w:id="1877" w:name="_Toc88819350"/>
      <w:r>
        <w:t xml:space="preserve">163</w:t>
      </w:r>
      <w:bookmarkEnd w:id="1876"/>
      <w:r>
        <w:fldChar w:fldCharType="end"/>
      </w:r>
      <w:r>
        <w:t xml:space="preserve">. Описание полей документа «</w:t>
      </w:r>
      <w:r>
        <w:t xml:space="preserve">Кредитный договор</w:t>
      </w:r>
      <w:r>
        <w:t xml:space="preserve">», закладки «</w:t>
      </w:r>
      <w:r>
        <w:t xml:space="preserve">Документ (1)»</w:t>
      </w:r>
      <w:bookmarkEnd w:id="1877"/>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184"/>
        <w:gridCol w:w="7568"/>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12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80"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«Основные атрибуты»</w:t>
            </w:r>
            <w:r/>
          </w:p>
        </w:tc>
      </w:tr>
      <w:tr>
        <w:trPr/>
        <w:tc>
          <w:tcPr>
            <w:shd w:val="clear" w:fill="auto" w:color="auto"/>
            <w:tcW w:w="1120" w:type="pct"/>
            <w:textDirection w:val="lrTb"/>
            <w:noWrap w:val="false"/>
          </w:tcPr>
          <w:p>
            <w:pPr>
              <w:pStyle w:val="1005"/>
              <w:ind w:left="57" w:right="57"/>
            </w:pPr>
            <w:r>
              <w:t xml:space="preserve">Номер</w:t>
            </w:r>
            <w:r/>
          </w:p>
        </w:tc>
        <w:tc>
          <w:tcPr>
            <w:shd w:val="clear" w:fill="auto" w:color="auto"/>
            <w:tcW w:w="3880" w:type="pct"/>
            <w:textDirection w:val="lrTb"/>
            <w:noWrap w:val="false"/>
          </w:tcPr>
          <w:p>
            <w:pPr>
              <w:pStyle w:val="1005"/>
              <w:ind w:left="57" w:right="57"/>
            </w:pPr>
            <w:r>
              <w:t xml:space="preserve">Номер дополнительного соглашения, присвоенный документу в УФК при регистрации. </w:t>
            </w:r>
            <w:r/>
          </w:p>
          <w:p>
            <w:pPr>
              <w:pStyle w:val="1005"/>
              <w:ind w:left="57" w:right="57"/>
            </w:pPr>
            <w:r>
              <w:t xml:space="preserve">На ФО БС/МБ</w:t>
            </w:r>
            <w:r>
              <w:t xml:space="preserve">: Поле не доступно для ввода.</w:t>
            </w:r>
            <w:r/>
          </w:p>
        </w:tc>
      </w:tr>
      <w:tr>
        <w:trPr/>
        <w:tc>
          <w:tcPr>
            <w:shd w:val="clear" w:fill="auto" w:color="auto"/>
            <w:tcW w:w="1120" w:type="pct"/>
            <w:textDirection w:val="lrTb"/>
            <w:noWrap w:val="false"/>
          </w:tcPr>
          <w:p>
            <w:pPr>
              <w:pStyle w:val="1005"/>
              <w:ind w:left="57" w:right="57"/>
            </w:pPr>
            <w:r>
              <w:t xml:space="preserve">Дата</w:t>
            </w:r>
            <w:r/>
          </w:p>
        </w:tc>
        <w:tc>
          <w:tcPr>
            <w:shd w:val="clear" w:fill="auto" w:color="auto"/>
            <w:tcW w:w="3880" w:type="pct"/>
            <w:textDirection w:val="lrTb"/>
            <w:noWrap w:val="false"/>
          </w:tcPr>
          <w:p>
            <w:pPr>
              <w:pStyle w:val="1005"/>
              <w:ind w:left="57" w:right="57"/>
            </w:pPr>
            <w:r>
              <w:t xml:space="preserve">Дата дополнительного соглашения.</w:t>
            </w:r>
            <w:r/>
          </w:p>
          <w:p>
            <w:pPr>
              <w:pStyle w:val="1005"/>
              <w:ind w:left="57" w:right="57"/>
            </w:pPr>
            <w:r>
              <w:t xml:space="preserve">На ФО БС/МБ</w:t>
            </w:r>
            <w:r>
              <w:t xml:space="preserve">: </w:t>
            </w:r>
            <w:r>
              <w:t xml:space="preserve">Не доступно для ввода и редактирования.</w:t>
            </w:r>
            <w:r/>
          </w:p>
        </w:tc>
      </w:tr>
      <w:tr>
        <w:trPr/>
        <w:tc>
          <w:tcPr>
            <w:shd w:val="clear" w:fill="auto" w:color="auto"/>
            <w:tcW w:w="1120" w:type="pct"/>
            <w:textDirection w:val="lrTb"/>
            <w:noWrap w:val="false"/>
          </w:tcPr>
          <w:p>
            <w:pPr>
              <w:pStyle w:val="1005"/>
              <w:ind w:left="57" w:right="57"/>
            </w:pPr>
            <w:r>
              <w:t xml:space="preserve">Номер договора</w:t>
            </w:r>
            <w:r/>
          </w:p>
        </w:tc>
        <w:tc>
          <w:tcPr>
            <w:shd w:val="clear" w:fill="auto" w:color="auto"/>
            <w:tcW w:w="3880" w:type="pct"/>
            <w:textDirection w:val="lrTb"/>
            <w:noWrap w:val="false"/>
          </w:tcPr>
          <w:p>
            <w:pPr>
              <w:pStyle w:val="1005"/>
              <w:ind w:left="57" w:right="57"/>
            </w:pPr>
            <w:r>
              <w:t xml:space="preserve">На ФО БС/МБ</w:t>
            </w:r>
            <w:r>
              <w:t xml:space="preserve">: Заполнение вручную.</w:t>
            </w:r>
            <w:r/>
          </w:p>
        </w:tc>
      </w:tr>
      <w:tr>
        <w:trPr/>
        <w:tc>
          <w:tcPr>
            <w:shd w:val="clear" w:fill="auto" w:color="auto"/>
            <w:tcW w:w="1120" w:type="pct"/>
            <w:textDirection w:val="lrTb"/>
            <w:noWrap w:val="false"/>
          </w:tcPr>
          <w:p>
            <w:pPr>
              <w:pStyle w:val="1005"/>
              <w:ind w:left="57" w:right="57"/>
            </w:pPr>
            <w:r>
              <w:t xml:space="preserve">Дата договора</w:t>
            </w:r>
            <w:r/>
          </w:p>
        </w:tc>
        <w:tc>
          <w:tcPr>
            <w:shd w:val="clear" w:fill="auto" w:color="auto"/>
            <w:tcW w:w="3880" w:type="pct"/>
            <w:textDirection w:val="lrTb"/>
            <w:noWrap w:val="false"/>
          </w:tcPr>
          <w:p>
            <w:pPr>
              <w:pStyle w:val="1005"/>
              <w:ind w:left="57" w:right="57"/>
            </w:pPr>
            <w:r>
              <w:t xml:space="preserve">На ФО БС/МБ</w:t>
            </w:r>
            <w:r>
              <w:t xml:space="preserve">:</w:t>
            </w:r>
            <w:r>
              <w:t xml:space="preserve"> </w:t>
            </w:r>
            <w:r>
              <w:t xml:space="preserve">По умолчанию поле не заполняется; </w:t>
            </w:r>
            <w:r/>
          </w:p>
          <w:p>
            <w:pPr>
              <w:pStyle w:val="1005"/>
              <w:ind w:left="57" w:right="57"/>
            </w:pPr>
            <w:r>
              <w:t xml:space="preserve">Доступно заполнение выбором из системного календаря; Заполнение поля вручную.</w:t>
            </w:r>
            <w:r/>
          </w:p>
        </w:tc>
      </w:tr>
      <w:tr>
        <w:trPr/>
        <w:tc>
          <w:tcPr>
            <w:shd w:val="clear" w:fill="auto" w:color="auto"/>
            <w:tcW w:w="1120" w:type="pct"/>
            <w:textDirection w:val="lrTb"/>
            <w:noWrap w:val="false"/>
          </w:tcPr>
          <w:p>
            <w:pPr>
              <w:pStyle w:val="1005"/>
              <w:ind w:left="57" w:right="57"/>
            </w:pPr>
            <w:r>
              <w:t xml:space="preserve">Город</w:t>
            </w:r>
            <w:r/>
          </w:p>
        </w:tc>
        <w:tc>
          <w:tcPr>
            <w:shd w:val="clear" w:fill="auto" w:color="auto"/>
            <w:tcW w:w="3880" w:type="pct"/>
            <w:textDirection w:val="lrTb"/>
            <w:noWrap w:val="false"/>
          </w:tcPr>
          <w:p>
            <w:pPr>
              <w:pStyle w:val="1005"/>
              <w:ind w:left="57" w:right="57"/>
            </w:pPr>
            <w:r>
              <w:t xml:space="preserve">Указывается название города, в котором территориально находится УФК.</w:t>
            </w:r>
            <w:r/>
          </w:p>
          <w:p>
            <w:pPr>
              <w:pStyle w:val="1005"/>
              <w:ind w:left="57" w:right="57"/>
            </w:pPr>
            <w:r>
              <w:t xml:space="preserve">На ФО БС/МБ</w:t>
            </w:r>
            <w:r>
              <w:t xml:space="preserve">: Заполнение вручную.</w:t>
            </w:r>
            <w:r/>
          </w:p>
        </w:tc>
      </w:tr>
      <w:tr>
        <w:trPr/>
        <w:tc>
          <w:tcPr>
            <w:gridSpan w:val="2"/>
            <w:shd w:val="clear" w:fill="auto" w:color="auto"/>
            <w:tcW w:w="5000" w:type="pct"/>
            <w:textDirection w:val="lrTb"/>
            <w:noWrap w:val="false"/>
          </w:tcPr>
          <w:p>
            <w:pPr>
              <w:pStyle w:val="1005"/>
              <w:ind w:left="57" w:right="57"/>
            </w:pPr>
            <w:r>
              <w:t xml:space="preserve">Группа полей «Информация об УФК»</w:t>
            </w:r>
            <w:r/>
          </w:p>
        </w:tc>
      </w:tr>
      <w:tr>
        <w:trPr/>
        <w:tc>
          <w:tcPr>
            <w:shd w:val="clear" w:fill="auto" w:color="auto"/>
            <w:tcW w:w="1120" w:type="pct"/>
            <w:textDirection w:val="lrTb"/>
            <w:noWrap w:val="false"/>
          </w:tcPr>
          <w:p>
            <w:pPr>
              <w:pStyle w:val="1005"/>
              <w:ind w:left="57" w:right="57"/>
            </w:pPr>
            <w:r>
              <w:t xml:space="preserve">По КОФК</w:t>
            </w:r>
            <w:r/>
          </w:p>
        </w:tc>
        <w:tc>
          <w:tcPr>
            <w:shd w:val="clear" w:fill="auto" w:color="auto"/>
            <w:tcW w:w="3880" w:type="pct"/>
            <w:textDirection w:val="lrTb"/>
            <w:noWrap w:val="false"/>
          </w:tcPr>
          <w:p>
            <w:pPr>
              <w:pStyle w:val="1005"/>
              <w:ind w:left="57" w:right="57"/>
            </w:pPr>
            <w:r>
              <w:t xml:space="preserve">Значение кода по КОФК УФК, по которому создается документ.</w:t>
            </w:r>
            <w:r/>
          </w:p>
          <w:p>
            <w:pPr>
              <w:pStyle w:val="1005"/>
              <w:ind w:left="57" w:right="57"/>
            </w:pPr>
            <w:r>
              <w:t xml:space="preserve">На ФО БС/МБ</w:t>
            </w:r>
            <w:r>
              <w:t xml:space="preserve">: Заполняется</w:t>
            </w:r>
            <w:r>
              <w:t xml:space="preserve"> </w:t>
            </w:r>
            <w:r>
              <w:t xml:space="preserve">по умолчанию на основании системной константы:</w:t>
            </w:r>
            <w:r>
              <w:t xml:space="preserve"> </w:t>
            </w:r>
            <w:r/>
          </w:p>
          <w:p>
            <w:pPr>
              <w:pStyle w:val="1007"/>
            </w:pPr>
            <w:r>
              <w:t xml:space="preserve">Код собственного ТОФК (</w:t>
            </w:r>
            <w:r>
              <w:t xml:space="preserve">SelfTOFKcode (Код собственного ТОФК)</w:t>
            </w:r>
            <w:r>
              <w:t xml:space="preserve">), если соответствует маске xx00;</w:t>
            </w:r>
            <w:r/>
          </w:p>
          <w:p>
            <w:pPr>
              <w:pStyle w:val="1007"/>
            </w:pPr>
            <w:r>
              <w:t xml:space="preserve">Код вышестоящего ТОФК (</w:t>
            </w:r>
            <w:r>
              <w:t xml:space="preserve">HigherTOFKcode (Код вышестоящего ТОФК)</w:t>
            </w:r>
            <w:r>
              <w:t xml:space="preserve">), если код собственного ТОФК (</w:t>
            </w:r>
            <w:r>
              <w:t xml:space="preserve">SelfTOFKcode (Код собственного ТОФК)</w:t>
            </w:r>
            <w:r>
              <w:t xml:space="preserve">) соответствует маске xxyy.</w:t>
            </w:r>
            <w:r/>
          </w:p>
          <w:p>
            <w:pPr>
              <w:pStyle w:val="1005"/>
              <w:ind w:left="57" w:right="57"/>
            </w:pPr>
            <w:r>
              <w:t xml:space="preserve">Поле недоступно для ввода вручную</w:t>
            </w:r>
            <w:r>
              <w:t xml:space="preserve">.</w:t>
            </w:r>
            <w:r/>
          </w:p>
        </w:tc>
      </w:tr>
      <w:tr>
        <w:trPr/>
        <w:tc>
          <w:tcPr>
            <w:shd w:val="clear" w:fill="auto" w:color="auto"/>
            <w:tcW w:w="1120" w:type="pct"/>
            <w:textDirection w:val="lrTb"/>
            <w:noWrap w:val="false"/>
          </w:tcPr>
          <w:p>
            <w:pPr>
              <w:pStyle w:val="1005"/>
              <w:ind w:left="57" w:right="57"/>
            </w:pPr>
            <w:r>
              <w:t xml:space="preserve">Код по Сводному реестру</w:t>
            </w:r>
            <w:r/>
          </w:p>
        </w:tc>
        <w:tc>
          <w:tcPr>
            <w:shd w:val="clear" w:fill="auto" w:color="auto"/>
            <w:tcW w:w="3880" w:type="pct"/>
            <w:textDirection w:val="lrTb"/>
            <w:noWrap w:val="false"/>
          </w:tcPr>
          <w:p>
            <w:pPr>
              <w:pStyle w:val="1005"/>
              <w:ind w:left="57" w:right="57"/>
            </w:pPr>
            <w:r>
              <w:t xml:space="preserve">Значение кода по Сводному реестру УФК, по которому создается документ.</w:t>
            </w:r>
            <w:r/>
          </w:p>
          <w:p>
            <w:pPr>
              <w:pStyle w:val="1005"/>
              <w:ind w:left="57" w:right="57"/>
            </w:pPr>
            <w:r>
              <w:t xml:space="preserve">На ФО БС/МБ</w:t>
            </w:r>
            <w:r>
              <w:t xml:space="preserve">: Заполняется</w:t>
            </w:r>
            <w:r>
              <w:t xml:space="preserve"> </w:t>
            </w:r>
            <w:r>
              <w:t xml:space="preserve">по умолчанию значением поля «Код РУБП»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r/>
          </w:p>
          <w:p>
            <w:pPr>
              <w:pStyle w:val="1005"/>
              <w:ind w:left="57" w:right="57"/>
            </w:pPr>
            <w:r>
              <w:t xml:space="preserve">Поле недоступно для ввода вручную</w:t>
            </w:r>
            <w:r>
              <w:t xml:space="preserve">.</w:t>
            </w:r>
            <w:r/>
          </w:p>
        </w:tc>
      </w:tr>
      <w:tr>
        <w:trPr/>
        <w:tc>
          <w:tcPr>
            <w:shd w:val="clear" w:fill="auto" w:color="auto"/>
            <w:tcW w:w="1120" w:type="pct"/>
            <w:textDirection w:val="lrTb"/>
            <w:noWrap w:val="false"/>
          </w:tcPr>
          <w:p>
            <w:pPr>
              <w:pStyle w:val="1005"/>
              <w:ind w:left="57" w:right="57"/>
            </w:pPr>
            <w:r>
              <w:t xml:space="preserve">Наименование УФК</w:t>
            </w:r>
            <w:r/>
          </w:p>
        </w:tc>
        <w:tc>
          <w:tcPr>
            <w:shd w:val="clear" w:fill="auto" w:color="auto"/>
            <w:tcW w:w="3880" w:type="pct"/>
            <w:textDirection w:val="lrTb"/>
            <w:noWrap w:val="false"/>
          </w:tcPr>
          <w:p>
            <w:pPr>
              <w:pStyle w:val="1005"/>
              <w:ind w:left="57" w:right="57"/>
            </w:pPr>
            <w:r>
              <w:t xml:space="preserve">Указывается полное наименование УФК, заключающего Кредитный договор.</w:t>
            </w:r>
            <w:r/>
          </w:p>
          <w:p>
            <w:pPr>
              <w:pStyle w:val="1005"/>
              <w:ind w:left="57" w:right="57"/>
            </w:pPr>
            <w:r>
              <w:t xml:space="preserve">На ФО БС/МБ</w:t>
            </w:r>
            <w:r>
              <w:t xml:space="preserve">: Заполняется</w:t>
            </w:r>
            <w:r>
              <w:t xml:space="preserve"> </w:t>
            </w:r>
            <w:r>
              <w:t xml:space="preserve">п</w:t>
            </w:r>
            <w:r>
              <w:t xml:space="preserve">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r/>
          </w:p>
          <w:p>
            <w:pPr>
              <w:pStyle w:val="1005"/>
              <w:ind w:left="57" w:right="57"/>
            </w:pPr>
            <w:r>
              <w:t xml:space="preserve">Поле недоступно для ввода вручную</w:t>
            </w:r>
            <w:r>
              <w:t xml:space="preserve">.</w:t>
            </w:r>
            <w:r/>
          </w:p>
        </w:tc>
      </w:tr>
      <w:tr>
        <w:trPr/>
        <w:tc>
          <w:tcPr>
            <w:shd w:val="clear" w:fill="auto" w:color="auto"/>
            <w:tcW w:w="1120" w:type="pct"/>
            <w:textDirection w:val="lrTb"/>
            <w:noWrap w:val="false"/>
          </w:tcPr>
          <w:p>
            <w:pPr>
              <w:pStyle w:val="1005"/>
              <w:ind w:left="57" w:right="57"/>
            </w:pPr>
            <w:r>
              <w:t xml:space="preserve">В лице: должность</w:t>
            </w:r>
            <w:r/>
          </w:p>
        </w:tc>
        <w:tc>
          <w:tcPr>
            <w:shd w:val="clear" w:fill="auto" w:color="auto"/>
            <w:tcW w:w="3880" w:type="pct"/>
            <w:textDirection w:val="lrTb"/>
            <w:noWrap w:val="false"/>
          </w:tcPr>
          <w:p>
            <w:pPr>
              <w:pStyle w:val="1005"/>
              <w:ind w:left="57" w:right="57"/>
            </w:pPr>
            <w:r>
              <w:t xml:space="preserve">На ФО БС/МБ</w:t>
            </w:r>
            <w:r>
              <w:t xml:space="preserve">: Заполнение вручную.</w:t>
            </w:r>
            <w:r/>
          </w:p>
        </w:tc>
      </w:tr>
      <w:tr>
        <w:trPr/>
        <w:tc>
          <w:tcPr>
            <w:shd w:val="clear" w:fill="auto" w:color="auto"/>
            <w:tcW w:w="1120" w:type="pct"/>
            <w:textDirection w:val="lrTb"/>
            <w:noWrap w:val="false"/>
          </w:tcPr>
          <w:p>
            <w:pPr>
              <w:pStyle w:val="1005"/>
              <w:ind w:left="57" w:right="57"/>
            </w:pPr>
            <w:r>
              <w:t xml:space="preserve">В лице: ФИО</w:t>
            </w:r>
            <w:r/>
          </w:p>
        </w:tc>
        <w:tc>
          <w:tcPr>
            <w:shd w:val="clear" w:fill="auto" w:color="auto"/>
            <w:tcW w:w="3880" w:type="pct"/>
            <w:textDirection w:val="lrTb"/>
            <w:noWrap w:val="false"/>
          </w:tcPr>
          <w:p>
            <w:pPr>
              <w:pStyle w:val="1005"/>
              <w:ind w:left="57" w:right="57"/>
            </w:pPr>
            <w:r>
              <w:t xml:space="preserve">На ФО БС/МБ</w:t>
            </w:r>
            <w:r>
              <w:t xml:space="preserve">: Заполнение вручную.</w:t>
            </w:r>
            <w:r/>
          </w:p>
        </w:tc>
      </w:tr>
      <w:tr>
        <w:trPr/>
        <w:tc>
          <w:tcPr>
            <w:shd w:val="clear" w:fill="auto" w:color="auto"/>
            <w:tcW w:w="1120" w:type="pct"/>
            <w:textDirection w:val="lrTb"/>
            <w:noWrap w:val="false"/>
          </w:tcPr>
          <w:p>
            <w:pPr>
              <w:pStyle w:val="1005"/>
              <w:ind w:left="57" w:right="57"/>
            </w:pPr>
            <w:r>
              <w:t xml:space="preserve">Действующего(ей) на основании</w:t>
            </w:r>
            <w:r/>
          </w:p>
        </w:tc>
        <w:tc>
          <w:tcPr>
            <w:shd w:val="clear" w:fill="auto" w:color="auto"/>
            <w:tcW w:w="3880" w:type="pct"/>
            <w:textDirection w:val="lrTb"/>
            <w:noWrap w:val="false"/>
          </w:tcPr>
          <w:p>
            <w:pPr>
              <w:pStyle w:val="1005"/>
              <w:ind w:left="57" w:right="57"/>
            </w:pPr>
            <w:r>
              <w:t xml:space="preserve">На ФО БС/МБ</w:t>
            </w:r>
            <w:r>
              <w:t xml:space="preserve">: Заполнение вручную.</w:t>
            </w:r>
            <w:r/>
          </w:p>
          <w:p>
            <w:pPr>
              <w:pStyle w:val="1005"/>
              <w:ind w:left="57" w:right="57"/>
            </w:pPr>
            <w:r/>
            <w:r/>
          </w:p>
        </w:tc>
      </w:tr>
      <w:tr>
        <w:trPr/>
        <w:tc>
          <w:tcPr>
            <w:gridSpan w:val="2"/>
            <w:shd w:val="clear" w:fill="auto" w:color="auto"/>
            <w:tcW w:w="5000" w:type="pct"/>
            <w:textDirection w:val="lrTb"/>
            <w:noWrap w:val="false"/>
          </w:tcPr>
          <w:p>
            <w:pPr>
              <w:pStyle w:val="1005"/>
              <w:ind w:left="57" w:right="57"/>
            </w:pPr>
            <w:r>
              <w:t xml:space="preserve">Группа полей «Информация об Уполномоченном органе бюджета субъекта РФ (муниципального образования)»</w:t>
            </w:r>
            <w:r/>
          </w:p>
        </w:tc>
      </w:tr>
      <w:tr>
        <w:trPr/>
        <w:tc>
          <w:tcPr>
            <w:shd w:val="clear" w:fill="auto" w:color="auto"/>
            <w:tcW w:w="1120" w:type="pct"/>
            <w:textDirection w:val="lrTb"/>
            <w:noWrap w:val="false"/>
          </w:tcPr>
          <w:p>
            <w:pPr>
              <w:pStyle w:val="1005"/>
              <w:ind w:left="57" w:right="57"/>
            </w:pPr>
            <w:r>
              <w:t xml:space="preserve">Код по ПУБП</w:t>
            </w:r>
            <w:r/>
          </w:p>
        </w:tc>
        <w:tc>
          <w:tcPr>
            <w:shd w:val="clear" w:fill="auto" w:color="auto"/>
            <w:tcW w:w="3880" w:type="pct"/>
            <w:textDirection w:val="lrTb"/>
            <w:noWrap w:val="false"/>
          </w:tcPr>
          <w:p>
            <w:pPr>
              <w:pStyle w:val="1005"/>
              <w:ind w:left="57" w:right="57"/>
            </w:pPr>
            <w:r>
              <w:t xml:space="preserve">Значение кода по ПУБП уполномоченного органа, по которому создается документ.</w:t>
            </w:r>
            <w:r/>
          </w:p>
          <w:p>
            <w:pPr>
              <w:pStyle w:val="1005"/>
              <w:ind w:left="57" w:right="57"/>
            </w:pPr>
            <w:r>
              <w:t xml:space="preserve">На ФО БС/МБ</w:t>
            </w:r>
            <w:r>
              <w:t xml:space="preserve">: Заполняется</w:t>
            </w:r>
            <w:r>
              <w:t xml:space="preserve"> </w:t>
            </w:r>
            <w:r>
              <w:t xml:space="preserve">по умолчанию на основании системной константы Код собственного БУ (</w:t>
            </w:r>
            <w:r>
              <w:t xml:space="preserve">SelfBUCode (Код собственного БУ)</w:t>
            </w:r>
            <w:r>
              <w:t xml:space="preserve">).</w:t>
            </w:r>
            <w:r/>
          </w:p>
          <w:p>
            <w:pPr>
              <w:pStyle w:val="1005"/>
              <w:ind w:left="57" w:right="57"/>
            </w:pPr>
            <w:r>
              <w:t xml:space="preserve">Поле недоступно для ввода вручную</w:t>
            </w:r>
            <w:r>
              <w:t xml:space="preserve">.</w:t>
            </w:r>
            <w:r/>
          </w:p>
        </w:tc>
      </w:tr>
      <w:tr>
        <w:trPr/>
        <w:tc>
          <w:tcPr>
            <w:shd w:val="clear" w:fill="auto" w:color="auto"/>
            <w:tcW w:w="1120" w:type="pct"/>
            <w:textDirection w:val="lrTb"/>
            <w:noWrap w:val="false"/>
          </w:tcPr>
          <w:p>
            <w:pPr>
              <w:pStyle w:val="1005"/>
              <w:ind w:left="57" w:right="57"/>
            </w:pPr>
            <w:r>
              <w:t xml:space="preserve">Наименование </w:t>
            </w:r>
            <w:r/>
          </w:p>
        </w:tc>
        <w:tc>
          <w:tcPr>
            <w:shd w:val="clear" w:fill="auto" w:color="auto"/>
            <w:tcW w:w="3880" w:type="pct"/>
            <w:textDirection w:val="lrTb"/>
            <w:noWrap w:val="false"/>
          </w:tcPr>
          <w:p>
            <w:pPr>
              <w:pStyle w:val="1005"/>
              <w:ind w:left="57" w:right="57"/>
            </w:pPr>
            <w:r>
              <w:t xml:space="preserve">Указывается полное наименование уполномоченного органа, заключающего Кредитный договор.</w:t>
            </w:r>
            <w:r/>
          </w:p>
          <w:p>
            <w:pPr>
              <w:pStyle w:val="1005"/>
              <w:ind w:left="57" w:right="57"/>
            </w:pPr>
            <w:r>
              <w:t xml:space="preserve">На ФО БС/МБ</w:t>
            </w:r>
            <w:r>
              <w:t xml:space="preserve">: Заполняется</w:t>
            </w:r>
            <w:r>
              <w:t xml:space="preserve"> </w:t>
            </w:r>
            <w:r>
              <w:t xml:space="preserve">по умолчанию значением поля «Полное наименование» из справочника «РУБП» найденной записи по условию: актуальная запись, бюджет = системной константе </w:t>
            </w:r>
            <w:r>
              <w:t xml:space="preserve">SelfBudgetCode (Код бюджета)</w:t>
            </w:r>
            <w:r>
              <w:t xml:space="preserve">,</w:t>
            </w:r>
            <w:r>
              <w:t xml:space="preserve"> </w:t>
            </w:r>
            <w:r>
              <w:t xml:space="preserve">код РУБП = системной константе </w:t>
            </w:r>
            <w:r>
              <w:t xml:space="preserve">SelfBUCode (Код собственного БУ)</w:t>
            </w:r>
            <w:r>
              <w:t xml:space="preserve">.</w:t>
            </w:r>
            <w:r/>
          </w:p>
          <w:p>
            <w:pPr>
              <w:pStyle w:val="1005"/>
              <w:ind w:left="57" w:right="57"/>
            </w:pPr>
            <w:r>
              <w:t xml:space="preserve">Поле недоступно для ввода вручную</w:t>
            </w:r>
            <w:r>
              <w:t xml:space="preserve">.</w:t>
            </w:r>
            <w:r/>
          </w:p>
        </w:tc>
      </w:tr>
      <w:tr>
        <w:trPr/>
        <w:tc>
          <w:tcPr>
            <w:shd w:val="clear" w:fill="auto" w:color="auto"/>
            <w:tcW w:w="1120" w:type="pct"/>
            <w:textDirection w:val="lrTb"/>
            <w:noWrap w:val="false"/>
          </w:tcPr>
          <w:p>
            <w:pPr>
              <w:pStyle w:val="1005"/>
              <w:ind w:left="57" w:right="57"/>
            </w:pPr>
            <w:r>
              <w:t xml:space="preserve">От имени</w:t>
            </w:r>
            <w:r/>
          </w:p>
        </w:tc>
        <w:tc>
          <w:tcPr>
            <w:shd w:val="clear" w:fill="auto" w:color="auto"/>
            <w:tcW w:w="3880" w:type="pct"/>
            <w:textDirection w:val="lrTb"/>
            <w:noWrap w:val="false"/>
          </w:tcPr>
          <w:p>
            <w:pPr>
              <w:pStyle w:val="1005"/>
              <w:ind w:left="57" w:right="57"/>
            </w:pPr>
            <w:r>
              <w:t xml:space="preserve">На ФО БС/МБ</w:t>
            </w:r>
            <w:r>
              <w:t xml:space="preserve">: Заполнение вручную.</w:t>
            </w:r>
            <w:r/>
          </w:p>
        </w:tc>
      </w:tr>
      <w:tr>
        <w:trPr>
          <w:trHeight w:val="77"/>
        </w:trPr>
        <w:tc>
          <w:tcPr>
            <w:shd w:val="clear" w:fill="auto" w:color="auto"/>
            <w:tcW w:w="1120" w:type="pct"/>
            <w:textDirection w:val="lrTb"/>
            <w:noWrap w:val="false"/>
          </w:tcPr>
          <w:p>
            <w:pPr>
              <w:pStyle w:val="1005"/>
              <w:ind w:left="57" w:right="57"/>
            </w:pPr>
            <w:r>
              <w:t xml:space="preserve">В лице: должность</w:t>
            </w:r>
            <w:r/>
          </w:p>
        </w:tc>
        <w:tc>
          <w:tcPr>
            <w:shd w:val="clear" w:fill="auto" w:color="auto"/>
            <w:tcW w:w="3880" w:type="pct"/>
            <w:textDirection w:val="lrTb"/>
            <w:noWrap w:val="false"/>
          </w:tcPr>
          <w:p>
            <w:pPr>
              <w:pStyle w:val="1005"/>
              <w:ind w:left="57" w:right="57"/>
            </w:pPr>
            <w:r>
              <w:t xml:space="preserve">На ФО БС/МБ</w:t>
            </w:r>
            <w:r>
              <w:t xml:space="preserve">: Заполнение вручную.</w:t>
            </w:r>
            <w:r/>
          </w:p>
        </w:tc>
      </w:tr>
      <w:tr>
        <w:trPr>
          <w:trHeight w:val="77"/>
        </w:trPr>
        <w:tc>
          <w:tcPr>
            <w:shd w:val="clear" w:fill="auto" w:color="auto"/>
            <w:tcW w:w="1120" w:type="pct"/>
            <w:textDirection w:val="lrTb"/>
            <w:noWrap w:val="false"/>
          </w:tcPr>
          <w:p>
            <w:pPr>
              <w:pStyle w:val="1005"/>
              <w:ind w:left="57" w:right="57"/>
            </w:pPr>
            <w:r>
              <w:t xml:space="preserve">В лице: ФИО</w:t>
            </w:r>
            <w:r/>
          </w:p>
        </w:tc>
        <w:tc>
          <w:tcPr>
            <w:shd w:val="clear" w:fill="auto" w:color="auto"/>
            <w:tcW w:w="3880" w:type="pct"/>
            <w:textDirection w:val="lrTb"/>
            <w:noWrap w:val="false"/>
          </w:tcPr>
          <w:p>
            <w:pPr>
              <w:pStyle w:val="1005"/>
              <w:ind w:left="57" w:right="57"/>
            </w:pPr>
            <w:r>
              <w:t xml:space="preserve">На ФО БС/МБ</w:t>
            </w:r>
            <w:r>
              <w:t xml:space="preserve">: Заполнение вручную.</w:t>
            </w:r>
            <w:r/>
          </w:p>
        </w:tc>
      </w:tr>
      <w:tr>
        <w:trPr>
          <w:trHeight w:val="77"/>
        </w:trPr>
        <w:tc>
          <w:tcPr>
            <w:shd w:val="clear" w:fill="auto" w:color="auto"/>
            <w:tcW w:w="1120" w:type="pct"/>
            <w:textDirection w:val="lrTb"/>
            <w:noWrap w:val="false"/>
          </w:tcPr>
          <w:p>
            <w:pPr>
              <w:pStyle w:val="1005"/>
              <w:ind w:left="57" w:right="57"/>
            </w:pPr>
            <w:r>
              <w:t xml:space="preserve">Действующего(ей) на основании</w:t>
            </w:r>
            <w:r/>
          </w:p>
        </w:tc>
        <w:tc>
          <w:tcPr>
            <w:shd w:val="clear" w:fill="auto" w:color="auto"/>
            <w:tcW w:w="3880" w:type="pct"/>
            <w:textDirection w:val="lrTb"/>
            <w:noWrap w:val="false"/>
          </w:tcPr>
          <w:p>
            <w:pPr>
              <w:pStyle w:val="1005"/>
              <w:ind w:left="57" w:right="57"/>
            </w:pPr>
            <w:r>
              <w:t xml:space="preserve">На ФО БС/МБ</w:t>
            </w:r>
            <w:r>
              <w:t xml:space="preserve">: Заполнение вручную.</w:t>
            </w:r>
            <w:r/>
          </w:p>
        </w:tc>
      </w:tr>
    </w:tbl>
    <w:p>
      <w:pPr>
        <w:pStyle w:val="994"/>
      </w:pPr>
      <w:r>
        <w:t xml:space="preserve">ЭФ документа «</w:t>
      </w:r>
      <w:r>
        <w:t xml:space="preserve">Кредитный договор</w:t>
      </w:r>
      <w:r>
        <w:t xml:space="preserve">», закладки «</w:t>
      </w:r>
      <w:r>
        <w:t xml:space="preserve">Параметры Кредита (2)</w:t>
      </w:r>
      <w:r>
        <w:t xml:space="preserve">» </w:t>
      </w:r>
      <w:r>
        <w:t xml:space="preserve">представлена </w:t>
      </w:r>
      <w:r>
        <w:t xml:space="preserve">н</w:t>
      </w:r>
      <w:r>
        <w:t xml:space="preserve">а рисунке</w:t>
      </w:r>
      <w:r>
        <w:t xml:space="preserve"> </w:t>
      </w:r>
      <w:r>
        <w:fldChar w:fldCharType="begin"/>
      </w:r>
      <w:r>
        <w:instrText xml:space="preserve"> REF _Ref472503484 \h </w:instrText>
      </w:r>
      <w:r>
        <w:fldChar w:fldCharType="separate"/>
      </w:r>
      <w:r>
        <w:t xml:space="preserve">282</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011680"/>
                <wp:effectExtent l="0" t="0" r="0" b="0"/>
                <wp:docPr id="42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71"/>
                        <a:stretch/>
                      </pic:blipFill>
                      <pic:spPr bwMode="auto">
                        <a:xfrm>
                          <a:off x="0" y="0"/>
                          <a:ext cx="6126480" cy="20116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0" o:spid="_x0000_s420" type="#_x0000_t75" style="mso-wrap-distance-left:0.0pt;mso-wrap-distance-top:0.0pt;mso-wrap-distance-right:0.0pt;mso-wrap-distance-bottom:0.0pt;width:482.4pt;height:158.4pt;" stroked="f">
                <v:path textboxrect="0,0,0,0"/>
                <v:imagedata r:id="rId371" o:title=""/>
              </v:shape>
            </w:pict>
          </mc:Fallback>
        </mc:AlternateContent>
      </w:r>
      <w:r/>
    </w:p>
    <w:p>
      <w:pPr>
        <w:pStyle w:val="983"/>
      </w:pPr>
      <w:r/>
      <w:bookmarkStart w:id="1878" w:name="_Ref404840238"/>
      <w:r>
        <w:fldChar w:fldCharType="begin"/>
      </w:r>
      <w:r>
        <w:instrText xml:space="preserve"> SEQ Рисунок \* ARABIC </w:instrText>
      </w:r>
      <w:r>
        <w:fldChar w:fldCharType="separate"/>
      </w:r>
      <w:bookmarkStart w:id="1879" w:name="_Ref472503484"/>
      <w:r/>
      <w:bookmarkStart w:id="1880" w:name="_Toc88819667"/>
      <w:r>
        <w:t xml:space="preserve">282</w:t>
      </w:r>
      <w:bookmarkEnd w:id="1879"/>
      <w:r>
        <w:fldChar w:fldCharType="end"/>
      </w:r>
      <w:r>
        <w:t xml:space="preserve">. ЭФ документа «</w:t>
      </w:r>
      <w:r>
        <w:t xml:space="preserve">Кредитный договор</w:t>
      </w:r>
      <w:r>
        <w:t xml:space="preserve">», закладки «</w:t>
      </w:r>
      <w:r>
        <w:t xml:space="preserve">Параметры Кредита (2)</w:t>
      </w:r>
      <w:r>
        <w:t xml:space="preserve">»</w:t>
      </w:r>
      <w:bookmarkEnd w:id="1878"/>
      <w:r/>
      <w:bookmarkEnd w:id="1880"/>
      <w:r/>
      <w:r/>
    </w:p>
    <w:p>
      <w:pPr>
        <w:pStyle w:val="994"/>
      </w:pPr>
      <w:r>
        <w:t xml:space="preserve">Перечень</w:t>
      </w:r>
      <w:r>
        <w:t xml:space="preserve"> полей</w:t>
      </w:r>
      <w:r>
        <w:t xml:space="preserve"> </w:t>
      </w:r>
      <w:r>
        <w:t xml:space="preserve">документа «</w:t>
      </w:r>
      <w:r>
        <w:t xml:space="preserve">Кредитный договор</w:t>
      </w:r>
      <w:r>
        <w:t xml:space="preserve">»</w:t>
      </w:r>
      <w:r>
        <w:t xml:space="preserve">, закладки </w:t>
      </w:r>
      <w:r>
        <w:t xml:space="preserve">«</w:t>
      </w:r>
      <w:r>
        <w:t xml:space="preserve">Параметры Кредита (2</w:t>
      </w:r>
      <w:r>
        <w:t xml:space="preserve">)»</w:t>
      </w:r>
      <w:r>
        <w:t xml:space="preserve"> </w:t>
      </w:r>
      <w:r>
        <w:t xml:space="preserve">приведен в таблице</w:t>
      </w:r>
      <w:r>
        <w:t xml:space="preserve"> </w:t>
      </w:r>
      <w:r>
        <w:fldChar w:fldCharType="begin"/>
      </w:r>
      <w:r>
        <w:instrText xml:space="preserve"> REF _Ref404840243 \h </w:instrText>
      </w:r>
      <w:r>
        <w:fldChar w:fldCharType="separate"/>
      </w:r>
      <w:r>
        <w:t xml:space="preserve">164</w:t>
      </w:r>
      <w:r>
        <w:fldChar w:fldCharType="end"/>
      </w:r>
      <w:r>
        <w:t xml:space="preserve">.</w:t>
      </w:r>
      <w:r/>
    </w:p>
    <w:p>
      <w:pPr>
        <w:pStyle w:val="993"/>
      </w:pPr>
      <w:r>
        <w:fldChar w:fldCharType="begin"/>
      </w:r>
      <w:r>
        <w:instrText xml:space="preserve"> SEQ Таблица \* ARABIC </w:instrText>
      </w:r>
      <w:r>
        <w:fldChar w:fldCharType="separate"/>
      </w:r>
      <w:bookmarkStart w:id="1881" w:name="_Ref404840243"/>
      <w:r/>
      <w:bookmarkStart w:id="1882" w:name="_Toc88819351"/>
      <w:r>
        <w:t xml:space="preserve">164</w:t>
      </w:r>
      <w:bookmarkEnd w:id="1881"/>
      <w:r>
        <w:fldChar w:fldCharType="end"/>
      </w:r>
      <w:r>
        <w:t xml:space="preserve">. Описание полей документа «</w:t>
      </w:r>
      <w:r>
        <w:t xml:space="preserve">Кредитный договор</w:t>
      </w:r>
      <w:r>
        <w:t xml:space="preserve">», закладки «</w:t>
      </w:r>
      <w:r>
        <w:t xml:space="preserve">Параметры Кредита (2)</w:t>
      </w:r>
      <w:r>
        <w:t xml:space="preserve">»</w:t>
      </w:r>
      <w:bookmarkEnd w:id="1882"/>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890"/>
        <w:gridCol w:w="6862"/>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482"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518" w:type="pct"/>
            <w:vAlign w:val="center"/>
            <w:textDirection w:val="lrTb"/>
            <w:noWrap w:val="false"/>
          </w:tcPr>
          <w:p>
            <w:pPr>
              <w:pStyle w:val="1006"/>
            </w:pPr>
            <w:r>
              <w:t xml:space="preserve">Описание поля</w:t>
            </w:r>
            <w:r/>
          </w:p>
        </w:tc>
      </w:tr>
      <w:tr>
        <w:trPr>
          <w:trHeight w:val="77"/>
        </w:trPr>
        <w:tc>
          <w:tcPr>
            <w:shd w:val="clear" w:fill="auto" w:color="auto"/>
            <w:tcW w:w="1482" w:type="pct"/>
            <w:textDirection w:val="lrTb"/>
            <w:noWrap w:val="false"/>
          </w:tcPr>
          <w:p>
            <w:pPr>
              <w:pStyle w:val="1005"/>
              <w:ind w:left="57" w:right="57"/>
            </w:pPr>
            <w:r>
              <w:t xml:space="preserve">Номер договора</w:t>
            </w:r>
            <w:r/>
          </w:p>
        </w:tc>
        <w:tc>
          <w:tcPr>
            <w:shd w:val="clear" w:fill="auto" w:color="auto"/>
            <w:tcW w:w="3518" w:type="pct"/>
            <w:textDirection w:val="lrTb"/>
            <w:noWrap w:val="false"/>
          </w:tcPr>
          <w:p>
            <w:pPr>
              <w:pStyle w:val="1005"/>
              <w:ind w:left="57" w:right="57"/>
            </w:pPr>
            <w:r>
              <w:t xml:space="preserve">На ФО БС/МБ</w:t>
            </w:r>
            <w:r>
              <w:t xml:space="preserve">: По умолчанию заполняется значением равным значению поля «Номер договора» основных атрибутов документа. </w:t>
            </w:r>
            <w:r/>
          </w:p>
          <w:p>
            <w:pPr>
              <w:pStyle w:val="1005"/>
              <w:ind w:left="57" w:right="57"/>
            </w:pPr>
            <w:r>
              <w:t xml:space="preserve">Заполнение вручную.</w:t>
            </w:r>
            <w:r/>
          </w:p>
        </w:tc>
      </w:tr>
      <w:tr>
        <w:trPr>
          <w:trHeight w:val="77"/>
        </w:trPr>
        <w:tc>
          <w:tcPr>
            <w:shd w:val="clear" w:fill="auto" w:color="auto"/>
            <w:tcW w:w="1482" w:type="pct"/>
            <w:textDirection w:val="lrTb"/>
            <w:noWrap w:val="false"/>
          </w:tcPr>
          <w:p>
            <w:pPr>
              <w:pStyle w:val="1005"/>
              <w:ind w:left="57" w:right="57"/>
            </w:pPr>
            <w:r>
              <w:t xml:space="preserve">Дата договора</w:t>
            </w:r>
            <w:r/>
          </w:p>
        </w:tc>
        <w:tc>
          <w:tcPr>
            <w:shd w:val="clear" w:fill="auto" w:color="auto"/>
            <w:tcW w:w="3518" w:type="pct"/>
            <w:textDirection w:val="lrTb"/>
            <w:noWrap w:val="false"/>
          </w:tcPr>
          <w:p>
            <w:pPr>
              <w:pStyle w:val="1005"/>
              <w:ind w:left="57" w:right="57"/>
            </w:pPr>
            <w:r>
              <w:t xml:space="preserve">На ФО БС/МБ</w:t>
            </w:r>
            <w:r>
              <w:t xml:space="preserve">: По умолчанию заполняется значением равным значению поля «Дата договора» основных атрибутов документа. </w:t>
            </w:r>
            <w:r/>
          </w:p>
          <w:p>
            <w:pPr>
              <w:pStyle w:val="1005"/>
              <w:ind w:left="57" w:right="57"/>
            </w:pPr>
            <w:r>
              <w:t xml:space="preserve">Заполнение вручную.</w:t>
            </w:r>
            <w:r/>
          </w:p>
        </w:tc>
      </w:tr>
      <w:tr>
        <w:trPr>
          <w:trHeight w:val="77"/>
        </w:trPr>
        <w:tc>
          <w:tcPr>
            <w:shd w:val="clear" w:fill="auto" w:color="auto"/>
            <w:tcW w:w="1482" w:type="pct"/>
            <w:textDirection w:val="lrTb"/>
            <w:noWrap w:val="false"/>
          </w:tcPr>
          <w:p>
            <w:pPr>
              <w:pStyle w:val="1005"/>
              <w:ind w:left="57" w:right="57"/>
            </w:pPr>
            <w:r>
              <w:t xml:space="preserve">Субъект кредитования</w:t>
            </w:r>
            <w:r/>
          </w:p>
        </w:tc>
        <w:tc>
          <w:tcPr>
            <w:shd w:val="clear" w:fill="auto" w:color="auto"/>
            <w:tcW w:w="3518" w:type="pct"/>
            <w:textDirection w:val="lrTb"/>
            <w:noWrap w:val="false"/>
          </w:tcPr>
          <w:p>
            <w:pPr>
              <w:pStyle w:val="1005"/>
              <w:ind w:left="57" w:right="57"/>
            </w:pPr>
            <w:r>
              <w:t xml:space="preserve">На ФО БС/МБ</w:t>
            </w:r>
            <w:r>
              <w:t xml:space="preserve">: Заполнение вручную.</w:t>
            </w:r>
            <w:r/>
          </w:p>
        </w:tc>
      </w:tr>
      <w:tr>
        <w:trPr>
          <w:trHeight w:val="77"/>
        </w:trPr>
        <w:tc>
          <w:tcPr>
            <w:shd w:val="clear" w:fill="auto" w:color="auto"/>
            <w:tcW w:w="1482" w:type="pct"/>
            <w:textDirection w:val="lrTb"/>
            <w:noWrap w:val="false"/>
          </w:tcPr>
          <w:p>
            <w:pPr>
              <w:pStyle w:val="1005"/>
              <w:ind w:left="57" w:right="57"/>
            </w:pPr>
            <w:r>
              <w:t xml:space="preserve">Сумма Кредита (цифрами)</w:t>
            </w:r>
            <w:r/>
          </w:p>
        </w:tc>
        <w:tc>
          <w:tcPr>
            <w:shd w:val="clear" w:fill="auto" w:color="auto"/>
            <w:tcW w:w="3518" w:type="pct"/>
            <w:textDirection w:val="lrTb"/>
            <w:noWrap w:val="false"/>
          </w:tcPr>
          <w:p>
            <w:pPr>
              <w:pStyle w:val="1005"/>
              <w:ind w:left="57" w:right="57"/>
            </w:pPr>
            <w:r>
              <w:t xml:space="preserve">На ФО БС/МБ</w:t>
            </w:r>
            <w:r>
              <w:t xml:space="preserve">: Заполнение вручную.</w:t>
            </w:r>
            <w:r/>
          </w:p>
        </w:tc>
      </w:tr>
      <w:tr>
        <w:trPr>
          <w:trHeight w:val="77"/>
        </w:trPr>
        <w:tc>
          <w:tcPr>
            <w:shd w:val="clear" w:fill="auto" w:color="auto"/>
            <w:tcW w:w="1482" w:type="pct"/>
            <w:textDirection w:val="lrTb"/>
            <w:noWrap w:val="false"/>
          </w:tcPr>
          <w:p>
            <w:pPr>
              <w:pStyle w:val="1005"/>
              <w:ind w:left="57" w:right="57"/>
            </w:pPr>
            <w:r>
              <w:t xml:space="preserve">Сумма Кредита (прописью)</w:t>
            </w:r>
            <w:r/>
          </w:p>
        </w:tc>
        <w:tc>
          <w:tcPr>
            <w:shd w:val="clear" w:fill="auto" w:color="auto"/>
            <w:tcW w:w="3518" w:type="pct"/>
            <w:textDirection w:val="lrTb"/>
            <w:noWrap w:val="false"/>
          </w:tcPr>
          <w:p>
            <w:pPr>
              <w:pStyle w:val="1005"/>
              <w:ind w:left="57" w:right="57"/>
            </w:pPr>
            <w:r>
              <w:t xml:space="preserve">На ФО БС/МБ</w:t>
            </w:r>
            <w:r>
              <w:t xml:space="preserve">: Заполнение вручную.</w:t>
            </w:r>
            <w:r/>
          </w:p>
        </w:tc>
      </w:tr>
      <w:tr>
        <w:trPr>
          <w:trHeight w:val="77"/>
        </w:trPr>
        <w:tc>
          <w:tcPr>
            <w:shd w:val="clear" w:fill="auto" w:color="auto"/>
            <w:tcW w:w="1482" w:type="pct"/>
            <w:textDirection w:val="lrTb"/>
            <w:noWrap w:val="false"/>
          </w:tcPr>
          <w:p>
            <w:pPr>
              <w:pStyle w:val="1005"/>
              <w:ind w:left="57" w:right="57"/>
            </w:pPr>
            <w:r>
              <w:t xml:space="preserve">Дата получения Кредита</w:t>
            </w:r>
            <w:r/>
          </w:p>
        </w:tc>
        <w:tc>
          <w:tcPr>
            <w:shd w:val="clear" w:fill="auto" w:color="auto"/>
            <w:tcW w:w="3518" w:type="pct"/>
            <w:textDirection w:val="lrTb"/>
            <w:noWrap w:val="false"/>
          </w:tcPr>
          <w:p>
            <w:pPr>
              <w:pStyle w:val="1005"/>
              <w:ind w:left="57" w:right="57"/>
            </w:pPr>
            <w:r>
              <w:t xml:space="preserve">На ФО БС/МБ</w:t>
            </w:r>
            <w:r>
              <w:t xml:space="preserve">: Поле заполняется по умолчанию значением равным «Текущая системная дата + 3 рабочих дня» в соответствии с федеральным календарем (выходные и праздничные дни не учитываются);</w:t>
            </w:r>
            <w:r/>
          </w:p>
          <w:p>
            <w:pPr>
              <w:pStyle w:val="1005"/>
              <w:ind w:left="57" w:right="57"/>
            </w:pPr>
            <w:r>
              <w:t xml:space="preserve">Доступно заполнение выбором из системного календаря; Заполнение поля вручную.</w:t>
            </w:r>
            <w:r/>
          </w:p>
        </w:tc>
      </w:tr>
      <w:tr>
        <w:trPr>
          <w:trHeight w:val="77"/>
        </w:trPr>
        <w:tc>
          <w:tcPr>
            <w:shd w:val="clear" w:fill="auto" w:color="auto"/>
            <w:tcW w:w="1482" w:type="pct"/>
            <w:textDirection w:val="lrTb"/>
            <w:noWrap w:val="false"/>
          </w:tcPr>
          <w:p>
            <w:pPr>
              <w:pStyle w:val="1005"/>
              <w:ind w:left="57" w:right="57"/>
            </w:pPr>
            <w:r>
              <w:t xml:space="preserve">Дата возврата Кредита</w:t>
            </w:r>
            <w:r/>
          </w:p>
        </w:tc>
        <w:tc>
          <w:tcPr>
            <w:shd w:val="clear" w:fill="auto" w:color="auto"/>
            <w:tcW w:w="3518" w:type="pct"/>
            <w:textDirection w:val="lrTb"/>
            <w:noWrap w:val="false"/>
          </w:tcPr>
          <w:p>
            <w:pPr>
              <w:pStyle w:val="1005"/>
              <w:ind w:left="57" w:right="57"/>
            </w:pPr>
            <w:r>
              <w:t xml:space="preserve">На ФО БС/МБ</w:t>
            </w:r>
            <w:r>
              <w:t xml:space="preserve">: Поле не заполняется по умолчанию;</w:t>
            </w:r>
            <w:r/>
          </w:p>
          <w:p>
            <w:pPr>
              <w:pStyle w:val="1005"/>
              <w:ind w:left="57" w:right="57"/>
            </w:pPr>
            <w:r>
              <w:t xml:space="preserve">Доступно заполнение выбором из системного календаря; Заполнение поля вручную.</w:t>
            </w:r>
            <w:r/>
          </w:p>
        </w:tc>
      </w:tr>
      <w:tr>
        <w:trPr>
          <w:trHeight w:val="77"/>
        </w:trPr>
        <w:tc>
          <w:tcPr>
            <w:shd w:val="clear" w:fill="auto" w:color="auto"/>
            <w:tcW w:w="1482" w:type="pct"/>
            <w:textDirection w:val="lrTb"/>
            <w:noWrap w:val="false"/>
          </w:tcPr>
          <w:p>
            <w:pPr>
              <w:pStyle w:val="1005"/>
              <w:ind w:left="57" w:right="57"/>
            </w:pPr>
            <w:r>
              <w:t xml:space="preserve">Срок кредитования (цифрами)</w:t>
            </w:r>
            <w:r/>
          </w:p>
        </w:tc>
        <w:tc>
          <w:tcPr>
            <w:shd w:val="clear" w:fill="auto" w:color="auto"/>
            <w:tcW w:w="3518" w:type="pct"/>
            <w:textDirection w:val="lrTb"/>
            <w:noWrap w:val="false"/>
          </w:tcPr>
          <w:p>
            <w:pPr>
              <w:pStyle w:val="1005"/>
              <w:ind w:left="57" w:right="57"/>
            </w:pPr>
            <w:r>
              <w:t xml:space="preserve">На ФО БС/МБ</w:t>
            </w:r>
            <w:r>
              <w:t xml:space="preserve">: Заполнение вручную.</w:t>
            </w:r>
            <w:r/>
          </w:p>
        </w:tc>
      </w:tr>
      <w:tr>
        <w:trPr>
          <w:trHeight w:val="77"/>
        </w:trPr>
        <w:tc>
          <w:tcPr>
            <w:shd w:val="clear" w:fill="auto" w:color="auto"/>
            <w:tcW w:w="1482" w:type="pct"/>
            <w:textDirection w:val="lrTb"/>
            <w:noWrap w:val="false"/>
          </w:tcPr>
          <w:p>
            <w:pPr>
              <w:pStyle w:val="1005"/>
              <w:ind w:left="57" w:right="57"/>
            </w:pPr>
            <w:r>
              <w:t xml:space="preserve">Срок кредитования (прописью)</w:t>
            </w:r>
            <w:r/>
          </w:p>
        </w:tc>
        <w:tc>
          <w:tcPr>
            <w:shd w:val="clear" w:fill="auto" w:color="auto"/>
            <w:tcW w:w="3518" w:type="pct"/>
            <w:textDirection w:val="lrTb"/>
            <w:noWrap w:val="false"/>
          </w:tcPr>
          <w:p>
            <w:pPr>
              <w:pStyle w:val="1005"/>
              <w:ind w:left="57" w:right="57"/>
            </w:pPr>
            <w:r>
              <w:t xml:space="preserve">На ФО БС/МБ</w:t>
            </w:r>
            <w:r>
              <w:t xml:space="preserve">: Заполнение вручную.</w:t>
            </w:r>
            <w:r/>
          </w:p>
        </w:tc>
      </w:tr>
      <w:tr>
        <w:trPr>
          <w:trHeight w:val="77"/>
        </w:trPr>
        <w:tc>
          <w:tcPr>
            <w:shd w:val="clear" w:fill="auto" w:color="auto"/>
            <w:tcW w:w="1482" w:type="pct"/>
            <w:textDirection w:val="lrTb"/>
            <w:noWrap w:val="false"/>
          </w:tcPr>
          <w:p>
            <w:pPr>
              <w:pStyle w:val="1005"/>
              <w:ind w:left="57" w:right="57"/>
            </w:pPr>
            <w:r>
              <w:t xml:space="preserve">Ставка по кредиту</w:t>
            </w:r>
            <w:r/>
          </w:p>
        </w:tc>
        <w:tc>
          <w:tcPr>
            <w:shd w:val="clear" w:fill="auto" w:color="auto"/>
            <w:tcW w:w="3518" w:type="pct"/>
            <w:textDirection w:val="lrTb"/>
            <w:noWrap w:val="false"/>
          </w:tcPr>
          <w:p>
            <w:pPr>
              <w:pStyle w:val="1005"/>
              <w:ind w:left="57" w:right="57"/>
            </w:pPr>
            <w:r>
              <w:t xml:space="preserve">На ФО БС/МБ</w:t>
            </w:r>
            <w:r>
              <w:t xml:space="preserve">: Заполнение вручную.</w:t>
            </w:r>
            <w:r/>
          </w:p>
        </w:tc>
      </w:tr>
      <w:tr>
        <w:trPr>
          <w:trHeight w:val="77"/>
        </w:trPr>
        <w:tc>
          <w:tcPr>
            <w:shd w:val="clear" w:fill="auto" w:color="auto"/>
            <w:tcW w:w="1482" w:type="pct"/>
            <w:textDirection w:val="lrTb"/>
            <w:noWrap w:val="false"/>
          </w:tcPr>
          <w:p>
            <w:pPr>
              <w:pStyle w:val="1005"/>
              <w:ind w:left="57" w:right="57"/>
            </w:pPr>
            <w:r>
              <w:t xml:space="preserve">Сумма процентов</w:t>
            </w:r>
            <w:r/>
          </w:p>
        </w:tc>
        <w:tc>
          <w:tcPr>
            <w:shd w:val="clear" w:fill="auto" w:color="auto"/>
            <w:tcW w:w="3518" w:type="pct"/>
            <w:textDirection w:val="lrTb"/>
            <w:noWrap w:val="false"/>
          </w:tcPr>
          <w:p>
            <w:pPr>
              <w:pStyle w:val="1005"/>
              <w:ind w:left="57" w:right="57"/>
            </w:pPr>
            <w:r>
              <w:t xml:space="preserve">На ФО БС/МБ</w:t>
            </w:r>
            <w:r>
              <w:t xml:space="preserve">: Заполнение вручную.</w:t>
            </w:r>
            <w:r/>
          </w:p>
        </w:tc>
      </w:tr>
    </w:tbl>
    <w:p>
      <w:pPr>
        <w:pStyle w:val="994"/>
      </w:pPr>
      <w:r>
        <w:t xml:space="preserve">ЭФ документа «</w:t>
      </w:r>
      <w:r>
        <w:t xml:space="preserve">Кредитный договор</w:t>
      </w:r>
      <w:r>
        <w:t xml:space="preserve">», закладки «</w:t>
      </w:r>
      <w:r>
        <w:t xml:space="preserve">Рекв</w:t>
      </w:r>
      <w:r>
        <w:t xml:space="preserve">и</w:t>
      </w:r>
      <w:r>
        <w:t xml:space="preserve">зиты сторон (3)</w:t>
      </w:r>
      <w:r>
        <w:t xml:space="preserve">» </w:t>
      </w:r>
      <w:r>
        <w:t xml:space="preserve">представлена </w:t>
      </w:r>
      <w:r>
        <w:t xml:space="preserve">н</w:t>
      </w:r>
      <w:r>
        <w:t xml:space="preserve">а рисунке</w:t>
      </w:r>
      <w:r>
        <w:t xml:space="preserve"> </w:t>
      </w:r>
      <w:r>
        <w:fldChar w:fldCharType="begin"/>
      </w:r>
      <w:r>
        <w:instrText xml:space="preserve"> REF _Ref404785027 \h </w:instrText>
      </w:r>
      <w:r>
        <w:fldChar w:fldCharType="separate"/>
      </w:r>
      <w:r>
        <w:t xml:space="preserve">283</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286000"/>
                <wp:effectExtent l="0" t="0" r="0" b="0"/>
                <wp:docPr id="42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72"/>
                        <a:stretch/>
                      </pic:blipFill>
                      <pic:spPr bwMode="auto">
                        <a:xfrm>
                          <a:off x="0" y="0"/>
                          <a:ext cx="6126480" cy="22860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1" o:spid="_x0000_s421" type="#_x0000_t75" style="mso-wrap-distance-left:0.0pt;mso-wrap-distance-top:0.0pt;mso-wrap-distance-right:0.0pt;mso-wrap-distance-bottom:0.0pt;width:482.4pt;height:180.0pt;" stroked="f">
                <v:path textboxrect="0,0,0,0"/>
                <v:imagedata r:id="rId372" o:title=""/>
              </v:shape>
            </w:pict>
          </mc:Fallback>
        </mc:AlternateContent>
      </w:r>
      <w:r/>
    </w:p>
    <w:p>
      <w:pPr>
        <w:pStyle w:val="983"/>
      </w:pPr>
      <w:r>
        <w:fldChar w:fldCharType="begin"/>
      </w:r>
      <w:r>
        <w:instrText xml:space="preserve"> SEQ Рисунок \* ARABIC </w:instrText>
      </w:r>
      <w:r>
        <w:fldChar w:fldCharType="separate"/>
      </w:r>
      <w:bookmarkStart w:id="1883" w:name="_Ref404785027"/>
      <w:r/>
      <w:bookmarkStart w:id="1884" w:name="_Toc88819668"/>
      <w:r>
        <w:t xml:space="preserve">283</w:t>
      </w:r>
      <w:bookmarkEnd w:id="1883"/>
      <w:r>
        <w:fldChar w:fldCharType="end"/>
      </w:r>
      <w:r>
        <w:t xml:space="preserve">. ЭФ документа «</w:t>
      </w:r>
      <w:r>
        <w:t xml:space="preserve">Кредитный договор</w:t>
      </w:r>
      <w:r>
        <w:t xml:space="preserve">», закладки «</w:t>
      </w:r>
      <w:r>
        <w:t xml:space="preserve">Рекв</w:t>
      </w:r>
      <w:r>
        <w:t xml:space="preserve">и</w:t>
      </w:r>
      <w:r>
        <w:t xml:space="preserve">зиты сторон (3)</w:t>
      </w:r>
      <w:r>
        <w:t xml:space="preserve">»</w:t>
      </w:r>
      <w:bookmarkEnd w:id="1884"/>
      <w:r/>
      <w:r/>
    </w:p>
    <w:p>
      <w:pPr>
        <w:pStyle w:val="994"/>
      </w:pPr>
      <w:r>
        <w:t xml:space="preserve">Перечень</w:t>
      </w:r>
      <w:r>
        <w:t xml:space="preserve"> полей</w:t>
      </w:r>
      <w:r>
        <w:t xml:space="preserve"> </w:t>
      </w:r>
      <w:r>
        <w:t xml:space="preserve">документа «</w:t>
      </w:r>
      <w:r>
        <w:t xml:space="preserve">Кредитный договор</w:t>
      </w:r>
      <w:r>
        <w:t xml:space="preserve">»</w:t>
      </w:r>
      <w:r>
        <w:t xml:space="preserve">, закладки </w:t>
      </w:r>
      <w:r>
        <w:t xml:space="preserve">«</w:t>
      </w:r>
      <w:r>
        <w:t xml:space="preserve">Рекв</w:t>
      </w:r>
      <w:r>
        <w:t xml:space="preserve">и</w:t>
      </w:r>
      <w:r>
        <w:t xml:space="preserve">зиты сторон (3</w:t>
      </w:r>
      <w:r>
        <w:t xml:space="preserve">)»</w:t>
      </w:r>
      <w:r>
        <w:t xml:space="preserve"> </w:t>
      </w:r>
      <w:r>
        <w:t xml:space="preserve">приведен в таблице</w:t>
      </w:r>
      <w:r>
        <w:t xml:space="preserve"> </w:t>
      </w:r>
      <w:r>
        <w:fldChar w:fldCharType="begin"/>
      </w:r>
      <w:r>
        <w:instrText xml:space="preserve"> REF _Ref404785049 \h </w:instrText>
      </w:r>
      <w:r>
        <w:fldChar w:fldCharType="separate"/>
      </w:r>
      <w:r>
        <w:t xml:space="preserve">165</w:t>
      </w:r>
      <w:r>
        <w:fldChar w:fldCharType="end"/>
      </w:r>
      <w:r>
        <w:t xml:space="preserve">.</w:t>
      </w:r>
      <w:r/>
    </w:p>
    <w:p>
      <w:pPr>
        <w:pStyle w:val="993"/>
      </w:pPr>
      <w:r>
        <w:fldChar w:fldCharType="begin"/>
      </w:r>
      <w:r>
        <w:instrText xml:space="preserve"> SEQ Таблица \* ARABIC </w:instrText>
      </w:r>
      <w:r>
        <w:fldChar w:fldCharType="separate"/>
      </w:r>
      <w:bookmarkStart w:id="1885" w:name="_Ref404785049"/>
      <w:r/>
      <w:bookmarkStart w:id="1886" w:name="_Toc88819352"/>
      <w:r>
        <w:t xml:space="preserve">165</w:t>
      </w:r>
      <w:bookmarkEnd w:id="1885"/>
      <w:r>
        <w:fldChar w:fldCharType="end"/>
      </w:r>
      <w:r>
        <w:t xml:space="preserve">. Описание полей документа «</w:t>
      </w:r>
      <w:r>
        <w:t xml:space="preserve">Кредитный договор</w:t>
      </w:r>
      <w:r>
        <w:t xml:space="preserve">», закладки «</w:t>
      </w:r>
      <w:r>
        <w:t xml:space="preserve">Реквизиты сторон (3)</w:t>
      </w:r>
      <w:r>
        <w:t xml:space="preserve">»</w:t>
      </w:r>
      <w:bookmarkEnd w:id="1886"/>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80"/>
        <w:gridCol w:w="7472"/>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169"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31" w:type="pct"/>
            <w:vAlign w:val="center"/>
            <w:textDirection w:val="lrTb"/>
            <w:noWrap w:val="false"/>
          </w:tcPr>
          <w:p>
            <w:pPr>
              <w:pStyle w:val="1006"/>
            </w:pPr>
            <w:r>
              <w:t xml:space="preserve">Описание поля</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«Реквизиты УФК»</w:t>
            </w:r>
            <w:r/>
          </w:p>
        </w:tc>
      </w:tr>
      <w:tr>
        <w:trPr>
          <w:trHeight w:val="77"/>
        </w:trPr>
        <w:tc>
          <w:tcPr>
            <w:shd w:val="clear" w:fill="auto" w:color="auto"/>
            <w:tcW w:w="1169" w:type="pct"/>
            <w:textDirection w:val="lrTb"/>
            <w:noWrap w:val="false"/>
          </w:tcPr>
          <w:p>
            <w:pPr>
              <w:pStyle w:val="1005"/>
              <w:ind w:left="57" w:right="57"/>
            </w:pPr>
            <w:r>
              <w:t xml:space="preserve">Полное наименование</w:t>
            </w:r>
            <w:r/>
          </w:p>
        </w:tc>
        <w:tc>
          <w:tcPr>
            <w:shd w:val="clear" w:fill="auto" w:color="auto"/>
            <w:tcW w:w="3831" w:type="pct"/>
            <w:textDirection w:val="lrTb"/>
            <w:noWrap w:val="false"/>
          </w:tcPr>
          <w:p>
            <w:pPr>
              <w:pStyle w:val="1005"/>
              <w:ind w:left="57" w:right="57"/>
            </w:pPr>
            <w:r>
              <w:t xml:space="preserve">Указывается полное наименование УФК, заключающего Кредитный договор.</w:t>
            </w:r>
            <w:r/>
          </w:p>
          <w:p>
            <w:pPr>
              <w:pStyle w:val="1005"/>
              <w:ind w:left="57" w:right="57"/>
            </w:pPr>
            <w:r>
              <w:t xml:space="preserve">На ФО БС/МБ</w:t>
            </w:r>
            <w:r>
              <w:t xml:space="preserve">: Заполняется</w:t>
            </w:r>
            <w:r>
              <w:t xml:space="preserve"> </w:t>
            </w:r>
            <w:r>
              <w:t xml:space="preserve">п</w:t>
            </w:r>
            <w:r>
              <w:t xml:space="preserve">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r/>
          </w:p>
          <w:p>
            <w:pPr>
              <w:pStyle w:val="1005"/>
              <w:ind w:left="57" w:right="57"/>
            </w:pPr>
            <w:r>
              <w:t xml:space="preserve">Поле недоступно для ввода вручную</w:t>
            </w:r>
            <w:r>
              <w:t xml:space="preserve">.</w:t>
            </w:r>
            <w:r/>
          </w:p>
        </w:tc>
      </w:tr>
      <w:tr>
        <w:trPr>
          <w:trHeight w:val="77"/>
        </w:trPr>
        <w:tc>
          <w:tcPr>
            <w:shd w:val="clear" w:fill="auto" w:color="auto"/>
            <w:tcW w:w="1169" w:type="pct"/>
            <w:textDirection w:val="lrTb"/>
            <w:noWrap w:val="false"/>
          </w:tcPr>
          <w:p>
            <w:pPr>
              <w:pStyle w:val="1005"/>
              <w:ind w:left="57" w:right="57"/>
            </w:pPr>
            <w:r>
              <w:t xml:space="preserve">Адрес</w:t>
            </w:r>
            <w:r/>
          </w:p>
        </w:tc>
        <w:tc>
          <w:tcPr>
            <w:shd w:val="clear" w:fill="auto" w:color="auto"/>
            <w:tcW w:w="3831" w:type="pct"/>
            <w:textDirection w:val="lrTb"/>
            <w:noWrap w:val="false"/>
          </w:tcPr>
          <w:p>
            <w:pPr>
              <w:pStyle w:val="1005"/>
              <w:ind w:left="57" w:right="57"/>
            </w:pPr>
            <w:r>
              <w:t xml:space="preserve">На ФО БС/МБ</w:t>
            </w:r>
            <w:r>
              <w:t xml:space="preserve">: Заполнение вручную.</w:t>
            </w:r>
            <w:r/>
          </w:p>
        </w:tc>
      </w:tr>
      <w:tr>
        <w:trPr>
          <w:trHeight w:val="77"/>
        </w:trPr>
        <w:tc>
          <w:tcPr>
            <w:shd w:val="clear" w:fill="auto" w:color="auto"/>
            <w:tcW w:w="1169" w:type="pct"/>
            <w:textDirection w:val="lrTb"/>
            <w:noWrap w:val="false"/>
          </w:tcPr>
          <w:p>
            <w:pPr>
              <w:pStyle w:val="1005"/>
              <w:ind w:left="57" w:right="57"/>
            </w:pPr>
            <w:r>
              <w:t xml:space="preserve">ИНН</w:t>
            </w:r>
            <w:r/>
          </w:p>
        </w:tc>
        <w:tc>
          <w:tcPr>
            <w:shd w:val="clear" w:fill="auto" w:color="auto"/>
            <w:tcW w:w="3831" w:type="pct"/>
            <w:textDirection w:val="lrTb"/>
            <w:noWrap w:val="false"/>
          </w:tcPr>
          <w:p>
            <w:pPr>
              <w:pStyle w:val="1005"/>
              <w:ind w:left="57" w:right="57"/>
            </w:pPr>
            <w:r>
              <w:t xml:space="preserve">На ФО БС/МБ</w:t>
            </w:r>
            <w:r>
              <w:t xml:space="preserve">: Заполняется</w:t>
            </w:r>
            <w:r>
              <w:t xml:space="preserve"> </w:t>
            </w:r>
            <w:r>
              <w:t xml:space="preserve">по умолчанию значением поля «ИНН»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r/>
          </w:p>
          <w:p>
            <w:pPr>
              <w:pStyle w:val="1005"/>
              <w:ind w:left="57" w:right="57"/>
            </w:pPr>
            <w:r>
              <w:t xml:space="preserve">Поле недоступно для ввода вручную</w:t>
            </w:r>
            <w:r>
              <w:t xml:space="preserve">.</w:t>
            </w:r>
            <w:r/>
          </w:p>
        </w:tc>
      </w:tr>
      <w:tr>
        <w:trPr>
          <w:trHeight w:val="77"/>
        </w:trPr>
        <w:tc>
          <w:tcPr>
            <w:shd w:val="clear" w:fill="auto" w:color="auto"/>
            <w:tcW w:w="1169" w:type="pct"/>
            <w:textDirection w:val="lrTb"/>
            <w:noWrap w:val="false"/>
          </w:tcPr>
          <w:p>
            <w:pPr>
              <w:pStyle w:val="1005"/>
              <w:ind w:left="57" w:right="57"/>
            </w:pPr>
            <w:r>
              <w:t xml:space="preserve">КПП</w:t>
            </w:r>
            <w:r/>
          </w:p>
        </w:tc>
        <w:tc>
          <w:tcPr>
            <w:shd w:val="clear" w:fill="auto" w:color="auto"/>
            <w:tcW w:w="3831" w:type="pct"/>
            <w:textDirection w:val="lrTb"/>
            <w:noWrap w:val="false"/>
          </w:tcPr>
          <w:p>
            <w:pPr>
              <w:pStyle w:val="1005"/>
              <w:ind w:left="57" w:right="57"/>
            </w:pPr>
            <w:r>
              <w:t xml:space="preserve">На ФО БС/МБ</w:t>
            </w:r>
            <w:r>
              <w:t xml:space="preserve">: Заполняется</w:t>
            </w:r>
            <w:r>
              <w:t xml:space="preserve"> </w:t>
            </w:r>
            <w:r>
              <w:t xml:space="preserve">по умолчанию значением поля «КПП»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r/>
          </w:p>
          <w:p>
            <w:pPr>
              <w:pStyle w:val="1005"/>
              <w:ind w:left="57" w:right="57"/>
            </w:pPr>
            <w:r>
              <w:t xml:space="preserve">Поле недоступно для ввода вручную</w:t>
            </w:r>
            <w:r>
              <w:t xml:space="preserve">.</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«Реквизиты Заемщика»</w:t>
            </w:r>
            <w:r/>
          </w:p>
        </w:tc>
      </w:tr>
      <w:tr>
        <w:trPr>
          <w:trHeight w:val="77"/>
        </w:trPr>
        <w:tc>
          <w:tcPr>
            <w:shd w:val="clear" w:fill="auto" w:color="auto"/>
            <w:tcW w:w="1169" w:type="pct"/>
            <w:textDirection w:val="lrTb"/>
            <w:noWrap w:val="false"/>
          </w:tcPr>
          <w:p>
            <w:pPr>
              <w:pStyle w:val="1005"/>
              <w:ind w:left="57" w:right="57"/>
            </w:pPr>
            <w:r>
              <w:t xml:space="preserve">Полное наименование</w:t>
            </w:r>
            <w:r/>
          </w:p>
        </w:tc>
        <w:tc>
          <w:tcPr>
            <w:shd w:val="clear" w:fill="auto" w:color="auto"/>
            <w:tcW w:w="3831" w:type="pct"/>
            <w:textDirection w:val="lrTb"/>
            <w:noWrap w:val="false"/>
          </w:tcPr>
          <w:p>
            <w:pPr>
              <w:pStyle w:val="1005"/>
              <w:ind w:left="57" w:right="57"/>
            </w:pPr>
            <w:r>
              <w:t xml:space="preserve">На ФО БС/МБ</w:t>
            </w:r>
            <w:r>
              <w:t xml:space="preserve">: Заполняется</w:t>
            </w:r>
            <w:r>
              <w:t xml:space="preserve"> </w:t>
            </w:r>
            <w:r>
              <w:t xml:space="preserve">по умолчанию значением поля «Полное наименование» из справочника «РУБП» найденной записи по условию: актуальная запись, бюджет = системной константе </w:t>
            </w:r>
            <w:r>
              <w:t xml:space="preserve">SelfBudgetCode (Код бюджета)</w:t>
            </w:r>
            <w:r>
              <w:t xml:space="preserve">,</w:t>
            </w:r>
            <w:r>
              <w:t xml:space="preserve"> </w:t>
            </w:r>
            <w:r>
              <w:t xml:space="preserve">код РУБП = системной константе </w:t>
            </w:r>
            <w:r>
              <w:t xml:space="preserve">SelfBUCode (Код собственного БУ)</w:t>
            </w:r>
            <w:r>
              <w:t xml:space="preserve">.</w:t>
            </w:r>
            <w:r/>
          </w:p>
          <w:p>
            <w:pPr>
              <w:pStyle w:val="1005"/>
              <w:ind w:left="57" w:right="57"/>
            </w:pPr>
            <w:r>
              <w:t xml:space="preserve">Поле недоступно для ввода вручную</w:t>
            </w:r>
            <w:r>
              <w:t xml:space="preserve">.</w:t>
            </w:r>
            <w:r/>
          </w:p>
        </w:tc>
      </w:tr>
      <w:tr>
        <w:trPr>
          <w:trHeight w:val="77"/>
        </w:trPr>
        <w:tc>
          <w:tcPr>
            <w:shd w:val="clear" w:fill="auto" w:color="auto"/>
            <w:tcW w:w="1169" w:type="pct"/>
            <w:textDirection w:val="lrTb"/>
            <w:noWrap w:val="false"/>
          </w:tcPr>
          <w:p>
            <w:pPr>
              <w:pStyle w:val="1005"/>
              <w:ind w:left="57" w:right="57"/>
            </w:pPr>
            <w:r>
              <w:t xml:space="preserve">Адрес</w:t>
            </w:r>
            <w:r/>
          </w:p>
        </w:tc>
        <w:tc>
          <w:tcPr>
            <w:shd w:val="clear" w:fill="auto" w:color="auto"/>
            <w:tcW w:w="3831" w:type="pct"/>
            <w:textDirection w:val="lrTb"/>
            <w:noWrap w:val="false"/>
          </w:tcPr>
          <w:p>
            <w:pPr>
              <w:pStyle w:val="1005"/>
              <w:ind w:left="57" w:right="57"/>
            </w:pPr>
            <w:r>
              <w:t xml:space="preserve">На ФО БС/МБ</w:t>
            </w:r>
            <w:r>
              <w:t xml:space="preserve">: Заполнение вручную.</w:t>
            </w:r>
            <w:r/>
          </w:p>
        </w:tc>
      </w:tr>
      <w:tr>
        <w:trPr>
          <w:trHeight w:val="77"/>
        </w:trPr>
        <w:tc>
          <w:tcPr>
            <w:shd w:val="clear" w:fill="auto" w:color="auto"/>
            <w:tcW w:w="1169" w:type="pct"/>
            <w:textDirection w:val="lrTb"/>
            <w:noWrap w:val="false"/>
          </w:tcPr>
          <w:p>
            <w:pPr>
              <w:pStyle w:val="1005"/>
              <w:ind w:left="57" w:right="57"/>
            </w:pPr>
            <w:r>
              <w:t xml:space="preserve">ИНН</w:t>
            </w:r>
            <w:r/>
          </w:p>
        </w:tc>
        <w:tc>
          <w:tcPr>
            <w:shd w:val="clear" w:fill="auto" w:color="auto"/>
            <w:tcW w:w="3831" w:type="pct"/>
            <w:textDirection w:val="lrTb"/>
            <w:noWrap w:val="false"/>
          </w:tcPr>
          <w:p>
            <w:pPr>
              <w:pStyle w:val="1005"/>
              <w:ind w:left="57" w:right="57"/>
            </w:pPr>
            <w:r>
              <w:t xml:space="preserve">На ФО БС/МБ</w:t>
            </w:r>
            <w:r>
              <w:t xml:space="preserve">: Заполняется</w:t>
            </w:r>
            <w:r>
              <w:t xml:space="preserve"> </w:t>
            </w:r>
            <w:r>
              <w:t xml:space="preserve">по умолчанию значением поля «ИНН» из справочника «РУБП» найденной записи по условию: актуальная запись, бюджет = системной константе </w:t>
            </w:r>
            <w:r>
              <w:t xml:space="preserve">SelfBudgetCode (Код бюджета)</w:t>
            </w:r>
            <w:r>
              <w:t xml:space="preserve">,</w:t>
            </w:r>
            <w:r>
              <w:t xml:space="preserve"> </w:t>
            </w:r>
            <w:r>
              <w:t xml:space="preserve">код РУБП = системной константе </w:t>
            </w:r>
            <w:r>
              <w:t xml:space="preserve">SelfBUCode (Код собственного БУ)</w:t>
            </w:r>
            <w:r>
              <w:t xml:space="preserve">.</w:t>
            </w:r>
            <w:r/>
          </w:p>
          <w:p>
            <w:pPr>
              <w:pStyle w:val="1005"/>
              <w:ind w:left="57" w:right="57"/>
            </w:pPr>
            <w:r>
              <w:t xml:space="preserve">Поле недоступно для ввода вручную</w:t>
            </w:r>
            <w:r>
              <w:t xml:space="preserve">.</w:t>
            </w:r>
            <w:r/>
          </w:p>
        </w:tc>
      </w:tr>
      <w:tr>
        <w:trPr>
          <w:trHeight w:val="77"/>
        </w:trPr>
        <w:tc>
          <w:tcPr>
            <w:shd w:val="clear" w:fill="auto" w:color="auto"/>
            <w:tcW w:w="1169" w:type="pct"/>
            <w:textDirection w:val="lrTb"/>
            <w:noWrap w:val="false"/>
          </w:tcPr>
          <w:p>
            <w:pPr>
              <w:pStyle w:val="1005"/>
              <w:ind w:left="57" w:right="57"/>
            </w:pPr>
            <w:r>
              <w:t xml:space="preserve">КПП</w:t>
            </w:r>
            <w:r/>
          </w:p>
        </w:tc>
        <w:tc>
          <w:tcPr>
            <w:shd w:val="clear" w:fill="auto" w:color="auto"/>
            <w:tcW w:w="3831" w:type="pct"/>
            <w:textDirection w:val="lrTb"/>
            <w:noWrap w:val="false"/>
          </w:tcPr>
          <w:p>
            <w:pPr>
              <w:pStyle w:val="1005"/>
              <w:ind w:left="57" w:right="57"/>
            </w:pPr>
            <w:r>
              <w:t xml:space="preserve">На ФО БС/МБ</w:t>
            </w:r>
            <w:r>
              <w:t xml:space="preserve">: Заполняется</w:t>
            </w:r>
            <w:r>
              <w:t xml:space="preserve"> </w:t>
            </w:r>
            <w:r>
              <w:t xml:space="preserve">по умолчанию значением поля «КПП» из справочника «РУБП» найденной записи по условию: актуальная запись, бюджет = системной константе </w:t>
            </w:r>
            <w:r>
              <w:t xml:space="preserve">SelfBudgetCode (Код бюджета)</w:t>
            </w:r>
            <w:r>
              <w:t xml:space="preserve">,</w:t>
            </w:r>
            <w:r>
              <w:t xml:space="preserve"> </w:t>
            </w:r>
            <w:r>
              <w:t xml:space="preserve">код РУБП = системной константе </w:t>
            </w:r>
            <w:r>
              <w:t xml:space="preserve">SelfBUCode (Код собственного БУ)</w:t>
            </w:r>
            <w:r>
              <w:t xml:space="preserve">.</w:t>
            </w:r>
            <w:r/>
          </w:p>
          <w:p>
            <w:pPr>
              <w:pStyle w:val="1005"/>
              <w:ind w:left="57" w:right="57"/>
            </w:pPr>
            <w:r>
              <w:t xml:space="preserve">Поле недоступно для ввода вручную</w:t>
            </w:r>
            <w:r>
              <w:t xml:space="preserve">.</w:t>
            </w:r>
            <w:r/>
          </w:p>
        </w:tc>
      </w:tr>
    </w:tbl>
    <w:p>
      <w:pPr>
        <w:pStyle w:val="994"/>
      </w:pPr>
      <w:r>
        <w:t xml:space="preserve">ЭФ документа «</w:t>
      </w:r>
      <w:r>
        <w:t xml:space="preserve">Кредитный договор</w:t>
      </w:r>
      <w:r>
        <w:t xml:space="preserve">», закладки «</w:t>
      </w:r>
      <w:r>
        <w:t xml:space="preserve">Подписи сторон (4)</w:t>
      </w:r>
      <w:r>
        <w:t xml:space="preserve">» </w:t>
      </w:r>
      <w:r>
        <w:t xml:space="preserve">представлена </w:t>
      </w:r>
      <w:r>
        <w:t xml:space="preserve">н</w:t>
      </w:r>
      <w:r>
        <w:t xml:space="preserve">а рисунке</w:t>
      </w:r>
      <w:r>
        <w:t xml:space="preserve"> </w:t>
      </w:r>
      <w:r>
        <w:fldChar w:fldCharType="begin"/>
      </w:r>
      <w:r>
        <w:instrText xml:space="preserve"> REF _Ref404785684 \h </w:instrText>
      </w:r>
      <w:r>
        <w:fldChar w:fldCharType="separate"/>
      </w:r>
      <w:r>
        <w:t xml:space="preserve">284</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4206240"/>
                <wp:effectExtent l="0" t="0" r="0" b="0"/>
                <wp:docPr id="42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73"/>
                        <a:stretch/>
                      </pic:blipFill>
                      <pic:spPr bwMode="auto">
                        <a:xfrm>
                          <a:off x="0" y="0"/>
                          <a:ext cx="6126480" cy="42062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2" o:spid="_x0000_s422" type="#_x0000_t75" style="mso-wrap-distance-left:0.0pt;mso-wrap-distance-top:0.0pt;mso-wrap-distance-right:0.0pt;mso-wrap-distance-bottom:0.0pt;width:482.4pt;height:331.2pt;" stroked="f">
                <v:path textboxrect="0,0,0,0"/>
                <v:imagedata r:id="rId373" o:title=""/>
              </v:shape>
            </w:pict>
          </mc:Fallback>
        </mc:AlternateContent>
      </w:r>
      <w:r/>
    </w:p>
    <w:p>
      <w:pPr>
        <w:pStyle w:val="983"/>
      </w:pPr>
      <w:r>
        <w:fldChar w:fldCharType="begin"/>
      </w:r>
      <w:r>
        <w:instrText xml:space="preserve"> SEQ Рисунок \* ARABIC </w:instrText>
      </w:r>
      <w:r>
        <w:fldChar w:fldCharType="separate"/>
      </w:r>
      <w:bookmarkStart w:id="1887" w:name="_Ref404785684"/>
      <w:r/>
      <w:bookmarkStart w:id="1888" w:name="_Toc88819669"/>
      <w:r>
        <w:t xml:space="preserve">284</w:t>
      </w:r>
      <w:bookmarkEnd w:id="1887"/>
      <w:r>
        <w:fldChar w:fldCharType="end"/>
      </w:r>
      <w:r>
        <w:t xml:space="preserve">. ЭФ документа «</w:t>
      </w:r>
      <w:r>
        <w:t xml:space="preserve">Кредитный договор</w:t>
      </w:r>
      <w:r>
        <w:t xml:space="preserve">», закладки «</w:t>
      </w:r>
      <w:r>
        <w:t xml:space="preserve">Подписи сторон (4)</w:t>
      </w:r>
      <w:r>
        <w:t xml:space="preserve">»</w:t>
      </w:r>
      <w:bookmarkEnd w:id="1888"/>
      <w:r/>
      <w:r/>
    </w:p>
    <w:p>
      <w:pPr>
        <w:pStyle w:val="994"/>
      </w:pPr>
      <w:r>
        <w:t xml:space="preserve">Перечень</w:t>
      </w:r>
      <w:r>
        <w:t xml:space="preserve"> полей</w:t>
      </w:r>
      <w:r>
        <w:t xml:space="preserve"> </w:t>
      </w:r>
      <w:r>
        <w:t xml:space="preserve">документа «</w:t>
      </w:r>
      <w:r>
        <w:t xml:space="preserve">Кредитный договор</w:t>
      </w:r>
      <w:r>
        <w:t xml:space="preserve">»</w:t>
      </w:r>
      <w:r>
        <w:t xml:space="preserve">, закладки </w:t>
      </w:r>
      <w:r>
        <w:t xml:space="preserve">«</w:t>
      </w:r>
      <w:r>
        <w:t xml:space="preserve">Подписи сторон (4</w:t>
      </w:r>
      <w:r>
        <w:t xml:space="preserve">)»</w:t>
      </w:r>
      <w:r>
        <w:t xml:space="preserve"> </w:t>
      </w:r>
      <w:r>
        <w:t xml:space="preserve">приведен в таблице</w:t>
      </w:r>
      <w:r>
        <w:t xml:space="preserve"> </w:t>
      </w:r>
      <w:r>
        <w:fldChar w:fldCharType="begin"/>
      </w:r>
      <w:r>
        <w:instrText xml:space="preserve"> REF _Ref404785656 \h </w:instrText>
      </w:r>
      <w:r>
        <w:fldChar w:fldCharType="separate"/>
      </w:r>
      <w:r>
        <w:t xml:space="preserve">166</w:t>
      </w:r>
      <w:r>
        <w:fldChar w:fldCharType="end"/>
      </w:r>
      <w:r>
        <w:t xml:space="preserve">.</w:t>
      </w:r>
      <w:r/>
    </w:p>
    <w:p>
      <w:pPr>
        <w:pStyle w:val="993"/>
      </w:pPr>
      <w:r>
        <w:fldChar w:fldCharType="begin"/>
      </w:r>
      <w:r>
        <w:instrText xml:space="preserve"> SEQ Таблица \* ARABIC </w:instrText>
      </w:r>
      <w:r>
        <w:fldChar w:fldCharType="separate"/>
      </w:r>
      <w:bookmarkStart w:id="1889" w:name="_Ref404785656"/>
      <w:r/>
      <w:bookmarkStart w:id="1890" w:name="_Toc88819353"/>
      <w:r>
        <w:t xml:space="preserve">166</w:t>
      </w:r>
      <w:bookmarkEnd w:id="1889"/>
      <w:r>
        <w:fldChar w:fldCharType="end"/>
      </w:r>
      <w:r>
        <w:t xml:space="preserve">. Описание полей документа «</w:t>
      </w:r>
      <w:r>
        <w:t xml:space="preserve">Кредитный договор</w:t>
      </w:r>
      <w:r>
        <w:t xml:space="preserve">», закладки «</w:t>
      </w:r>
      <w:r>
        <w:t xml:space="preserve">Подписи сторон (4)</w:t>
      </w:r>
      <w:r>
        <w:t xml:space="preserve">»</w:t>
      </w:r>
      <w:bookmarkEnd w:id="1890"/>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890"/>
        <w:gridCol w:w="6862"/>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482"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518" w:type="pct"/>
            <w:vAlign w:val="center"/>
            <w:textDirection w:val="lrTb"/>
            <w:noWrap w:val="false"/>
          </w:tcPr>
          <w:p>
            <w:pPr>
              <w:pStyle w:val="1006"/>
            </w:pPr>
            <w:r>
              <w:t xml:space="preserve">Описание поля</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«Подписи УФК»</w:t>
            </w:r>
            <w:r/>
          </w:p>
        </w:tc>
      </w:tr>
      <w:tr>
        <w:trPr>
          <w:trHeight w:val="77"/>
        </w:trPr>
        <w:tc>
          <w:tcPr>
            <w:shd w:val="clear" w:fill="auto" w:color="auto"/>
            <w:tcW w:w="1482" w:type="pct"/>
            <w:textDirection w:val="lrTb"/>
            <w:noWrap w:val="false"/>
          </w:tcPr>
          <w:p>
            <w:pPr>
              <w:pStyle w:val="1005"/>
              <w:ind w:left="57" w:right="57"/>
            </w:pPr>
            <w:r>
              <w:t xml:space="preserve">Полное наименование</w:t>
            </w:r>
            <w:r/>
          </w:p>
        </w:tc>
        <w:tc>
          <w:tcPr>
            <w:shd w:val="clear" w:fill="auto" w:color="auto"/>
            <w:tcW w:w="3518" w:type="pct"/>
            <w:textDirection w:val="lrTb"/>
            <w:noWrap w:val="false"/>
          </w:tcPr>
          <w:p>
            <w:pPr>
              <w:pStyle w:val="1005"/>
              <w:ind w:left="57" w:right="57"/>
            </w:pPr>
            <w:r>
              <w:t xml:space="preserve">Указывается полное наименование УФК, заключающего Кредитный договор.</w:t>
            </w:r>
            <w:r/>
          </w:p>
          <w:p>
            <w:pPr>
              <w:pStyle w:val="1005"/>
              <w:ind w:left="57" w:right="57"/>
            </w:pPr>
            <w:r>
              <w:t xml:space="preserve">На ФО БС/МБ</w:t>
            </w:r>
            <w:r>
              <w:t xml:space="preserve">: Заполняется</w:t>
            </w:r>
            <w:r>
              <w:t xml:space="preserve"> </w:t>
            </w:r>
            <w:r>
              <w:t xml:space="preserve">п</w:t>
            </w:r>
            <w:r>
              <w:t xml:space="preserve">о умолчанию значением поля «Полное наименование» из справочника «СРРПБС» найденной записи по условию: актуальная запись, бюджет = «Федеральный бюджет», значение поля «КОФК» блока «Код организации по другим справочникам» = значению поля «По КОФК» документа.</w:t>
            </w:r>
            <w:r/>
          </w:p>
          <w:p>
            <w:pPr>
              <w:pStyle w:val="1005"/>
              <w:ind w:left="57" w:right="57"/>
            </w:pPr>
            <w:r>
              <w:t xml:space="preserve">Поле недоступно для ввода вручную</w:t>
            </w:r>
            <w:r>
              <w:t xml:space="preserve">.</w:t>
            </w:r>
            <w:r/>
          </w:p>
        </w:tc>
      </w:tr>
      <w:tr>
        <w:trPr>
          <w:trHeight w:val="77"/>
        </w:trPr>
        <w:tc>
          <w:tcPr>
            <w:shd w:val="clear" w:fill="auto" w:color="auto"/>
            <w:tcW w:w="1482" w:type="pct"/>
            <w:textDirection w:val="lrTb"/>
            <w:noWrap w:val="false"/>
          </w:tcPr>
          <w:p>
            <w:pPr>
              <w:pStyle w:val="1005"/>
              <w:ind w:left="57" w:right="57"/>
            </w:pPr>
            <w:r>
              <w:t xml:space="preserve">Руководитель (уполномоченное им лицо). Должность</w:t>
            </w:r>
            <w:r/>
          </w:p>
        </w:tc>
        <w:tc>
          <w:tcPr>
            <w:shd w:val="clear" w:fill="auto" w:color="auto"/>
            <w:tcW w:w="3518" w:type="pct"/>
            <w:textDirection w:val="lrTb"/>
            <w:noWrap w:val="false"/>
          </w:tcPr>
          <w:p>
            <w:pPr>
              <w:pStyle w:val="1005"/>
              <w:ind w:left="57" w:right="57"/>
            </w:pPr>
            <w:r>
              <w:t xml:space="preserve">На ФО БС/МБ</w:t>
            </w:r>
            <w:r>
              <w:t xml:space="preserve">: Заполнение вручную.</w:t>
            </w:r>
            <w:r/>
          </w:p>
        </w:tc>
      </w:tr>
      <w:tr>
        <w:trPr>
          <w:trHeight w:val="77"/>
        </w:trPr>
        <w:tc>
          <w:tcPr>
            <w:shd w:val="clear" w:fill="auto" w:color="auto"/>
            <w:tcW w:w="1482" w:type="pct"/>
            <w:textDirection w:val="lrTb"/>
            <w:noWrap w:val="false"/>
          </w:tcPr>
          <w:p>
            <w:pPr>
              <w:pStyle w:val="1005"/>
              <w:ind w:left="57" w:right="57"/>
            </w:pPr>
            <w:r>
              <w:t xml:space="preserve">Руководитель (уполномоченное им лицо). ФИО</w:t>
            </w:r>
            <w:r/>
          </w:p>
        </w:tc>
        <w:tc>
          <w:tcPr>
            <w:shd w:val="clear" w:fill="auto" w:color="auto"/>
            <w:tcW w:w="3518" w:type="pct"/>
            <w:textDirection w:val="lrTb"/>
            <w:noWrap w:val="false"/>
          </w:tcPr>
          <w:p>
            <w:pPr>
              <w:pStyle w:val="1005"/>
              <w:ind w:left="57" w:right="57"/>
            </w:pPr>
            <w:r>
              <w:t xml:space="preserve">На ФО БС/МБ</w:t>
            </w:r>
            <w:r>
              <w:t xml:space="preserve">: Заполнение вручную.</w:t>
            </w:r>
            <w:r/>
          </w:p>
        </w:tc>
      </w:tr>
      <w:tr>
        <w:trPr>
          <w:trHeight w:val="77"/>
        </w:trPr>
        <w:tc>
          <w:tcPr>
            <w:shd w:val="clear" w:fill="auto" w:color="auto"/>
            <w:tcW w:w="1482" w:type="pct"/>
            <w:textDirection w:val="lrTb"/>
            <w:noWrap w:val="false"/>
          </w:tcPr>
          <w:p>
            <w:pPr>
              <w:pStyle w:val="1005"/>
              <w:ind w:left="57" w:right="57"/>
            </w:pPr>
            <w:r>
              <w:t xml:space="preserve">Главный бухгалтер (уполномоченное лицо). Должность</w:t>
            </w:r>
            <w:r/>
          </w:p>
        </w:tc>
        <w:tc>
          <w:tcPr>
            <w:shd w:val="clear" w:fill="auto" w:color="auto"/>
            <w:tcW w:w="3518" w:type="pct"/>
            <w:textDirection w:val="lrTb"/>
            <w:noWrap w:val="false"/>
          </w:tcPr>
          <w:p>
            <w:pPr>
              <w:pStyle w:val="1005"/>
              <w:ind w:left="57" w:right="57"/>
            </w:pPr>
            <w:r>
              <w:t xml:space="preserve">На ФО БС/МБ: Заполнение вручную.</w:t>
            </w:r>
            <w:r/>
          </w:p>
        </w:tc>
      </w:tr>
      <w:tr>
        <w:trPr>
          <w:trHeight w:val="77"/>
        </w:trPr>
        <w:tc>
          <w:tcPr>
            <w:shd w:val="clear" w:fill="auto" w:color="auto"/>
            <w:tcW w:w="1482" w:type="pct"/>
            <w:textDirection w:val="lrTb"/>
            <w:noWrap w:val="false"/>
          </w:tcPr>
          <w:p>
            <w:pPr>
              <w:pStyle w:val="1005"/>
              <w:ind w:left="57" w:right="57"/>
            </w:pPr>
            <w:r>
              <w:t xml:space="preserve">Главный бухгалтер (уполномоченное лицо). ФИО</w:t>
            </w:r>
            <w:r/>
          </w:p>
        </w:tc>
        <w:tc>
          <w:tcPr>
            <w:shd w:val="clear" w:fill="auto" w:color="auto"/>
            <w:tcW w:w="3518" w:type="pct"/>
            <w:textDirection w:val="lrTb"/>
            <w:noWrap w:val="false"/>
          </w:tcPr>
          <w:p>
            <w:pPr>
              <w:pStyle w:val="1005"/>
              <w:ind w:left="57" w:right="57"/>
            </w:pPr>
            <w:r>
              <w:t xml:space="preserve">На ФО БС/МБ: Заполнение вручную.</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«Отметки УФК о регистрации»</w:t>
            </w:r>
            <w:r/>
          </w:p>
        </w:tc>
      </w:tr>
      <w:tr>
        <w:trPr>
          <w:trHeight w:val="77"/>
        </w:trPr>
        <w:tc>
          <w:tcPr>
            <w:shd w:val="clear" w:fill="auto" w:color="auto"/>
            <w:tcW w:w="1482" w:type="pct"/>
            <w:textDirection w:val="lrTb"/>
            <w:noWrap w:val="false"/>
          </w:tcPr>
          <w:p>
            <w:pPr>
              <w:pStyle w:val="1005"/>
              <w:ind w:left="57" w:right="57"/>
            </w:pPr>
            <w:r>
              <w:t xml:space="preserve">Входящий регистрационный номер</w:t>
            </w:r>
            <w:r/>
          </w:p>
        </w:tc>
        <w:tc>
          <w:tcPr>
            <w:shd w:val="clear" w:fill="auto" w:color="auto"/>
            <w:tcW w:w="3518" w:type="pct"/>
            <w:textDirection w:val="lrTb"/>
            <w:noWrap w:val="false"/>
          </w:tcPr>
          <w:p>
            <w:pPr>
              <w:pStyle w:val="1005"/>
              <w:ind w:left="57" w:right="57"/>
            </w:pPr>
            <w:r>
              <w:t xml:space="preserve">Указывается значение входящего регистрационного номера УФК.</w:t>
            </w:r>
            <w:r/>
          </w:p>
          <w:p>
            <w:pPr>
              <w:pStyle w:val="1005"/>
              <w:ind w:left="57" w:right="57"/>
            </w:pPr>
            <w:r>
              <w:t xml:space="preserve">На ФО БС/МБ: Поле не доступно для ввода. </w:t>
            </w:r>
            <w:r/>
          </w:p>
        </w:tc>
      </w:tr>
      <w:tr>
        <w:trPr>
          <w:trHeight w:val="77"/>
        </w:trPr>
        <w:tc>
          <w:tcPr>
            <w:shd w:val="clear" w:fill="auto" w:color="auto"/>
            <w:tcW w:w="1482" w:type="pct"/>
            <w:textDirection w:val="lrTb"/>
            <w:noWrap w:val="false"/>
          </w:tcPr>
          <w:p>
            <w:pPr>
              <w:pStyle w:val="1005"/>
              <w:ind w:left="57" w:right="57"/>
            </w:pPr>
            <w:r>
              <w:t xml:space="preserve">Дата поступления</w:t>
            </w:r>
            <w:r/>
          </w:p>
        </w:tc>
        <w:tc>
          <w:tcPr>
            <w:shd w:val="clear" w:fill="auto" w:color="auto"/>
            <w:tcW w:w="3518" w:type="pct"/>
            <w:textDirection w:val="lrTb"/>
            <w:noWrap w:val="false"/>
          </w:tcPr>
          <w:p>
            <w:pPr>
              <w:pStyle w:val="1005"/>
              <w:ind w:left="57" w:right="57"/>
            </w:pPr>
            <w:r>
              <w:t xml:space="preserve">Указывается дата поступления в УФК.</w:t>
            </w:r>
            <w:r/>
          </w:p>
          <w:p>
            <w:pPr>
              <w:pStyle w:val="1005"/>
              <w:ind w:left="57" w:right="57"/>
            </w:pPr>
            <w:r>
              <w:t xml:space="preserve">На ФО БС/МБ: Поле не доступно для ввода.</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«Подписи Заемщика»</w:t>
            </w:r>
            <w:r/>
          </w:p>
        </w:tc>
      </w:tr>
      <w:tr>
        <w:trPr>
          <w:trHeight w:val="77"/>
        </w:trPr>
        <w:tc>
          <w:tcPr>
            <w:shd w:val="clear" w:fill="auto" w:color="auto"/>
            <w:tcW w:w="1482" w:type="pct"/>
            <w:textDirection w:val="lrTb"/>
            <w:noWrap w:val="false"/>
          </w:tcPr>
          <w:p>
            <w:pPr>
              <w:pStyle w:val="1005"/>
              <w:ind w:left="57" w:right="57"/>
            </w:pPr>
            <w:r>
              <w:t xml:space="preserve">Полное наименование</w:t>
            </w:r>
            <w:r/>
          </w:p>
        </w:tc>
        <w:tc>
          <w:tcPr>
            <w:shd w:val="clear" w:fill="auto" w:color="auto"/>
            <w:tcW w:w="3518" w:type="pct"/>
            <w:textDirection w:val="lrTb"/>
            <w:noWrap w:val="false"/>
          </w:tcPr>
          <w:p>
            <w:pPr>
              <w:pStyle w:val="1005"/>
              <w:ind w:left="57" w:right="57"/>
            </w:pPr>
            <w:r>
              <w:t xml:space="preserve">Указывается полное наименование уполномоченного органа, заключающего Кредитный договор.</w:t>
            </w:r>
            <w:r/>
          </w:p>
          <w:p>
            <w:pPr>
              <w:pStyle w:val="1005"/>
              <w:ind w:left="57" w:right="57"/>
            </w:pPr>
            <w:r>
              <w:t xml:space="preserve">На ФО БС/МБ: Заполняется</w:t>
            </w:r>
            <w:r>
              <w:t xml:space="preserve"> </w:t>
            </w:r>
            <w:r>
              <w:t xml:space="preserve">по умолчанию значением поля «Полное наименование» из справочника «РУБП» найденной записи по условию: актуальная запись, бюджет = системной константе </w:t>
            </w:r>
            <w:r>
              <w:t xml:space="preserve">SelfBudgetCode (Код бюджета)</w:t>
            </w:r>
            <w:r>
              <w:t xml:space="preserve">,</w:t>
            </w:r>
            <w:r>
              <w:t xml:space="preserve"> </w:t>
            </w:r>
            <w:r>
              <w:t xml:space="preserve">код РУБП = системной константе </w:t>
            </w:r>
            <w:r>
              <w:t xml:space="preserve">SelfBUCode (Код собственного БУ)</w:t>
            </w:r>
            <w:r>
              <w:t xml:space="preserve">.</w:t>
            </w:r>
            <w:r/>
          </w:p>
          <w:p>
            <w:pPr>
              <w:pStyle w:val="1005"/>
              <w:ind w:left="57" w:right="57"/>
            </w:pPr>
            <w:r>
              <w:t xml:space="preserve">Поле недоступно для ввода вручную</w:t>
            </w:r>
            <w:r>
              <w:t xml:space="preserve">.</w:t>
            </w:r>
            <w:r/>
          </w:p>
        </w:tc>
      </w:tr>
      <w:tr>
        <w:trPr>
          <w:trHeight w:val="77"/>
        </w:trPr>
        <w:tc>
          <w:tcPr>
            <w:shd w:val="clear" w:fill="auto" w:color="auto"/>
            <w:tcW w:w="1482" w:type="pct"/>
            <w:textDirection w:val="lrTb"/>
            <w:noWrap w:val="false"/>
          </w:tcPr>
          <w:p>
            <w:pPr>
              <w:pStyle w:val="1005"/>
              <w:ind w:left="57" w:right="57"/>
            </w:pPr>
            <w:r>
              <w:t xml:space="preserve">Руководитель (уполномоченное им лицо). Должность</w:t>
            </w:r>
            <w:r/>
          </w:p>
        </w:tc>
        <w:tc>
          <w:tcPr>
            <w:shd w:val="clear" w:fill="auto" w:color="auto"/>
            <w:tcW w:w="3518" w:type="pct"/>
            <w:textDirection w:val="lrTb"/>
            <w:noWrap w:val="false"/>
          </w:tcPr>
          <w:p>
            <w:pPr>
              <w:pStyle w:val="1005"/>
              <w:ind w:left="57" w:right="57"/>
            </w:pPr>
            <w:r>
              <w:t xml:space="preserve">На ФО БС/МБ: Заполняется автоматически на основании выбранного значения поля «ФИО» по справочнику «Сотрудники».</w:t>
            </w:r>
            <w:r/>
          </w:p>
          <w:p>
            <w:pPr>
              <w:pStyle w:val="1005"/>
              <w:ind w:left="57" w:right="57"/>
            </w:pPr>
            <w:r>
              <w:t xml:space="preserve">Заполнение вручную.</w:t>
            </w:r>
            <w:r/>
          </w:p>
        </w:tc>
      </w:tr>
      <w:tr>
        <w:trPr>
          <w:trHeight w:val="77"/>
        </w:trPr>
        <w:tc>
          <w:tcPr>
            <w:shd w:val="clear" w:fill="auto" w:color="auto"/>
            <w:tcW w:w="1482" w:type="pct"/>
            <w:textDirection w:val="lrTb"/>
            <w:noWrap w:val="false"/>
          </w:tcPr>
          <w:p>
            <w:pPr>
              <w:pStyle w:val="1005"/>
              <w:ind w:left="57" w:right="57"/>
            </w:pPr>
            <w:r>
              <w:t xml:space="preserve">Руководитель (уполномоченное им лицо). ФИО</w:t>
            </w:r>
            <w:r/>
          </w:p>
        </w:tc>
        <w:tc>
          <w:tcPr>
            <w:shd w:val="clear" w:fill="auto" w:color="auto"/>
            <w:tcW w:w="3518" w:type="pct"/>
            <w:textDirection w:val="lrTb"/>
            <w:noWrap w:val="false"/>
          </w:tcPr>
          <w:p>
            <w:pPr>
              <w:pStyle w:val="1005"/>
              <w:ind w:left="57" w:right="57"/>
            </w:pPr>
            <w:r>
              <w:t xml:space="preserve">На ФО БС/МБ: Заполнение вручную.</w:t>
            </w:r>
            <w:r/>
          </w:p>
          <w:p>
            <w:pPr>
              <w:pStyle w:val="1005"/>
              <w:ind w:left="57" w:right="57"/>
            </w:pPr>
            <w:r>
              <w:t xml:space="preserve">Доступен выбор из справочника «Сотрудники».</w:t>
            </w:r>
            <w:r/>
          </w:p>
        </w:tc>
      </w:tr>
      <w:tr>
        <w:trPr>
          <w:trHeight w:val="77"/>
        </w:trPr>
        <w:tc>
          <w:tcPr>
            <w:shd w:val="clear" w:fill="auto" w:color="auto"/>
            <w:tcW w:w="1482" w:type="pct"/>
            <w:textDirection w:val="lrTb"/>
            <w:noWrap w:val="false"/>
          </w:tcPr>
          <w:p>
            <w:pPr>
              <w:pStyle w:val="1005"/>
              <w:ind w:left="57" w:right="57"/>
            </w:pPr>
            <w:r>
              <w:t xml:space="preserve">Главный бухгалтер (уполномоченное лицо). Должность</w:t>
            </w:r>
            <w:r/>
          </w:p>
        </w:tc>
        <w:tc>
          <w:tcPr>
            <w:shd w:val="clear" w:fill="auto" w:color="auto"/>
            <w:tcW w:w="3518" w:type="pct"/>
            <w:textDirection w:val="lrTb"/>
            <w:noWrap w:val="false"/>
          </w:tcPr>
          <w:p>
            <w:pPr>
              <w:pStyle w:val="1005"/>
              <w:ind w:left="57" w:right="57"/>
            </w:pPr>
            <w:r>
              <w:t xml:space="preserve">На ФО БС/МБ: Заполняется автоматически на основании выбранного значения поля «ФИО» по справочнику «Сотрудники».</w:t>
            </w:r>
            <w:r/>
          </w:p>
          <w:p>
            <w:pPr>
              <w:pStyle w:val="1005"/>
              <w:ind w:left="57" w:right="57"/>
            </w:pPr>
            <w:r>
              <w:t xml:space="preserve">Заполнение вручную.</w:t>
            </w:r>
            <w:r/>
          </w:p>
        </w:tc>
      </w:tr>
      <w:tr>
        <w:trPr>
          <w:trHeight w:val="77"/>
        </w:trPr>
        <w:tc>
          <w:tcPr>
            <w:shd w:val="clear" w:fill="auto" w:color="auto"/>
            <w:tcW w:w="1482" w:type="pct"/>
            <w:textDirection w:val="lrTb"/>
            <w:noWrap w:val="false"/>
          </w:tcPr>
          <w:p>
            <w:pPr>
              <w:pStyle w:val="1005"/>
              <w:ind w:left="57" w:right="57"/>
            </w:pPr>
            <w:r>
              <w:t xml:space="preserve">Главный бухгалтер (упол</w:t>
            </w:r>
            <w:r>
              <w:t xml:space="preserve">номоченное лицо). ФИО</w:t>
            </w:r>
            <w:r/>
          </w:p>
        </w:tc>
        <w:tc>
          <w:tcPr>
            <w:shd w:val="clear" w:fill="auto" w:color="auto"/>
            <w:tcW w:w="3518" w:type="pct"/>
            <w:textDirection w:val="lrTb"/>
            <w:noWrap w:val="false"/>
          </w:tcPr>
          <w:p>
            <w:pPr>
              <w:pStyle w:val="1005"/>
              <w:ind w:left="57" w:right="57"/>
            </w:pPr>
            <w:r>
              <w:t xml:space="preserve">На ФО БС/МБ: Заполнение вручную.</w:t>
            </w:r>
            <w:r/>
          </w:p>
          <w:p>
            <w:pPr>
              <w:pStyle w:val="1005"/>
              <w:ind w:left="57" w:right="57"/>
            </w:pPr>
            <w:r>
              <w:t xml:space="preserve">Доступен выбор из справочника «Сотрудники».</w:t>
            </w:r>
            <w:r/>
          </w:p>
        </w:tc>
      </w:tr>
      <w:tr>
        <w:trPr>
          <w:trHeight w:val="77"/>
        </w:trPr>
        <w:tc>
          <w:tcPr>
            <w:shd w:val="clear" w:fill="auto" w:color="auto"/>
            <w:tcW w:w="1482" w:type="pct"/>
            <w:textDirection w:val="lrTb"/>
            <w:noWrap w:val="false"/>
          </w:tcPr>
          <w:p>
            <w:pPr>
              <w:pStyle w:val="1005"/>
              <w:ind w:left="57" w:right="57"/>
            </w:pPr>
            <w:r>
              <w:t xml:space="preserve">Исполнитель (ФИО)</w:t>
            </w:r>
            <w:r/>
          </w:p>
        </w:tc>
        <w:tc>
          <w:tcPr>
            <w:shd w:val="clear" w:fill="auto" w:color="auto"/>
            <w:tcW w:w="3518" w:type="pct"/>
            <w:textDirection w:val="lrTb"/>
            <w:noWrap w:val="false"/>
          </w:tcPr>
          <w:p>
            <w:pPr>
              <w:pStyle w:val="1005"/>
              <w:ind w:left="57" w:right="57"/>
            </w:pPr>
            <w:r>
              <w:t xml:space="preserve">На ФО БС/МБ: Заполнение вручную.</w:t>
            </w:r>
            <w:r/>
          </w:p>
          <w:p>
            <w:pPr>
              <w:pStyle w:val="1005"/>
              <w:ind w:left="57" w:right="57"/>
            </w:pPr>
            <w:r>
              <w:t xml:space="preserve">Доступен выбор из справочника «Сотрудники».</w:t>
            </w:r>
            <w:r/>
          </w:p>
        </w:tc>
      </w:tr>
      <w:tr>
        <w:trPr>
          <w:trHeight w:val="77"/>
        </w:trPr>
        <w:tc>
          <w:tcPr>
            <w:shd w:val="clear" w:fill="auto" w:color="auto"/>
            <w:tcW w:w="1482" w:type="pct"/>
            <w:textDirection w:val="lrTb"/>
            <w:noWrap w:val="false"/>
          </w:tcPr>
          <w:p>
            <w:pPr>
              <w:pStyle w:val="1005"/>
              <w:ind w:left="57" w:right="57"/>
            </w:pPr>
            <w:r>
              <w:t xml:space="preserve">Телефон</w:t>
            </w:r>
            <w:r/>
          </w:p>
        </w:tc>
        <w:tc>
          <w:tcPr>
            <w:shd w:val="clear" w:fill="auto" w:color="auto"/>
            <w:tcW w:w="3518" w:type="pct"/>
            <w:textDirection w:val="lrTb"/>
            <w:noWrap w:val="false"/>
          </w:tcPr>
          <w:p>
            <w:pPr>
              <w:pStyle w:val="1005"/>
              <w:ind w:left="57" w:right="57"/>
            </w:pPr>
            <w:r>
              <w:t xml:space="preserve">На ФО БС/МБ: Заполняется автоматически на основании выбранного значения поля «ФИО» по справочнику «Сотрудники».</w:t>
            </w:r>
            <w:r/>
          </w:p>
          <w:p>
            <w:pPr>
              <w:pStyle w:val="1005"/>
              <w:ind w:left="57" w:right="57"/>
            </w:pPr>
            <w:r>
              <w:t xml:space="preserve">Заполнение вручную.</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«Отметки уполномоченного органа о регистрации»</w:t>
            </w:r>
            <w:r/>
          </w:p>
        </w:tc>
      </w:tr>
      <w:tr>
        <w:trPr>
          <w:trHeight w:val="77"/>
        </w:trPr>
        <w:tc>
          <w:tcPr>
            <w:shd w:val="clear" w:fill="auto" w:color="auto"/>
            <w:tcW w:w="1482" w:type="pct"/>
            <w:textDirection w:val="lrTb"/>
            <w:noWrap w:val="false"/>
          </w:tcPr>
          <w:p>
            <w:pPr>
              <w:pStyle w:val="1005"/>
              <w:ind w:left="57" w:right="57"/>
            </w:pPr>
            <w:r>
              <w:t xml:space="preserve">Исходящий номер</w:t>
            </w:r>
            <w:r/>
          </w:p>
        </w:tc>
        <w:tc>
          <w:tcPr>
            <w:shd w:val="clear" w:fill="auto" w:color="auto"/>
            <w:tcW w:w="3518" w:type="pct"/>
            <w:textDirection w:val="lrTb"/>
            <w:noWrap w:val="false"/>
          </w:tcPr>
          <w:p>
            <w:pPr>
              <w:pStyle w:val="1005"/>
              <w:ind w:left="57" w:right="57"/>
            </w:pPr>
            <w:r>
              <w:t xml:space="preserve">Указывается значение исходящего регистрационного номера уполномоченного органа.</w:t>
            </w:r>
            <w:r/>
          </w:p>
          <w:p>
            <w:pPr>
              <w:pStyle w:val="1005"/>
              <w:ind w:left="57" w:right="57"/>
            </w:pPr>
            <w:r>
              <w:t xml:space="preserve">На ФО БС/МБ: Заполнение вручную.</w:t>
            </w:r>
            <w:r/>
          </w:p>
        </w:tc>
      </w:tr>
      <w:tr>
        <w:trPr>
          <w:trHeight w:val="77"/>
        </w:trPr>
        <w:tc>
          <w:tcPr>
            <w:shd w:val="clear" w:fill="auto" w:color="auto"/>
            <w:tcW w:w="1482" w:type="pct"/>
            <w:textDirection w:val="lrTb"/>
            <w:noWrap w:val="false"/>
          </w:tcPr>
          <w:p>
            <w:pPr>
              <w:pStyle w:val="1005"/>
              <w:ind w:left="57" w:right="57"/>
            </w:pPr>
            <w:r>
              <w:t xml:space="preserve">Дата</w:t>
            </w:r>
            <w:r/>
          </w:p>
        </w:tc>
        <w:tc>
          <w:tcPr>
            <w:shd w:val="clear" w:fill="auto" w:color="auto"/>
            <w:tcW w:w="3518" w:type="pct"/>
            <w:textDirection w:val="lrTb"/>
            <w:noWrap w:val="false"/>
          </w:tcPr>
          <w:p>
            <w:pPr>
              <w:pStyle w:val="1005"/>
              <w:ind w:left="57" w:right="57"/>
            </w:pPr>
            <w:r>
              <w:t xml:space="preserve">Указывается дата отправки Кредитного договора в УФК.</w:t>
            </w:r>
            <w:r/>
          </w:p>
          <w:p>
            <w:pPr>
              <w:pStyle w:val="1005"/>
              <w:ind w:left="57" w:right="57"/>
            </w:pPr>
            <w:r>
              <w:t xml:space="preserve">На ФО БС/МБ: Поле заполняется по умолчанию значением равным «Текущая системная дата + 3 рабочих дня» в соответствии с федеральным календарем (выходные и праздничные дни не учитываются);</w:t>
            </w:r>
            <w:r/>
          </w:p>
          <w:p>
            <w:pPr>
              <w:pStyle w:val="1005"/>
              <w:ind w:left="57" w:right="57"/>
            </w:pPr>
            <w:r>
              <w:t xml:space="preserve">Доступно заполнение </w:t>
            </w:r>
            <w:r>
              <w:t xml:space="preserve">выбором из системного календаря и вручную.</w:t>
            </w:r>
            <w:r/>
          </w:p>
        </w:tc>
      </w:tr>
    </w:tbl>
    <w:p>
      <w:pPr>
        <w:pStyle w:val="972"/>
      </w:pPr>
      <w:r/>
      <w:bookmarkStart w:id="1891" w:name="_Ref404845699"/>
      <w:r/>
      <w:bookmarkStart w:id="1892" w:name="_Toc422496744"/>
      <w:r/>
      <w:bookmarkStart w:id="1893" w:name="_Toc88819169"/>
      <w:r>
        <w:t xml:space="preserve">Уведомление об отказе в заключении Кредитного договора</w:t>
      </w:r>
      <w:bookmarkEnd w:id="1891"/>
      <w:r/>
      <w:bookmarkEnd w:id="1892"/>
      <w:r/>
      <w:bookmarkEnd w:id="1893"/>
      <w:r/>
      <w:r/>
    </w:p>
    <w:p>
      <w:pPr>
        <w:pStyle w:val="994"/>
      </w:pPr>
      <w:r>
        <w:t xml:space="preserve">Предоставление </w:t>
      </w:r>
      <w:r>
        <w:t xml:space="preserve">территориальными ОрФК бю</w:t>
      </w:r>
      <w:r>
        <w:t xml:space="preserve">д</w:t>
      </w:r>
      <w:r>
        <w:t xml:space="preserve">жетных кредитов бюджетам субъектов РФ (местным бюджетам) на пополнение остатков средств на счетах бюджетов субъектов РФ (местных бюджетов), возврата бюджетных кредитов и взыскания задолженности по бюдже</w:t>
      </w:r>
      <w:r>
        <w:t xml:space="preserve">т</w:t>
      </w:r>
      <w:r>
        <w:t xml:space="preserve">ным кредитам</w:t>
      </w:r>
      <w:r>
        <w:t xml:space="preserve">, </w:t>
      </w:r>
      <w:r>
        <w:t xml:space="preserve">осуществляется между УФК и уполномоченным органом в электронном виде </w:t>
      </w:r>
      <w:r>
        <w:t xml:space="preserve">посредством </w:t>
      </w:r>
      <w:r>
        <w:t xml:space="preserve">ЭД </w:t>
      </w:r>
      <w:r>
        <w:t xml:space="preserve">«Информационное </w:t>
      </w:r>
      <w:r>
        <w:rPr>
          <w:sz w:val="24"/>
          <w:szCs w:val="24"/>
        </w:rPr>
        <w:t xml:space="preserve">сообщение» с типом</w:t>
      </w:r>
      <w:r>
        <w:t xml:space="preserve"> «</w:t>
      </w:r>
      <w:r>
        <w:t xml:space="preserve">Уведомление об отказе в заключении Кредитного договора</w:t>
      </w:r>
      <w:r>
        <w:t xml:space="preserve">»</w:t>
      </w:r>
      <w:r>
        <w:t xml:space="preserve"> </w:t>
      </w:r>
      <w:r>
        <w:t xml:space="preserve">с </w:t>
      </w:r>
      <w:r>
        <w:t xml:space="preserve">и</w:t>
      </w:r>
      <w:r>
        <w:t xml:space="preserve">с</w:t>
      </w:r>
      <w:r>
        <w:t xml:space="preserve">пользованием </w:t>
      </w:r>
      <w:r>
        <w:t xml:space="preserve">ППО СУФД АСФК</w:t>
      </w:r>
      <w:r>
        <w:t xml:space="preserve">.</w:t>
      </w:r>
      <w:r/>
    </w:p>
    <w:p>
      <w:pPr>
        <w:pStyle w:val="994"/>
      </w:pPr>
      <w:r>
        <w:t xml:space="preserve">Для работы с документами </w:t>
      </w:r>
      <w:r>
        <w:t xml:space="preserve">«Информационное </w:t>
      </w:r>
      <w:r>
        <w:rPr>
          <w:sz w:val="24"/>
          <w:szCs w:val="24"/>
        </w:rPr>
        <w:t xml:space="preserve">сообщение» с типом</w:t>
      </w:r>
      <w:r>
        <w:t xml:space="preserve"> «</w:t>
      </w:r>
      <w:r>
        <w:t xml:space="preserve">Уведомление об отказе в заключении Кредитного договора</w:t>
      </w:r>
      <w:r>
        <w:t xml:space="preserve">»</w:t>
      </w:r>
      <w:r>
        <w:t xml:space="preserve"> следует перейти в пункт меню «Документы – </w:t>
      </w:r>
      <w:r>
        <w:t xml:space="preserve">Предоставление бюджетных кредитов</w:t>
      </w:r>
      <w:r>
        <w:t xml:space="preserve"> – </w:t>
      </w:r>
      <w:r>
        <w:t xml:space="preserve">Информационное </w:t>
      </w:r>
      <w:r>
        <w:rPr>
          <w:sz w:val="24"/>
          <w:szCs w:val="24"/>
        </w:rPr>
        <w:t xml:space="preserve">сообщение – </w:t>
      </w:r>
      <w:r>
        <w:t xml:space="preserve">Уведомление об отказе в заключении Кредитного договора</w:t>
      </w:r>
      <w:r>
        <w:t xml:space="preserve">». Откроется ЭФ списка документов, представленная на рисунке</w:t>
      </w:r>
      <w:r>
        <w:t xml:space="preserve"> </w:t>
      </w:r>
      <w:r>
        <w:fldChar w:fldCharType="begin"/>
      </w:r>
      <w:r>
        <w:instrText xml:space="preserve"> REF _Ref404845437 \h </w:instrText>
      </w:r>
      <w:r>
        <w:fldChar w:fldCharType="separate"/>
      </w:r>
      <w:r>
        <w:t xml:space="preserve">285</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3474720"/>
                <wp:effectExtent l="0" t="0" r="0" b="0"/>
                <wp:docPr id="42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74"/>
                        <a:stretch/>
                      </pic:blipFill>
                      <pic:spPr bwMode="auto">
                        <a:xfrm>
                          <a:off x="0" y="0"/>
                          <a:ext cx="6035039" cy="34747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3" o:spid="_x0000_s423" type="#_x0000_t75" style="mso-wrap-distance-left:0.0pt;mso-wrap-distance-top:0.0pt;mso-wrap-distance-right:0.0pt;mso-wrap-distance-bottom:0.0pt;width:475.2pt;height:273.6pt;" stroked="f">
                <v:path textboxrect="0,0,0,0"/>
                <v:imagedata r:id="rId374" o:title=""/>
              </v:shape>
            </w:pict>
          </mc:Fallback>
        </mc:AlternateContent>
      </w:r>
      <w:r/>
    </w:p>
    <w:p>
      <w:pPr>
        <w:pStyle w:val="983"/>
      </w:pPr>
      <w:r>
        <w:fldChar w:fldCharType="begin"/>
      </w:r>
      <w:r>
        <w:instrText xml:space="preserve"> SEQ Рисунок \* ARABIC </w:instrText>
      </w:r>
      <w:r>
        <w:fldChar w:fldCharType="separate"/>
      </w:r>
      <w:bookmarkStart w:id="1894" w:name="_Ref404845437"/>
      <w:r/>
      <w:bookmarkStart w:id="1895" w:name="_Toc88819670"/>
      <w:r>
        <w:t xml:space="preserve">285</w:t>
      </w:r>
      <w:bookmarkEnd w:id="1894"/>
      <w:r>
        <w:fldChar w:fldCharType="end"/>
      </w:r>
      <w:r>
        <w:t xml:space="preserve">. ЭФ списка документов «</w:t>
      </w:r>
      <w:r>
        <w:t xml:space="preserve">Информационное сообщение» с типом «Уведомление об отказе в заключении Кредитного договора</w:t>
      </w:r>
      <w:r>
        <w:t xml:space="preserve">»</w:t>
      </w:r>
      <w:bookmarkEnd w:id="1895"/>
      <w:r/>
      <w:r/>
    </w:p>
    <w:p>
      <w:pPr>
        <w:pStyle w:val="973"/>
      </w:pPr>
      <w:r>
        <w:t xml:space="preserve">Доступные операции</w:t>
      </w:r>
      <w:r/>
    </w:p>
    <w:p>
      <w:pPr>
        <w:pStyle w:val="994"/>
      </w:pPr>
      <w:r>
        <w:t xml:space="preserve">На АРМ </w:t>
      </w:r>
      <w:r>
        <w:t xml:space="preserve">ФО</w:t>
      </w:r>
      <w:r>
        <w:t xml:space="preserve"> </w:t>
      </w:r>
      <w:r>
        <w:t xml:space="preserve">доступны </w:t>
      </w:r>
      <w:r>
        <w:t xml:space="preserve">следующие операции</w:t>
      </w:r>
      <w:r>
        <w:t xml:space="preserve"> над документом</w:t>
      </w:r>
      <w:r>
        <w:t xml:space="preserve">:</w:t>
      </w:r>
      <w:r/>
    </w:p>
    <w:p>
      <w:pPr>
        <w:pStyle w:val="985"/>
      </w:pPr>
      <w:r>
        <w:t xml:space="preserve">просмотр;</w:t>
      </w:r>
      <w:r/>
    </w:p>
    <w:p>
      <w:pPr>
        <w:pStyle w:val="985"/>
      </w:pPr>
      <w:r>
        <w:t xml:space="preserve">проверка </w:t>
      </w:r>
      <w:r>
        <w:t xml:space="preserve">ЭП</w:t>
      </w:r>
      <w:r>
        <w:t xml:space="preserve">;</w:t>
      </w:r>
      <w:r/>
    </w:p>
    <w:p>
      <w:pPr>
        <w:pStyle w:val="985"/>
      </w:pPr>
      <w:r>
        <w:t xml:space="preserve">печать</w:t>
      </w:r>
      <w:r>
        <w:t xml:space="preserve"> вложения.</w:t>
      </w:r>
      <w:r/>
    </w:p>
    <w:p>
      <w:pPr>
        <w:pStyle w:val="973"/>
      </w:pPr>
      <w:r>
        <w:t xml:space="preserve">Экранная форма документа</w:t>
      </w:r>
      <w:r/>
    </w:p>
    <w:p>
      <w:pPr>
        <w:pStyle w:val="994"/>
      </w:pPr>
      <w:r>
        <w:t xml:space="preserve">ЭФ документа «</w:t>
      </w:r>
      <w:r>
        <w:t xml:space="preserve">Информационное сообщение» с типом «Уведомление об отказе в заключении Кредитного договора</w:t>
      </w:r>
      <w:r>
        <w:t xml:space="preserve">»</w:t>
      </w:r>
      <w:r>
        <w:t xml:space="preserve"> представлена на рисунке</w:t>
      </w:r>
      <w:r>
        <w:t xml:space="preserve"> </w:t>
      </w:r>
      <w:r>
        <w:fldChar w:fldCharType="begin"/>
      </w:r>
      <w:r>
        <w:instrText xml:space="preserve"> REF _Ref404845436 \h </w:instrText>
      </w:r>
      <w:r>
        <w:fldChar w:fldCharType="separate"/>
      </w:r>
      <w:r>
        <w:t xml:space="preserve">286</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5036820"/>
                <wp:effectExtent l="0" t="0" r="0" b="0"/>
                <wp:docPr id="42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75"/>
                        <a:stretch/>
                      </pic:blipFill>
                      <pic:spPr bwMode="auto">
                        <a:xfrm>
                          <a:off x="0" y="0"/>
                          <a:ext cx="6126480" cy="50368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4" o:spid="_x0000_s424" type="#_x0000_t75" style="mso-wrap-distance-left:0.0pt;mso-wrap-distance-top:0.0pt;mso-wrap-distance-right:0.0pt;mso-wrap-distance-bottom:0.0pt;width:482.4pt;height:396.6pt;" stroked="f">
                <v:path textboxrect="0,0,0,0"/>
                <v:imagedata r:id="rId375" o:title=""/>
              </v:shape>
            </w:pict>
          </mc:Fallback>
        </mc:AlternateContent>
      </w:r>
      <w:r/>
    </w:p>
    <w:p>
      <w:pPr>
        <w:pStyle w:val="983"/>
      </w:pPr>
      <w:r>
        <w:fldChar w:fldCharType="begin"/>
      </w:r>
      <w:r>
        <w:instrText xml:space="preserve"> SEQ Рисунок \* ARABIC </w:instrText>
      </w:r>
      <w:r>
        <w:fldChar w:fldCharType="separate"/>
      </w:r>
      <w:bookmarkStart w:id="1896" w:name="_Ref404845436"/>
      <w:r/>
      <w:bookmarkStart w:id="1897" w:name="_Toc88819671"/>
      <w:r>
        <w:t xml:space="preserve">286</w:t>
      </w:r>
      <w:bookmarkEnd w:id="1896"/>
      <w:r>
        <w:fldChar w:fldCharType="end"/>
      </w:r>
      <w:r>
        <w:t xml:space="preserve">. ЭФ документа «</w:t>
      </w:r>
      <w:r>
        <w:t xml:space="preserve">Информационное сообщение» с типом «Уведомление об отказе в заключении Кредитного договора»</w:t>
      </w:r>
      <w:bookmarkEnd w:id="1897"/>
      <w:r/>
      <w:r/>
    </w:p>
    <w:p>
      <w:pPr>
        <w:pStyle w:val="994"/>
      </w:pPr>
      <w:r>
        <w:t xml:space="preserve">Перечень</w:t>
      </w:r>
      <w:r>
        <w:t xml:space="preserve"> полей</w:t>
      </w:r>
      <w:r>
        <w:t xml:space="preserve"> </w:t>
      </w:r>
      <w:r>
        <w:t xml:space="preserve">документа «</w:t>
      </w:r>
      <w:r>
        <w:t xml:space="preserve">Информационное сообщение» с типом «Уведомление об отказе в заключении Кредитного договора</w:t>
      </w:r>
      <w:r>
        <w:t xml:space="preserve">»</w:t>
      </w:r>
      <w:r>
        <w:t xml:space="preserve"> </w:t>
      </w:r>
      <w:r>
        <w:t xml:space="preserve">приведен в таблице</w:t>
      </w:r>
      <w:r>
        <w:t xml:space="preserve"> </w:t>
      </w:r>
      <w:r>
        <w:fldChar w:fldCharType="begin"/>
      </w:r>
      <w:r>
        <w:instrText xml:space="preserve"> REF _Ref404845435 \h </w:instrText>
      </w:r>
      <w:r>
        <w:fldChar w:fldCharType="separate"/>
      </w:r>
      <w:r>
        <w:t xml:space="preserve">167</w:t>
      </w:r>
      <w:r>
        <w:fldChar w:fldCharType="end"/>
      </w:r>
      <w:r>
        <w:t xml:space="preserve">.</w:t>
      </w:r>
      <w:r/>
    </w:p>
    <w:p>
      <w:pPr>
        <w:pStyle w:val="993"/>
      </w:pPr>
      <w:r>
        <w:fldChar w:fldCharType="begin"/>
      </w:r>
      <w:r>
        <w:instrText xml:space="preserve"> SEQ Таблица \* ARABIC </w:instrText>
      </w:r>
      <w:r>
        <w:fldChar w:fldCharType="separate"/>
      </w:r>
      <w:bookmarkStart w:id="1898" w:name="_Ref404845435"/>
      <w:r/>
      <w:bookmarkStart w:id="1899" w:name="_Toc88819354"/>
      <w:r>
        <w:t xml:space="preserve">167</w:t>
      </w:r>
      <w:bookmarkEnd w:id="1898"/>
      <w:r>
        <w:fldChar w:fldCharType="end"/>
      </w:r>
      <w:r>
        <w:t xml:space="preserve">. Описание полей документа «</w:t>
      </w:r>
      <w:r>
        <w:t xml:space="preserve">Информационное сообщение» с типом «Уведомление об отказе в заключении Кредитного договора»</w:t>
      </w:r>
      <w:bookmarkEnd w:id="1899"/>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37"/>
        <w:gridCol w:w="7415"/>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198"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02" w:type="pct"/>
            <w:vAlign w:val="center"/>
            <w:textDirection w:val="lrTb"/>
            <w:noWrap w:val="false"/>
          </w:tcPr>
          <w:p>
            <w:pPr>
              <w:pStyle w:val="1006"/>
            </w:pPr>
            <w:r>
              <w:t xml:space="preserve">Описание поля</w:t>
            </w:r>
            <w:r/>
          </w:p>
        </w:tc>
      </w:tr>
      <w:tr>
        <w:trPr/>
        <w:tc>
          <w:tcPr>
            <w:shd w:val="clear" w:fill="auto" w:color="auto"/>
            <w:tcW w:w="1198" w:type="pct"/>
            <w:textDirection w:val="lrTb"/>
            <w:noWrap w:val="false"/>
          </w:tcPr>
          <w:p>
            <w:pPr>
              <w:pStyle w:val="1005"/>
              <w:ind w:left="57" w:right="57"/>
            </w:pPr>
            <w:r>
              <w:t xml:space="preserve">Номер</w:t>
            </w:r>
            <w:r/>
          </w:p>
        </w:tc>
        <w:tc>
          <w:tcPr>
            <w:shd w:val="clear" w:fill="auto" w:color="auto"/>
            <w:tcW w:w="3802" w:type="pct"/>
            <w:textDirection w:val="lrTb"/>
            <w:noWrap w:val="false"/>
          </w:tcPr>
          <w:p>
            <w:pPr>
              <w:pStyle w:val="1005"/>
              <w:ind w:left="57" w:right="57"/>
            </w:pPr>
            <w:r>
              <w:t xml:space="preserve">По умолчанию не заполнено. Значение рассчитывается по нажатию кнопки на основании настроек для текущего типа документа в справочнике </w:t>
            </w:r>
            <w:r>
              <w:t xml:space="preserve">«</w:t>
            </w:r>
            <w:r>
              <w:t xml:space="preserve">Параметры автонумерации документов</w:t>
            </w:r>
            <w:r>
              <w:t xml:space="preserve">»</w:t>
            </w:r>
            <w:r>
              <w:t xml:space="preserve">.</w:t>
            </w:r>
            <w:r>
              <w:t xml:space="preserve"> </w:t>
            </w:r>
            <w:r/>
          </w:p>
          <w:p>
            <w:pPr>
              <w:pStyle w:val="1005"/>
              <w:ind w:left="57" w:right="57"/>
            </w:pPr>
            <w:r>
              <w:t xml:space="preserve">Может быть заполнено вручную.</w:t>
            </w:r>
            <w:r/>
          </w:p>
          <w:p>
            <w:pPr>
              <w:pStyle w:val="1005"/>
              <w:ind w:left="57" w:right="57"/>
            </w:pPr>
            <w:r>
              <w:t xml:space="preserve">В случае если </w:t>
            </w:r>
            <w:r>
              <w:t xml:space="preserve">значение было изменено вручную и не соответствует вычисленному значению, правильный порядковый номер может быть проставлен по нажатию кнопки.</w:t>
            </w:r>
            <w:r/>
          </w:p>
        </w:tc>
      </w:tr>
      <w:tr>
        <w:trPr/>
        <w:tc>
          <w:tcPr>
            <w:shd w:val="clear" w:fill="auto" w:color="auto"/>
            <w:tcW w:w="1198" w:type="pct"/>
            <w:textDirection w:val="lrTb"/>
            <w:noWrap w:val="false"/>
          </w:tcPr>
          <w:p>
            <w:pPr>
              <w:pStyle w:val="1005"/>
              <w:ind w:left="57" w:right="57"/>
            </w:pPr>
            <w:r>
              <w:t xml:space="preserve">Дата действия документа</w:t>
            </w:r>
            <w:r/>
          </w:p>
        </w:tc>
        <w:tc>
          <w:tcPr>
            <w:shd w:val="clear" w:fill="auto" w:color="auto"/>
            <w:tcW w:w="3802" w:type="pct"/>
            <w:textDirection w:val="lrTb"/>
            <w:noWrap w:val="false"/>
          </w:tcPr>
          <w:p>
            <w:pPr>
              <w:pStyle w:val="1005"/>
              <w:ind w:left="57" w:right="57"/>
            </w:pPr>
            <w:r>
              <w:t xml:space="preserve">Заполняется по умолчанию значением текущей системной даты.</w:t>
            </w:r>
            <w:r/>
          </w:p>
          <w:p>
            <w:pPr>
              <w:pStyle w:val="1005"/>
              <w:ind w:left="57" w:right="57"/>
            </w:pPr>
            <w:r>
              <w:t xml:space="preserve">Может </w:t>
            </w:r>
            <w:r>
              <w:t xml:space="preserve">быть </w:t>
            </w:r>
            <w:r>
              <w:t xml:space="preserve">заполнено вручную или выбором из системного календаря.</w:t>
            </w:r>
            <w:r/>
          </w:p>
        </w:tc>
      </w:tr>
      <w:tr>
        <w:trPr/>
        <w:tc>
          <w:tcPr>
            <w:shd w:val="clear" w:fill="auto" w:color="auto"/>
            <w:tcW w:w="1198" w:type="pct"/>
            <w:textDirection w:val="lrTb"/>
            <w:noWrap w:val="false"/>
          </w:tcPr>
          <w:p>
            <w:pPr>
              <w:pStyle w:val="1005"/>
              <w:ind w:left="57" w:right="57"/>
            </w:pPr>
            <w:r>
              <w:t xml:space="preserve">Наименование документа</w:t>
            </w:r>
            <w:r/>
          </w:p>
        </w:tc>
        <w:tc>
          <w:tcPr>
            <w:shd w:val="clear" w:fill="auto" w:color="auto"/>
            <w:tcW w:w="3802" w:type="pct"/>
            <w:textDirection w:val="lrTb"/>
            <w:noWrap w:val="false"/>
          </w:tcPr>
          <w:p>
            <w:pPr>
              <w:pStyle w:val="1005"/>
              <w:ind w:left="57" w:right="57"/>
            </w:pPr>
            <w:r>
              <w:t xml:space="preserve">Заполняется значением по умолчанию «Уведомление об отказе в заключении Кредитного договора».</w:t>
            </w:r>
            <w:r/>
          </w:p>
        </w:tc>
      </w:tr>
      <w:tr>
        <w:trPr/>
        <w:tc>
          <w:tcPr>
            <w:shd w:val="clear" w:fill="auto" w:color="auto"/>
            <w:tcW w:w="1198" w:type="pct"/>
            <w:textDirection w:val="lrTb"/>
            <w:noWrap w:val="false"/>
          </w:tcPr>
          <w:p>
            <w:pPr>
              <w:pStyle w:val="1005"/>
              <w:ind w:left="57" w:right="57"/>
            </w:pPr>
            <w:r>
              <w:t xml:space="preserve">Отправитель сообщения</w:t>
            </w:r>
            <w:r/>
          </w:p>
        </w:tc>
        <w:tc>
          <w:tcPr>
            <w:shd w:val="clear" w:fill="auto" w:color="auto"/>
            <w:tcW w:w="3802" w:type="pct"/>
            <w:textDirection w:val="lrTb"/>
            <w:noWrap w:val="false"/>
          </w:tcPr>
          <w:p>
            <w:pPr>
              <w:pStyle w:val="1005"/>
              <w:ind w:left="57" w:right="57"/>
            </w:pPr>
            <w:r>
              <w:t xml:space="preserve">Указывается отправитель сообщения. </w:t>
            </w:r>
            <w:r/>
          </w:p>
          <w:p>
            <w:pPr>
              <w:pStyle w:val="1005"/>
              <w:ind w:left="57" w:right="57"/>
            </w:pPr>
            <w:r>
              <w:t xml:space="preserve">Заполняется по умолчанию при автоматическом формировании документа «Информационное сообщение» с типом «Уведомление об отказе в заключении Кредитного договора»</w:t>
            </w:r>
            <w:r>
              <w:t xml:space="preserve"> </w:t>
            </w:r>
            <w:r>
              <w:t xml:space="preserve">по результатам отказа в заключении документа «Кредитный договор» значением равными «Наименование УФК» (из блока полей «Информация об УФК») документа «Кредитный договор».</w:t>
            </w:r>
            <w:r/>
          </w:p>
        </w:tc>
      </w:tr>
      <w:tr>
        <w:trPr/>
        <w:tc>
          <w:tcPr>
            <w:shd w:val="clear" w:fill="auto" w:color="auto"/>
            <w:tcW w:w="1198" w:type="pct"/>
            <w:textDirection w:val="lrTb"/>
            <w:noWrap w:val="false"/>
          </w:tcPr>
          <w:p>
            <w:pPr>
              <w:pStyle w:val="1005"/>
              <w:ind w:left="57" w:right="57"/>
            </w:pPr>
            <w:r>
              <w:t xml:space="preserve">Получатель сообщения</w:t>
            </w:r>
            <w:r/>
          </w:p>
        </w:tc>
        <w:tc>
          <w:tcPr>
            <w:shd w:val="clear" w:fill="auto" w:color="auto"/>
            <w:tcW w:w="3802" w:type="pct"/>
            <w:textDirection w:val="lrTb"/>
            <w:noWrap w:val="false"/>
          </w:tcPr>
          <w:p>
            <w:pPr>
              <w:pStyle w:val="1005"/>
              <w:ind w:left="57" w:right="57"/>
            </w:pPr>
            <w:r>
              <w:t xml:space="preserve">Указывается получатель сообщения. </w:t>
            </w:r>
            <w:r/>
          </w:p>
          <w:p>
            <w:pPr>
              <w:pStyle w:val="1005"/>
              <w:ind w:left="57" w:right="57"/>
            </w:pPr>
            <w:r>
              <w:t xml:space="preserve">Заполняется по умолчанию при автоматическом формировании документа «Информационное сообщение» с типом «Уведомление об отказе в заключении Кредитного договора»</w:t>
            </w:r>
            <w:r>
              <w:t xml:space="preserve"> </w:t>
            </w:r>
            <w:r>
              <w:t xml:space="preserve">по результатам отказа в заключении документа «Кредитный договор» значением равными «Наименование уполномоченного органа» (из блока полей «Информация об Уполномоченном органе бюджета субъекта РФ (муниципального образования)») документа «Кредитный договор».</w:t>
            </w:r>
            <w:r/>
          </w:p>
        </w:tc>
      </w:tr>
      <w:tr>
        <w:trPr/>
        <w:tc>
          <w:tcPr>
            <w:shd w:val="clear" w:fill="auto" w:color="auto"/>
            <w:tcW w:w="1198" w:type="pct"/>
            <w:textDirection w:val="lrTb"/>
            <w:noWrap w:val="false"/>
          </w:tcPr>
          <w:p>
            <w:pPr>
              <w:pStyle w:val="1005"/>
              <w:ind w:left="57" w:right="57"/>
            </w:pPr>
            <w:r>
              <w:t xml:space="preserve">Ответственный</w:t>
            </w:r>
            <w:r/>
          </w:p>
        </w:tc>
        <w:tc>
          <w:tcPr>
            <w:shd w:val="clear" w:fill="auto" w:color="auto"/>
            <w:tcW w:w="3802" w:type="pct"/>
            <w:textDirection w:val="lrTb"/>
            <w:noWrap w:val="false"/>
          </w:tcPr>
          <w:p>
            <w:pPr>
              <w:pStyle w:val="1005"/>
              <w:ind w:left="57" w:right="57"/>
            </w:pPr>
            <w:r>
              <w:t xml:space="preserve">Значение поля заполняется вручную реквизитами ответственного исполнителя.</w:t>
            </w:r>
            <w:r/>
          </w:p>
        </w:tc>
      </w:tr>
      <w:tr>
        <w:trPr/>
        <w:tc>
          <w:tcPr>
            <w:gridSpan w:val="2"/>
            <w:shd w:val="clear" w:fill="auto" w:color="auto"/>
            <w:tcW w:w="5000" w:type="pct"/>
            <w:textDirection w:val="lrTb"/>
            <w:noWrap w:val="false"/>
          </w:tcPr>
          <w:p>
            <w:pPr>
              <w:pStyle w:val="1005"/>
              <w:ind w:left="57" w:right="57"/>
            </w:pPr>
            <w:r>
              <w:t xml:space="preserve">Группа полей «Получатель»</w:t>
            </w:r>
            <w:r/>
          </w:p>
        </w:tc>
      </w:tr>
      <w:tr>
        <w:trPr/>
        <w:tc>
          <w:tcPr>
            <w:shd w:val="clear" w:fill="auto" w:color="auto"/>
            <w:tcW w:w="1198" w:type="pct"/>
            <w:textDirection w:val="lrTb"/>
            <w:noWrap w:val="false"/>
          </w:tcPr>
          <w:p>
            <w:pPr>
              <w:pStyle w:val="1005"/>
              <w:ind w:left="57" w:right="57"/>
            </w:pPr>
            <w:r>
              <w:t xml:space="preserve">МОУ</w:t>
            </w:r>
            <w:r/>
          </w:p>
        </w:tc>
        <w:tc>
          <w:tcPr>
            <w:shd w:val="clear" w:fill="auto" w:color="auto"/>
            <w:tcW w:w="3802" w:type="pct"/>
            <w:vMerge w:val="restart"/>
            <w:textDirection w:val="lrTb"/>
            <w:noWrap w:val="false"/>
          </w:tcPr>
          <w:p>
            <w:pPr>
              <w:pStyle w:val="1005"/>
              <w:ind w:left="57" w:right="57"/>
            </w:pPr>
            <w:r>
              <w:t xml:space="preserve">Указываются атрибуты, определяющие адрес получателя документа «Информационное сообщение» с типом «Уведомление об отказе в заключении Кредитного договора». </w:t>
            </w:r>
            <w:r/>
          </w:p>
          <w:p>
            <w:pPr>
              <w:pStyle w:val="1005"/>
              <w:ind w:left="57" w:right="57"/>
            </w:pPr>
            <w:r>
              <w:t xml:space="preserve">Заполняются по умолчанию при автоматическом формировании документа «Информационное сообщение» с типом «Уведомление об отказе в заключении Кредитного договора»</w:t>
            </w:r>
            <w:r>
              <w:t xml:space="preserve"> </w:t>
            </w:r>
            <w:r>
              <w:t xml:space="preserve">по результатам отказа в заключении документа «Кредитный договор» значениями равными адресной маски организации-создателя документа «Кредитный договор».</w:t>
            </w:r>
            <w:r/>
          </w:p>
        </w:tc>
      </w:tr>
      <w:tr>
        <w:trPr/>
        <w:tc>
          <w:tcPr>
            <w:shd w:val="clear" w:fill="auto" w:color="auto"/>
            <w:tcW w:w="1198" w:type="pct"/>
            <w:textDirection w:val="lrTb"/>
            <w:noWrap w:val="false"/>
          </w:tcPr>
          <w:p>
            <w:pPr>
              <w:pStyle w:val="1005"/>
              <w:ind w:left="57" w:right="57"/>
            </w:pPr>
            <w:r>
              <w:t xml:space="preserve">УФК</w:t>
            </w:r>
            <w:r/>
          </w:p>
        </w:tc>
        <w:tc>
          <w:tcPr>
            <w:shd w:val="clear" w:fill="auto" w:color="auto"/>
            <w:tcW w:w="3802" w:type="pct"/>
            <w:vMerge w:val="continue"/>
            <w:textDirection w:val="lrTb"/>
            <w:noWrap w:val="false"/>
          </w:tcPr>
          <w:p>
            <w:pPr>
              <w:pStyle w:val="1005"/>
              <w:ind w:left="57" w:right="57"/>
            </w:pPr>
            <w:r/>
            <w:r/>
          </w:p>
        </w:tc>
      </w:tr>
      <w:tr>
        <w:trPr/>
        <w:tc>
          <w:tcPr>
            <w:shd w:val="clear" w:fill="auto" w:color="auto"/>
            <w:tcW w:w="1198" w:type="pct"/>
            <w:textDirection w:val="lrTb"/>
            <w:noWrap w:val="false"/>
          </w:tcPr>
          <w:p>
            <w:pPr>
              <w:pStyle w:val="1005"/>
              <w:ind w:left="57" w:right="57"/>
            </w:pPr>
            <w:r>
              <w:t xml:space="preserve">ОФК</w:t>
            </w:r>
            <w:r/>
          </w:p>
        </w:tc>
        <w:tc>
          <w:tcPr>
            <w:shd w:val="clear" w:fill="auto" w:color="auto"/>
            <w:tcW w:w="3802" w:type="pct"/>
            <w:vMerge w:val="continue"/>
            <w:textDirection w:val="lrTb"/>
            <w:noWrap w:val="false"/>
          </w:tcPr>
          <w:p>
            <w:pPr>
              <w:pStyle w:val="1005"/>
              <w:ind w:left="57" w:right="57"/>
            </w:pPr>
            <w:r/>
            <w:r/>
          </w:p>
        </w:tc>
      </w:tr>
      <w:tr>
        <w:trPr/>
        <w:tc>
          <w:tcPr>
            <w:shd w:val="clear" w:fill="auto" w:color="auto"/>
            <w:tcW w:w="1198" w:type="pct"/>
            <w:textDirection w:val="lrTb"/>
            <w:noWrap w:val="false"/>
          </w:tcPr>
          <w:p>
            <w:pPr>
              <w:pStyle w:val="1005"/>
              <w:ind w:left="57" w:right="57"/>
            </w:pPr>
            <w:r>
              <w:t xml:space="preserve">Бюджет</w:t>
            </w:r>
            <w:r/>
          </w:p>
        </w:tc>
        <w:tc>
          <w:tcPr>
            <w:shd w:val="clear" w:fill="auto" w:color="auto"/>
            <w:tcW w:w="3802" w:type="pct"/>
            <w:vMerge w:val="continue"/>
            <w:textDirection w:val="lrTb"/>
            <w:noWrap w:val="false"/>
          </w:tcPr>
          <w:p>
            <w:pPr>
              <w:pStyle w:val="1005"/>
              <w:ind w:left="57" w:right="57"/>
            </w:pPr>
            <w:r/>
            <w:r/>
          </w:p>
        </w:tc>
      </w:tr>
      <w:tr>
        <w:trPr/>
        <w:tc>
          <w:tcPr>
            <w:shd w:val="clear" w:fill="auto" w:color="auto"/>
            <w:tcW w:w="1198" w:type="pct"/>
            <w:textDirection w:val="lrTb"/>
            <w:noWrap w:val="false"/>
          </w:tcPr>
          <w:p>
            <w:pPr>
              <w:pStyle w:val="1005"/>
              <w:ind w:left="57" w:right="57"/>
            </w:pPr>
            <w:r>
              <w:t xml:space="preserve">Глава по БК</w:t>
            </w:r>
            <w:r/>
          </w:p>
        </w:tc>
        <w:tc>
          <w:tcPr>
            <w:shd w:val="clear" w:fill="auto" w:color="auto"/>
            <w:tcW w:w="3802" w:type="pct"/>
            <w:vMerge w:val="continue"/>
            <w:textDirection w:val="lrTb"/>
            <w:noWrap w:val="false"/>
          </w:tcPr>
          <w:p>
            <w:pPr>
              <w:pStyle w:val="1005"/>
              <w:ind w:left="57" w:right="57"/>
            </w:pPr>
            <w:r/>
            <w:r/>
          </w:p>
        </w:tc>
      </w:tr>
      <w:tr>
        <w:trPr/>
        <w:tc>
          <w:tcPr>
            <w:shd w:val="clear" w:fill="auto" w:color="auto"/>
            <w:tcW w:w="1198" w:type="pct"/>
            <w:textDirection w:val="lrTb"/>
            <w:noWrap w:val="false"/>
          </w:tcPr>
          <w:p>
            <w:pPr>
              <w:pStyle w:val="1005"/>
              <w:ind w:left="57" w:right="57"/>
            </w:pPr>
            <w:r>
              <w:t xml:space="preserve">Код УБП</w:t>
            </w:r>
            <w:r/>
          </w:p>
        </w:tc>
        <w:tc>
          <w:tcPr>
            <w:shd w:val="clear" w:fill="auto" w:color="auto"/>
            <w:tcW w:w="3802" w:type="pct"/>
            <w:vMerge w:val="continue"/>
            <w:textDirection w:val="lrTb"/>
            <w:noWrap w:val="false"/>
          </w:tcPr>
          <w:p>
            <w:pPr>
              <w:pStyle w:val="1005"/>
              <w:ind w:left="57" w:right="57"/>
            </w:pPr>
            <w:r/>
            <w:r/>
          </w:p>
        </w:tc>
      </w:tr>
      <w:tr>
        <w:trPr/>
        <w:tc>
          <w:tcPr>
            <w:shd w:val="clear" w:fill="auto" w:color="auto"/>
            <w:tcW w:w="1198" w:type="pct"/>
            <w:textDirection w:val="lrTb"/>
            <w:noWrap w:val="false"/>
          </w:tcPr>
          <w:p>
            <w:pPr>
              <w:pStyle w:val="1005"/>
              <w:ind w:left="57" w:right="57"/>
            </w:pPr>
            <w:r>
              <w:t xml:space="preserve">Уровень </w:t>
            </w:r>
            <w:r>
              <w:t xml:space="preserve">конфиденциальности</w:t>
            </w:r>
            <w:r/>
          </w:p>
        </w:tc>
        <w:tc>
          <w:tcPr>
            <w:shd w:val="clear" w:fill="auto" w:color="auto"/>
            <w:tcW w:w="3802" w:type="pct"/>
            <w:textDirection w:val="lrTb"/>
            <w:noWrap w:val="false"/>
          </w:tcPr>
          <w:p>
            <w:pPr>
              <w:pStyle w:val="1005"/>
              <w:ind w:left="57" w:right="57"/>
            </w:pPr>
            <w:r>
              <w:t xml:space="preserve">Заполняется значением по умолчанию «Не секретный».</w:t>
            </w:r>
            <w:r/>
          </w:p>
        </w:tc>
      </w:tr>
      <w:tr>
        <w:trPr/>
        <w:tc>
          <w:tcPr>
            <w:shd w:val="clear" w:fill="auto" w:color="auto"/>
            <w:tcW w:w="1198" w:type="pct"/>
            <w:textDirection w:val="lrTb"/>
            <w:noWrap w:val="false"/>
          </w:tcPr>
          <w:p>
            <w:pPr>
              <w:pStyle w:val="1005"/>
              <w:ind w:left="57" w:right="57"/>
            </w:pPr>
            <w:r>
              <w:t xml:space="preserve">ППО</w:t>
            </w:r>
            <w:r/>
          </w:p>
        </w:tc>
        <w:tc>
          <w:tcPr>
            <w:shd w:val="clear" w:fill="auto" w:color="auto"/>
            <w:tcW w:w="3802" w:type="pct"/>
            <w:textDirection w:val="lrTb"/>
            <w:noWrap w:val="false"/>
          </w:tcPr>
          <w:p>
            <w:pPr>
              <w:pStyle w:val="1005"/>
              <w:ind w:left="57" w:right="57"/>
            </w:pPr>
            <w:r>
              <w:t xml:space="preserve">Заполняется значением по умолчанию «СУФД».</w:t>
            </w:r>
            <w:r/>
          </w:p>
        </w:tc>
      </w:tr>
      <w:tr>
        <w:trPr/>
        <w:tc>
          <w:tcPr>
            <w:shd w:val="clear" w:fill="auto" w:color="auto"/>
            <w:tcW w:w="1198" w:type="pct"/>
            <w:textDirection w:val="lrTb"/>
            <w:noWrap w:val="false"/>
          </w:tcPr>
          <w:p>
            <w:pPr>
              <w:pStyle w:val="1005"/>
              <w:ind w:left="57" w:right="57"/>
            </w:pPr>
            <w:r>
              <w:t xml:space="preserve">Роль</w:t>
            </w:r>
            <w:r/>
          </w:p>
        </w:tc>
        <w:tc>
          <w:tcPr>
            <w:shd w:val="clear" w:fill="auto" w:color="auto"/>
            <w:tcW w:w="3802" w:type="pct"/>
            <w:textDirection w:val="lrTb"/>
            <w:noWrap w:val="false"/>
          </w:tcPr>
          <w:p>
            <w:pPr>
              <w:pStyle w:val="1005"/>
              <w:ind w:left="57" w:right="57"/>
            </w:pPr>
            <w:r>
              <w:t xml:space="preserve">Значение поля заполняется выбором из списка значений:</w:t>
            </w:r>
            <w:r/>
          </w:p>
          <w:p>
            <w:pPr>
              <w:pStyle w:val="1007"/>
            </w:pPr>
            <w:r>
              <w:t xml:space="preserve">пусто (значение по умолчанию)</w:t>
            </w:r>
            <w:r>
              <w:t xml:space="preserve">;</w:t>
            </w:r>
            <w:r/>
          </w:p>
          <w:p>
            <w:pPr>
              <w:pStyle w:val="1007"/>
            </w:pPr>
            <w:r>
              <w:t xml:space="preserve">ПБС</w:t>
            </w:r>
            <w:r>
              <w:t xml:space="preserve">;</w:t>
            </w:r>
            <w:r/>
          </w:p>
          <w:p>
            <w:pPr>
              <w:pStyle w:val="1007"/>
            </w:pPr>
            <w:r>
              <w:t xml:space="preserve">ФО</w:t>
            </w:r>
            <w:r>
              <w:t xml:space="preserve">.</w:t>
            </w:r>
            <w:r/>
          </w:p>
        </w:tc>
      </w:tr>
      <w:tr>
        <w:trPr/>
        <w:tc>
          <w:tcPr>
            <w:gridSpan w:val="2"/>
            <w:shd w:val="clear" w:fill="auto" w:color="auto"/>
            <w:tcW w:w="5000" w:type="pct"/>
            <w:textDirection w:val="lrTb"/>
            <w:noWrap w:val="false"/>
          </w:tcPr>
          <w:p>
            <w:pPr>
              <w:pStyle w:val="1005"/>
              <w:ind w:left="57" w:right="57"/>
            </w:pPr>
            <w:r>
              <w:t xml:space="preserve">Группа полей «Основные»</w:t>
            </w:r>
            <w:r>
              <w:t xml:space="preserve"> –</w:t>
            </w:r>
            <w:r>
              <w:t xml:space="preserve"> структура хранения, требования к типу, размерности и обязательности полей, визуальная форма и правила заполнения полей блока,</w:t>
            </w:r>
            <w:r>
              <w:t xml:space="preserve"> </w:t>
            </w:r>
            <w:r>
              <w:t xml:space="preserve">аналогичны стандартному ИНФ (исходящему).</w:t>
            </w:r>
            <w:r/>
          </w:p>
        </w:tc>
      </w:tr>
      <w:tr>
        <w:trPr/>
        <w:tc>
          <w:tcPr>
            <w:gridSpan w:val="2"/>
            <w:shd w:val="clear" w:fill="auto" w:color="auto"/>
            <w:tcW w:w="5000" w:type="pct"/>
            <w:textDirection w:val="lrTb"/>
            <w:noWrap w:val="false"/>
          </w:tcPr>
          <w:p>
            <w:pPr>
              <w:pStyle w:val="1005"/>
              <w:ind w:left="57" w:right="57"/>
            </w:pPr>
            <w:r>
              <w:t xml:space="preserve">Блок полей «Вложения» (таблица)</w:t>
            </w:r>
            <w:r>
              <w:t xml:space="preserve"> –</w:t>
            </w:r>
            <w:r>
              <w:t xml:space="preserve"> структура хранения, требования к типу, размерности и обязательности полей, визуальная форма и правила заполнения полей таблицы,</w:t>
            </w:r>
            <w:r>
              <w:t xml:space="preserve"> </w:t>
            </w:r>
            <w:r>
              <w:t xml:space="preserve">аналогичны стандартному ИНФ (исходящему).</w:t>
            </w:r>
            <w:r/>
          </w:p>
        </w:tc>
      </w:tr>
      <w:tr>
        <w:trPr/>
        <w:tc>
          <w:tcPr>
            <w:shd w:val="clear" w:fill="auto" w:color="auto"/>
            <w:tcW w:w="1198" w:type="pct"/>
            <w:textDirection w:val="lrTb"/>
            <w:noWrap w:val="false"/>
          </w:tcPr>
          <w:p>
            <w:pPr>
              <w:pStyle w:val="1005"/>
              <w:ind w:left="57" w:right="57"/>
            </w:pPr>
            <w:r>
              <w:t xml:space="preserve">Основание</w:t>
            </w:r>
            <w:r/>
          </w:p>
        </w:tc>
        <w:tc>
          <w:tcPr>
            <w:shd w:val="clear" w:fill="auto" w:color="auto"/>
            <w:tcW w:w="3802" w:type="pct"/>
            <w:vMerge w:val="restart"/>
            <w:textDirection w:val="lrTb"/>
            <w:noWrap w:val="false"/>
          </w:tcPr>
          <w:p>
            <w:pPr>
              <w:pStyle w:val="1005"/>
              <w:ind w:left="57" w:right="57"/>
            </w:pPr>
            <w:r>
              <w:t xml:space="preserve">Требования к правилам заполнения полей, типу, размерности и обязательности аналогичны стандартному ИНФ (исходящему).</w:t>
            </w:r>
            <w:r/>
          </w:p>
        </w:tc>
      </w:tr>
      <w:tr>
        <w:trPr/>
        <w:tc>
          <w:tcPr>
            <w:shd w:val="clear" w:fill="auto" w:color="auto"/>
            <w:tcW w:w="1198" w:type="pct"/>
            <w:textDirection w:val="lrTb"/>
            <w:noWrap w:val="false"/>
          </w:tcPr>
          <w:p>
            <w:pPr>
              <w:pStyle w:val="1005"/>
              <w:ind w:left="57" w:right="57"/>
            </w:pPr>
            <w:r>
              <w:t xml:space="preserve">Причина отказа</w:t>
            </w:r>
            <w:r/>
          </w:p>
        </w:tc>
        <w:tc>
          <w:tcPr>
            <w:shd w:val="clear" w:fill="auto" w:color="auto"/>
            <w:tcW w:w="3802" w:type="pct"/>
            <w:vMerge w:val="continue"/>
            <w:textDirection w:val="lrTb"/>
            <w:noWrap w:val="false"/>
          </w:tcPr>
          <w:p>
            <w:pPr>
              <w:pStyle w:val="1005"/>
              <w:ind w:left="57" w:right="57"/>
            </w:pPr>
            <w:r/>
            <w:r/>
          </w:p>
        </w:tc>
      </w:tr>
    </w:tbl>
    <w:p>
      <w:pPr>
        <w:pStyle w:val="971"/>
      </w:pPr>
      <w:r/>
      <w:bookmarkStart w:id="1900" w:name="_Toc422496745"/>
      <w:r/>
      <w:bookmarkStart w:id="1901" w:name="_Toc88819170"/>
      <w:r>
        <w:t xml:space="preserve">Группа документов «Справки о кассовых операциях</w:t>
      </w:r>
      <w:bookmarkEnd w:id="1862"/>
      <w:r>
        <w:t xml:space="preserve">»</w:t>
      </w:r>
      <w:bookmarkEnd w:id="1900"/>
      <w:r/>
      <w:bookmarkEnd w:id="1901"/>
      <w:r/>
      <w:r/>
    </w:p>
    <w:p>
      <w:pPr>
        <w:pStyle w:val="972"/>
      </w:pPr>
      <w:r/>
      <w:bookmarkStart w:id="1902" w:name="_Toc249273755"/>
      <w:r/>
      <w:bookmarkStart w:id="1903" w:name="_Ref366077386"/>
      <w:r/>
      <w:bookmarkStart w:id="1904" w:name="_Toc422496746"/>
      <w:r/>
      <w:bookmarkStart w:id="1905" w:name="_Toc88819171"/>
      <w:r>
        <w:t xml:space="preserve">Справка о кассовых поступлениях</w:t>
      </w:r>
      <w:bookmarkEnd w:id="1902"/>
      <w:r/>
      <w:bookmarkEnd w:id="1903"/>
      <w:r/>
      <w:bookmarkEnd w:id="1904"/>
      <w:r/>
      <w:bookmarkEnd w:id="1905"/>
      <w:r/>
      <w:r/>
    </w:p>
    <w:p>
      <w:pPr>
        <w:pStyle w:val="994"/>
      </w:pPr>
      <w:r>
        <w:t xml:space="preserve">ЭД «Справка о кассовых поступлениях» формируется финансовым органом соответствующего бюджета и передается из АРМ ФО в электронном виде или на бумажном носителе в ОФК или УФК в зависимости от места обслуживания ФО.</w:t>
      </w:r>
      <w:r/>
    </w:p>
    <w:p>
      <w:pPr>
        <w:pStyle w:val="994"/>
      </w:pPr>
      <w:r>
        <w:t xml:space="preserve">Для работы с документами </w:t>
      </w:r>
      <w:r>
        <w:t xml:space="preserve">«Справка о кассовых поступлениях» следует перейти в пункт меню «Документы – Справки о кассовых операциях – Справка о кассовых поступлениях». Откроется ЭФ списка документов, представленная на рисунке</w:t>
      </w:r>
      <w:r>
        <w:t xml:space="preserve"> </w:t>
      </w:r>
      <w:r>
        <w:fldChar w:fldCharType="begin"/>
      </w:r>
      <w:r>
        <w:instrText xml:space="preserve"> REF _Ref246478017 \h  \* MERGEFORMAT </w:instrText>
      </w:r>
      <w:r>
        <w:fldChar w:fldCharType="separate"/>
      </w:r>
      <w:r>
        <w:t xml:space="preserve">287</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3749040"/>
                <wp:effectExtent l="0" t="0" r="0" b="0"/>
                <wp:docPr id="42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76"/>
                        <a:stretch/>
                      </pic:blipFill>
                      <pic:spPr bwMode="auto">
                        <a:xfrm>
                          <a:off x="0" y="0"/>
                          <a:ext cx="6118860" cy="37490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5" o:spid="_x0000_s425" type="#_x0000_t75" style="mso-wrap-distance-left:0.0pt;mso-wrap-distance-top:0.0pt;mso-wrap-distance-right:0.0pt;mso-wrap-distance-bottom:0.0pt;width:481.8pt;height:295.2pt;" stroked="f">
                <v:path textboxrect="0,0,0,0"/>
                <v:imagedata r:id="rId376" o:title=""/>
              </v:shape>
            </w:pict>
          </mc:Fallback>
        </mc:AlternateContent>
      </w:r>
      <w:r/>
    </w:p>
    <w:p>
      <w:pPr>
        <w:pStyle w:val="983"/>
      </w:pPr>
      <w:r>
        <w:fldChar w:fldCharType="begin"/>
      </w:r>
      <w:r>
        <w:instrText xml:space="preserve"> SEQ Рисунок \* ARABIC </w:instrText>
      </w:r>
      <w:r>
        <w:fldChar w:fldCharType="separate"/>
      </w:r>
      <w:bookmarkStart w:id="1906" w:name="_Ref246478017"/>
      <w:r/>
      <w:bookmarkStart w:id="1907" w:name="_Toc88819672"/>
      <w:r>
        <w:t xml:space="preserve">287</w:t>
      </w:r>
      <w:bookmarkEnd w:id="1906"/>
      <w:r>
        <w:fldChar w:fldCharType="end"/>
      </w:r>
      <w:r>
        <w:t xml:space="preserve">. ЭФ списка документов «Справка о кассовых поступлениях»</w:t>
      </w:r>
      <w:bookmarkEnd w:id="1907"/>
      <w:r/>
      <w:r/>
    </w:p>
    <w:p>
      <w:pPr>
        <w:pStyle w:val="973"/>
      </w:pPr>
      <w:r>
        <w:t xml:space="preserve">Доступные операции</w:t>
      </w:r>
      <w:r/>
    </w:p>
    <w:p>
      <w:pPr>
        <w:pStyle w:val="994"/>
      </w:pPr>
      <w:r>
        <w:t xml:space="preserve">На АРМ ФО </w:t>
      </w:r>
      <w:r>
        <w:t xml:space="preserve">доступны </w:t>
      </w:r>
      <w:r>
        <w:t xml:space="preserve">следующие операции</w:t>
      </w:r>
      <w:r>
        <w:t xml:space="preserve"> над документом</w:t>
      </w:r>
      <w:r>
        <w:t xml:space="preserve">:</w:t>
      </w:r>
      <w:r/>
    </w:p>
    <w:p>
      <w:pPr>
        <w:pStyle w:val="985"/>
      </w:pPr>
      <w:r>
        <w:t xml:space="preserve">ввод вручную;</w:t>
      </w:r>
      <w:r/>
    </w:p>
    <w:p>
      <w:pPr>
        <w:pStyle w:val="985"/>
      </w:pPr>
      <w:r>
        <w:t xml:space="preserve">импорт из внешней системы;</w:t>
      </w:r>
      <w:r/>
    </w:p>
    <w:p>
      <w:pPr>
        <w:pStyle w:val="985"/>
      </w:pPr>
      <w:r>
        <w:t xml:space="preserve">копирование</w:t>
      </w:r>
      <w:r>
        <w:t xml:space="preserve"> и удаление;</w:t>
      </w:r>
      <w:r/>
    </w:p>
    <w:p>
      <w:pPr>
        <w:pStyle w:val="985"/>
      </w:pPr>
      <w:r>
        <w:t xml:space="preserve">документарный контроль;</w:t>
      </w:r>
      <w:r/>
    </w:p>
    <w:p>
      <w:pPr>
        <w:pStyle w:val="985"/>
      </w:pPr>
      <w:r>
        <w:t xml:space="preserve">подписание </w:t>
      </w:r>
      <w:r>
        <w:t xml:space="preserve">и </w:t>
      </w:r>
      <w:r>
        <w:t xml:space="preserve">удаление </w:t>
      </w:r>
      <w:r>
        <w:t xml:space="preserve">ЭП</w:t>
      </w:r>
      <w:r>
        <w:t xml:space="preserve">;</w:t>
      </w:r>
      <w:r/>
    </w:p>
    <w:p>
      <w:pPr>
        <w:pStyle w:val="985"/>
      </w:pPr>
      <w:r>
        <w:t xml:space="preserve">просмотр и редактирование;</w:t>
      </w:r>
      <w:r/>
    </w:p>
    <w:p>
      <w:pPr>
        <w:pStyle w:val="985"/>
      </w:pPr>
      <w:r>
        <w:t xml:space="preserve">печать;</w:t>
      </w:r>
      <w:r/>
    </w:p>
    <w:p>
      <w:pPr>
        <w:pStyle w:val="985"/>
      </w:pPr>
      <w:r>
        <w:t xml:space="preserve">отправка в ОФК (УФК).</w:t>
      </w:r>
      <w:r/>
    </w:p>
    <w:p>
      <w:pPr>
        <w:pStyle w:val="973"/>
      </w:pPr>
      <w:r>
        <w:t xml:space="preserve">Экранная форма документа</w:t>
      </w:r>
      <w:r/>
    </w:p>
    <w:p>
      <w:pPr>
        <w:pStyle w:val="994"/>
      </w:pPr>
      <w:r>
        <w:t xml:space="preserve">ЭФ документа «Справка о кассовых поступлениях» представлена на рисунках </w:t>
      </w:r>
      <w:r>
        <w:fldChar w:fldCharType="begin"/>
      </w:r>
      <w:r>
        <w:instrText xml:space="preserve"> REF _Ref246478018 \h  \* MERGEFORMAT </w:instrText>
      </w:r>
      <w:r>
        <w:fldChar w:fldCharType="separate"/>
      </w:r>
      <w:r>
        <w:t xml:space="preserve">288</w:t>
      </w:r>
      <w:r>
        <w:fldChar w:fldCharType="end"/>
      </w:r>
      <w:r>
        <w:t xml:space="preserve"> и </w:t>
      </w:r>
      <w:r>
        <w:fldChar w:fldCharType="begin"/>
      </w:r>
      <w:r>
        <w:instrText xml:space="preserve"> REF _Ref246480069 \h  \* MERGEFORMAT </w:instrText>
      </w:r>
      <w:r>
        <w:fldChar w:fldCharType="separate"/>
      </w:r>
      <w:r>
        <w:t xml:space="preserve">290</w:t>
      </w:r>
      <w:r>
        <w:fldChar w:fldCharType="end"/>
      </w:r>
      <w:r>
        <w:t xml:space="preserve">. Форма содержит следующие закладки:</w:t>
      </w:r>
      <w:r/>
    </w:p>
    <w:p>
      <w:pPr>
        <w:pStyle w:val="985"/>
      </w:pPr>
      <w:r>
        <w:t xml:space="preserve">«Документ (1)»;</w:t>
      </w:r>
      <w:r/>
    </w:p>
    <w:p>
      <w:pPr>
        <w:pStyle w:val="985"/>
      </w:pPr>
      <w:r>
        <w:t xml:space="preserve">«Дополнительные атрибуты»;</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126480" cy="3749040"/>
                <wp:effectExtent l="0" t="0" r="0" b="0"/>
                <wp:docPr id="42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77"/>
                        <a:stretch/>
                      </pic:blipFill>
                      <pic:spPr bwMode="auto">
                        <a:xfrm>
                          <a:off x="0" y="0"/>
                          <a:ext cx="6126480" cy="37490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6" o:spid="_x0000_s426" type="#_x0000_t75" style="mso-wrap-distance-left:0.0pt;mso-wrap-distance-top:0.0pt;mso-wrap-distance-right:0.0pt;mso-wrap-distance-bottom:0.0pt;width:482.4pt;height:295.2pt;" stroked="f">
                <v:path textboxrect="0,0,0,0"/>
                <v:imagedata r:id="rId377" o:title=""/>
              </v:shape>
            </w:pict>
          </mc:Fallback>
        </mc:AlternateContent>
      </w:r>
      <w:r/>
    </w:p>
    <w:p>
      <w:pPr>
        <w:pStyle w:val="983"/>
      </w:pPr>
      <w:r>
        <w:fldChar w:fldCharType="begin"/>
      </w:r>
      <w:r>
        <w:instrText xml:space="preserve"> SEQ Рисунок \* ARABIC </w:instrText>
      </w:r>
      <w:r>
        <w:fldChar w:fldCharType="separate"/>
      </w:r>
      <w:bookmarkStart w:id="1908" w:name="_Ref246478018"/>
      <w:r/>
      <w:bookmarkStart w:id="1909" w:name="_Toc88819673"/>
      <w:r>
        <w:t xml:space="preserve">288</w:t>
      </w:r>
      <w:bookmarkEnd w:id="1908"/>
      <w:r>
        <w:fldChar w:fldCharType="end"/>
      </w:r>
      <w:r>
        <w:t xml:space="preserve">. ЭФ документа «Справка о кассовых поступлениях</w:t>
      </w:r>
      <w:r>
        <w:t xml:space="preserve">», закладки «</w:t>
      </w:r>
      <w:r>
        <w:t xml:space="preserve">Документ (1)»</w:t>
      </w:r>
      <w:bookmarkEnd w:id="1909"/>
      <w:r/>
      <w:r/>
    </w:p>
    <w:p>
      <w:pPr>
        <w:pStyle w:val="994"/>
      </w:pPr>
      <w:r>
        <w:t xml:space="preserve">Для ручного ввода документа следует на ЭФ документа заполнить поля, доступные для редактирования. </w:t>
      </w:r>
      <w:r/>
    </w:p>
    <w:p>
      <w:pPr>
        <w:pStyle w:val="994"/>
      </w:pPr>
      <w:r>
        <w:t xml:space="preserve">Перечень </w:t>
      </w:r>
      <w:r>
        <w:t xml:space="preserve">полей </w:t>
      </w:r>
      <w:r>
        <w:t xml:space="preserve">документа «Справка о кассовых поступлениях</w:t>
      </w:r>
      <w:r>
        <w:t xml:space="preserve">», закладки «</w:t>
      </w:r>
      <w:r>
        <w:t xml:space="preserve">Док</w:t>
      </w:r>
      <w:r>
        <w:t xml:space="preserve">у</w:t>
      </w:r>
      <w:r>
        <w:t xml:space="preserve">мент (1)»</w:t>
      </w:r>
      <w:r>
        <w:t xml:space="preserve"> </w:t>
      </w:r>
      <w:r>
        <w:t xml:space="preserve">приведен в таблице</w:t>
      </w:r>
      <w:r>
        <w:t xml:space="preserve"> </w:t>
      </w:r>
      <w:r>
        <w:fldChar w:fldCharType="begin"/>
      </w:r>
      <w:r>
        <w:instrText xml:space="preserve"> REF _Ref366073743 \h </w:instrText>
      </w:r>
      <w:r>
        <w:instrText xml:space="preserve"> \* MERGEFORMAT </w:instrText>
      </w:r>
      <w:r>
        <w:fldChar w:fldCharType="separate"/>
      </w:r>
      <w:r>
        <w:t xml:space="preserve">168</w:t>
      </w:r>
      <w:r>
        <w:fldChar w:fldCharType="end"/>
      </w:r>
      <w:r>
        <w:t xml:space="preserve">.</w:t>
      </w:r>
      <w:r/>
    </w:p>
    <w:p>
      <w:pPr>
        <w:pStyle w:val="993"/>
      </w:pPr>
      <w:r>
        <w:fldChar w:fldCharType="begin"/>
      </w:r>
      <w:r>
        <w:instrText xml:space="preserve"> SEQ Таблица \* ARABIC </w:instrText>
      </w:r>
      <w:r>
        <w:fldChar w:fldCharType="separate"/>
      </w:r>
      <w:bookmarkStart w:id="1910" w:name="_Ref366073743"/>
      <w:r/>
      <w:bookmarkStart w:id="1911" w:name="_Toc88819355"/>
      <w:r>
        <w:t xml:space="preserve">168</w:t>
      </w:r>
      <w:bookmarkEnd w:id="1910"/>
      <w:r>
        <w:fldChar w:fldCharType="end"/>
      </w:r>
      <w:r>
        <w:t xml:space="preserve">. Описание полей документа «Справка о кассовых поступлениях</w:t>
      </w:r>
      <w:r>
        <w:t xml:space="preserve">», закладки «</w:t>
      </w:r>
      <w:r>
        <w:t xml:space="preserve">Документ (1)»</w:t>
      </w:r>
      <w:bookmarkEnd w:id="1911"/>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193"/>
        <w:gridCol w:w="6559"/>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63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363" w:type="pct"/>
            <w:vAlign w:val="center"/>
            <w:textDirection w:val="lrTb"/>
            <w:noWrap w:val="false"/>
          </w:tcPr>
          <w:p>
            <w:pPr>
              <w:pStyle w:val="1006"/>
            </w:pPr>
            <w:r>
              <w:t xml:space="preserve">Описание поля</w:t>
            </w:r>
            <w:r/>
          </w:p>
        </w:tc>
      </w:tr>
      <w:tr>
        <w:trPr/>
        <w:tc>
          <w:tcPr>
            <w:shd w:val="clear" w:fill="auto" w:color="auto"/>
            <w:tcW w:w="1637" w:type="pct"/>
            <w:textDirection w:val="lrTb"/>
            <w:noWrap w:val="false"/>
          </w:tcPr>
          <w:p>
            <w:pPr>
              <w:pStyle w:val="1005"/>
              <w:ind w:left="57" w:right="57"/>
            </w:pPr>
            <w:r>
              <w:t xml:space="preserve">Стат.</w:t>
            </w:r>
            <w:r/>
          </w:p>
        </w:tc>
        <w:tc>
          <w:tcPr>
            <w:shd w:val="clear" w:fill="auto" w:color="auto"/>
            <w:tcW w:w="3363" w:type="pct"/>
            <w:textDirection w:val="lrTb"/>
            <w:noWrap w:val="false"/>
          </w:tcPr>
          <w:p>
            <w:pPr>
              <w:pStyle w:val="1005"/>
              <w:ind w:left="57" w:right="57"/>
            </w:pPr>
            <w:r>
              <w:t xml:space="preserve">Код статуса документа. </w:t>
            </w:r>
            <w:r/>
          </w:p>
          <w:p>
            <w:pPr>
              <w:pStyle w:val="1005"/>
              <w:ind w:left="57" w:right="57"/>
            </w:pPr>
            <w:r>
              <w:t xml:space="preserve">Заполняется автоматически в результате обработки документа.</w:t>
            </w:r>
            <w:r/>
          </w:p>
        </w:tc>
      </w:tr>
      <w:tr>
        <w:trPr/>
        <w:tc>
          <w:tcPr>
            <w:shd w:val="clear" w:fill="auto" w:color="auto"/>
            <w:tcW w:w="1637" w:type="pct"/>
            <w:textDirection w:val="lrTb"/>
            <w:noWrap w:val="false"/>
          </w:tcPr>
          <w:p>
            <w:pPr>
              <w:pStyle w:val="1005"/>
              <w:ind w:left="57" w:right="57"/>
            </w:pPr>
            <w:r>
              <w:t xml:space="preserve">Номер</w:t>
            </w:r>
            <w:r/>
          </w:p>
        </w:tc>
        <w:tc>
          <w:tcPr>
            <w:shd w:val="clear" w:fill="auto" w:color="auto"/>
            <w:tcW w:w="3363" w:type="pct"/>
            <w:textDirection w:val="lrTb"/>
            <w:noWrap w:val="false"/>
          </w:tcPr>
          <w:p>
            <w:pPr>
              <w:pStyle w:val="1005"/>
              <w:ind w:left="57" w:right="57"/>
            </w:pPr>
            <w:r>
              <w:t xml:space="preserve">Номер справки.</w:t>
            </w:r>
            <w:r/>
          </w:p>
        </w:tc>
      </w:tr>
      <w:tr>
        <w:trPr/>
        <w:tc>
          <w:tcPr>
            <w:shd w:val="clear" w:fill="auto" w:color="auto"/>
            <w:tcW w:w="1637" w:type="pct"/>
            <w:textDirection w:val="lrTb"/>
            <w:noWrap w:val="false"/>
          </w:tcPr>
          <w:p>
            <w:pPr>
              <w:pStyle w:val="1005"/>
              <w:ind w:left="57" w:right="57"/>
            </w:pPr>
            <w:r>
              <w:t xml:space="preserve">Номер лицевого счета</w:t>
            </w:r>
            <w:r/>
          </w:p>
        </w:tc>
        <w:tc>
          <w:tcPr>
            <w:shd w:val="clear" w:fill="auto" w:color="auto"/>
            <w:tcW w:w="3363" w:type="pct"/>
            <w:textDirection w:val="lrTb"/>
            <w:noWrap w:val="false"/>
          </w:tcPr>
          <w:p>
            <w:pPr>
              <w:pStyle w:val="1005"/>
              <w:ind w:left="57" w:right="57"/>
            </w:pPr>
            <w:r>
              <w:t xml:space="preserve">При формировании документа по бюджету уровня 06 обязательно к заполнению. </w:t>
            </w:r>
            <w:r/>
          </w:p>
          <w:p>
            <w:pPr>
              <w:pStyle w:val="1005"/>
              <w:ind w:left="57" w:right="57"/>
            </w:pPr>
            <w:r>
              <w:t xml:space="preserve">Указывается лицевой счет</w:t>
            </w:r>
            <w:r>
              <w:t xml:space="preserve">,</w:t>
            </w:r>
            <w:r>
              <w:t xml:space="preserve"> открытый органу управления ГВФ РБ.</w:t>
            </w:r>
            <w:r/>
          </w:p>
          <w:p>
            <w:pPr>
              <w:pStyle w:val="1005"/>
              <w:ind w:left="57" w:right="57"/>
            </w:pPr>
            <w:r>
              <w:t xml:space="preserve">При других уровнях бюджета не заполняется.</w:t>
            </w:r>
            <w:r/>
          </w:p>
        </w:tc>
      </w:tr>
      <w:tr>
        <w:trPr/>
        <w:tc>
          <w:tcPr>
            <w:shd w:val="clear" w:fill="auto" w:color="auto"/>
            <w:tcW w:w="1637" w:type="pct"/>
            <w:textDirection w:val="lrTb"/>
            <w:noWrap w:val="false"/>
          </w:tcPr>
          <w:p>
            <w:pPr>
              <w:pStyle w:val="1005"/>
              <w:ind w:left="57" w:right="57"/>
            </w:pPr>
            <w:r>
              <w:t xml:space="preserve">Наименование бюджета</w:t>
            </w:r>
            <w:r/>
          </w:p>
        </w:tc>
        <w:tc>
          <w:tcPr>
            <w:shd w:val="clear" w:fill="auto" w:color="auto"/>
            <w:tcW w:w="3363" w:type="pct"/>
            <w:textDirection w:val="lrTb"/>
            <w:noWrap w:val="false"/>
          </w:tcPr>
          <w:p>
            <w:pPr>
              <w:pStyle w:val="1005"/>
              <w:ind w:left="57" w:right="57"/>
            </w:pPr>
            <w:r>
              <w:t xml:space="preserve">Наименование бюджета.</w:t>
            </w:r>
            <w:r/>
          </w:p>
        </w:tc>
      </w:tr>
      <w:tr>
        <w:trPr/>
        <w:tc>
          <w:tcPr>
            <w:shd w:val="clear" w:fill="auto" w:color="auto"/>
            <w:tcW w:w="1637" w:type="pct"/>
            <w:textDirection w:val="lrTb"/>
            <w:noWrap w:val="false"/>
          </w:tcPr>
          <w:p>
            <w:pPr>
              <w:pStyle w:val="1005"/>
              <w:ind w:left="57" w:right="57"/>
            </w:pPr>
            <w:r>
              <w:t xml:space="preserve">Дата</w:t>
            </w:r>
            <w:r/>
          </w:p>
        </w:tc>
        <w:tc>
          <w:tcPr>
            <w:shd w:val="clear" w:fill="auto" w:color="auto"/>
            <w:tcW w:w="3363" w:type="pct"/>
            <w:textDirection w:val="lrTb"/>
            <w:noWrap w:val="false"/>
          </w:tcPr>
          <w:p>
            <w:pPr>
              <w:pStyle w:val="1005"/>
              <w:ind w:left="57" w:right="57"/>
            </w:pPr>
            <w:r>
              <w:t xml:space="preserve">Дата справки. </w:t>
            </w:r>
            <w:r/>
          </w:p>
          <w:p>
            <w:pPr>
              <w:pStyle w:val="1005"/>
              <w:ind w:left="57" w:right="57"/>
            </w:pPr>
            <w:r>
              <w:t xml:space="preserve">Заполняется вручную, либо выбором из системного календаря.</w:t>
            </w:r>
            <w:r/>
          </w:p>
        </w:tc>
      </w:tr>
      <w:tr>
        <w:trPr/>
        <w:tc>
          <w:tcPr>
            <w:shd w:val="clear" w:fill="auto" w:color="auto"/>
            <w:tcW w:w="1637" w:type="pct"/>
            <w:textDirection w:val="lrTb"/>
            <w:noWrap w:val="false"/>
          </w:tcPr>
          <w:p>
            <w:pPr>
              <w:pStyle w:val="1005"/>
              <w:ind w:left="57" w:right="57"/>
            </w:pPr>
            <w:r>
              <w:t xml:space="preserve">Финансовый орган</w:t>
            </w:r>
            <w:r/>
          </w:p>
        </w:tc>
        <w:tc>
          <w:tcPr>
            <w:shd w:val="clear" w:fill="auto" w:color="auto"/>
            <w:tcW w:w="3363" w:type="pct"/>
            <w:textDirection w:val="lrTb"/>
            <w:noWrap w:val="false"/>
          </w:tcPr>
          <w:p>
            <w:pPr>
              <w:pStyle w:val="1005"/>
              <w:ind w:left="57" w:right="57"/>
            </w:pPr>
            <w:r>
              <w:t xml:space="preserve">Наименование ФО.</w:t>
            </w:r>
            <w:r/>
          </w:p>
        </w:tc>
      </w:tr>
      <w:tr>
        <w:trPr/>
        <w:tc>
          <w:tcPr>
            <w:shd w:val="clear" w:fill="auto" w:color="auto"/>
            <w:tcW w:w="1637" w:type="pct"/>
            <w:textDirection w:val="lrTb"/>
            <w:noWrap w:val="false"/>
          </w:tcPr>
          <w:p>
            <w:pPr>
              <w:pStyle w:val="1005"/>
              <w:ind w:left="57" w:right="57"/>
            </w:pPr>
            <w:r>
              <w:t xml:space="preserve">Номер счета</w:t>
            </w:r>
            <w:r/>
          </w:p>
        </w:tc>
        <w:tc>
          <w:tcPr>
            <w:shd w:val="clear" w:fill="auto" w:color="auto"/>
            <w:tcW w:w="3363" w:type="pct"/>
            <w:textDirection w:val="lrTb"/>
            <w:noWrap w:val="false"/>
          </w:tcPr>
          <w:p>
            <w:pPr>
              <w:pStyle w:val="1005"/>
              <w:ind w:left="57" w:right="57"/>
            </w:pPr>
            <w:r>
              <w:t xml:space="preserve">Номер счета.</w:t>
            </w:r>
            <w:r>
              <w:t xml:space="preserve"> </w:t>
            </w:r>
            <w:r/>
          </w:p>
          <w:p>
            <w:pPr>
              <w:pStyle w:val="1005"/>
              <w:ind w:left="57" w:right="57"/>
            </w:pPr>
            <w:r>
              <w:t xml:space="preserve">Заполняется вручную.</w:t>
            </w:r>
            <w:r/>
          </w:p>
        </w:tc>
      </w:tr>
      <w:tr>
        <w:trPr/>
        <w:tc>
          <w:tcPr>
            <w:shd w:val="clear" w:fill="auto" w:color="auto"/>
            <w:tcW w:w="1637" w:type="pct"/>
            <w:textDirection w:val="lrTb"/>
            <w:noWrap w:val="false"/>
          </w:tcPr>
          <w:p>
            <w:pPr>
              <w:pStyle w:val="1005"/>
              <w:ind w:left="57" w:right="57"/>
            </w:pPr>
            <w:r>
              <w:t xml:space="preserve">Наименование ОрФК</w:t>
            </w:r>
            <w:r/>
          </w:p>
        </w:tc>
        <w:tc>
          <w:tcPr>
            <w:shd w:val="clear" w:fill="auto" w:color="auto"/>
            <w:tcW w:w="3363" w:type="pct"/>
            <w:textDirection w:val="lrTb"/>
            <w:noWrap w:val="false"/>
          </w:tcPr>
          <w:p>
            <w:pPr>
              <w:pStyle w:val="1005"/>
              <w:ind w:left="57" w:right="57"/>
            </w:pPr>
            <w:r>
              <w:t xml:space="preserve">Наименование ТОФК.</w:t>
            </w:r>
            <w:r/>
          </w:p>
        </w:tc>
      </w:tr>
      <w:tr>
        <w:trPr/>
        <w:tc>
          <w:tcPr>
            <w:shd w:val="clear" w:fill="auto" w:color="auto"/>
            <w:tcW w:w="1637" w:type="pct"/>
            <w:textDirection w:val="lrTb"/>
            <w:noWrap w:val="false"/>
          </w:tcPr>
          <w:p>
            <w:pPr>
              <w:pStyle w:val="1005"/>
              <w:ind w:left="57" w:right="57"/>
            </w:pPr>
            <w:r>
              <w:t xml:space="preserve">П</w:t>
            </w:r>
            <w:r>
              <w:t xml:space="preserve">о КОФК</w:t>
            </w:r>
            <w:r/>
          </w:p>
        </w:tc>
        <w:tc>
          <w:tcPr>
            <w:shd w:val="clear" w:fill="auto" w:color="auto"/>
            <w:tcW w:w="3363" w:type="pct"/>
            <w:textDirection w:val="lrTb"/>
            <w:noWrap w:val="false"/>
          </w:tcPr>
          <w:p>
            <w:pPr>
              <w:pStyle w:val="1005"/>
              <w:ind w:left="57" w:right="57"/>
            </w:pPr>
            <w:r>
              <w:t xml:space="preserve">Код ТОФК.</w:t>
            </w:r>
            <w:r/>
          </w:p>
        </w:tc>
      </w:tr>
      <w:tr>
        <w:trPr/>
        <w:tc>
          <w:tcPr>
            <w:shd w:val="clear" w:fill="auto" w:color="auto"/>
            <w:tcW w:w="1637" w:type="pct"/>
            <w:textDirection w:val="lrTb"/>
            <w:noWrap w:val="false"/>
          </w:tcPr>
          <w:p>
            <w:pPr>
              <w:pStyle w:val="1005"/>
              <w:ind w:left="57" w:right="57"/>
            </w:pPr>
            <w:r>
              <w:t xml:space="preserve">Код источника</w:t>
            </w:r>
            <w:r/>
          </w:p>
        </w:tc>
        <w:tc>
          <w:tcPr>
            <w:shd w:val="clear" w:fill="auto" w:color="auto"/>
            <w:tcW w:w="3363" w:type="pct"/>
            <w:textDirection w:val="lrTb"/>
            <w:noWrap w:val="false"/>
          </w:tcPr>
          <w:p>
            <w:pPr>
              <w:pStyle w:val="1005"/>
              <w:ind w:left="57" w:right="57"/>
            </w:pPr>
            <w:r>
              <w:t xml:space="preserve">Код источника. </w:t>
            </w:r>
            <w:r/>
          </w:p>
          <w:p>
            <w:pPr>
              <w:pStyle w:val="1005"/>
              <w:ind w:left="57" w:right="57"/>
            </w:pPr>
            <w:r>
              <w:t xml:space="preserve">Заполняется вручную значением из справочника «Источники финансирования».</w:t>
            </w:r>
            <w:r/>
          </w:p>
        </w:tc>
      </w:tr>
      <w:tr>
        <w:trPr/>
        <w:tc>
          <w:tcPr>
            <w:shd w:val="clear" w:fill="auto" w:color="auto"/>
            <w:tcW w:w="1637" w:type="pct"/>
            <w:textDirection w:val="lrTb"/>
            <w:noWrap w:val="false"/>
          </w:tcPr>
          <w:p>
            <w:pPr>
              <w:pStyle w:val="1005"/>
              <w:ind w:left="57" w:right="57"/>
            </w:pPr>
            <w:r>
              <w:t xml:space="preserve">Вид деятельности</w:t>
            </w:r>
            <w:r/>
          </w:p>
        </w:tc>
        <w:tc>
          <w:tcPr>
            <w:shd w:val="clear" w:fill="auto" w:color="auto"/>
            <w:tcW w:w="3363" w:type="pct"/>
            <w:textDirection w:val="lrTb"/>
            <w:noWrap w:val="false"/>
          </w:tcPr>
          <w:p>
            <w:pPr>
              <w:pStyle w:val="1005"/>
              <w:ind w:left="57" w:right="57"/>
            </w:pPr>
            <w:r>
              <w:t xml:space="preserve">Вид деятельности. </w:t>
            </w:r>
            <w:r/>
          </w:p>
          <w:p>
            <w:pPr>
              <w:pStyle w:val="1005"/>
              <w:ind w:left="57" w:right="57"/>
            </w:pPr>
            <w:r>
              <w:t xml:space="preserve">Заполняется вручную в соответствии со значением в поле «Код источника» из справочника «Источники финансирования».</w:t>
            </w:r>
            <w:r/>
          </w:p>
        </w:tc>
      </w:tr>
      <w:tr>
        <w:trPr/>
        <w:tc>
          <w:tcPr>
            <w:shd w:val="clear" w:fill="auto" w:color="auto"/>
            <w:tcW w:w="1637" w:type="pct"/>
            <w:textDirection w:val="lrTb"/>
            <w:noWrap w:val="false"/>
          </w:tcPr>
          <w:p>
            <w:pPr>
              <w:pStyle w:val="1005"/>
              <w:ind w:left="57" w:right="57"/>
            </w:pPr>
            <w:r>
              <w:t xml:space="preserve">Единица измерения: рубли</w:t>
            </w:r>
            <w:r/>
          </w:p>
        </w:tc>
        <w:tc>
          <w:tcPr>
            <w:shd w:val="clear" w:fill="auto" w:color="auto"/>
            <w:tcW w:w="3363" w:type="pct"/>
            <w:textDirection w:val="lrTb"/>
            <w:noWrap w:val="false"/>
          </w:tcPr>
          <w:p>
            <w:pPr>
              <w:pStyle w:val="1005"/>
              <w:ind w:left="57" w:right="57"/>
            </w:pPr>
            <w:r>
              <w:t xml:space="preserve">Неизменяемая надпись на форме.</w:t>
            </w:r>
            <w:r/>
          </w:p>
        </w:tc>
      </w:tr>
      <w:tr>
        <w:trPr/>
        <w:tc>
          <w:tcPr>
            <w:shd w:val="clear" w:fill="auto" w:color="auto"/>
            <w:tcW w:w="1637" w:type="pct"/>
            <w:textDirection w:val="lrTb"/>
            <w:noWrap w:val="false"/>
          </w:tcPr>
          <w:p>
            <w:pPr>
              <w:pStyle w:val="1005"/>
              <w:ind w:left="57" w:right="57"/>
            </w:pPr>
            <w:r>
              <w:t xml:space="preserve">Код по БК</w:t>
            </w:r>
            <w:r/>
          </w:p>
        </w:tc>
        <w:tc>
          <w:tcPr>
            <w:shd w:val="clear" w:fill="auto" w:color="auto"/>
            <w:tcW w:w="3363" w:type="pct"/>
            <w:textDirection w:val="lrTb"/>
            <w:noWrap w:val="false"/>
          </w:tcPr>
          <w:p>
            <w:pPr>
              <w:pStyle w:val="1005"/>
              <w:ind w:left="57" w:right="57"/>
            </w:pPr>
            <w:r>
              <w:t xml:space="preserve">Код поступления по бюджетной классификации.</w:t>
            </w:r>
            <w:r/>
          </w:p>
        </w:tc>
      </w:tr>
      <w:tr>
        <w:trPr/>
        <w:tc>
          <w:tcPr>
            <w:shd w:val="clear" w:fill="auto" w:color="auto"/>
            <w:tcW w:w="1637" w:type="pct"/>
            <w:textDirection w:val="lrTb"/>
            <w:noWrap w:val="false"/>
          </w:tcPr>
          <w:p>
            <w:pPr>
              <w:pStyle w:val="1005"/>
              <w:ind w:left="57" w:right="57"/>
            </w:pPr>
            <w:r>
              <w:t xml:space="preserve">Код субсидии</w:t>
            </w:r>
            <w:r/>
          </w:p>
        </w:tc>
        <w:tc>
          <w:tcPr>
            <w:shd w:val="clear" w:fill="auto" w:color="auto"/>
            <w:tcW w:w="3363" w:type="pct"/>
            <w:textDirection w:val="lrTb"/>
            <w:noWrap w:val="false"/>
          </w:tcPr>
          <w:p>
            <w:pPr>
              <w:pStyle w:val="1005"/>
              <w:ind w:left="57" w:right="57"/>
            </w:pPr>
            <w:r>
              <w:t xml:space="preserve">Код субсидии.</w:t>
            </w:r>
            <w:r/>
          </w:p>
        </w:tc>
      </w:tr>
      <w:tr>
        <w:trPr/>
        <w:tc>
          <w:tcPr>
            <w:shd w:val="clear" w:fill="auto" w:color="auto"/>
            <w:tcW w:w="1637" w:type="pct"/>
            <w:textDirection w:val="lrTb"/>
            <w:noWrap w:val="false"/>
          </w:tcPr>
          <w:p>
            <w:pPr>
              <w:pStyle w:val="1005"/>
              <w:ind w:left="57" w:right="57"/>
            </w:pPr>
            <w:r>
              <w:t xml:space="preserve">Наименование поступления</w:t>
            </w:r>
            <w:r/>
          </w:p>
        </w:tc>
        <w:tc>
          <w:tcPr>
            <w:shd w:val="clear" w:fill="auto" w:color="auto"/>
            <w:tcW w:w="3363" w:type="pct"/>
            <w:textDirection w:val="lrTb"/>
            <w:noWrap w:val="false"/>
          </w:tcPr>
          <w:p>
            <w:pPr>
              <w:pStyle w:val="1005"/>
              <w:ind w:left="57" w:right="57"/>
            </w:pPr>
            <w:r>
              <w:t xml:space="preserve">Наименование поступления.</w:t>
            </w:r>
            <w:r/>
          </w:p>
        </w:tc>
      </w:tr>
      <w:tr>
        <w:trPr>
          <w:trHeight w:val="77"/>
        </w:trPr>
        <w:tc>
          <w:tcPr>
            <w:shd w:val="clear" w:fill="auto" w:color="auto"/>
            <w:tcW w:w="1637" w:type="pct"/>
            <w:textDirection w:val="lrTb"/>
            <w:noWrap w:val="false"/>
          </w:tcPr>
          <w:p>
            <w:pPr>
              <w:pStyle w:val="1005"/>
              <w:ind w:left="57" w:right="57"/>
            </w:pPr>
            <w:r>
              <w:t xml:space="preserve">Сумма поступления</w:t>
            </w:r>
            <w:r/>
          </w:p>
        </w:tc>
        <w:tc>
          <w:tcPr>
            <w:shd w:val="clear" w:fill="auto" w:color="auto"/>
            <w:tcW w:w="3363" w:type="pct"/>
            <w:textDirection w:val="lrTb"/>
            <w:noWrap w:val="false"/>
          </w:tcPr>
          <w:p>
            <w:pPr>
              <w:pStyle w:val="1005"/>
              <w:ind w:left="57" w:right="57"/>
            </w:pPr>
            <w:r>
              <w:t xml:space="preserve">Сумма поступления.</w:t>
            </w:r>
            <w:r/>
          </w:p>
        </w:tc>
      </w:tr>
      <w:tr>
        <w:trPr>
          <w:trHeight w:val="77"/>
        </w:trPr>
        <w:tc>
          <w:tcPr>
            <w:shd w:val="clear" w:fill="auto" w:color="auto"/>
            <w:tcW w:w="1637" w:type="pct"/>
            <w:textDirection w:val="lrTb"/>
            <w:noWrap w:val="false"/>
          </w:tcPr>
          <w:p>
            <w:pPr>
              <w:pStyle w:val="1005"/>
              <w:ind w:left="57" w:right="57"/>
            </w:pPr>
            <w:r>
              <w:t xml:space="preserve">В т.ч. наименование бюджета, к</w:t>
            </w:r>
            <w:r>
              <w:t xml:space="preserve">-му</w:t>
            </w:r>
            <w:r>
              <w:t xml:space="preserve"> переданы поступления</w:t>
            </w:r>
            <w:r/>
          </w:p>
        </w:tc>
        <w:tc>
          <w:tcPr>
            <w:shd w:val="clear" w:fill="auto" w:color="auto"/>
            <w:tcW w:w="3363" w:type="pct"/>
            <w:textDirection w:val="lrTb"/>
            <w:noWrap w:val="false"/>
          </w:tcPr>
          <w:p>
            <w:pPr>
              <w:pStyle w:val="1005"/>
              <w:ind w:left="57" w:right="57"/>
            </w:pPr>
            <w:r>
              <w:t xml:space="preserve">Наименование бюджета, которому передано поступление.</w:t>
            </w:r>
            <w:r/>
          </w:p>
        </w:tc>
      </w:tr>
      <w:tr>
        <w:trPr>
          <w:trHeight w:val="77"/>
        </w:trPr>
        <w:tc>
          <w:tcPr>
            <w:shd w:val="clear" w:fill="auto" w:color="auto"/>
            <w:tcW w:w="1637" w:type="pct"/>
            <w:textDirection w:val="lrTb"/>
            <w:noWrap w:val="false"/>
          </w:tcPr>
          <w:p>
            <w:pPr>
              <w:pStyle w:val="1005"/>
              <w:ind w:left="57" w:right="57"/>
            </w:pPr>
            <w:r>
              <w:t xml:space="preserve">Доп. КБК1</w:t>
            </w:r>
            <w:r/>
          </w:p>
        </w:tc>
        <w:tc>
          <w:tcPr>
            <w:shd w:val="clear" w:fill="auto" w:color="auto"/>
            <w:tcW w:w="3363" w:type="pct"/>
            <w:textDirection w:val="lrTb"/>
            <w:noWrap w:val="false"/>
          </w:tcPr>
          <w:p>
            <w:pPr>
              <w:pStyle w:val="1005"/>
              <w:ind w:left="57" w:right="57"/>
            </w:pPr>
            <w:r>
              <w:t xml:space="preserve">Дополнительный КБК1.</w:t>
            </w:r>
            <w:r/>
          </w:p>
        </w:tc>
      </w:tr>
      <w:tr>
        <w:trPr>
          <w:trHeight w:val="77"/>
        </w:trPr>
        <w:tc>
          <w:tcPr>
            <w:shd w:val="clear" w:fill="auto" w:color="auto"/>
            <w:tcW w:w="1637" w:type="pct"/>
            <w:textDirection w:val="lrTb"/>
            <w:noWrap w:val="false"/>
          </w:tcPr>
          <w:p>
            <w:pPr>
              <w:pStyle w:val="1005"/>
              <w:ind w:left="57" w:right="57"/>
            </w:pPr>
            <w:r>
              <w:t xml:space="preserve">Доп. КБК2</w:t>
            </w:r>
            <w:r/>
          </w:p>
        </w:tc>
        <w:tc>
          <w:tcPr>
            <w:shd w:val="clear" w:fill="auto" w:color="auto"/>
            <w:tcW w:w="3363" w:type="pct"/>
            <w:textDirection w:val="lrTb"/>
            <w:noWrap w:val="false"/>
          </w:tcPr>
          <w:p>
            <w:pPr>
              <w:pStyle w:val="1005"/>
              <w:ind w:left="57" w:right="57"/>
            </w:pPr>
            <w:r>
              <w:t xml:space="preserve">Дополнительный КБК2.</w:t>
            </w:r>
            <w:r/>
          </w:p>
        </w:tc>
      </w:tr>
      <w:tr>
        <w:trPr>
          <w:trHeight w:val="77"/>
        </w:trPr>
        <w:tc>
          <w:tcPr>
            <w:shd w:val="clear" w:fill="auto" w:color="auto"/>
            <w:tcW w:w="1637" w:type="pct"/>
            <w:textDirection w:val="lrTb"/>
            <w:noWrap w:val="false"/>
          </w:tcPr>
          <w:p>
            <w:pPr>
              <w:pStyle w:val="1005"/>
              <w:ind w:left="57" w:right="57"/>
            </w:pPr>
            <w:r>
              <w:t xml:space="preserve">Доп. КБК3</w:t>
            </w:r>
            <w:r/>
          </w:p>
        </w:tc>
        <w:tc>
          <w:tcPr>
            <w:shd w:val="clear" w:fill="auto" w:color="auto"/>
            <w:tcW w:w="3363" w:type="pct"/>
            <w:textDirection w:val="lrTb"/>
            <w:noWrap w:val="false"/>
          </w:tcPr>
          <w:p>
            <w:pPr>
              <w:pStyle w:val="1005"/>
              <w:ind w:left="57" w:right="57"/>
            </w:pPr>
            <w:r>
              <w:t xml:space="preserve">Дополнительный КБК3.</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«Итого:»</w:t>
            </w:r>
            <w:r/>
          </w:p>
        </w:tc>
      </w:tr>
      <w:tr>
        <w:trPr>
          <w:trHeight w:val="77"/>
        </w:trPr>
        <w:tc>
          <w:tcPr>
            <w:shd w:val="clear" w:fill="auto" w:color="auto"/>
            <w:tcW w:w="1637" w:type="pct"/>
            <w:textDirection w:val="lrTb"/>
            <w:noWrap w:val="false"/>
          </w:tcPr>
          <w:p>
            <w:pPr>
              <w:pStyle w:val="1005"/>
              <w:ind w:left="57" w:right="57"/>
            </w:pPr>
            <w:r>
              <w:t xml:space="preserve">Сумма поступления</w:t>
            </w:r>
            <w:r/>
          </w:p>
        </w:tc>
        <w:tc>
          <w:tcPr>
            <w:shd w:val="clear" w:fill="auto" w:color="auto"/>
            <w:tcW w:w="3363" w:type="pct"/>
            <w:textDirection w:val="lrTb"/>
            <w:noWrap w:val="false"/>
          </w:tcPr>
          <w:p>
            <w:pPr>
              <w:pStyle w:val="1005"/>
              <w:ind w:left="57" w:right="57"/>
            </w:pPr>
            <w:r>
              <w:t xml:space="preserve">Итоговая сумма поступлений.</w:t>
            </w:r>
            <w:r/>
          </w:p>
        </w:tc>
      </w:tr>
      <w:tr>
        <w:trPr>
          <w:trHeight w:val="77"/>
        </w:trPr>
        <w:tc>
          <w:tcPr>
            <w:shd w:val="clear" w:fill="auto" w:color="auto"/>
            <w:tcW w:w="1637" w:type="pct"/>
            <w:textDirection w:val="lrTb"/>
            <w:noWrap w:val="false"/>
          </w:tcPr>
          <w:p>
            <w:pPr>
              <w:pStyle w:val="1005"/>
              <w:ind w:left="57" w:right="57"/>
            </w:pPr>
            <w:r>
              <w:t xml:space="preserve">В т.ч. переданные</w:t>
            </w:r>
            <w:r/>
          </w:p>
        </w:tc>
        <w:tc>
          <w:tcPr>
            <w:shd w:val="clear" w:fill="auto" w:color="auto"/>
            <w:tcW w:w="3363" w:type="pct"/>
            <w:textDirection w:val="lrTb"/>
            <w:noWrap w:val="false"/>
          </w:tcPr>
          <w:p>
            <w:pPr>
              <w:pStyle w:val="1005"/>
              <w:ind w:left="57" w:right="57"/>
            </w:pPr>
            <w:r>
              <w:t xml:space="preserve">Итоговая сумма переданных поступлений.</w:t>
            </w:r>
            <w:r/>
          </w:p>
        </w:tc>
      </w:tr>
    </w:tbl>
    <w:p>
      <w:pPr>
        <w:pStyle w:val="994"/>
      </w:pPr>
      <w:r>
        <w:t xml:space="preserve">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ФО.</w:t>
      </w:r>
      <w:r/>
    </w:p>
    <w:p>
      <w:pPr>
        <w:pStyle w:val="994"/>
      </w:pPr>
      <w:r>
        <w:t xml:space="preserve">На</w:t>
      </w:r>
      <w:r>
        <w:t xml:space="preserve"> закладк</w:t>
      </w:r>
      <w:r>
        <w:t xml:space="preserve">е</w:t>
      </w:r>
      <w:r>
        <w:t xml:space="preserve"> </w:t>
      </w:r>
      <w:r>
        <w:t xml:space="preserve">«</w:t>
      </w:r>
      <w:r>
        <w:t xml:space="preserve">Документ</w:t>
      </w:r>
      <w:r>
        <w:t xml:space="preserve"> (1)» (см.</w:t>
      </w:r>
      <w:r>
        <w:t xml:space="preserve"> </w:t>
      </w:r>
      <w:r>
        <w:t xml:space="preserve">рис.</w:t>
      </w:r>
      <w:r>
        <w:t xml:space="preserve"> </w:t>
      </w:r>
      <w:r>
        <w:fldChar w:fldCharType="begin"/>
      </w:r>
      <w:r>
        <w:instrText xml:space="preserve"> REF _Ref246478018 \h  \* MERGEFORMAT </w:instrText>
      </w:r>
      <w:r>
        <w:fldChar w:fldCharType="separate"/>
      </w:r>
      <w:r>
        <w:t xml:space="preserve">288</w:t>
      </w:r>
      <w:r>
        <w:fldChar w:fldCharType="end"/>
      </w:r>
      <w:r>
        <w:t xml:space="preserve">) расположен табличный </w:t>
      </w:r>
      <w:r>
        <w:t xml:space="preserve">блок, содержащий </w:t>
      </w:r>
      <w:r>
        <w:t xml:space="preserve">строки документа </w:t>
      </w:r>
      <w:r>
        <w:t xml:space="preserve">«</w:t>
      </w:r>
      <w:r>
        <w:t xml:space="preserve">Справка о кассовых п</w:t>
      </w:r>
      <w:r>
        <w:t xml:space="preserve">о</w:t>
      </w:r>
      <w:r>
        <w:t xml:space="preserve">ступл</w:t>
      </w:r>
      <w:r>
        <w:t xml:space="preserve">е</w:t>
      </w:r>
      <w:r>
        <w:t xml:space="preserve">ниях</w:t>
      </w:r>
      <w:r>
        <w:t xml:space="preserve">»</w:t>
      </w:r>
      <w:r>
        <w:t xml:space="preserve">.</w:t>
      </w:r>
      <w:r>
        <w:t xml:space="preserve"> </w:t>
      </w:r>
      <w:r>
        <w:t xml:space="preserve">Для добавления записи в таблицу </w:t>
      </w:r>
      <w:r>
        <w:t xml:space="preserve">следует нажать на кнопку </w:t>
      </w:r>
      <w:r>
        <mc:AlternateContent>
          <mc:Choice Requires="wpg">
            <w:drawing>
              <wp:inline xmlns:wp="http://schemas.openxmlformats.org/drawingml/2006/wordprocessingDrawing" distT="0" distB="0" distL="0" distR="0">
                <wp:extent cx="274320" cy="274320"/>
                <wp:effectExtent l="0" t="0" r="0" b="0"/>
                <wp:docPr id="42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7" o:spid="_x0000_s427" type="#_x0000_t75" style="mso-wrap-distance-left:0.0pt;mso-wrap-distance-top:0.0pt;mso-wrap-distance-right:0.0pt;mso-wrap-distance-bottom:0.0pt;width:21.6pt;height:21.6pt;" stroked="f">
                <v:path textboxrect="0,0,0,0"/>
                <v:imagedata r:id="rId80" o:title=""/>
              </v:shape>
            </w:pict>
          </mc:Fallback>
        </mc:AlternateContent>
      </w:r>
      <w:r>
        <w:t xml:space="preserve"> </w:t>
      </w:r>
      <w:r>
        <w:t xml:space="preserve">(Добавить новую строку)</w:t>
      </w:r>
      <w:r>
        <w:t xml:space="preserve">. Открое</w:t>
      </w:r>
      <w:r>
        <w:t xml:space="preserve">тся форма «Добавление записи»</w:t>
      </w:r>
      <w:r>
        <w:t xml:space="preserve"> (рис.</w:t>
      </w:r>
      <w:r>
        <w:t xml:space="preserve"> </w:t>
      </w:r>
      <w:r>
        <w:fldChar w:fldCharType="begin"/>
      </w:r>
      <w:r>
        <w:instrText xml:space="preserve"> REF _Ref246480071 \h  \* MERGEFORMAT </w:instrText>
      </w:r>
      <w:r>
        <w:fldChar w:fldCharType="separate"/>
      </w:r>
      <w:r>
        <w:t xml:space="preserve">289</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2659380"/>
                <wp:effectExtent l="0" t="0" r="0" b="0"/>
                <wp:docPr id="42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78"/>
                        <a:stretch/>
                      </pic:blipFill>
                      <pic:spPr bwMode="auto">
                        <a:xfrm>
                          <a:off x="0" y="0"/>
                          <a:ext cx="6134100" cy="26593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8" o:spid="_x0000_s428" type="#_x0000_t75" style="mso-wrap-distance-left:0.0pt;mso-wrap-distance-top:0.0pt;mso-wrap-distance-right:0.0pt;mso-wrap-distance-bottom:0.0pt;width:483.0pt;height:209.4pt;" stroked="f">
                <v:path textboxrect="0,0,0,0"/>
                <v:imagedata r:id="rId378" o:title=""/>
              </v:shape>
            </w:pict>
          </mc:Fallback>
        </mc:AlternateContent>
      </w:r>
      <w:r/>
    </w:p>
    <w:p>
      <w:pPr>
        <w:pStyle w:val="983"/>
      </w:pPr>
      <w:r>
        <w:fldChar w:fldCharType="begin"/>
      </w:r>
      <w:r>
        <w:instrText xml:space="preserve"> SEQ Рисунок \* ARABIC </w:instrText>
      </w:r>
      <w:r>
        <w:fldChar w:fldCharType="separate"/>
      </w:r>
      <w:bookmarkStart w:id="1912" w:name="_Ref246480071"/>
      <w:r/>
      <w:bookmarkStart w:id="1913" w:name="_Toc88819674"/>
      <w:r>
        <w:t xml:space="preserve">289</w:t>
      </w:r>
      <w:bookmarkEnd w:id="1912"/>
      <w:r>
        <w:fldChar w:fldCharType="end"/>
      </w:r>
      <w:r>
        <w:t xml:space="preserve">. </w:t>
      </w:r>
      <w:r>
        <w:t xml:space="preserve">Форма «Добавление записи»</w:t>
      </w:r>
      <w:bookmarkEnd w:id="1913"/>
      <w:r/>
      <w:r/>
    </w:p>
    <w:p>
      <w:pPr>
        <w:pStyle w:val="994"/>
      </w:pPr>
      <w:r>
        <w:t xml:space="preserve">В форме</w:t>
      </w:r>
      <w:r>
        <w:t xml:space="preserve"> «Добавление записи»</w:t>
      </w:r>
      <w:r>
        <w:t xml:space="preserve"> вручную заполняются следующие поля:</w:t>
      </w:r>
      <w:r/>
    </w:p>
    <w:p>
      <w:pPr>
        <w:pStyle w:val="985"/>
      </w:pPr>
      <w:r>
        <w:t xml:space="preserve">«Код по БК» – код поступл</w:t>
      </w:r>
      <w:r>
        <w:t xml:space="preserve">ения по бюджетной классификации;</w:t>
      </w:r>
      <w:r/>
    </w:p>
    <w:p>
      <w:pPr>
        <w:pStyle w:val="985"/>
      </w:pPr>
      <w:r>
        <w:t xml:space="preserve">«Наименование поступле</w:t>
      </w:r>
      <w:r>
        <w:t xml:space="preserve">ния» – наименование поступления;</w:t>
      </w:r>
      <w:r/>
    </w:p>
    <w:p>
      <w:pPr>
        <w:pStyle w:val="985"/>
      </w:pPr>
      <w:r>
        <w:t xml:space="preserve">«Сумма поступления» – сумма поступления в рублях</w:t>
      </w:r>
      <w:r>
        <w:t xml:space="preserve">;</w:t>
      </w:r>
      <w:r/>
    </w:p>
    <w:p>
      <w:pPr>
        <w:pStyle w:val="985"/>
      </w:pPr>
      <w:r>
        <w:t xml:space="preserve">«Код субсидии» – код субсидии;</w:t>
      </w:r>
      <w:r/>
    </w:p>
    <w:p>
      <w:pPr>
        <w:pStyle w:val="985"/>
      </w:pPr>
      <w:r>
        <w:t xml:space="preserve">группа полей «В т.ч. переданные», с</w:t>
      </w:r>
      <w:r>
        <w:t xml:space="preserve">одержит поля дл</w:t>
      </w:r>
      <w:r>
        <w:t xml:space="preserve">я поступления, переданного ТОФК:</w:t>
      </w:r>
      <w:r/>
    </w:p>
    <w:p>
      <w:pPr>
        <w:pStyle w:val="986"/>
      </w:pPr>
      <w:r>
        <w:t xml:space="preserve">«Сумма» – сумма переданного поступления;</w:t>
      </w:r>
      <w:r/>
    </w:p>
    <w:p>
      <w:pPr>
        <w:pStyle w:val="986"/>
      </w:pPr>
      <w:r>
        <w:t xml:space="preserve">«Наименование бюджета, к</w:t>
      </w:r>
      <w:r>
        <w:t xml:space="preserve">оторо</w:t>
      </w:r>
      <w:r>
        <w:t xml:space="preserve">му переданы поступления» – наименование бюджета, кот</w:t>
      </w:r>
      <w:r>
        <w:t xml:space="preserve">о</w:t>
      </w:r>
      <w:r>
        <w:t xml:space="preserve">рому переданы поступл</w:t>
      </w:r>
      <w:r>
        <w:t xml:space="preserve">ения;</w:t>
      </w:r>
      <w:r/>
    </w:p>
    <w:p>
      <w:pPr>
        <w:pStyle w:val="985"/>
      </w:pPr>
      <w:r>
        <w:t xml:space="preserve">«До</w:t>
      </w:r>
      <w:r>
        <w:t xml:space="preserve">п. КБК 1» – дополнительный КБК1;</w:t>
      </w:r>
      <w:r/>
    </w:p>
    <w:p>
      <w:pPr>
        <w:pStyle w:val="985"/>
      </w:pPr>
      <w:r>
        <w:t xml:space="preserve">«До</w:t>
      </w:r>
      <w:r>
        <w:t xml:space="preserve">п. КБК 2» – дополнительный КБК2;</w:t>
      </w:r>
      <w:r/>
    </w:p>
    <w:p>
      <w:pPr>
        <w:pStyle w:val="985"/>
      </w:pPr>
      <w:r>
        <w:t xml:space="preserve">«Доп. КБК 3» – дополнительный КБК3.</w:t>
      </w:r>
      <w:r/>
    </w:p>
    <w:p>
      <w:pPr>
        <w:pStyle w:val="994"/>
      </w:pPr>
      <w:r>
        <w:t xml:space="preserve">Для добавления строки в таблицу и выхода из </w:t>
      </w:r>
      <w:r>
        <w:t xml:space="preserve">формы</w:t>
      </w:r>
      <w:r>
        <w:t xml:space="preserve"> «Добавление записи»</w:t>
      </w:r>
      <w:r>
        <w:t xml:space="preserve"> следует нажать на </w:t>
      </w:r>
      <w:r>
        <w:t xml:space="preserve">кнопку «Ok»</w:t>
      </w:r>
      <w:r>
        <w:t xml:space="preserve">. Для сохранения текущей строки и продолжения ввода новой строки нажать на кнопку «Сохранить и создать</w:t>
      </w:r>
      <w:r>
        <w:t xml:space="preserve">».</w:t>
      </w:r>
      <w:r/>
    </w:p>
    <w:p>
      <w:pPr>
        <w:pStyle w:val="994"/>
      </w:pPr>
      <w:r>
        <w:t xml:space="preserve">ЭФ документа «Справка о кассовых поступлениях</w:t>
      </w:r>
      <w:r>
        <w:t xml:space="preserve">», закладки «</w:t>
      </w:r>
      <w:r>
        <w:t xml:space="preserve">Дополнительные атрибуты» </w:t>
      </w:r>
      <w:r>
        <w:t xml:space="preserve">представлена </w:t>
      </w:r>
      <w:r>
        <w:t xml:space="preserve">н</w:t>
      </w:r>
      <w:r>
        <w:t xml:space="preserve">а рисунке</w:t>
      </w:r>
      <w:r>
        <w:t xml:space="preserve"> </w:t>
      </w:r>
      <w:r>
        <w:fldChar w:fldCharType="begin"/>
      </w:r>
      <w:r>
        <w:instrText xml:space="preserve"> REF _Ref246480069 \h </w:instrText>
      </w:r>
      <w:r>
        <w:instrText xml:space="preserve"> \* MERGEFORMAT </w:instrText>
      </w:r>
      <w:r>
        <w:fldChar w:fldCharType="separate"/>
      </w:r>
      <w:r>
        <w:t xml:space="preserve">290</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1828800"/>
                <wp:effectExtent l="0" t="0" r="0" b="0"/>
                <wp:docPr id="43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79"/>
                        <a:stretch/>
                      </pic:blipFill>
                      <pic:spPr bwMode="auto">
                        <a:xfrm>
                          <a:off x="0" y="0"/>
                          <a:ext cx="6126480" cy="1828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9" o:spid="_x0000_s429" type="#_x0000_t75" style="mso-wrap-distance-left:0.0pt;mso-wrap-distance-top:0.0pt;mso-wrap-distance-right:0.0pt;mso-wrap-distance-bottom:0.0pt;width:482.4pt;height:144.0pt;" stroked="f">
                <v:path textboxrect="0,0,0,0"/>
                <v:imagedata r:id="rId379" o:title=""/>
              </v:shape>
            </w:pict>
          </mc:Fallback>
        </mc:AlternateContent>
      </w:r>
      <w:r/>
    </w:p>
    <w:p>
      <w:pPr>
        <w:pStyle w:val="983"/>
      </w:pPr>
      <w:r>
        <w:fldChar w:fldCharType="begin"/>
      </w:r>
      <w:r>
        <w:instrText xml:space="preserve"> SEQ Рисунок \* ARABIC </w:instrText>
      </w:r>
      <w:r>
        <w:fldChar w:fldCharType="separate"/>
      </w:r>
      <w:bookmarkStart w:id="1914" w:name="_Ref246480069"/>
      <w:r/>
      <w:bookmarkStart w:id="1915" w:name="_Toc88819675"/>
      <w:r>
        <w:t xml:space="preserve">290</w:t>
      </w:r>
      <w:bookmarkEnd w:id="1914"/>
      <w:r>
        <w:fldChar w:fldCharType="end"/>
      </w:r>
      <w:r>
        <w:t xml:space="preserve">. ЭФ документа «Справка о кассовых поступлениях</w:t>
      </w:r>
      <w:r>
        <w:t xml:space="preserve">», закладки «</w:t>
      </w:r>
      <w:r>
        <w:t xml:space="preserve">Дополнительные атрибуты»</w:t>
      </w:r>
      <w:bookmarkEnd w:id="1915"/>
      <w:r/>
      <w:r/>
    </w:p>
    <w:p>
      <w:pPr>
        <w:pStyle w:val="994"/>
      </w:pPr>
      <w:r>
        <w:t xml:space="preserve">Перечень </w:t>
      </w:r>
      <w:r>
        <w:t xml:space="preserve">полей </w:t>
      </w:r>
      <w:r>
        <w:t xml:space="preserve">документа «Справка о кассовых поступлениях</w:t>
      </w:r>
      <w:r>
        <w:t xml:space="preserve">», закладки «</w:t>
      </w:r>
      <w:r>
        <w:t xml:space="preserve">Дополнительные атрибуты»</w:t>
      </w:r>
      <w:r>
        <w:t xml:space="preserve"> приведен</w:t>
      </w:r>
      <w:r>
        <w:t xml:space="preserve"> в таблице</w:t>
      </w:r>
      <w:r>
        <w:t xml:space="preserve"> </w:t>
      </w:r>
      <w:r>
        <w:fldChar w:fldCharType="begin"/>
      </w:r>
      <w:r>
        <w:instrText xml:space="preserve"> REF _Ref317678748 \h </w:instrText>
      </w:r>
      <w:r>
        <w:instrText xml:space="preserve"> \* MERGEFORMAT </w:instrText>
      </w:r>
      <w:r>
        <w:fldChar w:fldCharType="separate"/>
      </w:r>
      <w:r>
        <w:t xml:space="preserve">169</w:t>
      </w:r>
      <w:r>
        <w:fldChar w:fldCharType="end"/>
      </w:r>
      <w:r>
        <w:t xml:space="preserve">.</w:t>
      </w:r>
      <w:r/>
    </w:p>
    <w:p>
      <w:pPr>
        <w:pStyle w:val="993"/>
      </w:pPr>
      <w:r>
        <w:fldChar w:fldCharType="begin"/>
      </w:r>
      <w:r>
        <w:instrText xml:space="preserve"> SEQ Таблица \* ARABIC </w:instrText>
      </w:r>
      <w:r>
        <w:fldChar w:fldCharType="separate"/>
      </w:r>
      <w:bookmarkStart w:id="1916" w:name="_Ref318715520"/>
      <w:r/>
      <w:bookmarkStart w:id="1917" w:name="_Ref317678748"/>
      <w:r/>
      <w:bookmarkStart w:id="1918" w:name="_Toc88819356"/>
      <w:r>
        <w:t xml:space="preserve">169</w:t>
      </w:r>
      <w:bookmarkEnd w:id="1916"/>
      <w:r/>
      <w:bookmarkEnd w:id="1917"/>
      <w:r>
        <w:fldChar w:fldCharType="end"/>
      </w:r>
      <w:r>
        <w:t xml:space="preserve">. Описание полей документа «Справка о кассовых поступлениях</w:t>
      </w:r>
      <w:r>
        <w:t xml:space="preserve">», закладки «</w:t>
      </w:r>
      <w:r>
        <w:t xml:space="preserve">Дополнительные атрибуты»</w:t>
      </w:r>
      <w:bookmarkEnd w:id="191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3663"/>
        <w:gridCol w:w="6089"/>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878"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122" w:type="pct"/>
            <w:vAlign w:val="center"/>
            <w:textDirection w:val="lrTb"/>
            <w:noWrap w:val="false"/>
          </w:tcPr>
          <w:p>
            <w:pPr>
              <w:pStyle w:val="1006"/>
            </w:pPr>
            <w:r>
              <w:t xml:space="preserve">Описание поля</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«Статусы»</w:t>
            </w:r>
            <w:r/>
          </w:p>
        </w:tc>
      </w:tr>
      <w:tr>
        <w:trPr>
          <w:trHeight w:val="77"/>
        </w:trPr>
        <w:tc>
          <w:tcPr>
            <w:shd w:val="clear" w:fill="auto" w:color="auto"/>
            <w:tcW w:w="1878" w:type="pct"/>
            <w:textDirection w:val="lrTb"/>
            <w:noWrap w:val="false"/>
          </w:tcPr>
          <w:p>
            <w:pPr>
              <w:pStyle w:val="1005"/>
              <w:ind w:left="57" w:right="57"/>
            </w:pPr>
            <w:r>
              <w:t xml:space="preserve">Бизнес-cтатус</w:t>
            </w:r>
            <w:r/>
          </w:p>
        </w:tc>
        <w:tc>
          <w:tcPr>
            <w:shd w:val="clear" w:fill="auto" w:color="auto"/>
            <w:tcW w:w="3122" w:type="pct"/>
            <w:textDirection w:val="lrTb"/>
            <w:noWrap w:val="false"/>
          </w:tcPr>
          <w:p>
            <w:pPr>
              <w:pStyle w:val="1005"/>
              <w:ind w:left="57" w:right="57"/>
            </w:pPr>
            <w:r>
              <w:t xml:space="preserve">Код и наименование бизнес-статуса документа. </w:t>
            </w:r>
            <w:r/>
          </w:p>
          <w:p>
            <w:pPr>
              <w:pStyle w:val="1005"/>
              <w:ind w:left="57" w:right="57"/>
            </w:pPr>
            <w:r>
              <w:t xml:space="preserve">Заполняется автоматически в результате обработки документа.</w:t>
            </w:r>
            <w:r/>
          </w:p>
        </w:tc>
      </w:tr>
      <w:tr>
        <w:trPr>
          <w:trHeight w:val="77"/>
        </w:trPr>
        <w:tc>
          <w:tcPr>
            <w:shd w:val="clear" w:fill="auto" w:color="auto"/>
            <w:tcW w:w="1878" w:type="pct"/>
            <w:textDirection w:val="lrTb"/>
            <w:noWrap w:val="false"/>
          </w:tcPr>
          <w:p>
            <w:pPr>
              <w:pStyle w:val="1005"/>
              <w:ind w:left="57" w:right="57"/>
            </w:pPr>
            <w:r>
              <w:t xml:space="preserve">Статус передачи</w:t>
            </w:r>
            <w:r/>
          </w:p>
        </w:tc>
        <w:tc>
          <w:tcPr>
            <w:shd w:val="clear" w:fill="auto" w:color="auto"/>
            <w:tcW w:w="3122" w:type="pct"/>
            <w:textDirection w:val="lrTb"/>
            <w:noWrap w:val="false"/>
          </w:tcPr>
          <w:p>
            <w:pPr>
              <w:pStyle w:val="1005"/>
              <w:ind w:left="57" w:right="57"/>
            </w:pPr>
            <w:r>
              <w:t xml:space="preserve">Код и наименование статуса передачи документа. </w:t>
            </w:r>
            <w:r/>
          </w:p>
          <w:p>
            <w:pPr>
              <w:pStyle w:val="1005"/>
              <w:ind w:left="57" w:right="57"/>
            </w:pPr>
            <w:r>
              <w:t xml:space="preserve">Заполняется автоматически в результате приема/отправки документа.</w:t>
            </w:r>
            <w:r/>
          </w:p>
        </w:tc>
      </w:tr>
      <w:tr>
        <w:trPr>
          <w:trHeight w:val="77"/>
        </w:trPr>
        <w:tc>
          <w:tcPr>
            <w:shd w:val="clear" w:fill="auto" w:color="auto"/>
            <w:tcW w:w="1878" w:type="pct"/>
            <w:textDirection w:val="lrTb"/>
            <w:noWrap w:val="false"/>
          </w:tcPr>
          <w:p>
            <w:pPr>
              <w:pStyle w:val="1005"/>
              <w:ind w:left="57" w:right="57"/>
            </w:pPr>
            <w:r>
              <w:t xml:space="preserve">Статус утверждения</w:t>
            </w:r>
            <w:r/>
          </w:p>
        </w:tc>
        <w:tc>
          <w:tcPr>
            <w:shd w:val="clear" w:fill="auto" w:color="auto"/>
            <w:tcW w:w="3122" w:type="pct"/>
            <w:textDirection w:val="lrTb"/>
            <w:noWrap w:val="false"/>
          </w:tcPr>
          <w:p>
            <w:pPr>
              <w:pStyle w:val="1005"/>
              <w:ind w:left="57" w:right="57"/>
            </w:pPr>
            <w:r>
              <w:t xml:space="preserve">Код и наименование статуса утверждения документа. </w:t>
            </w:r>
            <w:r/>
          </w:p>
          <w:p>
            <w:pPr>
              <w:pStyle w:val="1005"/>
              <w:ind w:left="57" w:right="57"/>
            </w:pPr>
            <w:r>
              <w:t xml:space="preserve">Заполняется автоматически в результате обработки документа.</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«Подписи и реквизиты»</w:t>
            </w:r>
            <w:r/>
          </w:p>
        </w:tc>
      </w:tr>
      <w:tr>
        <w:trPr>
          <w:trHeight w:val="77"/>
        </w:trPr>
        <w:tc>
          <w:tcPr>
            <w:shd w:val="clear" w:fill="auto" w:color="auto"/>
            <w:tcW w:w="1878" w:type="pct"/>
            <w:textDirection w:val="lrTb"/>
            <w:noWrap w:val="false"/>
          </w:tcPr>
          <w:p>
            <w:pPr>
              <w:pStyle w:val="1005"/>
              <w:ind w:left="57" w:right="57"/>
            </w:pPr>
            <w:r>
              <w:t xml:space="preserve">Руководитель (уполномоченное лицо)</w:t>
            </w:r>
            <w:r/>
          </w:p>
        </w:tc>
        <w:tc>
          <w:tcPr>
            <w:shd w:val="clear" w:fill="auto" w:color="auto"/>
            <w:tcW w:w="3122" w:type="pct"/>
            <w:textDirection w:val="lrTb"/>
            <w:noWrap w:val="false"/>
          </w:tcPr>
          <w:p>
            <w:pPr>
              <w:pStyle w:val="1005"/>
              <w:ind w:left="57" w:right="57"/>
            </w:pPr>
            <w:r>
              <w:t xml:space="preserve">Наименование должности руководителя.</w:t>
            </w:r>
            <w:r/>
          </w:p>
        </w:tc>
      </w:tr>
      <w:tr>
        <w:trPr>
          <w:trHeight w:val="77"/>
        </w:trPr>
        <w:tc>
          <w:tcPr>
            <w:shd w:val="clear" w:fill="auto" w:color="auto"/>
            <w:tcW w:w="1878" w:type="pct"/>
            <w:textDirection w:val="lrTb"/>
            <w:noWrap w:val="false"/>
          </w:tcPr>
          <w:p>
            <w:pPr>
              <w:pStyle w:val="1005"/>
              <w:ind w:left="57" w:right="57"/>
            </w:pPr>
            <w:r>
              <w:t xml:space="preserve">Руководитель (уполномоченное лицо). Ф.И.О.</w:t>
            </w:r>
            <w:r/>
          </w:p>
        </w:tc>
        <w:tc>
          <w:tcPr>
            <w:shd w:val="clear" w:fill="auto" w:color="auto"/>
            <w:tcW w:w="3122" w:type="pct"/>
            <w:textDirection w:val="lrTb"/>
            <w:noWrap w:val="false"/>
          </w:tcPr>
          <w:p>
            <w:pPr>
              <w:pStyle w:val="1005"/>
              <w:ind w:left="57" w:right="57"/>
            </w:pPr>
            <w:r>
              <w:t xml:space="preserve">ФИО руководителя.</w:t>
            </w:r>
            <w:r/>
          </w:p>
        </w:tc>
      </w:tr>
      <w:tr>
        <w:trPr>
          <w:trHeight w:val="77"/>
        </w:trPr>
        <w:tc>
          <w:tcPr>
            <w:shd w:val="clear" w:fill="auto" w:color="auto"/>
            <w:tcW w:w="1878" w:type="pct"/>
            <w:textDirection w:val="lrTb"/>
            <w:noWrap w:val="false"/>
          </w:tcPr>
          <w:p>
            <w:pPr>
              <w:pStyle w:val="1005"/>
              <w:ind w:left="57" w:right="57"/>
            </w:pPr>
            <w:r>
              <w:t xml:space="preserve">Главный бухгалтер (уполномоченное лицо)</w:t>
            </w:r>
            <w:r/>
          </w:p>
        </w:tc>
        <w:tc>
          <w:tcPr>
            <w:shd w:val="clear" w:fill="auto" w:color="auto"/>
            <w:tcW w:w="3122" w:type="pct"/>
            <w:textDirection w:val="lrTb"/>
            <w:noWrap w:val="false"/>
          </w:tcPr>
          <w:p>
            <w:pPr>
              <w:pStyle w:val="1005"/>
              <w:ind w:left="57" w:right="57"/>
            </w:pPr>
            <w:r>
              <w:t xml:space="preserve">Наименование должности главного бухгалтера.</w:t>
            </w:r>
            <w:r/>
          </w:p>
        </w:tc>
      </w:tr>
      <w:tr>
        <w:trPr>
          <w:trHeight w:val="77"/>
        </w:trPr>
        <w:tc>
          <w:tcPr>
            <w:shd w:val="clear" w:fill="auto" w:color="auto"/>
            <w:tcW w:w="1878" w:type="pct"/>
            <w:textDirection w:val="lrTb"/>
            <w:noWrap w:val="false"/>
          </w:tcPr>
          <w:p>
            <w:pPr>
              <w:pStyle w:val="1005"/>
              <w:ind w:left="57" w:right="57"/>
            </w:pPr>
            <w:r>
              <w:t xml:space="preserve">Главный бухгалтер (уполномоченное лицо). Ф.И.О.</w:t>
            </w:r>
            <w:r/>
          </w:p>
        </w:tc>
        <w:tc>
          <w:tcPr>
            <w:shd w:val="clear" w:fill="auto" w:color="auto"/>
            <w:tcW w:w="3122" w:type="pct"/>
            <w:textDirection w:val="lrTb"/>
            <w:noWrap w:val="false"/>
          </w:tcPr>
          <w:p>
            <w:pPr>
              <w:pStyle w:val="1005"/>
              <w:ind w:left="57" w:right="57"/>
            </w:pPr>
            <w:r>
              <w:t xml:space="preserve">ФИО главного бухгалтера.</w:t>
            </w:r>
            <w:r/>
          </w:p>
        </w:tc>
      </w:tr>
      <w:tr>
        <w:trPr>
          <w:trHeight w:val="77"/>
        </w:trPr>
        <w:tc>
          <w:tcPr>
            <w:shd w:val="clear" w:fill="auto" w:color="auto"/>
            <w:tcW w:w="1878" w:type="pct"/>
            <w:textDirection w:val="lrTb"/>
            <w:noWrap w:val="false"/>
          </w:tcPr>
          <w:p>
            <w:pPr>
              <w:pStyle w:val="1005"/>
              <w:ind w:left="57" w:right="57"/>
            </w:pPr>
            <w:r>
              <w:t xml:space="preserve">Ответственный исполнитель</w:t>
            </w:r>
            <w:r/>
          </w:p>
        </w:tc>
        <w:tc>
          <w:tcPr>
            <w:shd w:val="clear" w:fill="auto" w:color="auto"/>
            <w:tcW w:w="3122" w:type="pct"/>
            <w:textDirection w:val="lrTb"/>
            <w:noWrap w:val="false"/>
          </w:tcPr>
          <w:p>
            <w:pPr>
              <w:pStyle w:val="1005"/>
              <w:ind w:left="57" w:right="57"/>
            </w:pPr>
            <w:r>
              <w:t xml:space="preserve">Наименование должности ответственного исполнителя.</w:t>
            </w:r>
            <w:r/>
          </w:p>
        </w:tc>
      </w:tr>
      <w:tr>
        <w:trPr>
          <w:trHeight w:val="77"/>
        </w:trPr>
        <w:tc>
          <w:tcPr>
            <w:shd w:val="clear" w:fill="auto" w:color="auto"/>
            <w:tcW w:w="1878" w:type="pct"/>
            <w:textDirection w:val="lrTb"/>
            <w:noWrap w:val="false"/>
          </w:tcPr>
          <w:p>
            <w:pPr>
              <w:pStyle w:val="1005"/>
              <w:ind w:left="57" w:right="57"/>
            </w:pPr>
            <w:r>
              <w:t xml:space="preserve">Ответственный исполнитель. Ф.И.О.</w:t>
            </w:r>
            <w:r/>
          </w:p>
        </w:tc>
        <w:tc>
          <w:tcPr>
            <w:shd w:val="clear" w:fill="auto" w:color="auto"/>
            <w:tcW w:w="3122" w:type="pct"/>
            <w:textDirection w:val="lrTb"/>
            <w:noWrap w:val="false"/>
          </w:tcPr>
          <w:p>
            <w:pPr>
              <w:pStyle w:val="1005"/>
              <w:ind w:left="57" w:right="57"/>
            </w:pPr>
            <w:r>
              <w:t xml:space="preserve">ФИО ответственного исполнителя.</w:t>
            </w:r>
            <w:r/>
          </w:p>
        </w:tc>
      </w:tr>
      <w:tr>
        <w:trPr>
          <w:trHeight w:val="77"/>
        </w:trPr>
        <w:tc>
          <w:tcPr>
            <w:shd w:val="clear" w:fill="auto" w:color="auto"/>
            <w:tcW w:w="1878" w:type="pct"/>
            <w:textDirection w:val="lrTb"/>
            <w:noWrap w:val="false"/>
          </w:tcPr>
          <w:p>
            <w:pPr>
              <w:pStyle w:val="1005"/>
              <w:ind w:left="57" w:right="57"/>
            </w:pPr>
            <w:r>
              <w:t xml:space="preserve">Ответственный исполнитель. Телефон</w:t>
            </w:r>
            <w:r/>
          </w:p>
        </w:tc>
        <w:tc>
          <w:tcPr>
            <w:shd w:val="clear" w:fill="auto" w:color="auto"/>
            <w:tcW w:w="3122" w:type="pct"/>
            <w:textDirection w:val="lrTb"/>
            <w:noWrap w:val="false"/>
          </w:tcPr>
          <w:p>
            <w:pPr>
              <w:pStyle w:val="1005"/>
              <w:ind w:left="57" w:right="57"/>
            </w:pPr>
            <w:r>
              <w:t xml:space="preserve">Телефон ответственного исполнителя.</w:t>
            </w:r>
            <w:r/>
          </w:p>
        </w:tc>
      </w:tr>
      <w:tr>
        <w:trPr>
          <w:trHeight w:val="77"/>
        </w:trPr>
        <w:tc>
          <w:tcPr>
            <w:shd w:val="clear" w:fill="auto" w:color="auto"/>
            <w:tcW w:w="1878" w:type="pct"/>
            <w:textDirection w:val="lrTb"/>
            <w:noWrap w:val="false"/>
          </w:tcPr>
          <w:p>
            <w:pPr>
              <w:pStyle w:val="1005"/>
              <w:ind w:left="57" w:right="57"/>
            </w:pPr>
            <w:r>
              <w:t xml:space="preserve">Дата подписи</w:t>
            </w:r>
            <w:r/>
          </w:p>
        </w:tc>
        <w:tc>
          <w:tcPr>
            <w:shd w:val="clear" w:fill="auto" w:color="auto"/>
            <w:tcW w:w="3122" w:type="pct"/>
            <w:textDirection w:val="lrTb"/>
            <w:noWrap w:val="false"/>
          </w:tcPr>
          <w:p>
            <w:pPr>
              <w:pStyle w:val="1005"/>
              <w:ind w:left="57" w:right="57"/>
            </w:pPr>
            <w:r>
              <w:t xml:space="preserve">Дата подписания документа. </w:t>
            </w:r>
            <w:r/>
          </w:p>
          <w:p>
            <w:pPr>
              <w:pStyle w:val="1005"/>
              <w:ind w:left="57" w:right="57"/>
            </w:pPr>
            <w:r>
              <w:t xml:space="preserve">Заполняется вручную или выбором из календаря.</w:t>
            </w:r>
            <w:r/>
          </w:p>
        </w:tc>
      </w:tr>
    </w:tbl>
    <w:p>
      <w:pPr>
        <w:pStyle w:val="972"/>
      </w:pPr>
      <w:r/>
      <w:bookmarkStart w:id="1919" w:name="_Toc249273756"/>
      <w:r/>
      <w:bookmarkStart w:id="1920" w:name="_Ref366153818"/>
      <w:r/>
      <w:bookmarkStart w:id="1921" w:name="_Ref371593707"/>
      <w:r/>
      <w:bookmarkStart w:id="1922" w:name="_Ref372308449"/>
      <w:r/>
      <w:bookmarkStart w:id="1923" w:name="_Toc422496747"/>
      <w:r/>
      <w:bookmarkStart w:id="1924" w:name="_Toc88819172"/>
      <w:r>
        <w:t xml:space="preserve">Справка о финансировании и кассовых выплатах</w:t>
      </w:r>
      <w:bookmarkEnd w:id="1919"/>
      <w:r/>
      <w:bookmarkEnd w:id="1920"/>
      <w:r/>
      <w:bookmarkEnd w:id="1921"/>
      <w:r/>
      <w:bookmarkEnd w:id="1922"/>
      <w:r/>
      <w:bookmarkEnd w:id="1923"/>
      <w:r/>
      <w:bookmarkEnd w:id="1924"/>
      <w:r/>
      <w:r/>
    </w:p>
    <w:p>
      <w:pPr>
        <w:pStyle w:val="994"/>
      </w:pPr>
      <w:r>
        <w:t xml:space="preserve">ЭД «Справка о финансировании и кассовых выплатах» формируется финансовым органом соответствующего бюджета и передается из АРМ ФО в электронном виде или на бумажном носителе в ОФК или УФК в зависимости от места обслуживания ФО.</w:t>
      </w:r>
      <w:r/>
    </w:p>
    <w:p>
      <w:pPr>
        <w:pStyle w:val="994"/>
      </w:pPr>
      <w:r>
        <w:t xml:space="preserve">Для работы с документами </w:t>
      </w:r>
      <w:r>
        <w:t xml:space="preserve">«Справка о кассовых поступлениях» следует перейти в пункт меню «Документы – Справки о кассовых операциях – Справка о финансировании и кассовых выплатах». Откроется ЭФ списка документов, представленная на рисунке</w:t>
      </w:r>
      <w:r>
        <w:t xml:space="preserve"> </w:t>
      </w:r>
      <w:r>
        <w:fldChar w:fldCharType="begin"/>
      </w:r>
      <w:r>
        <w:instrText xml:space="preserve"> REF _Ref246487667 \h  \* MERGEFORMAT </w:instrText>
      </w:r>
      <w:r>
        <w:fldChar w:fldCharType="separate"/>
      </w:r>
      <w:r>
        <w:t xml:space="preserve">291</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3749040"/>
                <wp:effectExtent l="0" t="0" r="0" b="0"/>
                <wp:docPr id="43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80"/>
                        <a:stretch/>
                      </pic:blipFill>
                      <pic:spPr bwMode="auto">
                        <a:xfrm>
                          <a:off x="0" y="0"/>
                          <a:ext cx="6035039" cy="37490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0" o:spid="_x0000_s430" type="#_x0000_t75" style="mso-wrap-distance-left:0.0pt;mso-wrap-distance-top:0.0pt;mso-wrap-distance-right:0.0pt;mso-wrap-distance-bottom:0.0pt;width:475.2pt;height:295.2pt;" stroked="f">
                <v:path textboxrect="0,0,0,0"/>
                <v:imagedata r:id="rId380" o:title=""/>
              </v:shape>
            </w:pict>
          </mc:Fallback>
        </mc:AlternateContent>
      </w:r>
      <w:r/>
    </w:p>
    <w:p>
      <w:pPr>
        <w:pStyle w:val="983"/>
      </w:pPr>
      <w:r>
        <w:fldChar w:fldCharType="begin"/>
      </w:r>
      <w:r>
        <w:instrText xml:space="preserve"> SEQ Рисунок \* ARABIC </w:instrText>
      </w:r>
      <w:r>
        <w:fldChar w:fldCharType="separate"/>
      </w:r>
      <w:bookmarkStart w:id="1925" w:name="_Ref246487667"/>
      <w:r/>
      <w:bookmarkStart w:id="1926" w:name="_Toc88819676"/>
      <w:r>
        <w:t xml:space="preserve">291</w:t>
      </w:r>
      <w:bookmarkEnd w:id="1925"/>
      <w:r>
        <w:fldChar w:fldCharType="end"/>
      </w:r>
      <w:r>
        <w:t xml:space="preserve">. ЭФ списка документов «Справка о финансировании и кассовых выплатах»</w:t>
      </w:r>
      <w:bookmarkEnd w:id="1926"/>
      <w:r/>
      <w:r/>
    </w:p>
    <w:p>
      <w:pPr>
        <w:pStyle w:val="973"/>
      </w:pPr>
      <w:r>
        <w:t xml:space="preserve">Доступные операции</w:t>
      </w:r>
      <w:r/>
    </w:p>
    <w:p>
      <w:pPr>
        <w:pStyle w:val="994"/>
      </w:pPr>
      <w:r>
        <w:t xml:space="preserve">На АРМ ФО </w:t>
      </w:r>
      <w:r>
        <w:t xml:space="preserve">доступны </w:t>
      </w:r>
      <w:r>
        <w:t xml:space="preserve">следующие операции</w:t>
      </w:r>
      <w:r>
        <w:t xml:space="preserve"> над документом</w:t>
      </w:r>
      <w:r>
        <w:t xml:space="preserve">:</w:t>
      </w:r>
      <w:r/>
    </w:p>
    <w:p>
      <w:pPr>
        <w:pStyle w:val="985"/>
      </w:pPr>
      <w:r>
        <w:t xml:space="preserve">ввод вручную;</w:t>
      </w:r>
      <w:r/>
    </w:p>
    <w:p>
      <w:pPr>
        <w:pStyle w:val="985"/>
      </w:pPr>
      <w:r>
        <w:t xml:space="preserve">импорт из внешней системы;</w:t>
      </w:r>
      <w:r/>
    </w:p>
    <w:p>
      <w:pPr>
        <w:pStyle w:val="985"/>
      </w:pPr>
      <w:r>
        <w:t xml:space="preserve">копирование и </w:t>
      </w:r>
      <w:r>
        <w:t xml:space="preserve">удаление</w:t>
      </w:r>
      <w:r>
        <w:t xml:space="preserve">;</w:t>
      </w:r>
      <w:r/>
    </w:p>
    <w:p>
      <w:pPr>
        <w:pStyle w:val="985"/>
      </w:pPr>
      <w:r>
        <w:t xml:space="preserve">документарный контроль;</w:t>
      </w:r>
      <w:r/>
    </w:p>
    <w:p>
      <w:pPr>
        <w:pStyle w:val="985"/>
      </w:pPr>
      <w:r>
        <w:t xml:space="preserve">подписание </w:t>
      </w:r>
      <w:r>
        <w:t xml:space="preserve">и </w:t>
      </w:r>
      <w:r>
        <w:t xml:space="preserve">удаление </w:t>
      </w:r>
      <w:r>
        <w:t xml:space="preserve">ЭП</w:t>
      </w:r>
      <w:r>
        <w:t xml:space="preserve">;</w:t>
      </w:r>
      <w:r/>
    </w:p>
    <w:p>
      <w:pPr>
        <w:pStyle w:val="985"/>
      </w:pPr>
      <w:r>
        <w:t xml:space="preserve">просмотр и редактирование;</w:t>
      </w:r>
      <w:r/>
    </w:p>
    <w:p>
      <w:pPr>
        <w:pStyle w:val="985"/>
      </w:pPr>
      <w:r>
        <w:t xml:space="preserve">печать;</w:t>
      </w:r>
      <w:r/>
    </w:p>
    <w:p>
      <w:pPr>
        <w:pStyle w:val="985"/>
      </w:pPr>
      <w:r>
        <w:t xml:space="preserve">отправка в ОФК (УФК).</w:t>
      </w:r>
      <w:r/>
    </w:p>
    <w:p>
      <w:pPr>
        <w:pStyle w:val="973"/>
      </w:pPr>
      <w:r>
        <w:t xml:space="preserve">Экранная форма документа</w:t>
      </w:r>
      <w:r/>
    </w:p>
    <w:p>
      <w:pPr>
        <w:pStyle w:val="994"/>
      </w:pPr>
      <w:r>
        <w:t xml:space="preserve">ЭФ документа «Справка о финансировании и кассовых выплатах» представлена на рисунках </w:t>
      </w:r>
      <w:r>
        <w:fldChar w:fldCharType="begin"/>
      </w:r>
      <w:r>
        <w:instrText xml:space="preserve"> REF _Ref246487668 \h  \* MERGEFORMAT </w:instrText>
      </w:r>
      <w:r>
        <w:fldChar w:fldCharType="separate"/>
      </w:r>
      <w:r>
        <w:t xml:space="preserve">292</w:t>
      </w:r>
      <w:r>
        <w:fldChar w:fldCharType="end"/>
      </w:r>
      <w:r>
        <w:t xml:space="preserve"> и </w:t>
      </w:r>
      <w:r>
        <w:fldChar w:fldCharType="begin"/>
      </w:r>
      <w:r>
        <w:instrText xml:space="preserve"> REF _Ref246487669 \h  \* MERGEFORMAT </w:instrText>
      </w:r>
      <w:r>
        <w:fldChar w:fldCharType="separate"/>
      </w:r>
      <w:r>
        <w:t xml:space="preserve">294</w:t>
      </w:r>
      <w:r>
        <w:fldChar w:fldCharType="end"/>
      </w:r>
      <w:r>
        <w:t xml:space="preserve">. Форма содержит следующие закладки:</w:t>
      </w:r>
      <w:r/>
    </w:p>
    <w:p>
      <w:pPr>
        <w:pStyle w:val="985"/>
      </w:pPr>
      <w:r>
        <w:t xml:space="preserve">«Документ (1)»;</w:t>
      </w:r>
      <w:r/>
    </w:p>
    <w:p>
      <w:pPr>
        <w:pStyle w:val="985"/>
      </w:pPr>
      <w:r>
        <w:t xml:space="preserve">«Дополнительные атрибуты»;</w:t>
      </w:r>
      <w:r/>
    </w:p>
    <w:p>
      <w:pPr>
        <w:pStyle w:val="985"/>
      </w:pPr>
      <w:r>
        <w:t xml:space="preserve">«Системные атрибуты»;</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126480" cy="4297680"/>
                <wp:effectExtent l="0" t="0" r="0" b="0"/>
                <wp:docPr id="43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81"/>
                        <a:stretch/>
                      </pic:blipFill>
                      <pic:spPr bwMode="auto">
                        <a:xfrm>
                          <a:off x="0" y="0"/>
                          <a:ext cx="6126480" cy="42976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1" o:spid="_x0000_s431" type="#_x0000_t75" style="mso-wrap-distance-left:0.0pt;mso-wrap-distance-top:0.0pt;mso-wrap-distance-right:0.0pt;mso-wrap-distance-bottom:0.0pt;width:482.4pt;height:338.4pt;" stroked="f">
                <v:path textboxrect="0,0,0,0"/>
                <v:imagedata r:id="rId381" o:title=""/>
              </v:shape>
            </w:pict>
          </mc:Fallback>
        </mc:AlternateContent>
      </w:r>
      <w:r/>
    </w:p>
    <w:p>
      <w:pPr>
        <w:pStyle w:val="983"/>
      </w:pPr>
      <w:r>
        <w:fldChar w:fldCharType="begin"/>
      </w:r>
      <w:r>
        <w:instrText xml:space="preserve"> SEQ Рисунок \* ARABIC </w:instrText>
      </w:r>
      <w:r>
        <w:fldChar w:fldCharType="separate"/>
      </w:r>
      <w:bookmarkStart w:id="1927" w:name="_Ref246487668"/>
      <w:r/>
      <w:bookmarkStart w:id="1928" w:name="_Toc88819677"/>
      <w:r>
        <w:t xml:space="preserve">292</w:t>
      </w:r>
      <w:bookmarkEnd w:id="1927"/>
      <w:r>
        <w:fldChar w:fldCharType="end"/>
      </w:r>
      <w:r>
        <w:t xml:space="preserve">. ЭФ документа «Справка о финансировании и кассовых выплатах</w:t>
      </w:r>
      <w:r>
        <w:t xml:space="preserve">», закладки «</w:t>
      </w:r>
      <w:r>
        <w:t xml:space="preserve">Документ (1)»</w:t>
      </w:r>
      <w:bookmarkEnd w:id="1928"/>
      <w:r/>
      <w:r/>
    </w:p>
    <w:p>
      <w:pPr>
        <w:pStyle w:val="994"/>
      </w:pPr>
      <w:r>
        <w:t xml:space="preserve">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ФО.</w:t>
      </w:r>
      <w:r/>
    </w:p>
    <w:p>
      <w:pPr>
        <w:pStyle w:val="994"/>
      </w:pPr>
      <w:r>
        <w:t xml:space="preserve">Для ручного ввода документа следует на ЭФ документа заполнить поля, доступные для редактирования. </w:t>
      </w:r>
      <w:r/>
    </w:p>
    <w:p>
      <w:pPr>
        <w:pStyle w:val="994"/>
      </w:pPr>
      <w:r>
        <w:t xml:space="preserve">Перечень </w:t>
      </w:r>
      <w:r>
        <w:t xml:space="preserve">полей </w:t>
      </w:r>
      <w:r>
        <w:t xml:space="preserve">документа «Справка о финансировании и кассовых выплатах</w:t>
      </w:r>
      <w:r>
        <w:t xml:space="preserve">», закладки «</w:t>
      </w:r>
      <w:r>
        <w:t xml:space="preserve">Документ (1)»</w:t>
      </w:r>
      <w:r>
        <w:t xml:space="preserve"> </w:t>
      </w:r>
      <w:r>
        <w:t xml:space="preserve">приведены в таблице</w:t>
      </w:r>
      <w:r>
        <w:t xml:space="preserve"> </w:t>
      </w:r>
      <w:r>
        <w:fldChar w:fldCharType="begin"/>
      </w:r>
      <w:r>
        <w:instrText xml:space="preserve"> REF _Ref366150472 \h </w:instrText>
      </w:r>
      <w:r>
        <w:instrText xml:space="preserve"> \* MERGEFORMAT </w:instrText>
      </w:r>
      <w:r>
        <w:fldChar w:fldCharType="separate"/>
      </w:r>
      <w:r>
        <w:t xml:space="preserve">170</w:t>
      </w:r>
      <w:r>
        <w:fldChar w:fldCharType="end"/>
      </w:r>
      <w:r>
        <w:t xml:space="preserve">.</w:t>
      </w:r>
      <w:r/>
    </w:p>
    <w:p>
      <w:pPr>
        <w:pStyle w:val="993"/>
      </w:pPr>
      <w:r>
        <w:fldChar w:fldCharType="begin"/>
      </w:r>
      <w:r>
        <w:instrText xml:space="preserve"> SEQ Таблица \* ARABIC </w:instrText>
      </w:r>
      <w:r>
        <w:fldChar w:fldCharType="separate"/>
      </w:r>
      <w:bookmarkStart w:id="1929" w:name="_Ref366150472"/>
      <w:r/>
      <w:bookmarkStart w:id="1930" w:name="_Toc88819357"/>
      <w:r>
        <w:t xml:space="preserve">170</w:t>
      </w:r>
      <w:bookmarkEnd w:id="1929"/>
      <w:r>
        <w:fldChar w:fldCharType="end"/>
      </w:r>
      <w:r>
        <w:t xml:space="preserve">. Описание полей документа «Справка о финансировании и кассовых выплатах</w:t>
      </w:r>
      <w:r>
        <w:t xml:space="preserve">», закладки «</w:t>
      </w:r>
      <w:r>
        <w:t xml:space="preserve">Документ (1)»</w:t>
      </w:r>
      <w:bookmarkEnd w:id="1930"/>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80"/>
        <w:gridCol w:w="7472"/>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169"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31" w:type="pct"/>
            <w:vAlign w:val="center"/>
            <w:textDirection w:val="lrTb"/>
            <w:noWrap w:val="false"/>
          </w:tcPr>
          <w:p>
            <w:pPr>
              <w:pStyle w:val="1006"/>
            </w:pPr>
            <w:r>
              <w:t xml:space="preserve">Описание поля</w:t>
            </w:r>
            <w:r/>
          </w:p>
        </w:tc>
      </w:tr>
      <w:tr>
        <w:trPr/>
        <w:tc>
          <w:tcPr>
            <w:shd w:val="clear" w:fill="auto" w:color="auto"/>
            <w:tcW w:w="1169" w:type="pct"/>
            <w:textDirection w:val="lrTb"/>
            <w:noWrap w:val="false"/>
          </w:tcPr>
          <w:p>
            <w:pPr>
              <w:pStyle w:val="1005"/>
              <w:ind w:left="57" w:right="57"/>
            </w:pPr>
            <w:r>
              <w:t xml:space="preserve">Стат.</w:t>
            </w:r>
            <w:r/>
          </w:p>
        </w:tc>
        <w:tc>
          <w:tcPr>
            <w:shd w:val="clear" w:fill="auto" w:color="auto"/>
            <w:tcW w:w="3831" w:type="pct"/>
            <w:textDirection w:val="lrTb"/>
            <w:noWrap w:val="false"/>
          </w:tcPr>
          <w:p>
            <w:pPr>
              <w:pStyle w:val="1005"/>
              <w:ind w:left="57" w:right="57"/>
            </w:pPr>
            <w:r>
              <w:t xml:space="preserve">Код статуса документа. </w:t>
            </w:r>
            <w:r/>
          </w:p>
          <w:p>
            <w:pPr>
              <w:pStyle w:val="1005"/>
              <w:ind w:left="57" w:right="57"/>
            </w:pPr>
            <w:r>
              <w:t xml:space="preserve">Значение заполняется автоматически при обработке или передается из OEBS.</w:t>
            </w:r>
            <w:r/>
          </w:p>
        </w:tc>
      </w:tr>
      <w:tr>
        <w:trPr/>
        <w:tc>
          <w:tcPr>
            <w:shd w:val="clear" w:fill="auto" w:color="auto"/>
            <w:tcW w:w="1169" w:type="pct"/>
            <w:textDirection w:val="lrTb"/>
            <w:noWrap w:val="false"/>
          </w:tcPr>
          <w:p>
            <w:pPr>
              <w:pStyle w:val="1005"/>
              <w:ind w:left="57" w:right="57"/>
            </w:pPr>
            <w:r>
              <w:t xml:space="preserve">Номер</w:t>
            </w:r>
            <w:r/>
          </w:p>
        </w:tc>
        <w:tc>
          <w:tcPr>
            <w:shd w:val="clear" w:fill="auto" w:color="auto"/>
            <w:tcW w:w="3831" w:type="pct"/>
            <w:textDirection w:val="lrTb"/>
            <w:noWrap w:val="false"/>
          </w:tcPr>
          <w:p>
            <w:pPr>
              <w:pStyle w:val="1005"/>
              <w:ind w:left="57" w:right="57"/>
            </w:pPr>
            <w:r>
              <w:t xml:space="preserve">Номер справки.</w:t>
            </w:r>
            <w:r/>
          </w:p>
          <w:p>
            <w:pPr>
              <w:pStyle w:val="1005"/>
              <w:ind w:left="57" w:right="57"/>
            </w:pPr>
            <w:r>
              <w:t xml:space="preserve">Заполняется вручную.</w:t>
            </w:r>
            <w:r/>
          </w:p>
        </w:tc>
      </w:tr>
      <w:tr>
        <w:trPr/>
        <w:tc>
          <w:tcPr>
            <w:shd w:val="clear" w:fill="auto" w:color="auto"/>
            <w:tcW w:w="1169" w:type="pct"/>
            <w:textDirection w:val="lrTb"/>
            <w:noWrap w:val="false"/>
          </w:tcPr>
          <w:p>
            <w:pPr>
              <w:pStyle w:val="1005"/>
              <w:ind w:left="57" w:right="57"/>
            </w:pPr>
            <w:r>
              <w:t xml:space="preserve">Дата</w:t>
            </w:r>
            <w:r/>
          </w:p>
        </w:tc>
        <w:tc>
          <w:tcPr>
            <w:shd w:val="clear" w:fill="auto" w:color="auto"/>
            <w:tcW w:w="3831" w:type="pct"/>
            <w:textDirection w:val="lrTb"/>
            <w:noWrap w:val="false"/>
          </w:tcPr>
          <w:p>
            <w:pPr>
              <w:pStyle w:val="1005"/>
              <w:ind w:left="57" w:right="57"/>
            </w:pPr>
            <w:r>
              <w:t xml:space="preserve">Автоматически проставляется текущая дата. Может быть отредактировано вручную, либо выбором из системного календаря.</w:t>
            </w:r>
            <w:r/>
          </w:p>
        </w:tc>
      </w:tr>
      <w:tr>
        <w:trPr/>
        <w:tc>
          <w:tcPr>
            <w:shd w:val="clear" w:fill="auto" w:color="auto"/>
            <w:tcW w:w="1169" w:type="pct"/>
            <w:textDirection w:val="lrTb"/>
            <w:noWrap w:val="false"/>
          </w:tcPr>
          <w:p>
            <w:pPr>
              <w:pStyle w:val="1005"/>
              <w:ind w:left="57" w:right="57"/>
            </w:pPr>
            <w:r>
              <w:t xml:space="preserve">Финансовый орган</w:t>
            </w:r>
            <w:r/>
          </w:p>
        </w:tc>
        <w:tc>
          <w:tcPr>
            <w:shd w:val="clear" w:fill="auto" w:color="auto"/>
            <w:tcW w:w="3831" w:type="pct"/>
            <w:textDirection w:val="lrTb"/>
            <w:noWrap w:val="false"/>
          </w:tcPr>
          <w:p>
            <w:pPr>
              <w:pStyle w:val="1005"/>
              <w:ind w:left="57" w:right="57"/>
            </w:pPr>
            <w:r>
              <w:t xml:space="preserve">Наименование ФО.</w:t>
            </w:r>
            <w:r/>
          </w:p>
          <w:p>
            <w:pPr>
              <w:pStyle w:val="1005"/>
              <w:ind w:left="57" w:right="57"/>
            </w:pPr>
            <w:r>
              <w:t xml:space="preserve">Заполняется автоматически полным наименованием с актуальным кодом ФО соответствующим Бюджету в справочнике финансовых органов. Может быть отредактировано вручную, либо выбором значения из справочника </w:t>
            </w:r>
            <w:r>
              <w:t xml:space="preserve">финансовых органов.</w:t>
            </w:r>
            <w:r/>
          </w:p>
          <w:p>
            <w:pPr>
              <w:pStyle w:val="1005"/>
              <w:ind w:left="57" w:right="57"/>
            </w:pPr>
            <w:r>
              <w:t xml:space="preserve">Для остальных случаев обязательно для заполнения.</w:t>
            </w:r>
            <w:r/>
          </w:p>
        </w:tc>
      </w:tr>
      <w:tr>
        <w:trPr/>
        <w:tc>
          <w:tcPr>
            <w:shd w:val="clear" w:fill="auto" w:color="auto"/>
            <w:tcW w:w="1169" w:type="pct"/>
            <w:textDirection w:val="lrTb"/>
            <w:noWrap w:val="false"/>
          </w:tcPr>
          <w:p>
            <w:pPr>
              <w:pStyle w:val="1005"/>
              <w:ind w:left="57" w:right="57"/>
            </w:pPr>
            <w:r>
              <w:t xml:space="preserve">П</w:t>
            </w:r>
            <w:r>
              <w:t xml:space="preserve">о ОКПО</w:t>
            </w:r>
            <w:r/>
          </w:p>
        </w:tc>
        <w:tc>
          <w:tcPr>
            <w:shd w:val="clear" w:fill="auto" w:color="auto"/>
            <w:tcW w:w="3831" w:type="pct"/>
            <w:textDirection w:val="lrTb"/>
            <w:noWrap w:val="false"/>
          </w:tcPr>
          <w:p>
            <w:pPr>
              <w:pStyle w:val="1005"/>
              <w:ind w:left="57" w:right="57"/>
            </w:pPr>
            <w:r>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w:t>
            </w:r>
            <w:r>
              <w:t xml:space="preserve">справочника «Финансовые органы»</w:t>
            </w:r>
            <w:r>
              <w:t xml:space="preserve">.</w:t>
            </w:r>
            <w:r/>
          </w:p>
        </w:tc>
      </w:tr>
      <w:tr>
        <w:trPr/>
        <w:tc>
          <w:tcPr>
            <w:shd w:val="clear" w:fill="auto" w:color="auto"/>
            <w:tcW w:w="1169" w:type="pct"/>
            <w:textDirection w:val="lrTb"/>
            <w:noWrap w:val="false"/>
          </w:tcPr>
          <w:p>
            <w:pPr>
              <w:pStyle w:val="1005"/>
              <w:ind w:left="57" w:right="57"/>
            </w:pPr>
            <w:r>
              <w:t xml:space="preserve">Наименование бюджета</w:t>
            </w:r>
            <w:r/>
          </w:p>
        </w:tc>
        <w:tc>
          <w:tcPr>
            <w:shd w:val="clear" w:fill="auto" w:color="auto"/>
            <w:tcW w:w="3831" w:type="pct"/>
            <w:textDirection w:val="lrTb"/>
            <w:noWrap w:val="false"/>
          </w:tcPr>
          <w:p>
            <w:pPr>
              <w:pStyle w:val="1005"/>
              <w:ind w:left="57" w:right="57"/>
            </w:pPr>
            <w:r>
              <w:t xml:space="preserve">Заполняется автоматически полным наименованием на основании системной константы из </w:t>
            </w:r>
            <w:r>
              <w:t xml:space="preserve">справочника «Бюджеты»</w:t>
            </w:r>
            <w:r>
              <w:t xml:space="preserve">.</w:t>
            </w:r>
            <w:r/>
          </w:p>
          <w:p>
            <w:pPr>
              <w:pStyle w:val="1005"/>
              <w:ind w:left="57" w:right="57"/>
            </w:pPr>
            <w:r>
              <w:t xml:space="preserve">Может быть отредактировано вручную, либо выбором значения из </w:t>
            </w:r>
            <w:r>
              <w:t xml:space="preserve">справочника «Бюджеты»</w:t>
            </w:r>
            <w:r>
              <w:t xml:space="preserve">.</w:t>
            </w:r>
            <w:r/>
          </w:p>
        </w:tc>
      </w:tr>
      <w:tr>
        <w:trPr/>
        <w:tc>
          <w:tcPr>
            <w:shd w:val="clear" w:fill="auto" w:color="auto"/>
            <w:tcW w:w="1169" w:type="pct"/>
            <w:textDirection w:val="lrTb"/>
            <w:noWrap w:val="false"/>
          </w:tcPr>
          <w:p>
            <w:pPr>
              <w:pStyle w:val="1005"/>
              <w:ind w:left="57" w:right="57"/>
            </w:pPr>
            <w:r>
              <w:t xml:space="preserve">ПБС/АИФ</w:t>
            </w:r>
            <w:r/>
          </w:p>
        </w:tc>
        <w:tc>
          <w:tcPr>
            <w:shd w:val="clear" w:fill="auto" w:color="auto"/>
            <w:tcW w:w="3831" w:type="pct"/>
            <w:textDirection w:val="lrTb"/>
            <w:noWrap w:val="false"/>
          </w:tcPr>
          <w:p>
            <w:pPr>
              <w:pStyle w:val="1005"/>
              <w:ind w:left="57" w:right="57"/>
            </w:pPr>
            <w:r>
              <w:t xml:space="preserve">Наименование ПБС/АИФ.</w:t>
            </w:r>
            <w:r/>
          </w:p>
          <w:p>
            <w:pPr>
              <w:pStyle w:val="1005"/>
              <w:ind w:left="57" w:right="57"/>
            </w:pPr>
            <w:r>
              <w:t xml:space="preserve">Заполняется вручную, либо выбором полного наименования из справочника УБП.</w:t>
            </w:r>
            <w:r/>
          </w:p>
          <w:p>
            <w:pPr>
              <w:pStyle w:val="1005"/>
              <w:ind w:left="57" w:right="57"/>
            </w:pPr>
            <w:r>
              <w:t xml:space="preserve">Не заполняется, если </w:t>
            </w:r>
            <w:r>
              <w:t xml:space="preserve">Бюджет</w:t>
            </w:r>
            <w:r>
              <w:t xml:space="preserve"> – </w:t>
            </w:r>
            <w:r>
              <w:t xml:space="preserve">ГВБФ.</w:t>
            </w:r>
            <w:r/>
          </w:p>
        </w:tc>
      </w:tr>
      <w:tr>
        <w:trPr/>
        <w:tc>
          <w:tcPr>
            <w:shd w:val="clear" w:fill="auto" w:color="auto"/>
            <w:tcW w:w="1169" w:type="pct"/>
            <w:textDirection w:val="lrTb"/>
            <w:noWrap w:val="false"/>
          </w:tcPr>
          <w:p>
            <w:pPr>
              <w:pStyle w:val="1005"/>
              <w:ind w:left="57" w:right="57"/>
            </w:pPr>
            <w:r>
              <w:t xml:space="preserve">Номер лицевого сч</w:t>
            </w:r>
            <w:r>
              <w:t xml:space="preserve">е</w:t>
            </w:r>
            <w:r>
              <w:t xml:space="preserve">та</w:t>
            </w:r>
            <w:r/>
          </w:p>
        </w:tc>
        <w:tc>
          <w:tcPr>
            <w:shd w:val="clear" w:fill="auto" w:color="auto"/>
            <w:tcW w:w="3831" w:type="pct"/>
            <w:textDirection w:val="lrTb"/>
            <w:noWrap w:val="false"/>
          </w:tcPr>
          <w:p>
            <w:pPr>
              <w:pStyle w:val="1005"/>
              <w:ind w:left="57" w:right="57"/>
            </w:pPr>
            <w:r>
              <w:t xml:space="preserve">При формировании документа по бюджету</w:t>
            </w:r>
            <w:r>
              <w:t xml:space="preserve"> типа 06 обязательно к з</w:t>
            </w:r>
            <w:r>
              <w:t xml:space="preserve">а</w:t>
            </w:r>
            <w:r>
              <w:t xml:space="preserve">полнению. Указывается лицевой счет открытый органу управления ГВФ РБ.</w:t>
            </w:r>
            <w:r/>
          </w:p>
          <w:p>
            <w:pPr>
              <w:pStyle w:val="1005"/>
              <w:ind w:left="57" w:right="57"/>
            </w:pPr>
            <w:r>
              <w:t xml:space="preserve">Ограничен ввод и выбор из справочника по типу ЛС 02.</w:t>
            </w:r>
            <w:r/>
          </w:p>
          <w:p>
            <w:pPr>
              <w:pStyle w:val="1005"/>
              <w:ind w:left="57" w:right="57"/>
            </w:pPr>
            <w:r>
              <w:t xml:space="preserve">При других уровнях бюджета не заполняется.</w:t>
            </w:r>
            <w:r/>
          </w:p>
        </w:tc>
      </w:tr>
      <w:tr>
        <w:trPr/>
        <w:tc>
          <w:tcPr>
            <w:shd w:val="clear" w:fill="auto" w:color="auto"/>
            <w:tcW w:w="1169" w:type="pct"/>
            <w:textDirection w:val="lrTb"/>
            <w:noWrap w:val="false"/>
          </w:tcPr>
          <w:p>
            <w:pPr>
              <w:pStyle w:val="1005"/>
              <w:ind w:left="57" w:right="57"/>
            </w:pPr>
            <w:r>
              <w:t xml:space="preserve">Место нахождения ПБС/АИФ</w:t>
            </w:r>
            <w:r/>
          </w:p>
        </w:tc>
        <w:tc>
          <w:tcPr>
            <w:shd w:val="clear" w:fill="auto" w:color="auto"/>
            <w:tcW w:w="3831" w:type="pct"/>
            <w:textDirection w:val="lrTb"/>
            <w:noWrap w:val="false"/>
          </w:tcPr>
          <w:p>
            <w:pPr>
              <w:pStyle w:val="1005"/>
              <w:ind w:left="57" w:right="57"/>
            </w:pPr>
            <w:r>
              <w:t xml:space="preserve">Территориальное расположение ПБС/АИФ.</w:t>
            </w:r>
            <w:r/>
          </w:p>
          <w:p>
            <w:pPr>
              <w:pStyle w:val="1005"/>
              <w:ind w:left="57" w:right="57"/>
            </w:pPr>
            <w:r>
              <w:t xml:space="preserve">Заполняется вручную.</w:t>
            </w:r>
            <w:r/>
          </w:p>
        </w:tc>
      </w:tr>
      <w:tr>
        <w:trPr/>
        <w:tc>
          <w:tcPr>
            <w:shd w:val="clear" w:fill="auto" w:color="auto"/>
            <w:tcW w:w="1169" w:type="pct"/>
            <w:textDirection w:val="lrTb"/>
            <w:noWrap w:val="false"/>
          </w:tcPr>
          <w:p>
            <w:pPr>
              <w:pStyle w:val="1005"/>
              <w:ind w:left="57" w:right="57"/>
            </w:pPr>
            <w:r>
              <w:t xml:space="preserve">ГРБС/РБС/ГА/А ИФ с полн. ГАИФ</w:t>
            </w:r>
            <w:r/>
          </w:p>
        </w:tc>
        <w:tc>
          <w:tcPr>
            <w:shd w:val="clear" w:fill="auto" w:color="auto"/>
            <w:tcW w:w="3831" w:type="pct"/>
            <w:textDirection w:val="lrTb"/>
            <w:noWrap w:val="false"/>
          </w:tcPr>
          <w:p>
            <w:pPr>
              <w:pStyle w:val="1005"/>
              <w:ind w:left="57" w:right="57"/>
            </w:pPr>
            <w:r>
              <w:t xml:space="preserve">Наименование ГРБС (РБС, ГАИФ, АИФ с полномочиями ГАИФ).</w:t>
            </w:r>
            <w:r/>
          </w:p>
          <w:p>
            <w:pPr>
              <w:pStyle w:val="1005"/>
              <w:ind w:left="57" w:right="57"/>
            </w:pPr>
            <w:r>
              <w:t xml:space="preserve">Заполняется автоматически полным наименованием на основании значения в поле «Глава по БК» из </w:t>
            </w:r>
            <w:r>
              <w:t xml:space="preserve">справочника «Ведомства»</w:t>
            </w:r>
            <w:r>
              <w:t xml:space="preserve">.</w:t>
            </w:r>
            <w:r/>
          </w:p>
          <w:p>
            <w:pPr>
              <w:pStyle w:val="1005"/>
              <w:ind w:left="57" w:right="57"/>
            </w:pPr>
            <w:r>
              <w:t xml:space="preserve">Может быть отредактировано вручную.</w:t>
            </w:r>
            <w:r/>
          </w:p>
          <w:p>
            <w:pPr>
              <w:pStyle w:val="1005"/>
              <w:ind w:left="57" w:right="57"/>
            </w:pPr>
            <w:r>
              <w:t xml:space="preserve">Не заполняется, если </w:t>
            </w:r>
            <w:r>
              <w:t xml:space="preserve">Бюджет</w:t>
            </w:r>
            <w:r>
              <w:t xml:space="preserve"> – </w:t>
            </w:r>
            <w:r>
              <w:t xml:space="preserve">ГВБФ.</w:t>
            </w:r>
            <w:r/>
          </w:p>
        </w:tc>
      </w:tr>
      <w:tr>
        <w:trPr/>
        <w:tc>
          <w:tcPr>
            <w:shd w:val="clear" w:fill="auto" w:color="auto"/>
            <w:tcW w:w="1169" w:type="pct"/>
            <w:textDirection w:val="lrTb"/>
            <w:noWrap w:val="false"/>
          </w:tcPr>
          <w:p>
            <w:pPr>
              <w:pStyle w:val="1005"/>
              <w:ind w:left="57" w:right="57"/>
            </w:pPr>
            <w:r>
              <w:t xml:space="preserve">Глава по БК</w:t>
            </w:r>
            <w:r/>
          </w:p>
        </w:tc>
        <w:tc>
          <w:tcPr>
            <w:shd w:val="clear" w:fill="auto" w:color="auto"/>
            <w:tcW w:w="3831" w:type="pct"/>
            <w:textDirection w:val="lrTb"/>
            <w:noWrap w:val="false"/>
          </w:tcPr>
          <w:p>
            <w:pPr>
              <w:pStyle w:val="1005"/>
              <w:ind w:left="57" w:right="57"/>
            </w:pPr>
            <w:r>
              <w:t xml:space="preserve">Код ведомства по БК.</w:t>
            </w:r>
            <w:r/>
          </w:p>
          <w:p>
            <w:pPr>
              <w:pStyle w:val="1005"/>
              <w:ind w:left="57" w:right="57"/>
            </w:pPr>
            <w:r>
              <w:t xml:space="preserve">Заполняется вручную, либо выбором значения из </w:t>
            </w:r>
            <w:r>
              <w:t xml:space="preserve">справочника «Ведомства»</w:t>
            </w:r>
            <w:r>
              <w:t xml:space="preserve">.</w:t>
            </w:r>
            <w:r/>
          </w:p>
          <w:p>
            <w:pPr>
              <w:pStyle w:val="1005"/>
              <w:ind w:left="57" w:right="57"/>
            </w:pPr>
            <w:r>
              <w:t xml:space="preserve">Не заполняется, если </w:t>
            </w:r>
            <w:r>
              <w:t xml:space="preserve">Бюджет</w:t>
            </w:r>
            <w:r>
              <w:t xml:space="preserve"> – </w:t>
            </w:r>
            <w:r>
              <w:t xml:space="preserve">ГВБФ.</w:t>
            </w:r>
            <w:r/>
          </w:p>
        </w:tc>
      </w:tr>
      <w:tr>
        <w:trPr/>
        <w:tc>
          <w:tcPr>
            <w:shd w:val="clear" w:fill="auto" w:color="auto"/>
            <w:tcW w:w="1169" w:type="pct"/>
            <w:textDirection w:val="lrTb"/>
            <w:noWrap w:val="false"/>
          </w:tcPr>
          <w:p>
            <w:pPr>
              <w:pStyle w:val="1005"/>
              <w:ind w:left="57" w:right="57"/>
            </w:pPr>
            <w:r>
              <w:t xml:space="preserve">Наименование ОрФК</w:t>
            </w:r>
            <w:r/>
          </w:p>
        </w:tc>
        <w:tc>
          <w:tcPr>
            <w:shd w:val="clear" w:fill="auto" w:color="auto"/>
            <w:tcW w:w="3831" w:type="pct"/>
            <w:textDirection w:val="lrTb"/>
            <w:noWrap w:val="false"/>
          </w:tcPr>
          <w:p>
            <w:pPr>
              <w:pStyle w:val="1005"/>
              <w:ind w:left="57" w:right="57"/>
            </w:pPr>
            <w:r>
              <w:t xml:space="preserve">Наименование ТОФК.</w:t>
            </w:r>
            <w:r/>
          </w:p>
          <w:p>
            <w:pPr>
              <w:pStyle w:val="1005"/>
              <w:ind w:left="57" w:right="57"/>
            </w:pPr>
            <w:r>
              <w:t xml:space="preserve">Подтягивается автоматически из справочника органов казначейства на основании поля «КОФК».</w:t>
            </w:r>
            <w:r/>
          </w:p>
        </w:tc>
      </w:tr>
      <w:tr>
        <w:trPr/>
        <w:tc>
          <w:tcPr>
            <w:shd w:val="clear" w:fill="auto" w:color="auto"/>
            <w:tcW w:w="1169" w:type="pct"/>
            <w:textDirection w:val="lrTb"/>
            <w:noWrap w:val="false"/>
          </w:tcPr>
          <w:p>
            <w:pPr>
              <w:pStyle w:val="1005"/>
              <w:ind w:left="57" w:right="57"/>
            </w:pPr>
            <w:r>
              <w:t xml:space="preserve">П</w:t>
            </w:r>
            <w:r>
              <w:t xml:space="preserve">о КОФК</w:t>
            </w:r>
            <w:r/>
          </w:p>
        </w:tc>
        <w:tc>
          <w:tcPr>
            <w:shd w:val="clear" w:fill="auto" w:color="auto"/>
            <w:tcW w:w="3831" w:type="pct"/>
            <w:textDirection w:val="lrTb"/>
            <w:noWrap w:val="false"/>
          </w:tcPr>
          <w:p>
            <w:pPr>
              <w:pStyle w:val="1005"/>
              <w:ind w:left="57" w:right="57"/>
            </w:pPr>
            <w:r>
              <w:t xml:space="preserve">Проверяется значение константы код СОБСТВЕННОГО ТОФК. Если оно равно ххуу,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 </w:t>
            </w:r>
            <w:r/>
          </w:p>
          <w:p>
            <w:pPr>
              <w:pStyle w:val="1005"/>
              <w:ind w:left="57" w:right="57"/>
            </w:pPr>
            <w:r>
              <w:t xml:space="preserve">Может быть отредактировано вручную, либо выбором значения из справочника Органов ФК.</w:t>
            </w:r>
            <w:r/>
          </w:p>
        </w:tc>
      </w:tr>
      <w:tr>
        <w:trPr/>
        <w:tc>
          <w:tcPr>
            <w:shd w:val="clear" w:fill="auto" w:color="auto"/>
            <w:tcW w:w="1169" w:type="pct"/>
            <w:textDirection w:val="lrTb"/>
            <w:noWrap w:val="false"/>
          </w:tcPr>
          <w:p>
            <w:pPr>
              <w:pStyle w:val="1005"/>
              <w:ind w:left="57" w:right="57"/>
            </w:pPr>
            <w:r>
              <w:t xml:space="preserve">Код источника</w:t>
            </w:r>
            <w:r/>
          </w:p>
        </w:tc>
        <w:tc>
          <w:tcPr>
            <w:shd w:val="clear" w:fill="auto" w:color="auto"/>
            <w:tcW w:w="3831" w:type="pct"/>
            <w:textDirection w:val="lrTb"/>
            <w:noWrap w:val="false"/>
          </w:tcPr>
          <w:p>
            <w:pPr>
              <w:pStyle w:val="1005"/>
              <w:ind w:left="57" w:right="57"/>
            </w:pPr>
            <w:r>
              <w:t xml:space="preserve">Заполняется вручную, либо выбором значения из справочника «Источники финансирования».</w:t>
            </w:r>
            <w:r/>
          </w:p>
        </w:tc>
      </w:tr>
      <w:tr>
        <w:trPr/>
        <w:tc>
          <w:tcPr>
            <w:shd w:val="clear" w:fill="auto" w:color="auto"/>
            <w:tcW w:w="1169" w:type="pct"/>
            <w:textDirection w:val="lrTb"/>
            <w:noWrap w:val="false"/>
          </w:tcPr>
          <w:p>
            <w:pPr>
              <w:pStyle w:val="1005"/>
              <w:ind w:left="57" w:right="57"/>
            </w:pPr>
            <w:r>
              <w:t xml:space="preserve">Вид деятельности</w:t>
            </w:r>
            <w:r/>
          </w:p>
        </w:tc>
        <w:tc>
          <w:tcPr>
            <w:shd w:val="clear" w:fill="auto" w:color="auto"/>
            <w:tcW w:w="3831" w:type="pct"/>
            <w:textDirection w:val="lrTb"/>
            <w:noWrap w:val="false"/>
          </w:tcPr>
          <w:p>
            <w:pPr>
              <w:pStyle w:val="1005"/>
              <w:ind w:left="57" w:right="57"/>
            </w:pPr>
            <w:r>
              <w:t xml:space="preserve">Подтягивается автоматически по коду (поле «Код источника») из справочника «Источники финансирования».</w:t>
            </w:r>
            <w:r/>
          </w:p>
          <w:p>
            <w:pPr>
              <w:pStyle w:val="1005"/>
              <w:ind w:left="57" w:right="57"/>
            </w:pPr>
            <w:r>
              <w:t xml:space="preserve">Может быть отредактировано вручную.</w:t>
            </w:r>
            <w:r/>
          </w:p>
        </w:tc>
      </w:tr>
      <w:tr>
        <w:trPr/>
        <w:tc>
          <w:tcPr>
            <w:shd w:val="clear" w:fill="auto" w:color="auto"/>
            <w:tcW w:w="1169" w:type="pct"/>
            <w:textDirection w:val="lrTb"/>
            <w:noWrap w:val="false"/>
          </w:tcPr>
          <w:p>
            <w:pPr>
              <w:pStyle w:val="1005"/>
              <w:ind w:left="57" w:right="57"/>
            </w:pPr>
            <w:r>
              <w:t xml:space="preserve">Остаток </w:t>
            </w:r>
            <w:r>
              <w:rPr>
                <w:rStyle w:val="1400"/>
                <w:lang w:val="ru-RU"/>
              </w:rPr>
              <w:t xml:space="preserve">д.с</w:t>
            </w:r>
            <w:r>
              <w:rPr>
                <w:rStyle w:val="1400"/>
                <w:lang w:val="ru-RU"/>
              </w:rPr>
              <w:t xml:space="preserve">.</w:t>
            </w:r>
            <w:r>
              <w:t xml:space="preserve"> на момент открытия ЛС, перечисляемый на счет органа ФК</w:t>
            </w:r>
            <w:r/>
          </w:p>
        </w:tc>
        <w:tc>
          <w:tcPr>
            <w:shd w:val="clear" w:fill="auto" w:color="auto"/>
            <w:tcW w:w="3831" w:type="pct"/>
            <w:textDirection w:val="lrTb"/>
            <w:noWrap w:val="false"/>
          </w:tcPr>
          <w:p>
            <w:pPr>
              <w:pStyle w:val="1005"/>
              <w:ind w:left="57" w:right="57"/>
            </w:pPr>
            <w:r>
              <w:t xml:space="preserve">Остаток денежных средств на момент открытия ЛС, перечисляемый на счет органа ФК.</w:t>
            </w:r>
            <w:r/>
          </w:p>
          <w:p>
            <w:pPr>
              <w:pStyle w:val="1005"/>
              <w:ind w:left="57" w:right="57"/>
            </w:pPr>
            <w:r>
              <w:t xml:space="preserve">Заполняется вручную.</w:t>
            </w:r>
            <w:r/>
          </w:p>
        </w:tc>
      </w:tr>
      <w:tr>
        <w:trPr/>
        <w:tc>
          <w:tcPr>
            <w:shd w:val="clear" w:fill="auto" w:color="auto"/>
            <w:tcW w:w="1169" w:type="pct"/>
            <w:textDirection w:val="lrTb"/>
            <w:noWrap w:val="false"/>
          </w:tcPr>
          <w:p>
            <w:pPr>
              <w:pStyle w:val="1005"/>
              <w:ind w:left="57" w:right="57"/>
            </w:pPr>
            <w:r>
              <w:t xml:space="preserve">Остаток без права расход.</w:t>
            </w:r>
            <w:r/>
          </w:p>
        </w:tc>
        <w:tc>
          <w:tcPr>
            <w:shd w:val="clear" w:fill="auto" w:color="auto"/>
            <w:tcW w:w="3831" w:type="pct"/>
            <w:textDirection w:val="lrTb"/>
            <w:noWrap w:val="false"/>
          </w:tcPr>
          <w:p>
            <w:pPr>
              <w:pStyle w:val="1005"/>
              <w:ind w:left="57" w:right="57"/>
            </w:pPr>
            <w:r>
              <w:t xml:space="preserve">Остаток денежных средств без права расходования.</w:t>
            </w:r>
            <w:r/>
          </w:p>
          <w:p>
            <w:pPr>
              <w:pStyle w:val="1005"/>
              <w:ind w:left="57" w:right="57"/>
            </w:pPr>
            <w:r>
              <w:t xml:space="preserve">Заполняется вручную.</w:t>
            </w:r>
            <w:r/>
          </w:p>
        </w:tc>
      </w:tr>
      <w:tr>
        <w:trPr/>
        <w:tc>
          <w:tcPr>
            <w:shd w:val="clear" w:fill="auto" w:color="auto"/>
            <w:tcW w:w="1169" w:type="pct"/>
            <w:textDirection w:val="lrTb"/>
            <w:noWrap w:val="false"/>
          </w:tcPr>
          <w:p>
            <w:pPr>
              <w:pStyle w:val="1005"/>
              <w:ind w:left="57" w:right="57"/>
            </w:pPr>
            <w:r>
              <w:rPr>
                <w:rStyle w:val="1400"/>
                <w:lang w:val="ru-RU"/>
              </w:rPr>
              <w:t xml:space="preserve">Остаток д.с.</w:t>
            </w:r>
            <w:r>
              <w:t xml:space="preserve"> на 01.01</w:t>
            </w:r>
            <w:r/>
          </w:p>
        </w:tc>
        <w:tc>
          <w:tcPr>
            <w:shd w:val="clear" w:fill="auto" w:color="auto"/>
            <w:tcW w:w="3831" w:type="pct"/>
            <w:textDirection w:val="lrTb"/>
            <w:noWrap w:val="false"/>
          </w:tcPr>
          <w:p>
            <w:pPr>
              <w:pStyle w:val="1005"/>
              <w:ind w:left="57" w:right="57"/>
            </w:pPr>
            <w:r>
              <w:t xml:space="preserve">Остаток денежных средств на 01.01.</w:t>
            </w:r>
            <w:r/>
          </w:p>
          <w:p>
            <w:pPr>
              <w:pStyle w:val="1005"/>
              <w:ind w:left="57" w:right="57"/>
            </w:pPr>
            <w:r>
              <w:t xml:space="preserve">Заполняется вручную.</w:t>
            </w:r>
            <w:r/>
          </w:p>
        </w:tc>
      </w:tr>
      <w:tr>
        <w:trPr/>
        <w:tc>
          <w:tcPr>
            <w:shd w:val="clear" w:fill="auto" w:color="auto"/>
            <w:tcW w:w="1169" w:type="pct"/>
            <w:textDirection w:val="lrTb"/>
            <w:noWrap w:val="false"/>
          </w:tcPr>
          <w:p>
            <w:pPr>
              <w:pStyle w:val="1005"/>
              <w:ind w:left="57" w:right="57"/>
            </w:pPr>
            <w:r>
              <w:t xml:space="preserve">Финансирование: всего</w:t>
            </w:r>
            <w:r/>
          </w:p>
        </w:tc>
        <w:tc>
          <w:tcPr>
            <w:shd w:val="clear" w:fill="auto" w:color="auto"/>
            <w:tcW w:w="3831" w:type="pct"/>
            <w:textDirection w:val="lrTb"/>
            <w:noWrap w:val="false"/>
          </w:tcPr>
          <w:p>
            <w:pPr>
              <w:pStyle w:val="1005"/>
              <w:ind w:left="57" w:right="57"/>
            </w:pPr>
            <w:r>
              <w:t xml:space="preserve">Общая сумма денежных средств, выделенных на финансирование.</w:t>
            </w:r>
            <w:r/>
          </w:p>
          <w:p>
            <w:pPr>
              <w:pStyle w:val="1005"/>
              <w:ind w:left="57" w:right="57"/>
            </w:pPr>
            <w:r>
              <w:t xml:space="preserve">Заполняется вручную.</w:t>
            </w:r>
            <w:r/>
          </w:p>
        </w:tc>
      </w:tr>
      <w:tr>
        <w:trPr/>
        <w:tc>
          <w:tcPr>
            <w:shd w:val="clear" w:fill="auto" w:color="auto"/>
            <w:tcW w:w="1169" w:type="pct"/>
            <w:textDirection w:val="lrTb"/>
            <w:noWrap w:val="false"/>
          </w:tcPr>
          <w:p>
            <w:pPr>
              <w:pStyle w:val="1005"/>
              <w:ind w:left="57" w:right="57"/>
            </w:pPr>
            <w:r>
              <w:t xml:space="preserve">В</w:t>
            </w:r>
            <w:r>
              <w:t xml:space="preserve"> т.ч. распределенное</w:t>
            </w:r>
            <w:r/>
          </w:p>
        </w:tc>
        <w:tc>
          <w:tcPr>
            <w:shd w:val="clear" w:fill="auto" w:color="auto"/>
            <w:tcW w:w="3831" w:type="pct"/>
            <w:textDirection w:val="lrTb"/>
            <w:noWrap w:val="false"/>
          </w:tcPr>
          <w:p>
            <w:pPr>
              <w:pStyle w:val="1005"/>
              <w:ind w:left="57" w:right="57"/>
            </w:pPr>
            <w:r>
              <w:t xml:space="preserve">Общая сумма распределенных денежных средств.</w:t>
            </w:r>
            <w:r/>
          </w:p>
          <w:p>
            <w:pPr>
              <w:pStyle w:val="1005"/>
              <w:ind w:left="57" w:right="57"/>
            </w:pPr>
            <w:r>
              <w:t xml:space="preserve">Заполняется вручную.</w:t>
            </w:r>
            <w:r/>
          </w:p>
        </w:tc>
      </w:tr>
      <w:tr>
        <w:trPr/>
        <w:tc>
          <w:tcPr>
            <w:shd w:val="clear" w:fill="auto" w:color="auto"/>
            <w:tcW w:w="1169" w:type="pct"/>
            <w:textDirection w:val="lrTb"/>
            <w:noWrap w:val="false"/>
          </w:tcPr>
          <w:p>
            <w:pPr>
              <w:pStyle w:val="1005"/>
              <w:ind w:left="57" w:right="57"/>
            </w:pPr>
            <w:r>
              <w:t xml:space="preserve">И</w:t>
            </w:r>
            <w:r>
              <w:t xml:space="preserve">з них расходов РБС</w:t>
            </w:r>
            <w:r/>
          </w:p>
        </w:tc>
        <w:tc>
          <w:tcPr>
            <w:shd w:val="clear" w:fill="auto" w:color="auto"/>
            <w:tcW w:w="3831" w:type="pct"/>
            <w:textDirection w:val="lrTb"/>
            <w:noWrap w:val="false"/>
          </w:tcPr>
          <w:p>
            <w:pPr>
              <w:pStyle w:val="1005"/>
              <w:ind w:left="57" w:right="57"/>
            </w:pPr>
            <w:r>
              <w:t xml:space="preserve">Сумма распределенных денежных средств по расходам РБС.</w:t>
            </w:r>
            <w:r/>
          </w:p>
          <w:p>
            <w:pPr>
              <w:pStyle w:val="1005"/>
              <w:ind w:left="57" w:right="57"/>
            </w:pPr>
            <w:r>
              <w:t xml:space="preserve">Заполняется вручную.</w:t>
            </w:r>
            <w:r/>
          </w:p>
        </w:tc>
      </w:tr>
      <w:tr>
        <w:trPr/>
        <w:tc>
          <w:tcPr>
            <w:shd w:val="clear" w:fill="auto" w:color="auto"/>
            <w:tcW w:w="1169" w:type="pct"/>
            <w:textDirection w:val="lrTb"/>
            <w:noWrap w:val="false"/>
          </w:tcPr>
          <w:p>
            <w:pPr>
              <w:pStyle w:val="1005"/>
              <w:ind w:left="57" w:right="57"/>
            </w:pPr>
            <w:r>
              <w:t xml:space="preserve">Код по БК</w:t>
            </w:r>
            <w:r/>
          </w:p>
        </w:tc>
        <w:tc>
          <w:tcPr>
            <w:shd w:val="clear" w:fill="auto" w:color="auto"/>
            <w:tcW w:w="3831" w:type="pct"/>
            <w:textDirection w:val="lrTb"/>
            <w:noWrap w:val="false"/>
          </w:tcPr>
          <w:p>
            <w:pPr>
              <w:pStyle w:val="1005"/>
              <w:ind w:left="57" w:right="57"/>
            </w:pPr>
            <w:r>
              <w:t xml:space="preserve">Код поступления по бюджетной классификации.</w:t>
            </w:r>
            <w:r/>
          </w:p>
          <w:p>
            <w:pPr>
              <w:pStyle w:val="1005"/>
              <w:ind w:left="57" w:right="57"/>
            </w:pPr>
            <w:r>
              <w:t xml:space="preserve">Значение вводится вручную или выбирается из справочника КБК.</w:t>
            </w:r>
            <w:r/>
          </w:p>
        </w:tc>
      </w:tr>
      <w:tr>
        <w:trPr/>
        <w:tc>
          <w:tcPr>
            <w:shd w:val="clear" w:fill="auto" w:color="auto"/>
            <w:tcW w:w="1169" w:type="pct"/>
            <w:textDirection w:val="lrTb"/>
            <w:noWrap w:val="false"/>
          </w:tcPr>
          <w:p>
            <w:pPr>
              <w:pStyle w:val="1005"/>
              <w:ind w:left="57" w:right="57"/>
            </w:pPr>
            <w:r>
              <w:t xml:space="preserve">КЦ (аналитический код)</w:t>
            </w:r>
            <w:r/>
          </w:p>
        </w:tc>
        <w:tc>
          <w:tcPr>
            <w:shd w:val="clear" w:fill="auto" w:color="auto"/>
            <w:tcW w:w="3831" w:type="pct"/>
            <w:textDirection w:val="lrTb"/>
            <w:noWrap w:val="false"/>
          </w:tcPr>
          <w:p>
            <w:pPr>
              <w:pStyle w:val="1005"/>
              <w:ind w:left="57" w:right="57"/>
            </w:pPr>
            <w:r>
              <w:t xml:space="preserve">Код субсидии.</w:t>
            </w:r>
            <w:r/>
          </w:p>
          <w:p>
            <w:pPr>
              <w:pStyle w:val="1005"/>
              <w:ind w:left="57" w:right="57"/>
            </w:pPr>
            <w:r>
              <w:t xml:space="preserve">Значение вводится вручную или выбирается из справочника кодов целей субсидий/субвенций.</w:t>
            </w:r>
            <w:r/>
          </w:p>
        </w:tc>
      </w:tr>
      <w:tr>
        <w:trPr/>
        <w:tc>
          <w:tcPr>
            <w:shd w:val="clear" w:fill="auto" w:color="auto"/>
            <w:tcW w:w="1169" w:type="pct"/>
            <w:textDirection w:val="lrTb"/>
            <w:noWrap w:val="false"/>
          </w:tcPr>
          <w:p>
            <w:pPr>
              <w:pStyle w:val="1005"/>
              <w:ind w:left="57" w:right="57"/>
            </w:pPr>
            <w:r>
              <w:t xml:space="preserve">Кассовые выплаты</w:t>
            </w:r>
            <w:r/>
          </w:p>
        </w:tc>
        <w:tc>
          <w:tcPr>
            <w:shd w:val="clear" w:fill="auto" w:color="auto"/>
            <w:tcW w:w="3831" w:type="pct"/>
            <w:textDirection w:val="lrTb"/>
            <w:noWrap w:val="false"/>
          </w:tcPr>
          <w:p>
            <w:pPr>
              <w:pStyle w:val="1005"/>
              <w:ind w:left="57" w:right="57"/>
            </w:pPr>
            <w:r>
              <w:t xml:space="preserve">Сумма кассовых выплат.</w:t>
            </w:r>
            <w:r/>
          </w:p>
          <w:p>
            <w:pPr>
              <w:pStyle w:val="1005"/>
              <w:ind w:left="57" w:right="57"/>
            </w:pPr>
            <w:r>
              <w:t xml:space="preserve">Заполняется вручную.</w:t>
            </w:r>
            <w:r/>
          </w:p>
        </w:tc>
      </w:tr>
      <w:tr>
        <w:trPr>
          <w:trHeight w:val="77"/>
        </w:trPr>
        <w:tc>
          <w:tcPr>
            <w:shd w:val="clear" w:fill="auto" w:color="auto"/>
            <w:tcW w:w="1169" w:type="pct"/>
            <w:textDirection w:val="lrTb"/>
            <w:noWrap w:val="false"/>
          </w:tcPr>
          <w:p>
            <w:pPr>
              <w:pStyle w:val="1005"/>
              <w:ind w:left="57" w:right="57"/>
            </w:pPr>
            <w:r>
              <w:t xml:space="preserve">Восстановлено</w:t>
            </w:r>
            <w:r/>
          </w:p>
        </w:tc>
        <w:tc>
          <w:tcPr>
            <w:shd w:val="clear" w:fill="auto" w:color="auto"/>
            <w:tcW w:w="3831" w:type="pct"/>
            <w:textDirection w:val="lrTb"/>
            <w:noWrap w:val="false"/>
          </w:tcPr>
          <w:p>
            <w:pPr>
              <w:pStyle w:val="1005"/>
              <w:ind w:left="57" w:right="57"/>
            </w:pPr>
            <w:r>
              <w:t xml:space="preserve">Сумма восстановленных кассовых выплат.</w:t>
            </w:r>
            <w:r/>
          </w:p>
          <w:p>
            <w:pPr>
              <w:pStyle w:val="1005"/>
              <w:ind w:left="57" w:right="57"/>
            </w:pPr>
            <w:r>
              <w:t xml:space="preserve">Заполняется вручную.</w:t>
            </w:r>
            <w:r/>
          </w:p>
        </w:tc>
      </w:tr>
      <w:tr>
        <w:trPr>
          <w:trHeight w:val="77"/>
        </w:trPr>
        <w:tc>
          <w:tcPr>
            <w:shd w:val="clear" w:fill="auto" w:color="auto"/>
            <w:tcW w:w="1169" w:type="pct"/>
            <w:textDirection w:val="lrTb"/>
            <w:noWrap w:val="false"/>
          </w:tcPr>
          <w:p>
            <w:pPr>
              <w:pStyle w:val="1005"/>
              <w:ind w:left="57" w:right="57"/>
            </w:pPr>
            <w:r>
              <w:t xml:space="preserve">Доп. КБК1</w:t>
            </w:r>
            <w:r/>
          </w:p>
        </w:tc>
        <w:tc>
          <w:tcPr>
            <w:shd w:val="clear" w:fill="auto" w:color="auto"/>
            <w:tcW w:w="3831" w:type="pct"/>
            <w:textDirection w:val="lrTb"/>
            <w:noWrap w:val="false"/>
          </w:tcPr>
          <w:p>
            <w:pPr>
              <w:pStyle w:val="1005"/>
              <w:ind w:left="57" w:right="57"/>
            </w:pPr>
            <w:r>
              <w:t xml:space="preserve">Дополнительный КБК1.</w:t>
            </w:r>
            <w:r/>
          </w:p>
          <w:p>
            <w:pPr>
              <w:pStyle w:val="1005"/>
              <w:ind w:left="57" w:right="57"/>
            </w:pPr>
            <w:r>
              <w:t xml:space="preserve">Значение вводится вручную или выбирается из справочника «Дополнение БК2».</w:t>
            </w:r>
            <w:r/>
          </w:p>
        </w:tc>
      </w:tr>
      <w:tr>
        <w:trPr>
          <w:trHeight w:val="77"/>
        </w:trPr>
        <w:tc>
          <w:tcPr>
            <w:shd w:val="clear" w:fill="auto" w:color="auto"/>
            <w:tcW w:w="1169" w:type="pct"/>
            <w:textDirection w:val="lrTb"/>
            <w:noWrap w:val="false"/>
          </w:tcPr>
          <w:p>
            <w:pPr>
              <w:pStyle w:val="1005"/>
              <w:ind w:left="57" w:right="57"/>
            </w:pPr>
            <w:r>
              <w:t xml:space="preserve">Доп. КБК2</w:t>
            </w:r>
            <w:r/>
          </w:p>
        </w:tc>
        <w:tc>
          <w:tcPr>
            <w:shd w:val="clear" w:fill="auto" w:color="auto"/>
            <w:tcW w:w="3831" w:type="pct"/>
            <w:textDirection w:val="lrTb"/>
            <w:noWrap w:val="false"/>
          </w:tcPr>
          <w:p>
            <w:pPr>
              <w:pStyle w:val="1005"/>
              <w:ind w:left="57" w:right="57"/>
            </w:pPr>
            <w:r>
              <w:t xml:space="preserve">Дополнительный КБК2.</w:t>
            </w:r>
            <w:r/>
          </w:p>
          <w:p>
            <w:pPr>
              <w:pStyle w:val="1005"/>
              <w:ind w:left="57" w:right="57"/>
            </w:pPr>
            <w:r>
              <w:t xml:space="preserve">Значение вводится вручную или выбирается из справочника «Дополнение БК3».</w:t>
            </w:r>
            <w:r/>
          </w:p>
        </w:tc>
      </w:tr>
      <w:tr>
        <w:trPr>
          <w:trHeight w:val="77"/>
        </w:trPr>
        <w:tc>
          <w:tcPr>
            <w:shd w:val="clear" w:fill="auto" w:color="auto"/>
            <w:tcW w:w="1169" w:type="pct"/>
            <w:textDirection w:val="lrTb"/>
            <w:noWrap w:val="false"/>
          </w:tcPr>
          <w:p>
            <w:pPr>
              <w:pStyle w:val="1005"/>
              <w:ind w:left="57" w:right="57"/>
            </w:pPr>
            <w:r>
              <w:t xml:space="preserve">Доп. КБК3</w:t>
            </w:r>
            <w:r/>
          </w:p>
        </w:tc>
        <w:tc>
          <w:tcPr>
            <w:shd w:val="clear" w:fill="auto" w:color="auto"/>
            <w:tcW w:w="3831" w:type="pct"/>
            <w:textDirection w:val="lrTb"/>
            <w:noWrap w:val="false"/>
          </w:tcPr>
          <w:p>
            <w:pPr>
              <w:pStyle w:val="1005"/>
              <w:ind w:left="57" w:right="57"/>
            </w:pPr>
            <w:r>
              <w:t xml:space="preserve">Дополнительный КБК3.</w:t>
            </w:r>
            <w:r/>
          </w:p>
          <w:p>
            <w:pPr>
              <w:pStyle w:val="1005"/>
              <w:ind w:left="57" w:right="57"/>
            </w:pPr>
            <w:r>
              <w:t xml:space="preserve">Значение вводится вручную или выбирается из справочника «Дополнение БК4».</w:t>
            </w:r>
            <w:r/>
          </w:p>
        </w:tc>
      </w:tr>
      <w:tr>
        <w:trPr>
          <w:trHeight w:val="77"/>
        </w:trPr>
        <w:tc>
          <w:tcPr>
            <w:gridSpan w:val="2"/>
            <w:shd w:val="clear" w:fill="auto" w:color="auto"/>
            <w:tcW w:w="5000" w:type="pct"/>
            <w:textDirection w:val="lrTb"/>
            <w:noWrap w:val="false"/>
          </w:tcPr>
          <w:p>
            <w:pPr>
              <w:pStyle w:val="1005"/>
              <w:ind w:left="57" w:right="57"/>
            </w:pPr>
            <w:r>
              <w:t xml:space="preserve">Группа полей «Итого:»</w:t>
            </w:r>
            <w:r/>
          </w:p>
        </w:tc>
      </w:tr>
      <w:tr>
        <w:trPr>
          <w:trHeight w:val="77"/>
        </w:trPr>
        <w:tc>
          <w:tcPr>
            <w:shd w:val="clear" w:fill="auto" w:color="auto"/>
            <w:tcW w:w="1169" w:type="pct"/>
            <w:textDirection w:val="lrTb"/>
            <w:noWrap w:val="false"/>
          </w:tcPr>
          <w:p>
            <w:pPr>
              <w:pStyle w:val="1005"/>
              <w:ind w:left="57" w:right="57"/>
            </w:pPr>
            <w:r>
              <w:t xml:space="preserve">Кассовые выплаты</w:t>
            </w:r>
            <w:r/>
          </w:p>
        </w:tc>
        <w:tc>
          <w:tcPr>
            <w:shd w:val="clear" w:fill="auto" w:color="auto"/>
            <w:tcW w:w="3831" w:type="pct"/>
            <w:textDirection w:val="lrTb"/>
            <w:noWrap w:val="false"/>
          </w:tcPr>
          <w:p>
            <w:pPr>
              <w:pStyle w:val="1005"/>
              <w:ind w:left="57" w:right="57"/>
            </w:pPr>
            <w:r>
              <w:t xml:space="preserve">Итоговая сумма кассовых выплат.</w:t>
            </w:r>
            <w:r/>
          </w:p>
          <w:p>
            <w:pPr>
              <w:pStyle w:val="1005"/>
              <w:ind w:left="57" w:right="57"/>
            </w:pPr>
            <w:r>
              <w:t xml:space="preserve">Заполняется вручную.</w:t>
            </w:r>
            <w:r/>
          </w:p>
        </w:tc>
      </w:tr>
      <w:tr>
        <w:trPr>
          <w:trHeight w:val="77"/>
        </w:trPr>
        <w:tc>
          <w:tcPr>
            <w:shd w:val="clear" w:fill="auto" w:color="auto"/>
            <w:tcW w:w="1169" w:type="pct"/>
            <w:textDirection w:val="lrTb"/>
            <w:noWrap w:val="false"/>
          </w:tcPr>
          <w:p>
            <w:pPr>
              <w:pStyle w:val="1005"/>
              <w:ind w:left="57" w:right="57"/>
            </w:pPr>
            <w:r>
              <w:t xml:space="preserve">Восстановлено</w:t>
            </w:r>
            <w:r/>
          </w:p>
        </w:tc>
        <w:tc>
          <w:tcPr>
            <w:shd w:val="clear" w:fill="auto" w:color="auto"/>
            <w:tcW w:w="3831" w:type="pct"/>
            <w:textDirection w:val="lrTb"/>
            <w:noWrap w:val="false"/>
          </w:tcPr>
          <w:p>
            <w:pPr>
              <w:pStyle w:val="1005"/>
              <w:ind w:left="57" w:right="57"/>
            </w:pPr>
            <w:r>
              <w:t xml:space="preserve">Итоговая сумма переданных поступлений.</w:t>
            </w:r>
            <w:r/>
          </w:p>
          <w:p>
            <w:pPr>
              <w:pStyle w:val="1005"/>
              <w:ind w:left="57" w:right="57"/>
            </w:pPr>
            <w:r>
              <w:t xml:space="preserve">Заполняется вручную.</w:t>
            </w:r>
            <w:r/>
          </w:p>
        </w:tc>
      </w:tr>
    </w:tbl>
    <w:p>
      <w:pPr>
        <w:pStyle w:val="994"/>
      </w:pPr>
      <w:r>
        <w:t xml:space="preserve">На</w:t>
      </w:r>
      <w:r>
        <w:t xml:space="preserve"> закладк</w:t>
      </w:r>
      <w:r>
        <w:t xml:space="preserve">е</w:t>
      </w:r>
      <w:r>
        <w:t xml:space="preserve"> </w:t>
      </w:r>
      <w:r>
        <w:t xml:space="preserve">«</w:t>
      </w:r>
      <w:r>
        <w:t xml:space="preserve">Документ </w:t>
      </w:r>
      <w:r>
        <w:t xml:space="preserve">(1)</w:t>
      </w:r>
      <w:r>
        <w:t xml:space="preserve">» (см.</w:t>
      </w:r>
      <w:r>
        <w:t xml:space="preserve"> </w:t>
      </w:r>
      <w:r>
        <w:t xml:space="preserve">рис.</w:t>
      </w:r>
      <w:r>
        <w:t xml:space="preserve"> </w:t>
      </w:r>
      <w:r>
        <w:fldChar w:fldCharType="begin"/>
      </w:r>
      <w:r>
        <w:instrText xml:space="preserve"> REF _Ref246487668 \h  \* MERGEFORMAT </w:instrText>
      </w:r>
      <w:r>
        <w:fldChar w:fldCharType="separate"/>
      </w:r>
      <w:r>
        <w:t xml:space="preserve">292</w:t>
      </w:r>
      <w:r>
        <w:fldChar w:fldCharType="end"/>
      </w:r>
      <w:r>
        <w:t xml:space="preserve">) </w:t>
      </w:r>
      <w:r>
        <w:t xml:space="preserve">располо</w:t>
      </w:r>
      <w:r>
        <w:t xml:space="preserve">жен табличный блок, </w:t>
      </w:r>
      <w:r>
        <w:t xml:space="preserve">содерж</w:t>
      </w:r>
      <w:r>
        <w:t xml:space="preserve">ащий</w:t>
      </w:r>
      <w:r>
        <w:t xml:space="preserve"> строки документа </w:t>
      </w:r>
      <w:r>
        <w:t xml:space="preserve">«</w:t>
      </w:r>
      <w:r>
        <w:t xml:space="preserve">Справка о финанс</w:t>
      </w:r>
      <w:r>
        <w:t xml:space="preserve">и</w:t>
      </w:r>
      <w:r>
        <w:t xml:space="preserve">ровании и кассовых выплатах</w:t>
      </w:r>
      <w:r>
        <w:t xml:space="preserve">»</w:t>
      </w:r>
      <w:r>
        <w:t xml:space="preserve">.</w:t>
      </w:r>
      <w:r>
        <w:t xml:space="preserve"> </w:t>
      </w:r>
      <w:r>
        <w:t xml:space="preserve">Для добавления записи в таблицу следует нажать на кнопку </w:t>
      </w:r>
      <w:r>
        <mc:AlternateContent>
          <mc:Choice Requires="wpg">
            <w:drawing>
              <wp:inline xmlns:wp="http://schemas.openxmlformats.org/drawingml/2006/wordprocessingDrawing" distT="0" distB="0" distL="0" distR="0">
                <wp:extent cx="274320" cy="274320"/>
                <wp:effectExtent l="0" t="0" r="0" b="0"/>
                <wp:docPr id="43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27432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2" o:spid="_x0000_s432" type="#_x0000_t75" style="mso-wrap-distance-left:0.0pt;mso-wrap-distance-top:0.0pt;mso-wrap-distance-right:0.0pt;mso-wrap-distance-bottom:0.0pt;width:21.6pt;height:21.6pt;" stroked="f">
                <v:path textboxrect="0,0,0,0"/>
                <v:imagedata r:id="rId80" o:title=""/>
              </v:shape>
            </w:pict>
          </mc:Fallback>
        </mc:AlternateContent>
      </w:r>
      <w:r>
        <w:t xml:space="preserve"> </w:t>
      </w:r>
      <w:r>
        <w:t xml:space="preserve">(Добавить новую стр</w:t>
      </w:r>
      <w:r>
        <w:t xml:space="preserve">о</w:t>
      </w:r>
      <w:r>
        <w:t xml:space="preserve">ку)</w:t>
      </w:r>
      <w:r>
        <w:t xml:space="preserve">. Открое</w:t>
      </w:r>
      <w:r>
        <w:t xml:space="preserve">тся форма «Добавление записи»</w:t>
      </w:r>
      <w:r>
        <w:t xml:space="preserve"> (рис.</w:t>
      </w:r>
      <w:r>
        <w:t xml:space="preserve"> </w:t>
      </w:r>
      <w:r>
        <w:fldChar w:fldCharType="begin"/>
      </w:r>
      <w:r>
        <w:instrText xml:space="preserve"> REF _Ref246487670 \h  \* MERGEFORMAT </w:instrText>
      </w:r>
      <w:r>
        <w:fldChar w:fldCharType="separate"/>
      </w:r>
      <w:r>
        <w:t xml:space="preserve">293</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1920240"/>
                <wp:effectExtent l="0" t="0" r="0" b="0"/>
                <wp:docPr id="43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82"/>
                        <a:stretch/>
                      </pic:blipFill>
                      <pic:spPr bwMode="auto">
                        <a:xfrm>
                          <a:off x="0" y="0"/>
                          <a:ext cx="6126480" cy="19202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3" o:spid="_x0000_s433" type="#_x0000_t75" style="mso-wrap-distance-left:0.0pt;mso-wrap-distance-top:0.0pt;mso-wrap-distance-right:0.0pt;mso-wrap-distance-bottom:0.0pt;width:482.4pt;height:151.2pt;" stroked="f">
                <v:path textboxrect="0,0,0,0"/>
                <v:imagedata r:id="rId382" o:title=""/>
              </v:shape>
            </w:pict>
          </mc:Fallback>
        </mc:AlternateContent>
      </w:r>
      <w:r/>
    </w:p>
    <w:p>
      <w:pPr>
        <w:pStyle w:val="983"/>
      </w:pPr>
      <w:r>
        <w:fldChar w:fldCharType="begin"/>
      </w:r>
      <w:r>
        <w:instrText xml:space="preserve"> SEQ Рисунок \* ARABIC </w:instrText>
      </w:r>
      <w:r>
        <w:fldChar w:fldCharType="separate"/>
      </w:r>
      <w:bookmarkStart w:id="1931" w:name="_Ref246487670"/>
      <w:r/>
      <w:bookmarkStart w:id="1932" w:name="_Toc88819678"/>
      <w:r>
        <w:t xml:space="preserve">293</w:t>
      </w:r>
      <w:bookmarkEnd w:id="1931"/>
      <w:r>
        <w:fldChar w:fldCharType="end"/>
      </w:r>
      <w:r>
        <w:t xml:space="preserve">. </w:t>
      </w:r>
      <w:r>
        <w:t xml:space="preserve">Форма «Добавление записи»</w:t>
      </w:r>
      <w:bookmarkEnd w:id="1932"/>
      <w:r/>
      <w:r/>
    </w:p>
    <w:p>
      <w:pPr>
        <w:pStyle w:val="994"/>
      </w:pPr>
      <w:r>
        <w:t xml:space="preserve">В</w:t>
      </w:r>
      <w:r>
        <w:t xml:space="preserve"> форме «Добавление записи»</w:t>
      </w:r>
      <w:r>
        <w:t xml:space="preserve"> вручную заполняются следующие поля:</w:t>
      </w:r>
      <w:r/>
    </w:p>
    <w:p>
      <w:pPr>
        <w:pStyle w:val="985"/>
      </w:pPr>
      <w:r>
        <w:t xml:space="preserve">«Код по БК» – код опер</w:t>
      </w:r>
      <w:r>
        <w:t xml:space="preserve">ации по бюджетной классификации;</w:t>
      </w:r>
      <w:r/>
    </w:p>
    <w:p>
      <w:pPr>
        <w:pStyle w:val="985"/>
      </w:pPr>
      <w:r>
        <w:t xml:space="preserve">«КЦ (ана</w:t>
      </w:r>
      <w:r>
        <w:t xml:space="preserve">литический код)» – код субсидии;</w:t>
      </w:r>
      <w:r/>
    </w:p>
    <w:p>
      <w:pPr>
        <w:pStyle w:val="985"/>
      </w:pPr>
      <w:r>
        <w:t xml:space="preserve">«Кассовые в</w:t>
      </w:r>
      <w:r>
        <w:t xml:space="preserve">ыплаты» – сумма кассовых выплат;</w:t>
      </w:r>
      <w:r/>
    </w:p>
    <w:p>
      <w:pPr>
        <w:pStyle w:val="985"/>
      </w:pPr>
      <w:r>
        <w:t xml:space="preserve">«Восстановлено» – сумма восстановленных кассов</w:t>
      </w:r>
      <w:r>
        <w:t xml:space="preserve">ых выплат;</w:t>
      </w:r>
      <w:r/>
    </w:p>
    <w:p>
      <w:pPr>
        <w:pStyle w:val="985"/>
      </w:pPr>
      <w:r>
        <w:t xml:space="preserve">«До</w:t>
      </w:r>
      <w:r>
        <w:t xml:space="preserve">п. КБК 1» – дополнительный КБК1;</w:t>
      </w:r>
      <w:r/>
    </w:p>
    <w:p>
      <w:pPr>
        <w:pStyle w:val="985"/>
      </w:pPr>
      <w:r>
        <w:t xml:space="preserve">«До</w:t>
      </w:r>
      <w:r>
        <w:t xml:space="preserve">п. КБК 2» – дополнительный КБК2;</w:t>
      </w:r>
      <w:r/>
    </w:p>
    <w:p>
      <w:pPr>
        <w:pStyle w:val="985"/>
      </w:pPr>
      <w:r>
        <w:t xml:space="preserve">«Доп. КБК 3» – дополнительный КБК3.</w:t>
      </w:r>
      <w:r/>
    </w:p>
    <w:p>
      <w:pPr>
        <w:pStyle w:val="994"/>
      </w:pPr>
      <w:r>
        <w:t xml:space="preserve">Для добавления строки в таблицу и выхода из </w:t>
      </w:r>
      <w:r>
        <w:t xml:space="preserve">ф</w:t>
      </w:r>
      <w:r>
        <w:t xml:space="preserve">орм</w:t>
      </w:r>
      <w:r>
        <w:t xml:space="preserve">ы</w:t>
      </w:r>
      <w:r>
        <w:t xml:space="preserve"> «Добавление записи»</w:t>
      </w:r>
      <w:r>
        <w:t xml:space="preserve"> следует нажать на </w:t>
      </w:r>
      <w:r>
        <w:t xml:space="preserve">кнопку «Ok»</w:t>
      </w:r>
      <w:r>
        <w:t xml:space="preserve">.</w:t>
      </w:r>
      <w:r>
        <w:t xml:space="preserve"> </w:t>
      </w:r>
      <w:r>
        <w:t xml:space="preserve">Для сохранения текущей строки и продолжения ввода новой строки нажать на кнопку </w:t>
      </w:r>
      <w:r>
        <w:t xml:space="preserve">«Сохранить и создать</w:t>
      </w:r>
      <w:r>
        <w:t xml:space="preserve">».</w:t>
      </w:r>
      <w:r/>
    </w:p>
    <w:p>
      <w:pPr>
        <w:pStyle w:val="994"/>
      </w:pPr>
      <w:r>
        <w:t xml:space="preserve">ЭФ документа «Справка о финансировании и кассовых выплатах</w:t>
      </w:r>
      <w:r>
        <w:t xml:space="preserve">», закладки «</w:t>
      </w:r>
      <w:r>
        <w:t xml:space="preserve">Дополнительные атрибуты»</w:t>
      </w:r>
      <w:r>
        <w:t xml:space="preserve"> </w:t>
      </w:r>
      <w:r>
        <w:t xml:space="preserve">представлена </w:t>
      </w:r>
      <w:r>
        <w:t xml:space="preserve">н</w:t>
      </w:r>
      <w:r>
        <w:t xml:space="preserve">а рисунке</w:t>
      </w:r>
      <w:r>
        <w:t xml:space="preserve"> </w:t>
      </w:r>
      <w:r>
        <w:fldChar w:fldCharType="begin"/>
      </w:r>
      <w:r>
        <w:instrText xml:space="preserve"> REF _Ref246487669 \h </w:instrText>
      </w:r>
      <w:r>
        <w:instrText xml:space="preserve"> \* MERGEFORMAT </w:instrText>
      </w:r>
      <w:r>
        <w:fldChar w:fldCharType="separate"/>
      </w:r>
      <w:r>
        <w:t xml:space="preserve">294</w:t>
      </w:r>
      <w:r>
        <w:fldChar w:fldCharType="end"/>
      </w:r>
      <w:r>
        <w:t xml:space="preserve">.</w:t>
      </w:r>
      <w:r/>
    </w:p>
    <w:p>
      <w:pPr>
        <w:pStyle w:val="982"/>
      </w:pPr>
      <w:r>
        <mc:AlternateContent>
          <mc:Choice Requires="wpg">
            <w:drawing>
              <wp:inline xmlns:wp="http://schemas.openxmlformats.org/drawingml/2006/wordprocessingDrawing" distT="0" distB="0" distL="0" distR="0">
                <wp:extent cx="6042660" cy="2011680"/>
                <wp:effectExtent l="0" t="0" r="0" b="0"/>
                <wp:docPr id="43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83"/>
                        <a:stretch/>
                      </pic:blipFill>
                      <pic:spPr bwMode="auto">
                        <a:xfrm>
                          <a:off x="0" y="0"/>
                          <a:ext cx="6042660" cy="20116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4" o:spid="_x0000_s434" type="#_x0000_t75" style="mso-wrap-distance-left:0.0pt;mso-wrap-distance-top:0.0pt;mso-wrap-distance-right:0.0pt;mso-wrap-distance-bottom:0.0pt;width:475.8pt;height:158.4pt;" stroked="f">
                <v:path textboxrect="0,0,0,0"/>
                <v:imagedata r:id="rId383" o:title=""/>
              </v:shape>
            </w:pict>
          </mc:Fallback>
        </mc:AlternateContent>
      </w:r>
      <w:r/>
    </w:p>
    <w:p>
      <w:pPr>
        <w:pStyle w:val="983"/>
      </w:pPr>
      <w:r>
        <w:fldChar w:fldCharType="begin"/>
      </w:r>
      <w:r>
        <w:instrText xml:space="preserve"> SEQ Рисунок \* ARABIC </w:instrText>
      </w:r>
      <w:r>
        <w:fldChar w:fldCharType="separate"/>
      </w:r>
      <w:bookmarkStart w:id="1933" w:name="_Ref246487669"/>
      <w:r/>
      <w:bookmarkStart w:id="1934" w:name="_Toc88819679"/>
      <w:r>
        <w:t xml:space="preserve">294</w:t>
      </w:r>
      <w:bookmarkEnd w:id="1933"/>
      <w:r>
        <w:fldChar w:fldCharType="end"/>
      </w:r>
      <w:r>
        <w:t xml:space="preserve">. ЭФ документа «Справка о финансировании и кассовых выплатах</w:t>
      </w:r>
      <w:r>
        <w:t xml:space="preserve">», закладки «</w:t>
      </w:r>
      <w:r>
        <w:t xml:space="preserve">Дополнительные атрибуты»</w:t>
      </w:r>
      <w:bookmarkEnd w:id="1934"/>
      <w:r/>
      <w:r/>
    </w:p>
    <w:p>
      <w:pPr>
        <w:pStyle w:val="994"/>
      </w:pPr>
      <w:r>
        <w:t xml:space="preserve">Перечень </w:t>
      </w:r>
      <w:r>
        <w:t xml:space="preserve">полей </w:t>
      </w:r>
      <w:r>
        <w:t xml:space="preserve">документа «Справка о финансировании и кассовых выплатах</w:t>
      </w:r>
      <w:r>
        <w:t xml:space="preserve">», закладки «</w:t>
      </w:r>
      <w:r>
        <w:t xml:space="preserve">Дополнительные атрибуты» </w:t>
      </w:r>
      <w:r>
        <w:t xml:space="preserve">приведен в таблице</w:t>
      </w:r>
      <w:r>
        <w:t xml:space="preserve"> </w:t>
      </w:r>
      <w:r>
        <w:fldChar w:fldCharType="begin"/>
      </w:r>
      <w:r>
        <w:instrText xml:space="preserve"> REF _Ref317678785 \h </w:instrText>
      </w:r>
      <w:r>
        <w:instrText xml:space="preserve"> \* MERGEFORMAT </w:instrText>
      </w:r>
      <w:r>
        <w:fldChar w:fldCharType="separate"/>
      </w:r>
      <w:r>
        <w:t xml:space="preserve">171</w:t>
      </w:r>
      <w:r>
        <w:fldChar w:fldCharType="end"/>
      </w:r>
      <w:r>
        <w:t xml:space="preserve">.</w:t>
      </w:r>
      <w:r/>
    </w:p>
    <w:p>
      <w:pPr>
        <w:pStyle w:val="993"/>
      </w:pPr>
      <w:r>
        <w:fldChar w:fldCharType="begin"/>
      </w:r>
      <w:r>
        <w:instrText xml:space="preserve"> SEQ Таблица \* ARABIC </w:instrText>
      </w:r>
      <w:r>
        <w:fldChar w:fldCharType="separate"/>
      </w:r>
      <w:bookmarkStart w:id="1935" w:name="_Ref318715557"/>
      <w:r/>
      <w:bookmarkStart w:id="1936" w:name="_Ref317678785"/>
      <w:r/>
      <w:bookmarkStart w:id="1937" w:name="_Toc88819358"/>
      <w:r>
        <w:t xml:space="preserve">171</w:t>
      </w:r>
      <w:bookmarkEnd w:id="1935"/>
      <w:r/>
      <w:bookmarkEnd w:id="1936"/>
      <w:r>
        <w:fldChar w:fldCharType="end"/>
      </w:r>
      <w:r>
        <w:t xml:space="preserve">. Описание полей документа «Справка о финансировании и кассовых выплатах</w:t>
      </w:r>
      <w:r>
        <w:t xml:space="preserve">», закладки «</w:t>
      </w:r>
      <w:r>
        <w:t xml:space="preserve">Дополнительные атрибуты»</w:t>
      </w:r>
      <w:bookmarkEnd w:id="1937"/>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680"/>
        <w:gridCol w:w="7072"/>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37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626" w:type="pct"/>
            <w:vAlign w:val="center"/>
            <w:textDirection w:val="lrTb"/>
            <w:noWrap w:val="false"/>
          </w:tcPr>
          <w:p>
            <w:pPr>
              <w:pStyle w:val="1006"/>
            </w:pPr>
            <w:r>
              <w:t xml:space="preserve">Описание поля</w:t>
            </w:r>
            <w:r/>
          </w:p>
        </w:tc>
      </w:tr>
      <w:tr>
        <w:trPr>
          <w:trHeight w:val="77"/>
        </w:trPr>
        <w:tc>
          <w:tcPr>
            <w:shd w:val="clear" w:fill="auto" w:color="auto"/>
            <w:tcW w:w="1374" w:type="pct"/>
            <w:textDirection w:val="lrTb"/>
            <w:noWrap w:val="false"/>
          </w:tcPr>
          <w:p>
            <w:pPr>
              <w:pStyle w:val="1005"/>
              <w:ind w:left="57" w:right="57"/>
            </w:pPr>
            <w:r>
              <w:t xml:space="preserve">Бизнес-cтатус</w:t>
            </w:r>
            <w:r/>
          </w:p>
        </w:tc>
        <w:tc>
          <w:tcPr>
            <w:shd w:val="clear" w:fill="auto" w:color="auto"/>
            <w:tcW w:w="3626" w:type="pct"/>
            <w:textDirection w:val="lrTb"/>
            <w:noWrap w:val="false"/>
          </w:tcPr>
          <w:p>
            <w:pPr>
              <w:pStyle w:val="1005"/>
              <w:ind w:left="57" w:right="57"/>
            </w:pPr>
            <w:r>
              <w:t xml:space="preserve">Код и наименование бизнес-статуса документа. </w:t>
            </w:r>
            <w:r/>
          </w:p>
          <w:p>
            <w:pPr>
              <w:pStyle w:val="1005"/>
              <w:ind w:left="57" w:right="57"/>
            </w:pPr>
            <w:r>
              <w:t xml:space="preserve">Заполняется автоматически при обработке документа или присылается из OEBS. Закрыто для редактирования. Равен значению поля Статус за</w:t>
            </w:r>
            <w:r>
              <w:t xml:space="preserve">кладки Документ.</w:t>
            </w:r>
            <w:r/>
          </w:p>
        </w:tc>
      </w:tr>
      <w:tr>
        <w:trPr>
          <w:trHeight w:val="77"/>
        </w:trPr>
        <w:tc>
          <w:tcPr>
            <w:shd w:val="clear" w:fill="auto" w:color="auto"/>
            <w:tcW w:w="1374" w:type="pct"/>
            <w:textDirection w:val="lrTb"/>
            <w:noWrap w:val="false"/>
          </w:tcPr>
          <w:p>
            <w:pPr>
              <w:pStyle w:val="1005"/>
              <w:ind w:left="57" w:right="57"/>
            </w:pPr>
            <w:r>
              <w:t xml:space="preserve">Статус передачи</w:t>
            </w:r>
            <w:r/>
          </w:p>
        </w:tc>
        <w:tc>
          <w:tcPr>
            <w:shd w:val="clear" w:fill="auto" w:color="auto"/>
            <w:tcW w:w="3626" w:type="pct"/>
            <w:textDirection w:val="lrTb"/>
            <w:noWrap w:val="false"/>
          </w:tcPr>
          <w:p>
            <w:pPr>
              <w:pStyle w:val="1005"/>
              <w:ind w:left="57" w:right="57"/>
            </w:pPr>
            <w:r>
              <w:t xml:space="preserve">Код и наименование статуса передачи документа. </w:t>
            </w:r>
            <w:r/>
          </w:p>
          <w:p>
            <w:pPr>
              <w:pStyle w:val="1005"/>
              <w:ind w:left="57" w:right="57"/>
            </w:pPr>
            <w:r>
              <w:t xml:space="preserve">Заполняется автоматически при утверждении документа. Закрыто для редактирования.</w:t>
            </w:r>
            <w:r/>
          </w:p>
        </w:tc>
      </w:tr>
      <w:tr>
        <w:trPr>
          <w:trHeight w:val="77"/>
        </w:trPr>
        <w:tc>
          <w:tcPr>
            <w:shd w:val="clear" w:fill="auto" w:color="auto"/>
            <w:tcW w:w="1374" w:type="pct"/>
            <w:textDirection w:val="lrTb"/>
            <w:noWrap w:val="false"/>
          </w:tcPr>
          <w:p>
            <w:pPr>
              <w:pStyle w:val="1005"/>
              <w:ind w:left="57" w:right="57"/>
            </w:pPr>
            <w:r>
              <w:t xml:space="preserve">Статус утверждения</w:t>
            </w:r>
            <w:r/>
          </w:p>
        </w:tc>
        <w:tc>
          <w:tcPr>
            <w:shd w:val="clear" w:fill="auto" w:color="auto"/>
            <w:tcW w:w="3626" w:type="pct"/>
            <w:textDirection w:val="lrTb"/>
            <w:noWrap w:val="false"/>
          </w:tcPr>
          <w:p>
            <w:pPr>
              <w:pStyle w:val="1005"/>
              <w:ind w:left="57" w:right="57"/>
            </w:pPr>
            <w:r>
              <w:t xml:space="preserve">Код и наименование статуса утверждения документа. </w:t>
            </w:r>
            <w:r/>
          </w:p>
          <w:p>
            <w:pPr>
              <w:pStyle w:val="1005"/>
              <w:ind w:left="57" w:right="57"/>
            </w:pPr>
            <w:r>
              <w:t xml:space="preserve">Заполняется автоматически при обработке документа. Закрыто для редактирования.</w:t>
            </w:r>
            <w:r/>
          </w:p>
        </w:tc>
      </w:tr>
      <w:tr>
        <w:trPr>
          <w:trHeight w:val="77"/>
        </w:trPr>
        <w:tc>
          <w:tcPr>
            <w:shd w:val="clear" w:fill="auto" w:color="auto"/>
            <w:tcW w:w="1374" w:type="pct"/>
            <w:textDirection w:val="lrTb"/>
            <w:noWrap w:val="false"/>
          </w:tcPr>
          <w:p>
            <w:pPr>
              <w:pStyle w:val="1005"/>
              <w:ind w:left="57" w:right="57"/>
            </w:pPr>
            <w:r>
              <w:t xml:space="preserve">Руководитель (уполномоченное лицо).</w:t>
            </w:r>
            <w:r>
              <w:t xml:space="preserve"> </w:t>
            </w:r>
            <w:r>
              <w:t xml:space="preserve">Должность</w:t>
            </w:r>
            <w:r/>
          </w:p>
        </w:tc>
        <w:tc>
          <w:tcPr>
            <w:shd w:val="clear" w:fill="auto" w:color="auto"/>
            <w:tcW w:w="3626" w:type="pct"/>
            <w:textDirection w:val="lrTb"/>
            <w:noWrap w:val="false"/>
          </w:tcPr>
          <w:p>
            <w:pPr>
              <w:pStyle w:val="1005"/>
              <w:ind w:left="57" w:right="57"/>
            </w:pPr>
            <w:r>
              <w:t xml:space="preserve">Наименование должности руководителя.</w:t>
            </w:r>
            <w:r/>
          </w:p>
          <w:p>
            <w:pPr>
              <w:pStyle w:val="1005"/>
              <w:ind w:left="57" w:right="57"/>
            </w:pPr>
            <w:r>
              <w:t xml:space="preserve">Заполняется вручную.</w:t>
            </w:r>
            <w:r/>
          </w:p>
        </w:tc>
      </w:tr>
      <w:tr>
        <w:trPr>
          <w:trHeight w:val="77"/>
        </w:trPr>
        <w:tc>
          <w:tcPr>
            <w:shd w:val="clear" w:fill="auto" w:color="auto"/>
            <w:tcW w:w="1374" w:type="pct"/>
            <w:textDirection w:val="lrTb"/>
            <w:noWrap w:val="false"/>
          </w:tcPr>
          <w:p>
            <w:pPr>
              <w:pStyle w:val="1005"/>
              <w:ind w:left="57" w:right="57"/>
            </w:pPr>
            <w:r>
              <w:t xml:space="preserve">Руководитель (уполномоченное лицо). Ф.И.О.</w:t>
            </w:r>
            <w:r/>
          </w:p>
        </w:tc>
        <w:tc>
          <w:tcPr>
            <w:shd w:val="clear" w:fill="auto" w:color="auto"/>
            <w:tcW w:w="3626" w:type="pct"/>
            <w:textDirection w:val="lrTb"/>
            <w:noWrap w:val="false"/>
          </w:tcPr>
          <w:p>
            <w:pPr>
              <w:pStyle w:val="1005"/>
              <w:ind w:left="57" w:right="57"/>
            </w:pPr>
            <w:r>
              <w:t xml:space="preserve">ФИО руководителя.</w:t>
            </w:r>
            <w:r/>
          </w:p>
          <w:p>
            <w:pPr>
              <w:pStyle w:val="1005"/>
              <w:ind w:left="57" w:right="57"/>
            </w:pPr>
            <w:r>
              <w:t xml:space="preserve">Заполняется вручную.</w:t>
            </w:r>
            <w:r/>
          </w:p>
        </w:tc>
      </w:tr>
      <w:tr>
        <w:trPr>
          <w:trHeight w:val="77"/>
        </w:trPr>
        <w:tc>
          <w:tcPr>
            <w:shd w:val="clear" w:fill="auto" w:color="auto"/>
            <w:tcW w:w="1374" w:type="pct"/>
            <w:textDirection w:val="lrTb"/>
            <w:noWrap w:val="false"/>
          </w:tcPr>
          <w:p>
            <w:pPr>
              <w:pStyle w:val="1005"/>
              <w:ind w:left="57" w:right="57"/>
            </w:pPr>
            <w:r>
              <w:t xml:space="preserve">Главный бухгалтер (уполномоченное лицо). Должность</w:t>
            </w:r>
            <w:r/>
          </w:p>
        </w:tc>
        <w:tc>
          <w:tcPr>
            <w:shd w:val="clear" w:fill="auto" w:color="auto"/>
            <w:tcW w:w="3626" w:type="pct"/>
            <w:textDirection w:val="lrTb"/>
            <w:noWrap w:val="false"/>
          </w:tcPr>
          <w:p>
            <w:pPr>
              <w:pStyle w:val="1005"/>
              <w:ind w:left="57" w:right="57"/>
            </w:pPr>
            <w:r>
              <w:t xml:space="preserve">Наименование должности главного бухгалтера.</w:t>
            </w:r>
            <w:r/>
          </w:p>
          <w:p>
            <w:pPr>
              <w:pStyle w:val="1005"/>
              <w:ind w:left="57" w:right="57"/>
            </w:pPr>
            <w:r>
              <w:t xml:space="preserve">Заполняется вручную.</w:t>
            </w:r>
            <w:r/>
          </w:p>
        </w:tc>
      </w:tr>
      <w:tr>
        <w:trPr>
          <w:trHeight w:val="77"/>
        </w:trPr>
        <w:tc>
          <w:tcPr>
            <w:shd w:val="clear" w:fill="auto" w:color="auto"/>
            <w:tcW w:w="1374" w:type="pct"/>
            <w:textDirection w:val="lrTb"/>
            <w:noWrap w:val="false"/>
          </w:tcPr>
          <w:p>
            <w:pPr>
              <w:pStyle w:val="1005"/>
              <w:ind w:left="57" w:right="57"/>
            </w:pPr>
            <w:r>
              <w:t xml:space="preserve">Главный бухгалтер (уполномоченное лицо). Ф.И.О.</w:t>
            </w:r>
            <w:r/>
          </w:p>
        </w:tc>
        <w:tc>
          <w:tcPr>
            <w:shd w:val="clear" w:fill="auto" w:color="auto"/>
            <w:tcW w:w="3626" w:type="pct"/>
            <w:textDirection w:val="lrTb"/>
            <w:noWrap w:val="false"/>
          </w:tcPr>
          <w:p>
            <w:pPr>
              <w:pStyle w:val="1005"/>
              <w:ind w:left="57" w:right="57"/>
            </w:pPr>
            <w:r>
              <w:t xml:space="preserve">ФИО главного бухгалтера.</w:t>
            </w:r>
            <w:r/>
          </w:p>
          <w:p>
            <w:pPr>
              <w:pStyle w:val="1005"/>
              <w:ind w:left="57" w:right="57"/>
            </w:pPr>
            <w:r>
              <w:t xml:space="preserve">Заполняется вручную.</w:t>
            </w:r>
            <w:r/>
          </w:p>
        </w:tc>
      </w:tr>
      <w:tr>
        <w:trPr>
          <w:trHeight w:val="77"/>
        </w:trPr>
        <w:tc>
          <w:tcPr>
            <w:shd w:val="clear" w:fill="auto" w:color="auto"/>
            <w:tcW w:w="1374" w:type="pct"/>
            <w:textDirection w:val="lrTb"/>
            <w:noWrap w:val="false"/>
          </w:tcPr>
          <w:p>
            <w:pPr>
              <w:pStyle w:val="1005"/>
              <w:ind w:left="57" w:right="57"/>
            </w:pPr>
            <w:r>
              <w:t xml:space="preserve">Дата подписи</w:t>
            </w:r>
            <w:r/>
          </w:p>
        </w:tc>
        <w:tc>
          <w:tcPr>
            <w:shd w:val="clear" w:fill="auto" w:color="auto"/>
            <w:tcW w:w="3626" w:type="pct"/>
            <w:textDirection w:val="lrTb"/>
            <w:noWrap w:val="false"/>
          </w:tcPr>
          <w:p>
            <w:pPr>
              <w:pStyle w:val="1005"/>
              <w:ind w:left="57" w:right="57"/>
            </w:pPr>
            <w:r>
              <w:t xml:space="preserve">Дата подписания документа главным бухгалтером. </w:t>
            </w:r>
            <w:r/>
          </w:p>
          <w:p>
            <w:pPr>
              <w:pStyle w:val="1005"/>
              <w:ind w:left="57" w:right="57"/>
            </w:pPr>
            <w:r>
              <w:t xml:space="preserve">Заполняется вручную или выбором из календаря.</w:t>
            </w:r>
            <w:r/>
          </w:p>
        </w:tc>
      </w:tr>
      <w:tr>
        <w:trPr>
          <w:trHeight w:val="77"/>
        </w:trPr>
        <w:tc>
          <w:tcPr>
            <w:shd w:val="clear" w:fill="auto" w:color="auto"/>
            <w:tcW w:w="1374" w:type="pct"/>
            <w:textDirection w:val="lrTb"/>
            <w:noWrap w:val="false"/>
          </w:tcPr>
          <w:p>
            <w:pPr>
              <w:pStyle w:val="1005"/>
              <w:ind w:left="57" w:right="57"/>
            </w:pPr>
            <w:r>
              <w:t xml:space="preserve">Руководитель ФО (вышестоящей организации) (уполномоченное лицо).</w:t>
            </w:r>
            <w:r/>
          </w:p>
          <w:p>
            <w:pPr>
              <w:pStyle w:val="1005"/>
              <w:ind w:left="57" w:right="57"/>
            </w:pPr>
            <w:r>
              <w:t xml:space="preserve">Должность</w:t>
            </w:r>
            <w:r/>
          </w:p>
        </w:tc>
        <w:tc>
          <w:tcPr>
            <w:shd w:val="clear" w:fill="auto" w:color="auto"/>
            <w:tcW w:w="3626" w:type="pct"/>
            <w:textDirection w:val="lrTb"/>
            <w:noWrap w:val="false"/>
          </w:tcPr>
          <w:p>
            <w:pPr>
              <w:pStyle w:val="1005"/>
              <w:ind w:left="57" w:right="57"/>
            </w:pPr>
            <w:r>
              <w:t xml:space="preserve">Наименование должности руководителя ФО (вышестоящей организации).</w:t>
            </w:r>
            <w:r/>
          </w:p>
          <w:p>
            <w:pPr>
              <w:pStyle w:val="1005"/>
              <w:ind w:left="57" w:right="57"/>
            </w:pPr>
            <w:r>
              <w:t xml:space="preserve">Выбирается из списка сотрудников, либо вводится вручную.</w:t>
            </w:r>
            <w:r/>
          </w:p>
          <w:p>
            <w:pPr>
              <w:pStyle w:val="1005"/>
              <w:ind w:left="57" w:right="57"/>
            </w:pPr>
            <w:r>
              <w:t xml:space="preserve">Для </w:t>
            </w:r>
            <w:r>
              <w:t xml:space="preserve">ОФК-</w:t>
            </w:r>
            <w:r>
              <w:rPr>
                <w:lang w:val="en-US"/>
              </w:rPr>
              <w:t xml:space="preserve">offline</w:t>
            </w:r>
            <w:r>
              <w:t xml:space="preserve"> заполняется вручную.</w:t>
            </w:r>
            <w:r/>
          </w:p>
        </w:tc>
      </w:tr>
      <w:tr>
        <w:trPr>
          <w:trHeight w:val="77"/>
        </w:trPr>
        <w:tc>
          <w:tcPr>
            <w:shd w:val="clear" w:fill="auto" w:color="auto"/>
            <w:tcW w:w="1374" w:type="pct"/>
            <w:textDirection w:val="lrTb"/>
            <w:noWrap w:val="false"/>
          </w:tcPr>
          <w:p>
            <w:pPr>
              <w:pStyle w:val="1005"/>
              <w:ind w:left="57" w:right="57"/>
            </w:pPr>
            <w:r>
              <w:t xml:space="preserve">Руководитель ФО (вышестоящей организации) (уполномоченное лицо). Ф.И.О.</w:t>
            </w:r>
            <w:r/>
          </w:p>
        </w:tc>
        <w:tc>
          <w:tcPr>
            <w:shd w:val="clear" w:fill="auto" w:color="auto"/>
            <w:tcW w:w="3626" w:type="pct"/>
            <w:textDirection w:val="lrTb"/>
            <w:noWrap w:val="false"/>
          </w:tcPr>
          <w:p>
            <w:pPr>
              <w:pStyle w:val="1005"/>
              <w:ind w:left="57" w:right="57"/>
            </w:pPr>
            <w:r>
              <w:t xml:space="preserve">ФИО руководителя ФО (вышестоящей организации).</w:t>
            </w:r>
            <w:r/>
          </w:p>
          <w:p>
            <w:pPr>
              <w:pStyle w:val="1005"/>
              <w:ind w:left="57" w:right="57"/>
            </w:pPr>
            <w:r>
              <w:t xml:space="preserve">Значение подтягивается автоматически из справочника сотрудников после заполнения поля «Руководитель. Должность», либо вводится вручную.</w:t>
            </w:r>
            <w:r/>
          </w:p>
          <w:p>
            <w:pPr>
              <w:pStyle w:val="1005"/>
              <w:ind w:left="57" w:right="57"/>
            </w:pPr>
            <w:r>
              <w:t xml:space="preserve">Для </w:t>
            </w:r>
            <w:r>
              <w:t xml:space="preserve">ОФК-</w:t>
            </w:r>
            <w:r>
              <w:rPr>
                <w:lang w:val="en-US"/>
              </w:rPr>
              <w:t xml:space="preserve">offline</w:t>
            </w:r>
            <w:r>
              <w:t xml:space="preserve"> </w:t>
            </w:r>
            <w:r>
              <w:t xml:space="preserve">заполняется вручную.</w:t>
            </w:r>
            <w:r/>
          </w:p>
        </w:tc>
      </w:tr>
      <w:tr>
        <w:trPr>
          <w:trHeight w:val="77"/>
        </w:trPr>
        <w:tc>
          <w:tcPr>
            <w:shd w:val="clear" w:fill="auto" w:color="auto"/>
            <w:tcW w:w="1374" w:type="pct"/>
            <w:textDirection w:val="lrTb"/>
            <w:noWrap w:val="false"/>
          </w:tcPr>
          <w:p>
            <w:pPr>
              <w:pStyle w:val="1005"/>
              <w:ind w:left="57" w:right="57"/>
            </w:pPr>
            <w:r>
              <w:t xml:space="preserve">Главный бухгалтер ФО (уполномоченное лицо). Должность</w:t>
            </w:r>
            <w:r/>
          </w:p>
        </w:tc>
        <w:tc>
          <w:tcPr>
            <w:shd w:val="clear" w:fill="auto" w:color="auto"/>
            <w:tcW w:w="3626" w:type="pct"/>
            <w:textDirection w:val="lrTb"/>
            <w:noWrap w:val="false"/>
          </w:tcPr>
          <w:p>
            <w:pPr>
              <w:pStyle w:val="1005"/>
              <w:ind w:left="57" w:right="57"/>
            </w:pPr>
            <w:r>
              <w:t xml:space="preserve">Наименование должности главного бухгалтера ФО.</w:t>
            </w:r>
            <w:r/>
          </w:p>
          <w:p>
            <w:pPr>
              <w:pStyle w:val="1005"/>
              <w:ind w:left="57" w:right="57"/>
            </w:pPr>
            <w:r>
              <w:t xml:space="preserve">Выбирается из списка сотрудников, либо вводится вручную.</w:t>
            </w:r>
            <w:r/>
          </w:p>
          <w:p>
            <w:pPr>
              <w:pStyle w:val="1005"/>
              <w:ind w:left="57" w:right="57"/>
            </w:pPr>
            <w:r>
              <w:t xml:space="preserve">Для </w:t>
            </w:r>
            <w:r>
              <w:t xml:space="preserve">ОФК-</w:t>
            </w:r>
            <w:r>
              <w:rPr>
                <w:lang w:val="en-US"/>
              </w:rPr>
              <w:t xml:space="preserve">offline</w:t>
            </w:r>
            <w:r>
              <w:t xml:space="preserve"> </w:t>
            </w:r>
            <w:r>
              <w:t xml:space="preserve">заполняется вручную.</w:t>
            </w:r>
            <w:r/>
          </w:p>
        </w:tc>
      </w:tr>
      <w:tr>
        <w:trPr>
          <w:trHeight w:val="77"/>
        </w:trPr>
        <w:tc>
          <w:tcPr>
            <w:shd w:val="clear" w:fill="auto" w:color="auto"/>
            <w:tcW w:w="1374" w:type="pct"/>
            <w:textDirection w:val="lrTb"/>
            <w:noWrap w:val="false"/>
          </w:tcPr>
          <w:p>
            <w:pPr>
              <w:pStyle w:val="1005"/>
              <w:ind w:left="57" w:right="57"/>
            </w:pPr>
            <w:r>
              <w:t xml:space="preserve">Главный бухгалтер ФО (уполномоченное лицо). Ф.И.О.</w:t>
            </w:r>
            <w:r/>
          </w:p>
        </w:tc>
        <w:tc>
          <w:tcPr>
            <w:shd w:val="clear" w:fill="auto" w:color="auto"/>
            <w:tcW w:w="3626" w:type="pct"/>
            <w:textDirection w:val="lrTb"/>
            <w:noWrap w:val="false"/>
          </w:tcPr>
          <w:p>
            <w:pPr>
              <w:pStyle w:val="1005"/>
              <w:ind w:left="57" w:right="57"/>
            </w:pPr>
            <w:r>
              <w:t xml:space="preserve">ФИО главного бухгалтера ФО.</w:t>
            </w:r>
            <w:r/>
          </w:p>
          <w:p>
            <w:pPr>
              <w:pStyle w:val="1005"/>
              <w:ind w:left="57" w:right="57"/>
            </w:pPr>
            <w:r>
              <w:t xml:space="preserve">Значение подтягивается автоматически из справочника сотрудников после заполнения поля «Главный бухгалтер. Должность», либо вводится вручную.</w:t>
            </w:r>
            <w:r/>
          </w:p>
        </w:tc>
      </w:tr>
      <w:tr>
        <w:trPr>
          <w:trHeight w:val="77"/>
        </w:trPr>
        <w:tc>
          <w:tcPr>
            <w:shd w:val="clear" w:fill="auto" w:color="auto"/>
            <w:tcW w:w="1374" w:type="pct"/>
            <w:textDirection w:val="lrTb"/>
            <w:noWrap w:val="false"/>
          </w:tcPr>
          <w:p>
            <w:pPr>
              <w:pStyle w:val="1005"/>
              <w:ind w:left="57" w:right="57"/>
            </w:pPr>
            <w:r>
              <w:t xml:space="preserve">Дата подписи</w:t>
            </w:r>
            <w:r/>
          </w:p>
        </w:tc>
        <w:tc>
          <w:tcPr>
            <w:shd w:val="clear" w:fill="auto" w:color="auto"/>
            <w:tcW w:w="3626" w:type="pct"/>
            <w:textDirection w:val="lrTb"/>
            <w:noWrap w:val="false"/>
          </w:tcPr>
          <w:p>
            <w:pPr>
              <w:pStyle w:val="1005"/>
              <w:ind w:left="57" w:right="57"/>
            </w:pPr>
            <w:r>
              <w:t xml:space="preserve">Дата подписания документа главным бухгалтером ФО. </w:t>
            </w:r>
            <w:r/>
          </w:p>
          <w:p>
            <w:pPr>
              <w:pStyle w:val="1005"/>
              <w:ind w:left="57" w:right="57"/>
            </w:pPr>
            <w:r>
              <w:t xml:space="preserve">Заполняется вручную, либо выбором значения из системного календаря.</w:t>
            </w:r>
            <w:r/>
          </w:p>
        </w:tc>
      </w:tr>
    </w:tbl>
    <w:p>
      <w:pPr>
        <w:pStyle w:val="971"/>
      </w:pPr>
      <w:r/>
      <w:bookmarkStart w:id="1938" w:name="_Ref294021825"/>
      <w:r/>
      <w:bookmarkStart w:id="1939" w:name="_Toc294022056"/>
      <w:r/>
      <w:bookmarkStart w:id="1940" w:name="_Toc422496748"/>
      <w:r/>
      <w:bookmarkStart w:id="1941" w:name="_Toc88819173"/>
      <w:r>
        <w:t xml:space="preserve">Группа документов «Ведение КБК»</w:t>
      </w:r>
      <w:bookmarkEnd w:id="1938"/>
      <w:r/>
      <w:bookmarkEnd w:id="1939"/>
      <w:r/>
      <w:bookmarkEnd w:id="1940"/>
      <w:r/>
      <w:bookmarkEnd w:id="1941"/>
      <w:r/>
      <w:r/>
    </w:p>
    <w:p>
      <w:pPr>
        <w:pStyle w:val="972"/>
      </w:pPr>
      <w:r/>
      <w:bookmarkStart w:id="1942" w:name="_Сведения_о_КБК"/>
      <w:r/>
      <w:bookmarkStart w:id="1943" w:name="_Toc294022057"/>
      <w:r/>
      <w:bookmarkStart w:id="1944" w:name="_Ref294515523"/>
      <w:r/>
      <w:bookmarkStart w:id="1945" w:name="_Ref318366481"/>
      <w:r/>
      <w:bookmarkStart w:id="1946" w:name="_Ref318366928"/>
      <w:r/>
      <w:bookmarkStart w:id="1947" w:name="_Ref324927966"/>
      <w:r/>
      <w:bookmarkStart w:id="1948" w:name="_Ref328566985"/>
      <w:r/>
      <w:bookmarkStart w:id="1949" w:name="_Ref331503789"/>
      <w:r/>
      <w:bookmarkStart w:id="1950" w:name="_Ref336355460"/>
      <w:r/>
      <w:bookmarkStart w:id="1951" w:name="_Ref339455954"/>
      <w:r/>
      <w:bookmarkStart w:id="1952" w:name="_Ref369022921"/>
      <w:r/>
      <w:bookmarkStart w:id="1953" w:name="_Ref369623886"/>
      <w:r/>
      <w:bookmarkStart w:id="1954" w:name="_Ref373484305"/>
      <w:r/>
      <w:bookmarkStart w:id="1955" w:name="_Ref388026049"/>
      <w:r/>
      <w:bookmarkStart w:id="1956" w:name="_Ref410833409"/>
      <w:r/>
      <w:bookmarkStart w:id="1957" w:name="_Ref413146061"/>
      <w:r/>
      <w:bookmarkStart w:id="1958" w:name="_Toc422496749"/>
      <w:r/>
      <w:bookmarkStart w:id="1959" w:name="_Ref459708060"/>
      <w:r/>
      <w:bookmarkStart w:id="1960" w:name="_Ref476058582"/>
      <w:r/>
      <w:bookmarkStart w:id="1961" w:name="_Ref515889774"/>
      <w:r/>
      <w:bookmarkStart w:id="1962" w:name="_Toc88819174"/>
      <w:r/>
      <w:bookmarkEnd w:id="1942"/>
      <w:r>
        <w:t xml:space="preserve">Сведения о КБК</w:t>
      </w:r>
      <w:bookmarkEnd w:id="1943"/>
      <w:r/>
      <w:bookmarkEnd w:id="1944"/>
      <w:r/>
      <w:bookmarkEnd w:id="1945"/>
      <w:r/>
      <w:bookmarkEnd w:id="1946"/>
      <w:r/>
      <w:bookmarkEnd w:id="1947"/>
      <w:r/>
      <w:bookmarkEnd w:id="1948"/>
      <w:r/>
      <w:bookmarkEnd w:id="1949"/>
      <w:r/>
      <w:bookmarkEnd w:id="1950"/>
      <w:r/>
      <w:bookmarkEnd w:id="1951"/>
      <w:r/>
      <w:bookmarkEnd w:id="1952"/>
      <w:r/>
      <w:bookmarkEnd w:id="1953"/>
      <w:r/>
      <w:bookmarkEnd w:id="1954"/>
      <w:r/>
      <w:bookmarkEnd w:id="1955"/>
      <w:r/>
      <w:bookmarkEnd w:id="1956"/>
      <w:r/>
      <w:bookmarkEnd w:id="1957"/>
      <w:r/>
      <w:bookmarkEnd w:id="1958"/>
      <w:r/>
      <w:bookmarkEnd w:id="1959"/>
      <w:r/>
      <w:bookmarkEnd w:id="1960"/>
      <w:r/>
      <w:bookmarkEnd w:id="1961"/>
      <w:r/>
      <w:bookmarkEnd w:id="1962"/>
      <w:r/>
      <w:r/>
    </w:p>
    <w:p>
      <w:pPr>
        <w:pStyle w:val="994"/>
      </w:pPr>
      <w:r>
        <w:t xml:space="preserve">Документ «Сведения о КБК» предназначен для внесения новой информации в справочники бюджетной классификации. Документ формируется финансовым органом соответ</w:t>
      </w:r>
      <w:r>
        <w:t xml:space="preserve">ствующего бюджета и передается из АРМ ФО в электронном виде или на бумажном носителе в УФК.</w:t>
      </w:r>
      <w:r/>
    </w:p>
    <w:p>
      <w:pPr>
        <w:pStyle w:val="994"/>
      </w:pPr>
      <w:r>
        <w:t xml:space="preserve">Если ФО обслуживается в ОФК, то документ доводится до УФК через АРМ ОФК. Если ФО не имеет собственного АРМ, ввод документа осуществляется сотрудником ОФК в оперзале ОФК.</w:t>
      </w:r>
      <w:r/>
    </w:p>
    <w:p>
      <w:pPr>
        <w:pStyle w:val="994"/>
      </w:pPr>
      <w:r>
        <w:t xml:space="preserve">Для работы с документами </w:t>
      </w:r>
      <w:r>
        <w:t xml:space="preserve">«Сведения о КБК» следует перейти в пункт меню «Документы – Ведение КБК – Сведения о КБК». Откроется ЭФ списка документов, представленная на рисунке</w:t>
      </w:r>
      <w:r>
        <w:t xml:space="preserve"> </w:t>
      </w:r>
      <w:r>
        <w:fldChar w:fldCharType="begin"/>
      </w:r>
      <w:r>
        <w:instrText xml:space="preserve"> REF _Ref294021734 \h  \* MERGEFORMAT </w:instrText>
      </w:r>
      <w:r>
        <w:fldChar w:fldCharType="separate"/>
      </w:r>
      <w:r>
        <w:t xml:space="preserve">295</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3108960"/>
                <wp:effectExtent l="0" t="0" r="0" b="0"/>
                <wp:docPr id="43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84"/>
                        <a:stretch/>
                      </pic:blipFill>
                      <pic:spPr bwMode="auto">
                        <a:xfrm>
                          <a:off x="0" y="0"/>
                          <a:ext cx="6118860" cy="31089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5" o:spid="_x0000_s435" type="#_x0000_t75" style="mso-wrap-distance-left:0.0pt;mso-wrap-distance-top:0.0pt;mso-wrap-distance-right:0.0pt;mso-wrap-distance-bottom:0.0pt;width:481.8pt;height:244.8pt;" stroked="f">
                <v:path textboxrect="0,0,0,0"/>
                <v:imagedata r:id="rId384" o:title=""/>
              </v:shape>
            </w:pict>
          </mc:Fallback>
        </mc:AlternateContent>
      </w:r>
      <w:r/>
    </w:p>
    <w:p>
      <w:pPr>
        <w:pStyle w:val="983"/>
      </w:pPr>
      <w:r>
        <w:fldChar w:fldCharType="begin"/>
      </w:r>
      <w:r>
        <w:instrText xml:space="preserve"> SEQ Рисунок \* ARABIC </w:instrText>
      </w:r>
      <w:r>
        <w:fldChar w:fldCharType="separate"/>
      </w:r>
      <w:bookmarkStart w:id="1963" w:name="_Ref294021734"/>
      <w:r/>
      <w:bookmarkStart w:id="1964" w:name="_Toc88819680"/>
      <w:r>
        <w:t xml:space="preserve">295</w:t>
      </w:r>
      <w:bookmarkEnd w:id="1963"/>
      <w:r>
        <w:fldChar w:fldCharType="end"/>
      </w:r>
      <w:r>
        <w:t xml:space="preserve">. ЭФ списка документов «Сведения о КБК»</w:t>
      </w:r>
      <w:bookmarkEnd w:id="1964"/>
      <w:r/>
      <w:r/>
    </w:p>
    <w:p>
      <w:pPr>
        <w:pStyle w:val="973"/>
      </w:pPr>
      <w:r>
        <w:t xml:space="preserve">Доступные операции</w:t>
      </w:r>
      <w:r/>
    </w:p>
    <w:p>
      <w:pPr>
        <w:pStyle w:val="994"/>
      </w:pPr>
      <w:r>
        <w:t xml:space="preserve">На АРМ ФО </w:t>
      </w:r>
      <w:r>
        <w:t xml:space="preserve">доступны следующие операции над документом</w:t>
      </w:r>
      <w:r>
        <w:t xml:space="preserve">:</w:t>
      </w:r>
      <w:r/>
    </w:p>
    <w:p>
      <w:pPr>
        <w:pStyle w:val="985"/>
      </w:pPr>
      <w:r>
        <w:t xml:space="preserve">ввод вручную;</w:t>
      </w:r>
      <w:r/>
    </w:p>
    <w:p>
      <w:pPr>
        <w:pStyle w:val="985"/>
      </w:pPr>
      <w:r>
        <w:t xml:space="preserve">импорт из внешней системы (формат СЭД);</w:t>
      </w:r>
      <w:r/>
    </w:p>
    <w:p>
      <w:pPr>
        <w:pStyle w:val="985"/>
      </w:pPr>
      <w:r>
        <w:t xml:space="preserve">документарный контроль;</w:t>
      </w:r>
      <w:r/>
    </w:p>
    <w:p>
      <w:pPr>
        <w:pStyle w:val="985"/>
      </w:pPr>
      <w:r>
        <w:t xml:space="preserve">подписание</w:t>
      </w:r>
      <w:r>
        <w:t xml:space="preserve">, проверка</w:t>
      </w:r>
      <w:r>
        <w:t xml:space="preserve"> </w:t>
      </w:r>
      <w:r>
        <w:t xml:space="preserve">и удаление </w:t>
      </w:r>
      <w:r>
        <w:t xml:space="preserve">ЭП</w:t>
      </w:r>
      <w:r>
        <w:t xml:space="preserve">;</w:t>
      </w:r>
      <w:r/>
    </w:p>
    <w:p>
      <w:pPr>
        <w:pStyle w:val="985"/>
      </w:pPr>
      <w:r>
        <w:t xml:space="preserve">просмотр и редактирование;</w:t>
      </w:r>
      <w:r/>
    </w:p>
    <w:p>
      <w:pPr>
        <w:pStyle w:val="985"/>
      </w:pPr>
      <w:r>
        <w:t xml:space="preserve">копирование и </w:t>
      </w:r>
      <w:r>
        <w:t xml:space="preserve">удаление;</w:t>
      </w:r>
      <w:r/>
    </w:p>
    <w:p>
      <w:pPr>
        <w:pStyle w:val="985"/>
      </w:pPr>
      <w:r>
        <w:t xml:space="preserve">печать;</w:t>
      </w:r>
      <w:r/>
    </w:p>
    <w:p>
      <w:pPr>
        <w:pStyle w:val="985"/>
      </w:pPr>
      <w:r>
        <w:t xml:space="preserve">отправка в УФК</w:t>
      </w:r>
      <w:r>
        <w:t xml:space="preserve">;</w:t>
      </w:r>
      <w:r/>
    </w:p>
    <w:p>
      <w:pPr>
        <w:pStyle w:val="985"/>
      </w:pPr>
      <w:r>
        <w:t xml:space="preserve">актуализация статуса</w:t>
      </w:r>
      <w:r>
        <w:t xml:space="preserve">.</w:t>
      </w:r>
      <w:r/>
    </w:p>
    <w:p>
      <w:pPr>
        <w:pStyle w:val="973"/>
      </w:pPr>
      <w:r/>
      <w:bookmarkStart w:id="1965" w:name="_Экранная_форма_документа_5"/>
      <w:r/>
      <w:bookmarkStart w:id="1966" w:name="_Ref324928617"/>
      <w:r/>
      <w:bookmarkEnd w:id="1965"/>
      <w:r>
        <w:t xml:space="preserve">Экранная форма документа</w:t>
      </w:r>
      <w:bookmarkEnd w:id="1966"/>
      <w:r/>
      <w:r/>
    </w:p>
    <w:p>
      <w:pPr>
        <w:pStyle w:val="994"/>
      </w:pPr>
      <w:r>
        <w:t xml:space="preserve">ЭФ документа «Сведения о КБК» представлена на рисунке </w:t>
      </w:r>
      <w:r>
        <w:fldChar w:fldCharType="begin"/>
      </w:r>
      <w:r>
        <w:instrText xml:space="preserve"> REF _Ref294019794 \h  \* MERGEFORMAT </w:instrText>
      </w:r>
      <w:r>
        <w:fldChar w:fldCharType="separate"/>
      </w:r>
      <w:r>
        <w:t xml:space="preserve">296</w:t>
      </w:r>
      <w:r>
        <w:fldChar w:fldCharType="end"/>
      </w:r>
      <w:r>
        <w:t xml:space="preserve">. Форма содержит следующие закладки:</w:t>
      </w:r>
      <w:r/>
    </w:p>
    <w:p>
      <w:pPr>
        <w:pStyle w:val="985"/>
      </w:pPr>
      <w:r>
        <w:t xml:space="preserve">«</w:t>
      </w:r>
      <w:r>
        <w:t xml:space="preserve">Документ (1)</w:t>
      </w:r>
      <w:r>
        <w:t xml:space="preserve">»</w:t>
      </w:r>
      <w:r>
        <w:t xml:space="preserve">:</w:t>
      </w:r>
      <w:r/>
    </w:p>
    <w:p>
      <w:pPr>
        <w:pStyle w:val="986"/>
      </w:pPr>
      <w:r>
        <w:t xml:space="preserve">«</w:t>
      </w:r>
      <w:r>
        <w:t xml:space="preserve">Основные атрибуты</w:t>
      </w:r>
      <w:r>
        <w:t xml:space="preserve">»</w:t>
      </w:r>
      <w:r>
        <w:t xml:space="preserve">;</w:t>
      </w:r>
      <w:r/>
    </w:p>
    <w:p>
      <w:pPr>
        <w:pStyle w:val="986"/>
      </w:pPr>
      <w:r>
        <w:t xml:space="preserve">«</w:t>
      </w:r>
      <w:r>
        <w:t xml:space="preserve">Ведомства</w:t>
      </w:r>
      <w:r>
        <w:t xml:space="preserve">»</w:t>
      </w:r>
      <w:r>
        <w:t xml:space="preserve">;</w:t>
      </w:r>
      <w:r/>
    </w:p>
    <w:p>
      <w:pPr>
        <w:pStyle w:val="986"/>
      </w:pPr>
      <w:r>
        <w:t xml:space="preserve">«</w:t>
      </w:r>
      <w:r>
        <w:t xml:space="preserve">Целевые статьи ФКР</w:t>
      </w:r>
      <w:r>
        <w:t xml:space="preserve">»</w:t>
      </w:r>
      <w:r>
        <w:t xml:space="preserve">;</w:t>
      </w:r>
      <w:r/>
    </w:p>
    <w:p>
      <w:pPr>
        <w:pStyle w:val="986"/>
      </w:pPr>
      <w:r>
        <w:t xml:space="preserve">«</w:t>
      </w:r>
      <w:r>
        <w:t xml:space="preserve">Программы/Подпрограммы</w:t>
      </w:r>
      <w:r>
        <w:t xml:space="preserve">»</w:t>
      </w:r>
      <w:r>
        <w:t xml:space="preserve">;</w:t>
      </w:r>
      <w:r/>
    </w:p>
    <w:p>
      <w:pPr>
        <w:pStyle w:val="986"/>
      </w:pPr>
      <w:r>
        <w:t xml:space="preserve">«</w:t>
      </w:r>
      <w:r>
        <w:t xml:space="preserve">КБК</w:t>
      </w:r>
      <w:r>
        <w:t xml:space="preserve">»</w:t>
      </w:r>
      <w:r>
        <w:t xml:space="preserve">;</w:t>
      </w:r>
      <w:r/>
    </w:p>
    <w:p>
      <w:pPr>
        <w:pStyle w:val="986"/>
      </w:pPr>
      <w:r>
        <w:t xml:space="preserve">«</w:t>
      </w:r>
      <w:r>
        <w:t xml:space="preserve">Цели субсидий/Субвенций</w:t>
      </w:r>
      <w:r>
        <w:t xml:space="preserve">»</w:t>
      </w:r>
      <w:r>
        <w:t xml:space="preserve">;</w:t>
      </w:r>
      <w:r/>
    </w:p>
    <w:p>
      <w:pPr>
        <w:pStyle w:val="985"/>
      </w:pPr>
      <w:r>
        <w:t xml:space="preserve">«</w:t>
      </w:r>
      <w:r>
        <w:t xml:space="preserve">Дополнительные атрибуты (2)</w:t>
      </w:r>
      <w:r>
        <w:t xml:space="preserve">»</w:t>
      </w:r>
      <w:r>
        <w:t xml:space="preserve">;</w:t>
      </w:r>
      <w:r/>
    </w:p>
    <w:p>
      <w:pPr>
        <w:pStyle w:val="985"/>
      </w:pPr>
      <w:r>
        <w:t xml:space="preserve">«Примечание (3)»;</w:t>
      </w:r>
      <w:r/>
    </w:p>
    <w:p>
      <w:pPr>
        <w:pStyle w:val="985"/>
      </w:pPr>
      <w:r>
        <w:t xml:space="preserve">«Протоколы».</w:t>
      </w:r>
      <w:r/>
    </w:p>
    <w:p>
      <w:pPr>
        <w:pStyle w:val="982"/>
      </w:pPr>
      <w:r>
        <mc:AlternateContent>
          <mc:Choice Requires="wpg">
            <w:drawing>
              <wp:inline xmlns:wp="http://schemas.openxmlformats.org/drawingml/2006/wordprocessingDrawing" distT="0" distB="0" distL="0" distR="0">
                <wp:extent cx="6149340" cy="4297680"/>
                <wp:effectExtent l="0" t="0" r="0" b="0"/>
                <wp:docPr id="43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85"/>
                        <a:stretch/>
                      </pic:blipFill>
                      <pic:spPr bwMode="auto">
                        <a:xfrm>
                          <a:off x="0" y="0"/>
                          <a:ext cx="6149340" cy="42976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6" o:spid="_x0000_s436" type="#_x0000_t75" style="mso-wrap-distance-left:0.0pt;mso-wrap-distance-top:0.0pt;mso-wrap-distance-right:0.0pt;mso-wrap-distance-bottom:0.0pt;width:484.2pt;height:338.4pt;" stroked="f">
                <v:path textboxrect="0,0,0,0"/>
                <v:imagedata r:id="rId385" o:title=""/>
              </v:shape>
            </w:pict>
          </mc:Fallback>
        </mc:AlternateContent>
      </w:r>
      <w:r/>
    </w:p>
    <w:p>
      <w:pPr>
        <w:pStyle w:val="983"/>
      </w:pPr>
      <w:r>
        <w:fldChar w:fldCharType="begin"/>
      </w:r>
      <w:r>
        <w:instrText xml:space="preserve"> SEQ Рисунок \* ARABIC </w:instrText>
      </w:r>
      <w:r>
        <w:fldChar w:fldCharType="separate"/>
      </w:r>
      <w:bookmarkStart w:id="1967" w:name="_Ref294019794"/>
      <w:r/>
      <w:bookmarkStart w:id="1968" w:name="_Toc88819681"/>
      <w:r>
        <w:t xml:space="preserve">296</w:t>
      </w:r>
      <w:bookmarkEnd w:id="1967"/>
      <w:r>
        <w:fldChar w:fldCharType="end"/>
      </w:r>
      <w:r>
        <w:t xml:space="preserve">. ЭФ документа «Сведения о КБК</w:t>
      </w:r>
      <w:r>
        <w:t xml:space="preserve">», </w:t>
      </w:r>
      <w:r>
        <w:t xml:space="preserve">закладки «</w:t>
      </w:r>
      <w:r>
        <w:t xml:space="preserve">Документ (1)</w:t>
      </w:r>
      <w:r>
        <w:t xml:space="preserve">», в</w:t>
      </w:r>
      <w:r>
        <w:t xml:space="preserve">кладки «</w:t>
      </w:r>
      <w:r>
        <w:t xml:space="preserve">Основные атрибуты»</w:t>
      </w:r>
      <w:bookmarkEnd w:id="1968"/>
      <w:r/>
      <w:r/>
    </w:p>
    <w:p>
      <w:pPr>
        <w:pStyle w:val="994"/>
      </w:pPr>
      <w:r>
        <w:t xml:space="preserve">При импорте документа из внешней системы поля формы автоматически заполняются данными загрузочного файла. При вводе документа вручную поля закладок заполняются в соответствии с данными бумажного документа, предоставленного </w:t>
      </w:r>
      <w:r>
        <w:t xml:space="preserve">клиентом</w:t>
      </w:r>
      <w:r>
        <w:t xml:space="preserve">.</w:t>
      </w:r>
      <w:r>
        <w:t xml:space="preserve"> </w:t>
      </w:r>
      <w:r>
        <w:t xml:space="preserve">Для ручного ввода документа следует на ЭФ </w:t>
      </w:r>
      <w:r>
        <w:t xml:space="preserve">документа</w:t>
      </w:r>
      <w:r>
        <w:t xml:space="preserve"> заполнить поля, доступные для редактирования. </w:t>
      </w:r>
      <w:r/>
    </w:p>
    <w:p>
      <w:pPr>
        <w:pStyle w:val="994"/>
      </w:pPr>
      <w:r>
        <w:t xml:space="preserve">Перечень полей</w:t>
      </w:r>
      <w:r>
        <w:t xml:space="preserve"> </w:t>
      </w:r>
      <w:r>
        <w:t xml:space="preserve">документа «Сведения о КБК», </w:t>
      </w:r>
      <w:r>
        <w:t xml:space="preserve">закладки «</w:t>
      </w:r>
      <w:r>
        <w:t xml:space="preserve">Документ (1)</w:t>
      </w:r>
      <w:r>
        <w:t xml:space="preserve">», вкладки «</w:t>
      </w:r>
      <w:r>
        <w:t xml:space="preserve">Основные атрибуты»</w:t>
      </w:r>
      <w:r>
        <w:t xml:space="preserve"> </w:t>
      </w:r>
      <w:r>
        <w:t xml:space="preserve">приведен в таблице</w:t>
      </w:r>
      <w:r>
        <w:t xml:space="preserve"> </w:t>
      </w:r>
      <w:r>
        <w:fldChar w:fldCharType="begin"/>
      </w:r>
      <w:r>
        <w:instrText xml:space="preserve"> REF _Ref318715593 \h  \* MERGEFORMAT </w:instrText>
      </w:r>
      <w:r>
        <w:fldChar w:fldCharType="separate"/>
      </w:r>
      <w:r>
        <w:t xml:space="preserve">172</w:t>
      </w:r>
      <w:r>
        <w:fldChar w:fldCharType="end"/>
      </w:r>
      <w:r>
        <w:t xml:space="preserve">.</w:t>
      </w:r>
      <w:r/>
    </w:p>
    <w:p>
      <w:pPr>
        <w:pStyle w:val="993"/>
      </w:pPr>
      <w:r>
        <w:fldChar w:fldCharType="begin"/>
      </w:r>
      <w:r>
        <w:instrText xml:space="preserve"> SEQ Таблица \* ARABIC </w:instrText>
      </w:r>
      <w:r>
        <w:fldChar w:fldCharType="separate"/>
      </w:r>
      <w:bookmarkStart w:id="1969" w:name="_Ref318715593"/>
      <w:r/>
      <w:bookmarkStart w:id="1970" w:name="_Ref317678827"/>
      <w:r/>
      <w:bookmarkStart w:id="1971" w:name="_Ref294021758"/>
      <w:r/>
      <w:bookmarkStart w:id="1972" w:name="_Toc88819359"/>
      <w:r>
        <w:t xml:space="preserve">172</w:t>
      </w:r>
      <w:bookmarkEnd w:id="1969"/>
      <w:r/>
      <w:bookmarkEnd w:id="1970"/>
      <w:r/>
      <w:bookmarkEnd w:id="1971"/>
      <w:r>
        <w:fldChar w:fldCharType="end"/>
      </w:r>
      <w:r>
        <w:t xml:space="preserve">. Описание полей документа «Сведения о КБК</w:t>
      </w:r>
      <w:r>
        <w:t xml:space="preserve">», </w:t>
      </w:r>
      <w:r>
        <w:t xml:space="preserve">в</w:t>
      </w:r>
      <w:r>
        <w:t xml:space="preserve">кладки «</w:t>
      </w:r>
      <w:r>
        <w:t xml:space="preserve">Основные атрибуты»</w:t>
      </w:r>
      <w:bookmarkEnd w:id="1972"/>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37"/>
        <w:gridCol w:w="7415"/>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198"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02" w:type="pct"/>
            <w:vAlign w:val="center"/>
            <w:textDirection w:val="lrTb"/>
            <w:noWrap w:val="false"/>
          </w:tcPr>
          <w:p>
            <w:pPr>
              <w:pStyle w:val="1006"/>
            </w:pPr>
            <w:r>
              <w:t xml:space="preserve">Описание</w:t>
            </w:r>
            <w:r>
              <w:t xml:space="preserve"> поля</w:t>
            </w:r>
            <w:r/>
          </w:p>
        </w:tc>
      </w:tr>
      <w:tr>
        <w:trPr/>
        <w:tc>
          <w:tcPr>
            <w:shd w:val="clear" w:fill="auto" w:color="auto"/>
            <w:tcW w:w="1198" w:type="pct"/>
            <w:textDirection w:val="lrTb"/>
            <w:noWrap w:val="false"/>
          </w:tcPr>
          <w:p>
            <w:pPr>
              <w:pStyle w:val="1005"/>
              <w:ind w:left="57" w:right="57"/>
            </w:pPr>
            <w:r>
              <w:t xml:space="preserve">Рег. </w:t>
            </w:r>
            <w:r>
              <w:t xml:space="preserve">Н</w:t>
            </w:r>
            <w:r>
              <w:t xml:space="preserve">омер</w:t>
            </w:r>
            <w:r/>
          </w:p>
        </w:tc>
        <w:tc>
          <w:tcPr>
            <w:shd w:val="clear" w:fill="auto" w:color="auto"/>
            <w:tcW w:w="3802" w:type="pct"/>
            <w:textDirection w:val="lrTb"/>
            <w:noWrap w:val="false"/>
          </w:tcPr>
          <w:p>
            <w:pPr>
              <w:pStyle w:val="1005"/>
              <w:ind w:left="57" w:right="57"/>
            </w:pPr>
            <w:r>
              <w:t xml:space="preserve">Регистрационный номер документа.</w:t>
            </w:r>
            <w:r/>
          </w:p>
          <w:p>
            <w:pPr>
              <w:pStyle w:val="1005"/>
              <w:ind w:left="57" w:right="57"/>
            </w:pPr>
            <w:r>
              <w:t xml:space="preserve">Заполняется в</w:t>
            </w:r>
            <w:r>
              <w:t xml:space="preserve">ручную.</w:t>
            </w:r>
            <w:r/>
          </w:p>
        </w:tc>
      </w:tr>
      <w:tr>
        <w:trPr/>
        <w:tc>
          <w:tcPr>
            <w:shd w:val="clear" w:fill="auto" w:color="auto"/>
            <w:tcW w:w="1198" w:type="pct"/>
            <w:textDirection w:val="lrTb"/>
            <w:noWrap w:val="false"/>
          </w:tcPr>
          <w:p>
            <w:pPr>
              <w:pStyle w:val="1005"/>
              <w:ind w:left="57" w:right="57"/>
            </w:pPr>
            <w:r>
              <w:t xml:space="preserve">Рег. </w:t>
            </w:r>
            <w:r>
              <w:t xml:space="preserve">Д</w:t>
            </w:r>
            <w:r>
              <w:t xml:space="preserve">ата</w:t>
            </w:r>
            <w:r/>
          </w:p>
        </w:tc>
        <w:tc>
          <w:tcPr>
            <w:shd w:val="clear" w:fill="auto" w:color="auto"/>
            <w:tcW w:w="3802" w:type="pct"/>
            <w:textDirection w:val="lrTb"/>
            <w:noWrap w:val="false"/>
          </w:tcPr>
          <w:p>
            <w:pPr>
              <w:pStyle w:val="1005"/>
              <w:ind w:left="57" w:right="57"/>
            </w:pPr>
            <w:r>
              <w:t xml:space="preserve">Регистрационная дата документа.</w:t>
            </w:r>
            <w:r/>
          </w:p>
          <w:p>
            <w:pPr>
              <w:pStyle w:val="1005"/>
              <w:ind w:left="57" w:right="57"/>
            </w:pPr>
            <w:r>
              <w:t xml:space="preserve">Поле </w:t>
            </w:r>
            <w:r>
              <w:t xml:space="preserve">заполняется вручную или выбором значения из системного календ</w:t>
            </w:r>
            <w:r>
              <w:t xml:space="preserve">а</w:t>
            </w:r>
            <w:r>
              <w:t xml:space="preserve">ря.</w:t>
            </w:r>
            <w:r/>
          </w:p>
        </w:tc>
      </w:tr>
      <w:tr>
        <w:trPr/>
        <w:tc>
          <w:tcPr>
            <w:gridSpan w:val="2"/>
            <w:shd w:val="clear" w:fill="auto" w:color="auto"/>
            <w:tcW w:w="5000" w:type="pct"/>
            <w:textDirection w:val="lrTb"/>
            <w:noWrap w:val="false"/>
          </w:tcPr>
          <w:p>
            <w:pPr>
              <w:pStyle w:val="1005"/>
              <w:ind w:left="57" w:right="57"/>
            </w:pPr>
            <w:r>
              <w:t xml:space="preserve">Вкладка «</w:t>
            </w:r>
            <w:r>
              <w:t xml:space="preserve">О</w:t>
            </w:r>
            <w:r>
              <w:t xml:space="preserve">с</w:t>
            </w:r>
            <w:r>
              <w:t xml:space="preserve">новные атрибуты»</w:t>
            </w:r>
            <w:r/>
          </w:p>
        </w:tc>
      </w:tr>
      <w:tr>
        <w:trPr/>
        <w:tc>
          <w:tcPr>
            <w:shd w:val="clear" w:fill="auto" w:color="auto"/>
            <w:tcW w:w="1198" w:type="pct"/>
            <w:textDirection w:val="lrTb"/>
            <w:noWrap w:val="false"/>
          </w:tcPr>
          <w:p>
            <w:pPr>
              <w:pStyle w:val="1005"/>
              <w:ind w:left="57" w:right="57"/>
            </w:pPr>
            <w:r>
              <w:t xml:space="preserve">Откуда (Участник б</w:t>
            </w:r>
            <w:r>
              <w:t xml:space="preserve">ю</w:t>
            </w:r>
            <w:r>
              <w:t xml:space="preserve">д</w:t>
            </w:r>
            <w:r>
              <w:t xml:space="preserve">жетного проце</w:t>
            </w:r>
            <w:r>
              <w:t xml:space="preserve">с</w:t>
            </w:r>
            <w:r>
              <w:t xml:space="preserve">са)</w:t>
            </w:r>
            <w:r/>
          </w:p>
        </w:tc>
        <w:tc>
          <w:tcPr>
            <w:shd w:val="clear" w:fill="auto" w:color="auto"/>
            <w:tcW w:w="3802" w:type="pct"/>
            <w:textDirection w:val="lrTb"/>
            <w:noWrap w:val="false"/>
          </w:tcPr>
          <w:p>
            <w:pPr>
              <w:pStyle w:val="1008"/>
              <w:numPr>
                <w:ilvl w:val="0"/>
                <w:numId w:val="70"/>
              </w:numPr>
            </w:pPr>
            <w:r>
              <w:t xml:space="preserve">Если Признак перехода на СР = 0, то:</w:t>
            </w:r>
            <w:r/>
          </w:p>
          <w:p>
            <w:pPr>
              <w:pStyle w:val="1005"/>
              <w:ind w:left="57" w:right="57"/>
            </w:pPr>
            <w:r>
              <w:t xml:space="preserve">ФО: Заполняется автоматически на основании указанного значения в поле </w:t>
            </w:r>
            <w:r>
              <w:t xml:space="preserve">«по Сводному реестру» (с учётом бюджета </w:t>
            </w:r>
            <w:r>
              <w:t xml:space="preserve">– </w:t>
            </w:r>
            <w:r>
              <w:t xml:space="preserve">SelfBudgetCode (Код бюджета)</w:t>
            </w:r>
            <w:r>
              <w:t xml:space="preserve"> и ведомства – </w:t>
            </w:r>
            <w:r>
              <w:t xml:space="preserve">SelfPPPCode (Собственный код ведомства)</w:t>
            </w:r>
            <w:r>
              <w:t xml:space="preserve">) из справочн</w:t>
            </w:r>
            <w:r>
              <w:t xml:space="preserve">и</w:t>
            </w:r>
            <w:r>
              <w:t xml:space="preserve">ка «ПУБП» поля «Полное наименование».</w:t>
            </w:r>
            <w:r/>
          </w:p>
          <w:p>
            <w:pPr>
              <w:pStyle w:val="1005"/>
              <w:ind w:left="57" w:right="57"/>
            </w:pPr>
            <w:r>
              <w:t xml:space="preserve">Ввод значения вручную.</w:t>
            </w:r>
            <w:r/>
          </w:p>
          <w:p>
            <w:pPr>
              <w:pStyle w:val="1008"/>
            </w:pPr>
            <w:r>
              <w:t xml:space="preserve">Если Признак перехода на СР = 1, то:</w:t>
            </w:r>
            <w:r/>
          </w:p>
          <w:p>
            <w:pPr>
              <w:pStyle w:val="1005"/>
              <w:ind w:left="57" w:right="57"/>
            </w:pPr>
            <w:r>
              <w:t xml:space="preserve">ФО: Заполняется автоматически на основании указанного значения в поле «по Сводному реестру» (с учётом бюджета </w:t>
            </w:r>
            <w:r>
              <w:t xml:space="preserve">–</w:t>
            </w:r>
            <w:r>
              <w:t xml:space="preserve"> </w:t>
            </w:r>
            <w:r>
              <w:t xml:space="preserve">SelfBudgetCode (Код бюджета)</w:t>
            </w:r>
            <w:r>
              <w:t xml:space="preserve"> и ведомства </w:t>
            </w:r>
            <w:r>
              <w:t xml:space="preserve">–</w:t>
            </w:r>
            <w:r>
              <w:t xml:space="preserve"> SelfPPPCode</w:t>
            </w:r>
            <w:r>
              <w:t xml:space="preserve"> (Собственный код ведомства)</w:t>
            </w:r>
            <w:r>
              <w:t xml:space="preserve">) из справочника «Сводный реестр» поля «Полное наименование».</w:t>
            </w:r>
            <w:r/>
          </w:p>
          <w:p>
            <w:pPr>
              <w:pStyle w:val="1005"/>
              <w:ind w:left="57" w:right="57"/>
            </w:pPr>
            <w:r>
              <w:t xml:space="preserve">Ввод значения вручную.</w:t>
            </w:r>
            <w:r/>
          </w:p>
        </w:tc>
      </w:tr>
      <w:tr>
        <w:trPr/>
        <w:tc>
          <w:tcPr>
            <w:shd w:val="clear" w:fill="auto" w:color="auto"/>
            <w:tcW w:w="1198" w:type="pct"/>
            <w:textDirection w:val="lrTb"/>
            <w:noWrap w:val="false"/>
          </w:tcPr>
          <w:p>
            <w:pPr>
              <w:pStyle w:val="1005"/>
              <w:ind w:left="57" w:right="57"/>
            </w:pPr>
            <w:r>
              <w:t xml:space="preserve">По с</w:t>
            </w:r>
            <w:r>
              <w:t xml:space="preserve">водному реестру</w:t>
            </w:r>
            <w:r/>
          </w:p>
        </w:tc>
        <w:tc>
          <w:tcPr>
            <w:shd w:val="clear" w:fill="auto" w:color="auto"/>
            <w:tcW w:w="3802" w:type="pct"/>
            <w:textDirection w:val="lrTb"/>
            <w:noWrap w:val="false"/>
          </w:tcPr>
          <w:p>
            <w:pPr>
              <w:pStyle w:val="1008"/>
              <w:numPr>
                <w:ilvl w:val="0"/>
                <w:numId w:val="71"/>
              </w:numPr>
            </w:pPr>
            <w:r>
              <w:t xml:space="preserve">Если Признак перехода на СР = 0, то:</w:t>
            </w:r>
            <w:r/>
          </w:p>
          <w:p>
            <w:pPr>
              <w:pStyle w:val="1005"/>
              <w:ind w:left="57" w:right="57"/>
            </w:pPr>
            <w:r>
              <w:t xml:space="preserve">ФО: Автоматически заполняется на основании системной константы </w:t>
            </w:r>
            <w:r>
              <w:t xml:space="preserve">SelfBUCode (Код собственного БУ)</w:t>
            </w:r>
            <w:r>
              <w:t xml:space="preserve">.</w:t>
            </w:r>
            <w:r/>
          </w:p>
          <w:p>
            <w:pPr>
              <w:pStyle w:val="1005"/>
              <w:ind w:left="57" w:right="57"/>
            </w:pPr>
            <w:r>
              <w:t xml:space="preserve">Доступен выбор из справочника «ПУБП», заполняется значением поля «код РУБП» (с учётом бюджета </w:t>
            </w:r>
            <w:r>
              <w:t xml:space="preserve">– </w:t>
            </w:r>
            <w:r>
              <w:t xml:space="preserve">SelfBudgetCode (Код бюджета)</w:t>
            </w:r>
            <w:r>
              <w:t xml:space="preserve"> и ведомства – </w:t>
            </w:r>
            <w:r>
              <w:t xml:space="preserve">SelfPPPCode (Собственный код ведомства)</w:t>
            </w:r>
            <w:r>
              <w:t xml:space="preserve">).</w:t>
            </w:r>
            <w:r/>
          </w:p>
          <w:p>
            <w:pPr>
              <w:pStyle w:val="1005"/>
              <w:ind w:left="57" w:right="57"/>
            </w:pPr>
            <w:r>
              <w:t xml:space="preserve">Ввод значения вручную.</w:t>
            </w:r>
            <w:r/>
          </w:p>
          <w:p>
            <w:pPr>
              <w:pStyle w:val="1008"/>
            </w:pPr>
            <w:r>
              <w:t xml:space="preserve">Если Признак перехода на СР = 1, то:</w:t>
            </w:r>
            <w:r/>
          </w:p>
          <w:p>
            <w:pPr>
              <w:pStyle w:val="1005"/>
              <w:ind w:left="57" w:right="57"/>
            </w:pPr>
            <w:r>
              <w:t xml:space="preserve">ФО: Автоматически заполняется на основании</w:t>
            </w:r>
            <w:r>
              <w:t xml:space="preserve"> системной константы </w:t>
            </w:r>
            <w:r>
              <w:t xml:space="preserve">SelfSRCode (Код по СР)</w:t>
            </w:r>
            <w:r>
              <w:t xml:space="preserve">.</w:t>
            </w:r>
            <w:r/>
          </w:p>
          <w:p>
            <w:pPr>
              <w:pStyle w:val="1005"/>
              <w:ind w:left="57" w:right="57"/>
            </w:pPr>
            <w:r>
              <w:t xml:space="preserve">Доступен выбор из справочника «Сводный реестр», заполняется значением поля «Код организации по СР» (с учётом бюджета </w:t>
            </w:r>
            <w:r>
              <w:t xml:space="preserve">–</w:t>
            </w:r>
            <w:r>
              <w:t xml:space="preserve"> </w:t>
            </w:r>
            <w:r>
              <w:t xml:space="preserve">SelfBudgetCode (Код бюджета)</w:t>
            </w:r>
            <w:r>
              <w:t xml:space="preserve"> </w:t>
            </w:r>
            <w:r>
              <w:t xml:space="preserve">и ведом</w:t>
            </w:r>
            <w:r>
              <w:t xml:space="preserve">ства </w:t>
            </w:r>
            <w:r>
              <w:t xml:space="preserve">–</w:t>
            </w:r>
            <w:r>
              <w:t xml:space="preserve"> </w:t>
            </w:r>
            <w:r>
              <w:t xml:space="preserve">SelfPPPCode (Собственный код ведомства)).</w:t>
            </w:r>
            <w:r/>
          </w:p>
          <w:p>
            <w:pPr>
              <w:pStyle w:val="1005"/>
              <w:ind w:left="57" w:right="57"/>
            </w:pPr>
            <w:r>
              <w:t xml:space="preserve">Ввод значения вручную.</w:t>
            </w:r>
            <w:r/>
          </w:p>
        </w:tc>
      </w:tr>
      <w:tr>
        <w:trPr/>
        <w:tc>
          <w:tcPr>
            <w:shd w:val="clear" w:fill="auto" w:color="auto"/>
            <w:tcW w:w="1198" w:type="pct"/>
            <w:textDirection w:val="lrTb"/>
            <w:noWrap w:val="false"/>
          </w:tcPr>
          <w:p>
            <w:pPr>
              <w:pStyle w:val="1005"/>
              <w:ind w:left="57" w:right="57"/>
            </w:pPr>
            <w:r>
              <w:t xml:space="preserve">Уровень бюджета</w:t>
            </w:r>
            <w:r/>
          </w:p>
        </w:tc>
        <w:tc>
          <w:tcPr>
            <w:shd w:val="clear" w:fill="auto" w:color="auto"/>
            <w:tcW w:w="3802" w:type="pct"/>
            <w:textDirection w:val="lrTb"/>
            <w:noWrap w:val="false"/>
          </w:tcPr>
          <w:p>
            <w:pPr>
              <w:pStyle w:val="1005"/>
              <w:ind w:left="57" w:right="57"/>
            </w:pPr>
            <w:r>
              <w:t xml:space="preserve">Заполняется автоматически</w:t>
            </w:r>
            <w:r>
              <w:t xml:space="preserve">.</w:t>
            </w:r>
            <w:r/>
          </w:p>
        </w:tc>
      </w:tr>
      <w:tr>
        <w:trPr/>
        <w:tc>
          <w:tcPr>
            <w:shd w:val="clear" w:fill="auto" w:color="auto"/>
            <w:tcW w:w="1198" w:type="pct"/>
            <w:textDirection w:val="lrTb"/>
            <w:noWrap w:val="false"/>
          </w:tcPr>
          <w:p>
            <w:pPr>
              <w:pStyle w:val="1005"/>
              <w:ind w:left="57" w:right="57"/>
            </w:pPr>
            <w:r>
              <w:t xml:space="preserve">Тип классификации</w:t>
            </w:r>
            <w:r/>
          </w:p>
        </w:tc>
        <w:tc>
          <w:tcPr>
            <w:shd w:val="clear" w:fill="auto" w:color="auto"/>
            <w:tcW w:w="3802" w:type="pct"/>
            <w:textDirection w:val="lrTb"/>
            <w:noWrap w:val="false"/>
          </w:tcPr>
          <w:p>
            <w:pPr>
              <w:pStyle w:val="1005"/>
              <w:ind w:left="57" w:right="57"/>
            </w:pPr>
            <w:r>
              <w:t xml:space="preserve">Тип классификации.</w:t>
            </w:r>
            <w:r>
              <w:t xml:space="preserve"> </w:t>
            </w:r>
            <w:r/>
          </w:p>
          <w:p>
            <w:pPr>
              <w:pStyle w:val="1005"/>
              <w:ind w:left="57" w:right="57"/>
            </w:pPr>
            <w:r>
              <w:t xml:space="preserve">В</w:t>
            </w:r>
            <w:r>
              <w:t xml:space="preserve">ыбор значения осуществляется из другого списка доступных справочников: </w:t>
            </w:r>
            <w:r/>
          </w:p>
          <w:p>
            <w:pPr>
              <w:pStyle w:val="1007"/>
            </w:pPr>
            <w:r>
              <w:t xml:space="preserve">Ведомства</w:t>
            </w:r>
            <w:r>
              <w:t xml:space="preserve"> </w:t>
            </w:r>
            <w:r>
              <w:t xml:space="preserve">(FD);</w:t>
            </w:r>
            <w:r/>
          </w:p>
          <w:p>
            <w:pPr>
              <w:pStyle w:val="1007"/>
            </w:pPr>
            <w:r>
              <w:t xml:space="preserve">Целевые статьи ФКР</w:t>
            </w:r>
            <w:r>
              <w:t xml:space="preserve"> </w:t>
            </w:r>
            <w:r>
              <w:t xml:space="preserve">(FC);</w:t>
            </w:r>
            <w:r/>
          </w:p>
          <w:p>
            <w:pPr>
              <w:pStyle w:val="1007"/>
            </w:pPr>
            <w:r>
              <w:t xml:space="preserve">КБК (DK);</w:t>
            </w:r>
            <w:r/>
          </w:p>
          <w:p>
            <w:pPr>
              <w:pStyle w:val="1007"/>
            </w:pPr>
            <w:r>
              <w:t xml:space="preserve">Субсидии/Субвенции</w:t>
            </w:r>
            <w:r>
              <w:t xml:space="preserve"> </w:t>
            </w:r>
            <w:r>
              <w:t xml:space="preserve">(KD).</w:t>
            </w:r>
            <w:r/>
          </w:p>
          <w:p>
            <w:pPr>
              <w:pStyle w:val="1005"/>
              <w:ind w:left="57" w:right="57"/>
            </w:pPr>
            <w:r>
              <w:t xml:space="preserve">При выборе значения в поле «Наименование справочника», в ЭФ «Сведения о КБК» становится доступной к работе закладка, соответствующая выбра</w:t>
            </w:r>
            <w:r>
              <w:t xml:space="preserve">н</w:t>
            </w:r>
            <w:r>
              <w:t xml:space="preserve">ному значению.</w:t>
            </w:r>
            <w:r/>
          </w:p>
          <w:p>
            <w:pPr>
              <w:pStyle w:val="1005"/>
              <w:ind w:left="57" w:right="57"/>
            </w:pPr>
            <w:r>
              <w:t xml:space="preserve">Если поле не заполнено, то доступна только закладка «Основные атрибуты».</w:t>
            </w:r>
            <w:r/>
          </w:p>
        </w:tc>
      </w:tr>
      <w:tr>
        <w:trPr/>
        <w:tc>
          <w:tcPr>
            <w:shd w:val="clear" w:fill="auto" w:color="auto"/>
            <w:tcW w:w="1198" w:type="pct"/>
            <w:textDirection w:val="lrTb"/>
            <w:noWrap w:val="false"/>
          </w:tcPr>
          <w:p>
            <w:pPr>
              <w:pStyle w:val="1005"/>
              <w:ind w:left="57" w:right="57"/>
            </w:pPr>
            <w:r>
              <w:t xml:space="preserve">Бюджет (наименов</w:t>
            </w:r>
            <w:r>
              <w:t xml:space="preserve">а</w:t>
            </w:r>
            <w:r>
              <w:t xml:space="preserve">ние)</w:t>
            </w:r>
            <w:r/>
          </w:p>
        </w:tc>
        <w:tc>
          <w:tcPr>
            <w:shd w:val="clear" w:fill="auto" w:color="auto"/>
            <w:tcW w:w="3802" w:type="pct"/>
            <w:textDirection w:val="lrTb"/>
            <w:noWrap w:val="false"/>
          </w:tcPr>
          <w:p>
            <w:pPr>
              <w:pStyle w:val="1005"/>
              <w:ind w:left="57" w:right="57"/>
            </w:pPr>
            <w:r>
              <w:t xml:space="preserve">Полное наименование бюджета.</w:t>
            </w:r>
            <w:r/>
          </w:p>
          <w:p>
            <w:pPr>
              <w:pStyle w:val="1005"/>
              <w:ind w:left="57" w:right="57"/>
            </w:pPr>
            <w:r>
              <w:t xml:space="preserve">Для АРМ ФО:</w:t>
            </w:r>
            <w:r>
              <w:t xml:space="preserve"> Автозаполнение по </w:t>
            </w:r>
            <w:r>
              <w:rPr>
                <w:rStyle w:val="1400"/>
              </w:rPr>
              <w:t xml:space="preserve">const</w:t>
            </w:r>
            <w:r>
              <w:t xml:space="preserve">.</w:t>
            </w:r>
            <w:r/>
          </w:p>
          <w:p>
            <w:pPr>
              <w:pStyle w:val="1005"/>
              <w:ind w:left="57" w:right="57"/>
            </w:pPr>
            <w:r>
              <w:t xml:space="preserve">Выбор из справочника «</w:t>
            </w:r>
            <w:r>
              <w:t xml:space="preserve">Бюджеты</w:t>
            </w:r>
            <w:r>
              <w:t xml:space="preserve">»</w:t>
            </w:r>
            <w:r>
              <w:t xml:space="preserve">.</w:t>
            </w:r>
            <w:r/>
          </w:p>
          <w:p>
            <w:pPr>
              <w:pStyle w:val="1005"/>
              <w:ind w:left="57" w:right="57"/>
            </w:pPr>
            <w:r>
              <w:t xml:space="preserve">Заполнение вручную</w:t>
            </w:r>
            <w:r>
              <w:t xml:space="preserve">.</w:t>
            </w:r>
            <w:r/>
          </w:p>
          <w:p>
            <w:pPr>
              <w:pStyle w:val="1005"/>
              <w:ind w:left="57" w:right="57"/>
            </w:pPr>
            <w:r>
              <w:t xml:space="preserve">При вводе </w:t>
            </w:r>
            <w:r>
              <w:t xml:space="preserve">«Кодов целей субсидий/субвенций» заполнение поля значением «Федеральный бюджет» невозможно.</w:t>
            </w:r>
            <w:r/>
          </w:p>
        </w:tc>
      </w:tr>
      <w:tr>
        <w:trPr/>
        <w:tc>
          <w:tcPr>
            <w:shd w:val="clear" w:fill="auto" w:color="auto"/>
            <w:tcW w:w="1198" w:type="pct"/>
            <w:textDirection w:val="lrTb"/>
            <w:noWrap w:val="false"/>
          </w:tcPr>
          <w:p>
            <w:pPr>
              <w:pStyle w:val="1005"/>
              <w:ind w:left="57" w:right="57"/>
            </w:pPr>
            <w:r>
              <w:t xml:space="preserve">Должность</w:t>
            </w:r>
            <w:r/>
          </w:p>
        </w:tc>
        <w:tc>
          <w:tcPr>
            <w:shd w:val="clear" w:fill="auto" w:color="auto"/>
            <w:tcW w:w="3802" w:type="pct"/>
            <w:textDirection w:val="lrTb"/>
            <w:noWrap w:val="false"/>
          </w:tcPr>
          <w:p>
            <w:pPr>
              <w:pStyle w:val="1005"/>
              <w:ind w:left="57" w:right="57"/>
            </w:pPr>
            <w:r>
              <w:t xml:space="preserve">Наименование должности ответственного исполнителя.</w:t>
            </w:r>
            <w:r/>
          </w:p>
          <w:p>
            <w:pPr>
              <w:pStyle w:val="1005"/>
              <w:ind w:left="57" w:right="57"/>
            </w:pPr>
            <w:r>
              <w:t xml:space="preserve">Значение поля вводится вручную.</w:t>
            </w:r>
            <w:r/>
          </w:p>
        </w:tc>
      </w:tr>
      <w:tr>
        <w:trPr/>
        <w:tc>
          <w:tcPr>
            <w:shd w:val="clear" w:fill="auto" w:color="auto"/>
            <w:tcW w:w="1198" w:type="pct"/>
            <w:textDirection w:val="lrTb"/>
            <w:noWrap w:val="false"/>
          </w:tcPr>
          <w:p>
            <w:pPr>
              <w:pStyle w:val="1005"/>
              <w:ind w:left="57" w:right="57"/>
            </w:pPr>
            <w:r>
              <w:t xml:space="preserve">ФИО</w:t>
            </w:r>
            <w:r/>
          </w:p>
        </w:tc>
        <w:tc>
          <w:tcPr>
            <w:shd w:val="clear" w:fill="auto" w:color="auto"/>
            <w:tcW w:w="3802" w:type="pct"/>
            <w:textDirection w:val="lrTb"/>
            <w:noWrap w:val="false"/>
          </w:tcPr>
          <w:p>
            <w:pPr>
              <w:pStyle w:val="1005"/>
              <w:ind w:left="57" w:right="57"/>
            </w:pPr>
            <w:r>
              <w:t xml:space="preserve">ФИО ответственного исполнителя.</w:t>
            </w:r>
            <w:r/>
          </w:p>
          <w:p>
            <w:pPr>
              <w:pStyle w:val="1005"/>
              <w:ind w:left="57" w:right="57"/>
            </w:pPr>
            <w:r>
              <w:t xml:space="preserve">Значение поля вводится вручную.</w:t>
            </w:r>
            <w:r/>
          </w:p>
        </w:tc>
      </w:tr>
      <w:tr>
        <w:trPr/>
        <w:tc>
          <w:tcPr>
            <w:shd w:val="clear" w:fill="auto" w:color="auto"/>
            <w:tcW w:w="1198" w:type="pct"/>
            <w:textDirection w:val="lrTb"/>
            <w:noWrap w:val="false"/>
          </w:tcPr>
          <w:p>
            <w:pPr>
              <w:pStyle w:val="1005"/>
              <w:ind w:left="57" w:right="57"/>
            </w:pPr>
            <w:r>
              <w:t xml:space="preserve">Телефон</w:t>
            </w:r>
            <w:r/>
          </w:p>
        </w:tc>
        <w:tc>
          <w:tcPr>
            <w:shd w:val="clear" w:fill="auto" w:color="auto"/>
            <w:tcW w:w="3802" w:type="pct"/>
            <w:textDirection w:val="lrTb"/>
            <w:noWrap w:val="false"/>
          </w:tcPr>
          <w:p>
            <w:pPr>
              <w:pStyle w:val="1005"/>
              <w:ind w:left="57" w:right="57"/>
            </w:pPr>
            <w:r>
              <w:t xml:space="preserve">Телефон ответственного исполнителя.</w:t>
            </w:r>
            <w:r/>
          </w:p>
          <w:p>
            <w:pPr>
              <w:pStyle w:val="1005"/>
              <w:ind w:left="57" w:right="57"/>
            </w:pPr>
            <w:r>
              <w:t xml:space="preserve">Значение поля вводится вручную</w:t>
            </w:r>
            <w:r>
              <w:t xml:space="preserve">.</w:t>
            </w:r>
            <w:r/>
          </w:p>
        </w:tc>
      </w:tr>
      <w:tr>
        <w:trPr/>
        <w:tc>
          <w:tcPr>
            <w:shd w:val="clear" w:fill="auto" w:color="auto"/>
            <w:tcW w:w="1198" w:type="pct"/>
            <w:textDirection w:val="lrTb"/>
            <w:noWrap w:val="false"/>
          </w:tcPr>
          <w:p>
            <w:pPr>
              <w:pStyle w:val="1005"/>
              <w:ind w:left="57" w:right="57"/>
            </w:pPr>
            <w:r>
              <w:t xml:space="preserve">Статус</w:t>
            </w:r>
            <w:r/>
          </w:p>
        </w:tc>
        <w:tc>
          <w:tcPr>
            <w:shd w:val="clear" w:fill="auto" w:color="auto"/>
            <w:tcW w:w="3802" w:type="pct"/>
            <w:textDirection w:val="lrTb"/>
            <w:noWrap w:val="false"/>
          </w:tcPr>
          <w:p>
            <w:pPr>
              <w:pStyle w:val="1005"/>
              <w:ind w:left="57" w:right="57"/>
            </w:pPr>
            <w:r>
              <w:t xml:space="preserve">Код бизнес-статуса документа.</w:t>
            </w:r>
            <w:r/>
          </w:p>
          <w:p>
            <w:pPr>
              <w:pStyle w:val="1005"/>
              <w:ind w:left="57" w:right="57"/>
            </w:pPr>
            <w:r>
              <w:t xml:space="preserve">Статус результата обработки документа доводится до клиента на основ</w:t>
            </w:r>
            <w:r>
              <w:t xml:space="preserve">а</w:t>
            </w:r>
            <w:r>
              <w:t xml:space="preserve">нии Квитка.</w:t>
            </w:r>
            <w:r/>
          </w:p>
          <w:p>
            <w:pPr>
              <w:pStyle w:val="1005"/>
              <w:ind w:left="57" w:right="57"/>
            </w:pPr>
            <w:r>
              <w:t xml:space="preserve">Так же, бизнес-статус документа обновляется по факту отработки опер</w:t>
            </w:r>
            <w:r>
              <w:t xml:space="preserve">ации «Актуализировать статус записей документа».</w:t>
            </w:r>
            <w:r/>
          </w:p>
        </w:tc>
      </w:tr>
      <w:tr>
        <w:trPr/>
        <w:tc>
          <w:tcPr>
            <w:shd w:val="clear" w:fill="auto" w:color="auto"/>
            <w:tcW w:w="1198" w:type="pct"/>
            <w:textDirection w:val="lrTb"/>
            <w:noWrap w:val="false"/>
          </w:tcPr>
          <w:p>
            <w:pPr>
              <w:pStyle w:val="1005"/>
              <w:ind w:left="57" w:right="57"/>
            </w:pPr>
            <w:r>
              <w:t xml:space="preserve">Наименование</w:t>
            </w:r>
            <w:r/>
          </w:p>
        </w:tc>
        <w:tc>
          <w:tcPr>
            <w:shd w:val="clear" w:fill="auto" w:color="auto"/>
            <w:tcW w:w="3802" w:type="pct"/>
            <w:textDirection w:val="lrTb"/>
            <w:noWrap w:val="false"/>
          </w:tcPr>
          <w:p>
            <w:pPr>
              <w:pStyle w:val="1005"/>
              <w:ind w:left="57" w:right="57"/>
            </w:pPr>
            <w:r>
              <w:t xml:space="preserve">Наименование бизнес-статуса документа.</w:t>
            </w:r>
            <w:r/>
          </w:p>
          <w:p>
            <w:pPr>
              <w:pStyle w:val="1005"/>
              <w:ind w:left="57" w:right="57"/>
            </w:pPr>
            <w:r>
              <w:t xml:space="preserve">Значение заполняется а</w:t>
            </w:r>
            <w:r>
              <w:t xml:space="preserve">втоматически.</w:t>
            </w:r>
            <w:r/>
          </w:p>
        </w:tc>
      </w:tr>
    </w:tbl>
    <w:p>
      <w:pPr>
        <w:pStyle w:val="994"/>
      </w:pPr>
      <w:r>
        <w:t xml:space="preserve">На </w:t>
      </w:r>
      <w:r>
        <w:t xml:space="preserve">в</w:t>
      </w:r>
      <w:r>
        <w:t xml:space="preserve">кладках «Ведомства», «Целевые статьи ФКР», «Виды расходов по ФКР», «Программы/Подпрограммы», «КБК», «Цели субсидии/Субвенций» расположен табличный блок и панель инструментов. Таблица содержит строки документа «Сведения о КБК».</w:t>
      </w:r>
      <w:r/>
    </w:p>
    <w:p>
      <w:pPr>
        <w:pStyle w:val="994"/>
      </w:pPr>
      <w:r>
        <w:t xml:space="preserve">В</w:t>
      </w:r>
      <w:r>
        <w:t xml:space="preserve">кладка «Ведомства» (рис.</w:t>
      </w:r>
      <w:r>
        <w:t xml:space="preserve"> </w:t>
      </w:r>
      <w:r>
        <w:fldChar w:fldCharType="begin"/>
      </w:r>
      <w:r>
        <w:instrText xml:space="preserve"> REF _Ref328560468 \h  \* MERGEFORMAT </w:instrText>
      </w:r>
      <w:r>
        <w:fldChar w:fldCharType="separate"/>
      </w:r>
      <w:r>
        <w:t xml:space="preserve">297</w:t>
      </w:r>
      <w:r>
        <w:fldChar w:fldCharType="end"/>
      </w:r>
      <w:r>
        <w:t xml:space="preserve">) заполняется в том случае, если в поле «Тип классификации», на закладк</w:t>
      </w:r>
      <w:r>
        <w:t xml:space="preserve">е «Основные атрибуты» (см.</w:t>
      </w:r>
      <w:r>
        <w:t xml:space="preserve"> </w:t>
      </w:r>
      <w:r>
        <w:t xml:space="preserve">рис.</w:t>
      </w:r>
      <w:r>
        <w:t xml:space="preserve"> </w:t>
      </w:r>
      <w:r>
        <w:fldChar w:fldCharType="begin"/>
      </w:r>
      <w:r>
        <w:instrText xml:space="preserve"> REF _Ref294019794 \h  \* MERGEFORMAT </w:instrText>
      </w:r>
      <w:r>
        <w:fldChar w:fldCharType="separate"/>
      </w:r>
      <w:r>
        <w:t xml:space="preserve">296</w:t>
      </w:r>
      <w:r>
        <w:fldChar w:fldCharType="end"/>
      </w:r>
      <w:r>
        <w:t xml:space="preserve">), указано значение «Ведомства(</w:t>
      </w:r>
      <w:r>
        <w:rPr>
          <w:lang w:val="en-US"/>
        </w:rPr>
        <w:t xml:space="preserve">FD</w:t>
      </w:r>
      <w:r>
        <w:t xml:space="preserve">)». </w:t>
      </w:r>
      <w:r/>
    </w:p>
    <w:p>
      <w:pPr>
        <w:pStyle w:val="982"/>
      </w:pPr>
      <w:r>
        <mc:AlternateContent>
          <mc:Choice Requires="wpg">
            <w:drawing>
              <wp:inline xmlns:wp="http://schemas.openxmlformats.org/drawingml/2006/wordprocessingDrawing" distT="0" distB="0" distL="0" distR="0">
                <wp:extent cx="6134100" cy="3284220"/>
                <wp:effectExtent l="0" t="0" r="0" b="0"/>
                <wp:docPr id="43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86"/>
                        <a:stretch/>
                      </pic:blipFill>
                      <pic:spPr bwMode="auto">
                        <a:xfrm>
                          <a:off x="0" y="0"/>
                          <a:ext cx="6134100" cy="32842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7" o:spid="_x0000_s437" type="#_x0000_t75" style="mso-wrap-distance-left:0.0pt;mso-wrap-distance-top:0.0pt;mso-wrap-distance-right:0.0pt;mso-wrap-distance-bottom:0.0pt;width:483.0pt;height:258.6pt;" stroked="f">
                <v:path textboxrect="0,0,0,0"/>
                <v:imagedata r:id="rId386" o:title=""/>
              </v:shape>
            </w:pict>
          </mc:Fallback>
        </mc:AlternateContent>
      </w:r>
      <w:r/>
    </w:p>
    <w:p>
      <w:pPr>
        <w:pStyle w:val="983"/>
      </w:pPr>
      <w:r>
        <w:fldChar w:fldCharType="begin"/>
      </w:r>
      <w:r>
        <w:instrText xml:space="preserve"> SEQ Рисунок \* ARABIC </w:instrText>
      </w:r>
      <w:r>
        <w:fldChar w:fldCharType="separate"/>
      </w:r>
      <w:bookmarkStart w:id="1973" w:name="_Ref328560468"/>
      <w:r/>
      <w:bookmarkStart w:id="1974" w:name="_Toc88819682"/>
      <w:r>
        <w:t xml:space="preserve">297</w:t>
      </w:r>
      <w:bookmarkEnd w:id="1973"/>
      <w:r>
        <w:fldChar w:fldCharType="end"/>
      </w:r>
      <w:r>
        <w:t xml:space="preserve">. ЭФ документа «Сведения о КБК</w:t>
      </w:r>
      <w:r>
        <w:t xml:space="preserve">», вкладки «</w:t>
      </w:r>
      <w:r>
        <w:t xml:space="preserve">Ведомства»</w:t>
      </w:r>
      <w:bookmarkEnd w:id="1974"/>
      <w:r/>
      <w:r/>
    </w:p>
    <w:p>
      <w:pPr>
        <w:pStyle w:val="994"/>
      </w:pPr>
      <w:r>
        <w:t xml:space="preserve">В</w:t>
      </w:r>
      <w:r>
        <w:t xml:space="preserve">кладка «Целевые статьи ФКР» (рис.</w:t>
      </w:r>
      <w:r>
        <w:t xml:space="preserve"> </w:t>
      </w:r>
      <w:r>
        <w:fldChar w:fldCharType="begin"/>
      </w:r>
      <w:r>
        <w:instrText xml:space="preserve"> REF _Ref328560469 \h  \* MERGEFORMAT </w:instrText>
      </w:r>
      <w:r>
        <w:fldChar w:fldCharType="separate"/>
      </w:r>
      <w:r>
        <w:t xml:space="preserve">298</w:t>
      </w:r>
      <w:r>
        <w:fldChar w:fldCharType="end"/>
      </w:r>
      <w:r>
        <w:t xml:space="preserve">) заполняется в том случае, если в поле «Тип классификации», на </w:t>
      </w:r>
      <w:r>
        <w:t xml:space="preserve">в</w:t>
      </w:r>
      <w:r>
        <w:t xml:space="preserve">кладк</w:t>
      </w:r>
      <w:r>
        <w:t xml:space="preserve">е «Основные атрибуты» (см.</w:t>
      </w:r>
      <w:r>
        <w:t xml:space="preserve"> </w:t>
      </w:r>
      <w:r>
        <w:t xml:space="preserve">рис.</w:t>
      </w:r>
      <w:r>
        <w:t xml:space="preserve"> </w:t>
      </w:r>
      <w:r>
        <w:fldChar w:fldCharType="begin"/>
      </w:r>
      <w:r>
        <w:instrText xml:space="preserve"> REF _Ref294019794 \h  \* MERGEFORMAT </w:instrText>
      </w:r>
      <w:r>
        <w:fldChar w:fldCharType="separate"/>
      </w:r>
      <w:r>
        <w:t xml:space="preserve">296</w:t>
      </w:r>
      <w:r>
        <w:fldChar w:fldCharType="end"/>
      </w:r>
      <w:r>
        <w:t xml:space="preserve">), указано значение «Целевые статьи ФКР(</w:t>
      </w:r>
      <w:r>
        <w:rPr>
          <w:lang w:val="en-US"/>
        </w:rPr>
        <w:t xml:space="preserve">FC</w:t>
      </w:r>
      <w:r>
        <w:t xml:space="preserve">)». </w:t>
      </w:r>
      <w:r/>
    </w:p>
    <w:p>
      <w:pPr>
        <w:pStyle w:val="982"/>
      </w:pPr>
      <w:r>
        <mc:AlternateContent>
          <mc:Choice Requires="wpg">
            <w:drawing>
              <wp:inline xmlns:wp="http://schemas.openxmlformats.org/drawingml/2006/wordprocessingDrawing" distT="0" distB="0" distL="0" distR="0">
                <wp:extent cx="6149340" cy="3291840"/>
                <wp:effectExtent l="0" t="0" r="0" b="0"/>
                <wp:docPr id="43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87"/>
                        <a:stretch/>
                      </pic:blipFill>
                      <pic:spPr bwMode="auto">
                        <a:xfrm>
                          <a:off x="0" y="0"/>
                          <a:ext cx="6149340" cy="32918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8" o:spid="_x0000_s438" type="#_x0000_t75" style="mso-wrap-distance-left:0.0pt;mso-wrap-distance-top:0.0pt;mso-wrap-distance-right:0.0pt;mso-wrap-distance-bottom:0.0pt;width:484.2pt;height:259.2pt;" stroked="f">
                <v:path textboxrect="0,0,0,0"/>
                <v:imagedata r:id="rId387" o:title=""/>
              </v:shape>
            </w:pict>
          </mc:Fallback>
        </mc:AlternateContent>
      </w:r>
      <w:r/>
    </w:p>
    <w:p>
      <w:pPr>
        <w:pStyle w:val="983"/>
      </w:pPr>
      <w:r>
        <w:fldChar w:fldCharType="begin"/>
      </w:r>
      <w:r>
        <w:instrText xml:space="preserve"> SEQ Рисунок \* ARABIC </w:instrText>
      </w:r>
      <w:r>
        <w:fldChar w:fldCharType="separate"/>
      </w:r>
      <w:bookmarkStart w:id="1975" w:name="_Ref328560469"/>
      <w:r/>
      <w:bookmarkStart w:id="1976" w:name="_Toc88819683"/>
      <w:r>
        <w:t xml:space="preserve">298</w:t>
      </w:r>
      <w:bookmarkEnd w:id="1975"/>
      <w:r>
        <w:fldChar w:fldCharType="end"/>
      </w:r>
      <w:r>
        <w:t xml:space="preserve">. ЭФ документа «Сведения о КБК</w:t>
      </w:r>
      <w:r>
        <w:t xml:space="preserve">», в</w:t>
      </w:r>
      <w:r>
        <w:t xml:space="preserve">кладки «</w:t>
      </w:r>
      <w:r>
        <w:t xml:space="preserve">Целевые статьи ФКР»</w:t>
      </w:r>
      <w:bookmarkEnd w:id="1976"/>
      <w:r/>
      <w:r/>
    </w:p>
    <w:p>
      <w:pPr>
        <w:pStyle w:val="994"/>
      </w:pPr>
      <w:r>
        <w:t xml:space="preserve">В</w:t>
      </w:r>
      <w:r>
        <w:t xml:space="preserve">кладка</w:t>
      </w:r>
      <w:r>
        <w:t xml:space="preserve"> «Программы/Подпрограммы» (рис.</w:t>
      </w:r>
      <w:r>
        <w:t xml:space="preserve"> </w:t>
      </w:r>
      <w:r>
        <w:fldChar w:fldCharType="begin"/>
      </w:r>
      <w:r>
        <w:instrText xml:space="preserve"> REF _Ref328560727 \h  \* MERGEFORMAT </w:instrText>
      </w:r>
      <w:r>
        <w:fldChar w:fldCharType="separate"/>
      </w:r>
      <w:r>
        <w:t xml:space="preserve">299</w:t>
      </w:r>
      <w:r>
        <w:fldChar w:fldCharType="end"/>
      </w:r>
      <w:r>
        <w:t xml:space="preserve">) заполняется в том случае, если в поле «Тип классификации», на </w:t>
      </w:r>
      <w:r>
        <w:t xml:space="preserve">в</w:t>
      </w:r>
      <w:r>
        <w:t xml:space="preserve">кладк</w:t>
      </w:r>
      <w:r>
        <w:t xml:space="preserve">е «Основные атрибуты» (см.</w:t>
      </w:r>
      <w:r>
        <w:t xml:space="preserve"> </w:t>
      </w:r>
      <w:r>
        <w:t xml:space="preserve">рис.</w:t>
      </w:r>
      <w:r>
        <w:t xml:space="preserve"> </w:t>
      </w:r>
      <w:r>
        <w:fldChar w:fldCharType="begin"/>
      </w:r>
      <w:r>
        <w:instrText xml:space="preserve"> REF _Ref294019794 \h  \* MERGEFORMAT </w:instrText>
      </w:r>
      <w:r>
        <w:fldChar w:fldCharType="separate"/>
      </w:r>
      <w:r>
        <w:t xml:space="preserve">296</w:t>
      </w:r>
      <w:r>
        <w:fldChar w:fldCharType="end"/>
      </w:r>
      <w:r>
        <w:t xml:space="preserve">), указано значение «Программы/Подпрограммы (</w:t>
      </w:r>
      <w:r>
        <w:rPr>
          <w:lang w:val="en-US"/>
        </w:rPr>
        <w:t xml:space="preserve">WF</w:t>
      </w:r>
      <w:r>
        <w:t xml:space="preserve">)».</w:t>
      </w:r>
      <w:r/>
    </w:p>
    <w:p>
      <w:pPr>
        <w:pStyle w:val="982"/>
      </w:pPr>
      <w:r>
        <mc:AlternateContent>
          <mc:Choice Requires="wpg">
            <w:drawing>
              <wp:inline xmlns:wp="http://schemas.openxmlformats.org/drawingml/2006/wordprocessingDrawing" distT="0" distB="0" distL="0" distR="0">
                <wp:extent cx="6126480" cy="3291840"/>
                <wp:effectExtent l="0" t="0" r="0" b="0"/>
                <wp:docPr id="44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88"/>
                        <a:stretch/>
                      </pic:blipFill>
                      <pic:spPr bwMode="auto">
                        <a:xfrm>
                          <a:off x="0" y="0"/>
                          <a:ext cx="6126480" cy="32918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9" o:spid="_x0000_s439" type="#_x0000_t75" style="mso-wrap-distance-left:0.0pt;mso-wrap-distance-top:0.0pt;mso-wrap-distance-right:0.0pt;mso-wrap-distance-bottom:0.0pt;width:482.4pt;height:259.2pt;" stroked="f">
                <v:path textboxrect="0,0,0,0"/>
                <v:imagedata r:id="rId388" o:title=""/>
              </v:shape>
            </w:pict>
          </mc:Fallback>
        </mc:AlternateContent>
      </w:r>
      <w:r/>
    </w:p>
    <w:p>
      <w:pPr>
        <w:pStyle w:val="983"/>
      </w:pPr>
      <w:r>
        <w:fldChar w:fldCharType="begin"/>
      </w:r>
      <w:r>
        <w:instrText xml:space="preserve"> SEQ Рисунок \* ARABIC </w:instrText>
      </w:r>
      <w:r>
        <w:fldChar w:fldCharType="separate"/>
      </w:r>
      <w:bookmarkStart w:id="1977" w:name="_Ref328560727"/>
      <w:r/>
      <w:bookmarkStart w:id="1978" w:name="_Toc88819684"/>
      <w:r>
        <w:t xml:space="preserve">299</w:t>
      </w:r>
      <w:bookmarkEnd w:id="1977"/>
      <w:r>
        <w:fldChar w:fldCharType="end"/>
      </w:r>
      <w:r>
        <w:t xml:space="preserve">. ЭФ документа «Сведения о КБК</w:t>
      </w:r>
      <w:r>
        <w:t xml:space="preserve">», в</w:t>
      </w:r>
      <w:r>
        <w:t xml:space="preserve">кладки «</w:t>
      </w:r>
      <w:r>
        <w:t xml:space="preserve">Программы/Подпрограммы»</w:t>
      </w:r>
      <w:bookmarkEnd w:id="1978"/>
      <w:r/>
      <w:r/>
    </w:p>
    <w:p>
      <w:pPr>
        <w:pStyle w:val="994"/>
      </w:pPr>
      <w:r>
        <w:t xml:space="preserve">Для добав</w:t>
      </w:r>
      <w:r>
        <w:t xml:space="preserve">ления записи в табличную часть в</w:t>
      </w:r>
      <w:r>
        <w:t xml:space="preserve">кладок «Ведомства», «Целевые статьи ФКР», «Программы/Подпрограммы» следует на соответствующей закладке нажать кнопку </w:t>
      </w:r>
      <w:r>
        <mc:AlternateContent>
          <mc:Choice Requires="wpg">
            <w:drawing>
              <wp:inline xmlns:wp="http://schemas.openxmlformats.org/drawingml/2006/wordprocessingDrawing" distT="0" distB="0" distL="0" distR="0">
                <wp:extent cx="182880" cy="182880"/>
                <wp:effectExtent l="0" t="0" r="0" b="0"/>
                <wp:docPr id="44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0" o:spid="_x0000_s440" type="#_x0000_t75" style="mso-wrap-distance-left:0.0pt;mso-wrap-distance-top:0.0pt;mso-wrap-distance-right:0.0pt;mso-wrap-distance-bottom:0.0pt;width:14.4pt;height:14.4pt;" stroked="f">
                <v:path textboxrect="0,0,0,0"/>
                <v:imagedata r:id="rId80" o:title=""/>
              </v:shape>
            </w:pict>
          </mc:Fallback>
        </mc:AlternateContent>
      </w:r>
      <w:r>
        <w:t xml:space="preserve"> </w:t>
      </w:r>
      <w:r>
        <w:t xml:space="preserve">(Добавить новую строку)</w:t>
      </w:r>
      <w:r>
        <w:t xml:space="preserve"> и заполнить поля открывшейся формы </w:t>
      </w:r>
      <w:r>
        <w:t xml:space="preserve">(рис.</w:t>
      </w:r>
      <w:r>
        <w:t xml:space="preserve"> </w:t>
      </w:r>
      <w:r>
        <w:fldChar w:fldCharType="begin"/>
      </w:r>
      <w:r>
        <w:instrText xml:space="preserve"> REF _Ref328561113 \h  \* MERGEFORMAT </w:instrText>
      </w:r>
      <w:r>
        <w:fldChar w:fldCharType="separate"/>
      </w:r>
      <w:r>
        <w:t xml:space="preserve">300</w:t>
      </w:r>
      <w:r>
        <w:fldChar w:fldCharType="end"/>
      </w:r>
      <w:r>
        <w:t xml:space="preserve">).</w:t>
      </w:r>
      <w:r/>
    </w:p>
    <w:p>
      <w:pPr>
        <w:pStyle w:val="982"/>
      </w:pPr>
      <w:r>
        <mc:AlternateContent>
          <mc:Choice Requires="wpg">
            <w:drawing>
              <wp:inline xmlns:wp="http://schemas.openxmlformats.org/drawingml/2006/wordprocessingDrawing" distT="0" distB="0" distL="0" distR="0">
                <wp:extent cx="6027420" cy="2560320"/>
                <wp:effectExtent l="0" t="0" r="0" b="0"/>
                <wp:docPr id="44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89"/>
                        <a:stretch/>
                      </pic:blipFill>
                      <pic:spPr bwMode="auto">
                        <a:xfrm>
                          <a:off x="0" y="0"/>
                          <a:ext cx="6027420" cy="2560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1" o:spid="_x0000_s441" type="#_x0000_t75" style="mso-wrap-distance-left:0.0pt;mso-wrap-distance-top:0.0pt;mso-wrap-distance-right:0.0pt;mso-wrap-distance-bottom:0.0pt;width:474.6pt;height:201.6pt;" stroked="f">
                <v:path textboxrect="0,0,0,0"/>
                <v:imagedata r:id="rId389" o:title=""/>
              </v:shape>
            </w:pict>
          </mc:Fallback>
        </mc:AlternateContent>
      </w:r>
      <w:r/>
    </w:p>
    <w:p>
      <w:pPr>
        <w:pStyle w:val="983"/>
      </w:pPr>
      <w:r>
        <w:fldChar w:fldCharType="begin"/>
      </w:r>
      <w:r>
        <w:instrText xml:space="preserve"> SEQ Рисунок \* ARABIC </w:instrText>
      </w:r>
      <w:r>
        <w:fldChar w:fldCharType="separate"/>
      </w:r>
      <w:bookmarkStart w:id="1979" w:name="_Ref328561113"/>
      <w:r/>
      <w:bookmarkStart w:id="1980" w:name="_Toc88819685"/>
      <w:r>
        <w:t xml:space="preserve">300</w:t>
      </w:r>
      <w:bookmarkEnd w:id="1979"/>
      <w:r>
        <w:fldChar w:fldCharType="end"/>
      </w:r>
      <w:r>
        <w:t xml:space="preserve">. </w:t>
      </w:r>
      <w:r>
        <w:t xml:space="preserve">Форма «Добавление записи»</w:t>
      </w:r>
      <w:bookmarkEnd w:id="1980"/>
      <w:r/>
      <w:r/>
    </w:p>
    <w:p>
      <w:pPr>
        <w:pStyle w:val="994"/>
      </w:pPr>
      <w:r>
        <w:t xml:space="preserve">Перечень полей формы «Добавление записи» формы приведен в таблице</w:t>
      </w:r>
      <w:r>
        <w:t xml:space="preserve"> </w:t>
      </w:r>
      <w:r>
        <w:fldChar w:fldCharType="begin"/>
      </w:r>
      <w:r>
        <w:instrText xml:space="preserve"> REF _Ref328575152 \h  \* MERGEFORMAT </w:instrText>
      </w:r>
      <w:r>
        <w:fldChar w:fldCharType="separate"/>
      </w:r>
      <w:r>
        <w:t xml:space="preserve">173</w:t>
      </w:r>
      <w:r>
        <w:fldChar w:fldCharType="end"/>
      </w:r>
      <w:r>
        <w:t xml:space="preserve">.</w:t>
      </w:r>
      <w:r/>
    </w:p>
    <w:p>
      <w:pPr>
        <w:pStyle w:val="993"/>
      </w:pPr>
      <w:r>
        <w:fldChar w:fldCharType="begin"/>
      </w:r>
      <w:r>
        <w:instrText xml:space="preserve"> SEQ Таблица \* ARABIC </w:instrText>
      </w:r>
      <w:r>
        <w:fldChar w:fldCharType="separate"/>
      </w:r>
      <w:bookmarkStart w:id="1981" w:name="_Ref328575152"/>
      <w:r/>
      <w:bookmarkStart w:id="1982" w:name="_Toc88819360"/>
      <w:r>
        <w:t xml:space="preserve">173</w:t>
      </w:r>
      <w:bookmarkEnd w:id="1981"/>
      <w:r>
        <w:fldChar w:fldCharType="end"/>
      </w:r>
      <w:r>
        <w:t xml:space="preserve">. </w:t>
      </w:r>
      <w:r>
        <w:t xml:space="preserve">Описание полей формы «Добавление записи»</w:t>
      </w:r>
      <w:bookmarkEnd w:id="1982"/>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621"/>
        <w:gridCol w:w="7131"/>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34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656" w:type="pct"/>
            <w:vAlign w:val="center"/>
            <w:textDirection w:val="lrTb"/>
            <w:noWrap w:val="false"/>
          </w:tcPr>
          <w:p>
            <w:pPr>
              <w:pStyle w:val="1006"/>
            </w:pPr>
            <w:r>
              <w:t xml:space="preserve">Описание поля</w:t>
            </w:r>
            <w:r/>
          </w:p>
        </w:tc>
      </w:tr>
      <w:tr>
        <w:trPr/>
        <w:tc>
          <w:tcPr>
            <w:shd w:val="clear" w:fill="auto" w:color="auto"/>
            <w:tcW w:w="1344" w:type="pct"/>
            <w:textDirection w:val="lrTb"/>
            <w:noWrap w:val="false"/>
          </w:tcPr>
          <w:p>
            <w:pPr>
              <w:pStyle w:val="1005"/>
              <w:ind w:left="57" w:right="57"/>
            </w:pPr>
            <w:r>
              <w:t xml:space="preserve">Код БК</w:t>
            </w:r>
            <w:r/>
          </w:p>
        </w:tc>
        <w:tc>
          <w:tcPr>
            <w:shd w:val="clear" w:fill="auto" w:color="auto"/>
            <w:tcW w:w="3656" w:type="pct"/>
            <w:textDirection w:val="lrTb"/>
            <w:noWrap w:val="false"/>
          </w:tcPr>
          <w:p>
            <w:pPr>
              <w:pStyle w:val="1005"/>
              <w:ind w:left="57" w:right="57"/>
            </w:pPr>
            <w:r>
              <w:t xml:space="preserve">Код бюджетной классификации.</w:t>
            </w:r>
            <w:r/>
          </w:p>
          <w:p>
            <w:pPr>
              <w:pStyle w:val="1005"/>
              <w:ind w:left="57" w:right="57"/>
            </w:pPr>
            <w:r>
              <w:t xml:space="preserve">Вручную.</w:t>
            </w:r>
            <w:r/>
          </w:p>
          <w:p>
            <w:pPr>
              <w:pStyle w:val="1005"/>
              <w:ind w:left="57" w:right="57"/>
            </w:pPr>
            <w:r>
              <w:t xml:space="preserve">Выбор осуществляется из соответствующего справочника:</w:t>
            </w:r>
            <w:r/>
          </w:p>
          <w:p>
            <w:pPr>
              <w:pStyle w:val="1005"/>
              <w:ind w:left="57" w:right="57"/>
            </w:pPr>
            <w:r>
              <w:t xml:space="preserve">Доступные справочники:</w:t>
            </w:r>
            <w:r/>
          </w:p>
          <w:p>
            <w:pPr>
              <w:pStyle w:val="1007"/>
            </w:pPr>
            <w:r>
              <w:t xml:space="preserve">«Ведомства(FD)»;</w:t>
            </w:r>
            <w:r/>
          </w:p>
          <w:p>
            <w:pPr>
              <w:pStyle w:val="1007"/>
            </w:pPr>
            <w:r>
              <w:t xml:space="preserve">«Целевые статьи ФКР(FC)»;</w:t>
            </w:r>
            <w:r/>
          </w:p>
          <w:p>
            <w:pPr>
              <w:pStyle w:val="1007"/>
            </w:pPr>
            <w:r>
              <w:t xml:space="preserve">«Виды расходов ФКР(FN)»;</w:t>
            </w:r>
            <w:r/>
          </w:p>
          <w:p>
            <w:pPr>
              <w:pStyle w:val="1007"/>
            </w:pPr>
            <w:r>
              <w:t xml:space="preserve">«Программы/Подпрограммы(WF)»;</w:t>
            </w:r>
            <w:r/>
          </w:p>
          <w:p>
            <w:pPr>
              <w:pStyle w:val="1007"/>
            </w:pPr>
            <w:r>
              <w:t xml:space="preserve">«КБК (DK)»; </w:t>
            </w:r>
            <w:r/>
          </w:p>
          <w:p>
            <w:pPr>
              <w:pStyle w:val="1007"/>
            </w:pPr>
            <w:r>
              <w:t xml:space="preserve">«Субсидии/Субвенции(KD)».</w:t>
            </w:r>
            <w:r/>
          </w:p>
        </w:tc>
      </w:tr>
      <w:tr>
        <w:trPr/>
        <w:tc>
          <w:tcPr>
            <w:shd w:val="clear" w:fill="auto" w:color="auto"/>
            <w:tcW w:w="1344" w:type="pct"/>
            <w:textDirection w:val="lrTb"/>
            <w:noWrap w:val="false"/>
          </w:tcPr>
          <w:p>
            <w:pPr>
              <w:pStyle w:val="1005"/>
              <w:ind w:left="57" w:right="57"/>
            </w:pPr>
            <w:r>
              <w:t xml:space="preserve">Краткое наименование</w:t>
            </w:r>
            <w:r/>
          </w:p>
        </w:tc>
        <w:tc>
          <w:tcPr>
            <w:shd w:val="clear" w:fill="auto" w:color="auto"/>
            <w:tcW w:w="3656" w:type="pct"/>
            <w:textDirection w:val="lrTb"/>
            <w:noWrap w:val="false"/>
          </w:tcPr>
          <w:p>
            <w:pPr>
              <w:pStyle w:val="1005"/>
              <w:ind w:left="57" w:right="57"/>
            </w:pPr>
            <w:r>
              <w:t xml:space="preserve">Краткое наименование КБК.</w:t>
            </w:r>
            <w:r/>
          </w:p>
          <w:p>
            <w:pPr>
              <w:pStyle w:val="1005"/>
              <w:ind w:left="57" w:right="57"/>
            </w:pPr>
            <w:r>
              <w:t xml:space="preserve">Вручную.</w:t>
            </w:r>
            <w:r/>
          </w:p>
          <w:p>
            <w:pPr>
              <w:pStyle w:val="1005"/>
              <w:ind w:left="57" w:right="57"/>
            </w:pPr>
            <w:r>
              <w:t xml:space="preserve">Автоматически по соответствию значению поля «Код БК» с учётом введённого значения в поле «Бюджет (наименование)».</w:t>
            </w:r>
            <w:r/>
          </w:p>
        </w:tc>
      </w:tr>
      <w:tr>
        <w:trPr/>
        <w:tc>
          <w:tcPr>
            <w:shd w:val="clear" w:fill="auto" w:color="auto"/>
            <w:tcW w:w="1344" w:type="pct"/>
            <w:textDirection w:val="lrTb"/>
            <w:noWrap w:val="false"/>
          </w:tcPr>
          <w:p>
            <w:pPr>
              <w:pStyle w:val="1005"/>
              <w:ind w:left="57" w:right="57"/>
            </w:pPr>
            <w:r>
              <w:t xml:space="preserve">Полное наименование</w:t>
            </w:r>
            <w:r/>
          </w:p>
        </w:tc>
        <w:tc>
          <w:tcPr>
            <w:shd w:val="clear" w:fill="auto" w:color="auto"/>
            <w:tcW w:w="3656" w:type="pct"/>
            <w:textDirection w:val="lrTb"/>
            <w:noWrap w:val="false"/>
          </w:tcPr>
          <w:p>
            <w:pPr>
              <w:pStyle w:val="1005"/>
              <w:ind w:left="57" w:right="57"/>
            </w:pPr>
            <w:r>
              <w:t xml:space="preserve">Полное наименование КБК.</w:t>
            </w:r>
            <w:r/>
          </w:p>
          <w:p>
            <w:pPr>
              <w:pStyle w:val="1005"/>
              <w:ind w:left="57" w:right="57"/>
            </w:pPr>
            <w:r>
              <w:t xml:space="preserve">Вручную.</w:t>
            </w:r>
            <w:r/>
          </w:p>
          <w:p>
            <w:pPr>
              <w:pStyle w:val="1005"/>
              <w:ind w:left="57" w:right="57"/>
            </w:pPr>
            <w:r>
              <w:t xml:space="preserve">Автоматически по соответствию значению поля «Код БК» с учётом введённого значения в поле «Бюджет (наименование)».</w:t>
            </w:r>
            <w:r/>
          </w:p>
        </w:tc>
      </w:tr>
      <w:tr>
        <w:trPr/>
        <w:tc>
          <w:tcPr>
            <w:shd w:val="clear" w:fill="auto" w:color="auto"/>
            <w:tcW w:w="1344" w:type="pct"/>
            <w:textDirection w:val="lrTb"/>
            <w:noWrap w:val="false"/>
          </w:tcPr>
          <w:p>
            <w:pPr>
              <w:pStyle w:val="1005"/>
              <w:ind w:left="57" w:right="57"/>
            </w:pPr>
            <w:r>
              <w:t xml:space="preserve">Действует с </w:t>
            </w:r>
            <w:r/>
          </w:p>
        </w:tc>
        <w:tc>
          <w:tcPr>
            <w:shd w:val="clear" w:fill="auto" w:color="auto"/>
            <w:tcW w:w="3656" w:type="pct"/>
            <w:textDirection w:val="lrTb"/>
            <w:noWrap w:val="false"/>
          </w:tcPr>
          <w:p>
            <w:pPr>
              <w:pStyle w:val="1005"/>
              <w:ind w:left="57" w:right="57"/>
            </w:pPr>
            <w:r>
              <w:t xml:space="preserve">Дата начала действия КБК.</w:t>
            </w:r>
            <w:r/>
          </w:p>
        </w:tc>
      </w:tr>
      <w:tr>
        <w:trPr/>
        <w:tc>
          <w:tcPr>
            <w:shd w:val="clear" w:fill="auto" w:color="auto"/>
            <w:tcW w:w="1344" w:type="pct"/>
            <w:textDirection w:val="lrTb"/>
            <w:noWrap w:val="false"/>
          </w:tcPr>
          <w:p>
            <w:pPr>
              <w:pStyle w:val="1005"/>
              <w:ind w:left="57" w:right="57"/>
            </w:pPr>
            <w:r>
              <w:t xml:space="preserve">Действует по</w:t>
            </w:r>
            <w:r/>
          </w:p>
        </w:tc>
        <w:tc>
          <w:tcPr>
            <w:shd w:val="clear" w:fill="auto" w:color="auto"/>
            <w:tcW w:w="3656" w:type="pct"/>
            <w:textDirection w:val="lrTb"/>
            <w:noWrap w:val="false"/>
          </w:tcPr>
          <w:p>
            <w:pPr>
              <w:pStyle w:val="1005"/>
              <w:ind w:left="57" w:right="57"/>
            </w:pPr>
            <w:r>
              <w:t xml:space="preserve">Дата окончания действия КБК.</w:t>
            </w:r>
            <w:r/>
          </w:p>
        </w:tc>
      </w:tr>
    </w:tbl>
    <w:p>
      <w:pPr>
        <w:pStyle w:val="994"/>
      </w:pPr>
      <w:r>
        <w:t xml:space="preserve">В</w:t>
      </w:r>
      <w:r>
        <w:t xml:space="preserve">кладка «КБК» (рис.</w:t>
      </w:r>
      <w:r>
        <w:t xml:space="preserve"> </w:t>
      </w:r>
      <w:r>
        <w:fldChar w:fldCharType="begin"/>
      </w:r>
      <w:r>
        <w:instrText xml:space="preserve"> REF _Ref294019795 \h  \* MERGEFORMAT </w:instrText>
      </w:r>
      <w:r>
        <w:fldChar w:fldCharType="separate"/>
      </w:r>
      <w:r>
        <w:t xml:space="preserve">301</w:t>
      </w:r>
      <w:r>
        <w:fldChar w:fldCharType="end"/>
      </w:r>
      <w:r>
        <w:t xml:space="preserve">) заполняется в том случае, если в поле «Тип классификации», на </w:t>
      </w:r>
      <w:r>
        <w:t xml:space="preserve">в</w:t>
      </w:r>
      <w:r>
        <w:t xml:space="preserve">кладк</w:t>
      </w:r>
      <w:r>
        <w:t xml:space="preserve">е «Основные атрибуты» (см.</w:t>
      </w:r>
      <w:r>
        <w:t xml:space="preserve"> </w:t>
      </w:r>
      <w:r>
        <w:t xml:space="preserve">рис.</w:t>
      </w:r>
      <w:r>
        <w:t xml:space="preserve"> </w:t>
      </w:r>
      <w:r>
        <w:fldChar w:fldCharType="begin"/>
      </w:r>
      <w:r>
        <w:instrText xml:space="preserve"> REF _Ref294019794 \h  \* MERGEFORMAT </w:instrText>
      </w:r>
      <w:r>
        <w:fldChar w:fldCharType="separate"/>
      </w:r>
      <w:r>
        <w:t xml:space="preserve">296</w:t>
      </w:r>
      <w:r>
        <w:fldChar w:fldCharType="end"/>
      </w:r>
      <w:r>
        <w:t xml:space="preserve">), указано значение «КБК (</w:t>
      </w:r>
      <w:r>
        <w:rPr>
          <w:lang w:val="en-US"/>
        </w:rPr>
        <w:t xml:space="preserve">DK</w:t>
      </w:r>
      <w:r>
        <w:t xml:space="preserve">)».</w:t>
      </w:r>
      <w:r/>
    </w:p>
    <w:p>
      <w:pPr>
        <w:pStyle w:val="982"/>
      </w:pPr>
      <w:r>
        <w:t xml:space="preserve"> </w:t>
      </w:r>
      <w:r>
        <mc:AlternateContent>
          <mc:Choice Requires="wpg">
            <w:drawing>
              <wp:inline xmlns:wp="http://schemas.openxmlformats.org/drawingml/2006/wordprocessingDrawing" distT="0" distB="0" distL="0" distR="0">
                <wp:extent cx="6019800" cy="3208020"/>
                <wp:effectExtent l="0" t="0" r="0" b="0"/>
                <wp:docPr id="44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90"/>
                        <a:stretch/>
                      </pic:blipFill>
                      <pic:spPr bwMode="auto">
                        <a:xfrm>
                          <a:off x="0" y="0"/>
                          <a:ext cx="6019800" cy="32080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2" o:spid="_x0000_s442" type="#_x0000_t75" style="mso-wrap-distance-left:0.0pt;mso-wrap-distance-top:0.0pt;mso-wrap-distance-right:0.0pt;mso-wrap-distance-bottom:0.0pt;width:474.0pt;height:252.6pt;" stroked="f">
                <v:path textboxrect="0,0,0,0"/>
                <v:imagedata r:id="rId390" o:title=""/>
              </v:shape>
            </w:pict>
          </mc:Fallback>
        </mc:AlternateContent>
      </w:r>
      <w:r/>
    </w:p>
    <w:p>
      <w:pPr>
        <w:pStyle w:val="983"/>
      </w:pPr>
      <w:r>
        <w:fldChar w:fldCharType="begin"/>
      </w:r>
      <w:r>
        <w:instrText xml:space="preserve"> SEQ Рисунок \* ARABIC </w:instrText>
      </w:r>
      <w:r>
        <w:fldChar w:fldCharType="separate"/>
      </w:r>
      <w:bookmarkStart w:id="1983" w:name="_Ref294019795"/>
      <w:r/>
      <w:bookmarkStart w:id="1984" w:name="_Toc88819686"/>
      <w:r>
        <w:t xml:space="preserve">301</w:t>
      </w:r>
      <w:bookmarkEnd w:id="1983"/>
      <w:r>
        <w:fldChar w:fldCharType="end"/>
      </w:r>
      <w:r>
        <w:t xml:space="preserve">. ЭФ документа «Сведения о КБК</w:t>
      </w:r>
      <w:r>
        <w:t xml:space="preserve">», </w:t>
      </w:r>
      <w:r>
        <w:t xml:space="preserve">в</w:t>
      </w:r>
      <w:r>
        <w:t xml:space="preserve">кладки «</w:t>
      </w:r>
      <w:r>
        <w:t xml:space="preserve">КБК»</w:t>
      </w:r>
      <w:bookmarkEnd w:id="1984"/>
      <w:r/>
      <w:r/>
    </w:p>
    <w:p>
      <w:pPr>
        <w:pStyle w:val="994"/>
      </w:pPr>
      <w:r>
        <w:t xml:space="preserve">Для добавления записи в табличную часть </w:t>
      </w:r>
      <w:r>
        <w:t xml:space="preserve">в</w:t>
      </w:r>
      <w:r>
        <w:t xml:space="preserve">кладки «КБК» следует нажать кнопку </w:t>
      </w:r>
      <w:r>
        <mc:AlternateContent>
          <mc:Choice Requires="wpg">
            <w:drawing>
              <wp:inline xmlns:wp="http://schemas.openxmlformats.org/drawingml/2006/wordprocessingDrawing" distT="0" distB="0" distL="0" distR="0">
                <wp:extent cx="182880" cy="182880"/>
                <wp:effectExtent l="0" t="0" r="0" b="0"/>
                <wp:docPr id="44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3" o:spid="_x0000_s443" type="#_x0000_t75" style="mso-wrap-distance-left:0.0pt;mso-wrap-distance-top:0.0pt;mso-wrap-distance-right:0.0pt;mso-wrap-distance-bottom:0.0pt;width:14.4pt;height:14.4pt;" stroked="f">
                <v:path textboxrect="0,0,0,0"/>
                <v:imagedata r:id="rId80" o:title=""/>
              </v:shape>
            </w:pict>
          </mc:Fallback>
        </mc:AlternateContent>
      </w:r>
      <w:r>
        <w:t xml:space="preserve"> </w:t>
      </w:r>
      <w:r>
        <w:t xml:space="preserve">(Добавить новую строку)</w:t>
      </w:r>
      <w:r>
        <w:t xml:space="preserve"> и заполнить поля открывшейся формы (рис.</w:t>
      </w:r>
      <w:r>
        <w:t xml:space="preserve"> </w:t>
      </w:r>
      <w:r>
        <w:fldChar w:fldCharType="begin"/>
      </w:r>
      <w:r>
        <w:instrText xml:space="preserve"> REF _Ref328563227 \h  \* MERGEFORMAT </w:instrText>
      </w:r>
      <w:r>
        <w:fldChar w:fldCharType="separate"/>
      </w:r>
      <w:r>
        <w:t xml:space="preserve">302</w:t>
      </w:r>
      <w:r>
        <w:fldChar w:fldCharType="end"/>
      </w:r>
      <w:r>
        <w:t xml:space="preserve">). </w:t>
      </w:r>
      <w:r/>
    </w:p>
    <w:p>
      <w:pPr>
        <w:pStyle w:val="982"/>
      </w:pPr>
      <w:r>
        <mc:AlternateContent>
          <mc:Choice Requires="wpg">
            <w:drawing>
              <wp:inline xmlns:wp="http://schemas.openxmlformats.org/drawingml/2006/wordprocessingDrawing" distT="0" distB="0" distL="0" distR="0">
                <wp:extent cx="6035040" cy="3108960"/>
                <wp:effectExtent l="0" t="0" r="0" b="0"/>
                <wp:docPr id="44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91"/>
                        <a:stretch/>
                      </pic:blipFill>
                      <pic:spPr bwMode="auto">
                        <a:xfrm>
                          <a:off x="0" y="0"/>
                          <a:ext cx="6035039" cy="31089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4" o:spid="_x0000_s444" type="#_x0000_t75" style="mso-wrap-distance-left:0.0pt;mso-wrap-distance-top:0.0pt;mso-wrap-distance-right:0.0pt;mso-wrap-distance-bottom:0.0pt;width:475.2pt;height:244.8pt;" stroked="f">
                <v:path textboxrect="0,0,0,0"/>
                <v:imagedata r:id="rId391" o:title=""/>
              </v:shape>
            </w:pict>
          </mc:Fallback>
        </mc:AlternateContent>
      </w:r>
      <w:r/>
    </w:p>
    <w:p>
      <w:pPr>
        <w:pStyle w:val="983"/>
      </w:pPr>
      <w:r>
        <w:fldChar w:fldCharType="begin"/>
      </w:r>
      <w:r>
        <w:instrText xml:space="preserve"> SEQ Рисунок \* ARABIC </w:instrText>
      </w:r>
      <w:r>
        <w:fldChar w:fldCharType="separate"/>
      </w:r>
      <w:bookmarkStart w:id="1985" w:name="_Ref328563227"/>
      <w:r/>
      <w:bookmarkStart w:id="1986" w:name="_Toc88819687"/>
      <w:r>
        <w:t xml:space="preserve">302</w:t>
      </w:r>
      <w:bookmarkEnd w:id="1985"/>
      <w:r>
        <w:fldChar w:fldCharType="end"/>
      </w:r>
      <w:r>
        <w:t xml:space="preserve">. </w:t>
      </w:r>
      <w:r>
        <w:t xml:space="preserve">Форма</w:t>
      </w:r>
      <w:r>
        <w:t xml:space="preserve"> «</w:t>
      </w:r>
      <w:r>
        <w:t xml:space="preserve">Добавление записи</w:t>
      </w:r>
      <w:r>
        <w:t xml:space="preserve">», </w:t>
      </w:r>
      <w:r>
        <w:t xml:space="preserve">в</w:t>
      </w:r>
      <w:r>
        <w:t xml:space="preserve">кладки «</w:t>
      </w:r>
      <w:r>
        <w:t xml:space="preserve">КБК»</w:t>
      </w:r>
      <w:bookmarkEnd w:id="1986"/>
      <w:r/>
      <w:r/>
    </w:p>
    <w:p>
      <w:pPr>
        <w:pStyle w:val="994"/>
      </w:pPr>
      <w:r>
        <w:t xml:space="preserve">Перечень </w:t>
      </w:r>
      <w:r>
        <w:t xml:space="preserve">полей формы «Добавление записи», </w:t>
      </w:r>
      <w:r>
        <w:t xml:space="preserve">в</w:t>
      </w:r>
      <w:r>
        <w:t xml:space="preserve">кладки «КБК»</w:t>
      </w:r>
      <w:r>
        <w:t xml:space="preserve"> </w:t>
      </w:r>
      <w:r>
        <w:t xml:space="preserve">приведен в таблице</w:t>
      </w:r>
      <w:r>
        <w:t xml:space="preserve"> </w:t>
      </w:r>
      <w:r>
        <w:fldChar w:fldCharType="begin"/>
      </w:r>
      <w:r>
        <w:instrText xml:space="preserve"> REF _Ref328563521 \h  \* MERGEFORMAT </w:instrText>
      </w:r>
      <w:r>
        <w:fldChar w:fldCharType="separate"/>
      </w:r>
      <w:r>
        <w:t xml:space="preserve">174</w:t>
      </w:r>
      <w:r>
        <w:fldChar w:fldCharType="end"/>
      </w:r>
      <w:r>
        <w:t xml:space="preserve">.</w:t>
      </w:r>
      <w:r/>
    </w:p>
    <w:p>
      <w:pPr>
        <w:pStyle w:val="993"/>
      </w:pPr>
      <w:r>
        <w:fldChar w:fldCharType="begin"/>
      </w:r>
      <w:r>
        <w:instrText xml:space="preserve"> SEQ Таблица \* ARABIC </w:instrText>
      </w:r>
      <w:r>
        <w:fldChar w:fldCharType="separate"/>
      </w:r>
      <w:bookmarkStart w:id="1987" w:name="_Ref328563521"/>
      <w:r/>
      <w:bookmarkStart w:id="1988" w:name="_Toc88819361"/>
      <w:r>
        <w:t xml:space="preserve">174</w:t>
      </w:r>
      <w:bookmarkEnd w:id="1987"/>
      <w:r>
        <w:fldChar w:fldCharType="end"/>
      </w:r>
      <w:r>
        <w:t xml:space="preserve">. </w:t>
      </w:r>
      <w:r>
        <w:t xml:space="preserve">Описание полей формы «Добавление записи»</w:t>
      </w:r>
      <w:r>
        <w:t xml:space="preserve">, </w:t>
      </w:r>
      <w:r>
        <w:t xml:space="preserve">в</w:t>
      </w:r>
      <w:r>
        <w:t xml:space="preserve">кладки «</w:t>
      </w:r>
      <w:r>
        <w:t xml:space="preserve">КБК»</w:t>
      </w:r>
      <w:bookmarkEnd w:id="198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621"/>
        <w:gridCol w:w="7131"/>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34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656" w:type="pct"/>
            <w:vAlign w:val="center"/>
            <w:textDirection w:val="lrTb"/>
            <w:noWrap w:val="false"/>
          </w:tcPr>
          <w:p>
            <w:pPr>
              <w:pStyle w:val="1006"/>
            </w:pPr>
            <w:r>
              <w:t xml:space="preserve">Описание поля</w:t>
            </w:r>
            <w:r/>
          </w:p>
        </w:tc>
      </w:tr>
      <w:tr>
        <w:trPr/>
        <w:tc>
          <w:tcPr>
            <w:shd w:val="clear" w:fill="auto" w:color="auto"/>
            <w:tcW w:w="1344" w:type="pct"/>
            <w:textDirection w:val="lrTb"/>
            <w:noWrap w:val="false"/>
          </w:tcPr>
          <w:p>
            <w:pPr>
              <w:pStyle w:val="1005"/>
              <w:ind w:left="57" w:right="57"/>
            </w:pPr>
            <w:r>
              <w:t xml:space="preserve">Код БК</w:t>
            </w:r>
            <w:r/>
          </w:p>
        </w:tc>
        <w:tc>
          <w:tcPr>
            <w:shd w:val="clear" w:fill="auto" w:color="auto"/>
            <w:tcW w:w="3656" w:type="pct"/>
            <w:textDirection w:val="lrTb"/>
            <w:noWrap w:val="false"/>
          </w:tcPr>
          <w:p>
            <w:pPr>
              <w:pStyle w:val="1005"/>
              <w:ind w:left="57" w:right="57"/>
            </w:pPr>
            <w:r>
              <w:t xml:space="preserve">Вручную.</w:t>
            </w:r>
            <w:r/>
          </w:p>
          <w:p>
            <w:pPr>
              <w:pStyle w:val="1005"/>
              <w:ind w:left="57" w:right="57"/>
            </w:pPr>
            <w:r>
              <w:t xml:space="preserve">Выбор из справочника «КБК» (список ограничен кодами 10, 20, 31 и 32).</w:t>
            </w:r>
            <w:r/>
          </w:p>
        </w:tc>
      </w:tr>
      <w:tr>
        <w:trPr/>
        <w:tc>
          <w:tcPr>
            <w:shd w:val="clear" w:fill="auto" w:color="auto"/>
            <w:tcW w:w="1344" w:type="pct"/>
            <w:textDirection w:val="lrTb"/>
            <w:noWrap w:val="false"/>
          </w:tcPr>
          <w:p>
            <w:pPr>
              <w:pStyle w:val="1005"/>
              <w:ind w:left="57" w:right="57"/>
            </w:pPr>
            <w:r>
              <w:t xml:space="preserve">Тип КБК</w:t>
            </w:r>
            <w:r/>
          </w:p>
        </w:tc>
        <w:tc>
          <w:tcPr>
            <w:shd w:val="clear" w:fill="auto" w:color="auto"/>
            <w:tcW w:w="3656" w:type="pct"/>
            <w:textDirection w:val="lrTb"/>
            <w:noWrap w:val="false"/>
          </w:tcPr>
          <w:p>
            <w:pPr>
              <w:pStyle w:val="1005"/>
              <w:ind w:left="57" w:right="57"/>
            </w:pPr>
            <w:r>
              <w:t xml:space="preserve">Вручную.</w:t>
            </w:r>
            <w:r/>
          </w:p>
          <w:p>
            <w:pPr>
              <w:pStyle w:val="1005"/>
              <w:ind w:left="57" w:right="57"/>
            </w:pPr>
            <w:r>
              <w:t xml:space="preserve">Выбор из справочника «Типы КБК». </w:t>
            </w:r>
            <w:r/>
          </w:p>
          <w:p>
            <w:pPr>
              <w:pStyle w:val="1005"/>
              <w:ind w:left="57" w:right="57"/>
            </w:pPr>
            <w:r>
              <w:t xml:space="preserve">Поле доступно для редактирования/ввода только, если «Тип КБК» = 10.</w:t>
            </w:r>
            <w:r/>
          </w:p>
        </w:tc>
      </w:tr>
      <w:tr>
        <w:trPr/>
        <w:tc>
          <w:tcPr>
            <w:shd w:val="clear" w:fill="auto" w:color="auto"/>
            <w:tcW w:w="1344" w:type="pct"/>
            <w:textDirection w:val="lrTb"/>
            <w:noWrap w:val="false"/>
          </w:tcPr>
          <w:p>
            <w:pPr>
              <w:pStyle w:val="1005"/>
              <w:ind w:left="57" w:right="57"/>
            </w:pPr>
            <w:r>
              <w:t xml:space="preserve">Признак лимитирования </w:t>
            </w:r>
            <w:r/>
          </w:p>
        </w:tc>
        <w:tc>
          <w:tcPr>
            <w:shd w:val="clear" w:fill="auto" w:color="auto"/>
            <w:tcW w:w="3656" w:type="pct"/>
            <w:textDirection w:val="lrTb"/>
            <w:noWrap w:val="false"/>
          </w:tcPr>
          <w:p>
            <w:pPr>
              <w:pStyle w:val="1005"/>
              <w:ind w:left="57" w:right="57"/>
            </w:pPr>
            <w:r>
              <w:t xml:space="preserve">Вручную.</w:t>
            </w:r>
            <w:r/>
          </w:p>
        </w:tc>
      </w:tr>
      <w:tr>
        <w:trPr/>
        <w:tc>
          <w:tcPr>
            <w:shd w:val="clear" w:fill="auto" w:color="auto"/>
            <w:tcW w:w="1344" w:type="pct"/>
            <w:textDirection w:val="lrTb"/>
            <w:noWrap w:val="false"/>
          </w:tcPr>
          <w:p>
            <w:pPr>
              <w:pStyle w:val="1005"/>
              <w:ind w:left="57" w:right="57"/>
            </w:pPr>
            <w:r>
              <w:t xml:space="preserve">Краткое наименование</w:t>
            </w:r>
            <w:r/>
          </w:p>
        </w:tc>
        <w:tc>
          <w:tcPr>
            <w:shd w:val="clear" w:fill="auto" w:color="auto"/>
            <w:tcW w:w="3656" w:type="pct"/>
            <w:textDirection w:val="lrTb"/>
            <w:noWrap w:val="false"/>
          </w:tcPr>
          <w:p>
            <w:pPr>
              <w:pStyle w:val="1005"/>
              <w:ind w:left="57" w:right="57"/>
            </w:pPr>
            <w:r>
              <w:t xml:space="preserve">Вручную.</w:t>
            </w:r>
            <w:r/>
          </w:p>
          <w:p>
            <w:pPr>
              <w:pStyle w:val="1005"/>
              <w:ind w:left="57" w:right="57"/>
            </w:pPr>
            <w:r>
              <w:t xml:space="preserve">Автоматически по соответствию значению поля «Код БК» с учётом введённого значения в поле «Бюджет (наименование)».</w:t>
            </w:r>
            <w:r/>
          </w:p>
        </w:tc>
      </w:tr>
      <w:tr>
        <w:trPr/>
        <w:tc>
          <w:tcPr>
            <w:shd w:val="clear" w:fill="auto" w:color="auto"/>
            <w:tcW w:w="1344" w:type="pct"/>
            <w:textDirection w:val="lrTb"/>
            <w:noWrap w:val="false"/>
          </w:tcPr>
          <w:p>
            <w:pPr>
              <w:pStyle w:val="1005"/>
              <w:ind w:left="57" w:right="57"/>
            </w:pPr>
            <w:r>
              <w:t xml:space="preserve">Полное наименование</w:t>
            </w:r>
            <w:r/>
          </w:p>
        </w:tc>
        <w:tc>
          <w:tcPr>
            <w:shd w:val="clear" w:fill="auto" w:color="auto"/>
            <w:tcW w:w="3656" w:type="pct"/>
            <w:textDirection w:val="lrTb"/>
            <w:noWrap w:val="false"/>
          </w:tcPr>
          <w:p>
            <w:pPr>
              <w:pStyle w:val="1005"/>
              <w:ind w:left="57" w:right="57"/>
            </w:pPr>
            <w:r>
              <w:t xml:space="preserve">Вручную.</w:t>
            </w:r>
            <w:r/>
          </w:p>
          <w:p>
            <w:pPr>
              <w:pStyle w:val="1005"/>
              <w:ind w:left="57" w:right="57"/>
            </w:pPr>
            <w:r>
              <w:t xml:space="preserve">Автоматически по соответствию значению поля «Код БК» с учётом введённого значения в поле «Бюджет (наименование)».</w:t>
            </w:r>
            <w:r/>
          </w:p>
        </w:tc>
      </w:tr>
      <w:tr>
        <w:trPr/>
        <w:tc>
          <w:tcPr>
            <w:shd w:val="clear" w:fill="auto" w:color="auto"/>
            <w:tcW w:w="1344" w:type="pct"/>
            <w:textDirection w:val="lrTb"/>
            <w:noWrap w:val="false"/>
          </w:tcPr>
          <w:p>
            <w:pPr>
              <w:pStyle w:val="1005"/>
              <w:ind w:left="57" w:right="57"/>
            </w:pPr>
            <w:r>
              <w:t xml:space="preserve">Действует с </w:t>
            </w:r>
            <w:r/>
          </w:p>
        </w:tc>
        <w:tc>
          <w:tcPr>
            <w:shd w:val="clear" w:fill="auto" w:color="auto"/>
            <w:tcW w:w="3656" w:type="pct"/>
            <w:textDirection w:val="lrTb"/>
            <w:noWrap w:val="false"/>
          </w:tcPr>
          <w:p>
            <w:pPr>
              <w:pStyle w:val="1005"/>
              <w:ind w:left="57" w:right="57"/>
            </w:pPr>
            <w:r>
              <w:t xml:space="preserve">Дата начала действия КБК.</w:t>
            </w:r>
            <w:r/>
          </w:p>
        </w:tc>
      </w:tr>
      <w:tr>
        <w:trPr/>
        <w:tc>
          <w:tcPr>
            <w:shd w:val="clear" w:fill="auto" w:color="auto"/>
            <w:tcW w:w="1344" w:type="pct"/>
            <w:textDirection w:val="lrTb"/>
            <w:noWrap w:val="false"/>
          </w:tcPr>
          <w:p>
            <w:pPr>
              <w:pStyle w:val="1005"/>
              <w:ind w:left="57" w:right="57"/>
            </w:pPr>
            <w:r>
              <w:t xml:space="preserve">Действует по</w:t>
            </w:r>
            <w:r/>
          </w:p>
        </w:tc>
        <w:tc>
          <w:tcPr>
            <w:shd w:val="clear" w:fill="auto" w:color="auto"/>
            <w:tcW w:w="3656" w:type="pct"/>
            <w:textDirection w:val="lrTb"/>
            <w:noWrap w:val="false"/>
          </w:tcPr>
          <w:p>
            <w:pPr>
              <w:pStyle w:val="1005"/>
              <w:ind w:left="57" w:right="57"/>
            </w:pPr>
            <w:r>
              <w:t xml:space="preserve">Дата окончания действия КБК.</w:t>
            </w:r>
            <w:r/>
          </w:p>
        </w:tc>
      </w:tr>
    </w:tbl>
    <w:p>
      <w:pPr>
        <w:pStyle w:val="994"/>
      </w:pPr>
      <w:r>
        <w:t xml:space="preserve">В</w:t>
      </w:r>
      <w:r>
        <w:t xml:space="preserve">кладка «Цели субсидий/Субвенций» (рис.</w:t>
      </w:r>
      <w:r>
        <w:t xml:space="preserve"> </w:t>
      </w:r>
      <w:r>
        <w:fldChar w:fldCharType="begin"/>
      </w:r>
      <w:r>
        <w:instrText xml:space="preserve"> REF _Ref328562044 \h  \* MERGEFORMAT </w:instrText>
      </w:r>
      <w:r>
        <w:fldChar w:fldCharType="separate"/>
      </w:r>
      <w:r>
        <w:t xml:space="preserve">303</w:t>
      </w:r>
      <w:r>
        <w:fldChar w:fldCharType="end"/>
      </w:r>
      <w:r>
        <w:t xml:space="preserve">) заполняется в том случае, если в поле «Тип классификации», на </w:t>
      </w:r>
      <w:r>
        <w:t xml:space="preserve">в</w:t>
      </w:r>
      <w:r>
        <w:t xml:space="preserve">кладк</w:t>
      </w:r>
      <w:r>
        <w:t xml:space="preserve">е «Основные атрибуты» (см.</w:t>
      </w:r>
      <w:r>
        <w:t xml:space="preserve"> </w:t>
      </w:r>
      <w:r>
        <w:t xml:space="preserve">рис.</w:t>
      </w:r>
      <w:r>
        <w:t xml:space="preserve"> </w:t>
      </w:r>
      <w:r>
        <w:fldChar w:fldCharType="begin"/>
      </w:r>
      <w:r>
        <w:instrText xml:space="preserve"> REF _Ref294019794 \h  \* MERGEFORMAT </w:instrText>
      </w:r>
      <w:r>
        <w:fldChar w:fldCharType="separate"/>
      </w:r>
      <w:r>
        <w:t xml:space="preserve">296</w:t>
      </w:r>
      <w:r>
        <w:fldChar w:fldCharType="end"/>
      </w:r>
      <w:r>
        <w:t xml:space="preserve">), указано значение «Субсидии/Субвенции (</w:t>
      </w:r>
      <w:r>
        <w:rPr>
          <w:lang w:val="en-US"/>
        </w:rPr>
        <w:t xml:space="preserve">KD</w:t>
      </w:r>
      <w:r>
        <w:t xml:space="preserve">)».</w:t>
      </w:r>
      <w:r/>
    </w:p>
    <w:p>
      <w:pPr>
        <w:pStyle w:val="982"/>
      </w:pPr>
      <w:r>
        <w:t xml:space="preserve"> </w:t>
      </w:r>
      <w:r>
        <mc:AlternateContent>
          <mc:Choice Requires="wpg">
            <w:drawing>
              <wp:inline xmlns:wp="http://schemas.openxmlformats.org/drawingml/2006/wordprocessingDrawing" distT="0" distB="0" distL="0" distR="0">
                <wp:extent cx="6118860" cy="3291840"/>
                <wp:effectExtent l="0" t="0" r="0" b="0"/>
                <wp:docPr id="44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92"/>
                        <a:stretch/>
                      </pic:blipFill>
                      <pic:spPr bwMode="auto">
                        <a:xfrm>
                          <a:off x="0" y="0"/>
                          <a:ext cx="6118860" cy="32918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5" o:spid="_x0000_s445" type="#_x0000_t75" style="mso-wrap-distance-left:0.0pt;mso-wrap-distance-top:0.0pt;mso-wrap-distance-right:0.0pt;mso-wrap-distance-bottom:0.0pt;width:481.8pt;height:259.2pt;" stroked="f">
                <v:path textboxrect="0,0,0,0"/>
                <v:imagedata r:id="rId392" o:title=""/>
              </v:shape>
            </w:pict>
          </mc:Fallback>
        </mc:AlternateContent>
      </w:r>
      <w:r/>
    </w:p>
    <w:p>
      <w:pPr>
        <w:pStyle w:val="983"/>
      </w:pPr>
      <w:r>
        <w:fldChar w:fldCharType="begin"/>
      </w:r>
      <w:r>
        <w:instrText xml:space="preserve"> SEQ Рисунок \* ARABIC </w:instrText>
      </w:r>
      <w:r>
        <w:fldChar w:fldCharType="separate"/>
      </w:r>
      <w:bookmarkStart w:id="1989" w:name="_Ref328562044"/>
      <w:r/>
      <w:bookmarkStart w:id="1990" w:name="_Toc88819688"/>
      <w:r>
        <w:t xml:space="preserve">303</w:t>
      </w:r>
      <w:bookmarkEnd w:id="1989"/>
      <w:r>
        <w:fldChar w:fldCharType="end"/>
      </w:r>
      <w:r>
        <w:t xml:space="preserve">. ЭФ документа «Сведения о КБК</w:t>
      </w:r>
      <w:r>
        <w:t xml:space="preserve">», </w:t>
      </w:r>
      <w:r>
        <w:t xml:space="preserve">в</w:t>
      </w:r>
      <w:r>
        <w:t xml:space="preserve">кладки «</w:t>
      </w:r>
      <w:r>
        <w:t xml:space="preserve">Цели субсидий/</w:t>
      </w:r>
      <w:r>
        <w:t xml:space="preserve">Субвенций</w:t>
      </w:r>
      <w:r>
        <w:t xml:space="preserve">»</w:t>
      </w:r>
      <w:bookmarkEnd w:id="1990"/>
      <w:r/>
      <w:r/>
    </w:p>
    <w:p>
      <w:pPr>
        <w:pStyle w:val="994"/>
      </w:pPr>
      <w:r>
        <w:t xml:space="preserve">Для добавления записи в табличную часть </w:t>
      </w:r>
      <w:r>
        <w:t xml:space="preserve">в</w:t>
      </w:r>
      <w:r>
        <w:t xml:space="preserve">кладки «Цели субсидий/Субвенций» следует нажать кнопку </w:t>
      </w:r>
      <w:r>
        <mc:AlternateContent>
          <mc:Choice Requires="wpg">
            <w:drawing>
              <wp:inline xmlns:wp="http://schemas.openxmlformats.org/drawingml/2006/wordprocessingDrawing" distT="0" distB="0" distL="0" distR="0">
                <wp:extent cx="182880" cy="182880"/>
                <wp:effectExtent l="0" t="0" r="0" b="0"/>
                <wp:docPr id="44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80"/>
                        <a:stretch/>
                      </pic:blipFill>
                      <pic:spPr bwMode="auto">
                        <a:xfrm>
                          <a:off x="0" y="0"/>
                          <a:ext cx="18288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6" o:spid="_x0000_s446" type="#_x0000_t75" style="mso-wrap-distance-left:0.0pt;mso-wrap-distance-top:0.0pt;mso-wrap-distance-right:0.0pt;mso-wrap-distance-bottom:0.0pt;width:14.4pt;height:14.4pt;" stroked="f">
                <v:path textboxrect="0,0,0,0"/>
                <v:imagedata r:id="rId80" o:title=""/>
              </v:shape>
            </w:pict>
          </mc:Fallback>
        </mc:AlternateContent>
      </w:r>
      <w:r>
        <w:t xml:space="preserve"> </w:t>
      </w:r>
      <w:r>
        <w:t xml:space="preserve">(Добавить новую строку)</w:t>
      </w:r>
      <w:r>
        <w:t xml:space="preserve"> и заполнить поля открывшейся формы (рис.</w:t>
      </w:r>
      <w:r>
        <w:t xml:space="preserve"> </w:t>
      </w:r>
      <w:r>
        <w:fldChar w:fldCharType="begin"/>
      </w:r>
      <w:r>
        <w:instrText xml:space="preserve"> REF _Ref328563227 \h  \* MERGEFORMAT </w:instrText>
      </w:r>
      <w:r>
        <w:fldChar w:fldCharType="separate"/>
      </w:r>
      <w:r>
        <w:t xml:space="preserve">302</w:t>
      </w:r>
      <w:r>
        <w:fldChar w:fldCharType="end"/>
      </w:r>
      <w:r>
        <w:t xml:space="preserve">). </w:t>
      </w:r>
      <w:r/>
    </w:p>
    <w:p>
      <w:pPr>
        <w:pStyle w:val="982"/>
      </w:pPr>
      <w:r>
        <mc:AlternateContent>
          <mc:Choice Requires="wpg">
            <w:drawing>
              <wp:inline xmlns:wp="http://schemas.openxmlformats.org/drawingml/2006/wordprocessingDrawing" distT="0" distB="0" distL="0" distR="0">
                <wp:extent cx="6126480" cy="3566160"/>
                <wp:effectExtent l="0" t="0" r="0" b="0"/>
                <wp:docPr id="44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93"/>
                        <a:stretch/>
                      </pic:blipFill>
                      <pic:spPr bwMode="auto">
                        <a:xfrm>
                          <a:off x="0" y="0"/>
                          <a:ext cx="6126480" cy="35661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7" o:spid="_x0000_s447" type="#_x0000_t75" style="mso-wrap-distance-left:0.0pt;mso-wrap-distance-top:0.0pt;mso-wrap-distance-right:0.0pt;mso-wrap-distance-bottom:0.0pt;width:482.4pt;height:280.8pt;" stroked="f">
                <v:path textboxrect="0,0,0,0"/>
                <v:imagedata r:id="rId393" o:title=""/>
              </v:shape>
            </w:pict>
          </mc:Fallback>
        </mc:AlternateContent>
      </w:r>
      <w:r/>
    </w:p>
    <w:p>
      <w:pPr>
        <w:pStyle w:val="983"/>
      </w:pPr>
      <w:r>
        <w:fldChar w:fldCharType="begin"/>
      </w:r>
      <w:r>
        <w:instrText xml:space="preserve"> SEQ Рисунок \* ARABIC </w:instrText>
      </w:r>
      <w:r>
        <w:fldChar w:fldCharType="separate"/>
      </w:r>
      <w:bookmarkStart w:id="1991" w:name="_Toc88819689"/>
      <w:r>
        <w:t xml:space="preserve">304</w:t>
      </w:r>
      <w:r>
        <w:fldChar w:fldCharType="end"/>
      </w:r>
      <w:r>
        <w:t xml:space="preserve">. </w:t>
      </w:r>
      <w:r>
        <w:t xml:space="preserve">Форма «Добавление </w:t>
      </w:r>
      <w:r>
        <w:t xml:space="preserve">записи», </w:t>
      </w:r>
      <w:r>
        <w:t xml:space="preserve">в</w:t>
      </w:r>
      <w:r>
        <w:t xml:space="preserve">кладки «Цели субсидий/Субвенций»</w:t>
      </w:r>
      <w:bookmarkEnd w:id="1991"/>
      <w:r/>
      <w:r/>
    </w:p>
    <w:p>
      <w:pPr>
        <w:pStyle w:val="994"/>
      </w:pPr>
      <w:r>
        <w:t xml:space="preserve">Перечень </w:t>
      </w:r>
      <w:r>
        <w:t xml:space="preserve">полей формы «Добавление записи», </w:t>
      </w:r>
      <w:r>
        <w:t xml:space="preserve">в</w:t>
      </w:r>
      <w:r>
        <w:t xml:space="preserve">кладки «Цели субсидий/Субвенций»</w:t>
      </w:r>
      <w:r>
        <w:t xml:space="preserve"> </w:t>
      </w:r>
      <w:r>
        <w:t xml:space="preserve">приведен в таблице</w:t>
      </w:r>
      <w:r>
        <w:t xml:space="preserve"> </w:t>
      </w:r>
      <w:r>
        <w:fldChar w:fldCharType="begin"/>
      </w:r>
      <w:r>
        <w:instrText xml:space="preserve"> REF _Ref328563901 \h  \* MERGEFORMAT </w:instrText>
      </w:r>
      <w:r>
        <w:fldChar w:fldCharType="separate"/>
      </w:r>
      <w:r>
        <w:t xml:space="preserve">175</w:t>
      </w:r>
      <w:r>
        <w:fldChar w:fldCharType="end"/>
      </w:r>
      <w:r>
        <w:t xml:space="preserve">.</w:t>
      </w:r>
      <w:r/>
    </w:p>
    <w:p>
      <w:pPr>
        <w:pStyle w:val="993"/>
      </w:pPr>
      <w:r>
        <w:fldChar w:fldCharType="begin"/>
      </w:r>
      <w:r>
        <w:instrText xml:space="preserve"> SEQ Таблица \* ARABIC </w:instrText>
      </w:r>
      <w:r>
        <w:fldChar w:fldCharType="separate"/>
      </w:r>
      <w:bookmarkStart w:id="1992" w:name="_Ref328563901"/>
      <w:r/>
      <w:bookmarkStart w:id="1993" w:name="_Toc88819362"/>
      <w:r>
        <w:t xml:space="preserve">175</w:t>
      </w:r>
      <w:bookmarkEnd w:id="1992"/>
      <w:r>
        <w:fldChar w:fldCharType="end"/>
      </w:r>
      <w:r>
        <w:t xml:space="preserve">. </w:t>
      </w:r>
      <w:r>
        <w:t xml:space="preserve">Описание полей формы «Добавление записи»</w:t>
      </w:r>
      <w:r>
        <w:t xml:space="preserve">, </w:t>
      </w:r>
      <w:r>
        <w:t xml:space="preserve">в</w:t>
      </w:r>
      <w:r>
        <w:t xml:space="preserve">кладки «</w:t>
      </w:r>
      <w:r>
        <w:t xml:space="preserve">Цели субсидий/</w:t>
      </w:r>
      <w:r>
        <w:t xml:space="preserve">С</w:t>
      </w:r>
      <w:r>
        <w:t xml:space="preserve">убвенций</w:t>
      </w:r>
      <w:r>
        <w:t xml:space="preserve">»</w:t>
      </w:r>
      <w:bookmarkEnd w:id="1993"/>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621"/>
        <w:gridCol w:w="7131"/>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34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656" w:type="pct"/>
            <w:vAlign w:val="center"/>
            <w:textDirection w:val="lrTb"/>
            <w:noWrap w:val="false"/>
          </w:tcPr>
          <w:p>
            <w:pPr>
              <w:pStyle w:val="1006"/>
            </w:pPr>
            <w:r>
              <w:t xml:space="preserve">Описание</w:t>
            </w:r>
            <w:r>
              <w:t xml:space="preserve"> поля</w:t>
            </w:r>
            <w:r/>
          </w:p>
        </w:tc>
      </w:tr>
      <w:tr>
        <w:trPr/>
        <w:tc>
          <w:tcPr>
            <w:shd w:val="clear" w:fill="auto" w:color="auto"/>
            <w:tcW w:w="1344" w:type="pct"/>
            <w:textDirection w:val="lrTb"/>
            <w:noWrap w:val="false"/>
          </w:tcPr>
          <w:p>
            <w:pPr>
              <w:pStyle w:val="1005"/>
              <w:ind w:left="57" w:right="57"/>
            </w:pPr>
            <w:r>
              <w:t xml:space="preserve">Код БК</w:t>
            </w:r>
            <w:r/>
          </w:p>
        </w:tc>
        <w:tc>
          <w:tcPr>
            <w:shd w:val="clear" w:fill="auto" w:color="auto"/>
            <w:tcW w:w="3656" w:type="pct"/>
            <w:textDirection w:val="lrTb"/>
            <w:noWrap w:val="false"/>
          </w:tcPr>
          <w:p>
            <w:pPr>
              <w:pStyle w:val="1005"/>
              <w:ind w:left="57" w:right="57"/>
            </w:pPr>
            <w:r>
              <w:t xml:space="preserve">Вручную. </w:t>
            </w:r>
            <w:r/>
          </w:p>
          <w:p>
            <w:pPr>
              <w:pStyle w:val="1005"/>
              <w:ind w:left="57" w:right="57"/>
            </w:pPr>
            <w:r>
              <w:t xml:space="preserve">Выбор из справочника «Цели субсидий/субвенций».</w:t>
            </w:r>
            <w:r/>
          </w:p>
        </w:tc>
      </w:tr>
      <w:tr>
        <w:trPr/>
        <w:tc>
          <w:tcPr>
            <w:shd w:val="clear" w:fill="auto" w:color="auto"/>
            <w:tcW w:w="1344" w:type="pct"/>
            <w:textDirection w:val="lrTb"/>
            <w:noWrap w:val="false"/>
          </w:tcPr>
          <w:p>
            <w:pPr>
              <w:pStyle w:val="1005"/>
              <w:ind w:left="57" w:right="57"/>
            </w:pPr>
            <w:r>
              <w:t xml:space="preserve">КБК доходы</w:t>
            </w:r>
            <w:r/>
          </w:p>
        </w:tc>
        <w:tc>
          <w:tcPr>
            <w:shd w:val="clear" w:fill="auto" w:color="auto"/>
            <w:tcW w:w="3656" w:type="pct"/>
            <w:textDirection w:val="lrTb"/>
            <w:noWrap w:val="false"/>
          </w:tcPr>
          <w:p>
            <w:pPr>
              <w:pStyle w:val="1005"/>
              <w:ind w:left="57" w:right="57"/>
            </w:pPr>
            <w:r>
              <w:t xml:space="preserve">Вручную.</w:t>
            </w:r>
            <w:r/>
          </w:p>
          <w:p>
            <w:pPr>
              <w:pStyle w:val="1005"/>
              <w:ind w:left="57" w:right="57"/>
            </w:pPr>
            <w:r>
              <w:t xml:space="preserve">Выбор из справочника «КБК доходы».</w:t>
            </w:r>
            <w:r/>
          </w:p>
        </w:tc>
      </w:tr>
      <w:tr>
        <w:trPr>
          <w:trHeight w:val="382"/>
        </w:trPr>
        <w:tc>
          <w:tcPr>
            <w:shd w:val="clear" w:fill="auto" w:color="auto"/>
            <w:tcW w:w="1344" w:type="pct"/>
            <w:textDirection w:val="lrTb"/>
            <w:noWrap w:val="false"/>
          </w:tcPr>
          <w:p>
            <w:pPr>
              <w:pStyle w:val="1005"/>
              <w:ind w:left="57" w:right="57"/>
            </w:pPr>
            <w:r>
              <w:t xml:space="preserve">КБК расходы</w:t>
            </w:r>
            <w:r/>
          </w:p>
        </w:tc>
        <w:tc>
          <w:tcPr>
            <w:shd w:val="clear" w:fill="auto" w:color="auto"/>
            <w:tcW w:w="3656" w:type="pct"/>
            <w:textDirection w:val="lrTb"/>
            <w:noWrap w:val="false"/>
          </w:tcPr>
          <w:p>
            <w:pPr>
              <w:pStyle w:val="1005"/>
              <w:ind w:left="57" w:right="57"/>
            </w:pPr>
            <w:r>
              <w:t xml:space="preserve">Вручную.</w:t>
            </w:r>
            <w:r/>
          </w:p>
          <w:p>
            <w:pPr>
              <w:pStyle w:val="1005"/>
              <w:ind w:left="57" w:right="57"/>
            </w:pPr>
            <w:r>
              <w:t xml:space="preserve">Выбор из справочника «КБК расходы».</w:t>
            </w:r>
            <w:r/>
          </w:p>
        </w:tc>
      </w:tr>
      <w:tr>
        <w:trPr/>
        <w:tc>
          <w:tcPr>
            <w:shd w:val="clear" w:fill="auto" w:color="auto"/>
            <w:tcW w:w="1344" w:type="pct"/>
            <w:textDirection w:val="lrTb"/>
            <w:noWrap w:val="false"/>
          </w:tcPr>
          <w:p>
            <w:pPr>
              <w:pStyle w:val="1005"/>
              <w:ind w:left="57" w:right="57"/>
            </w:pPr>
            <w:r>
              <w:t xml:space="preserve">Краткое наименование</w:t>
            </w:r>
            <w:r/>
          </w:p>
        </w:tc>
        <w:tc>
          <w:tcPr>
            <w:shd w:val="clear" w:fill="auto" w:color="auto"/>
            <w:tcW w:w="3656" w:type="pct"/>
            <w:textDirection w:val="lrTb"/>
            <w:noWrap w:val="false"/>
          </w:tcPr>
          <w:p>
            <w:pPr>
              <w:pStyle w:val="1005"/>
              <w:ind w:left="57" w:right="57"/>
            </w:pPr>
            <w:r>
              <w:t xml:space="preserve">Вручную.</w:t>
            </w:r>
            <w:r/>
          </w:p>
          <w:p>
            <w:pPr>
              <w:pStyle w:val="1005"/>
              <w:ind w:left="57" w:right="57"/>
            </w:pPr>
            <w:r>
              <w:t xml:space="preserve">Автоматически по соответствию значению поля «Код БК» с учётом введённого значения в поле «Бюджет (наименование)».</w:t>
            </w:r>
            <w:r/>
          </w:p>
        </w:tc>
      </w:tr>
      <w:tr>
        <w:trPr/>
        <w:tc>
          <w:tcPr>
            <w:shd w:val="clear" w:fill="auto" w:color="auto"/>
            <w:tcW w:w="1344" w:type="pct"/>
            <w:textDirection w:val="lrTb"/>
            <w:noWrap w:val="false"/>
          </w:tcPr>
          <w:p>
            <w:pPr>
              <w:pStyle w:val="1005"/>
              <w:ind w:left="57" w:right="57"/>
            </w:pPr>
            <w:r>
              <w:t xml:space="preserve">Полное наименование</w:t>
            </w:r>
            <w:r/>
          </w:p>
        </w:tc>
        <w:tc>
          <w:tcPr>
            <w:shd w:val="clear" w:fill="auto" w:color="auto"/>
            <w:tcW w:w="3656" w:type="pct"/>
            <w:textDirection w:val="lrTb"/>
            <w:noWrap w:val="false"/>
          </w:tcPr>
          <w:p>
            <w:pPr>
              <w:pStyle w:val="1005"/>
              <w:ind w:left="57" w:right="57"/>
            </w:pPr>
            <w:r>
              <w:t xml:space="preserve">Вручную.</w:t>
            </w:r>
            <w:r/>
          </w:p>
          <w:p>
            <w:pPr>
              <w:pStyle w:val="1005"/>
              <w:ind w:left="57" w:right="57"/>
            </w:pPr>
            <w:r>
              <w:t xml:space="preserve">Автоматически по соответствию значению поля «Код БК» с учётом введённого значения в поле «Бюджет (наименование)».</w:t>
            </w:r>
            <w:r/>
          </w:p>
        </w:tc>
      </w:tr>
      <w:tr>
        <w:trPr/>
        <w:tc>
          <w:tcPr>
            <w:shd w:val="clear" w:fill="auto" w:color="auto"/>
            <w:tcW w:w="1344" w:type="pct"/>
            <w:textDirection w:val="lrTb"/>
            <w:noWrap w:val="false"/>
          </w:tcPr>
          <w:p>
            <w:pPr>
              <w:pStyle w:val="1005"/>
              <w:ind w:left="57" w:right="57"/>
            </w:pPr>
            <w:r>
              <w:t xml:space="preserve">Действует с </w:t>
            </w:r>
            <w:r/>
          </w:p>
        </w:tc>
        <w:tc>
          <w:tcPr>
            <w:shd w:val="clear" w:fill="auto" w:color="auto"/>
            <w:tcW w:w="3656" w:type="pct"/>
            <w:textDirection w:val="lrTb"/>
            <w:noWrap w:val="false"/>
          </w:tcPr>
          <w:p>
            <w:pPr>
              <w:pStyle w:val="1005"/>
              <w:ind w:left="57" w:right="57"/>
            </w:pPr>
            <w:r>
              <w:t xml:space="preserve">Дата начала действия КБК.</w:t>
            </w:r>
            <w:r/>
          </w:p>
        </w:tc>
      </w:tr>
      <w:tr>
        <w:trPr/>
        <w:tc>
          <w:tcPr>
            <w:shd w:val="clear" w:fill="auto" w:color="auto"/>
            <w:tcW w:w="1344" w:type="pct"/>
            <w:textDirection w:val="lrTb"/>
            <w:noWrap w:val="false"/>
          </w:tcPr>
          <w:p>
            <w:pPr>
              <w:pStyle w:val="1005"/>
              <w:ind w:left="57" w:right="57"/>
            </w:pPr>
            <w:r>
              <w:t xml:space="preserve">Действует по</w:t>
            </w:r>
            <w:r/>
          </w:p>
        </w:tc>
        <w:tc>
          <w:tcPr>
            <w:shd w:val="clear" w:fill="auto" w:color="auto"/>
            <w:tcW w:w="3656" w:type="pct"/>
            <w:textDirection w:val="lrTb"/>
            <w:noWrap w:val="false"/>
          </w:tcPr>
          <w:p>
            <w:pPr>
              <w:pStyle w:val="1005"/>
              <w:ind w:left="57" w:right="57"/>
            </w:pPr>
            <w:r>
              <w:t xml:space="preserve">Дата окончания действия КБК.</w:t>
            </w:r>
            <w:r/>
          </w:p>
        </w:tc>
      </w:tr>
      <w:tr>
        <w:trPr/>
        <w:tc>
          <w:tcPr>
            <w:shd w:val="clear" w:fill="auto" w:color="auto"/>
            <w:tcW w:w="1344" w:type="pct"/>
            <w:textDirection w:val="lrTb"/>
            <w:noWrap w:val="false"/>
          </w:tcPr>
          <w:p>
            <w:pPr>
              <w:pStyle w:val="1005"/>
              <w:ind w:left="57" w:right="57"/>
            </w:pPr>
            <w:r>
              <w:t xml:space="preserve">Признак отнесения к доп. </w:t>
            </w:r>
            <w:r>
              <w:t xml:space="preserve">К</w:t>
            </w:r>
            <w:r>
              <w:t xml:space="preserve">лассификации</w:t>
            </w:r>
            <w:r/>
          </w:p>
        </w:tc>
        <w:tc>
          <w:tcPr>
            <w:shd w:val="clear" w:fill="auto" w:color="auto"/>
            <w:tcW w:w="3656" w:type="pct"/>
            <w:textDirection w:val="lrTb"/>
            <w:noWrap w:val="false"/>
          </w:tcPr>
          <w:p>
            <w:pPr>
              <w:pStyle w:val="1005"/>
              <w:ind w:left="57" w:right="57"/>
            </w:pPr>
            <w:r>
              <w:t xml:space="preserve">Признак отнесения к дополнительной классификации.</w:t>
            </w:r>
            <w:r/>
          </w:p>
          <w:p>
            <w:pPr>
              <w:pStyle w:val="1005"/>
              <w:ind w:left="57" w:right="57"/>
            </w:pPr>
            <w:r>
              <w:t xml:space="preserve">На АРМ ФО:</w:t>
            </w:r>
            <w:r/>
          </w:p>
          <w:p>
            <w:pPr>
              <w:pStyle w:val="1009"/>
              <w:numPr>
                <w:ilvl w:val="0"/>
                <w:numId w:val="122"/>
              </w:numPr>
            </w:pPr>
            <w:r>
              <w:tab/>
              <w:t xml:space="preserve">Выбор из списка;</w:t>
            </w:r>
            <w:r/>
          </w:p>
          <w:p>
            <w:pPr>
              <w:pStyle w:val="1009"/>
            </w:pPr>
            <w:r>
              <w:tab/>
              <w:t xml:space="preserve">Автоматически по соот</w:t>
            </w:r>
            <w:r>
              <w:t xml:space="preserve">ветствию значению поля «Код БК».</w:t>
            </w:r>
            <w:r/>
          </w:p>
          <w:p>
            <w:pPr>
              <w:pStyle w:val="1005"/>
              <w:ind w:left="57" w:right="57"/>
            </w:pPr>
            <w:r>
              <w:t xml:space="preserve">Возможные значения:</w:t>
            </w:r>
            <w:r/>
          </w:p>
          <w:p>
            <w:pPr>
              <w:pStyle w:val="1007"/>
            </w:pPr>
            <w:r>
              <w:t xml:space="preserve">субсидия/субвенция;</w:t>
            </w:r>
            <w:r/>
          </w:p>
          <w:p>
            <w:pPr>
              <w:pStyle w:val="1007"/>
            </w:pPr>
            <w:r>
              <w:t xml:space="preserve">дополнительная классификация, детализирующая КБК субъекта/муниципального образования.</w:t>
            </w:r>
            <w:r/>
          </w:p>
        </w:tc>
      </w:tr>
      <w:tr>
        <w:trPr/>
        <w:tc>
          <w:tcPr>
            <w:shd w:val="clear" w:fill="auto" w:color="auto"/>
            <w:tcW w:w="1344" w:type="pct"/>
            <w:textDirection w:val="lrTb"/>
            <w:noWrap w:val="false"/>
          </w:tcPr>
          <w:p>
            <w:pPr>
              <w:pStyle w:val="1005"/>
              <w:ind w:left="57" w:right="57"/>
            </w:pPr>
            <w:r>
              <w:t xml:space="preserve">Признак отсутствия контроля</w:t>
            </w:r>
            <w:r/>
          </w:p>
        </w:tc>
        <w:tc>
          <w:tcPr>
            <w:shd w:val="clear" w:fill="auto" w:color="auto"/>
            <w:tcW w:w="3656" w:type="pct"/>
            <w:textDirection w:val="lrTb"/>
            <w:noWrap w:val="false"/>
          </w:tcPr>
          <w:p>
            <w:pPr>
              <w:pStyle w:val="1005"/>
              <w:ind w:left="57" w:right="57"/>
            </w:pPr>
            <w:r>
              <w:t xml:space="preserve">Признак контролируемости.</w:t>
            </w:r>
            <w:r/>
          </w:p>
          <w:p>
            <w:pPr>
              <w:pStyle w:val="1005"/>
              <w:ind w:left="57" w:right="57"/>
            </w:pPr>
            <w:r>
              <w:t xml:space="preserve">На АРМ ФО:</w:t>
            </w:r>
            <w:r/>
          </w:p>
          <w:p>
            <w:pPr>
              <w:pStyle w:val="1008"/>
            </w:pPr>
            <w:r>
              <w:t xml:space="preserve">Выбор из списка;</w:t>
            </w:r>
            <w:r/>
          </w:p>
          <w:p>
            <w:pPr>
              <w:pStyle w:val="1008"/>
            </w:pPr>
            <w:r>
              <w:tab/>
              <w:t xml:space="preserve">Автоматически по соответствию значению поля «Код БК»</w:t>
            </w:r>
            <w:r>
              <w:t xml:space="preserve">. </w:t>
            </w:r>
            <w:r/>
          </w:p>
          <w:p>
            <w:pPr>
              <w:pStyle w:val="1005"/>
              <w:ind w:left="57" w:right="57"/>
            </w:pPr>
            <w:r>
              <w:t xml:space="preserve">Возможные значения:</w:t>
            </w:r>
            <w:r/>
          </w:p>
          <w:p>
            <w:pPr>
              <w:pStyle w:val="1007"/>
            </w:pPr>
            <w:r>
              <w:t xml:space="preserve">наличие контроля;</w:t>
            </w:r>
            <w:r/>
          </w:p>
          <w:p>
            <w:pPr>
              <w:pStyle w:val="1007"/>
            </w:pPr>
            <w:r>
              <w:t xml:space="preserve">отсутствие контроля.</w:t>
            </w:r>
            <w:r/>
          </w:p>
        </w:tc>
      </w:tr>
      <w:tr>
        <w:trPr/>
        <w:tc>
          <w:tcPr>
            <w:shd w:val="clear" w:fill="auto" w:color="auto"/>
            <w:tcW w:w="1344" w:type="pct"/>
            <w:textDirection w:val="lrTb"/>
            <w:noWrap w:val="false"/>
          </w:tcPr>
          <w:p>
            <w:pPr>
              <w:pStyle w:val="1005"/>
              <w:ind w:left="57" w:right="57"/>
            </w:pPr>
            <w:r>
              <w:t xml:space="preserve">Признак отнесения к субсидии</w:t>
            </w:r>
            <w:r/>
          </w:p>
        </w:tc>
        <w:tc>
          <w:tcPr>
            <w:shd w:val="clear" w:fill="auto" w:color="auto"/>
            <w:tcW w:w="3656" w:type="pct"/>
            <w:textDirection w:val="lrTb"/>
            <w:noWrap w:val="false"/>
          </w:tcPr>
          <w:p>
            <w:pPr>
              <w:pStyle w:val="1005"/>
              <w:ind w:left="57" w:right="57"/>
            </w:pPr>
            <w:r>
              <w:t xml:space="preserve">Заполняется при отнесении КЦ к субсидии.</w:t>
            </w:r>
            <w:r/>
          </w:p>
          <w:p>
            <w:pPr>
              <w:pStyle w:val="1005"/>
              <w:ind w:left="57" w:right="57"/>
            </w:pPr>
            <w:r>
              <w:t xml:space="preserve">На ВФ реализовывается поле как чек-бокс (флаг).</w:t>
            </w:r>
            <w:r/>
          </w:p>
          <w:p>
            <w:pPr>
              <w:pStyle w:val="1005"/>
              <w:ind w:left="57" w:right="57"/>
            </w:pPr>
            <w:r>
              <w:t xml:space="preserve">Возможные значения для хранения в БД: 0 или 1 (флаг установлен).</w:t>
            </w:r>
            <w:r/>
          </w:p>
          <w:p>
            <w:pPr>
              <w:pStyle w:val="1005"/>
              <w:ind w:left="57" w:right="57"/>
            </w:pPr>
            <w:r>
              <w:t xml:space="preserve">Значение поля указывается вручную.</w:t>
            </w:r>
            <w:r/>
          </w:p>
          <w:p>
            <w:pPr>
              <w:pStyle w:val="1005"/>
              <w:ind w:left="57" w:right="57"/>
            </w:pPr>
            <w:r>
              <w:t xml:space="preserve">Или может быть указано автоматически по соответствию значению поля «Код БК».</w:t>
            </w:r>
            <w:r/>
          </w:p>
        </w:tc>
      </w:tr>
    </w:tbl>
    <w:p>
      <w:pPr>
        <w:pStyle w:val="994"/>
      </w:pPr>
      <w:r/>
      <w:bookmarkStart w:id="1994" w:name="_Toc309741302"/>
      <w:r/>
      <w:bookmarkStart w:id="1995" w:name="_Ref309804429"/>
      <w:r/>
      <w:bookmarkStart w:id="1996" w:name="_Toc309804544"/>
      <w:r/>
      <w:bookmarkStart w:id="1997" w:name="_Ref309805462"/>
      <w:r/>
      <w:bookmarkStart w:id="1998" w:name="_Toc309806527"/>
      <w:r/>
      <w:bookmarkStart w:id="1999" w:name="_Ref309807336"/>
      <w:r/>
      <w:bookmarkStart w:id="2000" w:name="_Ref309807340"/>
      <w:r/>
      <w:bookmarkStart w:id="2001" w:name="_Ref311554373"/>
      <w:r/>
      <w:bookmarkStart w:id="2002" w:name="_Ref319238514"/>
      <w:r>
        <w:t xml:space="preserve">В табличном блоке, на </w:t>
      </w:r>
      <w:r>
        <w:t xml:space="preserve">в</w:t>
      </w:r>
      <w:r>
        <w:t xml:space="preserve">кладках «Ведомства», «Ц</w:t>
      </w:r>
      <w:r>
        <w:t xml:space="preserve">елевые статьи ФКР», «Виды расходов по ФКР», «Программы/Подпрограммы», «КБК», «Цели субсидии/Субвенций», присутствует поле «Статус», которое служит для отображения текущего статуса записей документа. Возможные значения поля: «Исполнено» или пустое значение.</w:t>
      </w:r>
      <w:r/>
    </w:p>
    <w:p>
      <w:pPr>
        <w:pStyle w:val="994"/>
      </w:pPr>
      <w:r>
        <w:t xml:space="preserve">Для актуализации статусов записей документа «Сведения о КБК» необходимо выполнить следующие действия: в списке документов выделить документ (или группу документов) и нажать на панели инструментов кнопку </w:t>
      </w:r>
      <w:r>
        <mc:AlternateContent>
          <mc:Choice Requires="wpg">
            <w:drawing>
              <wp:inline xmlns:wp="http://schemas.openxmlformats.org/drawingml/2006/wordprocessingDrawing" distT="0" distB="0" distL="0" distR="0">
                <wp:extent cx="281940" cy="274320"/>
                <wp:effectExtent l="0" t="0" r="0" b="0"/>
                <wp:docPr id="44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94"/>
                        <a:srcRect l="0" t="-10799" r="0" b="0"/>
                        <a:stretch/>
                      </pic:blipFill>
                      <pic:spPr bwMode="auto">
                        <a:xfrm>
                          <a:off x="0" y="0"/>
                          <a:ext cx="28194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8" o:spid="_x0000_s448" type="#_x0000_t75" style="mso-wrap-distance-left:0.0pt;mso-wrap-distance-top:0.0pt;mso-wrap-distance-right:0.0pt;mso-wrap-distance-bottom:0.0pt;width:22.2pt;height:21.6pt;" stroked="f">
                <v:path textboxrect="0,0,0,0"/>
                <v:imagedata r:id="rId394" o:title=""/>
              </v:shape>
            </w:pict>
          </mc:Fallback>
        </mc:AlternateContent>
      </w:r>
      <w:r>
        <w:t xml:space="preserve"> </w:t>
      </w:r>
      <w:r>
        <w:t xml:space="preserve">(</w:t>
      </w:r>
      <w:r>
        <w:t xml:space="preserve">Актуализировать статус записей документа). Операция доступна для документов со статусом передачи «Отправлен в СУФД» и бизнес-статусом «Исполнен частично» (99Ч) или «Введено» (001). Если в результате выполнения операции всем записям документа «С</w:t>
      </w:r>
      <w:r>
        <w:t xml:space="preserve">ведения о КБК» был присвоен статус «Исполнено», то документу присваивается бизнес-статус «Исполнено» с кодом «999». Если статус «Исполнено» был присвоен не всем записям документа, то документу присваивается бизнес-статус «Исполнено частично» с кодом «99Ч».</w:t>
      </w:r>
      <w:r/>
    </w:p>
    <w:p>
      <w:pPr>
        <w:pStyle w:val="971"/>
      </w:pPr>
      <w:r/>
      <w:bookmarkStart w:id="2003" w:name="_Toc422496750"/>
      <w:r/>
      <w:bookmarkStart w:id="2004" w:name="_Toc88819175"/>
      <w:r>
        <w:t xml:space="preserve">Группа документов «Регистрация пользователей на официальном сайте РФ»</w:t>
      </w:r>
      <w:bookmarkEnd w:id="1994"/>
      <w:r/>
      <w:bookmarkEnd w:id="1995"/>
      <w:r/>
      <w:bookmarkEnd w:id="1996"/>
      <w:r/>
      <w:bookmarkEnd w:id="1997"/>
      <w:r/>
      <w:bookmarkEnd w:id="1998"/>
      <w:r/>
      <w:bookmarkEnd w:id="1999"/>
      <w:r/>
      <w:bookmarkEnd w:id="2000"/>
      <w:r/>
      <w:bookmarkEnd w:id="2001"/>
      <w:r/>
      <w:bookmarkEnd w:id="2002"/>
      <w:r/>
      <w:bookmarkEnd w:id="2003"/>
      <w:r/>
      <w:bookmarkEnd w:id="2004"/>
      <w:r/>
      <w:r/>
    </w:p>
    <w:p>
      <w:pPr>
        <w:pStyle w:val="972"/>
      </w:pPr>
      <w:r/>
      <w:bookmarkStart w:id="2005" w:name="_Ref311541908"/>
      <w:r/>
      <w:bookmarkStart w:id="2006" w:name="_Toc319237101"/>
      <w:r/>
      <w:bookmarkStart w:id="2007" w:name="_Toc422496751"/>
      <w:r/>
      <w:bookmarkStart w:id="2008" w:name="_Toc88819176"/>
      <w:r>
        <w:t xml:space="preserve">Заявка на внесение изменений в перечень ГМУ (основные реквизиты)</w:t>
      </w:r>
      <w:bookmarkStart w:id="2009" w:name="_Toc319237102"/>
      <w:r/>
      <w:bookmarkEnd w:id="2005"/>
      <w:r/>
      <w:bookmarkEnd w:id="2006"/>
      <w:r/>
      <w:bookmarkEnd w:id="2007"/>
      <w:r/>
      <w:bookmarkEnd w:id="2008"/>
      <w:r/>
      <w:r/>
    </w:p>
    <w:p>
      <w:pPr>
        <w:pStyle w:val="994"/>
      </w:pPr>
      <w:r/>
      <w:bookmarkStart w:id="2010" w:name="_Hlk315345294"/>
      <w:r/>
      <w:bookmarkStart w:id="2011" w:name="_Hlk315344869"/>
      <w:r>
        <w:t xml:space="preserve">На основании документа </w:t>
      </w:r>
      <w:r>
        <w:t xml:space="preserve">«</w:t>
      </w:r>
      <w:r>
        <w:t xml:space="preserve">Заявка на внесение изменений в перечень ГМУ</w:t>
      </w:r>
      <w:r>
        <w:t xml:space="preserve">»</w:t>
      </w:r>
      <w:r>
        <w:t xml:space="preserve"> осуществл</w:t>
      </w:r>
      <w:r>
        <w:t xml:space="preserve">я</w:t>
      </w:r>
      <w:r>
        <w:t xml:space="preserve">ется обновление соответствующих реквизитов записей справочника </w:t>
      </w:r>
      <w:r>
        <w:t xml:space="preserve">«</w:t>
      </w:r>
      <w:r>
        <w:t xml:space="preserve">Реестр организаций сектора государственного управления</w:t>
      </w:r>
      <w:r>
        <w:t xml:space="preserve">»</w:t>
      </w:r>
      <w:r>
        <w:t xml:space="preserve"> (далее РОСГУ), совпадающих по коду РОСГУ. </w:t>
      </w:r>
      <w:r/>
    </w:p>
    <w:p>
      <w:pPr>
        <w:pStyle w:val="994"/>
      </w:pPr>
      <w:r>
        <w:t xml:space="preserve">В зависимости от источника предоставления, документ </w:t>
      </w:r>
      <w:r>
        <w:t xml:space="preserve">«</w:t>
      </w:r>
      <w:r>
        <w:t xml:space="preserve">Заявка на внесение изменений в перечень ГМУ</w:t>
      </w:r>
      <w:r>
        <w:t xml:space="preserve">»</w:t>
      </w:r>
      <w:r>
        <w:t xml:space="preserve"> имеет разный реквизитный состав, доступные функции над документом и порядок обработки в ОрФК: </w:t>
      </w:r>
      <w:r/>
    </w:p>
    <w:p>
      <w:pPr>
        <w:pStyle w:val="994"/>
      </w:pPr>
      <w:r>
        <w:t xml:space="preserve">Документ «Заявка на внесение изменений в перечень ГМУ (основные реквизиты)»,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w:t>
      </w:r>
      <w:r>
        <w:t xml:space="preserve">АРМ ДУБП и ОФК, импорта из ВС (ОС ГМУ в формате ТФФ ГМУ), хранения, просмотра, подписания </w:t>
      </w:r>
      <w:r>
        <w:t xml:space="preserve">ЭП</w:t>
      </w:r>
      <w:r>
        <w:t xml:space="preserve">, передачи в </w:t>
      </w:r>
      <w:r>
        <w:t xml:space="preserve">ППО OEBS АСФК</w:t>
      </w:r>
      <w:r>
        <w:t xml:space="preserve">.</w:t>
      </w:r>
      <w:r/>
    </w:p>
    <w:p>
      <w:pPr>
        <w:pStyle w:val="994"/>
      </w:pPr>
      <w:r>
        <w:t xml:space="preserve">Документ «Заявка на внесение изменений в перечень ГМУ (дополнительные реквиз</w:t>
      </w:r>
      <w:r>
        <w:t xml:space="preserve">и</w:t>
      </w:r>
      <w:r>
        <w:t xml:space="preserve">ты)» передаётся с ОС ГМУ в ОрФК (ЦАФК) и обеспечивает заполнение дополнительных р</w:t>
      </w:r>
      <w:r>
        <w:t xml:space="preserve">е</w:t>
      </w:r>
      <w:r>
        <w:t xml:space="preserve">квизитов справочника РОСГУ. Для документа «Заявка на внесение изменений в перечень ГМУ (дополнительные реквизиты)» в СУФД на уровне ЦАФК предусмотрены функции и</w:t>
      </w:r>
      <w:r>
        <w:t xml:space="preserve">м</w:t>
      </w:r>
      <w:r>
        <w:t xml:space="preserve">порта с ОС ГМУ в соответствии с требованиями ТФФ ГМУ и далее выгрузка в </w:t>
      </w:r>
      <w:r>
        <w:t xml:space="preserve">ППО OEBS АСФК</w:t>
      </w:r>
      <w:r>
        <w:t xml:space="preserve"> посредством СУФД-транспорт.</w:t>
      </w:r>
      <w:bookmarkEnd w:id="2010"/>
      <w:r/>
      <w:bookmarkEnd w:id="2011"/>
      <w:r/>
    </w:p>
    <w:p>
      <w:pPr>
        <w:pStyle w:val="994"/>
      </w:pPr>
      <w:r>
        <w:t xml:space="preserve">Для работы с документами </w:t>
      </w:r>
      <w:r>
        <w:t xml:space="preserve">«Заявка на внесение изменений в перечень ГМУ (основные реквизиты)» </w:t>
      </w:r>
      <w:r>
        <w:t xml:space="preserve">следует перейти в пункт меню</w:t>
      </w:r>
      <w:r>
        <w:t xml:space="preserve"> «Документы – Регистрация пользователей на официальном сайте РФ – Заявка на внесение изменений в перечень ГМУ (основные реквизиты)». Откроется ЭФ списка документов, представленная на рисунке</w:t>
      </w:r>
      <w:r>
        <w:t xml:space="preserve"> </w:t>
      </w:r>
      <w:r>
        <w:fldChar w:fldCharType="begin"/>
      </w:r>
      <w:r>
        <w:instrText xml:space="preserve"> REF _Ref309724818 \h  \* MERGEFORMAT </w:instrText>
      </w:r>
      <w:r>
        <w:fldChar w:fldCharType="separate"/>
      </w:r>
      <w:r>
        <w:t xml:space="preserve">305</w:t>
      </w:r>
      <w:r>
        <w:fldChar w:fldCharType="end"/>
      </w:r>
      <w:r>
        <w:t xml:space="preserve">.</w:t>
      </w:r>
      <w:r/>
    </w:p>
    <w:p>
      <w:pPr>
        <w:pStyle w:val="982"/>
      </w:pPr>
      <w:r>
        <mc:AlternateContent>
          <mc:Choice Requires="wpg">
            <w:drawing>
              <wp:inline xmlns:wp="http://schemas.openxmlformats.org/drawingml/2006/wordprocessingDrawing" distT="0" distB="0" distL="0" distR="0">
                <wp:extent cx="6149340" cy="3749040"/>
                <wp:effectExtent l="0" t="0" r="0" b="0"/>
                <wp:docPr id="45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95"/>
                        <a:stretch/>
                      </pic:blipFill>
                      <pic:spPr bwMode="auto">
                        <a:xfrm>
                          <a:off x="0" y="0"/>
                          <a:ext cx="6149340" cy="37490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9" o:spid="_x0000_s449" type="#_x0000_t75" style="mso-wrap-distance-left:0.0pt;mso-wrap-distance-top:0.0pt;mso-wrap-distance-right:0.0pt;mso-wrap-distance-bottom:0.0pt;width:484.2pt;height:295.2pt;" stroked="f">
                <v:path textboxrect="0,0,0,0"/>
                <v:imagedata r:id="rId395" o:title=""/>
              </v:shape>
            </w:pict>
          </mc:Fallback>
        </mc:AlternateContent>
      </w:r>
      <w:r/>
    </w:p>
    <w:p>
      <w:pPr>
        <w:pStyle w:val="983"/>
      </w:pPr>
      <w:r>
        <w:fldChar w:fldCharType="begin"/>
      </w:r>
      <w:r>
        <w:instrText xml:space="preserve"> SEQ Рисунок \* ARABIC </w:instrText>
      </w:r>
      <w:r>
        <w:fldChar w:fldCharType="separate"/>
      </w:r>
      <w:bookmarkStart w:id="2012" w:name="_Ref309724818"/>
      <w:r/>
      <w:bookmarkStart w:id="2013" w:name="_Toc88819690"/>
      <w:r>
        <w:t xml:space="preserve">305</w:t>
      </w:r>
      <w:bookmarkEnd w:id="2012"/>
      <w:r>
        <w:fldChar w:fldCharType="end"/>
      </w:r>
      <w:r>
        <w:t xml:space="preserve">. ЭФ списка документов «Заявка на внесение изменений в перечень ГМУ (основные реквизиты)»</w:t>
      </w:r>
      <w:bookmarkEnd w:id="2013"/>
      <w:r/>
      <w:r/>
    </w:p>
    <w:p>
      <w:pPr>
        <w:pStyle w:val="973"/>
      </w:pPr>
      <w:r>
        <w:t xml:space="preserve">Доступные операции</w:t>
      </w:r>
      <w:r/>
    </w:p>
    <w:p>
      <w:pPr>
        <w:pStyle w:val="994"/>
      </w:pPr>
      <w:r>
        <w:t xml:space="preserve">На АРМ ФО </w:t>
      </w:r>
      <w:r>
        <w:t xml:space="preserve">доступны следующие операции над документом</w:t>
      </w:r>
      <w:r>
        <w:t xml:space="preserve">:</w:t>
      </w:r>
      <w:r/>
    </w:p>
    <w:p>
      <w:pPr>
        <w:pStyle w:val="985"/>
      </w:pPr>
      <w:r>
        <w:t xml:space="preserve">ручной ввод;</w:t>
      </w:r>
      <w:r/>
    </w:p>
    <w:p>
      <w:pPr>
        <w:pStyle w:val="985"/>
      </w:pPr>
      <w:r>
        <w:t xml:space="preserve">просмотр и </w:t>
      </w:r>
      <w:r>
        <w:t xml:space="preserve">редактирование;</w:t>
      </w:r>
      <w:r/>
    </w:p>
    <w:p>
      <w:pPr>
        <w:pStyle w:val="985"/>
      </w:pPr>
      <w:r>
        <w:t xml:space="preserve">копирование и </w:t>
      </w:r>
      <w:r>
        <w:t xml:space="preserve">удаление;</w:t>
      </w:r>
      <w:r/>
    </w:p>
    <w:p>
      <w:pPr>
        <w:pStyle w:val="985"/>
      </w:pPr>
      <w:r>
        <w:t xml:space="preserve">документарный контроль;</w:t>
      </w:r>
      <w:r/>
    </w:p>
    <w:p>
      <w:pPr>
        <w:pStyle w:val="985"/>
      </w:pPr>
      <w:r>
        <w:t xml:space="preserve">подписание, проверка и снятие </w:t>
      </w:r>
      <w:r>
        <w:t xml:space="preserve">ЭП</w:t>
      </w:r>
      <w:r>
        <w:t xml:space="preserve">;</w:t>
      </w:r>
      <w:r/>
    </w:p>
    <w:p>
      <w:pPr>
        <w:pStyle w:val="985"/>
      </w:pPr>
      <w:r>
        <w:t xml:space="preserve">экспорт в </w:t>
      </w:r>
      <w:r>
        <w:t xml:space="preserve">ППО OEBS АСФК</w:t>
      </w:r>
      <w:r>
        <w:t xml:space="preserve">;</w:t>
      </w:r>
      <w:r/>
    </w:p>
    <w:p>
      <w:pPr>
        <w:pStyle w:val="985"/>
      </w:pPr>
      <w:r>
        <w:t xml:space="preserve">импорт из внешней системы.</w:t>
      </w:r>
      <w:r/>
    </w:p>
    <w:p>
      <w:pPr>
        <w:pStyle w:val="996"/>
      </w:pPr>
      <w:r>
        <w:rPr>
          <w:rStyle w:val="1001"/>
        </w:rPr>
        <w:t xml:space="preserve">Примечание.</w:t>
      </w:r>
      <w:r>
        <w:tab/>
      </w:r>
      <w:r>
        <w:t xml:space="preserve">Операции </w:t>
      </w:r>
      <w:r>
        <w:t xml:space="preserve">ручного ввода, редактирования, копирования и импорта из вне</w:t>
      </w:r>
      <w:r>
        <w:t xml:space="preserve">ш</w:t>
      </w:r>
      <w:r>
        <w:t xml:space="preserve">ней системы </w:t>
      </w:r>
      <w:r>
        <w:t xml:space="preserve">доступны только организациям, которые не помечены в ПГМУ признаком перехода на МДМ (отбор в справочнике осуществляется по коду </w:t>
      </w:r>
      <w:r>
        <w:t xml:space="preserve">РУБП</w:t>
      </w:r>
      <w:r>
        <w:t xml:space="preserve">, коду бюджета текущей организации среди актуальных зап</w:t>
      </w:r>
      <w:r>
        <w:t xml:space="preserve">и</w:t>
      </w:r>
      <w:r>
        <w:t xml:space="preserve">сей)</w:t>
      </w:r>
      <w:r>
        <w:t xml:space="preserve">.</w:t>
      </w:r>
      <w:r/>
    </w:p>
    <w:p>
      <w:pPr>
        <w:pStyle w:val="973"/>
      </w:pPr>
      <w:r/>
      <w:bookmarkStart w:id="2014" w:name="_Экранная_форма_документа_1"/>
      <w:r/>
      <w:bookmarkStart w:id="2015" w:name="_Ref327532506"/>
      <w:r/>
      <w:bookmarkEnd w:id="2009"/>
      <w:r/>
      <w:bookmarkEnd w:id="2014"/>
      <w:r>
        <w:t xml:space="preserve">Экранная форма документа</w:t>
      </w:r>
      <w:r/>
    </w:p>
    <w:p>
      <w:pPr>
        <w:pStyle w:val="994"/>
      </w:pPr>
      <w:r>
        <w:t xml:space="preserve">ЭФ </w:t>
      </w:r>
      <w:r>
        <w:t xml:space="preserve">«</w:t>
      </w:r>
      <w:r>
        <w:t xml:space="preserve">Заявка на внесение изменений в перечень ГМУ (основные реквизиты)</w:t>
      </w:r>
      <w:r>
        <w:t xml:space="preserve">»</w:t>
      </w:r>
      <w:r>
        <w:t xml:space="preserve"> предста</w:t>
      </w:r>
      <w:r>
        <w:t xml:space="preserve">в</w:t>
      </w:r>
      <w:r>
        <w:t xml:space="preserve">лена на рисунке</w:t>
      </w:r>
      <w:r>
        <w:t xml:space="preserve"> </w:t>
      </w:r>
      <w:r>
        <w:fldChar w:fldCharType="begin"/>
      </w:r>
      <w:r>
        <w:instrText xml:space="preserve"> REF _Ref309724781 \h  \* MERGEFORMAT </w:instrText>
      </w:r>
      <w:r>
        <w:fldChar w:fldCharType="separate"/>
      </w:r>
      <w:r>
        <w:t xml:space="preserve">306</w:t>
      </w:r>
      <w:r>
        <w:fldChar w:fldCharType="end"/>
      </w:r>
      <w:r>
        <w:t xml:space="preserve">. Форма содержит следующие </w:t>
      </w:r>
      <w:r>
        <w:t xml:space="preserve">закладки</w:t>
      </w:r>
      <w:r>
        <w:t xml:space="preserve">:</w:t>
      </w:r>
      <w:r/>
    </w:p>
    <w:p>
      <w:pPr>
        <w:pStyle w:val="985"/>
      </w:pPr>
      <w:r>
        <w:t xml:space="preserve">«Основные реквизиты»</w:t>
      </w:r>
      <w:r>
        <w:t xml:space="preserve">:</w:t>
      </w:r>
      <w:r>
        <w:t xml:space="preserve"> </w:t>
      </w:r>
      <w:r/>
    </w:p>
    <w:p>
      <w:pPr>
        <w:pStyle w:val="986"/>
      </w:pPr>
      <w:r>
        <w:t xml:space="preserve">«Общая информация»;</w:t>
      </w:r>
      <w:r/>
    </w:p>
    <w:p>
      <w:pPr>
        <w:pStyle w:val="986"/>
      </w:pPr>
      <w:r>
        <w:t xml:space="preserve">«Адресные данные»;</w:t>
      </w:r>
      <w:r/>
    </w:p>
    <w:p>
      <w:pPr>
        <w:pStyle w:val="986"/>
      </w:pPr>
      <w:r>
        <w:t xml:space="preserve">«Административная принадлежность»;</w:t>
      </w:r>
      <w:r/>
    </w:p>
    <w:p>
      <w:pPr>
        <w:pStyle w:val="986"/>
      </w:pPr>
      <w:r>
        <w:t xml:space="preserve">«Остальные реквизиты </w:t>
      </w:r>
      <w:r>
        <w:t xml:space="preserve">учреждения</w:t>
      </w:r>
      <w:r>
        <w:t xml:space="preserve">»;</w:t>
      </w:r>
      <w:r/>
    </w:p>
    <w:p>
      <w:pPr>
        <w:pStyle w:val="986"/>
      </w:pPr>
      <w:r>
        <w:t xml:space="preserve">«Бюджеты»;</w:t>
      </w:r>
      <w:r/>
    </w:p>
    <w:p>
      <w:pPr>
        <w:pStyle w:val="986"/>
      </w:pPr>
      <w:r>
        <w:t xml:space="preserve">«Подтверждающие документы»</w:t>
      </w:r>
      <w:r>
        <w:t xml:space="preserve">;</w:t>
      </w:r>
      <w:r/>
    </w:p>
    <w:p>
      <w:pPr>
        <w:pStyle w:val="985"/>
      </w:pPr>
      <w:r>
        <w:t xml:space="preserve">«</w:t>
      </w:r>
      <w:r>
        <w:t xml:space="preserve">Подписи</w:t>
      </w:r>
      <w:r>
        <w:t xml:space="preserve">».</w:t>
      </w:r>
      <w:r/>
    </w:p>
    <w:p>
      <w:pPr>
        <w:pStyle w:val="982"/>
      </w:pPr>
      <w:r>
        <mc:AlternateContent>
          <mc:Choice Requires="wpg">
            <w:drawing>
              <wp:inline xmlns:wp="http://schemas.openxmlformats.org/drawingml/2006/wordprocessingDrawing" distT="0" distB="0" distL="0" distR="0">
                <wp:extent cx="6118860" cy="3375660"/>
                <wp:effectExtent l="0" t="0" r="0" b="0"/>
                <wp:docPr id="45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96"/>
                        <a:stretch/>
                      </pic:blipFill>
                      <pic:spPr bwMode="auto">
                        <a:xfrm>
                          <a:off x="0" y="0"/>
                          <a:ext cx="6118860" cy="33756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0" o:spid="_x0000_s450" type="#_x0000_t75" style="mso-wrap-distance-left:0.0pt;mso-wrap-distance-top:0.0pt;mso-wrap-distance-right:0.0pt;mso-wrap-distance-bottom:0.0pt;width:481.8pt;height:265.8pt;" stroked="f">
                <v:path textboxrect="0,0,0,0"/>
                <v:imagedata r:id="rId396" o:title=""/>
              </v:shape>
            </w:pict>
          </mc:Fallback>
        </mc:AlternateContent>
      </w:r>
      <w:r/>
    </w:p>
    <w:p>
      <w:pPr>
        <w:pStyle w:val="983"/>
      </w:pPr>
      <w:r>
        <w:fldChar w:fldCharType="begin"/>
      </w:r>
      <w:r>
        <w:instrText xml:space="preserve"> SEQ Рисунок \* ARABIC </w:instrText>
      </w:r>
      <w:r>
        <w:fldChar w:fldCharType="separate"/>
      </w:r>
      <w:bookmarkStart w:id="2016" w:name="_Ref309724781"/>
      <w:r/>
      <w:bookmarkStart w:id="2017" w:name="_Toc88819691"/>
      <w:r>
        <w:t xml:space="preserve">306</w:t>
      </w:r>
      <w:bookmarkEnd w:id="2016"/>
      <w:r>
        <w:fldChar w:fldCharType="end"/>
      </w:r>
      <w:r>
        <w:t xml:space="preserve">. ЭФ </w:t>
      </w:r>
      <w:r>
        <w:t xml:space="preserve">документа «</w:t>
      </w:r>
      <w:r>
        <w:t xml:space="preserve">Заявка на внесение изменений в перечень ГМУ (основные реквизиты)</w:t>
      </w:r>
      <w:r>
        <w:t xml:space="preserve">»</w:t>
      </w:r>
      <w:r>
        <w:t xml:space="preserve">, з</w:t>
      </w:r>
      <w:r>
        <w:t xml:space="preserve">акладк</w:t>
      </w:r>
      <w:r>
        <w:t xml:space="preserve">и</w:t>
      </w:r>
      <w:r>
        <w:t xml:space="preserve"> </w:t>
      </w:r>
      <w:r>
        <w:t xml:space="preserve">«Основные реквизиты», </w:t>
      </w:r>
      <w:r>
        <w:t xml:space="preserve">вкладки </w:t>
      </w:r>
      <w:r>
        <w:t xml:space="preserve">«Общая информация»</w:t>
      </w:r>
      <w:bookmarkEnd w:id="2017"/>
      <w:r/>
      <w:r/>
    </w:p>
    <w:p>
      <w:pPr>
        <w:pStyle w:val="994"/>
      </w:pPr>
      <w:r>
        <w:t xml:space="preserve">Перечень</w:t>
      </w:r>
      <w:r>
        <w:t xml:space="preserve"> полей</w:t>
      </w:r>
      <w:r>
        <w:t xml:space="preserve"> документа «</w:t>
      </w:r>
      <w:r>
        <w:t xml:space="preserve">Заявка на внесение изменений в перечень ГМУ (основные реквизиты)</w:t>
      </w:r>
      <w:r>
        <w:t xml:space="preserve">», закладки «</w:t>
      </w:r>
      <w:r>
        <w:t xml:space="preserve">Основные реквизиты» </w:t>
      </w:r>
      <w:r>
        <w:t xml:space="preserve">приведен в таблице</w:t>
      </w:r>
      <w:r>
        <w:t xml:space="preserve"> </w:t>
      </w:r>
      <w:r>
        <w:fldChar w:fldCharType="begin"/>
      </w:r>
      <w:r>
        <w:instrText xml:space="preserve"> REF _Ref320802436 \h  \* MERGEFORMAT </w:instrText>
      </w:r>
      <w:r>
        <w:fldChar w:fldCharType="separate"/>
      </w:r>
      <w:r>
        <w:t xml:space="preserve">176</w:t>
      </w:r>
      <w:r>
        <w:fldChar w:fldCharType="end"/>
      </w:r>
      <w:r>
        <w:t xml:space="preserve">.</w:t>
      </w:r>
      <w:r/>
    </w:p>
    <w:p>
      <w:pPr>
        <w:pStyle w:val="993"/>
      </w:pPr>
      <w:r>
        <w:fldChar w:fldCharType="begin"/>
      </w:r>
      <w:r>
        <w:instrText xml:space="preserve"> SEQ Таблица \* ARABIC </w:instrText>
      </w:r>
      <w:r>
        <w:fldChar w:fldCharType="separate"/>
      </w:r>
      <w:bookmarkStart w:id="2018" w:name="_Ref320802436"/>
      <w:r/>
      <w:bookmarkStart w:id="2019" w:name="_Ref318715680"/>
      <w:r/>
      <w:bookmarkStart w:id="2020" w:name="_Ref317679009"/>
      <w:r/>
      <w:bookmarkStart w:id="2021" w:name="_Toc88819363"/>
      <w:r>
        <w:t xml:space="preserve">176</w:t>
      </w:r>
      <w:bookmarkEnd w:id="2018"/>
      <w:r/>
      <w:bookmarkEnd w:id="2019"/>
      <w:r/>
      <w:bookmarkEnd w:id="2020"/>
      <w:r>
        <w:fldChar w:fldCharType="end"/>
      </w:r>
      <w:r>
        <w:t xml:space="preserve">. </w:t>
      </w:r>
      <w:r>
        <w:t xml:space="preserve">О</w:t>
      </w:r>
      <w:r>
        <w:t xml:space="preserve">писание полей</w:t>
      </w:r>
      <w:r>
        <w:t xml:space="preserve"> документа «</w:t>
      </w:r>
      <w:r>
        <w:t xml:space="preserve">Заявка на внесение изменений в пер</w:t>
      </w:r>
      <w:r>
        <w:t xml:space="preserve">е</w:t>
      </w:r>
      <w:r>
        <w:t xml:space="preserve">чень ГМУ (основные реквизиты)</w:t>
      </w:r>
      <w:r>
        <w:t xml:space="preserve">», закладки «</w:t>
      </w:r>
      <w:r>
        <w:t xml:space="preserve">Основные реквизиты»</w:t>
      </w:r>
      <w:bookmarkEnd w:id="2021"/>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452"/>
        <w:gridCol w:w="7300"/>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25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43" w:type="pct"/>
            <w:vAlign w:val="center"/>
            <w:textDirection w:val="lrTb"/>
            <w:noWrap w:val="false"/>
          </w:tcPr>
          <w:p>
            <w:pPr>
              <w:pStyle w:val="1006"/>
            </w:pPr>
            <w:r>
              <w:t xml:space="preserve">Описание</w:t>
            </w:r>
            <w:r>
              <w:t xml:space="preserve"> поля</w:t>
            </w:r>
            <w:r/>
          </w:p>
        </w:tc>
      </w:tr>
      <w:tr>
        <w:trPr/>
        <w:tc>
          <w:tcPr>
            <w:shd w:val="clear" w:fill="auto" w:color="auto"/>
            <w:tcW w:w="1257" w:type="pct"/>
            <w:textDirection w:val="lrTb"/>
            <w:noWrap w:val="false"/>
          </w:tcPr>
          <w:p>
            <w:pPr>
              <w:pStyle w:val="1005"/>
              <w:ind w:left="57" w:right="57"/>
            </w:pPr>
            <w:r>
              <w:t xml:space="preserve">Номер </w:t>
            </w:r>
            <w:r/>
          </w:p>
        </w:tc>
        <w:tc>
          <w:tcPr>
            <w:shd w:val="clear" w:fill="auto" w:color="auto"/>
            <w:tcW w:w="3743" w:type="pct"/>
            <w:textDirection w:val="lrTb"/>
            <w:noWrap w:val="false"/>
          </w:tcPr>
          <w:p>
            <w:pPr>
              <w:pStyle w:val="1005"/>
              <w:ind w:left="57" w:right="57"/>
            </w:pPr>
            <w:r>
              <w:t xml:space="preserve">Номер документа.</w:t>
            </w:r>
            <w:r/>
          </w:p>
          <w:p>
            <w:pPr>
              <w:pStyle w:val="1005"/>
              <w:ind w:left="57" w:right="57"/>
            </w:pPr>
            <w:r>
              <w:t xml:space="preserve">Значение рассчитывается автоматически на основании настроек для т</w:t>
            </w:r>
            <w:r>
              <w:t xml:space="preserve">екущего типа документа в справочнике «Параметры автонумерации документов». Может быть заполнено вручную.</w:t>
            </w:r>
            <w:r/>
          </w:p>
          <w:p>
            <w:pPr>
              <w:pStyle w:val="1005"/>
              <w:ind w:left="57" w:right="57"/>
            </w:pPr>
            <w:r>
              <w:t xml:space="preserve">В случае если </w:t>
            </w:r>
            <w:r>
              <w:t xml:space="preserve">значение было изменено вручную и не соответствует а</w:t>
            </w:r>
            <w:r>
              <w:t xml:space="preserve">втоматически вычисленному значению, правильный порядковый номер может быть проставлен по нажатию кнопки.</w:t>
            </w:r>
            <w:r/>
          </w:p>
        </w:tc>
      </w:tr>
      <w:tr>
        <w:trPr/>
        <w:tc>
          <w:tcPr>
            <w:shd w:val="clear" w:fill="auto" w:color="auto"/>
            <w:tcW w:w="1257" w:type="pct"/>
            <w:textDirection w:val="lrTb"/>
            <w:noWrap w:val="false"/>
          </w:tcPr>
          <w:p>
            <w:pPr>
              <w:pStyle w:val="1005"/>
              <w:ind w:left="57" w:right="57"/>
            </w:pPr>
            <w:r>
              <w:t xml:space="preserve">Дата </w:t>
            </w:r>
            <w:r/>
          </w:p>
        </w:tc>
        <w:tc>
          <w:tcPr>
            <w:shd w:val="clear" w:fill="auto" w:color="auto"/>
            <w:tcW w:w="3743" w:type="pct"/>
            <w:textDirection w:val="lrTb"/>
            <w:noWrap w:val="false"/>
          </w:tcPr>
          <w:p>
            <w:pPr>
              <w:pStyle w:val="1005"/>
              <w:ind w:left="57" w:right="57"/>
            </w:pPr>
            <w:r>
              <w:t xml:space="preserve">Дата документа.</w:t>
            </w:r>
            <w:r>
              <w:t xml:space="preserve"> Заполнение:</w:t>
            </w:r>
            <w:r/>
          </w:p>
          <w:p>
            <w:pPr>
              <w:pStyle w:val="1007"/>
            </w:pPr>
            <w:r>
              <w:t xml:space="preserve">импорт из внешней системы</w:t>
            </w:r>
            <w:r>
              <w:t xml:space="preserve">;</w:t>
            </w:r>
            <w:r/>
          </w:p>
          <w:p>
            <w:pPr>
              <w:pStyle w:val="1007"/>
            </w:pPr>
            <w:r>
              <w:t xml:space="preserve">автозаполнение текущей системной датой;</w:t>
            </w:r>
            <w:r/>
          </w:p>
          <w:p>
            <w:pPr>
              <w:pStyle w:val="1007"/>
            </w:pPr>
            <w:r>
              <w:t xml:space="preserve">ввод значения вручную;</w:t>
            </w:r>
            <w:r/>
          </w:p>
          <w:p>
            <w:pPr>
              <w:pStyle w:val="1007"/>
            </w:pPr>
            <w:r>
              <w:t xml:space="preserve">выбор из календаря.</w:t>
            </w:r>
            <w:r>
              <w:tab/>
            </w:r>
            <w:r/>
          </w:p>
        </w:tc>
      </w:tr>
      <w:tr>
        <w:trPr/>
        <w:tc>
          <w:tcPr>
            <w:shd w:val="clear" w:fill="auto" w:color="auto"/>
            <w:tcW w:w="1257" w:type="pct"/>
            <w:textDirection w:val="lrTb"/>
            <w:noWrap w:val="false"/>
          </w:tcPr>
          <w:p>
            <w:pPr>
              <w:pStyle w:val="1005"/>
              <w:ind w:left="57" w:right="57"/>
            </w:pPr>
            <w:r>
              <w:t xml:space="preserve">Дата в/д</w:t>
            </w:r>
            <w:r/>
          </w:p>
        </w:tc>
        <w:tc>
          <w:tcPr>
            <w:shd w:val="clear" w:fill="auto" w:color="auto"/>
            <w:tcW w:w="3743" w:type="pct"/>
            <w:textDirection w:val="lrTb"/>
            <w:noWrap w:val="false"/>
          </w:tcPr>
          <w:p>
            <w:pPr>
              <w:pStyle w:val="1005"/>
              <w:ind w:left="57" w:right="57"/>
            </w:pPr>
            <w:r>
              <w:t xml:space="preserve">Дата ввода в действие изменений документа.</w:t>
            </w:r>
            <w:r>
              <w:t xml:space="preserve"> Заполнение:</w:t>
            </w:r>
            <w:r/>
          </w:p>
          <w:p>
            <w:pPr>
              <w:pStyle w:val="1007"/>
            </w:pPr>
            <w:r>
              <w:t xml:space="preserve">импорт из внешней системы</w:t>
            </w:r>
            <w:r>
              <w:t xml:space="preserve">;</w:t>
            </w:r>
            <w:r/>
          </w:p>
          <w:p>
            <w:pPr>
              <w:pStyle w:val="1007"/>
            </w:pPr>
            <w:r>
              <w:t xml:space="preserve">автозаполнение текущей системной датой;</w:t>
            </w:r>
            <w:r/>
          </w:p>
          <w:p>
            <w:pPr>
              <w:pStyle w:val="1007"/>
            </w:pPr>
            <w:r>
              <w:t xml:space="preserve">ввод значения вручную;</w:t>
            </w:r>
            <w:r/>
          </w:p>
          <w:p>
            <w:pPr>
              <w:pStyle w:val="1007"/>
            </w:pPr>
            <w:r>
              <w:t xml:space="preserve">выбор из календаря.</w:t>
            </w:r>
            <w:r/>
          </w:p>
        </w:tc>
      </w:tr>
      <w:tr>
        <w:trPr/>
        <w:tc>
          <w:tcPr>
            <w:shd w:val="clear" w:fill="auto" w:color="auto"/>
            <w:tcW w:w="1257" w:type="pct"/>
            <w:textDirection w:val="lrTb"/>
            <w:noWrap w:val="false"/>
          </w:tcPr>
          <w:p>
            <w:pPr>
              <w:pStyle w:val="1005"/>
              <w:ind w:left="57" w:right="57"/>
            </w:pPr>
            <w:r>
              <w:t xml:space="preserve">Код организации по РОСГУ</w:t>
            </w:r>
            <w:r/>
          </w:p>
        </w:tc>
        <w:tc>
          <w:tcPr>
            <w:shd w:val="clear" w:fill="auto" w:color="auto"/>
            <w:tcW w:w="3743" w:type="pct"/>
            <w:textDirection w:val="lrTb"/>
            <w:noWrap w:val="false"/>
          </w:tcPr>
          <w:p>
            <w:pPr>
              <w:pStyle w:val="1005"/>
              <w:ind w:left="57" w:right="57"/>
            </w:pPr>
            <w:r>
              <w:t xml:space="preserve">Код организации по РОСГУ.</w:t>
            </w:r>
            <w:r>
              <w:t xml:space="preserve"> Заполнение:</w:t>
            </w:r>
            <w:r/>
          </w:p>
          <w:p>
            <w:pPr>
              <w:pStyle w:val="1007"/>
            </w:pPr>
            <w:r>
              <w:t xml:space="preserve">импорт из внешней системы</w:t>
            </w:r>
            <w:r>
              <w:t xml:space="preserve">;</w:t>
            </w:r>
            <w:r/>
          </w:p>
          <w:p>
            <w:pPr>
              <w:pStyle w:val="1007"/>
            </w:pPr>
            <w:r>
              <w:t xml:space="preserve">ДУБП: выбор из справочника РОСГУ; </w:t>
            </w:r>
            <w:r/>
          </w:p>
          <w:p>
            <w:pPr>
              <w:pStyle w:val="1007"/>
            </w:pPr>
            <w:r>
              <w:t xml:space="preserve">ввод значения вручную;</w:t>
            </w:r>
            <w:r/>
          </w:p>
          <w:p>
            <w:pPr>
              <w:pStyle w:val="1005"/>
              <w:ind w:left="57" w:right="57"/>
            </w:pPr>
            <w:r>
              <w:t xml:space="preserve">Для заявок на первичное включение учреждения в РОСГУ, поле не з</w:t>
            </w:r>
            <w:r>
              <w:t xml:space="preserve">аполняется.</w:t>
            </w:r>
            <w:r/>
          </w:p>
        </w:tc>
      </w:tr>
      <w:tr>
        <w:trPr/>
        <w:tc>
          <w:tcPr>
            <w:shd w:val="clear" w:fill="auto" w:color="auto"/>
            <w:tcW w:w="1257" w:type="pct"/>
            <w:textDirection w:val="lrTb"/>
            <w:noWrap w:val="false"/>
          </w:tcPr>
          <w:p>
            <w:pPr>
              <w:pStyle w:val="1005"/>
              <w:ind w:left="57" w:right="57"/>
            </w:pPr>
            <w:r>
              <w:t xml:space="preserve">Полное наименование </w:t>
            </w:r>
            <w:r/>
          </w:p>
        </w:tc>
        <w:tc>
          <w:tcPr>
            <w:shd w:val="clear" w:fill="auto" w:color="auto"/>
            <w:tcW w:w="3743" w:type="pct"/>
            <w:textDirection w:val="lrTb"/>
            <w:noWrap w:val="false"/>
          </w:tcPr>
          <w:p>
            <w:pPr>
              <w:pStyle w:val="1005"/>
              <w:ind w:left="57" w:right="57"/>
            </w:pPr>
            <w:r>
              <w:t xml:space="preserve">Полное наименование организации.</w:t>
            </w:r>
            <w:r>
              <w:t xml:space="preserve"> 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выбор из справочника РОСГУ, ввод значения вручную.</w:t>
            </w:r>
            <w:r/>
          </w:p>
        </w:tc>
      </w:tr>
      <w:tr>
        <w:trPr/>
        <w:tc>
          <w:tcPr>
            <w:shd w:val="clear" w:fill="auto" w:color="auto"/>
            <w:tcW w:w="1257" w:type="pct"/>
            <w:textDirection w:val="lrTb"/>
            <w:noWrap w:val="false"/>
          </w:tcPr>
          <w:p>
            <w:pPr>
              <w:pStyle w:val="1005"/>
              <w:ind w:left="57" w:right="57"/>
            </w:pPr>
            <w:r>
              <w:t xml:space="preserve">Сокращенное наимен</w:t>
            </w:r>
            <w:r>
              <w:t xml:space="preserve">ование </w:t>
            </w:r>
            <w:r/>
          </w:p>
        </w:tc>
        <w:tc>
          <w:tcPr>
            <w:shd w:val="clear" w:fill="auto" w:color="auto"/>
            <w:tcW w:w="3743" w:type="pct"/>
            <w:textDirection w:val="lrTb"/>
            <w:noWrap w:val="false"/>
          </w:tcPr>
          <w:p>
            <w:pPr>
              <w:pStyle w:val="1005"/>
              <w:ind w:left="57" w:right="57"/>
            </w:pPr>
            <w:r>
              <w:t xml:space="preserve">Сокращенное наименование организации</w:t>
            </w:r>
            <w:r>
              <w:t xml:space="preserve">. 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выбор из справочника РОСГУ, ввод значения вручную.</w:t>
            </w:r>
            <w:r/>
          </w:p>
        </w:tc>
      </w:tr>
    </w:tbl>
    <w:p>
      <w:pPr>
        <w:pStyle w:val="994"/>
      </w:pPr>
      <w:r>
        <w:t xml:space="preserve">Перечень</w:t>
      </w:r>
      <w:r>
        <w:t xml:space="preserve"> </w:t>
      </w:r>
      <w:r>
        <w:t xml:space="preserve">полей</w:t>
      </w:r>
      <w:r>
        <w:t xml:space="preserve"> документа «</w:t>
      </w:r>
      <w:r>
        <w:t xml:space="preserve">Заявка на внесение изменений в перечень ГМУ (основные реквизиты)</w:t>
      </w:r>
      <w:r>
        <w:t xml:space="preserve">», </w:t>
      </w:r>
      <w:r>
        <w:t xml:space="preserve">в</w:t>
      </w:r>
      <w:r>
        <w:t xml:space="preserve">кладки «</w:t>
      </w:r>
      <w:r>
        <w:t xml:space="preserve">Общая информация» </w:t>
      </w:r>
      <w:r>
        <w:t xml:space="preserve">приведен в таблице</w:t>
      </w:r>
      <w:r>
        <w:t xml:space="preserve"> </w:t>
      </w:r>
      <w:r>
        <w:fldChar w:fldCharType="begin"/>
      </w:r>
      <w:r>
        <w:instrText xml:space="preserve"> REF _Ref411420507 \h </w:instrText>
      </w:r>
      <w:r>
        <w:fldChar w:fldCharType="separate"/>
      </w:r>
      <w:r>
        <w:t xml:space="preserve">177</w:t>
      </w:r>
      <w:r>
        <w:fldChar w:fldCharType="end"/>
      </w:r>
      <w:r>
        <w:t xml:space="preserve">.</w:t>
      </w:r>
      <w:r/>
    </w:p>
    <w:p>
      <w:pPr>
        <w:pStyle w:val="993"/>
      </w:pPr>
      <w:r>
        <w:fldChar w:fldCharType="begin"/>
      </w:r>
      <w:r>
        <w:instrText xml:space="preserve"> SEQ Таблица \* ARABIC </w:instrText>
      </w:r>
      <w:r>
        <w:fldChar w:fldCharType="separate"/>
      </w:r>
      <w:bookmarkStart w:id="2022" w:name="_Ref411420507"/>
      <w:r/>
      <w:bookmarkStart w:id="2023" w:name="_Toc88819364"/>
      <w:r>
        <w:t xml:space="preserve">177</w:t>
      </w:r>
      <w:bookmarkEnd w:id="2022"/>
      <w:r>
        <w:fldChar w:fldCharType="end"/>
      </w:r>
      <w:r>
        <w:t xml:space="preserve">. </w:t>
      </w:r>
      <w:r>
        <w:t xml:space="preserve">О</w:t>
      </w:r>
      <w:r>
        <w:t xml:space="preserve">писание полей</w:t>
      </w:r>
      <w:r>
        <w:t xml:space="preserve"> документа «</w:t>
      </w:r>
      <w:r>
        <w:t xml:space="preserve">Заявка на внесение изменений в пер</w:t>
      </w:r>
      <w:r>
        <w:t xml:space="preserve">е</w:t>
      </w:r>
      <w:r>
        <w:t xml:space="preserve">чень ГМУ (основные реквизиты)</w:t>
      </w:r>
      <w:r>
        <w:t xml:space="preserve">», в</w:t>
      </w:r>
      <w:r>
        <w:t xml:space="preserve">кладки «</w:t>
      </w:r>
      <w:r>
        <w:t xml:space="preserve">Общая информация»</w:t>
      </w:r>
      <w:bookmarkEnd w:id="2023"/>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80"/>
        <w:gridCol w:w="7472"/>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169"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31" w:type="pct"/>
            <w:vAlign w:val="center"/>
            <w:textDirection w:val="lrTb"/>
            <w:noWrap w:val="false"/>
          </w:tcPr>
          <w:p>
            <w:pPr>
              <w:pStyle w:val="1006"/>
            </w:pPr>
            <w:r>
              <w:t xml:space="preserve">Описание</w:t>
            </w:r>
            <w:r>
              <w:t xml:space="preserve"> поля</w:t>
            </w:r>
            <w:r/>
          </w:p>
        </w:tc>
      </w:tr>
      <w:tr>
        <w:trPr>
          <w:trHeight w:val="20"/>
        </w:trPr>
        <w:tc>
          <w:tcPr>
            <w:shd w:val="clear" w:fill="auto" w:color="auto"/>
            <w:tcW w:w="1169" w:type="pct"/>
            <w:textDirection w:val="lrTb"/>
            <w:noWrap w:val="false"/>
          </w:tcPr>
          <w:p>
            <w:pPr>
              <w:pStyle w:val="1005"/>
              <w:ind w:left="57" w:right="57"/>
            </w:pPr>
            <w:r>
              <w:t xml:space="preserve">Код СПЗ</w:t>
            </w:r>
            <w:r/>
          </w:p>
        </w:tc>
        <w:tc>
          <w:tcPr>
            <w:shd w:val="clear" w:fill="auto" w:color="auto"/>
            <w:tcW w:w="3831" w:type="pct"/>
            <w:textDirection w:val="lrTb"/>
            <w:noWrap w:val="false"/>
          </w:tcPr>
          <w:p>
            <w:pPr>
              <w:pStyle w:val="1005"/>
              <w:ind w:left="57" w:right="57"/>
            </w:pPr>
            <w:r>
              <w:t xml:space="preserve">Код клиента по справочнику </w:t>
            </w:r>
            <w:r>
              <w:t xml:space="preserve">«СПЗ».</w:t>
            </w:r>
            <w:r>
              <w:t xml:space="preserve"> </w:t>
            </w: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ввод значения вручную.</w:t>
            </w:r>
            <w:r/>
          </w:p>
        </w:tc>
      </w:tr>
      <w:tr>
        <w:trPr>
          <w:trHeight w:val="20"/>
        </w:trPr>
        <w:tc>
          <w:tcPr>
            <w:shd w:val="clear" w:fill="auto" w:color="auto"/>
            <w:tcW w:w="1169" w:type="pct"/>
            <w:textDirection w:val="lrTb"/>
            <w:noWrap w:val="false"/>
          </w:tcPr>
          <w:p>
            <w:pPr>
              <w:pStyle w:val="1005"/>
              <w:ind w:left="57" w:right="57"/>
            </w:pPr>
            <w:r>
              <w:t xml:space="preserve">Код РУБП</w:t>
            </w:r>
            <w:r/>
          </w:p>
        </w:tc>
        <w:tc>
          <w:tcPr>
            <w:shd w:val="clear" w:fill="auto" w:color="auto"/>
            <w:tcW w:w="3831" w:type="pct"/>
            <w:textDirection w:val="lrTb"/>
            <w:noWrap w:val="false"/>
          </w:tcPr>
          <w:p>
            <w:pPr>
              <w:pStyle w:val="1005"/>
              <w:ind w:left="57" w:right="57"/>
            </w:pPr>
            <w:r>
              <w:t xml:space="preserve">Код клиента по справочнику </w:t>
            </w:r>
            <w:r>
              <w:t xml:space="preserve">«СРРПБС»</w:t>
            </w:r>
            <w:r>
              <w:t xml:space="preserve">. </w:t>
            </w: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ввод значения вручную.</w:t>
            </w:r>
            <w:r/>
          </w:p>
        </w:tc>
      </w:tr>
      <w:tr>
        <w:trPr>
          <w:trHeight w:val="20"/>
        </w:trPr>
        <w:tc>
          <w:tcPr>
            <w:shd w:val="clear" w:fill="auto" w:color="auto"/>
            <w:tcW w:w="1169" w:type="pct"/>
            <w:textDirection w:val="lrTb"/>
            <w:noWrap w:val="false"/>
          </w:tcPr>
          <w:p>
            <w:pPr>
              <w:pStyle w:val="1005"/>
              <w:ind w:left="57" w:right="57"/>
            </w:pPr>
            <w:r>
              <w:t xml:space="preserve">Код ПУБП</w:t>
            </w:r>
            <w:r/>
          </w:p>
        </w:tc>
        <w:tc>
          <w:tcPr>
            <w:shd w:val="clear" w:fill="auto" w:color="auto"/>
            <w:tcW w:w="3831" w:type="pct"/>
            <w:textDirection w:val="lrTb"/>
            <w:noWrap w:val="false"/>
          </w:tcPr>
          <w:p>
            <w:pPr>
              <w:pStyle w:val="1005"/>
              <w:ind w:left="57" w:right="57"/>
            </w:pPr>
            <w:r>
              <w:t xml:space="preserve">Код клиента по справочнику </w:t>
            </w:r>
            <w:r>
              <w:t xml:space="preserve">«СРРПБС»</w:t>
            </w:r>
            <w:r>
              <w:t xml:space="preserve">. </w:t>
            </w: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ввод значения вручную.</w:t>
            </w:r>
            <w:r/>
          </w:p>
        </w:tc>
      </w:tr>
      <w:tr>
        <w:trPr>
          <w:trHeight w:val="20"/>
        </w:trPr>
        <w:tc>
          <w:tcPr>
            <w:shd w:val="clear" w:fill="auto" w:color="auto"/>
            <w:tcW w:w="1169" w:type="pct"/>
            <w:textDirection w:val="lrTb"/>
            <w:noWrap w:val="false"/>
          </w:tcPr>
          <w:p>
            <w:pPr>
              <w:pStyle w:val="1005"/>
              <w:ind w:left="57" w:right="57"/>
            </w:pPr>
            <w:r>
              <w:t xml:space="preserve">Код НУБП</w:t>
            </w:r>
            <w:r/>
          </w:p>
        </w:tc>
        <w:tc>
          <w:tcPr>
            <w:shd w:val="clear" w:fill="auto" w:color="auto"/>
            <w:tcW w:w="3831" w:type="pct"/>
            <w:textDirection w:val="lrTb"/>
            <w:noWrap w:val="false"/>
          </w:tcPr>
          <w:p>
            <w:pPr>
              <w:pStyle w:val="1005"/>
              <w:ind w:left="57" w:right="57"/>
            </w:pPr>
            <w:r>
              <w:t xml:space="preserve">Код клиента по справочнику </w:t>
            </w:r>
            <w:r>
              <w:t xml:space="preserve">«СРРПБС»</w:t>
            </w:r>
            <w:r>
              <w:t xml:space="preserve">. </w:t>
            </w: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ввод значения вручную.</w:t>
            </w:r>
            <w:r/>
          </w:p>
        </w:tc>
      </w:tr>
      <w:tr>
        <w:trPr>
          <w:trHeight w:val="20"/>
        </w:trPr>
        <w:tc>
          <w:tcPr>
            <w:gridSpan w:val="2"/>
            <w:shd w:val="clear" w:fill="auto" w:color="auto"/>
            <w:tcW w:w="5000" w:type="pct"/>
            <w:textDirection w:val="lrTb"/>
            <w:noWrap w:val="false"/>
          </w:tcPr>
          <w:p>
            <w:pPr>
              <w:pStyle w:val="1005"/>
              <w:ind w:left="57" w:right="57"/>
            </w:pPr>
            <w:r>
              <w:t xml:space="preserve">Группа полей </w:t>
            </w:r>
            <w:r>
              <w:t xml:space="preserve">«Общероссийские классификаторы»</w:t>
            </w:r>
            <w:r/>
          </w:p>
        </w:tc>
      </w:tr>
      <w:tr>
        <w:trPr>
          <w:trHeight w:val="20"/>
        </w:trPr>
        <w:tc>
          <w:tcPr>
            <w:shd w:val="clear" w:fill="auto" w:color="auto"/>
            <w:tcW w:w="1169" w:type="pct"/>
            <w:textDirection w:val="lrTb"/>
            <w:noWrap w:val="false"/>
          </w:tcPr>
          <w:p>
            <w:pPr>
              <w:pStyle w:val="1005"/>
              <w:ind w:left="57" w:right="57"/>
            </w:pPr>
            <w:r>
              <w:t xml:space="preserve">ОКАТО</w:t>
            </w:r>
            <w:r/>
          </w:p>
        </w:tc>
        <w:tc>
          <w:tcPr>
            <w:shd w:val="clear" w:fill="auto" w:color="auto"/>
            <w:tcW w:w="3831" w:type="pct"/>
            <w:textDirection w:val="lrTb"/>
            <w:noWrap w:val="false"/>
          </w:tcPr>
          <w:p>
            <w:pPr>
              <w:pStyle w:val="1005"/>
              <w:ind w:left="57" w:right="57"/>
            </w:pPr>
            <w:r>
              <w:t xml:space="preserve">Код по ОКАТО</w:t>
            </w:r>
            <w:r>
              <w:t xml:space="preserve">. </w:t>
            </w: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выбор из справочника ОКАТО; ввод значения вру</w:t>
            </w:r>
            <w:r>
              <w:t xml:space="preserve">ч</w:t>
            </w:r>
            <w:r>
              <w:t xml:space="preserve">ную;</w:t>
            </w:r>
            <w:r/>
          </w:p>
          <w:p>
            <w:pPr>
              <w:pStyle w:val="1005"/>
              <w:ind w:left="57" w:right="57"/>
            </w:pPr>
            <w:r>
              <w:t xml:space="preserve">Список значений справочника для заполнения поля «ОКАТО» огран</w:t>
            </w:r>
            <w:r>
              <w:t xml:space="preserve">ич</w:t>
            </w:r>
            <w:r>
              <w:t xml:space="preserve">и</w:t>
            </w:r>
            <w:r>
              <w:t xml:space="preserve">вать по условиям:</w:t>
            </w:r>
            <w:r/>
          </w:p>
          <w:p>
            <w:pPr>
              <w:pStyle w:val="1007"/>
            </w:pPr>
            <w:r>
              <w:t xml:space="preserve">значение признака ОКАТО/ОКТМО = «ОКАТО»;</w:t>
            </w:r>
            <w:r/>
          </w:p>
          <w:p>
            <w:pPr>
              <w:pStyle w:val="1007"/>
            </w:pPr>
            <w:r>
              <w:t xml:space="preserve">значение поля «Дата действия по» строго равно 31.12.2013 или пусто или больше даты ввода в дейс</w:t>
            </w:r>
            <w:r>
              <w:t xml:space="preserve">т</w:t>
            </w:r>
            <w:r>
              <w:t xml:space="preserve">вие документа;</w:t>
            </w:r>
            <w:r/>
          </w:p>
          <w:p>
            <w:pPr>
              <w:pStyle w:val="1007"/>
            </w:pPr>
            <w:r>
              <w:t xml:space="preserve">значение поля «Дата действия с» максимально среди записей с таким же кодом и признаком «ОКАТО» + Если при этом у нескольких зап</w:t>
            </w:r>
            <w:r>
              <w:t xml:space="preserve">и</w:t>
            </w:r>
            <w:r>
              <w:t xml:space="preserve">сей одинаковое значение поля «Дата действия с», то выбирается з</w:t>
            </w:r>
            <w:r>
              <w:t xml:space="preserve">а</w:t>
            </w:r>
            <w:r>
              <w:t xml:space="preserve">пись с наиболее поздней датой внесения изменений;</w:t>
            </w:r>
            <w:r/>
          </w:p>
          <w:p>
            <w:pPr>
              <w:pStyle w:val="1007"/>
            </w:pPr>
            <w:r>
              <w:t xml:space="preserve">значение поля «Тип изменения» (&lt;Attribute9&gt;) не равно «1» (т.е. з</w:t>
            </w:r>
            <w:r>
              <w:t xml:space="preserve">а</w:t>
            </w:r>
            <w:r>
              <w:t xml:space="preserve">пись не исключена по данным Росстата).</w:t>
            </w:r>
            <w:r/>
          </w:p>
        </w:tc>
      </w:tr>
      <w:tr>
        <w:trPr>
          <w:trHeight w:val="20"/>
        </w:trPr>
        <w:tc>
          <w:tcPr>
            <w:shd w:val="clear" w:fill="auto" w:color="auto"/>
            <w:tcW w:w="1169" w:type="pct"/>
            <w:textDirection w:val="lrTb"/>
            <w:noWrap w:val="false"/>
          </w:tcPr>
          <w:p>
            <w:pPr>
              <w:pStyle w:val="1005"/>
              <w:ind w:left="57" w:right="57"/>
            </w:pPr>
            <w:r>
              <w:t xml:space="preserve">ОКФС</w:t>
            </w:r>
            <w:r/>
          </w:p>
        </w:tc>
        <w:tc>
          <w:tcPr>
            <w:shd w:val="clear" w:fill="auto" w:color="auto"/>
            <w:tcW w:w="3831" w:type="pct"/>
            <w:textDirection w:val="lrTb"/>
            <w:noWrap w:val="false"/>
          </w:tcPr>
          <w:p>
            <w:pPr>
              <w:pStyle w:val="1005"/>
              <w:ind w:left="57" w:right="57"/>
            </w:pPr>
            <w:r>
              <w:t xml:space="preserve">Код по ОКФС</w:t>
            </w:r>
            <w:r>
              <w:t xml:space="preserve">. </w:t>
            </w: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выбор из справочника ОКФС; ввод значения вру</w:t>
            </w:r>
            <w:r>
              <w:t xml:space="preserve">ч</w:t>
            </w:r>
            <w:r>
              <w:t xml:space="preserve">ную.</w:t>
            </w:r>
            <w:r/>
          </w:p>
        </w:tc>
      </w:tr>
      <w:tr>
        <w:trPr>
          <w:trHeight w:val="20"/>
        </w:trPr>
        <w:tc>
          <w:tcPr>
            <w:shd w:val="clear" w:fill="auto" w:color="auto"/>
            <w:tcW w:w="1169" w:type="pct"/>
            <w:textDirection w:val="lrTb"/>
            <w:noWrap w:val="false"/>
          </w:tcPr>
          <w:p>
            <w:pPr>
              <w:pStyle w:val="1005"/>
              <w:ind w:left="57" w:right="57"/>
            </w:pPr>
            <w:r>
              <w:t xml:space="preserve">ОКОПФ</w:t>
            </w:r>
            <w:r/>
          </w:p>
        </w:tc>
        <w:tc>
          <w:tcPr>
            <w:shd w:val="clear" w:fill="auto" w:color="auto"/>
            <w:tcW w:w="3831" w:type="pct"/>
            <w:textDirection w:val="lrTb"/>
            <w:noWrap w:val="false"/>
          </w:tcPr>
          <w:p>
            <w:pPr>
              <w:pStyle w:val="1005"/>
              <w:ind w:left="57" w:right="57"/>
            </w:pPr>
            <w:r>
              <w:t xml:space="preserve">Код по ОКОПФ</w:t>
            </w:r>
            <w:r>
              <w:t xml:space="preserve"> (</w:t>
            </w:r>
            <w:r>
              <w:t xml:space="preserve">5-</w:t>
            </w:r>
            <w:r>
              <w:t xml:space="preserve">символьный)</w:t>
            </w:r>
            <w:r>
              <w:t xml:space="preserve">. </w:t>
            </w: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выбор из справочника ОКОПФ; ввод значения вру</w:t>
            </w:r>
            <w:r>
              <w:t xml:space="preserve">ч</w:t>
            </w:r>
            <w:r>
              <w:t xml:space="preserve">ную.</w:t>
            </w:r>
            <w:r/>
          </w:p>
        </w:tc>
      </w:tr>
      <w:tr>
        <w:trPr>
          <w:trHeight w:val="20"/>
        </w:trPr>
        <w:tc>
          <w:tcPr>
            <w:shd w:val="clear" w:fill="auto" w:color="auto"/>
            <w:tcW w:w="1169" w:type="pct"/>
            <w:textDirection w:val="lrTb"/>
            <w:noWrap w:val="false"/>
          </w:tcPr>
          <w:p>
            <w:pPr>
              <w:pStyle w:val="1005"/>
              <w:ind w:left="57" w:right="57"/>
            </w:pPr>
            <w:r>
              <w:t xml:space="preserve">ОКПО</w:t>
            </w:r>
            <w:r/>
          </w:p>
        </w:tc>
        <w:tc>
          <w:tcPr>
            <w:shd w:val="clear" w:fill="auto" w:color="auto"/>
            <w:tcW w:w="3831" w:type="pct"/>
            <w:textDirection w:val="lrTb"/>
            <w:noWrap w:val="false"/>
          </w:tcPr>
          <w:p>
            <w:pPr>
              <w:pStyle w:val="1005"/>
              <w:ind w:left="57" w:right="57"/>
            </w:pPr>
            <w:r>
              <w:t xml:space="preserve">Код по ОКПО</w:t>
            </w:r>
            <w:r>
              <w:t xml:space="preserve">. </w:t>
            </w: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ввод значения вручную.</w:t>
            </w:r>
            <w:r/>
          </w:p>
        </w:tc>
      </w:tr>
      <w:tr>
        <w:trPr>
          <w:trHeight w:val="20"/>
        </w:trPr>
        <w:tc>
          <w:tcPr>
            <w:shd w:val="clear" w:fill="auto" w:color="auto"/>
            <w:tcW w:w="1169" w:type="pct"/>
            <w:textDirection w:val="lrTb"/>
            <w:noWrap w:val="false"/>
          </w:tcPr>
          <w:p>
            <w:pPr>
              <w:pStyle w:val="1005"/>
              <w:ind w:left="57" w:right="57"/>
            </w:pPr>
            <w:r>
              <w:t xml:space="preserve">ОКОГУ</w:t>
            </w:r>
            <w:r/>
          </w:p>
        </w:tc>
        <w:tc>
          <w:tcPr>
            <w:shd w:val="clear" w:fill="auto" w:color="auto"/>
            <w:tcW w:w="3831" w:type="pct"/>
            <w:textDirection w:val="lrTb"/>
            <w:noWrap w:val="false"/>
          </w:tcPr>
          <w:p>
            <w:pPr>
              <w:pStyle w:val="1005"/>
              <w:ind w:left="57" w:right="57"/>
            </w:pPr>
            <w:r>
              <w:t xml:space="preserve">Код по ОКОГУ</w:t>
            </w:r>
            <w:r>
              <w:t xml:space="preserve">. </w:t>
            </w: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выбор из справочника ОКОГУ, ввод значения вру</w:t>
            </w:r>
            <w:r>
              <w:t xml:space="preserve">ч</w:t>
            </w:r>
            <w:r>
              <w:t xml:space="preserve">ную.</w:t>
            </w:r>
            <w:r/>
          </w:p>
        </w:tc>
      </w:tr>
      <w:tr>
        <w:trPr>
          <w:trHeight w:val="20"/>
        </w:trPr>
        <w:tc>
          <w:tcPr>
            <w:shd w:val="clear" w:fill="auto" w:color="auto"/>
            <w:tcW w:w="1169" w:type="pct"/>
            <w:textDirection w:val="lrTb"/>
            <w:noWrap w:val="false"/>
          </w:tcPr>
          <w:p>
            <w:pPr>
              <w:pStyle w:val="1005"/>
              <w:ind w:left="57" w:right="57"/>
            </w:pPr>
            <w:r>
              <w:t xml:space="preserve">ОГРН </w:t>
            </w:r>
            <w:r/>
          </w:p>
        </w:tc>
        <w:tc>
          <w:tcPr>
            <w:shd w:val="clear" w:fill="auto" w:color="auto"/>
            <w:tcW w:w="3831" w:type="pct"/>
            <w:textDirection w:val="lrTb"/>
            <w:noWrap w:val="false"/>
          </w:tcPr>
          <w:p>
            <w:pPr>
              <w:pStyle w:val="1005"/>
              <w:ind w:left="57" w:right="57"/>
            </w:pPr>
            <w:r>
              <w:t xml:space="preserve">ОГРН организации</w:t>
            </w:r>
            <w:r>
              <w:t xml:space="preserve">. </w:t>
            </w: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выбор из справочника РОСГУ; ввод значения вру</w:t>
            </w:r>
            <w:r>
              <w:t xml:space="preserve">ч</w:t>
            </w:r>
            <w:r>
              <w:t xml:space="preserve">ную.</w:t>
            </w:r>
            <w:r/>
          </w:p>
        </w:tc>
      </w:tr>
      <w:tr>
        <w:trPr>
          <w:trHeight w:val="20"/>
        </w:trPr>
        <w:tc>
          <w:tcPr>
            <w:shd w:val="clear" w:fill="auto" w:color="auto"/>
            <w:tcW w:w="1169" w:type="pct"/>
            <w:textDirection w:val="lrTb"/>
            <w:noWrap w:val="false"/>
          </w:tcPr>
          <w:p>
            <w:pPr>
              <w:pStyle w:val="1005"/>
              <w:ind w:left="57" w:right="57"/>
            </w:pPr>
            <w:r>
              <w:t xml:space="preserve">ОКВЭД основные</w:t>
            </w:r>
            <w:r/>
          </w:p>
        </w:tc>
        <w:tc>
          <w:tcPr>
            <w:shd w:val="clear" w:fill="auto" w:color="auto"/>
            <w:tcW w:w="3831" w:type="pct"/>
            <w:textDirection w:val="lrTb"/>
            <w:noWrap w:val="false"/>
          </w:tcPr>
          <w:p>
            <w:pPr>
              <w:pStyle w:val="1005"/>
              <w:ind w:left="57" w:right="57"/>
            </w:pPr>
            <w:r>
              <w:t xml:space="preserve">Коды основных видов деятельности по ОКВЭД/множественный выбор</w:t>
            </w:r>
            <w:r>
              <w:t xml:space="preserve">.</w:t>
            </w:r>
            <w:r/>
          </w:p>
          <w:p>
            <w:pPr>
              <w:pStyle w:val="1005"/>
              <w:ind w:left="57" w:right="57"/>
            </w:pP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выбор из справочника ОКВЭД; ввод значения вру</w:t>
            </w:r>
            <w:r>
              <w:t xml:space="preserve">ч</w:t>
            </w:r>
            <w:r>
              <w:t xml:space="preserve">ную;</w:t>
            </w:r>
            <w:r/>
          </w:p>
          <w:p>
            <w:pPr>
              <w:pStyle w:val="1007"/>
            </w:pPr>
            <w:r>
              <w:t xml:space="preserve">ОФК: ввод значения вручную.</w:t>
            </w:r>
            <w:r/>
          </w:p>
          <w:p>
            <w:pPr>
              <w:pStyle w:val="1005"/>
              <w:ind w:left="57" w:right="57"/>
            </w:pPr>
            <w:r>
              <w:t xml:space="preserve">Коды указываются в одном поле последовательно друг за другом и ра</w:t>
            </w:r>
            <w:r>
              <w:t xml:space="preserve">зд</w:t>
            </w:r>
            <w:r>
              <w:t xml:space="preserve">е</w:t>
            </w:r>
            <w:r>
              <w:t xml:space="preserve">ляются между собой точкой с запятой (;).</w:t>
            </w:r>
            <w:r/>
          </w:p>
          <w:p>
            <w:pPr>
              <w:pStyle w:val="1005"/>
              <w:ind w:left="57" w:right="57"/>
            </w:pPr>
            <w:r>
              <w:t xml:space="preserve">Не обязательно для заполнения в случае представления заявки для анн</w:t>
            </w:r>
            <w:r>
              <w:t xml:space="preserve">у</w:t>
            </w:r>
            <w:r>
              <w:t xml:space="preserve">лирования полномочий (если в поле «Специальные указания» указано значение «02» или «03»). Во всех остальных случаях обязательно для з</w:t>
            </w:r>
            <w:r>
              <w:t xml:space="preserve">а</w:t>
            </w:r>
            <w:r>
              <w:t xml:space="preserve">полнения.</w:t>
            </w:r>
            <w:r/>
          </w:p>
        </w:tc>
      </w:tr>
      <w:tr>
        <w:trPr>
          <w:trHeight w:val="20"/>
        </w:trPr>
        <w:tc>
          <w:tcPr>
            <w:shd w:val="clear" w:fill="auto" w:color="auto"/>
            <w:tcW w:w="1169" w:type="pct"/>
            <w:textDirection w:val="lrTb"/>
            <w:noWrap w:val="false"/>
          </w:tcPr>
          <w:p>
            <w:pPr>
              <w:pStyle w:val="1005"/>
              <w:ind w:left="57" w:right="57"/>
            </w:pPr>
            <w:r>
              <w:t xml:space="preserve">ОКВЭД прочие</w:t>
            </w:r>
            <w:r/>
          </w:p>
        </w:tc>
        <w:tc>
          <w:tcPr>
            <w:shd w:val="clear" w:fill="auto" w:color="auto"/>
            <w:tcW w:w="3831" w:type="pct"/>
            <w:textDirection w:val="lrTb"/>
            <w:noWrap w:val="false"/>
          </w:tcPr>
          <w:p>
            <w:pPr>
              <w:pStyle w:val="1005"/>
              <w:ind w:left="57" w:right="57"/>
            </w:pPr>
            <w:r>
              <w:t xml:space="preserve">Коды прочих видов деятельности по ОКВЭД/множественный выбор</w:t>
            </w:r>
            <w:r>
              <w:t xml:space="preserve">.</w:t>
            </w:r>
            <w:r/>
          </w:p>
          <w:p>
            <w:pPr>
              <w:pStyle w:val="1005"/>
              <w:ind w:left="57" w:right="57"/>
            </w:pP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выбор из справочника ОКВЭД; ввод значения вру</w:t>
            </w:r>
            <w:r>
              <w:t xml:space="preserve">ч</w:t>
            </w:r>
            <w:r>
              <w:t xml:space="preserve">ную.</w:t>
            </w:r>
            <w:r/>
          </w:p>
          <w:p>
            <w:pPr>
              <w:pStyle w:val="1005"/>
              <w:ind w:left="57" w:right="57"/>
            </w:pPr>
            <w:r>
              <w:t xml:space="preserve">Коды указываются в одном поле последовательно друг за другом и ра</w:t>
            </w:r>
            <w:r>
              <w:t xml:space="preserve">зд</w:t>
            </w:r>
            <w:r>
              <w:t xml:space="preserve">е</w:t>
            </w:r>
            <w:r>
              <w:t xml:space="preserve">ляются между собой точкой с запятой (;).</w:t>
            </w:r>
            <w:r/>
          </w:p>
        </w:tc>
      </w:tr>
      <w:tr>
        <w:trPr>
          <w:trHeight w:val="20"/>
        </w:trPr>
        <w:tc>
          <w:tcPr>
            <w:gridSpan w:val="2"/>
            <w:shd w:val="clear" w:fill="auto" w:color="auto"/>
            <w:tcW w:w="5000" w:type="pct"/>
            <w:textDirection w:val="lrTb"/>
            <w:noWrap w:val="false"/>
          </w:tcPr>
          <w:p>
            <w:pPr>
              <w:pStyle w:val="1005"/>
              <w:ind w:left="57" w:right="57"/>
            </w:pPr>
            <w:r>
              <w:t xml:space="preserve">Группа полей </w:t>
            </w:r>
            <w:r>
              <w:t xml:space="preserve">«Бюджет»</w:t>
            </w:r>
            <w:r/>
          </w:p>
        </w:tc>
      </w:tr>
      <w:tr>
        <w:trPr>
          <w:trHeight w:val="20"/>
        </w:trPr>
        <w:tc>
          <w:tcPr>
            <w:shd w:val="clear" w:fill="auto" w:color="auto"/>
            <w:tcW w:w="1169" w:type="pct"/>
            <w:textDirection w:val="lrTb"/>
            <w:noWrap w:val="false"/>
          </w:tcPr>
          <w:p>
            <w:pPr>
              <w:pStyle w:val="1005"/>
              <w:ind w:left="57" w:right="57"/>
            </w:pPr>
            <w:r>
              <w:t xml:space="preserve">Бюджет (код)</w:t>
            </w:r>
            <w:r/>
          </w:p>
        </w:tc>
        <w:tc>
          <w:tcPr>
            <w:shd w:val="clear" w:fill="auto" w:color="auto"/>
            <w:tcW w:w="3831" w:type="pct"/>
            <w:textDirection w:val="lrTb"/>
            <w:noWrap w:val="false"/>
          </w:tcPr>
          <w:p>
            <w:pPr>
              <w:pStyle w:val="1005"/>
              <w:ind w:left="57" w:right="57"/>
            </w:pPr>
            <w:r>
              <w:t xml:space="preserve">Код бюджета</w:t>
            </w:r>
            <w:r>
              <w:t xml:space="preserve">. </w:t>
            </w:r>
            <w:r>
              <w:t xml:space="preserve">Заполнение:</w:t>
            </w:r>
            <w:r/>
          </w:p>
          <w:p>
            <w:pPr>
              <w:pStyle w:val="1007"/>
            </w:pPr>
            <w:r>
              <w:t xml:space="preserve">импорт из внешней системы</w:t>
            </w:r>
            <w:r>
              <w:t xml:space="preserve">;</w:t>
            </w:r>
            <w:r/>
          </w:p>
          <w:p>
            <w:pPr>
              <w:pStyle w:val="1007"/>
            </w:pPr>
            <w:r>
              <w:t xml:space="preserve">автозаполнение по указанному коду РОСГУ соответствующим знач</w:t>
            </w:r>
            <w:r>
              <w:t xml:space="preserve">е</w:t>
            </w:r>
            <w:r>
              <w:t xml:space="preserve">нием по справочнику РОСГУ;</w:t>
            </w:r>
            <w:r/>
          </w:p>
          <w:p>
            <w:pPr>
              <w:pStyle w:val="1007"/>
            </w:pPr>
            <w:r>
              <w:t xml:space="preserve">ввод значения вручную;</w:t>
            </w:r>
            <w:r/>
          </w:p>
          <w:p>
            <w:pPr>
              <w:pStyle w:val="1007"/>
            </w:pPr>
            <w:r>
              <w:t xml:space="preserve">выбор из списка возможных значений.</w:t>
            </w:r>
            <w:r/>
          </w:p>
        </w:tc>
      </w:tr>
      <w:tr>
        <w:trPr>
          <w:trHeight w:val="20"/>
        </w:trPr>
        <w:tc>
          <w:tcPr>
            <w:shd w:val="clear" w:fill="auto" w:color="auto"/>
            <w:tcW w:w="1169" w:type="pct"/>
            <w:textDirection w:val="lrTb"/>
            <w:noWrap w:val="false"/>
          </w:tcPr>
          <w:p>
            <w:pPr>
              <w:pStyle w:val="1005"/>
              <w:ind w:left="57" w:right="57"/>
            </w:pPr>
            <w:r>
              <w:t xml:space="preserve">Бюджет (наименование)</w:t>
            </w:r>
            <w:r/>
          </w:p>
        </w:tc>
        <w:tc>
          <w:tcPr>
            <w:shd w:val="clear" w:fill="auto" w:color="auto"/>
            <w:tcW w:w="3831" w:type="pct"/>
            <w:textDirection w:val="lrTb"/>
            <w:noWrap w:val="false"/>
          </w:tcPr>
          <w:p>
            <w:pPr>
              <w:pStyle w:val="1005"/>
              <w:ind w:left="57" w:right="57"/>
            </w:pPr>
            <w:r>
              <w:t xml:space="preserve">Наименование бюджета, в рамках которого создано учреждение.</w:t>
            </w:r>
            <w:r/>
          </w:p>
          <w:p>
            <w:pPr>
              <w:pStyle w:val="1005"/>
              <w:ind w:left="57" w:right="57"/>
            </w:pPr>
            <w:r>
              <w:t xml:space="preserve">Поле </w:t>
            </w:r>
            <w:r>
              <w:t xml:space="preserve">Недоступно для редактирования</w:t>
            </w:r>
            <w:r>
              <w:t xml:space="preserve">. Заполняется автоматически в с</w:t>
            </w:r>
            <w:r>
              <w:t xml:space="preserve">о</w:t>
            </w:r>
            <w:r>
              <w:t xml:space="preserve">ответствии с указанным значением в поле «Тип организации (код)».</w:t>
            </w:r>
            <w:r/>
          </w:p>
        </w:tc>
      </w:tr>
      <w:tr>
        <w:trPr>
          <w:trHeight w:val="20"/>
        </w:trPr>
        <w:tc>
          <w:tcPr>
            <w:gridSpan w:val="2"/>
            <w:shd w:val="clear" w:fill="auto" w:color="auto"/>
            <w:tcW w:w="5000" w:type="pct"/>
            <w:textDirection w:val="lrTb"/>
            <w:noWrap w:val="false"/>
          </w:tcPr>
          <w:p>
            <w:pPr>
              <w:pStyle w:val="1005"/>
              <w:ind w:left="57" w:right="57"/>
            </w:pPr>
            <w:r>
              <w:t xml:space="preserve">Поля без группы</w:t>
            </w:r>
            <w:r/>
          </w:p>
        </w:tc>
      </w:tr>
      <w:tr>
        <w:trPr>
          <w:trHeight w:val="20"/>
        </w:trPr>
        <w:tc>
          <w:tcPr>
            <w:shd w:val="clear" w:fill="auto" w:color="auto"/>
            <w:tcW w:w="1169" w:type="pct"/>
            <w:textDirection w:val="lrTb"/>
            <w:noWrap w:val="false"/>
          </w:tcPr>
          <w:p>
            <w:pPr>
              <w:pStyle w:val="1005"/>
              <w:ind w:left="57" w:right="57"/>
            </w:pPr>
            <w:r>
              <w:t xml:space="preserve">ИНН</w:t>
            </w:r>
            <w:r/>
          </w:p>
        </w:tc>
        <w:tc>
          <w:tcPr>
            <w:shd w:val="clear" w:fill="auto" w:color="auto"/>
            <w:tcW w:w="3831" w:type="pct"/>
            <w:textDirection w:val="lrTb"/>
            <w:noWrap w:val="false"/>
          </w:tcPr>
          <w:p>
            <w:pPr>
              <w:pStyle w:val="1005"/>
              <w:ind w:left="57" w:right="57"/>
            </w:pPr>
            <w:r>
              <w:t xml:space="preserve">ИНН организации</w:t>
            </w:r>
            <w:r>
              <w:t xml:space="preserve">. </w:t>
            </w: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выбор из справочника РОСГУ, ввод значения вру</w:t>
            </w:r>
            <w:r>
              <w:t xml:space="preserve">ч</w:t>
            </w:r>
            <w:r>
              <w:t xml:space="preserve">ную.</w:t>
            </w:r>
            <w:r/>
          </w:p>
        </w:tc>
      </w:tr>
      <w:tr>
        <w:trPr>
          <w:trHeight w:val="20"/>
        </w:trPr>
        <w:tc>
          <w:tcPr>
            <w:shd w:val="clear" w:fill="auto" w:color="auto"/>
            <w:tcW w:w="1169" w:type="pct"/>
            <w:textDirection w:val="lrTb"/>
            <w:noWrap w:val="false"/>
          </w:tcPr>
          <w:p>
            <w:pPr>
              <w:pStyle w:val="1005"/>
              <w:ind w:left="57" w:right="57"/>
            </w:pPr>
            <w:r>
              <w:t xml:space="preserve">КПП</w:t>
            </w:r>
            <w:r/>
          </w:p>
        </w:tc>
        <w:tc>
          <w:tcPr>
            <w:shd w:val="clear" w:fill="auto" w:color="auto"/>
            <w:tcW w:w="3831" w:type="pct"/>
            <w:textDirection w:val="lrTb"/>
            <w:noWrap w:val="false"/>
          </w:tcPr>
          <w:p>
            <w:pPr>
              <w:pStyle w:val="1005"/>
              <w:ind w:left="57" w:right="57"/>
            </w:pPr>
            <w:r>
              <w:t xml:space="preserve">КПП организации</w:t>
            </w:r>
            <w:r>
              <w:t xml:space="preserve">. </w:t>
            </w: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выбор из справочника РОСГУ, ввод значения вру</w:t>
            </w:r>
            <w:r>
              <w:t xml:space="preserve">ч</w:t>
            </w:r>
            <w:r>
              <w:t xml:space="preserve">ную.</w:t>
            </w:r>
            <w:r/>
          </w:p>
        </w:tc>
      </w:tr>
      <w:tr>
        <w:trPr>
          <w:trHeight w:val="20"/>
        </w:trPr>
        <w:tc>
          <w:tcPr>
            <w:shd w:val="clear" w:fill="auto" w:color="auto"/>
            <w:tcW w:w="1169" w:type="pct"/>
            <w:textDirection w:val="lrTb"/>
            <w:noWrap w:val="false"/>
          </w:tcPr>
          <w:p>
            <w:pPr>
              <w:pStyle w:val="1005"/>
              <w:ind w:left="57" w:right="57"/>
            </w:pPr>
            <w:r>
              <w:t xml:space="preserve">Тип организации</w:t>
            </w:r>
            <w:r/>
          </w:p>
        </w:tc>
        <w:tc>
          <w:tcPr>
            <w:shd w:val="clear" w:fill="auto" w:color="auto"/>
            <w:tcW w:w="3831" w:type="pct"/>
            <w:textDirection w:val="lrTb"/>
            <w:noWrap w:val="false"/>
          </w:tcPr>
          <w:p>
            <w:pPr>
              <w:pStyle w:val="1005"/>
              <w:ind w:left="57" w:right="57"/>
            </w:pPr>
            <w:r>
              <w:t xml:space="preserve">Тип организации (код) и наименование типа организации по внутренн</w:t>
            </w:r>
            <w:r>
              <w:t xml:space="preserve">ему классификатору на визуальной форме отображаются в одном поле (код – наименование)</w:t>
            </w:r>
            <w:r>
              <w:t xml:space="preserve">.</w:t>
            </w:r>
            <w:r/>
          </w:p>
          <w:p>
            <w:pPr>
              <w:pStyle w:val="1005"/>
              <w:ind w:left="57" w:right="57"/>
            </w:pP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выбор из списка возможных значений;</w:t>
            </w:r>
            <w:r/>
          </w:p>
          <w:p>
            <w:pPr>
              <w:pStyle w:val="1007"/>
            </w:pPr>
            <w:r>
              <w:t xml:space="preserve">ОФК/ДУБП: выбор из списка возможных значений (по умолчанию пустая строка, есть возможность вернуться к значению – «пусто» считать поле не запо</w:t>
            </w:r>
            <w:r>
              <w:t xml:space="preserve">л</w:t>
            </w:r>
            <w:r>
              <w:t xml:space="preserve">ненным).</w:t>
            </w:r>
            <w:r/>
          </w:p>
          <w:p>
            <w:pPr>
              <w:pStyle w:val="1005"/>
              <w:ind w:left="57" w:right="57"/>
            </w:pPr>
            <w:r>
              <w:t xml:space="preserve">Возможные значения:</w:t>
            </w:r>
            <w:r/>
          </w:p>
          <w:p>
            <w:pPr>
              <w:pStyle w:val="1007"/>
            </w:pPr>
            <w:r>
              <w:t xml:space="preserve">01 – федеральный орган государственной власти (орган государс</w:t>
            </w:r>
            <w:r>
              <w:t xml:space="preserve">т</w:t>
            </w:r>
            <w:r>
              <w:t xml:space="preserve">венной власти субъекта РФ, орган местного самоуправления);</w:t>
            </w:r>
            <w:r>
              <w:br/>
              <w:t xml:space="preserve">03 – бюджетное учреждение;</w:t>
            </w:r>
            <w:r/>
          </w:p>
          <w:p>
            <w:pPr>
              <w:pStyle w:val="1007"/>
            </w:pPr>
            <w:r>
              <w:t xml:space="preserve">08 – казенное учреждение;</w:t>
            </w:r>
            <w:r/>
          </w:p>
          <w:p>
            <w:pPr>
              <w:pStyle w:val="1007"/>
            </w:pPr>
            <w:r>
              <w:t xml:space="preserve">10 – автономное учреждение.</w:t>
            </w:r>
            <w:r/>
          </w:p>
        </w:tc>
      </w:tr>
      <w:tr>
        <w:trPr>
          <w:trHeight w:val="20"/>
        </w:trPr>
        <w:tc>
          <w:tcPr>
            <w:shd w:val="clear" w:fill="auto" w:color="auto"/>
            <w:tcW w:w="1169" w:type="pct"/>
            <w:textDirection w:val="lrTb"/>
            <w:noWrap w:val="false"/>
          </w:tcPr>
          <w:p>
            <w:pPr>
              <w:pStyle w:val="1005"/>
              <w:ind w:left="57" w:right="57"/>
            </w:pPr>
            <w:r>
              <w:t xml:space="preserve">Спец.указания</w:t>
            </w:r>
            <w:r/>
          </w:p>
        </w:tc>
        <w:tc>
          <w:tcPr>
            <w:shd w:val="clear" w:fill="auto" w:color="auto"/>
            <w:tcW w:w="3831" w:type="pct"/>
            <w:textDirection w:val="lrTb"/>
            <w:noWrap w:val="false"/>
          </w:tcPr>
          <w:p>
            <w:pPr>
              <w:pStyle w:val="1005"/>
              <w:ind w:left="57" w:right="57"/>
            </w:pPr>
            <w:r>
              <w:t xml:space="preserve">Код специальных указаний и наименование специальных указаний на в</w:t>
            </w:r>
            <w:r>
              <w:t xml:space="preserve">и</w:t>
            </w:r>
            <w:r>
              <w:t xml:space="preserve">зуальной форме отображаются в одном поле (код – наименование)</w:t>
            </w:r>
            <w:r>
              <w:t xml:space="preserve">.</w:t>
            </w:r>
            <w:r/>
          </w:p>
          <w:p>
            <w:pPr>
              <w:pStyle w:val="1005"/>
              <w:ind w:left="57" w:right="57"/>
            </w:pP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ввод значения вручную;</w:t>
            </w:r>
            <w:r/>
          </w:p>
          <w:p>
            <w:pPr>
              <w:pStyle w:val="1007"/>
            </w:pPr>
            <w:r>
              <w:t xml:space="preserve">ОФК/ДУБП: выбор из списка возможных значений; (по умолчанию пус</w:t>
            </w:r>
            <w:r>
              <w:t xml:space="preserve">тая строка</w:t>
            </w:r>
            <w:r>
              <w:t xml:space="preserve">).</w:t>
            </w:r>
            <w:r/>
          </w:p>
          <w:p>
            <w:pPr>
              <w:pStyle w:val="1005"/>
              <w:ind w:left="57" w:right="57"/>
            </w:pPr>
            <w:r>
              <w:t xml:space="preserve">Возможные значения:</w:t>
            </w:r>
            <w:r/>
          </w:p>
          <w:p>
            <w:pPr>
              <w:pStyle w:val="1007"/>
            </w:pPr>
            <w:r>
              <w:t xml:space="preserve">01 – Отзыв;</w:t>
            </w:r>
            <w:r/>
          </w:p>
          <w:p>
            <w:pPr>
              <w:pStyle w:val="1007"/>
            </w:pPr>
            <w:r>
              <w:t xml:space="preserve">02 – Аннулирование полномочий на Официальном сайте ГМУ. Оформлено органом государственной власти (местного самоуправл</w:t>
            </w:r>
            <w:r>
              <w:t xml:space="preserve">е</w:t>
            </w:r>
            <w:r>
              <w:t xml:space="preserve">ния), осуществляющим функции и полномочия учредителя (орган</w:t>
            </w:r>
            <w:r>
              <w:t xml:space="preserve">и</w:t>
            </w:r>
            <w:r>
              <w:t xml:space="preserve">зацией, являющейся представителем учреждения);</w:t>
            </w:r>
            <w:r/>
          </w:p>
          <w:p>
            <w:pPr>
              <w:pStyle w:val="1007"/>
            </w:pPr>
            <w:r>
              <w:t xml:space="preserve">03 – Аннулирование полномочий на Официальном сайте ГМУ. Оформлено организацией;</w:t>
            </w:r>
            <w:r/>
          </w:p>
          <w:p>
            <w:pPr>
              <w:pStyle w:val="1007"/>
            </w:pPr>
            <w:r>
              <w:t xml:space="preserve">04 – Не предоставляются субсидии;</w:t>
            </w:r>
            <w:r/>
          </w:p>
          <w:p>
            <w:pPr>
              <w:pStyle w:val="1007"/>
            </w:pPr>
            <w:r>
              <w:t xml:space="preserve">05 – Предоставляются субсидии.</w:t>
            </w:r>
            <w:r/>
          </w:p>
          <w:p>
            <w:pPr>
              <w:pStyle w:val="1005"/>
              <w:ind w:left="57" w:right="57"/>
            </w:pPr>
            <w:r>
              <w:t xml:space="preserve">Обязательно для заполнения для организаций с типом </w:t>
            </w:r>
            <w:r>
              <w:t xml:space="preserve">«03».</w:t>
            </w:r>
            <w:r/>
          </w:p>
        </w:tc>
      </w:tr>
      <w:tr>
        <w:trPr>
          <w:trHeight w:val="20"/>
        </w:trPr>
        <w:tc>
          <w:tcPr>
            <w:shd w:val="clear" w:fill="auto" w:color="auto"/>
            <w:tcW w:w="1169" w:type="pct"/>
            <w:textDirection w:val="lrTb"/>
            <w:noWrap w:val="false"/>
          </w:tcPr>
          <w:p>
            <w:pPr>
              <w:pStyle w:val="1005"/>
              <w:ind w:left="57" w:right="57"/>
            </w:pPr>
            <w:r>
              <w:t xml:space="preserve">ТОФК клиента (код)</w:t>
            </w:r>
            <w:r/>
          </w:p>
        </w:tc>
        <w:tc>
          <w:tcPr>
            <w:shd w:val="clear" w:fill="auto" w:color="auto"/>
            <w:tcW w:w="3831" w:type="pct"/>
            <w:textDirection w:val="lrTb"/>
            <w:noWrap w:val="false"/>
          </w:tcPr>
          <w:p>
            <w:pPr>
              <w:pStyle w:val="1005"/>
              <w:ind w:left="57" w:right="57"/>
            </w:pPr>
            <w:r>
              <w:t xml:space="preserve">Код ТОФК клиента</w:t>
            </w:r>
            <w:r>
              <w:t xml:space="preserve">. </w:t>
            </w: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выбор из справочника Орг</w:t>
            </w:r>
            <w:r>
              <w:t xml:space="preserve">а</w:t>
            </w:r>
            <w:r>
              <w:t xml:space="preserve">ны ФК, ввод значения вручную;</w:t>
            </w:r>
            <w:r/>
          </w:p>
          <w:p>
            <w:pPr>
              <w:pStyle w:val="1007"/>
            </w:pPr>
            <w:r>
              <w:t xml:space="preserve">ОФК: ввод значения вручную.</w:t>
            </w:r>
            <w:r/>
          </w:p>
        </w:tc>
      </w:tr>
      <w:tr>
        <w:trPr>
          <w:trHeight w:val="20"/>
        </w:trPr>
        <w:tc>
          <w:tcPr>
            <w:shd w:val="clear" w:fill="auto" w:color="auto"/>
            <w:tcW w:w="1169" w:type="pct"/>
            <w:textDirection w:val="lrTb"/>
            <w:noWrap w:val="false"/>
          </w:tcPr>
          <w:p>
            <w:pPr>
              <w:pStyle w:val="1005"/>
              <w:ind w:left="57" w:right="57"/>
            </w:pPr>
            <w:r>
              <w:t xml:space="preserve">ТОФК клиента (наим</w:t>
            </w:r>
            <w:r>
              <w:t xml:space="preserve">ен</w:t>
            </w:r>
            <w:r>
              <w:t xml:space="preserve">о</w:t>
            </w:r>
            <w:r>
              <w:t xml:space="preserve">вание)</w:t>
            </w:r>
            <w:r/>
          </w:p>
        </w:tc>
        <w:tc>
          <w:tcPr>
            <w:shd w:val="clear" w:fill="auto" w:color="auto"/>
            <w:tcW w:w="3831" w:type="pct"/>
            <w:textDirection w:val="lrTb"/>
            <w:noWrap w:val="false"/>
          </w:tcPr>
          <w:p>
            <w:pPr>
              <w:pStyle w:val="1005"/>
              <w:ind w:left="57" w:right="57"/>
            </w:pPr>
            <w:r>
              <w:t xml:space="preserve">Наименование ТОФК клиента</w:t>
            </w:r>
            <w:r>
              <w:t xml:space="preserve">. </w:t>
            </w:r>
            <w:r>
              <w:t xml:space="preserve">Заполнение:</w:t>
            </w:r>
            <w:r/>
          </w:p>
          <w:p>
            <w:pPr>
              <w:pStyle w:val="1007"/>
            </w:pPr>
            <w:r>
              <w:t xml:space="preserve">ДУБП: автозаполнение по указанному коду ТОФК клиента из спр</w:t>
            </w:r>
            <w:r>
              <w:t xml:space="preserve">а</w:t>
            </w:r>
            <w:r>
              <w:t xml:space="preserve">вочника Органы ФК.</w:t>
            </w:r>
            <w:r/>
          </w:p>
        </w:tc>
      </w:tr>
      <w:tr>
        <w:trPr>
          <w:trHeight w:val="20"/>
        </w:trPr>
        <w:tc>
          <w:tcPr>
            <w:gridSpan w:val="2"/>
            <w:shd w:val="clear" w:fill="auto" w:color="auto"/>
            <w:tcW w:w="5000" w:type="pct"/>
            <w:textDirection w:val="lrTb"/>
            <w:noWrap w:val="false"/>
          </w:tcPr>
          <w:p>
            <w:pPr>
              <w:pStyle w:val="1005"/>
              <w:ind w:left="57" w:right="57"/>
            </w:pPr>
            <w:r>
              <w:t xml:space="preserve">Группа полей «Публично-правовое образование»</w:t>
            </w:r>
            <w:r/>
          </w:p>
        </w:tc>
      </w:tr>
      <w:tr>
        <w:trPr>
          <w:trHeight w:val="20"/>
        </w:trPr>
        <w:tc>
          <w:tcPr>
            <w:shd w:val="clear" w:fill="auto" w:color="auto"/>
            <w:tcW w:w="1169" w:type="pct"/>
            <w:textDirection w:val="lrTb"/>
            <w:noWrap w:val="false"/>
          </w:tcPr>
          <w:p>
            <w:pPr>
              <w:pStyle w:val="1005"/>
              <w:ind w:left="57" w:right="57"/>
            </w:pPr>
            <w:r>
              <w:t xml:space="preserve">ОКТМО</w:t>
            </w:r>
            <w:r/>
          </w:p>
        </w:tc>
        <w:tc>
          <w:tcPr>
            <w:shd w:val="clear" w:fill="auto" w:color="auto"/>
            <w:tcW w:w="3831" w:type="pct"/>
            <w:textDirection w:val="lrTb"/>
            <w:noWrap w:val="false"/>
          </w:tcPr>
          <w:p>
            <w:pPr>
              <w:pStyle w:val="1005"/>
              <w:ind w:left="57" w:right="57"/>
            </w:pPr>
            <w:r>
              <w:t xml:space="preserve">Указывается значение кода по ОКТМО из справочника «ОКТМО».</w:t>
            </w:r>
            <w:r/>
          </w:p>
          <w:p>
            <w:pPr>
              <w:pStyle w:val="1005"/>
              <w:ind w:left="57" w:right="57"/>
            </w:pPr>
            <w:r>
              <w:t xml:space="preserve">Может указываться одним из способов:</w:t>
            </w:r>
            <w:r/>
          </w:p>
          <w:p>
            <w:pPr>
              <w:pStyle w:val="1007"/>
            </w:pPr>
            <w:r>
              <w:t xml:space="preserve">заполнение из импортируемого файла;</w:t>
            </w:r>
            <w:r/>
          </w:p>
          <w:p>
            <w:pPr>
              <w:pStyle w:val="1007"/>
            </w:pPr>
            <w:r>
              <w:t xml:space="preserve">ручной ввод. Перечень возможных кодов для выбора значения поля «ОКТМО ППО» требуется ограничить активными на текущую дату записями справочника «ОКТМО», в которых значение поля «Раздел» равно «1» (муниципальные образования).</w:t>
            </w:r>
            <w:r/>
          </w:p>
          <w:p>
            <w:pPr>
              <w:pStyle w:val="1005"/>
              <w:ind w:left="57" w:right="57"/>
            </w:pPr>
            <w:r>
              <w:t xml:space="preserve">По умолчанию не заполняется.</w:t>
            </w:r>
            <w:r/>
          </w:p>
        </w:tc>
      </w:tr>
      <w:tr>
        <w:trPr>
          <w:trHeight w:val="20"/>
        </w:trPr>
        <w:tc>
          <w:tcPr>
            <w:shd w:val="clear" w:fill="auto" w:color="auto"/>
            <w:tcW w:w="1169" w:type="pct"/>
            <w:textDirection w:val="lrTb"/>
            <w:noWrap w:val="false"/>
          </w:tcPr>
          <w:p>
            <w:pPr>
              <w:pStyle w:val="1005"/>
              <w:ind w:left="57" w:right="57"/>
            </w:pPr>
            <w:r>
              <w:t xml:space="preserve">Наименование</w:t>
            </w:r>
            <w:r/>
          </w:p>
        </w:tc>
        <w:tc>
          <w:tcPr>
            <w:shd w:val="clear" w:fill="auto" w:color="auto"/>
            <w:tcW w:w="3831" w:type="pct"/>
            <w:textDirection w:val="lrTb"/>
            <w:noWrap w:val="false"/>
          </w:tcPr>
          <w:p>
            <w:pPr>
              <w:pStyle w:val="1005"/>
              <w:ind w:left="57" w:right="57"/>
            </w:pPr>
            <w:r>
              <w:t xml:space="preserve">Значение поля может указываться одним из способов:</w:t>
            </w:r>
            <w:r/>
          </w:p>
          <w:p>
            <w:pPr>
              <w:pStyle w:val="1007"/>
            </w:pPr>
            <w:r>
              <w:t xml:space="preserve">заполнение из импортируемого файла;</w:t>
            </w:r>
            <w:r/>
          </w:p>
          <w:p>
            <w:pPr>
              <w:pStyle w:val="1007"/>
            </w:pPr>
            <w:r>
              <w:t xml:space="preserve">автозаполнение значением поля «Наименование» справочника «ОКТМО», соответствующим значению поля «ОКТМО ППО» с во</w:t>
            </w:r>
            <w:r>
              <w:t xml:space="preserve">з</w:t>
            </w:r>
            <w:r>
              <w:t xml:space="preserve">можностью редактирования. Если «ОКТМО ППО» равно «00000000», то требуется указать значение «Российская Федерация».</w:t>
            </w:r>
            <w:r/>
          </w:p>
          <w:p>
            <w:pPr>
              <w:pStyle w:val="1005"/>
              <w:ind w:left="57" w:right="57"/>
            </w:pPr>
            <w:r>
              <w:t xml:space="preserve">По умолчанию не заполняется.</w:t>
            </w:r>
            <w:r/>
          </w:p>
        </w:tc>
      </w:tr>
      <w:tr>
        <w:trPr>
          <w:trHeight w:val="20"/>
        </w:trPr>
        <w:tc>
          <w:tcPr>
            <w:gridSpan w:val="2"/>
            <w:shd w:val="clear" w:fill="auto" w:color="auto"/>
            <w:tcW w:w="5000" w:type="pct"/>
            <w:textDirection w:val="lrTb"/>
            <w:noWrap w:val="false"/>
          </w:tcPr>
          <w:p>
            <w:pPr>
              <w:pStyle w:val="1005"/>
              <w:ind w:left="57" w:right="57"/>
            </w:pPr>
            <w:r>
              <w:t xml:space="preserve">Группа полей </w:t>
            </w:r>
            <w:r>
              <w:t xml:space="preserve">«Полномочия организации на сайте ГМУ» (не обязательно для заполнения в случае представления заявки для аннулирования полномочий)</w:t>
            </w:r>
            <w:r/>
          </w:p>
        </w:tc>
      </w:tr>
      <w:tr>
        <w:trPr>
          <w:trHeight w:val="20"/>
        </w:trPr>
        <w:tc>
          <w:tcPr>
            <w:shd w:val="clear" w:fill="auto" w:color="auto"/>
            <w:tcW w:w="1169" w:type="pct"/>
            <w:textDirection w:val="lrTb"/>
            <w:noWrap w:val="false"/>
          </w:tcPr>
          <w:p>
            <w:pPr>
              <w:pStyle w:val="1005"/>
              <w:ind w:left="57" w:right="57"/>
            </w:pPr>
            <w:r>
              <w:t xml:space="preserve">Учреждение</w:t>
            </w:r>
            <w:r/>
          </w:p>
        </w:tc>
        <w:tc>
          <w:tcPr>
            <w:shd w:val="clear" w:fill="auto" w:color="auto"/>
            <w:tcW w:w="3831" w:type="pct"/>
            <w:textDirection w:val="lrTb"/>
            <w:noWrap w:val="false"/>
          </w:tcPr>
          <w:p>
            <w:pPr>
              <w:pStyle w:val="1005"/>
              <w:ind w:left="57" w:right="57"/>
            </w:pPr>
            <w:r>
              <w:t xml:space="preserve">Полномочие Учреждения</w:t>
            </w:r>
            <w:r>
              <w:t xml:space="preserve">.</w:t>
            </w:r>
            <w:r>
              <w:t xml:space="preserve"> </w:t>
            </w: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ввод значения вручную;</w:t>
            </w:r>
            <w:r/>
          </w:p>
          <w:p>
            <w:pPr>
              <w:pStyle w:val="1007"/>
            </w:pPr>
            <w:r>
              <w:t xml:space="preserve">ОФК: ввод значения вручную.</w:t>
            </w:r>
            <w:r/>
          </w:p>
          <w:p>
            <w:pPr>
              <w:pStyle w:val="1005"/>
              <w:ind w:left="57" w:right="57"/>
            </w:pPr>
            <w:r>
              <w:t xml:space="preserve">Не обязательно для заполнения в случае представления заявки для анн</w:t>
            </w:r>
            <w:r>
              <w:t xml:space="preserve">у</w:t>
            </w:r>
            <w:r>
              <w:t xml:space="preserve">лирования полномочий (если в поле «Специальные указания» указано значение «02» или «03»). </w:t>
            </w:r>
            <w:r/>
          </w:p>
          <w:p>
            <w:pPr>
              <w:pStyle w:val="1005"/>
              <w:ind w:left="57" w:right="57"/>
            </w:pPr>
            <w:r>
              <w:t xml:space="preserve">Во всех остальных случаях обязательно для заполн</w:t>
            </w:r>
            <w:r>
              <w:t xml:space="preserve">ения, должно быть о</w:t>
            </w:r>
            <w:r>
              <w:t xml:space="preserve">п</w:t>
            </w:r>
            <w:r>
              <w:t xml:space="preserve">ределено не менее одного полномочия на ОС ГМУ. </w:t>
            </w:r>
            <w:r/>
          </w:p>
          <w:p>
            <w:pPr>
              <w:pStyle w:val="1005"/>
              <w:ind w:left="57" w:right="57"/>
            </w:pPr>
            <w:r>
              <w:t xml:space="preserve">Как минимум, в одном из полей, определяющих по</w:t>
            </w:r>
            <w:r>
              <w:t xml:space="preserve">лномочия, должно быть указано значение «1» – «есть полномочие».</w:t>
            </w:r>
            <w:r/>
          </w:p>
        </w:tc>
      </w:tr>
      <w:tr>
        <w:trPr>
          <w:trHeight w:val="20"/>
        </w:trPr>
        <w:tc>
          <w:tcPr>
            <w:shd w:val="clear" w:fill="auto" w:color="auto"/>
            <w:tcW w:w="1169" w:type="pct"/>
            <w:textDirection w:val="lrTb"/>
            <w:noWrap w:val="false"/>
          </w:tcPr>
          <w:p>
            <w:pPr>
              <w:pStyle w:val="1005"/>
              <w:ind w:left="57" w:right="57"/>
            </w:pPr>
            <w:r>
              <w:t xml:space="preserve">Контролирующий орган</w:t>
            </w:r>
            <w:r/>
          </w:p>
        </w:tc>
        <w:tc>
          <w:tcPr>
            <w:shd w:val="clear" w:fill="auto" w:color="auto"/>
            <w:tcW w:w="3831" w:type="pct"/>
            <w:textDirection w:val="lrTb"/>
            <w:noWrap w:val="false"/>
          </w:tcPr>
          <w:p>
            <w:pPr>
              <w:pStyle w:val="1005"/>
              <w:ind w:left="57" w:right="57"/>
            </w:pPr>
            <w:r>
              <w:t xml:space="preserve">Полномочие Контролирующего органа</w:t>
            </w:r>
            <w:r>
              <w:t xml:space="preserve">.</w:t>
            </w:r>
            <w:r>
              <w:t xml:space="preserve"> </w:t>
            </w: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ввод значения вручную.</w:t>
            </w:r>
            <w:r/>
          </w:p>
          <w:p>
            <w:pPr>
              <w:pStyle w:val="1005"/>
              <w:ind w:left="57" w:right="57"/>
            </w:pPr>
            <w:r>
              <w:t xml:space="preserve">Не обязательно для заполнения в случае представления заявки для анн</w:t>
            </w:r>
            <w:r>
              <w:t xml:space="preserve">у</w:t>
            </w:r>
            <w:r>
              <w:t xml:space="preserve">лирования полномочий (если в поле «Специальные указания» указано значение «02» или «03»). </w:t>
            </w:r>
            <w:r/>
          </w:p>
          <w:p>
            <w:pPr>
              <w:pStyle w:val="1005"/>
              <w:ind w:left="57" w:right="57"/>
            </w:pPr>
            <w:r>
              <w:t xml:space="preserve">Во всех остальных случаях обязательно для заполн</w:t>
            </w:r>
            <w:r>
              <w:t xml:space="preserve">ения, должно быть о</w:t>
            </w:r>
            <w:r>
              <w:t xml:space="preserve">п</w:t>
            </w:r>
            <w:r>
              <w:t xml:space="preserve">ределено не менее одного полномочия на ОС ГМУ. </w:t>
            </w:r>
            <w:r/>
          </w:p>
          <w:p>
            <w:pPr>
              <w:pStyle w:val="1005"/>
              <w:ind w:left="57" w:right="57"/>
            </w:pPr>
            <w:r>
              <w:t xml:space="preserve">Как минимум, в одном из полей, определяющих по</w:t>
            </w:r>
            <w:r>
              <w:t xml:space="preserve">лномочия, должно быть указано значение «1» – «есть полномочие».</w:t>
            </w:r>
            <w:r/>
          </w:p>
        </w:tc>
      </w:tr>
      <w:tr>
        <w:trPr>
          <w:trHeight w:val="20"/>
        </w:trPr>
        <w:tc>
          <w:tcPr>
            <w:shd w:val="clear" w:fill="auto" w:color="auto"/>
            <w:tcW w:w="1169" w:type="pct"/>
            <w:textDirection w:val="lrTb"/>
            <w:noWrap w:val="false"/>
          </w:tcPr>
          <w:p>
            <w:pPr>
              <w:pStyle w:val="1005"/>
              <w:ind w:left="57" w:right="57"/>
            </w:pPr>
            <w:r>
              <w:t xml:space="preserve">Финансовый орган</w:t>
            </w:r>
            <w:r/>
          </w:p>
        </w:tc>
        <w:tc>
          <w:tcPr>
            <w:shd w:val="clear" w:fill="auto" w:color="auto"/>
            <w:tcW w:w="3831" w:type="pct"/>
            <w:textDirection w:val="lrTb"/>
            <w:noWrap w:val="false"/>
          </w:tcPr>
          <w:p>
            <w:pPr>
              <w:pStyle w:val="1005"/>
              <w:ind w:left="57" w:right="57"/>
            </w:pPr>
            <w:r>
              <w:t xml:space="preserve">Полномочие Финансового органа</w:t>
            </w:r>
            <w:r>
              <w:t xml:space="preserve">.</w:t>
            </w:r>
            <w:r>
              <w:t xml:space="preserve"> </w:t>
            </w: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w:t>
            </w:r>
            <w:r>
              <w:t xml:space="preserve">ку РОСГУ, ввод значения вручную.</w:t>
            </w:r>
            <w:r/>
          </w:p>
          <w:p>
            <w:pPr>
              <w:pStyle w:val="1005"/>
              <w:ind w:left="57" w:right="57"/>
            </w:pPr>
            <w:r>
              <w:t xml:space="preserve">Не обязательно для заполнения в случае представления заявки для анн</w:t>
            </w:r>
            <w:r>
              <w:t xml:space="preserve">у</w:t>
            </w:r>
            <w:r>
              <w:t xml:space="preserve">лирования полномочий (если в поле «Специальные указания» указано значение «02» или «03»).</w:t>
            </w:r>
            <w:r/>
          </w:p>
          <w:p>
            <w:pPr>
              <w:pStyle w:val="1005"/>
              <w:ind w:left="57" w:right="57"/>
            </w:pPr>
            <w:r>
              <w:t xml:space="preserve">Во всех остальных случаях обязательно для заполн</w:t>
            </w:r>
            <w:r>
              <w:t xml:space="preserve">ения, должно быть о</w:t>
            </w:r>
            <w:r>
              <w:t xml:space="preserve">п</w:t>
            </w:r>
            <w:r>
              <w:t xml:space="preserve">ре</w:t>
            </w:r>
            <w:r>
              <w:t xml:space="preserve">делено не менее одного полномочия на ОС ГМУ. </w:t>
            </w:r>
            <w:r/>
          </w:p>
          <w:p>
            <w:pPr>
              <w:pStyle w:val="1005"/>
              <w:ind w:left="57" w:right="57"/>
            </w:pPr>
            <w:r>
              <w:t xml:space="preserve">Как минимум, в одном из полей, определяющих по</w:t>
            </w:r>
            <w:r>
              <w:t xml:space="preserve">лномочия, должно быть указано значение «1» – «есть полномочие».</w:t>
            </w:r>
            <w:r/>
          </w:p>
        </w:tc>
      </w:tr>
      <w:tr>
        <w:trPr>
          <w:trHeight w:val="20"/>
        </w:trPr>
        <w:tc>
          <w:tcPr>
            <w:shd w:val="clear" w:fill="auto" w:color="auto"/>
            <w:tcW w:w="1169" w:type="pct"/>
            <w:textDirection w:val="lrTb"/>
            <w:noWrap w:val="false"/>
          </w:tcPr>
          <w:p>
            <w:pPr>
              <w:pStyle w:val="1005"/>
              <w:ind w:left="57" w:right="57"/>
            </w:pPr>
            <w:r>
              <w:t xml:space="preserve">Представитель учрежд</w:t>
            </w:r>
            <w:r>
              <w:t xml:space="preserve">е</w:t>
            </w:r>
            <w:r>
              <w:t xml:space="preserve">ния</w:t>
            </w:r>
            <w:r/>
          </w:p>
        </w:tc>
        <w:tc>
          <w:tcPr>
            <w:shd w:val="clear" w:fill="auto" w:color="auto"/>
            <w:tcW w:w="3831" w:type="pct"/>
            <w:textDirection w:val="lrTb"/>
            <w:noWrap w:val="false"/>
          </w:tcPr>
          <w:p>
            <w:pPr>
              <w:pStyle w:val="1005"/>
              <w:ind w:left="57" w:right="57"/>
            </w:pPr>
            <w:r>
              <w:t xml:space="preserve">Полномочие организации, являющейся представителем учреждения</w:t>
            </w:r>
            <w:r>
              <w:t xml:space="preserve">.</w:t>
            </w:r>
            <w:r/>
          </w:p>
          <w:p>
            <w:pPr>
              <w:pStyle w:val="1005"/>
              <w:ind w:left="57" w:right="57"/>
            </w:pP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w:t>
            </w:r>
            <w:r>
              <w:t xml:space="preserve">У, ввод значения вручную.</w:t>
            </w:r>
            <w:r/>
          </w:p>
          <w:p>
            <w:pPr>
              <w:pStyle w:val="1005"/>
              <w:ind w:left="57" w:right="57"/>
            </w:pPr>
            <w:r>
              <w:t xml:space="preserve">Не обязательно для заполнения в случае представления заявки для анн</w:t>
            </w:r>
            <w:r>
              <w:t xml:space="preserve">у</w:t>
            </w:r>
            <w:r>
              <w:t xml:space="preserve">лирования полномочий (если в поле «Специальные указания» указано значение «02» или «03»). </w:t>
            </w:r>
            <w:r/>
          </w:p>
          <w:p>
            <w:pPr>
              <w:pStyle w:val="1005"/>
              <w:ind w:left="57" w:right="57"/>
            </w:pPr>
            <w:r>
              <w:t xml:space="preserve">Во всех остальных случаях обязательно для заполн</w:t>
            </w:r>
            <w:r>
              <w:t xml:space="preserve">ения, должно быть о</w:t>
            </w:r>
            <w:r>
              <w:t xml:space="preserve">п</w:t>
            </w:r>
            <w:r>
              <w:t xml:space="preserve">ределено не менее одного полномочия на ОС ГМУ. </w:t>
            </w:r>
            <w:r/>
          </w:p>
          <w:p>
            <w:pPr>
              <w:pStyle w:val="1005"/>
              <w:ind w:left="57" w:right="57"/>
            </w:pPr>
            <w:r>
              <w:t xml:space="preserve">Как минимум, в одном из полей, определяющих по</w:t>
            </w:r>
            <w:r>
              <w:t xml:space="preserve">лномочия, должно быть указано значение «1» – «есть полномочие».</w:t>
            </w:r>
            <w:r/>
          </w:p>
        </w:tc>
      </w:tr>
      <w:tr>
        <w:trPr>
          <w:trHeight w:val="20"/>
        </w:trPr>
        <w:tc>
          <w:tcPr>
            <w:shd w:val="clear" w:fill="auto" w:color="auto"/>
            <w:tcW w:w="1169" w:type="pct"/>
            <w:textDirection w:val="lrTb"/>
            <w:noWrap w:val="false"/>
          </w:tcPr>
          <w:p>
            <w:pPr>
              <w:pStyle w:val="1005"/>
              <w:ind w:left="57" w:right="57"/>
            </w:pPr>
            <w:r>
              <w:t xml:space="preserve">Орган, осуществляющий функции и полномочия учредителя</w:t>
            </w:r>
            <w:r/>
          </w:p>
        </w:tc>
        <w:tc>
          <w:tcPr>
            <w:shd w:val="clear" w:fill="auto" w:color="auto"/>
            <w:tcW w:w="3831" w:type="pct"/>
            <w:textDirection w:val="lrTb"/>
            <w:noWrap w:val="false"/>
          </w:tcPr>
          <w:p>
            <w:pPr>
              <w:pStyle w:val="1005"/>
              <w:ind w:left="57" w:right="57"/>
            </w:pPr>
            <w:r>
              <w:t xml:space="preserve">Полномочие органа, осуществляющего функции и полномочия учред</w:t>
            </w:r>
            <w:r>
              <w:t xml:space="preserve">ит</w:t>
            </w:r>
            <w:r>
              <w:t xml:space="preserve">е</w:t>
            </w:r>
            <w:r>
              <w:t xml:space="preserve">ля.</w:t>
            </w:r>
            <w:r/>
          </w:p>
          <w:p>
            <w:pPr>
              <w:pStyle w:val="1005"/>
              <w:ind w:left="57" w:right="57"/>
            </w:pP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ввод значения вручную.</w:t>
            </w:r>
            <w:r/>
          </w:p>
        </w:tc>
      </w:tr>
      <w:tr>
        <w:trPr>
          <w:trHeight w:val="20"/>
        </w:trPr>
        <w:tc>
          <w:tcPr>
            <w:shd w:val="clear" w:fill="auto" w:color="auto"/>
            <w:tcW w:w="1169" w:type="pct"/>
            <w:textDirection w:val="lrTb"/>
            <w:noWrap w:val="false"/>
          </w:tcPr>
          <w:p>
            <w:pPr>
              <w:pStyle w:val="1005"/>
              <w:ind w:left="57" w:right="57"/>
            </w:pPr>
            <w:r>
              <w:t xml:space="preserve">Признак ОГВ</w:t>
            </w:r>
            <w:r/>
          </w:p>
        </w:tc>
        <w:tc>
          <w:tcPr>
            <w:shd w:val="clear" w:fill="auto" w:color="auto"/>
            <w:tcW w:w="3831" w:type="pct"/>
            <w:textDirection w:val="lrTb"/>
            <w:noWrap w:val="false"/>
          </w:tcPr>
          <w:p>
            <w:pPr>
              <w:pStyle w:val="1005"/>
              <w:ind w:left="57" w:right="57"/>
            </w:pPr>
            <w:r>
              <w:t xml:space="preserve">Признак органа государственной власти</w:t>
            </w:r>
            <w:r>
              <w:t xml:space="preserve">. </w:t>
            </w:r>
            <w:r>
              <w:t xml:space="preserve">Заполняется автоматически. </w:t>
            </w:r>
            <w:r/>
          </w:p>
          <w:p>
            <w:pPr>
              <w:pStyle w:val="1005"/>
              <w:ind w:left="57" w:right="57"/>
            </w:pPr>
            <w:r>
              <w:t xml:space="preserve">Возможные значения:</w:t>
            </w:r>
            <w:r/>
          </w:p>
          <w:p>
            <w:pPr>
              <w:pStyle w:val="1007"/>
            </w:pPr>
            <w:r>
              <w:t xml:space="preserve">«0»</w:t>
            </w:r>
            <w:r>
              <w:t xml:space="preserve"> – </w:t>
            </w:r>
            <w:r>
              <w:t xml:space="preserve">не является ОГВ;</w:t>
            </w:r>
            <w:r/>
          </w:p>
          <w:p>
            <w:pPr>
              <w:pStyle w:val="1007"/>
            </w:pPr>
            <w:r>
              <w:t xml:space="preserve">«1»</w:t>
            </w:r>
            <w:r>
              <w:t xml:space="preserve"> – </w:t>
            </w:r>
            <w:r>
              <w:t xml:space="preserve">является ОГВ;</w:t>
            </w:r>
            <w:r/>
          </w:p>
          <w:p>
            <w:pPr>
              <w:pStyle w:val="1007"/>
            </w:pPr>
            <w:r>
              <w:t xml:space="preserve">пустое значение.</w:t>
            </w:r>
            <w:r/>
          </w:p>
        </w:tc>
      </w:tr>
    </w:tbl>
    <w:p>
      <w:pPr>
        <w:pStyle w:val="994"/>
      </w:pPr>
      <w:r>
        <w:t xml:space="preserve">ЭФ документа «</w:t>
      </w:r>
      <w:r>
        <w:t xml:space="preserve">Заявка на внесение изменений в перечень ГМУ (основные реквизиты)</w:t>
      </w:r>
      <w:r>
        <w:t xml:space="preserve">», </w:t>
      </w:r>
      <w:r>
        <w:t xml:space="preserve">в</w:t>
      </w:r>
      <w:r>
        <w:t xml:space="preserve">кладки «</w:t>
      </w:r>
      <w:r>
        <w:t xml:space="preserve">Адресные данные</w:t>
      </w:r>
      <w:r>
        <w:t xml:space="preserve">»</w:t>
      </w:r>
      <w:r>
        <w:t xml:space="preserve"> </w:t>
      </w:r>
      <w:r>
        <w:t xml:space="preserve">представлена</w:t>
      </w:r>
      <w:r>
        <w:t xml:space="preserve"> </w:t>
      </w:r>
      <w:r>
        <w:t xml:space="preserve">н</w:t>
      </w:r>
      <w:r>
        <w:t xml:space="preserve">а рисунке</w:t>
      </w:r>
      <w:r>
        <w:t xml:space="preserve"> </w:t>
      </w:r>
      <w:r>
        <w:fldChar w:fldCharType="begin"/>
      </w:r>
      <w:r>
        <w:instrText xml:space="preserve"> REF _Ref309729244 \h  \* MERGEFORMAT </w:instrText>
      </w:r>
      <w:r>
        <w:fldChar w:fldCharType="separate"/>
      </w:r>
      <w:r>
        <w:t xml:space="preserve">307</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1371600"/>
                <wp:effectExtent l="0" t="0" r="0" b="0"/>
                <wp:docPr id="45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97"/>
                        <a:stretch/>
                      </pic:blipFill>
                      <pic:spPr bwMode="auto">
                        <a:xfrm>
                          <a:off x="0" y="0"/>
                          <a:ext cx="6134100" cy="1371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1" o:spid="_x0000_s451" type="#_x0000_t75" style="mso-wrap-distance-left:0.0pt;mso-wrap-distance-top:0.0pt;mso-wrap-distance-right:0.0pt;mso-wrap-distance-bottom:0.0pt;width:483.0pt;height:108.0pt;" stroked="f">
                <v:path textboxrect="0,0,0,0"/>
                <v:imagedata r:id="rId397" o:title=""/>
              </v:shape>
            </w:pict>
          </mc:Fallback>
        </mc:AlternateContent>
      </w:r>
      <w:r/>
    </w:p>
    <w:p>
      <w:pPr>
        <w:pStyle w:val="983"/>
      </w:pPr>
      <w:r>
        <w:fldChar w:fldCharType="begin"/>
      </w:r>
      <w:r>
        <w:instrText xml:space="preserve"> SEQ Рисунок \* ARABIC </w:instrText>
      </w:r>
      <w:r>
        <w:fldChar w:fldCharType="separate"/>
      </w:r>
      <w:bookmarkStart w:id="2024" w:name="_Ref309729244"/>
      <w:r/>
      <w:bookmarkStart w:id="2025" w:name="_Toc88819692"/>
      <w:r>
        <w:t xml:space="preserve">307</w:t>
      </w:r>
      <w:bookmarkEnd w:id="2024"/>
      <w:r>
        <w:fldChar w:fldCharType="end"/>
      </w:r>
      <w:r>
        <w:t xml:space="preserve">. ЭФ </w:t>
      </w:r>
      <w:r>
        <w:t xml:space="preserve">документа «</w:t>
      </w:r>
      <w:r>
        <w:t xml:space="preserve">Заявка на внесение изменений в перечень ГМУ (основные реквизиты)</w:t>
      </w:r>
      <w:r>
        <w:t xml:space="preserve">», </w:t>
      </w:r>
      <w:r>
        <w:t xml:space="preserve">в</w:t>
      </w:r>
      <w:r>
        <w:t xml:space="preserve">кладки «</w:t>
      </w:r>
      <w:r>
        <w:t xml:space="preserve">Адресные данные</w:t>
      </w:r>
      <w:r>
        <w:t xml:space="preserve">»</w:t>
      </w:r>
      <w:bookmarkEnd w:id="2025"/>
      <w:r/>
      <w:r/>
    </w:p>
    <w:p>
      <w:pPr>
        <w:pStyle w:val="994"/>
      </w:pPr>
      <w:r>
        <w:t xml:space="preserve">Перечень</w:t>
      </w:r>
      <w:r>
        <w:t xml:space="preserve"> полей</w:t>
      </w:r>
      <w:r>
        <w:t xml:space="preserve"> документа «</w:t>
      </w:r>
      <w:r>
        <w:t xml:space="preserve">Заявка на внесение изменений в перечень ГМУ (основные реквизиты)</w:t>
      </w:r>
      <w:r>
        <w:t xml:space="preserve">», </w:t>
      </w:r>
      <w:r>
        <w:t xml:space="preserve">в</w:t>
      </w:r>
      <w:r>
        <w:t xml:space="preserve">кладки «</w:t>
      </w:r>
      <w:r>
        <w:t xml:space="preserve">Адресные данные</w:t>
      </w:r>
      <w:r>
        <w:t xml:space="preserve">»</w:t>
      </w:r>
      <w:r>
        <w:t xml:space="preserve"> </w:t>
      </w:r>
      <w:r>
        <w:t xml:space="preserve">приведен в таблице</w:t>
      </w:r>
      <w:r>
        <w:t xml:space="preserve"> </w:t>
      </w:r>
      <w:r>
        <w:fldChar w:fldCharType="begin"/>
      </w:r>
      <w:r>
        <w:instrText xml:space="preserve"> REF _Ref318715734 \h  \* MERGEFORMAT </w:instrText>
      </w:r>
      <w:r>
        <w:fldChar w:fldCharType="separate"/>
      </w:r>
      <w:r>
        <w:t xml:space="preserve">178</w:t>
      </w:r>
      <w:r>
        <w:fldChar w:fldCharType="end"/>
      </w:r>
      <w:r>
        <w:t xml:space="preserve">.</w:t>
      </w:r>
      <w:r/>
    </w:p>
    <w:p>
      <w:pPr>
        <w:pStyle w:val="993"/>
      </w:pPr>
      <w:r>
        <w:fldChar w:fldCharType="begin"/>
      </w:r>
      <w:r>
        <w:instrText xml:space="preserve"> SEQ Таблица \* ARABIC </w:instrText>
      </w:r>
      <w:r>
        <w:fldChar w:fldCharType="separate"/>
      </w:r>
      <w:bookmarkStart w:id="2026" w:name="_Ref318715734"/>
      <w:r/>
      <w:bookmarkStart w:id="2027" w:name="_Ref317679462"/>
      <w:r/>
      <w:bookmarkStart w:id="2028" w:name="_Ref315876982"/>
      <w:r/>
      <w:bookmarkStart w:id="2029" w:name="_Toc88819365"/>
      <w:r>
        <w:t xml:space="preserve">178</w:t>
      </w:r>
      <w:bookmarkEnd w:id="2026"/>
      <w:r/>
      <w:bookmarkEnd w:id="2027"/>
      <w:r/>
      <w:bookmarkEnd w:id="2028"/>
      <w:r>
        <w:fldChar w:fldCharType="end"/>
      </w:r>
      <w:r>
        <w:t xml:space="preserve">. Описание полей документа </w:t>
      </w:r>
      <w:r>
        <w:t xml:space="preserve">«</w:t>
      </w:r>
      <w:r>
        <w:t xml:space="preserve">Заявка на внесение изменений в пер</w:t>
      </w:r>
      <w:r>
        <w:t xml:space="preserve">е</w:t>
      </w:r>
      <w:r>
        <w:t xml:space="preserve">чень ГМУ (основные реквизиты)</w:t>
      </w:r>
      <w:r>
        <w:t xml:space="preserve">», </w:t>
      </w:r>
      <w:r>
        <w:t xml:space="preserve">в</w:t>
      </w:r>
      <w:r>
        <w:t xml:space="preserve">кладки «</w:t>
      </w:r>
      <w:r>
        <w:t xml:space="preserve">А</w:t>
      </w:r>
      <w:r>
        <w:t xml:space="preserve">д</w:t>
      </w:r>
      <w:r>
        <w:t xml:space="preserve">ресные данные</w:t>
      </w:r>
      <w:r>
        <w:t xml:space="preserve">»</w:t>
      </w:r>
      <w:bookmarkEnd w:id="2029"/>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80"/>
        <w:gridCol w:w="7472"/>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169"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31" w:type="pct"/>
            <w:vAlign w:val="center"/>
            <w:textDirection w:val="lrTb"/>
            <w:noWrap w:val="false"/>
          </w:tcPr>
          <w:p>
            <w:pPr>
              <w:pStyle w:val="1006"/>
            </w:pPr>
            <w:r>
              <w:t xml:space="preserve">Описание</w:t>
            </w:r>
            <w:r>
              <w:t xml:space="preserve"> поля</w:t>
            </w:r>
            <w:r/>
          </w:p>
        </w:tc>
      </w:tr>
      <w:tr>
        <w:trPr/>
        <w:tc>
          <w:tcPr>
            <w:shd w:val="clear" w:fill="auto" w:color="auto"/>
            <w:tcW w:w="1169" w:type="pct"/>
            <w:textDirection w:val="lrTb"/>
            <w:noWrap w:val="false"/>
          </w:tcPr>
          <w:p>
            <w:pPr>
              <w:pStyle w:val="1005"/>
              <w:ind w:left="57" w:right="57"/>
            </w:pPr>
            <w:r>
              <w:t xml:space="preserve">Почтовый индекс</w:t>
            </w:r>
            <w:r/>
          </w:p>
        </w:tc>
        <w:tc>
          <w:tcPr>
            <w:shd w:val="clear" w:fill="auto" w:color="auto"/>
            <w:tcW w:w="3831" w:type="pct"/>
            <w:textDirection w:val="lrTb"/>
            <w:noWrap w:val="false"/>
          </w:tcPr>
          <w:p>
            <w:pPr>
              <w:pStyle w:val="1005"/>
              <w:ind w:left="57" w:right="57"/>
            </w:pPr>
            <w:r>
              <w:t xml:space="preserve">Выбор из </w:t>
            </w:r>
            <w:r>
              <w:t xml:space="preserve">справочника «КЛАДР»</w:t>
            </w:r>
            <w:r>
              <w:t xml:space="preserve"> относ</w:t>
            </w:r>
            <w:r>
              <w:t xml:space="preserve">ительно поля «Почтовый индекс».</w:t>
            </w:r>
            <w:r/>
          </w:p>
          <w:p>
            <w:pPr>
              <w:pStyle w:val="1005"/>
              <w:ind w:left="57" w:right="57"/>
            </w:pPr>
            <w:r>
              <w:t xml:space="preserve">Не обязательно для заполнения в случае представления заявки для анн</w:t>
            </w:r>
            <w:r>
              <w:t xml:space="preserve">улирования полномочий (если в поле «Специальные указания» указано значение «02» или «03»). Во всех остальных случаях обязательно для заполнения.</w:t>
            </w:r>
            <w:r/>
          </w:p>
        </w:tc>
      </w:tr>
      <w:tr>
        <w:trPr/>
        <w:tc>
          <w:tcPr>
            <w:shd w:val="clear" w:fill="auto" w:color="auto"/>
            <w:tcW w:w="1169" w:type="pct"/>
            <w:textDirection w:val="lrTb"/>
            <w:noWrap w:val="false"/>
          </w:tcPr>
          <w:p>
            <w:pPr>
              <w:pStyle w:val="1005"/>
              <w:ind w:left="57" w:right="57"/>
            </w:pPr>
            <w:r>
              <w:t xml:space="preserve">Субъект РФ</w:t>
            </w:r>
            <w:r/>
          </w:p>
        </w:tc>
        <w:tc>
          <w:tcPr>
            <w:shd w:val="clear" w:fill="auto" w:color="auto"/>
            <w:tcW w:w="3831" w:type="pct"/>
            <w:textDirection w:val="lrTb"/>
            <w:noWrap w:val="false"/>
          </w:tcPr>
          <w:p>
            <w:pPr>
              <w:pStyle w:val="1005"/>
              <w:ind w:left="57" w:right="57"/>
            </w:pPr>
            <w:r>
              <w:t xml:space="preserve">Заполнение</w:t>
            </w:r>
            <w:r>
              <w:t xml:space="preserve">:</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выбор из </w:t>
            </w:r>
            <w:r>
              <w:t xml:space="preserve">справочника «КЛАДР»</w:t>
            </w:r>
            <w:r>
              <w:t xml:space="preserve">; ввод значения вручную.</w:t>
            </w:r>
            <w:r/>
          </w:p>
          <w:p>
            <w:pPr>
              <w:pStyle w:val="1005"/>
              <w:ind w:left="57" w:right="57"/>
            </w:pPr>
            <w:r>
              <w:t xml:space="preserve">Не обязательно для заполнения в случае представления заявки для анн</w:t>
            </w:r>
            <w:r>
              <w:t xml:space="preserve">улирования полномочий (если в поле «Специальные указания» указано значение «02» или «03»). Во всех остальных случаях обязательно для заполнения.</w:t>
            </w:r>
            <w:r/>
          </w:p>
        </w:tc>
      </w:tr>
      <w:tr>
        <w:trPr/>
        <w:tc>
          <w:tcPr>
            <w:shd w:val="clear" w:fill="auto" w:color="auto"/>
            <w:tcW w:w="1169" w:type="pct"/>
            <w:textDirection w:val="lrTb"/>
            <w:noWrap w:val="false"/>
          </w:tcPr>
          <w:p>
            <w:pPr>
              <w:pStyle w:val="1005"/>
              <w:ind w:left="57" w:right="57"/>
            </w:pPr>
            <w:r>
              <w:t xml:space="preserve">Район</w:t>
            </w:r>
            <w:r/>
          </w:p>
        </w:tc>
        <w:tc>
          <w:tcPr>
            <w:shd w:val="clear" w:fill="auto" w:color="auto"/>
            <w:tcW w:w="3831" w:type="pct"/>
            <w:textDirection w:val="lrTb"/>
            <w:noWrap w:val="false"/>
          </w:tcPr>
          <w:p>
            <w:pPr>
              <w:pStyle w:val="1005"/>
              <w:ind w:left="57" w:right="57"/>
            </w:pPr>
            <w:r>
              <w:t xml:space="preserve">Заполнение</w:t>
            </w:r>
            <w:r>
              <w:t xml:space="preserve">:</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выбор из </w:t>
            </w:r>
            <w:r>
              <w:t xml:space="preserve">справочника «КЛАДР»</w:t>
            </w:r>
            <w:r>
              <w:t xml:space="preserve">; ввод значения вручную;</w:t>
            </w:r>
            <w:r/>
          </w:p>
          <w:p>
            <w:pPr>
              <w:pStyle w:val="1005"/>
              <w:ind w:left="57" w:right="57"/>
            </w:pPr>
            <w:r>
              <w:t xml:space="preserve">В случае отсутствия указывается значение </w:t>
            </w:r>
            <w:r>
              <w:t xml:space="preserve">«-» (прочерк).</w:t>
            </w:r>
            <w:r/>
          </w:p>
        </w:tc>
      </w:tr>
      <w:tr>
        <w:trPr/>
        <w:tc>
          <w:tcPr>
            <w:shd w:val="clear" w:fill="auto" w:color="auto"/>
            <w:tcW w:w="1169" w:type="pct"/>
            <w:textDirection w:val="lrTb"/>
            <w:noWrap w:val="false"/>
          </w:tcPr>
          <w:p>
            <w:pPr>
              <w:pStyle w:val="1005"/>
              <w:ind w:left="57" w:right="57"/>
            </w:pPr>
            <w:r>
              <w:t xml:space="preserve">Город</w:t>
            </w:r>
            <w:r/>
          </w:p>
        </w:tc>
        <w:tc>
          <w:tcPr>
            <w:shd w:val="clear" w:fill="auto" w:color="auto"/>
            <w:tcW w:w="3831" w:type="pct"/>
            <w:textDirection w:val="lrTb"/>
            <w:noWrap w:val="false"/>
          </w:tcPr>
          <w:p>
            <w:pPr>
              <w:pStyle w:val="1005"/>
              <w:ind w:left="57" w:right="57"/>
            </w:pPr>
            <w:r>
              <w:t xml:space="preserve">Заполнение</w:t>
            </w:r>
            <w:r>
              <w:t xml:space="preserve">:</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выбор из </w:t>
            </w:r>
            <w:r>
              <w:t xml:space="preserve">справочника «КЛАДР»</w:t>
            </w:r>
            <w:r>
              <w:t xml:space="preserve">, ввод значения вручную;</w:t>
            </w:r>
            <w:r/>
          </w:p>
          <w:p>
            <w:pPr>
              <w:pStyle w:val="1005"/>
              <w:ind w:left="57" w:right="57"/>
            </w:pPr>
            <w:r>
              <w:t xml:space="preserve">В случае отсутствия указывается значение </w:t>
            </w:r>
            <w:r>
              <w:t xml:space="preserve">«-» (прочерк).</w:t>
            </w:r>
            <w:r/>
          </w:p>
        </w:tc>
      </w:tr>
      <w:tr>
        <w:trPr/>
        <w:tc>
          <w:tcPr>
            <w:shd w:val="clear" w:fill="auto" w:color="auto"/>
            <w:tcW w:w="1169" w:type="pct"/>
            <w:textDirection w:val="lrTb"/>
            <w:noWrap w:val="false"/>
          </w:tcPr>
          <w:p>
            <w:pPr>
              <w:pStyle w:val="1005"/>
              <w:ind w:left="57" w:right="57"/>
            </w:pPr>
            <w:r>
              <w:t xml:space="preserve">Населенный пункт</w:t>
            </w:r>
            <w:r/>
          </w:p>
        </w:tc>
        <w:tc>
          <w:tcPr>
            <w:shd w:val="clear" w:fill="auto" w:color="auto"/>
            <w:tcW w:w="3831" w:type="pct"/>
            <w:textDirection w:val="lrTb"/>
            <w:noWrap w:val="false"/>
          </w:tcPr>
          <w:p>
            <w:pPr>
              <w:pStyle w:val="1005"/>
              <w:ind w:left="57" w:right="57"/>
            </w:pPr>
            <w:r>
              <w:t xml:space="preserve">Заполнение</w:t>
            </w:r>
            <w:r>
              <w:t xml:space="preserve">:</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выбор из </w:t>
            </w:r>
            <w:r>
              <w:t xml:space="preserve">справочника «КЛАДР»</w:t>
            </w:r>
            <w:r>
              <w:t xml:space="preserve">, ввод значения вручную;</w:t>
            </w:r>
            <w:r/>
          </w:p>
          <w:p>
            <w:pPr>
              <w:pStyle w:val="1005"/>
              <w:ind w:left="57" w:right="57"/>
            </w:pPr>
            <w:r>
              <w:t xml:space="preserve">В случае отсутствия указывается значение </w:t>
            </w:r>
            <w:r>
              <w:t xml:space="preserve">«-» (прочерк).</w:t>
            </w:r>
            <w:r/>
          </w:p>
        </w:tc>
      </w:tr>
      <w:tr>
        <w:trPr/>
        <w:tc>
          <w:tcPr>
            <w:shd w:val="clear" w:fill="auto" w:color="auto"/>
            <w:tcW w:w="1169" w:type="pct"/>
            <w:textDirection w:val="lrTb"/>
            <w:noWrap w:val="false"/>
          </w:tcPr>
          <w:p>
            <w:pPr>
              <w:pStyle w:val="1005"/>
              <w:ind w:left="57" w:right="57"/>
            </w:pPr>
            <w:r>
              <w:t xml:space="preserve">Улица</w:t>
            </w:r>
            <w:r/>
          </w:p>
        </w:tc>
        <w:tc>
          <w:tcPr>
            <w:shd w:val="clear" w:fill="auto" w:color="auto"/>
            <w:tcW w:w="3831" w:type="pct"/>
            <w:textDirection w:val="lrTb"/>
            <w:noWrap w:val="false"/>
          </w:tcPr>
          <w:p>
            <w:pPr>
              <w:pStyle w:val="1005"/>
              <w:ind w:left="57" w:right="57"/>
            </w:pPr>
            <w:r>
              <w:t xml:space="preserve">Заполнение</w:t>
            </w:r>
            <w:r>
              <w:t xml:space="preserve">:</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ввод значения вру</w:t>
            </w:r>
            <w:r>
              <w:t xml:space="preserve">ч</w:t>
            </w:r>
            <w:r>
              <w:t xml:space="preserve">ную;</w:t>
            </w:r>
            <w:r/>
          </w:p>
          <w:p>
            <w:pPr>
              <w:pStyle w:val="1005"/>
              <w:ind w:left="57" w:right="57"/>
            </w:pPr>
            <w:r>
              <w:t xml:space="preserve">В случае отсутствия указывается значение </w:t>
            </w:r>
            <w:r>
              <w:t xml:space="preserve">«-» (прочерк).</w:t>
            </w:r>
            <w:r/>
          </w:p>
        </w:tc>
      </w:tr>
      <w:tr>
        <w:trPr/>
        <w:tc>
          <w:tcPr>
            <w:shd w:val="clear" w:fill="auto" w:color="auto"/>
            <w:tcW w:w="1169" w:type="pct"/>
            <w:textDirection w:val="lrTb"/>
            <w:noWrap w:val="false"/>
          </w:tcPr>
          <w:p>
            <w:pPr>
              <w:pStyle w:val="1005"/>
              <w:ind w:left="57" w:right="57"/>
            </w:pPr>
            <w:r>
              <w:t xml:space="preserve">Дом</w:t>
            </w:r>
            <w:r/>
          </w:p>
        </w:tc>
        <w:tc>
          <w:tcPr>
            <w:shd w:val="clear" w:fill="auto" w:color="auto"/>
            <w:tcW w:w="3831" w:type="pct"/>
            <w:textDirection w:val="lrTb"/>
            <w:noWrap w:val="false"/>
          </w:tcPr>
          <w:p>
            <w:pPr>
              <w:pStyle w:val="1005"/>
              <w:ind w:left="57" w:right="57"/>
            </w:pPr>
            <w:r>
              <w:t xml:space="preserve">Заполнение</w:t>
            </w:r>
            <w:r>
              <w:t xml:space="preserve">:</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ввод значения вручную;</w:t>
            </w:r>
            <w:r/>
          </w:p>
          <w:p>
            <w:pPr>
              <w:pStyle w:val="1005"/>
              <w:ind w:left="57" w:right="57"/>
            </w:pPr>
            <w:r>
              <w:t xml:space="preserve">В случае отсутствия указывается значение </w:t>
            </w:r>
            <w:r>
              <w:t xml:space="preserve">«-» (прочерк).</w:t>
            </w:r>
            <w:r/>
          </w:p>
        </w:tc>
      </w:tr>
      <w:tr>
        <w:trPr/>
        <w:tc>
          <w:tcPr>
            <w:shd w:val="clear" w:fill="auto" w:color="auto"/>
            <w:tcW w:w="1169" w:type="pct"/>
            <w:textDirection w:val="lrTb"/>
            <w:noWrap w:val="false"/>
          </w:tcPr>
          <w:p>
            <w:pPr>
              <w:pStyle w:val="1005"/>
              <w:ind w:left="57" w:right="57"/>
            </w:pPr>
            <w:r>
              <w:t xml:space="preserve">Офис/квартира</w:t>
            </w:r>
            <w:r/>
          </w:p>
        </w:tc>
        <w:tc>
          <w:tcPr>
            <w:shd w:val="clear" w:fill="auto" w:color="auto"/>
            <w:tcW w:w="3831" w:type="pct"/>
            <w:textDirection w:val="lrTb"/>
            <w:noWrap w:val="false"/>
          </w:tcPr>
          <w:p>
            <w:pPr>
              <w:pStyle w:val="1005"/>
              <w:ind w:left="57" w:right="57"/>
            </w:pPr>
            <w:r>
              <w:t xml:space="preserve">Заполнение</w:t>
            </w:r>
            <w:r>
              <w:t xml:space="preserve">:</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ввод значения вручную;</w:t>
            </w:r>
            <w:r/>
          </w:p>
          <w:p>
            <w:pPr>
              <w:pStyle w:val="1005"/>
              <w:ind w:left="57" w:right="57"/>
            </w:pPr>
            <w:r>
              <w:t xml:space="preserve">В случае отсутствия указывается значение </w:t>
            </w:r>
            <w:r>
              <w:t xml:space="preserve">«-» (прочерк).</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«Коды по КЛАДР»</w:t>
            </w:r>
            <w:r/>
          </w:p>
        </w:tc>
      </w:tr>
      <w:tr>
        <w:trPr/>
        <w:tc>
          <w:tcPr>
            <w:shd w:val="clear" w:fill="auto" w:color="auto"/>
            <w:tcW w:w="1169" w:type="pct"/>
            <w:textDirection w:val="lrTb"/>
            <w:noWrap w:val="false"/>
          </w:tcPr>
          <w:p>
            <w:pPr>
              <w:pStyle w:val="1005"/>
              <w:ind w:left="57" w:right="57"/>
            </w:pPr>
            <w:r>
              <w:t xml:space="preserve">(Код Субъекта РФ по КЛАДР)</w:t>
            </w:r>
            <w:r/>
          </w:p>
        </w:tc>
        <w:tc>
          <w:tcPr>
            <w:shd w:val="clear" w:fill="auto" w:color="auto"/>
            <w:tcW w:w="3831" w:type="pct"/>
            <w:textDirection w:val="lrTb"/>
            <w:noWrap w:val="false"/>
          </w:tcPr>
          <w:p>
            <w:pPr>
              <w:pStyle w:val="1005"/>
              <w:ind w:left="57" w:right="57"/>
            </w:pPr>
            <w:r>
              <w:t xml:space="preserve">Заполнение</w:t>
            </w:r>
            <w:r>
              <w:t xml:space="preserve">:</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w:t>
            </w:r>
            <w:r>
              <w:t xml:space="preserve">автозаполнение значением, соответствующим полю</w:t>
            </w:r>
            <w:r>
              <w:t xml:space="preserve"> «Субъект РФ» по справочнику КЛАДР; ввод значения вручную.</w:t>
            </w:r>
            <w:r/>
          </w:p>
        </w:tc>
      </w:tr>
      <w:tr>
        <w:trPr/>
        <w:tc>
          <w:tcPr>
            <w:shd w:val="clear" w:fill="auto" w:color="auto"/>
            <w:tcW w:w="1169" w:type="pct"/>
            <w:textDirection w:val="lrTb"/>
            <w:noWrap w:val="false"/>
          </w:tcPr>
          <w:p>
            <w:pPr>
              <w:pStyle w:val="1005"/>
              <w:ind w:left="57" w:right="57"/>
            </w:pPr>
            <w:r>
              <w:t xml:space="preserve">(Код района по КЛАДР)</w:t>
            </w:r>
            <w:r/>
          </w:p>
        </w:tc>
        <w:tc>
          <w:tcPr>
            <w:shd w:val="clear" w:fill="auto" w:color="auto"/>
            <w:tcW w:w="3831" w:type="pct"/>
            <w:textDirection w:val="lrTb"/>
            <w:noWrap w:val="false"/>
          </w:tcPr>
          <w:p>
            <w:pPr>
              <w:pStyle w:val="1005"/>
              <w:ind w:left="57" w:right="57"/>
            </w:pPr>
            <w:r>
              <w:t xml:space="preserve">Заполнение</w:t>
            </w:r>
            <w:r>
              <w:t xml:space="preserve">:</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w:t>
            </w:r>
            <w:r>
              <w:t xml:space="preserve">автозаполнение значением, соответствующим полю</w:t>
            </w:r>
            <w:r>
              <w:t xml:space="preserve"> «Район» по справочнику КЛАДР; ввод зн</w:t>
            </w:r>
            <w:r>
              <w:t xml:space="preserve">а</w:t>
            </w:r>
            <w:r>
              <w:t xml:space="preserve">чения вручную.</w:t>
            </w:r>
            <w:r/>
          </w:p>
        </w:tc>
      </w:tr>
      <w:tr>
        <w:trPr/>
        <w:tc>
          <w:tcPr>
            <w:shd w:val="clear" w:fill="auto" w:color="auto"/>
            <w:tcW w:w="1169" w:type="pct"/>
            <w:textDirection w:val="lrTb"/>
            <w:noWrap w:val="false"/>
          </w:tcPr>
          <w:p>
            <w:pPr>
              <w:pStyle w:val="1005"/>
              <w:ind w:left="57" w:right="57"/>
            </w:pPr>
            <w:r>
              <w:t xml:space="preserve">(Код города по КЛАДР)</w:t>
            </w:r>
            <w:r/>
          </w:p>
        </w:tc>
        <w:tc>
          <w:tcPr>
            <w:shd w:val="clear" w:fill="auto" w:color="auto"/>
            <w:tcW w:w="3831" w:type="pct"/>
            <w:textDirection w:val="lrTb"/>
            <w:noWrap w:val="false"/>
          </w:tcPr>
          <w:p>
            <w:pPr>
              <w:pStyle w:val="1005"/>
              <w:ind w:left="57" w:right="57"/>
            </w:pPr>
            <w:r>
              <w:t xml:space="preserve">Заполнение</w:t>
            </w:r>
            <w:r>
              <w:t xml:space="preserve">:</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w:t>
            </w:r>
            <w:r>
              <w:t xml:space="preserve">автозаполнение значением, соответствующим полю</w:t>
            </w:r>
            <w:r>
              <w:t xml:space="preserve"> «Город» по справочнику КЛАДР; ввод зн</w:t>
            </w:r>
            <w:r>
              <w:t xml:space="preserve">а</w:t>
            </w:r>
            <w:r>
              <w:t xml:space="preserve">чения вручную.</w:t>
            </w:r>
            <w:r/>
          </w:p>
        </w:tc>
      </w:tr>
      <w:tr>
        <w:trPr/>
        <w:tc>
          <w:tcPr>
            <w:shd w:val="clear" w:fill="auto" w:color="auto"/>
            <w:tcW w:w="1169" w:type="pct"/>
            <w:textDirection w:val="lrTb"/>
            <w:noWrap w:val="false"/>
          </w:tcPr>
          <w:p>
            <w:pPr>
              <w:pStyle w:val="1005"/>
              <w:ind w:left="57" w:right="57"/>
            </w:pPr>
            <w:r>
              <w:t xml:space="preserve">(Код нас. </w:t>
            </w:r>
            <w:r>
              <w:t xml:space="preserve">П</w:t>
            </w:r>
            <w:r>
              <w:t xml:space="preserve">ункта по КЛАДР)</w:t>
            </w:r>
            <w:r/>
          </w:p>
        </w:tc>
        <w:tc>
          <w:tcPr>
            <w:shd w:val="clear" w:fill="auto" w:color="auto"/>
            <w:tcW w:w="3831" w:type="pct"/>
            <w:textDirection w:val="lrTb"/>
            <w:noWrap w:val="false"/>
          </w:tcPr>
          <w:p>
            <w:pPr>
              <w:pStyle w:val="1005"/>
              <w:ind w:left="57" w:right="57"/>
            </w:pPr>
            <w:r>
              <w:t xml:space="preserve">Заполнение</w:t>
            </w:r>
            <w:r>
              <w:t xml:space="preserve">:</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w:t>
            </w:r>
            <w:r>
              <w:t xml:space="preserve">автозаполнение значением, соответствующим полю</w:t>
            </w:r>
            <w:r>
              <w:t xml:space="preserve"> «Нас. Пункт» по справочнику КЛАДР; ввод значения вручную.</w:t>
            </w:r>
            <w:r/>
          </w:p>
        </w:tc>
      </w:tr>
    </w:tbl>
    <w:p>
      <w:pPr>
        <w:pStyle w:val="994"/>
      </w:pPr>
      <w:r>
        <w:t xml:space="preserve">ЭФ </w:t>
      </w:r>
      <w:r>
        <w:t xml:space="preserve">документа «</w:t>
      </w:r>
      <w:r>
        <w:t xml:space="preserve">Заявка на внесение изменений в перечень ГМУ (основные реквизиты)</w:t>
      </w:r>
      <w:r>
        <w:t xml:space="preserve">», </w:t>
      </w:r>
      <w:r>
        <w:t xml:space="preserve">в</w:t>
      </w:r>
      <w:r>
        <w:t xml:space="preserve">кладки «</w:t>
      </w:r>
      <w:r>
        <w:t xml:space="preserve">Административная принадлежность</w:t>
      </w:r>
      <w:r>
        <w:t xml:space="preserve">»</w:t>
      </w:r>
      <w:r>
        <w:t xml:space="preserve"> </w:t>
      </w:r>
      <w:r>
        <w:t xml:space="preserve">п</w:t>
      </w:r>
      <w:r>
        <w:t xml:space="preserve">редставлена</w:t>
      </w:r>
      <w:r>
        <w:t xml:space="preserve"> </w:t>
      </w:r>
      <w:r>
        <w:t xml:space="preserve">н</w:t>
      </w:r>
      <w:r>
        <w:t xml:space="preserve">а рисунке </w:t>
      </w:r>
      <w:r>
        <w:fldChar w:fldCharType="begin"/>
      </w:r>
      <w:r>
        <w:instrText xml:space="preserve"> REF _Ref309739062 \h  \* MERGEFORMAT </w:instrText>
      </w:r>
      <w:r>
        <w:fldChar w:fldCharType="separate"/>
      </w:r>
      <w:r>
        <w:t xml:space="preserve">308</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1371600"/>
                <wp:effectExtent l="0" t="0" r="0" b="0"/>
                <wp:docPr id="45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98"/>
                        <a:stretch/>
                      </pic:blipFill>
                      <pic:spPr bwMode="auto">
                        <a:xfrm>
                          <a:off x="0" y="0"/>
                          <a:ext cx="6126480" cy="1371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2" o:spid="_x0000_s452" type="#_x0000_t75" style="mso-wrap-distance-left:0.0pt;mso-wrap-distance-top:0.0pt;mso-wrap-distance-right:0.0pt;mso-wrap-distance-bottom:0.0pt;width:482.4pt;height:108.0pt;" stroked="f">
                <v:path textboxrect="0,0,0,0"/>
                <v:imagedata r:id="rId398" o:title=""/>
              </v:shape>
            </w:pict>
          </mc:Fallback>
        </mc:AlternateContent>
      </w:r>
      <w:r/>
    </w:p>
    <w:p>
      <w:pPr>
        <w:pStyle w:val="983"/>
      </w:pPr>
      <w:r>
        <w:fldChar w:fldCharType="begin"/>
      </w:r>
      <w:r>
        <w:instrText xml:space="preserve"> SEQ Рисунок \* ARABIC </w:instrText>
      </w:r>
      <w:r>
        <w:fldChar w:fldCharType="separate"/>
      </w:r>
      <w:bookmarkStart w:id="2030" w:name="_Ref309739062"/>
      <w:r/>
      <w:bookmarkStart w:id="2031" w:name="_Toc88819693"/>
      <w:r>
        <w:t xml:space="preserve">308</w:t>
      </w:r>
      <w:bookmarkEnd w:id="2030"/>
      <w:r>
        <w:fldChar w:fldCharType="end"/>
      </w:r>
      <w:r>
        <w:t xml:space="preserve">. ЭФ </w:t>
      </w:r>
      <w:r>
        <w:t xml:space="preserve">документа «</w:t>
      </w:r>
      <w:r>
        <w:t xml:space="preserve">Заявка на внесение изменений в перечень ГМУ (основные реквизиты)</w:t>
      </w:r>
      <w:r>
        <w:t xml:space="preserve">», </w:t>
      </w:r>
      <w:r>
        <w:t xml:space="preserve">в</w:t>
      </w:r>
      <w:r>
        <w:t xml:space="preserve">кладки «</w:t>
      </w:r>
      <w:r>
        <w:t xml:space="preserve">Административная принадлежность</w:t>
      </w:r>
      <w:r>
        <w:t xml:space="preserve">»</w:t>
      </w:r>
      <w:bookmarkEnd w:id="2031"/>
      <w:r/>
      <w:r/>
    </w:p>
    <w:p>
      <w:pPr>
        <w:pStyle w:val="994"/>
      </w:pPr>
      <w:r>
        <w:t xml:space="preserve">Перечень</w:t>
      </w:r>
      <w:r>
        <w:t xml:space="preserve"> полей</w:t>
      </w:r>
      <w:r>
        <w:t xml:space="preserve"> документа «</w:t>
      </w:r>
      <w:r>
        <w:t xml:space="preserve">Заявка на внесение изменений в перечень ГМУ (основные реквизиты)</w:t>
      </w:r>
      <w:r>
        <w:t xml:space="preserve">», в</w:t>
      </w:r>
      <w:r>
        <w:t xml:space="preserve">кладки «</w:t>
      </w:r>
      <w:r>
        <w:t xml:space="preserve">Административная принадлежность</w:t>
      </w:r>
      <w:r>
        <w:t xml:space="preserve">»</w:t>
      </w:r>
      <w:r>
        <w:t xml:space="preserve"> </w:t>
      </w:r>
      <w:r>
        <w:t xml:space="preserve">приведен в таблице </w:t>
      </w:r>
      <w:r>
        <w:fldChar w:fldCharType="begin"/>
      </w:r>
      <w:r>
        <w:instrText xml:space="preserve"> REF _Ref318715761 \h  \* MERGEFORMAT </w:instrText>
      </w:r>
      <w:r>
        <w:fldChar w:fldCharType="separate"/>
      </w:r>
      <w:r>
        <w:t xml:space="preserve">179</w:t>
      </w:r>
      <w:r>
        <w:fldChar w:fldCharType="end"/>
      </w:r>
      <w:r>
        <w:t xml:space="preserve">.</w:t>
      </w:r>
      <w:r/>
    </w:p>
    <w:p>
      <w:pPr>
        <w:pStyle w:val="993"/>
      </w:pPr>
      <w:r>
        <w:fldChar w:fldCharType="begin"/>
      </w:r>
      <w:r>
        <w:instrText xml:space="preserve"> SEQ Таблица \* ARABIC </w:instrText>
      </w:r>
      <w:r>
        <w:fldChar w:fldCharType="separate"/>
      </w:r>
      <w:bookmarkStart w:id="2032" w:name="_Ref318715761"/>
      <w:r/>
      <w:bookmarkStart w:id="2033" w:name="_Ref317679572"/>
      <w:r/>
      <w:bookmarkStart w:id="2034" w:name="_Toc88819366"/>
      <w:r>
        <w:t xml:space="preserve">179</w:t>
      </w:r>
      <w:bookmarkEnd w:id="2032"/>
      <w:r/>
      <w:bookmarkEnd w:id="2033"/>
      <w:r>
        <w:fldChar w:fldCharType="end"/>
      </w:r>
      <w:r>
        <w:t xml:space="preserve">. </w:t>
      </w:r>
      <w:r>
        <w:t xml:space="preserve">О</w:t>
      </w:r>
      <w:r>
        <w:t xml:space="preserve">писание полей</w:t>
      </w:r>
      <w:r>
        <w:t xml:space="preserve"> документа «</w:t>
      </w:r>
      <w:r>
        <w:t xml:space="preserve">Заявка на внесение изменений в пер</w:t>
      </w:r>
      <w:r>
        <w:t xml:space="preserve">е</w:t>
      </w:r>
      <w:r>
        <w:t xml:space="preserve">чень ГМУ (основные реквизиты)</w:t>
      </w:r>
      <w:r>
        <w:t xml:space="preserve">», </w:t>
      </w:r>
      <w:r>
        <w:t xml:space="preserve">в</w:t>
      </w:r>
      <w:r>
        <w:t xml:space="preserve">кладки «</w:t>
      </w:r>
      <w:r>
        <w:t xml:space="preserve">Административная принадлежность</w:t>
      </w:r>
      <w:r>
        <w:t xml:space="preserve">»</w:t>
      </w:r>
      <w:bookmarkEnd w:id="2034"/>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23"/>
        <w:gridCol w:w="7529"/>
      </w:tblGrid>
      <w:tr>
        <w:trPr>
          <w:trHeight w:val="20"/>
          <w:tblHeader/>
        </w:trPr>
        <w:tc>
          <w:tcPr>
            <w:shd w:val="clear" w:fill="E6E6E6" w:color="auto"/>
            <w:tcBorders>
              <w:left w:val="single" w:sz="4" w:space="0" w:color="auto"/>
              <w:top w:val="single" w:sz="4" w:space="0" w:color="auto"/>
              <w:right w:val="single" w:sz="4" w:space="0" w:color="auto"/>
              <w:bottom w:val="single" w:sz="4" w:space="0" w:color="auto"/>
            </w:tcBorders>
            <w:tcW w:w="1140" w:type="pct"/>
            <w:vAlign w:val="center"/>
            <w:textDirection w:val="lrTb"/>
            <w:noWrap w:val="false"/>
          </w:tcPr>
          <w:p>
            <w:pPr>
              <w:pStyle w:val="1006"/>
              <w:rPr>
                <w:rStyle w:val="1001"/>
              </w:rPr>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60" w:type="pct"/>
            <w:vAlign w:val="center"/>
            <w:textDirection w:val="lrTb"/>
            <w:noWrap w:val="false"/>
          </w:tcPr>
          <w:p>
            <w:pPr>
              <w:pStyle w:val="1006"/>
              <w:rPr>
                <w:rStyle w:val="1001"/>
              </w:rPr>
            </w:pPr>
            <w:r>
              <w:t xml:space="preserve">Описание</w:t>
            </w:r>
            <w:r>
              <w:t xml:space="preserve"> поля</w:t>
            </w:r>
            <w:r/>
          </w:p>
        </w:tc>
      </w:tr>
      <w:tr>
        <w:trPr>
          <w:trHeight w:val="20"/>
        </w:trPr>
        <w:tc>
          <w:tcPr>
            <w:shd w:val="clear" w:fill="auto" w:color="auto"/>
            <w:tcW w:w="1140" w:type="pct"/>
            <w:textDirection w:val="lrTb"/>
            <w:noWrap w:val="false"/>
          </w:tcPr>
          <w:p>
            <w:pPr>
              <w:pStyle w:val="1005"/>
              <w:ind w:left="57" w:right="57"/>
            </w:pPr>
            <w:r>
              <w:t xml:space="preserve">ГРБС (код по РОСГУ)</w:t>
            </w:r>
            <w:r/>
          </w:p>
        </w:tc>
        <w:tc>
          <w:tcPr>
            <w:shd w:val="clear" w:fill="auto" w:color="auto"/>
            <w:tcW w:w="3860" w:type="pct"/>
            <w:textDirection w:val="lrTb"/>
            <w:noWrap w:val="false"/>
          </w:tcPr>
          <w:p>
            <w:pPr>
              <w:pStyle w:val="1005"/>
              <w:ind w:left="57" w:right="57"/>
            </w:pPr>
            <w:r>
              <w:t xml:space="preserve">Код РОСГУ для ГРБС</w:t>
            </w:r>
            <w:r>
              <w:t xml:space="preserve">. 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w:t>
            </w:r>
            <w:r>
              <w:t xml:space="preserve">а</w:t>
            </w:r>
            <w:r>
              <w:t xml:space="preserve">вочнику РОСГУ, выбор из справочника РОСГУ, ввод значения вручную;</w:t>
            </w:r>
            <w:r/>
          </w:p>
          <w:p>
            <w:pPr>
              <w:pStyle w:val="1005"/>
              <w:ind w:left="57" w:right="57"/>
            </w:pPr>
            <w:r>
              <w:t xml:space="preserve">Обязательно для заполнения для учреждений с т</w:t>
            </w:r>
            <w:r>
              <w:t xml:space="preserve">ипом организации 03, 08</w:t>
            </w:r>
            <w:r>
              <w:t xml:space="preserve">.</w:t>
            </w:r>
            <w:r/>
          </w:p>
        </w:tc>
      </w:tr>
      <w:tr>
        <w:trPr>
          <w:trHeight w:val="20"/>
        </w:trPr>
        <w:tc>
          <w:tcPr>
            <w:shd w:val="clear" w:fill="auto" w:color="auto"/>
            <w:tcW w:w="1140" w:type="pct"/>
            <w:textDirection w:val="lrTb"/>
            <w:noWrap w:val="false"/>
          </w:tcPr>
          <w:p>
            <w:pPr>
              <w:pStyle w:val="1005"/>
              <w:ind w:left="57" w:right="57"/>
            </w:pPr>
            <w:r>
              <w:t xml:space="preserve">ГРБС (наименование)</w:t>
            </w:r>
            <w:r/>
          </w:p>
        </w:tc>
        <w:tc>
          <w:tcPr>
            <w:shd w:val="clear" w:fill="auto" w:color="auto"/>
            <w:tcW w:w="3860" w:type="pct"/>
            <w:textDirection w:val="lrTb"/>
            <w:noWrap w:val="false"/>
          </w:tcPr>
          <w:p>
            <w:pPr>
              <w:pStyle w:val="1005"/>
              <w:ind w:left="57" w:right="57"/>
            </w:pPr>
            <w:r>
              <w:t xml:space="preserve">Заполнение</w:t>
            </w:r>
            <w:r>
              <w:t xml:space="preserve">:</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w:t>
            </w:r>
            <w:r>
              <w:t xml:space="preserve">автозаполнение значением, соответствующим полю</w:t>
            </w:r>
            <w:r>
              <w:t xml:space="preserve"> </w:t>
            </w:r>
            <w:r>
              <w:t xml:space="preserve">«</w:t>
            </w:r>
            <w:r>
              <w:t xml:space="preserve">ГРБС (код по РОСГУ)</w:t>
            </w:r>
            <w:r>
              <w:t xml:space="preserve">»</w:t>
            </w:r>
            <w:r>
              <w:t xml:space="preserve"> по справочнику РОСГУ; ввод знач</w:t>
            </w:r>
            <w:r>
              <w:t xml:space="preserve">е</w:t>
            </w:r>
            <w:r>
              <w:t xml:space="preserve">ния вручную.</w:t>
            </w:r>
            <w:r/>
          </w:p>
        </w:tc>
      </w:tr>
      <w:tr>
        <w:trPr>
          <w:trHeight w:val="20"/>
        </w:trPr>
        <w:tc>
          <w:tcPr>
            <w:shd w:val="clear" w:fill="auto" w:color="auto"/>
            <w:tcW w:w="1140" w:type="pct"/>
            <w:textDirection w:val="lrTb"/>
            <w:noWrap w:val="false"/>
          </w:tcPr>
          <w:p>
            <w:pPr>
              <w:pStyle w:val="1005"/>
              <w:ind w:left="57" w:right="57"/>
            </w:pPr>
            <w:r>
              <w:t xml:space="preserve">РБС (код по РОСГУ)</w:t>
            </w:r>
            <w:r/>
          </w:p>
        </w:tc>
        <w:tc>
          <w:tcPr>
            <w:shd w:val="clear" w:fill="auto" w:color="auto"/>
            <w:tcW w:w="3860" w:type="pct"/>
            <w:textDirection w:val="lrTb"/>
            <w:noWrap w:val="false"/>
          </w:tcPr>
          <w:p>
            <w:pPr>
              <w:pStyle w:val="1005"/>
              <w:ind w:left="57" w:right="57"/>
            </w:pPr>
            <w:r>
              <w:t xml:space="preserve">Код РОСГУ для РБС</w:t>
            </w:r>
            <w:r>
              <w:t xml:space="preserve">. 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выбор из справочника РОСГУ; ввод значе</w:t>
            </w:r>
            <w:r>
              <w:t xml:space="preserve">ния вручную.</w:t>
            </w:r>
            <w:r/>
          </w:p>
          <w:p>
            <w:pPr>
              <w:pStyle w:val="1005"/>
              <w:ind w:left="57" w:right="57"/>
            </w:pPr>
            <w:r>
              <w:t xml:space="preserve">Обязательно для заполнения для учреждений с т</w:t>
            </w:r>
            <w:r>
              <w:t xml:space="preserve">ипом организации 08.</w:t>
            </w:r>
            <w:r/>
          </w:p>
        </w:tc>
      </w:tr>
      <w:tr>
        <w:trPr>
          <w:trHeight w:val="20"/>
        </w:trPr>
        <w:tc>
          <w:tcPr>
            <w:shd w:val="clear" w:fill="auto" w:color="auto"/>
            <w:tcW w:w="1140" w:type="pct"/>
            <w:textDirection w:val="lrTb"/>
            <w:noWrap w:val="false"/>
          </w:tcPr>
          <w:p>
            <w:pPr>
              <w:pStyle w:val="1005"/>
              <w:ind w:left="57" w:right="57"/>
            </w:pPr>
            <w:r>
              <w:t xml:space="preserve">РБС (наименование)</w:t>
            </w:r>
            <w:r/>
          </w:p>
        </w:tc>
        <w:tc>
          <w:tcPr>
            <w:shd w:val="clear" w:fill="auto" w:color="auto"/>
            <w:tcW w:w="3860" w:type="pct"/>
            <w:textDirection w:val="lrTb"/>
            <w:noWrap w:val="false"/>
          </w:tcPr>
          <w:p>
            <w:pPr>
              <w:pStyle w:val="1005"/>
              <w:ind w:left="57" w:right="57"/>
            </w:pPr>
            <w:r>
              <w:t xml:space="preserve">Заполнение</w:t>
            </w:r>
            <w:r>
              <w:t xml:space="preserve">:</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w:t>
            </w:r>
            <w:r>
              <w:t xml:space="preserve">автозаполнение значением, соответствующим полю</w:t>
            </w:r>
            <w:r>
              <w:t xml:space="preserve"> </w:t>
            </w:r>
            <w:r>
              <w:t xml:space="preserve">«</w:t>
            </w:r>
            <w:r>
              <w:t xml:space="preserve">РБС (код по РОСГУ)</w:t>
            </w:r>
            <w:r>
              <w:t xml:space="preserve">»</w:t>
            </w:r>
            <w:r>
              <w:t xml:space="preserve"> по справочнику РОСГУ; ввод значения вру</w:t>
            </w:r>
            <w:r>
              <w:t xml:space="preserve">ч</w:t>
            </w:r>
            <w:r>
              <w:t xml:space="preserve">ную.</w:t>
            </w:r>
            <w:r/>
          </w:p>
        </w:tc>
      </w:tr>
      <w:tr>
        <w:trPr>
          <w:trHeight w:val="20"/>
        </w:trPr>
        <w:tc>
          <w:tcPr>
            <w:shd w:val="clear" w:fill="auto" w:color="auto"/>
            <w:tcW w:w="1140" w:type="pct"/>
            <w:textDirection w:val="lrTb"/>
            <w:noWrap w:val="false"/>
          </w:tcPr>
          <w:p>
            <w:pPr>
              <w:pStyle w:val="1005"/>
              <w:ind w:left="57" w:right="57"/>
            </w:pPr>
            <w:r>
              <w:t xml:space="preserve">ФО (код по РОСГУ)</w:t>
            </w:r>
            <w:r/>
          </w:p>
        </w:tc>
        <w:tc>
          <w:tcPr>
            <w:shd w:val="clear" w:fill="auto" w:color="auto"/>
            <w:tcW w:w="3860" w:type="pct"/>
            <w:textDirection w:val="lrTb"/>
            <w:noWrap w:val="false"/>
          </w:tcPr>
          <w:p>
            <w:pPr>
              <w:pStyle w:val="1005"/>
              <w:ind w:left="57" w:right="57"/>
            </w:pPr>
            <w:r>
              <w:t xml:space="preserve">Код РОСГУ для ФО</w:t>
            </w:r>
            <w:r>
              <w:t xml:space="preserve">. 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выбор из справочника РОСГУ; ввод значения вручную;</w:t>
            </w:r>
            <w:r/>
          </w:p>
          <w:p>
            <w:pPr>
              <w:pStyle w:val="1005"/>
              <w:ind w:left="57" w:right="57"/>
            </w:pPr>
            <w:r>
              <w:t xml:space="preserve">Обязательно для заполнения для учреждений с т</w:t>
            </w:r>
            <w:r>
              <w:t xml:space="preserve">ипами организации 03, 08, 10, созданных в рамках бюджета субъекта РФ (муниципального образования).</w:t>
            </w:r>
            <w:r/>
          </w:p>
        </w:tc>
      </w:tr>
      <w:tr>
        <w:trPr>
          <w:trHeight w:val="20"/>
        </w:trPr>
        <w:tc>
          <w:tcPr>
            <w:shd w:val="clear" w:fill="auto" w:color="auto"/>
            <w:tcW w:w="1140" w:type="pct"/>
            <w:textDirection w:val="lrTb"/>
            <w:noWrap w:val="false"/>
          </w:tcPr>
          <w:p>
            <w:pPr>
              <w:pStyle w:val="1005"/>
              <w:ind w:left="57" w:right="57"/>
            </w:pPr>
            <w:r>
              <w:t xml:space="preserve">ФО (наименование)</w:t>
            </w:r>
            <w:r/>
          </w:p>
        </w:tc>
        <w:tc>
          <w:tcPr>
            <w:shd w:val="clear" w:fill="auto" w:color="auto"/>
            <w:tcW w:w="3860" w:type="pct"/>
            <w:textDirection w:val="lrTb"/>
            <w:noWrap w:val="false"/>
          </w:tcPr>
          <w:p>
            <w:pPr>
              <w:pStyle w:val="1005"/>
              <w:ind w:left="57" w:right="57"/>
            </w:pPr>
            <w:r>
              <w:t xml:space="preserve">Заполнение</w:t>
            </w:r>
            <w:r>
              <w:t xml:space="preserve">:</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w:t>
            </w:r>
            <w:r>
              <w:t xml:space="preserve">автозаполнение значением, соответствующим полю</w:t>
            </w:r>
            <w:r>
              <w:t xml:space="preserve"> </w:t>
            </w:r>
            <w:r>
              <w:t xml:space="preserve">«</w:t>
            </w:r>
            <w:r>
              <w:t xml:space="preserve">ФО (код по РОСГУ)</w:t>
            </w:r>
            <w:r>
              <w:t xml:space="preserve">»</w:t>
            </w:r>
            <w:r>
              <w:t xml:space="preserve"> по справочнику РОСГУ; ввод значения вру</w:t>
            </w:r>
            <w:r>
              <w:t xml:space="preserve">ч</w:t>
            </w:r>
            <w:r>
              <w:t xml:space="preserve">ную.</w:t>
            </w:r>
            <w:r/>
          </w:p>
        </w:tc>
      </w:tr>
    </w:tbl>
    <w:p>
      <w:pPr>
        <w:pStyle w:val="994"/>
      </w:pPr>
      <w:r>
        <w:t xml:space="preserve">ЭФ </w:t>
      </w:r>
      <w:r>
        <w:t xml:space="preserve">документа «</w:t>
      </w:r>
      <w:r>
        <w:t xml:space="preserve">Заявка на внесение изменений в перечень ГМУ (основные реквизиты)</w:t>
      </w:r>
      <w:r>
        <w:t xml:space="preserve">», </w:t>
      </w:r>
      <w:r>
        <w:t xml:space="preserve">в</w:t>
      </w:r>
      <w:r>
        <w:t xml:space="preserve">кладки «</w:t>
      </w:r>
      <w:r>
        <w:t xml:space="preserve">Остальные реквизиты учреждения</w:t>
      </w:r>
      <w:r>
        <w:t xml:space="preserve">»</w:t>
      </w:r>
      <w:r>
        <w:t xml:space="preserve"> </w:t>
      </w:r>
      <w:r>
        <w:t xml:space="preserve">представлен</w:t>
      </w:r>
      <w:r>
        <w:t xml:space="preserve">а</w:t>
      </w:r>
      <w:r>
        <w:t xml:space="preserve"> </w:t>
      </w:r>
      <w:r>
        <w:t xml:space="preserve">н</w:t>
      </w:r>
      <w:r>
        <w:t xml:space="preserve">а рисунке </w:t>
      </w:r>
      <w:r>
        <w:fldChar w:fldCharType="begin"/>
      </w:r>
      <w:r>
        <w:instrText xml:space="preserve"> REF _Ref319232949 \h  \* MERGEFORMAT </w:instrText>
      </w:r>
      <w:r>
        <w:fldChar w:fldCharType="separate"/>
      </w:r>
      <w:r>
        <w:t xml:space="preserve">309</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2651760"/>
                <wp:effectExtent l="0" t="0" r="0" b="0"/>
                <wp:docPr id="45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399"/>
                        <a:stretch/>
                      </pic:blipFill>
                      <pic:spPr bwMode="auto">
                        <a:xfrm>
                          <a:off x="0" y="0"/>
                          <a:ext cx="6118860" cy="2651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3" o:spid="_x0000_s453" type="#_x0000_t75" style="mso-wrap-distance-left:0.0pt;mso-wrap-distance-top:0.0pt;mso-wrap-distance-right:0.0pt;mso-wrap-distance-bottom:0.0pt;width:481.8pt;height:208.8pt;" stroked="f">
                <v:path textboxrect="0,0,0,0"/>
                <v:imagedata r:id="rId399" o:title=""/>
              </v:shape>
            </w:pict>
          </mc:Fallback>
        </mc:AlternateContent>
      </w:r>
      <w:r/>
    </w:p>
    <w:p>
      <w:pPr>
        <w:pStyle w:val="983"/>
      </w:pPr>
      <w:r>
        <w:fldChar w:fldCharType="begin"/>
      </w:r>
      <w:r>
        <w:instrText xml:space="preserve"> SEQ Рисунок \* ARABIC </w:instrText>
      </w:r>
      <w:r>
        <w:fldChar w:fldCharType="separate"/>
      </w:r>
      <w:bookmarkStart w:id="2035" w:name="_Ref319232949"/>
      <w:r/>
      <w:bookmarkStart w:id="2036" w:name="_Toc88819694"/>
      <w:r>
        <w:t xml:space="preserve">309</w:t>
      </w:r>
      <w:bookmarkEnd w:id="2035"/>
      <w:r>
        <w:fldChar w:fldCharType="end"/>
      </w:r>
      <w:r>
        <w:t xml:space="preserve">. ЭФ </w:t>
      </w:r>
      <w:r>
        <w:t xml:space="preserve">документа «</w:t>
      </w:r>
      <w:r>
        <w:t xml:space="preserve">Заявка на внесение изменений в перечень ГМУ (основные реквизиты)</w:t>
      </w:r>
      <w:r>
        <w:t xml:space="preserve">», </w:t>
      </w:r>
      <w:r>
        <w:t xml:space="preserve">в</w:t>
      </w:r>
      <w:r>
        <w:t xml:space="preserve">кладки «</w:t>
      </w:r>
      <w:r>
        <w:t xml:space="preserve">Остальные реквизиты учреждения</w:t>
      </w:r>
      <w:r>
        <w:t xml:space="preserve">»</w:t>
      </w:r>
      <w:bookmarkEnd w:id="2036"/>
      <w:r/>
      <w:r/>
    </w:p>
    <w:p>
      <w:pPr>
        <w:pStyle w:val="994"/>
      </w:pPr>
      <w:r>
        <w:t xml:space="preserve">Перечень</w:t>
      </w:r>
      <w:r>
        <w:t xml:space="preserve"> полей</w:t>
      </w:r>
      <w:r>
        <w:t xml:space="preserve"> документа «</w:t>
      </w:r>
      <w:r>
        <w:t xml:space="preserve">Заявка на внесение изменений в перечень ГМУ (основные реквизиты)</w:t>
      </w:r>
      <w:r>
        <w:t xml:space="preserve">», </w:t>
      </w:r>
      <w:r>
        <w:t xml:space="preserve">в</w:t>
      </w:r>
      <w:r>
        <w:t xml:space="preserve">кладки «</w:t>
      </w:r>
      <w:r>
        <w:t xml:space="preserve">Остальные реквизиты учреждения</w:t>
      </w:r>
      <w:r>
        <w:t xml:space="preserve">»</w:t>
      </w:r>
      <w:r>
        <w:t xml:space="preserve"> </w:t>
      </w:r>
      <w:r>
        <w:t xml:space="preserve">приведен в таблице</w:t>
      </w:r>
      <w:r>
        <w:t xml:space="preserve"> </w:t>
      </w:r>
      <w:r>
        <w:fldChar w:fldCharType="begin"/>
      </w:r>
      <w:r>
        <w:instrText xml:space="preserve"> REF _Ref333917732 \h  \* MERGEFORMAT </w:instrText>
      </w:r>
      <w:r>
        <w:fldChar w:fldCharType="separate"/>
      </w:r>
      <w:r>
        <w:t xml:space="preserve">180</w:t>
      </w:r>
      <w:r>
        <w:fldChar w:fldCharType="end"/>
      </w:r>
      <w:r>
        <w:t xml:space="preserve">.</w:t>
      </w:r>
      <w:r/>
    </w:p>
    <w:p>
      <w:pPr>
        <w:pStyle w:val="993"/>
      </w:pPr>
      <w:r>
        <w:fldChar w:fldCharType="begin"/>
      </w:r>
      <w:r>
        <w:instrText xml:space="preserve"> SEQ Таблица \* ARABIC </w:instrText>
      </w:r>
      <w:r>
        <w:fldChar w:fldCharType="separate"/>
      </w:r>
      <w:bookmarkStart w:id="2037" w:name="_Ref333917732"/>
      <w:r/>
      <w:bookmarkStart w:id="2038" w:name="_Toc88819367"/>
      <w:r>
        <w:t xml:space="preserve">180</w:t>
      </w:r>
      <w:bookmarkEnd w:id="2037"/>
      <w:r>
        <w:fldChar w:fldCharType="end"/>
      </w:r>
      <w:r>
        <w:t xml:space="preserve">. Описание полей документа </w:t>
      </w:r>
      <w:r>
        <w:t xml:space="preserve">«</w:t>
      </w:r>
      <w:r>
        <w:t xml:space="preserve">Заявка на внесение изменений в пер</w:t>
      </w:r>
      <w:r>
        <w:t xml:space="preserve">е</w:t>
      </w:r>
      <w:r>
        <w:t xml:space="preserve">чень ГМУ (основные реквизиты)</w:t>
      </w:r>
      <w:r>
        <w:t xml:space="preserve">», в</w:t>
      </w:r>
      <w:r>
        <w:t xml:space="preserve">кладки «</w:t>
      </w:r>
      <w:r>
        <w:t xml:space="preserve">О</w:t>
      </w:r>
      <w:r>
        <w:t xml:space="preserve">с</w:t>
      </w:r>
      <w:r>
        <w:t xml:space="preserve">тальные реквизиты учреждения</w:t>
      </w:r>
      <w:r>
        <w:t xml:space="preserve">»</w:t>
      </w:r>
      <w:bookmarkEnd w:id="203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452"/>
        <w:gridCol w:w="7300"/>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25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43"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Закладк</w:t>
            </w:r>
            <w:r>
              <w:t xml:space="preserve">а «Остальные реквизиты учреждения» (не обязательна для заполнения для учреждений с типом организации 01; в остальных случаях обязательно для заполнения).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«Учредитель»</w:t>
            </w:r>
            <w:r/>
          </w:p>
        </w:tc>
      </w:tr>
      <w:tr>
        <w:trPr/>
        <w:tc>
          <w:tcPr>
            <w:shd w:val="clear" w:fill="auto" w:color="auto"/>
            <w:tcW w:w="1257" w:type="pct"/>
            <w:textDirection w:val="lrTb"/>
            <w:noWrap w:val="false"/>
          </w:tcPr>
          <w:p>
            <w:pPr>
              <w:pStyle w:val="1005"/>
              <w:ind w:left="57" w:right="57"/>
            </w:pPr>
            <w:r>
              <w:t xml:space="preserve">Учредитель (код)</w:t>
            </w:r>
            <w:r/>
          </w:p>
        </w:tc>
        <w:tc>
          <w:tcPr>
            <w:shd w:val="clear" w:fill="auto" w:color="auto"/>
            <w:tcW w:w="3743" w:type="pct"/>
            <w:textDirection w:val="lrTb"/>
            <w:noWrap w:val="false"/>
          </w:tcPr>
          <w:p>
            <w:pPr>
              <w:pStyle w:val="1005"/>
              <w:ind w:left="57" w:right="57"/>
            </w:pPr>
            <w:r>
              <w:t xml:space="preserve">Реестровый номер организации в РОСГУ</w:t>
            </w:r>
            <w:r>
              <w:t xml:space="preserve">. 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ввод значения вру</w:t>
            </w:r>
            <w:r>
              <w:t xml:space="preserve">ч</w:t>
            </w:r>
            <w:r>
              <w:t xml:space="preserve">ную.</w:t>
            </w:r>
            <w:r/>
          </w:p>
        </w:tc>
      </w:tr>
      <w:tr>
        <w:trPr/>
        <w:tc>
          <w:tcPr>
            <w:shd w:val="clear" w:fill="auto" w:color="auto"/>
            <w:tcW w:w="1257" w:type="pct"/>
            <w:textDirection w:val="lrTb"/>
            <w:noWrap w:val="false"/>
          </w:tcPr>
          <w:p>
            <w:pPr>
              <w:pStyle w:val="1005"/>
              <w:ind w:left="57" w:right="57"/>
            </w:pPr>
            <w:r>
              <w:t xml:space="preserve">Учредитель (наименов</w:t>
            </w:r>
            <w:r>
              <w:t xml:space="preserve">ание)</w:t>
            </w:r>
            <w:r/>
          </w:p>
        </w:tc>
        <w:tc>
          <w:tcPr>
            <w:shd w:val="clear" w:fill="auto" w:color="auto"/>
            <w:tcW w:w="3743" w:type="pct"/>
            <w:textDirection w:val="lrTb"/>
            <w:noWrap w:val="false"/>
          </w:tcPr>
          <w:p>
            <w:pPr>
              <w:pStyle w:val="1005"/>
              <w:ind w:left="57" w:right="57"/>
            </w:pPr>
            <w:r>
              <w:t xml:space="preserve">Полное наименование организации</w:t>
            </w:r>
            <w:r>
              <w:t xml:space="preserve">. 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ввод значения вру</w:t>
            </w:r>
            <w:r>
              <w:t xml:space="preserve">ч</w:t>
            </w:r>
            <w:r>
              <w:t xml:space="preserve">ную.</w:t>
            </w:r>
            <w:r/>
          </w:p>
        </w:tc>
      </w:tr>
      <w:tr>
        <w:trPr/>
        <w:tc>
          <w:tcPr>
            <w:shd w:val="clear" w:fill="auto" w:color="auto"/>
            <w:tcW w:w="1257" w:type="pct"/>
            <w:textDirection w:val="lrTb"/>
            <w:noWrap w:val="false"/>
          </w:tcPr>
          <w:p>
            <w:pPr>
              <w:pStyle w:val="1005"/>
              <w:ind w:left="57" w:right="57"/>
            </w:pPr>
            <w:r>
              <w:t xml:space="preserve">ИНН</w:t>
            </w:r>
            <w:r/>
          </w:p>
        </w:tc>
        <w:tc>
          <w:tcPr>
            <w:shd w:val="clear" w:fill="auto" w:color="auto"/>
            <w:tcW w:w="3743" w:type="pct"/>
            <w:textDirection w:val="lrTb"/>
            <w:noWrap w:val="false"/>
          </w:tcPr>
          <w:p>
            <w:pPr>
              <w:pStyle w:val="1005"/>
              <w:ind w:left="57" w:right="57"/>
            </w:pPr>
            <w:r>
              <w:t xml:space="preserve">Заполнение:</w:t>
            </w:r>
            <w:r/>
          </w:p>
          <w:p>
            <w:pPr>
              <w:pStyle w:val="1007"/>
            </w:pPr>
            <w:r>
              <w:t xml:space="preserve">импорт из внешней системы</w:t>
            </w:r>
            <w:r>
              <w:t xml:space="preserve">;</w:t>
            </w:r>
            <w:r/>
          </w:p>
          <w:p>
            <w:pPr>
              <w:pStyle w:val="1007"/>
            </w:pPr>
            <w:r>
              <w:t xml:space="preserve">ДУБП, ОФК: ввод значения вручную.</w:t>
            </w:r>
            <w:r/>
          </w:p>
        </w:tc>
      </w:tr>
      <w:tr>
        <w:trPr/>
        <w:tc>
          <w:tcPr>
            <w:shd w:val="clear" w:fill="auto" w:color="auto"/>
            <w:tcW w:w="1257" w:type="pct"/>
            <w:textDirection w:val="lrTb"/>
            <w:noWrap w:val="false"/>
          </w:tcPr>
          <w:p>
            <w:pPr>
              <w:pStyle w:val="1005"/>
              <w:ind w:left="57" w:right="57"/>
            </w:pPr>
            <w:r>
              <w:t xml:space="preserve">КПП</w:t>
            </w:r>
            <w:r/>
          </w:p>
        </w:tc>
        <w:tc>
          <w:tcPr>
            <w:shd w:val="clear" w:fill="auto" w:color="auto"/>
            <w:tcW w:w="3743" w:type="pct"/>
            <w:textDirection w:val="lrTb"/>
            <w:noWrap w:val="false"/>
          </w:tcPr>
          <w:p>
            <w:pPr>
              <w:pStyle w:val="1005"/>
              <w:ind w:left="57" w:right="57"/>
            </w:pPr>
            <w:r>
              <w:t xml:space="preserve">Заполнение:</w:t>
            </w:r>
            <w:r/>
          </w:p>
          <w:p>
            <w:pPr>
              <w:pStyle w:val="1007"/>
            </w:pPr>
            <w:r>
              <w:t xml:space="preserve">Импорт из внешней системы</w:t>
            </w:r>
            <w:r>
              <w:t xml:space="preserve">;</w:t>
            </w:r>
            <w:r/>
          </w:p>
          <w:p>
            <w:pPr>
              <w:pStyle w:val="1007"/>
            </w:pPr>
            <w:r>
              <w:t xml:space="preserve">ДУБП: ОФК: ввод значения вручную.</w:t>
            </w:r>
            <w:r/>
          </w:p>
        </w:tc>
      </w:tr>
      <w:tr>
        <w:trPr/>
        <w:tc>
          <w:tcPr>
            <w:shd w:val="clear" w:fill="auto" w:color="auto"/>
            <w:tcW w:w="1257" w:type="pct"/>
            <w:textDirection w:val="lrTb"/>
            <w:noWrap w:val="false"/>
          </w:tcPr>
          <w:p>
            <w:pPr>
              <w:pStyle w:val="1005"/>
              <w:ind w:left="57" w:right="57"/>
            </w:pPr>
            <w:r>
              <w:t xml:space="preserve">ОГРН</w:t>
            </w:r>
            <w:r/>
          </w:p>
        </w:tc>
        <w:tc>
          <w:tcPr>
            <w:shd w:val="clear" w:fill="auto" w:color="auto"/>
            <w:tcW w:w="3743" w:type="pct"/>
            <w:textDirection w:val="lrTb"/>
            <w:noWrap w:val="false"/>
          </w:tcPr>
          <w:p>
            <w:pPr>
              <w:pStyle w:val="1005"/>
              <w:ind w:left="57" w:right="57"/>
            </w:pPr>
            <w:r>
              <w:t xml:space="preserve">Заполнение:</w:t>
            </w:r>
            <w:r/>
          </w:p>
          <w:p>
            <w:pPr>
              <w:pStyle w:val="1007"/>
            </w:pPr>
            <w:r>
              <w:t xml:space="preserve">импорт из внешней системы</w:t>
            </w:r>
            <w:r>
              <w:t xml:space="preserve">;</w:t>
            </w:r>
            <w:r/>
          </w:p>
          <w:p>
            <w:pPr>
              <w:pStyle w:val="1007"/>
            </w:pPr>
            <w:r>
              <w:t xml:space="preserve">ДУБП, ОФК: ввод значения вручную.</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«Руководитель»</w:t>
            </w:r>
            <w:r/>
          </w:p>
        </w:tc>
      </w:tr>
      <w:tr>
        <w:trPr/>
        <w:tc>
          <w:tcPr>
            <w:shd w:val="clear" w:fill="auto" w:color="auto"/>
            <w:tcW w:w="1257" w:type="pct"/>
            <w:textDirection w:val="lrTb"/>
            <w:noWrap w:val="false"/>
          </w:tcPr>
          <w:p>
            <w:pPr>
              <w:pStyle w:val="1005"/>
              <w:ind w:left="57" w:right="57"/>
            </w:pPr>
            <w:r>
              <w:t xml:space="preserve">Фамилия</w:t>
            </w:r>
            <w:r/>
          </w:p>
        </w:tc>
        <w:tc>
          <w:tcPr>
            <w:shd w:val="clear" w:fill="auto" w:color="auto"/>
            <w:tcW w:w="3743" w:type="pct"/>
            <w:textDirection w:val="lrTb"/>
            <w:noWrap w:val="false"/>
          </w:tcPr>
          <w:p>
            <w:pPr>
              <w:pStyle w:val="1005"/>
              <w:ind w:left="57" w:right="57"/>
            </w:pPr>
            <w:r>
              <w:t xml:space="preserve">Заполнение:</w:t>
            </w:r>
            <w:r/>
          </w:p>
          <w:p>
            <w:pPr>
              <w:pStyle w:val="1007"/>
            </w:pPr>
            <w:r>
              <w:t xml:space="preserve">импорт из внешней системы</w:t>
            </w:r>
            <w:r>
              <w:t xml:space="preserve">;</w:t>
            </w:r>
            <w:r/>
          </w:p>
          <w:p>
            <w:pPr>
              <w:pStyle w:val="1007"/>
            </w:pPr>
            <w:r>
              <w:t xml:space="preserve">ДУБП, ОФК: ввод значения вручную.</w:t>
            </w:r>
            <w:r/>
          </w:p>
          <w:p>
            <w:pPr>
              <w:pStyle w:val="1005"/>
              <w:ind w:left="57" w:right="57"/>
            </w:pPr>
            <w:r>
              <w:t xml:space="preserve">Не обязательно для заполнения с типом организации </w:t>
            </w:r>
            <w:r>
              <w:t xml:space="preserve">«01». Во всех остальных случаях обязательно для заполнения.</w:t>
            </w:r>
            <w:r/>
          </w:p>
        </w:tc>
      </w:tr>
      <w:tr>
        <w:trPr/>
        <w:tc>
          <w:tcPr>
            <w:shd w:val="clear" w:fill="auto" w:color="auto"/>
            <w:tcW w:w="1257" w:type="pct"/>
            <w:textDirection w:val="lrTb"/>
            <w:noWrap w:val="false"/>
          </w:tcPr>
          <w:p>
            <w:pPr>
              <w:pStyle w:val="1005"/>
              <w:ind w:left="57" w:right="57"/>
            </w:pPr>
            <w:r>
              <w:t xml:space="preserve">Имя</w:t>
            </w:r>
            <w:r/>
          </w:p>
        </w:tc>
        <w:tc>
          <w:tcPr>
            <w:shd w:val="clear" w:fill="auto" w:color="auto"/>
            <w:tcW w:w="3743" w:type="pct"/>
            <w:textDirection w:val="lrTb"/>
            <w:noWrap w:val="false"/>
          </w:tcPr>
          <w:p>
            <w:pPr>
              <w:pStyle w:val="1005"/>
              <w:ind w:left="57" w:right="57"/>
            </w:pPr>
            <w:r>
              <w:t xml:space="preserve">Заполнение:</w:t>
            </w:r>
            <w:r/>
          </w:p>
          <w:p>
            <w:pPr>
              <w:pStyle w:val="1007"/>
            </w:pPr>
            <w:r>
              <w:t xml:space="preserve">импорт из внешней системы</w:t>
            </w:r>
            <w:r>
              <w:t xml:space="preserve">;</w:t>
            </w:r>
            <w:r/>
          </w:p>
          <w:p>
            <w:pPr>
              <w:pStyle w:val="1007"/>
            </w:pPr>
            <w:r>
              <w:t xml:space="preserve">ДУБП/ОФК: ввод значения вручную.</w:t>
            </w:r>
            <w:r/>
          </w:p>
        </w:tc>
      </w:tr>
      <w:tr>
        <w:trPr/>
        <w:tc>
          <w:tcPr>
            <w:shd w:val="clear" w:fill="auto" w:color="auto"/>
            <w:tcW w:w="1257" w:type="pct"/>
            <w:textDirection w:val="lrTb"/>
            <w:noWrap w:val="false"/>
          </w:tcPr>
          <w:p>
            <w:pPr>
              <w:pStyle w:val="1005"/>
              <w:ind w:left="57" w:right="57"/>
            </w:pPr>
            <w:r>
              <w:t xml:space="preserve">Отчество</w:t>
            </w:r>
            <w:r/>
          </w:p>
        </w:tc>
        <w:tc>
          <w:tcPr>
            <w:shd w:val="clear" w:fill="auto" w:color="auto"/>
            <w:tcW w:w="3743" w:type="pct"/>
            <w:textDirection w:val="lrTb"/>
            <w:noWrap w:val="false"/>
          </w:tcPr>
          <w:p>
            <w:pPr>
              <w:pStyle w:val="1005"/>
              <w:ind w:left="57" w:right="57"/>
            </w:pPr>
            <w:r>
              <w:t xml:space="preserve">Заполнение:</w:t>
            </w:r>
            <w:r/>
          </w:p>
          <w:p>
            <w:pPr>
              <w:pStyle w:val="1007"/>
            </w:pPr>
            <w:r>
              <w:t xml:space="preserve">импорт из внешней системы</w:t>
            </w:r>
            <w:r>
              <w:t xml:space="preserve">;</w:t>
            </w:r>
            <w:r/>
          </w:p>
          <w:p>
            <w:pPr>
              <w:pStyle w:val="1007"/>
            </w:pPr>
            <w:r>
              <w:t xml:space="preserve">ДУБП, ОФК: ввод значения вручную.</w:t>
            </w:r>
            <w:r/>
          </w:p>
          <w:p>
            <w:pPr>
              <w:pStyle w:val="1005"/>
              <w:ind w:left="57" w:right="57"/>
            </w:pPr>
            <w:r>
              <w:t xml:space="preserve">Не обязательно для заполнения с типом организации </w:t>
            </w:r>
            <w:r>
              <w:t xml:space="preserve">«01». Во всех остальных случаях обязательно для заполнения.</w:t>
            </w:r>
            <w:r/>
          </w:p>
        </w:tc>
      </w:tr>
      <w:tr>
        <w:trPr>
          <w:trHeight w:val="70"/>
        </w:trPr>
        <w:tc>
          <w:tcPr>
            <w:shd w:val="clear" w:fill="auto" w:color="auto"/>
            <w:tcW w:w="1257" w:type="pct"/>
            <w:textDirection w:val="lrTb"/>
            <w:noWrap w:val="false"/>
          </w:tcPr>
          <w:p>
            <w:pPr>
              <w:pStyle w:val="1005"/>
              <w:ind w:left="57" w:right="57"/>
            </w:pPr>
            <w:r>
              <w:t xml:space="preserve">Должность</w:t>
            </w:r>
            <w:r/>
          </w:p>
        </w:tc>
        <w:tc>
          <w:tcPr>
            <w:shd w:val="clear" w:fill="auto" w:color="auto"/>
            <w:tcW w:w="3743" w:type="pct"/>
            <w:textDirection w:val="lrTb"/>
            <w:noWrap w:val="false"/>
          </w:tcPr>
          <w:p>
            <w:pPr>
              <w:pStyle w:val="1005"/>
              <w:ind w:left="57" w:right="57"/>
            </w:pPr>
            <w:r>
              <w:t xml:space="preserve">Заполнение:</w:t>
            </w:r>
            <w:r/>
          </w:p>
          <w:p>
            <w:pPr>
              <w:pStyle w:val="1007"/>
            </w:pPr>
            <w:r>
              <w:t xml:space="preserve">импорт из внешней системы</w:t>
            </w:r>
            <w:r>
              <w:t xml:space="preserve">;</w:t>
            </w:r>
            <w:r/>
          </w:p>
          <w:p>
            <w:pPr>
              <w:pStyle w:val="1007"/>
            </w:pPr>
            <w:r>
              <w:t xml:space="preserve">ДУБП/ОФК: ввод значения вручную.</w:t>
            </w:r>
            <w:r/>
          </w:p>
          <w:p>
            <w:pPr>
              <w:pStyle w:val="1005"/>
              <w:ind w:left="57" w:right="57"/>
            </w:pPr>
            <w:r>
              <w:t xml:space="preserve">Не обязательно для заполнения с типом организации </w:t>
            </w:r>
            <w:r>
              <w:t xml:space="preserve">«01». Во всех остальных случаях обязательно для заполнения.</w:t>
            </w:r>
            <w:r/>
          </w:p>
        </w:tc>
      </w:tr>
      <w:tr>
        <w:trPr/>
        <w:tc>
          <w:tcPr>
            <w:shd w:val="clear" w:fill="auto" w:color="auto"/>
            <w:tcW w:w="1257" w:type="pct"/>
            <w:textDirection w:val="lrTb"/>
            <w:noWrap w:val="false"/>
          </w:tcPr>
          <w:p>
            <w:pPr>
              <w:pStyle w:val="1005"/>
              <w:ind w:left="57" w:right="57"/>
            </w:pPr>
            <w:r>
              <w:t xml:space="preserve">ИНН</w:t>
            </w:r>
            <w:r/>
          </w:p>
        </w:tc>
        <w:tc>
          <w:tcPr>
            <w:shd w:val="clear" w:fill="auto" w:color="auto"/>
            <w:tcW w:w="3743" w:type="pct"/>
            <w:textDirection w:val="lrTb"/>
            <w:noWrap w:val="false"/>
          </w:tcPr>
          <w:p>
            <w:pPr>
              <w:pStyle w:val="1005"/>
              <w:ind w:left="57" w:right="57"/>
            </w:pPr>
            <w:r>
              <w:t xml:space="preserve">Заполнение:</w:t>
            </w:r>
            <w:r/>
          </w:p>
          <w:p>
            <w:pPr>
              <w:pStyle w:val="1007"/>
            </w:pPr>
            <w:r>
              <w:t xml:space="preserve">импорт из внешней системы</w:t>
            </w:r>
            <w:r>
              <w:t xml:space="preserve">;</w:t>
            </w:r>
            <w:r/>
          </w:p>
          <w:p>
            <w:pPr>
              <w:pStyle w:val="1007"/>
            </w:pPr>
            <w:r>
              <w:t xml:space="preserve">ДУБП/ОФК: ввод значения вручную.</w:t>
            </w:r>
            <w:r/>
          </w:p>
        </w:tc>
      </w:tr>
    </w:tbl>
    <w:p>
      <w:pPr>
        <w:pStyle w:val="994"/>
      </w:pPr>
      <w:r>
        <w:t xml:space="preserve">ЭФ</w:t>
      </w:r>
      <w:r>
        <w:t xml:space="preserve"> документа</w:t>
      </w:r>
      <w:r>
        <w:t xml:space="preserve"> </w:t>
      </w:r>
      <w:r>
        <w:t xml:space="preserve">«</w:t>
      </w:r>
      <w:r>
        <w:t xml:space="preserve">Заявка на внесение изменений в перечень ГМУ (основные реквизиты)</w:t>
      </w:r>
      <w:r>
        <w:t xml:space="preserve">», </w:t>
      </w:r>
      <w:r>
        <w:t xml:space="preserve">в</w:t>
      </w:r>
      <w:r>
        <w:t xml:space="preserve">кладки «</w:t>
      </w:r>
      <w:r>
        <w:t xml:space="preserve">Бюджеты</w:t>
      </w:r>
      <w:r>
        <w:t xml:space="preserve">»</w:t>
      </w:r>
      <w:r>
        <w:t xml:space="preserve"> </w:t>
      </w:r>
      <w:r>
        <w:t xml:space="preserve">представлен</w:t>
      </w:r>
      <w:r>
        <w:t xml:space="preserve">а</w:t>
      </w:r>
      <w:r>
        <w:t xml:space="preserve"> </w:t>
      </w:r>
      <w:r>
        <w:t xml:space="preserve">н</w:t>
      </w:r>
      <w:r>
        <w:t xml:space="preserve">а рисунке</w:t>
      </w:r>
      <w:r>
        <w:t xml:space="preserve"> </w:t>
      </w:r>
      <w:r>
        <w:fldChar w:fldCharType="begin"/>
      </w:r>
      <w:r>
        <w:instrText xml:space="preserve"> REF _Ref319230196 \h  \* MERGEFORMAT </w:instrText>
      </w:r>
      <w:r>
        <w:fldChar w:fldCharType="separate"/>
      </w:r>
      <w:r>
        <w:t xml:space="preserve">310</w:t>
      </w:r>
      <w:r>
        <w:fldChar w:fldCharType="end"/>
      </w:r>
      <w:r>
        <w:t xml:space="preserve">.</w:t>
      </w:r>
      <w:r/>
    </w:p>
    <w:p>
      <w:pPr>
        <w:pStyle w:val="982"/>
      </w:pPr>
      <w:r>
        <mc:AlternateContent>
          <mc:Choice Requires="wpg">
            <w:drawing>
              <wp:inline xmlns:wp="http://schemas.openxmlformats.org/drawingml/2006/wordprocessingDrawing" distT="0" distB="0" distL="0" distR="0">
                <wp:extent cx="6134100" cy="1729740"/>
                <wp:effectExtent l="0" t="0" r="0" b="0"/>
                <wp:docPr id="45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00"/>
                        <a:stretch/>
                      </pic:blipFill>
                      <pic:spPr bwMode="auto">
                        <a:xfrm>
                          <a:off x="0" y="0"/>
                          <a:ext cx="6134100" cy="17297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4" o:spid="_x0000_s454" type="#_x0000_t75" style="mso-wrap-distance-left:0.0pt;mso-wrap-distance-top:0.0pt;mso-wrap-distance-right:0.0pt;mso-wrap-distance-bottom:0.0pt;width:483.0pt;height:136.2pt;" stroked="f">
                <v:path textboxrect="0,0,0,0"/>
                <v:imagedata r:id="rId400" o:title=""/>
              </v:shape>
            </w:pict>
          </mc:Fallback>
        </mc:AlternateContent>
      </w:r>
      <w:r/>
    </w:p>
    <w:p>
      <w:pPr>
        <w:pStyle w:val="983"/>
      </w:pPr>
      <w:r>
        <w:fldChar w:fldCharType="begin"/>
      </w:r>
      <w:r>
        <w:instrText xml:space="preserve"> SEQ Рисунок \* ARABIC </w:instrText>
      </w:r>
      <w:r>
        <w:fldChar w:fldCharType="separate"/>
      </w:r>
      <w:bookmarkStart w:id="2039" w:name="_Ref319230196"/>
      <w:r/>
      <w:bookmarkStart w:id="2040" w:name="_Toc88819695"/>
      <w:r>
        <w:t xml:space="preserve">310</w:t>
      </w:r>
      <w:bookmarkEnd w:id="2039"/>
      <w:r>
        <w:fldChar w:fldCharType="end"/>
      </w:r>
      <w:r>
        <w:t xml:space="preserve">. ЭФ</w:t>
      </w:r>
      <w:r>
        <w:t xml:space="preserve"> документа</w:t>
      </w:r>
      <w:r>
        <w:t xml:space="preserve"> </w:t>
      </w:r>
      <w:r>
        <w:t xml:space="preserve">«</w:t>
      </w:r>
      <w:r>
        <w:t xml:space="preserve">Заявка на внесение изменений в перечень ГМУ (основные реквизиты)</w:t>
      </w:r>
      <w:r>
        <w:t xml:space="preserve">», </w:t>
      </w:r>
      <w:r>
        <w:t xml:space="preserve">в</w:t>
      </w:r>
      <w:r>
        <w:t xml:space="preserve">кладки «</w:t>
      </w:r>
      <w:r>
        <w:t xml:space="preserve">Бюджеты</w:t>
      </w:r>
      <w:r>
        <w:t xml:space="preserve">»</w:t>
      </w:r>
      <w:bookmarkEnd w:id="2040"/>
      <w:r/>
      <w:r/>
    </w:p>
    <w:p>
      <w:pPr>
        <w:pStyle w:val="994"/>
      </w:pPr>
      <w:r>
        <w:t xml:space="preserve">Перечень</w:t>
      </w:r>
      <w:r>
        <w:t xml:space="preserve"> полей</w:t>
      </w:r>
      <w:r>
        <w:t xml:space="preserve"> документа «</w:t>
      </w:r>
      <w:r>
        <w:t xml:space="preserve">Заявка на внесение изменений в перечень ГМУ (основные реквизиты)</w:t>
      </w:r>
      <w:r>
        <w:t xml:space="preserve">», </w:t>
      </w:r>
      <w:r>
        <w:t xml:space="preserve">в</w:t>
      </w:r>
      <w:r>
        <w:t xml:space="preserve">кладки «</w:t>
      </w:r>
      <w:r>
        <w:t xml:space="preserve">Бю</w:t>
      </w:r>
      <w:r>
        <w:t xml:space="preserve">д</w:t>
      </w:r>
      <w:r>
        <w:t xml:space="preserve">жеты</w:t>
      </w:r>
      <w:r>
        <w:t xml:space="preserve">»</w:t>
      </w:r>
      <w:r>
        <w:t xml:space="preserve"> </w:t>
      </w:r>
      <w:r>
        <w:t xml:space="preserve">приведен в таблице</w:t>
      </w:r>
      <w:r>
        <w:t xml:space="preserve"> </w:t>
      </w:r>
      <w:r>
        <w:fldChar w:fldCharType="begin"/>
      </w:r>
      <w:r>
        <w:instrText xml:space="preserve"> REF _Ref318715811 \h  \* MERGEFORMAT </w:instrText>
      </w:r>
      <w:r>
        <w:fldChar w:fldCharType="separate"/>
      </w:r>
      <w:r>
        <w:t xml:space="preserve">181</w:t>
      </w:r>
      <w:r>
        <w:fldChar w:fldCharType="end"/>
      </w:r>
      <w:r>
        <w:t xml:space="preserve">.</w:t>
      </w:r>
      <w:r/>
    </w:p>
    <w:p>
      <w:pPr>
        <w:pStyle w:val="993"/>
      </w:pPr>
      <w:r>
        <w:fldChar w:fldCharType="begin"/>
      </w:r>
      <w:r>
        <w:instrText xml:space="preserve"> SEQ Таблица \* ARABIC </w:instrText>
      </w:r>
      <w:r>
        <w:fldChar w:fldCharType="separate"/>
      </w:r>
      <w:bookmarkStart w:id="2041" w:name="_Ref318715811"/>
      <w:r/>
      <w:bookmarkStart w:id="2042" w:name="_Ref317679600"/>
      <w:r/>
      <w:bookmarkStart w:id="2043" w:name="_Toc88819368"/>
      <w:r>
        <w:t xml:space="preserve">181</w:t>
      </w:r>
      <w:bookmarkEnd w:id="2041"/>
      <w:r/>
      <w:bookmarkEnd w:id="2042"/>
      <w:r>
        <w:fldChar w:fldCharType="end"/>
      </w:r>
      <w:r>
        <w:t xml:space="preserve">. Описание полей документа </w:t>
      </w:r>
      <w:r>
        <w:t xml:space="preserve">«</w:t>
      </w:r>
      <w:r>
        <w:t xml:space="preserve">Заявка на внесение изменений в пер</w:t>
      </w:r>
      <w:r>
        <w:t xml:space="preserve">е</w:t>
      </w:r>
      <w:r>
        <w:t xml:space="preserve">чень ГМУ (основные реквизиты)</w:t>
      </w:r>
      <w:r>
        <w:t xml:space="preserve">», </w:t>
      </w:r>
      <w:r>
        <w:t xml:space="preserve">в</w:t>
      </w:r>
      <w:r>
        <w:t xml:space="preserve">кладки «</w:t>
      </w:r>
      <w:r>
        <w:t xml:space="preserve">Бю</w:t>
      </w:r>
      <w:r>
        <w:t xml:space="preserve">д</w:t>
      </w:r>
      <w:r>
        <w:t xml:space="preserve">жеты</w:t>
      </w:r>
      <w:r>
        <w:t xml:space="preserve">»</w:t>
      </w:r>
      <w:bookmarkEnd w:id="2043"/>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452"/>
        <w:gridCol w:w="7300"/>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25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43"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«Информация об учредительных документах»</w:t>
            </w:r>
            <w:r/>
          </w:p>
        </w:tc>
      </w:tr>
      <w:tr>
        <w:trPr/>
        <w:tc>
          <w:tcPr>
            <w:shd w:val="clear" w:fill="auto" w:color="auto"/>
            <w:tcW w:w="1257" w:type="pct"/>
            <w:textDirection w:val="lrTb"/>
            <w:noWrap w:val="false"/>
          </w:tcPr>
          <w:p>
            <w:pPr>
              <w:pStyle w:val="1005"/>
              <w:ind w:left="57" w:right="57"/>
            </w:pPr>
            <w:r>
              <w:t xml:space="preserve">Код бюджета</w:t>
            </w:r>
            <w:r/>
          </w:p>
        </w:tc>
        <w:tc>
          <w:tcPr>
            <w:shd w:val="clear" w:fill="auto" w:color="auto"/>
            <w:tcW w:w="3743" w:type="pct"/>
            <w:textDirection w:val="lrTb"/>
            <w:noWrap w:val="false"/>
          </w:tcPr>
          <w:p>
            <w:pPr>
              <w:pStyle w:val="1005"/>
              <w:ind w:left="57" w:right="57"/>
            </w:pP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w:t>
            </w:r>
            <w:r>
              <w:t xml:space="preserve">автозаполнение значением, соответствующим полю</w:t>
            </w:r>
            <w:r>
              <w:t xml:space="preserve"> «Наименование бюджета» по справочнику Бюджеты; ввод значения вручную.</w:t>
            </w:r>
            <w:r/>
          </w:p>
        </w:tc>
      </w:tr>
      <w:tr>
        <w:trPr/>
        <w:tc>
          <w:tcPr>
            <w:shd w:val="clear" w:fill="auto" w:color="auto"/>
            <w:tcW w:w="1257" w:type="pct"/>
            <w:textDirection w:val="lrTb"/>
            <w:noWrap w:val="false"/>
          </w:tcPr>
          <w:p>
            <w:pPr>
              <w:pStyle w:val="1005"/>
              <w:ind w:left="57" w:right="57"/>
            </w:pPr>
            <w:r>
              <w:t xml:space="preserve">Наименование бюджета</w:t>
            </w:r>
            <w:r/>
          </w:p>
        </w:tc>
        <w:tc>
          <w:tcPr>
            <w:shd w:val="clear" w:fill="auto" w:color="auto"/>
            <w:tcW w:w="3743" w:type="pct"/>
            <w:textDirection w:val="lrTb"/>
            <w:noWrap w:val="false"/>
          </w:tcPr>
          <w:p>
            <w:pPr>
              <w:pStyle w:val="1005"/>
              <w:ind w:left="57" w:right="57"/>
            </w:pPr>
            <w:r>
              <w:t xml:space="preserve">Заполнение:</w:t>
            </w:r>
            <w:r/>
          </w:p>
          <w:p>
            <w:pPr>
              <w:pStyle w:val="1007"/>
            </w:pPr>
            <w:r>
              <w:t xml:space="preserve">Импорт из внешней системы</w:t>
            </w:r>
            <w:r>
              <w:t xml:space="preserve">;</w:t>
            </w:r>
            <w:r/>
          </w:p>
          <w:p>
            <w:pPr>
              <w:pStyle w:val="1007"/>
            </w:pPr>
            <w:r>
              <w:t xml:space="preserve">ДУБП: автозаполнение по указанному коду РОСГУ соответству</w:t>
            </w:r>
            <w:r>
              <w:t xml:space="preserve">ю</w:t>
            </w:r>
            <w:r>
              <w:t xml:space="preserve">щим значением по справочнику РОСГУ; выбор из справочника Бю</w:t>
            </w:r>
            <w:r>
              <w:t xml:space="preserve">д</w:t>
            </w:r>
            <w:r>
              <w:t xml:space="preserve">жеты; ввод зн</w:t>
            </w:r>
            <w:r>
              <w:t xml:space="preserve">а</w:t>
            </w:r>
            <w:r>
              <w:t xml:space="preserve">чения вручную.</w:t>
            </w:r>
            <w:r/>
          </w:p>
        </w:tc>
      </w:tr>
    </w:tbl>
    <w:p>
      <w:pPr>
        <w:pStyle w:val="994"/>
      </w:pPr>
      <w:r>
        <w:t xml:space="preserve">ЭФ</w:t>
      </w:r>
      <w:r>
        <w:t xml:space="preserve"> документа</w:t>
      </w:r>
      <w:r>
        <w:t xml:space="preserve"> </w:t>
      </w:r>
      <w:r>
        <w:t xml:space="preserve">«</w:t>
      </w:r>
      <w:r>
        <w:t xml:space="preserve">Заявка на внесение изменений в перечень ГМУ (основные реквизиты)</w:t>
      </w:r>
      <w:r>
        <w:t xml:space="preserve">», </w:t>
      </w:r>
      <w:r>
        <w:t xml:space="preserve">в</w:t>
      </w:r>
      <w:r>
        <w:t xml:space="preserve">кладки «</w:t>
      </w:r>
      <w:r>
        <w:t xml:space="preserve">Подтверждающие документы</w:t>
      </w:r>
      <w:r>
        <w:t xml:space="preserve">»</w:t>
      </w:r>
      <w:r>
        <w:t xml:space="preserve"> </w:t>
      </w:r>
      <w:r>
        <w:t xml:space="preserve">представлен</w:t>
      </w:r>
      <w:r>
        <w:t xml:space="preserve">а</w:t>
      </w:r>
      <w:r>
        <w:t xml:space="preserve"> </w:t>
      </w:r>
      <w:r>
        <w:t xml:space="preserve">н</w:t>
      </w:r>
      <w:r>
        <w:t xml:space="preserve">а рисунке</w:t>
      </w:r>
      <w:r>
        <w:t xml:space="preserve"> </w:t>
      </w:r>
      <w:r>
        <w:fldChar w:fldCharType="begin"/>
      </w:r>
      <w:r>
        <w:instrText xml:space="preserve"> REF _Ref309739435 \h  \* MERGEFORMAT </w:instrText>
      </w:r>
      <w:r>
        <w:fldChar w:fldCharType="separate"/>
      </w:r>
      <w:r>
        <w:t xml:space="preserve">311</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1737360"/>
                <wp:effectExtent l="0" t="0" r="0" b="0"/>
                <wp:docPr id="45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01"/>
                        <a:stretch/>
                      </pic:blipFill>
                      <pic:spPr bwMode="auto">
                        <a:xfrm>
                          <a:off x="0" y="0"/>
                          <a:ext cx="6118860" cy="17373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5" o:spid="_x0000_s455" type="#_x0000_t75" style="mso-wrap-distance-left:0.0pt;mso-wrap-distance-top:0.0pt;mso-wrap-distance-right:0.0pt;mso-wrap-distance-bottom:0.0pt;width:481.8pt;height:136.8pt;" stroked="f">
                <v:path textboxrect="0,0,0,0"/>
                <v:imagedata r:id="rId401" o:title=""/>
              </v:shape>
            </w:pict>
          </mc:Fallback>
        </mc:AlternateContent>
      </w:r>
      <w:r/>
    </w:p>
    <w:p>
      <w:pPr>
        <w:pStyle w:val="983"/>
      </w:pPr>
      <w:r>
        <w:fldChar w:fldCharType="begin"/>
      </w:r>
      <w:r>
        <w:instrText xml:space="preserve"> SEQ Рисунок \* ARABIC </w:instrText>
      </w:r>
      <w:r>
        <w:fldChar w:fldCharType="separate"/>
      </w:r>
      <w:bookmarkStart w:id="2044" w:name="_Ref309739435"/>
      <w:r/>
      <w:bookmarkStart w:id="2045" w:name="_Toc88819696"/>
      <w:r>
        <w:t xml:space="preserve">311</w:t>
      </w:r>
      <w:bookmarkEnd w:id="2044"/>
      <w:r>
        <w:fldChar w:fldCharType="end"/>
      </w:r>
      <w:r>
        <w:t xml:space="preserve">. ЭФ </w:t>
      </w:r>
      <w:r>
        <w:t xml:space="preserve">документа «</w:t>
      </w:r>
      <w:r>
        <w:t xml:space="preserve">Заявка на внесение изменений в перечень ГМУ (основные реквизиты)</w:t>
      </w:r>
      <w:r>
        <w:t xml:space="preserve">», в</w:t>
      </w:r>
      <w:r>
        <w:t xml:space="preserve">кладки «</w:t>
      </w:r>
      <w:r>
        <w:t xml:space="preserve">Подтверждающие документы</w:t>
      </w:r>
      <w:r>
        <w:t xml:space="preserve">»</w:t>
      </w:r>
      <w:bookmarkEnd w:id="2045"/>
      <w:r/>
      <w:r/>
    </w:p>
    <w:p>
      <w:pPr>
        <w:pStyle w:val="994"/>
      </w:pPr>
      <w:r>
        <w:t xml:space="preserve">Перечень</w:t>
      </w:r>
      <w:r>
        <w:t xml:space="preserve"> полей</w:t>
      </w:r>
      <w:r>
        <w:t xml:space="preserve"> документа «</w:t>
      </w:r>
      <w:r>
        <w:t xml:space="preserve">Заявка на внесение изменений в перечень ГМУ (основные реквизиты)</w:t>
      </w:r>
      <w:r>
        <w:t xml:space="preserve">», </w:t>
      </w:r>
      <w:r>
        <w:t xml:space="preserve">в</w:t>
      </w:r>
      <w:r>
        <w:t xml:space="preserve">кладки «</w:t>
      </w:r>
      <w:r>
        <w:t xml:space="preserve">Подтве</w:t>
      </w:r>
      <w:r>
        <w:t xml:space="preserve">р</w:t>
      </w:r>
      <w:r>
        <w:t xml:space="preserve">ждающие документы</w:t>
      </w:r>
      <w:r>
        <w:t xml:space="preserve">»</w:t>
      </w:r>
      <w:r>
        <w:t xml:space="preserve"> </w:t>
      </w:r>
      <w:r>
        <w:t xml:space="preserve">приведен в таблице</w:t>
      </w:r>
      <w:r>
        <w:t xml:space="preserve"> </w:t>
      </w:r>
      <w:r>
        <w:fldChar w:fldCharType="begin"/>
      </w:r>
      <w:r>
        <w:instrText xml:space="preserve"> REF _Ref317679620 \h  \* MERGEFORMAT </w:instrText>
      </w:r>
      <w:r>
        <w:fldChar w:fldCharType="separate"/>
      </w:r>
      <w:r>
        <w:t xml:space="preserve">182</w:t>
      </w:r>
      <w:r>
        <w:fldChar w:fldCharType="end"/>
      </w:r>
      <w:r>
        <w:t xml:space="preserve">.</w:t>
      </w:r>
      <w:r/>
    </w:p>
    <w:p>
      <w:pPr>
        <w:pStyle w:val="993"/>
      </w:pPr>
      <w:r>
        <w:fldChar w:fldCharType="begin"/>
      </w:r>
      <w:r>
        <w:instrText xml:space="preserve"> SEQ Таблица \* ARABIC </w:instrText>
      </w:r>
      <w:r>
        <w:fldChar w:fldCharType="separate"/>
      </w:r>
      <w:bookmarkStart w:id="2046" w:name="_Ref317679620"/>
      <w:r/>
      <w:bookmarkStart w:id="2047" w:name="_Toc88819369"/>
      <w:r>
        <w:t xml:space="preserve">182</w:t>
      </w:r>
      <w:bookmarkEnd w:id="2046"/>
      <w:r>
        <w:fldChar w:fldCharType="end"/>
      </w:r>
      <w:r>
        <w:t xml:space="preserve"> Описание полей документа </w:t>
      </w:r>
      <w:r>
        <w:t xml:space="preserve">«</w:t>
      </w:r>
      <w:r>
        <w:t xml:space="preserve">Заявка на внесение изменений в пер</w:t>
      </w:r>
      <w:r>
        <w:t xml:space="preserve">е</w:t>
      </w:r>
      <w:r>
        <w:t xml:space="preserve">чень ГМУ (основные реквизиты)</w:t>
      </w:r>
      <w:r>
        <w:t xml:space="preserve">», </w:t>
      </w:r>
      <w:r>
        <w:t xml:space="preserve">в</w:t>
      </w:r>
      <w:r>
        <w:t xml:space="preserve">кладки «</w:t>
      </w:r>
      <w:r>
        <w:t xml:space="preserve">Подтве</w:t>
      </w:r>
      <w:r>
        <w:t xml:space="preserve">р</w:t>
      </w:r>
      <w:r>
        <w:t xml:space="preserve">ждающие документы</w:t>
      </w:r>
      <w:r>
        <w:t xml:space="preserve">»</w:t>
      </w:r>
      <w:bookmarkEnd w:id="2047"/>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750"/>
        <w:gridCol w:w="7002"/>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410"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590"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«Информация об подтверждающих документах»</w:t>
            </w:r>
            <w:r/>
          </w:p>
        </w:tc>
      </w:tr>
      <w:tr>
        <w:trPr/>
        <w:tc>
          <w:tcPr>
            <w:shd w:val="clear" w:fill="auto" w:color="auto"/>
            <w:tcW w:w="1410" w:type="pct"/>
            <w:textDirection w:val="lrTb"/>
            <w:noWrap w:val="false"/>
          </w:tcPr>
          <w:p>
            <w:pPr>
              <w:pStyle w:val="1005"/>
              <w:ind w:left="57" w:right="57"/>
            </w:pPr>
            <w:r>
              <w:t xml:space="preserve">Наименование докуме</w:t>
            </w:r>
            <w:r>
              <w:t xml:space="preserve">нта</w:t>
            </w:r>
            <w:r/>
          </w:p>
        </w:tc>
        <w:tc>
          <w:tcPr>
            <w:shd w:val="clear" w:fill="auto" w:color="auto"/>
            <w:tcW w:w="3590" w:type="pct"/>
            <w:textDirection w:val="lrTb"/>
            <w:noWrap w:val="false"/>
          </w:tcPr>
          <w:p>
            <w:pPr>
              <w:pStyle w:val="1005"/>
              <w:ind w:left="57" w:right="57"/>
            </w:pPr>
            <w:r>
              <w:t xml:space="preserve">Заполнение:</w:t>
            </w:r>
            <w:r/>
          </w:p>
          <w:p>
            <w:pPr>
              <w:pStyle w:val="1007"/>
            </w:pPr>
            <w:r>
              <w:t xml:space="preserve">Импорт из внешней системы</w:t>
            </w:r>
            <w:r>
              <w:t xml:space="preserve">;</w:t>
            </w:r>
            <w:r/>
          </w:p>
          <w:p>
            <w:pPr>
              <w:pStyle w:val="1007"/>
            </w:pPr>
            <w:r>
              <w:t xml:space="preserve">ДУБП: ввод значения вручную.</w:t>
            </w:r>
            <w:r/>
          </w:p>
        </w:tc>
      </w:tr>
      <w:tr>
        <w:trPr/>
        <w:tc>
          <w:tcPr>
            <w:shd w:val="clear" w:fill="auto" w:color="auto"/>
            <w:tcW w:w="1410" w:type="pct"/>
            <w:textDirection w:val="lrTb"/>
            <w:noWrap w:val="false"/>
          </w:tcPr>
          <w:p>
            <w:pPr>
              <w:pStyle w:val="1005"/>
              <w:ind w:left="57" w:right="57"/>
            </w:pPr>
            <w:r>
              <w:t xml:space="preserve">Дата формирования док</w:t>
            </w:r>
            <w:r>
              <w:t xml:space="preserve">умента</w:t>
            </w:r>
            <w:r/>
          </w:p>
        </w:tc>
        <w:tc>
          <w:tcPr>
            <w:shd w:val="clear" w:fill="auto" w:color="auto"/>
            <w:tcW w:w="3590" w:type="pct"/>
            <w:textDirection w:val="lrTb"/>
            <w:noWrap w:val="false"/>
          </w:tcPr>
          <w:p>
            <w:pPr>
              <w:pStyle w:val="1005"/>
              <w:ind w:left="57" w:right="57"/>
            </w:pPr>
            <w:r>
              <w:t xml:space="preserve">Заполнение:</w:t>
            </w:r>
            <w:r/>
          </w:p>
          <w:p>
            <w:pPr>
              <w:pStyle w:val="1007"/>
            </w:pPr>
            <w:r>
              <w:t xml:space="preserve">импорт из внешней системы</w:t>
            </w:r>
            <w:r>
              <w:t xml:space="preserve">;</w:t>
            </w:r>
            <w:r/>
          </w:p>
          <w:p>
            <w:pPr>
              <w:pStyle w:val="1007"/>
            </w:pPr>
            <w:r>
              <w:t xml:space="preserve">ДУБП: ввод значения вручную.</w:t>
            </w:r>
            <w:r/>
          </w:p>
        </w:tc>
      </w:tr>
      <w:tr>
        <w:trPr/>
        <w:tc>
          <w:tcPr>
            <w:shd w:val="clear" w:fill="auto" w:color="auto"/>
            <w:tcW w:w="1410" w:type="pct"/>
            <w:textDirection w:val="lrTb"/>
            <w:noWrap w:val="false"/>
          </w:tcPr>
          <w:p>
            <w:pPr>
              <w:pStyle w:val="1005"/>
              <w:ind w:left="57" w:right="57"/>
            </w:pPr>
            <w:r>
              <w:t xml:space="preserve">Ссылка для скачивания документа</w:t>
            </w:r>
            <w:r/>
          </w:p>
        </w:tc>
        <w:tc>
          <w:tcPr>
            <w:shd w:val="clear" w:fill="auto" w:color="auto"/>
            <w:tcW w:w="3590" w:type="pct"/>
            <w:textDirection w:val="lrTb"/>
            <w:noWrap w:val="false"/>
          </w:tcPr>
          <w:p>
            <w:pPr>
              <w:pStyle w:val="1005"/>
              <w:ind w:left="57" w:right="57"/>
            </w:pPr>
            <w:r>
              <w:t xml:space="preserve">Заполнение:</w:t>
            </w:r>
            <w:r/>
          </w:p>
          <w:p>
            <w:pPr>
              <w:pStyle w:val="1007"/>
            </w:pPr>
            <w:r>
              <w:t xml:space="preserve">импорт из внешней системы</w:t>
            </w:r>
            <w:r>
              <w:t xml:space="preserve">;</w:t>
            </w:r>
            <w:r/>
          </w:p>
          <w:p>
            <w:pPr>
              <w:pStyle w:val="1007"/>
            </w:pPr>
            <w:r>
              <w:t xml:space="preserve">ДУБП: ввод значения вручную.</w:t>
            </w:r>
            <w:r/>
          </w:p>
          <w:p>
            <w:pPr>
              <w:pStyle w:val="1005"/>
              <w:ind w:left="57" w:right="57"/>
            </w:pPr>
            <w:r>
              <w:t xml:space="preserve">Может не заполняться, если заполнено поле </w:t>
            </w:r>
            <w:r>
              <w:t xml:space="preserve">«Содержимое документа» или поле «Код документа».</w:t>
            </w:r>
            <w:r/>
          </w:p>
        </w:tc>
      </w:tr>
      <w:tr>
        <w:trPr/>
        <w:tc>
          <w:tcPr>
            <w:shd w:val="clear" w:fill="auto" w:color="auto"/>
            <w:tcW w:w="1410" w:type="pct"/>
            <w:textDirection w:val="lrTb"/>
            <w:noWrap w:val="false"/>
          </w:tcPr>
          <w:p>
            <w:pPr>
              <w:pStyle w:val="1005"/>
              <w:ind w:left="57" w:right="57"/>
            </w:pPr>
            <w:r>
              <w:t xml:space="preserve">Код документа</w:t>
            </w:r>
            <w:r/>
          </w:p>
        </w:tc>
        <w:tc>
          <w:tcPr>
            <w:shd w:val="clear" w:fill="auto" w:color="auto"/>
            <w:tcW w:w="3590" w:type="pct"/>
            <w:textDirection w:val="lrTb"/>
            <w:noWrap w:val="false"/>
          </w:tcPr>
          <w:p>
            <w:pPr>
              <w:pStyle w:val="1005"/>
              <w:ind w:left="57" w:right="57"/>
            </w:pPr>
            <w:r>
              <w:t xml:space="preserve">Может не заполняться, если заполнено поле </w:t>
            </w:r>
            <w:r>
              <w:t xml:space="preserve">«Ссылка для скачивания документа» или поле «Содержимое документа». Если указанные поля </w:t>
            </w:r>
            <w:r>
              <w:t xml:space="preserve">не заполнены, то поле обязательно для заполнения.</w:t>
            </w:r>
            <w:r/>
          </w:p>
        </w:tc>
      </w:tr>
      <w:tr>
        <w:trPr/>
        <w:tc>
          <w:tcPr>
            <w:shd w:val="clear" w:fill="auto" w:color="auto"/>
            <w:tcW w:w="1410" w:type="pct"/>
            <w:textDirection w:val="lrTb"/>
            <w:noWrap w:val="false"/>
          </w:tcPr>
          <w:p>
            <w:pPr>
              <w:pStyle w:val="1005"/>
              <w:ind w:left="57" w:right="57"/>
            </w:pPr>
            <w:r>
              <w:t xml:space="preserve">Содержимое документа</w:t>
            </w:r>
            <w:r/>
          </w:p>
        </w:tc>
        <w:tc>
          <w:tcPr>
            <w:shd w:val="clear" w:fill="auto" w:color="auto"/>
            <w:tcW w:w="3590" w:type="pct"/>
            <w:textDirection w:val="lrTb"/>
            <w:noWrap w:val="false"/>
          </w:tcPr>
          <w:p>
            <w:pPr>
              <w:pStyle w:val="1005"/>
              <w:ind w:left="57" w:right="57"/>
            </w:pPr>
            <w:r>
              <w:t xml:space="preserve">Используется стандартное вложение к д</w:t>
            </w:r>
            <w:r>
              <w:t xml:space="preserve">окументу.</w:t>
            </w:r>
            <w:r/>
          </w:p>
          <w:p>
            <w:pPr>
              <w:pStyle w:val="1005"/>
              <w:ind w:left="57" w:right="57"/>
            </w:pPr>
            <w:r>
              <w:t xml:space="preserve">Возможно добавление нескольких влож</w:t>
            </w:r>
            <w:r>
              <w:t xml:space="preserve">ений.</w:t>
            </w:r>
            <w:r/>
          </w:p>
          <w:p>
            <w:pPr>
              <w:pStyle w:val="1005"/>
              <w:ind w:left="57" w:right="57"/>
            </w:pPr>
            <w:r>
              <w:t xml:space="preserve">Может не заполняться, если заполнено поле </w:t>
            </w:r>
            <w:r>
              <w:t xml:space="preserve">«Ссылка» или поле «Код документа».</w:t>
            </w:r>
            <w:r/>
          </w:p>
        </w:tc>
      </w:tr>
    </w:tbl>
    <w:p>
      <w:pPr>
        <w:pStyle w:val="994"/>
      </w:pPr>
      <w:r>
        <w:t xml:space="preserve">ЭФ</w:t>
      </w:r>
      <w:r>
        <w:t xml:space="preserve"> документа</w:t>
      </w:r>
      <w:r>
        <w:t xml:space="preserve"> </w:t>
      </w:r>
      <w:r>
        <w:t xml:space="preserve">«</w:t>
      </w:r>
      <w:r>
        <w:t xml:space="preserve">Заявка на внесение изменений в перечень ГМУ (основные реквизиты)</w:t>
      </w:r>
      <w:r>
        <w:t xml:space="preserve">», закладки «</w:t>
      </w:r>
      <w:r>
        <w:t xml:space="preserve">Подписи</w:t>
      </w:r>
      <w:r>
        <w:t xml:space="preserve">»</w:t>
      </w:r>
      <w:r>
        <w:t xml:space="preserve"> </w:t>
      </w:r>
      <w:r>
        <w:t xml:space="preserve">представлен</w:t>
      </w:r>
      <w:r>
        <w:t xml:space="preserve">а</w:t>
      </w:r>
      <w:r>
        <w:t xml:space="preserve"> </w:t>
      </w:r>
      <w:r>
        <w:t xml:space="preserve">н</w:t>
      </w:r>
      <w:r>
        <w:t xml:space="preserve">а рисунке</w:t>
      </w:r>
      <w:r>
        <w:t xml:space="preserve"> </w:t>
      </w:r>
      <w:r>
        <w:fldChar w:fldCharType="begin"/>
      </w:r>
      <w:r>
        <w:instrText xml:space="preserve"> REF _Ref309739539 \h  \* MERGEFORMAT </w:instrText>
      </w:r>
      <w:r>
        <w:fldChar w:fldCharType="separate"/>
      </w:r>
      <w:r>
        <w:t xml:space="preserve">312</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011680"/>
                <wp:effectExtent l="0" t="0" r="0" b="0"/>
                <wp:docPr id="45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02"/>
                        <a:stretch/>
                      </pic:blipFill>
                      <pic:spPr bwMode="auto">
                        <a:xfrm>
                          <a:off x="0" y="0"/>
                          <a:ext cx="6126480" cy="20116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6" o:spid="_x0000_s456" type="#_x0000_t75" style="mso-wrap-distance-left:0.0pt;mso-wrap-distance-top:0.0pt;mso-wrap-distance-right:0.0pt;mso-wrap-distance-bottom:0.0pt;width:482.4pt;height:158.4pt;" stroked="f">
                <v:path textboxrect="0,0,0,0"/>
                <v:imagedata r:id="rId402" o:title=""/>
              </v:shape>
            </w:pict>
          </mc:Fallback>
        </mc:AlternateContent>
      </w:r>
      <w:r/>
    </w:p>
    <w:p>
      <w:pPr>
        <w:pStyle w:val="983"/>
      </w:pPr>
      <w:r>
        <w:fldChar w:fldCharType="begin"/>
      </w:r>
      <w:r>
        <w:instrText xml:space="preserve"> SEQ Рисунок \* ARABIC </w:instrText>
      </w:r>
      <w:r>
        <w:fldChar w:fldCharType="separate"/>
      </w:r>
      <w:bookmarkStart w:id="2048" w:name="_Ref309739539"/>
      <w:r/>
      <w:bookmarkStart w:id="2049" w:name="_Toc88819697"/>
      <w:r>
        <w:t xml:space="preserve">312</w:t>
      </w:r>
      <w:bookmarkEnd w:id="2048"/>
      <w:r>
        <w:fldChar w:fldCharType="end"/>
      </w:r>
      <w:r>
        <w:t xml:space="preserve">. ЭФ </w:t>
      </w:r>
      <w:r>
        <w:t xml:space="preserve">документа «</w:t>
      </w:r>
      <w:r>
        <w:t xml:space="preserve">Заявка на внесение изменений в перечень ГМУ (основные реквизиты)</w:t>
      </w:r>
      <w:r>
        <w:t xml:space="preserve">», закладки «</w:t>
      </w:r>
      <w:r>
        <w:t xml:space="preserve">Подписи</w:t>
      </w:r>
      <w:r>
        <w:t xml:space="preserve">»</w:t>
      </w:r>
      <w:bookmarkEnd w:id="2049"/>
      <w:r/>
      <w:r/>
    </w:p>
    <w:p>
      <w:pPr>
        <w:pStyle w:val="994"/>
      </w:pPr>
      <w:r>
        <w:t xml:space="preserve">Перечень</w:t>
      </w:r>
      <w:r>
        <w:t xml:space="preserve"> полей</w:t>
      </w:r>
      <w:r>
        <w:t xml:space="preserve"> документа «</w:t>
      </w:r>
      <w:r>
        <w:t xml:space="preserve">Заявка на внесение изменений в перечень ГМУ (основные реквизиты)</w:t>
      </w:r>
      <w:r>
        <w:t xml:space="preserve">», закладки «</w:t>
      </w:r>
      <w:r>
        <w:t xml:space="preserve">Подписи</w:t>
      </w:r>
      <w:r>
        <w:t xml:space="preserve">»</w:t>
      </w:r>
      <w:r>
        <w:t xml:space="preserve"> </w:t>
      </w:r>
      <w:r>
        <w:t xml:space="preserve">приведен в таблице</w:t>
      </w:r>
      <w:r>
        <w:t xml:space="preserve"> </w:t>
      </w:r>
      <w:r>
        <w:fldChar w:fldCharType="begin"/>
      </w:r>
      <w:r>
        <w:instrText xml:space="preserve"> REF _Ref318715871 \h  \* MERGEFORMAT </w:instrText>
      </w:r>
      <w:r>
        <w:fldChar w:fldCharType="separate"/>
      </w:r>
      <w:r>
        <w:t xml:space="preserve">183</w:t>
      </w:r>
      <w:r>
        <w:fldChar w:fldCharType="end"/>
      </w:r>
      <w:r>
        <w:t xml:space="preserve">.</w:t>
      </w:r>
      <w:r/>
    </w:p>
    <w:p>
      <w:pPr>
        <w:pStyle w:val="993"/>
      </w:pPr>
      <w:r>
        <w:fldChar w:fldCharType="begin"/>
      </w:r>
      <w:r>
        <w:instrText xml:space="preserve"> SEQ Таблица \* ARABIC </w:instrText>
      </w:r>
      <w:r>
        <w:fldChar w:fldCharType="separate"/>
      </w:r>
      <w:bookmarkStart w:id="2050" w:name="_Ref318715871"/>
      <w:r/>
      <w:bookmarkStart w:id="2051" w:name="_Ref317679643"/>
      <w:r/>
      <w:bookmarkStart w:id="2052" w:name="_Toc88819370"/>
      <w:r>
        <w:t xml:space="preserve">183</w:t>
      </w:r>
      <w:bookmarkEnd w:id="2050"/>
      <w:r/>
      <w:bookmarkEnd w:id="2051"/>
      <w:r>
        <w:fldChar w:fldCharType="end"/>
      </w:r>
      <w:r>
        <w:t xml:space="preserve">. Описание полей документа </w:t>
      </w:r>
      <w:r>
        <w:t xml:space="preserve">«</w:t>
      </w:r>
      <w:r>
        <w:t xml:space="preserve">Заявка на внесение изменений в пер</w:t>
      </w:r>
      <w:r>
        <w:t xml:space="preserve">е</w:t>
      </w:r>
      <w:r>
        <w:t xml:space="preserve">чень ГМУ (основные реквизиты)</w:t>
      </w:r>
      <w:r>
        <w:t xml:space="preserve">», закладки «</w:t>
      </w:r>
      <w:r>
        <w:t xml:space="preserve">Подписи</w:t>
      </w:r>
      <w:r>
        <w:t xml:space="preserve">»</w:t>
      </w:r>
      <w:bookmarkEnd w:id="2052"/>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621"/>
        <w:gridCol w:w="7131"/>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34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656"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«Реквизиты исполнителя»</w:t>
            </w:r>
            <w:r/>
          </w:p>
        </w:tc>
      </w:tr>
      <w:tr>
        <w:trPr/>
        <w:tc>
          <w:tcPr>
            <w:shd w:val="clear" w:fill="auto" w:color="auto"/>
            <w:tcW w:w="1344" w:type="pct"/>
            <w:textDirection w:val="lrTb"/>
            <w:noWrap w:val="false"/>
          </w:tcPr>
          <w:p>
            <w:pPr>
              <w:pStyle w:val="1005"/>
              <w:ind w:left="57" w:right="57"/>
            </w:pPr>
            <w:r>
              <w:t xml:space="preserve">Расшифровка подписи</w:t>
            </w:r>
            <w:r/>
          </w:p>
        </w:tc>
        <w:tc>
          <w:tcPr>
            <w:shd w:val="clear" w:fill="auto" w:color="auto"/>
            <w:tcW w:w="3656" w:type="pct"/>
            <w:textDirection w:val="lrTb"/>
            <w:noWrap w:val="false"/>
          </w:tcPr>
          <w:p>
            <w:pPr>
              <w:pStyle w:val="1005"/>
              <w:ind w:left="57" w:right="57"/>
            </w:pPr>
            <w:r>
              <w:t xml:space="preserve">Заполнение</w:t>
            </w:r>
            <w:r>
              <w:t xml:space="preserve">:</w:t>
            </w:r>
            <w:r/>
          </w:p>
          <w:p>
            <w:pPr>
              <w:pStyle w:val="1007"/>
            </w:pPr>
            <w:r>
              <w:t xml:space="preserve">импорт из внешней системы</w:t>
            </w:r>
            <w:r>
              <w:t xml:space="preserve">;</w:t>
            </w:r>
            <w:r/>
          </w:p>
          <w:p>
            <w:pPr>
              <w:pStyle w:val="1007"/>
            </w:pPr>
            <w:r>
              <w:t xml:space="preserve">ДУБП: ввод значения</w:t>
            </w:r>
            <w:r>
              <w:t xml:space="preserve"> </w:t>
            </w:r>
            <w:r>
              <w:t xml:space="preserve">вручную.</w:t>
            </w:r>
            <w:r/>
          </w:p>
        </w:tc>
      </w:tr>
      <w:tr>
        <w:trPr/>
        <w:tc>
          <w:tcPr>
            <w:shd w:val="clear" w:fill="auto" w:color="auto"/>
            <w:tcW w:w="1344" w:type="pct"/>
            <w:textDirection w:val="lrTb"/>
            <w:noWrap w:val="false"/>
          </w:tcPr>
          <w:p>
            <w:pPr>
              <w:pStyle w:val="1005"/>
              <w:ind w:left="57" w:right="57"/>
            </w:pPr>
            <w:r>
              <w:t xml:space="preserve">Должность</w:t>
            </w:r>
            <w:r/>
          </w:p>
        </w:tc>
        <w:tc>
          <w:tcPr>
            <w:shd w:val="clear" w:fill="auto" w:color="auto"/>
            <w:tcW w:w="3656" w:type="pct"/>
            <w:textDirection w:val="lrTb"/>
            <w:noWrap w:val="false"/>
          </w:tcPr>
          <w:p>
            <w:pPr>
              <w:pStyle w:val="1005"/>
              <w:ind w:left="57" w:right="57"/>
            </w:pPr>
            <w:r>
              <w:t xml:space="preserve">Заполнение</w:t>
            </w:r>
            <w:r>
              <w:t xml:space="preserve">:</w:t>
            </w:r>
            <w:r/>
          </w:p>
          <w:p>
            <w:pPr>
              <w:pStyle w:val="1007"/>
            </w:pPr>
            <w:r>
              <w:t xml:space="preserve">импорт из внешней системы</w:t>
            </w:r>
            <w:r>
              <w:t xml:space="preserve">;</w:t>
            </w:r>
            <w:r/>
          </w:p>
          <w:p>
            <w:pPr>
              <w:pStyle w:val="1007"/>
            </w:pPr>
            <w:r>
              <w:t xml:space="preserve">ДУБП: ввод значения</w:t>
            </w:r>
            <w:r>
              <w:t xml:space="preserve"> </w:t>
            </w:r>
            <w:r>
              <w:t xml:space="preserve">вручную.</w:t>
            </w:r>
            <w:r/>
          </w:p>
        </w:tc>
      </w:tr>
      <w:tr>
        <w:trPr/>
        <w:tc>
          <w:tcPr>
            <w:shd w:val="clear" w:fill="auto" w:color="auto"/>
            <w:tcW w:w="1344" w:type="pct"/>
            <w:textDirection w:val="lrTb"/>
            <w:noWrap w:val="false"/>
          </w:tcPr>
          <w:p>
            <w:pPr>
              <w:pStyle w:val="1005"/>
              <w:ind w:left="57" w:right="57"/>
            </w:pPr>
            <w:r>
              <w:t xml:space="preserve">Телефон</w:t>
            </w:r>
            <w:r/>
          </w:p>
        </w:tc>
        <w:tc>
          <w:tcPr>
            <w:shd w:val="clear" w:fill="auto" w:color="auto"/>
            <w:tcW w:w="3656" w:type="pct"/>
            <w:textDirection w:val="lrTb"/>
            <w:noWrap w:val="false"/>
          </w:tcPr>
          <w:p>
            <w:pPr>
              <w:pStyle w:val="1005"/>
              <w:ind w:left="57" w:right="57"/>
            </w:pPr>
            <w:r>
              <w:t xml:space="preserve">Заполнение</w:t>
            </w:r>
            <w:r>
              <w:t xml:space="preserve">:</w:t>
            </w:r>
            <w:r/>
          </w:p>
          <w:p>
            <w:pPr>
              <w:pStyle w:val="1007"/>
            </w:pPr>
            <w:r>
              <w:t xml:space="preserve">импорт из внешней системы</w:t>
            </w:r>
            <w:r>
              <w:t xml:space="preserve">;</w:t>
            </w:r>
            <w:r/>
          </w:p>
          <w:p>
            <w:pPr>
              <w:pStyle w:val="1007"/>
            </w:pPr>
            <w:r>
              <w:t xml:space="preserve">ДУБП: ввод значения</w:t>
            </w:r>
            <w:r>
              <w:t xml:space="preserve"> </w:t>
            </w:r>
            <w:r>
              <w:t xml:space="preserve">вручную.</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«Реквизиты руководителя (уполномоченное лицо)»</w:t>
            </w:r>
            <w:r/>
          </w:p>
        </w:tc>
      </w:tr>
      <w:tr>
        <w:trPr/>
        <w:tc>
          <w:tcPr>
            <w:shd w:val="clear" w:fill="auto" w:color="auto"/>
            <w:tcW w:w="1344" w:type="pct"/>
            <w:textDirection w:val="lrTb"/>
            <w:noWrap w:val="false"/>
          </w:tcPr>
          <w:p>
            <w:pPr>
              <w:pStyle w:val="1005"/>
              <w:ind w:left="57" w:right="57"/>
            </w:pPr>
            <w:r>
              <w:t xml:space="preserve">Расшифровка подписи</w:t>
            </w:r>
            <w:r/>
          </w:p>
        </w:tc>
        <w:tc>
          <w:tcPr>
            <w:shd w:val="clear" w:fill="auto" w:color="auto"/>
            <w:tcW w:w="3656" w:type="pct"/>
            <w:textDirection w:val="lrTb"/>
            <w:noWrap w:val="false"/>
          </w:tcPr>
          <w:p>
            <w:pPr>
              <w:pStyle w:val="1005"/>
              <w:ind w:left="57" w:right="57"/>
            </w:pPr>
            <w:r>
              <w:t xml:space="preserve">Заполнение</w:t>
            </w:r>
            <w:r>
              <w:t xml:space="preserve">:</w:t>
            </w:r>
            <w:r/>
          </w:p>
          <w:p>
            <w:pPr>
              <w:pStyle w:val="1007"/>
            </w:pPr>
            <w:r>
              <w:t xml:space="preserve">импорт из внешней системы</w:t>
            </w:r>
            <w:r>
              <w:t xml:space="preserve">;</w:t>
            </w:r>
            <w:r/>
          </w:p>
          <w:p>
            <w:pPr>
              <w:pStyle w:val="1007"/>
            </w:pPr>
            <w:r>
              <w:t xml:space="preserve">ДУБП: ввод значения</w:t>
            </w:r>
            <w:r>
              <w:t xml:space="preserve"> </w:t>
            </w:r>
            <w:r>
              <w:t xml:space="preserve">вручную.</w:t>
            </w:r>
            <w:r/>
          </w:p>
        </w:tc>
      </w:tr>
      <w:tr>
        <w:trPr/>
        <w:tc>
          <w:tcPr>
            <w:shd w:val="clear" w:fill="auto" w:color="auto"/>
            <w:tcW w:w="1344" w:type="pct"/>
            <w:textDirection w:val="lrTb"/>
            <w:noWrap w:val="false"/>
          </w:tcPr>
          <w:p>
            <w:pPr>
              <w:pStyle w:val="1005"/>
              <w:ind w:left="57" w:right="57"/>
            </w:pPr>
            <w:r>
              <w:t xml:space="preserve">Должность</w:t>
            </w:r>
            <w:r/>
          </w:p>
        </w:tc>
        <w:tc>
          <w:tcPr>
            <w:shd w:val="clear" w:fill="auto" w:color="auto"/>
            <w:tcW w:w="3656" w:type="pct"/>
            <w:textDirection w:val="lrTb"/>
            <w:noWrap w:val="false"/>
          </w:tcPr>
          <w:p>
            <w:pPr>
              <w:pStyle w:val="1005"/>
              <w:ind w:left="57" w:right="57"/>
            </w:pPr>
            <w:r>
              <w:t xml:space="preserve">Заполнение:</w:t>
            </w:r>
            <w:r/>
          </w:p>
          <w:p>
            <w:pPr>
              <w:pStyle w:val="1007"/>
            </w:pPr>
            <w:r>
              <w:t xml:space="preserve">импорт из внешней системы</w:t>
            </w:r>
            <w:r>
              <w:t xml:space="preserve">;</w:t>
            </w:r>
            <w:r/>
          </w:p>
          <w:p>
            <w:pPr>
              <w:pStyle w:val="1007"/>
            </w:pPr>
            <w:r>
              <w:t xml:space="preserve">ДУБП: ввод значения</w:t>
            </w:r>
            <w:r>
              <w:t xml:space="preserve"> </w:t>
            </w:r>
            <w:r>
              <w:t xml:space="preserve">вручную.</w:t>
            </w:r>
            <w:r/>
          </w:p>
        </w:tc>
      </w:tr>
    </w:tbl>
    <w:p>
      <w:pPr>
        <w:pStyle w:val="972"/>
      </w:pPr>
      <w:r/>
      <w:bookmarkStart w:id="2053" w:name="_Toc422496752"/>
      <w:r/>
      <w:bookmarkStart w:id="2054" w:name="_Toc88819177"/>
      <w:r>
        <w:t xml:space="preserve">Заявка на внесение изменений в перечень ГМУ (дополнительные реквизиты)</w:t>
      </w:r>
      <w:bookmarkEnd w:id="2053"/>
      <w:r/>
      <w:bookmarkEnd w:id="2054"/>
      <w:r/>
      <w:r/>
    </w:p>
    <w:p>
      <w:pPr>
        <w:pStyle w:val="994"/>
      </w:pPr>
      <w:r>
        <w:t xml:space="preserve">Визуальная форма для документа «Заявка на внесение изменений в перечень ГМУ (д</w:t>
      </w:r>
      <w:r>
        <w:t xml:space="preserve">о</w:t>
      </w:r>
      <w:r>
        <w:t xml:space="preserve">полнительные реквизиты)» не требуется (документ предоставляется с ОС ГМУ на уровень ЦАФК в формате ГМУ).</w:t>
      </w:r>
      <w:r/>
    </w:p>
    <w:p>
      <w:pPr>
        <w:pStyle w:val="972"/>
      </w:pPr>
      <w:r/>
      <w:bookmarkStart w:id="2055" w:name="_Toc422496753"/>
      <w:r/>
      <w:bookmarkStart w:id="2056" w:name="_Ref430184820"/>
      <w:r/>
      <w:bookmarkStart w:id="2057" w:name="_Ref444682715"/>
      <w:r/>
      <w:bookmarkStart w:id="2058" w:name="_Toc88819178"/>
      <w:r>
        <w:t xml:space="preserve">Сведения об организации</w:t>
      </w:r>
      <w:bookmarkEnd w:id="2015"/>
      <w:r/>
      <w:bookmarkEnd w:id="2055"/>
      <w:r/>
      <w:bookmarkEnd w:id="2056"/>
      <w:r/>
      <w:bookmarkEnd w:id="2057"/>
      <w:r/>
      <w:bookmarkEnd w:id="2058"/>
      <w:r/>
      <w:r/>
    </w:p>
    <w:p>
      <w:pPr>
        <w:pStyle w:val="994"/>
      </w:pPr>
      <w:r>
        <w:t xml:space="preserve">Регистрация пользователей ООС осуществляется на основании документа «Сведения об организации», который предоставляется организацией в ОрФК в электронном виде или на бумажном носителе. При регистрации организация включа</w:t>
      </w:r>
      <w:r>
        <w:t xml:space="preserve">ется в справочник «Сводный перечень заказчиков» (СПЗ). В зависимости от значения поля «Вид операции» документ «Сведения об организации» предоставляется: для включения в СПЗ, внесения изменений в реквизиты, изменения/аннулирование полномочий или для отзыва.</w:t>
      </w:r>
      <w:r/>
    </w:p>
    <w:p>
      <w:pPr>
        <w:pStyle w:val="994"/>
      </w:pPr>
      <w:r>
        <w:t xml:space="preserve">Для документа «Сведения об организации» возможен импорт файла из ВС в соответствующем формате ТФФ на АРМ ДУБП, в случае формирования документа в стороннем </w:t>
      </w:r>
      <w:r>
        <w:t xml:space="preserve">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«Сведения об организации» с пометкой об отз</w:t>
      </w:r>
      <w:r>
        <w:t xml:space="preserve">ыве, на основании отзываемого ЭД «Сведения об организации» – функционал выбора родительского документа. На уровне УФК ЭД «Сведения об организации» выгружается в ППО «СЭД» для дальнейшей обработки в целях включения (изменение, исключение) организации в СПЗ.</w:t>
      </w:r>
      <w:r/>
    </w:p>
    <w:p>
      <w:pPr>
        <w:pStyle w:val="994"/>
      </w:pPr>
      <w:r>
        <w:t xml:space="preserve">Для работы с документами </w:t>
      </w:r>
      <w:r>
        <w:t xml:space="preserve">«Сведения об организации» </w:t>
      </w:r>
      <w:r>
        <w:t xml:space="preserve">следует перейти в пункт меню</w:t>
      </w:r>
      <w:r>
        <w:t xml:space="preserve"> «Документы – Регистрация пользователей на официальном сайте РФ – Сведения об организации». Откроется ЭФ списка документов, представленная на рисунке</w:t>
      </w:r>
      <w:r>
        <w:t xml:space="preserve"> </w:t>
      </w:r>
      <w:r>
        <w:fldChar w:fldCharType="begin"/>
      </w:r>
      <w:r>
        <w:instrText xml:space="preserve"> REF _Ref327441413 \h  \* MERGEFORMAT </w:instrText>
      </w:r>
      <w:r>
        <w:fldChar w:fldCharType="separate"/>
      </w:r>
      <w:r>
        <w:t xml:space="preserve">313</w:t>
      </w:r>
      <w:r>
        <w:fldChar w:fldCharType="end"/>
      </w:r>
      <w:r>
        <w:t xml:space="preserve">.</w:t>
      </w:r>
      <w:r/>
    </w:p>
    <w:p>
      <w:pPr>
        <w:pStyle w:val="982"/>
      </w:pPr>
      <w:r>
        <mc:AlternateContent>
          <mc:Choice Requires="wpg">
            <w:drawing>
              <wp:inline xmlns:wp="http://schemas.openxmlformats.org/drawingml/2006/wordprocessingDrawing" distT="0" distB="0" distL="0" distR="0">
                <wp:extent cx="6149340" cy="3749040"/>
                <wp:effectExtent l="0" t="0" r="0" b="0"/>
                <wp:docPr id="45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03"/>
                        <a:stretch/>
                      </pic:blipFill>
                      <pic:spPr bwMode="auto">
                        <a:xfrm>
                          <a:off x="0" y="0"/>
                          <a:ext cx="6149340" cy="37490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7" o:spid="_x0000_s457" type="#_x0000_t75" style="mso-wrap-distance-left:0.0pt;mso-wrap-distance-top:0.0pt;mso-wrap-distance-right:0.0pt;mso-wrap-distance-bottom:0.0pt;width:484.2pt;height:295.2pt;" stroked="f">
                <v:path textboxrect="0,0,0,0"/>
                <v:imagedata r:id="rId403" o:title=""/>
              </v:shape>
            </w:pict>
          </mc:Fallback>
        </mc:AlternateContent>
      </w:r>
      <w:r/>
    </w:p>
    <w:p>
      <w:pPr>
        <w:pStyle w:val="983"/>
      </w:pPr>
      <w:r>
        <w:fldChar w:fldCharType="begin"/>
      </w:r>
      <w:r>
        <w:instrText xml:space="preserve"> SEQ Рисунок \* ARABIC </w:instrText>
      </w:r>
      <w:r>
        <w:fldChar w:fldCharType="separate"/>
      </w:r>
      <w:bookmarkStart w:id="2059" w:name="_Ref327441413"/>
      <w:r/>
      <w:bookmarkStart w:id="2060" w:name="_Toc88819698"/>
      <w:r>
        <w:t xml:space="preserve">313</w:t>
      </w:r>
      <w:bookmarkEnd w:id="2059"/>
      <w:r>
        <w:fldChar w:fldCharType="end"/>
      </w:r>
      <w:r>
        <w:t xml:space="preserve">. ЭФ списка документов «Сведения об организации»</w:t>
      </w:r>
      <w:bookmarkEnd w:id="2060"/>
      <w:r/>
      <w:r/>
    </w:p>
    <w:p>
      <w:pPr>
        <w:pStyle w:val="973"/>
      </w:pPr>
      <w:r>
        <w:t xml:space="preserve">Доступные операции</w:t>
      </w:r>
      <w:r/>
    </w:p>
    <w:p>
      <w:pPr>
        <w:pStyle w:val="994"/>
      </w:pPr>
      <w:r/>
      <w:bookmarkStart w:id="2061" w:name="_Ref320616509"/>
      <w:r>
        <w:t xml:space="preserve">На АРМ </w:t>
      </w:r>
      <w:r>
        <w:t xml:space="preserve">ФО</w:t>
      </w:r>
      <w:r>
        <w:t xml:space="preserve"> </w:t>
      </w:r>
      <w:r>
        <w:t xml:space="preserve">доступны следующие операции над документом</w:t>
      </w:r>
      <w:r>
        <w:t xml:space="preserve">: </w:t>
      </w:r>
      <w:r/>
    </w:p>
    <w:p>
      <w:pPr>
        <w:pStyle w:val="985"/>
      </w:pPr>
      <w:r>
        <w:t xml:space="preserve">ручной ввод;</w:t>
      </w:r>
      <w:r/>
    </w:p>
    <w:p>
      <w:pPr>
        <w:pStyle w:val="985"/>
      </w:pPr>
      <w:r>
        <w:t xml:space="preserve">создание на основе родительского документа;</w:t>
      </w:r>
      <w:r/>
    </w:p>
    <w:p>
      <w:pPr>
        <w:pStyle w:val="985"/>
      </w:pPr>
      <w:r>
        <w:t xml:space="preserve">просмотр и редактирование;</w:t>
      </w:r>
      <w:r/>
    </w:p>
    <w:p>
      <w:pPr>
        <w:pStyle w:val="985"/>
      </w:pPr>
      <w:r>
        <w:t xml:space="preserve">копирование и </w:t>
      </w:r>
      <w:r>
        <w:t xml:space="preserve">удаление;</w:t>
      </w:r>
      <w:r/>
    </w:p>
    <w:p>
      <w:pPr>
        <w:pStyle w:val="985"/>
      </w:pPr>
      <w:r>
        <w:t xml:space="preserve">подписание и проверка </w:t>
      </w:r>
      <w:r>
        <w:t xml:space="preserve">ЭП</w:t>
      </w:r>
      <w:r>
        <w:t xml:space="preserve">;</w:t>
      </w:r>
      <w:r/>
    </w:p>
    <w:p>
      <w:pPr>
        <w:pStyle w:val="985"/>
      </w:pPr>
      <w:r>
        <w:t xml:space="preserve">импорт из внешней системы.</w:t>
      </w:r>
      <w:r/>
    </w:p>
    <w:p>
      <w:pPr>
        <w:pStyle w:val="973"/>
      </w:pPr>
      <w:r>
        <w:t xml:space="preserve">Экранная форма документа</w:t>
      </w:r>
      <w:bookmarkEnd w:id="2061"/>
      <w:r/>
      <w:r/>
    </w:p>
    <w:p>
      <w:pPr>
        <w:pStyle w:val="994"/>
      </w:pPr>
      <w:r/>
      <w:bookmarkStart w:id="2062" w:name="_Toc356375655"/>
      <w:r/>
      <w:bookmarkStart w:id="2063" w:name="_Ref356406302"/>
      <w:r/>
      <w:bookmarkStart w:id="2064" w:name="_Toc422496754"/>
      <w:r/>
      <w:bookmarkStart w:id="2065" w:name="_Toc356297990"/>
      <w:r>
        <w:t xml:space="preserve">ЭФ документа </w:t>
      </w:r>
      <w:r>
        <w:t xml:space="preserve">«</w:t>
      </w:r>
      <w:r>
        <w:t xml:space="preserve">Сведения об организации</w:t>
      </w:r>
      <w:r>
        <w:t xml:space="preserve">»</w:t>
      </w:r>
      <w:r>
        <w:t xml:space="preserve"> представлена на рисунках</w:t>
      </w:r>
      <w:r>
        <w:t xml:space="preserve"> </w:t>
      </w:r>
      <w:r>
        <w:fldChar w:fldCharType="begin"/>
      </w:r>
      <w:r>
        <w:instrText xml:space="preserve"> REF _Ref327441367 \h  \* MERGEFORMAT </w:instrText>
      </w:r>
      <w:r>
        <w:fldChar w:fldCharType="separate"/>
      </w:r>
      <w:r>
        <w:t xml:space="preserve">314</w:t>
      </w:r>
      <w:r>
        <w:fldChar w:fldCharType="end"/>
      </w:r>
      <w:r>
        <w:t xml:space="preserve">-</w:t>
      </w:r>
      <w:r>
        <w:fldChar w:fldCharType="begin"/>
      </w:r>
      <w:r>
        <w:instrText xml:space="preserve"> REF _Ref444680411 \h </w:instrText>
      </w:r>
      <w:r>
        <w:fldChar w:fldCharType="separate"/>
      </w:r>
      <w:r>
        <w:t xml:space="preserve">319</w:t>
      </w:r>
      <w:r>
        <w:fldChar w:fldCharType="end"/>
      </w:r>
      <w:r>
        <w:t xml:space="preserve">. Форма содержит следующие з</w:t>
      </w:r>
      <w:r>
        <w:t xml:space="preserve">а</w:t>
      </w:r>
      <w:r>
        <w:t xml:space="preserve">кладки:</w:t>
      </w:r>
      <w:r/>
    </w:p>
    <w:p>
      <w:pPr>
        <w:pStyle w:val="985"/>
      </w:pPr>
      <w:r>
        <w:t xml:space="preserve">«</w:t>
      </w:r>
      <w:r>
        <w:t xml:space="preserve">Основные а</w:t>
      </w:r>
      <w:r>
        <w:t xml:space="preserve">т</w:t>
      </w:r>
      <w:r>
        <w:t xml:space="preserve">рибуты</w:t>
      </w:r>
      <w:r>
        <w:t xml:space="preserve"> (1)»</w:t>
      </w:r>
      <w:r>
        <w:t xml:space="preserve">; </w:t>
      </w:r>
      <w:r/>
    </w:p>
    <w:p>
      <w:pPr>
        <w:pStyle w:val="985"/>
      </w:pPr>
      <w:r>
        <w:t xml:space="preserve">«</w:t>
      </w:r>
      <w:r>
        <w:t xml:space="preserve">Полномочия и бюджеты</w:t>
      </w:r>
      <w:r>
        <w:t xml:space="preserve"> (2)»</w:t>
      </w:r>
      <w:r>
        <w:t xml:space="preserve">; </w:t>
      </w:r>
      <w:r/>
    </w:p>
    <w:p>
      <w:pPr>
        <w:pStyle w:val="985"/>
      </w:pPr>
      <w:r>
        <w:t xml:space="preserve">«Сведения о счетах (3)»</w:t>
      </w:r>
      <w:r>
        <w:t xml:space="preserve">;</w:t>
      </w:r>
      <w:r/>
    </w:p>
    <w:p>
      <w:pPr>
        <w:pStyle w:val="985"/>
      </w:pPr>
      <w:r>
        <w:t xml:space="preserve">«</w:t>
      </w:r>
      <w:r>
        <w:t xml:space="preserve">Подписи д</w:t>
      </w:r>
      <w:r>
        <w:t xml:space="preserve">о</w:t>
      </w:r>
      <w:r>
        <w:t xml:space="preserve">кумента</w:t>
      </w:r>
      <w:r>
        <w:t xml:space="preserve"> (4)»</w:t>
      </w:r>
      <w:r>
        <w:t xml:space="preserve">;</w:t>
      </w:r>
      <w:r/>
    </w:p>
    <w:p>
      <w:pPr>
        <w:pStyle w:val="985"/>
      </w:pPr>
      <w:r>
        <w:t xml:space="preserve">«</w:t>
      </w:r>
      <w:r>
        <w:t xml:space="preserve">Примечание</w:t>
      </w:r>
      <w:r>
        <w:t xml:space="preserve"> (5)»</w:t>
      </w:r>
      <w:r>
        <w:t xml:space="preserve">;</w:t>
      </w:r>
      <w:r/>
    </w:p>
    <w:p>
      <w:pPr>
        <w:pStyle w:val="985"/>
      </w:pPr>
      <w:r>
        <w:t xml:space="preserve">«</w:t>
      </w:r>
      <w:r>
        <w:t xml:space="preserve">Полномочия организации до 01.01.2016</w:t>
      </w:r>
      <w:r>
        <w:t xml:space="preserve">»;</w:t>
      </w:r>
      <w:r/>
    </w:p>
    <w:p>
      <w:pPr>
        <w:pStyle w:val="985"/>
      </w:pPr>
      <w:r>
        <w:t xml:space="preserve">«</w:t>
      </w:r>
      <w:r>
        <w:t xml:space="preserve">Системные атр</w:t>
      </w:r>
      <w:r>
        <w:t xml:space="preserve">и</w:t>
      </w:r>
      <w:r>
        <w:t xml:space="preserve">буты</w:t>
      </w:r>
      <w:r>
        <w:t xml:space="preserve">»</w:t>
      </w:r>
      <w:r>
        <w:t xml:space="preserve">;</w:t>
      </w:r>
      <w:r/>
    </w:p>
    <w:p>
      <w:pPr>
        <w:pStyle w:val="985"/>
      </w:pPr>
      <w:r>
        <w:t xml:space="preserve">«</w:t>
      </w:r>
      <w:r>
        <w:t xml:space="preserve">Протоколы</w:t>
      </w:r>
      <w:r>
        <w:t xml:space="preserve">»</w:t>
      </w:r>
      <w:r>
        <w:t xml:space="preserve">.</w:t>
      </w:r>
      <w:r/>
    </w:p>
    <w:p>
      <w:pPr>
        <w:pStyle w:val="982"/>
      </w:pPr>
      <w:r>
        <mc:AlternateContent>
          <mc:Choice Requires="wpg">
            <w:drawing>
              <wp:inline xmlns:wp="http://schemas.openxmlformats.org/drawingml/2006/wordprocessingDrawing" distT="0" distB="0" distL="0" distR="0">
                <wp:extent cx="6042660" cy="6675120"/>
                <wp:effectExtent l="0" t="0" r="0" b="0"/>
                <wp:docPr id="45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04"/>
                        <a:stretch/>
                      </pic:blipFill>
                      <pic:spPr bwMode="auto">
                        <a:xfrm>
                          <a:off x="0" y="0"/>
                          <a:ext cx="6042660" cy="66751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8" o:spid="_x0000_s458" type="#_x0000_t75" style="mso-wrap-distance-left:0.0pt;mso-wrap-distance-top:0.0pt;mso-wrap-distance-right:0.0pt;mso-wrap-distance-bottom:0.0pt;width:475.8pt;height:525.6pt;" stroked="f">
                <v:path textboxrect="0,0,0,0"/>
                <v:imagedata r:id="rId404" o:title=""/>
              </v:shape>
            </w:pict>
          </mc:Fallback>
        </mc:AlternateContent>
      </w:r>
      <w:r/>
    </w:p>
    <w:p>
      <w:pPr>
        <w:pStyle w:val="983"/>
      </w:pPr>
      <w:r>
        <w:fldChar w:fldCharType="begin"/>
      </w:r>
      <w:r>
        <w:instrText xml:space="preserve"> SEQ Рисунок \* ARABIC </w:instrText>
      </w:r>
      <w:r>
        <w:fldChar w:fldCharType="separate"/>
      </w:r>
      <w:bookmarkStart w:id="2066" w:name="_Ref327441367"/>
      <w:r/>
      <w:bookmarkStart w:id="2067" w:name="_Toc88819699"/>
      <w:r>
        <w:t xml:space="preserve">314</w:t>
      </w:r>
      <w:bookmarkEnd w:id="2066"/>
      <w:r>
        <w:fldChar w:fldCharType="end"/>
      </w:r>
      <w:r>
        <w:t xml:space="preserve">. ЭФ </w:t>
      </w:r>
      <w:r>
        <w:t xml:space="preserve">документа «</w:t>
      </w:r>
      <w:r>
        <w:t xml:space="preserve">Сведения об организации</w:t>
      </w:r>
      <w:r>
        <w:t xml:space="preserve">», закладки «</w:t>
      </w:r>
      <w:r>
        <w:t xml:space="preserve">Основные атриб</w:t>
      </w:r>
      <w:r>
        <w:t xml:space="preserve">у</w:t>
      </w:r>
      <w:r>
        <w:t xml:space="preserve">ты</w:t>
      </w:r>
      <w:r>
        <w:t xml:space="preserve"> (1)»</w:t>
      </w:r>
      <w:bookmarkEnd w:id="2067"/>
      <w:r/>
      <w:r/>
    </w:p>
    <w:p>
      <w:pPr>
        <w:pStyle w:val="994"/>
      </w:pPr>
      <w:r>
        <w:t xml:space="preserve">Перечень </w:t>
      </w:r>
      <w:r>
        <w:t xml:space="preserve">полей </w:t>
      </w:r>
      <w:r>
        <w:t xml:space="preserve">документа </w:t>
      </w:r>
      <w:r>
        <w:t xml:space="preserve">«</w:t>
      </w:r>
      <w:r>
        <w:t xml:space="preserve">Сведения об организации</w:t>
      </w:r>
      <w:r>
        <w:t xml:space="preserve">», </w:t>
      </w:r>
      <w:r>
        <w:t xml:space="preserve">закладки </w:t>
      </w:r>
      <w:r>
        <w:t xml:space="preserve">«</w:t>
      </w:r>
      <w:r>
        <w:t xml:space="preserve">Основные атрибуты</w:t>
      </w:r>
      <w:r>
        <w:t xml:space="preserve"> (1)»</w:t>
      </w:r>
      <w:r>
        <w:t xml:space="preserve"> </w:t>
      </w:r>
      <w:r>
        <w:t xml:space="preserve">приведен в таблице</w:t>
      </w:r>
      <w:r>
        <w:t xml:space="preserve"> </w:t>
      </w:r>
      <w:r>
        <w:fldChar w:fldCharType="begin"/>
      </w:r>
      <w:r>
        <w:instrText xml:space="preserve"> REF _Ref327441328 \h  \* MERGEFORMAT </w:instrText>
      </w:r>
      <w:r>
        <w:fldChar w:fldCharType="separate"/>
      </w:r>
      <w:r>
        <w:t xml:space="preserve">184</w:t>
      </w:r>
      <w:r>
        <w:fldChar w:fldCharType="end"/>
      </w:r>
      <w:r>
        <w:t xml:space="preserve">.</w:t>
      </w:r>
      <w:r/>
    </w:p>
    <w:p>
      <w:pPr>
        <w:pStyle w:val="993"/>
      </w:pPr>
      <w:r>
        <w:fldChar w:fldCharType="begin"/>
      </w:r>
      <w:r>
        <w:instrText xml:space="preserve"> SEQ Таблица \* ARABIC </w:instrText>
      </w:r>
      <w:r>
        <w:fldChar w:fldCharType="separate"/>
      </w:r>
      <w:bookmarkStart w:id="2068" w:name="_Ref327441328"/>
      <w:r/>
      <w:bookmarkStart w:id="2069" w:name="_Toc88819371"/>
      <w:r>
        <w:t xml:space="preserve">184</w:t>
      </w:r>
      <w:bookmarkEnd w:id="2068"/>
      <w:r>
        <w:fldChar w:fldCharType="end"/>
      </w:r>
      <w:r>
        <w:t xml:space="preserve">. Описание полей документа </w:t>
      </w:r>
      <w:r>
        <w:t xml:space="preserve">«</w:t>
      </w:r>
      <w:r>
        <w:t xml:space="preserve">Сведения об организации</w:t>
      </w:r>
      <w:r>
        <w:t xml:space="preserve">», закладки «</w:t>
      </w:r>
      <w:r>
        <w:t xml:space="preserve">Основные атрибуты</w:t>
      </w:r>
      <w:r>
        <w:t xml:space="preserve"> (1)»</w:t>
      </w:r>
      <w:bookmarkEnd w:id="2069"/>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218"/>
        <w:gridCol w:w="7534"/>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1137"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63"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Группа полей </w:t>
            </w:r>
            <w:r>
              <w:t xml:space="preserve">«</w:t>
            </w:r>
            <w:r>
              <w:t xml:space="preserve">Общая информация</w:t>
            </w:r>
            <w:r>
              <w:t xml:space="preserve">»</w:t>
            </w:r>
            <w:r/>
          </w:p>
        </w:tc>
      </w:tr>
      <w:tr>
        <w:trPr/>
        <w:tc>
          <w:tcPr>
            <w:shd w:val="clear" w:fill="auto" w:color="auto"/>
            <w:tcW w:w="1137" w:type="pct"/>
            <w:textDirection w:val="lrTb"/>
            <w:noWrap w:val="false"/>
          </w:tcPr>
          <w:p>
            <w:pPr>
              <w:pStyle w:val="1005"/>
              <w:ind w:left="57" w:right="57"/>
            </w:pPr>
            <w:r>
              <w:t xml:space="preserve">Номер</w:t>
            </w:r>
            <w:r/>
          </w:p>
        </w:tc>
        <w:tc>
          <w:tcPr>
            <w:shd w:val="clear" w:fill="auto" w:color="auto"/>
            <w:tcW w:w="3863" w:type="pct"/>
            <w:textDirection w:val="lrTb"/>
            <w:noWrap w:val="false"/>
          </w:tcPr>
          <w:p>
            <w:pPr>
              <w:pStyle w:val="1005"/>
              <w:ind w:left="57" w:right="57"/>
            </w:pPr>
            <w:r>
              <w:t xml:space="preserve">Значение рассчитывается автоматически на основании настроек для текущ</w:t>
            </w:r>
            <w:r>
              <w:t xml:space="preserve">е</w:t>
            </w:r>
            <w:r>
              <w:t xml:space="preserve">го типа документа в справочнике </w:t>
            </w:r>
            <w:r>
              <w:t xml:space="preserve">«</w:t>
            </w:r>
            <w:r>
              <w:t xml:space="preserve">Параметры автонумерации документов</w:t>
            </w:r>
            <w:r>
              <w:t xml:space="preserve">»</w:t>
            </w:r>
            <w:r>
              <w:t xml:space="preserve">.</w:t>
            </w:r>
            <w:r>
              <w:t xml:space="preserve"> </w:t>
            </w:r>
            <w:r>
              <w:t xml:space="preserve">М</w:t>
            </w:r>
            <w:r>
              <w:t xml:space="preserve">о</w:t>
            </w:r>
            <w:r>
              <w:t xml:space="preserve">жет быть заполнено вручную.</w:t>
            </w:r>
            <w:r/>
          </w:p>
          <w:p>
            <w:pPr>
              <w:pStyle w:val="1005"/>
              <w:ind w:left="57" w:right="57"/>
            </w:pPr>
            <w:r>
              <w:t xml:space="preserve">В случае если значение было изменено вручную и не соответствует автомат</w:t>
            </w:r>
            <w:r>
              <w:t xml:space="preserve">и</w:t>
            </w:r>
            <w:r>
              <w:t xml:space="preserve">чески вычисленному значению, правильный порядковый номер может быть проставлен по нажатию кнопки.</w:t>
            </w:r>
            <w:r/>
          </w:p>
        </w:tc>
      </w:tr>
      <w:tr>
        <w:trPr/>
        <w:tc>
          <w:tcPr>
            <w:shd w:val="clear" w:fill="auto" w:color="auto"/>
            <w:tcW w:w="1137" w:type="pct"/>
            <w:textDirection w:val="lrTb"/>
            <w:noWrap w:val="false"/>
          </w:tcPr>
          <w:p>
            <w:pPr>
              <w:pStyle w:val="1005"/>
              <w:ind w:left="57" w:right="57"/>
            </w:pPr>
            <w:r>
              <w:t xml:space="preserve">Дата</w:t>
            </w:r>
            <w:r/>
          </w:p>
        </w:tc>
        <w:tc>
          <w:tcPr>
            <w:shd w:val="clear" w:fill="auto" w:color="auto"/>
            <w:tcW w:w="3863" w:type="pct"/>
            <w:textDirection w:val="lrTb"/>
            <w:noWrap w:val="false"/>
          </w:tcPr>
          <w:p>
            <w:pPr>
              <w:pStyle w:val="1005"/>
              <w:ind w:left="57" w:right="57"/>
            </w:pPr>
            <w:r>
              <w:t xml:space="preserve">Заполняется по умолчанию значением текущей системной д</w:t>
            </w:r>
            <w:r>
              <w:t xml:space="preserve">аты. </w:t>
            </w:r>
            <w:r/>
          </w:p>
          <w:p>
            <w:pPr>
              <w:pStyle w:val="1005"/>
              <w:ind w:left="57" w:right="57"/>
            </w:pPr>
            <w:r>
              <w:t xml:space="preserve">Выбор из системного календаря.</w:t>
            </w:r>
            <w:r/>
          </w:p>
          <w:p>
            <w:pPr>
              <w:pStyle w:val="1005"/>
              <w:ind w:left="57" w:right="57"/>
            </w:pPr>
            <w:r>
              <w:t xml:space="preserve">Ввод значения вручную.</w:t>
            </w:r>
            <w:r/>
          </w:p>
        </w:tc>
      </w:tr>
      <w:tr>
        <w:trPr/>
        <w:tc>
          <w:tcPr>
            <w:shd w:val="clear" w:fill="auto" w:color="auto"/>
            <w:tcW w:w="1137" w:type="pct"/>
            <w:textDirection w:val="lrTb"/>
            <w:noWrap w:val="false"/>
          </w:tcPr>
          <w:p>
            <w:pPr>
              <w:pStyle w:val="1005"/>
              <w:ind w:left="57" w:right="57"/>
            </w:pPr>
            <w:r>
              <w:t xml:space="preserve">Статус</w:t>
            </w:r>
            <w:r/>
          </w:p>
        </w:tc>
        <w:tc>
          <w:tcPr>
            <w:shd w:val="clear" w:fill="auto" w:color="auto"/>
            <w:tcW w:w="3863" w:type="pct"/>
            <w:textDirection w:val="lrTb"/>
            <w:noWrap w:val="false"/>
          </w:tcPr>
          <w:p>
            <w:pPr>
              <w:pStyle w:val="1005"/>
              <w:ind w:left="57" w:right="57"/>
            </w:pPr>
            <w:r>
              <w:t xml:space="preserve">Бизнес – статус (наим</w:t>
            </w:r>
            <w:r>
              <w:t xml:space="preserve">енование).</w:t>
            </w:r>
            <w:r/>
          </w:p>
        </w:tc>
      </w:tr>
      <w:tr>
        <w:trPr/>
        <w:tc>
          <w:tcPr>
            <w:gridSpan w:val="2"/>
            <w:shd w:val="clear" w:fill="auto" w:color="auto"/>
            <w:tcW w:w="5000" w:type="pct"/>
            <w:textDirection w:val="lrTb"/>
            <w:noWrap w:val="false"/>
          </w:tcPr>
          <w:p>
            <w:pPr>
              <w:pStyle w:val="1005"/>
              <w:ind w:left="57" w:right="57"/>
            </w:pPr>
            <w:r>
              <w:t xml:space="preserve">Закладка </w:t>
            </w:r>
            <w:r>
              <w:t xml:space="preserve">«Основные атрибуты (1)»</w:t>
            </w:r>
            <w:r/>
          </w:p>
        </w:tc>
      </w:tr>
      <w:tr>
        <w:trPr/>
        <w:tc>
          <w:tcPr>
            <w:shd w:val="clear" w:fill="auto" w:color="auto"/>
            <w:tcW w:w="1137" w:type="pct"/>
            <w:textDirection w:val="lrTb"/>
            <w:noWrap w:val="false"/>
          </w:tcPr>
          <w:p>
            <w:pPr>
              <w:pStyle w:val="1005"/>
              <w:ind w:left="57" w:right="57"/>
            </w:pPr>
            <w:r>
              <w:t xml:space="preserve">Уче</w:t>
            </w:r>
            <w:r>
              <w:t xml:space="preserve">тный номер</w:t>
            </w:r>
            <w:r/>
          </w:p>
        </w:tc>
        <w:tc>
          <w:tcPr>
            <w:shd w:val="clear" w:fill="auto" w:color="auto"/>
            <w:tcW w:w="3863" w:type="pct"/>
            <w:textDirection w:val="lrTb"/>
            <w:noWrap w:val="false"/>
          </w:tcPr>
          <w:p>
            <w:pPr>
              <w:pStyle w:val="1005"/>
              <w:ind w:left="57" w:right="57"/>
            </w:pPr>
            <w:r>
              <w:t xml:space="preserve">Учетный номер УБП: Доступен выбор из спр</w:t>
            </w:r>
            <w:r>
              <w:t xml:space="preserve">авочника «Сводный перечень заказчиков» (далее – СПЗ).</w:t>
            </w:r>
            <w:r/>
          </w:p>
          <w:p>
            <w:pPr>
              <w:pStyle w:val="1005"/>
              <w:ind w:left="57" w:right="57"/>
            </w:pPr>
            <w:r>
              <w:t xml:space="preserve">Ввод значения вручную.</w:t>
            </w:r>
            <w:r/>
          </w:p>
          <w:p>
            <w:pPr>
              <w:pStyle w:val="1005"/>
              <w:ind w:left="57" w:right="57"/>
            </w:pPr>
            <w:r>
              <w:t xml:space="preserve">Не заполняется, если в поле </w:t>
            </w:r>
            <w:r>
              <w:t xml:space="preserve">«Вид операции» указано значение «0».</w:t>
            </w:r>
            <w:r/>
          </w:p>
        </w:tc>
      </w:tr>
      <w:tr>
        <w:trPr/>
        <w:tc>
          <w:tcPr>
            <w:shd w:val="clear" w:fill="auto" w:color="auto"/>
            <w:tcW w:w="1137" w:type="pct"/>
            <w:textDirection w:val="lrTb"/>
            <w:noWrap w:val="false"/>
          </w:tcPr>
          <w:p>
            <w:pPr>
              <w:pStyle w:val="1005"/>
              <w:ind w:left="57" w:right="57"/>
            </w:pPr>
            <w:r>
              <w:t xml:space="preserve">Код клиента</w:t>
            </w:r>
            <w:r/>
          </w:p>
        </w:tc>
        <w:tc>
          <w:tcPr>
            <w:shd w:val="clear" w:fill="auto" w:color="auto"/>
            <w:tcW w:w="3863" w:type="pct"/>
            <w:textDirection w:val="lrTb"/>
            <w:noWrap w:val="false"/>
          </w:tcPr>
          <w:p>
            <w:pPr>
              <w:pStyle w:val="1005"/>
              <w:ind w:left="57" w:right="57"/>
            </w:pPr>
            <w:r>
              <w:t xml:space="preserve">Автоматически заполняется на основании системной ко</w:t>
            </w:r>
            <w:r>
              <w:t xml:space="preserve">нстанты текущего АРМ.</w:t>
            </w:r>
            <w:r/>
          </w:p>
          <w:p>
            <w:pPr>
              <w:pStyle w:val="1005"/>
              <w:ind w:left="57" w:right="57"/>
            </w:pPr>
            <w:r>
              <w:t xml:space="preserve">Доступен выбор из справочника</w:t>
            </w:r>
            <w:r>
              <w:t xml:space="preserve">:</w:t>
            </w:r>
            <w:r>
              <w:t xml:space="preserve"> </w:t>
            </w:r>
            <w:r/>
          </w:p>
          <w:p>
            <w:pPr>
              <w:pStyle w:val="1007"/>
            </w:pPr>
            <w:r>
              <w:t xml:space="preserve">СРРПБС/ПУБП, если ФБ или МБ/СБ</w:t>
            </w:r>
            <w:r>
              <w:t xml:space="preserve">;</w:t>
            </w:r>
            <w:r/>
          </w:p>
          <w:p>
            <w:pPr>
              <w:pStyle w:val="1007"/>
            </w:pPr>
            <w:r>
              <w:t xml:space="preserve">НУБП, если значение поля «Тип организации (код)» указано «03», «07» или «09».</w:t>
            </w:r>
            <w:r/>
          </w:p>
          <w:p>
            <w:pPr>
              <w:pStyle w:val="1005"/>
              <w:ind w:left="57" w:right="57"/>
            </w:pPr>
            <w:r>
              <w:t xml:space="preserve">Ввод значения вручную.</w:t>
            </w:r>
            <w:r/>
          </w:p>
        </w:tc>
      </w:tr>
      <w:tr>
        <w:trPr/>
        <w:tc>
          <w:tcPr>
            <w:shd w:val="clear" w:fill="auto" w:color="auto"/>
            <w:tcW w:w="1137" w:type="pct"/>
            <w:textDirection w:val="lrTb"/>
            <w:noWrap w:val="false"/>
          </w:tcPr>
          <w:p>
            <w:pPr>
              <w:pStyle w:val="1005"/>
              <w:ind w:left="57" w:right="57"/>
            </w:pPr>
            <w:r>
              <w:t xml:space="preserve">Код по Сводному реестру ЮЛ</w:t>
            </w:r>
            <w:r/>
          </w:p>
        </w:tc>
        <w:tc>
          <w:tcPr>
            <w:shd w:val="clear" w:fill="auto" w:color="auto"/>
            <w:tcW w:w="3863" w:type="pct"/>
            <w:textDirection w:val="lrTb"/>
            <w:noWrap w:val="false"/>
          </w:tcPr>
          <w:p>
            <w:pPr>
              <w:pStyle w:val="1005"/>
              <w:ind w:left="57" w:right="57"/>
            </w:pPr>
            <w:r>
              <w:t xml:space="preserve">Уникальный код по Сводному реестру организации, являющейся юридич</w:t>
            </w:r>
            <w:r>
              <w:t xml:space="preserve">е</w:t>
            </w:r>
            <w:r>
              <w:t xml:space="preserve">ским лицом.</w:t>
            </w:r>
            <w:r/>
          </w:p>
          <w:p>
            <w:pPr>
              <w:pStyle w:val="1005"/>
              <w:ind w:left="57" w:right="57"/>
            </w:pPr>
            <w:r>
              <w:t xml:space="preserve">Е</w:t>
            </w:r>
            <w:r>
              <w:t xml:space="preserve">сли значение поля «Переход на СР»</w:t>
            </w:r>
            <w:r>
              <w:t xml:space="preserve"> </w:t>
            </w:r>
            <w:r>
              <w:t xml:space="preserve">=</w:t>
            </w:r>
            <w:r>
              <w:t xml:space="preserve"> </w:t>
            </w:r>
            <w:r>
              <w:t xml:space="preserve">1, то автозаполнение осуществля</w:t>
            </w:r>
            <w:r>
              <w:t xml:space="preserve">е</w:t>
            </w:r>
            <w:r>
              <w:t xml:space="preserve">т</w:t>
            </w:r>
            <w:r>
              <w:t xml:space="preserve">ся</w:t>
            </w:r>
            <w:r>
              <w:t xml:space="preserve"> по справочнику «Реестр участников бюджетного процесса, а также юридич</w:t>
            </w:r>
            <w:r>
              <w:t xml:space="preserve">е</w:t>
            </w:r>
            <w:r>
              <w:t xml:space="preserve">ских лиц, не являющихся участниками бюджетного процесса», при усл</w:t>
            </w:r>
            <w:r>
              <w:t xml:space="preserve">о</w:t>
            </w:r>
            <w:r>
              <w:t xml:space="preserve">вии, что в поле «Является обособленным подразделением» флаг не устано</w:t>
            </w:r>
            <w:r>
              <w:t xml:space="preserve">в</w:t>
            </w:r>
            <w:r>
              <w:t xml:space="preserve">лен, то указывается значение поля «Код организ</w:t>
            </w:r>
            <w:r>
              <w:t xml:space="preserve">а</w:t>
            </w:r>
            <w:r>
              <w:t xml:space="preserve">ции».</w:t>
            </w:r>
            <w:r/>
          </w:p>
        </w:tc>
      </w:tr>
      <w:tr>
        <w:trPr/>
        <w:tc>
          <w:tcPr>
            <w:shd w:val="clear" w:fill="auto" w:color="auto"/>
            <w:tcW w:w="1137" w:type="pct"/>
            <w:textDirection w:val="lrTb"/>
            <w:noWrap w:val="false"/>
          </w:tcPr>
          <w:p>
            <w:pPr>
              <w:pStyle w:val="1005"/>
              <w:ind w:left="57" w:right="57"/>
            </w:pPr>
            <w:r>
              <w:t xml:space="preserve">Код по Сводному реестру ОП</w:t>
            </w:r>
            <w:r/>
          </w:p>
        </w:tc>
        <w:tc>
          <w:tcPr>
            <w:shd w:val="clear" w:fill="auto" w:color="auto"/>
            <w:tcW w:w="3863" w:type="pct"/>
            <w:textDirection w:val="lrTb"/>
            <w:noWrap w:val="false"/>
          </w:tcPr>
          <w:p>
            <w:pPr>
              <w:pStyle w:val="1005"/>
              <w:ind w:left="57" w:right="57"/>
            </w:pPr>
            <w:r>
              <w:t xml:space="preserve">Уникальный код по Сводному реестру организации, являющейся обособле</w:t>
            </w:r>
            <w:r>
              <w:t xml:space="preserve">н</w:t>
            </w:r>
            <w:r>
              <w:t xml:space="preserve">ным подразделением юридического лица.</w:t>
            </w:r>
            <w:r/>
          </w:p>
          <w:p>
            <w:pPr>
              <w:pStyle w:val="1005"/>
              <w:ind w:left="57" w:right="57"/>
            </w:pPr>
            <w:r>
              <w:t xml:space="preserve">Е</w:t>
            </w:r>
            <w:r>
              <w:t xml:space="preserve">сли значение поля «Переход на СР»</w:t>
            </w:r>
            <w:r>
              <w:t xml:space="preserve"> </w:t>
            </w:r>
            <w:r>
              <w:t xml:space="preserve">=</w:t>
            </w:r>
            <w:r>
              <w:t xml:space="preserve"> </w:t>
            </w:r>
            <w:r>
              <w:t xml:space="preserve">1, то автозаполнение осуществляется по справочнику «Реестр участников бюджетного процесса, а также юридич</w:t>
            </w:r>
            <w:r>
              <w:t xml:space="preserve">е</w:t>
            </w:r>
            <w:r>
              <w:t xml:space="preserve">ских лиц, не являющихся участниками бюджетного процесса», при усл</w:t>
            </w:r>
            <w:r>
              <w:t xml:space="preserve">о</w:t>
            </w:r>
            <w:r>
              <w:t xml:space="preserve">вии, что в поле «Является обособленным подразделением» флаг у</w:t>
            </w:r>
            <w:r>
              <w:t xml:space="preserve">с</w:t>
            </w:r>
            <w:r>
              <w:t xml:space="preserve">тановлен, то указывается значение поля «Код организации».</w:t>
            </w:r>
            <w:r/>
          </w:p>
        </w:tc>
      </w:tr>
      <w:tr>
        <w:trPr>
          <w:trHeight w:val="5660"/>
        </w:trPr>
        <w:tc>
          <w:tcPr>
            <w:shd w:val="clear" w:fill="auto" w:color="auto"/>
            <w:tcW w:w="1137" w:type="pct"/>
            <w:textDirection w:val="lrTb"/>
            <w:noWrap w:val="false"/>
          </w:tcPr>
          <w:p>
            <w:pPr>
              <w:pStyle w:val="1005"/>
              <w:ind w:left="57" w:right="57"/>
            </w:pPr>
            <w:r>
              <w:t xml:space="preserve">Тип организ</w:t>
            </w:r>
            <w:r>
              <w:t xml:space="preserve">ации </w:t>
            </w:r>
            <w:r/>
          </w:p>
          <w:p>
            <w:pPr>
              <w:pStyle w:val="1005"/>
              <w:ind w:left="57" w:right="57"/>
            </w:pPr>
            <w:r/>
            <w:r/>
          </w:p>
        </w:tc>
        <w:tc>
          <w:tcPr>
            <w:shd w:val="clear" w:fill="auto" w:color="auto"/>
            <w:tcW w:w="3863" w:type="pct"/>
            <w:textDirection w:val="lrTb"/>
            <w:noWrap w:val="false"/>
          </w:tcPr>
          <w:p>
            <w:pPr>
              <w:pStyle w:val="1005"/>
              <w:ind w:left="57" w:right="57"/>
            </w:pPr>
            <w:r>
              <w:t xml:space="preserve">Код и наименование типа организации УБП. </w:t>
            </w:r>
            <w:r/>
          </w:p>
          <w:p>
            <w:pPr>
              <w:pStyle w:val="1005"/>
              <w:ind w:left="57" w:right="57"/>
            </w:pPr>
            <w:r>
              <w:t xml:space="preserve">Код выбирается из списка возможных значений</w:t>
            </w:r>
            <w:r>
              <w:t xml:space="preserve">. Список допустимых знач</w:t>
            </w:r>
            <w:r>
              <w:t xml:space="preserve">е</w:t>
            </w:r>
            <w:r>
              <w:t xml:space="preserve">ний: 01, 02, 03, 04, 05, 06, 07, 08, 09, 10, 11, 12, 13, 14, 15, 16, 17, 18, 19, 20</w:t>
            </w:r>
            <w:r>
              <w:t xml:space="preserve">, 21</w:t>
            </w:r>
            <w:r>
              <w:t xml:space="preserve">.</w:t>
            </w:r>
            <w:r/>
          </w:p>
          <w:p>
            <w:pPr>
              <w:pStyle w:val="1005"/>
              <w:ind w:left="57" w:right="57"/>
            </w:pPr>
            <w:r>
              <w:t xml:space="preserve">Наименование заполняется автоматически на основании указа</w:t>
            </w:r>
            <w:r>
              <w:t xml:space="preserve">нного знач</w:t>
            </w:r>
            <w:r>
              <w:t xml:space="preserve">е</w:t>
            </w:r>
            <w:r>
              <w:t xml:space="preserve">ния в поле «Тип организации (код)».</w:t>
            </w:r>
            <w:r/>
          </w:p>
          <w:p>
            <w:pPr>
              <w:pStyle w:val="1005"/>
              <w:ind w:left="57" w:right="57"/>
            </w:pPr>
            <w:r>
              <w:t xml:space="preserve">Список соответствий значений:</w:t>
            </w:r>
            <w:r/>
          </w:p>
          <w:p>
            <w:pPr>
              <w:pStyle w:val="1007"/>
            </w:pPr>
            <w:r>
              <w:t xml:space="preserve">«</w:t>
            </w:r>
            <w:r>
              <w:t xml:space="preserve">федеральный орган исполнительной власти, орган исполн</w:t>
            </w:r>
            <w:r>
              <w:t xml:space="preserve">и</w:t>
            </w:r>
            <w:r>
              <w:t xml:space="preserve">тельной вл</w:t>
            </w:r>
            <w:r>
              <w:t xml:space="preserve">а</w:t>
            </w:r>
            <w:r>
              <w:t xml:space="preserve">сти субъекта Российской Федерации, федерал</w:t>
            </w:r>
            <w:r>
              <w:t xml:space="preserve">ь</w:t>
            </w:r>
            <w:r>
              <w:t xml:space="preserve">ный орган госуда</w:t>
            </w:r>
            <w:r>
              <w:t xml:space="preserve">р</w:t>
            </w:r>
            <w:r>
              <w:t xml:space="preserve">с</w:t>
            </w:r>
            <w:r>
              <w:t xml:space="preserve">т</w:t>
            </w:r>
            <w:r>
              <w:t xml:space="preserve">ве</w:t>
            </w:r>
            <w:r>
              <w:t xml:space="preserve">н</w:t>
            </w:r>
            <w:r>
              <w:t xml:space="preserve">ной власти (орган государственной власти субъекта Российской Ф</w:t>
            </w:r>
            <w:r>
              <w:t xml:space="preserve">е</w:t>
            </w:r>
            <w:r>
              <w:t xml:space="preserve">дер</w:t>
            </w:r>
            <w:r>
              <w:t xml:space="preserve">а</w:t>
            </w:r>
            <w:r>
              <w:t xml:space="preserve">ции, орган местного </w:t>
            </w:r>
            <w:r>
              <w:t xml:space="preserve">са</w:t>
            </w:r>
            <w:r>
              <w:t xml:space="preserve">моуправления), в том числе его терр</w:t>
            </w:r>
            <w:r>
              <w:t xml:space="preserve">и</w:t>
            </w:r>
            <w:r>
              <w:t xml:space="preserve">тор</w:t>
            </w:r>
            <w:r>
              <w:t xml:space="preserve">и</w:t>
            </w:r>
            <w:r>
              <w:t xml:space="preserve">альные органы, г</w:t>
            </w:r>
            <w:r>
              <w:t xml:space="preserve">о</w:t>
            </w:r>
            <w:r>
              <w:t xml:space="preserve">сударственный орган, муниципальный о</w:t>
            </w:r>
            <w:r>
              <w:t xml:space="preserve">р</w:t>
            </w:r>
            <w:r>
              <w:t xml:space="preserve">ган</w:t>
            </w:r>
            <w:r>
              <w:t xml:space="preserve">»</w:t>
            </w:r>
            <w:r>
              <w:t xml:space="preserve"> = 01;</w:t>
            </w:r>
            <w:r/>
          </w:p>
          <w:p>
            <w:pPr>
              <w:pStyle w:val="1007"/>
            </w:pPr>
            <w:r>
              <w:t xml:space="preserve">«</w:t>
            </w:r>
            <w:r>
              <w:t xml:space="preserve">орган управления государственным внебюджетным фо</w:t>
            </w:r>
            <w:r>
              <w:t xml:space="preserve">н</w:t>
            </w:r>
            <w:r>
              <w:t xml:space="preserve">дом</w:t>
            </w:r>
            <w:r>
              <w:t xml:space="preserve">»</w:t>
            </w:r>
            <w:r>
              <w:t xml:space="preserve"> = 02;</w:t>
            </w:r>
            <w:r/>
          </w:p>
          <w:p>
            <w:pPr>
              <w:pStyle w:val="1007"/>
            </w:pPr>
            <w:r>
              <w:t xml:space="preserve">«</w:t>
            </w:r>
            <w:r>
              <w:t xml:space="preserve">бюджетное учре</w:t>
            </w:r>
            <w:r>
              <w:t xml:space="preserve">ж</w:t>
            </w:r>
            <w:r>
              <w:t xml:space="preserve">дение</w:t>
            </w:r>
            <w:r>
              <w:t xml:space="preserve">»</w:t>
            </w:r>
            <w:r>
              <w:t xml:space="preserve"> =</w:t>
            </w:r>
            <w:r>
              <w:t xml:space="preserve"> </w:t>
            </w:r>
            <w:r>
              <w:t xml:space="preserve">03; </w:t>
            </w:r>
            <w:r/>
          </w:p>
          <w:p>
            <w:pPr>
              <w:pStyle w:val="1007"/>
            </w:pPr>
            <w:r>
              <w:t xml:space="preserve">«</w:t>
            </w:r>
            <w:r>
              <w:t xml:space="preserve">организация с долей гос</w:t>
            </w:r>
            <w:r>
              <w:t xml:space="preserve">у</w:t>
            </w:r>
            <w:r>
              <w:t xml:space="preserve">дарственного участия</w:t>
            </w:r>
            <w:r>
              <w:t xml:space="preserve">»</w:t>
            </w:r>
            <w:r>
              <w:t xml:space="preserve"> = 04;</w:t>
            </w:r>
            <w:r/>
          </w:p>
          <w:p>
            <w:pPr>
              <w:pStyle w:val="1007"/>
            </w:pPr>
            <w:r>
              <w:t xml:space="preserve">«</w:t>
            </w:r>
            <w:r>
              <w:t xml:space="preserve">унитарное предпр</w:t>
            </w:r>
            <w:r>
              <w:t xml:space="preserve">и</w:t>
            </w:r>
            <w:r>
              <w:t xml:space="preserve">ятие</w:t>
            </w:r>
            <w:r>
              <w:t xml:space="preserve">»</w:t>
            </w:r>
            <w:r>
              <w:t xml:space="preserve"> = 05;</w:t>
            </w:r>
            <w:r/>
          </w:p>
          <w:p>
            <w:pPr>
              <w:pStyle w:val="1007"/>
            </w:pPr>
            <w:r>
              <w:t xml:space="preserve">«</w:t>
            </w:r>
            <w:r>
              <w:t xml:space="preserve">субъект естестве</w:t>
            </w:r>
            <w:r>
              <w:t xml:space="preserve">н</w:t>
            </w:r>
            <w:r>
              <w:t xml:space="preserve">ных монополий</w:t>
            </w:r>
            <w:r>
              <w:t xml:space="preserve">»</w:t>
            </w:r>
            <w:r>
              <w:t xml:space="preserve"> = 06;</w:t>
            </w:r>
            <w:r/>
          </w:p>
          <w:p>
            <w:pPr>
              <w:pStyle w:val="1007"/>
            </w:pPr>
            <w:r>
              <w:t xml:space="preserve">«</w:t>
            </w:r>
            <w:r>
              <w:t xml:space="preserve">иная организация</w:t>
            </w:r>
            <w:r>
              <w:t xml:space="preserve">»</w:t>
            </w:r>
            <w:r>
              <w:t xml:space="preserve"> = 07;</w:t>
            </w:r>
            <w:r/>
          </w:p>
          <w:p>
            <w:pPr>
              <w:pStyle w:val="1007"/>
            </w:pPr>
            <w:r>
              <w:t xml:space="preserve">«</w:t>
            </w:r>
            <w:r>
              <w:t xml:space="preserve">казенное учрежд</w:t>
            </w:r>
            <w:r>
              <w:t xml:space="preserve">е</w:t>
            </w:r>
            <w:r>
              <w:t xml:space="preserve">ние</w:t>
            </w:r>
            <w:r>
              <w:t xml:space="preserve">»</w:t>
            </w:r>
            <w:r>
              <w:t xml:space="preserve"> = 08;</w:t>
            </w:r>
            <w:r/>
          </w:p>
          <w:p>
            <w:pPr>
              <w:pStyle w:val="1007"/>
            </w:pPr>
            <w:r>
              <w:t xml:space="preserve">«</w:t>
            </w:r>
            <w:r>
              <w:t xml:space="preserve">государственная корпорация, государственная </w:t>
            </w:r>
            <w:r>
              <w:t xml:space="preserve">компания (в том чи</w:t>
            </w:r>
            <w:r>
              <w:t xml:space="preserve">с</w:t>
            </w:r>
            <w:r>
              <w:t xml:space="preserve">ле гос</w:t>
            </w:r>
            <w:r>
              <w:t xml:space="preserve">корпорация «</w:t>
            </w:r>
            <w:r>
              <w:t xml:space="preserve">Росатом</w:t>
            </w:r>
            <w:r>
              <w:t xml:space="preserve">»</w:t>
            </w:r>
            <w:r>
              <w:t xml:space="preserve">)</w:t>
            </w:r>
            <w:r>
              <w:t xml:space="preserve">»</w:t>
            </w:r>
            <w:r>
              <w:t xml:space="preserve"> =</w:t>
            </w:r>
            <w:r>
              <w:t xml:space="preserve"> 09;</w:t>
            </w:r>
            <w:r/>
          </w:p>
          <w:p>
            <w:pPr>
              <w:pStyle w:val="1007"/>
            </w:pPr>
            <w:r>
              <w:t xml:space="preserve">«</w:t>
            </w:r>
            <w:r>
              <w:t xml:space="preserve">автономное учре</w:t>
            </w:r>
            <w:r>
              <w:t xml:space="preserve">ж</w:t>
            </w:r>
            <w:r>
              <w:t xml:space="preserve">дение</w:t>
            </w:r>
            <w:r>
              <w:t xml:space="preserve">»</w:t>
            </w:r>
            <w:r>
              <w:t xml:space="preserve"> = 10;</w:t>
            </w:r>
            <w:r/>
          </w:p>
          <w:p>
            <w:pPr>
              <w:pStyle w:val="1007"/>
            </w:pPr>
            <w:r>
              <w:t xml:space="preserve">«</w:t>
            </w:r>
            <w:r>
              <w:t xml:space="preserve">организация, осуществляющая регулируемые виды деятел</w:t>
            </w:r>
            <w:r>
              <w:t xml:space="preserve">ь</w:t>
            </w:r>
            <w:r>
              <w:t xml:space="preserve">ности</w:t>
            </w:r>
            <w:r>
              <w:t xml:space="preserve">»</w:t>
            </w:r>
            <w:r>
              <w:t xml:space="preserve"> = 11;</w:t>
            </w:r>
            <w:r/>
          </w:p>
          <w:p>
            <w:pPr>
              <w:pStyle w:val="1007"/>
            </w:pPr>
            <w:r>
              <w:t xml:space="preserve">«</w:t>
            </w:r>
            <w:r>
              <w:t xml:space="preserve">хозяйственное общество с долей государства, муниципал</w:t>
            </w:r>
            <w:r>
              <w:t xml:space="preserve">ь</w:t>
            </w:r>
            <w:r>
              <w:t xml:space="preserve">ного обр</w:t>
            </w:r>
            <w:r>
              <w:t xml:space="preserve">а</w:t>
            </w:r>
            <w:r>
              <w:t xml:space="preserve">з</w:t>
            </w:r>
            <w:r>
              <w:t xml:space="preserve">о</w:t>
            </w:r>
            <w:r>
              <w:t xml:space="preserve">вания более</w:t>
            </w:r>
            <w:r>
              <w:t xml:space="preserve"> </w:t>
            </w:r>
            <w:r>
              <w:t xml:space="preserve">50 проце</w:t>
            </w:r>
            <w:r>
              <w:t xml:space="preserve">н</w:t>
            </w:r>
            <w:r>
              <w:t xml:space="preserve">тов</w:t>
            </w:r>
            <w:r>
              <w:t xml:space="preserve">»</w:t>
            </w:r>
            <w:r>
              <w:t xml:space="preserve"> = 12;</w:t>
            </w:r>
            <w:r/>
          </w:p>
          <w:p>
            <w:pPr>
              <w:pStyle w:val="1007"/>
            </w:pPr>
            <w:r>
              <w:t xml:space="preserve">«</w:t>
            </w:r>
            <w:r>
              <w:t xml:space="preserve">дочернее хозяйс</w:t>
            </w:r>
            <w:r>
              <w:t xml:space="preserve">т</w:t>
            </w:r>
            <w:r>
              <w:t xml:space="preserve">венное общество</w:t>
            </w:r>
            <w:r>
              <w:t xml:space="preserve">»</w:t>
            </w:r>
            <w:r>
              <w:t xml:space="preserve"> = 13;</w:t>
            </w:r>
            <w:r/>
          </w:p>
          <w:p>
            <w:pPr>
              <w:pStyle w:val="1007"/>
            </w:pPr>
            <w:r>
              <w:t xml:space="preserve">«</w:t>
            </w:r>
            <w:r>
              <w:t xml:space="preserve">специализированная организация</w:t>
            </w:r>
            <w:r>
              <w:t xml:space="preserve">»</w:t>
            </w:r>
            <w:r>
              <w:t xml:space="preserve"> = 14</w:t>
            </w:r>
            <w:r>
              <w:t xml:space="preserve">;</w:t>
            </w:r>
            <w:r/>
          </w:p>
          <w:p>
            <w:pPr>
              <w:pStyle w:val="1007"/>
            </w:pPr>
            <w:r>
              <w:t xml:space="preserve">«</w:t>
            </w:r>
            <w:r>
              <w:t xml:space="preserve">оператор общероссийского официал</w:t>
            </w:r>
            <w:r>
              <w:t xml:space="preserve">ь</w:t>
            </w:r>
            <w:r>
              <w:t xml:space="preserve">ного сайта</w:t>
            </w:r>
            <w:r>
              <w:t xml:space="preserve">»</w:t>
            </w:r>
            <w:r>
              <w:t xml:space="preserve"> = 15;</w:t>
            </w:r>
            <w:r/>
          </w:p>
          <w:p>
            <w:pPr>
              <w:pStyle w:val="1007"/>
            </w:pPr>
            <w:r>
              <w:t xml:space="preserve">«</w:t>
            </w:r>
            <w:r>
              <w:t xml:space="preserve">оператор электронной пл</w:t>
            </w:r>
            <w:r>
              <w:t xml:space="preserve">о</w:t>
            </w:r>
            <w:r>
              <w:t xml:space="preserve">щадки</w:t>
            </w:r>
            <w:r>
              <w:t xml:space="preserve">» = 16;</w:t>
            </w:r>
            <w:r/>
          </w:p>
          <w:p>
            <w:pPr>
              <w:pStyle w:val="1007"/>
            </w:pPr>
            <w:r>
              <w:t xml:space="preserve">«орган аудита» = 17;</w:t>
            </w:r>
            <w:r/>
          </w:p>
          <w:p>
            <w:pPr>
              <w:pStyle w:val="1007"/>
            </w:pPr>
            <w:r>
              <w:t xml:space="preserve">«банк» = 18;</w:t>
            </w:r>
            <w:r/>
          </w:p>
          <w:p>
            <w:pPr>
              <w:pStyle w:val="1007"/>
            </w:pPr>
            <w:r>
              <w:t xml:space="preserve">«орган контроля» = 19;</w:t>
            </w:r>
            <w:r/>
          </w:p>
          <w:p>
            <w:pPr>
              <w:pStyle w:val="1007"/>
            </w:pPr>
            <w:r>
              <w:t xml:space="preserve">«иное юридическое лицо» = 20;</w:t>
            </w:r>
            <w:r/>
          </w:p>
          <w:p>
            <w:pPr>
              <w:pStyle w:val="1007"/>
            </w:pPr>
            <w:r>
              <w:t xml:space="preserve">«организация, оказывающая услуги по обслуживанию пользователей ЕИС» = 21</w:t>
            </w:r>
            <w:r>
              <w:t xml:space="preserve">.</w:t>
            </w:r>
            <w:r/>
          </w:p>
          <w:p>
            <w:pPr>
              <w:pStyle w:val="1005"/>
              <w:ind w:left="57" w:right="57"/>
            </w:pPr>
            <w:r>
              <w:t xml:space="preserve">Значение поля «07», «15», «17», «19» возможно выбрать только при созд</w:t>
            </w:r>
            <w:r>
              <w:t xml:space="preserve">а</w:t>
            </w:r>
            <w:r>
              <w:t xml:space="preserve">нии ЭД «Сведения об организации» со значением в поле «Специальные ук</w:t>
            </w:r>
            <w:r>
              <w:t xml:space="preserve">а</w:t>
            </w:r>
            <w:r>
              <w:t xml:space="preserve">зания» равным «02» (сведения об аннулировании).</w:t>
            </w:r>
            <w:r/>
          </w:p>
        </w:tc>
      </w:tr>
      <w:tr>
        <w:trPr/>
        <w:tc>
          <w:tcPr>
            <w:shd w:val="clear" w:fill="auto" w:color="auto"/>
            <w:tcW w:w="1137" w:type="pct"/>
            <w:textDirection w:val="lrTb"/>
            <w:noWrap w:val="false"/>
          </w:tcPr>
          <w:p>
            <w:pPr>
              <w:pStyle w:val="1005"/>
              <w:ind w:left="57" w:right="57"/>
            </w:pPr>
            <w:r>
              <w:t xml:space="preserve">Полное наименование организ</w:t>
            </w:r>
            <w:r>
              <w:t xml:space="preserve">ации </w:t>
            </w:r>
            <w:r/>
          </w:p>
        </w:tc>
        <w:tc>
          <w:tcPr>
            <w:shd w:val="clear" w:fill="auto" w:color="auto"/>
            <w:tcW w:w="3863" w:type="pct"/>
            <w:textDirection w:val="lrTb"/>
            <w:noWrap w:val="false"/>
          </w:tcPr>
          <w:p>
            <w:pPr>
              <w:pStyle w:val="1005"/>
              <w:ind w:left="57" w:right="57"/>
            </w:pPr>
            <w:r>
              <w:t xml:space="preserve">УБП: </w:t>
            </w:r>
            <w:r>
              <w:t xml:space="preserve">Заполняется автомат</w:t>
            </w:r>
            <w:r>
              <w:t xml:space="preserve">ически на о</w:t>
            </w:r>
            <w:r>
              <w:t xml:space="preserve">с</w:t>
            </w:r>
            <w:r>
              <w:t xml:space="preserve">новании указанного значения в поле «Код клиента» из справочника</w:t>
            </w:r>
            <w:r>
              <w:t xml:space="preserve">:</w:t>
            </w:r>
            <w:r/>
          </w:p>
          <w:p>
            <w:pPr>
              <w:pStyle w:val="1007"/>
            </w:pPr>
            <w:r>
              <w:t xml:space="preserve">СРРПБС/ПУБП, если ФБ или МБ/СБ;</w:t>
            </w:r>
            <w:r/>
          </w:p>
          <w:p>
            <w:pPr>
              <w:pStyle w:val="1007"/>
            </w:pPr>
            <w:r>
              <w:t xml:space="preserve">НУБП, если значение поля «Тип организации (код)» указано «03», «07» или «09»</w:t>
            </w:r>
            <w:r>
              <w:t xml:space="preserve">.</w:t>
            </w:r>
            <w:r/>
          </w:p>
          <w:p>
            <w:pPr>
              <w:pStyle w:val="1005"/>
              <w:ind w:left="57" w:right="57"/>
            </w:pPr>
            <w:r>
              <w:t xml:space="preserve">Е</w:t>
            </w:r>
            <w:r>
              <w:t xml:space="preserve">сли значение поля «Переход на СР»</w:t>
            </w:r>
            <w:r>
              <w:t xml:space="preserve"> </w:t>
            </w:r>
            <w:r>
              <w:t xml:space="preserve">=</w:t>
            </w:r>
            <w:r>
              <w:t xml:space="preserve"> </w:t>
            </w:r>
            <w:r>
              <w:t xml:space="preserve">1, то автозаполнение осуществля</w:t>
            </w:r>
            <w:r>
              <w:t xml:space="preserve">е</w:t>
            </w:r>
            <w:r>
              <w:t xml:space="preserve">т</w:t>
            </w:r>
            <w:r>
              <w:t xml:space="preserve">ся</w:t>
            </w:r>
            <w:r>
              <w:t xml:space="preserve"> по справочнику «Реестр участников бюджетного процесса, а также юриди</w:t>
            </w:r>
            <w:r>
              <w:t xml:space="preserve">ч</w:t>
            </w:r>
            <w:r>
              <w:t xml:space="preserve">е</w:t>
            </w:r>
            <w:r>
              <w:t xml:space="preserve">ских лиц, не являющихся участниками бюджетного проце</w:t>
            </w:r>
            <w:r>
              <w:t xml:space="preserve">с</w:t>
            </w:r>
            <w:r>
              <w:t xml:space="preserve">са».</w:t>
            </w:r>
            <w:r/>
          </w:p>
          <w:p>
            <w:pPr>
              <w:pStyle w:val="1005"/>
              <w:ind w:left="57" w:right="57"/>
            </w:pPr>
            <w:r>
              <w:t xml:space="preserve">Ввод значения вручную.</w:t>
            </w:r>
            <w:r/>
          </w:p>
        </w:tc>
      </w:tr>
      <w:tr>
        <w:trPr/>
        <w:tc>
          <w:tcPr>
            <w:shd w:val="clear" w:fill="auto" w:color="auto"/>
            <w:tcW w:w="1137" w:type="pct"/>
            <w:textDirection w:val="lrTb"/>
            <w:noWrap w:val="false"/>
          </w:tcPr>
          <w:p>
            <w:pPr>
              <w:pStyle w:val="1005"/>
              <w:ind w:left="57" w:right="57"/>
            </w:pPr>
            <w:r>
              <w:t xml:space="preserve">Сокращенное </w:t>
            </w:r>
            <w:r>
              <w:t xml:space="preserve">наим</w:t>
            </w:r>
            <w:r>
              <w:t xml:space="preserve">е</w:t>
            </w:r>
            <w:r>
              <w:t xml:space="preserve">нование </w:t>
            </w:r>
            <w:r/>
          </w:p>
        </w:tc>
        <w:tc>
          <w:tcPr>
            <w:shd w:val="clear" w:fill="auto" w:color="auto"/>
            <w:tcW w:w="3863" w:type="pct"/>
            <w:textDirection w:val="lrTb"/>
            <w:noWrap w:val="false"/>
          </w:tcPr>
          <w:p>
            <w:pPr>
              <w:pStyle w:val="1005"/>
              <w:ind w:left="57" w:right="57"/>
            </w:pPr>
            <w:r>
              <w:t xml:space="preserve">УБП: </w:t>
            </w:r>
            <w:r>
              <w:t xml:space="preserve">Заполняется автом</w:t>
            </w:r>
            <w:r>
              <w:t xml:space="preserve">ат</w:t>
            </w:r>
            <w:r>
              <w:t xml:space="preserve">и</w:t>
            </w:r>
            <w:r>
              <w:t xml:space="preserve">чески на о</w:t>
            </w:r>
            <w:r>
              <w:t xml:space="preserve">с</w:t>
            </w:r>
            <w:r>
              <w:t xml:space="preserve">новании указанного значения в поле «Код клиента» из справочн</w:t>
            </w:r>
            <w:r>
              <w:t xml:space="preserve">и</w:t>
            </w:r>
            <w:r>
              <w:t xml:space="preserve">ка</w:t>
            </w:r>
            <w:r>
              <w:t xml:space="preserve">:</w:t>
            </w:r>
            <w:r/>
          </w:p>
          <w:p>
            <w:pPr>
              <w:pStyle w:val="1007"/>
            </w:pPr>
            <w:r>
              <w:t xml:space="preserve">СРРПБС/ПУБП, если ФБ или МБ/СБ</w:t>
            </w:r>
            <w:r>
              <w:t xml:space="preserve">;</w:t>
            </w:r>
            <w:r/>
          </w:p>
          <w:p>
            <w:pPr>
              <w:pStyle w:val="1007"/>
            </w:pPr>
            <w:r>
              <w:t xml:space="preserve">НУБП, если значение поля «Тип организации (код)» указано «03», «07» или «09»</w:t>
            </w:r>
            <w:r>
              <w:t xml:space="preserve">.</w:t>
            </w:r>
            <w:r/>
          </w:p>
          <w:p>
            <w:pPr>
              <w:pStyle w:val="1005"/>
              <w:ind w:left="57" w:right="57"/>
            </w:pPr>
            <w:r>
              <w:t xml:space="preserve">Ввод значения вручную.</w:t>
            </w:r>
            <w:r/>
          </w:p>
        </w:tc>
      </w:tr>
      <w:tr>
        <w:trPr/>
        <w:tc>
          <w:tcPr>
            <w:shd w:val="clear" w:fill="auto" w:color="auto"/>
            <w:tcW w:w="1137" w:type="pct"/>
            <w:textDirection w:val="lrTb"/>
            <w:noWrap w:val="false"/>
          </w:tcPr>
          <w:p>
            <w:pPr>
              <w:pStyle w:val="1005"/>
              <w:ind w:left="57" w:right="57"/>
            </w:pPr>
            <w:r>
              <w:t xml:space="preserve">Фирменное наимен</w:t>
            </w:r>
            <w:r>
              <w:t xml:space="preserve">о</w:t>
            </w:r>
            <w:r>
              <w:t xml:space="preserve">вание организации</w:t>
            </w:r>
            <w:r/>
          </w:p>
        </w:tc>
        <w:tc>
          <w:tcPr>
            <w:shd w:val="clear" w:fill="auto" w:color="auto"/>
            <w:tcW w:w="3863" w:type="pct"/>
            <w:textDirection w:val="lrTb"/>
            <w:noWrap w:val="false"/>
          </w:tcPr>
          <w:p>
            <w:pPr>
              <w:pStyle w:val="1005"/>
              <w:ind w:left="57" w:right="57"/>
            </w:pPr>
            <w:r>
              <w:t xml:space="preserve">Е</w:t>
            </w:r>
            <w:r>
              <w:t xml:space="preserve">сли значение поля «Переход на СР» = 1, то автозаполнение осуществля</w:t>
            </w:r>
            <w:r>
              <w:t xml:space="preserve">ется</w:t>
            </w:r>
            <w:r>
              <w:t xml:space="preserve"> по справочнику «Реестр участников бюджетного процесса, а также юридич</w:t>
            </w:r>
            <w:r>
              <w:t xml:space="preserve">е</w:t>
            </w:r>
            <w:r>
              <w:t xml:space="preserve">ских лиц, не являющихся участниками бюджетного проце</w:t>
            </w:r>
            <w:r>
              <w:t xml:space="preserve">с</w:t>
            </w:r>
            <w:r>
              <w:t xml:space="preserve">са».</w:t>
            </w:r>
            <w:r/>
          </w:p>
        </w:tc>
      </w:tr>
      <w:tr>
        <w:trPr/>
        <w:tc>
          <w:tcPr>
            <w:shd w:val="clear" w:fill="auto" w:color="auto"/>
            <w:tcW w:w="1137" w:type="pct"/>
            <w:textDirection w:val="lrTb"/>
            <w:noWrap w:val="false"/>
          </w:tcPr>
          <w:p>
            <w:pPr>
              <w:pStyle w:val="1005"/>
              <w:ind w:left="57" w:right="57"/>
            </w:pPr>
            <w:r>
              <w:t xml:space="preserve">БИК</w:t>
            </w:r>
            <w:r/>
          </w:p>
        </w:tc>
        <w:tc>
          <w:tcPr>
            <w:shd w:val="clear" w:fill="auto" w:color="auto"/>
            <w:tcW w:w="3863" w:type="pct"/>
            <w:textDirection w:val="lrTb"/>
            <w:noWrap w:val="false"/>
          </w:tcPr>
          <w:p>
            <w:pPr>
              <w:pStyle w:val="1005"/>
              <w:ind w:left="57" w:right="57"/>
            </w:pPr>
            <w:r>
              <w:t xml:space="preserve">УБП: Доступен выбор из спр</w:t>
            </w:r>
            <w:r>
              <w:t xml:space="preserve">авочника «Банки».</w:t>
            </w:r>
            <w:r/>
          </w:p>
          <w:p>
            <w:pPr>
              <w:pStyle w:val="1005"/>
              <w:ind w:left="57" w:right="57"/>
            </w:pPr>
            <w:r>
              <w:t xml:space="preserve">Ввод значения вручную.</w:t>
            </w:r>
            <w:r/>
          </w:p>
          <w:p>
            <w:pPr>
              <w:pStyle w:val="1005"/>
              <w:ind w:left="57" w:right="57"/>
              <w:rPr>
                <w:highlight w:val="yellow"/>
              </w:rPr>
            </w:pPr>
            <w:r>
              <w:t xml:space="preserve">Обязательно для заполнения для организаций с т</w:t>
            </w:r>
            <w:r>
              <w:t xml:space="preserve">ипом «18». Для остальных типов организаций поле не заполняется.</w:t>
            </w:r>
            <w:r/>
          </w:p>
        </w:tc>
      </w:tr>
      <w:tr>
        <w:trPr/>
        <w:tc>
          <w:tcPr>
            <w:shd w:val="clear" w:fill="auto" w:color="auto"/>
            <w:tcW w:w="1137" w:type="pct"/>
            <w:textDirection w:val="lrTb"/>
            <w:noWrap w:val="false"/>
          </w:tcPr>
          <w:p>
            <w:pPr>
              <w:pStyle w:val="1005"/>
              <w:ind w:left="57" w:right="57"/>
            </w:pPr>
            <w:r>
              <w:t xml:space="preserve">Номер банка</w:t>
            </w:r>
            <w:r/>
          </w:p>
        </w:tc>
        <w:tc>
          <w:tcPr>
            <w:shd w:val="clear" w:fill="auto" w:color="auto"/>
            <w:tcW w:w="3863" w:type="pct"/>
            <w:textDirection w:val="lrTb"/>
            <w:noWrap w:val="false"/>
          </w:tcPr>
          <w:p>
            <w:pPr>
              <w:pStyle w:val="1005"/>
              <w:ind w:left="57" w:right="57"/>
            </w:pPr>
            <w:r>
              <w:t xml:space="preserve">УБП: Ввод значения вручную.</w:t>
            </w:r>
            <w:r/>
          </w:p>
          <w:p>
            <w:pPr>
              <w:pStyle w:val="1005"/>
              <w:ind w:left="57" w:right="57"/>
              <w:rPr>
                <w:highlight w:val="yellow"/>
              </w:rPr>
            </w:pPr>
            <w:r>
              <w:t xml:space="preserve">Обязательно для заполнения для организаций с т</w:t>
            </w:r>
            <w:r>
              <w:t xml:space="preserve">ипом «18». Для остальных типов организаций поле не заполняется.</w:t>
            </w:r>
            <w:r/>
          </w:p>
        </w:tc>
      </w:tr>
      <w:tr>
        <w:trPr/>
        <w:tc>
          <w:tcPr>
            <w:shd w:val="clear" w:fill="auto" w:color="auto"/>
            <w:tcW w:w="1137" w:type="pct"/>
            <w:textDirection w:val="lrTb"/>
            <w:noWrap w:val="false"/>
          </w:tcPr>
          <w:p>
            <w:pPr>
              <w:pStyle w:val="1005"/>
              <w:ind w:left="57" w:right="57"/>
            </w:pPr>
            <w:r>
              <w:t xml:space="preserve">ИНН</w:t>
            </w:r>
            <w:r/>
          </w:p>
        </w:tc>
        <w:tc>
          <w:tcPr>
            <w:shd w:val="clear" w:fill="auto" w:color="auto"/>
            <w:tcW w:w="3863" w:type="pct"/>
            <w:textDirection w:val="lrTb"/>
            <w:noWrap w:val="false"/>
          </w:tcPr>
          <w:p>
            <w:pPr>
              <w:pStyle w:val="1005"/>
              <w:ind w:left="57" w:right="57"/>
            </w:pPr>
            <w:r>
              <w:t xml:space="preserve">УБП: </w:t>
            </w:r>
            <w:r>
              <w:t xml:space="preserve">Заполняется автоматически на основании указа</w:t>
            </w:r>
            <w:r>
              <w:t xml:space="preserve">нного значения в поле «Код клиента» из справочника «</w:t>
            </w:r>
            <w:r>
              <w:t xml:space="preserve">СРРПБС/ПУБП/НУБП</w:t>
            </w:r>
            <w:r>
              <w:t xml:space="preserve">».</w:t>
            </w:r>
            <w:r/>
          </w:p>
          <w:p>
            <w:pPr>
              <w:pStyle w:val="1005"/>
              <w:ind w:left="57" w:right="57"/>
            </w:pPr>
            <w:r>
              <w:t xml:space="preserve">Если значение поля «Переход на СР» = 1, то автозаполнение осуществляется по справочнику «Реестр участников бюджетного процесса, а также юридич</w:t>
            </w:r>
            <w:r>
              <w:t xml:space="preserve">е</w:t>
            </w:r>
            <w:r>
              <w:t xml:space="preserve">ских лиц, не являющихся участниками бюджетного процесса»</w:t>
            </w:r>
            <w:r>
              <w:t xml:space="preserve">.</w:t>
            </w:r>
            <w:r/>
          </w:p>
          <w:p>
            <w:pPr>
              <w:pStyle w:val="1005"/>
              <w:ind w:left="57" w:right="57"/>
            </w:pPr>
            <w:r>
              <w:t xml:space="preserve">Если не заполнено, и указано значение в поле </w:t>
            </w:r>
            <w:r>
              <w:t xml:space="preserve">«Учетный номер», присутс</w:t>
            </w:r>
            <w:r>
              <w:t xml:space="preserve">т</w:t>
            </w:r>
            <w:r>
              <w:t xml:space="preserve">вующее в СПЗ, то заполняется значением соответствующего реквизита из справочника «СПЗ».</w:t>
            </w:r>
            <w:r/>
          </w:p>
          <w:p>
            <w:pPr>
              <w:pStyle w:val="1005"/>
              <w:ind w:left="57" w:right="57"/>
            </w:pPr>
            <w:r>
              <w:t xml:space="preserve">Ввод значения вручную.</w:t>
            </w:r>
            <w:r/>
          </w:p>
          <w:p>
            <w:pPr>
              <w:pStyle w:val="1005"/>
              <w:ind w:left="57" w:right="57"/>
            </w:pPr>
            <w:r>
              <w:t xml:space="preserve">Не заполняется, если в поле «Вид операции» указано знач</w:t>
            </w:r>
            <w:r>
              <w:t xml:space="preserve">ение «5». В о</w:t>
            </w:r>
            <w:r>
              <w:t xml:space="preserve">с</w:t>
            </w:r>
            <w:r>
              <w:t xml:space="preserve">тал</w:t>
            </w:r>
            <w:r>
              <w:t xml:space="preserve">ь</w:t>
            </w:r>
            <w:r>
              <w:t xml:space="preserve">ных случаях обязательно для заполнения.</w:t>
            </w:r>
            <w:r/>
          </w:p>
        </w:tc>
      </w:tr>
      <w:tr>
        <w:trPr/>
        <w:tc>
          <w:tcPr>
            <w:shd w:val="clear" w:fill="auto" w:color="auto"/>
            <w:tcW w:w="1137" w:type="pct"/>
            <w:textDirection w:val="lrTb"/>
            <w:noWrap w:val="false"/>
          </w:tcPr>
          <w:p>
            <w:pPr>
              <w:pStyle w:val="1005"/>
              <w:ind w:left="57" w:right="57"/>
            </w:pPr>
            <w:r>
              <w:t xml:space="preserve">КПП</w:t>
            </w:r>
            <w:r/>
          </w:p>
        </w:tc>
        <w:tc>
          <w:tcPr>
            <w:shd w:val="clear" w:fill="auto" w:color="auto"/>
            <w:tcW w:w="3863" w:type="pct"/>
            <w:textDirection w:val="lrTb"/>
            <w:noWrap w:val="false"/>
          </w:tcPr>
          <w:p>
            <w:pPr>
              <w:pStyle w:val="1005"/>
              <w:ind w:left="57" w:right="57"/>
            </w:pPr>
            <w:r>
              <w:t xml:space="preserve">УБП: </w:t>
            </w:r>
            <w:r>
              <w:t xml:space="preserve">Заполняется автоматически на основании указа</w:t>
            </w:r>
            <w:r>
              <w:t xml:space="preserve">нного значения в поле «Код клиента» из справочника </w:t>
            </w:r>
            <w:r>
              <w:t xml:space="preserve">«СРРПБС/ПУБП/НУБП».</w:t>
            </w:r>
            <w:r/>
          </w:p>
          <w:p>
            <w:pPr>
              <w:pStyle w:val="1005"/>
              <w:ind w:left="57" w:right="57"/>
            </w:pPr>
            <w:r>
              <w:t xml:space="preserve">Если значение поля «Переход на СР» = 1, то автозаполнение осуществляется по справочнику «Реестр участников бюджетного процесса, а также юридич</w:t>
            </w:r>
            <w:r>
              <w:t xml:space="preserve">е</w:t>
            </w:r>
            <w:r>
              <w:t xml:space="preserve">ских лиц, не являющихся участниками бюджетного процесса».</w:t>
            </w:r>
            <w:r/>
          </w:p>
          <w:p>
            <w:pPr>
              <w:pStyle w:val="1005"/>
              <w:ind w:left="57" w:right="57"/>
            </w:pPr>
            <w:r>
              <w:t xml:space="preserve">Если не заполнено, и указано значение в поле </w:t>
            </w:r>
            <w:r>
              <w:t xml:space="preserve">«Учетный номер», присутс</w:t>
            </w:r>
            <w:r>
              <w:t xml:space="preserve">т</w:t>
            </w:r>
            <w:r>
              <w:t xml:space="preserve">вующее в СПЗ, то заполняется значением соответствующего реквизита из справочника «СПЗ».</w:t>
            </w:r>
            <w:r/>
          </w:p>
          <w:p>
            <w:pPr>
              <w:pStyle w:val="1005"/>
              <w:ind w:left="57" w:right="57"/>
            </w:pPr>
            <w:r>
              <w:t xml:space="preserve">Ввод значения вручную</w:t>
            </w:r>
            <w:r>
              <w:t xml:space="preserve">.</w:t>
            </w:r>
            <w:r/>
          </w:p>
          <w:p>
            <w:pPr>
              <w:pStyle w:val="1005"/>
              <w:ind w:left="57" w:right="57"/>
            </w:pPr>
            <w:r>
              <w:t xml:space="preserve">Не заполняется, если в поле «Вид операции» указано значение «5». В остал</w:t>
            </w:r>
            <w:r>
              <w:t xml:space="preserve">ь</w:t>
            </w:r>
            <w:r>
              <w:t xml:space="preserve">ных случаях обязательно для заполнения.</w:t>
            </w:r>
            <w:r/>
          </w:p>
        </w:tc>
      </w:tr>
      <w:tr>
        <w:trPr/>
        <w:tc>
          <w:tcPr>
            <w:shd w:val="clear" w:fill="auto" w:color="auto"/>
            <w:tcW w:w="1137" w:type="pct"/>
            <w:textDirection w:val="lrTb"/>
            <w:noWrap w:val="false"/>
          </w:tcPr>
          <w:p>
            <w:pPr>
              <w:pStyle w:val="1005"/>
              <w:ind w:left="57" w:right="57"/>
            </w:pPr>
            <w:r>
              <w:t xml:space="preserve">Бюджет </w:t>
            </w:r>
            <w:r/>
          </w:p>
        </w:tc>
        <w:tc>
          <w:tcPr>
            <w:shd w:val="clear" w:fill="auto" w:color="auto"/>
            <w:tcW w:w="3863" w:type="pct"/>
            <w:textDirection w:val="lrTb"/>
            <w:noWrap w:val="false"/>
          </w:tcPr>
          <w:p>
            <w:pPr>
              <w:pStyle w:val="1005"/>
              <w:ind w:left="57" w:right="57"/>
            </w:pPr>
            <w:r>
              <w:t xml:space="preserve">Наименование бюджета</w:t>
            </w:r>
            <w:r>
              <w:t xml:space="preserve">.</w:t>
            </w:r>
            <w:r>
              <w:t xml:space="preserve"> </w:t>
            </w:r>
            <w:r/>
          </w:p>
          <w:p>
            <w:pPr>
              <w:pStyle w:val="1005"/>
              <w:ind w:left="57" w:right="57"/>
            </w:pPr>
            <w:r>
              <w:t xml:space="preserve">УБП: Заполняется автоматически на</w:t>
            </w:r>
            <w:r>
              <w:t xml:space="preserve"> основании си</w:t>
            </w:r>
            <w:r>
              <w:t xml:space="preserve">с</w:t>
            </w:r>
            <w:r>
              <w:t xml:space="preserve">темной константы.</w:t>
            </w:r>
            <w:r/>
          </w:p>
          <w:p>
            <w:pPr>
              <w:pStyle w:val="1005"/>
              <w:ind w:left="57" w:right="57"/>
            </w:pPr>
            <w:r>
              <w:t xml:space="preserve">Соответствующим значением по справо</w:t>
            </w:r>
            <w:r>
              <w:t xml:space="preserve">чнику «Бюджеты» для выбранного «Кода клиента».</w:t>
            </w:r>
            <w:r/>
          </w:p>
          <w:p>
            <w:pPr>
              <w:pStyle w:val="1005"/>
              <w:ind w:left="57" w:right="57"/>
            </w:pPr>
            <w:r>
              <w:t xml:space="preserve">Доступен выбор из справочника </w:t>
            </w:r>
            <w:r>
              <w:t xml:space="preserve">«Бюджеты».</w:t>
            </w:r>
            <w:r/>
          </w:p>
          <w:p>
            <w:pPr>
              <w:pStyle w:val="1005"/>
              <w:ind w:left="57" w:right="57"/>
            </w:pPr>
            <w:r>
              <w:t xml:space="preserve">Ввод значения вручную.</w:t>
            </w:r>
            <w:r/>
          </w:p>
          <w:p>
            <w:pPr>
              <w:pStyle w:val="1005"/>
              <w:ind w:left="57" w:right="57"/>
            </w:pPr>
            <w:r>
              <w:t xml:space="preserve">Может быть указано значение «не</w:t>
            </w:r>
            <w:r>
              <w:t xml:space="preserve">т».</w:t>
            </w:r>
            <w:r/>
          </w:p>
          <w:p>
            <w:pPr>
              <w:pStyle w:val="1005"/>
              <w:ind w:left="57" w:right="57"/>
            </w:pPr>
            <w:r>
              <w:t xml:space="preserve">Не заполняется, если в поле «Вид операции» указано знач</w:t>
            </w:r>
            <w:r>
              <w:t xml:space="preserve">ение «5».</w:t>
            </w:r>
            <w:r/>
          </w:p>
          <w:p>
            <w:pPr>
              <w:pStyle w:val="1005"/>
              <w:ind w:left="57" w:right="57"/>
            </w:pPr>
            <w:r>
              <w:t xml:space="preserve">В остальных случаях обязательно для з</w:t>
            </w:r>
            <w:r>
              <w:t xml:space="preserve">аполнения.</w:t>
            </w:r>
            <w:r/>
          </w:p>
        </w:tc>
      </w:tr>
      <w:tr>
        <w:trPr/>
        <w:tc>
          <w:tcPr>
            <w:shd w:val="clear" w:fill="auto" w:color="auto"/>
            <w:tcW w:w="1137" w:type="pct"/>
            <w:textDirection w:val="lrTb"/>
            <w:noWrap w:val="false"/>
          </w:tcPr>
          <w:p>
            <w:pPr>
              <w:pStyle w:val="1005"/>
              <w:ind w:left="57" w:right="57"/>
            </w:pPr>
            <w:r>
              <w:t xml:space="preserve">Специальные указ</w:t>
            </w:r>
            <w:r>
              <w:t xml:space="preserve">а</w:t>
            </w:r>
            <w:r>
              <w:t xml:space="preserve">ния </w:t>
            </w:r>
            <w:r/>
          </w:p>
        </w:tc>
        <w:tc>
          <w:tcPr>
            <w:shd w:val="clear" w:fill="auto" w:color="auto"/>
            <w:tcW w:w="3863" w:type="pct"/>
            <w:textDirection w:val="lrTb"/>
            <w:noWrap w:val="false"/>
          </w:tcPr>
          <w:p>
            <w:pPr>
              <w:pStyle w:val="1005"/>
              <w:ind w:left="57" w:right="57"/>
            </w:pPr>
            <w:r>
              <w:t xml:space="preserve">Код и наименование специальных указаний для УБП. </w:t>
            </w:r>
            <w:r/>
          </w:p>
          <w:p>
            <w:pPr>
              <w:pStyle w:val="1005"/>
              <w:ind w:left="57" w:right="57"/>
            </w:pPr>
            <w:r>
              <w:t xml:space="preserve">Код в</w:t>
            </w:r>
            <w:r>
              <w:t xml:space="preserve">ыбирается из списка </w:t>
            </w:r>
            <w:r>
              <w:t xml:space="preserve">допустимых </w:t>
            </w:r>
            <w:r>
              <w:t xml:space="preserve">значений</w:t>
            </w:r>
            <w:r>
              <w:t xml:space="preserve"> </w:t>
            </w:r>
            <w:r>
              <w:t xml:space="preserve">– 01, 02</w:t>
            </w:r>
            <w:r>
              <w:t xml:space="preserve">.</w:t>
            </w:r>
            <w:r/>
          </w:p>
          <w:p>
            <w:pPr>
              <w:pStyle w:val="1005"/>
              <w:ind w:left="57" w:right="57"/>
            </w:pPr>
            <w:r>
              <w:t xml:space="preserve">По умолчанию пустое поле.</w:t>
            </w:r>
            <w:r/>
          </w:p>
          <w:p>
            <w:pPr>
              <w:pStyle w:val="1005"/>
              <w:ind w:left="57" w:right="57"/>
            </w:pPr>
            <w:r>
              <w:t xml:space="preserve">Наименование заполняется автоматически на основании значения поля «Сп</w:t>
            </w:r>
            <w:r>
              <w:t xml:space="preserve">е</w:t>
            </w:r>
            <w:r>
              <w:t xml:space="preserve">циальные указания (код)»</w:t>
            </w:r>
            <w:r>
              <w:t xml:space="preserve">.</w:t>
            </w:r>
            <w:r/>
          </w:p>
          <w:p>
            <w:pPr>
              <w:pStyle w:val="1005"/>
              <w:ind w:left="57" w:right="57"/>
            </w:pPr>
            <w:r>
              <w:t xml:space="preserve">Список соответстви</w:t>
            </w:r>
            <w:r>
              <w:t xml:space="preserve">й</w:t>
            </w:r>
            <w:r>
              <w:t xml:space="preserve"> значений:</w:t>
            </w:r>
            <w:r/>
          </w:p>
          <w:p>
            <w:pPr>
              <w:pStyle w:val="1007"/>
            </w:pPr>
            <w:r>
              <w:t xml:space="preserve">«Отзыв» = 01;</w:t>
            </w:r>
            <w:r/>
          </w:p>
          <w:p>
            <w:pPr>
              <w:pStyle w:val="1007"/>
            </w:pPr>
            <w:r>
              <w:t xml:space="preserve">«</w:t>
            </w:r>
            <w:r>
              <w:t xml:space="preserve">Аннулирование полномочий организаций в сфере закупки</w:t>
            </w:r>
            <w:r>
              <w:t xml:space="preserve">» = 02.</w:t>
            </w:r>
            <w:r/>
          </w:p>
        </w:tc>
      </w:tr>
      <w:tr>
        <w:trPr/>
        <w:tc>
          <w:tcPr>
            <w:shd w:val="clear" w:fill="auto" w:color="auto"/>
            <w:tcW w:w="1137" w:type="pct"/>
            <w:textDirection w:val="lrTb"/>
            <w:noWrap w:val="false"/>
          </w:tcPr>
          <w:p>
            <w:pPr>
              <w:pStyle w:val="1005"/>
              <w:ind w:left="57" w:right="57"/>
            </w:pPr>
            <w:r>
              <w:t xml:space="preserve">Вид операции </w:t>
            </w:r>
            <w:r/>
          </w:p>
        </w:tc>
        <w:tc>
          <w:tcPr>
            <w:shd w:val="clear" w:fill="auto" w:color="auto"/>
            <w:tcW w:w="3863" w:type="pct"/>
            <w:textDirection w:val="lrTb"/>
            <w:noWrap w:val="false"/>
          </w:tcPr>
          <w:p>
            <w:pPr>
              <w:pStyle w:val="1005"/>
              <w:ind w:left="57" w:right="57"/>
            </w:pPr>
            <w:r>
              <w:t xml:space="preserve">Код и наименование вида операции УБП.</w:t>
            </w:r>
            <w:r/>
          </w:p>
          <w:p>
            <w:pPr>
              <w:pStyle w:val="1005"/>
              <w:ind w:left="57" w:right="57"/>
            </w:pPr>
            <w:r>
              <w:t xml:space="preserve">Код: </w:t>
            </w:r>
            <w:r>
              <w:t xml:space="preserve">Доступен выбор из списка </w:t>
            </w:r>
            <w:r>
              <w:t xml:space="preserve">допустимых </w:t>
            </w:r>
            <w:r>
              <w:t xml:space="preserve">зн</w:t>
            </w:r>
            <w:r>
              <w:t xml:space="preserve">ачений: </w:t>
            </w:r>
            <w:r>
              <w:t xml:space="preserve">0, 4, 5.</w:t>
            </w:r>
            <w:r/>
          </w:p>
          <w:p>
            <w:pPr>
              <w:pStyle w:val="1005"/>
              <w:ind w:left="57" w:right="57"/>
            </w:pPr>
            <w:r>
              <w:t xml:space="preserve">Наименование</w:t>
            </w:r>
            <w:r>
              <w:t xml:space="preserve"> з</w:t>
            </w:r>
            <w:r>
              <w:t xml:space="preserve">аполняется автоматически на основании указанного значения в поле «Вид операции (код)».</w:t>
            </w:r>
            <w:r/>
          </w:p>
          <w:p>
            <w:pPr>
              <w:pStyle w:val="1005"/>
              <w:ind w:left="57" w:right="57"/>
            </w:pPr>
            <w:r>
              <w:t xml:space="preserve">Список соответствий значений:</w:t>
            </w:r>
            <w:r/>
          </w:p>
          <w:p>
            <w:pPr>
              <w:pStyle w:val="1007"/>
            </w:pPr>
            <w:r>
              <w:t xml:space="preserve">0 – «включение»;</w:t>
            </w:r>
            <w:r/>
          </w:p>
          <w:p>
            <w:pPr>
              <w:pStyle w:val="1007"/>
            </w:pPr>
            <w:r>
              <w:t xml:space="preserve">4 – «изменение»;</w:t>
            </w:r>
            <w:r/>
          </w:p>
          <w:p>
            <w:pPr>
              <w:pStyle w:val="1007"/>
            </w:pPr>
            <w:r>
              <w:t xml:space="preserve">5 – «уточнение».</w:t>
            </w:r>
            <w:r/>
          </w:p>
          <w:p>
            <w:pPr>
              <w:pStyle w:val="1005"/>
              <w:ind w:left="57" w:right="57"/>
            </w:pPr>
            <w:r>
              <w:t xml:space="preserve">Значение, равное «5», может указываться только для документа, в котором поле «Тип организации» принимает одно из следующих значений: «04», «05», «06», «09», «10», «11», «12», «13», «20».</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 (1)», группа полей «Публично-правовое образование»</w:t>
            </w:r>
            <w:r/>
          </w:p>
        </w:tc>
      </w:tr>
      <w:tr>
        <w:trPr/>
        <w:tc>
          <w:tcPr>
            <w:shd w:val="clear" w:fill="auto" w:color="auto"/>
            <w:tcW w:w="1137" w:type="pct"/>
            <w:textDirection w:val="lrTb"/>
            <w:noWrap w:val="false"/>
          </w:tcPr>
          <w:p>
            <w:pPr>
              <w:pStyle w:val="1005"/>
              <w:ind w:left="57" w:right="57"/>
            </w:pPr>
            <w:r>
              <w:t xml:space="preserve">ОКТМО ППО</w:t>
            </w:r>
            <w:r/>
          </w:p>
        </w:tc>
        <w:tc>
          <w:tcPr>
            <w:shd w:val="clear" w:fill="auto" w:color="auto"/>
            <w:tcW w:w="3863" w:type="pct"/>
            <w:textDirection w:val="lrTb"/>
            <w:noWrap w:val="false"/>
          </w:tcPr>
          <w:p>
            <w:pPr>
              <w:pStyle w:val="1005"/>
              <w:ind w:left="57" w:right="57"/>
            </w:pPr>
            <w:r>
              <w:t xml:space="preserve">УБП: Указывается значение кода по ОКТМО из справочника «ОКТМО»</w:t>
            </w:r>
            <w:r>
              <w:t xml:space="preserve">.</w:t>
            </w:r>
            <w:r/>
          </w:p>
          <w:p>
            <w:pPr>
              <w:pStyle w:val="1005"/>
              <w:ind w:left="57" w:right="57"/>
            </w:pPr>
            <w:r>
              <w:t xml:space="preserve">Значение поля может указ</w:t>
            </w:r>
            <w:r>
              <w:t xml:space="preserve">ываться одним из способов:</w:t>
            </w:r>
            <w:r/>
          </w:p>
          <w:p>
            <w:pPr>
              <w:pStyle w:val="1007"/>
            </w:pPr>
            <w:r>
              <w:t xml:space="preserve">е</w:t>
            </w:r>
            <w:r>
              <w:t xml:space="preserve">сли указано значение в поле «Учетный номер», присутствующее в СПЗ среди актуальных записей, то заполняется автоматически значением с</w:t>
            </w:r>
            <w:r>
              <w:t xml:space="preserve">о</w:t>
            </w:r>
            <w:r>
              <w:t xml:space="preserve">ответствующего реквизита (ОКТМО ППО)</w:t>
            </w:r>
            <w:r>
              <w:t xml:space="preserve"> </w:t>
            </w:r>
            <w:r>
              <w:t xml:space="preserve">из справочника «СПЗ»</w:t>
            </w:r>
            <w:r>
              <w:t xml:space="preserve">;</w:t>
            </w:r>
            <w:r/>
          </w:p>
          <w:p>
            <w:pPr>
              <w:pStyle w:val="1007"/>
            </w:pPr>
            <w:r>
              <w:t xml:space="preserve">заполнение из импортиру</w:t>
            </w:r>
            <w:r>
              <w:t xml:space="preserve">е</w:t>
            </w:r>
            <w:r>
              <w:t xml:space="preserve">мого файла;</w:t>
            </w:r>
            <w:r/>
          </w:p>
          <w:p>
            <w:pPr>
              <w:pStyle w:val="1007"/>
            </w:pPr>
            <w:r>
              <w:t xml:space="preserve">ручной ввод</w:t>
            </w:r>
            <w:r>
              <w:t xml:space="preserve"> </w:t>
            </w:r>
            <w:r>
              <w:t xml:space="preserve">–</w:t>
            </w:r>
            <w:r>
              <w:t xml:space="preserve"> п</w:t>
            </w:r>
            <w:r>
              <w:t xml:space="preserve">еречень возможных кодов для выбора значения поля «ОКТМО ППО» ограничен активными на текущую дату записями спр</w:t>
            </w:r>
            <w:r>
              <w:t xml:space="preserve">а</w:t>
            </w:r>
            <w:r>
              <w:t xml:space="preserve">вочника «ОКТМО», в которых значение поля «Раздел» равно «1» (мун</w:t>
            </w:r>
            <w:r>
              <w:t xml:space="preserve">и</w:t>
            </w:r>
            <w:r>
              <w:t xml:space="preserve">ципальные образования)</w:t>
            </w:r>
            <w:r>
              <w:t xml:space="preserve">;</w:t>
            </w:r>
            <w:r/>
          </w:p>
          <w:p>
            <w:pPr>
              <w:pStyle w:val="1007"/>
            </w:pPr>
            <w:r>
              <w:t xml:space="preserve">е</w:t>
            </w:r>
            <w:r>
              <w:t xml:space="preserve">сли значение поля «Переход на СР» = 1, то автозаполнение осуществл</w:t>
            </w:r>
            <w:r>
              <w:t xml:space="preserve">я</w:t>
            </w:r>
            <w:r>
              <w:t xml:space="preserve">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поля «Наименование публично-правового образ</w:t>
            </w:r>
            <w:r>
              <w:t xml:space="preserve">о</w:t>
            </w:r>
            <w:r>
              <w:t xml:space="preserve">вания </w:t>
            </w:r>
            <w:r>
              <w:t xml:space="preserve">–</w:t>
            </w:r>
            <w:r>
              <w:t xml:space="preserve"> учредителя» (OKTMOFounder)</w:t>
            </w:r>
            <w:r>
              <w:t xml:space="preserve">.</w:t>
            </w:r>
            <w:r/>
          </w:p>
          <w:p>
            <w:pPr>
              <w:pStyle w:val="1005"/>
              <w:ind w:left="57" w:right="57"/>
            </w:pPr>
            <w:r>
              <w:t xml:space="preserve">По умолчанию не з</w:t>
            </w:r>
            <w:r>
              <w:t xml:space="preserve">аполняется.</w:t>
            </w:r>
            <w:r/>
          </w:p>
          <w:p>
            <w:pPr>
              <w:pStyle w:val="1005"/>
              <w:ind w:left="57" w:right="57"/>
            </w:pPr>
            <w:r>
              <w:t xml:space="preserve">Обязательно к заполнению</w:t>
            </w:r>
            <w:r>
              <w:t xml:space="preserve">,</w:t>
            </w:r>
            <w:r>
              <w:t xml:space="preserve"> если заполнено поле «Наименование публично-правового образования». При импорте на клиентский АРМ структурирова</w:t>
            </w:r>
            <w:r>
              <w:t xml:space="preserve">н</w:t>
            </w:r>
            <w:r>
              <w:t xml:space="preserve">ного файла утвержденного формата, не содержащего указанный реквизит </w:t>
            </w:r>
            <w:r>
              <w:t xml:space="preserve">–</w:t>
            </w:r>
            <w:r>
              <w:t xml:space="preserve"> присутствует возможность заполнения поля вручную.</w:t>
            </w:r>
            <w:r/>
          </w:p>
        </w:tc>
      </w:tr>
      <w:tr>
        <w:trPr/>
        <w:tc>
          <w:tcPr>
            <w:shd w:val="clear" w:fill="auto" w:color="auto"/>
            <w:tcW w:w="1137" w:type="pct"/>
            <w:textDirection w:val="lrTb"/>
            <w:noWrap w:val="false"/>
          </w:tcPr>
          <w:p>
            <w:pPr>
              <w:pStyle w:val="1005"/>
              <w:ind w:left="57" w:right="57"/>
            </w:pPr>
            <w:r>
              <w:t xml:space="preserve">Наименование пу</w:t>
            </w:r>
            <w:r>
              <w:t xml:space="preserve">б</w:t>
            </w:r>
            <w:r>
              <w:t xml:space="preserve">ли</w:t>
            </w:r>
            <w:r>
              <w:t xml:space="preserve">чно-правового о</w:t>
            </w:r>
            <w:r>
              <w:t xml:space="preserve">б</w:t>
            </w:r>
            <w:r>
              <w:t xml:space="preserve">р</w:t>
            </w:r>
            <w:r>
              <w:t xml:space="preserve">а</w:t>
            </w:r>
            <w:r>
              <w:t xml:space="preserve">зов</w:t>
            </w:r>
            <w:r>
              <w:t xml:space="preserve">а</w:t>
            </w:r>
            <w:r>
              <w:t xml:space="preserve">ния</w:t>
            </w:r>
            <w:r/>
          </w:p>
        </w:tc>
        <w:tc>
          <w:tcPr>
            <w:shd w:val="clear" w:fill="auto" w:color="auto"/>
            <w:tcW w:w="3863" w:type="pct"/>
            <w:textDirection w:val="lrTb"/>
            <w:noWrap w:val="false"/>
          </w:tcPr>
          <w:p>
            <w:pPr>
              <w:pStyle w:val="1005"/>
              <w:ind w:left="57" w:right="57"/>
            </w:pPr>
            <w:r>
              <w:t xml:space="preserve">УБП: </w:t>
            </w:r>
            <w:r>
              <w:t xml:space="preserve">Значение поля может указ</w:t>
            </w:r>
            <w:r>
              <w:t xml:space="preserve">ываться одним из способов:</w:t>
            </w:r>
            <w:r/>
          </w:p>
          <w:p>
            <w:pPr>
              <w:pStyle w:val="1007"/>
            </w:pPr>
            <w:r>
              <w:t xml:space="preserve">е</w:t>
            </w:r>
            <w:r>
              <w:t xml:space="preserve">сли указано значение в поле «Учетный номер», присутствующее в СПЗ среди актуальных записей, то заполняется автоматически значением с</w:t>
            </w:r>
            <w:r>
              <w:t xml:space="preserve">о</w:t>
            </w:r>
            <w:r>
              <w:t xml:space="preserve">ответствующего реквизита (Наименование ППО)</w:t>
            </w:r>
            <w:r>
              <w:t xml:space="preserve"> </w:t>
            </w:r>
            <w:r>
              <w:t xml:space="preserve">из справочника «СПЗ»</w:t>
            </w:r>
            <w:r>
              <w:t xml:space="preserve">;</w:t>
            </w:r>
            <w:r/>
          </w:p>
          <w:p>
            <w:pPr>
              <w:pStyle w:val="1007"/>
            </w:pPr>
            <w:r>
              <w:t xml:space="preserve">заполнение из импортиру</w:t>
            </w:r>
            <w:r>
              <w:t xml:space="preserve">е</w:t>
            </w:r>
            <w:r>
              <w:t xml:space="preserve">мого файла;</w:t>
            </w:r>
            <w:r/>
          </w:p>
          <w:p>
            <w:pPr>
              <w:pStyle w:val="1007"/>
            </w:pPr>
            <w:r>
              <w:t xml:space="preserve">а</w:t>
            </w:r>
            <w:r>
              <w:t xml:space="preserve">втозаполнение значением поля «Наименование» справочника «ОКТМО», соответствующим значению поля «ОКТМО ППО» с возмо</w:t>
            </w:r>
            <w:r>
              <w:t xml:space="preserve">ж</w:t>
            </w:r>
            <w:r>
              <w:t xml:space="preserve">ностью редактирования. Если «ОКТМО ППО» равно «00000000», то ук</w:t>
            </w:r>
            <w:r>
              <w:t xml:space="preserve">а</w:t>
            </w:r>
            <w:r>
              <w:t xml:space="preserve">зывается значение «Российская Федерация»</w:t>
            </w:r>
            <w:r>
              <w:t xml:space="preserve">;</w:t>
            </w:r>
            <w:r/>
          </w:p>
          <w:p>
            <w:pPr>
              <w:pStyle w:val="1007"/>
            </w:pPr>
            <w:r>
              <w:t xml:space="preserve">е</w:t>
            </w:r>
            <w:r>
              <w:t xml:space="preserve">сли значение поля «Переход на СР» = 1, то автозаполнение осуществл</w:t>
            </w:r>
            <w:r>
              <w:t xml:space="preserve">я</w:t>
            </w:r>
            <w:r>
              <w:t xml:space="preserve">ется по справочнику «Реестр участников бюджетного процесса, а также юридических лиц, не являющихся участниками бюджетного процесса» и указывается значение поля «Наименование публично-правового образ</w:t>
            </w:r>
            <w:r>
              <w:t xml:space="preserve">о</w:t>
            </w:r>
            <w:r>
              <w:t xml:space="preserve">вания </w:t>
            </w:r>
            <w:r>
              <w:t xml:space="preserve">–</w:t>
            </w:r>
            <w:r>
              <w:t xml:space="preserve"> учредителя» (FounderNamePPO)</w:t>
            </w:r>
            <w:r>
              <w:t xml:space="preserve">.</w:t>
            </w:r>
            <w:r/>
          </w:p>
          <w:p>
            <w:pPr>
              <w:pStyle w:val="1005"/>
              <w:ind w:left="57" w:right="57"/>
            </w:pPr>
            <w:r>
              <w:t xml:space="preserve">По умолчанию не з</w:t>
            </w:r>
            <w:r>
              <w:t xml:space="preserve">аполняется.</w:t>
            </w:r>
            <w:r/>
          </w:p>
          <w:p>
            <w:pPr>
              <w:pStyle w:val="1005"/>
              <w:ind w:left="57" w:right="57"/>
            </w:pPr>
            <w:r>
              <w:t xml:space="preserve">Поле «Наименование публично-правового образования» обяз</w:t>
            </w:r>
            <w:r>
              <w:t xml:space="preserve">ательно к з</w:t>
            </w:r>
            <w:r>
              <w:t xml:space="preserve">а</w:t>
            </w:r>
            <w:r>
              <w:t xml:space="preserve">по</w:t>
            </w:r>
            <w:r>
              <w:t xml:space="preserve">л</w:t>
            </w:r>
            <w:r>
              <w:t xml:space="preserve">нению для организаций с типом</w:t>
            </w:r>
            <w:r>
              <w:t xml:space="preserve">:</w:t>
            </w:r>
            <w:r>
              <w:t xml:space="preserve"> </w:t>
            </w:r>
            <w:r>
              <w:t xml:space="preserve">01, 03, 04, 05, 08, 09, 10, 12, 13</w:t>
            </w:r>
            <w:r>
              <w:t xml:space="preserve">.</w:t>
            </w:r>
            <w:r>
              <w:t xml:space="preserve"> </w:t>
            </w:r>
            <w:r/>
          </w:p>
          <w:p>
            <w:pPr>
              <w:pStyle w:val="1005"/>
              <w:ind w:left="57" w:right="57"/>
            </w:pPr>
            <w:r>
              <w:t xml:space="preserve">При импорте на клиентский АРМ структурированного файла утвержденного формата, не содержащего указанный реквизит </w:t>
            </w:r>
            <w:r>
              <w:t xml:space="preserve">–</w:t>
            </w:r>
            <w:r>
              <w:t xml:space="preserve"> присутствует возможность заполнения поля вручную.</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 (1)»</w:t>
            </w:r>
            <w:r>
              <w:t xml:space="preserve">, г</w:t>
            </w:r>
            <w:r>
              <w:t xml:space="preserve">руппа полей «Вышестоящий участник бюджетного процесса по административной принадлежн</w:t>
            </w:r>
            <w:r>
              <w:t xml:space="preserve">о</w:t>
            </w:r>
            <w:r>
              <w:t xml:space="preserve">сти»</w:t>
            </w:r>
            <w:r/>
          </w:p>
        </w:tc>
      </w:tr>
      <w:tr>
        <w:trPr/>
        <w:tc>
          <w:tcPr>
            <w:shd w:val="clear" w:fill="auto" w:color="auto"/>
            <w:tcW w:w="1137" w:type="pct"/>
            <w:textDirection w:val="lrTb"/>
            <w:noWrap w:val="false"/>
          </w:tcPr>
          <w:p>
            <w:pPr>
              <w:pStyle w:val="1005"/>
              <w:ind w:left="57" w:right="57"/>
            </w:pPr>
            <w:r>
              <w:t xml:space="preserve">Учетный н</w:t>
            </w:r>
            <w:r>
              <w:t xml:space="preserve">омер </w:t>
            </w:r>
            <w:r/>
          </w:p>
        </w:tc>
        <w:tc>
          <w:tcPr>
            <w:shd w:val="clear" w:fill="auto" w:color="auto"/>
            <w:tcW w:w="3863" w:type="pct"/>
            <w:textDirection w:val="lrTb"/>
            <w:noWrap w:val="false"/>
          </w:tcPr>
          <w:p>
            <w:pPr>
              <w:pStyle w:val="1005"/>
              <w:ind w:left="57" w:right="57"/>
            </w:pPr>
            <w:r>
              <w:t xml:space="preserve">УБП:</w:t>
            </w:r>
            <w:r>
              <w:t xml:space="preserve"> Заполняется автоматически соответс</w:t>
            </w:r>
            <w:r>
              <w:t xml:space="preserve">твующим рекв</w:t>
            </w:r>
            <w:r>
              <w:t xml:space="preserve">и</w:t>
            </w:r>
            <w:r>
              <w:t xml:space="preserve">зитом (Код Выш</w:t>
            </w:r>
            <w:r>
              <w:t xml:space="preserve">е</w:t>
            </w:r>
            <w:r>
              <w:t xml:space="preserve">стоящей организации по административной принадлежн</w:t>
            </w:r>
            <w:r>
              <w:t xml:space="preserve">о</w:t>
            </w:r>
            <w:r>
              <w:t xml:space="preserve">сти) из справочника «СПЗ», если заполнено поле «Учетный номер» (осно</w:t>
            </w:r>
            <w:r>
              <w:t xml:space="preserve">в</w:t>
            </w:r>
            <w:r>
              <w:t xml:space="preserve">ных атрибутов) и ук</w:t>
            </w:r>
            <w:r>
              <w:t xml:space="preserve">а</w:t>
            </w:r>
            <w:r>
              <w:t xml:space="preserve">занное значение присутствует в справочнике «СПЗ».</w:t>
            </w:r>
            <w:r/>
          </w:p>
          <w:p>
            <w:pPr>
              <w:pStyle w:val="1005"/>
              <w:ind w:left="57" w:right="57"/>
            </w:pPr>
            <w:r>
              <w:t xml:space="preserve">Е</w:t>
            </w:r>
            <w:r>
              <w:t xml:space="preserve">сли значение поля «Переход на СР» = 1, то автозаполнение осуществляется по справочнику «Реестр участников бюджетного процесса, а также юридич</w:t>
            </w:r>
            <w:r>
              <w:t xml:space="preserve">е</w:t>
            </w:r>
            <w:r>
              <w:t xml:space="preserve">ских лиц, не являющихся участниками бюджетного процесса» и указывается значение 4-8 символов поля «Код вышестоящей организации по Сводному реестру» записи справочника(ParentSuCode)</w:t>
            </w:r>
            <w:r>
              <w:t xml:space="preserve">.</w:t>
            </w:r>
            <w:r/>
          </w:p>
          <w:p>
            <w:pPr>
              <w:pStyle w:val="1005"/>
              <w:ind w:left="57" w:right="57"/>
            </w:pPr>
            <w:r>
              <w:t xml:space="preserve">Доступен выбор из справочника </w:t>
            </w:r>
            <w:r>
              <w:t xml:space="preserve">«СПЗ».</w:t>
            </w:r>
            <w:r/>
          </w:p>
          <w:p>
            <w:pPr>
              <w:pStyle w:val="1005"/>
              <w:ind w:left="57" w:right="57"/>
            </w:pPr>
            <w:r>
              <w:t xml:space="preserve">Ввод значения вручную</w:t>
            </w:r>
            <w:r>
              <w:t xml:space="preserve">.</w:t>
            </w:r>
            <w:r/>
          </w:p>
        </w:tc>
      </w:tr>
      <w:tr>
        <w:trPr/>
        <w:tc>
          <w:tcPr>
            <w:shd w:val="clear" w:fill="auto" w:color="auto"/>
            <w:tcW w:w="1137" w:type="pct"/>
            <w:textDirection w:val="lrTb"/>
            <w:noWrap w:val="false"/>
          </w:tcPr>
          <w:p>
            <w:pPr>
              <w:pStyle w:val="1005"/>
              <w:ind w:left="57" w:right="57"/>
            </w:pPr>
            <w:r>
              <w:t xml:space="preserve">Наименование </w:t>
            </w:r>
            <w:r/>
          </w:p>
        </w:tc>
        <w:tc>
          <w:tcPr>
            <w:shd w:val="clear" w:fill="auto" w:color="auto"/>
            <w:tcW w:w="3863" w:type="pct"/>
            <w:textDirection w:val="lrTb"/>
            <w:noWrap w:val="false"/>
          </w:tcPr>
          <w:p>
            <w:pPr>
              <w:pStyle w:val="1005"/>
              <w:ind w:left="57" w:right="57"/>
            </w:pPr>
            <w:r>
              <w:t xml:space="preserve">УБП: </w:t>
            </w:r>
            <w:r>
              <w:t xml:space="preserve">Если указано значение в поле </w:t>
            </w:r>
            <w:r>
              <w:t xml:space="preserve">«Учетный номер», присутствующее в СПЗ, то заполняется значением соответствующего реквизита из справочника «СПЗ»; иначе заполняется автоматически значением поля «Вышестоящая о</w:t>
            </w:r>
            <w:r>
              <w:t xml:space="preserve">р</w:t>
            </w:r>
            <w:r>
              <w:t xml:space="preserve">ганиз</w:t>
            </w:r>
            <w:r>
              <w:t xml:space="preserve">а</w:t>
            </w:r>
            <w:r>
              <w:t xml:space="preserve">ция (наименование)» из справочника «</w:t>
            </w:r>
            <w:r>
              <w:t xml:space="preserve">СРРПБС/ПУБП/НУБП</w:t>
            </w:r>
            <w:r>
              <w:t xml:space="preserve">» на осн</w:t>
            </w:r>
            <w:r>
              <w:t xml:space="preserve">о</w:t>
            </w:r>
            <w:r>
              <w:t xml:space="preserve">вании ук</w:t>
            </w:r>
            <w:r>
              <w:t xml:space="preserve">а</w:t>
            </w:r>
            <w:r>
              <w:t xml:space="preserve">за</w:t>
            </w:r>
            <w:r>
              <w:t xml:space="preserve">н</w:t>
            </w:r>
            <w:r>
              <w:t xml:space="preserve">ного значения в поле «Код клиента».</w:t>
            </w:r>
            <w:r/>
          </w:p>
          <w:p>
            <w:pPr>
              <w:pStyle w:val="1005"/>
              <w:ind w:left="57" w:right="57"/>
            </w:pPr>
            <w:r>
              <w:t xml:space="preserve">Доступен выбор из справочника </w:t>
            </w:r>
            <w:r>
              <w:t xml:space="preserve">«СПЗ».</w:t>
            </w:r>
            <w:r/>
          </w:p>
          <w:p>
            <w:pPr>
              <w:pStyle w:val="1005"/>
              <w:ind w:left="57" w:right="57"/>
            </w:pPr>
            <w:r>
              <w:t xml:space="preserve">Если значение поля «Переход на СР» = 1, то автозаполнение осуществляется по справочнику «Реестр участников бюджетного процесса, а также юридич</w:t>
            </w:r>
            <w:r>
              <w:t xml:space="preserve">е</w:t>
            </w:r>
            <w:r>
              <w:t xml:space="preserve">ских лиц, не являющихся участниками бюджетного процесса» и указывается значение поля «Наименование вышестоящего участника бюджетного проце</w:t>
            </w:r>
            <w:r>
              <w:t xml:space="preserve">с</w:t>
            </w:r>
            <w:r>
              <w:t xml:space="preserve">са» записи справочника (ParentSuName).</w:t>
            </w:r>
            <w:r/>
          </w:p>
          <w:p>
            <w:pPr>
              <w:pStyle w:val="1005"/>
              <w:ind w:left="57" w:right="57"/>
            </w:pPr>
            <w:r>
              <w:t xml:space="preserve">Ввод значения вручную.</w:t>
            </w:r>
            <w:r/>
          </w:p>
          <w:p>
            <w:pPr>
              <w:pStyle w:val="1005"/>
              <w:ind w:left="57" w:right="57"/>
            </w:pPr>
            <w:r>
              <w:t xml:space="preserve">Может быть указано значение </w:t>
            </w:r>
            <w:r>
              <w:t xml:space="preserve">«нет».</w:t>
            </w:r>
            <w:r/>
          </w:p>
          <w:p>
            <w:pPr>
              <w:pStyle w:val="1005"/>
              <w:ind w:left="57" w:right="57"/>
            </w:pPr>
            <w:r>
              <w:t xml:space="preserve">Не заполняется, если в поле «Вид операции» указано знач</w:t>
            </w:r>
            <w:r>
              <w:t xml:space="preserve">ение «5». В о</w:t>
            </w:r>
            <w:r>
              <w:t xml:space="preserve">с</w:t>
            </w:r>
            <w:r>
              <w:t xml:space="preserve">тал</w:t>
            </w:r>
            <w:r>
              <w:t xml:space="preserve">ь</w:t>
            </w:r>
            <w:r>
              <w:t xml:space="preserve">ных случаях обязательно для заполнения.</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 (1)»</w:t>
            </w:r>
            <w:r>
              <w:t xml:space="preserve">, г</w:t>
            </w:r>
            <w:r>
              <w:t xml:space="preserve">руппа полей «Вышестоящая организ</w:t>
            </w:r>
            <w:r>
              <w:t xml:space="preserve">ация»</w:t>
            </w:r>
            <w:r/>
          </w:p>
        </w:tc>
      </w:tr>
      <w:tr>
        <w:trPr/>
        <w:tc>
          <w:tcPr>
            <w:shd w:val="clear" w:fill="auto" w:color="auto"/>
            <w:tcW w:w="1137" w:type="pct"/>
            <w:textDirection w:val="lrTb"/>
            <w:noWrap w:val="false"/>
          </w:tcPr>
          <w:p>
            <w:pPr>
              <w:pStyle w:val="1005"/>
              <w:ind w:left="57" w:right="57"/>
            </w:pPr>
            <w:r>
              <w:t xml:space="preserve">Учетный н</w:t>
            </w:r>
            <w:r>
              <w:t xml:space="preserve">омер </w:t>
            </w:r>
            <w:r/>
          </w:p>
        </w:tc>
        <w:tc>
          <w:tcPr>
            <w:shd w:val="clear" w:fill="auto" w:color="auto"/>
            <w:tcW w:w="3863" w:type="pct"/>
            <w:textDirection w:val="lrTb"/>
            <w:noWrap w:val="false"/>
          </w:tcPr>
          <w:p>
            <w:pPr>
              <w:pStyle w:val="1005"/>
              <w:ind w:left="57" w:right="57"/>
            </w:pPr>
            <w:r>
              <w:t xml:space="preserve">УБП: </w:t>
            </w:r>
            <w:r>
              <w:t xml:space="preserve">Заполняется автомат</w:t>
            </w:r>
            <w:r>
              <w:t xml:space="preserve">ич</w:t>
            </w:r>
            <w:r>
              <w:t xml:space="preserve">е</w:t>
            </w:r>
            <w:r>
              <w:t xml:space="preserve">ски соответствующим реквизитом из справо</w:t>
            </w:r>
            <w:r>
              <w:t xml:space="preserve">ч</w:t>
            </w:r>
            <w:r>
              <w:t xml:space="preserve">ника «СПЗ», если заполнено поле «Учетный номер» и указанное значение </w:t>
            </w:r>
            <w:r>
              <w:t xml:space="preserve">прису</w:t>
            </w:r>
            <w:r>
              <w:t xml:space="preserve">т</w:t>
            </w:r>
            <w:r>
              <w:t xml:space="preserve">ствует в справочнике «СПЗ».</w:t>
            </w:r>
            <w:r/>
          </w:p>
          <w:p>
            <w:pPr>
              <w:pStyle w:val="1005"/>
              <w:ind w:left="57" w:right="57"/>
            </w:pPr>
            <w:r>
              <w:t xml:space="preserve">Доступен выбор из справочника </w:t>
            </w:r>
            <w:r>
              <w:t xml:space="preserve">«СПЗ».</w:t>
            </w:r>
            <w:r/>
          </w:p>
          <w:p>
            <w:pPr>
              <w:pStyle w:val="1005"/>
              <w:ind w:left="57" w:right="57"/>
            </w:pPr>
            <w:r>
              <w:t xml:space="preserve">Ввод значения вручную</w:t>
            </w:r>
            <w:r>
              <w:t xml:space="preserve">.</w:t>
            </w:r>
            <w:r/>
          </w:p>
        </w:tc>
      </w:tr>
      <w:tr>
        <w:trPr/>
        <w:tc>
          <w:tcPr>
            <w:shd w:val="clear" w:fill="auto" w:color="auto"/>
            <w:tcW w:w="1137" w:type="pct"/>
            <w:textDirection w:val="lrTb"/>
            <w:noWrap w:val="false"/>
          </w:tcPr>
          <w:p>
            <w:pPr>
              <w:pStyle w:val="1005"/>
              <w:ind w:left="57" w:right="57"/>
            </w:pPr>
            <w:r>
              <w:t xml:space="preserve">Наименование </w:t>
            </w:r>
            <w:r/>
          </w:p>
        </w:tc>
        <w:tc>
          <w:tcPr>
            <w:shd w:val="clear" w:fill="auto" w:color="auto"/>
            <w:tcW w:w="3863" w:type="pct"/>
            <w:textDirection w:val="lrTb"/>
            <w:noWrap w:val="false"/>
          </w:tcPr>
          <w:p>
            <w:pPr>
              <w:pStyle w:val="1005"/>
              <w:ind w:left="57" w:right="57"/>
            </w:pPr>
            <w:r>
              <w:t xml:space="preserve">УБП: </w:t>
            </w:r>
            <w:r>
              <w:t xml:space="preserve">Заполняется автоматически на основании значения поля </w:t>
            </w:r>
            <w:r>
              <w:t xml:space="preserve">«Учетный н</w:t>
            </w:r>
            <w:r>
              <w:t xml:space="preserve">о</w:t>
            </w:r>
            <w:r>
              <w:t xml:space="preserve">мер вышестоящей организации» из справочника «СПЗ».</w:t>
            </w:r>
            <w:r/>
          </w:p>
          <w:p>
            <w:pPr>
              <w:pStyle w:val="1005"/>
              <w:ind w:left="57" w:right="57"/>
            </w:pPr>
            <w:r>
              <w:t xml:space="preserve">Доступен выбор из справочника </w:t>
            </w:r>
            <w:r>
              <w:t xml:space="preserve">«СПЗ».</w:t>
            </w:r>
            <w:r/>
          </w:p>
          <w:p>
            <w:pPr>
              <w:pStyle w:val="1005"/>
              <w:ind w:left="57" w:right="57"/>
            </w:pPr>
            <w:r>
              <w:t xml:space="preserve">Ввод значения вручную.</w:t>
            </w:r>
            <w:r/>
          </w:p>
          <w:p>
            <w:pPr>
              <w:pStyle w:val="1005"/>
              <w:ind w:left="57" w:right="57"/>
            </w:pPr>
            <w:r>
              <w:t xml:space="preserve">Может быть указано значение </w:t>
            </w:r>
            <w:r>
              <w:t xml:space="preserve">«нет».</w:t>
            </w:r>
            <w:r/>
          </w:p>
          <w:p>
            <w:pPr>
              <w:pStyle w:val="1005"/>
              <w:ind w:left="57" w:right="57"/>
            </w:pPr>
            <w:r>
              <w:t xml:space="preserve">Не заполняется, если в поле «Вид операции» указано знач</w:t>
            </w:r>
            <w:r>
              <w:t xml:space="preserve">ение «5».</w:t>
            </w:r>
            <w:r>
              <w:t xml:space="preserve"> </w:t>
            </w:r>
            <w:r>
              <w:t xml:space="preserve">В остал</w:t>
            </w:r>
            <w:r>
              <w:t xml:space="preserve">ь</w:t>
            </w:r>
            <w:r>
              <w:t xml:space="preserve">ных случаях обязательно для з</w:t>
            </w:r>
            <w:r>
              <w:t xml:space="preserve">аполнения.</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 (1)»</w:t>
            </w:r>
            <w:r>
              <w:t xml:space="preserve">, г</w:t>
            </w:r>
            <w:r>
              <w:t xml:space="preserve">руппа полей «Орган ФК»</w:t>
            </w:r>
            <w:r/>
          </w:p>
        </w:tc>
      </w:tr>
      <w:tr>
        <w:trPr/>
        <w:tc>
          <w:tcPr>
            <w:shd w:val="clear" w:fill="auto" w:color="auto"/>
            <w:tcW w:w="1137" w:type="pct"/>
            <w:textDirection w:val="lrTb"/>
            <w:noWrap w:val="false"/>
          </w:tcPr>
          <w:p>
            <w:pPr>
              <w:pStyle w:val="1005"/>
              <w:ind w:left="57" w:right="57"/>
            </w:pPr>
            <w:r>
              <w:t xml:space="preserve">Код ОрФК</w:t>
            </w:r>
            <w:r/>
          </w:p>
        </w:tc>
        <w:tc>
          <w:tcPr>
            <w:shd w:val="clear" w:fill="auto" w:color="auto"/>
            <w:tcW w:w="3863" w:type="pct"/>
            <w:textDirection w:val="lrTb"/>
            <w:noWrap w:val="false"/>
          </w:tcPr>
          <w:p>
            <w:pPr>
              <w:pStyle w:val="1005"/>
              <w:ind w:left="57" w:right="57"/>
            </w:pPr>
            <w:r>
              <w:t xml:space="preserve">УБП: По умолчанию заполняется на основании си</w:t>
            </w:r>
            <w:r>
              <w:t xml:space="preserve">стемной ко</w:t>
            </w:r>
            <w:r>
              <w:t xml:space="preserve">н</w:t>
            </w:r>
            <w:r>
              <w:t xml:space="preserve">станты кодом собственного ТОФК, если уровень УФК, иначе определяется до уровня УФК.</w:t>
            </w:r>
            <w:r/>
          </w:p>
          <w:p>
            <w:pPr>
              <w:pStyle w:val="1005"/>
              <w:ind w:left="57" w:right="57"/>
            </w:pPr>
            <w:r>
              <w:t xml:space="preserve">Ввод значения вручну</w:t>
            </w:r>
            <w:r>
              <w:t xml:space="preserve">ю.</w:t>
            </w:r>
            <w:r/>
          </w:p>
          <w:p>
            <w:pPr>
              <w:pStyle w:val="1005"/>
              <w:ind w:left="57" w:right="57"/>
            </w:pPr>
            <w:r>
              <w:t xml:space="preserve">Выбор из справочника </w:t>
            </w:r>
            <w:r>
              <w:t xml:space="preserve">«Органы ФК».</w:t>
            </w:r>
            <w:r/>
          </w:p>
          <w:p>
            <w:pPr>
              <w:pStyle w:val="1005"/>
              <w:ind w:left="57" w:right="57"/>
            </w:pPr>
            <w:r>
              <w:t xml:space="preserve">Не заполняется, если в поле «Вид операции» указано знач</w:t>
            </w:r>
            <w:r>
              <w:t xml:space="preserve">ение «5».</w:t>
            </w:r>
            <w:r>
              <w:t xml:space="preserve"> </w:t>
            </w:r>
            <w:r>
              <w:t xml:space="preserve">В остал</w:t>
            </w:r>
            <w:r>
              <w:t xml:space="preserve">ь</w:t>
            </w:r>
            <w:r>
              <w:t xml:space="preserve">ных случаях обязательно для з</w:t>
            </w:r>
            <w:r>
              <w:t xml:space="preserve">аполнения.</w:t>
            </w:r>
            <w:r/>
          </w:p>
        </w:tc>
      </w:tr>
      <w:tr>
        <w:trPr/>
        <w:tc>
          <w:tcPr>
            <w:shd w:val="clear" w:fill="auto" w:color="auto"/>
            <w:tcW w:w="1137" w:type="pct"/>
            <w:textDirection w:val="lrTb"/>
            <w:noWrap w:val="false"/>
          </w:tcPr>
          <w:p>
            <w:pPr>
              <w:pStyle w:val="1005"/>
              <w:ind w:left="57" w:right="57"/>
            </w:pPr>
            <w:r>
              <w:t xml:space="preserve">Наименование</w:t>
            </w:r>
            <w:r/>
          </w:p>
        </w:tc>
        <w:tc>
          <w:tcPr>
            <w:shd w:val="clear" w:fill="auto" w:color="auto"/>
            <w:tcW w:w="3863" w:type="pct"/>
            <w:textDirection w:val="lrTb"/>
            <w:noWrap w:val="false"/>
          </w:tcPr>
          <w:p>
            <w:pPr>
              <w:pStyle w:val="1005"/>
              <w:ind w:left="57" w:right="57"/>
            </w:pPr>
            <w:r>
              <w:t xml:space="preserve">УБП: </w:t>
            </w:r>
            <w:r>
              <w:t xml:space="preserve">Заполняется автоматически полным наименованием ОрФК на основ</w:t>
            </w:r>
            <w:r>
              <w:t xml:space="preserve">а</w:t>
            </w:r>
            <w:r>
              <w:t xml:space="preserve">нии значения поля «Код ОрФК» по справочнику «Органы ФК»</w:t>
            </w:r>
            <w:r>
              <w:t xml:space="preserve">.</w:t>
            </w:r>
            <w:r/>
          </w:p>
          <w:p>
            <w:pPr>
              <w:pStyle w:val="1005"/>
              <w:ind w:left="57" w:right="57"/>
            </w:pPr>
            <w:r>
              <w:t xml:space="preserve">Ввод значения вручную</w:t>
            </w:r>
            <w:r>
              <w:t xml:space="preserve">.</w:t>
            </w:r>
            <w:r/>
          </w:p>
          <w:p>
            <w:pPr>
              <w:pStyle w:val="1005"/>
              <w:ind w:left="57" w:right="57"/>
            </w:pPr>
            <w:r>
              <w:t xml:space="preserve">Выбор из справочника </w:t>
            </w:r>
            <w:r>
              <w:t xml:space="preserve">«Органы ФК».</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 (1)»</w:t>
            </w:r>
            <w:r>
              <w:t xml:space="preserve">, г</w:t>
            </w:r>
            <w:r>
              <w:t xml:space="preserve">руппа полей «Коды»</w:t>
            </w:r>
            <w:r/>
          </w:p>
        </w:tc>
      </w:tr>
      <w:tr>
        <w:trPr/>
        <w:tc>
          <w:tcPr>
            <w:shd w:val="clear" w:fill="auto" w:color="auto"/>
            <w:tcW w:w="1137" w:type="pct"/>
            <w:textDirection w:val="lrTb"/>
            <w:noWrap w:val="false"/>
          </w:tcPr>
          <w:p>
            <w:pPr>
              <w:pStyle w:val="1005"/>
              <w:ind w:left="57" w:right="57"/>
            </w:pPr>
            <w:r>
              <w:t xml:space="preserve">ОГРН</w:t>
            </w:r>
            <w:r/>
          </w:p>
        </w:tc>
        <w:tc>
          <w:tcPr>
            <w:shd w:val="clear" w:fill="auto" w:color="auto"/>
            <w:tcW w:w="3863" w:type="pct"/>
            <w:textDirection w:val="lrTb"/>
            <w:noWrap w:val="false"/>
          </w:tcPr>
          <w:p>
            <w:pPr>
              <w:pStyle w:val="1005"/>
              <w:ind w:left="57" w:right="57"/>
            </w:pPr>
            <w:r>
              <w:t xml:space="preserve">УБП: </w:t>
            </w:r>
            <w:r>
              <w:t xml:space="preserve">Заполняется автоматически соответствующим реквизитом из справо</w:t>
            </w:r>
            <w:r>
              <w:t xml:space="preserve">ч</w:t>
            </w:r>
            <w:r>
              <w:t xml:space="preserve">ника </w:t>
            </w:r>
            <w:r>
              <w:t xml:space="preserve">«СПЗ», если заполнено поле «Учетный номер» и указанное значение прису</w:t>
            </w:r>
            <w:r>
              <w:t xml:space="preserve">т</w:t>
            </w:r>
            <w:r>
              <w:t xml:space="preserve">ствует в справочнике «СПЗ».</w:t>
            </w:r>
            <w:r/>
          </w:p>
          <w:p>
            <w:pPr>
              <w:pStyle w:val="1005"/>
              <w:ind w:left="57" w:right="57"/>
            </w:pPr>
            <w:r>
              <w:t xml:space="preserve">Е</w:t>
            </w:r>
            <w:r>
              <w:t xml:space="preserve">сли значение поля «Переход на СР»</w:t>
            </w:r>
            <w:r>
              <w:t xml:space="preserve"> </w:t>
            </w:r>
            <w:r>
              <w:t xml:space="preserve">=</w:t>
            </w:r>
            <w:r>
              <w:t xml:space="preserve"> </w:t>
            </w:r>
            <w:r>
              <w:t xml:space="preserve">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r>
              <w:t xml:space="preserve">.</w:t>
            </w:r>
            <w:r/>
          </w:p>
          <w:p>
            <w:pPr>
              <w:pStyle w:val="1005"/>
              <w:ind w:left="57" w:right="57"/>
            </w:pPr>
            <w:r>
              <w:t xml:space="preserve">Ввод значения вручную.</w:t>
            </w:r>
            <w:r/>
          </w:p>
          <w:p>
            <w:pPr>
              <w:pStyle w:val="1005"/>
              <w:ind w:left="57" w:right="57"/>
            </w:pPr>
            <w:r>
              <w:t xml:space="preserve">Не заполняется, если в поле «Вид операции» указано знач</w:t>
            </w:r>
            <w:r>
              <w:t xml:space="preserve">ение «5».</w:t>
            </w:r>
            <w:r>
              <w:t xml:space="preserve"> </w:t>
            </w:r>
            <w:r>
              <w:t xml:space="preserve">В остал</w:t>
            </w:r>
            <w:r>
              <w:t xml:space="preserve">ь</w:t>
            </w:r>
            <w:r>
              <w:t xml:space="preserve">ных случаях обязательно для з</w:t>
            </w:r>
            <w:r>
              <w:t xml:space="preserve">аполнения.</w:t>
            </w:r>
            <w:r/>
          </w:p>
        </w:tc>
      </w:tr>
      <w:tr>
        <w:trPr/>
        <w:tc>
          <w:tcPr>
            <w:shd w:val="clear" w:fill="auto" w:color="auto"/>
            <w:tcW w:w="1137" w:type="pct"/>
            <w:textDirection w:val="lrTb"/>
            <w:noWrap w:val="false"/>
          </w:tcPr>
          <w:p>
            <w:pPr>
              <w:pStyle w:val="1005"/>
              <w:ind w:left="57" w:right="57"/>
            </w:pPr>
            <w:r>
              <w:t xml:space="preserve">ОКФС</w:t>
            </w:r>
            <w:r/>
          </w:p>
        </w:tc>
        <w:tc>
          <w:tcPr>
            <w:shd w:val="clear" w:fill="auto" w:color="auto"/>
            <w:tcW w:w="3863" w:type="pct"/>
            <w:textDirection w:val="lrTb"/>
            <w:noWrap w:val="false"/>
          </w:tcPr>
          <w:p>
            <w:pPr>
              <w:pStyle w:val="1005"/>
              <w:ind w:left="57" w:right="57"/>
            </w:pPr>
            <w:r>
              <w:t xml:space="preserve">УБП: </w:t>
            </w:r>
            <w:r>
              <w:t xml:space="preserve">Заполняется автоматически соответствующим реквизитом из справо</w:t>
            </w:r>
            <w:r>
              <w:t xml:space="preserve">ч</w:t>
            </w:r>
            <w:r>
              <w:t xml:space="preserve">ника </w:t>
            </w:r>
            <w:r>
              <w:t xml:space="preserve">«СПЗ», если заполнено поле «Учетный номер» и указанное значение прису</w:t>
            </w:r>
            <w:r>
              <w:t xml:space="preserve">т</w:t>
            </w:r>
            <w:r>
              <w:t xml:space="preserve">ствует в справочнике «СПЗ».</w:t>
            </w:r>
            <w:r/>
          </w:p>
          <w:p>
            <w:pPr>
              <w:pStyle w:val="1005"/>
              <w:ind w:left="57" w:right="57"/>
            </w:pPr>
            <w:r>
              <w:t xml:space="preserve">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r>
              <w:t xml:space="preserve">.</w:t>
            </w:r>
            <w:r/>
          </w:p>
          <w:p>
            <w:pPr>
              <w:pStyle w:val="1005"/>
              <w:ind w:left="57" w:right="57"/>
            </w:pPr>
            <w:r>
              <w:t xml:space="preserve">Доступен выбор из справочника </w:t>
            </w:r>
            <w:r>
              <w:t xml:space="preserve">«ОКФС».</w:t>
            </w:r>
            <w:r/>
          </w:p>
          <w:p>
            <w:pPr>
              <w:pStyle w:val="1005"/>
              <w:ind w:left="57" w:right="57"/>
            </w:pPr>
            <w:r>
              <w:t xml:space="preserve">Ввод значения вручную</w:t>
            </w:r>
            <w:r>
              <w:t xml:space="preserve">.</w:t>
            </w:r>
            <w:r/>
          </w:p>
          <w:p>
            <w:pPr>
              <w:pStyle w:val="1005"/>
              <w:ind w:left="57" w:right="57"/>
            </w:pPr>
            <w:r>
              <w:t xml:space="preserve">Указание группировочных п</w:t>
            </w:r>
            <w:r>
              <w:t xml:space="preserve">озиций – 10, 11, 15, 17, 20, 30, 40, в поле не д</w:t>
            </w:r>
            <w:r>
              <w:t xml:space="preserve">о</w:t>
            </w:r>
            <w:r>
              <w:t xml:space="preserve">пускается.</w:t>
            </w:r>
            <w:r/>
          </w:p>
          <w:p>
            <w:pPr>
              <w:pStyle w:val="1005"/>
              <w:ind w:left="57" w:right="57"/>
            </w:pPr>
            <w:r>
              <w:t xml:space="preserve">Не заполняется, если в поле «Вид операции» указано значение «5». В остал</w:t>
            </w:r>
            <w:r>
              <w:t xml:space="preserve">ь</w:t>
            </w:r>
            <w:r>
              <w:t xml:space="preserve">ных случаях обязательно для заполнения.</w:t>
            </w:r>
            <w:r/>
          </w:p>
        </w:tc>
      </w:tr>
      <w:tr>
        <w:trPr/>
        <w:tc>
          <w:tcPr>
            <w:shd w:val="clear" w:fill="auto" w:color="auto"/>
            <w:tcW w:w="1137" w:type="pct"/>
            <w:textDirection w:val="lrTb"/>
            <w:noWrap w:val="false"/>
          </w:tcPr>
          <w:p>
            <w:pPr>
              <w:pStyle w:val="1005"/>
              <w:ind w:left="57" w:right="57"/>
            </w:pPr>
            <w:r>
              <w:t xml:space="preserve">ОКОПФ</w:t>
            </w:r>
            <w:r/>
          </w:p>
        </w:tc>
        <w:tc>
          <w:tcPr>
            <w:shd w:val="clear" w:fill="auto" w:color="auto"/>
            <w:tcW w:w="3863" w:type="pct"/>
            <w:textDirection w:val="lrTb"/>
            <w:noWrap w:val="false"/>
          </w:tcPr>
          <w:p>
            <w:pPr>
              <w:pStyle w:val="1005"/>
              <w:ind w:left="57" w:right="57"/>
            </w:pPr>
            <w:r>
              <w:t xml:space="preserve">УБП: </w:t>
            </w:r>
            <w:r>
              <w:t xml:space="preserve">Заполняется автоматически соответствующим реквизитом из справо</w:t>
            </w:r>
            <w:r>
              <w:t xml:space="preserve">ч</w:t>
            </w:r>
            <w:r>
              <w:t xml:space="preserve">ника </w:t>
            </w:r>
            <w:r>
              <w:t xml:space="preserve">«СПЗ», если заполнено поле «Учетный номер» и указанное значение прису</w:t>
            </w:r>
            <w:r>
              <w:t xml:space="preserve">т</w:t>
            </w:r>
            <w:r>
              <w:t xml:space="preserve">ствует в справочнике «СПЗ».</w:t>
            </w:r>
            <w:r/>
          </w:p>
          <w:p>
            <w:pPr>
              <w:pStyle w:val="1005"/>
              <w:ind w:left="57" w:right="57"/>
            </w:pPr>
            <w:r>
              <w:t xml:space="preserve">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r/>
          </w:p>
          <w:p>
            <w:pPr>
              <w:pStyle w:val="1005"/>
              <w:ind w:left="57" w:right="57"/>
            </w:pPr>
            <w:r>
              <w:t xml:space="preserve">Доступен выбор из справочника </w:t>
            </w:r>
            <w:r>
              <w:t xml:space="preserve">«ОКОПФ».</w:t>
            </w:r>
            <w:r/>
          </w:p>
          <w:p>
            <w:pPr>
              <w:pStyle w:val="1005"/>
              <w:ind w:left="57" w:right="57"/>
            </w:pPr>
            <w:r>
              <w:t xml:space="preserve">Ввод значения вручную</w:t>
            </w:r>
            <w:r>
              <w:t xml:space="preserve">.</w:t>
            </w:r>
            <w:r/>
          </w:p>
          <w:p>
            <w:pPr>
              <w:pStyle w:val="1005"/>
              <w:ind w:left="57" w:right="57"/>
            </w:pPr>
            <w:r>
              <w:t xml:space="preserve">Не заполняется, если в поле «Вид операции» указано значение «5». В остал</w:t>
            </w:r>
            <w:r>
              <w:t xml:space="preserve">ь</w:t>
            </w:r>
            <w:r>
              <w:t xml:space="preserve">ных случаях обязательно для заполнения.</w:t>
            </w:r>
            <w:r/>
          </w:p>
        </w:tc>
      </w:tr>
      <w:tr>
        <w:trPr/>
        <w:tc>
          <w:tcPr>
            <w:shd w:val="clear" w:fill="auto" w:color="auto"/>
            <w:tcW w:w="1137" w:type="pct"/>
            <w:textDirection w:val="lrTb"/>
            <w:noWrap w:val="false"/>
          </w:tcPr>
          <w:p>
            <w:pPr>
              <w:pStyle w:val="1005"/>
              <w:ind w:left="57" w:right="57"/>
            </w:pPr>
            <w:r>
              <w:t xml:space="preserve">ОКОГУ</w:t>
            </w:r>
            <w:r/>
          </w:p>
        </w:tc>
        <w:tc>
          <w:tcPr>
            <w:shd w:val="clear" w:fill="auto" w:color="auto"/>
            <w:tcW w:w="3863" w:type="pct"/>
            <w:textDirection w:val="lrTb"/>
            <w:noWrap w:val="false"/>
          </w:tcPr>
          <w:p>
            <w:pPr>
              <w:pStyle w:val="1005"/>
              <w:ind w:left="57" w:right="57"/>
            </w:pPr>
            <w:r>
              <w:t xml:space="preserve">УБП: </w:t>
            </w:r>
            <w:r>
              <w:t xml:space="preserve">Заполняется автоматически соответствующим реквизитом из справо</w:t>
            </w:r>
            <w:r>
              <w:t xml:space="preserve">ч</w:t>
            </w:r>
            <w:r>
              <w:t xml:space="preserve">ника </w:t>
            </w:r>
            <w:r>
              <w:t xml:space="preserve">«СПЗ», если заполнено поле «Учетный номер» и указанное значение прису</w:t>
            </w:r>
            <w:r>
              <w:t xml:space="preserve">т</w:t>
            </w:r>
            <w:r>
              <w:t xml:space="preserve">ствует в справочнике «СПЗ».</w:t>
            </w:r>
            <w:r/>
          </w:p>
          <w:p>
            <w:pPr>
              <w:pStyle w:val="1005"/>
              <w:ind w:left="57" w:right="57"/>
            </w:pPr>
            <w:r>
              <w:t xml:space="preserve">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r/>
          </w:p>
          <w:p>
            <w:pPr>
              <w:pStyle w:val="1005"/>
              <w:ind w:left="57" w:right="57"/>
            </w:pPr>
            <w:r>
              <w:t xml:space="preserve">Доступен выбор из справочника </w:t>
            </w:r>
            <w:r>
              <w:t xml:space="preserve">«ОКОГУ».</w:t>
            </w:r>
            <w:r/>
          </w:p>
          <w:p>
            <w:pPr>
              <w:pStyle w:val="1005"/>
              <w:ind w:left="57" w:right="57"/>
            </w:pPr>
            <w:r>
              <w:t xml:space="preserve">Ввод значения вручную</w:t>
            </w:r>
            <w:r>
              <w:t xml:space="preserve">.</w:t>
            </w:r>
            <w:r/>
          </w:p>
          <w:p>
            <w:pPr>
              <w:pStyle w:val="1005"/>
              <w:ind w:left="57" w:right="57"/>
            </w:pPr>
            <w:r>
              <w:t xml:space="preserve">Обязательно для заполнения, если значение поля «Тип орган</w:t>
            </w:r>
            <w:r>
              <w:t xml:space="preserve">изации» равно «01».</w:t>
            </w:r>
            <w:r/>
          </w:p>
        </w:tc>
      </w:tr>
      <w:tr>
        <w:trPr/>
        <w:tc>
          <w:tcPr>
            <w:shd w:val="clear" w:fill="auto" w:color="auto"/>
            <w:tcW w:w="1137" w:type="pct"/>
            <w:textDirection w:val="lrTb"/>
            <w:noWrap w:val="false"/>
          </w:tcPr>
          <w:p>
            <w:pPr>
              <w:pStyle w:val="1005"/>
              <w:ind w:left="57" w:right="57"/>
            </w:pPr>
            <w:r>
              <w:t xml:space="preserve">ОКПО</w:t>
            </w:r>
            <w:r/>
          </w:p>
        </w:tc>
        <w:tc>
          <w:tcPr>
            <w:shd w:val="clear" w:fill="auto" w:color="auto"/>
            <w:tcW w:w="3863" w:type="pct"/>
            <w:textDirection w:val="lrTb"/>
            <w:noWrap w:val="false"/>
          </w:tcPr>
          <w:p>
            <w:pPr>
              <w:pStyle w:val="1005"/>
              <w:ind w:left="57" w:right="57"/>
            </w:pPr>
            <w:r>
              <w:t xml:space="preserve">УБП: </w:t>
            </w:r>
            <w:r>
              <w:t xml:space="preserve">Заполняется автоматически соответствующим реквизитом из справо</w:t>
            </w:r>
            <w:r>
              <w:t xml:space="preserve">ч</w:t>
            </w:r>
            <w:r>
              <w:t xml:space="preserve">ника </w:t>
            </w:r>
            <w:r>
              <w:t xml:space="preserve">«СПЗ», если заполнено поле «Учетный номер» и указанное значение прису</w:t>
            </w:r>
            <w:r>
              <w:t xml:space="preserve">т</w:t>
            </w:r>
            <w:r>
              <w:t xml:space="preserve">ствует в справочнике «СПЗ».</w:t>
            </w:r>
            <w:r/>
          </w:p>
          <w:p>
            <w:pPr>
              <w:pStyle w:val="1005"/>
              <w:ind w:left="57" w:right="57"/>
            </w:pPr>
            <w:r>
              <w:t xml:space="preserve">Если значение поля «Переход на СР» = 1, то автозаполнение необходимо осуществлять по справочнику «Реестр участников бюджетного процесса, а также юридических лиц, не являющихся участниками бюджетного процесса».</w:t>
            </w:r>
            <w:r/>
          </w:p>
          <w:p>
            <w:pPr>
              <w:pStyle w:val="1005"/>
              <w:ind w:left="57" w:right="57"/>
            </w:pPr>
            <w:r>
              <w:t xml:space="preserve">Доступен выбор из справочника </w:t>
            </w:r>
            <w:r>
              <w:t xml:space="preserve">«ОКПО».</w:t>
            </w:r>
            <w:r/>
          </w:p>
          <w:p>
            <w:pPr>
              <w:pStyle w:val="1005"/>
              <w:ind w:left="57" w:right="57"/>
            </w:pPr>
            <w:r>
              <w:t xml:space="preserve">Ввод значения вручную</w:t>
            </w:r>
            <w:r>
              <w:t xml:space="preserve">.</w:t>
            </w:r>
            <w:r/>
          </w:p>
          <w:p>
            <w:pPr>
              <w:pStyle w:val="1005"/>
              <w:ind w:left="57" w:right="57"/>
            </w:pPr>
            <w:r>
              <w:t xml:space="preserve">Не заполняется, если в поле «Вид операции» указано знач</w:t>
            </w:r>
            <w:r>
              <w:t xml:space="preserve">ение «5».</w:t>
            </w:r>
            <w:r>
              <w:t xml:space="preserve"> </w:t>
            </w:r>
            <w:r>
              <w:t xml:space="preserve">В остал</w:t>
            </w:r>
            <w:r>
              <w:t xml:space="preserve">ь</w:t>
            </w:r>
            <w:r>
              <w:t xml:space="preserve">ных случаях обязательно для з</w:t>
            </w:r>
            <w:r>
              <w:t xml:space="preserve">аполнения.</w:t>
            </w:r>
            <w:r/>
          </w:p>
        </w:tc>
      </w:tr>
    </w:tbl>
    <w:p>
      <w:pPr>
        <w:pStyle w:val="994"/>
      </w:pPr>
      <w:r>
        <w:t xml:space="preserve">ЭФ документа </w:t>
      </w:r>
      <w:r>
        <w:t xml:space="preserve">«</w:t>
      </w:r>
      <w:r>
        <w:t xml:space="preserve">Сведения об организации</w:t>
      </w:r>
      <w:r>
        <w:t xml:space="preserve">», закладки «</w:t>
      </w:r>
      <w:r>
        <w:t xml:space="preserve">Полном</w:t>
      </w:r>
      <w:r>
        <w:t xml:space="preserve">о</w:t>
      </w:r>
      <w:r>
        <w:t xml:space="preserve">чия и бюджеты</w:t>
      </w:r>
      <w:r>
        <w:t xml:space="preserve"> (2)»</w:t>
      </w:r>
      <w:r>
        <w:t xml:space="preserve"> </w:t>
      </w:r>
      <w:r>
        <w:t xml:space="preserve">представлена </w:t>
      </w:r>
      <w:r>
        <w:t xml:space="preserve">н</w:t>
      </w:r>
      <w:r>
        <w:t xml:space="preserve">а рисунке</w:t>
      </w:r>
      <w:r>
        <w:t xml:space="preserve"> </w:t>
      </w:r>
      <w:r>
        <w:fldChar w:fldCharType="begin"/>
      </w:r>
      <w:r>
        <w:instrText xml:space="preserve"> REF _Ref327441380 \h </w:instrText>
      </w:r>
      <w:r>
        <w:instrText xml:space="preserve"> \* MERGEFORMAT </w:instrText>
      </w:r>
      <w:r>
        <w:fldChar w:fldCharType="separate"/>
      </w:r>
      <w:r>
        <w:t xml:space="preserve">315</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5669280"/>
                <wp:effectExtent l="0" t="0" r="0" b="0"/>
                <wp:docPr id="46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05"/>
                        <a:stretch/>
                      </pic:blipFill>
                      <pic:spPr bwMode="auto">
                        <a:xfrm>
                          <a:off x="0" y="0"/>
                          <a:ext cx="6126480" cy="56692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9" o:spid="_x0000_s459" type="#_x0000_t75" style="mso-wrap-distance-left:0.0pt;mso-wrap-distance-top:0.0pt;mso-wrap-distance-right:0.0pt;mso-wrap-distance-bottom:0.0pt;width:482.4pt;height:446.4pt;" stroked="f">
                <v:path textboxrect="0,0,0,0"/>
                <v:imagedata r:id="rId405" o:title=""/>
              </v:shape>
            </w:pict>
          </mc:Fallback>
        </mc:AlternateContent>
      </w:r>
      <w:r/>
    </w:p>
    <w:p>
      <w:pPr>
        <w:pStyle w:val="983"/>
      </w:pPr>
      <w:r>
        <w:fldChar w:fldCharType="begin"/>
      </w:r>
      <w:r>
        <w:instrText xml:space="preserve"> SEQ Рисунок \* ARABIC </w:instrText>
      </w:r>
      <w:r>
        <w:fldChar w:fldCharType="separate"/>
      </w:r>
      <w:bookmarkStart w:id="2070" w:name="_Ref327441380"/>
      <w:r/>
      <w:bookmarkStart w:id="2071" w:name="_Toc88819700"/>
      <w:r>
        <w:t xml:space="preserve">315</w:t>
      </w:r>
      <w:bookmarkEnd w:id="2070"/>
      <w:r>
        <w:fldChar w:fldCharType="end"/>
      </w:r>
      <w:r>
        <w:t xml:space="preserve">. ЭФ </w:t>
      </w:r>
      <w:r>
        <w:t xml:space="preserve">документа «</w:t>
      </w:r>
      <w:r>
        <w:t xml:space="preserve">Сведения об организации</w:t>
      </w:r>
      <w:r>
        <w:t xml:space="preserve">», закладки «</w:t>
      </w:r>
      <w:r>
        <w:t xml:space="preserve">Полномочия и бюджеты</w:t>
      </w:r>
      <w:r>
        <w:t xml:space="preserve"> (2)»</w:t>
      </w:r>
      <w:bookmarkEnd w:id="2071"/>
      <w:r/>
      <w:r/>
    </w:p>
    <w:p>
      <w:pPr>
        <w:pStyle w:val="994"/>
      </w:pPr>
      <w:r>
        <w:t xml:space="preserve">Перечень </w:t>
      </w:r>
      <w:r>
        <w:t xml:space="preserve">полей </w:t>
      </w:r>
      <w:r>
        <w:t xml:space="preserve">документа </w:t>
      </w:r>
      <w:r>
        <w:t xml:space="preserve">«</w:t>
      </w:r>
      <w:r>
        <w:t xml:space="preserve">Сведения об организации</w:t>
      </w:r>
      <w:r>
        <w:t xml:space="preserve">», </w:t>
      </w:r>
      <w:r>
        <w:t xml:space="preserve">закладки </w:t>
      </w:r>
      <w:r>
        <w:t xml:space="preserve">«</w:t>
      </w:r>
      <w:r>
        <w:t xml:space="preserve">Полномочия и бюджеты</w:t>
      </w:r>
      <w:r>
        <w:t xml:space="preserve"> (2)»</w:t>
      </w:r>
      <w:r>
        <w:t xml:space="preserve"> </w:t>
      </w:r>
      <w:r>
        <w:t xml:space="preserve">приведен в таблице</w:t>
      </w:r>
      <w:r>
        <w:t xml:space="preserve"> </w:t>
      </w:r>
      <w:r>
        <w:fldChar w:fldCharType="begin"/>
      </w:r>
      <w:r>
        <w:instrText xml:space="preserve"> REF _Ref327441292 \h  \* MERGEFORMAT </w:instrText>
      </w:r>
      <w:r>
        <w:fldChar w:fldCharType="separate"/>
      </w:r>
      <w:r>
        <w:t xml:space="preserve">185</w:t>
      </w:r>
      <w:r>
        <w:fldChar w:fldCharType="end"/>
      </w:r>
      <w:r>
        <w:t xml:space="preserve">.</w:t>
      </w:r>
      <w:r/>
    </w:p>
    <w:p>
      <w:pPr>
        <w:pStyle w:val="993"/>
      </w:pPr>
      <w:r>
        <w:fldChar w:fldCharType="begin"/>
      </w:r>
      <w:r>
        <w:instrText xml:space="preserve"> SEQ Таблица \* ARABIC </w:instrText>
      </w:r>
      <w:r>
        <w:fldChar w:fldCharType="separate"/>
      </w:r>
      <w:bookmarkStart w:id="2072" w:name="_Ref327441292"/>
      <w:r/>
      <w:bookmarkStart w:id="2073" w:name="_Toc88819372"/>
      <w:r>
        <w:t xml:space="preserve">185</w:t>
      </w:r>
      <w:bookmarkEnd w:id="2072"/>
      <w:r>
        <w:fldChar w:fldCharType="end"/>
      </w:r>
      <w:r>
        <w:t xml:space="preserve">. Описание полей документа </w:t>
      </w:r>
      <w:r>
        <w:t xml:space="preserve">«</w:t>
      </w:r>
      <w:r>
        <w:t xml:space="preserve">Сведения об организации</w:t>
      </w:r>
      <w:r>
        <w:t xml:space="preserve">», закладки «</w:t>
      </w:r>
      <w:r>
        <w:t xml:space="preserve">Полном</w:t>
      </w:r>
      <w:r>
        <w:t xml:space="preserve">о</w:t>
      </w:r>
      <w:r>
        <w:t xml:space="preserve">чия и бюдж</w:t>
      </w:r>
      <w:r>
        <w:t xml:space="preserve">е</w:t>
      </w:r>
      <w:r>
        <w:t xml:space="preserve">ты</w:t>
      </w:r>
      <w:r>
        <w:t xml:space="preserve"> (2)»</w:t>
      </w:r>
      <w:bookmarkEnd w:id="2073"/>
      <w:r>
        <w:t xml:space="preserve"> </w:t>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2217" w:type="dxa"/>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7535" w:type="dxa"/>
            <w:vAlign w:val="center"/>
            <w:textDirection w:val="lrTb"/>
            <w:noWrap w:val="false"/>
          </w:tcPr>
          <w:p>
            <w:pPr>
              <w:pStyle w:val="1006"/>
            </w:pPr>
            <w:r>
              <w:t xml:space="preserve">Описание</w:t>
            </w:r>
            <w:r>
              <w:t xml:space="preserve"> поля</w:t>
            </w:r>
            <w:r/>
          </w:p>
        </w:tc>
      </w:tr>
      <w:tr>
        <w:trPr/>
        <w:tc>
          <w:tcPr>
            <w:gridSpan w:val="2"/>
            <w:shd w:val="clear" w:fill="auto" w:color="auto"/>
            <w:tcW w:w="9752" w:type="dxa"/>
            <w:textDirection w:val="lrTb"/>
            <w:noWrap w:val="false"/>
          </w:tcPr>
          <w:p>
            <w:pPr>
              <w:pStyle w:val="1005"/>
              <w:ind w:left="57" w:right="57"/>
            </w:pPr>
            <w:r>
              <w:t xml:space="preserve">Закладка </w:t>
            </w:r>
            <w:r>
              <w:t xml:space="preserve">«Полномочия и бюджеты (2)» не заполняется при значении кода СУ «02» или «03», или при значении кода ВО «5»</w:t>
            </w:r>
            <w:r>
              <w:t xml:space="preserve"> (</w:t>
            </w:r>
            <w:r>
              <w:t xml:space="preserve">огранич</w:t>
            </w:r>
            <w:r>
              <w:t xml:space="preserve">ен</w:t>
            </w:r>
            <w:r>
              <w:t xml:space="preserve"> доступ,</w:t>
            </w:r>
            <w:r>
              <w:t xml:space="preserve"> блокир</w:t>
            </w:r>
            <w:r>
              <w:t xml:space="preserve">уются</w:t>
            </w:r>
            <w:r>
              <w:t xml:space="preserve"> все поля закладки для вв</w:t>
            </w:r>
            <w:r>
              <w:t xml:space="preserve">о</w:t>
            </w:r>
            <w:r>
              <w:t xml:space="preserve">да</w:t>
            </w:r>
            <w:r>
              <w:t xml:space="preserve">)</w:t>
            </w:r>
            <w:r>
              <w:t xml:space="preserve">. В о</w:t>
            </w:r>
            <w:r>
              <w:t xml:space="preserve">с</w:t>
            </w:r>
            <w:r>
              <w:t xml:space="preserve">тальных случаях обязательн</w:t>
            </w:r>
            <w:r>
              <w:t xml:space="preserve">о</w:t>
            </w:r>
            <w:r>
              <w:t xml:space="preserve"> для заполнения.</w:t>
            </w:r>
            <w:r/>
          </w:p>
        </w:tc>
      </w:tr>
      <w:tr>
        <w:trPr/>
        <w:tc>
          <w:tcPr>
            <w:gridSpan w:val="2"/>
            <w:shd w:val="clear" w:fill="auto" w:color="auto"/>
            <w:tcW w:w="9752" w:type="dxa"/>
            <w:textDirection w:val="lrTb"/>
            <w:noWrap w:val="false"/>
          </w:tcPr>
          <w:p>
            <w:pPr>
              <w:pStyle w:val="1005"/>
              <w:ind w:left="57" w:right="57"/>
            </w:pPr>
            <w:r>
              <w:t xml:space="preserve">Закладка «Полномочия и бюджеты (2)»</w:t>
            </w:r>
            <w:r>
              <w:t xml:space="preserve">, </w:t>
            </w:r>
            <w:r>
              <w:t xml:space="preserve">группа полей</w:t>
            </w:r>
            <w:r>
              <w:t xml:space="preserve"> «Коды по ОКВЭД»</w:t>
            </w:r>
            <w:r/>
          </w:p>
        </w:tc>
      </w:tr>
      <w:tr>
        <w:trPr/>
        <w:tc>
          <w:tcPr>
            <w:shd w:val="clear" w:fill="auto" w:color="auto"/>
            <w:tcW w:w="2217" w:type="dxa"/>
            <w:textDirection w:val="lrTb"/>
            <w:noWrap w:val="false"/>
          </w:tcPr>
          <w:p>
            <w:pPr>
              <w:pStyle w:val="1005"/>
              <w:ind w:left="57" w:right="57"/>
            </w:pPr>
            <w:r>
              <w:t xml:space="preserve">Код по ОКВЭД </w:t>
            </w:r>
            <w:r/>
          </w:p>
        </w:tc>
        <w:tc>
          <w:tcPr>
            <w:shd w:val="clear" w:fill="auto" w:color="auto"/>
            <w:tcW w:w="7535" w:type="dxa"/>
            <w:textDirection w:val="lrTb"/>
            <w:noWrap w:val="false"/>
          </w:tcPr>
          <w:p>
            <w:pPr>
              <w:pStyle w:val="1005"/>
              <w:ind w:left="57" w:right="57"/>
            </w:pPr>
            <w:r>
              <w:t xml:space="preserve">УБП: </w:t>
            </w:r>
            <w:r>
              <w:t xml:space="preserve">Доступен выбор из спр</w:t>
            </w:r>
            <w:r>
              <w:t xml:space="preserve">авочника «ОКВЭД».</w:t>
            </w:r>
            <w:r/>
          </w:p>
          <w:p>
            <w:pPr>
              <w:pStyle w:val="1005"/>
              <w:ind w:left="57" w:right="57"/>
            </w:pPr>
            <w:r>
              <w:t xml:space="preserve">Ввод значения вручную.</w:t>
            </w:r>
            <w:r/>
          </w:p>
        </w:tc>
      </w:tr>
      <w:tr>
        <w:trPr/>
        <w:tc>
          <w:tcPr>
            <w:gridSpan w:val="2"/>
            <w:shd w:val="clear" w:fill="auto" w:color="auto"/>
            <w:tcW w:w="9752" w:type="dxa"/>
            <w:textDirection w:val="lrTb"/>
            <w:noWrap w:val="false"/>
          </w:tcPr>
          <w:p>
            <w:pPr>
              <w:pStyle w:val="1005"/>
              <w:ind w:left="57" w:right="57"/>
            </w:pPr>
            <w:r>
              <w:t xml:space="preserve">Закладка «Полномочия и бюджеты (2)»</w:t>
            </w:r>
            <w:r>
              <w:t xml:space="preserve">, </w:t>
            </w:r>
            <w:r>
              <w:t xml:space="preserve">группа полей</w:t>
            </w:r>
            <w:r>
              <w:t xml:space="preserve"> </w:t>
            </w:r>
            <w:r>
              <w:t xml:space="preserve">«</w:t>
            </w:r>
            <w:r>
              <w:t xml:space="preserve">Сведения о полномочиях ЕИС</w:t>
            </w:r>
            <w:r>
              <w:t xml:space="preserve">»</w:t>
            </w:r>
            <w:r>
              <w:t xml:space="preserve">.</w:t>
            </w:r>
            <w:r/>
          </w:p>
          <w:p>
            <w:pPr>
              <w:pStyle w:val="1005"/>
              <w:ind w:left="57" w:right="57"/>
            </w:pPr>
            <w:r>
              <w:t xml:space="preserve">Каждая строка содержит сведения об одном полномочии. Блок не заполняется при значении кода </w:t>
            </w:r>
            <w:r>
              <w:t xml:space="preserve">специальных указаний «02»</w:t>
            </w:r>
            <w:r>
              <w:t xml:space="preserve">,</w:t>
            </w:r>
            <w:r>
              <w:t xml:space="preserve"> или если зн</w:t>
            </w:r>
            <w:r>
              <w:t xml:space="preserve">а</w:t>
            </w:r>
            <w:r>
              <w:t xml:space="preserve">чение поля «Вид операции» равно «5».</w:t>
            </w:r>
            <w:r/>
          </w:p>
        </w:tc>
      </w:tr>
      <w:tr>
        <w:trPr/>
        <w:tc>
          <w:tcPr>
            <w:shd w:val="clear" w:fill="auto" w:color="auto"/>
            <w:tcW w:w="2217" w:type="dxa"/>
            <w:textDirection w:val="lrTb"/>
            <w:noWrap w:val="false"/>
          </w:tcPr>
          <w:p>
            <w:pPr>
              <w:pStyle w:val="1005"/>
              <w:ind w:left="57" w:right="57"/>
            </w:pPr>
            <w:r>
              <w:t xml:space="preserve">Полномочие орган</w:t>
            </w:r>
            <w:r>
              <w:t xml:space="preserve">и</w:t>
            </w:r>
            <w:r>
              <w:t xml:space="preserve">зации (Код)</w:t>
            </w:r>
            <w:r/>
          </w:p>
        </w:tc>
        <w:tc>
          <w:tcPr>
            <w:shd w:val="clear" w:fill="auto" w:color="auto"/>
            <w:tcW w:w="7535" w:type="dxa"/>
            <w:textDirection w:val="lrTb"/>
            <w:noWrap w:val="false"/>
          </w:tcPr>
          <w:p>
            <w:pPr>
              <w:pStyle w:val="1005"/>
              <w:ind w:left="57" w:right="57"/>
            </w:pPr>
            <w:r>
              <w:t xml:space="preserve">Выбирается из списка значений.</w:t>
            </w:r>
            <w:r/>
          </w:p>
          <w:p>
            <w:pPr>
              <w:pStyle w:val="1005"/>
              <w:ind w:left="57" w:right="57"/>
            </w:pPr>
            <w:r>
              <w:t xml:space="preserve">Допустимые значения</w:t>
            </w:r>
            <w:r>
              <w:t xml:space="preserve">: </w:t>
            </w:r>
            <w:bookmarkStart w:id="2074" w:name="_Hlk440895629"/>
            <w:r>
              <w:t xml:space="preserve">«01», «02», «03», «04», «05», «06», «07»; «08», «09», «10», «11», «12», «13», «14», «15», «16», «17»; «18», «19», «20», «21», «22», «23», «24», «25».</w:t>
            </w:r>
            <w:bookmarkEnd w:id="2074"/>
            <w:r/>
            <w:r/>
          </w:p>
        </w:tc>
      </w:tr>
      <w:tr>
        <w:trPr/>
        <w:tc>
          <w:tcPr>
            <w:shd w:val="clear" w:fill="auto" w:color="auto"/>
            <w:tcW w:w="2217" w:type="dxa"/>
            <w:textDirection w:val="lrTb"/>
            <w:noWrap w:val="false"/>
          </w:tcPr>
          <w:p>
            <w:pPr>
              <w:pStyle w:val="1005"/>
              <w:ind w:left="57" w:right="57"/>
            </w:pPr>
            <w:r>
              <w:t xml:space="preserve">Полномочие орган</w:t>
            </w:r>
            <w:r>
              <w:t xml:space="preserve">и</w:t>
            </w:r>
            <w:r>
              <w:t xml:space="preserve">зации (наименов</w:t>
            </w:r>
            <w:r>
              <w:t xml:space="preserve">а</w:t>
            </w:r>
            <w:r>
              <w:t xml:space="preserve">ние)</w:t>
            </w:r>
            <w:r/>
          </w:p>
        </w:tc>
        <w:tc>
          <w:tcPr>
            <w:shd w:val="clear" w:fill="auto" w:color="auto"/>
            <w:tcW w:w="7535" w:type="dxa"/>
            <w:textDirection w:val="lrTb"/>
            <w:noWrap w:val="false"/>
          </w:tcPr>
          <w:p>
            <w:pPr>
              <w:pStyle w:val="1005"/>
              <w:ind w:left="57" w:right="57"/>
            </w:pPr>
            <w:r>
              <w:t xml:space="preserve">Заполняется автоматически на основании значения поля «Полномочие орг</w:t>
            </w:r>
            <w:r>
              <w:t xml:space="preserve">а</w:t>
            </w:r>
            <w:r>
              <w:t xml:space="preserve">ни</w:t>
            </w:r>
            <w:r>
              <w:t xml:space="preserve">зации (Код)».</w:t>
            </w:r>
            <w:r/>
          </w:p>
          <w:p>
            <w:pPr>
              <w:pStyle w:val="1005"/>
              <w:ind w:left="57" w:right="57"/>
            </w:pPr>
            <w:r>
              <w:t xml:space="preserve">Список соответствие значений:</w:t>
            </w:r>
            <w:r/>
          </w:p>
          <w:p>
            <w:pPr>
              <w:pStyle w:val="1007"/>
            </w:pPr>
            <w:r>
              <w:t xml:space="preserve">01 – «заказчик»; </w:t>
            </w:r>
            <w:r/>
          </w:p>
          <w:p>
            <w:pPr>
              <w:pStyle w:val="1007"/>
            </w:pPr>
            <w:r>
              <w:t xml:space="preserve">02 – «уполномоченный орган»; </w:t>
            </w:r>
            <w:r/>
          </w:p>
          <w:p>
            <w:pPr>
              <w:pStyle w:val="1007"/>
            </w:pPr>
            <w:r>
              <w:t xml:space="preserve">03 – «уполномоченное учреждение»;</w:t>
            </w:r>
            <w:r/>
          </w:p>
          <w:p>
            <w:pPr>
              <w:pStyle w:val="1007"/>
            </w:pPr>
            <w:r>
              <w:t xml:space="preserve">04 – «специализированная организация»; </w:t>
            </w:r>
            <w:r/>
          </w:p>
          <w:p>
            <w:pPr>
              <w:pStyle w:val="1007"/>
            </w:pPr>
            <w:r>
              <w:t xml:space="preserve">05 – «контрольный орган в сфере закупок»;</w:t>
            </w:r>
            <w:r/>
          </w:p>
          <w:p>
            <w:pPr>
              <w:pStyle w:val="1007"/>
            </w:pPr>
            <w:r>
              <w:t xml:space="preserve">06 – «орган, уполномоченный на осуществление контроля в соо</w:t>
            </w:r>
            <w:r>
              <w:t xml:space="preserve">т</w:t>
            </w:r>
            <w:r>
              <w:t xml:space="preserve">ветствии с частью 5 статьи 99 Федерального закона № 44–ФЗ»;</w:t>
            </w:r>
            <w:r/>
          </w:p>
          <w:p>
            <w:pPr>
              <w:pStyle w:val="1007"/>
            </w:pPr>
            <w:r>
              <w:t xml:space="preserve">07 – «орган внутреннего контроля»;</w:t>
            </w:r>
            <w:r/>
          </w:p>
          <w:p>
            <w:pPr>
              <w:pStyle w:val="1007"/>
            </w:pPr>
            <w:r>
              <w:t xml:space="preserve">08 – «финансовый орган»;</w:t>
            </w:r>
            <w:r/>
          </w:p>
          <w:p>
            <w:pPr>
              <w:pStyle w:val="1007"/>
            </w:pPr>
            <w:r>
              <w:t xml:space="preserve">09 – «банк»;</w:t>
            </w:r>
            <w:r/>
          </w:p>
          <w:p>
            <w:pPr>
              <w:pStyle w:val="1007"/>
            </w:pPr>
            <w:r>
              <w:t xml:space="preserve">10 – «организация, оказывающая услуги по обслуживанию пользователей ЕИС»;</w:t>
            </w:r>
            <w:r/>
          </w:p>
          <w:p>
            <w:pPr>
              <w:pStyle w:val="1007"/>
            </w:pPr>
            <w:r>
              <w:t xml:space="preserve">11 – «оператор электронной площадки»;</w:t>
            </w:r>
            <w:r/>
          </w:p>
          <w:p>
            <w:pPr>
              <w:pStyle w:val="1007"/>
            </w:pPr>
            <w:r>
              <w:t xml:space="preserve">12 – «орган аудита в сфере закупок»;</w:t>
            </w:r>
            <w:r/>
          </w:p>
          <w:p>
            <w:pPr>
              <w:pStyle w:val="1007"/>
            </w:pPr>
            <w:r>
              <w:t xml:space="preserve">13 – «орган, размещающий правила нормирования»;</w:t>
            </w:r>
            <w:r/>
          </w:p>
          <w:p>
            <w:pPr>
              <w:pStyle w:val="1007"/>
            </w:pPr>
            <w:r>
              <w:t xml:space="preserve">14 – «орган, устанавливающий требования к отдельным видам т</w:t>
            </w:r>
            <w:r>
              <w:t xml:space="preserve">о</w:t>
            </w:r>
            <w:r>
              <w:t xml:space="preserve">варов, работ, услуг и (или) нормативные затраты»;</w:t>
            </w:r>
            <w:r/>
          </w:p>
          <w:p>
            <w:pPr>
              <w:pStyle w:val="1007"/>
            </w:pPr>
            <w:r>
              <w:t xml:space="preserve">15 – «орган, разрабатывающий типовые контракты и типовые условия контрактов»;</w:t>
            </w:r>
            <w:r/>
          </w:p>
          <w:p>
            <w:pPr>
              <w:pStyle w:val="1007"/>
            </w:pPr>
            <w:r>
              <w:t xml:space="preserve">16 – «заказчик,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p>
          <w:p>
            <w:pPr>
              <w:pStyle w:val="1007"/>
            </w:pPr>
            <w:r>
              <w:t xml:space="preserve">17 – «заказчик, осуществляющий закупку на проведение обязательного ауд</w:t>
            </w:r>
            <w:r>
              <w:t xml:space="preserve">и</w:t>
            </w:r>
            <w:r>
              <w:t xml:space="preserve">та»;</w:t>
            </w:r>
            <w:r/>
          </w:p>
          <w:p>
            <w:pPr>
              <w:pStyle w:val="1007"/>
            </w:pPr>
            <w:r>
              <w:t xml:space="preserve">18 – «заказчик, осуществляющий закупки в соответствии с частью 5 ст</w:t>
            </w:r>
            <w:r>
              <w:t xml:space="preserve">а</w:t>
            </w:r>
            <w:r>
              <w:t xml:space="preserve">тьи 15 Федерального закона № 44–ФЗ»;</w:t>
            </w:r>
            <w:r/>
          </w:p>
          <w:p>
            <w:pPr>
              <w:pStyle w:val="1007"/>
            </w:pPr>
            <w:r>
              <w:t xml:space="preserve">19 – «организация, осуществляющая полномочия заказчика на осуществление закупок на основании соглашения в соответствии с частью 6 статьи 15 Фед</w:t>
            </w:r>
            <w:r>
              <w:t xml:space="preserve">е</w:t>
            </w:r>
            <w:r>
              <w:t xml:space="preserve">рального закона № 44–ФЗ»;</w:t>
            </w:r>
            <w:r/>
          </w:p>
          <w:p>
            <w:pPr>
              <w:pStyle w:val="1007"/>
            </w:pPr>
            <w:r>
              <w:t xml:space="preserve">20 – «оператор информационной системы, взаимодействующей с ЕИС»;</w:t>
            </w:r>
            <w:r/>
          </w:p>
          <w:p>
            <w:pPr>
              <w:pStyle w:val="1007"/>
            </w:pPr>
            <w:r>
              <w:t xml:space="preserve">21 – «орган, уполномоченный на ведение библиотеки типовых контра</w:t>
            </w:r>
            <w:r>
              <w:t xml:space="preserve">к</w:t>
            </w:r>
            <w:r>
              <w:t xml:space="preserve">тов, типовых условий контрактов»;</w:t>
            </w:r>
            <w:r/>
          </w:p>
          <w:p>
            <w:pPr>
              <w:pStyle w:val="1007"/>
            </w:pPr>
            <w:r>
              <w:t xml:space="preserve">22 – «орган, осуществляющий мониторинг закупок»;</w:t>
            </w:r>
            <w:r/>
          </w:p>
          <w:p>
            <w:pPr>
              <w:pStyle w:val="1007"/>
            </w:pPr>
            <w:r>
              <w:t xml:space="preserve">23 – «орган по регулированию контрактной системы в сфере з</w:t>
            </w:r>
            <w:r>
              <w:t xml:space="preserve">а</w:t>
            </w:r>
            <w:r>
              <w:t xml:space="preserve">купок»;</w:t>
            </w:r>
            <w:r/>
          </w:p>
          <w:p>
            <w:pPr>
              <w:pStyle w:val="1007"/>
            </w:pPr>
            <w:r>
              <w:t xml:space="preserve">24 – «организация, осуществляющая мониторинг в соответствии с Федеральным законом № 223–ФЗ»;</w:t>
            </w:r>
            <w:r/>
          </w:p>
          <w:p>
            <w:pPr>
              <w:pStyle w:val="1007"/>
            </w:pPr>
            <w:r>
              <w:t xml:space="preserve">25 – «организация, осуществляющая оценку соответствия в соо</w:t>
            </w:r>
            <w:r>
              <w:t xml:space="preserve">т</w:t>
            </w:r>
            <w:r>
              <w:t xml:space="preserve">ветствии </w:t>
            </w:r>
            <w:r>
              <w:t xml:space="preserve">с Федеральным законом № 223–ФЗ».</w:t>
            </w:r>
            <w:r/>
          </w:p>
        </w:tc>
      </w:tr>
      <w:tr>
        <w:trPr/>
        <w:tc>
          <w:tcPr>
            <w:shd w:val="clear" w:fill="auto" w:color="auto"/>
            <w:tcW w:w="2217" w:type="dxa"/>
            <w:textDirection w:val="lrTb"/>
            <w:noWrap w:val="false"/>
          </w:tcPr>
          <w:p>
            <w:pPr>
              <w:pStyle w:val="1005"/>
              <w:ind w:left="57" w:right="57"/>
            </w:pPr>
            <w:r>
              <w:t xml:space="preserve">Дата начала действия по</w:t>
            </w:r>
            <w:r>
              <w:t xml:space="preserve">л</w:t>
            </w:r>
            <w:r>
              <w:t xml:space="preserve">номочия</w:t>
            </w:r>
            <w:r/>
          </w:p>
        </w:tc>
        <w:tc>
          <w:tcPr>
            <w:shd w:val="clear" w:fill="auto" w:color="auto"/>
            <w:tcW w:w="7535" w:type="dxa"/>
            <w:textDirection w:val="lrTb"/>
            <w:noWrap w:val="false"/>
          </w:tcPr>
          <w:p>
            <w:pPr>
              <w:pStyle w:val="1005"/>
              <w:ind w:left="57" w:right="57"/>
            </w:pPr>
            <w:r>
              <w:t xml:space="preserve">Выбор из системного календаря.</w:t>
            </w:r>
            <w:r/>
          </w:p>
          <w:p>
            <w:pPr>
              <w:pStyle w:val="1005"/>
              <w:ind w:left="57" w:right="57"/>
            </w:pPr>
            <w:r>
              <w:t xml:space="preserve">Ввод значения вручную</w:t>
            </w:r>
            <w:r>
              <w:t xml:space="preserve">.</w:t>
            </w:r>
            <w:r/>
          </w:p>
        </w:tc>
      </w:tr>
      <w:tr>
        <w:trPr/>
        <w:tc>
          <w:tcPr>
            <w:shd w:val="clear" w:fill="auto" w:color="auto"/>
            <w:tcW w:w="2217" w:type="dxa"/>
            <w:textDirection w:val="lrTb"/>
            <w:noWrap w:val="false"/>
          </w:tcPr>
          <w:p>
            <w:pPr>
              <w:pStyle w:val="1005"/>
              <w:ind w:left="57" w:right="57"/>
            </w:pPr>
            <w:r>
              <w:t xml:space="preserve">Дата окончания де</w:t>
            </w:r>
            <w:r>
              <w:t xml:space="preserve">й</w:t>
            </w:r>
            <w:r>
              <w:t xml:space="preserve">ствия полномочия</w:t>
            </w:r>
            <w:r/>
          </w:p>
        </w:tc>
        <w:tc>
          <w:tcPr>
            <w:shd w:val="clear" w:fill="auto" w:color="auto"/>
            <w:tcW w:w="7535" w:type="dxa"/>
            <w:textDirection w:val="lrTb"/>
            <w:noWrap w:val="false"/>
          </w:tcPr>
          <w:p>
            <w:pPr>
              <w:pStyle w:val="1005"/>
              <w:ind w:left="57" w:right="57"/>
            </w:pPr>
            <w:r>
              <w:t xml:space="preserve">Выбор из системного календаря.</w:t>
            </w:r>
            <w:r/>
          </w:p>
          <w:p>
            <w:pPr>
              <w:pStyle w:val="1005"/>
              <w:ind w:left="57" w:right="57"/>
            </w:pPr>
            <w:r>
              <w:t xml:space="preserve">Ввод значения вручную</w:t>
            </w:r>
            <w:r>
              <w:t xml:space="preserve">.</w:t>
            </w:r>
            <w:r/>
          </w:p>
        </w:tc>
      </w:tr>
      <w:tr>
        <w:trPr/>
        <w:tc>
          <w:tcPr>
            <w:shd w:val="clear" w:fill="auto" w:color="auto"/>
            <w:tcW w:w="2217" w:type="dxa"/>
            <w:textDirection w:val="lrTb"/>
            <w:noWrap w:val="false"/>
          </w:tcPr>
          <w:p>
            <w:pPr>
              <w:pStyle w:val="1005"/>
              <w:ind w:left="57" w:right="57"/>
            </w:pPr>
            <w:r>
              <w:t xml:space="preserve">Дополнительная и</w:t>
            </w:r>
            <w:r>
              <w:t xml:space="preserve">н</w:t>
            </w:r>
            <w:r>
              <w:t xml:space="preserve">форм</w:t>
            </w:r>
            <w:r>
              <w:t xml:space="preserve">а</w:t>
            </w:r>
            <w:r>
              <w:t xml:space="preserve">ция</w:t>
            </w:r>
            <w:r/>
          </w:p>
        </w:tc>
        <w:tc>
          <w:tcPr>
            <w:shd w:val="clear" w:fill="auto" w:color="auto"/>
            <w:tcW w:w="7535" w:type="dxa"/>
            <w:textDirection w:val="lrTb"/>
            <w:noWrap w:val="false"/>
          </w:tcPr>
          <w:p>
            <w:pPr>
              <w:pStyle w:val="1005"/>
              <w:ind w:left="57" w:right="57"/>
            </w:pPr>
            <w:r>
              <w:t xml:space="preserve">Ввод значения вручную</w:t>
            </w:r>
            <w:r>
              <w:t xml:space="preserve">.</w:t>
            </w:r>
            <w:r/>
          </w:p>
        </w:tc>
      </w:tr>
      <w:tr>
        <w:trPr/>
        <w:tc>
          <w:tcPr>
            <w:gridSpan w:val="2"/>
            <w:shd w:val="clear" w:fill="auto" w:color="auto"/>
            <w:tcW w:w="9752" w:type="dxa"/>
            <w:textDirection w:val="lrTb"/>
            <w:noWrap w:val="false"/>
          </w:tcPr>
          <w:p>
            <w:pPr>
              <w:pStyle w:val="1005"/>
              <w:ind w:left="57" w:right="57"/>
            </w:pPr>
            <w:r>
              <w:t xml:space="preserve">Закладка «Полномочия и бюджеты (2)»</w:t>
            </w:r>
            <w:r>
              <w:t xml:space="preserve">, </w:t>
            </w:r>
            <w:r>
              <w:t xml:space="preserve">группа полей</w:t>
            </w:r>
            <w:r>
              <w:t xml:space="preserve"> </w:t>
            </w:r>
            <w:r>
              <w:t xml:space="preserve">«</w:t>
            </w:r>
            <w:r>
              <w:t xml:space="preserve">Бюджеты финансирования</w:t>
            </w:r>
            <w:r>
              <w:t xml:space="preserve">»</w:t>
            </w:r>
            <w:r/>
          </w:p>
        </w:tc>
      </w:tr>
      <w:tr>
        <w:trPr/>
        <w:tc>
          <w:tcPr>
            <w:shd w:val="clear" w:fill="auto" w:color="auto"/>
            <w:tcW w:w="2217" w:type="dxa"/>
            <w:textDirection w:val="lrTb"/>
            <w:noWrap w:val="false"/>
          </w:tcPr>
          <w:p>
            <w:pPr>
              <w:pStyle w:val="1005"/>
              <w:ind w:left="57" w:right="57"/>
            </w:pPr>
            <w:r>
              <w:t xml:space="preserve">Код бюджета</w:t>
            </w:r>
            <w:r/>
          </w:p>
        </w:tc>
        <w:tc>
          <w:tcPr>
            <w:shd w:val="clear" w:fill="auto" w:color="auto"/>
            <w:tcW w:w="7535" w:type="dxa"/>
            <w:textDirection w:val="lrTb"/>
            <w:noWrap w:val="false"/>
          </w:tcPr>
          <w:p>
            <w:pPr>
              <w:pStyle w:val="1005"/>
              <w:ind w:left="57" w:right="57"/>
            </w:pPr>
            <w:r>
              <w:t xml:space="preserve">УБП: </w:t>
            </w:r>
            <w:r>
              <w:t xml:space="preserve">Автозаполнение значением, соответствующим полю</w:t>
            </w:r>
            <w:r>
              <w:t xml:space="preserve"> «Наименование бюджета» по справочнику </w:t>
            </w:r>
            <w:r>
              <w:t xml:space="preserve">«</w:t>
            </w:r>
            <w:r>
              <w:t xml:space="preserve">Бюджеты</w:t>
            </w:r>
            <w:r>
              <w:t xml:space="preserve">»</w:t>
            </w:r>
            <w:r>
              <w:t xml:space="preserve">.</w:t>
            </w:r>
            <w:r/>
          </w:p>
          <w:p>
            <w:pPr>
              <w:pStyle w:val="1005"/>
              <w:ind w:left="57" w:right="57"/>
            </w:pPr>
            <w:r>
              <w:t xml:space="preserve">Ввод значения вручную</w:t>
            </w:r>
            <w:r>
              <w:t xml:space="preserve">.</w:t>
            </w:r>
            <w:r/>
          </w:p>
        </w:tc>
      </w:tr>
      <w:tr>
        <w:trPr/>
        <w:tc>
          <w:tcPr>
            <w:shd w:val="clear" w:fill="auto" w:color="auto"/>
            <w:tcW w:w="2217" w:type="dxa"/>
            <w:textDirection w:val="lrTb"/>
            <w:noWrap w:val="false"/>
          </w:tcPr>
          <w:p>
            <w:pPr>
              <w:pStyle w:val="1005"/>
              <w:ind w:left="57" w:right="57"/>
            </w:pPr>
            <w:r>
              <w:t xml:space="preserve">Наименование бю</w:t>
            </w:r>
            <w:r>
              <w:t xml:space="preserve">д</w:t>
            </w:r>
            <w:r>
              <w:t xml:space="preserve">жета</w:t>
            </w:r>
            <w:r/>
          </w:p>
        </w:tc>
        <w:tc>
          <w:tcPr>
            <w:shd w:val="clear" w:fill="auto" w:color="auto"/>
            <w:tcW w:w="7535" w:type="dxa"/>
            <w:textDirection w:val="lrTb"/>
            <w:noWrap w:val="false"/>
          </w:tcPr>
          <w:p>
            <w:pPr>
              <w:pStyle w:val="1005"/>
              <w:ind w:left="57" w:right="57"/>
            </w:pPr>
            <w:r>
              <w:t xml:space="preserve">УБП: Выбор из справочника </w:t>
            </w:r>
            <w:r>
              <w:t xml:space="preserve">«</w:t>
            </w:r>
            <w:r>
              <w:t xml:space="preserve">Бюджеты</w:t>
            </w:r>
            <w:r>
              <w:t xml:space="preserve">»</w:t>
            </w:r>
            <w:r>
              <w:t xml:space="preserve">.</w:t>
            </w:r>
            <w:r/>
          </w:p>
          <w:p>
            <w:pPr>
              <w:pStyle w:val="1005"/>
              <w:ind w:left="57" w:right="57"/>
            </w:pPr>
            <w:r>
              <w:t xml:space="preserve">Ввод значения вручную</w:t>
            </w:r>
            <w:r>
              <w:t xml:space="preserve">.</w:t>
            </w:r>
            <w:r/>
          </w:p>
        </w:tc>
      </w:tr>
      <w:tr>
        <w:trPr/>
        <w:tc>
          <w:tcPr>
            <w:gridSpan w:val="2"/>
            <w:shd w:val="clear" w:fill="auto" w:color="auto"/>
            <w:tcW w:w="9752" w:type="dxa"/>
            <w:textDirection w:val="lrTb"/>
            <w:noWrap w:val="false"/>
          </w:tcPr>
          <w:p>
            <w:pPr>
              <w:pStyle w:val="1005"/>
              <w:ind w:left="57" w:right="57"/>
            </w:pPr>
            <w:r>
              <w:t xml:space="preserve">Закладка «Полномочия и бюджеты (2)»</w:t>
            </w:r>
            <w:r>
              <w:t xml:space="preserve">, г</w:t>
            </w:r>
            <w:r>
              <w:t xml:space="preserve">руппа полей «Адресные данные»</w:t>
            </w:r>
            <w:r/>
          </w:p>
        </w:tc>
      </w:tr>
      <w:tr>
        <w:trPr/>
        <w:tc>
          <w:tcPr>
            <w:shd w:val="clear" w:fill="auto" w:color="auto"/>
            <w:tcW w:w="2217" w:type="dxa"/>
            <w:textDirection w:val="lrTb"/>
            <w:noWrap w:val="false"/>
          </w:tcPr>
          <w:p>
            <w:pPr>
              <w:pStyle w:val="1005"/>
              <w:ind w:left="57" w:right="57"/>
            </w:pPr>
            <w:r>
              <w:t xml:space="preserve">ОКТМ</w:t>
            </w:r>
            <w:r>
              <w:t xml:space="preserve">О </w:t>
            </w:r>
            <w:r/>
          </w:p>
        </w:tc>
        <w:tc>
          <w:tcPr>
            <w:shd w:val="clear" w:fill="auto" w:color="auto"/>
            <w:tcW w:w="7535" w:type="dxa"/>
            <w:textDirection w:val="lrTb"/>
            <w:noWrap w:val="false"/>
          </w:tcPr>
          <w:p>
            <w:pPr>
              <w:pStyle w:val="1005"/>
              <w:ind w:left="57" w:right="57"/>
            </w:pPr>
            <w:r>
              <w:t xml:space="preserve">УБ</w:t>
            </w:r>
            <w:r>
              <w:t xml:space="preserve">П: </w:t>
            </w:r>
            <w:r>
              <w:t xml:space="preserve">Е</w:t>
            </w:r>
            <w:r>
              <w:t xml:space="preserve">сли значение поля «Переход на СР</w:t>
            </w:r>
            <w:r>
              <w:t xml:space="preserve">»</w:t>
            </w:r>
            <w:r>
              <w:t xml:space="preserve"> </w:t>
            </w:r>
            <w:r>
              <w:t xml:space="preserve">=</w:t>
            </w:r>
            <w:r>
              <w:t xml:space="preserve"> </w:t>
            </w:r>
            <w:r>
              <w:t xml:space="preserve">1, то автозаполнение необход</w:t>
            </w:r>
            <w:r>
              <w:t xml:space="preserve">и</w:t>
            </w:r>
            <w:r>
              <w:t xml:space="preserve">мо осуществлять по справочнику «Реестр участников бюджетного процесса, а также юридических лиц, не являющихся участниками бюджетного процесса»</w:t>
            </w:r>
            <w:r>
              <w:t xml:space="preserve">.</w:t>
            </w:r>
            <w:r/>
          </w:p>
          <w:p>
            <w:pPr>
              <w:pStyle w:val="1005"/>
              <w:ind w:left="57" w:right="57"/>
            </w:pPr>
            <w:r>
              <w:t xml:space="preserve">В</w:t>
            </w:r>
            <w:r>
              <w:t xml:space="preserve">ыбор из справочника «ОКТ</w:t>
            </w:r>
            <w:r>
              <w:t xml:space="preserve">М</w:t>
            </w:r>
            <w:r>
              <w:t xml:space="preserve">О».</w:t>
            </w:r>
            <w:r/>
          </w:p>
          <w:p>
            <w:pPr>
              <w:pStyle w:val="1005"/>
              <w:ind w:left="57" w:right="57"/>
            </w:pPr>
            <w:r>
              <w:t xml:space="preserve">Список значений справочника для заполнения поля «</w:t>
            </w:r>
            <w:r>
              <w:t xml:space="preserve">ОКТ</w:t>
            </w:r>
            <w:r>
              <w:t xml:space="preserve">М</w:t>
            </w:r>
            <w:r>
              <w:t xml:space="preserve">О» огранич</w:t>
            </w:r>
            <w:r>
              <w:t xml:space="preserve">ен</w:t>
            </w:r>
            <w:r>
              <w:t xml:space="preserve"> по условию значения признака ОКАТО/ОКТМО = «ОКТ</w:t>
            </w:r>
            <w:r>
              <w:t xml:space="preserve">М</w:t>
            </w:r>
            <w:r>
              <w:t xml:space="preserve">О» с учётом актуал</w:t>
            </w:r>
            <w:r>
              <w:t xml:space="preserve">ь</w:t>
            </w:r>
            <w:r>
              <w:t xml:space="preserve">ности записи на дату в/д док</w:t>
            </w:r>
            <w:r>
              <w:t xml:space="preserve">у</w:t>
            </w:r>
            <w:r>
              <w:t xml:space="preserve">мента (флаг активности + диапазон де</w:t>
            </w:r>
            <w:r>
              <w:t xml:space="preserve">й</w:t>
            </w:r>
            <w:r>
              <w:t xml:space="preserve">ствия с/по).</w:t>
            </w:r>
            <w:r/>
          </w:p>
          <w:p>
            <w:pPr>
              <w:pStyle w:val="1005"/>
              <w:ind w:left="57" w:right="57"/>
            </w:pPr>
            <w:r>
              <w:t xml:space="preserve">Ввод значения вручную.</w:t>
            </w:r>
            <w:r/>
          </w:p>
          <w:p>
            <w:pPr>
              <w:pStyle w:val="1005"/>
              <w:ind w:left="57" w:right="57"/>
            </w:pPr>
            <w:r>
              <w:t xml:space="preserve">Значение поля может быть 8</w:t>
            </w:r>
            <w:r>
              <w:t xml:space="preserve"> или 11 символов.</w:t>
            </w:r>
            <w:r/>
          </w:p>
        </w:tc>
      </w:tr>
      <w:tr>
        <w:trPr/>
        <w:tc>
          <w:tcPr>
            <w:shd w:val="clear" w:fill="auto" w:color="auto"/>
            <w:tcW w:w="2217" w:type="dxa"/>
            <w:textDirection w:val="lrTb"/>
            <w:noWrap w:val="false"/>
          </w:tcPr>
          <w:p>
            <w:pPr>
              <w:pStyle w:val="1005"/>
              <w:ind w:left="57" w:right="57"/>
            </w:pPr>
            <w:r>
              <w:t xml:space="preserve">Почтовый индекс</w:t>
            </w:r>
            <w:r/>
          </w:p>
        </w:tc>
        <w:tc>
          <w:tcPr>
            <w:shd w:val="clear" w:fill="auto" w:color="auto"/>
            <w:tcW w:w="7535" w:type="dxa"/>
            <w:textDirection w:val="lrTb"/>
            <w:noWrap w:val="false"/>
          </w:tcPr>
          <w:p>
            <w:pPr>
              <w:pStyle w:val="1005"/>
              <w:ind w:left="57" w:right="57"/>
            </w:pPr>
            <w:r>
              <w:t xml:space="preserve">УБ</w:t>
            </w:r>
            <w:r>
              <w:t xml:space="preserve">П: </w:t>
            </w:r>
            <w:r>
              <w:t xml:space="preserve">Е</w:t>
            </w:r>
            <w:r>
              <w:t xml:space="preserve">сли значение поля «Переход на СР</w:t>
            </w:r>
            <w:r>
              <w:t xml:space="preserve">»</w:t>
            </w:r>
            <w:r>
              <w:t xml:space="preserve"> </w:t>
            </w:r>
            <w:r>
              <w:t xml:space="preserve">=</w:t>
            </w:r>
            <w:r>
              <w:t xml:space="preserve"> </w:t>
            </w:r>
            <w:r>
              <w:t xml:space="preserve">1, то автозаполнение необход</w:t>
            </w:r>
            <w:r>
              <w:t xml:space="preserve">и</w:t>
            </w:r>
            <w:r>
              <w:t xml:space="preserve">мо осуществлять по справочнику «Реестр участников бюджетного процесса, а также юридических лиц, не являющихся участниками бюджетного процесса»</w:t>
            </w:r>
            <w:r>
              <w:t xml:space="preserve">.</w:t>
            </w:r>
            <w:r/>
          </w:p>
          <w:p>
            <w:pPr>
              <w:pStyle w:val="1005"/>
              <w:ind w:left="57" w:right="57"/>
            </w:pPr>
            <w:r>
              <w:t xml:space="preserve">Выбор из справочника </w:t>
            </w:r>
            <w:r>
              <w:t xml:space="preserve">«КЛАДР» (если присутств</w:t>
            </w:r>
            <w:r>
              <w:t xml:space="preserve">у</w:t>
            </w:r>
            <w:r>
              <w:t xml:space="preserve">ет в справочнике «КЛАДР</w:t>
            </w:r>
            <w:r>
              <w:t xml:space="preserve">»</w:t>
            </w:r>
            <w:r>
              <w:t xml:space="preserve"> для объекта 4-го уровня («населенный пункт»). </w:t>
            </w:r>
            <w:r/>
          </w:p>
          <w:p>
            <w:pPr>
              <w:pStyle w:val="1005"/>
              <w:ind w:left="57" w:right="57"/>
            </w:pPr>
            <w:r>
              <w:t xml:space="preserve">Ввод значения вручную</w:t>
            </w:r>
            <w:r>
              <w:t xml:space="preserve">.</w:t>
            </w:r>
            <w:r/>
          </w:p>
        </w:tc>
      </w:tr>
      <w:tr>
        <w:trPr/>
        <w:tc>
          <w:tcPr>
            <w:shd w:val="clear" w:fill="auto" w:color="auto"/>
            <w:tcW w:w="2217" w:type="dxa"/>
            <w:textDirection w:val="lrTb"/>
            <w:noWrap w:val="false"/>
          </w:tcPr>
          <w:p>
            <w:pPr>
              <w:pStyle w:val="1005"/>
              <w:ind w:left="57" w:right="57"/>
            </w:pPr>
            <w:r>
              <w:t xml:space="preserve">Субъект РФ</w:t>
            </w:r>
            <w:r/>
          </w:p>
        </w:tc>
        <w:tc>
          <w:tcPr>
            <w:shd w:val="clear" w:fill="auto" w:color="auto"/>
            <w:tcW w:w="7535" w:type="dxa"/>
            <w:textDirection w:val="lrTb"/>
            <w:noWrap w:val="false"/>
          </w:tcPr>
          <w:p>
            <w:pPr>
              <w:pStyle w:val="1005"/>
              <w:ind w:left="57" w:right="57"/>
            </w:pPr>
            <w:r>
              <w:t xml:space="preserve">Наименование субъекта РФ</w:t>
            </w:r>
            <w:r>
              <w:t xml:space="preserve"> УБП.</w:t>
            </w:r>
            <w:r/>
          </w:p>
          <w:p>
            <w:pPr>
              <w:pStyle w:val="1005"/>
              <w:ind w:left="57" w:right="57"/>
            </w:pPr>
            <w:r>
              <w:t xml:space="preserve">УБП:</w:t>
            </w:r>
            <w:r>
              <w:t xml:space="preserve"> </w:t>
            </w:r>
            <w:r>
              <w:t xml:space="preserve">Е</w:t>
            </w:r>
            <w:r>
              <w:t xml:space="preserve">сли значение поля «Переход на СР</w:t>
            </w:r>
            <w:r>
              <w:t xml:space="preserve">»</w:t>
            </w:r>
            <w:r>
              <w:t xml:space="preserve"> </w:t>
            </w:r>
            <w:r>
              <w:t xml:space="preserve">=</w:t>
            </w:r>
            <w:r>
              <w:t xml:space="preserve"> </w:t>
            </w:r>
            <w:r>
              <w:t xml:space="preserve">1, то автозаполнение необход</w:t>
            </w:r>
            <w:r>
              <w:t xml:space="preserve">и</w:t>
            </w:r>
            <w:r>
              <w:t xml:space="preserve">мо осуществлять по справочнику «Реестр участников бюджетного процесса, а также юридических лиц, не являющихся участниками бюджетного процесса»</w:t>
            </w:r>
            <w:r>
              <w:t xml:space="preserve">.</w:t>
            </w:r>
            <w:r/>
          </w:p>
          <w:p>
            <w:pPr>
              <w:pStyle w:val="1005"/>
              <w:ind w:left="57" w:right="57"/>
            </w:pPr>
            <w:r>
              <w:t xml:space="preserve">Если значение поля </w:t>
            </w:r>
            <w:r>
              <w:t xml:space="preserve">«Почт</w:t>
            </w:r>
            <w:r>
              <w:t xml:space="preserve">о</w:t>
            </w:r>
            <w:r>
              <w:t xml:space="preserve">вый индекс» присутствует в справочнике «КЛАДР», то автом</w:t>
            </w:r>
            <w:r>
              <w:t xml:space="preserve">а</w:t>
            </w:r>
            <w:r>
              <w:t xml:space="preserve">тически заполняется соо</w:t>
            </w:r>
            <w:r>
              <w:t xml:space="preserve">т</w:t>
            </w:r>
            <w:r>
              <w:t xml:space="preserve">ветствующим значением из справо</w:t>
            </w:r>
            <w:r>
              <w:t xml:space="preserve">ч</w:t>
            </w:r>
            <w:r>
              <w:t xml:space="preserve">ника «КЛАДР».</w:t>
            </w:r>
            <w:r/>
          </w:p>
          <w:p>
            <w:pPr>
              <w:pStyle w:val="1005"/>
              <w:ind w:left="57" w:right="57"/>
            </w:pPr>
            <w:r>
              <w:t xml:space="preserve">Выбор из спр</w:t>
            </w:r>
            <w:r>
              <w:t xml:space="preserve">авочника «КЛАДР». </w:t>
            </w:r>
            <w:r/>
          </w:p>
          <w:p>
            <w:pPr>
              <w:pStyle w:val="1005"/>
              <w:ind w:left="57" w:right="57"/>
            </w:pPr>
            <w:r>
              <w:t xml:space="preserve">Ввод значения вручную</w:t>
            </w:r>
            <w:r>
              <w:t xml:space="preserve">.</w:t>
            </w:r>
            <w:r/>
          </w:p>
        </w:tc>
      </w:tr>
      <w:tr>
        <w:trPr/>
        <w:tc>
          <w:tcPr>
            <w:shd w:val="clear" w:fill="auto" w:color="auto"/>
            <w:tcW w:w="2217" w:type="dxa"/>
            <w:textDirection w:val="lrTb"/>
            <w:noWrap w:val="false"/>
          </w:tcPr>
          <w:p>
            <w:pPr>
              <w:pStyle w:val="1005"/>
              <w:ind w:left="57" w:right="57"/>
            </w:pPr>
            <w:r>
              <w:t xml:space="preserve">Район</w:t>
            </w:r>
            <w:r/>
          </w:p>
        </w:tc>
        <w:tc>
          <w:tcPr>
            <w:shd w:val="clear" w:fill="auto" w:color="auto"/>
            <w:tcW w:w="7535" w:type="dxa"/>
            <w:textDirection w:val="lrTb"/>
            <w:noWrap w:val="false"/>
          </w:tcPr>
          <w:p>
            <w:pPr>
              <w:pStyle w:val="1005"/>
              <w:ind w:left="57" w:right="57"/>
            </w:pPr>
            <w:r>
              <w:t xml:space="preserve">Наименование района УБП. </w:t>
            </w:r>
            <w:r/>
          </w:p>
          <w:p>
            <w:pPr>
              <w:pStyle w:val="1005"/>
              <w:ind w:left="57" w:right="57"/>
            </w:pPr>
            <w:r>
              <w:t xml:space="preserve">УБП:</w:t>
            </w:r>
            <w:r>
              <w:t xml:space="preserve"> </w:t>
            </w:r>
            <w:r>
              <w:t xml:space="preserve">Е</w:t>
            </w:r>
            <w:r>
              <w:t xml:space="preserve">сли значение поля «Переход на СР</w:t>
            </w:r>
            <w:r>
              <w:t xml:space="preserve">»</w:t>
            </w:r>
            <w:r>
              <w:t xml:space="preserve"> </w:t>
            </w:r>
            <w:r>
              <w:t xml:space="preserve">=</w:t>
            </w:r>
            <w:r>
              <w:t xml:space="preserve"> </w:t>
            </w:r>
            <w:r>
              <w:t xml:space="preserve">1, то автозаполнение необход</w:t>
            </w:r>
            <w:r>
              <w:t xml:space="preserve">и</w:t>
            </w:r>
            <w:r>
              <w:t xml:space="preserve">мо осуществлять по справочнику «Реестр участников бюджетного процес</w:t>
            </w:r>
            <w:r>
              <w:t xml:space="preserve">са, а также юридических лиц, не являющихся участниками бюджетного процесса»</w:t>
            </w:r>
            <w:r>
              <w:t xml:space="preserve">.</w:t>
            </w:r>
            <w:r/>
          </w:p>
          <w:p>
            <w:pPr>
              <w:pStyle w:val="1005"/>
              <w:ind w:left="57" w:right="57"/>
            </w:pPr>
            <w:r>
              <w:t xml:space="preserve">Если значение поля </w:t>
            </w:r>
            <w:r>
              <w:t xml:space="preserve">«Почтовый индекс» прису</w:t>
            </w:r>
            <w:r>
              <w:t xml:space="preserve">т</w:t>
            </w:r>
            <w:r>
              <w:t xml:space="preserve">ствует в справочнике «КЛАДР», то автоматич</w:t>
            </w:r>
            <w:r>
              <w:t xml:space="preserve">е</w:t>
            </w:r>
            <w:r>
              <w:t xml:space="preserve">ски заполняется соответс</w:t>
            </w:r>
            <w:r>
              <w:t xml:space="preserve">т</w:t>
            </w:r>
            <w:r>
              <w:t xml:space="preserve">вующим значением из справочника «КЛАДР».</w:t>
            </w:r>
            <w:r/>
          </w:p>
          <w:p>
            <w:pPr>
              <w:pStyle w:val="1005"/>
              <w:ind w:left="57" w:right="57"/>
            </w:pPr>
            <w:r>
              <w:t xml:space="preserve">Выбор из спр</w:t>
            </w:r>
            <w:r>
              <w:t xml:space="preserve">авочника «КЛАДР». </w:t>
            </w:r>
            <w:r/>
          </w:p>
          <w:p>
            <w:pPr>
              <w:pStyle w:val="1005"/>
              <w:ind w:left="57" w:right="57"/>
            </w:pPr>
            <w:r>
              <w:t xml:space="preserve">Ввод значения вручную</w:t>
            </w:r>
            <w:r>
              <w:t xml:space="preserve">.</w:t>
            </w:r>
            <w:r/>
          </w:p>
          <w:p>
            <w:pPr>
              <w:pStyle w:val="1005"/>
              <w:ind w:left="57" w:right="57"/>
            </w:pPr>
            <w:r>
              <w:t xml:space="preserve">В случае отсутствия указывается знач</w:t>
            </w:r>
            <w:r>
              <w:t xml:space="preserve">ение «–» (прочерк).</w:t>
            </w:r>
            <w:r/>
          </w:p>
        </w:tc>
      </w:tr>
      <w:tr>
        <w:trPr/>
        <w:tc>
          <w:tcPr>
            <w:shd w:val="clear" w:fill="auto" w:color="auto"/>
            <w:tcW w:w="2217" w:type="dxa"/>
            <w:textDirection w:val="lrTb"/>
            <w:noWrap w:val="false"/>
          </w:tcPr>
          <w:p>
            <w:pPr>
              <w:pStyle w:val="1005"/>
              <w:ind w:left="57" w:right="57"/>
            </w:pPr>
            <w:r>
              <w:t xml:space="preserve">Город</w:t>
            </w:r>
            <w:r/>
          </w:p>
        </w:tc>
        <w:tc>
          <w:tcPr>
            <w:shd w:val="clear" w:fill="auto" w:color="auto"/>
            <w:tcW w:w="7535" w:type="dxa"/>
            <w:textDirection w:val="lrTb"/>
            <w:noWrap w:val="false"/>
          </w:tcPr>
          <w:p>
            <w:pPr>
              <w:pStyle w:val="1005"/>
              <w:ind w:left="57" w:right="57"/>
            </w:pPr>
            <w:r>
              <w:t xml:space="preserve">Наименование города УБП. </w:t>
            </w:r>
            <w:r/>
          </w:p>
          <w:p>
            <w:pPr>
              <w:pStyle w:val="1005"/>
              <w:ind w:left="57" w:right="57"/>
            </w:pPr>
            <w:r>
              <w:t xml:space="preserve">УБП:</w:t>
            </w:r>
            <w:r>
              <w:t xml:space="preserve"> </w:t>
            </w:r>
            <w:r>
              <w:t xml:space="preserve">Е</w:t>
            </w:r>
            <w:r>
              <w:t xml:space="preserve">сли значение поля «Переход на СР</w:t>
            </w:r>
            <w:r>
              <w:t xml:space="preserve">»</w:t>
            </w:r>
            <w:r>
              <w:t xml:space="preserve"> </w:t>
            </w:r>
            <w:r>
              <w:t xml:space="preserve">=</w:t>
            </w:r>
            <w:r>
              <w:t xml:space="preserve"> </w:t>
            </w:r>
            <w:r>
              <w:t xml:space="preserve">1, то автозаполнение необход</w:t>
            </w:r>
            <w:r>
              <w:t xml:space="preserve">и</w:t>
            </w:r>
            <w:r>
              <w:t xml:space="preserve">мо осуществлять по справочнику «Реестр участников бюджетного процесса, а также юридических лиц, не являющихся участниками бюджетного процесса»</w:t>
            </w:r>
            <w:r>
              <w:t xml:space="preserve">.</w:t>
            </w:r>
            <w:r/>
          </w:p>
          <w:p>
            <w:pPr>
              <w:pStyle w:val="1005"/>
              <w:ind w:left="57" w:right="57"/>
            </w:pPr>
            <w:r>
              <w:t xml:space="preserve">Если значение поля </w:t>
            </w:r>
            <w:r>
              <w:t xml:space="preserve">«Почтовый индекс» прису</w:t>
            </w:r>
            <w:r>
              <w:t xml:space="preserve">т</w:t>
            </w:r>
            <w:r>
              <w:t xml:space="preserve">ствует в справочнике «КЛАДР», то автоматич</w:t>
            </w:r>
            <w:r>
              <w:t xml:space="preserve">е</w:t>
            </w:r>
            <w:r>
              <w:t xml:space="preserve">ски заполняется соответс</w:t>
            </w:r>
            <w:r>
              <w:t xml:space="preserve">т</w:t>
            </w:r>
            <w:r>
              <w:t xml:space="preserve">вующим значением из справочника «КЛАДР».</w:t>
            </w:r>
            <w:r/>
          </w:p>
          <w:p>
            <w:pPr>
              <w:pStyle w:val="1005"/>
              <w:ind w:left="57" w:right="57"/>
            </w:pPr>
            <w:r>
              <w:t xml:space="preserve">Выбор из спр</w:t>
            </w:r>
            <w:r>
              <w:t xml:space="preserve">авочника «КЛАДР». </w:t>
            </w:r>
            <w:r/>
          </w:p>
          <w:p>
            <w:pPr>
              <w:pStyle w:val="1005"/>
              <w:ind w:left="57" w:right="57"/>
            </w:pPr>
            <w:r>
              <w:t xml:space="preserve">Ввод значения вручную</w:t>
            </w:r>
            <w:r>
              <w:t xml:space="preserve">.</w:t>
            </w:r>
            <w:r/>
          </w:p>
          <w:p>
            <w:pPr>
              <w:pStyle w:val="1005"/>
              <w:ind w:left="57" w:right="57"/>
            </w:pPr>
            <w:r>
              <w:t xml:space="preserve">В случае отсутствия указывается знач</w:t>
            </w:r>
            <w:r>
              <w:t xml:space="preserve">ение «–» (прочерк).</w:t>
            </w:r>
            <w:r/>
          </w:p>
        </w:tc>
      </w:tr>
      <w:tr>
        <w:trPr/>
        <w:tc>
          <w:tcPr>
            <w:shd w:val="clear" w:fill="auto" w:color="auto"/>
            <w:tcW w:w="2217" w:type="dxa"/>
            <w:textDirection w:val="lrTb"/>
            <w:noWrap w:val="false"/>
          </w:tcPr>
          <w:p>
            <w:pPr>
              <w:pStyle w:val="1005"/>
              <w:ind w:left="57" w:right="57"/>
            </w:pPr>
            <w:r>
              <w:t xml:space="preserve">Населенный пункт</w:t>
            </w:r>
            <w:r/>
          </w:p>
        </w:tc>
        <w:tc>
          <w:tcPr>
            <w:shd w:val="clear" w:fill="auto" w:color="auto"/>
            <w:tcW w:w="7535" w:type="dxa"/>
            <w:textDirection w:val="lrTb"/>
            <w:noWrap w:val="false"/>
          </w:tcPr>
          <w:p>
            <w:pPr>
              <w:pStyle w:val="1005"/>
              <w:ind w:left="57" w:right="57"/>
            </w:pPr>
            <w:r>
              <w:t xml:space="preserve">Наименование населенного пункта УБП. </w:t>
            </w:r>
            <w:r/>
          </w:p>
          <w:p>
            <w:pPr>
              <w:pStyle w:val="1005"/>
              <w:ind w:left="57" w:right="57"/>
            </w:pPr>
            <w:r>
              <w:t xml:space="preserve">УБП:</w:t>
            </w:r>
            <w:r>
              <w:t xml:space="preserve"> </w:t>
            </w:r>
            <w:r>
              <w:t xml:space="preserve">Е</w:t>
            </w:r>
            <w:r>
              <w:t xml:space="preserve">сли значение поля «Переход на СР</w:t>
            </w:r>
            <w:r>
              <w:t xml:space="preserve">»</w:t>
            </w:r>
            <w:r>
              <w:t xml:space="preserve"> </w:t>
            </w:r>
            <w:r>
              <w:t xml:space="preserve">=</w:t>
            </w:r>
            <w:r>
              <w:t xml:space="preserve"> </w:t>
            </w:r>
            <w:r>
              <w:t xml:space="preserve">1, то автозаполнение необход</w:t>
            </w:r>
            <w:r>
              <w:t xml:space="preserve">и</w:t>
            </w:r>
            <w:r>
              <w:t xml:space="preserve">мо осуществлять по справочнику «Реестр участников бюджетного процесса, а также юридических лиц, не являющихся участниками бюджетного процесса»</w:t>
            </w:r>
            <w:r>
              <w:t xml:space="preserve">.</w:t>
            </w:r>
            <w:r/>
          </w:p>
          <w:p>
            <w:pPr>
              <w:pStyle w:val="1005"/>
              <w:ind w:left="57" w:right="57"/>
            </w:pPr>
            <w:r>
              <w:t xml:space="preserve">Если значение поля </w:t>
            </w:r>
            <w:r>
              <w:t xml:space="preserve">«Почтовый и</w:t>
            </w:r>
            <w:r>
              <w:t xml:space="preserve">н</w:t>
            </w:r>
            <w:r>
              <w:t xml:space="preserve">декс» присутствует в справочнике «КЛАДР», то автоматически заполн</w:t>
            </w:r>
            <w:r>
              <w:t xml:space="preserve">я</w:t>
            </w:r>
            <w:r>
              <w:t xml:space="preserve">ется соответствующим значением из справочника «КЛАДР».</w:t>
            </w:r>
            <w:r/>
          </w:p>
          <w:p>
            <w:pPr>
              <w:pStyle w:val="1005"/>
              <w:ind w:left="57" w:right="57"/>
            </w:pPr>
            <w:r>
              <w:t xml:space="preserve">Выбор из спр</w:t>
            </w:r>
            <w:r>
              <w:t xml:space="preserve">авочника «КЛАДР». </w:t>
            </w:r>
            <w:r/>
          </w:p>
          <w:p>
            <w:pPr>
              <w:pStyle w:val="1005"/>
              <w:ind w:left="57" w:right="57"/>
            </w:pPr>
            <w:r>
              <w:t xml:space="preserve">Ввод значения вручную</w:t>
            </w:r>
            <w:r>
              <w:t xml:space="preserve">.</w:t>
            </w:r>
            <w:r/>
          </w:p>
          <w:p>
            <w:pPr>
              <w:pStyle w:val="1005"/>
              <w:ind w:left="57" w:right="57"/>
            </w:pPr>
            <w:r>
              <w:t xml:space="preserve">В случае отсутствия указывается знач</w:t>
            </w:r>
            <w:r>
              <w:t xml:space="preserve">ение «–» (прочерк).</w:t>
            </w:r>
            <w:r/>
          </w:p>
        </w:tc>
      </w:tr>
      <w:tr>
        <w:trPr/>
        <w:tc>
          <w:tcPr>
            <w:shd w:val="clear" w:fill="auto" w:color="auto"/>
            <w:tcW w:w="2217" w:type="dxa"/>
            <w:textDirection w:val="lrTb"/>
            <w:noWrap w:val="false"/>
          </w:tcPr>
          <w:p>
            <w:pPr>
              <w:pStyle w:val="1005"/>
              <w:ind w:left="57" w:right="57"/>
            </w:pPr>
            <w:r>
              <w:t xml:space="preserve">Улица</w:t>
            </w:r>
            <w:r/>
          </w:p>
        </w:tc>
        <w:tc>
          <w:tcPr>
            <w:shd w:val="clear" w:fill="auto" w:color="auto"/>
            <w:tcW w:w="7535" w:type="dxa"/>
            <w:textDirection w:val="lrTb"/>
            <w:noWrap w:val="false"/>
          </w:tcPr>
          <w:p>
            <w:pPr>
              <w:pStyle w:val="1005"/>
              <w:ind w:left="57" w:right="57"/>
            </w:pPr>
            <w:r>
              <w:t xml:space="preserve">Наименование улицы. </w:t>
            </w:r>
            <w:r/>
          </w:p>
          <w:p>
            <w:pPr>
              <w:pStyle w:val="1005"/>
              <w:ind w:left="57" w:right="57"/>
            </w:pPr>
            <w:r>
              <w:t xml:space="preserve">УБП:</w:t>
            </w:r>
            <w:r>
              <w:t xml:space="preserve"> </w:t>
            </w:r>
            <w:r>
              <w:t xml:space="preserve">Е</w:t>
            </w:r>
            <w:r>
              <w:t xml:space="preserve">сли значение поля «Переход на СР</w:t>
            </w:r>
            <w:r>
              <w:t xml:space="preserve">»</w:t>
            </w:r>
            <w:r>
              <w:t xml:space="preserve"> </w:t>
            </w:r>
            <w:r>
              <w:t xml:space="preserve">=</w:t>
            </w:r>
            <w:r>
              <w:t xml:space="preserve"> </w:t>
            </w:r>
            <w:r>
              <w:t xml:space="preserve">1, то автозаполнение необход</w:t>
            </w:r>
            <w:r>
              <w:t xml:space="preserve">и</w:t>
            </w:r>
            <w:r>
              <w:t xml:space="preserve">мо осуществлять по справочнику «Реестр участников бюджетного процесса, а также юридических лиц, не являющихся участниками бюджетного процесса»</w:t>
            </w:r>
            <w:r>
              <w:t xml:space="preserve">.</w:t>
            </w:r>
            <w:r/>
          </w:p>
          <w:p>
            <w:pPr>
              <w:pStyle w:val="1005"/>
              <w:ind w:left="57" w:right="57"/>
            </w:pPr>
            <w:r>
              <w:t xml:space="preserve">Ввод зн</w:t>
            </w:r>
            <w:r>
              <w:t xml:space="preserve">ачения вручную.</w:t>
            </w:r>
            <w:r/>
          </w:p>
          <w:p>
            <w:pPr>
              <w:pStyle w:val="1005"/>
              <w:ind w:left="57" w:right="57"/>
            </w:pPr>
            <w:r>
              <w:t xml:space="preserve">В случае отсутствия указывается знач</w:t>
            </w:r>
            <w:r>
              <w:t xml:space="preserve">ение «–» (прочерк).</w:t>
            </w:r>
            <w:r/>
          </w:p>
        </w:tc>
      </w:tr>
      <w:tr>
        <w:trPr/>
        <w:tc>
          <w:tcPr>
            <w:shd w:val="clear" w:fill="auto" w:color="auto"/>
            <w:tcW w:w="2217" w:type="dxa"/>
            <w:textDirection w:val="lrTb"/>
            <w:noWrap w:val="false"/>
          </w:tcPr>
          <w:p>
            <w:pPr>
              <w:pStyle w:val="1005"/>
              <w:ind w:left="57" w:right="57"/>
            </w:pPr>
            <w:r>
              <w:t xml:space="preserve">Дом</w:t>
            </w:r>
            <w:r/>
          </w:p>
        </w:tc>
        <w:tc>
          <w:tcPr>
            <w:shd w:val="clear" w:fill="auto" w:color="auto"/>
            <w:tcW w:w="7535" w:type="dxa"/>
            <w:textDirection w:val="lrTb"/>
            <w:noWrap w:val="false"/>
          </w:tcPr>
          <w:p>
            <w:pPr>
              <w:pStyle w:val="1005"/>
              <w:ind w:left="57" w:right="57"/>
            </w:pPr>
            <w:r>
              <w:t xml:space="preserve">Наименование дома. </w:t>
            </w:r>
            <w:r/>
          </w:p>
          <w:p>
            <w:pPr>
              <w:pStyle w:val="1005"/>
              <w:ind w:left="57" w:right="57"/>
            </w:pPr>
            <w:r>
              <w:t xml:space="preserve">УБП:</w:t>
            </w:r>
            <w:r>
              <w:t xml:space="preserve"> </w:t>
            </w:r>
            <w:r>
              <w:t xml:space="preserve">Е</w:t>
            </w:r>
            <w:r>
              <w:t xml:space="preserve">сли значение поля «Переход на СР</w:t>
            </w:r>
            <w:r>
              <w:t xml:space="preserve">»</w:t>
            </w:r>
            <w:r>
              <w:t xml:space="preserve"> </w:t>
            </w:r>
            <w:r>
              <w:t xml:space="preserve">=</w:t>
            </w:r>
            <w:r>
              <w:t xml:space="preserve"> </w:t>
            </w:r>
            <w:r>
              <w:t xml:space="preserve">1, то автозаполнение необход</w:t>
            </w:r>
            <w:r>
              <w:t xml:space="preserve">и</w:t>
            </w:r>
            <w:r>
              <w:t xml:space="preserve">мо осуществлять по справочнику «Реестр участников бюджетного процесса, а также юридических лиц, не являющихся участниками бюджетного процесса»</w:t>
            </w:r>
            <w:r>
              <w:t xml:space="preserve">.</w:t>
            </w:r>
            <w:r/>
          </w:p>
          <w:p>
            <w:pPr>
              <w:pStyle w:val="1005"/>
              <w:ind w:left="57" w:right="57"/>
            </w:pPr>
            <w:r>
              <w:t xml:space="preserve">Ввод зн</w:t>
            </w:r>
            <w:r>
              <w:t xml:space="preserve">ачения вручную.</w:t>
            </w:r>
            <w:r/>
          </w:p>
          <w:p>
            <w:pPr>
              <w:pStyle w:val="1005"/>
              <w:ind w:left="57" w:right="57"/>
            </w:pPr>
            <w:r>
              <w:t xml:space="preserve">В случае отсутствия указывается знач</w:t>
            </w:r>
            <w:r>
              <w:t xml:space="preserve">ение «–» (прочерк).</w:t>
            </w:r>
            <w:r/>
          </w:p>
        </w:tc>
      </w:tr>
      <w:tr>
        <w:trPr/>
        <w:tc>
          <w:tcPr>
            <w:shd w:val="clear" w:fill="auto" w:color="auto"/>
            <w:tcW w:w="2217" w:type="dxa"/>
            <w:textDirection w:val="lrTb"/>
            <w:noWrap w:val="false"/>
          </w:tcPr>
          <w:p>
            <w:pPr>
              <w:pStyle w:val="1005"/>
              <w:ind w:left="57" w:right="57"/>
            </w:pPr>
            <w:r>
              <w:t xml:space="preserve">Офис</w:t>
            </w:r>
            <w:r/>
          </w:p>
        </w:tc>
        <w:tc>
          <w:tcPr>
            <w:shd w:val="clear" w:fill="auto" w:color="auto"/>
            <w:tcW w:w="7535" w:type="dxa"/>
            <w:textDirection w:val="lrTb"/>
            <w:noWrap w:val="false"/>
          </w:tcPr>
          <w:p>
            <w:pPr>
              <w:pStyle w:val="1005"/>
              <w:ind w:left="57" w:right="57"/>
            </w:pPr>
            <w:r>
              <w:t xml:space="preserve">Наименование офиса. </w:t>
            </w:r>
            <w:r/>
          </w:p>
          <w:p>
            <w:pPr>
              <w:pStyle w:val="1005"/>
              <w:ind w:left="57" w:right="57"/>
            </w:pPr>
            <w:r>
              <w:t xml:space="preserve">УБП:</w:t>
            </w:r>
            <w:r>
              <w:t xml:space="preserve"> </w:t>
            </w:r>
            <w:r>
              <w:t xml:space="preserve">Е</w:t>
            </w:r>
            <w:r>
              <w:t xml:space="preserve">сли значение поля «Переход на СР</w:t>
            </w:r>
            <w:r>
              <w:t xml:space="preserve">»</w:t>
            </w:r>
            <w:r>
              <w:t xml:space="preserve"> </w:t>
            </w:r>
            <w:r>
              <w:t xml:space="preserve">=</w:t>
            </w:r>
            <w:r>
              <w:t xml:space="preserve"> </w:t>
            </w:r>
            <w:r>
              <w:t xml:space="preserve">1, то автозаполнение необход</w:t>
            </w:r>
            <w:r>
              <w:t xml:space="preserve">и</w:t>
            </w:r>
            <w:r>
              <w:t xml:space="preserve">мо осуществлять по справочнику «Реестр участников бюджетного процес</w:t>
            </w:r>
            <w:r>
              <w:t xml:space="preserve">са, а также юридических лиц, не являющихся участниками бюджетного процесса»</w:t>
            </w:r>
            <w:r>
              <w:t xml:space="preserve">.</w:t>
            </w:r>
            <w:r/>
          </w:p>
          <w:p>
            <w:pPr>
              <w:pStyle w:val="1005"/>
              <w:ind w:left="57" w:right="57"/>
            </w:pPr>
            <w:r>
              <w:t xml:space="preserve">Ввод значения вручную</w:t>
            </w:r>
            <w:r>
              <w:t xml:space="preserve">.</w:t>
            </w:r>
            <w:r/>
          </w:p>
          <w:p>
            <w:pPr>
              <w:pStyle w:val="1005"/>
              <w:ind w:left="57" w:right="57"/>
            </w:pPr>
            <w:r>
              <w:t xml:space="preserve">В случае отсутствия указывается знач</w:t>
            </w:r>
            <w:r>
              <w:t xml:space="preserve">ение «–» (прочерк).</w:t>
            </w:r>
            <w:r/>
          </w:p>
        </w:tc>
      </w:tr>
      <w:tr>
        <w:trPr/>
        <w:tc>
          <w:tcPr>
            <w:gridSpan w:val="2"/>
            <w:shd w:val="clear" w:fill="auto" w:color="auto"/>
            <w:tcW w:w="9752" w:type="dxa"/>
            <w:textDirection w:val="lrTb"/>
            <w:noWrap w:val="false"/>
          </w:tcPr>
          <w:p>
            <w:pPr>
              <w:pStyle w:val="1005"/>
              <w:ind w:left="57" w:right="57"/>
            </w:pPr>
            <w:r>
              <w:t xml:space="preserve">Группа полей «Код</w:t>
            </w:r>
            <w:r>
              <w:t xml:space="preserve">ы</w:t>
            </w:r>
            <w:r>
              <w:t xml:space="preserve"> по</w:t>
            </w:r>
            <w:r>
              <w:t xml:space="preserve"> «КЛАДР»</w:t>
            </w:r>
            <w:r/>
          </w:p>
        </w:tc>
      </w:tr>
      <w:tr>
        <w:trPr/>
        <w:tc>
          <w:tcPr>
            <w:shd w:val="clear" w:fill="auto" w:color="auto"/>
            <w:tcW w:w="2217" w:type="dxa"/>
            <w:textDirection w:val="lrTb"/>
            <w:noWrap w:val="false"/>
          </w:tcPr>
          <w:p>
            <w:pPr>
              <w:pStyle w:val="1005"/>
              <w:ind w:left="57" w:right="57"/>
            </w:pPr>
            <w:r>
              <w:t xml:space="preserve">Субъект РФ </w:t>
            </w:r>
            <w:r/>
          </w:p>
        </w:tc>
        <w:tc>
          <w:tcPr>
            <w:shd w:val="clear" w:fill="auto" w:color="auto"/>
            <w:tcW w:w="7535" w:type="dxa"/>
            <w:textDirection w:val="lrTb"/>
            <w:noWrap w:val="false"/>
          </w:tcPr>
          <w:p>
            <w:pPr>
              <w:pStyle w:val="1005"/>
              <w:ind w:left="57" w:right="57"/>
            </w:pPr>
            <w:r>
              <w:t xml:space="preserve">Код субъекта РФ по</w:t>
            </w:r>
            <w:r>
              <w:t xml:space="preserve"> «КЛАДР». </w:t>
            </w:r>
            <w:r/>
          </w:p>
          <w:p>
            <w:pPr>
              <w:pStyle w:val="1005"/>
              <w:ind w:left="57" w:right="57"/>
            </w:pPr>
            <w:r>
              <w:t xml:space="preserve">УБП:</w:t>
            </w:r>
            <w:r>
              <w:t xml:space="preserve"> </w:t>
            </w:r>
            <w:r>
              <w:t xml:space="preserve">Е</w:t>
            </w:r>
            <w:r>
              <w:t xml:space="preserve">сли значение поля «Переход на СР</w:t>
            </w:r>
            <w:r>
              <w:t xml:space="preserve">»</w:t>
            </w:r>
            <w:r>
              <w:t xml:space="preserve"> </w:t>
            </w:r>
            <w:r>
              <w:t xml:space="preserve">=</w:t>
            </w:r>
            <w:r>
              <w:t xml:space="preserve"> </w:t>
            </w:r>
            <w:r>
              <w:t xml:space="preserve">1, то автозаполнение необход</w:t>
            </w:r>
            <w:r>
              <w:t xml:space="preserve">и</w:t>
            </w:r>
            <w:r>
              <w:t xml:space="preserve">мо осуществлять по справочнику «Реестр участников бюджетного процесса, а также юридических лиц, не являющихся участниками бюджетного процесса»</w:t>
            </w:r>
            <w:r>
              <w:t xml:space="preserve">.</w:t>
            </w:r>
            <w:r/>
          </w:p>
          <w:p>
            <w:pPr>
              <w:pStyle w:val="1005"/>
              <w:ind w:left="57" w:right="57"/>
            </w:pPr>
            <w:r>
              <w:t xml:space="preserve">Автоматически заполняется на основании значения поля «Субъект РФ (н</w:t>
            </w:r>
            <w:r>
              <w:t xml:space="preserve">а</w:t>
            </w:r>
            <w:r>
              <w:t xml:space="preserve">именование)».</w:t>
            </w:r>
            <w:r/>
          </w:p>
        </w:tc>
      </w:tr>
      <w:tr>
        <w:trPr/>
        <w:tc>
          <w:tcPr>
            <w:shd w:val="clear" w:fill="auto" w:color="auto"/>
            <w:tcW w:w="2217" w:type="dxa"/>
            <w:textDirection w:val="lrTb"/>
            <w:noWrap w:val="false"/>
          </w:tcPr>
          <w:p>
            <w:pPr>
              <w:pStyle w:val="1005"/>
              <w:ind w:left="57" w:right="57"/>
            </w:pPr>
            <w:r>
              <w:t xml:space="preserve">Район </w:t>
            </w:r>
            <w:r/>
          </w:p>
        </w:tc>
        <w:tc>
          <w:tcPr>
            <w:shd w:val="clear" w:fill="auto" w:color="auto"/>
            <w:tcW w:w="7535" w:type="dxa"/>
            <w:textDirection w:val="lrTb"/>
            <w:noWrap w:val="false"/>
          </w:tcPr>
          <w:p>
            <w:pPr>
              <w:pStyle w:val="1005"/>
              <w:ind w:left="57" w:right="57"/>
            </w:pPr>
            <w:r>
              <w:t xml:space="preserve">Код района РФ по</w:t>
            </w:r>
            <w:r>
              <w:t xml:space="preserve"> «КЛАДР». </w:t>
            </w:r>
            <w:r/>
          </w:p>
          <w:p>
            <w:pPr>
              <w:pStyle w:val="1005"/>
              <w:ind w:left="57" w:right="57"/>
            </w:pPr>
            <w:r>
              <w:t xml:space="preserve">УБП:</w:t>
            </w:r>
            <w:r>
              <w:t xml:space="preserve"> </w:t>
            </w:r>
            <w:r>
              <w:t xml:space="preserve">Е</w:t>
            </w:r>
            <w:r>
              <w:t xml:space="preserve">сли значение поля «Переход на СР</w:t>
            </w:r>
            <w:r>
              <w:t xml:space="preserve">»</w:t>
            </w:r>
            <w:r>
              <w:t xml:space="preserve"> </w:t>
            </w:r>
            <w:r>
              <w:t xml:space="preserve">=</w:t>
            </w:r>
            <w:r>
              <w:t xml:space="preserve"> </w:t>
            </w:r>
            <w:r>
              <w:t xml:space="preserve">1, то автозаполнение необход</w:t>
            </w:r>
            <w:r>
              <w:t xml:space="preserve">и</w:t>
            </w:r>
            <w:r>
              <w:t xml:space="preserve">мо осуществлять по справочнику «Реестр участников бюджетного процесса, а также юридических лиц, не являющихся участниками бюджетного процесса»</w:t>
            </w:r>
            <w:r>
              <w:t xml:space="preserve">.</w:t>
            </w:r>
            <w:r/>
          </w:p>
          <w:p>
            <w:pPr>
              <w:pStyle w:val="1005"/>
              <w:ind w:left="57" w:right="57"/>
            </w:pPr>
            <w:r>
              <w:t xml:space="preserve">Автоматически заполняется на основании зн</w:t>
            </w:r>
            <w:r>
              <w:t xml:space="preserve">а</w:t>
            </w:r>
            <w:r>
              <w:t xml:space="preserve">чения поля «Район (наименов</w:t>
            </w:r>
            <w:r>
              <w:t xml:space="preserve">а</w:t>
            </w:r>
            <w:r>
              <w:t xml:space="preserve">ние)».</w:t>
            </w:r>
            <w:r/>
          </w:p>
          <w:p>
            <w:pPr>
              <w:pStyle w:val="1005"/>
              <w:ind w:left="57" w:right="57"/>
            </w:pPr>
            <w:r>
              <w:t xml:space="preserve">Если в поле </w:t>
            </w:r>
            <w:r>
              <w:t xml:space="preserve">«Район (наименование)» указано значение «-», то не заполняе</w:t>
            </w:r>
            <w:r>
              <w:t xml:space="preserve">т</w:t>
            </w:r>
            <w:r>
              <w:t xml:space="preserve">ся.</w:t>
            </w:r>
            <w:r/>
          </w:p>
        </w:tc>
      </w:tr>
      <w:tr>
        <w:trPr/>
        <w:tc>
          <w:tcPr>
            <w:shd w:val="clear" w:fill="auto" w:color="auto"/>
            <w:tcW w:w="2217" w:type="dxa"/>
            <w:textDirection w:val="lrTb"/>
            <w:noWrap w:val="false"/>
          </w:tcPr>
          <w:p>
            <w:pPr>
              <w:pStyle w:val="1005"/>
              <w:ind w:left="57" w:right="57"/>
            </w:pPr>
            <w:r>
              <w:t xml:space="preserve">Город </w:t>
            </w:r>
            <w:r/>
          </w:p>
        </w:tc>
        <w:tc>
          <w:tcPr>
            <w:shd w:val="clear" w:fill="auto" w:color="auto"/>
            <w:tcW w:w="7535" w:type="dxa"/>
            <w:textDirection w:val="lrTb"/>
            <w:noWrap w:val="false"/>
          </w:tcPr>
          <w:p>
            <w:pPr>
              <w:pStyle w:val="1005"/>
              <w:ind w:left="57" w:right="57"/>
            </w:pPr>
            <w:r>
              <w:t xml:space="preserve">Код города по</w:t>
            </w:r>
            <w:r>
              <w:t xml:space="preserve"> «КЛАДР». </w:t>
            </w:r>
            <w:r/>
          </w:p>
          <w:p>
            <w:pPr>
              <w:pStyle w:val="1005"/>
              <w:ind w:left="57" w:right="57"/>
            </w:pPr>
            <w:r>
              <w:t xml:space="preserve">УБП:</w:t>
            </w:r>
            <w:r>
              <w:t xml:space="preserve"> </w:t>
            </w:r>
            <w:r>
              <w:t xml:space="preserve">Е</w:t>
            </w:r>
            <w:r>
              <w:t xml:space="preserve">сли значение поля «Переход на СР</w:t>
            </w:r>
            <w:r>
              <w:t xml:space="preserve">»</w:t>
            </w:r>
            <w:r>
              <w:t xml:space="preserve"> </w:t>
            </w:r>
            <w:r>
              <w:t xml:space="preserve">=</w:t>
            </w:r>
            <w:r>
              <w:t xml:space="preserve"> </w:t>
            </w:r>
            <w:r>
              <w:t xml:space="preserve">1, то автозаполнение необход</w:t>
            </w:r>
            <w:r>
              <w:t xml:space="preserve">и</w:t>
            </w:r>
            <w:r>
              <w:t xml:space="preserve">мо осуществлять по справочнику «Реестр участников бюджетного процесса, а также юридических лиц, не являющихся участниками бюджетного процесса»</w:t>
            </w:r>
            <w:r>
              <w:t xml:space="preserve">.</w:t>
            </w:r>
            <w:r/>
          </w:p>
          <w:p>
            <w:pPr>
              <w:pStyle w:val="1005"/>
              <w:ind w:left="57" w:right="57"/>
            </w:pPr>
            <w:r>
              <w:t xml:space="preserve">Автоматически заполняется на осн</w:t>
            </w:r>
            <w:r>
              <w:t xml:space="preserve">о</w:t>
            </w:r>
            <w:r>
              <w:t xml:space="preserve">вании знач</w:t>
            </w:r>
            <w:r>
              <w:t xml:space="preserve">е</w:t>
            </w:r>
            <w:r>
              <w:t xml:space="preserve">ния поля «Город (наименов</w:t>
            </w:r>
            <w:r>
              <w:t xml:space="preserve">а</w:t>
            </w:r>
            <w:r>
              <w:t xml:space="preserve">ние)».</w:t>
            </w:r>
            <w:r/>
          </w:p>
        </w:tc>
      </w:tr>
      <w:tr>
        <w:trPr>
          <w:trHeight w:val="70"/>
        </w:trPr>
        <w:tc>
          <w:tcPr>
            <w:shd w:val="clear" w:fill="auto" w:color="auto"/>
            <w:tcW w:w="2217" w:type="dxa"/>
            <w:textDirection w:val="lrTb"/>
            <w:noWrap w:val="false"/>
          </w:tcPr>
          <w:p>
            <w:pPr>
              <w:pStyle w:val="1005"/>
              <w:ind w:left="57" w:right="57"/>
            </w:pPr>
            <w:r>
              <w:t xml:space="preserve">Населенный пункт </w:t>
            </w:r>
            <w:r/>
          </w:p>
        </w:tc>
        <w:tc>
          <w:tcPr>
            <w:shd w:val="clear" w:fill="auto" w:color="auto"/>
            <w:tcW w:w="7535" w:type="dxa"/>
            <w:textDirection w:val="lrTb"/>
            <w:noWrap w:val="false"/>
          </w:tcPr>
          <w:p>
            <w:pPr>
              <w:pStyle w:val="1005"/>
              <w:ind w:left="57" w:right="57"/>
            </w:pPr>
            <w:r>
              <w:t xml:space="preserve">Код населенного пункта по</w:t>
            </w:r>
            <w:r>
              <w:t xml:space="preserve"> «КЛАДР». </w:t>
            </w:r>
            <w:r/>
          </w:p>
          <w:p>
            <w:pPr>
              <w:pStyle w:val="1005"/>
              <w:ind w:left="57" w:right="57"/>
            </w:pPr>
            <w:r>
              <w:t xml:space="preserve">УБП:</w:t>
            </w:r>
            <w:r>
              <w:t xml:space="preserve"> </w:t>
            </w:r>
            <w:r>
              <w:t xml:space="preserve">Е</w:t>
            </w:r>
            <w:r>
              <w:t xml:space="preserve">сли значение поля «Переход на СР</w:t>
            </w:r>
            <w:r>
              <w:t xml:space="preserve">»</w:t>
            </w:r>
            <w:r>
              <w:t xml:space="preserve"> </w:t>
            </w:r>
            <w:r>
              <w:t xml:space="preserve">=</w:t>
            </w:r>
            <w:r>
              <w:t xml:space="preserve"> </w:t>
            </w:r>
            <w:r>
              <w:t xml:space="preserve">1, то автозаполнение необход</w:t>
            </w:r>
            <w:r>
              <w:t xml:space="preserve">и</w:t>
            </w:r>
            <w:r>
              <w:t xml:space="preserve">мо осуществлять по справочнику «Реестр участников бюджетного процесса, а также юридических лиц, не являющихся участниками бюджетного процесса»</w:t>
            </w:r>
            <w:r>
              <w:t xml:space="preserve">.</w:t>
            </w:r>
            <w:r/>
          </w:p>
          <w:p>
            <w:pPr>
              <w:pStyle w:val="1005"/>
              <w:ind w:left="57" w:right="57"/>
            </w:pPr>
            <w:r>
              <w:t xml:space="preserve">Автоматически заполн</w:t>
            </w:r>
            <w:r>
              <w:t xml:space="preserve">я</w:t>
            </w:r>
            <w:r>
              <w:t xml:space="preserve">ется на основ</w:t>
            </w:r>
            <w:r>
              <w:t xml:space="preserve">а</w:t>
            </w:r>
            <w:r>
              <w:t xml:space="preserve">нии значения поля «Населенный пункт (наим</w:t>
            </w:r>
            <w:r>
              <w:t xml:space="preserve">е</w:t>
            </w:r>
            <w:r>
              <w:t xml:space="preserve">нование)».</w:t>
            </w:r>
            <w:r/>
          </w:p>
        </w:tc>
      </w:tr>
    </w:tbl>
    <w:p>
      <w:pPr>
        <w:pStyle w:val="994"/>
      </w:pPr>
      <w:r>
        <w:t xml:space="preserve">ЭФ документа </w:t>
      </w:r>
      <w:r>
        <w:t xml:space="preserve">«</w:t>
      </w:r>
      <w:r>
        <w:t xml:space="preserve">Сведения об организации</w:t>
      </w:r>
      <w:r>
        <w:t xml:space="preserve">», закладки «</w:t>
      </w:r>
      <w:r>
        <w:t xml:space="preserve">Сведения о счетах (3)»</w:t>
      </w:r>
      <w:r>
        <w:t xml:space="preserve"> </w:t>
      </w:r>
      <w:r>
        <w:t xml:space="preserve">представлена </w:t>
      </w:r>
      <w:r>
        <w:t xml:space="preserve">н</w:t>
      </w:r>
      <w:r>
        <w:t xml:space="preserve">а рисунке</w:t>
      </w:r>
      <w:r>
        <w:t xml:space="preserve"> </w:t>
      </w:r>
      <w:r>
        <w:fldChar w:fldCharType="begin"/>
      </w:r>
      <w:r>
        <w:instrText xml:space="preserve"> REF _Ref444679184 \h </w:instrText>
      </w:r>
      <w:r>
        <w:fldChar w:fldCharType="separate"/>
      </w:r>
      <w:r>
        <w:t xml:space="preserve">316</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1280160"/>
                <wp:effectExtent l="0" t="0" r="0" b="0"/>
                <wp:docPr id="46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06"/>
                        <a:stretch/>
                      </pic:blipFill>
                      <pic:spPr bwMode="auto">
                        <a:xfrm>
                          <a:off x="0" y="0"/>
                          <a:ext cx="6118860" cy="12801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0" o:spid="_x0000_s460" type="#_x0000_t75" style="mso-wrap-distance-left:0.0pt;mso-wrap-distance-top:0.0pt;mso-wrap-distance-right:0.0pt;mso-wrap-distance-bottom:0.0pt;width:481.8pt;height:100.8pt;" stroked="f">
                <v:path textboxrect="0,0,0,0"/>
                <v:imagedata r:id="rId406" o:title=""/>
              </v:shape>
            </w:pict>
          </mc:Fallback>
        </mc:AlternateContent>
      </w:r>
      <w:r/>
    </w:p>
    <w:p>
      <w:pPr>
        <w:pStyle w:val="983"/>
      </w:pPr>
      <w:r>
        <w:fldChar w:fldCharType="begin"/>
      </w:r>
      <w:r>
        <w:instrText xml:space="preserve"> SEQ Рисунок \* ARABIC </w:instrText>
      </w:r>
      <w:r>
        <w:fldChar w:fldCharType="separate"/>
      </w:r>
      <w:bookmarkStart w:id="2075" w:name="_Ref444679184"/>
      <w:r/>
      <w:bookmarkStart w:id="2076" w:name="_Toc88819701"/>
      <w:r>
        <w:t xml:space="preserve">316</w:t>
      </w:r>
      <w:bookmarkEnd w:id="2075"/>
      <w:r>
        <w:fldChar w:fldCharType="end"/>
      </w:r>
      <w:r>
        <w:t xml:space="preserve">. ЭФ </w:t>
      </w:r>
      <w:r>
        <w:t xml:space="preserve">документа «</w:t>
      </w:r>
      <w:r>
        <w:t xml:space="preserve">Сведения об организации</w:t>
      </w:r>
      <w:r>
        <w:t xml:space="preserve">», закладки «</w:t>
      </w:r>
      <w:r>
        <w:t xml:space="preserve">Сведения о счетах (3)»</w:t>
      </w:r>
      <w:bookmarkEnd w:id="2076"/>
      <w:r/>
      <w:r/>
    </w:p>
    <w:p>
      <w:pPr>
        <w:pStyle w:val="994"/>
      </w:pPr>
      <w:r>
        <w:t xml:space="preserve">Перечень </w:t>
      </w:r>
      <w:r>
        <w:t xml:space="preserve">полей </w:t>
      </w:r>
      <w:r>
        <w:t xml:space="preserve">документа «</w:t>
      </w:r>
      <w:r>
        <w:t xml:space="preserve">Сведения об организации</w:t>
      </w:r>
      <w:r>
        <w:t xml:space="preserve">», </w:t>
      </w:r>
      <w:r>
        <w:t xml:space="preserve">закладки </w:t>
      </w:r>
      <w:r>
        <w:t xml:space="preserve">«Сведения о счетах (3)» </w:t>
      </w:r>
      <w:r>
        <w:t xml:space="preserve">приведен в таблице</w:t>
      </w:r>
      <w:r>
        <w:t xml:space="preserve"> </w:t>
      </w:r>
      <w:r>
        <w:fldChar w:fldCharType="begin"/>
      </w:r>
      <w:r>
        <w:instrText xml:space="preserve"> REF _Ref381284948 \h </w:instrText>
      </w:r>
      <w:r>
        <w:fldChar w:fldCharType="separate"/>
      </w:r>
      <w:r>
        <w:t xml:space="preserve">186</w:t>
      </w:r>
      <w:r>
        <w:fldChar w:fldCharType="end"/>
      </w:r>
      <w:r>
        <w:t xml:space="preserve">.</w:t>
      </w:r>
      <w:r/>
    </w:p>
    <w:p>
      <w:pPr>
        <w:pStyle w:val="993"/>
      </w:pPr>
      <w:r>
        <w:fldChar w:fldCharType="begin"/>
      </w:r>
      <w:r>
        <w:instrText xml:space="preserve"> SEQ Таблица \* ARABIC </w:instrText>
      </w:r>
      <w:r>
        <w:fldChar w:fldCharType="separate"/>
      </w:r>
      <w:bookmarkStart w:id="2077" w:name="_Ref381284948"/>
      <w:r/>
      <w:bookmarkStart w:id="2078" w:name="_Toc88819373"/>
      <w:r>
        <w:t xml:space="preserve">186</w:t>
      </w:r>
      <w:bookmarkEnd w:id="2077"/>
      <w:r>
        <w:fldChar w:fldCharType="end"/>
      </w:r>
      <w:r>
        <w:t xml:space="preserve">. </w:t>
      </w:r>
      <w:r>
        <w:t xml:space="preserve">Описание полей документа </w:t>
      </w:r>
      <w:r>
        <w:t xml:space="preserve">«</w:t>
      </w:r>
      <w:r>
        <w:t xml:space="preserve">Сведения об организации</w:t>
      </w:r>
      <w:r>
        <w:t xml:space="preserve">», закладки «</w:t>
      </w:r>
      <w:r>
        <w:t xml:space="preserve">Сведения о счетах (3)»</w:t>
      </w:r>
      <w:bookmarkEnd w:id="207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2697"/>
        <w:gridCol w:w="7055"/>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2697" w:type="dxa"/>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7055" w:type="dxa"/>
            <w:vAlign w:val="center"/>
            <w:textDirection w:val="lrTb"/>
            <w:noWrap w:val="false"/>
          </w:tcPr>
          <w:p>
            <w:pPr>
              <w:pStyle w:val="1006"/>
            </w:pPr>
            <w:r>
              <w:t xml:space="preserve">Описание</w:t>
            </w:r>
            <w:r>
              <w:t xml:space="preserve"> поля</w:t>
            </w:r>
            <w:r/>
          </w:p>
        </w:tc>
      </w:tr>
      <w:tr>
        <w:trPr/>
        <w:tc>
          <w:tcPr>
            <w:gridSpan w:val="2"/>
            <w:shd w:val="clear" w:fill="auto" w:color="auto"/>
            <w:tcW w:w="9752" w:type="dxa"/>
            <w:textDirection w:val="lrTb"/>
            <w:noWrap w:val="false"/>
          </w:tcPr>
          <w:p>
            <w:pPr>
              <w:pStyle w:val="1005"/>
              <w:ind w:left="57" w:right="57"/>
            </w:pPr>
            <w:r>
              <w:t xml:space="preserve">Закладка «Сведения о счетах</w:t>
            </w:r>
            <w:r>
              <w:t xml:space="preserve"> (3)» заполняется </w:t>
            </w:r>
            <w:r>
              <w:t xml:space="preserve">только</w:t>
            </w:r>
            <w:r>
              <w:t xml:space="preserve"> при </w:t>
            </w:r>
            <w:r>
              <w:t xml:space="preserve">типе организации</w:t>
            </w:r>
            <w:r>
              <w:t xml:space="preserve"> = «04», «05», «06», «09», «10», «11», «12», «13», «20»</w:t>
            </w:r>
            <w:r>
              <w:t xml:space="preserve">, и</w:t>
            </w:r>
            <w:r>
              <w:t xml:space="preserve">наче</w:t>
            </w:r>
            <w:r>
              <w:t xml:space="preserve"> </w:t>
            </w:r>
            <w:r>
              <w:t xml:space="preserve">–</w:t>
            </w:r>
            <w:r>
              <w:t xml:space="preserve"> огранич</w:t>
            </w:r>
            <w:r>
              <w:t xml:space="preserve">ен</w:t>
            </w:r>
            <w:r>
              <w:t xml:space="preserve"> доступ,</w:t>
            </w:r>
            <w:r>
              <w:t xml:space="preserve"> блокир</w:t>
            </w:r>
            <w:r>
              <w:t xml:space="preserve">уются</w:t>
            </w:r>
            <w:r>
              <w:t xml:space="preserve"> все поля закладки для вв</w:t>
            </w:r>
            <w:r>
              <w:t xml:space="preserve">о</w:t>
            </w:r>
            <w:r>
              <w:t xml:space="preserve">да.</w:t>
            </w:r>
            <w:r/>
          </w:p>
        </w:tc>
      </w:tr>
      <w:tr>
        <w:trPr/>
        <w:tc>
          <w:tcPr>
            <w:shd w:val="clear" w:fill="auto" w:color="auto"/>
            <w:tcW w:w="2697" w:type="dxa"/>
            <w:textDirection w:val="lrTb"/>
            <w:noWrap w:val="false"/>
          </w:tcPr>
          <w:p>
            <w:pPr>
              <w:pStyle w:val="1005"/>
              <w:ind w:left="57" w:right="57"/>
            </w:pPr>
            <w:r>
              <w:t xml:space="preserve">БИК </w:t>
            </w:r>
            <w:r/>
          </w:p>
        </w:tc>
        <w:tc>
          <w:tcPr>
            <w:shd w:val="clear" w:fill="auto" w:color="auto"/>
            <w:tcW w:w="7055" w:type="dxa"/>
            <w:textDirection w:val="lrTb"/>
            <w:noWrap w:val="false"/>
          </w:tcPr>
          <w:p>
            <w:pPr>
              <w:pStyle w:val="1005"/>
              <w:ind w:left="57" w:right="57"/>
            </w:pPr>
            <w:r>
              <w:t xml:space="preserve">УБП: Дост</w:t>
            </w:r>
            <w:r>
              <w:t xml:space="preserve">упен выбор из справочника «Банки».</w:t>
            </w:r>
            <w:r/>
          </w:p>
          <w:p>
            <w:pPr>
              <w:pStyle w:val="1005"/>
              <w:ind w:left="57" w:right="57"/>
            </w:pPr>
            <w:r>
              <w:t xml:space="preserve">Ввод знач</w:t>
            </w:r>
            <w:r>
              <w:t xml:space="preserve">ения вручную.</w:t>
            </w:r>
            <w:r/>
          </w:p>
        </w:tc>
      </w:tr>
      <w:tr>
        <w:trPr/>
        <w:tc>
          <w:tcPr>
            <w:shd w:val="clear" w:fill="auto" w:color="auto"/>
            <w:tcW w:w="2697" w:type="dxa"/>
            <w:textDirection w:val="lrTb"/>
            <w:noWrap w:val="false"/>
          </w:tcPr>
          <w:p>
            <w:pPr>
              <w:pStyle w:val="1005"/>
              <w:ind w:left="57" w:right="57"/>
            </w:pPr>
            <w:r>
              <w:t xml:space="preserve">Наименование кредитной орг</w:t>
            </w:r>
            <w:r>
              <w:t xml:space="preserve">ан</w:t>
            </w:r>
            <w:r>
              <w:t xml:space="preserve">и</w:t>
            </w:r>
            <w:r>
              <w:t xml:space="preserve">зации </w:t>
            </w:r>
            <w:r/>
          </w:p>
        </w:tc>
        <w:tc>
          <w:tcPr>
            <w:shd w:val="clear" w:fill="auto" w:color="auto"/>
            <w:tcW w:w="7055" w:type="dxa"/>
            <w:textDirection w:val="lrTb"/>
            <w:noWrap w:val="false"/>
          </w:tcPr>
          <w:p>
            <w:pPr>
              <w:pStyle w:val="1005"/>
              <w:ind w:left="57" w:right="57"/>
            </w:pPr>
            <w:r>
              <w:t xml:space="preserve">УБП: Заполняется автоматически на о</w:t>
            </w:r>
            <w:r>
              <w:t xml:space="preserve">сновании поля «БИК» по справо</w:t>
            </w:r>
            <w:r>
              <w:t xml:space="preserve">ч</w:t>
            </w:r>
            <w:r>
              <w:t xml:space="preserve">нику «Банки».</w:t>
            </w:r>
            <w:r/>
          </w:p>
          <w:p>
            <w:pPr>
              <w:pStyle w:val="1005"/>
              <w:ind w:left="57" w:right="57"/>
            </w:pPr>
            <w:r>
              <w:t xml:space="preserve">Ввод знач</w:t>
            </w:r>
            <w:r>
              <w:t xml:space="preserve">ения вручную.</w:t>
            </w:r>
            <w:r/>
          </w:p>
        </w:tc>
      </w:tr>
      <w:tr>
        <w:trPr/>
        <w:tc>
          <w:tcPr>
            <w:shd w:val="clear" w:fill="auto" w:color="auto"/>
            <w:tcW w:w="2697" w:type="dxa"/>
            <w:textDirection w:val="lrTb"/>
            <w:noWrap w:val="false"/>
          </w:tcPr>
          <w:p>
            <w:pPr>
              <w:pStyle w:val="1005"/>
              <w:ind w:left="57" w:right="57"/>
            </w:pPr>
            <w:r>
              <w:t xml:space="preserve">Адрес кредитной орган</w:t>
            </w:r>
            <w:r>
              <w:t xml:space="preserve">и</w:t>
            </w:r>
            <w:r>
              <w:t xml:space="preserve">зации</w:t>
            </w:r>
            <w:r/>
          </w:p>
        </w:tc>
        <w:tc>
          <w:tcPr>
            <w:shd w:val="clear" w:fill="auto" w:color="auto"/>
            <w:tcW w:w="7055" w:type="dxa"/>
            <w:textDirection w:val="lrTb"/>
            <w:noWrap w:val="false"/>
          </w:tcPr>
          <w:p>
            <w:pPr>
              <w:pStyle w:val="1005"/>
              <w:ind w:left="57" w:right="57"/>
            </w:pPr>
            <w:r>
              <w:t xml:space="preserve">УБП: Заполняется автоматически на о</w:t>
            </w:r>
            <w:r>
              <w:t xml:space="preserve">сновании поля «БИК» по справо</w:t>
            </w:r>
            <w:r>
              <w:t xml:space="preserve">ч</w:t>
            </w:r>
            <w:r>
              <w:t xml:space="preserve">нику «Банки».</w:t>
            </w:r>
            <w:r/>
          </w:p>
          <w:p>
            <w:pPr>
              <w:pStyle w:val="1005"/>
              <w:ind w:left="57" w:right="57"/>
            </w:pPr>
            <w:r>
              <w:t xml:space="preserve">Ввод знач</w:t>
            </w:r>
            <w:r>
              <w:t xml:space="preserve">ения вручную.</w:t>
            </w:r>
            <w:r/>
          </w:p>
        </w:tc>
      </w:tr>
      <w:tr>
        <w:trPr/>
        <w:tc>
          <w:tcPr>
            <w:shd w:val="clear" w:fill="auto" w:color="auto"/>
            <w:tcW w:w="2697" w:type="dxa"/>
            <w:textDirection w:val="lrTb"/>
            <w:noWrap w:val="false"/>
          </w:tcPr>
          <w:p>
            <w:pPr>
              <w:pStyle w:val="1005"/>
              <w:ind w:left="57" w:right="57"/>
            </w:pPr>
            <w:r>
              <w:t xml:space="preserve">Корреспондентский счет</w:t>
            </w:r>
            <w:r/>
          </w:p>
        </w:tc>
        <w:tc>
          <w:tcPr>
            <w:shd w:val="clear" w:fill="auto" w:color="auto"/>
            <w:tcW w:w="7055" w:type="dxa"/>
            <w:textDirection w:val="lrTb"/>
            <w:noWrap w:val="false"/>
          </w:tcPr>
          <w:p>
            <w:pPr>
              <w:pStyle w:val="1005"/>
              <w:ind w:left="57" w:right="57"/>
            </w:pPr>
            <w:r>
              <w:t xml:space="preserve">УБП: Заполняется автоматически на о</w:t>
            </w:r>
            <w:r>
              <w:t xml:space="preserve">сновании поля «БИК» по справо</w:t>
            </w:r>
            <w:r>
              <w:t xml:space="preserve">ч</w:t>
            </w:r>
            <w:r>
              <w:t xml:space="preserve">нику «Банки».</w:t>
            </w:r>
            <w:r/>
          </w:p>
          <w:p>
            <w:pPr>
              <w:pStyle w:val="1005"/>
              <w:ind w:left="57" w:right="57"/>
            </w:pPr>
            <w:r>
              <w:t xml:space="preserve">Ввод знач</w:t>
            </w:r>
            <w:r>
              <w:t xml:space="preserve">ения вручную.</w:t>
            </w:r>
            <w:r/>
          </w:p>
        </w:tc>
      </w:tr>
      <w:tr>
        <w:trPr/>
        <w:tc>
          <w:tcPr>
            <w:shd w:val="clear" w:fill="auto" w:color="auto"/>
            <w:tcW w:w="2697" w:type="dxa"/>
            <w:textDirection w:val="lrTb"/>
            <w:noWrap w:val="false"/>
          </w:tcPr>
          <w:p>
            <w:pPr>
              <w:pStyle w:val="1005"/>
              <w:ind w:left="57" w:right="57"/>
            </w:pPr>
            <w:r>
              <w:t xml:space="preserve">Расчетный счет</w:t>
            </w:r>
            <w:r/>
          </w:p>
        </w:tc>
        <w:tc>
          <w:tcPr>
            <w:shd w:val="clear" w:fill="auto" w:color="auto"/>
            <w:tcW w:w="7055" w:type="dxa"/>
            <w:textDirection w:val="lrTb"/>
            <w:noWrap w:val="false"/>
          </w:tcPr>
          <w:p>
            <w:pPr>
              <w:pStyle w:val="1005"/>
              <w:ind w:left="57" w:right="57"/>
            </w:pPr>
            <w:r>
              <w:t xml:space="preserve">УБП: Ввод значения вру</w:t>
            </w:r>
            <w:r>
              <w:t xml:space="preserve">чную.</w:t>
            </w:r>
            <w:r/>
          </w:p>
        </w:tc>
      </w:tr>
    </w:tbl>
    <w:p>
      <w:pPr>
        <w:pStyle w:val="994"/>
      </w:pPr>
      <w:r>
        <w:t xml:space="preserve">ЭФ документа </w:t>
      </w:r>
      <w:r>
        <w:t xml:space="preserve">«</w:t>
      </w:r>
      <w:r>
        <w:t xml:space="preserve">Сведения об организации</w:t>
      </w:r>
      <w:r>
        <w:t xml:space="preserve">», закладки «</w:t>
      </w:r>
      <w:r>
        <w:t xml:space="preserve">Подписи докуме</w:t>
      </w:r>
      <w:r>
        <w:t xml:space="preserve">н</w:t>
      </w:r>
      <w:r>
        <w:t xml:space="preserve">та</w:t>
      </w:r>
      <w:r>
        <w:t xml:space="preserve"> (4)»</w:t>
      </w:r>
      <w:r>
        <w:t xml:space="preserve"> </w:t>
      </w:r>
      <w:r>
        <w:t xml:space="preserve">представлена </w:t>
      </w:r>
      <w:r>
        <w:t xml:space="preserve">н</w:t>
      </w:r>
      <w:r>
        <w:t xml:space="preserve">а рисунке</w:t>
      </w:r>
      <w:r>
        <w:t xml:space="preserve"> </w:t>
      </w:r>
      <w:r>
        <w:fldChar w:fldCharType="begin"/>
      </w:r>
      <w:r>
        <w:instrText xml:space="preserve"> REF _Ref327441393 \h </w:instrText>
      </w:r>
      <w:r>
        <w:instrText xml:space="preserve"> \* MERGEFORMAT </w:instrText>
      </w:r>
      <w:r>
        <w:fldChar w:fldCharType="separate"/>
      </w:r>
      <w:r>
        <w:t xml:space="preserve">317</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194560"/>
                <wp:effectExtent l="0" t="0" r="0" b="0"/>
                <wp:docPr id="46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07"/>
                        <a:stretch/>
                      </pic:blipFill>
                      <pic:spPr bwMode="auto">
                        <a:xfrm>
                          <a:off x="0" y="0"/>
                          <a:ext cx="6126480" cy="21945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1" o:spid="_x0000_s461" type="#_x0000_t75" style="mso-wrap-distance-left:0.0pt;mso-wrap-distance-top:0.0pt;mso-wrap-distance-right:0.0pt;mso-wrap-distance-bottom:0.0pt;width:482.4pt;height:172.8pt;" stroked="f">
                <v:path textboxrect="0,0,0,0"/>
                <v:imagedata r:id="rId407" o:title=""/>
              </v:shape>
            </w:pict>
          </mc:Fallback>
        </mc:AlternateContent>
      </w:r>
      <w:r/>
    </w:p>
    <w:p>
      <w:pPr>
        <w:pStyle w:val="983"/>
      </w:pPr>
      <w:r>
        <w:fldChar w:fldCharType="begin"/>
      </w:r>
      <w:r>
        <w:instrText xml:space="preserve"> SEQ Рисунок \* ARABIC </w:instrText>
      </w:r>
      <w:r>
        <w:fldChar w:fldCharType="separate"/>
      </w:r>
      <w:bookmarkStart w:id="2079" w:name="_Ref327441393"/>
      <w:r/>
      <w:bookmarkStart w:id="2080" w:name="_Toc88819702"/>
      <w:r>
        <w:t xml:space="preserve">317</w:t>
      </w:r>
      <w:bookmarkEnd w:id="2079"/>
      <w:r>
        <w:fldChar w:fldCharType="end"/>
      </w:r>
      <w:r>
        <w:t xml:space="preserve">. ЭФ </w:t>
      </w:r>
      <w:r>
        <w:t xml:space="preserve">документа «</w:t>
      </w:r>
      <w:r>
        <w:t xml:space="preserve">Сведения об организации</w:t>
      </w:r>
      <w:r>
        <w:t xml:space="preserve">», закладки «</w:t>
      </w:r>
      <w:r>
        <w:t xml:space="preserve">Подписи документа</w:t>
      </w:r>
      <w:r>
        <w:t xml:space="preserve"> (4)»</w:t>
      </w:r>
      <w:bookmarkEnd w:id="2080"/>
      <w:r/>
      <w:r/>
    </w:p>
    <w:p>
      <w:pPr>
        <w:pStyle w:val="994"/>
      </w:pPr>
      <w:r>
        <w:t xml:space="preserve">Перечень </w:t>
      </w:r>
      <w:r>
        <w:t xml:space="preserve">полей </w:t>
      </w:r>
      <w:r>
        <w:t xml:space="preserve">документа </w:t>
      </w:r>
      <w:r>
        <w:t xml:space="preserve">«</w:t>
      </w:r>
      <w:r>
        <w:t xml:space="preserve">Сведения об организации</w:t>
      </w:r>
      <w:r>
        <w:t xml:space="preserve">», </w:t>
      </w:r>
      <w:r>
        <w:t xml:space="preserve">закладки </w:t>
      </w:r>
      <w:r>
        <w:t xml:space="preserve">«</w:t>
      </w:r>
      <w:r>
        <w:t xml:space="preserve">Подписи документа</w:t>
      </w:r>
      <w:r>
        <w:t xml:space="preserve"> (4)»</w:t>
      </w:r>
      <w:r>
        <w:t xml:space="preserve"> </w:t>
      </w:r>
      <w:r>
        <w:t xml:space="preserve">приведен в таблице</w:t>
      </w:r>
      <w:r>
        <w:t xml:space="preserve"> </w:t>
      </w:r>
      <w:r>
        <w:fldChar w:fldCharType="begin"/>
      </w:r>
      <w:r>
        <w:instrText xml:space="preserve"> REF _Ref327441266 \h  \* MERGEFORMAT </w:instrText>
      </w:r>
      <w:r>
        <w:fldChar w:fldCharType="separate"/>
      </w:r>
      <w:r>
        <w:t xml:space="preserve">187</w:t>
      </w:r>
      <w:r>
        <w:fldChar w:fldCharType="end"/>
      </w:r>
      <w:r>
        <w:t xml:space="preserve">.</w:t>
      </w:r>
      <w:r/>
    </w:p>
    <w:p>
      <w:pPr>
        <w:pStyle w:val="993"/>
      </w:pPr>
      <w:r>
        <w:fldChar w:fldCharType="begin"/>
      </w:r>
      <w:r>
        <w:instrText xml:space="preserve"> SEQ Таблица \* ARABIC </w:instrText>
      </w:r>
      <w:r>
        <w:fldChar w:fldCharType="separate"/>
      </w:r>
      <w:bookmarkStart w:id="2081" w:name="_Ref327441266"/>
      <w:r/>
      <w:bookmarkStart w:id="2082" w:name="_Toc88819374"/>
      <w:r>
        <w:t xml:space="preserve">187</w:t>
      </w:r>
      <w:bookmarkEnd w:id="2081"/>
      <w:r>
        <w:fldChar w:fldCharType="end"/>
      </w:r>
      <w:r>
        <w:t xml:space="preserve">. Описание полей документа </w:t>
      </w:r>
      <w:r>
        <w:t xml:space="preserve">«</w:t>
      </w:r>
      <w:r>
        <w:t xml:space="preserve">Сведения об организации</w:t>
      </w:r>
      <w:r>
        <w:t xml:space="preserve">», закладки «</w:t>
      </w:r>
      <w:r>
        <w:t xml:space="preserve">Подписи д</w:t>
      </w:r>
      <w:r>
        <w:t xml:space="preserve">о</w:t>
      </w:r>
      <w:r>
        <w:t xml:space="preserve">кумента</w:t>
      </w:r>
      <w:r>
        <w:t xml:space="preserve"> (4)»</w:t>
      </w:r>
      <w:bookmarkEnd w:id="2082"/>
      <w:r>
        <w:t xml:space="preserve"> </w:t>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2337" w:type="dxa"/>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7415" w:type="dxa"/>
            <w:vAlign w:val="center"/>
            <w:textDirection w:val="lrTb"/>
            <w:noWrap w:val="false"/>
          </w:tcPr>
          <w:p>
            <w:pPr>
              <w:pStyle w:val="1006"/>
            </w:pPr>
            <w:r>
              <w:t xml:space="preserve">Описание</w:t>
            </w:r>
            <w:r>
              <w:t xml:space="preserve"> поля</w:t>
            </w:r>
            <w:r/>
          </w:p>
        </w:tc>
      </w:tr>
      <w:tr>
        <w:trPr/>
        <w:tc>
          <w:tcPr>
            <w:gridSpan w:val="2"/>
            <w:shd w:val="clear" w:fill="auto" w:color="auto"/>
            <w:tcW w:w="9752" w:type="dxa"/>
            <w:textDirection w:val="lrTb"/>
            <w:noWrap w:val="false"/>
          </w:tcPr>
          <w:p>
            <w:pPr>
              <w:pStyle w:val="1005"/>
              <w:ind w:left="57" w:right="57"/>
            </w:pPr>
            <w:r>
              <w:t xml:space="preserve">Группа полей «Руководитель»</w:t>
            </w:r>
            <w:r/>
          </w:p>
        </w:tc>
      </w:tr>
      <w:tr>
        <w:trPr/>
        <w:tc>
          <w:tcPr>
            <w:shd w:val="clear" w:fill="auto" w:color="auto"/>
            <w:tcW w:w="2337" w:type="dxa"/>
            <w:textDirection w:val="lrTb"/>
            <w:noWrap w:val="false"/>
          </w:tcPr>
          <w:p>
            <w:pPr>
              <w:pStyle w:val="1005"/>
              <w:ind w:left="57" w:right="57"/>
            </w:pPr>
            <w:r>
              <w:t xml:space="preserve">Должность</w:t>
            </w:r>
            <w:r/>
          </w:p>
        </w:tc>
        <w:tc>
          <w:tcPr>
            <w:shd w:val="clear" w:fill="auto" w:color="auto"/>
            <w:tcW w:w="7415" w:type="dxa"/>
            <w:textDirection w:val="lrTb"/>
            <w:noWrap w:val="false"/>
          </w:tcPr>
          <w:p>
            <w:pPr>
              <w:pStyle w:val="1005"/>
              <w:ind w:left="57" w:right="57"/>
            </w:pPr>
            <w:r>
              <w:t xml:space="preserve">Заполняется автоматически при подписании ЭП данными подписанта</w:t>
            </w:r>
            <w:r>
              <w:t xml:space="preserve">.</w:t>
            </w:r>
            <w:r/>
          </w:p>
        </w:tc>
      </w:tr>
      <w:tr>
        <w:trPr/>
        <w:tc>
          <w:tcPr>
            <w:shd w:val="clear" w:fill="auto" w:color="auto"/>
            <w:tcW w:w="2337" w:type="dxa"/>
            <w:textDirection w:val="lrTb"/>
            <w:noWrap w:val="false"/>
          </w:tcPr>
          <w:p>
            <w:pPr>
              <w:pStyle w:val="1005"/>
              <w:ind w:left="57" w:right="57"/>
            </w:pPr>
            <w:r>
              <w:t xml:space="preserve">ФИО </w:t>
            </w:r>
            <w:r/>
          </w:p>
        </w:tc>
        <w:tc>
          <w:tcPr>
            <w:shd w:val="clear" w:fill="auto" w:color="auto"/>
            <w:tcW w:w="7415" w:type="dxa"/>
            <w:textDirection w:val="lrTb"/>
            <w:noWrap w:val="false"/>
          </w:tcPr>
          <w:p>
            <w:pPr>
              <w:pStyle w:val="1005"/>
              <w:ind w:left="57" w:right="57"/>
            </w:pPr>
            <w:r>
              <w:t xml:space="preserve">Заполняется автоматически при подписании ЭП данными подписанта</w:t>
            </w:r>
            <w:r>
              <w:t xml:space="preserve">.</w:t>
            </w:r>
            <w:r/>
          </w:p>
        </w:tc>
      </w:tr>
      <w:tr>
        <w:trPr/>
        <w:tc>
          <w:tcPr>
            <w:gridSpan w:val="2"/>
            <w:shd w:val="clear" w:fill="auto" w:color="auto"/>
            <w:tcW w:w="9752" w:type="dxa"/>
            <w:textDirection w:val="lrTb"/>
            <w:noWrap w:val="false"/>
          </w:tcPr>
          <w:p>
            <w:pPr>
              <w:pStyle w:val="1005"/>
              <w:ind w:left="57" w:right="57"/>
            </w:pPr>
            <w:r>
              <w:t xml:space="preserve">Группа полей «Исполнитель»</w:t>
            </w:r>
            <w:r/>
          </w:p>
        </w:tc>
      </w:tr>
      <w:tr>
        <w:trPr/>
        <w:tc>
          <w:tcPr>
            <w:shd w:val="clear" w:fill="auto" w:color="auto"/>
            <w:tcW w:w="2337" w:type="dxa"/>
            <w:textDirection w:val="lrTb"/>
            <w:noWrap w:val="false"/>
          </w:tcPr>
          <w:p>
            <w:pPr>
              <w:pStyle w:val="1005"/>
              <w:ind w:left="57" w:right="57"/>
            </w:pPr>
            <w:r>
              <w:t xml:space="preserve">Должность </w:t>
            </w:r>
            <w:r/>
          </w:p>
        </w:tc>
        <w:tc>
          <w:tcPr>
            <w:shd w:val="clear" w:fill="auto" w:color="auto"/>
            <w:tcW w:w="7415" w:type="dxa"/>
            <w:textDirection w:val="lrTb"/>
            <w:noWrap w:val="false"/>
          </w:tcPr>
          <w:p>
            <w:pPr>
              <w:pStyle w:val="1005"/>
              <w:ind w:left="57" w:right="57"/>
            </w:pPr>
            <w:r>
              <w:t xml:space="preserve">УБП: </w:t>
            </w:r>
            <w:r>
              <w:t xml:space="preserve">Заполняется автоматически на основании указанного знач</w:t>
            </w:r>
            <w:r>
              <w:t xml:space="preserve">ения в поле «ФИО ответственного исполнителя» из </w:t>
            </w:r>
            <w:r>
              <w:t xml:space="preserve">справочника «Сотрудн</w:t>
            </w:r>
            <w:r>
              <w:t xml:space="preserve">и</w:t>
            </w:r>
            <w:r>
              <w:t xml:space="preserve">ки».</w:t>
            </w:r>
            <w:r/>
          </w:p>
          <w:p>
            <w:pPr>
              <w:pStyle w:val="1005"/>
              <w:ind w:left="57" w:right="57"/>
            </w:pPr>
            <w:r>
              <w:t xml:space="preserve">Ввод вру</w:t>
            </w:r>
            <w:r>
              <w:t xml:space="preserve">чную.</w:t>
            </w:r>
            <w:r/>
          </w:p>
        </w:tc>
      </w:tr>
      <w:tr>
        <w:trPr/>
        <w:tc>
          <w:tcPr>
            <w:shd w:val="clear" w:fill="auto" w:color="auto"/>
            <w:tcW w:w="2337" w:type="dxa"/>
            <w:textDirection w:val="lrTb"/>
            <w:noWrap w:val="false"/>
          </w:tcPr>
          <w:p>
            <w:pPr>
              <w:pStyle w:val="1005"/>
              <w:ind w:left="57" w:right="57"/>
            </w:pPr>
            <w:r>
              <w:t xml:space="preserve">ФИО </w:t>
            </w:r>
            <w:r/>
          </w:p>
        </w:tc>
        <w:tc>
          <w:tcPr>
            <w:shd w:val="clear" w:fill="auto" w:color="auto"/>
            <w:tcW w:w="7415" w:type="dxa"/>
            <w:textDirection w:val="lrTb"/>
            <w:noWrap w:val="false"/>
          </w:tcPr>
          <w:p>
            <w:pPr>
              <w:pStyle w:val="1005"/>
              <w:ind w:left="57" w:right="57"/>
            </w:pPr>
            <w:r>
              <w:t xml:space="preserve">УБП: </w:t>
            </w:r>
            <w:r>
              <w:t xml:space="preserve">Доступен выбор из справочника </w:t>
            </w:r>
            <w:r>
              <w:t xml:space="preserve">«Сотрудники».</w:t>
            </w:r>
            <w:r/>
          </w:p>
          <w:p>
            <w:pPr>
              <w:pStyle w:val="1005"/>
              <w:ind w:left="57" w:right="57"/>
            </w:pPr>
            <w:r>
              <w:t xml:space="preserve">Ввод вру</w:t>
            </w:r>
            <w:r>
              <w:t xml:space="preserve">чную.</w:t>
            </w:r>
            <w:r/>
          </w:p>
        </w:tc>
      </w:tr>
      <w:tr>
        <w:trPr/>
        <w:tc>
          <w:tcPr>
            <w:shd w:val="clear" w:fill="auto" w:color="auto"/>
            <w:tcW w:w="2337" w:type="dxa"/>
            <w:textDirection w:val="lrTb"/>
            <w:noWrap w:val="false"/>
          </w:tcPr>
          <w:p>
            <w:pPr>
              <w:pStyle w:val="1005"/>
              <w:ind w:left="57" w:right="57"/>
            </w:pPr>
            <w:r>
              <w:t xml:space="preserve">Телефон </w:t>
            </w:r>
            <w:r/>
          </w:p>
        </w:tc>
        <w:tc>
          <w:tcPr>
            <w:shd w:val="clear" w:fill="auto" w:color="auto"/>
            <w:tcW w:w="7415" w:type="dxa"/>
            <w:textDirection w:val="lrTb"/>
            <w:noWrap w:val="false"/>
          </w:tcPr>
          <w:p>
            <w:pPr>
              <w:pStyle w:val="1005"/>
              <w:ind w:left="57" w:right="57"/>
            </w:pPr>
            <w:r>
              <w:t xml:space="preserve">УБП: </w:t>
            </w:r>
            <w:r>
              <w:t xml:space="preserve">Заполняется автоматически на основании указанного знач</w:t>
            </w:r>
            <w:r>
              <w:t xml:space="preserve">ения в поле «ФИО ответственного исполнителя» из справочника «Сотрудн</w:t>
            </w:r>
            <w:r>
              <w:t xml:space="preserve">и</w:t>
            </w:r>
            <w:r>
              <w:t xml:space="preserve">ки».</w:t>
            </w:r>
            <w:r/>
          </w:p>
          <w:p>
            <w:pPr>
              <w:pStyle w:val="1005"/>
              <w:ind w:left="57" w:right="57"/>
            </w:pPr>
            <w:r>
              <w:t xml:space="preserve">Ввод вру</w:t>
            </w:r>
            <w:r>
              <w:t xml:space="preserve">чную.</w:t>
            </w:r>
            <w:r/>
          </w:p>
        </w:tc>
      </w:tr>
      <w:tr>
        <w:trPr/>
        <w:tc>
          <w:tcPr>
            <w:shd w:val="clear" w:fill="auto" w:color="auto"/>
            <w:tcW w:w="2337" w:type="dxa"/>
            <w:textDirection w:val="lrTb"/>
            <w:noWrap w:val="false"/>
          </w:tcPr>
          <w:p>
            <w:pPr>
              <w:pStyle w:val="1005"/>
              <w:ind w:left="57" w:right="57"/>
            </w:pPr>
            <w:r>
              <w:t xml:space="preserve">Дата подп</w:t>
            </w:r>
            <w:r>
              <w:t xml:space="preserve">исания</w:t>
            </w:r>
            <w:r/>
          </w:p>
        </w:tc>
        <w:tc>
          <w:tcPr>
            <w:shd w:val="clear" w:fill="auto" w:color="auto"/>
            <w:tcW w:w="7415" w:type="dxa"/>
            <w:textDirection w:val="lrTb"/>
            <w:noWrap w:val="false"/>
          </w:tcPr>
          <w:p>
            <w:pPr>
              <w:pStyle w:val="1005"/>
              <w:ind w:left="57" w:right="57"/>
            </w:pPr>
            <w:r>
              <w:t xml:space="preserve">Заполняется автоматически при подписании ЭП данными подписанта</w:t>
            </w:r>
            <w:r>
              <w:t xml:space="preserve">.</w:t>
            </w:r>
            <w:r/>
          </w:p>
        </w:tc>
      </w:tr>
      <w:tr>
        <w:trPr/>
        <w:tc>
          <w:tcPr>
            <w:gridSpan w:val="2"/>
            <w:shd w:val="clear" w:fill="auto" w:color="auto"/>
            <w:tcW w:w="9752" w:type="dxa"/>
            <w:textDirection w:val="lrTb"/>
            <w:noWrap w:val="false"/>
          </w:tcPr>
          <w:p>
            <w:pPr>
              <w:pStyle w:val="1005"/>
              <w:ind w:left="57" w:right="57"/>
            </w:pPr>
            <w:r>
              <w:t xml:space="preserve">Группа полей «Отметка органа Федерального Казначейства о регистрации Сведений об организ</w:t>
            </w:r>
            <w:r>
              <w:t xml:space="preserve">ации»</w:t>
            </w:r>
            <w:r/>
          </w:p>
        </w:tc>
      </w:tr>
      <w:tr>
        <w:trPr/>
        <w:tc>
          <w:tcPr>
            <w:shd w:val="clear" w:fill="auto" w:color="auto"/>
            <w:tcW w:w="2337" w:type="dxa"/>
            <w:textDirection w:val="lrTb"/>
            <w:noWrap w:val="false"/>
          </w:tcPr>
          <w:p>
            <w:pPr>
              <w:pStyle w:val="1005"/>
              <w:ind w:left="57" w:right="57"/>
            </w:pPr>
            <w:r>
              <w:t xml:space="preserve">Должность </w:t>
            </w:r>
            <w:r/>
          </w:p>
        </w:tc>
        <w:tc>
          <w:tcPr>
            <w:shd w:val="clear" w:fill="auto" w:color="auto"/>
            <w:tcW w:w="7415" w:type="dxa"/>
            <w:textDirection w:val="lrTb"/>
            <w:noWrap w:val="false"/>
          </w:tcPr>
          <w:p>
            <w:pPr>
              <w:pStyle w:val="1005"/>
              <w:ind w:left="57" w:right="57"/>
            </w:pPr>
            <w:r>
              <w:t xml:space="preserve">Импорт из СЭД</w:t>
            </w:r>
            <w:r>
              <w:t xml:space="preserve">.</w:t>
            </w:r>
            <w:r/>
          </w:p>
        </w:tc>
      </w:tr>
      <w:tr>
        <w:trPr/>
        <w:tc>
          <w:tcPr>
            <w:shd w:val="clear" w:fill="auto" w:color="auto"/>
            <w:tcW w:w="2337" w:type="dxa"/>
            <w:textDirection w:val="lrTb"/>
            <w:noWrap w:val="false"/>
          </w:tcPr>
          <w:p>
            <w:pPr>
              <w:pStyle w:val="1005"/>
              <w:ind w:left="57" w:right="57"/>
            </w:pPr>
            <w:r>
              <w:t xml:space="preserve">ФИО </w:t>
            </w:r>
            <w:r/>
          </w:p>
        </w:tc>
        <w:tc>
          <w:tcPr>
            <w:shd w:val="clear" w:fill="auto" w:color="auto"/>
            <w:tcW w:w="7415" w:type="dxa"/>
            <w:textDirection w:val="lrTb"/>
            <w:noWrap w:val="false"/>
          </w:tcPr>
          <w:p>
            <w:pPr>
              <w:pStyle w:val="1005"/>
              <w:ind w:left="57" w:right="57"/>
            </w:pPr>
            <w:r>
              <w:t xml:space="preserve">Импорт из СЭД</w:t>
            </w:r>
            <w:r>
              <w:t xml:space="preserve">.</w:t>
            </w:r>
            <w:r/>
          </w:p>
        </w:tc>
      </w:tr>
      <w:tr>
        <w:trPr/>
        <w:tc>
          <w:tcPr>
            <w:shd w:val="clear" w:fill="auto" w:color="auto"/>
            <w:tcW w:w="2337" w:type="dxa"/>
            <w:textDirection w:val="lrTb"/>
            <w:noWrap w:val="false"/>
          </w:tcPr>
          <w:p>
            <w:pPr>
              <w:pStyle w:val="1005"/>
              <w:ind w:left="57" w:right="57"/>
            </w:pPr>
            <w:r>
              <w:t xml:space="preserve">Телефон </w:t>
            </w:r>
            <w:r/>
          </w:p>
        </w:tc>
        <w:tc>
          <w:tcPr>
            <w:shd w:val="clear" w:fill="auto" w:color="auto"/>
            <w:tcW w:w="7415" w:type="dxa"/>
            <w:textDirection w:val="lrTb"/>
            <w:noWrap w:val="false"/>
          </w:tcPr>
          <w:p>
            <w:pPr>
              <w:pStyle w:val="1005"/>
              <w:ind w:left="57" w:right="57"/>
            </w:pPr>
            <w:r>
              <w:t xml:space="preserve">Импорт из СЭД</w:t>
            </w:r>
            <w:r>
              <w:t xml:space="preserve">.</w:t>
            </w:r>
            <w:r/>
          </w:p>
        </w:tc>
      </w:tr>
      <w:tr>
        <w:trPr/>
        <w:tc>
          <w:tcPr>
            <w:shd w:val="clear" w:fill="auto" w:color="auto"/>
            <w:tcW w:w="2337" w:type="dxa"/>
            <w:textDirection w:val="lrTb"/>
            <w:noWrap w:val="false"/>
          </w:tcPr>
          <w:p>
            <w:pPr>
              <w:pStyle w:val="1005"/>
              <w:ind w:left="57" w:right="57"/>
            </w:pPr>
            <w:r>
              <w:t xml:space="preserve">Дата </w:t>
            </w:r>
            <w:r>
              <w:t xml:space="preserve">подписи</w:t>
            </w:r>
            <w:r/>
          </w:p>
        </w:tc>
        <w:tc>
          <w:tcPr>
            <w:shd w:val="clear" w:fill="auto" w:color="auto"/>
            <w:tcW w:w="7415" w:type="dxa"/>
            <w:textDirection w:val="lrTb"/>
            <w:noWrap w:val="false"/>
          </w:tcPr>
          <w:p>
            <w:pPr>
              <w:pStyle w:val="1005"/>
              <w:ind w:left="57" w:right="57"/>
            </w:pPr>
            <w:r>
              <w:t xml:space="preserve">Импорт из СЭД</w:t>
            </w:r>
            <w:r>
              <w:t xml:space="preserve">.</w:t>
            </w:r>
            <w:r/>
          </w:p>
        </w:tc>
      </w:tr>
    </w:tbl>
    <w:p>
      <w:pPr>
        <w:pStyle w:val="994"/>
      </w:pPr>
      <w:r>
        <w:t xml:space="preserve">ЭФ документа </w:t>
      </w:r>
      <w:r>
        <w:t xml:space="preserve">«</w:t>
      </w:r>
      <w:r>
        <w:t xml:space="preserve">Сведения об организации</w:t>
      </w:r>
      <w:r>
        <w:t xml:space="preserve">», закладки «</w:t>
      </w:r>
      <w:r>
        <w:t xml:space="preserve">Примеч</w:t>
      </w:r>
      <w:r>
        <w:t xml:space="preserve">а</w:t>
      </w:r>
      <w:r>
        <w:t xml:space="preserve">ние</w:t>
      </w:r>
      <w:r>
        <w:t xml:space="preserve"> (5)»</w:t>
      </w:r>
      <w:r>
        <w:t xml:space="preserve"> </w:t>
      </w:r>
      <w:r>
        <w:t xml:space="preserve">представлена </w:t>
      </w:r>
      <w:r>
        <w:t xml:space="preserve">н</w:t>
      </w:r>
      <w:r>
        <w:t xml:space="preserve">а рисунке</w:t>
      </w:r>
      <w:r>
        <w:t xml:space="preserve"> </w:t>
      </w:r>
      <w:r>
        <w:fldChar w:fldCharType="begin"/>
      </w:r>
      <w:r>
        <w:instrText xml:space="preserve"> REF _Ref352776023 \h </w:instrText>
      </w:r>
      <w:r>
        <w:instrText xml:space="preserve"> \* MERGEFORMAT </w:instrText>
      </w:r>
      <w:r>
        <w:fldChar w:fldCharType="separate"/>
      </w:r>
      <w:r>
        <w:t xml:space="preserve">318</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1097280"/>
                <wp:effectExtent l="0" t="0" r="0" b="0"/>
                <wp:docPr id="46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08"/>
                        <a:stretch/>
                      </pic:blipFill>
                      <pic:spPr bwMode="auto">
                        <a:xfrm>
                          <a:off x="0" y="0"/>
                          <a:ext cx="6035039" cy="10972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2" o:spid="_x0000_s462" type="#_x0000_t75" style="mso-wrap-distance-left:0.0pt;mso-wrap-distance-top:0.0pt;mso-wrap-distance-right:0.0pt;mso-wrap-distance-bottom:0.0pt;width:475.2pt;height:86.4pt;" stroked="f">
                <v:path textboxrect="0,0,0,0"/>
                <v:imagedata r:id="rId408" o:title=""/>
              </v:shape>
            </w:pict>
          </mc:Fallback>
        </mc:AlternateContent>
      </w:r>
      <w:r/>
    </w:p>
    <w:p>
      <w:pPr>
        <w:pStyle w:val="983"/>
      </w:pPr>
      <w:r>
        <w:fldChar w:fldCharType="begin"/>
      </w:r>
      <w:r>
        <w:instrText xml:space="preserve"> SEQ Рисунок \* ARABIC </w:instrText>
      </w:r>
      <w:r>
        <w:fldChar w:fldCharType="separate"/>
      </w:r>
      <w:bookmarkStart w:id="2083" w:name="_Ref352776023"/>
      <w:r/>
      <w:bookmarkStart w:id="2084" w:name="_Toc88819703"/>
      <w:r>
        <w:t xml:space="preserve">318</w:t>
      </w:r>
      <w:bookmarkEnd w:id="2083"/>
      <w:r>
        <w:fldChar w:fldCharType="end"/>
      </w:r>
      <w:r>
        <w:t xml:space="preserve">. ЭФ </w:t>
      </w:r>
      <w:r>
        <w:t xml:space="preserve">документа «</w:t>
      </w:r>
      <w:r>
        <w:t xml:space="preserve">Сведения об организации</w:t>
      </w:r>
      <w:r>
        <w:t xml:space="preserve">», закладки «</w:t>
      </w:r>
      <w:r>
        <w:t xml:space="preserve">Примечание</w:t>
      </w:r>
      <w:r>
        <w:t xml:space="preserve"> (5)»</w:t>
      </w:r>
      <w:bookmarkEnd w:id="2084"/>
      <w:r/>
      <w:r/>
    </w:p>
    <w:p>
      <w:pPr>
        <w:pStyle w:val="994"/>
      </w:pPr>
      <w:r>
        <w:t xml:space="preserve">Перечень </w:t>
      </w:r>
      <w:r>
        <w:t xml:space="preserve">полей </w:t>
      </w:r>
      <w:r>
        <w:t xml:space="preserve">документа </w:t>
      </w:r>
      <w:r>
        <w:t xml:space="preserve">«</w:t>
      </w:r>
      <w:r>
        <w:t xml:space="preserve">Сведения об организации</w:t>
      </w:r>
      <w:r>
        <w:t xml:space="preserve">», </w:t>
      </w:r>
      <w:r>
        <w:t xml:space="preserve">закладки </w:t>
      </w:r>
      <w:r>
        <w:t xml:space="preserve">«</w:t>
      </w:r>
      <w:r>
        <w:t xml:space="preserve">Примечание</w:t>
      </w:r>
      <w:r>
        <w:t xml:space="preserve"> (5)»</w:t>
      </w:r>
      <w:r>
        <w:t xml:space="preserve"> </w:t>
      </w:r>
      <w:r>
        <w:t xml:space="preserve">приведен в таблице</w:t>
      </w:r>
      <w:r>
        <w:t xml:space="preserve"> </w:t>
      </w:r>
      <w:r>
        <w:fldChar w:fldCharType="begin"/>
      </w:r>
      <w:r>
        <w:instrText xml:space="preserve"> REF _Ref352776068 \h </w:instrText>
      </w:r>
      <w:r>
        <w:instrText xml:space="preserve"> \* MERGEFORMAT </w:instrText>
      </w:r>
      <w:r>
        <w:fldChar w:fldCharType="separate"/>
      </w:r>
      <w:r>
        <w:t xml:space="preserve">188</w:t>
      </w:r>
      <w:r>
        <w:fldChar w:fldCharType="end"/>
      </w:r>
      <w:r>
        <w:t xml:space="preserve">.</w:t>
      </w:r>
      <w:r/>
    </w:p>
    <w:p>
      <w:pPr>
        <w:pStyle w:val="993"/>
      </w:pPr>
      <w:r>
        <w:fldChar w:fldCharType="begin"/>
      </w:r>
      <w:r>
        <w:instrText xml:space="preserve"> SEQ Таблица \* ARABIC </w:instrText>
      </w:r>
      <w:r>
        <w:fldChar w:fldCharType="separate"/>
      </w:r>
      <w:bookmarkStart w:id="2085" w:name="_Ref352776068"/>
      <w:r/>
      <w:bookmarkStart w:id="2086" w:name="_Toc88819375"/>
      <w:r>
        <w:t xml:space="preserve">188</w:t>
      </w:r>
      <w:bookmarkEnd w:id="2085"/>
      <w:r>
        <w:fldChar w:fldCharType="end"/>
      </w:r>
      <w:r>
        <w:t xml:space="preserve">. Описание полей документа </w:t>
      </w:r>
      <w:r>
        <w:t xml:space="preserve">«</w:t>
      </w:r>
      <w:r>
        <w:t xml:space="preserve">Сведения об организации</w:t>
      </w:r>
      <w:r>
        <w:t xml:space="preserve">», закладки «</w:t>
      </w:r>
      <w:r>
        <w:t xml:space="preserve">Примеч</w:t>
      </w:r>
      <w:r>
        <w:t xml:space="preserve">а</w:t>
      </w:r>
      <w:r>
        <w:t xml:space="preserve">ние</w:t>
      </w:r>
      <w:r>
        <w:t xml:space="preserve"> (5)»</w:t>
      </w:r>
      <w:bookmarkEnd w:id="2086"/>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3380"/>
        <w:gridCol w:w="6372"/>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3380" w:type="dxa"/>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6372" w:type="dxa"/>
            <w:vAlign w:val="center"/>
            <w:textDirection w:val="lrTb"/>
            <w:noWrap w:val="false"/>
          </w:tcPr>
          <w:p>
            <w:pPr>
              <w:pStyle w:val="1006"/>
            </w:pPr>
            <w:r>
              <w:t xml:space="preserve">Описание</w:t>
            </w:r>
            <w:r>
              <w:t xml:space="preserve"> поля</w:t>
            </w:r>
            <w:r/>
          </w:p>
        </w:tc>
      </w:tr>
      <w:tr>
        <w:trPr/>
        <w:tc>
          <w:tcPr>
            <w:shd w:val="clear" w:fill="auto" w:color="auto"/>
            <w:tcW w:w="3380" w:type="dxa"/>
            <w:textDirection w:val="lrTb"/>
            <w:noWrap w:val="false"/>
          </w:tcPr>
          <w:p>
            <w:pPr>
              <w:pStyle w:val="1005"/>
              <w:ind w:left="57" w:right="57"/>
            </w:pPr>
            <w:r>
              <w:t xml:space="preserve">Результат о</w:t>
            </w:r>
            <w:r>
              <w:t xml:space="preserve">бработки в СЭД </w:t>
            </w:r>
            <w:r/>
          </w:p>
        </w:tc>
        <w:tc>
          <w:tcPr>
            <w:shd w:val="clear" w:fill="auto" w:color="auto"/>
            <w:tcW w:w="6372" w:type="dxa"/>
            <w:textDirection w:val="lrTb"/>
            <w:noWrap w:val="false"/>
          </w:tcPr>
          <w:p>
            <w:pPr>
              <w:pStyle w:val="1005"/>
              <w:ind w:left="57" w:right="57"/>
            </w:pPr>
            <w:r>
              <w:t xml:space="preserve">Указывается результат обработки ЭД </w:t>
            </w:r>
            <w:r>
              <w:t xml:space="preserve">«Сведения об организации» в ППО «СЭД».</w:t>
            </w:r>
            <w:r/>
          </w:p>
          <w:p>
            <w:pPr>
              <w:pStyle w:val="1005"/>
              <w:ind w:left="57" w:right="57"/>
            </w:pPr>
            <w:r>
              <w:t xml:space="preserve">Заполняется значением поля </w:t>
            </w:r>
            <w:r>
              <w:t xml:space="preserve">«Комментарий» ЭД «Квиток» </w:t>
            </w:r>
            <w:r>
              <w:t xml:space="preserve">В сл</w:t>
            </w:r>
            <w:r>
              <w:t xml:space="preserve">у</w:t>
            </w:r>
            <w:r>
              <w:t xml:space="preserve">чае если </w:t>
            </w:r>
            <w:r>
              <w:t xml:space="preserve">документом не пройден контроль в ППО «СЭД».</w:t>
            </w:r>
            <w:r/>
          </w:p>
        </w:tc>
      </w:tr>
      <w:tr>
        <w:trPr/>
        <w:tc>
          <w:tcPr>
            <w:shd w:val="clear" w:fill="auto" w:color="auto"/>
            <w:tcW w:w="3380" w:type="dxa"/>
            <w:textDirection w:val="lrTb"/>
            <w:noWrap w:val="false"/>
          </w:tcPr>
          <w:p>
            <w:pPr>
              <w:pStyle w:val="1005"/>
              <w:ind w:left="57" w:right="57"/>
            </w:pPr>
            <w:r>
              <w:t xml:space="preserve">Учетный номер свед</w:t>
            </w:r>
            <w:r>
              <w:t xml:space="preserve">ений в ФК </w:t>
            </w:r>
            <w:r/>
          </w:p>
        </w:tc>
        <w:tc>
          <w:tcPr>
            <w:shd w:val="clear" w:fill="auto" w:color="auto"/>
            <w:tcW w:w="6372" w:type="dxa"/>
            <w:textDirection w:val="lrTb"/>
            <w:noWrap w:val="false"/>
          </w:tcPr>
          <w:p>
            <w:pPr>
              <w:pStyle w:val="1005"/>
              <w:ind w:left="57" w:right="57"/>
            </w:pPr>
            <w:r>
              <w:t xml:space="preserve">Заполняется на основании и</w:t>
            </w:r>
            <w:r>
              <w:t xml:space="preserve">нформации из ЭД «Квиток».</w:t>
            </w:r>
            <w:r/>
          </w:p>
        </w:tc>
      </w:tr>
      <w:tr>
        <w:trPr/>
        <w:tc>
          <w:tcPr>
            <w:shd w:val="clear" w:fill="auto" w:color="auto"/>
            <w:tcW w:w="3380" w:type="dxa"/>
            <w:textDirection w:val="lrTb"/>
            <w:noWrap w:val="false"/>
          </w:tcPr>
          <w:p>
            <w:pPr>
              <w:pStyle w:val="1005"/>
              <w:ind w:left="57" w:right="57"/>
            </w:pPr>
            <w:r>
              <w:t xml:space="preserve">Дата регистрации сведений в ФК</w:t>
            </w:r>
            <w:r/>
          </w:p>
        </w:tc>
        <w:tc>
          <w:tcPr>
            <w:shd w:val="clear" w:fill="auto" w:color="auto"/>
            <w:tcW w:w="6372" w:type="dxa"/>
            <w:textDirection w:val="lrTb"/>
            <w:noWrap w:val="false"/>
          </w:tcPr>
          <w:p>
            <w:pPr>
              <w:pStyle w:val="1005"/>
              <w:ind w:left="57" w:right="57"/>
            </w:pPr>
            <w:r>
              <w:t xml:space="preserve">Заполняется на основании и</w:t>
            </w:r>
            <w:r>
              <w:t xml:space="preserve">нформации из ЭД «Квиток».</w:t>
            </w:r>
            <w:r/>
          </w:p>
        </w:tc>
      </w:tr>
    </w:tbl>
    <w:p>
      <w:pPr>
        <w:pStyle w:val="994"/>
      </w:pPr>
      <w:r>
        <w:t xml:space="preserve">ЭФ документа </w:t>
      </w:r>
      <w:r>
        <w:t xml:space="preserve">«</w:t>
      </w:r>
      <w:r>
        <w:t xml:space="preserve">Сведения об организации</w:t>
      </w:r>
      <w:r>
        <w:t xml:space="preserve">», закладки «</w:t>
      </w:r>
      <w:r>
        <w:t xml:space="preserve">Полномочия организации до 01.01.2016</w:t>
      </w:r>
      <w:r>
        <w:t xml:space="preserve">»</w:t>
      </w:r>
      <w:r>
        <w:t xml:space="preserve"> </w:t>
      </w:r>
      <w:r>
        <w:t xml:space="preserve">представлена </w:t>
      </w:r>
      <w:r>
        <w:t xml:space="preserve">н</w:t>
      </w:r>
      <w:r>
        <w:t xml:space="preserve">а рисунке</w:t>
      </w:r>
      <w:r>
        <w:t xml:space="preserve"> </w:t>
      </w:r>
      <w:r>
        <w:fldChar w:fldCharType="begin"/>
      </w:r>
      <w:r>
        <w:instrText xml:space="preserve"> REF _Ref444680411 \h </w:instrText>
      </w:r>
      <w:r>
        <w:fldChar w:fldCharType="separate"/>
      </w:r>
      <w:r>
        <w:t xml:space="preserve">319</w:t>
      </w:r>
      <w:r>
        <w:fldChar w:fldCharType="end"/>
      </w:r>
      <w:r>
        <w:t xml:space="preserve">.</w:t>
      </w:r>
      <w:r/>
    </w:p>
    <w:p>
      <w:pPr>
        <w:pStyle w:val="982"/>
      </w:pPr>
      <w:r>
        <mc:AlternateContent>
          <mc:Choice Requires="wpg">
            <w:drawing>
              <wp:inline xmlns:wp="http://schemas.openxmlformats.org/drawingml/2006/wordprocessingDrawing" distT="0" distB="0" distL="0" distR="0">
                <wp:extent cx="6118860" cy="4114800"/>
                <wp:effectExtent l="0" t="0" r="0" b="0"/>
                <wp:docPr id="46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09"/>
                        <a:stretch/>
                      </pic:blipFill>
                      <pic:spPr bwMode="auto">
                        <a:xfrm>
                          <a:off x="0" y="0"/>
                          <a:ext cx="6118860" cy="4114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3" o:spid="_x0000_s463" type="#_x0000_t75" style="mso-wrap-distance-left:0.0pt;mso-wrap-distance-top:0.0pt;mso-wrap-distance-right:0.0pt;mso-wrap-distance-bottom:0.0pt;width:481.8pt;height:324.0pt;" stroked="f">
                <v:path textboxrect="0,0,0,0"/>
                <v:imagedata r:id="rId409" o:title=""/>
              </v:shape>
            </w:pict>
          </mc:Fallback>
        </mc:AlternateContent>
      </w:r>
      <w:r/>
    </w:p>
    <w:p>
      <w:pPr>
        <w:pStyle w:val="983"/>
      </w:pPr>
      <w:r>
        <w:fldChar w:fldCharType="begin"/>
      </w:r>
      <w:r>
        <w:instrText xml:space="preserve"> SEQ Рисунок \* ARABIC </w:instrText>
      </w:r>
      <w:r>
        <w:fldChar w:fldCharType="separate"/>
      </w:r>
      <w:bookmarkStart w:id="2087" w:name="_Ref444680411"/>
      <w:r/>
      <w:bookmarkStart w:id="2088" w:name="_Toc88819704"/>
      <w:r>
        <w:t xml:space="preserve">319</w:t>
      </w:r>
      <w:bookmarkEnd w:id="2087"/>
      <w:r>
        <w:fldChar w:fldCharType="end"/>
      </w:r>
      <w:r>
        <w:t xml:space="preserve">. ЭФ </w:t>
      </w:r>
      <w:r>
        <w:t xml:space="preserve">документа «</w:t>
      </w:r>
      <w:r>
        <w:t xml:space="preserve">Сведения об организации</w:t>
      </w:r>
      <w:r>
        <w:t xml:space="preserve">», закладки «</w:t>
      </w:r>
      <w:r>
        <w:t xml:space="preserve">Полномочия организации до 01.01.2016</w:t>
      </w:r>
      <w:r>
        <w:t xml:space="preserve">»</w:t>
      </w:r>
      <w:bookmarkEnd w:id="2088"/>
      <w:r/>
      <w:r/>
    </w:p>
    <w:p>
      <w:pPr>
        <w:pStyle w:val="994"/>
      </w:pPr>
      <w:r>
        <w:t xml:space="preserve">Перечень </w:t>
      </w:r>
      <w:r>
        <w:t xml:space="preserve">полей </w:t>
      </w:r>
      <w:r>
        <w:t xml:space="preserve">документа </w:t>
      </w:r>
      <w:r>
        <w:t xml:space="preserve">«</w:t>
      </w:r>
      <w:r>
        <w:t xml:space="preserve">Сведения об организации</w:t>
      </w:r>
      <w:r>
        <w:t xml:space="preserve">», </w:t>
      </w:r>
      <w:r>
        <w:t xml:space="preserve">закладки </w:t>
      </w:r>
      <w:r>
        <w:t xml:space="preserve">«</w:t>
      </w:r>
      <w:r>
        <w:t xml:space="preserve">Полномочия организации до 01.01.2016</w:t>
      </w:r>
      <w:r>
        <w:t xml:space="preserve">»</w:t>
      </w:r>
      <w:r>
        <w:t xml:space="preserve"> </w:t>
      </w:r>
      <w:r>
        <w:t xml:space="preserve">приведен в таблице</w:t>
      </w:r>
      <w:r>
        <w:t xml:space="preserve"> </w:t>
      </w:r>
      <w:r>
        <w:fldChar w:fldCharType="begin"/>
      </w:r>
      <w:r>
        <w:instrText xml:space="preserve"> REF _Ref444680433 \h </w:instrText>
      </w:r>
      <w:r>
        <w:fldChar w:fldCharType="separate"/>
      </w:r>
      <w:r>
        <w:t xml:space="preserve">189</w:t>
      </w:r>
      <w:r>
        <w:fldChar w:fldCharType="end"/>
      </w:r>
      <w:r>
        <w:t xml:space="preserve">.</w:t>
      </w:r>
      <w:r/>
    </w:p>
    <w:p>
      <w:pPr>
        <w:pStyle w:val="993"/>
      </w:pPr>
      <w:r>
        <w:fldChar w:fldCharType="begin"/>
      </w:r>
      <w:r>
        <w:instrText xml:space="preserve"> SEQ Таблица \* ARABIC </w:instrText>
      </w:r>
      <w:r>
        <w:fldChar w:fldCharType="separate"/>
      </w:r>
      <w:bookmarkStart w:id="2089" w:name="_Ref444680433"/>
      <w:r/>
      <w:bookmarkStart w:id="2090" w:name="_Toc88819376"/>
      <w:r>
        <w:t xml:space="preserve">189</w:t>
      </w:r>
      <w:bookmarkEnd w:id="2089"/>
      <w:r>
        <w:fldChar w:fldCharType="end"/>
      </w:r>
      <w:r>
        <w:t xml:space="preserve">. Описание полей документа </w:t>
      </w:r>
      <w:r>
        <w:t xml:space="preserve">«</w:t>
      </w:r>
      <w:r>
        <w:t xml:space="preserve">Сведения об организации</w:t>
      </w:r>
      <w:r>
        <w:t xml:space="preserve">», закладки «</w:t>
      </w:r>
      <w:r>
        <w:t xml:space="preserve">Полномочия организации до 01.01.2016</w:t>
      </w:r>
      <w:r>
        <w:t xml:space="preserve">»</w:t>
      </w:r>
      <w:bookmarkEnd w:id="2090"/>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57" w:type="dxa"/>
          <w:right w:w="57" w:type="dxa"/>
        </w:tblCellMar>
        <w:tblLook w:val="01E0" w:firstRow="1" w:lastRow="1" w:firstColumn="1" w:lastColumn="1" w:noHBand="0" w:noVBand="0"/>
      </w:tblPr>
      <w:tblGrid>
        <w:gridCol w:w="7617"/>
        <w:gridCol w:w="2135"/>
      </w:tblGrid>
      <w:tr>
        <w:trPr>
          <w:tblHeader/>
        </w:trPr>
        <w:tc>
          <w:tcPr>
            <w:shd w:val="clear" w:fill="E6E6E6" w:color="auto"/>
            <w:tcBorders>
              <w:left w:val="single" w:sz="4" w:space="0" w:color="auto"/>
              <w:top w:val="single" w:sz="4" w:space="0" w:color="auto"/>
              <w:right w:val="single" w:sz="4" w:space="0" w:color="auto"/>
              <w:bottom w:val="single" w:sz="4" w:space="0" w:color="auto"/>
            </w:tcBorders>
            <w:tcW w:w="7617" w:type="dxa"/>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2135" w:type="dxa"/>
            <w:vAlign w:val="center"/>
            <w:textDirection w:val="lrTb"/>
            <w:noWrap w:val="false"/>
          </w:tcPr>
          <w:p>
            <w:pPr>
              <w:pStyle w:val="1006"/>
            </w:pPr>
            <w:r>
              <w:t xml:space="preserve">Описание</w:t>
            </w:r>
            <w:r>
              <w:t xml:space="preserve"> поля</w:t>
            </w:r>
            <w:r/>
          </w:p>
        </w:tc>
      </w:tr>
      <w:tr>
        <w:trPr/>
        <w:tc>
          <w:tcPr>
            <w:gridSpan w:val="2"/>
            <w:shd w:val="clear" w:fill="auto" w:color="auto"/>
            <w:tcW w:w="9752" w:type="dxa"/>
            <w:textDirection w:val="lrTb"/>
            <w:noWrap w:val="false"/>
          </w:tcPr>
          <w:p>
            <w:pPr>
              <w:pStyle w:val="1005"/>
              <w:ind w:left="57" w:right="57"/>
            </w:pPr>
            <w:r>
              <w:t xml:space="preserve">Закладка </w:t>
            </w:r>
            <w:r>
              <w:t xml:space="preserve">«</w:t>
            </w:r>
            <w:r>
              <w:t xml:space="preserve">Полномочия организации до 01.01.2016</w:t>
            </w:r>
            <w:r>
              <w:t xml:space="preserve">», г</w:t>
            </w:r>
            <w:r>
              <w:t xml:space="preserve">руппа полей «Полномочия»</w:t>
            </w:r>
            <w:r>
              <w:t xml:space="preserve">.</w:t>
            </w:r>
            <w:r/>
          </w:p>
          <w:p>
            <w:pPr>
              <w:pStyle w:val="1005"/>
              <w:ind w:left="57" w:right="57"/>
            </w:pPr>
            <w:r>
              <w:t xml:space="preserve">Закладка недоступна для редактирования, не заполняется с 01.01.2016. Позволяет просматривать полномочия организации до 01.01.2016</w:t>
            </w:r>
            <w:r/>
          </w:p>
        </w:tc>
      </w:tr>
      <w:tr>
        <w:trPr/>
        <w:tc>
          <w:tcPr>
            <w:shd w:val="clear" w:fill="auto" w:color="auto"/>
            <w:tcW w:w="7617" w:type="dxa"/>
            <w:textDirection w:val="lrTb"/>
            <w:noWrap w:val="false"/>
          </w:tcPr>
          <w:p>
            <w:pPr>
              <w:pStyle w:val="1005"/>
              <w:ind w:left="57" w:right="57"/>
            </w:pPr>
            <w:r>
              <w:t xml:space="preserve">Заказчик </w:t>
            </w:r>
            <w:r/>
          </w:p>
        </w:tc>
        <w:tc>
          <w:tcPr>
            <w:shd w:val="clear" w:fill="auto" w:color="auto"/>
            <w:tcW w:w="2135" w:type="dxa"/>
            <w:vMerge w:val="restart"/>
            <w:textDirection w:val="lrTb"/>
            <w:noWrap w:val="false"/>
          </w:tcPr>
          <w:p>
            <w:pPr>
              <w:pStyle w:val="1005"/>
              <w:ind w:left="57" w:right="57"/>
            </w:pPr>
            <w:r>
              <w:t xml:space="preserve">Значение по умолч</w:t>
            </w:r>
            <w:r>
              <w:t xml:space="preserve">а</w:t>
            </w:r>
            <w:r>
              <w:t xml:space="preserve">нию «Нет полном</w:t>
            </w:r>
            <w:r>
              <w:t xml:space="preserve">о</w:t>
            </w:r>
            <w:r>
              <w:t xml:space="preserve">чия».</w:t>
            </w:r>
            <w:r/>
          </w:p>
          <w:p>
            <w:pPr>
              <w:pStyle w:val="1005"/>
              <w:ind w:left="57" w:right="57"/>
            </w:pPr>
            <w:r>
              <w:t xml:space="preserve">Ввод значения вру</w:t>
            </w:r>
            <w:r>
              <w:t xml:space="preserve">ч</w:t>
            </w:r>
            <w:r>
              <w:t xml:space="preserve">ную.</w:t>
            </w:r>
            <w:r/>
          </w:p>
          <w:p>
            <w:pPr>
              <w:pStyle w:val="1005"/>
              <w:ind w:left="57" w:right="57"/>
            </w:pPr>
            <w:r>
              <w:t xml:space="preserve">Допустимые знач</w:t>
            </w:r>
            <w:r>
              <w:t xml:space="preserve">е</w:t>
            </w:r>
            <w:r>
              <w:t xml:space="preserve">ния:</w:t>
            </w:r>
            <w:r/>
          </w:p>
          <w:p>
            <w:pPr>
              <w:pStyle w:val="1007"/>
            </w:pPr>
            <w:r>
              <w:t xml:space="preserve">«0» – Нет по</w:t>
            </w:r>
            <w:r>
              <w:t xml:space="preserve">л</w:t>
            </w:r>
            <w:r>
              <w:t xml:space="preserve">номочия;</w:t>
            </w:r>
            <w:r/>
          </w:p>
          <w:p>
            <w:pPr>
              <w:pStyle w:val="1007"/>
            </w:pPr>
            <w:r>
              <w:t xml:space="preserve">«1» – Есть по</w:t>
            </w:r>
            <w:r>
              <w:t xml:space="preserve">л</w:t>
            </w:r>
            <w:r>
              <w:t xml:space="preserve">номочия.</w:t>
            </w:r>
            <w:r/>
          </w:p>
        </w:tc>
      </w:tr>
      <w:tr>
        <w:trPr/>
        <w:tc>
          <w:tcPr>
            <w:shd w:val="clear" w:fill="auto" w:color="auto"/>
            <w:tcW w:w="7617" w:type="dxa"/>
            <w:textDirection w:val="lrTb"/>
            <w:noWrap w:val="false"/>
          </w:tcPr>
          <w:p>
            <w:pPr>
              <w:pStyle w:val="1005"/>
              <w:ind w:left="57" w:right="57"/>
            </w:pPr>
            <w:r>
              <w:t xml:space="preserve">Уполномоченный орган</w:t>
            </w:r>
            <w:r/>
          </w:p>
        </w:tc>
        <w:tc>
          <w:tcPr>
            <w:shd w:val="clear" w:fill="auto" w:color="auto"/>
            <w:tcW w:w="2135" w:type="dxa"/>
            <w:vMerge w:val="continue"/>
            <w:textDirection w:val="lrTb"/>
            <w:noWrap w:val="false"/>
          </w:tcPr>
          <w:p>
            <w:pPr>
              <w:pStyle w:val="1005"/>
              <w:ind w:left="57" w:right="57"/>
            </w:pPr>
            <w:r/>
            <w:r/>
          </w:p>
        </w:tc>
      </w:tr>
      <w:tr>
        <w:trPr/>
        <w:tc>
          <w:tcPr>
            <w:shd w:val="clear" w:fill="auto" w:color="auto"/>
            <w:tcW w:w="7617" w:type="dxa"/>
            <w:textDirection w:val="lrTb"/>
            <w:noWrap w:val="false"/>
          </w:tcPr>
          <w:p>
            <w:pPr>
              <w:pStyle w:val="1005"/>
              <w:ind w:left="57" w:right="57"/>
            </w:pPr>
            <w:r>
              <w:t xml:space="preserve">Уполномоченное учреждение</w:t>
            </w:r>
            <w:r/>
          </w:p>
        </w:tc>
        <w:tc>
          <w:tcPr>
            <w:shd w:val="clear" w:fill="auto" w:color="auto"/>
            <w:tcW w:w="2135" w:type="dxa"/>
            <w:vMerge w:val="continue"/>
            <w:textDirection w:val="lrTb"/>
            <w:noWrap w:val="false"/>
          </w:tcPr>
          <w:p>
            <w:pPr>
              <w:pStyle w:val="1005"/>
              <w:ind w:left="57" w:right="57"/>
            </w:pPr>
            <w:r/>
            <w:r/>
          </w:p>
        </w:tc>
      </w:tr>
      <w:tr>
        <w:trPr/>
        <w:tc>
          <w:tcPr>
            <w:shd w:val="clear" w:fill="auto" w:color="auto"/>
            <w:tcW w:w="7617" w:type="dxa"/>
            <w:textDirection w:val="lrTb"/>
            <w:noWrap w:val="false"/>
          </w:tcPr>
          <w:p>
            <w:pPr>
              <w:pStyle w:val="1005"/>
              <w:ind w:left="57" w:right="57"/>
            </w:pPr>
            <w:r>
              <w:t xml:space="preserve">Специализированная организ</w:t>
            </w:r>
            <w:r>
              <w:t xml:space="preserve">ация</w:t>
            </w:r>
            <w:r/>
          </w:p>
        </w:tc>
        <w:tc>
          <w:tcPr>
            <w:shd w:val="clear" w:fill="auto" w:color="auto"/>
            <w:tcW w:w="2135" w:type="dxa"/>
            <w:vMerge w:val="continue"/>
            <w:textDirection w:val="lrTb"/>
            <w:noWrap w:val="false"/>
          </w:tcPr>
          <w:p>
            <w:pPr>
              <w:pStyle w:val="1005"/>
              <w:ind w:left="57" w:right="57"/>
            </w:pPr>
            <w:r/>
            <w:r/>
          </w:p>
        </w:tc>
      </w:tr>
      <w:tr>
        <w:trPr/>
        <w:tc>
          <w:tcPr>
            <w:shd w:val="clear" w:fill="auto" w:color="auto"/>
            <w:tcW w:w="7617" w:type="dxa"/>
            <w:textDirection w:val="lrTb"/>
            <w:noWrap w:val="false"/>
          </w:tcPr>
          <w:p>
            <w:pPr>
              <w:pStyle w:val="1005"/>
              <w:ind w:left="57" w:right="57"/>
            </w:pPr>
            <w:r>
              <w:t xml:space="preserve">Финансовый орган</w:t>
            </w:r>
            <w:r/>
          </w:p>
        </w:tc>
        <w:tc>
          <w:tcPr>
            <w:shd w:val="clear" w:fill="auto" w:color="auto"/>
            <w:tcW w:w="2135" w:type="dxa"/>
            <w:vMerge w:val="continue"/>
            <w:textDirection w:val="lrTb"/>
            <w:noWrap w:val="false"/>
          </w:tcPr>
          <w:p>
            <w:pPr>
              <w:pStyle w:val="1005"/>
              <w:ind w:left="57" w:right="57"/>
            </w:pPr>
            <w:r/>
            <w:r/>
          </w:p>
        </w:tc>
      </w:tr>
      <w:tr>
        <w:trPr/>
        <w:tc>
          <w:tcPr>
            <w:shd w:val="clear" w:fill="auto" w:color="auto"/>
            <w:tcW w:w="7617" w:type="dxa"/>
            <w:textDirection w:val="lrTb"/>
            <w:noWrap w:val="false"/>
          </w:tcPr>
          <w:p>
            <w:pPr>
              <w:pStyle w:val="1005"/>
              <w:ind w:left="57" w:right="57"/>
            </w:pPr>
            <w:r>
              <w:t xml:space="preserve">Оператор ООС</w:t>
            </w:r>
            <w:r/>
          </w:p>
        </w:tc>
        <w:tc>
          <w:tcPr>
            <w:shd w:val="clear" w:fill="auto" w:color="auto"/>
            <w:tcW w:w="2135" w:type="dxa"/>
            <w:vMerge w:val="continue"/>
            <w:textDirection w:val="lrTb"/>
            <w:noWrap w:val="false"/>
          </w:tcPr>
          <w:p>
            <w:pPr>
              <w:pStyle w:val="1005"/>
              <w:ind w:left="57" w:right="57"/>
            </w:pPr>
            <w:r/>
            <w:r/>
          </w:p>
        </w:tc>
      </w:tr>
      <w:tr>
        <w:trPr/>
        <w:tc>
          <w:tcPr>
            <w:shd w:val="clear" w:fill="auto" w:color="auto"/>
            <w:tcW w:w="7617" w:type="dxa"/>
            <w:textDirection w:val="lrTb"/>
            <w:noWrap w:val="false"/>
          </w:tcPr>
          <w:p>
            <w:pPr>
              <w:pStyle w:val="1005"/>
              <w:ind w:left="57" w:right="57"/>
            </w:pPr>
            <w:r>
              <w:t xml:space="preserve">Оператор электронной площадки</w:t>
            </w:r>
            <w:r/>
          </w:p>
        </w:tc>
        <w:tc>
          <w:tcPr>
            <w:shd w:val="clear" w:fill="auto" w:color="auto"/>
            <w:tcW w:w="2135" w:type="dxa"/>
            <w:vMerge w:val="continue"/>
            <w:textDirection w:val="lrTb"/>
            <w:noWrap w:val="false"/>
          </w:tcPr>
          <w:p>
            <w:pPr>
              <w:pStyle w:val="1005"/>
              <w:ind w:left="57" w:right="57"/>
            </w:pPr>
            <w:r/>
            <w:r/>
          </w:p>
        </w:tc>
      </w:tr>
      <w:tr>
        <w:trPr/>
        <w:tc>
          <w:tcPr>
            <w:shd w:val="clear" w:fill="auto" w:color="auto"/>
            <w:tcW w:w="7617" w:type="dxa"/>
            <w:textDirection w:val="lrTb"/>
            <w:noWrap w:val="false"/>
          </w:tcPr>
          <w:p>
            <w:pPr>
              <w:pStyle w:val="1005"/>
              <w:ind w:left="57" w:right="57"/>
            </w:pPr>
            <w:r>
              <w:t xml:space="preserve">Оператор информационной си</w:t>
            </w:r>
            <w:r>
              <w:t xml:space="preserve">с</w:t>
            </w:r>
            <w:r>
              <w:t xml:space="preserve">темы, взаимодействующей с ЕИС</w:t>
            </w:r>
            <w:r/>
          </w:p>
        </w:tc>
        <w:tc>
          <w:tcPr>
            <w:shd w:val="clear" w:fill="auto" w:color="auto"/>
            <w:tcW w:w="2135" w:type="dxa"/>
            <w:vMerge w:val="continue"/>
            <w:textDirection w:val="lrTb"/>
            <w:noWrap w:val="false"/>
          </w:tcPr>
          <w:p>
            <w:pPr>
              <w:pStyle w:val="1005"/>
              <w:ind w:left="57" w:right="57"/>
            </w:pPr>
            <w:r/>
            <w:r/>
          </w:p>
        </w:tc>
      </w:tr>
      <w:tr>
        <w:trPr/>
        <w:tc>
          <w:tcPr>
            <w:shd w:val="clear" w:fill="auto" w:color="auto"/>
            <w:tcW w:w="7617" w:type="dxa"/>
            <w:textDirection w:val="lrTb"/>
            <w:noWrap w:val="false"/>
          </w:tcPr>
          <w:p>
            <w:pPr>
              <w:pStyle w:val="1005"/>
              <w:ind w:left="57" w:right="57"/>
            </w:pPr>
            <w:r>
              <w:t xml:space="preserve">Орган по регулированию ко</w:t>
            </w:r>
            <w:r>
              <w:t xml:space="preserve">н</w:t>
            </w:r>
            <w:r>
              <w:t xml:space="preserve">трактной системы в сфере закупок</w:t>
            </w:r>
            <w:r/>
          </w:p>
        </w:tc>
        <w:tc>
          <w:tcPr>
            <w:shd w:val="clear" w:fill="auto" w:color="auto"/>
            <w:tcW w:w="2135" w:type="dxa"/>
            <w:vMerge w:val="continue"/>
            <w:textDirection w:val="lrTb"/>
            <w:noWrap w:val="false"/>
          </w:tcPr>
          <w:p>
            <w:pPr>
              <w:pStyle w:val="1005"/>
              <w:ind w:left="57" w:right="57"/>
            </w:pPr>
            <w:r/>
            <w:r/>
          </w:p>
        </w:tc>
      </w:tr>
      <w:tr>
        <w:trPr/>
        <w:tc>
          <w:tcPr>
            <w:shd w:val="clear" w:fill="auto" w:color="auto"/>
            <w:tcW w:w="7617" w:type="dxa"/>
            <w:textDirection w:val="lrTb"/>
            <w:noWrap w:val="false"/>
          </w:tcPr>
          <w:p>
            <w:pPr>
              <w:pStyle w:val="1005"/>
              <w:ind w:left="57" w:right="57"/>
            </w:pPr>
            <w:r>
              <w:t xml:space="preserve">Орган аудита</w:t>
            </w:r>
            <w:r/>
          </w:p>
        </w:tc>
        <w:tc>
          <w:tcPr>
            <w:shd w:val="clear" w:fill="auto" w:color="auto"/>
            <w:tcW w:w="2135" w:type="dxa"/>
            <w:vMerge w:val="continue"/>
            <w:textDirection w:val="lrTb"/>
            <w:noWrap w:val="false"/>
          </w:tcPr>
          <w:p>
            <w:pPr>
              <w:pStyle w:val="1005"/>
              <w:ind w:left="57" w:right="57"/>
            </w:pPr>
            <w:r/>
            <w:r/>
          </w:p>
        </w:tc>
      </w:tr>
      <w:tr>
        <w:trPr/>
        <w:tc>
          <w:tcPr>
            <w:shd w:val="clear" w:fill="auto" w:color="auto"/>
            <w:tcW w:w="7617" w:type="dxa"/>
            <w:textDirection w:val="lrTb"/>
            <w:noWrap w:val="false"/>
          </w:tcPr>
          <w:p>
            <w:pPr>
              <w:pStyle w:val="1005"/>
              <w:ind w:left="57" w:right="57"/>
            </w:pPr>
            <w:r>
              <w:t xml:space="preserve">Банк</w:t>
            </w:r>
            <w:r/>
          </w:p>
        </w:tc>
        <w:tc>
          <w:tcPr>
            <w:shd w:val="clear" w:fill="auto" w:color="auto"/>
            <w:tcW w:w="2135" w:type="dxa"/>
            <w:vMerge w:val="continue"/>
            <w:textDirection w:val="lrTb"/>
            <w:noWrap w:val="false"/>
          </w:tcPr>
          <w:p>
            <w:pPr>
              <w:pStyle w:val="1005"/>
              <w:ind w:left="57" w:right="57"/>
            </w:pPr>
            <w:r/>
            <w:r/>
          </w:p>
        </w:tc>
      </w:tr>
      <w:tr>
        <w:trPr/>
        <w:tc>
          <w:tcPr>
            <w:shd w:val="clear" w:fill="auto" w:color="auto"/>
            <w:tcW w:w="7617" w:type="dxa"/>
            <w:textDirection w:val="lrTb"/>
            <w:noWrap w:val="false"/>
          </w:tcPr>
          <w:p>
            <w:pPr>
              <w:pStyle w:val="1005"/>
              <w:ind w:left="57" w:right="57"/>
            </w:pPr>
            <w:r>
              <w:t xml:space="preserve">Контрольный орган в сфере з</w:t>
            </w:r>
            <w:r>
              <w:t xml:space="preserve">ак</w:t>
            </w:r>
            <w:r>
              <w:t xml:space="preserve">у</w:t>
            </w:r>
            <w:r>
              <w:t xml:space="preserve">пок</w:t>
            </w:r>
            <w:r/>
          </w:p>
        </w:tc>
        <w:tc>
          <w:tcPr>
            <w:shd w:val="clear" w:fill="auto" w:color="auto"/>
            <w:tcW w:w="2135" w:type="dxa"/>
            <w:vMerge w:val="continue"/>
            <w:textDirection w:val="lrTb"/>
            <w:noWrap w:val="false"/>
          </w:tcPr>
          <w:p>
            <w:pPr>
              <w:pStyle w:val="1005"/>
              <w:ind w:left="57" w:right="57"/>
            </w:pPr>
            <w:r/>
            <w:r/>
          </w:p>
        </w:tc>
      </w:tr>
      <w:tr>
        <w:trPr/>
        <w:tc>
          <w:tcPr>
            <w:shd w:val="clear" w:fill="auto" w:color="auto"/>
            <w:tcW w:w="7617" w:type="dxa"/>
            <w:textDirection w:val="lrTb"/>
            <w:noWrap w:val="false"/>
          </w:tcPr>
          <w:p>
            <w:pPr>
              <w:pStyle w:val="1005"/>
              <w:ind w:left="57" w:right="57"/>
            </w:pPr>
            <w:r>
              <w:t xml:space="preserve">Орган контроля соответствия и</w:t>
            </w:r>
            <w:r>
              <w:t xml:space="preserve">н</w:t>
            </w:r>
            <w:r>
              <w:t xml:space="preserve">формации об объеме финанс</w:t>
            </w:r>
            <w:r>
              <w:t xml:space="preserve">ового обеспеч</w:t>
            </w:r>
            <w:r>
              <w:t xml:space="preserve">е</w:t>
            </w:r>
            <w:r>
              <w:t xml:space="preserve">ния и идентификацио</w:t>
            </w:r>
            <w:r>
              <w:t xml:space="preserve">н</w:t>
            </w:r>
            <w:r>
              <w:t xml:space="preserve">ных кодах закупок</w:t>
            </w:r>
            <w:r/>
          </w:p>
        </w:tc>
        <w:tc>
          <w:tcPr>
            <w:shd w:val="clear" w:fill="auto" w:color="auto"/>
            <w:tcW w:w="2135" w:type="dxa"/>
            <w:vMerge w:val="continue"/>
            <w:textDirection w:val="lrTb"/>
            <w:noWrap w:val="false"/>
          </w:tcPr>
          <w:p>
            <w:pPr>
              <w:pStyle w:val="1005"/>
              <w:ind w:left="57" w:right="57"/>
            </w:pPr>
            <w:r/>
            <w:r/>
          </w:p>
        </w:tc>
      </w:tr>
      <w:tr>
        <w:trPr/>
        <w:tc>
          <w:tcPr>
            <w:shd w:val="clear" w:fill="auto" w:color="auto"/>
            <w:tcW w:w="7617" w:type="dxa"/>
            <w:textDirection w:val="lrTb"/>
            <w:noWrap w:val="false"/>
          </w:tcPr>
          <w:p>
            <w:pPr>
              <w:pStyle w:val="1005"/>
              <w:ind w:left="57" w:right="57"/>
            </w:pPr>
            <w:r>
              <w:t xml:space="preserve">Орган внутреннего контроля</w:t>
            </w:r>
            <w:r/>
          </w:p>
        </w:tc>
        <w:tc>
          <w:tcPr>
            <w:shd w:val="clear" w:fill="auto" w:color="auto"/>
            <w:tcW w:w="2135" w:type="dxa"/>
            <w:vMerge w:val="continue"/>
            <w:textDirection w:val="lrTb"/>
            <w:noWrap w:val="false"/>
          </w:tcPr>
          <w:p>
            <w:pPr>
              <w:pStyle w:val="1005"/>
              <w:ind w:left="57" w:right="57"/>
            </w:pPr>
            <w:r/>
            <w:r/>
          </w:p>
        </w:tc>
      </w:tr>
      <w:tr>
        <w:trPr/>
        <w:tc>
          <w:tcPr>
            <w:shd w:val="clear" w:fill="auto" w:color="auto"/>
            <w:tcW w:w="7617" w:type="dxa"/>
            <w:textDirection w:val="lrTb"/>
            <w:noWrap w:val="false"/>
          </w:tcPr>
          <w:p>
            <w:pPr>
              <w:pStyle w:val="1005"/>
              <w:ind w:left="57" w:right="57"/>
            </w:pPr>
            <w:r>
              <w:t xml:space="preserve">Орган, устанавливающий прав</w:t>
            </w:r>
            <w:r>
              <w:t xml:space="preserve">ила нормирования</w:t>
            </w:r>
            <w:r/>
          </w:p>
        </w:tc>
        <w:tc>
          <w:tcPr>
            <w:shd w:val="clear" w:fill="auto" w:color="auto"/>
            <w:tcW w:w="2135" w:type="dxa"/>
            <w:vMerge w:val="continue"/>
            <w:textDirection w:val="lrTb"/>
            <w:noWrap w:val="false"/>
          </w:tcPr>
          <w:p>
            <w:pPr>
              <w:pStyle w:val="1005"/>
              <w:ind w:left="57" w:right="57"/>
            </w:pPr>
            <w:r/>
            <w:r/>
          </w:p>
        </w:tc>
      </w:tr>
      <w:tr>
        <w:trPr/>
        <w:tc>
          <w:tcPr>
            <w:shd w:val="clear" w:fill="auto" w:color="auto"/>
            <w:tcW w:w="7617" w:type="dxa"/>
            <w:textDirection w:val="lrTb"/>
            <w:noWrap w:val="false"/>
          </w:tcPr>
          <w:p>
            <w:pPr>
              <w:pStyle w:val="1005"/>
              <w:ind w:left="57" w:right="57"/>
            </w:pPr>
            <w:r>
              <w:t xml:space="preserve">Орган, утверждающий требов</w:t>
            </w:r>
            <w:r>
              <w:t xml:space="preserve">ания к отдельным видам товаров, р</w:t>
            </w:r>
            <w:r>
              <w:t xml:space="preserve">а</w:t>
            </w:r>
            <w:r>
              <w:t xml:space="preserve">бот, у</w:t>
            </w:r>
            <w:r>
              <w:t xml:space="preserve">с</w:t>
            </w:r>
            <w:r>
              <w:t xml:space="preserve">луг</w:t>
            </w:r>
            <w:r/>
          </w:p>
        </w:tc>
        <w:tc>
          <w:tcPr>
            <w:shd w:val="clear" w:fill="auto" w:color="auto"/>
            <w:tcW w:w="2135" w:type="dxa"/>
            <w:vMerge w:val="continue"/>
            <w:textDirection w:val="lrTb"/>
            <w:noWrap w:val="false"/>
          </w:tcPr>
          <w:p>
            <w:pPr>
              <w:pStyle w:val="1005"/>
              <w:ind w:left="57" w:right="57"/>
            </w:pPr>
            <w:r/>
            <w:r/>
          </w:p>
        </w:tc>
      </w:tr>
      <w:tr>
        <w:trPr/>
        <w:tc>
          <w:tcPr>
            <w:shd w:val="clear" w:fill="auto" w:color="auto"/>
            <w:tcW w:w="7617" w:type="dxa"/>
            <w:textDirection w:val="lrTb"/>
            <w:noWrap w:val="false"/>
          </w:tcPr>
          <w:p>
            <w:pPr>
              <w:pStyle w:val="1005"/>
              <w:ind w:left="57" w:right="57"/>
            </w:pPr>
            <w:r>
              <w:t xml:space="preserve">Орган, разрабатывающий тип</w:t>
            </w:r>
            <w:r>
              <w:t xml:space="preserve">овые контракты и типовые условия контра</w:t>
            </w:r>
            <w:r>
              <w:t xml:space="preserve">к</w:t>
            </w:r>
            <w:r>
              <w:t xml:space="preserve">тов</w:t>
            </w:r>
            <w:r/>
          </w:p>
        </w:tc>
        <w:tc>
          <w:tcPr>
            <w:shd w:val="clear" w:fill="auto" w:color="auto"/>
            <w:tcW w:w="2135" w:type="dxa"/>
            <w:vMerge w:val="continue"/>
            <w:textDirection w:val="lrTb"/>
            <w:noWrap w:val="false"/>
          </w:tcPr>
          <w:p>
            <w:pPr>
              <w:pStyle w:val="1005"/>
              <w:ind w:left="57" w:right="57"/>
            </w:pPr>
            <w:r/>
            <w:r/>
          </w:p>
        </w:tc>
      </w:tr>
      <w:tr>
        <w:trPr/>
        <w:tc>
          <w:tcPr>
            <w:shd w:val="clear" w:fill="auto" w:color="auto"/>
            <w:tcW w:w="7617" w:type="dxa"/>
            <w:textDirection w:val="lrTb"/>
            <w:noWrap w:val="false"/>
          </w:tcPr>
          <w:p>
            <w:pPr>
              <w:pStyle w:val="1005"/>
              <w:ind w:left="57" w:right="57"/>
            </w:pPr>
            <w:r>
              <w:t xml:space="preserve">Организация, осуществляющая полномочия заказчика на осущ</w:t>
            </w:r>
            <w:r>
              <w:t xml:space="preserve">е</w:t>
            </w:r>
            <w:r>
              <w:t xml:space="preserve">ствление зак</w:t>
            </w:r>
            <w:r>
              <w:t xml:space="preserve">у</w:t>
            </w:r>
            <w:r>
              <w:t xml:space="preserve">пок на основании договора (соглашения) в соотве</w:t>
            </w:r>
            <w:r>
              <w:t xml:space="preserve">т</w:t>
            </w:r>
            <w:r>
              <w:t xml:space="preserve">ствии с частью 6 ст</w:t>
            </w:r>
            <w:r>
              <w:t xml:space="preserve">а</w:t>
            </w:r>
            <w:r>
              <w:t xml:space="preserve">тьи 15 Фед</w:t>
            </w:r>
            <w:r>
              <w:t xml:space="preserve">е</w:t>
            </w:r>
            <w:r>
              <w:t xml:space="preserve">рального закона № 44-ФЗ</w:t>
            </w:r>
            <w:r/>
          </w:p>
        </w:tc>
        <w:tc>
          <w:tcPr>
            <w:shd w:val="clear" w:fill="auto" w:color="auto"/>
            <w:tcW w:w="2135" w:type="dxa"/>
            <w:vMerge w:val="continue"/>
            <w:textDirection w:val="lrTb"/>
            <w:noWrap w:val="false"/>
          </w:tcPr>
          <w:p>
            <w:pPr>
              <w:pStyle w:val="1005"/>
              <w:ind w:left="57" w:right="57"/>
            </w:pPr>
            <w:r/>
            <w:r/>
          </w:p>
        </w:tc>
      </w:tr>
    </w:tbl>
    <w:p>
      <w:pPr>
        <w:pStyle w:val="972"/>
      </w:pPr>
      <w:r/>
      <w:bookmarkStart w:id="2091" w:name="_Ref449106970"/>
      <w:r/>
      <w:bookmarkStart w:id="2092" w:name="_Toc88819179"/>
      <w:r>
        <w:t xml:space="preserve">Уведомление о подтверждении (аннулировании)</w:t>
      </w:r>
      <w:bookmarkEnd w:id="2062"/>
      <w:r/>
      <w:bookmarkEnd w:id="2063"/>
      <w:r/>
      <w:bookmarkEnd w:id="2064"/>
      <w:r/>
      <w:bookmarkEnd w:id="2091"/>
      <w:r/>
      <w:bookmarkEnd w:id="2092"/>
      <w:r/>
      <w:r/>
    </w:p>
    <w:p>
      <w:pPr>
        <w:pStyle w:val="994"/>
      </w:pPr>
      <w:r>
        <w:t xml:space="preserve">ЭД «Уведомление о подтверждении (аннулировании)» создается автоматически после поступления на АРМ ФО ЭД «Запрос на подтверждение» и направляется в адрес ОрФК, отправившего ЭД «Запрос на подтверждение».</w:t>
      </w:r>
      <w:r/>
    </w:p>
    <w:p>
      <w:pPr>
        <w:pStyle w:val="994"/>
      </w:pPr>
      <w:r>
        <w:t xml:space="preserve">Для работы с документами </w:t>
      </w:r>
      <w:r>
        <w:t xml:space="preserve">«Уведомление о подтверждении (аннулировании)» </w:t>
      </w:r>
      <w:r>
        <w:t xml:space="preserve">следует перейти в пункт меню</w:t>
      </w:r>
      <w:r>
        <w:t xml:space="preserve"> «Документы – Регистрация пользователей на официальном сайте РФ – Уведомление о подтверждении (аннулировании)»</w:t>
      </w:r>
      <w:r>
        <w:t xml:space="preserve">. </w:t>
      </w:r>
      <w:r>
        <w:t xml:space="preserve">Откроется ЭФ списка документов, представленная на рисунке</w:t>
      </w:r>
      <w:r>
        <w:t xml:space="preserve"> </w:t>
      </w:r>
      <w:r>
        <w:fldChar w:fldCharType="begin"/>
      </w:r>
      <w:r>
        <w:instrText xml:space="preserve"> REF _Ref356375659 \h  \* MERGEFORMAT </w:instrText>
      </w:r>
      <w:r>
        <w:fldChar w:fldCharType="separate"/>
      </w:r>
      <w:r>
        <w:t xml:space="preserve">320</w:t>
      </w:r>
      <w:r>
        <w:fldChar w:fldCharType="end"/>
      </w:r>
      <w:r>
        <w:t xml:space="preserve">. </w:t>
      </w:r>
      <w:r/>
    </w:p>
    <w:p>
      <w:pPr>
        <w:pStyle w:val="982"/>
      </w:pPr>
      <w:r>
        <mc:AlternateContent>
          <mc:Choice Requires="wpg">
            <w:drawing>
              <wp:inline xmlns:wp="http://schemas.openxmlformats.org/drawingml/2006/wordprocessingDrawing" distT="0" distB="0" distL="0" distR="0">
                <wp:extent cx="6149340" cy="3749040"/>
                <wp:effectExtent l="0" t="0" r="0" b="0"/>
                <wp:docPr id="46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10"/>
                        <a:stretch/>
                      </pic:blipFill>
                      <pic:spPr bwMode="auto">
                        <a:xfrm>
                          <a:off x="0" y="0"/>
                          <a:ext cx="6149340" cy="37490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4" o:spid="_x0000_s464" type="#_x0000_t75" style="mso-wrap-distance-left:0.0pt;mso-wrap-distance-top:0.0pt;mso-wrap-distance-right:0.0pt;mso-wrap-distance-bottom:0.0pt;width:484.2pt;height:295.2pt;" stroked="f">
                <v:path textboxrect="0,0,0,0"/>
                <v:imagedata r:id="rId410" o:title=""/>
              </v:shape>
            </w:pict>
          </mc:Fallback>
        </mc:AlternateContent>
      </w:r>
      <w:r/>
    </w:p>
    <w:p>
      <w:pPr>
        <w:pStyle w:val="983"/>
      </w:pPr>
      <w:r>
        <w:fldChar w:fldCharType="begin"/>
      </w:r>
      <w:r>
        <w:instrText xml:space="preserve"> SEQ Рисунок \* ARABIC </w:instrText>
      </w:r>
      <w:r>
        <w:fldChar w:fldCharType="separate"/>
      </w:r>
      <w:bookmarkStart w:id="2093" w:name="_Ref356375659"/>
      <w:r/>
      <w:bookmarkStart w:id="2094" w:name="_Toc88819705"/>
      <w:r>
        <w:t xml:space="preserve">320</w:t>
      </w:r>
      <w:bookmarkEnd w:id="2093"/>
      <w:r>
        <w:fldChar w:fldCharType="end"/>
      </w:r>
      <w:r>
        <w:t xml:space="preserve">. </w:t>
      </w:r>
      <w:r>
        <w:t xml:space="preserve">ЭФ списка</w:t>
      </w:r>
      <w:r>
        <w:t xml:space="preserve"> документов «Уведомление о подтверждении (аннулировании)»</w:t>
      </w:r>
      <w:bookmarkEnd w:id="2094"/>
      <w:r/>
      <w:r/>
    </w:p>
    <w:p>
      <w:pPr>
        <w:pStyle w:val="973"/>
      </w:pPr>
      <w:r>
        <w:t xml:space="preserve">Доступные операции</w:t>
      </w:r>
      <w:r/>
    </w:p>
    <w:p>
      <w:pPr>
        <w:pStyle w:val="994"/>
      </w:pPr>
      <w:r>
        <w:t xml:space="preserve">На АРМ ФО доступны следующие операции</w:t>
      </w:r>
      <w:r>
        <w:t xml:space="preserve"> над документом</w:t>
      </w:r>
      <w:r>
        <w:t xml:space="preserve">:</w:t>
      </w:r>
      <w:r/>
    </w:p>
    <w:p>
      <w:pPr>
        <w:pStyle w:val="985"/>
      </w:pPr>
      <w:r>
        <w:t xml:space="preserve">создание на основе родительского документа;</w:t>
      </w:r>
      <w:r/>
    </w:p>
    <w:p>
      <w:pPr>
        <w:pStyle w:val="985"/>
      </w:pPr>
      <w:r>
        <w:t xml:space="preserve">просмотр и </w:t>
      </w:r>
      <w:r>
        <w:t xml:space="preserve">редактирование;</w:t>
      </w:r>
      <w:r/>
    </w:p>
    <w:p>
      <w:pPr>
        <w:pStyle w:val="985"/>
      </w:pPr>
      <w:r>
        <w:t xml:space="preserve">удаление;</w:t>
      </w:r>
      <w:r/>
    </w:p>
    <w:p>
      <w:pPr>
        <w:pStyle w:val="985"/>
      </w:pPr>
      <w:r>
        <w:t xml:space="preserve">подписание и </w:t>
      </w:r>
      <w:r>
        <w:t xml:space="preserve">проверка </w:t>
      </w:r>
      <w:r>
        <w:t xml:space="preserve">ЭП</w:t>
      </w:r>
      <w:r>
        <w:t xml:space="preserve">;</w:t>
      </w:r>
      <w:r/>
    </w:p>
    <w:p>
      <w:pPr>
        <w:pStyle w:val="985"/>
      </w:pPr>
      <w:r>
        <w:t xml:space="preserve">экспорт во внешнюю систему;</w:t>
      </w:r>
      <w:r/>
    </w:p>
    <w:p>
      <w:pPr>
        <w:pStyle w:val="985"/>
      </w:pPr>
      <w:r>
        <w:t xml:space="preserve">импорт из внешней системы.</w:t>
      </w:r>
      <w:r/>
    </w:p>
    <w:p>
      <w:pPr>
        <w:pStyle w:val="973"/>
      </w:pPr>
      <w:r>
        <w:t xml:space="preserve">Экранная форма документа</w:t>
      </w:r>
      <w:r/>
    </w:p>
    <w:p>
      <w:pPr>
        <w:pStyle w:val="994"/>
      </w:pPr>
      <w:r>
        <w:t xml:space="preserve">ЭФ документа «Уведомление о подтверждении (аннулировании)» представлена на рисунке</w:t>
      </w:r>
      <w:r>
        <w:t xml:space="preserve"> </w:t>
      </w:r>
      <w:r>
        <w:fldChar w:fldCharType="begin"/>
      </w:r>
      <w:r>
        <w:instrText xml:space="preserve"> REF _Ref356376055 \h  \* MERGEFORMAT </w:instrText>
      </w:r>
      <w:r>
        <w:fldChar w:fldCharType="separate"/>
      </w:r>
      <w:r>
        <w:t xml:space="preserve">321</w:t>
      </w:r>
      <w:r>
        <w:fldChar w:fldCharType="end"/>
      </w:r>
      <w:r>
        <w:t xml:space="preserve">. </w:t>
      </w:r>
      <w:r>
        <w:t xml:space="preserve">Форма содержит следующие закладки</w:t>
      </w:r>
      <w:r>
        <w:t xml:space="preserve">:</w:t>
      </w:r>
      <w:r/>
    </w:p>
    <w:p>
      <w:pPr>
        <w:pStyle w:val="985"/>
      </w:pPr>
      <w:r>
        <w:t xml:space="preserve">«Реквизиты запроса (1)»;</w:t>
      </w:r>
      <w:r/>
    </w:p>
    <w:p>
      <w:pPr>
        <w:pStyle w:val="985"/>
      </w:pPr>
      <w:r>
        <w:t xml:space="preserve">«Подписи (2)»</w:t>
      </w:r>
      <w:r>
        <w:t xml:space="preserve">;</w:t>
      </w:r>
      <w:r/>
    </w:p>
    <w:p>
      <w:pPr>
        <w:pStyle w:val="985"/>
      </w:pPr>
      <w:r>
        <w:t xml:space="preserve">«</w:t>
      </w:r>
      <w:r>
        <w:t xml:space="preserve">Системные атрибуты</w:t>
      </w:r>
      <w:r>
        <w:t xml:space="preserve">»;</w:t>
      </w:r>
      <w:r/>
    </w:p>
    <w:p>
      <w:pPr>
        <w:pStyle w:val="985"/>
      </w:pPr>
      <w:r>
        <w:t xml:space="preserve">«Протоколы»</w:t>
      </w:r>
      <w:r>
        <w:t xml:space="preserve">.</w:t>
      </w:r>
      <w:r/>
    </w:p>
    <w:p>
      <w:pPr>
        <w:pStyle w:val="982"/>
      </w:pPr>
      <w:r>
        <mc:AlternateContent>
          <mc:Choice Requires="wpg">
            <w:drawing>
              <wp:inline xmlns:wp="http://schemas.openxmlformats.org/drawingml/2006/wordprocessingDrawing" distT="0" distB="0" distL="0" distR="0">
                <wp:extent cx="6134100" cy="4023360"/>
                <wp:effectExtent l="0" t="0" r="0" b="0"/>
                <wp:docPr id="46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11"/>
                        <a:stretch/>
                      </pic:blipFill>
                      <pic:spPr bwMode="auto">
                        <a:xfrm>
                          <a:off x="0" y="0"/>
                          <a:ext cx="6134100" cy="40233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5" o:spid="_x0000_s465" type="#_x0000_t75" style="mso-wrap-distance-left:0.0pt;mso-wrap-distance-top:0.0pt;mso-wrap-distance-right:0.0pt;mso-wrap-distance-bottom:0.0pt;width:483.0pt;height:316.8pt;" stroked="f">
                <v:path textboxrect="0,0,0,0"/>
                <v:imagedata r:id="rId411" o:title=""/>
              </v:shape>
            </w:pict>
          </mc:Fallback>
        </mc:AlternateContent>
      </w:r>
      <w:r/>
    </w:p>
    <w:p>
      <w:pPr>
        <w:pStyle w:val="983"/>
      </w:pPr>
      <w:r>
        <w:fldChar w:fldCharType="begin"/>
      </w:r>
      <w:r>
        <w:instrText xml:space="preserve"> SEQ Рисунок \* ARABIC </w:instrText>
      </w:r>
      <w:r>
        <w:fldChar w:fldCharType="separate"/>
      </w:r>
      <w:bookmarkStart w:id="2095" w:name="_Ref356376055"/>
      <w:r/>
      <w:bookmarkStart w:id="2096" w:name="_Toc88819706"/>
      <w:r>
        <w:t xml:space="preserve">321</w:t>
      </w:r>
      <w:bookmarkEnd w:id="2095"/>
      <w:r>
        <w:fldChar w:fldCharType="end"/>
      </w:r>
      <w:r>
        <w:t xml:space="preserve">. ЭФ документа «Уведомление о подтверждении (аннулировании)</w:t>
      </w:r>
      <w:r>
        <w:t xml:space="preserve">», закладки «</w:t>
      </w:r>
      <w:r>
        <w:t xml:space="preserve">Реквизиты запроса (1)»</w:t>
      </w:r>
      <w:bookmarkEnd w:id="2096"/>
      <w:r/>
      <w:r/>
    </w:p>
    <w:p>
      <w:pPr>
        <w:pStyle w:val="994"/>
      </w:pPr>
      <w:r>
        <w:t xml:space="preserve">Перечень </w:t>
      </w:r>
      <w:r>
        <w:t xml:space="preserve">полей </w:t>
      </w:r>
      <w:r>
        <w:t xml:space="preserve">документа «Уведомление о подтверждении (аннулировании)», </w:t>
      </w:r>
      <w:r>
        <w:t xml:space="preserve">закладки «Реквизиты запроса (1)» </w:t>
      </w:r>
      <w:r>
        <w:t xml:space="preserve">приведен в таблице</w:t>
      </w:r>
      <w:r>
        <w:t xml:space="preserve"> </w:t>
      </w:r>
      <w:r>
        <w:fldChar w:fldCharType="begin"/>
      </w:r>
      <w:r>
        <w:instrText xml:space="preserve"> REF _Ref356377949 \h  \* MERGEFORMAT </w:instrText>
      </w:r>
      <w:r>
        <w:fldChar w:fldCharType="separate"/>
      </w:r>
      <w:r>
        <w:t xml:space="preserve">190</w:t>
      </w:r>
      <w:r>
        <w:fldChar w:fldCharType="end"/>
      </w:r>
      <w:r>
        <w:t xml:space="preserve">.</w:t>
      </w:r>
      <w:r/>
    </w:p>
    <w:p>
      <w:pPr>
        <w:pStyle w:val="993"/>
      </w:pPr>
      <w:r>
        <w:fldChar w:fldCharType="begin"/>
      </w:r>
      <w:r>
        <w:instrText xml:space="preserve"> SEQ Таблица \* ARABIC </w:instrText>
      </w:r>
      <w:r>
        <w:fldChar w:fldCharType="separate"/>
      </w:r>
      <w:bookmarkStart w:id="2097" w:name="_Ref356377949"/>
      <w:r/>
      <w:bookmarkStart w:id="2098" w:name="_Toc88819377"/>
      <w:r>
        <w:t xml:space="preserve">190</w:t>
      </w:r>
      <w:bookmarkEnd w:id="2097"/>
      <w:r>
        <w:fldChar w:fldCharType="end"/>
      </w:r>
      <w:r>
        <w:t xml:space="preserve">. </w:t>
      </w:r>
      <w:r>
        <w:t xml:space="preserve">Описание</w:t>
      </w:r>
      <w:r>
        <w:t xml:space="preserve"> полей документа «Уведомление о подтверждении (аннулировании)»</w:t>
      </w:r>
      <w:r>
        <w:t xml:space="preserve">, </w:t>
      </w:r>
      <w:r>
        <w:t xml:space="preserve">закладки «Реквизиты запроса (1)»</w:t>
      </w:r>
      <w:bookmarkEnd w:id="2098"/>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25"/>
        <w:gridCol w:w="7427"/>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2325" w:type="dxa"/>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7427" w:type="dxa"/>
            <w:vAlign w:val="center"/>
            <w:textDirection w:val="lrTb"/>
            <w:noWrap w:val="false"/>
          </w:tcPr>
          <w:p>
            <w:pPr>
              <w:pStyle w:val="1006"/>
            </w:pPr>
            <w:r>
              <w:t xml:space="preserve">Описание</w:t>
            </w:r>
            <w:r>
              <w:t xml:space="preserve"> поля</w:t>
            </w:r>
            <w:r/>
          </w:p>
        </w:tc>
      </w:tr>
      <w:tr>
        <w:trPr>
          <w:trHeight w:val="373"/>
        </w:trPr>
        <w:tc>
          <w:tcPr>
            <w:gridSpan w:val="2"/>
            <w:shd w:val="clear" w:fill="auto" w:color="auto"/>
            <w:tcW w:w="9752" w:type="dxa"/>
            <w:textDirection w:val="lrTb"/>
            <w:noWrap w:val="false"/>
          </w:tcPr>
          <w:p>
            <w:pPr>
              <w:pStyle w:val="1005"/>
              <w:ind w:left="57" w:right="57"/>
            </w:pPr>
            <w:r>
              <w:t xml:space="preserve">Группа полей «Общая информация»</w:t>
            </w:r>
            <w:r/>
          </w:p>
        </w:tc>
      </w:tr>
      <w:tr>
        <w:trPr/>
        <w:tc>
          <w:tcPr>
            <w:shd w:val="clear" w:fill="auto" w:color="auto"/>
            <w:tcW w:w="2325" w:type="dxa"/>
            <w:textDirection w:val="lrTb"/>
            <w:noWrap w:val="false"/>
          </w:tcPr>
          <w:p>
            <w:pPr>
              <w:pStyle w:val="1005"/>
              <w:ind w:left="57" w:right="57"/>
            </w:pPr>
            <w:r>
              <w:t xml:space="preserve">Номер </w:t>
            </w:r>
            <w:r/>
          </w:p>
        </w:tc>
        <w:tc>
          <w:tcPr>
            <w:shd w:val="clear" w:fill="auto" w:color="auto"/>
            <w:tcW w:w="7427" w:type="dxa"/>
            <w:textDirection w:val="lrTb"/>
            <w:noWrap w:val="false"/>
          </w:tcPr>
          <w:p>
            <w:pPr>
              <w:pStyle w:val="1005"/>
              <w:ind w:left="57" w:right="57"/>
            </w:pPr>
            <w:r>
              <w:t xml:space="preserve">Номер уведомления.</w:t>
            </w:r>
            <w:r/>
          </w:p>
          <w:p>
            <w:pPr>
              <w:pStyle w:val="1005"/>
              <w:ind w:left="57" w:right="57"/>
            </w:pPr>
            <w:r>
              <w:t xml:space="preserve">Заполняется пользователем вручную.</w:t>
            </w:r>
            <w:r/>
          </w:p>
        </w:tc>
      </w:tr>
      <w:tr>
        <w:trPr/>
        <w:tc>
          <w:tcPr>
            <w:shd w:val="clear" w:fill="auto" w:color="auto"/>
            <w:tcW w:w="2325" w:type="dxa"/>
            <w:textDirection w:val="lrTb"/>
            <w:noWrap w:val="false"/>
          </w:tcPr>
          <w:p>
            <w:pPr>
              <w:pStyle w:val="1005"/>
              <w:ind w:left="57" w:right="57"/>
            </w:pPr>
            <w:r>
              <w:t xml:space="preserve">Дата </w:t>
            </w:r>
            <w:r/>
          </w:p>
        </w:tc>
        <w:tc>
          <w:tcPr>
            <w:shd w:val="clear" w:fill="auto" w:color="auto"/>
            <w:tcW w:w="7427" w:type="dxa"/>
            <w:textDirection w:val="lrTb"/>
            <w:noWrap w:val="false"/>
          </w:tcPr>
          <w:p>
            <w:pPr>
              <w:pStyle w:val="1005"/>
              <w:ind w:left="57" w:right="57"/>
            </w:pPr>
            <w:r>
              <w:t xml:space="preserve">Дата уведомления.</w:t>
            </w:r>
            <w:r/>
          </w:p>
          <w:p>
            <w:pPr>
              <w:pStyle w:val="1005"/>
              <w:ind w:left="57" w:right="57"/>
            </w:pPr>
            <w:r>
              <w:t xml:space="preserve">Заполняется автоматически текущей системной датой.</w:t>
            </w:r>
            <w:r/>
          </w:p>
          <w:p>
            <w:pPr>
              <w:pStyle w:val="1005"/>
              <w:ind w:left="57" w:right="57"/>
            </w:pPr>
            <w:r>
              <w:t xml:space="preserve">Возможно изменение пользователем вручную, </w:t>
            </w:r>
            <w:r>
              <w:t xml:space="preserve">или</w:t>
            </w:r>
            <w:r>
              <w:t xml:space="preserve"> из системного календаря.</w:t>
            </w:r>
            <w:r/>
          </w:p>
          <w:p>
            <w:pPr>
              <w:pStyle w:val="1005"/>
              <w:ind w:left="57" w:right="57"/>
            </w:pPr>
            <w:r>
              <w:t xml:space="preserve">Дата документа не должна быть больше текущей даты.</w:t>
            </w:r>
            <w:r/>
          </w:p>
        </w:tc>
      </w:tr>
      <w:tr>
        <w:trPr/>
        <w:tc>
          <w:tcPr>
            <w:shd w:val="clear" w:fill="auto" w:color="auto"/>
            <w:tcW w:w="2325" w:type="dxa"/>
            <w:textDirection w:val="lrTb"/>
            <w:noWrap w:val="false"/>
          </w:tcPr>
          <w:p>
            <w:pPr>
              <w:pStyle w:val="1005"/>
              <w:ind w:left="57" w:right="57"/>
            </w:pPr>
            <w:r>
              <w:t xml:space="preserve">Бюджет </w:t>
            </w:r>
            <w:r/>
          </w:p>
        </w:tc>
        <w:tc>
          <w:tcPr>
            <w:shd w:val="clear" w:fill="auto" w:color="auto"/>
            <w:tcW w:w="7427" w:type="dxa"/>
            <w:textDirection w:val="lrTb"/>
            <w:noWrap w:val="false"/>
          </w:tcPr>
          <w:p>
            <w:pPr>
              <w:pStyle w:val="1005"/>
              <w:ind w:left="57" w:right="57"/>
            </w:pPr>
            <w:r>
              <w:t xml:space="preserve">Наименование бюджета.</w:t>
            </w:r>
            <w:r/>
          </w:p>
          <w:p>
            <w:pPr>
              <w:pStyle w:val="1005"/>
              <w:ind w:left="57" w:right="57"/>
            </w:pPr>
            <w:r>
              <w:t xml:space="preserve">Поле недоступно для редактирования.</w:t>
            </w:r>
            <w:r/>
          </w:p>
          <w:p>
            <w:pPr>
              <w:pStyle w:val="1005"/>
              <w:ind w:left="57" w:right="57"/>
            </w:pPr>
            <w:r>
              <w:t xml:space="preserve">Автоматически заполняется из справочник «Бюджеты» для системной константы «Код бюджета».</w:t>
            </w:r>
            <w:r/>
          </w:p>
        </w:tc>
      </w:tr>
      <w:tr>
        <w:trPr>
          <w:trHeight w:val="1461"/>
        </w:trPr>
        <w:tc>
          <w:tcPr>
            <w:shd w:val="clear" w:fill="auto" w:color="auto"/>
            <w:tcW w:w="2325" w:type="dxa"/>
            <w:textDirection w:val="lrTb"/>
            <w:noWrap w:val="false"/>
          </w:tcPr>
          <w:p>
            <w:pPr>
              <w:pStyle w:val="1005"/>
              <w:ind w:left="57" w:right="57"/>
            </w:pPr>
            <w:r>
              <w:t xml:space="preserve">Вышестоящая организация</w:t>
            </w:r>
            <w:r/>
          </w:p>
        </w:tc>
        <w:tc>
          <w:tcPr>
            <w:shd w:val="clear" w:fill="auto" w:color="auto"/>
            <w:tcW w:w="7427" w:type="dxa"/>
            <w:textDirection w:val="lrTb"/>
            <w:noWrap w:val="false"/>
          </w:tcPr>
          <w:p>
            <w:pPr>
              <w:pStyle w:val="1005"/>
              <w:ind w:left="57" w:right="57"/>
            </w:pPr>
            <w:r>
              <w:t xml:space="preserve">Полное либо сокращенное (краткое) наименование органа, представляющего Уведомление.</w:t>
            </w:r>
            <w:r/>
          </w:p>
          <w:p>
            <w:pPr>
              <w:pStyle w:val="1005"/>
              <w:ind w:left="57" w:right="57"/>
            </w:pPr>
            <w:r>
              <w:t xml:space="preserve">Поле недоступно для редактирования.</w:t>
            </w:r>
            <w:r/>
          </w:p>
          <w:p>
            <w:pPr>
              <w:pStyle w:val="1005"/>
              <w:ind w:left="57" w:right="57"/>
            </w:pPr>
            <w:r>
              <w:t xml:space="preserve">Заполняется автоматически значением полного наименования клиента из справочника РУБП/ПУБП (с учетом бюджета) в соответствии с системной константой «Код собственного БУ».</w:t>
            </w:r>
            <w:r/>
          </w:p>
        </w:tc>
      </w:tr>
      <w:tr>
        <w:trPr/>
        <w:tc>
          <w:tcPr>
            <w:gridSpan w:val="2"/>
            <w:shd w:val="clear" w:fill="auto" w:color="auto"/>
            <w:tcW w:w="9752" w:type="dxa"/>
            <w:textDirection w:val="lrTb"/>
            <w:noWrap w:val="false"/>
          </w:tcPr>
          <w:p>
            <w:pPr>
              <w:pStyle w:val="1005"/>
              <w:ind w:left="57" w:right="57"/>
            </w:pPr>
            <w:r>
              <w:t xml:space="preserve">Группа полей «Орган ФК»</w:t>
            </w:r>
            <w:r/>
          </w:p>
        </w:tc>
      </w:tr>
      <w:tr>
        <w:trPr/>
        <w:tc>
          <w:tcPr>
            <w:shd w:val="clear" w:fill="auto" w:color="auto"/>
            <w:tcW w:w="2325" w:type="dxa"/>
            <w:textDirection w:val="lrTb"/>
            <w:noWrap w:val="false"/>
          </w:tcPr>
          <w:p>
            <w:pPr>
              <w:pStyle w:val="1005"/>
              <w:ind w:left="57" w:right="57"/>
            </w:pPr>
            <w:r>
              <w:t xml:space="preserve">Код ОрФК</w:t>
            </w:r>
            <w:r/>
          </w:p>
        </w:tc>
        <w:tc>
          <w:tcPr>
            <w:shd w:val="clear" w:fill="auto" w:color="auto"/>
            <w:tcW w:w="7427" w:type="dxa"/>
            <w:textDirection w:val="lrTb"/>
            <w:noWrap w:val="false"/>
          </w:tcPr>
          <w:p>
            <w:pPr>
              <w:pStyle w:val="1005"/>
              <w:ind w:left="57" w:right="57"/>
            </w:pPr>
            <w:r>
              <w:t xml:space="preserve">Код по КОФК ОрФК, в который предоставляется документ.</w:t>
            </w:r>
            <w:r/>
          </w:p>
          <w:p>
            <w:pPr>
              <w:pStyle w:val="1005"/>
              <w:ind w:left="57" w:right="57"/>
            </w:pPr>
            <w:r>
              <w:t xml:space="preserve">Поле недоступно для редактирования.</w:t>
            </w:r>
            <w:r/>
          </w:p>
          <w:p>
            <w:pPr>
              <w:pStyle w:val="1005"/>
              <w:ind w:left="57" w:right="57"/>
            </w:pPr>
            <w:r>
              <w:t xml:space="preserve">Заполняется автоматически из системной константы «Код собственного ТОФК».</w:t>
            </w:r>
            <w:r/>
          </w:p>
          <w:p>
            <w:pPr>
              <w:pStyle w:val="1005"/>
              <w:ind w:left="57" w:right="57"/>
            </w:pPr>
            <w:r>
              <w:t xml:space="preserve">Может быть отредактировано пользователем путем выбора из справочника.</w:t>
            </w:r>
            <w:r/>
          </w:p>
        </w:tc>
      </w:tr>
      <w:tr>
        <w:trPr/>
        <w:tc>
          <w:tcPr>
            <w:shd w:val="clear" w:fill="auto" w:color="auto"/>
            <w:tcW w:w="2325" w:type="dxa"/>
            <w:textDirection w:val="lrTb"/>
            <w:noWrap w:val="false"/>
          </w:tcPr>
          <w:p>
            <w:pPr>
              <w:pStyle w:val="1005"/>
              <w:ind w:left="57" w:right="57"/>
            </w:pPr>
            <w:r>
              <w:t xml:space="preserve">Наименование</w:t>
            </w:r>
            <w:r/>
          </w:p>
        </w:tc>
        <w:tc>
          <w:tcPr>
            <w:shd w:val="clear" w:fill="auto" w:color="auto"/>
            <w:tcW w:w="7427" w:type="dxa"/>
            <w:textDirection w:val="lrTb"/>
            <w:noWrap w:val="false"/>
          </w:tcPr>
          <w:p>
            <w:pPr>
              <w:pStyle w:val="1005"/>
              <w:ind w:left="57" w:right="57"/>
            </w:pPr>
            <w:r>
              <w:t xml:space="preserve">Полное наименование органа Федерального казначейства, в который предоставляется документ.</w:t>
            </w:r>
            <w:r/>
          </w:p>
          <w:p>
            <w:pPr>
              <w:pStyle w:val="1005"/>
              <w:ind w:left="57" w:right="57"/>
            </w:pPr>
            <w:r>
              <w:t xml:space="preserve">Поле недоступно для редактирования.</w:t>
            </w:r>
            <w:r/>
          </w:p>
          <w:p>
            <w:pPr>
              <w:pStyle w:val="1005"/>
              <w:ind w:left="57" w:right="57"/>
            </w:pPr>
            <w:r>
              <w:t xml:space="preserve">Заполняется автоматически из справочника «Органы ФК» в соответствии со значением, указанным в поле «Код ОрФК».</w:t>
            </w:r>
            <w:r/>
          </w:p>
        </w:tc>
      </w:tr>
      <w:tr>
        <w:trPr/>
        <w:tc>
          <w:tcPr>
            <w:gridSpan w:val="2"/>
            <w:shd w:val="clear" w:fill="auto" w:color="auto"/>
            <w:tcW w:w="9752" w:type="dxa"/>
            <w:textDirection w:val="lrTb"/>
            <w:noWrap w:val="false"/>
          </w:tcPr>
          <w:p>
            <w:pPr>
              <w:pStyle w:val="1005"/>
              <w:ind w:left="57" w:right="57"/>
            </w:pPr>
            <w:r>
              <w:t xml:space="preserve">Закладка «Реквизиты запроса (1)»</w:t>
            </w:r>
            <w:r/>
          </w:p>
        </w:tc>
      </w:tr>
      <w:tr>
        <w:trPr/>
        <w:tc>
          <w:tcPr>
            <w:gridSpan w:val="2"/>
            <w:shd w:val="clear" w:fill="auto" w:color="auto"/>
            <w:tcW w:w="9752" w:type="dxa"/>
            <w:textDirection w:val="lrTb"/>
            <w:noWrap w:val="false"/>
          </w:tcPr>
          <w:p>
            <w:pPr>
              <w:pStyle w:val="1005"/>
              <w:ind w:left="57" w:right="57"/>
            </w:pPr>
            <w:r>
              <w:t xml:space="preserve">Табличная часть (если в справочнике «Версии форматов» присутствует активная запись с версией «TXUC130701» и дата документа больше, либо равна «Дате действия с» указанного формата, то таблица может быть многострочной, иначе</w:t>
            </w:r>
            <w:r>
              <w:t xml:space="preserve"> – </w:t>
            </w:r>
            <w:r>
              <w:t xml:space="preserve">однострочная)</w:t>
            </w:r>
            <w:r/>
          </w:p>
        </w:tc>
      </w:tr>
      <w:tr>
        <w:trPr/>
        <w:tc>
          <w:tcPr>
            <w:shd w:val="clear" w:fill="auto" w:color="auto"/>
            <w:tcW w:w="2325" w:type="dxa"/>
            <w:textDirection w:val="lrTb"/>
            <w:noWrap w:val="false"/>
          </w:tcPr>
          <w:p>
            <w:pPr>
              <w:pStyle w:val="1005"/>
              <w:ind w:left="57" w:right="57"/>
            </w:pPr>
            <w:r>
              <w:t xml:space="preserve">Номер запроса</w:t>
            </w:r>
            <w:r/>
          </w:p>
        </w:tc>
        <w:tc>
          <w:tcPr>
            <w:shd w:val="clear" w:fill="auto" w:color="auto"/>
            <w:tcW w:w="7427" w:type="dxa"/>
            <w:textDirection w:val="lrTb"/>
            <w:noWrap w:val="false"/>
          </w:tcPr>
          <w:p>
            <w:pPr>
              <w:pStyle w:val="1005"/>
              <w:ind w:left="57" w:right="57"/>
            </w:pPr>
            <w:r>
              <w:t xml:space="preserve">Поле недоступно для редактирования.</w:t>
            </w:r>
            <w:r/>
          </w:p>
          <w:p>
            <w:pPr>
              <w:pStyle w:val="1005"/>
              <w:ind w:left="57" w:right="57"/>
            </w:pPr>
            <w:r>
              <w:t xml:space="preserve">Заполняется автоматически значением поля «Номер (запроса)» родительского документа «Запрос на подтверждение».</w:t>
            </w:r>
            <w:r/>
          </w:p>
        </w:tc>
      </w:tr>
      <w:tr>
        <w:trPr/>
        <w:tc>
          <w:tcPr>
            <w:shd w:val="clear" w:fill="auto" w:color="auto"/>
            <w:tcW w:w="2325" w:type="dxa"/>
            <w:textDirection w:val="lrTb"/>
            <w:noWrap w:val="false"/>
          </w:tcPr>
          <w:p>
            <w:pPr>
              <w:pStyle w:val="1005"/>
              <w:ind w:left="57" w:right="57"/>
            </w:pPr>
            <w:r>
              <w:t xml:space="preserve">Дата запроса</w:t>
            </w:r>
            <w:r/>
          </w:p>
        </w:tc>
        <w:tc>
          <w:tcPr>
            <w:shd w:val="clear" w:fill="auto" w:color="auto"/>
            <w:tcW w:w="7427" w:type="dxa"/>
            <w:textDirection w:val="lrTb"/>
            <w:noWrap w:val="false"/>
          </w:tcPr>
          <w:p>
            <w:pPr>
              <w:pStyle w:val="1005"/>
              <w:ind w:left="57" w:right="57"/>
            </w:pPr>
            <w:r>
              <w:t xml:space="preserve">Поле недоступно для редактирования.</w:t>
            </w:r>
            <w:r/>
          </w:p>
          <w:p>
            <w:pPr>
              <w:pStyle w:val="1005"/>
              <w:ind w:left="57" w:right="57"/>
            </w:pPr>
            <w:r>
              <w:t xml:space="preserve">Заполняется автоматически значением поля «Дата (запроса)» родительского документа «Запрос на подтверждение».</w:t>
            </w:r>
            <w:r/>
          </w:p>
        </w:tc>
      </w:tr>
      <w:tr>
        <w:trPr/>
        <w:tc>
          <w:tcPr>
            <w:shd w:val="clear" w:fill="auto" w:color="auto"/>
            <w:tcW w:w="2325" w:type="dxa"/>
            <w:textDirection w:val="lrTb"/>
            <w:noWrap w:val="false"/>
          </w:tcPr>
          <w:p>
            <w:pPr>
              <w:pStyle w:val="1005"/>
              <w:ind w:left="57" w:right="57"/>
            </w:pPr>
            <w:r>
              <w:t xml:space="preserve">Номер сведений</w:t>
            </w:r>
            <w:r/>
          </w:p>
        </w:tc>
        <w:tc>
          <w:tcPr>
            <w:shd w:val="clear" w:fill="auto" w:color="auto"/>
            <w:tcW w:w="7427" w:type="dxa"/>
            <w:textDirection w:val="lrTb"/>
            <w:noWrap w:val="false"/>
          </w:tcPr>
          <w:p>
            <w:pPr>
              <w:pStyle w:val="1005"/>
              <w:ind w:left="57" w:right="57"/>
            </w:pPr>
            <w:r>
              <w:t xml:space="preserve">Поле недоступно для редактирования.</w:t>
            </w:r>
            <w:r/>
          </w:p>
          <w:p>
            <w:pPr>
              <w:pStyle w:val="1005"/>
              <w:ind w:left="57" w:right="57"/>
            </w:pPr>
            <w:r>
              <w:t xml:space="preserve">Заполняется автоматически значением поля «Номер сведений» родительского документа «Запрос на подтверждение».</w:t>
            </w:r>
            <w:r/>
          </w:p>
        </w:tc>
      </w:tr>
      <w:tr>
        <w:trPr/>
        <w:tc>
          <w:tcPr>
            <w:shd w:val="clear" w:fill="auto" w:color="auto"/>
            <w:tcW w:w="2325" w:type="dxa"/>
            <w:textDirection w:val="lrTb"/>
            <w:noWrap w:val="false"/>
          </w:tcPr>
          <w:p>
            <w:pPr>
              <w:pStyle w:val="1005"/>
              <w:ind w:left="57" w:right="57"/>
            </w:pPr>
            <w:r>
              <w:t xml:space="preserve">Дата сведений</w:t>
            </w:r>
            <w:r/>
          </w:p>
        </w:tc>
        <w:tc>
          <w:tcPr>
            <w:shd w:val="clear" w:fill="auto" w:color="auto"/>
            <w:tcW w:w="7427" w:type="dxa"/>
            <w:textDirection w:val="lrTb"/>
            <w:noWrap w:val="false"/>
          </w:tcPr>
          <w:p>
            <w:pPr>
              <w:pStyle w:val="1005"/>
              <w:ind w:left="57" w:right="57"/>
            </w:pPr>
            <w:r>
              <w:t xml:space="preserve">Поле недоступно для редактирования.</w:t>
            </w:r>
            <w:r/>
          </w:p>
          <w:p>
            <w:pPr>
              <w:pStyle w:val="1005"/>
              <w:ind w:left="57" w:right="57"/>
            </w:pPr>
            <w:r>
              <w:t xml:space="preserve">Заполняется автоматически значением поля «Дата сведений» родительского документа «Запрос на подтверждение».</w:t>
            </w:r>
            <w:r/>
          </w:p>
        </w:tc>
      </w:tr>
      <w:tr>
        <w:trPr/>
        <w:tc>
          <w:tcPr>
            <w:shd w:val="clear" w:fill="auto" w:color="auto"/>
            <w:tcW w:w="2325" w:type="dxa"/>
            <w:textDirection w:val="lrTb"/>
            <w:noWrap w:val="false"/>
          </w:tcPr>
          <w:p>
            <w:pPr>
              <w:pStyle w:val="1005"/>
              <w:ind w:left="57" w:right="57"/>
            </w:pPr>
            <w:r>
              <w:t xml:space="preserve">Полное наименование </w:t>
            </w:r>
            <w:r/>
          </w:p>
        </w:tc>
        <w:tc>
          <w:tcPr>
            <w:shd w:val="clear" w:fill="auto" w:color="auto"/>
            <w:tcW w:w="7427" w:type="dxa"/>
            <w:textDirection w:val="lrTb"/>
            <w:noWrap w:val="false"/>
          </w:tcPr>
          <w:p>
            <w:pPr>
              <w:pStyle w:val="1005"/>
              <w:ind w:left="57" w:right="57"/>
            </w:pPr>
            <w:r>
              <w:t xml:space="preserve">Полное наименование организации.</w:t>
            </w:r>
            <w:r/>
          </w:p>
          <w:p>
            <w:pPr>
              <w:pStyle w:val="1005"/>
              <w:ind w:left="57" w:right="57"/>
            </w:pPr>
            <w:r>
              <w:t xml:space="preserve">Поле недоступно для редактирования.</w:t>
            </w:r>
            <w:r/>
          </w:p>
          <w:p>
            <w:pPr>
              <w:pStyle w:val="1005"/>
              <w:ind w:left="57" w:right="57"/>
            </w:pPr>
            <w:r>
              <w:t xml:space="preserve">Заполняется автоматически значением поля родительского документа «Запрос на подтверждение».</w:t>
            </w:r>
            <w:r/>
          </w:p>
        </w:tc>
      </w:tr>
      <w:tr>
        <w:trPr/>
        <w:tc>
          <w:tcPr>
            <w:shd w:val="clear" w:fill="auto" w:color="auto"/>
            <w:tcW w:w="2325" w:type="dxa"/>
            <w:textDirection w:val="lrTb"/>
            <w:noWrap w:val="false"/>
          </w:tcPr>
          <w:p>
            <w:pPr>
              <w:pStyle w:val="1005"/>
              <w:ind w:left="57" w:right="57"/>
            </w:pPr>
            <w:r>
              <w:t xml:space="preserve">Краткое наименование </w:t>
            </w:r>
            <w:r/>
          </w:p>
        </w:tc>
        <w:tc>
          <w:tcPr>
            <w:shd w:val="clear" w:fill="auto" w:color="auto"/>
            <w:tcW w:w="7427" w:type="dxa"/>
            <w:textDirection w:val="lrTb"/>
            <w:noWrap w:val="false"/>
          </w:tcPr>
          <w:p>
            <w:pPr>
              <w:pStyle w:val="1005"/>
              <w:ind w:left="57" w:right="57"/>
            </w:pPr>
            <w:r>
              <w:t xml:space="preserve">Краткое наименование организации.</w:t>
            </w:r>
            <w:r/>
          </w:p>
          <w:p>
            <w:pPr>
              <w:pStyle w:val="1005"/>
              <w:ind w:left="57" w:right="57"/>
            </w:pPr>
            <w:r>
              <w:t xml:space="preserve">Поле недоступно для редактирования.</w:t>
            </w:r>
            <w:r/>
          </w:p>
          <w:p>
            <w:pPr>
              <w:pStyle w:val="1005"/>
              <w:ind w:left="57" w:right="57"/>
            </w:pPr>
            <w:r>
              <w:t xml:space="preserve">Заполняется автоматически зн</w:t>
            </w:r>
            <w:r>
              <w:t xml:space="preserve">ачением поля </w:t>
            </w:r>
            <w:r>
              <w:t xml:space="preserve">родительского документа «Запрос на подтверждение».</w:t>
            </w:r>
            <w:r/>
          </w:p>
        </w:tc>
      </w:tr>
      <w:tr>
        <w:trPr/>
        <w:tc>
          <w:tcPr>
            <w:shd w:val="clear" w:fill="auto" w:color="auto"/>
            <w:tcW w:w="2325" w:type="dxa"/>
            <w:textDirection w:val="lrTb"/>
            <w:noWrap w:val="false"/>
          </w:tcPr>
          <w:p>
            <w:pPr>
              <w:pStyle w:val="1005"/>
              <w:ind w:left="57" w:right="57"/>
            </w:pPr>
            <w:r>
              <w:t xml:space="preserve">Признак</w:t>
            </w:r>
            <w:r/>
          </w:p>
        </w:tc>
        <w:tc>
          <w:tcPr>
            <w:shd w:val="clear" w:fill="auto" w:color="auto"/>
            <w:tcW w:w="7427" w:type="dxa"/>
            <w:textDirection w:val="lrTb"/>
            <w:noWrap w:val="false"/>
          </w:tcPr>
          <w:p>
            <w:pPr>
              <w:pStyle w:val="1005"/>
              <w:ind w:left="57" w:right="57"/>
            </w:pPr>
            <w:r>
              <w:t xml:space="preserve">Список возможных значений:</w:t>
            </w:r>
            <w:r/>
          </w:p>
          <w:p>
            <w:pPr>
              <w:pStyle w:val="1007"/>
            </w:pPr>
            <w:r>
              <w:t xml:space="preserve">«0»</w:t>
            </w:r>
            <w:r>
              <w:t xml:space="preserve"> – </w:t>
            </w:r>
            <w:r>
              <w:t xml:space="preserve">«Подтверждение»;</w:t>
            </w:r>
            <w:r/>
          </w:p>
          <w:p>
            <w:pPr>
              <w:pStyle w:val="1007"/>
            </w:pPr>
            <w:r>
              <w:t xml:space="preserve">«1»</w:t>
            </w:r>
            <w:r>
              <w:t xml:space="preserve"> – </w:t>
            </w:r>
            <w:r>
              <w:t xml:space="preserve">«Аннулирование».</w:t>
            </w:r>
            <w:r/>
          </w:p>
        </w:tc>
      </w:tr>
      <w:tr>
        <w:trPr/>
        <w:tc>
          <w:tcPr>
            <w:shd w:val="clear" w:fill="auto" w:color="auto"/>
            <w:tcW w:w="2325" w:type="dxa"/>
            <w:textDirection w:val="lrTb"/>
            <w:noWrap w:val="false"/>
          </w:tcPr>
          <w:p>
            <w:pPr>
              <w:pStyle w:val="1005"/>
              <w:ind w:left="57" w:right="57"/>
            </w:pPr>
            <w:r>
              <w:t xml:space="preserve">Основание аннулирования</w:t>
            </w:r>
            <w:r/>
          </w:p>
        </w:tc>
        <w:tc>
          <w:tcPr>
            <w:shd w:val="clear" w:fill="auto" w:color="auto"/>
            <w:tcW w:w="7427" w:type="dxa"/>
            <w:textDirection w:val="lrTb"/>
            <w:noWrap w:val="false"/>
          </w:tcPr>
          <w:p>
            <w:pPr>
              <w:pStyle w:val="1005"/>
              <w:ind w:left="57" w:right="57"/>
            </w:pPr>
            <w:r>
              <w:t xml:space="preserve">Заполняется пользователем вручную.</w:t>
            </w:r>
            <w:r/>
          </w:p>
        </w:tc>
      </w:tr>
    </w:tbl>
    <w:p>
      <w:pPr>
        <w:pStyle w:val="994"/>
      </w:pPr>
      <w:r>
        <w:t xml:space="preserve">ЭФ документа «Уведомление о подтверждении (аннулировании)</w:t>
      </w:r>
      <w:r>
        <w:t xml:space="preserve">», закладки «</w:t>
      </w:r>
      <w:r>
        <w:t xml:space="preserve">По</w:t>
      </w:r>
      <w:r>
        <w:t xml:space="preserve">д</w:t>
      </w:r>
      <w:r>
        <w:t xml:space="preserve">писи (2)»</w:t>
      </w:r>
      <w:r>
        <w:t xml:space="preserve"> представлена на </w:t>
      </w:r>
      <w:r>
        <w:t xml:space="preserve">рисунке</w:t>
      </w:r>
      <w:r>
        <w:t xml:space="preserve"> </w:t>
      </w:r>
      <w:r>
        <w:fldChar w:fldCharType="begin"/>
      </w:r>
      <w:r>
        <w:instrText xml:space="preserve"> REF _Ref356378125 \h  \* MERGEFORMAT </w:instrText>
      </w:r>
      <w:r>
        <w:fldChar w:fldCharType="separate"/>
      </w:r>
      <w:r>
        <w:t xml:space="preserve">322</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2842260"/>
                <wp:effectExtent l="0" t="0" r="0" b="0"/>
                <wp:docPr id="46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12"/>
                        <a:stretch/>
                      </pic:blipFill>
                      <pic:spPr bwMode="auto">
                        <a:xfrm>
                          <a:off x="0" y="0"/>
                          <a:ext cx="6126480" cy="28422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6" o:spid="_x0000_s466" type="#_x0000_t75" style="mso-wrap-distance-left:0.0pt;mso-wrap-distance-top:0.0pt;mso-wrap-distance-right:0.0pt;mso-wrap-distance-bottom:0.0pt;width:482.4pt;height:223.8pt;" stroked="f">
                <v:path textboxrect="0,0,0,0"/>
                <v:imagedata r:id="rId412" o:title=""/>
              </v:shape>
            </w:pict>
          </mc:Fallback>
        </mc:AlternateContent>
      </w:r>
      <w:r/>
    </w:p>
    <w:p>
      <w:pPr>
        <w:pStyle w:val="983"/>
      </w:pPr>
      <w:r>
        <w:fldChar w:fldCharType="begin"/>
      </w:r>
      <w:r>
        <w:instrText xml:space="preserve"> SEQ Рисунок \* ARABIC </w:instrText>
      </w:r>
      <w:r>
        <w:fldChar w:fldCharType="separate"/>
      </w:r>
      <w:bookmarkStart w:id="2099" w:name="_Ref356378125"/>
      <w:r/>
      <w:bookmarkStart w:id="2100" w:name="_Toc88819707"/>
      <w:r>
        <w:t xml:space="preserve">322</w:t>
      </w:r>
      <w:bookmarkEnd w:id="2099"/>
      <w:r>
        <w:fldChar w:fldCharType="end"/>
      </w:r>
      <w:r>
        <w:t xml:space="preserve">. ЭФ документа «Уведомление о подтверждении (аннулировании)</w:t>
      </w:r>
      <w:r>
        <w:t xml:space="preserve">», закладки «</w:t>
      </w:r>
      <w:r>
        <w:t xml:space="preserve">Подписи (2)»</w:t>
      </w:r>
      <w:bookmarkEnd w:id="2100"/>
      <w:r/>
      <w:r/>
    </w:p>
    <w:p>
      <w:pPr>
        <w:pStyle w:val="994"/>
      </w:pPr>
      <w:r>
        <w:t xml:space="preserve">Перечень полей </w:t>
      </w:r>
      <w:r>
        <w:t xml:space="preserve">документа «Уведомление о подтверждении (аннулировании)</w:t>
      </w:r>
      <w:r>
        <w:t xml:space="preserve">», закладки «</w:t>
      </w:r>
      <w:r>
        <w:t xml:space="preserve">По</w:t>
      </w:r>
      <w:r>
        <w:t xml:space="preserve">д</w:t>
      </w:r>
      <w:r>
        <w:t xml:space="preserve">писи (2)»</w:t>
      </w:r>
      <w:r>
        <w:t xml:space="preserve"> </w:t>
      </w:r>
      <w:r>
        <w:t xml:space="preserve">приведен в таблице</w:t>
      </w:r>
      <w:r>
        <w:t xml:space="preserve"> </w:t>
      </w:r>
      <w:r>
        <w:fldChar w:fldCharType="begin"/>
      </w:r>
      <w:r>
        <w:instrText xml:space="preserve"> REF _Ref356378378 \h  \* MERGEFORMAT </w:instrText>
      </w:r>
      <w:r>
        <w:fldChar w:fldCharType="separate"/>
      </w:r>
      <w:r>
        <w:t xml:space="preserve">191</w:t>
      </w:r>
      <w:r>
        <w:fldChar w:fldCharType="end"/>
      </w:r>
      <w:r>
        <w:t xml:space="preserve">.</w:t>
      </w:r>
      <w:r/>
    </w:p>
    <w:p>
      <w:pPr>
        <w:pStyle w:val="993"/>
      </w:pPr>
      <w:r>
        <w:fldChar w:fldCharType="begin"/>
      </w:r>
      <w:r>
        <w:instrText xml:space="preserve"> SEQ Таблица \* ARABIC </w:instrText>
      </w:r>
      <w:r>
        <w:fldChar w:fldCharType="separate"/>
      </w:r>
      <w:bookmarkStart w:id="2101" w:name="_Ref356378378"/>
      <w:r/>
      <w:bookmarkStart w:id="2102" w:name="_Toc88819378"/>
      <w:r>
        <w:t xml:space="preserve">191</w:t>
      </w:r>
      <w:bookmarkEnd w:id="2101"/>
      <w:r>
        <w:fldChar w:fldCharType="end"/>
      </w:r>
      <w:r>
        <w:t xml:space="preserve">. </w:t>
      </w:r>
      <w:r>
        <w:t xml:space="preserve">Описание</w:t>
      </w:r>
      <w:r>
        <w:t xml:space="preserve"> полей </w:t>
      </w:r>
      <w:r>
        <w:t xml:space="preserve">документа «Уведомление о подтверждении (аннулировании)</w:t>
      </w:r>
      <w:r>
        <w:t xml:space="preserve">», закладки «</w:t>
      </w:r>
      <w:r>
        <w:t xml:space="preserve">По</w:t>
      </w:r>
      <w:r>
        <w:t xml:space="preserve">д</w:t>
      </w:r>
      <w:r>
        <w:t xml:space="preserve">писи (2)»</w:t>
      </w:r>
      <w:bookmarkEnd w:id="2102"/>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25"/>
        <w:gridCol w:w="7427"/>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2325" w:type="dxa"/>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7427" w:type="dxa"/>
            <w:vAlign w:val="center"/>
            <w:textDirection w:val="lrTb"/>
            <w:noWrap w:val="false"/>
          </w:tcPr>
          <w:p>
            <w:pPr>
              <w:pStyle w:val="1006"/>
            </w:pPr>
            <w:r>
              <w:t xml:space="preserve">Описание</w:t>
            </w:r>
            <w:r>
              <w:t xml:space="preserve"> поля</w:t>
            </w:r>
            <w:r/>
          </w:p>
        </w:tc>
      </w:tr>
      <w:tr>
        <w:trPr/>
        <w:tc>
          <w:tcPr>
            <w:gridSpan w:val="2"/>
            <w:shd w:val="clear" w:fill="auto" w:color="auto"/>
            <w:tcW w:w="9752" w:type="dxa"/>
            <w:textDirection w:val="lrTb"/>
            <w:noWrap w:val="false"/>
          </w:tcPr>
          <w:p>
            <w:pPr>
              <w:pStyle w:val="1005"/>
              <w:ind w:left="57" w:right="57"/>
            </w:pPr>
            <w:r>
              <w:t xml:space="preserve">Группа полей «Руководитель (уполномоченное лицо)»</w:t>
            </w:r>
            <w:r/>
          </w:p>
        </w:tc>
      </w:tr>
      <w:tr>
        <w:trPr/>
        <w:tc>
          <w:tcPr>
            <w:shd w:val="clear" w:fill="auto" w:color="auto"/>
            <w:tcW w:w="2325" w:type="dxa"/>
            <w:textDirection w:val="lrTb"/>
            <w:noWrap w:val="false"/>
          </w:tcPr>
          <w:p>
            <w:pPr>
              <w:pStyle w:val="1005"/>
              <w:ind w:left="57" w:right="57"/>
            </w:pPr>
            <w:r>
              <w:t xml:space="preserve">Должность</w:t>
            </w:r>
            <w:r/>
          </w:p>
        </w:tc>
        <w:tc>
          <w:tcPr>
            <w:shd w:val="clear" w:fill="auto" w:color="auto"/>
            <w:tcW w:w="7427" w:type="dxa"/>
            <w:textDirection w:val="lrTb"/>
            <w:noWrap w:val="false"/>
          </w:tcPr>
          <w:p>
            <w:pPr>
              <w:pStyle w:val="1005"/>
              <w:ind w:left="57" w:right="57"/>
            </w:pPr>
            <w:r>
              <w:t xml:space="preserve">Заполняется автоматически значением из справочника «Сотрудники» соответствующим значению поля «Руководитель (уполномоченное лицо): ФИО».</w:t>
            </w:r>
            <w:r/>
          </w:p>
          <w:p>
            <w:pPr>
              <w:pStyle w:val="1005"/>
              <w:ind w:left="57" w:right="57"/>
            </w:pPr>
            <w:r>
              <w:t xml:space="preserve">Возможно редактирование пользователем вручную.</w:t>
            </w:r>
            <w:r/>
          </w:p>
          <w:p>
            <w:pPr>
              <w:pStyle w:val="1005"/>
              <w:ind w:left="57" w:right="57"/>
            </w:pPr>
            <w:r>
              <w:t xml:space="preserve">Требуется вывод подсказки пользователю: «Заполняется только в случае подписания документ уполномоченным руководителем лицом».</w:t>
            </w:r>
            <w:r/>
          </w:p>
        </w:tc>
      </w:tr>
      <w:tr>
        <w:trPr/>
        <w:tc>
          <w:tcPr>
            <w:shd w:val="clear" w:fill="auto" w:color="auto"/>
            <w:tcW w:w="2325" w:type="dxa"/>
            <w:textDirection w:val="lrTb"/>
            <w:noWrap w:val="false"/>
          </w:tcPr>
          <w:p>
            <w:pPr>
              <w:pStyle w:val="1005"/>
              <w:ind w:left="57" w:right="57"/>
            </w:pPr>
            <w:r>
              <w:t xml:space="preserve">ФИО</w:t>
            </w:r>
            <w:r/>
          </w:p>
        </w:tc>
        <w:tc>
          <w:tcPr>
            <w:shd w:val="clear" w:fill="auto" w:color="auto"/>
            <w:tcW w:w="7427" w:type="dxa"/>
            <w:textDirection w:val="lrTb"/>
            <w:noWrap w:val="false"/>
          </w:tcPr>
          <w:p>
            <w:pPr>
              <w:pStyle w:val="1005"/>
              <w:ind w:left="57" w:right="57"/>
            </w:pPr>
            <w:r>
              <w:t xml:space="preserve">Заполняется пользователем путем выбора из справочника «Сотрудники», либо вручную.</w:t>
            </w:r>
            <w:r/>
          </w:p>
        </w:tc>
      </w:tr>
      <w:tr>
        <w:trPr/>
        <w:tc>
          <w:tcPr>
            <w:gridSpan w:val="2"/>
            <w:shd w:val="clear" w:fill="auto" w:color="auto"/>
            <w:tcW w:w="9752" w:type="dxa"/>
            <w:textDirection w:val="lrTb"/>
            <w:noWrap w:val="false"/>
          </w:tcPr>
          <w:p>
            <w:pPr>
              <w:pStyle w:val="1005"/>
              <w:ind w:left="57" w:right="57"/>
            </w:pPr>
            <w:r>
              <w:t xml:space="preserve">Группа полей «Ответственный исполнитель»</w:t>
            </w:r>
            <w:r/>
          </w:p>
        </w:tc>
      </w:tr>
      <w:tr>
        <w:trPr/>
        <w:tc>
          <w:tcPr>
            <w:shd w:val="clear" w:fill="auto" w:color="auto"/>
            <w:tcW w:w="2325" w:type="dxa"/>
            <w:textDirection w:val="lrTb"/>
            <w:noWrap w:val="false"/>
          </w:tcPr>
          <w:p>
            <w:pPr>
              <w:pStyle w:val="1005"/>
              <w:ind w:left="57" w:right="57"/>
            </w:pPr>
            <w:r/>
            <w:r/>
          </w:p>
        </w:tc>
        <w:tc>
          <w:tcPr>
            <w:shd w:val="clear" w:fill="auto" w:color="auto"/>
            <w:tcW w:w="7427" w:type="dxa"/>
            <w:textDirection w:val="lrTb"/>
            <w:noWrap w:val="false"/>
          </w:tcPr>
          <w:p>
            <w:pPr>
              <w:pStyle w:val="1005"/>
              <w:ind w:left="57" w:right="57"/>
            </w:pPr>
            <w:r>
              <w:t xml:space="preserve">Заполняется соответствующим значением из справочника «Сотрудники» значению поля «Ответственный исполни</w:t>
            </w:r>
            <w:r>
              <w:t xml:space="preserve">тель: ФИО».</w:t>
            </w:r>
            <w:r/>
          </w:p>
          <w:p>
            <w:pPr>
              <w:pStyle w:val="1005"/>
              <w:ind w:left="57" w:right="57"/>
            </w:pPr>
            <w:r>
              <w:t xml:space="preserve">Может быть отредактировано пользователем вручную.</w:t>
            </w:r>
            <w:r/>
          </w:p>
        </w:tc>
      </w:tr>
      <w:tr>
        <w:trPr/>
        <w:tc>
          <w:tcPr>
            <w:shd w:val="clear" w:fill="auto" w:color="auto"/>
            <w:tcW w:w="2325" w:type="dxa"/>
            <w:textDirection w:val="lrTb"/>
            <w:noWrap w:val="false"/>
          </w:tcPr>
          <w:p>
            <w:pPr>
              <w:pStyle w:val="1005"/>
              <w:ind w:left="57" w:right="57"/>
            </w:pPr>
            <w:r>
              <w:t xml:space="preserve">ФИО </w:t>
            </w:r>
            <w:r/>
          </w:p>
        </w:tc>
        <w:tc>
          <w:tcPr>
            <w:shd w:val="clear" w:fill="auto" w:color="auto"/>
            <w:tcW w:w="7427" w:type="dxa"/>
            <w:textDirection w:val="lrTb"/>
            <w:noWrap w:val="false"/>
          </w:tcPr>
          <w:p>
            <w:pPr>
              <w:pStyle w:val="1005"/>
              <w:ind w:left="57" w:right="57"/>
            </w:pPr>
            <w:r>
              <w:t xml:space="preserve">Заполняется автоматически на основании настроек профиля пользователя.</w:t>
            </w:r>
            <w:r/>
          </w:p>
          <w:p>
            <w:pPr>
              <w:pStyle w:val="1005"/>
              <w:ind w:left="57" w:right="57"/>
            </w:pPr>
            <w:r>
              <w:t xml:space="preserve">Возможен выбор из справочника «Сотрудники».</w:t>
            </w:r>
            <w:r/>
          </w:p>
          <w:p>
            <w:pPr>
              <w:pStyle w:val="1005"/>
              <w:ind w:left="57" w:right="57"/>
            </w:pPr>
            <w:r>
              <w:t xml:space="preserve">Может быть отредактировано пользователем вручную.</w:t>
            </w:r>
            <w:r/>
          </w:p>
        </w:tc>
      </w:tr>
      <w:tr>
        <w:trPr/>
        <w:tc>
          <w:tcPr>
            <w:shd w:val="clear" w:fill="auto" w:color="auto"/>
            <w:tcW w:w="2325" w:type="dxa"/>
            <w:textDirection w:val="lrTb"/>
            <w:noWrap w:val="false"/>
          </w:tcPr>
          <w:p>
            <w:pPr>
              <w:pStyle w:val="1005"/>
              <w:ind w:left="57" w:right="57"/>
            </w:pPr>
            <w:r>
              <w:t xml:space="preserve">Телефон </w:t>
            </w:r>
            <w:r/>
          </w:p>
        </w:tc>
        <w:tc>
          <w:tcPr>
            <w:shd w:val="clear" w:fill="auto" w:color="auto"/>
            <w:tcW w:w="7427" w:type="dxa"/>
            <w:textDirection w:val="lrTb"/>
            <w:noWrap w:val="false"/>
          </w:tcPr>
          <w:p>
            <w:pPr>
              <w:pStyle w:val="1005"/>
              <w:ind w:left="57" w:right="57"/>
            </w:pPr>
            <w:r>
              <w:t xml:space="preserve">Заполняется соответствующим значением из справочника «Сотрудники» значению поля «Ответственный исполнитель: ФИО».</w:t>
            </w:r>
            <w:r/>
          </w:p>
          <w:p>
            <w:pPr>
              <w:pStyle w:val="1005"/>
              <w:ind w:left="57" w:right="57"/>
            </w:pPr>
            <w:r>
              <w:t xml:space="preserve">Может быть отредактировано пользователем вручную.</w:t>
            </w:r>
            <w:r/>
          </w:p>
        </w:tc>
      </w:tr>
      <w:tr>
        <w:trPr/>
        <w:tc>
          <w:tcPr>
            <w:shd w:val="clear" w:fill="auto" w:color="auto"/>
            <w:tcW w:w="2325" w:type="dxa"/>
            <w:textDirection w:val="lrTb"/>
            <w:noWrap w:val="false"/>
          </w:tcPr>
          <w:p>
            <w:pPr>
              <w:pStyle w:val="1005"/>
              <w:ind w:left="57" w:right="57"/>
            </w:pPr>
            <w:r>
              <w:t xml:space="preserve">Дата подписания</w:t>
            </w:r>
            <w:r/>
          </w:p>
        </w:tc>
        <w:tc>
          <w:tcPr>
            <w:shd w:val="clear" w:fill="auto" w:color="auto"/>
            <w:tcW w:w="7427" w:type="dxa"/>
            <w:textDirection w:val="lrTb"/>
            <w:noWrap w:val="false"/>
          </w:tcPr>
          <w:p>
            <w:pPr>
              <w:pStyle w:val="1005"/>
              <w:ind w:left="57" w:right="57"/>
            </w:pPr>
            <w:r>
              <w:t xml:space="preserve">Дата подписания документа.</w:t>
            </w:r>
            <w:r/>
          </w:p>
          <w:p>
            <w:pPr>
              <w:pStyle w:val="1005"/>
              <w:ind w:left="57" w:right="57"/>
            </w:pPr>
            <w:r>
              <w:t xml:space="preserve">Заполняется автоматически текущей системной датой.</w:t>
            </w:r>
            <w:r/>
          </w:p>
          <w:p>
            <w:pPr>
              <w:pStyle w:val="1005"/>
              <w:ind w:left="57" w:right="57"/>
            </w:pPr>
            <w:r>
              <w:t xml:space="preserve">Возможно изменение пользователем вручную, </w:t>
            </w:r>
            <w:r>
              <w:t xml:space="preserve">или</w:t>
            </w:r>
            <w:r>
              <w:t xml:space="preserve"> из системного календаря.</w:t>
            </w:r>
            <w:r/>
          </w:p>
        </w:tc>
      </w:tr>
      <w:tr>
        <w:trPr/>
        <w:tc>
          <w:tcPr>
            <w:shd w:val="clear" w:fill="auto" w:color="auto"/>
            <w:tcW w:w="2325" w:type="dxa"/>
            <w:textDirection w:val="lrTb"/>
            <w:noWrap w:val="false"/>
          </w:tcPr>
          <w:p>
            <w:pPr>
              <w:pStyle w:val="1005"/>
              <w:ind w:left="57" w:right="57"/>
            </w:pPr>
            <w:r>
              <w:t xml:space="preserve">Результат обработки в ППО «СЭД»</w:t>
            </w:r>
            <w:r/>
          </w:p>
        </w:tc>
        <w:tc>
          <w:tcPr>
            <w:shd w:val="clear" w:fill="auto" w:color="auto"/>
            <w:tcW w:w="7427" w:type="dxa"/>
            <w:textDirection w:val="lrTb"/>
            <w:noWrap w:val="false"/>
          </w:tcPr>
          <w:p>
            <w:pPr>
              <w:pStyle w:val="1005"/>
              <w:ind w:left="57" w:right="57"/>
            </w:pPr>
            <w:r>
              <w:t xml:space="preserve">Указывается результат обработки ЭД «Уведомление о подтверждении (аннулировании)» в ППО «СЭД».</w:t>
            </w:r>
            <w:r/>
          </w:p>
          <w:p>
            <w:pPr>
              <w:pStyle w:val="1005"/>
              <w:ind w:left="57" w:right="57"/>
            </w:pPr>
            <w:r>
              <w:t xml:space="preserve">Поле недоступно для редактирования. </w:t>
            </w:r>
            <w:r/>
          </w:p>
          <w:p>
            <w:pPr>
              <w:pStyle w:val="1005"/>
              <w:ind w:left="57" w:right="57"/>
            </w:pPr>
            <w:r>
              <w:t xml:space="preserve">Заполняется значением поля «Комментарий» ЭД «Квиток»</w:t>
            </w:r>
            <w:r>
              <w:t xml:space="preserve">.</w:t>
            </w:r>
            <w:r>
              <w:t xml:space="preserve"> </w:t>
            </w:r>
            <w:r>
              <w:t xml:space="preserve">В случае если </w:t>
            </w:r>
            <w:r>
              <w:t xml:space="preserve">документом не пройден контроль в ППО «СЭД».</w:t>
            </w:r>
            <w:r/>
          </w:p>
        </w:tc>
      </w:tr>
    </w:tbl>
    <w:p>
      <w:pPr>
        <w:pStyle w:val="972"/>
      </w:pPr>
      <w:r/>
      <w:bookmarkStart w:id="2103" w:name="_Ref356406305"/>
      <w:r/>
      <w:bookmarkStart w:id="2104" w:name="_Toc422496755"/>
      <w:r/>
      <w:bookmarkStart w:id="2105" w:name="_Toc88819180"/>
      <w:r>
        <w:t xml:space="preserve">Информация из реестра</w:t>
      </w:r>
      <w:bookmarkEnd w:id="2065"/>
      <w:r/>
      <w:bookmarkEnd w:id="2103"/>
      <w:r/>
      <w:bookmarkEnd w:id="2104"/>
      <w:r/>
      <w:bookmarkEnd w:id="2105"/>
      <w:r/>
      <w:r/>
    </w:p>
    <w:p>
      <w:pPr>
        <w:pStyle w:val="994"/>
      </w:pPr>
      <w:r>
        <w:t xml:space="preserve">Регистрация пользова</w:t>
      </w:r>
      <w:r>
        <w:t xml:space="preserve">телей ООС осуществляется на основании документа «Сведения об организации», который предоставляется организацией в ОрФК. Документы «Сведения об организации» при поступлении в ОрФК должны проходить автоматизированные поверки реквизитов и проверки на наличие </w:t>
      </w:r>
      <w:r>
        <w:t xml:space="preserve">в справочниках. При проверке ЭД «Сведения об организации», предоставляемых организациями, относящимися к типам «04», «05», «06», контролируется наличие организации в справочнике НУБП, включенных в данный справочник на основании ЭД «Информация из реестра». </w:t>
      </w:r>
      <w:r/>
    </w:p>
    <w:p>
      <w:pPr>
        <w:pStyle w:val="994"/>
      </w:pPr>
      <w:r>
        <w:t xml:space="preserve">Для работы с документами </w:t>
      </w:r>
      <w:r>
        <w:t xml:space="preserve">«Информация из реестра» </w:t>
      </w:r>
      <w:r>
        <w:t xml:space="preserve">следует перейти в пункт меню</w:t>
      </w:r>
      <w:r>
        <w:t xml:space="preserve"> «Документы – Регистрация пользователей на официальном сайте РФ – Информация из реестра»</w:t>
      </w:r>
      <w:r>
        <w:t xml:space="preserve">. </w:t>
      </w:r>
      <w:r>
        <w:t xml:space="preserve">Откроется ЭФ списка документов, представленная на рисунке</w:t>
      </w:r>
      <w:r>
        <w:t xml:space="preserve"> </w:t>
      </w:r>
      <w:r>
        <w:fldChar w:fldCharType="begin"/>
      </w:r>
      <w:r>
        <w:instrText xml:space="preserve"> REF _Ref356297811 \h  \* MERGEFORMAT </w:instrText>
      </w:r>
      <w:r>
        <w:fldChar w:fldCharType="separate"/>
      </w:r>
      <w:r>
        <w:t xml:space="preserve">323</w:t>
      </w:r>
      <w:r>
        <w:fldChar w:fldCharType="end"/>
      </w:r>
      <w:r>
        <w:t xml:space="preserve">.</w:t>
      </w:r>
      <w:r/>
    </w:p>
    <w:p>
      <w:pPr>
        <w:pStyle w:val="982"/>
      </w:pPr>
      <w:r>
        <mc:AlternateContent>
          <mc:Choice Requires="wpg">
            <w:drawing>
              <wp:inline xmlns:wp="http://schemas.openxmlformats.org/drawingml/2006/wordprocessingDrawing" distT="0" distB="0" distL="0" distR="0">
                <wp:extent cx="6149340" cy="3749040"/>
                <wp:effectExtent l="0" t="0" r="0" b="0"/>
                <wp:docPr id="46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13"/>
                        <a:stretch/>
                      </pic:blipFill>
                      <pic:spPr bwMode="auto">
                        <a:xfrm>
                          <a:off x="0" y="0"/>
                          <a:ext cx="6149340" cy="37490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7" o:spid="_x0000_s467" type="#_x0000_t75" style="mso-wrap-distance-left:0.0pt;mso-wrap-distance-top:0.0pt;mso-wrap-distance-right:0.0pt;mso-wrap-distance-bottom:0.0pt;width:484.2pt;height:295.2pt;" stroked="f">
                <v:path textboxrect="0,0,0,0"/>
                <v:imagedata r:id="rId413" o:title=""/>
              </v:shape>
            </w:pict>
          </mc:Fallback>
        </mc:AlternateContent>
      </w:r>
      <w:r/>
    </w:p>
    <w:p>
      <w:pPr>
        <w:pStyle w:val="983"/>
      </w:pPr>
      <w:r>
        <w:fldChar w:fldCharType="begin"/>
      </w:r>
      <w:r>
        <w:instrText xml:space="preserve"> SEQ Рисунок \* ARABIC </w:instrText>
      </w:r>
      <w:r>
        <w:fldChar w:fldCharType="separate"/>
      </w:r>
      <w:bookmarkStart w:id="2106" w:name="_Ref356297811"/>
      <w:r/>
      <w:bookmarkStart w:id="2107" w:name="_Toc88819708"/>
      <w:r>
        <w:t xml:space="preserve">323</w:t>
      </w:r>
      <w:bookmarkEnd w:id="2106"/>
      <w:r>
        <w:fldChar w:fldCharType="end"/>
      </w:r>
      <w:r>
        <w:t xml:space="preserve">. </w:t>
      </w:r>
      <w:r>
        <w:t xml:space="preserve">ЭФ списка</w:t>
      </w:r>
      <w:r>
        <w:t xml:space="preserve"> документов «Информация из реестра»</w:t>
      </w:r>
      <w:bookmarkEnd w:id="2107"/>
      <w:r/>
      <w:r/>
    </w:p>
    <w:p>
      <w:pPr>
        <w:pStyle w:val="973"/>
      </w:pPr>
      <w:r>
        <w:t xml:space="preserve">Доступные операции</w:t>
      </w:r>
      <w:r/>
    </w:p>
    <w:p>
      <w:pPr>
        <w:pStyle w:val="994"/>
      </w:pPr>
      <w:r>
        <w:t xml:space="preserve">На АРМ ФО доступны следующие операции</w:t>
      </w:r>
      <w:r>
        <w:t xml:space="preserve"> над документом</w:t>
      </w:r>
      <w:r>
        <w:t xml:space="preserve">:</w:t>
      </w:r>
      <w:r/>
    </w:p>
    <w:p>
      <w:pPr>
        <w:pStyle w:val="985"/>
      </w:pPr>
      <w:r>
        <w:t xml:space="preserve">ручной ввод;</w:t>
      </w:r>
      <w:r/>
    </w:p>
    <w:p>
      <w:pPr>
        <w:pStyle w:val="985"/>
      </w:pPr>
      <w:r>
        <w:t xml:space="preserve">просмотр и </w:t>
      </w:r>
      <w:r>
        <w:t xml:space="preserve">редактирование;</w:t>
      </w:r>
      <w:r/>
    </w:p>
    <w:p>
      <w:pPr>
        <w:pStyle w:val="985"/>
      </w:pPr>
      <w:r>
        <w:t xml:space="preserve">копирование и </w:t>
      </w:r>
      <w:r>
        <w:t xml:space="preserve">удаление;</w:t>
      </w:r>
      <w:r/>
    </w:p>
    <w:p>
      <w:pPr>
        <w:pStyle w:val="985"/>
      </w:pPr>
      <w:r>
        <w:t xml:space="preserve">подписание </w:t>
      </w:r>
      <w:r>
        <w:t xml:space="preserve">ЭП</w:t>
      </w:r>
      <w:r>
        <w:t xml:space="preserve">;</w:t>
      </w:r>
      <w:r/>
    </w:p>
    <w:p>
      <w:pPr>
        <w:pStyle w:val="985"/>
      </w:pPr>
      <w:r>
        <w:t xml:space="preserve">экспорт во внешнюю систему;</w:t>
      </w:r>
      <w:r/>
    </w:p>
    <w:p>
      <w:pPr>
        <w:pStyle w:val="985"/>
      </w:pPr>
      <w:r>
        <w:t xml:space="preserve">импорт из внешней системы.</w:t>
      </w:r>
      <w:r/>
    </w:p>
    <w:p>
      <w:pPr>
        <w:pStyle w:val="973"/>
      </w:pPr>
      <w:r>
        <w:t xml:space="preserve">Экранная форма документа</w:t>
      </w:r>
      <w:r/>
    </w:p>
    <w:p>
      <w:pPr>
        <w:pStyle w:val="994"/>
      </w:pPr>
      <w:r>
        <w:t xml:space="preserve">ЭФ документа «Информация из реестра» представлена на рисунке</w:t>
      </w:r>
      <w:r>
        <w:t xml:space="preserve"> </w:t>
      </w:r>
      <w:r>
        <w:fldChar w:fldCharType="begin"/>
      </w:r>
      <w:r>
        <w:instrText xml:space="preserve"> REF _Ref356297992 \h  \* MERGEFORMAT </w:instrText>
      </w:r>
      <w:r>
        <w:fldChar w:fldCharType="separate"/>
      </w:r>
      <w:r>
        <w:t xml:space="preserve">324</w:t>
      </w:r>
      <w:r>
        <w:fldChar w:fldCharType="end"/>
      </w:r>
      <w:r>
        <w:t xml:space="preserve">. </w:t>
      </w:r>
      <w:r>
        <w:t xml:space="preserve">Форма содержит следующие закладки</w:t>
      </w:r>
      <w:r>
        <w:t xml:space="preserve">:</w:t>
      </w:r>
      <w:r/>
    </w:p>
    <w:p>
      <w:pPr>
        <w:pStyle w:val="985"/>
      </w:pPr>
      <w:r>
        <w:t xml:space="preserve">«Основные реквизиты (1)»;</w:t>
      </w:r>
      <w:r/>
    </w:p>
    <w:p>
      <w:pPr>
        <w:pStyle w:val="985"/>
      </w:pPr>
      <w:r>
        <w:t xml:space="preserve">«Реквизиты организаций (2)»;</w:t>
      </w:r>
      <w:r/>
    </w:p>
    <w:p>
      <w:pPr>
        <w:pStyle w:val="985"/>
      </w:pPr>
      <w:r>
        <w:t xml:space="preserve">«Подписи (3)»</w:t>
      </w:r>
      <w:r>
        <w:t xml:space="preserve">.</w:t>
      </w:r>
      <w:r/>
    </w:p>
    <w:p>
      <w:pPr>
        <w:pStyle w:val="982"/>
      </w:pPr>
      <w:r>
        <mc:AlternateContent>
          <mc:Choice Requires="wpg">
            <w:drawing>
              <wp:inline xmlns:wp="http://schemas.openxmlformats.org/drawingml/2006/wordprocessingDrawing" distT="0" distB="0" distL="0" distR="0">
                <wp:extent cx="6126480" cy="3284220"/>
                <wp:effectExtent l="0" t="0" r="0" b="0"/>
                <wp:docPr id="469"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14"/>
                        <a:stretch/>
                      </pic:blipFill>
                      <pic:spPr bwMode="auto">
                        <a:xfrm>
                          <a:off x="0" y="0"/>
                          <a:ext cx="6126480" cy="32842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8" o:spid="_x0000_s468" type="#_x0000_t75" style="mso-wrap-distance-left:0.0pt;mso-wrap-distance-top:0.0pt;mso-wrap-distance-right:0.0pt;mso-wrap-distance-bottom:0.0pt;width:482.4pt;height:258.6pt;" stroked="f">
                <v:path textboxrect="0,0,0,0"/>
                <v:imagedata r:id="rId414" o:title=""/>
              </v:shape>
            </w:pict>
          </mc:Fallback>
        </mc:AlternateContent>
      </w:r>
      <w:r/>
    </w:p>
    <w:p>
      <w:pPr>
        <w:pStyle w:val="983"/>
      </w:pPr>
      <w:r>
        <w:fldChar w:fldCharType="begin"/>
      </w:r>
      <w:r>
        <w:instrText xml:space="preserve"> SEQ Рисунок \* ARABIC </w:instrText>
      </w:r>
      <w:r>
        <w:fldChar w:fldCharType="separate"/>
      </w:r>
      <w:bookmarkStart w:id="2108" w:name="_Ref356297992"/>
      <w:r/>
      <w:bookmarkStart w:id="2109" w:name="_Toc88819709"/>
      <w:r>
        <w:t xml:space="preserve">324</w:t>
      </w:r>
      <w:bookmarkEnd w:id="2108"/>
      <w:r>
        <w:fldChar w:fldCharType="end"/>
      </w:r>
      <w:r>
        <w:t xml:space="preserve">. ЭФ документа «Информация из реестра</w:t>
      </w:r>
      <w:r>
        <w:t xml:space="preserve">», закладки «</w:t>
      </w:r>
      <w:r>
        <w:t xml:space="preserve">Основные реквизиты (1)»</w:t>
      </w:r>
      <w:bookmarkEnd w:id="2109"/>
      <w:r/>
      <w:r/>
    </w:p>
    <w:p>
      <w:pPr>
        <w:pStyle w:val="994"/>
      </w:pPr>
      <w:r>
        <w:t xml:space="preserve">Перечень полей </w:t>
      </w:r>
      <w:r>
        <w:t xml:space="preserve">документа «Информация из реестра», закладки «Основные реквизиты (1)»</w:t>
      </w:r>
      <w:r>
        <w:t xml:space="preserve"> </w:t>
      </w:r>
      <w:r>
        <w:t xml:space="preserve">приведен в таблице</w:t>
      </w:r>
      <w:r>
        <w:t xml:space="preserve"> </w:t>
      </w:r>
      <w:r>
        <w:fldChar w:fldCharType="begin"/>
      </w:r>
      <w:r>
        <w:instrText xml:space="preserve"> REF _Ref356296671 \h  \* MERGEFORMAT </w:instrText>
      </w:r>
      <w:r>
        <w:fldChar w:fldCharType="separate"/>
      </w:r>
      <w:r>
        <w:t xml:space="preserve">192</w:t>
      </w:r>
      <w:r>
        <w:fldChar w:fldCharType="end"/>
      </w:r>
      <w:r>
        <w:t xml:space="preserve">.</w:t>
      </w:r>
      <w:r/>
    </w:p>
    <w:p>
      <w:pPr>
        <w:pStyle w:val="993"/>
      </w:pPr>
      <w:r>
        <w:fldChar w:fldCharType="begin"/>
      </w:r>
      <w:r>
        <w:instrText xml:space="preserve"> SEQ Таблица \* ARABIC </w:instrText>
      </w:r>
      <w:r>
        <w:fldChar w:fldCharType="separate"/>
      </w:r>
      <w:bookmarkStart w:id="2110" w:name="_Ref356296671"/>
      <w:r/>
      <w:bookmarkStart w:id="2111" w:name="_Toc88819379"/>
      <w:r>
        <w:t xml:space="preserve">192</w:t>
      </w:r>
      <w:bookmarkEnd w:id="2110"/>
      <w:r>
        <w:fldChar w:fldCharType="end"/>
      </w:r>
      <w:r>
        <w:t xml:space="preserve">. </w:t>
      </w:r>
      <w:r>
        <w:t xml:space="preserve">Описание</w:t>
      </w:r>
      <w:r>
        <w:t xml:space="preserve"> полей </w:t>
      </w:r>
      <w:r>
        <w:t xml:space="preserve">документа «Информация из реестра», закладки «Основные реквизиты (1)»</w:t>
      </w:r>
      <w:bookmarkEnd w:id="2111"/>
      <w:r/>
      <w:r/>
    </w:p>
    <w:tbl>
      <w:tblPr>
        <w:tblW w:w="9752"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52"/>
        <w:gridCol w:w="7400"/>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206"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94"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Группа полей</w:t>
            </w:r>
            <w:r>
              <w:t xml:space="preserve"> «Общая информация»</w:t>
            </w:r>
            <w:r/>
          </w:p>
        </w:tc>
      </w:tr>
      <w:tr>
        <w:trPr/>
        <w:tc>
          <w:tcPr>
            <w:shd w:val="clear" w:fill="auto" w:color="auto"/>
            <w:tcW w:w="1206" w:type="pct"/>
            <w:textDirection w:val="lrTb"/>
            <w:noWrap w:val="false"/>
          </w:tcPr>
          <w:p>
            <w:pPr>
              <w:pStyle w:val="1005"/>
              <w:ind w:left="57" w:right="57"/>
            </w:pPr>
            <w:r>
              <w:t xml:space="preserve">Номер </w:t>
            </w:r>
            <w:r/>
          </w:p>
        </w:tc>
        <w:tc>
          <w:tcPr>
            <w:shd w:val="clear" w:fill="auto" w:color="auto"/>
            <w:tcW w:w="3794" w:type="pct"/>
            <w:textDirection w:val="lrTb"/>
            <w:noWrap w:val="false"/>
          </w:tcPr>
          <w:p>
            <w:pPr>
              <w:pStyle w:val="1005"/>
              <w:ind w:left="57" w:right="57"/>
            </w:pPr>
            <w:r>
              <w:t xml:space="preserve">Вводится вручную.</w:t>
            </w:r>
            <w:r/>
          </w:p>
        </w:tc>
      </w:tr>
      <w:tr>
        <w:trPr/>
        <w:tc>
          <w:tcPr>
            <w:shd w:val="clear" w:fill="auto" w:color="auto"/>
            <w:tcW w:w="1206" w:type="pct"/>
            <w:textDirection w:val="lrTb"/>
            <w:noWrap w:val="false"/>
          </w:tcPr>
          <w:p>
            <w:pPr>
              <w:pStyle w:val="1005"/>
              <w:ind w:left="57" w:right="57"/>
            </w:pPr>
            <w:r>
              <w:t xml:space="preserve">Дата </w:t>
            </w:r>
            <w:r/>
          </w:p>
        </w:tc>
        <w:tc>
          <w:tcPr>
            <w:shd w:val="clear" w:fill="auto" w:color="auto"/>
            <w:tcW w:w="3794" w:type="pct"/>
            <w:textDirection w:val="lrTb"/>
            <w:noWrap w:val="false"/>
          </w:tcPr>
          <w:p>
            <w:pPr>
              <w:pStyle w:val="1005"/>
              <w:ind w:left="57" w:right="57"/>
            </w:pPr>
            <w:r>
              <w:t xml:space="preserve">Автоматически заполняется текущей системной датой.</w:t>
            </w:r>
            <w:r/>
          </w:p>
          <w:p>
            <w:pPr>
              <w:pStyle w:val="1005"/>
              <w:ind w:left="57" w:right="57"/>
            </w:pPr>
            <w:r>
              <w:t xml:space="preserve">Может быть изменено пользователем из системного календаря или вручную</w:t>
            </w:r>
            <w:r>
              <w:t xml:space="preserve">.</w:t>
            </w:r>
            <w:r/>
          </w:p>
        </w:tc>
      </w:tr>
      <w:tr>
        <w:trPr/>
        <w:tc>
          <w:tcPr>
            <w:shd w:val="clear" w:fill="auto" w:color="auto"/>
            <w:tcW w:w="1206" w:type="pct"/>
            <w:textDirection w:val="lrTb"/>
            <w:noWrap w:val="false"/>
          </w:tcPr>
          <w:p>
            <w:pPr>
              <w:pStyle w:val="1005"/>
              <w:ind w:left="57" w:right="57"/>
            </w:pPr>
            <w:r>
              <w:t xml:space="preserve">Вид реестра</w:t>
            </w:r>
            <w:r/>
          </w:p>
        </w:tc>
        <w:tc>
          <w:tcPr>
            <w:shd w:val="clear" w:fill="auto" w:color="auto"/>
            <w:tcW w:w="3794" w:type="pct"/>
            <w:textDirection w:val="lrTb"/>
            <w:noWrap w:val="false"/>
          </w:tcPr>
          <w:p>
            <w:pPr>
              <w:pStyle w:val="1005"/>
              <w:ind w:left="57" w:right="57"/>
            </w:pPr>
            <w:r>
              <w:t xml:space="preserve">Возможные значения:</w:t>
            </w:r>
            <w:r/>
          </w:p>
          <w:p>
            <w:pPr>
              <w:pStyle w:val="1007"/>
            </w:pPr>
            <w:r>
              <w:t xml:space="preserve">«1» – Реестр с</w:t>
            </w:r>
            <w:r>
              <w:t xml:space="preserve">убъектов естественных монополий;</w:t>
            </w:r>
            <w:r/>
          </w:p>
          <w:p>
            <w:pPr>
              <w:pStyle w:val="1007"/>
            </w:pPr>
            <w:r>
              <w:t xml:space="preserve">«2» – Реестр федерального имущества (Реестр государственного имущества субъекта Российской федерации, Реестр муниципального имущества).</w:t>
            </w:r>
            <w:r/>
          </w:p>
          <w:p>
            <w:pPr>
              <w:pStyle w:val="1005"/>
              <w:ind w:left="57" w:right="57"/>
            </w:pPr>
            <w:r>
              <w:t xml:space="preserve">Если значение системной константы «Код бюджета» отлично от «99010001», то по умолчанию поле заполняется значением «2» (без возможности изменить), иначе – пользователю доступна возможность выбора</w:t>
            </w:r>
            <w:r>
              <w:t xml:space="preserve">.</w:t>
            </w:r>
            <w:r/>
          </w:p>
        </w:tc>
      </w:tr>
      <w:tr>
        <w:trPr/>
        <w:tc>
          <w:tcPr>
            <w:gridSpan w:val="2"/>
            <w:shd w:val="clear" w:fill="auto" w:color="auto"/>
            <w:tcW w:w="5000" w:type="pct"/>
            <w:textDirection w:val="lrTb"/>
            <w:noWrap w:val="false"/>
          </w:tcPr>
          <w:p>
            <w:pPr>
              <w:pStyle w:val="1005"/>
              <w:ind w:left="57" w:right="57"/>
            </w:pPr>
            <w:r>
              <w:t xml:space="preserve">Закладка «Основные реквизиты (1)»</w:t>
            </w:r>
            <w:r/>
          </w:p>
        </w:tc>
      </w:tr>
      <w:tr>
        <w:trPr/>
        <w:tc>
          <w:tcPr>
            <w:shd w:val="clear" w:fill="auto" w:color="auto"/>
            <w:tcW w:w="1206" w:type="pct"/>
            <w:textDirection w:val="lrTb"/>
            <w:noWrap w:val="false"/>
          </w:tcPr>
          <w:p>
            <w:pPr>
              <w:pStyle w:val="1005"/>
              <w:ind w:left="57" w:right="57"/>
            </w:pPr>
            <w:r>
              <w:t xml:space="preserve">Наименование бюджета</w:t>
            </w:r>
            <w:r/>
          </w:p>
        </w:tc>
        <w:tc>
          <w:tcPr>
            <w:shd w:val="clear" w:fill="auto" w:color="auto"/>
            <w:tcW w:w="3794" w:type="pct"/>
            <w:textDirection w:val="lrTb"/>
            <w:noWrap w:val="false"/>
          </w:tcPr>
          <w:p>
            <w:pPr>
              <w:pStyle w:val="1005"/>
              <w:ind w:left="57" w:right="57"/>
            </w:pPr>
            <w:r>
              <w:t xml:space="preserve">Поле недоступно для редактирования</w:t>
            </w:r>
            <w:r>
              <w:t xml:space="preserve">.</w:t>
            </w:r>
            <w:r/>
          </w:p>
          <w:p>
            <w:pPr>
              <w:pStyle w:val="1005"/>
              <w:ind w:left="57" w:right="57"/>
            </w:pPr>
            <w:r>
              <w:t xml:space="preserve">Заполняется автоматически наименованием из справочника «Бюджеты» в соответствии со значением, указанным в поле «Код бюджета»</w:t>
            </w:r>
            <w:r>
              <w:t xml:space="preserve">.</w:t>
            </w:r>
            <w:r/>
          </w:p>
        </w:tc>
      </w:tr>
      <w:tr>
        <w:trPr/>
        <w:tc>
          <w:tcPr>
            <w:shd w:val="clear" w:fill="auto" w:color="auto"/>
            <w:tcW w:w="1206" w:type="pct"/>
            <w:textDirection w:val="lrTb"/>
            <w:noWrap w:val="false"/>
          </w:tcPr>
          <w:p>
            <w:pPr>
              <w:pStyle w:val="1005"/>
              <w:ind w:left="57" w:right="57"/>
            </w:pPr>
            <w:r>
              <w:t xml:space="preserve">Код бюджета</w:t>
            </w:r>
            <w:r/>
          </w:p>
        </w:tc>
        <w:tc>
          <w:tcPr>
            <w:shd w:val="clear" w:fill="auto" w:color="auto"/>
            <w:tcW w:w="3794" w:type="pct"/>
            <w:textDirection w:val="lrTb"/>
            <w:noWrap w:val="false"/>
          </w:tcPr>
          <w:p>
            <w:pPr>
              <w:pStyle w:val="1005"/>
              <w:ind w:left="57" w:right="57"/>
            </w:pPr>
            <w:r>
              <w:t xml:space="preserve">На визуальную форму не выводится</w:t>
            </w:r>
            <w:r>
              <w:t xml:space="preserve">.</w:t>
            </w:r>
            <w:r/>
          </w:p>
          <w:p>
            <w:pPr>
              <w:pStyle w:val="1005"/>
              <w:ind w:left="57" w:right="57"/>
            </w:pPr>
            <w:r>
              <w:t xml:space="preserve">Заполняется автоматически из системной константы «Код бюджета»</w:t>
            </w:r>
            <w:r>
              <w:t xml:space="preserve">.</w:t>
            </w:r>
            <w:r/>
          </w:p>
        </w:tc>
      </w:tr>
      <w:tr>
        <w:trPr/>
        <w:tc>
          <w:tcPr>
            <w:shd w:val="clear" w:fill="auto" w:color="auto"/>
            <w:tcW w:w="1206" w:type="pct"/>
            <w:textDirection w:val="lrTb"/>
            <w:noWrap w:val="false"/>
          </w:tcPr>
          <w:p>
            <w:pPr>
              <w:pStyle w:val="1005"/>
              <w:ind w:left="57" w:right="57"/>
            </w:pPr>
            <w:r>
              <w:t xml:space="preserve">Орган, предоставля</w:t>
            </w:r>
            <w:r>
              <w:t xml:space="preserve">ющий документ</w:t>
            </w:r>
            <w:r/>
          </w:p>
        </w:tc>
        <w:tc>
          <w:tcPr>
            <w:shd w:val="clear" w:fill="auto" w:color="auto"/>
            <w:tcW w:w="3794" w:type="pct"/>
            <w:textDirection w:val="lrTb"/>
            <w:noWrap w:val="false"/>
          </w:tcPr>
          <w:p>
            <w:pPr>
              <w:pStyle w:val="1005"/>
              <w:ind w:left="57" w:right="57"/>
            </w:pPr>
            <w:r>
              <w:t xml:space="preserve">Поле недоступно для редактирования</w:t>
            </w:r>
            <w:r>
              <w:t xml:space="preserve">.</w:t>
            </w:r>
            <w:r/>
          </w:p>
          <w:p>
            <w:pPr>
              <w:pStyle w:val="1005"/>
              <w:ind w:left="57" w:right="57"/>
            </w:pPr>
            <w:r>
              <w:t xml:space="preserve">Заполняется автоматически из справочника РУБП/ПУБП/НУБП в соответствии с системной константой «Код собственного БУ» с учетом бюджета</w:t>
            </w:r>
            <w:r>
              <w:t xml:space="preserve">.</w:t>
            </w:r>
            <w:r/>
          </w:p>
        </w:tc>
      </w:tr>
      <w:tr>
        <w:trPr/>
        <w:tc>
          <w:tcPr>
            <w:shd w:val="clear" w:fill="auto" w:color="auto"/>
            <w:tcW w:w="1206" w:type="pct"/>
            <w:textDirection w:val="lrTb"/>
            <w:noWrap w:val="false"/>
          </w:tcPr>
          <w:p>
            <w:pPr>
              <w:pStyle w:val="1005"/>
              <w:ind w:left="57" w:right="57"/>
            </w:pPr>
            <w:r>
              <w:t xml:space="preserve">Орган, формирующий документ</w:t>
            </w:r>
            <w:r/>
          </w:p>
        </w:tc>
        <w:tc>
          <w:tcPr>
            <w:shd w:val="clear" w:fill="auto" w:color="auto"/>
            <w:tcW w:w="3794" w:type="pct"/>
            <w:textDirection w:val="lrTb"/>
            <w:noWrap w:val="false"/>
          </w:tcPr>
          <w:p>
            <w:pPr>
              <w:pStyle w:val="1005"/>
              <w:ind w:left="57" w:right="57"/>
            </w:pPr>
            <w:r>
              <w:t xml:space="preserve">Для не ФБ: Заполняется пользователем вручную</w:t>
            </w:r>
            <w:r>
              <w:t xml:space="preserve">.</w:t>
            </w:r>
            <w:r/>
          </w:p>
        </w:tc>
      </w:tr>
      <w:tr>
        <w:trPr/>
        <w:tc>
          <w:tcPr>
            <w:gridSpan w:val="2"/>
            <w:shd w:val="clear" w:fill="auto" w:color="auto"/>
            <w:tcW w:w="5000" w:type="pct"/>
            <w:textDirection w:val="lrTb"/>
            <w:noWrap w:val="false"/>
          </w:tcPr>
          <w:p>
            <w:pPr>
              <w:pStyle w:val="1005"/>
              <w:ind w:left="57" w:right="57"/>
            </w:pPr>
            <w:r>
              <w:t xml:space="preserve">Закладка «Основные реквизиты (1)»</w:t>
            </w:r>
            <w:r>
              <w:t xml:space="preserve">, г</w:t>
            </w:r>
            <w:r>
              <w:t xml:space="preserve">руппа полей «Орган ФК»</w:t>
            </w:r>
            <w:r/>
          </w:p>
        </w:tc>
      </w:tr>
      <w:tr>
        <w:trPr/>
        <w:tc>
          <w:tcPr>
            <w:shd w:val="clear" w:fill="auto" w:color="auto"/>
            <w:tcW w:w="1206" w:type="pct"/>
            <w:textDirection w:val="lrTb"/>
            <w:noWrap w:val="false"/>
          </w:tcPr>
          <w:p>
            <w:pPr>
              <w:pStyle w:val="1005"/>
              <w:ind w:left="57" w:right="57"/>
            </w:pPr>
            <w:r>
              <w:t xml:space="preserve">Наименование</w:t>
            </w:r>
            <w:r/>
          </w:p>
        </w:tc>
        <w:tc>
          <w:tcPr>
            <w:shd w:val="clear" w:fill="auto" w:color="auto"/>
            <w:tcW w:w="3794" w:type="pct"/>
            <w:textDirection w:val="lrTb"/>
            <w:noWrap w:val="false"/>
          </w:tcPr>
          <w:p>
            <w:pPr>
              <w:pStyle w:val="1005"/>
              <w:ind w:left="57" w:right="57"/>
            </w:pPr>
            <w:r>
              <w:t xml:space="preserve">Поле недоступно для редактирования</w:t>
            </w:r>
            <w:r>
              <w:t xml:space="preserve">.</w:t>
            </w:r>
            <w:r/>
          </w:p>
          <w:p>
            <w:pPr>
              <w:pStyle w:val="1005"/>
              <w:ind w:left="57" w:right="57"/>
            </w:pPr>
            <w:r>
              <w:t xml:space="preserve">Заполняется автоматически из справочника «Органы ФК» в соответствии со значением поля «Код ОрФК»</w:t>
            </w:r>
            <w:r>
              <w:t xml:space="preserve">.</w:t>
            </w:r>
            <w:r/>
          </w:p>
        </w:tc>
      </w:tr>
      <w:tr>
        <w:trPr/>
        <w:tc>
          <w:tcPr>
            <w:shd w:val="clear" w:fill="auto" w:color="auto"/>
            <w:tcW w:w="1206" w:type="pct"/>
            <w:textDirection w:val="lrTb"/>
            <w:noWrap w:val="false"/>
          </w:tcPr>
          <w:p>
            <w:pPr>
              <w:pStyle w:val="1005"/>
              <w:ind w:left="57" w:right="57"/>
            </w:pPr>
            <w:r>
              <w:t xml:space="preserve">Код ОрФК</w:t>
            </w:r>
            <w:r/>
          </w:p>
        </w:tc>
        <w:tc>
          <w:tcPr>
            <w:shd w:val="clear" w:fill="auto" w:color="auto"/>
            <w:tcW w:w="3794" w:type="pct"/>
            <w:textDirection w:val="lrTb"/>
            <w:noWrap w:val="false"/>
          </w:tcPr>
          <w:p>
            <w:pPr>
              <w:pStyle w:val="1005"/>
              <w:ind w:left="57" w:right="57"/>
            </w:pPr>
            <w:r>
              <w:t xml:space="preserve">Поле недоступно для редактирования</w:t>
            </w:r>
            <w:r>
              <w:t xml:space="preserve">.</w:t>
            </w:r>
            <w:r/>
          </w:p>
          <w:p>
            <w:pPr>
              <w:pStyle w:val="1005"/>
              <w:ind w:left="57" w:right="57"/>
            </w:pPr>
            <w:r>
              <w:t xml:space="preserve">Заполняется автоматически значением системной константы «Код собственного ТОФК»</w:t>
            </w:r>
            <w:r>
              <w:t xml:space="preserve">.</w:t>
            </w:r>
            <w:r/>
          </w:p>
          <w:p>
            <w:pPr>
              <w:pStyle w:val="1005"/>
              <w:ind w:left="57" w:right="57"/>
            </w:pPr>
            <w:r>
              <w:t xml:space="preserve">Может быть изменено пользователем путем выбора из справочника «Органы ФК»</w:t>
            </w:r>
            <w:r>
              <w:t xml:space="preserve">.</w:t>
            </w:r>
            <w:r/>
          </w:p>
        </w:tc>
      </w:tr>
    </w:tbl>
    <w:p>
      <w:pPr>
        <w:pStyle w:val="994"/>
      </w:pPr>
      <w:r>
        <w:t xml:space="preserve">ЭФ документа «Информация из реестра», закладки «Реквизиты организаций (2)»</w:t>
      </w:r>
      <w:r>
        <w:t xml:space="preserve"> представлена н</w:t>
      </w:r>
      <w:r>
        <w:t xml:space="preserve">а рисунке</w:t>
      </w:r>
      <w:r>
        <w:t xml:space="preserve"> </w:t>
      </w:r>
      <w:r>
        <w:fldChar w:fldCharType="begin"/>
      </w:r>
      <w:r>
        <w:instrText xml:space="preserve"> REF _Ref356297108 \h  \* MERGEFORMAT </w:instrText>
      </w:r>
      <w:r>
        <w:fldChar w:fldCharType="separate"/>
      </w:r>
      <w:r>
        <w:t xml:space="preserve">325</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108960"/>
                <wp:effectExtent l="0" t="0" r="0" b="0"/>
                <wp:docPr id="470"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15"/>
                        <a:stretch/>
                      </pic:blipFill>
                      <pic:spPr bwMode="auto">
                        <a:xfrm>
                          <a:off x="0" y="0"/>
                          <a:ext cx="6126480" cy="31089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9" o:spid="_x0000_s469" type="#_x0000_t75" style="mso-wrap-distance-left:0.0pt;mso-wrap-distance-top:0.0pt;mso-wrap-distance-right:0.0pt;mso-wrap-distance-bottom:0.0pt;width:482.4pt;height:244.8pt;" stroked="f">
                <v:path textboxrect="0,0,0,0"/>
                <v:imagedata r:id="rId415" o:title=""/>
              </v:shape>
            </w:pict>
          </mc:Fallback>
        </mc:AlternateContent>
      </w:r>
      <w:r/>
    </w:p>
    <w:p>
      <w:pPr>
        <w:pStyle w:val="983"/>
      </w:pPr>
      <w:r>
        <w:fldChar w:fldCharType="begin"/>
      </w:r>
      <w:r>
        <w:instrText xml:space="preserve"> SEQ Рисунок \* ARABIC </w:instrText>
      </w:r>
      <w:r>
        <w:fldChar w:fldCharType="separate"/>
      </w:r>
      <w:bookmarkStart w:id="2112" w:name="_Ref356297108"/>
      <w:r/>
      <w:bookmarkStart w:id="2113" w:name="_Toc88819710"/>
      <w:r>
        <w:t xml:space="preserve">325</w:t>
      </w:r>
      <w:bookmarkEnd w:id="2112"/>
      <w:r>
        <w:fldChar w:fldCharType="end"/>
      </w:r>
      <w:r>
        <w:t xml:space="preserve">. ЭФ документа «Информация из реестра</w:t>
      </w:r>
      <w:r>
        <w:t xml:space="preserve">», закладки «</w:t>
      </w:r>
      <w:r>
        <w:t xml:space="preserve">Реквизиты организаций (2)»</w:t>
      </w:r>
      <w:bookmarkEnd w:id="2113"/>
      <w:r/>
      <w:r/>
    </w:p>
    <w:p>
      <w:pPr>
        <w:pStyle w:val="994"/>
      </w:pPr>
      <w:r>
        <w:t xml:space="preserve">Перечень полей </w:t>
      </w:r>
      <w:r>
        <w:t xml:space="preserve">документа «Информация из реестра», закладки «Реквизиты организаций (2)»</w:t>
      </w:r>
      <w:r>
        <w:t xml:space="preserve"> </w:t>
      </w:r>
      <w:r>
        <w:t xml:space="preserve">приведен в таблице</w:t>
      </w:r>
      <w:r>
        <w:t xml:space="preserve"> </w:t>
      </w:r>
      <w:r>
        <w:fldChar w:fldCharType="begin"/>
      </w:r>
      <w:r>
        <w:instrText xml:space="preserve"> REF _Ref356297026 \h  \* MERGEFORMAT </w:instrText>
      </w:r>
      <w:r>
        <w:fldChar w:fldCharType="separate"/>
      </w:r>
      <w:r>
        <w:t xml:space="preserve">193</w:t>
      </w:r>
      <w:r>
        <w:fldChar w:fldCharType="end"/>
      </w:r>
      <w:r>
        <w:t xml:space="preserve">.</w:t>
      </w:r>
      <w:r/>
    </w:p>
    <w:p>
      <w:pPr>
        <w:pStyle w:val="993"/>
      </w:pPr>
      <w:r>
        <w:fldChar w:fldCharType="begin"/>
      </w:r>
      <w:r>
        <w:instrText xml:space="preserve"> SEQ Таблица \* ARABIC </w:instrText>
      </w:r>
      <w:r>
        <w:fldChar w:fldCharType="separate"/>
      </w:r>
      <w:bookmarkStart w:id="2114" w:name="_Ref356297026"/>
      <w:r/>
      <w:bookmarkStart w:id="2115" w:name="_Toc88819380"/>
      <w:r>
        <w:t xml:space="preserve">193</w:t>
      </w:r>
      <w:bookmarkEnd w:id="2114"/>
      <w:r>
        <w:fldChar w:fldCharType="end"/>
      </w:r>
      <w:r>
        <w:t xml:space="preserve">. </w:t>
      </w:r>
      <w:r>
        <w:t xml:space="preserve">Описание</w:t>
      </w:r>
      <w:r>
        <w:t xml:space="preserve"> полей </w:t>
      </w:r>
      <w:r>
        <w:t xml:space="preserve">документа «Информация из реестра», закладки «Реквизиты организаций (2)»</w:t>
      </w:r>
      <w:bookmarkEnd w:id="2115"/>
      <w:r/>
      <w:r/>
    </w:p>
    <w:tbl>
      <w:tblPr>
        <w:tblW w:w="9752"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773"/>
        <w:gridCol w:w="6979"/>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422"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578" w:type="pct"/>
            <w:vAlign w:val="center"/>
            <w:textDirection w:val="lrTb"/>
            <w:noWrap w:val="false"/>
          </w:tcPr>
          <w:p>
            <w:pPr>
              <w:pStyle w:val="1006"/>
            </w:pPr>
            <w:r>
              <w:t xml:space="preserve">Описание</w:t>
            </w:r>
            <w:r>
              <w:t xml:space="preserve"> поля</w:t>
            </w:r>
            <w:r/>
          </w:p>
        </w:tc>
      </w:tr>
      <w:tr>
        <w:trPr/>
        <w:tc>
          <w:tcPr>
            <w:shd w:val="clear" w:fill="auto" w:color="auto"/>
            <w:tcW w:w="1422" w:type="pct"/>
            <w:textDirection w:val="lrTb"/>
            <w:noWrap w:val="false"/>
          </w:tcPr>
          <w:p>
            <w:pPr>
              <w:pStyle w:val="1005"/>
              <w:ind w:left="57" w:right="57"/>
            </w:pPr>
            <w:r>
              <w:t xml:space="preserve">Номер п/</w:t>
            </w:r>
            <w:r>
              <w:t xml:space="preserve">п.</w:t>
            </w:r>
            <w:r/>
          </w:p>
        </w:tc>
        <w:tc>
          <w:tcPr>
            <w:shd w:val="clear" w:fill="auto" w:color="auto"/>
            <w:tcW w:w="3578" w:type="pct"/>
            <w:textDirection w:val="lrTb"/>
            <w:noWrap w:val="false"/>
          </w:tcPr>
          <w:p>
            <w:pPr>
              <w:pStyle w:val="1005"/>
              <w:ind w:left="57" w:right="57"/>
            </w:pPr>
            <w:r>
              <w:t xml:space="preserve">Номер по порядку.</w:t>
            </w:r>
            <w:r/>
          </w:p>
          <w:p>
            <w:pPr>
              <w:pStyle w:val="1005"/>
              <w:ind w:left="57" w:right="57"/>
            </w:pPr>
            <w:r>
              <w:t xml:space="preserve">Автоматическая нумерация. Указывается порядковый номер строки, начиная с «1».</w:t>
            </w:r>
            <w:r/>
          </w:p>
        </w:tc>
      </w:tr>
      <w:tr>
        <w:trPr/>
        <w:tc>
          <w:tcPr>
            <w:shd w:val="clear" w:fill="auto" w:color="auto"/>
            <w:tcW w:w="1422" w:type="pct"/>
            <w:textDirection w:val="lrTb"/>
            <w:noWrap w:val="false"/>
          </w:tcPr>
          <w:p>
            <w:pPr>
              <w:pStyle w:val="1005"/>
              <w:ind w:left="57" w:right="57"/>
            </w:pPr>
            <w:r>
              <w:t xml:space="preserve">Наименование</w:t>
            </w:r>
            <w:r/>
          </w:p>
        </w:tc>
        <w:tc>
          <w:tcPr>
            <w:shd w:val="clear" w:fill="auto" w:color="auto"/>
            <w:tcW w:w="3578" w:type="pct"/>
            <w:textDirection w:val="lrTb"/>
            <w:noWrap w:val="false"/>
          </w:tcPr>
          <w:p>
            <w:pPr>
              <w:pStyle w:val="1005"/>
              <w:ind w:left="57" w:right="57"/>
            </w:pPr>
            <w:r>
              <w:t xml:space="preserve">Полное наименование организации, включенной в реестр.</w:t>
            </w:r>
            <w:r/>
          </w:p>
          <w:p>
            <w:pPr>
              <w:pStyle w:val="1005"/>
              <w:ind w:left="57" w:right="57"/>
            </w:pPr>
            <w:r>
              <w:t xml:space="preserve">Вводится вручную.</w:t>
            </w:r>
            <w:r/>
          </w:p>
        </w:tc>
      </w:tr>
      <w:tr>
        <w:trPr/>
        <w:tc>
          <w:tcPr>
            <w:shd w:val="clear" w:fill="auto" w:color="auto"/>
            <w:tcW w:w="1422" w:type="pct"/>
            <w:textDirection w:val="lrTb"/>
            <w:noWrap w:val="false"/>
          </w:tcPr>
          <w:p>
            <w:pPr>
              <w:pStyle w:val="1005"/>
              <w:ind w:left="57" w:right="57"/>
            </w:pPr>
            <w:r>
              <w:t xml:space="preserve">ИНН</w:t>
            </w:r>
            <w:r/>
          </w:p>
        </w:tc>
        <w:tc>
          <w:tcPr>
            <w:shd w:val="clear" w:fill="auto" w:color="auto"/>
            <w:tcW w:w="3578" w:type="pct"/>
            <w:textDirection w:val="lrTb"/>
            <w:noWrap w:val="false"/>
          </w:tcPr>
          <w:p>
            <w:pPr>
              <w:pStyle w:val="1005"/>
              <w:ind w:left="57" w:right="57"/>
            </w:pPr>
            <w:r>
              <w:t xml:space="preserve">ИНН организации, включенной в реестр.</w:t>
            </w:r>
            <w:r/>
          </w:p>
          <w:p>
            <w:pPr>
              <w:pStyle w:val="1005"/>
              <w:ind w:left="57" w:right="57"/>
            </w:pPr>
            <w:r>
              <w:t xml:space="preserve">Вводится вручную.</w:t>
            </w:r>
            <w:r/>
          </w:p>
        </w:tc>
      </w:tr>
      <w:tr>
        <w:trPr/>
        <w:tc>
          <w:tcPr>
            <w:shd w:val="clear" w:fill="auto" w:color="auto"/>
            <w:tcW w:w="1422" w:type="pct"/>
            <w:textDirection w:val="lrTb"/>
            <w:noWrap w:val="false"/>
          </w:tcPr>
          <w:p>
            <w:pPr>
              <w:pStyle w:val="1005"/>
              <w:ind w:left="57" w:right="57"/>
            </w:pPr>
            <w:r>
              <w:t xml:space="preserve">КПП</w:t>
            </w:r>
            <w:r/>
          </w:p>
        </w:tc>
        <w:tc>
          <w:tcPr>
            <w:shd w:val="clear" w:fill="auto" w:color="auto"/>
            <w:tcW w:w="3578" w:type="pct"/>
            <w:textDirection w:val="lrTb"/>
            <w:noWrap w:val="false"/>
          </w:tcPr>
          <w:p>
            <w:pPr>
              <w:pStyle w:val="1005"/>
              <w:ind w:left="57" w:right="57"/>
            </w:pPr>
            <w:r>
              <w:t xml:space="preserve">КПП организации, включенной в реестр.</w:t>
            </w:r>
            <w:r/>
          </w:p>
          <w:p>
            <w:pPr>
              <w:pStyle w:val="1005"/>
              <w:ind w:left="57" w:right="57"/>
            </w:pPr>
            <w:r>
              <w:t xml:space="preserve">Вводится вручную.</w:t>
            </w:r>
            <w:r/>
          </w:p>
        </w:tc>
      </w:tr>
      <w:tr>
        <w:trPr/>
        <w:tc>
          <w:tcPr>
            <w:shd w:val="clear" w:fill="auto" w:color="auto"/>
            <w:tcW w:w="1422" w:type="pct"/>
            <w:textDirection w:val="lrTb"/>
            <w:noWrap w:val="false"/>
          </w:tcPr>
          <w:p>
            <w:pPr>
              <w:pStyle w:val="1005"/>
              <w:ind w:left="57" w:right="57"/>
            </w:pPr>
            <w:r>
              <w:t xml:space="preserve">Код по ОКФС</w:t>
            </w:r>
            <w:r/>
          </w:p>
        </w:tc>
        <w:tc>
          <w:tcPr>
            <w:shd w:val="clear" w:fill="auto" w:color="auto"/>
            <w:tcW w:w="3578" w:type="pct"/>
            <w:textDirection w:val="lrTb"/>
            <w:noWrap w:val="false"/>
          </w:tcPr>
          <w:p>
            <w:pPr>
              <w:pStyle w:val="1005"/>
              <w:ind w:left="57" w:right="57"/>
            </w:pPr>
            <w:r>
              <w:t xml:space="preserve">Выбор из классификатора «ОКФС». </w:t>
            </w:r>
            <w:r/>
          </w:p>
          <w:p>
            <w:pPr>
              <w:pStyle w:val="1005"/>
              <w:ind w:left="57" w:right="57"/>
            </w:pPr>
            <w:r>
              <w:t xml:space="preserve">Возможно редактирование пользователем вручную.</w:t>
            </w:r>
            <w:r/>
          </w:p>
        </w:tc>
      </w:tr>
      <w:tr>
        <w:trPr/>
        <w:tc>
          <w:tcPr>
            <w:shd w:val="clear" w:fill="auto" w:color="auto"/>
            <w:tcW w:w="1422" w:type="pct"/>
            <w:textDirection w:val="lrTb"/>
            <w:noWrap w:val="false"/>
          </w:tcPr>
          <w:p>
            <w:pPr>
              <w:pStyle w:val="1005"/>
              <w:ind w:left="57" w:right="57"/>
            </w:pPr>
            <w:r>
              <w:t xml:space="preserve">Код по ОКОПФ</w:t>
            </w:r>
            <w:r/>
          </w:p>
        </w:tc>
        <w:tc>
          <w:tcPr>
            <w:shd w:val="clear" w:fill="auto" w:color="auto"/>
            <w:tcW w:w="3578" w:type="pct"/>
            <w:textDirection w:val="lrTb"/>
            <w:noWrap w:val="false"/>
          </w:tcPr>
          <w:p>
            <w:pPr>
              <w:pStyle w:val="1005"/>
              <w:ind w:left="57" w:right="57"/>
            </w:pPr>
            <w:r>
              <w:t xml:space="preserve">Выбор из классификатора «ОКОПФ». </w:t>
            </w:r>
            <w:r/>
          </w:p>
          <w:p>
            <w:pPr>
              <w:pStyle w:val="1005"/>
              <w:ind w:left="57" w:right="57"/>
            </w:pPr>
            <w:r>
              <w:t xml:space="preserve">Возможно редактирование пользователем вручную.</w:t>
            </w:r>
            <w:r/>
          </w:p>
        </w:tc>
      </w:tr>
      <w:tr>
        <w:trPr/>
        <w:tc>
          <w:tcPr>
            <w:shd w:val="clear" w:fill="auto" w:color="auto"/>
            <w:tcW w:w="1422" w:type="pct"/>
            <w:textDirection w:val="lrTb"/>
            <w:noWrap w:val="false"/>
          </w:tcPr>
          <w:p>
            <w:pPr>
              <w:pStyle w:val="1005"/>
              <w:ind w:left="57" w:right="57"/>
            </w:pPr>
            <w:r>
              <w:t xml:space="preserve">Вид изменений</w:t>
            </w:r>
            <w:r/>
          </w:p>
        </w:tc>
        <w:tc>
          <w:tcPr>
            <w:shd w:val="clear" w:fill="auto" w:color="auto"/>
            <w:tcW w:w="3578" w:type="pct"/>
            <w:textDirection w:val="lrTb"/>
            <w:noWrap w:val="false"/>
          </w:tcPr>
          <w:p>
            <w:pPr>
              <w:pStyle w:val="1005"/>
              <w:ind w:left="57" w:right="57"/>
            </w:pPr>
            <w:r>
              <w:t xml:space="preserve">Допустимые значения:</w:t>
            </w:r>
            <w:r/>
          </w:p>
          <w:p>
            <w:pPr>
              <w:pStyle w:val="1007"/>
            </w:pPr>
            <w:r>
              <w:t xml:space="preserve">«1» – включаемая строка;</w:t>
            </w:r>
            <w:r/>
          </w:p>
          <w:p>
            <w:pPr>
              <w:pStyle w:val="1007"/>
            </w:pPr>
            <w:r>
              <w:t xml:space="preserve">«2» – исключаемая строка;</w:t>
            </w:r>
            <w:r/>
          </w:p>
          <w:p>
            <w:pPr>
              <w:pStyle w:val="1007"/>
            </w:pPr>
            <w:r>
              <w:t xml:space="preserve">«3» – изменяемая строка;</w:t>
            </w:r>
            <w:r/>
          </w:p>
          <w:p>
            <w:pPr>
              <w:pStyle w:val="1007"/>
            </w:pPr>
            <w:r>
              <w:t xml:space="preserve">«4» – изменяющая строка.</w:t>
            </w:r>
            <w:r/>
          </w:p>
        </w:tc>
      </w:tr>
      <w:tr>
        <w:trPr/>
        <w:tc>
          <w:tcPr>
            <w:shd w:val="clear" w:fill="auto" w:color="auto"/>
            <w:tcW w:w="1422" w:type="pct"/>
            <w:textDirection w:val="lrTb"/>
            <w:noWrap w:val="false"/>
          </w:tcPr>
          <w:p>
            <w:pPr>
              <w:pStyle w:val="1005"/>
              <w:ind w:left="57" w:right="57"/>
            </w:pPr>
            <w:r>
              <w:t xml:space="preserve">Номер строки изменений</w:t>
            </w:r>
            <w:r/>
          </w:p>
        </w:tc>
        <w:tc>
          <w:tcPr>
            <w:shd w:val="clear" w:fill="auto" w:color="auto"/>
            <w:tcW w:w="3578" w:type="pct"/>
            <w:textDirection w:val="lrTb"/>
            <w:noWrap w:val="false"/>
          </w:tcPr>
          <w:p>
            <w:pPr>
              <w:pStyle w:val="1005"/>
              <w:ind w:left="57" w:right="57"/>
            </w:pPr>
            <w:r>
              <w:t xml:space="preserve">Указывается номер изменяемой или изменяющей строки. </w:t>
            </w:r>
            <w:r/>
          </w:p>
        </w:tc>
      </w:tr>
    </w:tbl>
    <w:p>
      <w:pPr>
        <w:pStyle w:val="994"/>
      </w:pPr>
      <w:r>
        <w:t xml:space="preserve">ЭФ документа «Информация из реестра», закладки «Подписи (3)»</w:t>
      </w:r>
      <w:r>
        <w:t xml:space="preserve"> представлена н</w:t>
      </w:r>
      <w:r>
        <w:t xml:space="preserve">а рисунке</w:t>
      </w:r>
      <w:r>
        <w:t xml:space="preserve"> </w:t>
      </w:r>
      <w:r>
        <w:fldChar w:fldCharType="begin"/>
      </w:r>
      <w:r>
        <w:instrText xml:space="preserve"> REF _Ref356297157 \h  \* MERGEFORMAT </w:instrText>
      </w:r>
      <w:r>
        <w:fldChar w:fldCharType="separate"/>
      </w:r>
      <w:r>
        <w:t xml:space="preserve">326</w:t>
      </w:r>
      <w:r>
        <w:fldChar w:fldCharType="end"/>
      </w:r>
      <w:r>
        <w:t xml:space="preserve">. </w:t>
      </w:r>
      <w:r/>
    </w:p>
    <w:p>
      <w:pPr>
        <w:pStyle w:val="982"/>
      </w:pPr>
      <w:r>
        <mc:AlternateContent>
          <mc:Choice Requires="wpg">
            <w:drawing>
              <wp:inline xmlns:wp="http://schemas.openxmlformats.org/drawingml/2006/wordprocessingDrawing" distT="0" distB="0" distL="0" distR="0">
                <wp:extent cx="6126480" cy="2926080"/>
                <wp:effectExtent l="0" t="0" r="0" b="0"/>
                <wp:docPr id="471"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16"/>
                        <a:stretch/>
                      </pic:blipFill>
                      <pic:spPr bwMode="auto">
                        <a:xfrm>
                          <a:off x="0" y="0"/>
                          <a:ext cx="6126480" cy="29260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0" o:spid="_x0000_s470" type="#_x0000_t75" style="mso-wrap-distance-left:0.0pt;mso-wrap-distance-top:0.0pt;mso-wrap-distance-right:0.0pt;mso-wrap-distance-bottom:0.0pt;width:482.4pt;height:230.4pt;" stroked="f">
                <v:path textboxrect="0,0,0,0"/>
                <v:imagedata r:id="rId416" o:title=""/>
              </v:shape>
            </w:pict>
          </mc:Fallback>
        </mc:AlternateContent>
      </w:r>
      <w:r/>
    </w:p>
    <w:p>
      <w:pPr>
        <w:pStyle w:val="983"/>
      </w:pPr>
      <w:r>
        <w:fldChar w:fldCharType="begin"/>
      </w:r>
      <w:r>
        <w:instrText xml:space="preserve"> SEQ Рисунок \* ARABIC </w:instrText>
      </w:r>
      <w:r>
        <w:fldChar w:fldCharType="separate"/>
      </w:r>
      <w:bookmarkStart w:id="2116" w:name="_Ref356297157"/>
      <w:r/>
      <w:bookmarkStart w:id="2117" w:name="_Toc88819711"/>
      <w:r>
        <w:t xml:space="preserve">326</w:t>
      </w:r>
      <w:bookmarkEnd w:id="2116"/>
      <w:r>
        <w:fldChar w:fldCharType="end"/>
      </w:r>
      <w:r>
        <w:t xml:space="preserve">. ЭФ документа «Информация из реестра</w:t>
      </w:r>
      <w:r>
        <w:t xml:space="preserve">», закладки «</w:t>
      </w:r>
      <w:r>
        <w:t xml:space="preserve">Подписи (3)»</w:t>
      </w:r>
      <w:bookmarkEnd w:id="2117"/>
      <w:r/>
      <w:r/>
    </w:p>
    <w:p>
      <w:pPr>
        <w:pStyle w:val="994"/>
      </w:pPr>
      <w:r>
        <w:t xml:space="preserve">Перечень полей </w:t>
      </w:r>
      <w:r>
        <w:t xml:space="preserve">документа «Информация из реестра», закладки «Подписи (3)»</w:t>
      </w:r>
      <w:r>
        <w:t xml:space="preserve"> </w:t>
      </w:r>
      <w:r>
        <w:t xml:space="preserve">приведен в таблице</w:t>
      </w:r>
      <w:r>
        <w:t xml:space="preserve"> </w:t>
      </w:r>
      <w:r>
        <w:fldChar w:fldCharType="begin"/>
      </w:r>
      <w:r>
        <w:instrText xml:space="preserve"> REF _Ref356297299 \h  \* MERGEFORMAT </w:instrText>
      </w:r>
      <w:r>
        <w:fldChar w:fldCharType="separate"/>
      </w:r>
      <w:r>
        <w:t xml:space="preserve">194</w:t>
      </w:r>
      <w:r>
        <w:fldChar w:fldCharType="end"/>
      </w:r>
      <w:r>
        <w:t xml:space="preserve">.</w:t>
      </w:r>
      <w:r/>
    </w:p>
    <w:p>
      <w:pPr>
        <w:pStyle w:val="993"/>
      </w:pPr>
      <w:r>
        <w:fldChar w:fldCharType="begin"/>
      </w:r>
      <w:r>
        <w:instrText xml:space="preserve"> SEQ Таблица \* ARABIC </w:instrText>
      </w:r>
      <w:r>
        <w:fldChar w:fldCharType="separate"/>
      </w:r>
      <w:bookmarkStart w:id="2118" w:name="_Ref356297299"/>
      <w:r/>
      <w:bookmarkStart w:id="2119" w:name="_Toc88819381"/>
      <w:r>
        <w:t xml:space="preserve">194</w:t>
      </w:r>
      <w:bookmarkEnd w:id="2118"/>
      <w:r>
        <w:fldChar w:fldCharType="end"/>
      </w:r>
      <w:r>
        <w:t xml:space="preserve">. </w:t>
      </w:r>
      <w:r>
        <w:t xml:space="preserve">Описание</w:t>
      </w:r>
      <w:r>
        <w:t xml:space="preserve"> полей </w:t>
      </w:r>
      <w:r>
        <w:t xml:space="preserve">документа «Информация из реестра», закладки «Подписи (3)»</w:t>
      </w:r>
      <w:bookmarkEnd w:id="2119"/>
      <w:r/>
      <w:r/>
    </w:p>
    <w:tbl>
      <w:tblPr>
        <w:tblW w:w="4948"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51"/>
        <w:gridCol w:w="7300"/>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218"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82" w:type="pct"/>
            <w:vAlign w:val="center"/>
            <w:textDirection w:val="lrTb"/>
            <w:noWrap w:val="false"/>
          </w:tcPr>
          <w:p>
            <w:pPr>
              <w:pStyle w:val="1006"/>
            </w:pPr>
            <w:r>
              <w:t xml:space="preserve">Описание</w:t>
            </w:r>
            <w:r>
              <w:t xml:space="preserve"> поля</w:t>
            </w:r>
            <w:r/>
          </w:p>
        </w:tc>
      </w:tr>
      <w:tr>
        <w:trPr/>
        <w:tc>
          <w:tcPr>
            <w:gridSpan w:val="2"/>
            <w:shd w:val="clear" w:fill="auto" w:color="auto"/>
            <w:tcW w:w="5000" w:type="pct"/>
            <w:textDirection w:val="lrTb"/>
            <w:noWrap w:val="false"/>
          </w:tcPr>
          <w:p>
            <w:pPr>
              <w:pStyle w:val="1005"/>
              <w:ind w:left="57" w:right="57"/>
            </w:pPr>
            <w:r>
              <w:t xml:space="preserve">Группа полей «Руководитель (уполномоченное лицо)»</w:t>
            </w:r>
            <w:r/>
          </w:p>
        </w:tc>
      </w:tr>
      <w:tr>
        <w:trPr/>
        <w:tc>
          <w:tcPr>
            <w:shd w:val="clear" w:fill="auto" w:color="auto"/>
            <w:tcW w:w="1218" w:type="pct"/>
            <w:textDirection w:val="lrTb"/>
            <w:noWrap w:val="false"/>
          </w:tcPr>
          <w:p>
            <w:pPr>
              <w:pStyle w:val="1005"/>
              <w:ind w:left="57" w:right="57"/>
            </w:pPr>
            <w:r>
              <w:t xml:space="preserve">Должность</w:t>
            </w:r>
            <w:r/>
          </w:p>
        </w:tc>
        <w:tc>
          <w:tcPr>
            <w:shd w:val="clear" w:fill="auto" w:color="auto"/>
            <w:tcW w:w="3782" w:type="pct"/>
            <w:textDirection w:val="lrTb"/>
            <w:noWrap w:val="false"/>
          </w:tcPr>
          <w:p>
            <w:pPr>
              <w:pStyle w:val="1005"/>
              <w:ind w:left="57" w:right="57"/>
            </w:pPr>
            <w:r>
              <w:t xml:space="preserve">Заполняется автоматически значением из справочника «Сотрудники» со</w:t>
            </w:r>
            <w:r>
              <w:t xml:space="preserve">ответствующим значению поля «Руководитель (уполномоченное лицо): ФИО».</w:t>
            </w:r>
            <w:r/>
          </w:p>
          <w:p>
            <w:pPr>
              <w:pStyle w:val="1005"/>
              <w:ind w:left="57" w:right="57"/>
            </w:pPr>
            <w:r>
              <w:t xml:space="preserve">Возможно редактирование пользователем вручную.</w:t>
            </w:r>
            <w:r/>
          </w:p>
          <w:p>
            <w:pPr>
              <w:pStyle w:val="1005"/>
              <w:ind w:left="57" w:right="57"/>
            </w:pPr>
            <w:r>
              <w:t xml:space="preserve">Требуется вывод подсказки пользователю: «Заполняется только в случае подписания документ уполномоченным руководителем лицом».</w:t>
            </w:r>
            <w:r/>
          </w:p>
        </w:tc>
      </w:tr>
      <w:tr>
        <w:trPr/>
        <w:tc>
          <w:tcPr>
            <w:shd w:val="clear" w:fill="auto" w:color="auto"/>
            <w:tcW w:w="1218" w:type="pct"/>
            <w:textDirection w:val="lrTb"/>
            <w:noWrap w:val="false"/>
          </w:tcPr>
          <w:p>
            <w:pPr>
              <w:pStyle w:val="1005"/>
              <w:ind w:left="57" w:right="57"/>
            </w:pPr>
            <w:r>
              <w:t xml:space="preserve">ФИО </w:t>
            </w:r>
            <w:r/>
          </w:p>
        </w:tc>
        <w:tc>
          <w:tcPr>
            <w:shd w:val="clear" w:fill="auto" w:color="auto"/>
            <w:tcW w:w="3782" w:type="pct"/>
            <w:textDirection w:val="lrTb"/>
            <w:noWrap w:val="false"/>
          </w:tcPr>
          <w:p>
            <w:pPr>
              <w:pStyle w:val="1005"/>
              <w:ind w:left="57" w:right="57"/>
            </w:pPr>
            <w:r>
              <w:t xml:space="preserve">Заполняется пользователем путем выбора из справочника «Сотрудники», либо вручную.</w:t>
            </w:r>
            <w:r/>
          </w:p>
        </w:tc>
      </w:tr>
      <w:tr>
        <w:trPr/>
        <w:tc>
          <w:tcPr>
            <w:gridSpan w:val="2"/>
            <w:shd w:val="clear" w:fill="auto" w:color="auto"/>
            <w:tcW w:w="5000" w:type="pct"/>
            <w:textDirection w:val="lrTb"/>
            <w:noWrap w:val="false"/>
          </w:tcPr>
          <w:p>
            <w:pPr>
              <w:pStyle w:val="1005"/>
              <w:ind w:left="57" w:right="57"/>
            </w:pPr>
            <w:r>
              <w:t xml:space="preserve">Группа полей «Ответственный исполнитель»</w:t>
            </w:r>
            <w:r/>
          </w:p>
        </w:tc>
      </w:tr>
      <w:tr>
        <w:trPr/>
        <w:tc>
          <w:tcPr>
            <w:shd w:val="clear" w:fill="auto" w:color="auto"/>
            <w:tcW w:w="1218" w:type="pct"/>
            <w:textDirection w:val="lrTb"/>
            <w:noWrap w:val="false"/>
          </w:tcPr>
          <w:p>
            <w:pPr>
              <w:pStyle w:val="1005"/>
              <w:ind w:left="57" w:right="57"/>
            </w:pPr>
            <w:r>
              <w:t xml:space="preserve">Должность </w:t>
            </w:r>
            <w:r/>
          </w:p>
        </w:tc>
        <w:tc>
          <w:tcPr>
            <w:shd w:val="clear" w:fill="auto" w:color="auto"/>
            <w:tcW w:w="3782" w:type="pct"/>
            <w:textDirection w:val="lrTb"/>
            <w:noWrap w:val="false"/>
          </w:tcPr>
          <w:p>
            <w:pPr>
              <w:pStyle w:val="1005"/>
              <w:ind w:left="57" w:right="57"/>
            </w:pPr>
            <w:r>
              <w:t xml:space="preserve">Заполняется соответствующим значением из справочника «Сотрудники» значению поля «Ответственный исполнитель: ФИО».</w:t>
            </w:r>
            <w:r/>
          </w:p>
          <w:p>
            <w:pPr>
              <w:pStyle w:val="1005"/>
              <w:ind w:left="57" w:right="57"/>
            </w:pPr>
            <w:r>
              <w:t xml:space="preserve">Может быть отредактировано пользователем вручную.</w:t>
            </w:r>
            <w:r/>
          </w:p>
        </w:tc>
      </w:tr>
      <w:tr>
        <w:trPr>
          <w:trHeight w:val="1245"/>
        </w:trPr>
        <w:tc>
          <w:tcPr>
            <w:shd w:val="clear" w:fill="auto" w:color="auto"/>
            <w:tcW w:w="1218" w:type="pct"/>
            <w:textDirection w:val="lrTb"/>
            <w:noWrap w:val="false"/>
          </w:tcPr>
          <w:p>
            <w:pPr>
              <w:pStyle w:val="1005"/>
              <w:ind w:left="57" w:right="57"/>
            </w:pPr>
            <w:r>
              <w:t xml:space="preserve">ФИО </w:t>
            </w:r>
            <w:r/>
          </w:p>
        </w:tc>
        <w:tc>
          <w:tcPr>
            <w:shd w:val="clear" w:fill="auto" w:color="auto"/>
            <w:tcW w:w="3782" w:type="pct"/>
            <w:textDirection w:val="lrTb"/>
            <w:noWrap w:val="false"/>
          </w:tcPr>
          <w:p>
            <w:pPr>
              <w:pStyle w:val="1005"/>
              <w:ind w:left="57" w:right="57"/>
            </w:pPr>
            <w:r>
              <w:t xml:space="preserve">Заполняется автоматически на основании настроек профиля пользователя.</w:t>
            </w:r>
            <w:r/>
          </w:p>
          <w:p>
            <w:pPr>
              <w:pStyle w:val="1005"/>
              <w:ind w:left="57" w:right="57"/>
            </w:pPr>
            <w:r>
              <w:t xml:space="preserve">Возможен выбор из справочника «Сотрудники» (с автоматическим заполнением полей «Ответственный исполнитель: Должность» и «Ответственный исполнитель: Телефон»).</w:t>
            </w:r>
            <w:r/>
          </w:p>
          <w:p>
            <w:pPr>
              <w:pStyle w:val="1005"/>
              <w:ind w:left="57" w:right="57"/>
            </w:pPr>
            <w:r>
              <w:t xml:space="preserve">Может быть отредактировано пользователем вручную.</w:t>
            </w:r>
            <w:r/>
          </w:p>
        </w:tc>
      </w:tr>
      <w:tr>
        <w:trPr>
          <w:trHeight w:val="195"/>
        </w:trPr>
        <w:tc>
          <w:tcPr>
            <w:shd w:val="clear" w:fill="auto" w:color="auto"/>
            <w:tcW w:w="1218" w:type="pct"/>
            <w:textDirection w:val="lrTb"/>
            <w:noWrap w:val="false"/>
          </w:tcPr>
          <w:p>
            <w:pPr>
              <w:pStyle w:val="1005"/>
              <w:ind w:left="57" w:right="57"/>
            </w:pPr>
            <w:r>
              <w:t xml:space="preserve">Телефон </w:t>
            </w:r>
            <w:r/>
          </w:p>
        </w:tc>
        <w:tc>
          <w:tcPr>
            <w:shd w:val="clear" w:fill="auto" w:color="auto"/>
            <w:tcW w:w="3782" w:type="pct"/>
            <w:textDirection w:val="lrTb"/>
            <w:noWrap w:val="false"/>
          </w:tcPr>
          <w:p>
            <w:pPr>
              <w:pStyle w:val="1005"/>
              <w:ind w:left="57" w:right="57"/>
            </w:pPr>
            <w:r>
              <w:t xml:space="preserve">Заполняется соответствующим значением из справочника «Сотрудники» значению поля «Ответственный исполнитель: ФИО».</w:t>
            </w:r>
            <w:r/>
          </w:p>
          <w:p>
            <w:pPr>
              <w:pStyle w:val="1005"/>
              <w:ind w:left="57" w:right="57"/>
            </w:pPr>
            <w:r>
              <w:t xml:space="preserve">Может быть отредактировано пользователем вручную.</w:t>
            </w:r>
            <w:r/>
          </w:p>
        </w:tc>
      </w:tr>
      <w:tr>
        <w:trPr>
          <w:trHeight w:val="155"/>
        </w:trPr>
        <w:tc>
          <w:tcPr>
            <w:shd w:val="clear" w:fill="auto" w:color="auto"/>
            <w:tcW w:w="1218" w:type="pct"/>
            <w:textDirection w:val="lrTb"/>
            <w:noWrap w:val="false"/>
          </w:tcPr>
          <w:p>
            <w:pPr>
              <w:pStyle w:val="1005"/>
              <w:ind w:left="57" w:right="57"/>
            </w:pPr>
            <w:r>
              <w:t xml:space="preserve">Дата подписания</w:t>
            </w:r>
            <w:r/>
          </w:p>
        </w:tc>
        <w:tc>
          <w:tcPr>
            <w:shd w:val="clear" w:fill="auto" w:color="auto"/>
            <w:tcW w:w="3782" w:type="pct"/>
            <w:textDirection w:val="lrTb"/>
            <w:noWrap w:val="false"/>
          </w:tcPr>
          <w:p>
            <w:pPr>
              <w:pStyle w:val="1005"/>
              <w:ind w:left="57" w:right="57"/>
            </w:pPr>
            <w:r>
              <w:t xml:space="preserve">Заполняется автоматически значением текущей даты.</w:t>
            </w:r>
            <w:r/>
          </w:p>
          <w:p>
            <w:pPr>
              <w:pStyle w:val="1005"/>
              <w:ind w:left="57" w:right="57"/>
            </w:pPr>
            <w:r>
              <w:t xml:space="preserve">Возможно изменение пользователем вручную </w:t>
            </w:r>
            <w:r>
              <w:t xml:space="preserve">или</w:t>
            </w:r>
            <w:r>
              <w:t xml:space="preserve"> из системного календаря.</w:t>
            </w:r>
            <w:r/>
          </w:p>
          <w:p>
            <w:pPr>
              <w:pStyle w:val="1005"/>
              <w:ind w:left="57" w:right="57"/>
            </w:pPr>
            <w:r>
              <w:t xml:space="preserve">Значение должно быть не ранее даты, введенной в поле «Дата Информации из реестра».</w:t>
            </w:r>
            <w:r/>
          </w:p>
        </w:tc>
      </w:tr>
      <w:tr>
        <w:trPr>
          <w:trHeight w:val="155"/>
        </w:trPr>
        <w:tc>
          <w:tcPr>
            <w:shd w:val="clear" w:fill="auto" w:color="auto"/>
            <w:tcW w:w="1218" w:type="pct"/>
            <w:textDirection w:val="lrTb"/>
            <w:noWrap w:val="false"/>
          </w:tcPr>
          <w:p>
            <w:pPr>
              <w:pStyle w:val="1005"/>
              <w:ind w:left="57" w:right="57"/>
            </w:pPr>
            <w:r>
              <w:t xml:space="preserve">Результат обработки в ППО «СЭД»</w:t>
            </w:r>
            <w:r/>
          </w:p>
        </w:tc>
        <w:tc>
          <w:tcPr>
            <w:shd w:val="clear" w:fill="auto" w:color="auto"/>
            <w:tcW w:w="3782" w:type="pct"/>
            <w:textDirection w:val="lrTb"/>
            <w:noWrap w:val="false"/>
          </w:tcPr>
          <w:p>
            <w:pPr>
              <w:pStyle w:val="1005"/>
              <w:ind w:left="57" w:right="57"/>
            </w:pPr>
            <w:r>
              <w:t xml:space="preserve">Поле недоступно для редактирования.</w:t>
            </w:r>
            <w:r/>
          </w:p>
        </w:tc>
      </w:tr>
    </w:tbl>
    <w:p>
      <w:pPr>
        <w:pStyle w:val="972"/>
      </w:pPr>
      <w:r/>
      <w:bookmarkStart w:id="2120" w:name="_Ref356406935"/>
      <w:r/>
      <w:bookmarkStart w:id="2121" w:name="_Toc395284925"/>
      <w:r/>
      <w:bookmarkStart w:id="2122" w:name="_Toc422496756"/>
      <w:r/>
      <w:bookmarkStart w:id="2123" w:name="_Toc88819181"/>
      <w:r>
        <w:t xml:space="preserve">Запрос на подтверждение сведений об организации</w:t>
      </w:r>
      <w:bookmarkEnd w:id="2120"/>
      <w:r/>
      <w:bookmarkEnd w:id="2121"/>
      <w:r/>
      <w:bookmarkEnd w:id="2122"/>
      <w:r/>
      <w:bookmarkEnd w:id="2123"/>
      <w:r/>
      <w:r/>
    </w:p>
    <w:p>
      <w:pPr>
        <w:pStyle w:val="994"/>
      </w:pPr>
      <w:r>
        <w:t xml:space="preserve">Регистрация пользователей ООС осуществляется на основании документа «Сведения об организации», который предоставляется организацией в ОрФК в электронном виде или на бумажном носителе. При регистрации организация включа</w:t>
      </w:r>
      <w:r>
        <w:t xml:space="preserve">ется в справочник «Сводный перечень заказчиков» (СПЗ). В зависимости от значения поля «Вид операции» документ «Сведения об организации» предоставляются: для включения в СПЗ, внесения изменений в реквизиты, изменения/аннулирование полномочий или для отзыва.</w:t>
      </w:r>
      <w:r/>
    </w:p>
    <w:p>
      <w:pPr>
        <w:pStyle w:val="994"/>
      </w:pPr>
      <w:r>
        <w:t xml:space="preserve">Краткое описание процесса регистрации пользователей, относящихся к типам 04, 05, 06, и создания записи в справочнике «Сводный перечень заказчиков»:</w:t>
      </w:r>
      <w:r/>
    </w:p>
    <w:p>
      <w:pPr>
        <w:pStyle w:val="1156"/>
        <w:numPr>
          <w:ilvl w:val="0"/>
          <w:numId w:val="48"/>
        </w:numPr>
      </w:pPr>
      <w:r>
        <w:t xml:space="preserve">ЭД «Сведения об организации», предоставленные пользователем ООС и успешно прошедшие </w:t>
      </w:r>
      <w:bookmarkStart w:id="2124" w:name="_Ref267825004"/>
      <w:r>
        <w:t xml:space="preserve">проверку, </w:t>
      </w:r>
      <w:bookmarkStart w:id="2125" w:name="_Ref267846510"/>
      <w:r/>
      <w:bookmarkEnd w:id="2124"/>
      <w:r>
        <w:t xml:space="preserve">проходят в ППО «СЭД» автоматизированный контроль на наличие в справочнике «НУБП» («Сводный реестр УБП»).</w:t>
      </w:r>
      <w:bookmarkEnd w:id="2125"/>
      <w:r/>
      <w:r/>
    </w:p>
    <w:p>
      <w:pPr>
        <w:pStyle w:val="1156"/>
      </w:pPr>
      <w:r>
        <w:t xml:space="preserve">При отрицательном результате проверки на наличие в справочнике «НУБП» («Сводный реестр УБП»), в ППО «СЭД» автоматически формируется ЭД «Запрос на подтверждение» в адрес ГРБС /ФО, который направляется адресату. </w:t>
      </w:r>
      <w:r/>
    </w:p>
    <w:p>
      <w:pPr>
        <w:pStyle w:val="1156"/>
      </w:pPr>
      <w:r/>
      <w:bookmarkStart w:id="2126" w:name="_Ref267826688"/>
      <w:r>
        <w:t xml:space="preserve">В случае если адресат ЭД работает с использованием </w:t>
      </w:r>
      <w:r>
        <w:t xml:space="preserve">ППО СУФД АСФК</w:t>
      </w:r>
      <w:r>
        <w:t xml:space="preserve">, то ЭД «Запрос на подтверждение» выгружается из ППО «СЭД» в каталог обмена, загружается в </w:t>
      </w:r>
      <w:r>
        <w:t xml:space="preserve">ППО СУФД АСФК</w:t>
      </w:r>
      <w:r>
        <w:t xml:space="preserve"> и доводится до АРМ ГРБС/ФО.</w:t>
      </w:r>
      <w:bookmarkEnd w:id="2126"/>
      <w:r>
        <w:t xml:space="preserve"> При этом в </w:t>
      </w:r>
      <w:r>
        <w:t xml:space="preserve">ППО </w:t>
      </w:r>
      <w:r>
        <w:t xml:space="preserve">СУФД АСФК</w:t>
      </w:r>
      <w:r>
        <w:t xml:space="preserve"> формируется квиток, содержащий информацию о результате доставки документа до АРМ ГРБС/ФО, который выгружается в сторону ППО «СЭД».</w:t>
      </w:r>
      <w:r/>
    </w:p>
    <w:p>
      <w:pPr>
        <w:pStyle w:val="994"/>
      </w:pPr>
      <w:r>
        <w:t xml:space="preserve">Для работы с документами </w:t>
      </w:r>
      <w:r>
        <w:t xml:space="preserve">«Запрос на подтверждение сведений об организации» </w:t>
      </w:r>
      <w:r>
        <w:t xml:space="preserve">следует перейти в пункт меню</w:t>
      </w:r>
      <w:r>
        <w:t xml:space="preserve"> «Документы – Регистрация пользователей на официальном сайте РФ – Запрос на подтверждение сведений об организации»</w:t>
      </w:r>
      <w:r>
        <w:t xml:space="preserve">. </w:t>
      </w:r>
      <w:r>
        <w:t xml:space="preserve">Откроется ЭФ списка документов, представленная на рисунке</w:t>
      </w:r>
      <w:r>
        <w:t xml:space="preserve"> </w:t>
      </w:r>
      <w:r>
        <w:fldChar w:fldCharType="begin"/>
      </w:r>
      <w:r>
        <w:instrText xml:space="preserve"> REF _Ref356302738 \h  \* MERGEFORMAT </w:instrText>
      </w:r>
      <w:r>
        <w:fldChar w:fldCharType="separate"/>
      </w:r>
      <w:r>
        <w:t xml:space="preserve">327</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3566160"/>
                <wp:effectExtent l="0" t="0" r="0" b="0"/>
                <wp:docPr id="472"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17"/>
                        <a:stretch/>
                      </pic:blipFill>
                      <pic:spPr bwMode="auto">
                        <a:xfrm>
                          <a:off x="0" y="0"/>
                          <a:ext cx="6126480" cy="35661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1" o:spid="_x0000_s471" type="#_x0000_t75" style="mso-wrap-distance-left:0.0pt;mso-wrap-distance-top:0.0pt;mso-wrap-distance-right:0.0pt;mso-wrap-distance-bottom:0.0pt;width:482.4pt;height:280.8pt;" stroked="f">
                <v:path textboxrect="0,0,0,0"/>
                <v:imagedata r:id="rId417" o:title=""/>
              </v:shape>
            </w:pict>
          </mc:Fallback>
        </mc:AlternateContent>
      </w:r>
      <w:r/>
    </w:p>
    <w:p>
      <w:pPr>
        <w:pStyle w:val="983"/>
      </w:pPr>
      <w:r>
        <w:fldChar w:fldCharType="begin"/>
      </w:r>
      <w:r>
        <w:instrText xml:space="preserve"> SEQ Рисунок \* ARABIC </w:instrText>
      </w:r>
      <w:r>
        <w:fldChar w:fldCharType="separate"/>
      </w:r>
      <w:bookmarkStart w:id="2127" w:name="_Ref356302738"/>
      <w:r/>
      <w:bookmarkStart w:id="2128" w:name="_Toc88819712"/>
      <w:r>
        <w:t xml:space="preserve">327</w:t>
      </w:r>
      <w:bookmarkEnd w:id="2127"/>
      <w:r>
        <w:fldChar w:fldCharType="end"/>
      </w:r>
      <w:r>
        <w:t xml:space="preserve">. Список документов «Запрос на подтверждение сведений об организации»</w:t>
      </w:r>
      <w:bookmarkEnd w:id="2128"/>
      <w:r/>
      <w:r/>
    </w:p>
    <w:p>
      <w:pPr>
        <w:pStyle w:val="973"/>
      </w:pPr>
      <w:r>
        <w:t xml:space="preserve">Доступные операции</w:t>
      </w:r>
      <w:r/>
    </w:p>
    <w:p>
      <w:pPr>
        <w:pStyle w:val="994"/>
      </w:pPr>
      <w:r>
        <w:t xml:space="preserve">На АРМ </w:t>
      </w:r>
      <w:r>
        <w:t xml:space="preserve">ФО</w:t>
      </w:r>
      <w:r>
        <w:t xml:space="preserve"> </w:t>
      </w:r>
      <w:r>
        <w:t xml:space="preserve">доступны следующие операции над документом</w:t>
      </w:r>
      <w:r>
        <w:t xml:space="preserve">:</w:t>
      </w:r>
      <w:r/>
    </w:p>
    <w:p>
      <w:pPr>
        <w:pStyle w:val="985"/>
      </w:pPr>
      <w:r>
        <w:t xml:space="preserve">просмотр;</w:t>
      </w:r>
      <w:r/>
    </w:p>
    <w:p>
      <w:pPr>
        <w:pStyle w:val="985"/>
      </w:pPr>
      <w:r>
        <w:t xml:space="preserve">проверка </w:t>
      </w:r>
      <w:r>
        <w:t xml:space="preserve">ЭП</w:t>
      </w:r>
      <w:r>
        <w:t xml:space="preserve">.</w:t>
      </w:r>
      <w:r/>
    </w:p>
    <w:p>
      <w:pPr>
        <w:pStyle w:val="973"/>
      </w:pPr>
      <w:r/>
      <w:bookmarkStart w:id="2129" w:name="_Ref401760133"/>
      <w:r>
        <w:t xml:space="preserve">Экранная форма документа</w:t>
      </w:r>
      <w:bookmarkEnd w:id="2129"/>
      <w:r/>
      <w:r/>
    </w:p>
    <w:p>
      <w:pPr>
        <w:pStyle w:val="994"/>
      </w:pPr>
      <w:r>
        <w:t xml:space="preserve">ЭФ документа «Запрос на подтверждение сведений об организации» представлена на рисунке</w:t>
      </w:r>
      <w:r>
        <w:t xml:space="preserve"> </w:t>
      </w:r>
      <w:r>
        <w:fldChar w:fldCharType="begin"/>
      </w:r>
      <w:r>
        <w:instrText xml:space="preserve"> REF _Ref356303099 \h </w:instrText>
      </w:r>
      <w:r>
        <w:instrText xml:space="preserve"> \* MERGEFORMAT </w:instrText>
      </w:r>
      <w:r>
        <w:fldChar w:fldCharType="separate"/>
      </w:r>
      <w:r>
        <w:t xml:space="preserve">328</w:t>
      </w:r>
      <w:r>
        <w:fldChar w:fldCharType="end"/>
      </w:r>
      <w:r>
        <w:t xml:space="preserve">. </w:t>
      </w:r>
      <w:r>
        <w:t xml:space="preserve">Форма содержит следующие закладки</w:t>
      </w:r>
      <w:r>
        <w:t xml:space="preserve">:</w:t>
      </w:r>
      <w:r/>
    </w:p>
    <w:p>
      <w:pPr>
        <w:pStyle w:val="985"/>
      </w:pPr>
      <w:r>
        <w:t xml:space="preserve">«Основные атрибуты (1)»;</w:t>
      </w:r>
      <w:r/>
    </w:p>
    <w:p>
      <w:pPr>
        <w:pStyle w:val="985"/>
      </w:pPr>
      <w:r>
        <w:t xml:space="preserve">«Полномочия (2)»;</w:t>
      </w:r>
      <w:r/>
    </w:p>
    <w:p>
      <w:pPr>
        <w:pStyle w:val="985"/>
      </w:pPr>
      <w:r>
        <w:t xml:space="preserve">«Подписи (3)».</w:t>
      </w:r>
      <w:r/>
    </w:p>
    <w:p>
      <w:pPr>
        <w:pStyle w:val="982"/>
      </w:pPr>
      <w:r>
        <mc:AlternateContent>
          <mc:Choice Requires="wpg">
            <w:drawing>
              <wp:inline xmlns:wp="http://schemas.openxmlformats.org/drawingml/2006/wordprocessingDrawing" distT="0" distB="0" distL="0" distR="0">
                <wp:extent cx="6126480" cy="5486400"/>
                <wp:effectExtent l="0" t="0" r="0" b="0"/>
                <wp:docPr id="473"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18"/>
                        <a:stretch/>
                      </pic:blipFill>
                      <pic:spPr bwMode="auto">
                        <a:xfrm>
                          <a:off x="0" y="0"/>
                          <a:ext cx="6126480" cy="54864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2" o:spid="_x0000_s472" type="#_x0000_t75" style="mso-wrap-distance-left:0.0pt;mso-wrap-distance-top:0.0pt;mso-wrap-distance-right:0.0pt;mso-wrap-distance-bottom:0.0pt;width:482.4pt;height:432.0pt;" stroked="f">
                <v:path textboxrect="0,0,0,0"/>
                <v:imagedata r:id="rId418" o:title=""/>
              </v:shape>
            </w:pict>
          </mc:Fallback>
        </mc:AlternateContent>
      </w:r>
      <w:r/>
    </w:p>
    <w:p>
      <w:pPr>
        <w:pStyle w:val="983"/>
      </w:pPr>
      <w:r>
        <w:fldChar w:fldCharType="begin"/>
      </w:r>
      <w:r>
        <w:instrText xml:space="preserve"> SEQ Рисунок \* ARABIC </w:instrText>
      </w:r>
      <w:r>
        <w:fldChar w:fldCharType="separate"/>
      </w:r>
      <w:bookmarkStart w:id="2130" w:name="_Ref356303099"/>
      <w:r/>
      <w:bookmarkStart w:id="2131" w:name="_Toc88819713"/>
      <w:r>
        <w:t xml:space="preserve">328</w:t>
      </w:r>
      <w:bookmarkEnd w:id="2130"/>
      <w:r>
        <w:fldChar w:fldCharType="end"/>
      </w:r>
      <w:r>
        <w:t xml:space="preserve">. ЭФ документа «Запрос на подтверждение сведений об организации</w:t>
      </w:r>
      <w:r>
        <w:t xml:space="preserve">», закладки «</w:t>
      </w:r>
      <w:r>
        <w:t xml:space="preserve">Основные атрибуты (1)»</w:t>
      </w:r>
      <w:bookmarkEnd w:id="2131"/>
      <w:r/>
      <w:r/>
    </w:p>
    <w:p>
      <w:pPr>
        <w:pStyle w:val="994"/>
      </w:pPr>
      <w:r>
        <w:t xml:space="preserve">Перечень полей </w:t>
      </w:r>
      <w:r>
        <w:t xml:space="preserve">документа «Запрос на подтверждение сведений об организации», </w:t>
      </w:r>
      <w:r>
        <w:t xml:space="preserve">закладки «Основные атрибуты (1)» </w:t>
      </w:r>
      <w:r>
        <w:t xml:space="preserve">приведен в таблице</w:t>
      </w:r>
      <w:r>
        <w:t xml:space="preserve"> </w:t>
      </w:r>
      <w:r>
        <w:fldChar w:fldCharType="begin"/>
      </w:r>
      <w:r>
        <w:instrText xml:space="preserve"> REF _Ref356309330 \h </w:instrText>
      </w:r>
      <w:r>
        <w:instrText xml:space="preserve"> \* MERGEFORMAT </w:instrText>
      </w:r>
      <w:r>
        <w:fldChar w:fldCharType="separate"/>
      </w:r>
      <w:r>
        <w:t xml:space="preserve">195</w:t>
      </w:r>
      <w:r>
        <w:fldChar w:fldCharType="end"/>
      </w:r>
      <w:r>
        <w:t xml:space="preserve">.</w:t>
      </w:r>
      <w:r/>
    </w:p>
    <w:p>
      <w:pPr>
        <w:pStyle w:val="993"/>
      </w:pPr>
      <w:r>
        <w:fldChar w:fldCharType="begin"/>
      </w:r>
      <w:r>
        <w:instrText xml:space="preserve"> SEQ Таблица \* ARABIC </w:instrText>
      </w:r>
      <w:r>
        <w:fldChar w:fldCharType="separate"/>
      </w:r>
      <w:bookmarkStart w:id="2132" w:name="_Ref356309330"/>
      <w:r/>
      <w:bookmarkStart w:id="2133" w:name="_Toc88819382"/>
      <w:r>
        <w:t xml:space="preserve">195</w:t>
      </w:r>
      <w:bookmarkEnd w:id="2132"/>
      <w:r>
        <w:fldChar w:fldCharType="end"/>
      </w:r>
      <w:r>
        <w:t xml:space="preserve">. </w:t>
      </w:r>
      <w:r>
        <w:t xml:space="preserve">Описание</w:t>
      </w:r>
      <w:r>
        <w:t xml:space="preserve"> полей документа «Запрос на подтверждение сведений об организации»</w:t>
      </w:r>
      <w:r>
        <w:t xml:space="preserve">, </w:t>
      </w:r>
      <w:r>
        <w:t xml:space="preserve">закладки «Основные реквизиты (1)»</w:t>
      </w:r>
      <w:bookmarkEnd w:id="2133"/>
      <w:r/>
      <w:r/>
    </w:p>
    <w:tbl>
      <w:tblPr>
        <w:tblW w:w="5002"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466"/>
        <w:gridCol w:w="7290"/>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264"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36"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«Общая информация»</w:t>
            </w:r>
            <w:r/>
          </w:p>
        </w:tc>
      </w:tr>
      <w:tr>
        <w:trPr/>
        <w:tc>
          <w:tcPr>
            <w:shd w:val="clear" w:fill="auto" w:color="auto"/>
            <w:tcW w:w="1264" w:type="pct"/>
            <w:textDirection w:val="lrTb"/>
            <w:noWrap w:val="false"/>
          </w:tcPr>
          <w:p>
            <w:pPr>
              <w:pStyle w:val="1005"/>
              <w:ind w:left="57" w:right="57"/>
            </w:pPr>
            <w:r>
              <w:t xml:space="preserve">Номер </w:t>
            </w:r>
            <w:r>
              <w:t xml:space="preserve">запроса</w:t>
            </w:r>
            <w:r/>
          </w:p>
        </w:tc>
        <w:tc>
          <w:tcPr>
            <w:shd w:val="clear" w:fill="auto" w:color="auto"/>
            <w:tcW w:w="3736"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264" w:type="pct"/>
            <w:textDirection w:val="lrTb"/>
            <w:noWrap w:val="false"/>
          </w:tcPr>
          <w:p>
            <w:pPr>
              <w:pStyle w:val="1005"/>
              <w:ind w:left="57" w:right="57"/>
            </w:pPr>
            <w:r>
              <w:t xml:space="preserve">Дата </w:t>
            </w:r>
            <w:r>
              <w:t xml:space="preserve">запроса</w:t>
            </w:r>
            <w:r/>
          </w:p>
        </w:tc>
        <w:tc>
          <w:tcPr>
            <w:shd w:val="clear" w:fill="auto" w:color="auto"/>
            <w:tcW w:w="3736"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264" w:type="pct"/>
            <w:textDirection w:val="lrTb"/>
            <w:noWrap w:val="false"/>
          </w:tcPr>
          <w:p>
            <w:pPr>
              <w:pStyle w:val="1005"/>
              <w:ind w:left="57" w:right="57"/>
            </w:pPr>
            <w:r>
              <w:t xml:space="preserve">Номер сведений</w:t>
            </w:r>
            <w:r/>
          </w:p>
        </w:tc>
        <w:tc>
          <w:tcPr>
            <w:shd w:val="clear" w:fill="auto" w:color="auto"/>
            <w:tcW w:w="3736" w:type="pct"/>
            <w:textDirection w:val="lrTb"/>
            <w:noWrap w:val="false"/>
          </w:tcPr>
          <w:p>
            <w:pPr>
              <w:pStyle w:val="1005"/>
              <w:ind w:left="57" w:right="57"/>
            </w:pPr>
            <w:r>
              <w:t xml:space="preserve">Внутренний номер Сведений об организации.</w:t>
            </w:r>
            <w:r/>
          </w:p>
          <w:p>
            <w:pPr>
              <w:pStyle w:val="1005"/>
              <w:ind w:left="57" w:right="57"/>
            </w:pPr>
            <w:r>
              <w:t xml:space="preserve">Заполняется из соответствующего поля ТФФ, переданного из ППО «СЭД».</w:t>
            </w:r>
            <w:r/>
          </w:p>
        </w:tc>
      </w:tr>
      <w:tr>
        <w:trPr/>
        <w:tc>
          <w:tcPr>
            <w:shd w:val="clear" w:fill="auto" w:color="auto"/>
            <w:tcW w:w="1264" w:type="pct"/>
            <w:textDirection w:val="lrTb"/>
            <w:noWrap w:val="false"/>
          </w:tcPr>
          <w:p>
            <w:pPr>
              <w:pStyle w:val="1005"/>
              <w:ind w:left="57" w:right="57"/>
            </w:pPr>
            <w:r>
              <w:t xml:space="preserve">Дата сведений</w:t>
            </w:r>
            <w:r/>
          </w:p>
        </w:tc>
        <w:tc>
          <w:tcPr>
            <w:shd w:val="clear" w:fill="auto" w:color="auto"/>
            <w:tcW w:w="3736" w:type="pct"/>
            <w:textDirection w:val="lrTb"/>
            <w:noWrap w:val="false"/>
          </w:tcPr>
          <w:p>
            <w:pPr>
              <w:pStyle w:val="1005"/>
              <w:ind w:left="57" w:right="57"/>
            </w:pPr>
            <w:r>
              <w:t xml:space="preserve">Внутренняя дата Сведений об организации.</w:t>
            </w:r>
            <w:r/>
          </w:p>
          <w:p>
            <w:pPr>
              <w:pStyle w:val="1005"/>
              <w:ind w:left="57" w:right="57"/>
            </w:pPr>
            <w:r>
              <w:t xml:space="preserve">Заполняется из соответствующего поля ТФФ, переданного из ППО «СЭД».</w:t>
            </w:r>
            <w:r/>
          </w:p>
        </w:tc>
      </w:tr>
      <w:tr>
        <w:trPr/>
        <w:tc>
          <w:tcPr>
            <w:shd w:val="clear" w:fill="auto" w:color="auto"/>
            <w:tcW w:w="1264" w:type="pct"/>
            <w:textDirection w:val="lrTb"/>
            <w:noWrap w:val="false"/>
          </w:tcPr>
          <w:p>
            <w:pPr>
              <w:pStyle w:val="1005"/>
              <w:ind w:left="57" w:right="57"/>
            </w:pPr>
            <w:r>
              <w:t xml:space="preserve">Дата ввода в действие</w:t>
            </w:r>
            <w:r/>
          </w:p>
        </w:tc>
        <w:tc>
          <w:tcPr>
            <w:shd w:val="clear" w:fill="auto" w:color="auto"/>
            <w:tcW w:w="3736" w:type="pct"/>
            <w:textDirection w:val="lrTb"/>
            <w:noWrap w:val="false"/>
          </w:tcPr>
          <w:p>
            <w:pPr>
              <w:pStyle w:val="1005"/>
              <w:ind w:left="57" w:right="57"/>
            </w:pPr>
            <w:r>
              <w:t xml:space="preserve">Дата ввода в действие Сведений об организации.</w:t>
            </w:r>
            <w:r/>
          </w:p>
          <w:p>
            <w:pPr>
              <w:pStyle w:val="1005"/>
              <w:ind w:left="57" w:right="57"/>
            </w:pPr>
            <w:r>
              <w:t xml:space="preserve">Заполняется из соответствующего поля ТФФ, переданного из ППО «СЭД».</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 (1)»</w:t>
            </w:r>
            <w:r/>
          </w:p>
        </w:tc>
      </w:tr>
      <w:tr>
        <w:trPr/>
        <w:tc>
          <w:tcPr>
            <w:shd w:val="clear" w:fill="auto" w:color="auto"/>
            <w:tcW w:w="1264" w:type="pct"/>
            <w:textDirection w:val="lrTb"/>
            <w:noWrap w:val="false"/>
          </w:tcPr>
          <w:p>
            <w:pPr>
              <w:pStyle w:val="1005"/>
              <w:ind w:left="57" w:right="57"/>
            </w:pPr>
            <w:r>
              <w:t xml:space="preserve">Тип организации</w:t>
            </w:r>
            <w:r/>
          </w:p>
        </w:tc>
        <w:tc>
          <w:tcPr>
            <w:shd w:val="clear" w:fill="auto" w:color="auto"/>
            <w:tcW w:w="3736" w:type="pct"/>
            <w:textDirection w:val="lrTb"/>
            <w:noWrap w:val="false"/>
          </w:tcPr>
          <w:p>
            <w:pPr>
              <w:pStyle w:val="1005"/>
              <w:ind w:left="57" w:right="57"/>
            </w:pPr>
            <w:r>
              <w:t xml:space="preserve">Заполняется автоматически на основании указанного значения в поле «Тип организации (код)»</w:t>
            </w:r>
            <w:r>
              <w:t xml:space="preserve">.</w:t>
            </w:r>
            <w:r/>
          </w:p>
          <w:p>
            <w:pPr>
              <w:pStyle w:val="1005"/>
              <w:ind w:left="57" w:right="57"/>
            </w:pPr>
            <w:r>
              <w:t xml:space="preserve">Список допустимых значений:</w:t>
            </w:r>
            <w:r/>
          </w:p>
          <w:p>
            <w:pPr>
              <w:pStyle w:val="1007"/>
            </w:pPr>
            <w:r>
              <w:t xml:space="preserve">03</w:t>
            </w:r>
            <w:r>
              <w:t xml:space="preserve"> – </w:t>
            </w:r>
            <w:r>
              <w:t xml:space="preserve">«бюджетное учреждение» (если в качестве бюджета указан бюджет ГВБФ, для которого уровень бюджета, определяемый по 4-му символу кода бюджета равен «4»); </w:t>
            </w:r>
            <w:r/>
          </w:p>
          <w:p>
            <w:pPr>
              <w:pStyle w:val="1007"/>
            </w:pPr>
            <w:r>
              <w:t xml:space="preserve">04</w:t>
            </w:r>
            <w:r>
              <w:t xml:space="preserve"> – </w:t>
            </w:r>
            <w:r>
              <w:t xml:space="preserve">«организация, имеющая долю государственного участия»;</w:t>
            </w:r>
            <w:r/>
          </w:p>
          <w:p>
            <w:pPr>
              <w:pStyle w:val="1007"/>
            </w:pPr>
            <w:r>
              <w:t xml:space="preserve">05</w:t>
            </w:r>
            <w:r>
              <w:t xml:space="preserve"> – </w:t>
            </w:r>
            <w:r>
              <w:t xml:space="preserve">«унитарное предприятие»;</w:t>
            </w:r>
            <w:r/>
          </w:p>
          <w:p>
            <w:pPr>
              <w:pStyle w:val="1007"/>
            </w:pPr>
            <w:r>
              <w:t xml:space="preserve">06</w:t>
            </w:r>
            <w:r>
              <w:t xml:space="preserve"> – </w:t>
            </w:r>
            <w:r>
              <w:t xml:space="preserve">«субъект естественных монополий»;</w:t>
            </w:r>
            <w:r/>
          </w:p>
          <w:p>
            <w:pPr>
              <w:pStyle w:val="1007"/>
            </w:pPr>
            <w:r>
              <w:t xml:space="preserve">08</w:t>
            </w:r>
            <w:r>
              <w:t xml:space="preserve"> – </w:t>
            </w:r>
            <w:r>
              <w:t xml:space="preserve">«казенное учреждение» (если в качестве бюджета указан бюджет ГВБФ, для которого уровень бюджета, определяемый по 4-му символу кода бюджета равен «4»). </w:t>
            </w:r>
            <w:r/>
          </w:p>
        </w:tc>
      </w:tr>
      <w:tr>
        <w:trPr/>
        <w:tc>
          <w:tcPr>
            <w:shd w:val="clear" w:fill="auto" w:color="auto"/>
            <w:tcW w:w="1264" w:type="pct"/>
            <w:textDirection w:val="lrTb"/>
            <w:noWrap w:val="false"/>
          </w:tcPr>
          <w:p>
            <w:pPr>
              <w:pStyle w:val="1005"/>
              <w:ind w:left="57" w:right="57"/>
            </w:pPr>
            <w:r>
              <w:t xml:space="preserve">Полное наименование организации</w:t>
            </w:r>
            <w:r/>
          </w:p>
        </w:tc>
        <w:tc>
          <w:tcPr>
            <w:shd w:val="clear" w:fill="auto" w:color="auto"/>
            <w:tcW w:w="3736"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264" w:type="pct"/>
            <w:textDirection w:val="lrTb"/>
            <w:noWrap w:val="false"/>
          </w:tcPr>
          <w:p>
            <w:pPr>
              <w:pStyle w:val="1005"/>
              <w:ind w:left="57" w:right="57"/>
            </w:pPr>
            <w:r>
              <w:t xml:space="preserve">Краткое наименование организации</w:t>
            </w:r>
            <w:r/>
          </w:p>
        </w:tc>
        <w:tc>
          <w:tcPr>
            <w:shd w:val="clear" w:fill="auto" w:color="auto"/>
            <w:tcW w:w="3736"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264" w:type="pct"/>
            <w:textDirection w:val="lrTb"/>
            <w:noWrap w:val="false"/>
          </w:tcPr>
          <w:p>
            <w:pPr>
              <w:pStyle w:val="1005"/>
              <w:ind w:left="57" w:right="57"/>
            </w:pPr>
            <w:r>
              <w:t xml:space="preserve">Код по Перечню ГРБС</w:t>
            </w:r>
            <w:r/>
          </w:p>
        </w:tc>
        <w:tc>
          <w:tcPr>
            <w:shd w:val="clear" w:fill="auto" w:color="auto"/>
            <w:tcW w:w="3736" w:type="pct"/>
            <w:textDirection w:val="lrTb"/>
            <w:noWrap w:val="false"/>
          </w:tcPr>
          <w:p>
            <w:pPr>
              <w:pStyle w:val="1005"/>
              <w:ind w:left="57" w:right="57"/>
            </w:pPr>
            <w:r>
              <w:t xml:space="preserve">Указывается код главы ГРБС по перечню ГРБС, утвержденному законом о федеральном бюджете.</w:t>
            </w:r>
            <w:r/>
          </w:p>
          <w:p>
            <w:pPr>
              <w:pStyle w:val="1005"/>
              <w:ind w:left="57" w:right="57"/>
            </w:pPr>
            <w:r>
              <w:t xml:space="preserve">Обязательно для заполнения для организаций, являющихся главными распорядителями средств федерального бюджета. Для остальных организаций поле не заполняется.</w:t>
            </w:r>
            <w:r/>
          </w:p>
          <w:p>
            <w:pPr>
              <w:pStyle w:val="1005"/>
              <w:ind w:left="57" w:right="57"/>
            </w:pPr>
            <w:r>
              <w:t xml:space="preserve">Заполняется из соответствующего поля </w:t>
            </w:r>
            <w:r>
              <w:t xml:space="preserve">ТФФ</w:t>
            </w:r>
            <w:r>
              <w:t xml:space="preserve">, переданного из ППО «СЭД».</w:t>
            </w:r>
            <w:r/>
          </w:p>
        </w:tc>
      </w:tr>
      <w:tr>
        <w:trPr/>
        <w:tc>
          <w:tcPr>
            <w:shd w:val="clear" w:fill="auto" w:color="auto"/>
            <w:tcW w:w="1264" w:type="pct"/>
            <w:textDirection w:val="lrTb"/>
            <w:noWrap w:val="false"/>
          </w:tcPr>
          <w:p>
            <w:pPr>
              <w:pStyle w:val="1005"/>
              <w:ind w:left="57" w:right="57"/>
            </w:pPr>
            <w:r>
              <w:t xml:space="preserve">БИК</w:t>
            </w:r>
            <w:r/>
          </w:p>
        </w:tc>
        <w:tc>
          <w:tcPr>
            <w:shd w:val="clear" w:fill="auto" w:color="auto"/>
            <w:tcW w:w="3736" w:type="pct"/>
            <w:textDirection w:val="lrTb"/>
            <w:noWrap w:val="false"/>
          </w:tcPr>
          <w:p>
            <w:pPr>
              <w:pStyle w:val="1005"/>
              <w:ind w:left="57" w:right="57"/>
            </w:pPr>
            <w:r>
              <w:t xml:space="preserve">Указывается банковский идентификационный код в соответствии с Классификатором банковских идентификационных кодов, ведущемся Банком России.</w:t>
            </w:r>
            <w:r/>
          </w:p>
          <w:p>
            <w:pPr>
              <w:pStyle w:val="1005"/>
              <w:ind w:left="57" w:right="57"/>
            </w:pPr>
            <w:r>
              <w:t xml:space="preserve">Заполняется из соответствующего поля </w:t>
            </w:r>
            <w:r>
              <w:t xml:space="preserve">ТФФ</w:t>
            </w:r>
            <w:r>
              <w:t xml:space="preserve">, переданного из ППО «СЭД».</w:t>
            </w:r>
            <w:r/>
          </w:p>
        </w:tc>
      </w:tr>
      <w:tr>
        <w:trPr/>
        <w:tc>
          <w:tcPr>
            <w:shd w:val="clear" w:fill="auto" w:color="auto"/>
            <w:tcW w:w="1264" w:type="pct"/>
            <w:textDirection w:val="lrTb"/>
            <w:noWrap w:val="false"/>
          </w:tcPr>
          <w:p>
            <w:pPr>
              <w:pStyle w:val="1005"/>
              <w:ind w:left="57" w:right="57"/>
            </w:pPr>
            <w:r>
              <w:t xml:space="preserve">Регистрационный номер</w:t>
            </w:r>
            <w:r/>
          </w:p>
        </w:tc>
        <w:tc>
          <w:tcPr>
            <w:shd w:val="clear" w:fill="auto" w:color="auto"/>
            <w:tcW w:w="3736" w:type="pct"/>
            <w:textDirection w:val="lrTb"/>
            <w:noWrap w:val="false"/>
          </w:tcPr>
          <w:p>
            <w:pPr>
              <w:pStyle w:val="1005"/>
              <w:ind w:left="57" w:right="57"/>
            </w:pPr>
            <w:r>
              <w:t xml:space="preserve">Регистрационный номер банка по Книге государственной регистрации кредитных организаций (КГРКО), ведущейся Банком России.</w:t>
            </w:r>
            <w:r/>
          </w:p>
          <w:p>
            <w:pPr>
              <w:pStyle w:val="1005"/>
              <w:ind w:left="57" w:right="57"/>
            </w:pPr>
            <w:r>
              <w:t xml:space="preserve">Заполняется из соответствующего поля </w:t>
            </w:r>
            <w:r>
              <w:t xml:space="preserve">ТФФ</w:t>
            </w:r>
            <w:r>
              <w:t xml:space="preserve">, переданного из ППО «СЭД».</w:t>
            </w:r>
            <w:r/>
          </w:p>
        </w:tc>
      </w:tr>
      <w:tr>
        <w:trPr/>
        <w:tc>
          <w:tcPr>
            <w:shd w:val="clear" w:fill="auto" w:color="auto"/>
            <w:tcW w:w="1264" w:type="pct"/>
            <w:textDirection w:val="lrTb"/>
            <w:noWrap w:val="false"/>
          </w:tcPr>
          <w:p>
            <w:pPr>
              <w:pStyle w:val="1005"/>
              <w:ind w:left="57" w:right="57"/>
            </w:pPr>
            <w:r>
              <w:t xml:space="preserve">ИНН</w:t>
            </w:r>
            <w:r/>
          </w:p>
        </w:tc>
        <w:tc>
          <w:tcPr>
            <w:shd w:val="clear" w:fill="auto" w:color="auto"/>
            <w:tcW w:w="3736"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264" w:type="pct"/>
            <w:textDirection w:val="lrTb"/>
            <w:noWrap w:val="false"/>
          </w:tcPr>
          <w:p>
            <w:pPr>
              <w:pStyle w:val="1005"/>
              <w:ind w:left="57" w:right="57"/>
            </w:pPr>
            <w:r>
              <w:t xml:space="preserve">КПП</w:t>
            </w:r>
            <w:r/>
          </w:p>
        </w:tc>
        <w:tc>
          <w:tcPr>
            <w:shd w:val="clear" w:fill="auto" w:color="auto"/>
            <w:tcW w:w="3736"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264" w:type="pct"/>
            <w:textDirection w:val="lrTb"/>
            <w:noWrap w:val="false"/>
          </w:tcPr>
          <w:p>
            <w:pPr>
              <w:pStyle w:val="1005"/>
              <w:ind w:left="57" w:right="57"/>
            </w:pPr>
            <w:r>
              <w:t xml:space="preserve">Бюджет</w:t>
            </w:r>
            <w:r/>
          </w:p>
        </w:tc>
        <w:tc>
          <w:tcPr>
            <w:shd w:val="clear" w:fill="auto" w:color="auto"/>
            <w:tcW w:w="3736" w:type="pct"/>
            <w:textDirection w:val="lrTb"/>
            <w:noWrap w:val="false"/>
          </w:tcPr>
          <w:p>
            <w:pPr>
              <w:pStyle w:val="1005"/>
              <w:ind w:left="57" w:right="57"/>
            </w:pPr>
            <w:r>
              <w:t xml:space="preserve">Наименование бюджета.</w:t>
            </w:r>
            <w:r/>
          </w:p>
          <w:p>
            <w:pPr>
              <w:pStyle w:val="1005"/>
              <w:ind w:left="57" w:right="57"/>
            </w:pPr>
            <w:r>
              <w:t xml:space="preserve">Заполняется из соответствующего поля ТФФ, переданного из ППО «СЭД».</w:t>
            </w:r>
            <w:r/>
          </w:p>
          <w:p>
            <w:pPr>
              <w:pStyle w:val="1005"/>
              <w:ind w:left="57" w:right="57"/>
            </w:pPr>
            <w:r>
              <w:t xml:space="preserve">Для поля допустимо указание значения «Нет».</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 (1)»</w:t>
            </w:r>
            <w:r>
              <w:t xml:space="preserve">, г</w:t>
            </w:r>
            <w:r>
              <w:t xml:space="preserve">руппа полей «Вышестоящий УБП по административной принадлежности»</w:t>
            </w:r>
            <w:r/>
          </w:p>
        </w:tc>
      </w:tr>
      <w:tr>
        <w:trPr/>
        <w:tc>
          <w:tcPr>
            <w:shd w:val="clear" w:fill="auto" w:color="auto"/>
            <w:tcW w:w="1264" w:type="pct"/>
            <w:textDirection w:val="lrTb"/>
            <w:noWrap w:val="false"/>
          </w:tcPr>
          <w:p>
            <w:pPr>
              <w:pStyle w:val="1005"/>
              <w:ind w:left="57" w:right="57"/>
            </w:pPr>
            <w:r>
              <w:t xml:space="preserve">Учетный номер</w:t>
            </w:r>
            <w:r/>
          </w:p>
        </w:tc>
        <w:tc>
          <w:tcPr>
            <w:shd w:val="clear" w:fill="auto" w:color="auto"/>
            <w:tcW w:w="3736" w:type="pct"/>
            <w:textDirection w:val="lrTb"/>
            <w:noWrap w:val="false"/>
          </w:tcPr>
          <w:p>
            <w:pPr>
              <w:pStyle w:val="1005"/>
              <w:ind w:left="57" w:right="57"/>
            </w:pPr>
            <w:r>
              <w:t xml:space="preserve">Учетный номер вышестоящего УБП по административной принадлежности.</w:t>
            </w:r>
            <w:r/>
          </w:p>
          <w:p>
            <w:pPr>
              <w:pStyle w:val="1005"/>
              <w:ind w:left="57" w:right="57"/>
            </w:pPr>
            <w:r>
              <w:t xml:space="preserve">Заполняется из соответствующего поля ТФФ, переданного из ППО «СЭД».</w:t>
            </w:r>
            <w:r/>
          </w:p>
        </w:tc>
      </w:tr>
      <w:tr>
        <w:trPr/>
        <w:tc>
          <w:tcPr>
            <w:shd w:val="clear" w:fill="auto" w:color="auto"/>
            <w:tcW w:w="1264" w:type="pct"/>
            <w:textDirection w:val="lrTb"/>
            <w:noWrap w:val="false"/>
          </w:tcPr>
          <w:p>
            <w:pPr>
              <w:pStyle w:val="1005"/>
              <w:ind w:left="57" w:right="57"/>
            </w:pPr>
            <w:r>
              <w:t xml:space="preserve">Наименование</w:t>
            </w:r>
            <w:r/>
          </w:p>
        </w:tc>
        <w:tc>
          <w:tcPr>
            <w:shd w:val="clear" w:fill="auto" w:color="auto"/>
            <w:tcW w:w="3736" w:type="pct"/>
            <w:textDirection w:val="lrTb"/>
            <w:noWrap w:val="false"/>
          </w:tcPr>
          <w:p>
            <w:pPr>
              <w:pStyle w:val="1005"/>
              <w:ind w:left="57" w:right="57"/>
            </w:pPr>
            <w:r>
              <w:t xml:space="preserve">Наименование вышестоящего участника бюджетного процесса по административной принадлежности.</w:t>
            </w:r>
            <w:r/>
          </w:p>
          <w:p>
            <w:pPr>
              <w:pStyle w:val="1005"/>
              <w:ind w:left="57" w:right="57"/>
            </w:pPr>
            <w:r>
              <w:t xml:space="preserve">Заполняется из соответствующего поля ТФФ, переданного из ППО «СЭД».</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 (1)», группа </w:t>
            </w:r>
            <w:r>
              <w:t xml:space="preserve">полей «Вышестоящая организация»</w:t>
            </w:r>
            <w:r/>
          </w:p>
        </w:tc>
      </w:tr>
      <w:tr>
        <w:trPr/>
        <w:tc>
          <w:tcPr>
            <w:shd w:val="clear" w:fill="auto" w:color="auto"/>
            <w:tcW w:w="1264" w:type="pct"/>
            <w:textDirection w:val="lrTb"/>
            <w:noWrap w:val="false"/>
          </w:tcPr>
          <w:p>
            <w:pPr>
              <w:pStyle w:val="1005"/>
              <w:ind w:left="57" w:right="57"/>
            </w:pPr>
            <w:r>
              <w:t xml:space="preserve">Учетный номер</w:t>
            </w:r>
            <w:r/>
          </w:p>
        </w:tc>
        <w:tc>
          <w:tcPr>
            <w:shd w:val="clear" w:fill="auto" w:color="auto"/>
            <w:tcW w:w="3736" w:type="pct"/>
            <w:textDirection w:val="lrTb"/>
            <w:noWrap w:val="false"/>
          </w:tcPr>
          <w:p>
            <w:pPr>
              <w:pStyle w:val="1005"/>
              <w:ind w:left="57" w:right="57"/>
            </w:pPr>
            <w:r>
              <w:t xml:space="preserve">Учетный номер вышестоящей организации.</w:t>
            </w:r>
            <w:r/>
          </w:p>
          <w:p>
            <w:pPr>
              <w:pStyle w:val="1005"/>
              <w:ind w:left="57" w:right="57"/>
            </w:pPr>
            <w:r>
              <w:t xml:space="preserve">Заполняется из соответствующего поля ТФФ, переданного из ППО «СЭД».</w:t>
            </w:r>
            <w:r/>
          </w:p>
        </w:tc>
      </w:tr>
      <w:tr>
        <w:trPr/>
        <w:tc>
          <w:tcPr>
            <w:shd w:val="clear" w:fill="auto" w:color="auto"/>
            <w:tcW w:w="1264" w:type="pct"/>
            <w:textDirection w:val="lrTb"/>
            <w:noWrap w:val="false"/>
          </w:tcPr>
          <w:p>
            <w:pPr>
              <w:pStyle w:val="1005"/>
              <w:ind w:left="57" w:right="57"/>
            </w:pPr>
            <w:r>
              <w:t xml:space="preserve">Наименование</w:t>
            </w:r>
            <w:r/>
          </w:p>
        </w:tc>
        <w:tc>
          <w:tcPr>
            <w:shd w:val="clear" w:fill="auto" w:color="auto"/>
            <w:tcW w:w="3736" w:type="pct"/>
            <w:textDirection w:val="lrTb"/>
            <w:noWrap w:val="false"/>
          </w:tcPr>
          <w:p>
            <w:pPr>
              <w:pStyle w:val="1005"/>
              <w:ind w:left="57" w:right="57"/>
            </w:pPr>
            <w:r>
              <w:t xml:space="preserve">Наименование вышестоящей организации.</w:t>
            </w:r>
            <w:r/>
          </w:p>
          <w:p>
            <w:pPr>
              <w:pStyle w:val="1005"/>
              <w:ind w:left="57" w:right="57"/>
            </w:pPr>
            <w:r>
              <w:t xml:space="preserve">Заполняется из соответствующего поля ТФФ, переданного из ППО «СЭД».</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 (1)», группа </w:t>
            </w:r>
            <w:r>
              <w:t xml:space="preserve">полей «Орган ФК»</w:t>
            </w:r>
            <w:r/>
          </w:p>
        </w:tc>
      </w:tr>
      <w:tr>
        <w:trPr/>
        <w:tc>
          <w:tcPr>
            <w:shd w:val="clear" w:fill="auto" w:color="auto"/>
            <w:tcW w:w="1264" w:type="pct"/>
            <w:textDirection w:val="lrTb"/>
            <w:noWrap w:val="false"/>
          </w:tcPr>
          <w:p>
            <w:pPr>
              <w:pStyle w:val="1005"/>
              <w:ind w:left="57" w:right="57"/>
            </w:pPr>
            <w:r>
              <w:t xml:space="preserve">Код ОрФК</w:t>
            </w:r>
            <w:r/>
          </w:p>
        </w:tc>
        <w:tc>
          <w:tcPr>
            <w:shd w:val="clear" w:fill="auto" w:color="auto"/>
            <w:tcW w:w="3736" w:type="pct"/>
            <w:textDirection w:val="lrTb"/>
            <w:noWrap w:val="false"/>
          </w:tcPr>
          <w:p>
            <w:pPr>
              <w:pStyle w:val="1005"/>
              <w:ind w:left="57" w:right="57"/>
            </w:pPr>
            <w:r>
              <w:t xml:space="preserve">Код по КОФК ОрФК, сформировавшего документ.</w:t>
            </w:r>
            <w:r/>
          </w:p>
          <w:p>
            <w:pPr>
              <w:pStyle w:val="1005"/>
              <w:ind w:left="57" w:right="57"/>
            </w:pPr>
            <w:r>
              <w:t xml:space="preserve">Заполняется из соответствующего поля ТФФ, переданного из ППО «СЭД».</w:t>
            </w:r>
            <w:r/>
          </w:p>
        </w:tc>
      </w:tr>
      <w:tr>
        <w:trPr/>
        <w:tc>
          <w:tcPr>
            <w:shd w:val="clear" w:fill="auto" w:color="auto"/>
            <w:tcW w:w="1264" w:type="pct"/>
            <w:textDirection w:val="lrTb"/>
            <w:noWrap w:val="false"/>
          </w:tcPr>
          <w:p>
            <w:pPr>
              <w:pStyle w:val="1005"/>
              <w:ind w:left="57" w:right="57"/>
            </w:pPr>
            <w:r>
              <w:t xml:space="preserve">Наименование </w:t>
            </w:r>
            <w:r/>
          </w:p>
        </w:tc>
        <w:tc>
          <w:tcPr>
            <w:shd w:val="clear" w:fill="auto" w:color="auto"/>
            <w:tcW w:w="3736" w:type="pct"/>
            <w:textDirection w:val="lrTb"/>
            <w:noWrap w:val="false"/>
          </w:tcPr>
          <w:p>
            <w:pPr>
              <w:pStyle w:val="1005"/>
              <w:ind w:left="57" w:right="57"/>
            </w:pPr>
            <w:r>
              <w:t xml:space="preserve">Наименование органа Федерального казначейства, сформировавшего документ.</w:t>
            </w:r>
            <w:r/>
          </w:p>
          <w:p>
            <w:pPr>
              <w:pStyle w:val="1005"/>
              <w:ind w:left="57" w:right="57"/>
            </w:pPr>
            <w:r>
              <w:t xml:space="preserve">Заполняется из соответствующего поля ТФФ, переданного из ППО «СЭД».</w:t>
            </w:r>
            <w:r/>
          </w:p>
        </w:tc>
      </w:tr>
      <w:tr>
        <w:trPr/>
        <w:tc>
          <w:tcPr>
            <w:gridSpan w:val="2"/>
            <w:shd w:val="clear" w:fill="auto" w:color="auto"/>
            <w:tcW w:w="5000" w:type="pct"/>
            <w:textDirection w:val="lrTb"/>
            <w:noWrap w:val="false"/>
          </w:tcPr>
          <w:p>
            <w:pPr>
              <w:pStyle w:val="1005"/>
              <w:ind w:left="57" w:right="57"/>
            </w:pPr>
            <w:r>
              <w:t xml:space="preserve">Закладка «Основные атрибуты (1)», группа </w:t>
            </w:r>
            <w:r>
              <w:t xml:space="preserve">полей «Коды»</w:t>
            </w:r>
            <w:r/>
          </w:p>
        </w:tc>
      </w:tr>
      <w:tr>
        <w:trPr/>
        <w:tc>
          <w:tcPr>
            <w:shd w:val="clear" w:fill="auto" w:color="auto"/>
            <w:tcW w:w="1264" w:type="pct"/>
            <w:textDirection w:val="lrTb"/>
            <w:noWrap w:val="false"/>
          </w:tcPr>
          <w:p>
            <w:pPr>
              <w:pStyle w:val="1005"/>
              <w:ind w:left="57" w:right="57"/>
            </w:pPr>
            <w:r>
              <w:t xml:space="preserve">ОГРН</w:t>
            </w:r>
            <w:r/>
          </w:p>
        </w:tc>
        <w:tc>
          <w:tcPr>
            <w:shd w:val="clear" w:fill="auto" w:color="auto"/>
            <w:tcW w:w="3736"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264" w:type="pct"/>
            <w:textDirection w:val="lrTb"/>
            <w:noWrap w:val="false"/>
          </w:tcPr>
          <w:p>
            <w:pPr>
              <w:pStyle w:val="1005"/>
              <w:ind w:left="57" w:right="57"/>
            </w:pPr>
            <w:r>
              <w:t xml:space="preserve">ОКОГУ</w:t>
            </w:r>
            <w:r/>
          </w:p>
        </w:tc>
        <w:tc>
          <w:tcPr>
            <w:shd w:val="clear" w:fill="auto" w:color="auto"/>
            <w:tcW w:w="3736"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264" w:type="pct"/>
            <w:textDirection w:val="lrTb"/>
            <w:noWrap w:val="false"/>
          </w:tcPr>
          <w:p>
            <w:pPr>
              <w:pStyle w:val="1005"/>
              <w:ind w:left="57" w:right="57"/>
            </w:pPr>
            <w:r>
              <w:t xml:space="preserve">ОКФС</w:t>
            </w:r>
            <w:r/>
          </w:p>
        </w:tc>
        <w:tc>
          <w:tcPr>
            <w:shd w:val="clear" w:fill="auto" w:color="auto"/>
            <w:tcW w:w="3736"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264" w:type="pct"/>
            <w:textDirection w:val="lrTb"/>
            <w:noWrap w:val="false"/>
          </w:tcPr>
          <w:p>
            <w:pPr>
              <w:pStyle w:val="1005"/>
              <w:ind w:left="57" w:right="57"/>
            </w:pPr>
            <w:r>
              <w:t xml:space="preserve">ОКПО</w:t>
            </w:r>
            <w:r/>
          </w:p>
        </w:tc>
        <w:tc>
          <w:tcPr>
            <w:shd w:val="clear" w:fill="auto" w:color="auto"/>
            <w:tcW w:w="3736"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264" w:type="pct"/>
            <w:textDirection w:val="lrTb"/>
            <w:noWrap w:val="false"/>
          </w:tcPr>
          <w:p>
            <w:pPr>
              <w:pStyle w:val="1005"/>
              <w:ind w:left="57" w:right="57"/>
            </w:pPr>
            <w:r>
              <w:t xml:space="preserve">ОКОПФ</w:t>
            </w:r>
            <w:r/>
          </w:p>
        </w:tc>
        <w:tc>
          <w:tcPr>
            <w:shd w:val="clear" w:fill="auto" w:color="auto"/>
            <w:tcW w:w="3736" w:type="pct"/>
            <w:textDirection w:val="lrTb"/>
            <w:noWrap w:val="false"/>
          </w:tcPr>
          <w:p>
            <w:pPr>
              <w:pStyle w:val="1005"/>
              <w:ind w:left="57" w:right="57"/>
            </w:pPr>
            <w:r>
              <w:t xml:space="preserve">Заполняется из соответствующего поля ТФФ, переданного из ППО «СЭД».</w:t>
            </w:r>
            <w:r/>
          </w:p>
        </w:tc>
      </w:tr>
    </w:tbl>
    <w:p>
      <w:pPr>
        <w:pStyle w:val="994"/>
      </w:pPr>
      <w:r>
        <w:t xml:space="preserve">ЭФ документа «Запрос на подтверждение сведений об организации», закладки «Полномочия (2)»</w:t>
      </w:r>
      <w:r>
        <w:t xml:space="preserve"> представлена н</w:t>
      </w:r>
      <w:r>
        <w:t xml:space="preserve">а рисунке</w:t>
      </w:r>
      <w:r>
        <w:t xml:space="preserve"> </w:t>
      </w:r>
      <w:r>
        <w:fldChar w:fldCharType="begin"/>
      </w:r>
      <w:r>
        <w:instrText xml:space="preserve"> REF _Ref356303151 \h </w:instrText>
      </w:r>
      <w:r>
        <w:instrText xml:space="preserve"> \* MERGEFORMAT </w:instrText>
      </w:r>
      <w:r>
        <w:fldChar w:fldCharType="separate"/>
      </w:r>
      <w:r>
        <w:t xml:space="preserve">329</w:t>
      </w:r>
      <w:r>
        <w:fldChar w:fldCharType="end"/>
      </w:r>
      <w:r>
        <w:t xml:space="preserve">.</w:t>
      </w:r>
      <w:r/>
    </w:p>
    <w:p>
      <w:pPr>
        <w:pStyle w:val="982"/>
      </w:pPr>
      <w:r>
        <w:rPr>
          <w:lang w:val="en-US"/>
        </w:rPr>
        <mc:AlternateContent>
          <mc:Choice Requires="wpg">
            <w:drawing>
              <wp:inline xmlns:wp="http://schemas.openxmlformats.org/drawingml/2006/wordprocessingDrawing" distT="0" distB="0" distL="0" distR="0">
                <wp:extent cx="6035040" cy="5486400"/>
                <wp:effectExtent l="0" t="0" r="0" b="0"/>
                <wp:docPr id="474"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19"/>
                        <a:stretch/>
                      </pic:blipFill>
                      <pic:spPr bwMode="auto">
                        <a:xfrm>
                          <a:off x="0" y="0"/>
                          <a:ext cx="6035039" cy="54864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3" o:spid="_x0000_s473" type="#_x0000_t75" style="mso-wrap-distance-left:0.0pt;mso-wrap-distance-top:0.0pt;mso-wrap-distance-right:0.0pt;mso-wrap-distance-bottom:0.0pt;width:475.2pt;height:432.0pt;" stroked="f">
                <v:path textboxrect="0,0,0,0"/>
                <v:imagedata r:id="rId419" o:title=""/>
              </v:shape>
            </w:pict>
          </mc:Fallback>
        </mc:AlternateContent>
      </w:r>
      <w:r/>
    </w:p>
    <w:p>
      <w:pPr>
        <w:pStyle w:val="983"/>
      </w:pPr>
      <w:r>
        <w:fldChar w:fldCharType="begin"/>
      </w:r>
      <w:r>
        <w:instrText xml:space="preserve"> SEQ Рисунок \* ARABIC </w:instrText>
      </w:r>
      <w:r>
        <w:fldChar w:fldCharType="separate"/>
      </w:r>
      <w:bookmarkStart w:id="2134" w:name="_Ref356303151"/>
      <w:r/>
      <w:bookmarkStart w:id="2135" w:name="_Toc88819714"/>
      <w:r>
        <w:t xml:space="preserve">329</w:t>
      </w:r>
      <w:bookmarkEnd w:id="2134"/>
      <w:r>
        <w:fldChar w:fldCharType="end"/>
      </w:r>
      <w:r>
        <w:t xml:space="preserve">. ЭФ документа «Запрос на подтверждение сведений об организации</w:t>
      </w:r>
      <w:r>
        <w:t xml:space="preserve">», закладки «</w:t>
      </w:r>
      <w:r>
        <w:t xml:space="preserve">Полномочия (2)»</w:t>
      </w:r>
      <w:bookmarkEnd w:id="2135"/>
      <w:r/>
      <w:r/>
    </w:p>
    <w:p>
      <w:pPr>
        <w:pStyle w:val="994"/>
      </w:pPr>
      <w:r>
        <w:t xml:space="preserve">Перечень полей </w:t>
      </w:r>
      <w:r>
        <w:t xml:space="preserve">документа «Запрос на подтверждение сведений об организации», закладки «Полномочия (2)»</w:t>
      </w:r>
      <w:r>
        <w:t xml:space="preserve"> </w:t>
      </w:r>
      <w:r>
        <w:t xml:space="preserve">приведен в таблице</w:t>
      </w:r>
      <w:r>
        <w:t xml:space="preserve"> </w:t>
      </w:r>
      <w:r>
        <w:fldChar w:fldCharType="begin"/>
      </w:r>
      <w:r>
        <w:instrText xml:space="preserve"> REF _Ref356309906 \h </w:instrText>
      </w:r>
      <w:r>
        <w:instrText xml:space="preserve"> \* MERGEFORMAT </w:instrText>
      </w:r>
      <w:r>
        <w:fldChar w:fldCharType="separate"/>
      </w:r>
      <w:r>
        <w:t xml:space="preserve">196</w:t>
      </w:r>
      <w:r>
        <w:fldChar w:fldCharType="end"/>
      </w:r>
      <w:r>
        <w:t xml:space="preserve">.</w:t>
      </w:r>
      <w:r/>
    </w:p>
    <w:p>
      <w:pPr>
        <w:pStyle w:val="993"/>
      </w:pPr>
      <w:r>
        <w:fldChar w:fldCharType="begin"/>
      </w:r>
      <w:r>
        <w:instrText xml:space="preserve"> SEQ Таблица \* ARABIC </w:instrText>
      </w:r>
      <w:r>
        <w:fldChar w:fldCharType="separate"/>
      </w:r>
      <w:bookmarkStart w:id="2136" w:name="_Ref356309906"/>
      <w:r/>
      <w:bookmarkStart w:id="2137" w:name="_Toc88819383"/>
      <w:r>
        <w:t xml:space="preserve">196</w:t>
      </w:r>
      <w:bookmarkEnd w:id="2136"/>
      <w:r>
        <w:fldChar w:fldCharType="end"/>
      </w:r>
      <w:r>
        <w:t xml:space="preserve">. </w:t>
      </w:r>
      <w:r>
        <w:t xml:space="preserve">Описание</w:t>
      </w:r>
      <w:r>
        <w:t xml:space="preserve"> полей </w:t>
      </w:r>
      <w:r>
        <w:t xml:space="preserve">документа «Запрос на подтверждение сведений об организации», закладки «Полномочия (2)»</w:t>
      </w:r>
      <w:bookmarkEnd w:id="2137"/>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25"/>
        <w:gridCol w:w="7427"/>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192"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08" w:type="pct"/>
            <w:vAlign w:val="center"/>
            <w:textDirection w:val="lrTb"/>
            <w:noWrap w:val="false"/>
          </w:tcPr>
          <w:p>
            <w:pPr>
              <w:pStyle w:val="1006"/>
            </w:pPr>
            <w:r>
              <w:t xml:space="preserve">Описание поля</w:t>
            </w:r>
            <w:r/>
          </w:p>
        </w:tc>
      </w:tr>
      <w:tr>
        <w:trPr/>
        <w:tc>
          <w:tcPr>
            <w:shd w:val="clear" w:fill="auto" w:color="auto"/>
            <w:tcW w:w="1192" w:type="pct"/>
            <w:textDirection w:val="lrTb"/>
            <w:noWrap w:val="false"/>
          </w:tcPr>
          <w:p>
            <w:pPr>
              <w:pStyle w:val="1005"/>
              <w:ind w:left="57" w:right="57"/>
            </w:pPr>
            <w:r>
              <w:t xml:space="preserve">Код по ОКВЭД</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gridSpan w:val="2"/>
            <w:shd w:val="clear" w:fill="auto" w:color="auto"/>
            <w:tcW w:w="5000" w:type="pct"/>
            <w:textDirection w:val="lrTb"/>
            <w:noWrap w:val="false"/>
          </w:tcPr>
          <w:p>
            <w:pPr>
              <w:pStyle w:val="1005"/>
              <w:ind w:left="57" w:right="57"/>
            </w:pPr>
            <w:r>
              <w:t xml:space="preserve">Группа полей «Полномочия»</w:t>
            </w:r>
            <w:r/>
          </w:p>
        </w:tc>
      </w:tr>
      <w:tr>
        <w:trPr/>
        <w:tc>
          <w:tcPr>
            <w:shd w:val="clear" w:fill="auto" w:color="auto"/>
            <w:tcW w:w="1192" w:type="pct"/>
            <w:textDirection w:val="lrTb"/>
            <w:noWrap w:val="false"/>
          </w:tcPr>
          <w:p>
            <w:pPr>
              <w:pStyle w:val="1005"/>
              <w:ind w:left="57" w:right="57"/>
            </w:pPr>
            <w:r>
              <w:t xml:space="preserve">Заказчик</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Уполномоченный орган</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Уполномоченн</w:t>
            </w:r>
            <w:r>
              <w:t xml:space="preserve">ое учреждение</w:t>
            </w:r>
            <w:r/>
          </w:p>
        </w:tc>
        <w:tc>
          <w:tcPr>
            <w:shd w:val="clear" w:fill="auto" w:color="auto"/>
            <w:tcW w:w="3808" w:type="pct"/>
            <w:textDirection w:val="lrTb"/>
            <w:noWrap w:val="false"/>
          </w:tcPr>
          <w:p>
            <w:pPr>
              <w:pStyle w:val="1005"/>
              <w:ind w:left="57" w:right="57"/>
            </w:pPr>
            <w:r>
              <w:t xml:space="preserve">Заполняется из соответствующего поля </w:t>
            </w:r>
            <w:r>
              <w:t xml:space="preserve">ТФФ</w:t>
            </w:r>
            <w:r>
              <w:t xml:space="preserve">, переданного из ППО «СЭД».</w:t>
            </w:r>
            <w:r/>
          </w:p>
        </w:tc>
      </w:tr>
      <w:tr>
        <w:trPr/>
        <w:tc>
          <w:tcPr>
            <w:shd w:val="clear" w:fill="auto" w:color="auto"/>
            <w:tcW w:w="1192" w:type="pct"/>
            <w:textDirection w:val="lrTb"/>
            <w:noWrap w:val="false"/>
          </w:tcPr>
          <w:p>
            <w:pPr>
              <w:pStyle w:val="1005"/>
              <w:ind w:left="57" w:right="57"/>
            </w:pPr>
            <w:r>
              <w:t xml:space="preserve">Специализированная </w:t>
            </w:r>
            <w:r>
              <w:t xml:space="preserve">организация</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Финансовый орган</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Оператор ООС</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Оператор электронной площадки</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Орган по регулированию контрактной системы в сфере закупок</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Орган аудита</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Банк</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Контрольный</w:t>
            </w:r>
            <w:r>
              <w:t xml:space="preserve"> </w:t>
            </w:r>
            <w:r>
              <w:t xml:space="preserve">орган в сфере закупок</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Орган контроля соответствия информации об объеме финансового обеспечения и идентификационных кодах закупок</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Орган внутреннего контроля</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Орган, устанавливающий правила нормирования</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Орган, утверждающий требования к отдельным видам товаров, работ, услуг</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Орган, разрабатывающий типовые контракты и типовые условия контрактов</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gridSpan w:val="2"/>
            <w:shd w:val="clear" w:fill="auto" w:color="auto"/>
            <w:tcW w:w="5000" w:type="pct"/>
            <w:textDirection w:val="lrTb"/>
            <w:noWrap w:val="false"/>
          </w:tcPr>
          <w:p>
            <w:pPr>
              <w:pStyle w:val="1005"/>
              <w:ind w:left="57" w:right="57"/>
            </w:pPr>
            <w:r>
              <w:t xml:space="preserve">Группа полей «Адрес</w:t>
            </w:r>
            <w:r>
              <w:t xml:space="preserve"> местонахождения</w:t>
            </w:r>
            <w:r>
              <w:t xml:space="preserve">»</w:t>
            </w:r>
            <w:r/>
          </w:p>
        </w:tc>
      </w:tr>
      <w:tr>
        <w:trPr/>
        <w:tc>
          <w:tcPr>
            <w:shd w:val="clear" w:fill="auto" w:color="auto"/>
            <w:tcW w:w="1192" w:type="pct"/>
            <w:textDirection w:val="lrTb"/>
            <w:noWrap w:val="false"/>
          </w:tcPr>
          <w:p>
            <w:pPr>
              <w:pStyle w:val="1005"/>
              <w:ind w:left="57" w:right="57"/>
            </w:pPr>
            <w:r>
              <w:t xml:space="preserve">Почтовый индекс</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ОКТМО</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С</w:t>
            </w:r>
            <w:r>
              <w:t xml:space="preserve">убъект РФ</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Район</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Город</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w:t>
            </w:r>
            <w:r>
              <w:t xml:space="preserve">переданного</w:t>
            </w:r>
            <w:r>
              <w:t xml:space="preserve"> из ППО «СЭД».</w:t>
            </w:r>
            <w:r/>
          </w:p>
        </w:tc>
      </w:tr>
      <w:tr>
        <w:trPr/>
        <w:tc>
          <w:tcPr>
            <w:shd w:val="clear" w:fill="auto" w:color="auto"/>
            <w:tcW w:w="1192" w:type="pct"/>
            <w:textDirection w:val="lrTb"/>
            <w:noWrap w:val="false"/>
          </w:tcPr>
          <w:p>
            <w:pPr>
              <w:pStyle w:val="1005"/>
              <w:ind w:left="57" w:right="57"/>
            </w:pPr>
            <w:r>
              <w:t xml:space="preserve">Населенный пункт</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Улица </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Дом</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r>
        <w:trPr/>
        <w:tc>
          <w:tcPr>
            <w:shd w:val="clear" w:fill="auto" w:color="auto"/>
            <w:tcW w:w="1192" w:type="pct"/>
            <w:textDirection w:val="lrTb"/>
            <w:noWrap w:val="false"/>
          </w:tcPr>
          <w:p>
            <w:pPr>
              <w:pStyle w:val="1005"/>
              <w:ind w:left="57" w:right="57"/>
            </w:pPr>
            <w:r>
              <w:t xml:space="preserve">Офис/квартира</w:t>
            </w:r>
            <w:r/>
          </w:p>
        </w:tc>
        <w:tc>
          <w:tcPr>
            <w:shd w:val="clear" w:fill="auto" w:color="auto"/>
            <w:tcW w:w="3808" w:type="pct"/>
            <w:textDirection w:val="lrTb"/>
            <w:noWrap w:val="false"/>
          </w:tcPr>
          <w:p>
            <w:pPr>
              <w:pStyle w:val="1005"/>
              <w:ind w:left="57" w:right="57"/>
            </w:pPr>
            <w:r>
              <w:t xml:space="preserve">Заполняется из соответствующего поля ТФФ, переданного из ППО «СЭД».</w:t>
            </w:r>
            <w:r/>
          </w:p>
        </w:tc>
      </w:tr>
    </w:tbl>
    <w:p>
      <w:pPr>
        <w:pStyle w:val="994"/>
      </w:pPr>
      <w:r>
        <w:t xml:space="preserve">ЭФ документа «Запрос на подтверждение сведений об организации», закладки «Подписи (3)»</w:t>
      </w:r>
      <w:r>
        <w:t xml:space="preserve"> представлена н</w:t>
      </w:r>
      <w:r>
        <w:t xml:space="preserve">а рисунке</w:t>
      </w:r>
      <w:r>
        <w:t xml:space="preserve"> </w:t>
      </w:r>
      <w:r>
        <w:fldChar w:fldCharType="begin"/>
      </w:r>
      <w:r>
        <w:instrText xml:space="preserve"> REF _Ref356303273 \h </w:instrText>
      </w:r>
      <w:r>
        <w:instrText xml:space="preserve"> \* MERGEFORMAT </w:instrText>
      </w:r>
      <w:r>
        <w:fldChar w:fldCharType="separate"/>
      </w:r>
      <w:r>
        <w:t xml:space="preserve">330</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1005840"/>
                <wp:effectExtent l="0" t="0" r="0" b="0"/>
                <wp:docPr id="475"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20"/>
                        <a:stretch/>
                      </pic:blipFill>
                      <pic:spPr bwMode="auto">
                        <a:xfrm>
                          <a:off x="0" y="0"/>
                          <a:ext cx="6126480" cy="10058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4" o:spid="_x0000_s474" type="#_x0000_t75" style="mso-wrap-distance-left:0.0pt;mso-wrap-distance-top:0.0pt;mso-wrap-distance-right:0.0pt;mso-wrap-distance-bottom:0.0pt;width:482.4pt;height:79.2pt;" stroked="f">
                <v:path textboxrect="0,0,0,0"/>
                <v:imagedata r:id="rId420" o:title=""/>
              </v:shape>
            </w:pict>
          </mc:Fallback>
        </mc:AlternateContent>
      </w:r>
      <w:r/>
    </w:p>
    <w:p>
      <w:pPr>
        <w:pStyle w:val="983"/>
      </w:pPr>
      <w:r>
        <w:fldChar w:fldCharType="begin"/>
      </w:r>
      <w:r>
        <w:instrText xml:space="preserve"> SEQ Рисунок \* ARABIC </w:instrText>
      </w:r>
      <w:r>
        <w:fldChar w:fldCharType="separate"/>
      </w:r>
      <w:bookmarkStart w:id="2138" w:name="_Ref356303273"/>
      <w:r/>
      <w:bookmarkStart w:id="2139" w:name="_Toc88819715"/>
      <w:r>
        <w:t xml:space="preserve">330</w:t>
      </w:r>
      <w:bookmarkEnd w:id="2138"/>
      <w:r>
        <w:fldChar w:fldCharType="end"/>
      </w:r>
      <w:r>
        <w:t xml:space="preserve">. ЭФ документа «Запрос на подтверждение сведений об организации</w:t>
      </w:r>
      <w:r>
        <w:t xml:space="preserve">», закладки «</w:t>
      </w:r>
      <w:r>
        <w:t xml:space="preserve">Подписи (3)»</w:t>
      </w:r>
      <w:bookmarkEnd w:id="2139"/>
      <w:r/>
      <w:r/>
    </w:p>
    <w:p>
      <w:pPr>
        <w:pStyle w:val="994"/>
      </w:pPr>
      <w:r>
        <w:t xml:space="preserve">Перечень полей </w:t>
      </w:r>
      <w:r>
        <w:t xml:space="preserve">документа «Запрос на подтверждение сведений об организации», закладки «Подписи (3)»</w:t>
      </w:r>
      <w:r>
        <w:t xml:space="preserve"> </w:t>
      </w:r>
      <w:r>
        <w:t xml:space="preserve">приведен в таблице</w:t>
      </w:r>
      <w:r>
        <w:t xml:space="preserve"> </w:t>
      </w:r>
      <w:r>
        <w:fldChar w:fldCharType="begin"/>
      </w:r>
      <w:r>
        <w:instrText xml:space="preserve"> REF _Ref356309943 \h </w:instrText>
      </w:r>
      <w:r>
        <w:instrText xml:space="preserve"> \* MERGEFORMAT </w:instrText>
      </w:r>
      <w:r>
        <w:fldChar w:fldCharType="separate"/>
      </w:r>
      <w:r>
        <w:t xml:space="preserve">197</w:t>
      </w:r>
      <w:r>
        <w:fldChar w:fldCharType="end"/>
      </w:r>
      <w:r>
        <w:t xml:space="preserve">.</w:t>
      </w:r>
      <w:r/>
    </w:p>
    <w:p>
      <w:pPr>
        <w:pStyle w:val="993"/>
      </w:pPr>
      <w:r>
        <w:fldChar w:fldCharType="begin"/>
      </w:r>
      <w:r>
        <w:instrText xml:space="preserve"> SEQ Таблица \* ARABIC </w:instrText>
      </w:r>
      <w:r>
        <w:fldChar w:fldCharType="separate"/>
      </w:r>
      <w:bookmarkStart w:id="2140" w:name="_Ref356309943"/>
      <w:r/>
      <w:bookmarkStart w:id="2141" w:name="_Toc88819384"/>
      <w:r>
        <w:t xml:space="preserve">197</w:t>
      </w:r>
      <w:bookmarkEnd w:id="2140"/>
      <w:r>
        <w:fldChar w:fldCharType="end"/>
      </w:r>
      <w:r>
        <w:t xml:space="preserve">. </w:t>
      </w:r>
      <w:r>
        <w:t xml:space="preserve">Описание</w:t>
      </w:r>
      <w:r>
        <w:t xml:space="preserve"> полей </w:t>
      </w:r>
      <w:r>
        <w:t xml:space="preserve">документа «Запрос на подтверждение сведений об организации», закладки «Подписи (3)»</w:t>
      </w:r>
      <w:bookmarkEnd w:id="2141"/>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325"/>
        <w:gridCol w:w="7427"/>
      </w:tblGrid>
      <w:tr>
        <w:trPr>
          <w:trHeight w:val="313"/>
          <w:tblHeader/>
        </w:trPr>
        <w:tc>
          <w:tcPr>
            <w:shd w:val="clear" w:fill="E6E6E6" w:color="auto"/>
            <w:tcBorders>
              <w:left w:val="single" w:sz="4" w:space="0" w:color="auto"/>
              <w:top w:val="single" w:sz="4" w:space="0" w:color="auto"/>
              <w:right w:val="single" w:sz="4" w:space="0" w:color="auto"/>
              <w:bottom w:val="single" w:sz="4" w:space="0" w:color="auto"/>
            </w:tcBorders>
            <w:tcW w:w="1192"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808" w:type="pct"/>
            <w:vAlign w:val="center"/>
            <w:textDirection w:val="lrTb"/>
            <w:noWrap w:val="false"/>
          </w:tcPr>
          <w:p>
            <w:pPr>
              <w:pStyle w:val="1006"/>
            </w:pPr>
            <w:r>
              <w:t xml:space="preserve">Описание поля</w:t>
            </w:r>
            <w:r/>
          </w:p>
        </w:tc>
      </w:tr>
      <w:tr>
        <w:trPr/>
        <w:tc>
          <w:tcPr>
            <w:gridSpan w:val="2"/>
            <w:shd w:val="clear" w:fill="auto" w:color="auto"/>
            <w:tcW w:w="5000" w:type="pct"/>
            <w:textDirection w:val="lrTb"/>
            <w:noWrap w:val="false"/>
          </w:tcPr>
          <w:p>
            <w:pPr>
              <w:pStyle w:val="1005"/>
              <w:ind w:left="57" w:right="57"/>
            </w:pPr>
            <w:r>
              <w:t xml:space="preserve">Группа полей «Ответственный исполнитель»</w:t>
            </w:r>
            <w:r/>
          </w:p>
        </w:tc>
      </w:tr>
      <w:tr>
        <w:trPr/>
        <w:tc>
          <w:tcPr>
            <w:shd w:val="clear" w:fill="auto" w:color="auto"/>
            <w:tcW w:w="1192" w:type="pct"/>
            <w:textDirection w:val="lrTb"/>
            <w:noWrap w:val="false"/>
          </w:tcPr>
          <w:p>
            <w:pPr>
              <w:pStyle w:val="1005"/>
              <w:ind w:left="57" w:right="57"/>
            </w:pPr>
            <w:r>
              <w:t xml:space="preserve">Должность </w:t>
            </w:r>
            <w:r/>
          </w:p>
        </w:tc>
        <w:tc>
          <w:tcPr>
            <w:shd w:val="clear" w:fill="auto" w:color="auto"/>
            <w:tcW w:w="3808" w:type="pct"/>
            <w:textDirection w:val="lrTb"/>
            <w:noWrap w:val="false"/>
          </w:tcPr>
          <w:p>
            <w:pPr>
              <w:pStyle w:val="1005"/>
              <w:ind w:left="57" w:right="57"/>
            </w:pPr>
            <w:r>
              <w:t xml:space="preserve">Должность ответственного исполнителя ОрФК.</w:t>
            </w:r>
            <w:r/>
          </w:p>
          <w:p>
            <w:pPr>
              <w:pStyle w:val="1005"/>
              <w:ind w:left="57" w:right="57"/>
            </w:pPr>
            <w:r>
              <w:t xml:space="preserve">Заполняется из соответствующего поля </w:t>
            </w:r>
            <w:r>
              <w:t xml:space="preserve">ТФФ</w:t>
            </w:r>
            <w:r>
              <w:t xml:space="preserve">, переданного из ППО «СЭД».</w:t>
            </w:r>
            <w:r/>
          </w:p>
        </w:tc>
      </w:tr>
      <w:tr>
        <w:trPr/>
        <w:tc>
          <w:tcPr>
            <w:shd w:val="clear" w:fill="auto" w:color="auto"/>
            <w:tcW w:w="1192" w:type="pct"/>
            <w:textDirection w:val="lrTb"/>
            <w:noWrap w:val="false"/>
          </w:tcPr>
          <w:p>
            <w:pPr>
              <w:pStyle w:val="1005"/>
              <w:ind w:left="57" w:right="57"/>
            </w:pPr>
            <w:r>
              <w:t xml:space="preserve">ФИО </w:t>
            </w:r>
            <w:r/>
          </w:p>
        </w:tc>
        <w:tc>
          <w:tcPr>
            <w:shd w:val="clear" w:fill="auto" w:color="auto"/>
            <w:tcW w:w="3808" w:type="pct"/>
            <w:textDirection w:val="lrTb"/>
            <w:noWrap w:val="false"/>
          </w:tcPr>
          <w:p>
            <w:pPr>
              <w:pStyle w:val="1005"/>
              <w:ind w:left="57" w:right="57"/>
            </w:pPr>
            <w:r>
              <w:t xml:space="preserve">ФИО </w:t>
            </w:r>
            <w:r>
              <w:t xml:space="preserve">ответственного</w:t>
            </w:r>
            <w:r>
              <w:t xml:space="preserve"> исполнителя ОрФК.</w:t>
            </w:r>
            <w:r/>
          </w:p>
          <w:p>
            <w:pPr>
              <w:pStyle w:val="1005"/>
              <w:ind w:left="57" w:right="57"/>
            </w:pPr>
            <w:r>
              <w:t xml:space="preserve">Заполняется из соответствующего поля </w:t>
            </w:r>
            <w:r>
              <w:t xml:space="preserve">ТФФ</w:t>
            </w:r>
            <w:r>
              <w:t xml:space="preserve">, переданного из ППО «СЭД».</w:t>
            </w:r>
            <w:r/>
          </w:p>
        </w:tc>
      </w:tr>
      <w:tr>
        <w:trPr/>
        <w:tc>
          <w:tcPr>
            <w:shd w:val="clear" w:fill="auto" w:color="auto"/>
            <w:tcW w:w="1192" w:type="pct"/>
            <w:textDirection w:val="lrTb"/>
            <w:noWrap w:val="false"/>
          </w:tcPr>
          <w:p>
            <w:pPr>
              <w:pStyle w:val="1005"/>
              <w:ind w:left="57" w:right="57"/>
            </w:pPr>
            <w:r>
              <w:t xml:space="preserve">Телефон </w:t>
            </w:r>
            <w:r/>
          </w:p>
        </w:tc>
        <w:tc>
          <w:tcPr>
            <w:shd w:val="clear" w:fill="auto" w:color="auto"/>
            <w:tcW w:w="3808" w:type="pct"/>
            <w:textDirection w:val="lrTb"/>
            <w:noWrap w:val="false"/>
          </w:tcPr>
          <w:p>
            <w:pPr>
              <w:pStyle w:val="1005"/>
              <w:ind w:left="57" w:right="57"/>
            </w:pPr>
            <w:r>
              <w:t xml:space="preserve">Телефон ответственного исполнителя ОрФК.</w:t>
            </w:r>
            <w:r/>
          </w:p>
          <w:p>
            <w:pPr>
              <w:pStyle w:val="1005"/>
              <w:ind w:left="57" w:right="57"/>
            </w:pPr>
            <w:r>
              <w:t xml:space="preserve">Заполняется из соответствующего поля </w:t>
            </w:r>
            <w:r>
              <w:t xml:space="preserve">ТФФ</w:t>
            </w:r>
            <w:r>
              <w:t xml:space="preserve">, переданного из ППО «СЭД».</w:t>
            </w:r>
            <w:r/>
          </w:p>
        </w:tc>
      </w:tr>
      <w:tr>
        <w:trPr/>
        <w:tc>
          <w:tcPr>
            <w:shd w:val="clear" w:fill="auto" w:color="auto"/>
            <w:tcW w:w="1192" w:type="pct"/>
            <w:textDirection w:val="lrTb"/>
            <w:noWrap w:val="false"/>
          </w:tcPr>
          <w:p>
            <w:pPr>
              <w:pStyle w:val="1005"/>
              <w:ind w:left="57" w:right="57"/>
            </w:pPr>
            <w:r>
              <w:t xml:space="preserve">Дата подписания</w:t>
            </w:r>
            <w:r/>
          </w:p>
        </w:tc>
        <w:tc>
          <w:tcPr>
            <w:shd w:val="clear" w:fill="auto" w:color="auto"/>
            <w:tcW w:w="3808" w:type="pct"/>
            <w:textDirection w:val="lrTb"/>
            <w:noWrap w:val="false"/>
          </w:tcPr>
          <w:p>
            <w:pPr>
              <w:pStyle w:val="1005"/>
              <w:ind w:left="57" w:right="57"/>
            </w:pPr>
            <w:r>
              <w:t xml:space="preserve">Дата подписания документа в ОрФК.</w:t>
            </w:r>
            <w:r/>
          </w:p>
          <w:p>
            <w:pPr>
              <w:pStyle w:val="1005"/>
              <w:ind w:left="57" w:right="57"/>
            </w:pPr>
            <w:r>
              <w:t xml:space="preserve">Заполняется из соответствующего поля </w:t>
            </w:r>
            <w:r>
              <w:t xml:space="preserve">ТФФ</w:t>
            </w:r>
            <w:r>
              <w:t xml:space="preserve">, переданного из ППО «СЭД».</w:t>
            </w:r>
            <w:r/>
          </w:p>
        </w:tc>
      </w:tr>
    </w:tbl>
    <w:p>
      <w:pPr>
        <w:pStyle w:val="971"/>
      </w:pPr>
      <w:r/>
      <w:bookmarkStart w:id="2142" w:name="_Toc396916180"/>
      <w:r/>
      <w:bookmarkStart w:id="2143" w:name="_Ref396917000"/>
      <w:r/>
      <w:bookmarkStart w:id="2144" w:name="_Ref396924630"/>
      <w:r/>
      <w:bookmarkStart w:id="2145" w:name="_Toc422496757"/>
      <w:r/>
      <w:bookmarkStart w:id="2146" w:name="_Toc88819182"/>
      <w:r>
        <w:t xml:space="preserve">Группа документов «Служебные документы»</w:t>
      </w:r>
      <w:bookmarkEnd w:id="2142"/>
      <w:r/>
      <w:bookmarkEnd w:id="2143"/>
      <w:r/>
      <w:bookmarkEnd w:id="2144"/>
      <w:r/>
      <w:bookmarkEnd w:id="2145"/>
      <w:r/>
      <w:bookmarkEnd w:id="2146"/>
      <w:r/>
      <w:r/>
    </w:p>
    <w:p>
      <w:pPr>
        <w:pStyle w:val="972"/>
      </w:pPr>
      <w:r/>
      <w:bookmarkStart w:id="2147" w:name="_Toc396916181"/>
      <w:r/>
      <w:bookmarkStart w:id="2148" w:name="_Toc422496758"/>
      <w:r/>
      <w:bookmarkStart w:id="2149" w:name="_Ref445284797"/>
      <w:r/>
      <w:bookmarkStart w:id="2150" w:name="_Ref504466348"/>
      <w:r/>
      <w:bookmarkStart w:id="2151" w:name="_Toc88819183"/>
      <w:r>
        <w:t xml:space="preserve">Протокол операций импорта</w:t>
      </w:r>
      <w:bookmarkEnd w:id="2147"/>
      <w:r/>
      <w:bookmarkEnd w:id="2148"/>
      <w:r/>
      <w:bookmarkEnd w:id="2149"/>
      <w:r/>
      <w:bookmarkEnd w:id="2150"/>
      <w:r/>
      <w:bookmarkEnd w:id="2151"/>
      <w:r/>
      <w:r/>
    </w:p>
    <w:p>
      <w:pPr>
        <w:pStyle w:val="994"/>
      </w:pPr>
      <w:r>
        <w:t xml:space="preserve">Документ «Протокол операций импорта» предназначен для хранения результатов ру</w:t>
      </w:r>
      <w:r>
        <w:t xml:space="preserve">ч</w:t>
      </w:r>
      <w:r>
        <w:t xml:space="preserve">ного импорта файлов, их печати, а также</w:t>
      </w:r>
      <w:r>
        <w:t xml:space="preserve"> для хранения результатов автоматического импор</w:t>
      </w:r>
      <w:r>
        <w:t xml:space="preserve">та документов.</w:t>
      </w:r>
      <w:r/>
    </w:p>
    <w:p>
      <w:pPr>
        <w:pStyle w:val="994"/>
      </w:pPr>
      <w:r>
        <w:t xml:space="preserve">Описание протоколирования операций импорта файлов: </w:t>
      </w:r>
      <w:r/>
    </w:p>
    <w:p>
      <w:pPr>
        <w:pStyle w:val="1156"/>
        <w:numPr>
          <w:ilvl w:val="0"/>
          <w:numId w:val="51"/>
        </w:numPr>
      </w:pPr>
      <w:r>
        <w:t xml:space="preserve">Пользователь через web-клиент инициирует операцию «Импорт».</w:t>
      </w:r>
      <w:r/>
    </w:p>
    <w:p>
      <w:pPr>
        <w:pStyle w:val="1156"/>
      </w:pPr>
      <w:r>
        <w:t xml:space="preserve">Пользователь загружает один или несколько файлов для импорта, среди которых могут быть архивы.</w:t>
      </w:r>
      <w:r/>
    </w:p>
    <w:p>
      <w:pPr>
        <w:pStyle w:val="1156"/>
      </w:pPr>
      <w:r>
        <w:t xml:space="preserve">При выполнении операции «Импорт» возможны следующие случаи: </w:t>
      </w:r>
      <w:r/>
    </w:p>
    <w:p>
      <w:pPr>
        <w:pStyle w:val="987"/>
      </w:pPr>
      <w:r>
        <w:t xml:space="preserve">все файлы обработались успешно, и на их основе были сформированы док</w:t>
      </w:r>
      <w:r>
        <w:t xml:space="preserve">у</w:t>
      </w:r>
      <w:r>
        <w:t xml:space="preserve">менты;</w:t>
      </w:r>
      <w:r/>
    </w:p>
    <w:p>
      <w:pPr>
        <w:pStyle w:val="987"/>
      </w:pPr>
      <w:r>
        <w:t xml:space="preserve">часть файлов была обработана с ошибками;</w:t>
      </w:r>
      <w:r/>
    </w:p>
    <w:p>
      <w:pPr>
        <w:pStyle w:val="987"/>
      </w:pPr>
      <w:r>
        <w:t xml:space="preserve">все файлы были обработаны с ошибками.</w:t>
      </w:r>
      <w:r/>
    </w:p>
    <w:p>
      <w:pPr>
        <w:pStyle w:val="1156"/>
      </w:pPr>
      <w:r>
        <w:t xml:space="preserve">На экране появляется всплывающее сообщение с результатами импорта.</w:t>
      </w:r>
      <w:r/>
    </w:p>
    <w:p>
      <w:pPr>
        <w:pStyle w:val="1156"/>
      </w:pPr>
      <w:r>
        <w:t xml:space="preserve">Пользователь щелкает на сообщение. Открывается диалоговое окно диспетчера задач, где отображаются </w:t>
      </w:r>
      <w:r>
        <w:t xml:space="preserve">результаты импорта файлов (рис.</w:t>
      </w:r>
      <w:r>
        <w:t xml:space="preserve"> </w:t>
      </w:r>
      <w:r>
        <w:fldChar w:fldCharType="begin"/>
      </w:r>
      <w:r>
        <w:instrText xml:space="preserve"> REF _Ref396914118 \h </w:instrText>
      </w:r>
      <w:r>
        <w:instrText xml:space="preserve"> \* MERGEFORMAT </w:instrText>
      </w:r>
      <w:r>
        <w:fldChar w:fldCharType="separate"/>
      </w:r>
      <w:r>
        <w:t xml:space="preserve">331</w:t>
      </w:r>
      <w:r>
        <w:fldChar w:fldCharType="end"/>
      </w:r>
      <w:r>
        <w:t xml:space="preserve">).</w:t>
      </w:r>
      <w:r/>
    </w:p>
    <w:p>
      <w:pPr>
        <w:pStyle w:val="982"/>
      </w:pPr>
      <w:r>
        <mc:AlternateContent>
          <mc:Choice Requires="wpg">
            <w:drawing>
              <wp:inline xmlns:wp="http://schemas.openxmlformats.org/drawingml/2006/wordprocessingDrawing" distT="0" distB="0" distL="0" distR="0">
                <wp:extent cx="6126480" cy="5029200"/>
                <wp:effectExtent l="0" t="0" r="0" b="0"/>
                <wp:docPr id="476"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21"/>
                        <a:stretch/>
                      </pic:blipFill>
                      <pic:spPr bwMode="auto">
                        <a:xfrm>
                          <a:off x="0" y="0"/>
                          <a:ext cx="6126480" cy="50292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5" o:spid="_x0000_s475" type="#_x0000_t75" style="mso-wrap-distance-left:0.0pt;mso-wrap-distance-top:0.0pt;mso-wrap-distance-right:0.0pt;mso-wrap-distance-bottom:0.0pt;width:482.4pt;height:396.0pt;" stroked="f">
                <v:path textboxrect="0,0,0,0"/>
                <v:imagedata r:id="rId421" o:title=""/>
              </v:shape>
            </w:pict>
          </mc:Fallback>
        </mc:AlternateContent>
      </w:r>
      <w:r/>
    </w:p>
    <w:p>
      <w:pPr>
        <w:pStyle w:val="983"/>
      </w:pPr>
      <w:r>
        <w:fldChar w:fldCharType="begin"/>
      </w:r>
      <w:r>
        <w:instrText xml:space="preserve"> SEQ Рисунок \* ARABIC </w:instrText>
      </w:r>
      <w:r>
        <w:fldChar w:fldCharType="separate"/>
      </w:r>
      <w:bookmarkStart w:id="2152" w:name="_Ref396914118"/>
      <w:r/>
      <w:bookmarkStart w:id="2153" w:name="_Toc88819716"/>
      <w:r>
        <w:t xml:space="preserve">331</w:t>
      </w:r>
      <w:bookmarkEnd w:id="2152"/>
      <w:r>
        <w:fldChar w:fldCharType="end"/>
      </w:r>
      <w:r>
        <w:t xml:space="preserve">. Диспетчер задач с результатами импорта файлов</w:t>
      </w:r>
      <w:bookmarkEnd w:id="2153"/>
      <w:r/>
      <w:r/>
    </w:p>
    <w:p>
      <w:pPr>
        <w:pStyle w:val="1156"/>
      </w:pPr>
      <w:r>
        <w:t xml:space="preserve">Пользователь нажимает кнопку «Просмотр протокола», либо пользователь переходит в списковую форму документа «Протокол операций импорта» и открывает на просмотр требуемый экземпляр протокола.</w:t>
      </w:r>
      <w:r/>
    </w:p>
    <w:p>
      <w:pPr>
        <w:pStyle w:val="1156"/>
      </w:pPr>
      <w:r>
        <w:t xml:space="preserve">В отдельном окне открывается визуальная форма документа «Протокол операций импорта».</w:t>
      </w:r>
      <w:r/>
    </w:p>
    <w:p>
      <w:pPr>
        <w:pStyle w:val="1156"/>
      </w:pPr>
      <w:r>
        <w:t xml:space="preserve">Пользователь нажимает кнопку «Печать». </w:t>
      </w:r>
      <w:r/>
    </w:p>
    <w:p>
      <w:pPr>
        <w:pStyle w:val="1156"/>
      </w:pPr>
      <w:r>
        <w:t xml:space="preserve">На экране появляется список шаблонов печати: «Протокол операций импорта (XLS)», «Протокол операций импорта (PDF)».</w:t>
      </w:r>
      <w:r/>
    </w:p>
    <w:p>
      <w:pPr>
        <w:pStyle w:val="1156"/>
      </w:pPr>
      <w:r>
        <w:t xml:space="preserve">Пользователь выбирает шаблон печати. Формируется файл, который сохраняется пользователем в локальном каталоге.</w:t>
      </w:r>
      <w:r/>
    </w:p>
    <w:p>
      <w:pPr>
        <w:pStyle w:val="994"/>
        <w:tabs>
          <w:tab w:val="left" w:pos="3780" w:leader="none"/>
        </w:tabs>
      </w:pPr>
      <w:r>
        <w:t xml:space="preserve">Описание печати протоколов операций импорта из списковой формы:</w:t>
      </w:r>
      <w:r/>
    </w:p>
    <w:p>
      <w:pPr>
        <w:pStyle w:val="1156"/>
        <w:numPr>
          <w:ilvl w:val="0"/>
          <w:numId w:val="44"/>
        </w:numPr>
      </w:pPr>
      <w:r>
        <w:t xml:space="preserve">Пользователь переходит в пункт меню «Служебные документы – Протокол операций импорта».</w:t>
      </w:r>
      <w:r/>
    </w:p>
    <w:p>
      <w:pPr>
        <w:pStyle w:val="1156"/>
      </w:pPr>
      <w:r>
        <w:t xml:space="preserve">В списковой форме выбирает протоколы для печати.</w:t>
      </w:r>
      <w:r/>
    </w:p>
    <w:p>
      <w:pPr>
        <w:pStyle w:val="1156"/>
      </w:pPr>
      <w:r>
        <w:t xml:space="preserve">На панели инструментов нажимает кнопку «Печать».</w:t>
      </w:r>
      <w:r/>
    </w:p>
    <w:p>
      <w:pPr>
        <w:pStyle w:val="1156"/>
      </w:pPr>
      <w:r>
        <w:t xml:space="preserve">На экране появляется список шаблонов печати: «Протокол операций импорта (XLS)», «Протокол операций импорта (PDF)».</w:t>
      </w:r>
      <w:r/>
    </w:p>
    <w:p>
      <w:pPr>
        <w:pStyle w:val="1156"/>
      </w:pPr>
      <w:r>
        <w:t xml:space="preserve">Пользователь выбирает требуемый шаблон печати.</w:t>
      </w:r>
      <w:r/>
    </w:p>
    <w:p>
      <w:pPr>
        <w:pStyle w:val="1156"/>
      </w:pPr>
      <w:r>
        <w:t xml:space="preserve">Выполняется формирование печатной формы протокола с данными выделенных протоколов.</w:t>
      </w:r>
      <w:r/>
    </w:p>
    <w:p>
      <w:pPr>
        <w:pStyle w:val="1156"/>
      </w:pPr>
      <w:r>
        <w:t xml:space="preserve">Пользователь сохраняет файл в локальном каталоге.</w:t>
      </w:r>
      <w:r/>
    </w:p>
    <w:p>
      <w:pPr>
        <w:pStyle w:val="996"/>
      </w:pPr>
      <w:r>
        <w:rPr>
          <w:rStyle w:val="1001"/>
        </w:rPr>
        <w:t xml:space="preserve">Примечание.</w:t>
      </w:r>
      <w:r>
        <w:tab/>
        <w:t xml:space="preserve">Для просмотра протоколов автоматического импорта документов актуален только этот сценарий.</w:t>
      </w:r>
      <w:r/>
    </w:p>
    <w:p>
      <w:pPr>
        <w:pStyle w:val="994"/>
        <w:tabs>
          <w:tab w:val="left" w:pos="3780" w:leader="none"/>
        </w:tabs>
      </w:pPr>
      <w:r>
        <w:t xml:space="preserve">Для работы с документами </w:t>
      </w:r>
      <w:r>
        <w:t xml:space="preserve">«Протокол операций импорта» следует перейти в пункт меню «Служебные документы – Протокол операций импорта». Откроется ЭФ списка документов, представленная на рисунке</w:t>
      </w:r>
      <w:r>
        <w:t xml:space="preserve"> </w:t>
      </w:r>
      <w:r>
        <w:fldChar w:fldCharType="begin"/>
      </w:r>
      <w:r>
        <w:instrText xml:space="preserve"> REF _Ref396914609 \h </w:instrText>
      </w:r>
      <w:r>
        <w:instrText xml:space="preserve"> \* MERGEFORMAT </w:instrText>
      </w:r>
      <w:r>
        <w:fldChar w:fldCharType="separate"/>
      </w:r>
      <w:r>
        <w:t xml:space="preserve">332</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2651760"/>
                <wp:effectExtent l="0" t="0" r="0" b="0"/>
                <wp:docPr id="477"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22"/>
                        <a:stretch/>
                      </pic:blipFill>
                      <pic:spPr bwMode="auto">
                        <a:xfrm>
                          <a:off x="0" y="0"/>
                          <a:ext cx="6035039" cy="26517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6" o:spid="_x0000_s476" type="#_x0000_t75" style="mso-wrap-distance-left:0.0pt;mso-wrap-distance-top:0.0pt;mso-wrap-distance-right:0.0pt;mso-wrap-distance-bottom:0.0pt;width:475.2pt;height:208.8pt;" stroked="f">
                <v:path textboxrect="0,0,0,0"/>
                <v:imagedata r:id="rId422" o:title=""/>
              </v:shape>
            </w:pict>
          </mc:Fallback>
        </mc:AlternateContent>
      </w:r>
      <w:r/>
    </w:p>
    <w:p>
      <w:pPr>
        <w:pStyle w:val="983"/>
      </w:pPr>
      <w:r>
        <w:fldChar w:fldCharType="begin"/>
      </w:r>
      <w:r>
        <w:instrText xml:space="preserve"> SEQ Рисунок \* ARABIC </w:instrText>
      </w:r>
      <w:r>
        <w:fldChar w:fldCharType="separate"/>
      </w:r>
      <w:bookmarkStart w:id="2154" w:name="_Ref396914609"/>
      <w:r/>
      <w:bookmarkStart w:id="2155" w:name="_Toc88819717"/>
      <w:r>
        <w:t xml:space="preserve">332</w:t>
      </w:r>
      <w:bookmarkEnd w:id="2154"/>
      <w:r>
        <w:fldChar w:fldCharType="end"/>
      </w:r>
      <w:r>
        <w:t xml:space="preserve">. ЭФ списка документов «Протокол операций импорта»</w:t>
      </w:r>
      <w:bookmarkEnd w:id="2155"/>
      <w:r/>
      <w:r/>
    </w:p>
    <w:p>
      <w:pPr>
        <w:pStyle w:val="973"/>
      </w:pPr>
      <w:r>
        <w:t xml:space="preserve">Доступные операции</w:t>
      </w:r>
      <w:r/>
    </w:p>
    <w:p>
      <w:r>
        <w:t xml:space="preserve">На АРМ ФО доступны следующие операции</w:t>
      </w:r>
      <w:r>
        <w:t xml:space="preserve"> над документом</w:t>
      </w:r>
      <w:r>
        <w:t xml:space="preserve">:</w:t>
      </w:r>
      <w:r/>
    </w:p>
    <w:p>
      <w:pPr>
        <w:pStyle w:val="985"/>
      </w:pPr>
      <w:r>
        <w:t xml:space="preserve">экспорт;</w:t>
      </w:r>
      <w:r/>
    </w:p>
    <w:p>
      <w:pPr>
        <w:pStyle w:val="985"/>
      </w:pPr>
      <w:r>
        <w:t xml:space="preserve">просмотр;</w:t>
      </w:r>
      <w:r/>
    </w:p>
    <w:p>
      <w:pPr>
        <w:pStyle w:val="985"/>
      </w:pPr>
      <w:r>
        <w:t xml:space="preserve">печать.</w:t>
      </w:r>
      <w:r/>
    </w:p>
    <w:p>
      <w:pPr>
        <w:pStyle w:val="973"/>
      </w:pPr>
      <w:r>
        <w:t xml:space="preserve">Экранная форма документа</w:t>
      </w:r>
      <w:r/>
    </w:p>
    <w:p>
      <w:pPr>
        <w:pStyle w:val="994"/>
      </w:pPr>
      <w:r>
        <w:t xml:space="preserve">ЭФ документа «Протокол операций импорта» представлена на рисунке </w:t>
      </w:r>
      <w:r>
        <w:fldChar w:fldCharType="begin"/>
      </w:r>
      <w:r>
        <w:instrText xml:space="preserve"> REF _Ref396914633 \h </w:instrText>
      </w:r>
      <w:r>
        <w:instrText xml:space="preserve"> \* MERGEFORMAT </w:instrText>
      </w:r>
      <w:r>
        <w:fldChar w:fldCharType="separate"/>
      </w:r>
      <w:r>
        <w:t xml:space="preserve">333</w:t>
      </w:r>
      <w:r>
        <w:fldChar w:fldCharType="end"/>
      </w:r>
      <w:r>
        <w:t xml:space="preserve">.</w:t>
      </w:r>
      <w:r/>
    </w:p>
    <w:p>
      <w:pPr>
        <w:pStyle w:val="982"/>
      </w:pPr>
      <w:r>
        <mc:AlternateContent>
          <mc:Choice Requires="wpg">
            <w:drawing>
              <wp:inline xmlns:wp="http://schemas.openxmlformats.org/drawingml/2006/wordprocessingDrawing" distT="0" distB="0" distL="0" distR="0">
                <wp:extent cx="6035040" cy="4389120"/>
                <wp:effectExtent l="0" t="0" r="0" b="0"/>
                <wp:docPr id="478" name="" hidden="0"/>
                <wp:cNvGraphicFramePr/>
                <a:graphic xmlns:a="http://schemas.openxmlformats.org/drawingml/2006/main">
                  <a:graphicData uri="http://schemas.openxmlformats.org/drawingml/2006/picture">
                    <pic:pic xmlns:pic="http://schemas.openxmlformats.org/drawingml/2006/picture">
                      <pic:nvPicPr>
                        <pic:cNvPr id="0" name="" hidden="0"/>
                        <pic:cNvPicPr/>
                        <pic:nvPr isPhoto="0" userDrawn="0"/>
                      </pic:nvPicPr>
                      <pic:blipFill>
                        <a:blip r:embed="rId423"/>
                        <a:stretch/>
                      </pic:blipFill>
                      <pic:spPr bwMode="auto">
                        <a:xfrm>
                          <a:off x="0" y="0"/>
                          <a:ext cx="6035039" cy="43891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7" o:spid="_x0000_s477" type="#_x0000_t75" style="mso-wrap-distance-left:0.0pt;mso-wrap-distance-top:0.0pt;mso-wrap-distance-right:0.0pt;mso-wrap-distance-bottom:0.0pt;width:475.2pt;height:345.6pt;" stroked="f">
                <v:path textboxrect="0,0,0,0"/>
                <v:imagedata r:id="rId423" o:title=""/>
              </v:shape>
            </w:pict>
          </mc:Fallback>
        </mc:AlternateContent>
      </w:r>
      <w:r/>
    </w:p>
    <w:p>
      <w:pPr>
        <w:pStyle w:val="983"/>
      </w:pPr>
      <w:r>
        <w:fldChar w:fldCharType="begin"/>
      </w:r>
      <w:r>
        <w:instrText xml:space="preserve"> SEQ Рисунок \* ARABIC </w:instrText>
      </w:r>
      <w:r>
        <w:fldChar w:fldCharType="separate"/>
      </w:r>
      <w:bookmarkStart w:id="2156" w:name="_Ref396914633"/>
      <w:r/>
      <w:bookmarkStart w:id="2157" w:name="_Toc88819718"/>
      <w:r>
        <w:t xml:space="preserve">333</w:t>
      </w:r>
      <w:bookmarkEnd w:id="2156"/>
      <w:r>
        <w:fldChar w:fldCharType="end"/>
      </w:r>
      <w:r>
        <w:t xml:space="preserve">. ЭФ документа «Протокол операций импорта»</w:t>
      </w:r>
      <w:bookmarkEnd w:id="2157"/>
      <w:r/>
      <w:r/>
    </w:p>
    <w:p>
      <w:pPr>
        <w:pStyle w:val="994"/>
      </w:pPr>
      <w:r>
        <w:t xml:space="preserve">Перечень полей документа «Протокол операций импорта</w:t>
      </w:r>
      <w:r>
        <w:t xml:space="preserve">»</w:t>
      </w:r>
      <w:r>
        <w:t xml:space="preserve"> приведен в таблице</w:t>
      </w:r>
      <w:r>
        <w:t xml:space="preserve"> </w:t>
      </w:r>
      <w:r>
        <w:fldChar w:fldCharType="begin"/>
      </w:r>
      <w:r>
        <w:instrText xml:space="preserve"> REF _Ref396914733 \h </w:instrText>
      </w:r>
      <w:r>
        <w:instrText xml:space="preserve"> \* MERGEFORMAT </w:instrText>
      </w:r>
      <w:r>
        <w:fldChar w:fldCharType="separate"/>
      </w:r>
      <w:r>
        <w:t xml:space="preserve">198</w:t>
      </w:r>
      <w:r>
        <w:fldChar w:fldCharType="end"/>
      </w:r>
      <w:r>
        <w:t xml:space="preserve">.</w:t>
      </w:r>
      <w:r/>
    </w:p>
    <w:p>
      <w:pPr>
        <w:pStyle w:val="993"/>
      </w:pPr>
      <w:r>
        <w:fldChar w:fldCharType="begin"/>
      </w:r>
      <w:r>
        <w:instrText xml:space="preserve"> SEQ Таблица \* ARABIC </w:instrText>
      </w:r>
      <w:r>
        <w:fldChar w:fldCharType="separate"/>
      </w:r>
      <w:bookmarkStart w:id="2158" w:name="_Ref396914733"/>
      <w:r/>
      <w:bookmarkStart w:id="2159" w:name="_Toc88819385"/>
      <w:r>
        <w:t xml:space="preserve">198</w:t>
      </w:r>
      <w:bookmarkEnd w:id="2158"/>
      <w:r>
        <w:fldChar w:fldCharType="end"/>
      </w:r>
      <w:r>
        <w:t xml:space="preserve">. Описание полей документа «Протокол операций импорта»</w:t>
      </w:r>
      <w:bookmarkEnd w:id="2159"/>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467"/>
        <w:gridCol w:w="7285"/>
      </w:tblGrid>
      <w:tr>
        <w:trPr>
          <w:trHeight w:val="305"/>
          <w:tblHeader/>
        </w:trPr>
        <w:tc>
          <w:tcPr>
            <w:shd w:val="clear" w:fill="E6E6E6" w:color="auto"/>
            <w:tcBorders>
              <w:left w:val="single" w:sz="4" w:space="0" w:color="auto"/>
              <w:top w:val="single" w:sz="4" w:space="0" w:color="auto"/>
              <w:right w:val="single" w:sz="4" w:space="0" w:color="auto"/>
              <w:bottom w:val="single" w:sz="4" w:space="0" w:color="auto"/>
            </w:tcBorders>
            <w:tcW w:w="1265" w:type="pct"/>
            <w:vAlign w:val="center"/>
            <w:textDirection w:val="lrTb"/>
            <w:noWrap w:val="false"/>
          </w:tcPr>
          <w:p>
            <w:pPr>
              <w:pStyle w:val="1006"/>
            </w:pPr>
            <w:r>
              <w:t xml:space="preserve">Наименование поля</w:t>
            </w:r>
            <w:r/>
          </w:p>
        </w:tc>
        <w:tc>
          <w:tcPr>
            <w:shd w:val="clear" w:fill="E6E6E6" w:color="auto"/>
            <w:tcBorders>
              <w:left w:val="single" w:sz="4" w:space="0" w:color="auto"/>
              <w:top w:val="single" w:sz="4" w:space="0" w:color="auto"/>
              <w:right w:val="single" w:sz="4" w:space="0" w:color="auto"/>
              <w:bottom w:val="single" w:sz="4" w:space="0" w:color="auto"/>
            </w:tcBorders>
            <w:tcW w:w="3735" w:type="pct"/>
            <w:vAlign w:val="center"/>
            <w:textDirection w:val="lrTb"/>
            <w:noWrap w:val="false"/>
          </w:tcPr>
          <w:p>
            <w:pPr>
              <w:pStyle w:val="1006"/>
            </w:pPr>
            <w:r>
              <w:t xml:space="preserve">Описание поля</w:t>
            </w:r>
            <w:r/>
          </w:p>
        </w:tc>
      </w:tr>
      <w:tr>
        <w:trPr/>
        <w:tc>
          <w:tcPr>
            <w:shd w:val="clear" w:fill="auto" w:color="auto"/>
            <w:tcW w:w="1265" w:type="pct"/>
            <w:textDirection w:val="lrTb"/>
            <w:noWrap w:val="false"/>
          </w:tcPr>
          <w:p>
            <w:pPr>
              <w:pStyle w:val="1005"/>
              <w:ind w:left="57" w:right="57"/>
            </w:pPr>
            <w:r>
              <w:t xml:space="preserve">Дата и время операции</w:t>
            </w:r>
            <w:r/>
          </w:p>
        </w:tc>
        <w:tc>
          <w:tcPr>
            <w:shd w:val="clear" w:fill="auto" w:color="auto"/>
            <w:tcW w:w="3735" w:type="pct"/>
            <w:textDirection w:val="lrTb"/>
            <w:noWrap w:val="false"/>
          </w:tcPr>
          <w:p>
            <w:pPr>
              <w:pStyle w:val="1005"/>
              <w:ind w:left="57" w:right="57"/>
            </w:pPr>
            <w:r>
              <w:t xml:space="preserve">Дата и время выполнения операции в формате: дд.мм.гггг час:мин:сек.</w:t>
            </w:r>
            <w:r/>
          </w:p>
          <w:p>
            <w:pPr>
              <w:pStyle w:val="1005"/>
              <w:ind w:left="57" w:right="57"/>
            </w:pPr>
            <w:r>
              <w:t xml:space="preserve">Заполняется автоматически.</w:t>
            </w:r>
            <w:r/>
          </w:p>
        </w:tc>
      </w:tr>
      <w:tr>
        <w:trPr/>
        <w:tc>
          <w:tcPr>
            <w:shd w:val="clear" w:fill="auto" w:color="auto"/>
            <w:tcW w:w="1265" w:type="pct"/>
            <w:textDirection w:val="lrTb"/>
            <w:noWrap w:val="false"/>
          </w:tcPr>
          <w:p>
            <w:pPr>
              <w:pStyle w:val="1005"/>
              <w:ind w:left="57" w:right="57"/>
            </w:pPr>
            <w:r>
              <w:t xml:space="preserve">Операция</w:t>
            </w:r>
            <w:r/>
          </w:p>
        </w:tc>
        <w:tc>
          <w:tcPr>
            <w:shd w:val="clear" w:fill="auto" w:color="auto"/>
            <w:tcW w:w="3735" w:type="pct"/>
            <w:textDirection w:val="lrTb"/>
            <w:noWrap w:val="false"/>
          </w:tcPr>
          <w:p>
            <w:pPr>
              <w:pStyle w:val="1005"/>
              <w:ind w:left="57" w:right="57"/>
            </w:pPr>
            <w:r>
              <w:t xml:space="preserve">Наименование операции импорта.</w:t>
            </w:r>
            <w:r/>
          </w:p>
          <w:p>
            <w:pPr>
              <w:pStyle w:val="1005"/>
              <w:ind w:left="57" w:right="57"/>
            </w:pPr>
            <w:r>
              <w:t xml:space="preserve">Заполняется автоматически.</w:t>
            </w:r>
            <w:r/>
          </w:p>
        </w:tc>
      </w:tr>
      <w:tr>
        <w:trPr/>
        <w:tc>
          <w:tcPr>
            <w:shd w:val="clear" w:fill="auto" w:color="auto"/>
            <w:tcW w:w="1265" w:type="pct"/>
            <w:textDirection w:val="lrTb"/>
            <w:noWrap w:val="false"/>
          </w:tcPr>
          <w:p>
            <w:pPr>
              <w:pStyle w:val="1005"/>
              <w:ind w:left="57" w:right="57"/>
            </w:pPr>
            <w:r>
              <w:t xml:space="preserve">Инициатор операции (логин)</w:t>
            </w:r>
            <w:r/>
          </w:p>
        </w:tc>
        <w:tc>
          <w:tcPr>
            <w:shd w:val="clear" w:fill="auto" w:color="auto"/>
            <w:tcW w:w="3735" w:type="pct"/>
            <w:textDirection w:val="lrTb"/>
            <w:noWrap w:val="false"/>
          </w:tcPr>
          <w:p>
            <w:pPr>
              <w:pStyle w:val="1005"/>
              <w:ind w:left="57" w:right="57"/>
            </w:pPr>
            <w:r>
              <w:t xml:space="preserve">Системное имя учетной записи (логин).</w:t>
            </w:r>
            <w:r/>
          </w:p>
          <w:p>
            <w:pPr>
              <w:pStyle w:val="1005"/>
              <w:ind w:left="57" w:right="57"/>
            </w:pPr>
            <w:r>
              <w:t xml:space="preserve">Заполняется автоматически.</w:t>
            </w:r>
            <w:r/>
          </w:p>
        </w:tc>
      </w:tr>
      <w:tr>
        <w:trPr/>
        <w:tc>
          <w:tcPr>
            <w:shd w:val="clear" w:fill="auto" w:color="auto"/>
            <w:tcW w:w="1265" w:type="pct"/>
            <w:textDirection w:val="lrTb"/>
            <w:noWrap w:val="false"/>
          </w:tcPr>
          <w:p>
            <w:pPr>
              <w:pStyle w:val="1005"/>
              <w:ind w:left="57" w:right="57"/>
            </w:pPr>
            <w:r>
              <w:t xml:space="preserve">Инициатор операции (ФИО)</w:t>
            </w:r>
            <w:r/>
          </w:p>
        </w:tc>
        <w:tc>
          <w:tcPr>
            <w:shd w:val="clear" w:fill="auto" w:color="auto"/>
            <w:tcW w:w="3735" w:type="pct"/>
            <w:textDirection w:val="lrTb"/>
            <w:noWrap w:val="false"/>
          </w:tcPr>
          <w:p>
            <w:pPr>
              <w:pStyle w:val="1005"/>
              <w:ind w:left="57" w:right="57"/>
            </w:pPr>
            <w:r>
              <w:t xml:space="preserve">Бизнес-имя учетной записи (ФИО).</w:t>
            </w:r>
            <w:r/>
          </w:p>
          <w:p>
            <w:pPr>
              <w:pStyle w:val="1005"/>
              <w:ind w:left="57" w:right="57"/>
            </w:pPr>
            <w:r>
              <w:t xml:space="preserve">Заполняется автоматически.</w:t>
            </w:r>
            <w:r/>
          </w:p>
        </w:tc>
      </w:tr>
      <w:tr>
        <w:trPr/>
        <w:tc>
          <w:tcPr>
            <w:shd w:val="clear" w:fill="auto" w:color="auto"/>
            <w:tcW w:w="1265" w:type="pct"/>
            <w:textDirection w:val="lrTb"/>
            <w:noWrap w:val="false"/>
          </w:tcPr>
          <w:p>
            <w:pPr>
              <w:pStyle w:val="1005"/>
              <w:ind w:left="57" w:right="57"/>
            </w:pPr>
            <w:r>
              <w:t xml:space="preserve">Количество успешно обработанных файлов</w:t>
            </w:r>
            <w:r/>
          </w:p>
        </w:tc>
        <w:tc>
          <w:tcPr>
            <w:shd w:val="clear" w:fill="auto" w:color="auto"/>
            <w:tcW w:w="3735" w:type="pct"/>
            <w:textDirection w:val="lrTb"/>
            <w:noWrap w:val="false"/>
          </w:tcPr>
          <w:p>
            <w:pPr>
              <w:pStyle w:val="1005"/>
              <w:ind w:left="57" w:right="57"/>
            </w:pPr>
            <w:r>
              <w:t xml:space="preserve">Количество успешно обработанных файлов.</w:t>
            </w:r>
            <w:r/>
          </w:p>
          <w:p>
            <w:pPr>
              <w:pStyle w:val="1005"/>
              <w:ind w:left="57" w:right="57"/>
            </w:pPr>
            <w:r>
              <w:t xml:space="preserve">Заполняется автоматически.</w:t>
            </w:r>
            <w:r/>
          </w:p>
        </w:tc>
      </w:tr>
      <w:tr>
        <w:trPr/>
        <w:tc>
          <w:tcPr>
            <w:shd w:val="clear" w:fill="auto" w:color="auto"/>
            <w:tcW w:w="1265" w:type="pct"/>
            <w:textDirection w:val="lrTb"/>
            <w:noWrap w:val="false"/>
          </w:tcPr>
          <w:p>
            <w:pPr>
              <w:pStyle w:val="1005"/>
              <w:ind w:left="57" w:right="57"/>
            </w:pPr>
            <w:r>
              <w:t xml:space="preserve">Количество файлов с ошибками</w:t>
            </w:r>
            <w:r/>
          </w:p>
        </w:tc>
        <w:tc>
          <w:tcPr>
            <w:shd w:val="clear" w:fill="auto" w:color="auto"/>
            <w:tcW w:w="3735" w:type="pct"/>
            <w:textDirection w:val="lrTb"/>
            <w:noWrap w:val="false"/>
          </w:tcPr>
          <w:p>
            <w:pPr>
              <w:pStyle w:val="1005"/>
              <w:ind w:left="57" w:right="57"/>
            </w:pPr>
            <w:r>
              <w:t xml:space="preserve">Количество файлов с ошибками.</w:t>
            </w:r>
            <w:r/>
          </w:p>
          <w:p>
            <w:pPr>
              <w:pStyle w:val="1005"/>
              <w:ind w:left="57" w:right="57"/>
            </w:pPr>
            <w:r>
              <w:t xml:space="preserve">Заполняется автоматически.</w:t>
            </w:r>
            <w:r/>
          </w:p>
        </w:tc>
      </w:tr>
      <w:tr>
        <w:trPr/>
        <w:tc>
          <w:tcPr>
            <w:shd w:val="clear" w:fill="auto" w:color="auto"/>
            <w:tcW w:w="1265" w:type="pct"/>
            <w:textDirection w:val="lrTb"/>
            <w:noWrap w:val="false"/>
          </w:tcPr>
          <w:p>
            <w:pPr>
              <w:pStyle w:val="1005"/>
              <w:ind w:left="57" w:right="57"/>
            </w:pPr>
            <w:r>
              <w:t xml:space="preserve">Дополнительная информация</w:t>
            </w:r>
            <w:r/>
          </w:p>
        </w:tc>
        <w:tc>
          <w:tcPr>
            <w:shd w:val="clear" w:fill="auto" w:color="auto"/>
            <w:tcW w:w="3735" w:type="pct"/>
            <w:textDirection w:val="lrTb"/>
            <w:noWrap w:val="false"/>
          </w:tcPr>
          <w:p>
            <w:pPr>
              <w:pStyle w:val="1005"/>
              <w:ind w:left="57" w:right="57"/>
            </w:pPr>
            <w:r>
              <w:t xml:space="preserve">Список имен</w:t>
            </w:r>
            <w:r>
              <w:t xml:space="preserve"> импортированных файлов за одну операцию импорта. Имена файлов разделяются символом «;». </w:t>
            </w:r>
            <w:r/>
          </w:p>
          <w:p>
            <w:pPr>
              <w:pStyle w:val="1005"/>
              <w:ind w:left="57" w:right="57"/>
            </w:pPr>
            <w:r>
              <w:t xml:space="preserve">Заполняется автоматически.</w:t>
            </w:r>
            <w:r/>
          </w:p>
        </w:tc>
      </w:tr>
      <w:tr>
        <w:trPr/>
        <w:tc>
          <w:tcPr>
            <w:gridSpan w:val="2"/>
            <w:shd w:val="clear" w:fill="auto" w:color="auto"/>
            <w:tcW w:w="5000" w:type="pct"/>
            <w:textDirection w:val="lrTb"/>
            <w:noWrap w:val="false"/>
          </w:tcPr>
          <w:p>
            <w:pPr>
              <w:pStyle w:val="1005"/>
              <w:ind w:left="57" w:right="57"/>
            </w:pPr>
            <w:r>
              <w:t xml:space="preserve">Группа полей «Список импортированных файлов»</w:t>
            </w:r>
            <w:r/>
          </w:p>
        </w:tc>
      </w:tr>
      <w:tr>
        <w:trPr/>
        <w:tc>
          <w:tcPr>
            <w:shd w:val="clear" w:fill="auto" w:color="auto"/>
            <w:tcW w:w="1265" w:type="pct"/>
            <w:textDirection w:val="lrTb"/>
            <w:noWrap w:val="false"/>
          </w:tcPr>
          <w:p>
            <w:pPr>
              <w:pStyle w:val="1005"/>
              <w:ind w:left="57" w:right="57"/>
            </w:pPr>
            <w:r>
              <w:t xml:space="preserve">Результат</w:t>
            </w:r>
            <w:r/>
          </w:p>
        </w:tc>
        <w:tc>
          <w:tcPr>
            <w:shd w:val="clear" w:fill="auto" w:color="auto"/>
            <w:tcW w:w="3735" w:type="pct"/>
            <w:textDirection w:val="lrTb"/>
            <w:noWrap w:val="false"/>
          </w:tcPr>
          <w:p>
            <w:pPr>
              <w:pStyle w:val="1005"/>
              <w:ind w:left="57" w:right="57"/>
            </w:pPr>
            <w:r>
              <w:t xml:space="preserve">Результат выполнения операции импорта файлов. </w:t>
            </w:r>
            <w:r/>
          </w:p>
          <w:p>
            <w:pPr>
              <w:pStyle w:val="1005"/>
              <w:ind w:left="57" w:right="57"/>
            </w:pPr>
            <w:r>
              <w:t xml:space="preserve">Может принимать значения:</w:t>
            </w:r>
            <w:r/>
          </w:p>
          <w:p>
            <w:pPr>
              <w:pStyle w:val="1007"/>
            </w:pPr>
            <w:r>
              <w:t xml:space="preserve">«Обработан успешно» – при импорте без ошибок;</w:t>
            </w:r>
            <w:r/>
          </w:p>
          <w:p>
            <w:pPr>
              <w:pStyle w:val="1007"/>
            </w:pPr>
            <w:r>
              <w:t xml:space="preserve">«Обработан с ошибками» – при импорте с ошибками.</w:t>
            </w:r>
            <w:r/>
          </w:p>
          <w:p>
            <w:pPr>
              <w:pStyle w:val="1005"/>
              <w:ind w:left="57" w:right="57"/>
            </w:pPr>
            <w:r>
              <w:t xml:space="preserve">Заполняется автоматически.</w:t>
            </w:r>
            <w:r/>
          </w:p>
        </w:tc>
      </w:tr>
      <w:tr>
        <w:trPr/>
        <w:tc>
          <w:tcPr>
            <w:shd w:val="clear" w:fill="auto" w:color="auto"/>
            <w:tcW w:w="1265" w:type="pct"/>
            <w:textDirection w:val="lrTb"/>
            <w:noWrap w:val="false"/>
          </w:tcPr>
          <w:p>
            <w:pPr>
              <w:pStyle w:val="1005"/>
              <w:ind w:left="57" w:right="57"/>
            </w:pPr>
            <w:r>
              <w:t xml:space="preserve">Имя файла</w:t>
            </w:r>
            <w:r/>
          </w:p>
        </w:tc>
        <w:tc>
          <w:tcPr>
            <w:shd w:val="clear" w:fill="auto" w:color="auto"/>
            <w:tcW w:w="3735" w:type="pct"/>
            <w:textDirection w:val="lrTb"/>
            <w:noWrap w:val="false"/>
          </w:tcPr>
          <w:p>
            <w:pPr>
              <w:pStyle w:val="1005"/>
              <w:ind w:left="57" w:right="57"/>
            </w:pPr>
            <w:r>
              <w:t xml:space="preserve">Имя импортируемого файла.</w:t>
            </w:r>
            <w:r/>
          </w:p>
          <w:p>
            <w:pPr>
              <w:pStyle w:val="1005"/>
              <w:ind w:left="57" w:right="57"/>
            </w:pPr>
            <w:r>
              <w:t xml:space="preserve">Заполняется автоматически.</w:t>
            </w:r>
            <w:r/>
          </w:p>
        </w:tc>
      </w:tr>
      <w:tr>
        <w:trPr/>
        <w:tc>
          <w:tcPr>
            <w:shd w:val="clear" w:fill="auto" w:color="auto"/>
            <w:tcW w:w="1265" w:type="pct"/>
            <w:textDirection w:val="lrTb"/>
            <w:noWrap w:val="false"/>
          </w:tcPr>
          <w:p>
            <w:pPr>
              <w:pStyle w:val="1005"/>
              <w:ind w:left="57" w:right="57"/>
            </w:pPr>
            <w:r>
              <w:t xml:space="preserve">Текст ошибки</w:t>
            </w:r>
            <w:r/>
          </w:p>
        </w:tc>
        <w:tc>
          <w:tcPr>
            <w:shd w:val="clear" w:fill="auto" w:color="auto"/>
            <w:tcW w:w="3735" w:type="pct"/>
            <w:textDirection w:val="lrTb"/>
            <w:noWrap w:val="false"/>
          </w:tcPr>
          <w:p>
            <w:pPr>
              <w:pStyle w:val="1005"/>
              <w:ind w:left="57" w:right="57"/>
            </w:pPr>
            <w:r>
              <w:t xml:space="preserve">Сообщение об ошибке импорта.</w:t>
            </w:r>
            <w:r/>
          </w:p>
          <w:p>
            <w:pPr>
              <w:pStyle w:val="1005"/>
              <w:ind w:left="57" w:right="57"/>
            </w:pPr>
            <w:r>
              <w:t xml:space="preserve">Если ошибок несколько, то сообщения перечисляются через «;» и нумеруются, начиная с 1.</w:t>
            </w:r>
            <w:r/>
          </w:p>
          <w:p>
            <w:pPr>
              <w:pStyle w:val="1005"/>
              <w:ind w:left="57" w:right="57"/>
            </w:pPr>
            <w:r>
              <w:t xml:space="preserve">Заполняется автоматически.</w:t>
            </w:r>
            <w:r/>
          </w:p>
        </w:tc>
      </w:tr>
    </w:tbl>
    <w:p>
      <w:pPr>
        <w:pStyle w:val="1000"/>
      </w:pPr>
      <w:r/>
      <w:bookmarkStart w:id="2160" w:name="_Toc150758397"/>
      <w:r/>
      <w:bookmarkStart w:id="2161" w:name="_Toc154485450"/>
      <w:r/>
      <w:bookmarkStart w:id="2162" w:name="_Toc182196514"/>
      <w:r/>
      <w:r/>
    </w:p>
    <w:p>
      <w:pPr>
        <w:pStyle w:val="998"/>
      </w:pPr>
      <w:r/>
      <w:bookmarkStart w:id="2163" w:name="_Toc88819184"/>
      <w:r>
        <w:t xml:space="preserve">СОСТАВИЛИ</w:t>
      </w:r>
      <w:bookmarkEnd w:id="2163"/>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trPr>
          <w:trHeight w:val="891"/>
          <w:tblHeader/>
        </w:trPr>
        <w:tc>
          <w:tcPr>
            <w:shd w:val="clear" w:fill="E6E6E6" w:color="auto"/>
            <w:tcBorders>
              <w:left w:val="single" w:sz="4" w:space="0" w:color="auto"/>
              <w:top w:val="single" w:sz="4" w:space="0" w:color="auto"/>
              <w:right w:val="single" w:sz="4" w:space="0" w:color="auto"/>
              <w:bottom w:val="single" w:sz="4" w:space="0" w:color="auto"/>
            </w:tcBorders>
            <w:tcW w:w="1050" w:type="pct"/>
            <w:vAlign w:val="center"/>
            <w:textDirection w:val="lrTb"/>
            <w:noWrap w:val="false"/>
          </w:tcPr>
          <w:p>
            <w:pPr>
              <w:pStyle w:val="1006"/>
            </w:pPr>
            <w:r>
              <w:t xml:space="preserve">Наименование организации, предприятия</w:t>
            </w:r>
            <w:r/>
          </w:p>
        </w:tc>
        <w:tc>
          <w:tcPr>
            <w:shd w:val="clear" w:fill="E6E6E6" w:color="auto"/>
            <w:tcBorders>
              <w:left w:val="single" w:sz="4" w:space="0" w:color="auto"/>
              <w:top w:val="single" w:sz="4" w:space="0" w:color="auto"/>
              <w:right w:val="single" w:sz="4" w:space="0" w:color="auto"/>
              <w:bottom w:val="single" w:sz="4" w:space="0" w:color="auto"/>
            </w:tcBorders>
            <w:tcW w:w="1209" w:type="pct"/>
            <w:vAlign w:val="center"/>
            <w:textDirection w:val="lrTb"/>
            <w:noWrap w:val="false"/>
          </w:tcPr>
          <w:p>
            <w:pPr>
              <w:pStyle w:val="1006"/>
            </w:pPr>
            <w:r>
              <w:t xml:space="preserve">Должность </w:t>
            </w:r>
            <w:r>
              <w:br/>
              <w:t xml:space="preserve">исполнителя</w:t>
            </w:r>
            <w:r/>
          </w:p>
        </w:tc>
        <w:tc>
          <w:tcPr>
            <w:shd w:val="clear" w:fill="E6E6E6" w:color="auto"/>
            <w:tcBorders>
              <w:left w:val="single" w:sz="4" w:space="0" w:color="auto"/>
              <w:top w:val="single" w:sz="4" w:space="0" w:color="auto"/>
              <w:right w:val="single" w:sz="4" w:space="0" w:color="auto"/>
              <w:bottom w:val="single" w:sz="4" w:space="0" w:color="auto"/>
            </w:tcBorders>
            <w:tcW w:w="1238" w:type="pct"/>
            <w:vAlign w:val="center"/>
            <w:textDirection w:val="lrTb"/>
            <w:noWrap w:val="false"/>
          </w:tcPr>
          <w:p>
            <w:pPr>
              <w:pStyle w:val="1006"/>
            </w:pPr>
            <w:r>
              <w:t xml:space="preserve">Фамилия, имя, отчество</w:t>
            </w:r>
            <w:r/>
          </w:p>
        </w:tc>
        <w:tc>
          <w:tcPr>
            <w:shd w:val="clear" w:fill="E6E6E6" w:color="auto"/>
            <w:tcBorders>
              <w:left w:val="single" w:sz="4" w:space="0" w:color="auto"/>
              <w:top w:val="single" w:sz="4" w:space="0" w:color="auto"/>
              <w:right w:val="single" w:sz="4" w:space="0" w:color="auto"/>
              <w:bottom w:val="single" w:sz="4" w:space="0" w:color="auto"/>
            </w:tcBorders>
            <w:tcW w:w="724" w:type="pct"/>
            <w:vAlign w:val="center"/>
            <w:textDirection w:val="lrTb"/>
            <w:noWrap w:val="false"/>
          </w:tcPr>
          <w:p>
            <w:pPr>
              <w:pStyle w:val="1006"/>
            </w:pPr>
            <w:r>
              <w:t xml:space="preserve">Подпись</w:t>
            </w:r>
            <w:r/>
          </w:p>
        </w:tc>
        <w:tc>
          <w:tcPr>
            <w:shd w:val="clear" w:fill="E6E6E6" w:color="auto"/>
            <w:tcBorders>
              <w:left w:val="single" w:sz="4" w:space="0" w:color="auto"/>
              <w:top w:val="single" w:sz="4" w:space="0" w:color="auto"/>
              <w:right w:val="single" w:sz="4" w:space="0" w:color="auto"/>
              <w:bottom w:val="single" w:sz="4" w:space="0" w:color="auto"/>
            </w:tcBorders>
            <w:tcW w:w="779" w:type="pct"/>
            <w:vAlign w:val="center"/>
            <w:textDirection w:val="lrTb"/>
            <w:noWrap w:val="false"/>
          </w:tcPr>
          <w:p>
            <w:pPr>
              <w:pStyle w:val="1006"/>
            </w:pPr>
            <w:r>
              <w:t xml:space="preserve">Дата</w:t>
            </w:r>
            <w:r/>
          </w:p>
        </w:tc>
      </w:tr>
      <w:tr>
        <w:trPr>
          <w:trHeight w:val="308"/>
        </w:trPr>
        <w:tc>
          <w:tcPr>
            <w:shd w:val="clear" w:fill="auto" w:color="auto"/>
            <w:tcW w:w="1050" w:type="pct"/>
            <w:textDirection w:val="lrTb"/>
            <w:noWrap w:val="false"/>
          </w:tcPr>
          <w:p>
            <w:pPr>
              <w:pStyle w:val="1005"/>
              <w:ind w:left="57" w:right="57"/>
            </w:pPr>
            <w:r>
              <w:rPr>
                <w:lang w:val="en-US"/>
              </w:rPr>
              <w:t xml:space="preserve">OOO</w:t>
            </w:r>
            <w:r>
              <w:t xml:space="preserve"> </w:t>
            </w:r>
            <w:r>
              <w:t xml:space="preserve">«ОТР</w:t>
            </w:r>
            <w:r>
              <w:t xml:space="preserve"> </w:t>
            </w:r>
            <w:r>
              <w:t xml:space="preserve">2000»</w:t>
            </w:r>
            <w:r/>
          </w:p>
        </w:tc>
        <w:tc>
          <w:tcPr>
            <w:shd w:val="clear" w:fill="auto" w:color="auto"/>
            <w:tcW w:w="1209" w:type="pct"/>
            <w:textDirection w:val="lrTb"/>
            <w:noWrap w:val="false"/>
          </w:tcPr>
          <w:p>
            <w:pPr>
              <w:pStyle w:val="1005"/>
              <w:ind w:left="57" w:right="57"/>
            </w:pPr>
            <w:r>
              <w:t xml:space="preserve">Начальник отдела</w:t>
            </w:r>
            <w:r/>
          </w:p>
        </w:tc>
        <w:tc>
          <w:tcPr>
            <w:shd w:val="clear" w:fill="auto" w:color="auto"/>
            <w:tcW w:w="1238" w:type="pct"/>
            <w:textDirection w:val="lrTb"/>
            <w:noWrap w:val="false"/>
          </w:tcPr>
          <w:p>
            <w:pPr>
              <w:pStyle w:val="1005"/>
              <w:ind w:left="57" w:right="57"/>
            </w:pPr>
            <w:r>
              <w:t xml:space="preserve">Иванова О.</w:t>
            </w:r>
            <w:r>
              <w:t xml:space="preserve"> </w:t>
            </w:r>
            <w:r>
              <w:t xml:space="preserve">С.</w:t>
            </w:r>
            <w:r/>
          </w:p>
        </w:tc>
        <w:tc>
          <w:tcPr>
            <w:shd w:val="clear" w:fill="auto" w:color="auto"/>
            <w:tcW w:w="724" w:type="pct"/>
            <w:textDirection w:val="lrTb"/>
            <w:noWrap w:val="false"/>
          </w:tcPr>
          <w:p>
            <w:pPr>
              <w:pStyle w:val="1005"/>
              <w:ind w:left="57" w:right="57"/>
            </w:pPr>
            <w:r/>
            <w:r/>
          </w:p>
        </w:tc>
        <w:tc>
          <w:tcPr>
            <w:shd w:val="clear" w:fill="auto" w:color="auto"/>
            <w:tcW w:w="779" w:type="pct"/>
            <w:textDirection w:val="lrTb"/>
            <w:noWrap w:val="false"/>
          </w:tcPr>
          <w:p>
            <w:pPr>
              <w:pStyle w:val="1005"/>
              <w:ind w:left="57" w:right="57"/>
            </w:pPr>
            <w:r>
              <w:t xml:space="preserve">25.05.2009</w:t>
            </w:r>
            <w:r/>
          </w:p>
        </w:tc>
      </w:tr>
      <w:tr>
        <w:trPr>
          <w:trHeight w:val="308"/>
        </w:trPr>
        <w:tc>
          <w:tcPr>
            <w:shd w:val="clear" w:fill="auto" w:color="auto"/>
            <w:tcW w:w="1050" w:type="pct"/>
            <w:textDirection w:val="lrTb"/>
            <w:noWrap w:val="false"/>
          </w:tcPr>
          <w:p>
            <w:pPr>
              <w:pStyle w:val="1005"/>
              <w:ind w:left="57" w:right="57"/>
            </w:pPr>
            <w:r/>
            <w:r/>
          </w:p>
        </w:tc>
        <w:tc>
          <w:tcPr>
            <w:shd w:val="clear" w:fill="auto" w:color="auto"/>
            <w:tcW w:w="1209" w:type="pct"/>
            <w:textDirection w:val="lrTb"/>
            <w:noWrap w:val="false"/>
          </w:tcPr>
          <w:p>
            <w:pPr>
              <w:pStyle w:val="1005"/>
              <w:ind w:left="57" w:right="57"/>
            </w:pPr>
            <w:r/>
            <w:r/>
          </w:p>
        </w:tc>
        <w:tc>
          <w:tcPr>
            <w:shd w:val="clear" w:fill="auto" w:color="auto"/>
            <w:tcW w:w="1238" w:type="pct"/>
            <w:textDirection w:val="lrTb"/>
            <w:noWrap w:val="false"/>
          </w:tcPr>
          <w:p>
            <w:pPr>
              <w:pStyle w:val="1005"/>
              <w:ind w:left="57" w:right="57"/>
            </w:pPr>
            <w:r/>
            <w:r/>
          </w:p>
        </w:tc>
        <w:tc>
          <w:tcPr>
            <w:shd w:val="clear" w:fill="auto" w:color="auto"/>
            <w:tcW w:w="724" w:type="pct"/>
            <w:textDirection w:val="lrTb"/>
            <w:noWrap w:val="false"/>
          </w:tcPr>
          <w:p>
            <w:pPr>
              <w:pStyle w:val="1005"/>
              <w:ind w:left="57" w:right="57"/>
            </w:pPr>
            <w:r/>
            <w:r/>
          </w:p>
        </w:tc>
        <w:tc>
          <w:tcPr>
            <w:shd w:val="clear" w:fill="auto" w:color="auto"/>
            <w:tcW w:w="779" w:type="pct"/>
            <w:textDirection w:val="lrTb"/>
            <w:noWrap w:val="false"/>
          </w:tcPr>
          <w:p>
            <w:pPr>
              <w:pStyle w:val="1005"/>
              <w:ind w:left="57" w:right="57"/>
            </w:pPr>
            <w:r/>
            <w:r/>
          </w:p>
        </w:tc>
      </w:tr>
      <w:tr>
        <w:trPr>
          <w:trHeight w:val="308"/>
        </w:trPr>
        <w:tc>
          <w:tcPr>
            <w:shd w:val="clear" w:fill="auto" w:color="auto"/>
            <w:tcW w:w="1050" w:type="pct"/>
            <w:textDirection w:val="lrTb"/>
            <w:noWrap w:val="false"/>
          </w:tcPr>
          <w:p>
            <w:pPr>
              <w:pStyle w:val="1005"/>
              <w:ind w:left="57" w:right="57"/>
            </w:pPr>
            <w:r/>
            <w:r/>
          </w:p>
        </w:tc>
        <w:tc>
          <w:tcPr>
            <w:shd w:val="clear" w:fill="auto" w:color="auto"/>
            <w:tcW w:w="1209" w:type="pct"/>
            <w:textDirection w:val="lrTb"/>
            <w:noWrap w:val="false"/>
          </w:tcPr>
          <w:p>
            <w:pPr>
              <w:pStyle w:val="1005"/>
              <w:ind w:left="57" w:right="57"/>
            </w:pPr>
            <w:r/>
            <w:r/>
          </w:p>
        </w:tc>
        <w:tc>
          <w:tcPr>
            <w:shd w:val="clear" w:fill="auto" w:color="auto"/>
            <w:tcW w:w="1238" w:type="pct"/>
            <w:textDirection w:val="lrTb"/>
            <w:noWrap w:val="false"/>
          </w:tcPr>
          <w:p>
            <w:pPr>
              <w:pStyle w:val="1005"/>
              <w:ind w:left="57" w:right="57"/>
            </w:pPr>
            <w:r/>
            <w:r/>
          </w:p>
        </w:tc>
        <w:tc>
          <w:tcPr>
            <w:shd w:val="clear" w:fill="auto" w:color="auto"/>
            <w:tcW w:w="724" w:type="pct"/>
            <w:textDirection w:val="lrTb"/>
            <w:noWrap w:val="false"/>
          </w:tcPr>
          <w:p>
            <w:pPr>
              <w:pStyle w:val="1005"/>
              <w:ind w:left="57" w:right="57"/>
            </w:pPr>
            <w:r/>
            <w:r/>
          </w:p>
        </w:tc>
        <w:tc>
          <w:tcPr>
            <w:shd w:val="clear" w:fill="auto" w:color="auto"/>
            <w:tcW w:w="779" w:type="pct"/>
            <w:textDirection w:val="lrTb"/>
            <w:noWrap w:val="false"/>
          </w:tcPr>
          <w:p>
            <w:pPr>
              <w:pStyle w:val="1005"/>
              <w:ind w:left="57" w:right="57"/>
            </w:pPr>
            <w:r/>
            <w:r/>
          </w:p>
        </w:tc>
      </w:tr>
      <w:tr>
        <w:trPr>
          <w:trHeight w:val="308"/>
        </w:trPr>
        <w:tc>
          <w:tcPr>
            <w:shd w:val="clear" w:fill="auto" w:color="auto"/>
            <w:tcW w:w="1050" w:type="pct"/>
            <w:textDirection w:val="lrTb"/>
            <w:noWrap w:val="false"/>
          </w:tcPr>
          <w:p>
            <w:pPr>
              <w:pStyle w:val="1005"/>
              <w:ind w:left="57" w:right="57"/>
            </w:pPr>
            <w:r/>
            <w:r/>
          </w:p>
        </w:tc>
        <w:tc>
          <w:tcPr>
            <w:shd w:val="clear" w:fill="auto" w:color="auto"/>
            <w:tcW w:w="1209" w:type="pct"/>
            <w:textDirection w:val="lrTb"/>
            <w:noWrap w:val="false"/>
          </w:tcPr>
          <w:p>
            <w:pPr>
              <w:pStyle w:val="1005"/>
              <w:ind w:left="57" w:right="57"/>
            </w:pPr>
            <w:r/>
            <w:r/>
          </w:p>
        </w:tc>
        <w:tc>
          <w:tcPr>
            <w:shd w:val="clear" w:fill="auto" w:color="auto"/>
            <w:tcW w:w="1238" w:type="pct"/>
            <w:textDirection w:val="lrTb"/>
            <w:noWrap w:val="false"/>
          </w:tcPr>
          <w:p>
            <w:pPr>
              <w:pStyle w:val="1005"/>
              <w:ind w:left="57" w:right="57"/>
            </w:pPr>
            <w:r/>
            <w:r/>
          </w:p>
        </w:tc>
        <w:tc>
          <w:tcPr>
            <w:shd w:val="clear" w:fill="auto" w:color="auto"/>
            <w:tcW w:w="724" w:type="pct"/>
            <w:textDirection w:val="lrTb"/>
            <w:noWrap w:val="false"/>
          </w:tcPr>
          <w:p>
            <w:pPr>
              <w:pStyle w:val="1005"/>
              <w:ind w:left="57" w:right="57"/>
            </w:pPr>
            <w:r/>
            <w:r/>
          </w:p>
        </w:tc>
        <w:tc>
          <w:tcPr>
            <w:shd w:val="clear" w:fill="auto" w:color="auto"/>
            <w:tcW w:w="779" w:type="pct"/>
            <w:textDirection w:val="lrTb"/>
            <w:noWrap w:val="false"/>
          </w:tcPr>
          <w:p>
            <w:pPr>
              <w:pStyle w:val="1005"/>
              <w:ind w:left="57" w:right="57"/>
            </w:pPr>
            <w:r/>
            <w:r/>
          </w:p>
        </w:tc>
      </w:tr>
      <w:tr>
        <w:trPr>
          <w:trHeight w:val="308"/>
        </w:trPr>
        <w:tc>
          <w:tcPr>
            <w:shd w:val="clear" w:fill="auto" w:color="auto"/>
            <w:tcW w:w="1050" w:type="pct"/>
            <w:textDirection w:val="lrTb"/>
            <w:noWrap w:val="false"/>
          </w:tcPr>
          <w:p>
            <w:pPr>
              <w:pStyle w:val="1005"/>
              <w:ind w:left="57" w:right="57"/>
            </w:pPr>
            <w:r/>
            <w:r/>
          </w:p>
        </w:tc>
        <w:tc>
          <w:tcPr>
            <w:shd w:val="clear" w:fill="auto" w:color="auto"/>
            <w:tcW w:w="1209" w:type="pct"/>
            <w:textDirection w:val="lrTb"/>
            <w:noWrap w:val="false"/>
          </w:tcPr>
          <w:p>
            <w:pPr>
              <w:pStyle w:val="1005"/>
              <w:ind w:left="57" w:right="57"/>
            </w:pPr>
            <w:r/>
            <w:r/>
          </w:p>
        </w:tc>
        <w:tc>
          <w:tcPr>
            <w:shd w:val="clear" w:fill="auto" w:color="auto"/>
            <w:tcW w:w="1238" w:type="pct"/>
            <w:textDirection w:val="lrTb"/>
            <w:noWrap w:val="false"/>
          </w:tcPr>
          <w:p>
            <w:pPr>
              <w:pStyle w:val="1005"/>
              <w:ind w:left="57" w:right="57"/>
            </w:pPr>
            <w:r/>
            <w:r/>
          </w:p>
        </w:tc>
        <w:tc>
          <w:tcPr>
            <w:shd w:val="clear" w:fill="auto" w:color="auto"/>
            <w:tcW w:w="724" w:type="pct"/>
            <w:textDirection w:val="lrTb"/>
            <w:noWrap w:val="false"/>
          </w:tcPr>
          <w:p>
            <w:pPr>
              <w:pStyle w:val="1005"/>
              <w:ind w:left="57" w:right="57"/>
            </w:pPr>
            <w:r/>
            <w:r/>
          </w:p>
        </w:tc>
        <w:tc>
          <w:tcPr>
            <w:shd w:val="clear" w:fill="auto" w:color="auto"/>
            <w:tcW w:w="779" w:type="pct"/>
            <w:textDirection w:val="lrTb"/>
            <w:noWrap w:val="false"/>
          </w:tcPr>
          <w:p>
            <w:pPr>
              <w:pStyle w:val="1005"/>
              <w:ind w:left="57" w:right="57"/>
            </w:pPr>
            <w:r/>
            <w:r/>
          </w:p>
        </w:tc>
      </w:tr>
      <w:tr>
        <w:trPr>
          <w:trHeight w:val="308"/>
        </w:trPr>
        <w:tc>
          <w:tcPr>
            <w:shd w:val="clear" w:fill="auto" w:color="auto"/>
            <w:tcW w:w="1050" w:type="pct"/>
            <w:textDirection w:val="lrTb"/>
            <w:noWrap w:val="false"/>
          </w:tcPr>
          <w:p>
            <w:pPr>
              <w:pStyle w:val="1005"/>
              <w:ind w:left="57" w:right="57"/>
            </w:pPr>
            <w:r/>
            <w:r/>
          </w:p>
        </w:tc>
        <w:tc>
          <w:tcPr>
            <w:shd w:val="clear" w:fill="auto" w:color="auto"/>
            <w:tcW w:w="1209" w:type="pct"/>
            <w:textDirection w:val="lrTb"/>
            <w:noWrap w:val="false"/>
          </w:tcPr>
          <w:p>
            <w:pPr>
              <w:pStyle w:val="1005"/>
              <w:ind w:left="57" w:right="57"/>
            </w:pPr>
            <w:r/>
            <w:r/>
          </w:p>
        </w:tc>
        <w:tc>
          <w:tcPr>
            <w:shd w:val="clear" w:fill="auto" w:color="auto"/>
            <w:tcW w:w="1238" w:type="pct"/>
            <w:textDirection w:val="lrTb"/>
            <w:noWrap w:val="false"/>
          </w:tcPr>
          <w:p>
            <w:pPr>
              <w:pStyle w:val="1005"/>
              <w:ind w:left="57" w:right="57"/>
            </w:pPr>
            <w:r/>
            <w:r/>
          </w:p>
        </w:tc>
        <w:tc>
          <w:tcPr>
            <w:shd w:val="clear" w:fill="auto" w:color="auto"/>
            <w:tcW w:w="724" w:type="pct"/>
            <w:textDirection w:val="lrTb"/>
            <w:noWrap w:val="false"/>
          </w:tcPr>
          <w:p>
            <w:pPr>
              <w:pStyle w:val="1005"/>
              <w:ind w:left="57" w:right="57"/>
            </w:pPr>
            <w:r/>
            <w:r/>
          </w:p>
        </w:tc>
        <w:tc>
          <w:tcPr>
            <w:shd w:val="clear" w:fill="auto" w:color="auto"/>
            <w:tcW w:w="779" w:type="pct"/>
            <w:textDirection w:val="lrTb"/>
            <w:noWrap w:val="false"/>
          </w:tcPr>
          <w:p>
            <w:pPr>
              <w:pStyle w:val="1005"/>
              <w:ind w:left="57" w:right="57"/>
            </w:pPr>
            <w:r/>
            <w:r/>
          </w:p>
        </w:tc>
      </w:tr>
      <w:tr>
        <w:trPr>
          <w:trHeight w:val="308"/>
        </w:trPr>
        <w:tc>
          <w:tcPr>
            <w:shd w:val="clear" w:fill="auto" w:color="auto"/>
            <w:tcW w:w="1050" w:type="pct"/>
            <w:textDirection w:val="lrTb"/>
            <w:noWrap w:val="false"/>
          </w:tcPr>
          <w:p>
            <w:pPr>
              <w:pStyle w:val="1005"/>
              <w:ind w:left="57" w:right="57"/>
            </w:pPr>
            <w:r/>
            <w:r/>
          </w:p>
        </w:tc>
        <w:tc>
          <w:tcPr>
            <w:shd w:val="clear" w:fill="auto" w:color="auto"/>
            <w:tcW w:w="1209" w:type="pct"/>
            <w:textDirection w:val="lrTb"/>
            <w:noWrap w:val="false"/>
          </w:tcPr>
          <w:p>
            <w:pPr>
              <w:pStyle w:val="1005"/>
              <w:ind w:left="57" w:right="57"/>
            </w:pPr>
            <w:r/>
            <w:r/>
          </w:p>
        </w:tc>
        <w:tc>
          <w:tcPr>
            <w:shd w:val="clear" w:fill="auto" w:color="auto"/>
            <w:tcW w:w="1238" w:type="pct"/>
            <w:textDirection w:val="lrTb"/>
            <w:noWrap w:val="false"/>
          </w:tcPr>
          <w:p>
            <w:pPr>
              <w:pStyle w:val="1005"/>
              <w:ind w:left="57" w:right="57"/>
            </w:pPr>
            <w:r/>
            <w:r/>
          </w:p>
        </w:tc>
        <w:tc>
          <w:tcPr>
            <w:shd w:val="clear" w:fill="auto" w:color="auto"/>
            <w:tcW w:w="724" w:type="pct"/>
            <w:textDirection w:val="lrTb"/>
            <w:noWrap w:val="false"/>
          </w:tcPr>
          <w:p>
            <w:pPr>
              <w:pStyle w:val="1005"/>
              <w:ind w:left="57" w:right="57"/>
            </w:pPr>
            <w:r/>
            <w:r/>
          </w:p>
        </w:tc>
        <w:tc>
          <w:tcPr>
            <w:shd w:val="clear" w:fill="auto" w:color="auto"/>
            <w:tcW w:w="779" w:type="pct"/>
            <w:textDirection w:val="lrTb"/>
            <w:noWrap w:val="false"/>
          </w:tcPr>
          <w:p>
            <w:pPr>
              <w:pStyle w:val="1005"/>
              <w:ind w:left="57" w:right="57"/>
            </w:pPr>
            <w:r/>
            <w:r/>
          </w:p>
        </w:tc>
      </w:tr>
      <w:tr>
        <w:trPr>
          <w:trHeight w:val="308"/>
        </w:trPr>
        <w:tc>
          <w:tcPr>
            <w:shd w:val="clear" w:fill="auto" w:color="auto"/>
            <w:tcW w:w="1050" w:type="pct"/>
            <w:textDirection w:val="lrTb"/>
            <w:noWrap w:val="false"/>
          </w:tcPr>
          <w:p>
            <w:pPr>
              <w:pStyle w:val="1005"/>
              <w:ind w:left="57" w:right="57"/>
            </w:pPr>
            <w:r/>
            <w:r/>
          </w:p>
        </w:tc>
        <w:tc>
          <w:tcPr>
            <w:shd w:val="clear" w:fill="auto" w:color="auto"/>
            <w:tcW w:w="1209" w:type="pct"/>
            <w:textDirection w:val="lrTb"/>
            <w:noWrap w:val="false"/>
          </w:tcPr>
          <w:p>
            <w:pPr>
              <w:pStyle w:val="1005"/>
              <w:ind w:left="57" w:right="57"/>
            </w:pPr>
            <w:r/>
            <w:r/>
          </w:p>
        </w:tc>
        <w:tc>
          <w:tcPr>
            <w:shd w:val="clear" w:fill="auto" w:color="auto"/>
            <w:tcW w:w="1238" w:type="pct"/>
            <w:textDirection w:val="lrTb"/>
            <w:noWrap w:val="false"/>
          </w:tcPr>
          <w:p>
            <w:pPr>
              <w:pStyle w:val="1005"/>
              <w:ind w:left="57" w:right="57"/>
            </w:pPr>
            <w:r/>
            <w:r/>
          </w:p>
        </w:tc>
        <w:tc>
          <w:tcPr>
            <w:shd w:val="clear" w:fill="auto" w:color="auto"/>
            <w:tcW w:w="724" w:type="pct"/>
            <w:textDirection w:val="lrTb"/>
            <w:noWrap w:val="false"/>
          </w:tcPr>
          <w:p>
            <w:pPr>
              <w:pStyle w:val="1005"/>
              <w:ind w:left="57" w:right="57"/>
            </w:pPr>
            <w:r/>
            <w:r/>
          </w:p>
        </w:tc>
        <w:tc>
          <w:tcPr>
            <w:shd w:val="clear" w:fill="auto" w:color="auto"/>
            <w:tcW w:w="779" w:type="pct"/>
            <w:textDirection w:val="lrTb"/>
            <w:noWrap w:val="false"/>
          </w:tcPr>
          <w:p>
            <w:pPr>
              <w:pStyle w:val="1005"/>
              <w:ind w:left="57" w:right="57"/>
            </w:pPr>
            <w:r/>
            <w:r/>
          </w:p>
        </w:tc>
      </w:tr>
      <w:tr>
        <w:trPr>
          <w:trHeight w:val="308"/>
        </w:trPr>
        <w:tc>
          <w:tcPr>
            <w:shd w:val="clear" w:fill="auto" w:color="auto"/>
            <w:tcW w:w="1050" w:type="pct"/>
            <w:textDirection w:val="lrTb"/>
            <w:noWrap w:val="false"/>
          </w:tcPr>
          <w:p>
            <w:pPr>
              <w:pStyle w:val="1005"/>
              <w:ind w:left="57" w:right="57"/>
            </w:pPr>
            <w:r/>
            <w:r/>
          </w:p>
        </w:tc>
        <w:tc>
          <w:tcPr>
            <w:shd w:val="clear" w:fill="auto" w:color="auto"/>
            <w:tcW w:w="1209" w:type="pct"/>
            <w:textDirection w:val="lrTb"/>
            <w:noWrap w:val="false"/>
          </w:tcPr>
          <w:p>
            <w:pPr>
              <w:pStyle w:val="1005"/>
              <w:ind w:left="57" w:right="57"/>
            </w:pPr>
            <w:r/>
            <w:r/>
          </w:p>
        </w:tc>
        <w:tc>
          <w:tcPr>
            <w:shd w:val="clear" w:fill="auto" w:color="auto"/>
            <w:tcW w:w="1238" w:type="pct"/>
            <w:textDirection w:val="lrTb"/>
            <w:noWrap w:val="false"/>
          </w:tcPr>
          <w:p>
            <w:pPr>
              <w:pStyle w:val="1005"/>
              <w:ind w:left="57" w:right="57"/>
            </w:pPr>
            <w:r/>
            <w:r/>
          </w:p>
        </w:tc>
        <w:tc>
          <w:tcPr>
            <w:shd w:val="clear" w:fill="auto" w:color="auto"/>
            <w:tcW w:w="724" w:type="pct"/>
            <w:textDirection w:val="lrTb"/>
            <w:noWrap w:val="false"/>
          </w:tcPr>
          <w:p>
            <w:pPr>
              <w:pStyle w:val="1005"/>
              <w:ind w:left="57" w:right="57"/>
            </w:pPr>
            <w:r/>
            <w:r/>
          </w:p>
        </w:tc>
        <w:tc>
          <w:tcPr>
            <w:shd w:val="clear" w:fill="auto" w:color="auto"/>
            <w:tcW w:w="779" w:type="pct"/>
            <w:textDirection w:val="lrTb"/>
            <w:noWrap w:val="false"/>
          </w:tcPr>
          <w:p>
            <w:pPr>
              <w:pStyle w:val="1005"/>
              <w:ind w:left="57" w:right="57"/>
            </w:pPr>
            <w:r/>
            <w:r/>
          </w:p>
        </w:tc>
      </w:tr>
      <w:tr>
        <w:trPr>
          <w:trHeight w:val="308"/>
        </w:trPr>
        <w:tc>
          <w:tcPr>
            <w:shd w:val="clear" w:fill="auto" w:color="auto"/>
            <w:tcW w:w="1050" w:type="pct"/>
            <w:textDirection w:val="lrTb"/>
            <w:noWrap w:val="false"/>
          </w:tcPr>
          <w:p>
            <w:pPr>
              <w:pStyle w:val="1005"/>
              <w:ind w:left="57" w:right="57"/>
            </w:pPr>
            <w:r/>
            <w:r/>
          </w:p>
        </w:tc>
        <w:tc>
          <w:tcPr>
            <w:shd w:val="clear" w:fill="auto" w:color="auto"/>
            <w:tcW w:w="1209" w:type="pct"/>
            <w:textDirection w:val="lrTb"/>
            <w:noWrap w:val="false"/>
          </w:tcPr>
          <w:p>
            <w:pPr>
              <w:pStyle w:val="1005"/>
              <w:ind w:left="57" w:right="57"/>
            </w:pPr>
            <w:r/>
            <w:r/>
          </w:p>
        </w:tc>
        <w:tc>
          <w:tcPr>
            <w:shd w:val="clear" w:fill="auto" w:color="auto"/>
            <w:tcW w:w="1238" w:type="pct"/>
            <w:textDirection w:val="lrTb"/>
            <w:noWrap w:val="false"/>
          </w:tcPr>
          <w:p>
            <w:pPr>
              <w:pStyle w:val="1005"/>
              <w:ind w:left="57" w:right="57"/>
            </w:pPr>
            <w:r/>
            <w:r/>
          </w:p>
        </w:tc>
        <w:tc>
          <w:tcPr>
            <w:shd w:val="clear" w:fill="auto" w:color="auto"/>
            <w:tcW w:w="724" w:type="pct"/>
            <w:textDirection w:val="lrTb"/>
            <w:noWrap w:val="false"/>
          </w:tcPr>
          <w:p>
            <w:pPr>
              <w:pStyle w:val="1005"/>
              <w:ind w:left="57" w:right="57"/>
            </w:pPr>
            <w:r/>
            <w:r/>
          </w:p>
        </w:tc>
        <w:tc>
          <w:tcPr>
            <w:shd w:val="clear" w:fill="auto" w:color="auto"/>
            <w:tcW w:w="779" w:type="pct"/>
            <w:textDirection w:val="lrTb"/>
            <w:noWrap w:val="false"/>
          </w:tcPr>
          <w:p>
            <w:pPr>
              <w:pStyle w:val="1005"/>
              <w:ind w:left="57" w:right="57"/>
            </w:pPr>
            <w:r/>
            <w:r/>
          </w:p>
        </w:tc>
      </w:tr>
    </w:tbl>
    <w:p>
      <w:pPr>
        <w:pStyle w:val="998"/>
      </w:pPr>
      <w:r/>
      <w:bookmarkStart w:id="2164" w:name="_Toc88819185"/>
      <w:r>
        <w:t xml:space="preserve">СОГЛАСОВАНО</w:t>
      </w:r>
      <w:bookmarkEnd w:id="2164"/>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trPr>
          <w:trHeight w:val="891"/>
          <w:tblHeader/>
        </w:trPr>
        <w:tc>
          <w:tcPr>
            <w:shd w:val="clear" w:fill="E6E6E6" w:color="auto"/>
            <w:tcBorders>
              <w:left w:val="single" w:sz="4" w:space="0" w:color="auto"/>
              <w:top w:val="single" w:sz="4" w:space="0" w:color="auto"/>
              <w:right w:val="single" w:sz="4" w:space="0" w:color="auto"/>
              <w:bottom w:val="single" w:sz="4" w:space="0" w:color="auto"/>
            </w:tcBorders>
            <w:tcW w:w="1050" w:type="pct"/>
            <w:vAlign w:val="center"/>
            <w:textDirection w:val="lrTb"/>
            <w:noWrap w:val="false"/>
          </w:tcPr>
          <w:p>
            <w:pPr>
              <w:pStyle w:val="1006"/>
            </w:pPr>
            <w:r>
              <w:t xml:space="preserve">Наименование организации, предприятия</w:t>
            </w:r>
            <w:r/>
          </w:p>
        </w:tc>
        <w:tc>
          <w:tcPr>
            <w:shd w:val="clear" w:fill="E6E6E6" w:color="auto"/>
            <w:tcBorders>
              <w:left w:val="single" w:sz="4" w:space="0" w:color="auto"/>
              <w:top w:val="single" w:sz="4" w:space="0" w:color="auto"/>
              <w:right w:val="single" w:sz="4" w:space="0" w:color="auto"/>
              <w:bottom w:val="single" w:sz="4" w:space="0" w:color="auto"/>
            </w:tcBorders>
            <w:tcW w:w="1209" w:type="pct"/>
            <w:vAlign w:val="center"/>
            <w:textDirection w:val="lrTb"/>
            <w:noWrap w:val="false"/>
          </w:tcPr>
          <w:p>
            <w:pPr>
              <w:pStyle w:val="1006"/>
            </w:pPr>
            <w:r>
              <w:t xml:space="preserve">Должность </w:t>
            </w:r>
            <w:r>
              <w:br/>
              <w:t xml:space="preserve">исполнителя</w:t>
            </w:r>
            <w:r/>
          </w:p>
        </w:tc>
        <w:tc>
          <w:tcPr>
            <w:shd w:val="clear" w:fill="E6E6E6" w:color="auto"/>
            <w:tcBorders>
              <w:left w:val="single" w:sz="4" w:space="0" w:color="auto"/>
              <w:top w:val="single" w:sz="4" w:space="0" w:color="auto"/>
              <w:right w:val="single" w:sz="4" w:space="0" w:color="auto"/>
              <w:bottom w:val="single" w:sz="4" w:space="0" w:color="auto"/>
            </w:tcBorders>
            <w:tcW w:w="1238" w:type="pct"/>
            <w:vAlign w:val="center"/>
            <w:textDirection w:val="lrTb"/>
            <w:noWrap w:val="false"/>
          </w:tcPr>
          <w:p>
            <w:pPr>
              <w:pStyle w:val="1006"/>
            </w:pPr>
            <w:r>
              <w:t xml:space="preserve">Фамилия, имя, отчество</w:t>
            </w:r>
            <w:r/>
          </w:p>
        </w:tc>
        <w:tc>
          <w:tcPr>
            <w:shd w:val="clear" w:fill="E6E6E6" w:color="auto"/>
            <w:tcBorders>
              <w:left w:val="single" w:sz="4" w:space="0" w:color="auto"/>
              <w:top w:val="single" w:sz="4" w:space="0" w:color="auto"/>
              <w:right w:val="single" w:sz="4" w:space="0" w:color="auto"/>
              <w:bottom w:val="single" w:sz="4" w:space="0" w:color="auto"/>
            </w:tcBorders>
            <w:tcW w:w="724" w:type="pct"/>
            <w:vAlign w:val="center"/>
            <w:textDirection w:val="lrTb"/>
            <w:noWrap w:val="false"/>
          </w:tcPr>
          <w:p>
            <w:pPr>
              <w:pStyle w:val="1006"/>
            </w:pPr>
            <w:r>
              <w:t xml:space="preserve">Подпись</w:t>
            </w:r>
            <w:r/>
          </w:p>
        </w:tc>
        <w:tc>
          <w:tcPr>
            <w:shd w:val="clear" w:fill="E6E6E6" w:color="auto"/>
            <w:tcBorders>
              <w:left w:val="single" w:sz="4" w:space="0" w:color="auto"/>
              <w:top w:val="single" w:sz="4" w:space="0" w:color="auto"/>
              <w:right w:val="single" w:sz="4" w:space="0" w:color="auto"/>
              <w:bottom w:val="single" w:sz="4" w:space="0" w:color="auto"/>
            </w:tcBorders>
            <w:tcW w:w="779" w:type="pct"/>
            <w:vAlign w:val="center"/>
            <w:textDirection w:val="lrTb"/>
            <w:noWrap w:val="false"/>
          </w:tcPr>
          <w:p>
            <w:pPr>
              <w:pStyle w:val="1006"/>
            </w:pPr>
            <w:r>
              <w:t xml:space="preserve">Дата</w:t>
            </w:r>
            <w:r/>
          </w:p>
        </w:tc>
      </w:tr>
      <w:tr>
        <w:trPr>
          <w:trHeight w:val="308"/>
        </w:trPr>
        <w:tc>
          <w:tcPr>
            <w:shd w:val="clear" w:fill="auto" w:color="auto"/>
            <w:tcW w:w="1050" w:type="pct"/>
            <w:textDirection w:val="lrTb"/>
            <w:noWrap w:val="false"/>
          </w:tcPr>
          <w:p>
            <w:pPr>
              <w:pStyle w:val="1005"/>
              <w:ind w:left="57" w:right="57"/>
            </w:pPr>
            <w:r/>
            <w:r/>
          </w:p>
        </w:tc>
        <w:tc>
          <w:tcPr>
            <w:shd w:val="clear" w:fill="auto" w:color="auto"/>
            <w:tcW w:w="1209" w:type="pct"/>
            <w:textDirection w:val="lrTb"/>
            <w:noWrap w:val="false"/>
          </w:tcPr>
          <w:p>
            <w:pPr>
              <w:pStyle w:val="1005"/>
              <w:ind w:left="57" w:right="57"/>
            </w:pPr>
            <w:r/>
            <w:r/>
          </w:p>
        </w:tc>
        <w:tc>
          <w:tcPr>
            <w:shd w:val="clear" w:fill="auto" w:color="auto"/>
            <w:tcW w:w="1238" w:type="pct"/>
            <w:textDirection w:val="lrTb"/>
            <w:noWrap w:val="false"/>
          </w:tcPr>
          <w:p>
            <w:pPr>
              <w:pStyle w:val="1005"/>
              <w:ind w:left="57" w:right="57"/>
            </w:pPr>
            <w:r/>
            <w:r/>
          </w:p>
        </w:tc>
        <w:tc>
          <w:tcPr>
            <w:shd w:val="clear" w:fill="auto" w:color="auto"/>
            <w:tcW w:w="724" w:type="pct"/>
            <w:textDirection w:val="lrTb"/>
            <w:noWrap w:val="false"/>
          </w:tcPr>
          <w:p>
            <w:pPr>
              <w:pStyle w:val="1005"/>
              <w:ind w:left="57" w:right="57"/>
            </w:pPr>
            <w:r/>
            <w:r/>
          </w:p>
        </w:tc>
        <w:tc>
          <w:tcPr>
            <w:shd w:val="clear" w:fill="auto" w:color="auto"/>
            <w:tcW w:w="779" w:type="pct"/>
            <w:textDirection w:val="lrTb"/>
            <w:noWrap w:val="false"/>
          </w:tcPr>
          <w:p>
            <w:pPr>
              <w:pStyle w:val="1005"/>
              <w:ind w:left="57" w:right="57"/>
            </w:pPr>
            <w:r/>
            <w:r/>
          </w:p>
        </w:tc>
      </w:tr>
      <w:tr>
        <w:trPr>
          <w:trHeight w:val="308"/>
        </w:trPr>
        <w:tc>
          <w:tcPr>
            <w:shd w:val="clear" w:fill="auto" w:color="auto"/>
            <w:tcW w:w="1050" w:type="pct"/>
            <w:textDirection w:val="lrTb"/>
            <w:noWrap w:val="false"/>
          </w:tcPr>
          <w:p>
            <w:pPr>
              <w:pStyle w:val="1005"/>
              <w:ind w:left="57" w:right="57"/>
            </w:pPr>
            <w:r/>
            <w:r/>
          </w:p>
        </w:tc>
        <w:tc>
          <w:tcPr>
            <w:shd w:val="clear" w:fill="auto" w:color="auto"/>
            <w:tcW w:w="1209" w:type="pct"/>
            <w:textDirection w:val="lrTb"/>
            <w:noWrap w:val="false"/>
          </w:tcPr>
          <w:p>
            <w:pPr>
              <w:pStyle w:val="1005"/>
              <w:ind w:left="57" w:right="57"/>
            </w:pPr>
            <w:r/>
            <w:r/>
          </w:p>
        </w:tc>
        <w:tc>
          <w:tcPr>
            <w:shd w:val="clear" w:fill="auto" w:color="auto"/>
            <w:tcW w:w="1238" w:type="pct"/>
            <w:textDirection w:val="lrTb"/>
            <w:noWrap w:val="false"/>
          </w:tcPr>
          <w:p>
            <w:pPr>
              <w:pStyle w:val="1005"/>
              <w:ind w:left="57" w:right="57"/>
            </w:pPr>
            <w:r/>
            <w:r/>
          </w:p>
        </w:tc>
        <w:tc>
          <w:tcPr>
            <w:shd w:val="clear" w:fill="auto" w:color="auto"/>
            <w:tcW w:w="724" w:type="pct"/>
            <w:textDirection w:val="lrTb"/>
            <w:noWrap w:val="false"/>
          </w:tcPr>
          <w:p>
            <w:pPr>
              <w:pStyle w:val="1005"/>
              <w:ind w:left="57" w:right="57"/>
            </w:pPr>
            <w:r/>
            <w:r/>
          </w:p>
        </w:tc>
        <w:tc>
          <w:tcPr>
            <w:shd w:val="clear" w:fill="auto" w:color="auto"/>
            <w:tcW w:w="779" w:type="pct"/>
            <w:textDirection w:val="lrTb"/>
            <w:noWrap w:val="false"/>
          </w:tcPr>
          <w:p>
            <w:pPr>
              <w:pStyle w:val="1005"/>
              <w:ind w:left="57" w:right="57"/>
            </w:pPr>
            <w:r/>
            <w:r/>
          </w:p>
        </w:tc>
      </w:tr>
      <w:tr>
        <w:trPr>
          <w:trHeight w:val="308"/>
        </w:trPr>
        <w:tc>
          <w:tcPr>
            <w:shd w:val="clear" w:fill="auto" w:color="auto"/>
            <w:tcW w:w="1050" w:type="pct"/>
            <w:textDirection w:val="lrTb"/>
            <w:noWrap w:val="false"/>
          </w:tcPr>
          <w:p>
            <w:pPr>
              <w:pStyle w:val="1005"/>
              <w:ind w:left="57" w:right="57"/>
            </w:pPr>
            <w:r/>
            <w:r/>
          </w:p>
        </w:tc>
        <w:tc>
          <w:tcPr>
            <w:shd w:val="clear" w:fill="auto" w:color="auto"/>
            <w:tcW w:w="1209" w:type="pct"/>
            <w:textDirection w:val="lrTb"/>
            <w:noWrap w:val="false"/>
          </w:tcPr>
          <w:p>
            <w:pPr>
              <w:pStyle w:val="1005"/>
              <w:ind w:left="57" w:right="57"/>
            </w:pPr>
            <w:r/>
            <w:r/>
          </w:p>
        </w:tc>
        <w:tc>
          <w:tcPr>
            <w:shd w:val="clear" w:fill="auto" w:color="auto"/>
            <w:tcW w:w="1238" w:type="pct"/>
            <w:textDirection w:val="lrTb"/>
            <w:noWrap w:val="false"/>
          </w:tcPr>
          <w:p>
            <w:pPr>
              <w:pStyle w:val="1005"/>
              <w:ind w:left="57" w:right="57"/>
            </w:pPr>
            <w:r/>
            <w:r/>
          </w:p>
        </w:tc>
        <w:tc>
          <w:tcPr>
            <w:shd w:val="clear" w:fill="auto" w:color="auto"/>
            <w:tcW w:w="724" w:type="pct"/>
            <w:textDirection w:val="lrTb"/>
            <w:noWrap w:val="false"/>
          </w:tcPr>
          <w:p>
            <w:pPr>
              <w:pStyle w:val="1005"/>
              <w:ind w:left="57" w:right="57"/>
            </w:pPr>
            <w:r/>
            <w:r/>
          </w:p>
        </w:tc>
        <w:tc>
          <w:tcPr>
            <w:shd w:val="clear" w:fill="auto" w:color="auto"/>
            <w:tcW w:w="779" w:type="pct"/>
            <w:textDirection w:val="lrTb"/>
            <w:noWrap w:val="false"/>
          </w:tcPr>
          <w:p>
            <w:pPr>
              <w:pStyle w:val="1005"/>
              <w:ind w:left="57" w:right="57"/>
            </w:pPr>
            <w:r/>
            <w:r/>
          </w:p>
        </w:tc>
      </w:tr>
      <w:tr>
        <w:trPr>
          <w:trHeight w:val="308"/>
        </w:trPr>
        <w:tc>
          <w:tcPr>
            <w:shd w:val="clear" w:fill="auto" w:color="auto"/>
            <w:tcW w:w="1050" w:type="pct"/>
            <w:textDirection w:val="lrTb"/>
            <w:noWrap w:val="false"/>
          </w:tcPr>
          <w:p>
            <w:pPr>
              <w:pStyle w:val="1005"/>
              <w:ind w:left="57" w:right="57"/>
            </w:pPr>
            <w:r/>
            <w:r/>
          </w:p>
        </w:tc>
        <w:tc>
          <w:tcPr>
            <w:shd w:val="clear" w:fill="auto" w:color="auto"/>
            <w:tcW w:w="1209" w:type="pct"/>
            <w:textDirection w:val="lrTb"/>
            <w:noWrap w:val="false"/>
          </w:tcPr>
          <w:p>
            <w:pPr>
              <w:pStyle w:val="1005"/>
              <w:ind w:left="57" w:right="57"/>
            </w:pPr>
            <w:r/>
            <w:r/>
          </w:p>
        </w:tc>
        <w:tc>
          <w:tcPr>
            <w:shd w:val="clear" w:fill="auto" w:color="auto"/>
            <w:tcW w:w="1238" w:type="pct"/>
            <w:textDirection w:val="lrTb"/>
            <w:noWrap w:val="false"/>
          </w:tcPr>
          <w:p>
            <w:pPr>
              <w:pStyle w:val="1005"/>
              <w:ind w:left="57" w:right="57"/>
            </w:pPr>
            <w:r/>
            <w:r/>
          </w:p>
        </w:tc>
        <w:tc>
          <w:tcPr>
            <w:shd w:val="clear" w:fill="auto" w:color="auto"/>
            <w:tcW w:w="724" w:type="pct"/>
            <w:textDirection w:val="lrTb"/>
            <w:noWrap w:val="false"/>
          </w:tcPr>
          <w:p>
            <w:pPr>
              <w:pStyle w:val="1005"/>
              <w:ind w:left="57" w:right="57"/>
            </w:pPr>
            <w:r/>
            <w:r/>
          </w:p>
        </w:tc>
        <w:tc>
          <w:tcPr>
            <w:shd w:val="clear" w:fill="auto" w:color="auto"/>
            <w:tcW w:w="779" w:type="pct"/>
            <w:textDirection w:val="lrTb"/>
            <w:noWrap w:val="false"/>
          </w:tcPr>
          <w:p>
            <w:pPr>
              <w:pStyle w:val="1005"/>
              <w:ind w:left="57" w:right="57"/>
            </w:pPr>
            <w:r/>
            <w:r/>
          </w:p>
        </w:tc>
      </w:tr>
      <w:tr>
        <w:trPr>
          <w:trHeight w:val="308"/>
        </w:trPr>
        <w:tc>
          <w:tcPr>
            <w:shd w:val="clear" w:fill="auto" w:color="auto"/>
            <w:tcW w:w="1050" w:type="pct"/>
            <w:textDirection w:val="lrTb"/>
            <w:noWrap w:val="false"/>
          </w:tcPr>
          <w:p>
            <w:pPr>
              <w:pStyle w:val="1005"/>
              <w:ind w:left="57" w:right="57"/>
            </w:pPr>
            <w:r/>
            <w:r/>
          </w:p>
        </w:tc>
        <w:tc>
          <w:tcPr>
            <w:shd w:val="clear" w:fill="auto" w:color="auto"/>
            <w:tcW w:w="1209" w:type="pct"/>
            <w:textDirection w:val="lrTb"/>
            <w:noWrap w:val="false"/>
          </w:tcPr>
          <w:p>
            <w:pPr>
              <w:pStyle w:val="1005"/>
              <w:ind w:left="57" w:right="57"/>
            </w:pPr>
            <w:r/>
            <w:r/>
          </w:p>
        </w:tc>
        <w:tc>
          <w:tcPr>
            <w:shd w:val="clear" w:fill="auto" w:color="auto"/>
            <w:tcW w:w="1238" w:type="pct"/>
            <w:textDirection w:val="lrTb"/>
            <w:noWrap w:val="false"/>
          </w:tcPr>
          <w:p>
            <w:pPr>
              <w:pStyle w:val="1005"/>
              <w:ind w:left="57" w:right="57"/>
            </w:pPr>
            <w:r/>
            <w:r/>
          </w:p>
        </w:tc>
        <w:tc>
          <w:tcPr>
            <w:shd w:val="clear" w:fill="auto" w:color="auto"/>
            <w:tcW w:w="724" w:type="pct"/>
            <w:textDirection w:val="lrTb"/>
            <w:noWrap w:val="false"/>
          </w:tcPr>
          <w:p>
            <w:pPr>
              <w:pStyle w:val="1005"/>
              <w:ind w:left="57" w:right="57"/>
            </w:pPr>
            <w:r/>
            <w:r/>
          </w:p>
        </w:tc>
        <w:tc>
          <w:tcPr>
            <w:shd w:val="clear" w:fill="auto" w:color="auto"/>
            <w:tcW w:w="779" w:type="pct"/>
            <w:textDirection w:val="lrTb"/>
            <w:noWrap w:val="false"/>
          </w:tcPr>
          <w:p>
            <w:pPr>
              <w:pStyle w:val="1005"/>
              <w:ind w:left="57" w:right="57"/>
            </w:pPr>
            <w:r/>
            <w:r/>
          </w:p>
        </w:tc>
      </w:tr>
      <w:tr>
        <w:trPr>
          <w:trHeight w:val="308"/>
        </w:trPr>
        <w:tc>
          <w:tcPr>
            <w:shd w:val="clear" w:fill="auto" w:color="auto"/>
            <w:tcW w:w="1050" w:type="pct"/>
            <w:textDirection w:val="lrTb"/>
            <w:noWrap w:val="false"/>
          </w:tcPr>
          <w:p>
            <w:pPr>
              <w:pStyle w:val="1005"/>
              <w:ind w:left="57" w:right="57"/>
            </w:pPr>
            <w:r/>
            <w:r/>
          </w:p>
        </w:tc>
        <w:tc>
          <w:tcPr>
            <w:shd w:val="clear" w:fill="auto" w:color="auto"/>
            <w:tcW w:w="1209" w:type="pct"/>
            <w:textDirection w:val="lrTb"/>
            <w:noWrap w:val="false"/>
          </w:tcPr>
          <w:p>
            <w:pPr>
              <w:pStyle w:val="1005"/>
              <w:ind w:left="57" w:right="57"/>
            </w:pPr>
            <w:r/>
            <w:r/>
          </w:p>
        </w:tc>
        <w:tc>
          <w:tcPr>
            <w:shd w:val="clear" w:fill="auto" w:color="auto"/>
            <w:tcW w:w="1238" w:type="pct"/>
            <w:textDirection w:val="lrTb"/>
            <w:noWrap w:val="false"/>
          </w:tcPr>
          <w:p>
            <w:pPr>
              <w:pStyle w:val="1005"/>
              <w:ind w:left="57" w:right="57"/>
            </w:pPr>
            <w:r/>
            <w:r/>
          </w:p>
        </w:tc>
        <w:tc>
          <w:tcPr>
            <w:shd w:val="clear" w:fill="auto" w:color="auto"/>
            <w:tcW w:w="724" w:type="pct"/>
            <w:textDirection w:val="lrTb"/>
            <w:noWrap w:val="false"/>
          </w:tcPr>
          <w:p>
            <w:pPr>
              <w:pStyle w:val="1005"/>
              <w:ind w:left="57" w:right="57"/>
            </w:pPr>
            <w:r/>
            <w:r/>
          </w:p>
        </w:tc>
        <w:tc>
          <w:tcPr>
            <w:shd w:val="clear" w:fill="auto" w:color="auto"/>
            <w:tcW w:w="779" w:type="pct"/>
            <w:textDirection w:val="lrTb"/>
            <w:noWrap w:val="false"/>
          </w:tcPr>
          <w:p>
            <w:pPr>
              <w:pStyle w:val="1005"/>
              <w:ind w:left="57" w:right="57"/>
            </w:pPr>
            <w:r/>
            <w:r/>
          </w:p>
        </w:tc>
      </w:tr>
      <w:tr>
        <w:trPr>
          <w:trHeight w:val="308"/>
        </w:trPr>
        <w:tc>
          <w:tcPr>
            <w:shd w:val="clear" w:fill="auto" w:color="auto"/>
            <w:tcW w:w="1050" w:type="pct"/>
            <w:textDirection w:val="lrTb"/>
            <w:noWrap w:val="false"/>
          </w:tcPr>
          <w:p>
            <w:pPr>
              <w:pStyle w:val="1005"/>
              <w:ind w:left="57" w:right="57"/>
            </w:pPr>
            <w:r/>
            <w:r/>
          </w:p>
        </w:tc>
        <w:tc>
          <w:tcPr>
            <w:shd w:val="clear" w:fill="auto" w:color="auto"/>
            <w:tcW w:w="1209" w:type="pct"/>
            <w:textDirection w:val="lrTb"/>
            <w:noWrap w:val="false"/>
          </w:tcPr>
          <w:p>
            <w:pPr>
              <w:pStyle w:val="1005"/>
              <w:ind w:left="57" w:right="57"/>
            </w:pPr>
            <w:r/>
            <w:r/>
          </w:p>
        </w:tc>
        <w:tc>
          <w:tcPr>
            <w:shd w:val="clear" w:fill="auto" w:color="auto"/>
            <w:tcW w:w="1238" w:type="pct"/>
            <w:textDirection w:val="lrTb"/>
            <w:noWrap w:val="false"/>
          </w:tcPr>
          <w:p>
            <w:pPr>
              <w:pStyle w:val="1005"/>
              <w:ind w:left="57" w:right="57"/>
            </w:pPr>
            <w:r/>
            <w:r/>
          </w:p>
        </w:tc>
        <w:tc>
          <w:tcPr>
            <w:shd w:val="clear" w:fill="auto" w:color="auto"/>
            <w:tcW w:w="724" w:type="pct"/>
            <w:textDirection w:val="lrTb"/>
            <w:noWrap w:val="false"/>
          </w:tcPr>
          <w:p>
            <w:pPr>
              <w:pStyle w:val="1005"/>
              <w:ind w:left="57" w:right="57"/>
            </w:pPr>
            <w:r/>
            <w:r/>
          </w:p>
        </w:tc>
        <w:tc>
          <w:tcPr>
            <w:shd w:val="clear" w:fill="auto" w:color="auto"/>
            <w:tcW w:w="779" w:type="pct"/>
            <w:textDirection w:val="lrTb"/>
            <w:noWrap w:val="false"/>
          </w:tcPr>
          <w:p>
            <w:pPr>
              <w:pStyle w:val="1005"/>
              <w:ind w:left="57" w:right="57"/>
            </w:pPr>
            <w:r/>
            <w:r/>
          </w:p>
        </w:tc>
      </w:tr>
      <w:tr>
        <w:trPr>
          <w:trHeight w:val="308"/>
        </w:trPr>
        <w:tc>
          <w:tcPr>
            <w:shd w:val="clear" w:fill="auto" w:color="auto"/>
            <w:tcW w:w="1050" w:type="pct"/>
            <w:textDirection w:val="lrTb"/>
            <w:noWrap w:val="false"/>
          </w:tcPr>
          <w:p>
            <w:pPr>
              <w:pStyle w:val="1005"/>
              <w:ind w:left="57" w:right="57"/>
            </w:pPr>
            <w:r/>
            <w:r/>
          </w:p>
        </w:tc>
        <w:tc>
          <w:tcPr>
            <w:shd w:val="clear" w:fill="auto" w:color="auto"/>
            <w:tcW w:w="1209" w:type="pct"/>
            <w:textDirection w:val="lrTb"/>
            <w:noWrap w:val="false"/>
          </w:tcPr>
          <w:p>
            <w:pPr>
              <w:pStyle w:val="1005"/>
              <w:ind w:left="57" w:right="57"/>
            </w:pPr>
            <w:r/>
            <w:r/>
          </w:p>
        </w:tc>
        <w:tc>
          <w:tcPr>
            <w:shd w:val="clear" w:fill="auto" w:color="auto"/>
            <w:tcW w:w="1238" w:type="pct"/>
            <w:textDirection w:val="lrTb"/>
            <w:noWrap w:val="false"/>
          </w:tcPr>
          <w:p>
            <w:pPr>
              <w:pStyle w:val="1005"/>
              <w:ind w:left="57" w:right="57"/>
            </w:pPr>
            <w:r/>
            <w:r/>
          </w:p>
        </w:tc>
        <w:tc>
          <w:tcPr>
            <w:shd w:val="clear" w:fill="auto" w:color="auto"/>
            <w:tcW w:w="724" w:type="pct"/>
            <w:textDirection w:val="lrTb"/>
            <w:noWrap w:val="false"/>
          </w:tcPr>
          <w:p>
            <w:pPr>
              <w:pStyle w:val="1005"/>
              <w:ind w:left="57" w:right="57"/>
            </w:pPr>
            <w:r/>
            <w:r/>
          </w:p>
        </w:tc>
        <w:tc>
          <w:tcPr>
            <w:shd w:val="clear" w:fill="auto" w:color="auto"/>
            <w:tcW w:w="779" w:type="pct"/>
            <w:textDirection w:val="lrTb"/>
            <w:noWrap w:val="false"/>
          </w:tcPr>
          <w:p>
            <w:pPr>
              <w:pStyle w:val="1005"/>
              <w:ind w:left="57" w:right="57"/>
            </w:pPr>
            <w:r/>
            <w:r/>
          </w:p>
        </w:tc>
      </w:tr>
      <w:tr>
        <w:trPr>
          <w:trHeight w:val="308"/>
        </w:trPr>
        <w:tc>
          <w:tcPr>
            <w:shd w:val="clear" w:fill="auto" w:color="auto"/>
            <w:tcW w:w="1050" w:type="pct"/>
            <w:textDirection w:val="lrTb"/>
            <w:noWrap w:val="false"/>
          </w:tcPr>
          <w:p>
            <w:pPr>
              <w:pStyle w:val="1005"/>
              <w:ind w:left="57" w:right="57"/>
            </w:pPr>
            <w:r/>
            <w:r/>
          </w:p>
        </w:tc>
        <w:tc>
          <w:tcPr>
            <w:shd w:val="clear" w:fill="auto" w:color="auto"/>
            <w:tcW w:w="1209" w:type="pct"/>
            <w:textDirection w:val="lrTb"/>
            <w:noWrap w:val="false"/>
          </w:tcPr>
          <w:p>
            <w:pPr>
              <w:pStyle w:val="1005"/>
              <w:ind w:left="57" w:right="57"/>
            </w:pPr>
            <w:r/>
            <w:r/>
          </w:p>
        </w:tc>
        <w:tc>
          <w:tcPr>
            <w:shd w:val="clear" w:fill="auto" w:color="auto"/>
            <w:tcW w:w="1238" w:type="pct"/>
            <w:textDirection w:val="lrTb"/>
            <w:noWrap w:val="false"/>
          </w:tcPr>
          <w:p>
            <w:pPr>
              <w:pStyle w:val="1005"/>
              <w:ind w:left="57" w:right="57"/>
            </w:pPr>
            <w:r/>
            <w:r/>
          </w:p>
        </w:tc>
        <w:tc>
          <w:tcPr>
            <w:shd w:val="clear" w:fill="auto" w:color="auto"/>
            <w:tcW w:w="724" w:type="pct"/>
            <w:textDirection w:val="lrTb"/>
            <w:noWrap w:val="false"/>
          </w:tcPr>
          <w:p>
            <w:pPr>
              <w:pStyle w:val="1005"/>
              <w:ind w:left="57" w:right="57"/>
            </w:pPr>
            <w:r/>
            <w:r/>
          </w:p>
        </w:tc>
        <w:tc>
          <w:tcPr>
            <w:shd w:val="clear" w:fill="auto" w:color="auto"/>
            <w:tcW w:w="779" w:type="pct"/>
            <w:textDirection w:val="lrTb"/>
            <w:noWrap w:val="false"/>
          </w:tcPr>
          <w:p>
            <w:pPr>
              <w:pStyle w:val="1005"/>
              <w:ind w:left="57" w:right="57"/>
            </w:pPr>
            <w:r/>
            <w:r/>
          </w:p>
        </w:tc>
      </w:tr>
      <w:tr>
        <w:trPr>
          <w:trHeight w:val="308"/>
        </w:trPr>
        <w:tc>
          <w:tcPr>
            <w:shd w:val="clear" w:fill="auto" w:color="auto"/>
            <w:tcW w:w="1050" w:type="pct"/>
            <w:textDirection w:val="lrTb"/>
            <w:noWrap w:val="false"/>
          </w:tcPr>
          <w:p>
            <w:pPr>
              <w:pStyle w:val="1005"/>
              <w:ind w:left="57" w:right="57"/>
            </w:pPr>
            <w:r/>
            <w:r/>
          </w:p>
        </w:tc>
        <w:tc>
          <w:tcPr>
            <w:shd w:val="clear" w:fill="auto" w:color="auto"/>
            <w:tcW w:w="1209" w:type="pct"/>
            <w:textDirection w:val="lrTb"/>
            <w:noWrap w:val="false"/>
          </w:tcPr>
          <w:p>
            <w:pPr>
              <w:pStyle w:val="1005"/>
              <w:ind w:left="57" w:right="57"/>
            </w:pPr>
            <w:r/>
            <w:r/>
          </w:p>
        </w:tc>
        <w:tc>
          <w:tcPr>
            <w:shd w:val="clear" w:fill="auto" w:color="auto"/>
            <w:tcW w:w="1238" w:type="pct"/>
            <w:textDirection w:val="lrTb"/>
            <w:noWrap w:val="false"/>
          </w:tcPr>
          <w:p>
            <w:pPr>
              <w:pStyle w:val="1005"/>
              <w:ind w:left="57" w:right="57"/>
            </w:pPr>
            <w:r/>
            <w:r/>
          </w:p>
        </w:tc>
        <w:tc>
          <w:tcPr>
            <w:shd w:val="clear" w:fill="auto" w:color="auto"/>
            <w:tcW w:w="724" w:type="pct"/>
            <w:textDirection w:val="lrTb"/>
            <w:noWrap w:val="false"/>
          </w:tcPr>
          <w:p>
            <w:pPr>
              <w:pStyle w:val="1005"/>
              <w:ind w:left="57" w:right="57"/>
            </w:pPr>
            <w:r/>
            <w:r/>
          </w:p>
        </w:tc>
        <w:tc>
          <w:tcPr>
            <w:shd w:val="clear" w:fill="auto" w:color="auto"/>
            <w:tcW w:w="779" w:type="pct"/>
            <w:textDirection w:val="lrTb"/>
            <w:noWrap w:val="false"/>
          </w:tcPr>
          <w:p>
            <w:pPr>
              <w:pStyle w:val="1005"/>
              <w:ind w:left="57" w:right="57"/>
            </w:pPr>
            <w:r/>
            <w:r/>
          </w:p>
        </w:tc>
      </w:tr>
    </w:tbl>
    <w:p>
      <w:pPr>
        <w:pStyle w:val="994"/>
      </w:pPr>
      <w:r/>
      <w:r/>
    </w:p>
    <w:p>
      <w:pPr>
        <w:pStyle w:val="998"/>
      </w:pPr>
      <w:r/>
      <w:bookmarkStart w:id="2165" w:name="_Toc88819186"/>
      <w:r>
        <w:t xml:space="preserve">ЛИСТ РЕГИСТРАЦИИ ИЗМЕНЕНИЙ</w:t>
      </w:r>
      <w:bookmarkEnd w:id="2160"/>
      <w:r/>
      <w:bookmarkEnd w:id="2161"/>
      <w:r/>
      <w:bookmarkEnd w:id="2162"/>
      <w:r/>
      <w:bookmarkEnd w:id="2165"/>
      <w:r/>
      <w:r/>
    </w:p>
    <w:tbl>
      <w:tblPr>
        <w:tblW w:w="5000" w:type="pct"/>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CellMar>
          <w:left w:w="57" w:type="dxa"/>
          <w:right w:w="57" w:type="dxa"/>
        </w:tblCellMar>
        <w:tblLook w:val="01E0" w:firstRow="1" w:lastRow="1" w:firstColumn="1" w:lastColumn="1" w:noHBand="0" w:noVBand="0"/>
      </w:tblPr>
      <w:tblGrid>
        <w:gridCol w:w="804"/>
        <w:gridCol w:w="1238"/>
        <w:gridCol w:w="1984"/>
        <w:gridCol w:w="5726"/>
      </w:tblGrid>
      <w:tr>
        <w:trPr>
          <w:trHeight w:val="544"/>
          <w:tblHeader/>
        </w:trPr>
        <w:tc>
          <w:tcPr>
            <w:shd w:val="clear" w:fill="E6E6E6" w:color="auto"/>
            <w:tcBorders>
              <w:left w:val="single" w:sz="4" w:space="0" w:color="auto"/>
              <w:top w:val="single" w:sz="4" w:space="0" w:color="auto"/>
              <w:right w:val="single" w:sz="4" w:space="0" w:color="auto"/>
              <w:bottom w:val="single" w:sz="4" w:space="0" w:color="auto"/>
            </w:tcBorders>
            <w:tcW w:w="412" w:type="pct"/>
            <w:vAlign w:val="center"/>
            <w:textDirection w:val="lrTb"/>
            <w:noWrap w:val="false"/>
          </w:tcPr>
          <w:p>
            <w:pPr>
              <w:pStyle w:val="1006"/>
            </w:pPr>
            <w:r>
              <w:t xml:space="preserve">№ </w:t>
            </w:r>
            <w:r>
              <w:br/>
            </w:r>
            <w:r>
              <w:t xml:space="preserve">версии док-та</w:t>
            </w:r>
            <w:r/>
          </w:p>
        </w:tc>
        <w:tc>
          <w:tcPr>
            <w:shd w:val="clear" w:fill="E6E6E6" w:color="auto"/>
            <w:tcBorders>
              <w:left w:val="single" w:sz="4" w:space="0" w:color="auto"/>
              <w:top w:val="single" w:sz="4" w:space="0" w:color="auto"/>
              <w:right w:val="single" w:sz="4" w:space="0" w:color="auto"/>
              <w:bottom w:val="single" w:sz="4" w:space="0" w:color="auto"/>
            </w:tcBorders>
            <w:tcW w:w="635" w:type="pct"/>
            <w:vAlign w:val="center"/>
            <w:textDirection w:val="lrTb"/>
            <w:noWrap w:val="false"/>
          </w:tcPr>
          <w:p>
            <w:pPr>
              <w:pStyle w:val="1006"/>
            </w:pPr>
            <w:r>
              <w:t xml:space="preserve">Дата </w:t>
            </w:r>
            <w:r>
              <w:br/>
            </w:r>
            <w:r>
              <w:t xml:space="preserve">изменения</w:t>
            </w:r>
            <w:r/>
          </w:p>
        </w:tc>
        <w:tc>
          <w:tcPr>
            <w:shd w:val="clear" w:fill="E6E6E6" w:color="auto"/>
            <w:tcBorders>
              <w:left w:val="single" w:sz="4" w:space="0" w:color="auto"/>
              <w:top w:val="single" w:sz="4" w:space="0" w:color="auto"/>
              <w:right w:val="single" w:sz="4" w:space="0" w:color="auto"/>
              <w:bottom w:val="single" w:sz="4" w:space="0" w:color="auto"/>
            </w:tcBorders>
            <w:tcW w:w="1017" w:type="pct"/>
            <w:vAlign w:val="center"/>
            <w:textDirection w:val="lrTb"/>
            <w:noWrap w:val="false"/>
          </w:tcPr>
          <w:p>
            <w:pPr>
              <w:pStyle w:val="1006"/>
            </w:pPr>
            <w:r>
              <w:t xml:space="preserve">Автор </w:t>
            </w:r>
            <w:r>
              <w:br/>
            </w:r>
            <w:r>
              <w:t xml:space="preserve">изменений</w:t>
            </w:r>
            <w:r/>
          </w:p>
        </w:tc>
        <w:tc>
          <w:tcPr>
            <w:shd w:val="clear" w:fill="E6E6E6" w:color="auto"/>
            <w:tcBorders>
              <w:left w:val="single" w:sz="4" w:space="0" w:color="auto"/>
              <w:top w:val="single" w:sz="4" w:space="0" w:color="auto"/>
              <w:right w:val="single" w:sz="4" w:space="0" w:color="auto"/>
              <w:bottom w:val="single" w:sz="4" w:space="0" w:color="auto"/>
            </w:tcBorders>
            <w:tcW w:w="2936" w:type="pct"/>
            <w:vAlign w:val="center"/>
            <w:textDirection w:val="lrTb"/>
            <w:noWrap w:val="false"/>
          </w:tcPr>
          <w:p>
            <w:pPr>
              <w:pStyle w:val="1006"/>
            </w:pPr>
            <w:r>
              <w:t xml:space="preserve">Изменения</w:t>
            </w:r>
            <w:r/>
          </w:p>
        </w:tc>
      </w:tr>
      <w:tr>
        <w:trPr/>
        <w:tc>
          <w:tcPr>
            <w:shd w:val="clear" w:fill="auto" w:color="auto"/>
            <w:tcW w:w="412" w:type="pct"/>
            <w:textDirection w:val="lrTb"/>
            <w:noWrap w:val="false"/>
          </w:tcPr>
          <w:p>
            <w:pPr>
              <w:pStyle w:val="1005"/>
              <w:ind w:left="57" w:right="57"/>
            </w:pPr>
            <w:r>
              <w:t xml:space="preserve">1.0</w:t>
            </w:r>
            <w:r/>
          </w:p>
        </w:tc>
        <w:tc>
          <w:tcPr>
            <w:shd w:val="clear" w:fill="auto" w:color="auto"/>
            <w:tcW w:w="635" w:type="pct"/>
            <w:textDirection w:val="lrTb"/>
            <w:noWrap w:val="false"/>
          </w:tcPr>
          <w:p>
            <w:pPr>
              <w:pStyle w:val="1005"/>
              <w:ind w:left="57" w:right="57"/>
            </w:pPr>
            <w:r>
              <w:t xml:space="preserve">25.05.2009</w:t>
            </w:r>
            <w:r/>
          </w:p>
        </w:tc>
        <w:tc>
          <w:tcPr>
            <w:shd w:val="clear" w:fill="auto" w:color="auto"/>
            <w:tcW w:w="1017" w:type="pct"/>
            <w:textDirection w:val="lrTb"/>
            <w:noWrap w:val="false"/>
          </w:tcPr>
          <w:p>
            <w:pPr>
              <w:pStyle w:val="1005"/>
              <w:ind w:left="57" w:right="57"/>
            </w:pPr>
            <w:r>
              <w:t xml:space="preserve">Корнеенко А.</w:t>
            </w:r>
            <w:r>
              <w:t xml:space="preserve">С.</w:t>
            </w:r>
            <w:r/>
          </w:p>
        </w:tc>
        <w:tc>
          <w:tcPr>
            <w:shd w:val="clear" w:fill="auto" w:color="auto"/>
            <w:tcW w:w="2936" w:type="pct"/>
            <w:textDirection w:val="lrTb"/>
            <w:noWrap w:val="false"/>
          </w:tcPr>
          <w:p>
            <w:pPr>
              <w:pStyle w:val="1005"/>
              <w:ind w:left="57" w:right="57"/>
            </w:pPr>
            <w:r>
              <w:t xml:space="preserve">Начальная версия документа.</w:t>
            </w:r>
            <w:r/>
          </w:p>
        </w:tc>
      </w:tr>
      <w:tr>
        <w:trPr/>
        <w:tc>
          <w:tcPr>
            <w:shd w:val="clear" w:fill="auto" w:color="auto"/>
            <w:tcW w:w="412" w:type="pct"/>
            <w:textDirection w:val="lrTb"/>
            <w:noWrap w:val="false"/>
          </w:tcPr>
          <w:p>
            <w:pPr>
              <w:pStyle w:val="1005"/>
              <w:ind w:left="57" w:right="57"/>
            </w:pPr>
            <w:r>
              <w:t xml:space="preserve">1.1</w:t>
            </w:r>
            <w:r/>
          </w:p>
        </w:tc>
        <w:tc>
          <w:tcPr>
            <w:shd w:val="clear" w:fill="auto" w:color="auto"/>
            <w:tcW w:w="635" w:type="pct"/>
            <w:textDirection w:val="lrTb"/>
            <w:noWrap w:val="false"/>
          </w:tcPr>
          <w:p>
            <w:pPr>
              <w:pStyle w:val="1005"/>
              <w:ind w:left="57" w:right="57"/>
            </w:pPr>
            <w:r>
              <w:t xml:space="preserve">10.09.2009</w:t>
            </w:r>
            <w:r/>
          </w:p>
        </w:tc>
        <w:tc>
          <w:tcPr>
            <w:shd w:val="clear" w:fill="auto" w:color="auto"/>
            <w:tcW w:w="1017" w:type="pct"/>
            <w:textDirection w:val="lrTb"/>
            <w:noWrap w:val="false"/>
          </w:tcPr>
          <w:p>
            <w:pPr>
              <w:pStyle w:val="1005"/>
              <w:ind w:left="57" w:right="57"/>
            </w:pPr>
            <w:r>
              <w:t xml:space="preserve">Корнеенко А.С.</w:t>
            </w:r>
            <w:r/>
          </w:p>
        </w:tc>
        <w:tc>
          <w:tcPr>
            <w:shd w:val="clear" w:fill="auto" w:color="auto"/>
            <w:tcW w:w="2936" w:type="pct"/>
            <w:textDirection w:val="lrTb"/>
            <w:noWrap w:val="false"/>
          </w:tcPr>
          <w:p>
            <w:pPr>
              <w:pStyle w:val="1005"/>
              <w:ind w:left="57" w:right="57"/>
            </w:pPr>
            <w:r>
              <w:t xml:space="preserve">Документ переработан по замечаниям рецензента и замечаниям </w:t>
            </w:r>
            <w:r>
              <w:rPr>
                <w:lang w:val="en-US"/>
              </w:rPr>
              <w:t xml:space="preserve">IBS</w:t>
            </w:r>
            <w:r>
              <w:t xml:space="preserve"> от 09.09.2009.</w:t>
            </w:r>
            <w:r/>
          </w:p>
        </w:tc>
      </w:tr>
      <w:tr>
        <w:trPr/>
        <w:tc>
          <w:tcPr>
            <w:shd w:val="clear" w:fill="auto" w:color="auto"/>
            <w:tcW w:w="412" w:type="pct"/>
            <w:textDirection w:val="lrTb"/>
            <w:noWrap w:val="false"/>
          </w:tcPr>
          <w:p>
            <w:pPr>
              <w:pStyle w:val="1005"/>
              <w:ind w:left="57" w:right="57"/>
            </w:pPr>
            <w:r>
              <w:t xml:space="preserve">1.2</w:t>
            </w:r>
            <w:r/>
          </w:p>
        </w:tc>
        <w:tc>
          <w:tcPr>
            <w:shd w:val="clear" w:fill="auto" w:color="auto"/>
            <w:tcW w:w="635" w:type="pct"/>
            <w:textDirection w:val="lrTb"/>
            <w:noWrap w:val="false"/>
          </w:tcPr>
          <w:p>
            <w:pPr>
              <w:pStyle w:val="1005"/>
              <w:ind w:left="57" w:right="57"/>
            </w:pPr>
            <w:r>
              <w:t xml:space="preserve">0</w:t>
            </w:r>
            <w:r>
              <w:t xml:space="preserve">3.11.2009</w:t>
            </w:r>
            <w:r/>
          </w:p>
        </w:tc>
        <w:tc>
          <w:tcPr>
            <w:shd w:val="clear" w:fill="auto" w:color="auto"/>
            <w:tcW w:w="1017" w:type="pct"/>
            <w:textDirection w:val="lrTb"/>
            <w:noWrap w:val="false"/>
          </w:tcPr>
          <w:p>
            <w:pPr>
              <w:pStyle w:val="1005"/>
              <w:ind w:left="57" w:right="57"/>
            </w:pPr>
            <w:r>
              <w:t xml:space="preserve">Корнеенко А.С.</w:t>
            </w:r>
            <w:r/>
          </w:p>
        </w:tc>
        <w:tc>
          <w:tcPr>
            <w:shd w:val="clear" w:fill="auto" w:color="auto"/>
            <w:tcW w:w="2936" w:type="pct"/>
            <w:textDirection w:val="lrTb"/>
            <w:noWrap w:val="false"/>
          </w:tcPr>
          <w:p>
            <w:pPr>
              <w:pStyle w:val="1005"/>
              <w:ind w:left="57" w:right="57"/>
            </w:pPr>
            <w:r>
              <w:t xml:space="preserve">Внесены изменения по замечаниям </w:t>
            </w:r>
            <w:r>
              <w:rPr>
                <w:lang w:val="en-US"/>
              </w:rPr>
              <w:t xml:space="preserve">IBS</w:t>
            </w:r>
            <w:r>
              <w:t xml:space="preserve"> от 01.10.2009.</w:t>
            </w:r>
            <w:r/>
          </w:p>
        </w:tc>
      </w:tr>
      <w:tr>
        <w:trPr/>
        <w:tc>
          <w:tcPr>
            <w:shd w:val="clear" w:fill="auto" w:color="auto"/>
            <w:tcW w:w="412" w:type="pct"/>
            <w:textDirection w:val="lrTb"/>
            <w:noWrap w:val="false"/>
          </w:tcPr>
          <w:p>
            <w:pPr>
              <w:pStyle w:val="1005"/>
              <w:ind w:left="57" w:right="57"/>
            </w:pPr>
            <w:r>
              <w:t xml:space="preserve">1.3</w:t>
            </w:r>
            <w:r/>
          </w:p>
        </w:tc>
        <w:tc>
          <w:tcPr>
            <w:shd w:val="clear" w:fill="auto" w:color="auto"/>
            <w:tcW w:w="635" w:type="pct"/>
            <w:textDirection w:val="lrTb"/>
            <w:noWrap w:val="false"/>
          </w:tcPr>
          <w:p>
            <w:pPr>
              <w:pStyle w:val="1005"/>
              <w:ind w:left="57" w:right="57"/>
            </w:pPr>
            <w:r>
              <w:t xml:space="preserve">24.12.2009</w:t>
            </w:r>
            <w:r/>
          </w:p>
        </w:tc>
        <w:tc>
          <w:tcPr>
            <w:shd w:val="clear" w:fill="auto" w:color="auto"/>
            <w:tcW w:w="1017" w:type="pct"/>
            <w:textDirection w:val="lrTb"/>
            <w:noWrap w:val="false"/>
          </w:tcPr>
          <w:p>
            <w:pPr>
              <w:pStyle w:val="1005"/>
              <w:ind w:left="57" w:right="57"/>
            </w:pPr>
            <w:r>
              <w:t xml:space="preserve">Корнеенко А.С.</w:t>
            </w:r>
            <w:r/>
          </w:p>
        </w:tc>
        <w:tc>
          <w:tcPr>
            <w:shd w:val="clear" w:fill="auto" w:color="auto"/>
            <w:tcW w:w="2936" w:type="pct"/>
            <w:textDirection w:val="lrTb"/>
            <w:noWrap w:val="false"/>
          </w:tcPr>
          <w:p>
            <w:pPr>
              <w:pStyle w:val="1005"/>
              <w:ind w:left="57" w:right="57"/>
            </w:pPr>
            <w:r>
              <w:t xml:space="preserve">Внесены изменения в рамках единого шаблона, который разработан по итогам анализа подготовки к опытной эксплуатации и обучению пользователей работе с АРМ ОФК в г. Саратов.</w:t>
            </w:r>
            <w:r/>
          </w:p>
        </w:tc>
      </w:tr>
      <w:tr>
        <w:trPr/>
        <w:tc>
          <w:tcPr>
            <w:shd w:val="clear" w:fill="auto" w:color="auto"/>
            <w:tcW w:w="412" w:type="pct"/>
            <w:textDirection w:val="lrTb"/>
            <w:noWrap w:val="false"/>
          </w:tcPr>
          <w:p>
            <w:pPr>
              <w:pStyle w:val="1005"/>
              <w:ind w:left="57" w:right="57"/>
            </w:pPr>
            <w:r>
              <w:t xml:space="preserve">1.4</w:t>
            </w:r>
            <w:r/>
          </w:p>
        </w:tc>
        <w:tc>
          <w:tcPr>
            <w:shd w:val="clear" w:fill="auto" w:color="auto"/>
            <w:tcW w:w="635" w:type="pct"/>
            <w:textDirection w:val="lrTb"/>
            <w:noWrap w:val="false"/>
          </w:tcPr>
          <w:p>
            <w:pPr>
              <w:pStyle w:val="1005"/>
              <w:ind w:left="57" w:right="57"/>
            </w:pPr>
            <w:r>
              <w:t xml:space="preserve">17.02.2010</w:t>
            </w:r>
            <w:r/>
          </w:p>
        </w:tc>
        <w:tc>
          <w:tcPr>
            <w:shd w:val="clear" w:fill="auto" w:color="auto"/>
            <w:tcW w:w="1017" w:type="pct"/>
            <w:textDirection w:val="lrTb"/>
            <w:noWrap w:val="false"/>
          </w:tcPr>
          <w:p>
            <w:pPr>
              <w:pStyle w:val="1005"/>
              <w:ind w:left="57" w:right="57"/>
            </w:pPr>
            <w:r>
              <w:t xml:space="preserve">Корнеенко А.С.</w:t>
            </w:r>
            <w:r/>
          </w:p>
        </w:tc>
        <w:tc>
          <w:tcPr>
            <w:shd w:val="clear" w:fill="auto" w:color="auto"/>
            <w:tcW w:w="2936" w:type="pct"/>
            <w:textDirection w:val="lrTb"/>
            <w:noWrap w:val="false"/>
          </w:tcPr>
          <w:p>
            <w:pPr>
              <w:pStyle w:val="1005"/>
              <w:ind w:left="57" w:right="57"/>
            </w:pPr>
            <w:r>
              <w:t xml:space="preserve">Внесены изменения по замечаниям </w:t>
            </w:r>
            <w:r>
              <w:rPr>
                <w:lang w:val="en-US"/>
              </w:rPr>
              <w:t xml:space="preserve">IBS</w:t>
            </w:r>
            <w:r>
              <w:t xml:space="preserve">.</w:t>
            </w:r>
            <w:r/>
          </w:p>
        </w:tc>
      </w:tr>
      <w:tr>
        <w:trPr/>
        <w:tc>
          <w:tcPr>
            <w:shd w:val="clear" w:fill="auto" w:color="auto"/>
            <w:tcW w:w="412" w:type="pct"/>
            <w:textDirection w:val="lrTb"/>
            <w:noWrap w:val="false"/>
          </w:tcPr>
          <w:p>
            <w:pPr>
              <w:pStyle w:val="1005"/>
              <w:ind w:left="57" w:right="57"/>
            </w:pPr>
            <w:r>
              <w:t xml:space="preserve">1.5</w:t>
            </w:r>
            <w:r/>
          </w:p>
        </w:tc>
        <w:tc>
          <w:tcPr>
            <w:shd w:val="clear" w:fill="auto" w:color="auto"/>
            <w:tcW w:w="635" w:type="pct"/>
            <w:textDirection w:val="lrTb"/>
            <w:noWrap w:val="false"/>
          </w:tcPr>
          <w:p>
            <w:pPr>
              <w:pStyle w:val="1005"/>
              <w:ind w:left="57" w:right="57"/>
            </w:pPr>
            <w:r>
              <w:t xml:space="preserve">18.11.2010</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Добавлен п. </w:t>
            </w:r>
            <w:r>
              <w:fldChar w:fldCharType="begin"/>
            </w:r>
            <w:r>
              <w:instrText xml:space="preserve"> REF _Ref59717787 \r \h </w:instrText>
            </w:r>
            <w:r>
              <w:fldChar w:fldCharType="separate"/>
            </w:r>
            <w:r>
              <w:t xml:space="preserve">5.3.5</w:t>
            </w:r>
            <w:r>
              <w:fldChar w:fldCharType="end"/>
            </w:r>
            <w:r>
              <w:t xml:space="preserve"> </w:t>
            </w:r>
            <w:r>
              <w:t xml:space="preserve">по </w:t>
            </w:r>
            <w:r>
              <w:rPr>
                <w:lang w:val="en-US"/>
              </w:rPr>
              <w:t xml:space="preserve">SUFD</w:t>
            </w:r>
            <w:r>
              <w:t xml:space="preserve">-13404.</w:t>
            </w:r>
            <w:r/>
          </w:p>
        </w:tc>
      </w:tr>
      <w:tr>
        <w:trPr/>
        <w:tc>
          <w:tcPr>
            <w:shd w:val="clear" w:fill="auto" w:color="auto"/>
            <w:tcW w:w="412" w:type="pct"/>
            <w:textDirection w:val="lrTb"/>
            <w:noWrap w:val="false"/>
          </w:tcPr>
          <w:p>
            <w:pPr>
              <w:pStyle w:val="1005"/>
              <w:ind w:left="57" w:right="57"/>
            </w:pPr>
            <w:r>
              <w:t xml:space="preserve">1.6</w:t>
            </w:r>
            <w:r/>
          </w:p>
        </w:tc>
        <w:tc>
          <w:tcPr>
            <w:shd w:val="clear" w:fill="auto" w:color="auto"/>
            <w:tcW w:w="635" w:type="pct"/>
            <w:textDirection w:val="lrTb"/>
            <w:noWrap w:val="false"/>
          </w:tcPr>
          <w:p>
            <w:pPr>
              <w:pStyle w:val="1005"/>
              <w:ind w:left="57" w:right="57"/>
            </w:pPr>
            <w:r>
              <w:t xml:space="preserve">10.05.2011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Внесены изменения в п. </w:t>
            </w:r>
            <w:r>
              <w:fldChar w:fldCharType="begin"/>
            </w:r>
            <w:r>
              <w:instrText xml:space="preserve"> REF _Ref292816325 \r \h  \* MERGEFORMAT </w:instrText>
            </w:r>
            <w:r>
              <w:fldChar w:fldCharType="separate"/>
            </w:r>
            <w:r>
              <w:t xml:space="preserve">5.7.1</w:t>
            </w:r>
            <w:r>
              <w:fldChar w:fldCharType="end"/>
            </w:r>
            <w:r>
              <w:t xml:space="preserve"> по </w:t>
            </w:r>
            <w:hyperlink r:id="rId424" w:tooltip="https://www.asfk-support.ru/jira/browse/SUFD-21571" w:history="1">
              <w:r>
                <w:rPr>
                  <w:lang w:val="en-US"/>
                </w:rPr>
                <w:t xml:space="preserve">SUFD</w:t>
              </w:r>
              <w:r>
                <w:t xml:space="preserve">-21571</w:t>
              </w:r>
            </w:hyperlink>
            <w:r>
              <w:t xml:space="preserve"> (</w:t>
            </w:r>
            <w:hyperlink r:id="rId425" w:tooltip="https://www.asfk-support.ru/jira/browse/SUFD-22118" w:history="1">
              <w:r>
                <w:rPr>
                  <w:lang w:val="en-US"/>
                </w:rPr>
                <w:t xml:space="preserve">SUFD</w:t>
              </w:r>
              <w:r>
                <w:t xml:space="preserve">-22118</w:t>
              </w:r>
            </w:hyperlink>
            <w:r>
              <w:t xml:space="preserve">).</w:t>
            </w:r>
            <w:r/>
          </w:p>
        </w:tc>
      </w:tr>
      <w:tr>
        <w:trPr/>
        <w:tc>
          <w:tcPr>
            <w:shd w:val="clear" w:fill="auto" w:color="auto"/>
            <w:tcW w:w="412" w:type="pct"/>
            <w:textDirection w:val="lrTb"/>
            <w:noWrap w:val="false"/>
          </w:tcPr>
          <w:p>
            <w:pPr>
              <w:pStyle w:val="1005"/>
              <w:ind w:left="57" w:right="57"/>
            </w:pPr>
            <w:r>
              <w:t xml:space="preserve">1.7</w:t>
            </w:r>
            <w:r/>
          </w:p>
        </w:tc>
        <w:tc>
          <w:tcPr>
            <w:shd w:val="clear" w:fill="auto" w:color="auto"/>
            <w:tcW w:w="635" w:type="pct"/>
            <w:textDirection w:val="lrTb"/>
            <w:noWrap w:val="false"/>
          </w:tcPr>
          <w:p>
            <w:pPr>
              <w:pStyle w:val="1005"/>
              <w:ind w:left="57" w:right="57"/>
            </w:pPr>
            <w:r>
              <w:t xml:space="preserve">24.05.2011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Добавлен п. </w:t>
            </w:r>
            <w:r>
              <w:fldChar w:fldCharType="begin"/>
            </w:r>
            <w:r>
              <w:instrText xml:space="preserve"> REF _Ref294021825 \r \h  \* MERGEFORMAT </w:instrText>
            </w:r>
            <w:r>
              <w:fldChar w:fldCharType="separate"/>
            </w:r>
            <w:r>
              <w:t xml:space="preserve">5.16</w:t>
            </w:r>
            <w:r>
              <w:fldChar w:fldCharType="end"/>
            </w:r>
            <w:r>
              <w:t xml:space="preserve"> по </w:t>
            </w:r>
            <w:hyperlink r:id="rId426" w:tooltip="https://www.asfk-support.ru/jira/browse/SUFD-20932" w:history="1">
              <w:r>
                <w:rPr>
                  <w:lang w:val="en-US"/>
                </w:rPr>
                <w:t xml:space="preserve">SUFD</w:t>
              </w:r>
              <w:r>
                <w:t xml:space="preserve">-20932</w:t>
              </w:r>
            </w:hyperlink>
            <w:r>
              <w:t xml:space="preserve"> (</w:t>
            </w:r>
            <w:hyperlink r:id="rId427" w:tooltip="https://www.asfk-support.ru/jira/browse/SUFD-22392" w:history="1">
              <w:r>
                <w:rPr>
                  <w:lang w:val="en-US"/>
                </w:rPr>
                <w:t xml:space="preserve">SUFD</w:t>
              </w:r>
              <w:r>
                <w:t xml:space="preserve">-22392</w:t>
              </w:r>
            </w:hyperlink>
            <w:r>
              <w:t xml:space="preserve">).</w:t>
            </w:r>
            <w:r/>
          </w:p>
        </w:tc>
      </w:tr>
      <w:tr>
        <w:trPr/>
        <w:tc>
          <w:tcPr>
            <w:shd w:val="clear" w:fill="auto" w:color="auto"/>
            <w:tcW w:w="412" w:type="pct"/>
            <w:textDirection w:val="lrTb"/>
            <w:noWrap w:val="false"/>
          </w:tcPr>
          <w:p>
            <w:pPr>
              <w:pStyle w:val="1005"/>
              <w:ind w:left="57" w:right="57"/>
            </w:pPr>
            <w:r>
              <w:t xml:space="preserve">1.8</w:t>
            </w:r>
            <w:r/>
          </w:p>
        </w:tc>
        <w:tc>
          <w:tcPr>
            <w:shd w:val="clear" w:fill="auto" w:color="auto"/>
            <w:tcW w:w="635" w:type="pct"/>
            <w:textDirection w:val="lrTb"/>
            <w:noWrap w:val="false"/>
          </w:tcPr>
          <w:p>
            <w:pPr>
              <w:pStyle w:val="1005"/>
              <w:ind w:left="57" w:right="57"/>
            </w:pPr>
            <w:r>
              <w:t xml:space="preserve">25.05.2011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Внесены изменения в п. </w:t>
            </w:r>
            <w:r>
              <w:fldChar w:fldCharType="begin"/>
            </w:r>
            <w:r>
              <w:instrText xml:space="preserve"> REF _Ref294102481 \r \h  \* MERGEFORMAT </w:instrText>
            </w:r>
            <w:r>
              <w:fldChar w:fldCharType="separate"/>
            </w:r>
            <w:r>
              <w:t xml:space="preserve">5.3.1</w:t>
            </w:r>
            <w:r>
              <w:fldChar w:fldCharType="end"/>
            </w:r>
            <w:r>
              <w:t xml:space="preserve"> по </w:t>
            </w:r>
            <w:hyperlink r:id="rId428" w:tooltip="http://172.31.3.200/jira/browse/PROD-31662" w:history="1">
              <w:r>
                <w:rPr>
                  <w:lang w:val="en-US"/>
                </w:rPr>
                <w:t xml:space="preserve">PROD</w:t>
              </w:r>
              <w:r>
                <w:t xml:space="preserve">-31662</w:t>
              </w:r>
            </w:hyperlink>
            <w:r>
              <w:t xml:space="preserve"> (</w:t>
            </w:r>
            <w:hyperlink r:id="rId429" w:tooltip="http://172.31.3.200/jira/browse/SUFD-22871" w:history="1">
              <w:r>
                <w:rPr>
                  <w:lang w:val="en-US"/>
                </w:rPr>
                <w:t xml:space="preserve">SUFD</w:t>
              </w:r>
              <w:r>
                <w:t xml:space="preserve">-22871</w:t>
              </w:r>
            </w:hyperlink>
            <w:r>
              <w:t xml:space="preserve">).</w:t>
            </w:r>
            <w:r/>
          </w:p>
        </w:tc>
      </w:tr>
      <w:tr>
        <w:trPr/>
        <w:tc>
          <w:tcPr>
            <w:shd w:val="clear" w:fill="auto" w:color="auto"/>
            <w:tcW w:w="412" w:type="pct"/>
            <w:textDirection w:val="lrTb"/>
            <w:noWrap w:val="false"/>
          </w:tcPr>
          <w:p>
            <w:pPr>
              <w:pStyle w:val="1005"/>
              <w:ind w:left="57" w:right="57"/>
            </w:pPr>
            <w:r>
              <w:t xml:space="preserve">1.9</w:t>
            </w:r>
            <w:r/>
          </w:p>
        </w:tc>
        <w:tc>
          <w:tcPr>
            <w:shd w:val="clear" w:fill="auto" w:color="auto"/>
            <w:tcW w:w="635" w:type="pct"/>
            <w:textDirection w:val="lrTb"/>
            <w:noWrap w:val="false"/>
          </w:tcPr>
          <w:p>
            <w:pPr>
              <w:pStyle w:val="1005"/>
              <w:ind w:left="57" w:right="57"/>
            </w:pPr>
            <w:r>
              <w:t xml:space="preserve">30.05.2011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Внесены изменения в п. </w:t>
            </w:r>
            <w:r>
              <w:fldChar w:fldCharType="begin"/>
            </w:r>
            <w:r>
              <w:instrText xml:space="preserve"> REF _Ref294515523 \r \h  \* MERGEFORMAT </w:instrText>
            </w:r>
            <w:r>
              <w:fldChar w:fldCharType="separate"/>
            </w:r>
            <w:r>
              <w:t xml:space="preserve">5.16.1</w:t>
            </w:r>
            <w:r>
              <w:fldChar w:fldCharType="end"/>
            </w:r>
            <w:r>
              <w:t xml:space="preserve"> по </w:t>
            </w:r>
            <w:hyperlink r:id="rId430" w:tooltip="https://www.asfk-support.ru/jira/browse/SUFD-20932" w:history="1">
              <w:r>
                <w:rPr>
                  <w:lang w:val="en-US"/>
                </w:rPr>
                <w:t xml:space="preserve">SUFD</w:t>
              </w:r>
              <w:r>
                <w:t xml:space="preserve">-20932</w:t>
              </w:r>
            </w:hyperlink>
            <w:r>
              <w:t xml:space="preserve"> (</w:t>
            </w:r>
            <w:hyperlink r:id="rId431" w:tooltip="https://www.asfk-support.ru/jira/browse/SUFD-23015" w:history="1">
              <w:r>
                <w:rPr>
                  <w:lang w:val="en-US"/>
                </w:rPr>
                <w:t xml:space="preserve">SUFD</w:t>
              </w:r>
              <w:r>
                <w:t xml:space="preserve">-23015</w:t>
              </w:r>
            </w:hyperlink>
            <w:r>
              <w:t xml:space="preserve">).</w:t>
            </w:r>
            <w:r/>
          </w:p>
        </w:tc>
      </w:tr>
      <w:tr>
        <w:trPr/>
        <w:tc>
          <w:tcPr>
            <w:shd w:val="clear" w:fill="auto" w:color="auto"/>
            <w:tcW w:w="412" w:type="pct"/>
            <w:textDirection w:val="lrTb"/>
            <w:noWrap w:val="false"/>
          </w:tcPr>
          <w:p>
            <w:pPr>
              <w:pStyle w:val="1005"/>
              <w:ind w:left="57" w:right="57"/>
            </w:pPr>
            <w:r>
              <w:t xml:space="preserve">2.0</w:t>
            </w:r>
            <w:r/>
          </w:p>
        </w:tc>
        <w:tc>
          <w:tcPr>
            <w:shd w:val="clear" w:fill="auto" w:color="auto"/>
            <w:tcW w:w="635" w:type="pct"/>
            <w:textDirection w:val="lrTb"/>
            <w:noWrap w:val="false"/>
          </w:tcPr>
          <w:p>
            <w:pPr>
              <w:pStyle w:val="1005"/>
              <w:ind w:left="57" w:right="57"/>
            </w:pPr>
            <w:r>
              <w:t xml:space="preserve">07.06.2011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Внесены изменения в п. </w:t>
            </w:r>
            <w:r>
              <w:fldChar w:fldCharType="begin"/>
            </w:r>
            <w:r>
              <w:instrText xml:space="preserve"> REF _Ref482629405 \r \h </w:instrText>
            </w:r>
            <w:r>
              <w:fldChar w:fldCharType="separate"/>
            </w:r>
            <w:r>
              <w:t xml:space="preserve">5.1.7</w:t>
            </w:r>
            <w:r>
              <w:fldChar w:fldCharType="end"/>
            </w:r>
            <w:r>
              <w:t xml:space="preserve"> по </w:t>
            </w:r>
            <w:hyperlink r:id="rId432" w:tooltip="https://www.asfk-support.ru/jira/browse/PROD-33153" w:history="1">
              <w:r>
                <w:rPr>
                  <w:lang w:val="en-US"/>
                </w:rPr>
                <w:t xml:space="preserve">PROD</w:t>
              </w:r>
              <w:r>
                <w:t xml:space="preserve">-33153</w:t>
              </w:r>
            </w:hyperlink>
            <w:r>
              <w:t xml:space="preserve"> (</w:t>
            </w:r>
            <w:hyperlink r:id="rId433" w:tooltip="https://www.asfk-support.ru/jira/browse/SUFD-23423" w:history="1">
              <w:r>
                <w:rPr>
                  <w:lang w:val="en-US"/>
                </w:rPr>
                <w:t xml:space="preserve">SUFD</w:t>
              </w:r>
              <w:r>
                <w:t xml:space="preserve">-23423</w:t>
              </w:r>
            </w:hyperlink>
            <w:r>
              <w:t xml:space="preserve">).</w:t>
            </w:r>
            <w:r/>
          </w:p>
        </w:tc>
      </w:tr>
      <w:tr>
        <w:trPr/>
        <w:tc>
          <w:tcPr>
            <w:shd w:val="clear" w:fill="auto" w:color="auto"/>
            <w:tcW w:w="412" w:type="pct"/>
            <w:textDirection w:val="lrTb"/>
            <w:noWrap w:val="false"/>
          </w:tcPr>
          <w:p>
            <w:pPr>
              <w:pStyle w:val="1005"/>
              <w:ind w:left="57" w:right="57"/>
            </w:pPr>
            <w:r>
              <w:t xml:space="preserve">2.1</w:t>
            </w:r>
            <w:r/>
          </w:p>
        </w:tc>
        <w:tc>
          <w:tcPr>
            <w:shd w:val="clear" w:fill="auto" w:color="auto"/>
            <w:tcW w:w="635" w:type="pct"/>
            <w:textDirection w:val="lrTb"/>
            <w:noWrap w:val="false"/>
          </w:tcPr>
          <w:p>
            <w:pPr>
              <w:pStyle w:val="1005"/>
              <w:ind w:left="57" w:right="57"/>
            </w:pPr>
            <w:r>
              <w:t xml:space="preserve">09.06.2011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Внесены изменения в п.</w:t>
            </w:r>
            <w:r>
              <w:t xml:space="preserve"> </w:t>
            </w:r>
            <w:r>
              <w:fldChar w:fldCharType="begin"/>
            </w:r>
            <w:r>
              <w:instrText xml:space="preserve"> REF _Ref420330470 \r \h </w:instrText>
            </w:r>
            <w:r>
              <w:fldChar w:fldCharType="separate"/>
            </w:r>
            <w:r>
              <w:t xml:space="preserve">5.3.3</w:t>
            </w:r>
            <w:r>
              <w:fldChar w:fldCharType="end"/>
            </w:r>
            <w:r>
              <w:t xml:space="preserve"> </w:t>
            </w:r>
            <w:r>
              <w:t xml:space="preserve">по </w:t>
            </w:r>
            <w:hyperlink r:id="rId434" w:tooltip="https://www.asfk-support.ru/jira/browse/SUFD-17301" w:history="1">
              <w:r>
                <w:rPr>
                  <w:lang w:val="en-US"/>
                </w:rPr>
                <w:t xml:space="preserve">SUFD</w:t>
              </w:r>
              <w:r>
                <w:t xml:space="preserve">-17301</w:t>
              </w:r>
            </w:hyperlink>
            <w:r>
              <w:t xml:space="preserve"> (</w:t>
            </w:r>
            <w:hyperlink r:id="rId435" w:tooltip="https://www.asfk-support.ru/jira/browse/SUFD-23469" w:history="1">
              <w:r>
                <w:rPr>
                  <w:lang w:val="en-US"/>
                </w:rPr>
                <w:t xml:space="preserve">SUFD</w:t>
              </w:r>
              <w:r>
                <w:t xml:space="preserve">-23469</w:t>
              </w:r>
            </w:hyperlink>
            <w:r>
              <w:t xml:space="preserve">).</w:t>
            </w:r>
            <w:r/>
          </w:p>
        </w:tc>
      </w:tr>
      <w:tr>
        <w:trPr/>
        <w:tc>
          <w:tcPr>
            <w:shd w:val="clear" w:fill="auto" w:color="auto"/>
            <w:tcW w:w="412" w:type="pct"/>
            <w:textDirection w:val="lrTb"/>
            <w:noWrap w:val="false"/>
          </w:tcPr>
          <w:p>
            <w:pPr>
              <w:pStyle w:val="1005"/>
              <w:ind w:left="57" w:right="57"/>
            </w:pPr>
            <w:r>
              <w:t xml:space="preserve">2.2</w:t>
            </w:r>
            <w:r/>
          </w:p>
        </w:tc>
        <w:tc>
          <w:tcPr>
            <w:shd w:val="clear" w:fill="auto" w:color="auto"/>
            <w:tcW w:w="635" w:type="pct"/>
            <w:textDirection w:val="lrTb"/>
            <w:noWrap w:val="false"/>
          </w:tcPr>
          <w:p>
            <w:pPr>
              <w:pStyle w:val="1005"/>
              <w:ind w:left="57" w:right="57"/>
            </w:pPr>
            <w:r>
              <w:t xml:space="preserve">09.06.2011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Внесены изменения в п. </w:t>
            </w:r>
            <w:r>
              <w:fldChar w:fldCharType="begin"/>
            </w:r>
            <w:r>
              <w:instrText xml:space="preserve"> REF _Ref294102481 \r \h  \* MERGEFORMAT </w:instrText>
            </w:r>
            <w:r>
              <w:fldChar w:fldCharType="separate"/>
            </w:r>
            <w:r>
              <w:t xml:space="preserve">5.3.1</w:t>
            </w:r>
            <w:r>
              <w:fldChar w:fldCharType="end"/>
            </w:r>
            <w:r>
              <w:t xml:space="preserve"> по </w:t>
            </w:r>
            <w:hyperlink r:id="rId436" w:tooltip="https://www.asfk-support.ru/jira/browse/PROD-32973" w:history="1">
              <w:r>
                <w:rPr>
                  <w:lang w:val="en-US"/>
                </w:rPr>
                <w:t xml:space="preserve">PROD</w:t>
              </w:r>
              <w:r>
                <w:t xml:space="preserve">-32973</w:t>
              </w:r>
            </w:hyperlink>
            <w:r>
              <w:t xml:space="preserve"> (</w:t>
            </w:r>
            <w:hyperlink r:id="rId437" w:tooltip="https://www.asfk-support.ru/jira/browse/SUFD-23483" w:history="1">
              <w:r>
                <w:rPr>
                  <w:lang w:val="en-US"/>
                </w:rPr>
                <w:t xml:space="preserve">SUFD</w:t>
              </w:r>
              <w:r>
                <w:t xml:space="preserve">-23483</w:t>
              </w:r>
            </w:hyperlink>
            <w:r>
              <w:t xml:space="preserve">).</w:t>
            </w:r>
            <w:r/>
          </w:p>
        </w:tc>
      </w:tr>
      <w:tr>
        <w:trPr/>
        <w:tc>
          <w:tcPr>
            <w:shd w:val="clear" w:fill="auto" w:color="auto"/>
            <w:tcW w:w="412" w:type="pct"/>
            <w:textDirection w:val="lrTb"/>
            <w:noWrap w:val="false"/>
          </w:tcPr>
          <w:p>
            <w:pPr>
              <w:pStyle w:val="1005"/>
              <w:ind w:left="57" w:right="57"/>
            </w:pPr>
            <w:r>
              <w:t xml:space="preserve">2.3</w:t>
            </w:r>
            <w:r/>
          </w:p>
        </w:tc>
        <w:tc>
          <w:tcPr>
            <w:shd w:val="clear" w:fill="auto" w:color="auto"/>
            <w:tcW w:w="635" w:type="pct"/>
            <w:textDirection w:val="lrTb"/>
            <w:noWrap w:val="false"/>
          </w:tcPr>
          <w:p>
            <w:pPr>
              <w:pStyle w:val="1005"/>
              <w:ind w:left="57" w:right="57"/>
            </w:pPr>
            <w:r>
              <w:t xml:space="preserve">16.06.2011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Внесены изменения в п. </w:t>
            </w:r>
            <w:r>
              <w:fldChar w:fldCharType="begin"/>
            </w:r>
            <w:r>
              <w:instrText xml:space="preserve"> REF _Ref294515523 \r \h  \* MERGEFORMAT </w:instrText>
            </w:r>
            <w:r>
              <w:fldChar w:fldCharType="separate"/>
            </w:r>
            <w:r>
              <w:t xml:space="preserve">5.16.1</w:t>
            </w:r>
            <w:r>
              <w:fldChar w:fldCharType="end"/>
            </w:r>
            <w:r>
              <w:t xml:space="preserve"> по </w:t>
            </w:r>
            <w:hyperlink r:id="rId438" w:tooltip="https://www.asfk-support.ru/jira/browse/SUFD-20932" w:history="1">
              <w:r>
                <w:rPr>
                  <w:lang w:val="en-US"/>
                </w:rPr>
                <w:t xml:space="preserve">SUFD</w:t>
              </w:r>
              <w:r>
                <w:t xml:space="preserve">-20932</w:t>
              </w:r>
            </w:hyperlink>
            <w:r>
              <w:t xml:space="preserve"> (</w:t>
            </w:r>
            <w:hyperlink r:id="rId439" w:tooltip="https://www.asfk-support.ru/jira/browse/SUFD-23560" w:history="1">
              <w:r>
                <w:rPr>
                  <w:lang w:val="en-US"/>
                </w:rPr>
                <w:t xml:space="preserve">SUFD</w:t>
              </w:r>
              <w:r>
                <w:t xml:space="preserve">-23560</w:t>
              </w:r>
            </w:hyperlink>
            <w:r>
              <w:t xml:space="preserve">).</w:t>
            </w:r>
            <w:r/>
          </w:p>
        </w:tc>
      </w:tr>
      <w:tr>
        <w:trPr/>
        <w:tc>
          <w:tcPr>
            <w:shd w:val="clear" w:fill="auto" w:color="auto"/>
            <w:tcW w:w="412" w:type="pct"/>
            <w:textDirection w:val="lrTb"/>
            <w:noWrap w:val="false"/>
          </w:tcPr>
          <w:p>
            <w:pPr>
              <w:pStyle w:val="1005"/>
              <w:ind w:left="57" w:right="57"/>
            </w:pPr>
            <w:r>
              <w:t xml:space="preserve">2.4</w:t>
            </w:r>
            <w:r/>
          </w:p>
        </w:tc>
        <w:tc>
          <w:tcPr>
            <w:shd w:val="clear" w:fill="auto" w:color="auto"/>
            <w:tcW w:w="635" w:type="pct"/>
            <w:textDirection w:val="lrTb"/>
            <w:noWrap w:val="false"/>
          </w:tcPr>
          <w:p>
            <w:pPr>
              <w:pStyle w:val="1005"/>
              <w:ind w:left="57" w:right="57"/>
            </w:pPr>
            <w:r>
              <w:t xml:space="preserve">28.06.2011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Внесены изменения в п. </w:t>
            </w:r>
            <w:r>
              <w:fldChar w:fldCharType="begin"/>
            </w:r>
            <w:r>
              <w:instrText xml:space="preserve"> REF _Ref294102481 \r \h  \* MERGEFORMAT </w:instrText>
            </w:r>
            <w:r>
              <w:fldChar w:fldCharType="separate"/>
            </w:r>
            <w:r>
              <w:t xml:space="preserve">5.3.1</w:t>
            </w:r>
            <w:r>
              <w:fldChar w:fldCharType="end"/>
            </w:r>
            <w:r>
              <w:t xml:space="preserve"> по </w:t>
            </w:r>
            <w:hyperlink r:id="rId440" w:tooltip="https://www.asfk-support.ru/jira/browse/PROD-36580" w:history="1">
              <w:r>
                <w:rPr>
                  <w:lang w:val="en-US"/>
                </w:rPr>
                <w:t xml:space="preserve">PROD</w:t>
              </w:r>
              <w:r>
                <w:t xml:space="preserve">-36580</w:t>
              </w:r>
            </w:hyperlink>
            <w:r>
              <w:t xml:space="preserve">, </w:t>
            </w:r>
            <w:hyperlink r:id="rId441" w:tooltip="https://www.asfk-support.ru/jira/browse/PROD-35426" w:history="1">
              <w:r>
                <w:rPr>
                  <w:lang w:val="en-US"/>
                </w:rPr>
                <w:t xml:space="preserve">PROD</w:t>
              </w:r>
              <w:r>
                <w:t xml:space="preserve">-35426</w:t>
              </w:r>
            </w:hyperlink>
            <w:r>
              <w:t xml:space="preserve"> (</w:t>
            </w:r>
            <w:hyperlink r:id="rId442" w:tooltip="https://www.asfk-support.ru/jira/browse/SUFD-23936" w:history="1">
              <w:r>
                <w:rPr>
                  <w:lang w:val="en-US"/>
                </w:rPr>
                <w:t xml:space="preserve">SUFD</w:t>
              </w:r>
              <w:r>
                <w:t xml:space="preserve">-23936</w:t>
              </w:r>
            </w:hyperlink>
            <w:r>
              <w:t xml:space="preserve">).</w:t>
            </w:r>
            <w:r/>
          </w:p>
        </w:tc>
      </w:tr>
      <w:tr>
        <w:trPr/>
        <w:tc>
          <w:tcPr>
            <w:shd w:val="clear" w:fill="auto" w:color="auto"/>
            <w:tcW w:w="412" w:type="pct"/>
            <w:textDirection w:val="lrTb"/>
            <w:noWrap w:val="false"/>
          </w:tcPr>
          <w:p>
            <w:pPr>
              <w:pStyle w:val="1005"/>
              <w:ind w:left="57" w:right="57"/>
            </w:pPr>
            <w:r>
              <w:t xml:space="preserve">2.5</w:t>
            </w:r>
            <w:r/>
          </w:p>
        </w:tc>
        <w:tc>
          <w:tcPr>
            <w:shd w:val="clear" w:fill="auto" w:color="auto"/>
            <w:tcW w:w="635" w:type="pct"/>
            <w:textDirection w:val="lrTb"/>
            <w:noWrap w:val="false"/>
          </w:tcPr>
          <w:p>
            <w:pPr>
              <w:pStyle w:val="1005"/>
              <w:ind w:left="57" w:right="57"/>
            </w:pPr>
            <w:r>
              <w:t xml:space="preserve">04.07.2011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Внесены изменения в п. </w:t>
            </w:r>
            <w:r>
              <w:fldChar w:fldCharType="begin"/>
            </w:r>
            <w:r>
              <w:instrText xml:space="preserve"> REF _Ref294102481 \r \h  \* MERGEFORMAT </w:instrText>
            </w:r>
            <w:r>
              <w:fldChar w:fldCharType="separate"/>
            </w:r>
            <w:r>
              <w:t xml:space="preserve">5.3.1</w:t>
            </w:r>
            <w:r>
              <w:fldChar w:fldCharType="end"/>
            </w:r>
            <w:r>
              <w:t xml:space="preserve"> по </w:t>
            </w:r>
            <w:hyperlink r:id="rId443" w:tooltip="https://www.asfk-support.ru/jira/browse/PROD-34213" w:history="1">
              <w:r>
                <w:rPr>
                  <w:lang w:val="en-US"/>
                </w:rPr>
                <w:t xml:space="preserve">PROD</w:t>
              </w:r>
              <w:r>
                <w:t xml:space="preserve">-34213</w:t>
              </w:r>
            </w:hyperlink>
            <w:r>
              <w:t xml:space="preserve">, </w:t>
            </w:r>
            <w:hyperlink r:id="rId444" w:tooltip="https://www.asfk-support.ru/jira/browse/PROD-32990" w:history="1">
              <w:r>
                <w:rPr>
                  <w:lang w:val="en-US"/>
                </w:rPr>
                <w:t xml:space="preserve">PROD</w:t>
              </w:r>
              <w:r>
                <w:t xml:space="preserve">-32990</w:t>
              </w:r>
            </w:hyperlink>
            <w:r>
              <w:t xml:space="preserve"> (</w:t>
            </w:r>
            <w:hyperlink r:id="rId445" w:tooltip="https://www.asfk-support.ru/jira/browse/SUFD-24049" w:history="1">
              <w:r>
                <w:rPr>
                  <w:lang w:val="en-US"/>
                </w:rPr>
                <w:t xml:space="preserve">SUFD</w:t>
              </w:r>
              <w:r>
                <w:t xml:space="preserve">-24049</w:t>
              </w:r>
            </w:hyperlink>
            <w:r>
              <w:t xml:space="preserve">, </w:t>
            </w:r>
            <w:hyperlink r:id="rId446" w:tooltip="https://www.asfk-support.ru/jira/browse/SUFD-24048" w:history="1">
              <w:r>
                <w:rPr>
                  <w:lang w:val="en-US"/>
                </w:rPr>
                <w:t xml:space="preserve">SUFD</w:t>
              </w:r>
              <w:r>
                <w:t xml:space="preserve">-24048</w:t>
              </w:r>
            </w:hyperlink>
            <w:r>
              <w:t xml:space="preserve">).</w:t>
            </w:r>
            <w:r/>
          </w:p>
        </w:tc>
      </w:tr>
      <w:tr>
        <w:trPr/>
        <w:tc>
          <w:tcPr>
            <w:shd w:val="clear" w:fill="auto" w:color="auto"/>
            <w:tcW w:w="412" w:type="pct"/>
            <w:textDirection w:val="lrTb"/>
            <w:noWrap w:val="false"/>
          </w:tcPr>
          <w:p>
            <w:pPr>
              <w:pStyle w:val="1005"/>
              <w:ind w:left="57" w:right="57"/>
            </w:pPr>
            <w:r>
              <w:t xml:space="preserve">2.6</w:t>
            </w:r>
            <w:r/>
          </w:p>
        </w:tc>
        <w:tc>
          <w:tcPr>
            <w:shd w:val="clear" w:fill="auto" w:color="auto"/>
            <w:tcW w:w="635" w:type="pct"/>
            <w:textDirection w:val="lrTb"/>
            <w:noWrap w:val="false"/>
          </w:tcPr>
          <w:p>
            <w:pPr>
              <w:pStyle w:val="1005"/>
              <w:ind w:left="57" w:right="57"/>
            </w:pPr>
            <w:r>
              <w:t xml:space="preserve">07.07.2011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Внесены изменения в п. </w:t>
            </w:r>
            <w:r>
              <w:fldChar w:fldCharType="begin"/>
            </w:r>
            <w:r>
              <w:instrText xml:space="preserve"> REF _Ref365452935 \r \h  \* MERGEFORMAT </w:instrText>
            </w:r>
            <w:r>
              <w:fldChar w:fldCharType="separate"/>
            </w:r>
            <w:r>
              <w:t xml:space="preserve">5.1.3</w:t>
            </w:r>
            <w:r>
              <w:fldChar w:fldCharType="end"/>
            </w:r>
            <w:r>
              <w:t xml:space="preserve"> по </w:t>
            </w:r>
            <w:hyperlink r:id="rId447" w:tooltip="http://172.31.3.200/jira/browse/PROD-35875" w:history="1">
              <w:r>
                <w:rPr>
                  <w:lang w:val="en-US"/>
                </w:rPr>
                <w:t xml:space="preserve">PROD</w:t>
              </w:r>
              <w:r>
                <w:t xml:space="preserve">-35875</w:t>
              </w:r>
            </w:hyperlink>
            <w:r>
              <w:t xml:space="preserve"> (</w:t>
            </w:r>
            <w:hyperlink r:id="rId448" w:tooltip="http://172.31.3.200/jira/browse/SUFD-24188" w:history="1">
              <w:r>
                <w:rPr>
                  <w:lang w:val="en-US"/>
                </w:rPr>
                <w:t xml:space="preserve">SUFD</w:t>
              </w:r>
              <w:r>
                <w:t xml:space="preserve">-24188</w:t>
              </w:r>
            </w:hyperlink>
            <w:r>
              <w:t xml:space="preserve">).</w:t>
            </w:r>
            <w:r/>
          </w:p>
        </w:tc>
      </w:tr>
      <w:tr>
        <w:trPr/>
        <w:tc>
          <w:tcPr>
            <w:shd w:val="clear" w:fill="auto" w:color="auto"/>
            <w:tcW w:w="412" w:type="pct"/>
            <w:textDirection w:val="lrTb"/>
            <w:noWrap w:val="false"/>
          </w:tcPr>
          <w:p>
            <w:pPr>
              <w:pStyle w:val="1005"/>
              <w:ind w:left="57" w:right="57"/>
            </w:pPr>
            <w:r>
              <w:t xml:space="preserve">2.7</w:t>
            </w:r>
            <w:r/>
          </w:p>
        </w:tc>
        <w:tc>
          <w:tcPr>
            <w:shd w:val="clear" w:fill="auto" w:color="auto"/>
            <w:tcW w:w="635" w:type="pct"/>
            <w:textDirection w:val="lrTb"/>
            <w:noWrap w:val="false"/>
          </w:tcPr>
          <w:p>
            <w:pPr>
              <w:pStyle w:val="1005"/>
              <w:ind w:left="57" w:right="57"/>
            </w:pPr>
            <w:r>
              <w:t xml:space="preserve">25.07.2011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Внесены изменения в п. </w:t>
            </w:r>
            <w:r>
              <w:fldChar w:fldCharType="begin"/>
            </w:r>
            <w:r>
              <w:instrText xml:space="preserve"> REF _Ref299370510 \r \h  \* MERGEFORMAT </w:instrText>
            </w:r>
            <w:r>
              <w:fldChar w:fldCharType="separate"/>
            </w:r>
            <w:r>
              <w:t xml:space="preserve">5.13.1</w:t>
            </w:r>
            <w:r>
              <w:fldChar w:fldCharType="end"/>
            </w:r>
            <w:r>
              <w:t xml:space="preserve"> по </w:t>
            </w:r>
            <w:hyperlink r:id="rId449" w:tooltip="http://172.31.3.200/jira/browse/PROD-36456" w:history="1">
              <w:r>
                <w:rPr>
                  <w:lang w:val="en-US"/>
                </w:rPr>
                <w:t xml:space="preserve">PROD</w:t>
              </w:r>
              <w:r>
                <w:t xml:space="preserve">-36456</w:t>
              </w:r>
            </w:hyperlink>
            <w:r>
              <w:t xml:space="preserve"> (</w:t>
            </w:r>
            <w:hyperlink r:id="rId450" w:tooltip="http://172.31.3.200/jira/browse/SUFD-24756" w:history="1">
              <w:r>
                <w:rPr>
                  <w:lang w:val="en-US"/>
                </w:rPr>
                <w:t xml:space="preserve">SUFD</w:t>
              </w:r>
              <w:r>
                <w:t xml:space="preserve">-24756</w:t>
              </w:r>
            </w:hyperlink>
            <w:r>
              <w:t xml:space="preserve">).</w:t>
            </w:r>
            <w:r/>
          </w:p>
        </w:tc>
      </w:tr>
      <w:tr>
        <w:trPr/>
        <w:tc>
          <w:tcPr>
            <w:shd w:val="clear" w:fill="auto" w:color="auto"/>
            <w:tcW w:w="412" w:type="pct"/>
            <w:textDirection w:val="lrTb"/>
            <w:noWrap w:val="false"/>
          </w:tcPr>
          <w:p>
            <w:pPr>
              <w:pStyle w:val="1005"/>
              <w:ind w:left="57" w:right="57"/>
            </w:pPr>
            <w:r>
              <w:t xml:space="preserve">2.8</w:t>
            </w:r>
            <w:r/>
          </w:p>
        </w:tc>
        <w:tc>
          <w:tcPr>
            <w:shd w:val="clear" w:fill="auto" w:color="auto"/>
            <w:tcW w:w="635" w:type="pct"/>
            <w:textDirection w:val="lrTb"/>
            <w:noWrap w:val="false"/>
          </w:tcPr>
          <w:p>
            <w:pPr>
              <w:pStyle w:val="1005"/>
              <w:ind w:left="57" w:right="57"/>
            </w:pPr>
            <w:r>
              <w:t xml:space="preserve">25.07.2011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Внесены изменения в п. </w:t>
            </w:r>
            <w:r>
              <w:fldChar w:fldCharType="begin"/>
            </w:r>
            <w:r>
              <w:instrText xml:space="preserve"> REF _Ref299372953 \r \h  \* MERGEFORMAT </w:instrText>
            </w:r>
            <w:r>
              <w:fldChar w:fldCharType="separate"/>
            </w:r>
            <w:r>
              <w:t xml:space="preserve">5.7.1</w:t>
            </w:r>
            <w:r>
              <w:fldChar w:fldCharType="end"/>
            </w:r>
            <w:r>
              <w:t xml:space="preserve"> по </w:t>
            </w:r>
            <w:hyperlink r:id="rId451" w:tooltip="http://172.31.3.200/jira/browse/PROD-9000" w:history="1">
              <w:r>
                <w:rPr>
                  <w:lang w:val="en-US"/>
                </w:rPr>
                <w:t xml:space="preserve">PROD</w:t>
              </w:r>
              <w:r>
                <w:t xml:space="preserve">-9000</w:t>
              </w:r>
            </w:hyperlink>
            <w:r>
              <w:t xml:space="preserve"> (</w:t>
            </w:r>
            <w:hyperlink r:id="rId452" w:tooltip="http://172.31.3.200/jira/browse/SUFD-24766" w:history="1">
              <w:r>
                <w:rPr>
                  <w:lang w:val="en-US"/>
                </w:rPr>
                <w:t xml:space="preserve">SUFD</w:t>
              </w:r>
              <w:r>
                <w:t xml:space="preserve">-24766</w:t>
              </w:r>
            </w:hyperlink>
            <w:r>
              <w:t xml:space="preserve">).</w:t>
            </w:r>
            <w:r/>
          </w:p>
        </w:tc>
      </w:tr>
      <w:tr>
        <w:trPr/>
        <w:tc>
          <w:tcPr>
            <w:shd w:val="clear" w:fill="auto" w:color="auto"/>
            <w:tcW w:w="412" w:type="pct"/>
            <w:textDirection w:val="lrTb"/>
            <w:noWrap w:val="false"/>
          </w:tcPr>
          <w:p>
            <w:pPr>
              <w:pStyle w:val="1005"/>
              <w:ind w:left="57" w:right="57"/>
            </w:pPr>
            <w:r>
              <w:t xml:space="preserve">2.9</w:t>
            </w:r>
            <w:r/>
          </w:p>
        </w:tc>
        <w:tc>
          <w:tcPr>
            <w:shd w:val="clear" w:fill="auto" w:color="auto"/>
            <w:tcW w:w="635" w:type="pct"/>
            <w:textDirection w:val="lrTb"/>
            <w:noWrap w:val="false"/>
          </w:tcPr>
          <w:p>
            <w:pPr>
              <w:pStyle w:val="1005"/>
              <w:ind w:left="57" w:right="57"/>
            </w:pPr>
            <w:r>
              <w:t xml:space="preserve">02.08.2011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Внесены изменения в п. </w:t>
            </w:r>
            <w:r>
              <w:fldChar w:fldCharType="begin"/>
            </w:r>
            <w:r>
              <w:instrText xml:space="preserve"> REF _Ref294102481 \r \h  \* MERGEFORMAT </w:instrText>
            </w:r>
            <w:r>
              <w:fldChar w:fldCharType="separate"/>
            </w:r>
            <w:r>
              <w:t xml:space="preserve">5.3.1</w:t>
            </w:r>
            <w:r>
              <w:fldChar w:fldCharType="end"/>
            </w:r>
            <w:r>
              <w:t xml:space="preserve"> по </w:t>
            </w:r>
            <w:hyperlink r:id="rId453" w:tooltip="http://172.31.3.200/jira/browse/PROD-36763" w:history="1">
              <w:r>
                <w:rPr>
                  <w:lang w:val="en-US"/>
                </w:rPr>
                <w:t xml:space="preserve">PROD</w:t>
              </w:r>
              <w:r>
                <w:t xml:space="preserve">-36763</w:t>
              </w:r>
            </w:hyperlink>
            <w:r>
              <w:t xml:space="preserve"> (</w:t>
            </w:r>
            <w:hyperlink r:id="rId454" w:tooltip="http://172.31.3.200/jira/browse/SUFD-25065" w:history="1">
              <w:r>
                <w:rPr>
                  <w:lang w:val="en-US"/>
                </w:rPr>
                <w:t xml:space="preserve">SUFD</w:t>
              </w:r>
              <w:r>
                <w:t xml:space="preserve">-25065</w:t>
              </w:r>
            </w:hyperlink>
            <w:r>
              <w:t xml:space="preserve">).</w:t>
            </w:r>
            <w:r/>
          </w:p>
        </w:tc>
      </w:tr>
      <w:tr>
        <w:trPr/>
        <w:tc>
          <w:tcPr>
            <w:shd w:val="clear" w:fill="auto" w:color="auto"/>
            <w:tcW w:w="412" w:type="pct"/>
            <w:textDirection w:val="lrTb"/>
            <w:noWrap w:val="false"/>
          </w:tcPr>
          <w:p>
            <w:pPr>
              <w:pStyle w:val="1005"/>
              <w:ind w:left="57" w:right="57"/>
            </w:pPr>
            <w:r>
              <w:t xml:space="preserve">3.0</w:t>
            </w:r>
            <w:r/>
          </w:p>
        </w:tc>
        <w:tc>
          <w:tcPr>
            <w:shd w:val="clear" w:fill="auto" w:color="auto"/>
            <w:tcW w:w="635" w:type="pct"/>
            <w:textDirection w:val="lrTb"/>
            <w:noWrap w:val="false"/>
          </w:tcPr>
          <w:p>
            <w:pPr>
              <w:pStyle w:val="1005"/>
              <w:ind w:left="57" w:right="57"/>
            </w:pPr>
            <w:r>
              <w:t xml:space="preserve">25.08.2011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Внесены изменения в п. </w:t>
            </w:r>
            <w:r>
              <w:fldChar w:fldCharType="begin"/>
            </w:r>
            <w:r>
              <w:instrText xml:space="preserve"> REF _Ref299370510 \r \h  \* MERGEFORMAT </w:instrText>
            </w:r>
            <w:r>
              <w:fldChar w:fldCharType="separate"/>
            </w:r>
            <w:r>
              <w:t xml:space="preserve">5.13.1</w:t>
            </w:r>
            <w:r>
              <w:fldChar w:fldCharType="end"/>
            </w:r>
            <w:r>
              <w:t xml:space="preserve"> по </w:t>
            </w:r>
            <w:hyperlink r:id="rId455" w:tooltip="https://www.asfk-support.ru/jira/browse/SUFD-24890" w:history="1">
              <w:r>
                <w:rPr>
                  <w:lang w:val="en-US"/>
                </w:rPr>
                <w:t xml:space="preserve">SUFD</w:t>
              </w:r>
              <w:r>
                <w:t xml:space="preserve">-24890</w:t>
              </w:r>
            </w:hyperlink>
            <w:r>
              <w:t xml:space="preserve"> (</w:t>
            </w:r>
            <w:hyperlink r:id="rId456" w:tooltip="https://www.asfk-support.ru/jira/browse/SUFD-25307" w:history="1">
              <w:r>
                <w:rPr>
                  <w:lang w:val="en-US"/>
                </w:rPr>
                <w:t xml:space="preserve">SUFD</w:t>
              </w:r>
              <w:r>
                <w:t xml:space="preserve">-25307</w:t>
              </w:r>
            </w:hyperlink>
            <w:r>
              <w:t xml:space="preserve">).</w:t>
            </w:r>
            <w:r/>
          </w:p>
        </w:tc>
      </w:tr>
      <w:tr>
        <w:trPr>
          <w:trHeight w:val="402"/>
        </w:trPr>
        <w:tc>
          <w:tcPr>
            <w:shd w:val="clear" w:fill="auto" w:color="auto"/>
            <w:tcW w:w="412" w:type="pct"/>
            <w:textDirection w:val="lrTb"/>
            <w:noWrap w:val="false"/>
          </w:tcPr>
          <w:p>
            <w:pPr>
              <w:pStyle w:val="1005"/>
              <w:ind w:left="57" w:right="57"/>
            </w:pPr>
            <w:r>
              <w:t xml:space="preserve">3.1</w:t>
            </w:r>
            <w:r/>
          </w:p>
        </w:tc>
        <w:tc>
          <w:tcPr>
            <w:shd w:val="clear" w:fill="auto" w:color="auto"/>
            <w:tcW w:w="635" w:type="pct"/>
            <w:textDirection w:val="lrTb"/>
            <w:noWrap w:val="false"/>
          </w:tcPr>
          <w:p>
            <w:pPr>
              <w:pStyle w:val="1005"/>
              <w:ind w:left="57" w:right="57"/>
            </w:pPr>
            <w:r>
              <w:t xml:space="preserve">06.09.2011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Внесены изменения в п. </w:t>
            </w:r>
            <w:r>
              <w:fldChar w:fldCharType="begin"/>
            </w:r>
            <w:r>
              <w:instrText xml:space="preserve"> REF _Ref299370510 \r \h  \* MERGEFORMAT </w:instrText>
            </w:r>
            <w:r>
              <w:fldChar w:fldCharType="separate"/>
            </w:r>
            <w:r>
              <w:t xml:space="preserve">5.13.1</w:t>
            </w:r>
            <w:r>
              <w:fldChar w:fldCharType="end"/>
            </w:r>
            <w:r>
              <w:t xml:space="preserve"> по </w:t>
            </w:r>
            <w:hyperlink r:id="rId457" w:tooltip="https://www.asfk-support.ru/jira/browse/SUFD-16390" w:history="1">
              <w:r>
                <w:rPr>
                  <w:lang w:val="en-US"/>
                </w:rPr>
                <w:t xml:space="preserve">SUFD</w:t>
              </w:r>
              <w:r>
                <w:t xml:space="preserve">-16390</w:t>
              </w:r>
            </w:hyperlink>
            <w:r>
              <w:t xml:space="preserve"> (</w:t>
            </w:r>
            <w:hyperlink r:id="rId458" w:tooltip="https://www.asfk-support.ru/jira/browse/SUFD-26256" w:history="1">
              <w:r>
                <w:rPr>
                  <w:lang w:val="en-US"/>
                </w:rPr>
                <w:t xml:space="preserve">SUFD</w:t>
              </w:r>
              <w:r>
                <w:t xml:space="preserve">-26256</w:t>
              </w:r>
            </w:hyperlink>
            <w:r>
              <w:t xml:space="preserve">).</w:t>
            </w:r>
            <w:r/>
          </w:p>
          <w:p>
            <w:pPr>
              <w:pStyle w:val="1005"/>
              <w:ind w:left="57" w:right="57"/>
            </w:pPr>
            <w:r>
              <w:t xml:space="preserve">Внесены изменения в п. </w:t>
            </w:r>
            <w:r>
              <w:fldChar w:fldCharType="begin"/>
            </w:r>
            <w:r>
              <w:instrText xml:space="preserve"> REF _Ref303083532 \r \h  \* MERGEFORMAT </w:instrText>
            </w:r>
            <w:r>
              <w:fldChar w:fldCharType="separate"/>
            </w:r>
            <w:r>
              <w:t xml:space="preserve">5.7.2</w:t>
            </w:r>
            <w:r>
              <w:fldChar w:fldCharType="end"/>
            </w:r>
            <w:r>
              <w:t xml:space="preserve"> по </w:t>
            </w:r>
            <w:hyperlink r:id="rId459" w:tooltip="https://www.asfk-support.ru/jira/browse/PROD-34319" w:history="1">
              <w:r>
                <w:rPr>
                  <w:lang w:val="en-US"/>
                </w:rPr>
                <w:t xml:space="preserve">PROD</w:t>
              </w:r>
              <w:r>
                <w:t xml:space="preserve">-34319</w:t>
              </w:r>
            </w:hyperlink>
            <w:r>
              <w:t xml:space="preserve"> (</w:t>
            </w:r>
            <w:hyperlink r:id="rId460" w:tooltip="https://www.asfk-support.ru/jira/browse/SUFD-26270" w:history="1">
              <w:r>
                <w:rPr>
                  <w:lang w:val="en-US"/>
                </w:rPr>
                <w:t xml:space="preserve">SUFD</w:t>
              </w:r>
              <w:r>
                <w:t xml:space="preserve">-26270</w:t>
              </w:r>
            </w:hyperlink>
            <w:r>
              <w:t xml:space="preserve">).</w:t>
            </w:r>
            <w:r/>
          </w:p>
        </w:tc>
      </w:tr>
      <w:tr>
        <w:trPr>
          <w:trHeight w:val="77"/>
        </w:trPr>
        <w:tc>
          <w:tcPr>
            <w:shd w:val="clear" w:fill="auto" w:color="auto"/>
            <w:tcW w:w="412" w:type="pct"/>
            <w:textDirection w:val="lrTb"/>
            <w:noWrap w:val="false"/>
          </w:tcPr>
          <w:p>
            <w:pPr>
              <w:pStyle w:val="1005"/>
              <w:ind w:left="57" w:right="57"/>
            </w:pPr>
            <w:r>
              <w:t xml:space="preserve">3.2</w:t>
            </w:r>
            <w:r/>
          </w:p>
        </w:tc>
        <w:tc>
          <w:tcPr>
            <w:shd w:val="clear" w:fill="auto" w:color="auto"/>
            <w:tcW w:w="635" w:type="pct"/>
            <w:textDirection w:val="lrTb"/>
            <w:noWrap w:val="false"/>
          </w:tcPr>
          <w:p>
            <w:pPr>
              <w:pStyle w:val="1005"/>
              <w:ind w:left="57" w:right="57"/>
            </w:pPr>
            <w:r>
              <w:t xml:space="preserve">14.09.2011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Внесены изменения в п.</w:t>
            </w:r>
            <w:r>
              <w:t xml:space="preserve"> </w:t>
            </w:r>
            <w:r>
              <w:fldChar w:fldCharType="begin"/>
            </w:r>
            <w:r>
              <w:instrText xml:space="preserve"> REF _Ref404870225 \r \h </w:instrText>
            </w:r>
            <w:r>
              <w:fldChar w:fldCharType="separate"/>
            </w:r>
            <w:r>
              <w:t xml:space="preserve">5.3.4</w:t>
            </w:r>
            <w:r>
              <w:fldChar w:fldCharType="end"/>
            </w:r>
            <w:r>
              <w:t xml:space="preserve"> </w:t>
            </w:r>
            <w:r>
              <w:t xml:space="preserve">по </w:t>
            </w:r>
            <w:hyperlink r:id="rId461" w:tooltip="https://www.asfk-support.ru/jira/browse/PROD-43474" w:history="1">
              <w:r>
                <w:rPr>
                  <w:lang w:val="en-US"/>
                </w:rPr>
                <w:t xml:space="preserve">PROD</w:t>
              </w:r>
              <w:r>
                <w:t xml:space="preserve">-43474</w:t>
              </w:r>
            </w:hyperlink>
            <w:r>
              <w:t xml:space="preserve"> (</w:t>
            </w:r>
            <w:hyperlink r:id="rId462" w:tooltip="https://www.asfk-support.ru/jira/browse/SUFD-26504" w:history="1">
              <w:r>
                <w:rPr>
                  <w:lang w:val="en-US"/>
                </w:rPr>
                <w:t xml:space="preserve">SUFD</w:t>
              </w:r>
              <w:r>
                <w:t xml:space="preserve">-26504</w:t>
              </w:r>
            </w:hyperlink>
            <w:r>
              <w:t xml:space="preserve">).</w:t>
            </w:r>
            <w:r/>
          </w:p>
        </w:tc>
      </w:tr>
      <w:tr>
        <w:trPr>
          <w:trHeight w:val="295"/>
        </w:trPr>
        <w:tc>
          <w:tcPr>
            <w:shd w:val="clear" w:fill="auto" w:color="auto"/>
            <w:tcW w:w="412" w:type="pct"/>
            <w:textDirection w:val="lrTb"/>
            <w:noWrap w:val="false"/>
          </w:tcPr>
          <w:p>
            <w:pPr>
              <w:pStyle w:val="1005"/>
              <w:ind w:left="57" w:right="57"/>
            </w:pPr>
            <w:r>
              <w:t xml:space="preserve">3.3</w:t>
            </w:r>
            <w:r/>
          </w:p>
        </w:tc>
        <w:tc>
          <w:tcPr>
            <w:shd w:val="clear" w:fill="auto" w:color="auto"/>
            <w:tcW w:w="635" w:type="pct"/>
            <w:textDirection w:val="lrTb"/>
            <w:noWrap w:val="false"/>
          </w:tcPr>
          <w:p>
            <w:pPr>
              <w:pStyle w:val="1005"/>
              <w:ind w:left="57" w:right="57"/>
            </w:pPr>
            <w:r>
              <w:t xml:space="preserve">27.09.2011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Внесены изменения в п. </w:t>
            </w:r>
            <w:r>
              <w:fldChar w:fldCharType="begin"/>
            </w:r>
            <w:r>
              <w:instrText xml:space="preserve"> REF _Ref420330620 \r \h </w:instrText>
            </w:r>
            <w:r>
              <w:fldChar w:fldCharType="separate"/>
            </w:r>
            <w:r>
              <w:t xml:space="preserve">5.3.3</w:t>
            </w:r>
            <w:r>
              <w:fldChar w:fldCharType="end"/>
            </w:r>
            <w:r>
              <w:t xml:space="preserve"> </w:t>
            </w:r>
            <w:r>
              <w:t xml:space="preserve">по </w:t>
            </w:r>
            <w:hyperlink r:id="rId463" w:tooltip="https://172.31.3.200/jira/browse/SUFD-26671" w:history="1">
              <w:r>
                <w:rPr>
                  <w:lang w:val="en-US"/>
                </w:rPr>
                <w:t xml:space="preserve">SUFD</w:t>
              </w:r>
              <w:r>
                <w:t xml:space="preserve">-26671</w:t>
              </w:r>
            </w:hyperlink>
            <w:r>
              <w:t xml:space="preserve">, </w:t>
            </w:r>
            <w:hyperlink r:id="rId464" w:tooltip="https://www.asfk-support.ru/jira/browse/SUFD-20901" w:history="1">
              <w:r>
                <w:rPr>
                  <w:lang w:val="en-US"/>
                </w:rPr>
                <w:t xml:space="preserve">SUFD</w:t>
              </w:r>
              <w:r>
                <w:t xml:space="preserve">-20901</w:t>
              </w:r>
            </w:hyperlink>
            <w:r>
              <w:t xml:space="preserve"> (</w:t>
            </w:r>
            <w:hyperlink r:id="rId465" w:tooltip="https://172.31.3.200/jira/browse/SUFD-26751" w:history="1">
              <w:r>
                <w:rPr>
                  <w:lang w:val="en-US"/>
                </w:rPr>
                <w:t xml:space="preserve">SUFD</w:t>
              </w:r>
              <w:r>
                <w:t xml:space="preserve">-26751</w:t>
              </w:r>
            </w:hyperlink>
            <w:r>
              <w:t xml:space="preserve">).</w:t>
            </w:r>
            <w:r/>
          </w:p>
          <w:p>
            <w:pPr>
              <w:pStyle w:val="1005"/>
              <w:ind w:left="57" w:right="57"/>
            </w:pPr>
            <w:r>
              <w:t xml:space="preserve">Внесены изменения в п. </w:t>
            </w:r>
            <w:r>
              <w:fldChar w:fldCharType="begin"/>
            </w:r>
            <w:r>
              <w:instrText xml:space="preserve"> REF _Ref304908565 \r \h  \* MERGEFORMAT </w:instrText>
            </w:r>
            <w:r>
              <w:fldChar w:fldCharType="separate"/>
            </w:r>
            <w:r>
              <w:t xml:space="preserve">5.3.1</w:t>
            </w:r>
            <w:r>
              <w:fldChar w:fldCharType="end"/>
            </w:r>
            <w:r>
              <w:t xml:space="preserve"> по </w:t>
            </w:r>
            <w:hyperlink r:id="rId466" w:tooltip="https://172.31.3.200/jira/browse/SUFD-26677" w:history="1">
              <w:r>
                <w:rPr>
                  <w:lang w:val="en-US"/>
                </w:rPr>
                <w:t xml:space="preserve">SUFD</w:t>
              </w:r>
              <w:r>
                <w:t xml:space="preserve">-26677</w:t>
              </w:r>
            </w:hyperlink>
            <w:r>
              <w:t xml:space="preserve">, </w:t>
            </w:r>
            <w:hyperlink r:id="rId467" w:tooltip="https://www.asfk-support.ru/jira/browse/SUFD-20901" w:history="1">
              <w:r>
                <w:rPr>
                  <w:lang w:val="en-US"/>
                </w:rPr>
                <w:t xml:space="preserve">SUFD</w:t>
              </w:r>
              <w:r>
                <w:t xml:space="preserve">-20901</w:t>
              </w:r>
            </w:hyperlink>
            <w:r>
              <w:t xml:space="preserve"> (</w:t>
            </w:r>
            <w:hyperlink r:id="rId468" w:tooltip="https://172.31.3.200/jira/browse/SUFD-26724" w:history="1">
              <w:r>
                <w:rPr>
                  <w:lang w:val="en-US"/>
                </w:rPr>
                <w:t xml:space="preserve">SUFD</w:t>
              </w:r>
              <w:r>
                <w:t xml:space="preserve">-26724</w:t>
              </w:r>
            </w:hyperlink>
            <w:r>
              <w:t xml:space="preserve">).</w:t>
            </w:r>
            <w:r/>
          </w:p>
        </w:tc>
      </w:tr>
      <w:tr>
        <w:trPr/>
        <w:tc>
          <w:tcPr>
            <w:shd w:val="clear" w:fill="auto" w:color="auto"/>
            <w:tcW w:w="412" w:type="pct"/>
            <w:textDirection w:val="lrTb"/>
            <w:noWrap w:val="false"/>
          </w:tcPr>
          <w:p>
            <w:pPr>
              <w:pStyle w:val="1005"/>
              <w:ind w:left="57" w:right="57"/>
            </w:pPr>
            <w:r>
              <w:t xml:space="preserve">3.4</w:t>
            </w:r>
            <w:r/>
          </w:p>
        </w:tc>
        <w:tc>
          <w:tcPr>
            <w:shd w:val="clear" w:fill="auto" w:color="auto"/>
            <w:tcW w:w="635" w:type="pct"/>
            <w:textDirection w:val="lrTb"/>
            <w:noWrap w:val="false"/>
          </w:tcPr>
          <w:p>
            <w:pPr>
              <w:pStyle w:val="1005"/>
              <w:ind w:left="57" w:right="57"/>
            </w:pPr>
            <w:r>
              <w:t xml:space="preserve">11.10.2011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Внесены изменения в п. </w:t>
            </w:r>
            <w:r>
              <w:fldChar w:fldCharType="begin"/>
            </w:r>
            <w:r>
              <w:instrText xml:space="preserve"> REF _Ref306102668 \r \h  \* MERGEFORMAT </w:instrText>
            </w:r>
            <w:r>
              <w:fldChar w:fldCharType="separate"/>
            </w:r>
            <w:r>
              <w:t xml:space="preserve">5.1.1</w:t>
            </w:r>
            <w:r>
              <w:fldChar w:fldCharType="end"/>
            </w:r>
            <w:r>
              <w:t xml:space="preserve"> по </w:t>
            </w:r>
            <w:hyperlink r:id="rId469" w:tooltip="https://www.asfk-support.ru/jira/browse/SUFD-20901" w:history="1">
              <w:r>
                <w:rPr>
                  <w:lang w:val="en-US"/>
                </w:rPr>
                <w:t xml:space="preserve">SUFD</w:t>
              </w:r>
              <w:r>
                <w:t xml:space="preserve">-20901</w:t>
              </w:r>
            </w:hyperlink>
            <w:r>
              <w:t xml:space="preserve"> (</w:t>
            </w:r>
            <w:hyperlink r:id="rId470" w:tooltip="https://172.31.3.200/jira/browse/SUFD-26745" w:history="1">
              <w:r>
                <w:rPr>
                  <w:lang w:val="en-US"/>
                </w:rPr>
                <w:t xml:space="preserve">SUFD</w:t>
              </w:r>
              <w:r>
                <w:t xml:space="preserve">-26745</w:t>
              </w:r>
            </w:hyperlink>
            <w:r>
              <w:t xml:space="preserve">, </w:t>
            </w:r>
            <w:hyperlink r:id="rId471" w:tooltip="https://172.31.3.200/jira/browse/SUFD-26747" w:history="1">
              <w:r>
                <w:t xml:space="preserve">SUFD</w:t>
              </w:r>
              <w:r>
                <w:t xml:space="preserve">-26747</w:t>
              </w:r>
            </w:hyperlink>
            <w:r>
              <w:t xml:space="preserve">).</w:t>
            </w:r>
            <w:r/>
          </w:p>
        </w:tc>
      </w:tr>
      <w:tr>
        <w:trPr/>
        <w:tc>
          <w:tcPr>
            <w:shd w:val="clear" w:fill="auto" w:color="auto"/>
            <w:tcW w:w="412" w:type="pct"/>
            <w:textDirection w:val="lrTb"/>
            <w:noWrap w:val="false"/>
          </w:tcPr>
          <w:p>
            <w:pPr>
              <w:pStyle w:val="1005"/>
              <w:ind w:left="57" w:right="57"/>
            </w:pPr>
            <w:r>
              <w:t xml:space="preserve">3.5</w:t>
            </w:r>
            <w:r/>
          </w:p>
        </w:tc>
        <w:tc>
          <w:tcPr>
            <w:shd w:val="clear" w:fill="auto" w:color="auto"/>
            <w:tcW w:w="635" w:type="pct"/>
            <w:textDirection w:val="lrTb"/>
            <w:noWrap w:val="false"/>
          </w:tcPr>
          <w:p>
            <w:pPr>
              <w:pStyle w:val="1005"/>
              <w:ind w:left="57" w:right="57"/>
            </w:pPr>
            <w:r>
              <w:t xml:space="preserve">13.10.2011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Внесены изменения в п.</w:t>
            </w:r>
            <w:r>
              <w:t xml:space="preserve"> </w:t>
            </w:r>
            <w:r>
              <w:fldChar w:fldCharType="begin"/>
            </w:r>
            <w:r>
              <w:instrText xml:space="preserve"> REF _Ref59717896 \r \h </w:instrText>
            </w:r>
            <w:r>
              <w:fldChar w:fldCharType="separate"/>
            </w:r>
            <w:r>
              <w:t xml:space="preserve">5.4.1</w:t>
            </w:r>
            <w:r>
              <w:fldChar w:fldCharType="end"/>
            </w:r>
            <w:r>
              <w:t xml:space="preserve"> по </w:t>
            </w:r>
            <w:hyperlink r:id="rId472" w:tooltip="https://www.asfk-support.ru/jira/browse/SUFD-20901" w:history="1">
              <w:r>
                <w:rPr>
                  <w:lang w:val="en-US"/>
                </w:rPr>
                <w:t xml:space="preserve">SUFD</w:t>
              </w:r>
              <w:r>
                <w:t xml:space="preserve">-20901</w:t>
              </w:r>
            </w:hyperlink>
            <w:r>
              <w:t xml:space="preserve"> (</w:t>
            </w:r>
            <w:hyperlink r:id="rId473" w:tooltip="https://172.31.3.200/jira/browse/SUFD-26717" w:history="1">
              <w:r>
                <w:rPr>
                  <w:lang w:val="en-US"/>
                </w:rPr>
                <w:t xml:space="preserve">SUFD</w:t>
              </w:r>
              <w:r>
                <w:t xml:space="preserve">-26717</w:t>
              </w:r>
            </w:hyperlink>
            <w:r>
              <w:t xml:space="preserve">).</w:t>
            </w:r>
            <w:r/>
          </w:p>
        </w:tc>
      </w:tr>
      <w:tr>
        <w:trPr/>
        <w:tc>
          <w:tcPr>
            <w:shd w:val="clear" w:fill="auto" w:color="auto"/>
            <w:tcW w:w="412" w:type="pct"/>
            <w:textDirection w:val="lrTb"/>
            <w:noWrap w:val="false"/>
          </w:tcPr>
          <w:p>
            <w:pPr>
              <w:pStyle w:val="1005"/>
              <w:ind w:left="57" w:right="57"/>
            </w:pPr>
            <w:r>
              <w:t xml:space="preserve">3.6</w:t>
            </w:r>
            <w:r/>
          </w:p>
        </w:tc>
        <w:tc>
          <w:tcPr>
            <w:shd w:val="clear" w:fill="auto" w:color="auto"/>
            <w:tcW w:w="635" w:type="pct"/>
            <w:textDirection w:val="lrTb"/>
            <w:noWrap w:val="false"/>
          </w:tcPr>
          <w:p>
            <w:pPr>
              <w:pStyle w:val="1005"/>
              <w:ind w:left="57" w:right="57"/>
            </w:pPr>
            <w:r>
              <w:t xml:space="preserve">20.10.2011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Внесены изменения в п. </w:t>
            </w:r>
            <w:r>
              <w:fldChar w:fldCharType="begin"/>
            </w:r>
            <w:r>
              <w:instrText xml:space="preserve"> REF _Ref299370510 \r \h  \* MERGEFORMAT </w:instrText>
            </w:r>
            <w:r>
              <w:fldChar w:fldCharType="separate"/>
            </w:r>
            <w:r>
              <w:t xml:space="preserve">5.13.1</w:t>
            </w:r>
            <w:r>
              <w:fldChar w:fldCharType="end"/>
            </w:r>
            <w:r>
              <w:t xml:space="preserve"> по </w:t>
            </w:r>
            <w:hyperlink r:id="rId474" w:tooltip="http://172.31.3.200/jira/browse/PROD-46703" w:history="1">
              <w:r>
                <w:rPr>
                  <w:lang w:val="en-US"/>
                </w:rPr>
                <w:t xml:space="preserve">PROD</w:t>
              </w:r>
              <w:r>
                <w:t xml:space="preserve">-46703</w:t>
              </w:r>
            </w:hyperlink>
            <w:r>
              <w:t xml:space="preserve"> (</w:t>
            </w:r>
            <w:hyperlink r:id="rId475" w:tooltip="http://172.31.3.200/jira/browse/SUFD-27460" w:history="1">
              <w:r>
                <w:rPr>
                  <w:lang w:val="en-US"/>
                </w:rPr>
                <w:t xml:space="preserve">SUFD</w:t>
              </w:r>
              <w:r>
                <w:t xml:space="preserve">-27460</w:t>
              </w:r>
            </w:hyperlink>
            <w:r>
              <w:t xml:space="preserve">).</w:t>
            </w:r>
            <w:r/>
          </w:p>
        </w:tc>
      </w:tr>
      <w:tr>
        <w:trPr/>
        <w:tc>
          <w:tcPr>
            <w:shd w:val="clear" w:fill="auto" w:color="auto"/>
            <w:tcW w:w="412" w:type="pct"/>
            <w:textDirection w:val="lrTb"/>
            <w:noWrap w:val="false"/>
          </w:tcPr>
          <w:p>
            <w:pPr>
              <w:pStyle w:val="1005"/>
              <w:ind w:left="57" w:right="57"/>
            </w:pPr>
            <w:r>
              <w:t xml:space="preserve">3.7</w:t>
            </w:r>
            <w:r/>
          </w:p>
        </w:tc>
        <w:tc>
          <w:tcPr>
            <w:shd w:val="clear" w:fill="auto" w:color="auto"/>
            <w:tcW w:w="635" w:type="pct"/>
            <w:textDirection w:val="lrTb"/>
            <w:noWrap w:val="false"/>
          </w:tcPr>
          <w:p>
            <w:pPr>
              <w:pStyle w:val="1005"/>
              <w:ind w:left="57" w:right="57"/>
            </w:pPr>
            <w:r>
              <w:t xml:space="preserve">28.10.2011</w:t>
            </w:r>
            <w:r/>
          </w:p>
        </w:tc>
        <w:tc>
          <w:tcPr>
            <w:shd w:val="clear" w:fill="auto" w:color="auto"/>
            <w:tcW w:w="1017" w:type="pct"/>
            <w:textDirection w:val="lrTb"/>
            <w:noWrap w:val="false"/>
          </w:tcPr>
          <w:p>
            <w:pPr>
              <w:pStyle w:val="1005"/>
              <w:ind w:left="57" w:right="57"/>
            </w:pPr>
            <w:r>
              <w:t xml:space="preserve">Перетятько И.В.</w:t>
            </w:r>
            <w:r/>
          </w:p>
        </w:tc>
        <w:tc>
          <w:tcPr>
            <w:shd w:val="clear" w:fill="auto" w:color="auto"/>
            <w:tcW w:w="2936" w:type="pct"/>
            <w:textDirection w:val="lrTb"/>
            <w:noWrap w:val="false"/>
          </w:tcPr>
          <w:p>
            <w:pPr>
              <w:pStyle w:val="1005"/>
              <w:ind w:left="57" w:right="57"/>
            </w:pPr>
            <w:r>
              <w:t xml:space="preserve">Внесены изменения в п. </w:t>
            </w:r>
            <w:r>
              <w:fldChar w:fldCharType="begin"/>
            </w:r>
            <w:r>
              <w:instrText xml:space="preserve"> REF _Ref304908565 \r \h  \* MERGEFORMAT </w:instrText>
            </w:r>
            <w:r>
              <w:fldChar w:fldCharType="separate"/>
            </w:r>
            <w:r>
              <w:t xml:space="preserve">5.3.1</w:t>
            </w:r>
            <w:r>
              <w:fldChar w:fldCharType="end"/>
            </w:r>
            <w:r>
              <w:t xml:space="preserve"> по </w:t>
            </w:r>
            <w:hyperlink r:id="rId476" w:tooltip="http://172.31.3.200/jira/browse/PROD-49382" w:history="1">
              <w:r>
                <w:rPr>
                  <w:lang w:val="en-US"/>
                </w:rPr>
                <w:t xml:space="preserve">PROD</w:t>
              </w:r>
              <w:r>
                <w:t xml:space="preserve">-49382</w:t>
              </w:r>
            </w:hyperlink>
            <w:r>
              <w:t xml:space="preserve"> (</w:t>
            </w:r>
            <w:hyperlink r:id="rId477" w:tooltip="http://172.31.3.200/jira/browse/SUFD-27864" w:history="1">
              <w:r>
                <w:rPr>
                  <w:lang w:val="en-US"/>
                </w:rPr>
                <w:t xml:space="preserve">SUFD</w:t>
              </w:r>
              <w:r>
                <w:t xml:space="preserve">-27864</w:t>
              </w:r>
            </w:hyperlink>
            <w:r>
              <w:t xml:space="preserve">).</w:t>
            </w:r>
            <w:r/>
          </w:p>
        </w:tc>
      </w:tr>
      <w:tr>
        <w:trPr/>
        <w:tc>
          <w:tcPr>
            <w:shd w:val="clear" w:fill="auto" w:color="auto"/>
            <w:tcW w:w="412" w:type="pct"/>
            <w:textDirection w:val="lrTb"/>
            <w:noWrap w:val="false"/>
          </w:tcPr>
          <w:p>
            <w:pPr>
              <w:pStyle w:val="1005"/>
              <w:ind w:left="57" w:right="57"/>
            </w:pPr>
            <w:r>
              <w:t xml:space="preserve">3.8</w:t>
            </w:r>
            <w:r/>
          </w:p>
        </w:tc>
        <w:tc>
          <w:tcPr>
            <w:shd w:val="clear" w:fill="auto" w:color="auto"/>
            <w:tcW w:w="635" w:type="pct"/>
            <w:textDirection w:val="lrTb"/>
            <w:noWrap w:val="false"/>
          </w:tcPr>
          <w:p>
            <w:pPr>
              <w:pStyle w:val="1005"/>
              <w:ind w:left="57" w:right="57"/>
            </w:pPr>
            <w:r>
              <w:t xml:space="preserve">22.11.2011</w:t>
            </w:r>
            <w:r/>
          </w:p>
        </w:tc>
        <w:tc>
          <w:tcPr>
            <w:shd w:val="clear" w:fill="auto" w:color="auto"/>
            <w:tcW w:w="1017" w:type="pct"/>
            <w:textDirection w:val="lrTb"/>
            <w:noWrap w:val="false"/>
          </w:tcPr>
          <w:p>
            <w:pPr>
              <w:pStyle w:val="1005"/>
              <w:ind w:left="57" w:right="57"/>
            </w:pPr>
            <w:r>
              <w:t xml:space="preserve">Алексеев И.И.</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-27103, </w:t>
            </w:r>
            <w:r>
              <w:rPr>
                <w:lang w:val="en-US"/>
              </w:rPr>
              <w:t xml:space="preserve">SUFD</w:t>
            </w:r>
            <w:r>
              <w:t xml:space="preserve">-26799 (</w:t>
            </w:r>
            <w:r>
              <w:rPr>
                <w:lang w:val="en-US"/>
              </w:rPr>
              <w:t xml:space="preserve">SUFD</w:t>
            </w:r>
            <w:r>
              <w:t xml:space="preserve">-28771) добавлен п. </w:t>
            </w:r>
            <w:r>
              <w:fldChar w:fldCharType="begin"/>
            </w:r>
            <w:r>
              <w:instrText xml:space="preserve"> REF _Ref311541908 \r \h  \* MERGEFORMAT </w:instrText>
            </w:r>
            <w:r>
              <w:fldChar w:fldCharType="separate"/>
            </w:r>
            <w:r>
              <w:t xml:space="preserve">5.17.1</w:t>
            </w:r>
            <w:r>
              <w:fldChar w:fldCharType="end"/>
            </w:r>
            <w:r>
              <w:t xml:space="preserve">.</w:t>
            </w:r>
            <w:r/>
          </w:p>
          <w:p>
            <w:pPr>
              <w:pStyle w:val="1005"/>
              <w:ind w:left="57" w:right="57"/>
            </w:pPr>
            <w:r>
              <w:t xml:space="preserve">В соответствии с </w:t>
            </w:r>
            <w:r>
              <w:rPr>
                <w:lang w:val="en-US"/>
              </w:rPr>
              <w:t xml:space="preserve">SUFD</w:t>
            </w:r>
            <w:r>
              <w:t xml:space="preserve">-29506 (</w:t>
            </w:r>
            <w:r>
              <w:rPr>
                <w:lang w:val="en-US"/>
              </w:rPr>
              <w:t xml:space="preserve">SUFD</w:t>
            </w:r>
            <w:r>
              <w:t xml:space="preserve">-29573) актуализирован п. </w:t>
            </w:r>
            <w:r>
              <w:fldChar w:fldCharType="begin"/>
            </w:r>
            <w:r>
              <w:instrText xml:space="preserve"> REF _Ref311541908 \r \h  \* MERGEFORMAT </w:instrText>
            </w:r>
            <w:r>
              <w:fldChar w:fldCharType="separate"/>
            </w:r>
            <w:r>
              <w:t xml:space="preserve">5.17.1</w:t>
            </w:r>
            <w:r>
              <w:fldChar w:fldCharType="end"/>
            </w:r>
            <w:r>
              <w:t xml:space="preserve">.</w:t>
            </w:r>
            <w:r/>
          </w:p>
          <w:p>
            <w:pPr>
              <w:pStyle w:val="1005"/>
              <w:ind w:left="57" w:right="57"/>
            </w:pPr>
            <w:r>
              <w:t xml:space="preserve">В соответствии с </w:t>
            </w:r>
            <w:r>
              <w:rPr>
                <w:lang w:val="en-US"/>
              </w:rPr>
              <w:t xml:space="preserve">SUFD</w:t>
            </w:r>
            <w:r>
              <w:t xml:space="preserve">-29117 (</w:t>
            </w:r>
            <w:r>
              <w:rPr>
                <w:lang w:val="en-US"/>
              </w:rPr>
              <w:t xml:space="preserve">SUFD</w:t>
            </w:r>
            <w:r>
              <w:t xml:space="preserve">-29209) актуализирован п. </w:t>
            </w:r>
            <w:r>
              <w:fldChar w:fldCharType="begin"/>
            </w:r>
            <w:r>
              <w:instrText xml:space="preserve"> REF _Ref311734347 \r \h  \* MERGEFORMAT </w:instrText>
            </w:r>
            <w:r>
              <w:fldChar w:fldCharType="separate"/>
            </w:r>
            <w:r>
              <w:t xml:space="preserve">5.3.1</w:t>
            </w:r>
            <w:r>
              <w:fldChar w:fldCharType="end"/>
            </w:r>
            <w:r>
              <w:t xml:space="preserve">.</w:t>
            </w:r>
            <w:r/>
          </w:p>
          <w:p>
            <w:pPr>
              <w:pStyle w:val="1005"/>
              <w:ind w:left="57" w:right="57"/>
            </w:pPr>
            <w:r>
              <w:t xml:space="preserve">В соответствии с </w:t>
            </w:r>
            <w:r>
              <w:rPr>
                <w:lang w:val="en-US"/>
              </w:rPr>
              <w:t xml:space="preserve">SUFD</w:t>
            </w:r>
            <w:r>
              <w:t xml:space="preserve">-28695 (</w:t>
            </w:r>
            <w:r>
              <w:rPr>
                <w:lang w:val="en-US"/>
              </w:rPr>
              <w:t xml:space="preserve">SUFD</w:t>
            </w:r>
            <w:r>
              <w:t xml:space="preserve">-29426) актуализирован п. </w:t>
            </w:r>
            <w:r>
              <w:fldChar w:fldCharType="begin"/>
            </w:r>
            <w:r>
              <w:instrText xml:space="preserve"> REF _Ref311541908 \r \h  \* MERGEFORMAT </w:instrText>
            </w:r>
            <w:r>
              <w:fldChar w:fldCharType="separate"/>
            </w:r>
            <w:r>
              <w:t xml:space="preserve">5.17.1</w:t>
            </w:r>
            <w:r>
              <w:fldChar w:fldCharType="end"/>
            </w:r>
            <w:r>
              <w:t xml:space="preserve">.</w:t>
            </w:r>
            <w:r/>
          </w:p>
          <w:p>
            <w:pPr>
              <w:pStyle w:val="1005"/>
              <w:ind w:left="57" w:right="57"/>
            </w:pPr>
            <w:r/>
            <w:bookmarkStart w:id="2166" w:name="_Hlk315186697"/>
            <w:r>
              <w:t xml:space="preserve">В соответствии с </w:t>
            </w:r>
            <w:r>
              <w:rPr>
                <w:lang w:val="en-US"/>
              </w:rPr>
              <w:t xml:space="preserve">SUFD</w:t>
            </w:r>
            <w:r>
              <w:t xml:space="preserve">-29192 (</w:t>
            </w:r>
            <w:r>
              <w:rPr>
                <w:lang w:val="en-US"/>
              </w:rPr>
              <w:t xml:space="preserve">SUFD</w:t>
            </w:r>
            <w:r>
              <w:t xml:space="preserve">-29725) актуализирован п. </w:t>
            </w:r>
            <w:bookmarkEnd w:id="2166"/>
            <w:r>
              <w:fldChar w:fldCharType="begin"/>
            </w:r>
            <w:r>
              <w:instrText xml:space="preserve"> REF _Ref312252847 \r \h  \* MERGEFORMAT </w:instrText>
            </w:r>
            <w:r>
              <w:fldChar w:fldCharType="separate"/>
            </w:r>
            <w:r>
              <w:t xml:space="preserve">5.1.5</w:t>
            </w:r>
            <w:r>
              <w:fldChar w:fldCharType="end"/>
            </w:r>
            <w:r>
              <w:t xml:space="preserve">.</w:t>
            </w:r>
            <w:r/>
          </w:p>
        </w:tc>
      </w:tr>
      <w:tr>
        <w:trPr/>
        <w:tc>
          <w:tcPr>
            <w:shd w:val="clear" w:fill="auto" w:color="auto"/>
            <w:tcW w:w="412" w:type="pct"/>
            <w:textDirection w:val="lrTb"/>
            <w:noWrap w:val="false"/>
          </w:tcPr>
          <w:p>
            <w:pPr>
              <w:pStyle w:val="1005"/>
              <w:ind w:left="57" w:right="57"/>
            </w:pPr>
            <w:r>
              <w:t xml:space="preserve">3.9 </w:t>
            </w:r>
            <w:r/>
          </w:p>
        </w:tc>
        <w:tc>
          <w:tcPr>
            <w:shd w:val="clear" w:fill="auto" w:color="auto"/>
            <w:tcW w:w="635" w:type="pct"/>
            <w:textDirection w:val="lrTb"/>
            <w:noWrap w:val="false"/>
          </w:tcPr>
          <w:p>
            <w:pPr>
              <w:pStyle w:val="1005"/>
              <w:ind w:left="57" w:right="57"/>
            </w:pPr>
            <w:r>
              <w:t xml:space="preserve">26.12.2011</w:t>
            </w:r>
            <w:r/>
          </w:p>
        </w:tc>
        <w:tc>
          <w:tcPr>
            <w:shd w:val="clear" w:fill="auto" w:color="auto"/>
            <w:tcW w:w="1017" w:type="pct"/>
            <w:textDirection w:val="lrTb"/>
            <w:noWrap w:val="false"/>
          </w:tcPr>
          <w:p>
            <w:pPr>
              <w:pStyle w:val="1005"/>
              <w:ind w:left="57" w:right="57"/>
            </w:pPr>
            <w:r>
              <w:t xml:space="preserve">Алексеев И.И.</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-29474 (</w:t>
            </w:r>
            <w:r>
              <w:rPr>
                <w:lang w:val="en-US"/>
              </w:rPr>
              <w:t xml:space="preserve">SUFD</w:t>
            </w:r>
            <w:r>
              <w:t xml:space="preserve">-29802) актуализирован п. </w:t>
            </w:r>
            <w:r>
              <w:fldChar w:fldCharType="begin"/>
            </w:r>
            <w:r>
              <w:instrText xml:space="preserve"> REF _Ref312670290 \r \h  \* MERGEFORMAT </w:instrText>
            </w:r>
            <w:r>
              <w:fldChar w:fldCharType="separate"/>
            </w:r>
            <w:r>
              <w:t xml:space="preserve">5.1.5</w:t>
            </w:r>
            <w:r>
              <w:fldChar w:fldCharType="end"/>
            </w:r>
            <w:r>
              <w:t xml:space="preserve">.</w:t>
            </w:r>
            <w:r/>
          </w:p>
          <w:p>
            <w:pPr>
              <w:pStyle w:val="1005"/>
              <w:ind w:left="57" w:right="57"/>
            </w:pPr>
            <w:r>
              <w:t xml:space="preserve">В соответствии с </w:t>
            </w:r>
            <w:r>
              <w:rPr>
                <w:lang w:val="en-US"/>
              </w:rPr>
              <w:t xml:space="preserve">SUFD</w:t>
            </w:r>
            <w:r>
              <w:t xml:space="preserve">-29473 (</w:t>
            </w:r>
            <w:r>
              <w:rPr>
                <w:lang w:val="en-US"/>
              </w:rPr>
              <w:t xml:space="preserve">SUFD</w:t>
            </w:r>
            <w:r>
              <w:t xml:space="preserve">-29850) актуализирован п. </w:t>
            </w:r>
            <w:r>
              <w:fldChar w:fldCharType="begin"/>
            </w:r>
            <w:r>
              <w:instrText xml:space="preserve"> REF _Ref312675870 \r \h  \* MERGEFORMAT </w:instrText>
            </w:r>
            <w:r>
              <w:fldChar w:fldCharType="separate"/>
            </w:r>
            <w:r>
              <w:t xml:space="preserve">5.1.4</w:t>
            </w:r>
            <w:r>
              <w:fldChar w:fldCharType="end"/>
            </w:r>
            <w:r>
              <w:t xml:space="preserve">.</w:t>
            </w:r>
            <w:r/>
          </w:p>
          <w:p>
            <w:pPr>
              <w:pStyle w:val="1005"/>
              <w:ind w:left="57" w:right="57"/>
            </w:pPr>
            <w:r>
              <w:t xml:space="preserve">В соответствии с </w:t>
            </w:r>
            <w:r>
              <w:rPr>
                <w:lang w:val="en-US"/>
              </w:rPr>
              <w:t xml:space="preserve">SUFD</w:t>
            </w:r>
            <w:r>
              <w:t xml:space="preserve">-29230 (</w:t>
            </w:r>
            <w:r>
              <w:rPr>
                <w:lang w:val="en-US"/>
              </w:rPr>
              <w:t xml:space="preserve">SUFD</w:t>
            </w:r>
            <w:r>
              <w:t xml:space="preserve">-29901) актуализирован п. </w:t>
            </w:r>
            <w:r>
              <w:fldChar w:fldCharType="begin"/>
            </w:r>
            <w:r>
              <w:instrText xml:space="preserve"> REF _Ref312759191 \r \h  \* MERGEFORMAT </w:instrText>
            </w:r>
            <w:r>
              <w:fldChar w:fldCharType="separate"/>
            </w:r>
            <w:r>
              <w:t xml:space="preserve">5.1.1</w:t>
            </w:r>
            <w:r>
              <w:fldChar w:fldCharType="end"/>
            </w:r>
            <w:r>
              <w:t xml:space="preserve">.</w:t>
            </w:r>
            <w:r/>
          </w:p>
          <w:p>
            <w:pPr>
              <w:pStyle w:val="1005"/>
              <w:ind w:left="57" w:right="57"/>
            </w:pPr>
            <w:r>
              <w:t xml:space="preserve">В соответствии с </w:t>
            </w:r>
            <w:r>
              <w:rPr>
                <w:lang w:val="en-US"/>
              </w:rPr>
              <w:t xml:space="preserve">SUFD</w:t>
            </w:r>
            <w:r>
              <w:t xml:space="preserve">-28392 (</w:t>
            </w:r>
            <w:r>
              <w:rPr>
                <w:lang w:val="en-US"/>
              </w:rPr>
              <w:t xml:space="preserve">SUFD</w:t>
            </w:r>
            <w:r>
              <w:t xml:space="preserve">-29927) актуализирован п.</w:t>
            </w:r>
            <w:r>
              <w:t xml:space="preserve"> </w:t>
            </w:r>
            <w:r>
              <w:fldChar w:fldCharType="begin"/>
            </w:r>
            <w:r>
              <w:instrText xml:space="preserve"> REF _Ref420330662 \r \h </w:instrText>
            </w:r>
            <w:r>
              <w:fldChar w:fldCharType="separate"/>
            </w:r>
            <w:r>
              <w:t xml:space="preserve">5.3.3</w:t>
            </w:r>
            <w:r>
              <w:fldChar w:fldCharType="end"/>
            </w:r>
            <w:r>
              <w:t xml:space="preserve">.</w:t>
            </w:r>
            <w:r/>
          </w:p>
          <w:p>
            <w:pPr>
              <w:pStyle w:val="1005"/>
              <w:ind w:left="57" w:right="57"/>
            </w:pPr>
            <w:r>
              <w:t xml:space="preserve">В соответствии с </w:t>
            </w:r>
            <w:r>
              <w:rPr>
                <w:lang w:val="en-US"/>
              </w:rPr>
              <w:t xml:space="preserve">SUFD</w:t>
            </w:r>
            <w:r>
              <w:t xml:space="preserve">-29804 актуализирован п.</w:t>
            </w:r>
            <w:r>
              <w:fldChar w:fldCharType="begin"/>
            </w:r>
            <w:r>
              <w:instrText xml:space="preserve"> REF _Ref299370510 \r \h  \* MERGEFORMAT </w:instrText>
            </w:r>
            <w:r>
              <w:fldChar w:fldCharType="separate"/>
            </w:r>
            <w:r>
              <w:t xml:space="preserve">5.13.1</w:t>
            </w:r>
            <w:r>
              <w:fldChar w:fldCharType="end"/>
            </w:r>
            <w:r>
              <w:t xml:space="preserve">.</w:t>
            </w:r>
            <w:r/>
          </w:p>
          <w:p>
            <w:pPr>
              <w:pStyle w:val="1005"/>
              <w:ind w:left="57" w:right="57"/>
            </w:pPr>
            <w:r>
              <w:t xml:space="preserve">В соответствии с </w:t>
            </w:r>
            <w:r>
              <w:rPr>
                <w:lang w:val="en-US"/>
              </w:rPr>
              <w:t xml:space="preserve">SUFD</w:t>
            </w:r>
            <w:r>
              <w:t xml:space="preserve">-31129 (</w:t>
            </w:r>
            <w:r>
              <w:rPr>
                <w:lang w:val="en-US"/>
              </w:rPr>
              <w:t xml:space="preserve">SUFD</w:t>
            </w:r>
            <w:r>
              <w:t xml:space="preserve">-31289) актуализирован п. </w:t>
            </w:r>
            <w:r>
              <w:fldChar w:fldCharType="begin"/>
            </w:r>
            <w:r>
              <w:instrText xml:space="preserve"> REF _Ref315698097 \r \h  \* MERGEFORMAT </w:instrText>
            </w:r>
            <w:r>
              <w:fldChar w:fldCharType="separate"/>
            </w:r>
            <w:r>
              <w:t xml:space="preserve">5.1.10</w:t>
            </w:r>
            <w:r>
              <w:fldChar w:fldCharType="end"/>
            </w:r>
            <w:r>
              <w:t xml:space="preserve">.</w:t>
            </w:r>
            <w:r/>
          </w:p>
          <w:p>
            <w:pPr>
              <w:pStyle w:val="1005"/>
              <w:ind w:left="57" w:right="57"/>
            </w:pPr>
            <w:r>
              <w:t xml:space="preserve">В соответствии с </w:t>
            </w:r>
            <w:r>
              <w:rPr>
                <w:lang w:val="en-US"/>
              </w:rPr>
              <w:t xml:space="preserve">SUFD</w:t>
            </w:r>
            <w:r>
              <w:t xml:space="preserve">-25598 (</w:t>
            </w:r>
            <w:r>
              <w:rPr>
                <w:lang w:val="en-US"/>
              </w:rPr>
              <w:t xml:space="preserve">SUFD</w:t>
            </w:r>
            <w:r>
              <w:t xml:space="preserve">-32116) актуализирован п. </w:t>
            </w:r>
            <w:r>
              <w:fldChar w:fldCharType="begin"/>
            </w:r>
            <w:r>
              <w:instrText xml:space="preserve"> REF _Ref318366481 \r \h  \* MERGEFORMAT </w:instrText>
            </w:r>
            <w:r>
              <w:fldChar w:fldCharType="separate"/>
            </w:r>
            <w:r>
              <w:t xml:space="preserve">5.16.1</w:t>
            </w:r>
            <w:r>
              <w:fldChar w:fldCharType="end"/>
            </w:r>
            <w:r>
              <w:t xml:space="preserve">.</w:t>
            </w:r>
            <w:r/>
          </w:p>
          <w:p>
            <w:pPr>
              <w:pStyle w:val="1005"/>
              <w:ind w:left="57" w:right="57"/>
            </w:pPr>
            <w:r>
              <w:t xml:space="preserve">В соответствии с </w:t>
            </w:r>
            <w:r>
              <w:rPr>
                <w:lang w:val="en-US"/>
              </w:rPr>
              <w:t xml:space="preserve">SUFD</w:t>
            </w:r>
            <w:r>
              <w:t xml:space="preserve">-28393 (</w:t>
            </w:r>
            <w:r>
              <w:rPr>
                <w:lang w:val="en-US"/>
              </w:rPr>
              <w:t xml:space="preserve">SUFD</w:t>
            </w:r>
            <w:r>
              <w:t xml:space="preserve">-32467) актуализирован п. </w:t>
            </w:r>
            <w:r>
              <w:fldChar w:fldCharType="begin"/>
            </w:r>
            <w:r>
              <w:instrText xml:space="preserve"> REF _Ref311541908 \r \h  \* MERGEFORMAT </w:instrText>
            </w:r>
            <w:r>
              <w:fldChar w:fldCharType="separate"/>
            </w:r>
            <w:r>
              <w:t xml:space="preserve">5.17.1</w:t>
            </w:r>
            <w:r>
              <w:fldChar w:fldCharType="end"/>
            </w:r>
            <w:r>
              <w:t xml:space="preserve">.</w:t>
            </w:r>
            <w:r/>
          </w:p>
          <w:p>
            <w:pPr>
              <w:pStyle w:val="1005"/>
              <w:ind w:left="57" w:right="57"/>
            </w:pPr>
            <w:r>
              <w:t xml:space="preserve">В соответствии с </w:t>
            </w:r>
            <w:r>
              <w:rPr>
                <w:lang w:val="en-US"/>
              </w:rPr>
              <w:t xml:space="preserve">SUFD</w:t>
            </w:r>
            <w:r>
              <w:t xml:space="preserve">-23295 (</w:t>
            </w:r>
            <w:r>
              <w:rPr>
                <w:lang w:val="en-US"/>
              </w:rPr>
              <w:t xml:space="preserve">SUFD</w:t>
            </w:r>
            <w:r>
              <w:t xml:space="preserve">-32547) актуализирован п.</w:t>
            </w:r>
            <w:r>
              <w:fldChar w:fldCharType="begin"/>
            </w:r>
            <w:r>
              <w:instrText xml:space="preserve"> REF _Ref319569917 \r \h  \* MERGEFORMAT </w:instrText>
            </w:r>
            <w:r>
              <w:fldChar w:fldCharType="separate"/>
            </w:r>
            <w:r>
              <w:t xml:space="preserve">5.1.1</w:t>
            </w:r>
            <w:r>
              <w:fldChar w:fldCharType="end"/>
            </w:r>
            <w:r>
              <w:t xml:space="preserve">.</w:t>
            </w:r>
            <w:r/>
          </w:p>
        </w:tc>
      </w:tr>
      <w:tr>
        <w:trPr/>
        <w:tc>
          <w:tcPr>
            <w:shd w:val="clear" w:fill="auto" w:color="auto"/>
            <w:tcW w:w="412" w:type="pct"/>
            <w:textDirection w:val="lrTb"/>
            <w:noWrap w:val="false"/>
          </w:tcPr>
          <w:p>
            <w:pPr>
              <w:pStyle w:val="1005"/>
              <w:ind w:left="57" w:right="57"/>
            </w:pPr>
            <w:r>
              <w:t xml:space="preserve">4.0</w:t>
            </w:r>
            <w:r/>
          </w:p>
        </w:tc>
        <w:tc>
          <w:tcPr>
            <w:shd w:val="clear" w:fill="auto" w:color="auto"/>
            <w:tcW w:w="635" w:type="pct"/>
            <w:textDirection w:val="lrTb"/>
            <w:noWrap w:val="false"/>
          </w:tcPr>
          <w:p>
            <w:pPr>
              <w:pStyle w:val="1005"/>
              <w:ind w:left="57" w:right="57"/>
            </w:pPr>
            <w:r>
              <w:t xml:space="preserve">12.01.2012</w:t>
            </w:r>
            <w:r/>
          </w:p>
        </w:tc>
        <w:tc>
          <w:tcPr>
            <w:shd w:val="clear" w:fill="auto" w:color="auto"/>
            <w:tcW w:w="1017" w:type="pct"/>
            <w:textDirection w:val="lrTb"/>
            <w:noWrap w:val="false"/>
          </w:tcPr>
          <w:p>
            <w:pPr>
              <w:pStyle w:val="1005"/>
              <w:ind w:left="57" w:right="57"/>
            </w:pPr>
            <w:r>
              <w:t xml:space="preserve">Алексеев И.И.</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-18769 (</w:t>
            </w:r>
            <w:r>
              <w:rPr>
                <w:lang w:val="en-US"/>
              </w:rPr>
              <w:t xml:space="preserve">SUFD</w:t>
            </w:r>
            <w:r>
              <w:t xml:space="preserve">-28910) актуализирован п. </w:t>
            </w:r>
            <w:r>
              <w:fldChar w:fldCharType="begin"/>
            </w:r>
            <w:r>
              <w:instrText xml:space="preserve"> REF _Ref315434933 \r \h  \* MERGEFORMAT </w:instrText>
            </w:r>
            <w:r>
              <w:fldChar w:fldCharType="separate"/>
            </w:r>
            <w:r>
              <w:t xml:space="preserve">5.1.4</w:t>
            </w:r>
            <w:r>
              <w:fldChar w:fldCharType="end"/>
            </w:r>
            <w:r>
              <w:t xml:space="preserve">.</w:t>
            </w:r>
            <w:r/>
          </w:p>
          <w:p>
            <w:pPr>
              <w:pStyle w:val="1005"/>
              <w:ind w:left="57" w:right="57"/>
            </w:pPr>
            <w:r>
              <w:t xml:space="preserve">В соответствии с </w:t>
            </w:r>
            <w:r>
              <w:rPr>
                <w:lang w:val="en-US"/>
              </w:rPr>
              <w:t xml:space="preserve">SUFD</w:t>
            </w:r>
            <w:r>
              <w:t xml:space="preserve">-28085 (</w:t>
            </w:r>
            <w:r>
              <w:rPr>
                <w:lang w:val="en-US"/>
              </w:rPr>
              <w:t xml:space="preserve">SUFD</w:t>
            </w:r>
            <w:r>
              <w:t xml:space="preserve">-30444) актуализирован п.</w:t>
            </w:r>
            <w:r>
              <w:t xml:space="preserve"> </w:t>
            </w:r>
            <w:r>
              <w:fldChar w:fldCharType="begin"/>
            </w:r>
            <w:r>
              <w:instrText xml:space="preserve"> REF _Ref59717966 \r \h </w:instrText>
            </w:r>
            <w:r>
              <w:fldChar w:fldCharType="separate"/>
            </w:r>
            <w:r>
              <w:t xml:space="preserve">5.4.1</w:t>
            </w:r>
            <w:r>
              <w:fldChar w:fldCharType="end"/>
            </w:r>
            <w:r>
              <w:t xml:space="preserve">.</w:t>
            </w:r>
            <w:r/>
          </w:p>
          <w:p>
            <w:pPr>
              <w:pStyle w:val="1005"/>
              <w:ind w:left="57" w:right="57"/>
            </w:pPr>
            <w:r>
              <w:t xml:space="preserve">В соответствии с </w:t>
            </w:r>
            <w:r>
              <w:rPr>
                <w:lang w:val="en-US"/>
              </w:rPr>
              <w:t xml:space="preserve">SUFD</w:t>
            </w:r>
            <w:r>
              <w:t xml:space="preserve">-23273 (</w:t>
            </w:r>
            <w:r>
              <w:rPr>
                <w:lang w:val="en-US"/>
              </w:rPr>
              <w:t xml:space="preserve">SUFD</w:t>
            </w:r>
            <w:r>
              <w:t xml:space="preserve">-30443) актуализирован п.</w:t>
            </w:r>
            <w:r>
              <w:t xml:space="preserve"> </w:t>
            </w:r>
            <w:r>
              <w:fldChar w:fldCharType="begin"/>
            </w:r>
            <w:r>
              <w:instrText xml:space="preserve"> REF _Ref59717994 \r \h </w:instrText>
            </w:r>
            <w:r>
              <w:fldChar w:fldCharType="separate"/>
            </w:r>
            <w:r>
              <w:t xml:space="preserve">5.4.1</w:t>
            </w:r>
            <w:r>
              <w:fldChar w:fldCharType="end"/>
            </w:r>
            <w:r>
              <w:t xml:space="preserve">.</w:t>
            </w:r>
            <w:r/>
          </w:p>
          <w:p>
            <w:pPr>
              <w:pStyle w:val="1005"/>
              <w:ind w:left="57" w:right="57"/>
            </w:pPr>
            <w:r>
              <w:t xml:space="preserve">В соответствии с </w:t>
            </w:r>
            <w:r>
              <w:rPr>
                <w:lang w:val="en-US"/>
              </w:rPr>
              <w:t xml:space="preserve">SUFD</w:t>
            </w:r>
            <w:r>
              <w:t xml:space="preserve">-29606 (</w:t>
            </w:r>
            <w:r>
              <w:rPr>
                <w:lang w:val="en-US"/>
              </w:rPr>
              <w:t xml:space="preserve">SUFD</w:t>
            </w:r>
            <w:r>
              <w:t xml:space="preserve">-30133</w:t>
            </w:r>
            <w:r>
              <w:t xml:space="preserve">, </w:t>
            </w:r>
            <w:r>
              <w:t xml:space="preserve">SUFD</w:t>
            </w:r>
            <w:r>
              <w:t xml:space="preserve">-30821</w:t>
            </w:r>
            <w:r>
              <w:t xml:space="preserve">) актуализирован</w:t>
            </w:r>
            <w:r>
              <w:t xml:space="preserve">ы</w:t>
            </w:r>
            <w:r>
              <w:t xml:space="preserve"> </w:t>
            </w:r>
            <w:r>
              <w:t xml:space="preserve">п</w:t>
            </w:r>
            <w:r>
              <w:t xml:space="preserve">п.</w:t>
            </w:r>
            <w:r>
              <w:t xml:space="preserve"> </w:t>
            </w:r>
            <w:r>
              <w:fldChar w:fldCharType="begin"/>
            </w:r>
            <w:r>
              <w:instrText xml:space="preserve"> REF _Ref420330662 \r \h </w:instrText>
            </w:r>
            <w:r>
              <w:fldChar w:fldCharType="separate"/>
            </w:r>
            <w:r>
              <w:t xml:space="preserve">5.3.3</w:t>
            </w:r>
            <w:r>
              <w:fldChar w:fldCharType="end"/>
            </w:r>
            <w:r>
              <w:t xml:space="preserve">; </w:t>
            </w:r>
            <w:r>
              <w:fldChar w:fldCharType="begin"/>
            </w:r>
            <w:r>
              <w:instrText xml:space="preserve"> REF _Ref314182867 \r \h  \* MERGEFORMAT </w:instrText>
            </w:r>
            <w:r>
              <w:fldChar w:fldCharType="separate"/>
            </w:r>
            <w:r>
              <w:t xml:space="preserve">5.1.6</w:t>
            </w:r>
            <w:r>
              <w:fldChar w:fldCharType="end"/>
            </w:r>
            <w:r>
              <w:t xml:space="preserve">, </w:t>
            </w:r>
            <w:r>
              <w:fldChar w:fldCharType="begin"/>
            </w:r>
            <w:r>
              <w:instrText xml:space="preserve"> REF _Ref482629405 \r \h </w:instrText>
            </w:r>
            <w:r>
              <w:fldChar w:fldCharType="separate"/>
            </w:r>
            <w:r>
              <w:t xml:space="preserve">5.1.7</w:t>
            </w:r>
            <w:r>
              <w:fldChar w:fldCharType="end"/>
            </w:r>
            <w:r>
              <w:t xml:space="preserve">.</w:t>
            </w:r>
            <w:r/>
          </w:p>
          <w:p>
            <w:pPr>
              <w:pStyle w:val="1005"/>
              <w:ind w:left="57" w:right="57"/>
            </w:pPr>
            <w:r>
              <w:t xml:space="preserve">В соответствии с </w:t>
            </w:r>
            <w:r>
              <w:rPr>
                <w:lang w:val="en-US"/>
              </w:rPr>
              <w:t xml:space="preserve">SUFD</w:t>
            </w:r>
            <w:r>
              <w:t xml:space="preserve">-29999 (</w:t>
            </w:r>
            <w:r>
              <w:rPr>
                <w:lang w:val="en-US"/>
              </w:rPr>
              <w:t xml:space="preserve">SUFD</w:t>
            </w:r>
            <w:r>
              <w:t xml:space="preserve">-30521</w:t>
            </w:r>
            <w:r>
              <w:t xml:space="preserve">, </w:t>
            </w:r>
            <w:r>
              <w:t xml:space="preserve">SUFD</w:t>
            </w:r>
            <w:r>
              <w:t xml:space="preserve">-30948</w:t>
            </w:r>
            <w:r>
              <w:t xml:space="preserve">) актуализирован</w:t>
            </w:r>
            <w:r>
              <w:t xml:space="preserve">ы</w:t>
            </w:r>
            <w:r>
              <w:t xml:space="preserve"> </w:t>
            </w:r>
            <w:r>
              <w:t xml:space="preserve">п</w:t>
            </w:r>
            <w:r>
              <w:t xml:space="preserve">п. </w:t>
            </w:r>
            <w:r>
              <w:fldChar w:fldCharType="begin"/>
            </w:r>
            <w:r>
              <w:instrText xml:space="preserve"> REF _Ref314476250 \r \h  \* MERGEFORMAT </w:instrText>
            </w:r>
            <w:r>
              <w:fldChar w:fldCharType="separate"/>
            </w:r>
            <w:r>
              <w:t xml:space="preserve">5.3.1</w:t>
            </w:r>
            <w:r>
              <w:fldChar w:fldCharType="end"/>
            </w:r>
            <w:r>
              <w:t xml:space="preserve">, </w:t>
            </w:r>
            <w:r>
              <w:fldChar w:fldCharType="begin"/>
            </w:r>
            <w:r>
              <w:instrText xml:space="preserve"> REF _Ref314654032 \r \h  \* MERGEFORMAT </w:instrText>
            </w:r>
            <w:r>
              <w:fldChar w:fldCharType="separate"/>
            </w:r>
            <w:r>
              <w:t xml:space="preserve">5.1.4</w:t>
            </w:r>
            <w:r>
              <w:fldChar w:fldCharType="end"/>
            </w:r>
            <w:r>
              <w:t xml:space="preserve">.</w:t>
            </w:r>
            <w:r/>
          </w:p>
          <w:p>
            <w:pPr>
              <w:pStyle w:val="1005"/>
              <w:ind w:left="57" w:right="57"/>
            </w:pPr>
            <w:r>
              <w:t xml:space="preserve">В соответствии с </w:t>
            </w:r>
            <w:r>
              <w:rPr>
                <w:lang w:val="en-US"/>
              </w:rPr>
              <w:t xml:space="preserve">SUFD</w:t>
            </w:r>
            <w:r>
              <w:t xml:space="preserve">-28231 (</w:t>
            </w:r>
            <w:r>
              <w:rPr>
                <w:lang w:val="en-US"/>
              </w:rPr>
              <w:t xml:space="preserve">SUFD</w:t>
            </w:r>
            <w:r>
              <w:t xml:space="preserve">-30598) </w:t>
            </w:r>
            <w:r>
              <w:t xml:space="preserve">актуализирован</w:t>
            </w:r>
            <w:r>
              <w:t xml:space="preserve">ы</w:t>
            </w:r>
            <w:r>
              <w:t xml:space="preserve"> п</w:t>
            </w:r>
            <w:r>
              <w:t xml:space="preserve">п</w:t>
            </w:r>
            <w:r>
              <w:t xml:space="preserve">.</w:t>
            </w:r>
            <w:r>
              <w:t xml:space="preserve"> </w:t>
            </w:r>
            <w:r>
              <w:fldChar w:fldCharType="begin"/>
            </w:r>
            <w:r>
              <w:instrText xml:space="preserve"> REF _Ref420330774 \r \h </w:instrText>
            </w:r>
            <w:r>
              <w:fldChar w:fldCharType="separate"/>
            </w:r>
            <w:r>
              <w:t xml:space="preserve">5.1.13</w:t>
            </w:r>
            <w:r>
              <w:fldChar w:fldCharType="end"/>
            </w:r>
            <w:r>
              <w:t xml:space="preserve">, </w:t>
            </w:r>
            <w:r>
              <w:fldChar w:fldCharType="begin"/>
            </w:r>
            <w:r>
              <w:instrText xml:space="preserve"> REF _Ref357697219 \r \h </w:instrText>
            </w:r>
            <w:r>
              <w:fldChar w:fldCharType="separate"/>
            </w:r>
            <w:r>
              <w:t xml:space="preserve">5.1.14</w:t>
            </w:r>
            <w:r>
              <w:fldChar w:fldCharType="end"/>
            </w:r>
            <w:r>
              <w:t xml:space="preserve">.</w:t>
            </w:r>
            <w:r/>
          </w:p>
          <w:p>
            <w:pPr>
              <w:pStyle w:val="1005"/>
              <w:ind w:left="57" w:right="57"/>
            </w:pPr>
            <w:r>
              <w:t xml:space="preserve">В соответствии с </w:t>
            </w:r>
            <w:r>
              <w:rPr>
                <w:lang w:val="en-US"/>
              </w:rPr>
              <w:t xml:space="preserve">SUFD</w:t>
            </w:r>
            <w:r>
              <w:t xml:space="preserve">-29663 (</w:t>
            </w:r>
            <w:r>
              <w:rPr>
                <w:lang w:val="en-US"/>
              </w:rPr>
              <w:t xml:space="preserve">SUFD</w:t>
            </w:r>
            <w:r>
              <w:t xml:space="preserve">-30737</w:t>
            </w:r>
            <w:r>
              <w:t xml:space="preserve">, </w:t>
            </w:r>
            <w:r>
              <w:t xml:space="preserve">SUFD</w:t>
            </w:r>
            <w:r>
              <w:t xml:space="preserve">-30975</w:t>
            </w:r>
            <w:r>
              <w:t xml:space="preserve">) актуализирован</w:t>
            </w:r>
            <w:r>
              <w:t xml:space="preserve">ы</w:t>
            </w:r>
            <w:r>
              <w:t xml:space="preserve"> </w:t>
            </w:r>
            <w:r>
              <w:t xml:space="preserve">п</w:t>
            </w:r>
            <w:r>
              <w:t xml:space="preserve">п. </w:t>
            </w:r>
            <w:r>
              <w:fldChar w:fldCharType="begin"/>
            </w:r>
            <w:r>
              <w:instrText xml:space="preserve"> REF _Ref314654032 \r \h  \* MERGEFORMAT </w:instrText>
            </w:r>
            <w:r>
              <w:fldChar w:fldCharType="separate"/>
            </w:r>
            <w:r>
              <w:t xml:space="preserve">5.1.4</w:t>
            </w:r>
            <w:r>
              <w:fldChar w:fldCharType="end"/>
            </w:r>
            <w:r>
              <w:t xml:space="preserve">, </w:t>
            </w:r>
            <w:r>
              <w:fldChar w:fldCharType="begin"/>
            </w:r>
            <w:r>
              <w:instrText xml:space="preserve"> REF _Ref314831199 \r \h  \* MERGEFORMAT </w:instrText>
            </w:r>
            <w:r>
              <w:fldChar w:fldCharType="separate"/>
            </w:r>
            <w:r>
              <w:t xml:space="preserve">5.1.5</w:t>
            </w:r>
            <w:r>
              <w:fldChar w:fldCharType="end"/>
            </w:r>
            <w:r>
              <w:t xml:space="preserve">.</w:t>
            </w:r>
            <w:r/>
          </w:p>
          <w:p>
            <w:pPr>
              <w:pStyle w:val="1005"/>
              <w:ind w:left="57" w:right="57"/>
            </w:pPr>
            <w:r>
              <w:t xml:space="preserve">В соответствии с </w:t>
            </w:r>
            <w:r>
              <w:rPr>
                <w:lang w:val="en-US"/>
              </w:rPr>
              <w:t xml:space="preserve">SUFD</w:t>
            </w:r>
            <w:r>
              <w:t xml:space="preserve">-28231 (</w:t>
            </w:r>
            <w:r>
              <w:rPr>
                <w:lang w:val="en-US"/>
              </w:rPr>
              <w:t xml:space="preserve">SUFD</w:t>
            </w:r>
            <w:r>
              <w:t xml:space="preserve">-30803) актуализирован п. </w:t>
            </w:r>
            <w:r>
              <w:fldChar w:fldCharType="begin"/>
            </w:r>
            <w:r>
              <w:instrText xml:space="preserve"> REF _Ref314655353 \r \h  \* MERGEFORMAT </w:instrText>
            </w:r>
            <w:r>
              <w:fldChar w:fldCharType="separate"/>
            </w:r>
            <w:r>
              <w:t xml:space="preserve">5.1.10</w:t>
            </w:r>
            <w:r>
              <w:fldChar w:fldCharType="end"/>
            </w:r>
            <w:r>
              <w:t xml:space="preserve">.</w:t>
            </w:r>
            <w:r/>
          </w:p>
          <w:p>
            <w:pPr>
              <w:pStyle w:val="1005"/>
              <w:ind w:left="57" w:right="57"/>
            </w:pPr>
            <w:r>
              <w:t xml:space="preserve">В соответствии с </w:t>
            </w:r>
            <w:r>
              <w:rPr>
                <w:lang w:val="en-US"/>
              </w:rPr>
              <w:t xml:space="preserve">SUFD</w:t>
            </w:r>
            <w:r>
              <w:t xml:space="preserve">-26367 (</w:t>
            </w:r>
            <w:r>
              <w:rPr>
                <w:lang w:val="en-US"/>
              </w:rPr>
              <w:t xml:space="preserve">SUFD</w:t>
            </w:r>
            <w:r>
              <w:t xml:space="preserve">-30867) актуализирован п. </w:t>
            </w:r>
            <w:r>
              <w:fldChar w:fldCharType="begin"/>
            </w:r>
            <w:r>
              <w:instrText xml:space="preserve"> REF _Ref311541908 \r \h  \* MERGEFORMAT </w:instrText>
            </w:r>
            <w:r>
              <w:fldChar w:fldCharType="separate"/>
            </w:r>
            <w:r>
              <w:t xml:space="preserve">5.17.1</w:t>
            </w:r>
            <w:r>
              <w:fldChar w:fldCharType="end"/>
            </w:r>
            <w:r>
              <w:t xml:space="preserve">.</w:t>
            </w:r>
            <w:r/>
          </w:p>
          <w:p>
            <w:pPr>
              <w:pStyle w:val="1005"/>
              <w:ind w:left="57" w:right="57"/>
            </w:pPr>
            <w:r/>
            <w:bookmarkStart w:id="2167" w:name="_Hlk314843804"/>
            <w:r/>
            <w:bookmarkStart w:id="2168" w:name="_Hlk314839092"/>
            <w:r>
              <w:t xml:space="preserve">В соответствии с </w:t>
            </w:r>
            <w:r>
              <w:rPr>
                <w:lang w:val="en-US"/>
              </w:rPr>
              <w:t xml:space="preserve">SUFD</w:t>
            </w:r>
            <w:r>
              <w:t xml:space="preserve">-28085 (</w:t>
            </w:r>
            <w:bookmarkStart w:id="2169" w:name="_Hlk314843480"/>
            <w:r>
              <w:rPr>
                <w:lang w:val="en-US"/>
              </w:rPr>
              <w:t xml:space="preserve">SUFD</w:t>
            </w:r>
            <w:r>
              <w:t xml:space="preserve">-</w:t>
            </w:r>
            <w:bookmarkEnd w:id="2169"/>
            <w:r>
              <w:t xml:space="preserve">31007</w:t>
            </w:r>
            <w:r>
              <w:t xml:space="preserve">, </w:t>
            </w:r>
            <w:r>
              <w:t xml:space="preserve">SUFD</w:t>
            </w:r>
            <w:r>
              <w:t xml:space="preserve">-31019</w:t>
            </w:r>
            <w:r>
              <w:t xml:space="preserve">) актуализирован</w:t>
            </w:r>
            <w:r>
              <w:t xml:space="preserve">ы</w:t>
            </w:r>
            <w:r>
              <w:t xml:space="preserve"> </w:t>
            </w:r>
            <w:r>
              <w:t xml:space="preserve">п</w:t>
            </w:r>
            <w:r>
              <w:t xml:space="preserve">п.</w:t>
            </w:r>
            <w:bookmarkEnd w:id="2167"/>
            <w:r>
              <w:t xml:space="preserve"> </w:t>
            </w:r>
            <w:bookmarkEnd w:id="2168"/>
            <w:r>
              <w:fldChar w:fldCharType="begin"/>
            </w:r>
            <w:r>
              <w:instrText xml:space="preserve"> REF _Ref314831199 \r \h  \* MERGEFORMAT </w:instrText>
            </w:r>
            <w:r>
              <w:fldChar w:fldCharType="separate"/>
            </w:r>
            <w:r>
              <w:t xml:space="preserve">5.1.5</w:t>
            </w:r>
            <w:r>
              <w:fldChar w:fldCharType="end"/>
            </w:r>
            <w:r>
              <w:t xml:space="preserve">, </w:t>
            </w:r>
            <w:r>
              <w:fldChar w:fldCharType="begin"/>
            </w:r>
            <w:r>
              <w:instrText xml:space="preserve"> REF _Ref314654032 \r \h  \* MERGEFORMAT </w:instrText>
            </w:r>
            <w:r>
              <w:fldChar w:fldCharType="separate"/>
            </w:r>
            <w:r>
              <w:t xml:space="preserve">5.1.4</w:t>
            </w:r>
            <w:r>
              <w:fldChar w:fldCharType="end"/>
            </w:r>
            <w:r>
              <w:t xml:space="preserve">.</w:t>
            </w:r>
            <w:r/>
          </w:p>
          <w:p>
            <w:pPr>
              <w:pStyle w:val="1005"/>
              <w:ind w:left="57" w:right="57"/>
            </w:pPr>
            <w:r>
              <w:t xml:space="preserve">В соответствии с </w:t>
            </w:r>
            <w:r>
              <w:rPr>
                <w:lang w:val="en-US"/>
              </w:rPr>
              <w:t xml:space="preserve">SUFD</w:t>
            </w:r>
            <w:r>
              <w:t xml:space="preserve">-20932 (</w:t>
            </w:r>
            <w:r>
              <w:rPr>
                <w:lang w:val="en-US"/>
              </w:rPr>
              <w:t xml:space="preserve">SUFD</w:t>
            </w:r>
            <w:r>
              <w:t xml:space="preserve">-29010) актуализирован п. </w:t>
            </w:r>
            <w:r>
              <w:fldChar w:fldCharType="begin"/>
            </w:r>
            <w:r>
              <w:instrText xml:space="preserve"> REF _Ref294021825 \r \h  \* MERGEFORMAT </w:instrText>
            </w:r>
            <w:r>
              <w:fldChar w:fldCharType="separate"/>
            </w:r>
            <w:r>
              <w:t xml:space="preserve">5.16</w:t>
            </w:r>
            <w:r>
              <w:fldChar w:fldCharType="end"/>
            </w:r>
            <w:r>
              <w:t xml:space="preserve">.</w:t>
            </w:r>
            <w:r/>
          </w:p>
          <w:p>
            <w:pPr>
              <w:pStyle w:val="1005"/>
              <w:ind w:left="57" w:right="57"/>
            </w:pPr>
            <w:r>
              <w:t xml:space="preserve">В соответствии с </w:t>
            </w:r>
            <w:r>
              <w:rPr>
                <w:lang w:val="en-US"/>
              </w:rPr>
              <w:t xml:space="preserve">SUFD</w:t>
            </w:r>
            <w:r>
              <w:t xml:space="preserve">-26766 (</w:t>
            </w:r>
            <w:r>
              <w:rPr>
                <w:lang w:val="en-US"/>
              </w:rPr>
              <w:t xml:space="preserve">SUFD</w:t>
            </w:r>
            <w:r>
              <w:t xml:space="preserve">-29087) добавлен </w:t>
            </w:r>
            <w:r>
              <w:t xml:space="preserve">п. </w:t>
            </w:r>
            <w:r>
              <w:fldChar w:fldCharType="begin"/>
            </w:r>
            <w:r>
              <w:instrText xml:space="preserve"> REF _Ref449107525 \r \h </w:instrText>
            </w:r>
            <w:r>
              <w:fldChar w:fldCharType="separate"/>
            </w:r>
            <w:r>
              <w:t xml:space="preserve">5.10.1</w:t>
            </w:r>
            <w:r>
              <w:fldChar w:fldCharType="end"/>
            </w:r>
            <w:r>
              <w:t xml:space="preserve">.</w:t>
            </w:r>
            <w:r/>
          </w:p>
          <w:p>
            <w:pPr>
              <w:pStyle w:val="1005"/>
              <w:ind w:left="57" w:right="57"/>
            </w:pPr>
            <w:r/>
            <w:bookmarkStart w:id="2170" w:name="_Hlk315186334"/>
            <w:r>
              <w:t xml:space="preserve">В соответствии с </w:t>
            </w:r>
            <w:r>
              <w:rPr>
                <w:lang w:val="en-US"/>
              </w:rPr>
              <w:t xml:space="preserve">SUFD</w:t>
            </w:r>
            <w:r>
              <w:t xml:space="preserve">-23273 (</w:t>
            </w:r>
            <w:r>
              <w:rPr>
                <w:lang w:val="en-US"/>
              </w:rPr>
              <w:t xml:space="preserve">SUFD</w:t>
            </w:r>
            <w:r>
              <w:t xml:space="preserve">-29540) актуализирован п. </w:t>
            </w:r>
            <w:bookmarkEnd w:id="2170"/>
            <w:r>
              <w:fldChar w:fldCharType="begin"/>
            </w:r>
            <w:r>
              <w:instrText xml:space="preserve"> REF _Ref315184816 \r \h  \* MERGEFORMAT </w:instrText>
            </w:r>
            <w:r>
              <w:fldChar w:fldCharType="separate"/>
            </w:r>
            <w:r>
              <w:t xml:space="preserve">5.1.6</w:t>
            </w:r>
            <w:r>
              <w:fldChar w:fldCharType="end"/>
            </w:r>
            <w:r>
              <w:t xml:space="preserve">.</w:t>
            </w:r>
            <w:r/>
          </w:p>
          <w:p>
            <w:pPr>
              <w:pStyle w:val="1005"/>
              <w:ind w:left="57" w:right="57"/>
            </w:pPr>
            <w:r/>
            <w:bookmarkStart w:id="2171" w:name="_Hlk315336446"/>
            <w:r>
              <w:t xml:space="preserve">В соответствии с </w:t>
            </w:r>
            <w:bookmarkStart w:id="2172" w:name="_Hlk315345268"/>
            <w:r>
              <w:rPr>
                <w:lang w:val="en-US"/>
              </w:rPr>
              <w:t xml:space="preserve">SUFD</w:t>
            </w:r>
            <w:r>
              <w:t xml:space="preserve">-27103 (</w:t>
            </w:r>
            <w:r>
              <w:rPr>
                <w:lang w:val="en-US"/>
              </w:rPr>
              <w:t xml:space="preserve">SUFD</w:t>
            </w:r>
            <w:r>
              <w:t xml:space="preserve">-29126) и</w:t>
            </w:r>
            <w:bookmarkEnd w:id="2172"/>
            <w:r>
              <w:t xml:space="preserve"> </w:t>
            </w:r>
            <w:r>
              <w:rPr>
                <w:lang w:val="en-US"/>
              </w:rPr>
              <w:t xml:space="preserve">SUFD</w:t>
            </w:r>
            <w:r>
              <w:t xml:space="preserve">-29290 (</w:t>
            </w:r>
            <w:r>
              <w:rPr>
                <w:lang w:val="en-US"/>
              </w:rPr>
              <w:t xml:space="preserve">SUFD</w:t>
            </w:r>
            <w:r>
              <w:t xml:space="preserve">-29575) актуализирован п. </w:t>
            </w:r>
            <w:bookmarkEnd w:id="2171"/>
            <w:r>
              <w:fldChar w:fldCharType="begin"/>
            </w:r>
            <w:r>
              <w:instrText xml:space="preserve"> REF _Ref311541908 \r \h  \* MERGEFORMAT </w:instrText>
            </w:r>
            <w:r>
              <w:fldChar w:fldCharType="separate"/>
            </w:r>
            <w:r>
              <w:t xml:space="preserve">5.17.1</w:t>
            </w:r>
            <w:r>
              <w:fldChar w:fldCharType="end"/>
            </w:r>
            <w:r>
              <w:t xml:space="preserve">.</w:t>
            </w:r>
            <w:r/>
          </w:p>
          <w:p>
            <w:pPr>
              <w:pStyle w:val="1005"/>
              <w:ind w:left="57" w:right="57"/>
            </w:pPr>
            <w:r>
              <w:t xml:space="preserve">В соответствии с </w:t>
            </w:r>
            <w:r>
              <w:rPr>
                <w:lang w:val="en-US"/>
              </w:rPr>
              <w:t xml:space="preserve">SUFD</w:t>
            </w:r>
            <w:r>
              <w:t xml:space="preserve">-27103 (</w:t>
            </w:r>
            <w:r>
              <w:rPr>
                <w:lang w:val="en-US"/>
              </w:rPr>
              <w:t xml:space="preserve">SUFD</w:t>
            </w:r>
            <w:r>
              <w:t xml:space="preserve">-29593) актуализирован п.</w:t>
            </w:r>
            <w:r>
              <w:t xml:space="preserve"> </w:t>
            </w:r>
            <w:r>
              <w:fldChar w:fldCharType="begin"/>
            </w:r>
            <w:r>
              <w:instrText xml:space="preserve"> REF _Ref420330728 \r \h </w:instrText>
            </w:r>
            <w:r>
              <w:fldChar w:fldCharType="separate"/>
            </w:r>
            <w:r>
              <w:t xml:space="preserve">5.3.3</w:t>
            </w:r>
            <w:r>
              <w:fldChar w:fldCharType="end"/>
            </w:r>
            <w:r>
              <w:t xml:space="preserve">.</w:t>
            </w:r>
            <w:r/>
          </w:p>
        </w:tc>
      </w:tr>
      <w:tr>
        <w:trPr/>
        <w:tc>
          <w:tcPr>
            <w:shd w:val="clear" w:fill="auto" w:color="auto"/>
            <w:tcW w:w="412" w:type="pct"/>
            <w:textDirection w:val="lrTb"/>
            <w:noWrap w:val="false"/>
          </w:tcPr>
          <w:p>
            <w:pPr>
              <w:pStyle w:val="1005"/>
              <w:ind w:left="57" w:right="57"/>
            </w:pPr>
            <w:r>
              <w:t xml:space="preserve">4.1</w:t>
            </w:r>
            <w:r/>
          </w:p>
        </w:tc>
        <w:tc>
          <w:tcPr>
            <w:shd w:val="clear" w:fill="auto" w:color="auto"/>
            <w:tcW w:w="635" w:type="pct"/>
            <w:textDirection w:val="lrTb"/>
            <w:noWrap w:val="false"/>
          </w:tcPr>
          <w:p>
            <w:pPr>
              <w:pStyle w:val="1005"/>
              <w:ind w:left="57" w:right="57"/>
            </w:pPr>
            <w:r>
              <w:t xml:space="preserve">31.01.2012</w:t>
            </w:r>
            <w:r/>
          </w:p>
        </w:tc>
        <w:tc>
          <w:tcPr>
            <w:shd w:val="clear" w:fill="auto" w:color="auto"/>
            <w:tcW w:w="1017" w:type="pct"/>
            <w:textDirection w:val="lrTb"/>
            <w:noWrap w:val="false"/>
          </w:tcPr>
          <w:p>
            <w:pPr>
              <w:pStyle w:val="1005"/>
              <w:ind w:left="57" w:right="57"/>
            </w:pPr>
            <w:r>
              <w:t xml:space="preserve">Гофман И.Д.</w:t>
            </w:r>
            <w:r/>
          </w:p>
        </w:tc>
        <w:tc>
          <w:tcPr>
            <w:shd w:val="clear" w:fill="auto" w:color="auto"/>
            <w:tcW w:w="2936" w:type="pct"/>
            <w:textDirection w:val="lrTb"/>
            <w:noWrap w:val="false"/>
          </w:tcPr>
          <w:p>
            <w:pPr>
              <w:pStyle w:val="1005"/>
              <w:ind w:left="57" w:right="57"/>
            </w:pPr>
            <w:r>
              <w:t xml:space="preserve">В соответствие с </w:t>
            </w:r>
            <w:r>
              <w:rPr>
                <w:lang w:val="en-US"/>
              </w:rPr>
              <w:t xml:space="preserve">SUFD</w:t>
            </w:r>
            <w:r>
              <w:t xml:space="preserve">-24616 (</w:t>
            </w:r>
            <w:r>
              <w:rPr>
                <w:lang w:val="en-US"/>
              </w:rPr>
              <w:t xml:space="preserve">SUFD</w:t>
            </w:r>
            <w:r>
              <w:t xml:space="preserve">-28247) изменены скриншоты по всему документу.</w:t>
            </w:r>
            <w:r/>
          </w:p>
        </w:tc>
      </w:tr>
      <w:tr>
        <w:trPr/>
        <w:tc>
          <w:tcPr>
            <w:shd w:val="clear" w:fill="auto" w:color="auto"/>
            <w:tcW w:w="412" w:type="pct"/>
            <w:textDirection w:val="lrTb"/>
            <w:noWrap w:val="false"/>
          </w:tcPr>
          <w:p>
            <w:pPr>
              <w:pStyle w:val="1005"/>
              <w:ind w:left="57" w:right="57"/>
            </w:pPr>
            <w:r>
              <w:t xml:space="preserve">4.2</w:t>
            </w:r>
            <w:r/>
          </w:p>
        </w:tc>
        <w:tc>
          <w:tcPr>
            <w:shd w:val="clear" w:fill="auto" w:color="auto"/>
            <w:tcW w:w="635" w:type="pct"/>
            <w:textDirection w:val="lrTb"/>
            <w:noWrap w:val="false"/>
          </w:tcPr>
          <w:p>
            <w:pPr>
              <w:pStyle w:val="1005"/>
              <w:ind w:left="57" w:right="57"/>
            </w:pPr>
            <w:r>
              <w:t xml:space="preserve">08.02.2012</w:t>
            </w:r>
            <w:r/>
          </w:p>
        </w:tc>
        <w:tc>
          <w:tcPr>
            <w:shd w:val="clear" w:fill="auto" w:color="auto"/>
            <w:tcW w:w="1017" w:type="pct"/>
            <w:textDirection w:val="lrTb"/>
            <w:noWrap w:val="false"/>
          </w:tcPr>
          <w:p>
            <w:pPr>
              <w:pStyle w:val="1005"/>
              <w:ind w:left="57" w:right="57"/>
            </w:pPr>
            <w:r>
              <w:t xml:space="preserve">Гофман И.Д.</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-28392 (</w:t>
            </w:r>
            <w:r>
              <w:rPr>
                <w:lang w:val="en-US"/>
              </w:rPr>
              <w:t xml:space="preserve">SUFD</w:t>
            </w:r>
            <w:r>
              <w:t xml:space="preserve">-31288) </w:t>
            </w:r>
            <w:r>
              <w:t xml:space="preserve">актуализирован п. </w:t>
            </w:r>
            <w:r>
              <w:fldChar w:fldCharType="begin"/>
            </w:r>
            <w:r>
              <w:instrText xml:space="preserve"> REF _Ref420320397 \r \h </w:instrText>
            </w:r>
            <w:r>
              <w:fldChar w:fldCharType="separate"/>
            </w:r>
            <w:r>
              <w:t xml:space="preserve">5.3.3</w:t>
            </w:r>
            <w:r>
              <w:fldChar w:fldCharType="end"/>
            </w:r>
            <w:r>
              <w:t xml:space="preserve">.</w:t>
            </w:r>
            <w:r/>
          </w:p>
          <w:p>
            <w:pPr>
              <w:pStyle w:val="1005"/>
              <w:ind w:left="57" w:right="57"/>
            </w:pPr>
            <w:r>
              <w:t xml:space="preserve">В соответствии с </w:t>
            </w:r>
            <w:r>
              <w:rPr>
                <w:lang w:val="en-US"/>
              </w:rPr>
              <w:t xml:space="preserve">SUFD</w:t>
            </w:r>
            <w:r>
              <w:t xml:space="preserve">-31236 (</w:t>
            </w:r>
            <w:r>
              <w:rPr>
                <w:lang w:val="en-US"/>
              </w:rPr>
              <w:t xml:space="preserve">SUFD</w:t>
            </w:r>
            <w:r>
              <w:t xml:space="preserve">-31638)</w:t>
            </w:r>
            <w:r>
              <w:t xml:space="preserve"> актуализированы </w:t>
            </w:r>
            <w:r>
              <w:t xml:space="preserve">п</w:t>
            </w:r>
            <w:r>
              <w:t xml:space="preserve">п. </w:t>
            </w:r>
            <w:r>
              <w:fldChar w:fldCharType="begin"/>
            </w:r>
            <w:r>
              <w:instrText xml:space="preserve"> REF _Ref420330774 \r \h </w:instrText>
            </w:r>
            <w:r>
              <w:fldChar w:fldCharType="separate"/>
            </w:r>
            <w:r>
              <w:t xml:space="preserve">5.1.13</w:t>
            </w:r>
            <w:r>
              <w:fldChar w:fldCharType="end"/>
            </w:r>
            <w:r>
              <w:t xml:space="preserve">, </w:t>
            </w:r>
            <w:r>
              <w:fldChar w:fldCharType="begin"/>
            </w:r>
            <w:r>
              <w:instrText xml:space="preserve"> REF _Ref357697219 \r \h </w:instrText>
            </w:r>
            <w:r>
              <w:fldChar w:fldCharType="separate"/>
            </w:r>
            <w:r>
              <w:t xml:space="preserve">5.1.14</w:t>
            </w:r>
            <w:r>
              <w:fldChar w:fldCharType="end"/>
            </w:r>
            <w:r>
              <w:t xml:space="preserve">.</w:t>
            </w:r>
            <w:r/>
          </w:p>
        </w:tc>
      </w:tr>
      <w:tr>
        <w:trPr/>
        <w:tc>
          <w:tcPr>
            <w:shd w:val="clear" w:fill="auto" w:color="auto"/>
            <w:tcW w:w="412" w:type="pct"/>
            <w:textDirection w:val="lrTb"/>
            <w:noWrap w:val="false"/>
          </w:tcPr>
          <w:p>
            <w:pPr>
              <w:pStyle w:val="1005"/>
              <w:ind w:left="57" w:right="57"/>
            </w:pPr>
            <w:r>
              <w:t xml:space="preserve">4.3</w:t>
            </w:r>
            <w:r/>
          </w:p>
        </w:tc>
        <w:tc>
          <w:tcPr>
            <w:shd w:val="clear" w:fill="auto" w:color="auto"/>
            <w:tcW w:w="635" w:type="pct"/>
            <w:textDirection w:val="lrTb"/>
            <w:noWrap w:val="false"/>
          </w:tcPr>
          <w:p>
            <w:pPr>
              <w:pStyle w:val="1005"/>
              <w:ind w:left="57" w:right="57"/>
            </w:pPr>
            <w:r>
              <w:t xml:space="preserve">10.02.2012</w:t>
            </w:r>
            <w:r/>
          </w:p>
        </w:tc>
        <w:tc>
          <w:tcPr>
            <w:shd w:val="clear" w:fill="auto" w:color="auto"/>
            <w:tcW w:w="1017" w:type="pct"/>
            <w:textDirection w:val="lrTb"/>
            <w:noWrap w:val="false"/>
          </w:tcPr>
          <w:p>
            <w:pPr>
              <w:pStyle w:val="1005"/>
              <w:ind w:left="57" w:right="57"/>
            </w:pPr>
            <w:r>
              <w:t xml:space="preserve">Гофман И.Д.</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-31586 (</w:t>
            </w:r>
            <w:r>
              <w:rPr>
                <w:lang w:val="en-US"/>
              </w:rPr>
              <w:t xml:space="preserve">SUFD</w:t>
            </w:r>
            <w:r>
              <w:t xml:space="preserve">-31522) актуализирован п. </w:t>
            </w:r>
            <w:r>
              <w:fldChar w:fldCharType="begin"/>
            </w:r>
            <w:r>
              <w:instrText xml:space="preserve"> REF _Ref317685479 \r \h  \* MERGEFORMAT </w:instrText>
            </w:r>
            <w:r>
              <w:fldChar w:fldCharType="separate"/>
            </w:r>
            <w:r>
              <w:t xml:space="preserve">5.3.1</w:t>
            </w:r>
            <w:r>
              <w:fldChar w:fldCharType="end"/>
            </w:r>
            <w:r/>
          </w:p>
        </w:tc>
      </w:tr>
      <w:tr>
        <w:trPr/>
        <w:tc>
          <w:tcPr>
            <w:shd w:val="clear" w:fill="auto" w:color="auto"/>
            <w:tcW w:w="412" w:type="pct"/>
            <w:textDirection w:val="lrTb"/>
            <w:noWrap w:val="false"/>
          </w:tcPr>
          <w:p>
            <w:pPr>
              <w:pStyle w:val="1005"/>
              <w:ind w:left="57" w:right="57"/>
            </w:pPr>
            <w:r>
              <w:t xml:space="preserve">4.4</w:t>
            </w:r>
            <w:r/>
          </w:p>
        </w:tc>
        <w:tc>
          <w:tcPr>
            <w:shd w:val="clear" w:fill="auto" w:color="auto"/>
            <w:tcW w:w="635" w:type="pct"/>
            <w:textDirection w:val="lrTb"/>
            <w:noWrap w:val="false"/>
          </w:tcPr>
          <w:p>
            <w:pPr>
              <w:pStyle w:val="1005"/>
              <w:ind w:left="57" w:right="57"/>
            </w:pPr>
            <w:r>
              <w:t xml:space="preserve">16.02.2012</w:t>
            </w:r>
            <w:r/>
          </w:p>
        </w:tc>
        <w:tc>
          <w:tcPr>
            <w:shd w:val="clear" w:fill="auto" w:color="auto"/>
            <w:tcW w:w="1017" w:type="pct"/>
            <w:textDirection w:val="lrTb"/>
            <w:noWrap w:val="false"/>
          </w:tcPr>
          <w:p>
            <w:pPr>
              <w:pStyle w:val="1005"/>
              <w:ind w:left="57" w:right="57"/>
            </w:pPr>
            <w:r>
              <w:t xml:space="preserve">Гофман И.Д.</w:t>
            </w:r>
            <w:r/>
          </w:p>
          <w:p>
            <w:pPr>
              <w:pStyle w:val="1005"/>
              <w:ind w:left="57" w:right="57"/>
            </w:pPr>
            <w:r>
              <w:t xml:space="preserve">Алексеев И.И.</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-20932 (</w:t>
            </w:r>
            <w:r>
              <w:rPr>
                <w:lang w:val="en-US"/>
              </w:rPr>
              <w:t xml:space="preserve">SUFD</w:t>
            </w:r>
            <w:r>
              <w:t xml:space="preserve">-31876) актуализирован п.</w:t>
            </w:r>
            <w:r>
              <w:t xml:space="preserve"> </w:t>
            </w:r>
            <w:r>
              <w:fldChar w:fldCharType="begin"/>
            </w:r>
            <w:r>
              <w:instrText xml:space="preserve"> REF _Ref413146061 \r \h </w:instrText>
            </w:r>
            <w:r>
              <w:fldChar w:fldCharType="separate"/>
            </w:r>
            <w:r>
              <w:t xml:space="preserve">5.16.1</w:t>
            </w:r>
            <w:r>
              <w:fldChar w:fldCharType="end"/>
            </w:r>
            <w:r>
              <w:t xml:space="preserve">.</w:t>
            </w:r>
            <w:r/>
          </w:p>
          <w:p>
            <w:pPr>
              <w:pStyle w:val="1005"/>
              <w:ind w:left="57" w:right="57"/>
            </w:pPr>
            <w:r>
              <w:t xml:space="preserve">В соответствии с </w:t>
            </w:r>
            <w:r>
              <w:rPr>
                <w:lang w:val="en-US"/>
              </w:rPr>
              <w:t xml:space="preserve">SUFD</w:t>
            </w:r>
            <w:r>
              <w:t xml:space="preserve">-17301 (</w:t>
            </w:r>
            <w:r>
              <w:rPr>
                <w:lang w:val="en-US"/>
              </w:rPr>
              <w:t xml:space="preserve">SUFD</w:t>
            </w:r>
            <w:r>
              <w:t xml:space="preserve">-28665) актуализирован п. </w:t>
            </w:r>
            <w:r>
              <w:fldChar w:fldCharType="begin"/>
            </w:r>
            <w:r>
              <w:instrText xml:space="preserve"> REF _Ref317679765 \r \h  \* MERGEFORMAT </w:instrText>
            </w:r>
            <w:r>
              <w:fldChar w:fldCharType="separate"/>
            </w:r>
            <w:r>
              <w:t xml:space="preserve">5.3.1</w:t>
            </w:r>
            <w:r>
              <w:fldChar w:fldCharType="end"/>
            </w:r>
            <w:r>
              <w:t xml:space="preserve">.</w:t>
            </w:r>
            <w:r/>
          </w:p>
        </w:tc>
      </w:tr>
      <w:tr>
        <w:trPr/>
        <w:tc>
          <w:tcPr>
            <w:shd w:val="clear" w:fill="auto" w:color="auto"/>
            <w:tcW w:w="412" w:type="pct"/>
            <w:textDirection w:val="lrTb"/>
            <w:noWrap w:val="false"/>
          </w:tcPr>
          <w:p>
            <w:pPr>
              <w:pStyle w:val="1005"/>
              <w:ind w:left="57" w:right="57"/>
            </w:pPr>
            <w:r>
              <w:t xml:space="preserve">4.5</w:t>
            </w:r>
            <w:r/>
          </w:p>
        </w:tc>
        <w:tc>
          <w:tcPr>
            <w:shd w:val="clear" w:fill="auto" w:color="auto"/>
            <w:tcW w:w="635" w:type="pct"/>
            <w:textDirection w:val="lrTb"/>
            <w:noWrap w:val="false"/>
          </w:tcPr>
          <w:p>
            <w:pPr>
              <w:pStyle w:val="1005"/>
              <w:ind w:left="57" w:right="57"/>
            </w:pPr>
            <w:r>
              <w:t xml:space="preserve">22.02.2012</w:t>
            </w:r>
            <w:r/>
          </w:p>
        </w:tc>
        <w:tc>
          <w:tcPr>
            <w:shd w:val="clear" w:fill="auto" w:color="auto"/>
            <w:tcW w:w="1017" w:type="pct"/>
            <w:textDirection w:val="lrTb"/>
            <w:noWrap w:val="false"/>
          </w:tcPr>
          <w:p>
            <w:pPr>
              <w:pStyle w:val="1005"/>
              <w:ind w:left="57" w:right="57"/>
            </w:pPr>
            <w:r>
              <w:t xml:space="preserve">Гофман И.Д.</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-20606 (</w:t>
            </w:r>
            <w:r>
              <w:rPr>
                <w:lang w:val="en-US"/>
              </w:rPr>
              <w:t xml:space="preserve">SUFD</w:t>
            </w:r>
            <w:r>
              <w:t xml:space="preserve">-31766) актуализирован п. </w:t>
            </w:r>
            <w:r>
              <w:fldChar w:fldCharType="begin"/>
            </w:r>
            <w:r>
              <w:instrText xml:space="preserve"> REF _Ref482629405 \r \h </w:instrText>
            </w:r>
            <w:r>
              <w:fldChar w:fldCharType="separate"/>
            </w:r>
            <w:r>
              <w:t xml:space="preserve">5.1.7</w:t>
            </w:r>
            <w:r>
              <w:fldChar w:fldCharType="end"/>
            </w:r>
            <w:r>
              <w:t xml:space="preserve">.</w:t>
            </w:r>
            <w:r/>
          </w:p>
          <w:p>
            <w:pPr>
              <w:pStyle w:val="1005"/>
              <w:ind w:left="57" w:right="57"/>
            </w:pPr>
            <w:r>
              <w:t xml:space="preserve">В соответствии с </w:t>
            </w:r>
            <w:r>
              <w:rPr>
                <w:lang w:val="en-US"/>
              </w:rPr>
              <w:t xml:space="preserve">SUFD</w:t>
            </w:r>
            <w:r>
              <w:t xml:space="preserve">-25598 (</w:t>
            </w:r>
            <w:r>
              <w:rPr>
                <w:lang w:val="en-US"/>
              </w:rPr>
              <w:t xml:space="preserve">SUFD</w:t>
            </w:r>
            <w:r>
              <w:t xml:space="preserve">-32133) актуализи</w:t>
            </w:r>
            <w:r>
              <w:t xml:space="preserve">рован п. </w:t>
            </w:r>
            <w:r>
              <w:fldChar w:fldCharType="begin"/>
            </w:r>
            <w:r>
              <w:instrText xml:space="preserve"> REF _Ref318366928 \r \h  \* MERGEFORMAT </w:instrText>
            </w:r>
            <w:r>
              <w:fldChar w:fldCharType="separate"/>
            </w:r>
            <w:r>
              <w:t xml:space="preserve">5.16.1</w:t>
            </w:r>
            <w:r>
              <w:fldChar w:fldCharType="end"/>
            </w:r>
            <w:r>
              <w:t xml:space="preserve">.</w:t>
            </w:r>
            <w:r/>
          </w:p>
          <w:p>
            <w:pPr>
              <w:pStyle w:val="1005"/>
              <w:ind w:left="57" w:right="57"/>
            </w:pPr>
            <w:r>
              <w:t xml:space="preserve">В соответствии с </w:t>
            </w:r>
            <w:r>
              <w:rPr>
                <w:lang w:val="en-US"/>
              </w:rPr>
              <w:t xml:space="preserve">SUFD</w:t>
            </w:r>
            <w:r>
              <w:t xml:space="preserve">-26350 (</w:t>
            </w:r>
            <w:r>
              <w:rPr>
                <w:lang w:val="en-US"/>
              </w:rPr>
              <w:t xml:space="preserve">SUFD</w:t>
            </w:r>
            <w:r>
              <w:t xml:space="preserve">-32117) актуализирован п. </w:t>
            </w:r>
            <w:r>
              <w:fldChar w:fldCharType="begin"/>
            </w:r>
            <w:r>
              <w:instrText xml:space="preserve"> REF _Ref318373466 \r \h  \* MERGEFORMAT </w:instrText>
            </w:r>
            <w:r>
              <w:fldChar w:fldCharType="separate"/>
            </w:r>
            <w:r>
              <w:t xml:space="preserve">5.1.6</w:t>
            </w:r>
            <w:r>
              <w:fldChar w:fldCharType="end"/>
            </w:r>
            <w:r>
              <w:t xml:space="preserve">.</w:t>
            </w:r>
            <w:r/>
          </w:p>
        </w:tc>
      </w:tr>
      <w:tr>
        <w:trPr/>
        <w:tc>
          <w:tcPr>
            <w:shd w:val="clear" w:fill="auto" w:color="auto"/>
            <w:tcW w:w="412" w:type="pct"/>
            <w:textDirection w:val="lrTb"/>
            <w:noWrap w:val="false"/>
          </w:tcPr>
          <w:p>
            <w:pPr>
              <w:pStyle w:val="1005"/>
              <w:ind w:left="57" w:right="57"/>
            </w:pPr>
            <w:r>
              <w:t xml:space="preserve">4.6</w:t>
            </w:r>
            <w:r/>
          </w:p>
        </w:tc>
        <w:tc>
          <w:tcPr>
            <w:shd w:val="clear" w:fill="auto" w:color="auto"/>
            <w:tcW w:w="635" w:type="pct"/>
            <w:textDirection w:val="lrTb"/>
            <w:noWrap w:val="false"/>
          </w:tcPr>
          <w:p>
            <w:pPr>
              <w:pStyle w:val="1005"/>
              <w:ind w:left="57" w:right="57"/>
            </w:pPr>
            <w:r>
              <w:t xml:space="preserve">02.03.2012</w:t>
            </w:r>
            <w:r/>
          </w:p>
        </w:tc>
        <w:tc>
          <w:tcPr>
            <w:shd w:val="clear" w:fill="auto" w:color="auto"/>
            <w:tcW w:w="1017" w:type="pct"/>
            <w:textDirection w:val="lrTb"/>
            <w:noWrap w:val="false"/>
          </w:tcPr>
          <w:p>
            <w:pPr>
              <w:pStyle w:val="1005"/>
              <w:ind w:left="57" w:right="57"/>
            </w:pPr>
            <w:r>
              <w:t xml:space="preserve">Гофман И.Д.</w:t>
            </w:r>
            <w:r/>
          </w:p>
          <w:p>
            <w:pPr>
              <w:pStyle w:val="1005"/>
              <w:ind w:left="57" w:right="57"/>
            </w:pPr>
            <w:r>
              <w:t xml:space="preserve">Алексеев И.И.</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-22598 (</w:t>
            </w:r>
            <w:r>
              <w:rPr>
                <w:lang w:val="en-US"/>
              </w:rPr>
              <w:t xml:space="preserve">SUFD</w:t>
            </w:r>
            <w:r>
              <w:t xml:space="preserve">-32133) актуализирован п. </w:t>
            </w:r>
            <w:r>
              <w:fldChar w:fldCharType="begin"/>
            </w:r>
            <w:r>
              <w:instrText xml:space="preserve"> REF _Ref318457176 \r \h  \* MERGEFORMAT </w:instrText>
            </w:r>
            <w:r>
              <w:fldChar w:fldCharType="separate"/>
            </w:r>
            <w:r>
              <w:t xml:space="preserve">5.1.1</w:t>
            </w:r>
            <w:r>
              <w:fldChar w:fldCharType="end"/>
            </w:r>
            <w:r>
              <w:t xml:space="preserve">.</w:t>
            </w:r>
            <w:r/>
          </w:p>
          <w:p>
            <w:pPr>
              <w:pStyle w:val="1005"/>
              <w:ind w:left="57" w:right="57"/>
            </w:pPr>
            <w:r>
              <w:t xml:space="preserve">В соответствии с </w:t>
            </w:r>
            <w:r>
              <w:rPr>
                <w:lang w:val="en-US"/>
              </w:rPr>
              <w:t xml:space="preserve">SUFD</w:t>
            </w:r>
            <w:r>
              <w:t xml:space="preserve">-29606 (</w:t>
            </w:r>
            <w:r>
              <w:rPr>
                <w:lang w:val="en-US"/>
              </w:rPr>
              <w:t xml:space="preserve">SUFD</w:t>
            </w:r>
            <w:r>
              <w:t xml:space="preserve">-32128) актуализирован п. </w:t>
            </w:r>
            <w:r>
              <w:fldChar w:fldCharType="begin"/>
            </w:r>
            <w:r>
              <w:instrText xml:space="preserve"> REF _Ref299370510 \r \h  \* MERGEFORMAT </w:instrText>
            </w:r>
            <w:r>
              <w:fldChar w:fldCharType="separate"/>
            </w:r>
            <w:r>
              <w:t xml:space="preserve">5.13.1</w:t>
            </w:r>
            <w:r>
              <w:fldChar w:fldCharType="end"/>
            </w:r>
            <w:r>
              <w:t xml:space="preserve">.</w:t>
            </w:r>
            <w:r/>
          </w:p>
          <w:p>
            <w:pPr>
              <w:pStyle w:val="1005"/>
              <w:ind w:left="57" w:right="57"/>
            </w:pPr>
            <w:r>
              <w:t xml:space="preserve">В соответствии с </w:t>
            </w:r>
            <w:r>
              <w:rPr>
                <w:lang w:val="en-US"/>
              </w:rPr>
              <w:t xml:space="preserve">SUFD</w:t>
            </w:r>
            <w:r>
              <w:t xml:space="preserve">-26350 (</w:t>
            </w:r>
            <w:r>
              <w:rPr>
                <w:lang w:val="en-US"/>
              </w:rPr>
              <w:t xml:space="preserve">SUFD</w:t>
            </w:r>
            <w:r>
              <w:t xml:space="preserve">-32118) актуализирован п. </w:t>
            </w:r>
            <w:r>
              <w:fldChar w:fldCharType="begin"/>
            </w:r>
            <w:r>
              <w:instrText xml:space="preserve"> REF _Ref482629405 \r \h </w:instrText>
            </w:r>
            <w:r>
              <w:fldChar w:fldCharType="separate"/>
            </w:r>
            <w:r>
              <w:t xml:space="preserve">5.1.7</w:t>
            </w:r>
            <w:r>
              <w:fldChar w:fldCharType="end"/>
            </w:r>
            <w:r>
              <w:t xml:space="preserve">.</w:t>
            </w:r>
            <w:r/>
          </w:p>
          <w:p>
            <w:pPr>
              <w:pStyle w:val="1005"/>
              <w:ind w:left="57" w:right="57"/>
            </w:pPr>
            <w:r>
              <w:t xml:space="preserve">В соответствии с </w:t>
            </w:r>
            <w:r>
              <w:rPr>
                <w:lang w:val="en-US"/>
              </w:rPr>
              <w:t xml:space="preserve">SUFD</w:t>
            </w:r>
            <w:r>
              <w:t xml:space="preserve">-22598 (</w:t>
            </w:r>
            <w:r>
              <w:rPr>
                <w:lang w:val="en-US"/>
              </w:rPr>
              <w:t xml:space="preserve">SUFD</w:t>
            </w:r>
            <w:r>
              <w:t xml:space="preserve">-30293</w:t>
            </w:r>
            <w:r>
              <w:t xml:space="preserve">, </w:t>
            </w:r>
            <w:r>
              <w:t xml:space="preserve">SUFD</w:t>
            </w:r>
            <w:r>
              <w:t xml:space="preserve">-30294</w:t>
            </w:r>
            <w:r>
              <w:t xml:space="preserve">) актуализирован</w:t>
            </w:r>
            <w:r>
              <w:t xml:space="preserve">ы</w:t>
            </w:r>
            <w:r>
              <w:t xml:space="preserve"> </w:t>
            </w:r>
            <w:r>
              <w:t xml:space="preserve">п</w:t>
            </w:r>
            <w:r>
              <w:t xml:space="preserve">п. </w:t>
            </w:r>
            <w:r>
              <w:fldChar w:fldCharType="begin"/>
            </w:r>
            <w:r>
              <w:instrText xml:space="preserve"> REF _Ref319245371 \r \h  \* MERGEFORMAT </w:instrText>
            </w:r>
            <w:r>
              <w:fldChar w:fldCharType="separate"/>
            </w:r>
            <w:r>
              <w:t xml:space="preserve">5.1.5</w:t>
            </w:r>
            <w:r>
              <w:fldChar w:fldCharType="end"/>
            </w:r>
            <w:r>
              <w:t xml:space="preserve">, </w:t>
            </w:r>
            <w:r>
              <w:fldChar w:fldCharType="begin"/>
            </w:r>
            <w:r>
              <w:instrText xml:space="preserve"> REF _Ref319321274 \r \h  \* MERGEFORMAT </w:instrText>
            </w:r>
            <w:r>
              <w:fldChar w:fldCharType="separate"/>
            </w:r>
            <w:r>
              <w:t xml:space="preserve">5.3.1</w:t>
            </w:r>
            <w:r>
              <w:fldChar w:fldCharType="end"/>
            </w:r>
            <w:r>
              <w:t xml:space="preserve">.</w:t>
            </w:r>
            <w:r/>
          </w:p>
          <w:p>
            <w:pPr>
              <w:pStyle w:val="1005"/>
              <w:ind w:left="57" w:right="57"/>
            </w:pPr>
            <w:r>
              <w:t xml:space="preserve">В соответствии с </w:t>
            </w:r>
            <w:r>
              <w:rPr>
                <w:lang w:val="en-US"/>
              </w:rPr>
              <w:t xml:space="preserve">SUFD</w:t>
            </w:r>
            <w:r>
              <w:t xml:space="preserve">-17301 (</w:t>
            </w:r>
            <w:r>
              <w:rPr>
                <w:lang w:val="en-US"/>
              </w:rPr>
              <w:t xml:space="preserve">SUFD</w:t>
            </w:r>
            <w:r>
              <w:t xml:space="preserve">-32542</w:t>
            </w:r>
            <w:r>
              <w:t xml:space="preserve">, </w:t>
            </w:r>
            <w:r>
              <w:t xml:space="preserve">SUFD</w:t>
            </w:r>
            <w:r>
              <w:t xml:space="preserve">-33367</w:t>
            </w:r>
            <w:r>
              <w:t xml:space="preserve">) актуализирован п. </w:t>
            </w:r>
            <w:r>
              <w:fldChar w:fldCharType="begin"/>
            </w:r>
            <w:r>
              <w:instrText xml:space="preserve"> REF _Ref319413570 \r \h  \* MERGEFORMAT </w:instrText>
            </w:r>
            <w:r>
              <w:fldChar w:fldCharType="separate"/>
            </w:r>
            <w:r>
              <w:t xml:space="preserve">5.3.1</w:t>
            </w:r>
            <w:r>
              <w:fldChar w:fldCharType="end"/>
            </w:r>
            <w:r>
              <w:t xml:space="preserve">.</w:t>
            </w:r>
            <w:r/>
          </w:p>
          <w:p>
            <w:pPr>
              <w:pStyle w:val="1005"/>
              <w:ind w:left="57" w:right="57"/>
            </w:pPr>
            <w:r>
              <w:t xml:space="preserve">В соответствии с </w:t>
            </w:r>
            <w:r>
              <w:rPr>
                <w:lang w:val="en-US"/>
              </w:rPr>
              <w:t xml:space="preserve">SUFD</w:t>
            </w:r>
            <w:r>
              <w:t xml:space="preserve">-31776 (</w:t>
            </w:r>
            <w:r>
              <w:rPr>
                <w:lang w:val="en-US"/>
              </w:rPr>
              <w:t xml:space="preserve">SUFD</w:t>
            </w:r>
            <w:r>
              <w:t xml:space="preserve">-32661) </w:t>
            </w:r>
            <w:r>
              <w:t xml:space="preserve">актуализированы </w:t>
            </w:r>
            <w:r>
              <w:t xml:space="preserve">п</w:t>
            </w:r>
            <w:r>
              <w:t xml:space="preserve">п.</w:t>
            </w:r>
            <w:r>
              <w:t xml:space="preserve"> </w:t>
            </w:r>
            <w:r>
              <w:fldChar w:fldCharType="begin"/>
            </w:r>
            <w:r>
              <w:instrText xml:space="preserve"> REF _Ref319675006 \r \h  \* MERGEFORMAT </w:instrText>
            </w:r>
            <w:r>
              <w:fldChar w:fldCharType="separate"/>
            </w:r>
            <w:r>
              <w:t xml:space="preserve">5.1.10</w:t>
            </w:r>
            <w:r>
              <w:fldChar w:fldCharType="end"/>
            </w:r>
            <w:r>
              <w:t xml:space="preserve"> и </w:t>
            </w:r>
            <w:r>
              <w:fldChar w:fldCharType="begin"/>
            </w:r>
            <w:r>
              <w:instrText xml:space="preserve"> REF _Ref319675044 \r \h  \* MERGEFORMAT </w:instrText>
            </w:r>
            <w:r>
              <w:fldChar w:fldCharType="separate"/>
            </w:r>
            <w:r>
              <w:t xml:space="preserve">5.1.15</w:t>
            </w:r>
            <w:r>
              <w:fldChar w:fldCharType="end"/>
            </w:r>
            <w:r>
              <w:t xml:space="preserve">.</w:t>
            </w:r>
            <w:r/>
          </w:p>
          <w:p>
            <w:pPr>
              <w:pStyle w:val="1005"/>
              <w:ind w:left="57" w:right="57"/>
            </w:pPr>
            <w:r>
              <w:t xml:space="preserve">В соответствии с </w:t>
            </w:r>
            <w:r>
              <w:rPr>
                <w:lang w:val="en-US"/>
              </w:rPr>
              <w:t xml:space="preserve">SUFD</w:t>
            </w:r>
            <w:r>
              <w:t xml:space="preserve">-26367 (</w:t>
            </w:r>
            <w:r>
              <w:rPr>
                <w:lang w:val="en-US"/>
              </w:rPr>
              <w:t xml:space="preserve">SUFD</w:t>
            </w:r>
            <w:r>
              <w:t xml:space="preserve">-32783</w:t>
            </w:r>
            <w:r>
              <w:t xml:space="preserve">, </w:t>
            </w:r>
            <w:r>
              <w:t xml:space="preserve">SUFD</w:t>
            </w:r>
            <w:r>
              <w:t xml:space="preserve">-32927</w:t>
            </w:r>
            <w:r>
              <w:t xml:space="preserve">, </w:t>
            </w:r>
            <w:r>
              <w:t xml:space="preserve">SUFD</w:t>
            </w:r>
            <w:r>
              <w:t xml:space="preserve">-33716</w:t>
            </w:r>
            <w:r>
              <w:t xml:space="preserve">) актуализирован п. </w:t>
            </w:r>
            <w:r>
              <w:fldChar w:fldCharType="begin"/>
            </w:r>
            <w:r>
              <w:instrText xml:space="preserve"> REF _Ref311541908 \r \h  \* MERGEFORMAT </w:instrText>
            </w:r>
            <w:r>
              <w:fldChar w:fldCharType="separate"/>
            </w:r>
            <w:r>
              <w:t xml:space="preserve">5.17.1</w:t>
            </w:r>
            <w:r>
              <w:fldChar w:fldCharType="end"/>
            </w:r>
            <w:r>
              <w:t xml:space="preserve">.</w:t>
            </w:r>
            <w:r/>
          </w:p>
        </w:tc>
      </w:tr>
      <w:tr>
        <w:trPr/>
        <w:tc>
          <w:tcPr>
            <w:shd w:val="clear" w:fill="auto" w:color="auto"/>
            <w:tcW w:w="412" w:type="pct"/>
            <w:textDirection w:val="lrTb"/>
            <w:noWrap w:val="false"/>
          </w:tcPr>
          <w:p>
            <w:pPr>
              <w:pStyle w:val="1005"/>
              <w:ind w:left="57" w:right="57"/>
            </w:pPr>
            <w:r>
              <w:t xml:space="preserve">4.7</w:t>
            </w:r>
            <w:r/>
          </w:p>
        </w:tc>
        <w:tc>
          <w:tcPr>
            <w:shd w:val="clear" w:fill="auto" w:color="auto"/>
            <w:tcW w:w="635" w:type="pct"/>
            <w:textDirection w:val="lrTb"/>
            <w:noWrap w:val="false"/>
          </w:tcPr>
          <w:p>
            <w:pPr>
              <w:pStyle w:val="1005"/>
              <w:ind w:left="57" w:right="57"/>
            </w:pPr>
            <w:r>
              <w:t xml:space="preserve">31.05.2012</w:t>
            </w:r>
            <w:r/>
          </w:p>
        </w:tc>
        <w:tc>
          <w:tcPr>
            <w:shd w:val="clear" w:fill="auto" w:color="auto"/>
            <w:tcW w:w="1017" w:type="pct"/>
            <w:textDirection w:val="lrTb"/>
            <w:noWrap w:val="false"/>
          </w:tcPr>
          <w:p>
            <w:pPr>
              <w:pStyle w:val="1005"/>
              <w:ind w:left="57" w:right="57"/>
            </w:pPr>
            <w:r>
              <w:t xml:space="preserve">Гофман И.Д.</w:t>
            </w:r>
            <w:r/>
          </w:p>
          <w:p>
            <w:pPr>
              <w:pStyle w:val="1005"/>
              <w:ind w:left="57" w:right="57"/>
            </w:pPr>
            <w:r>
              <w:t xml:space="preserve">Алексеев И.И.</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-25598 (</w:t>
            </w:r>
            <w:r>
              <w:rPr>
                <w:lang w:val="en-US"/>
              </w:rPr>
              <w:t xml:space="preserve">SUFD</w:t>
            </w:r>
            <w:r>
              <w:t xml:space="preserve">-34065) актуализирован п.</w:t>
            </w:r>
            <w:r>
              <w:t xml:space="preserve"> </w:t>
            </w:r>
            <w:r>
              <w:fldChar w:fldCharType="begin"/>
            </w:r>
            <w:r>
              <w:instrText xml:space="preserve"> REF _Ref324927966 \r \h  \* MERGEFORMAT </w:instrText>
            </w:r>
            <w:r>
              <w:fldChar w:fldCharType="separate"/>
            </w:r>
            <w:r>
              <w:t xml:space="preserve">5.16.1</w:t>
            </w:r>
            <w:r>
              <w:fldChar w:fldCharType="end"/>
            </w:r>
            <w:r>
              <w:t xml:space="preserve">.</w:t>
            </w:r>
            <w:r/>
          </w:p>
          <w:p>
            <w:pPr>
              <w:pStyle w:val="1005"/>
              <w:ind w:left="57" w:right="57"/>
            </w:pPr>
            <w:r>
              <w:t xml:space="preserve">В соответствии с </w:t>
            </w:r>
            <w:r>
              <w:rPr>
                <w:lang w:val="en-US"/>
              </w:rPr>
              <w:t xml:space="preserve">SUFD</w:t>
            </w:r>
            <w:r>
              <w:t xml:space="preserve">-31854 (</w:t>
            </w:r>
            <w:r>
              <w:rPr>
                <w:lang w:val="en-US"/>
              </w:rPr>
              <w:t xml:space="preserve">SUFD</w:t>
            </w:r>
            <w:r>
              <w:t xml:space="preserve">-34152</w:t>
            </w:r>
            <w:r>
              <w:t xml:space="preserve">, </w:t>
            </w:r>
            <w:r>
              <w:t xml:space="preserve">SUFD</w:t>
            </w:r>
            <w:r>
              <w:t xml:space="preserve">-34154</w:t>
            </w:r>
            <w:r>
              <w:t xml:space="preserve">, </w:t>
            </w:r>
            <w:r>
              <w:t xml:space="preserve">SUFD</w:t>
            </w:r>
            <w:r>
              <w:t xml:space="preserve">-34155</w:t>
            </w:r>
            <w:r>
              <w:t xml:space="preserve">, </w:t>
            </w:r>
            <w:r>
              <w:t xml:space="preserve">SUFD</w:t>
            </w:r>
            <w:r>
              <w:t xml:space="preserve">-34156</w:t>
            </w:r>
            <w:r>
              <w:t xml:space="preserve">, </w:t>
            </w:r>
            <w:r>
              <w:t xml:space="preserve">SUFD</w:t>
            </w:r>
            <w:r>
              <w:t xml:space="preserve">-34157</w:t>
            </w:r>
            <w:r>
              <w:t xml:space="preserve">) актуализирован</w:t>
            </w:r>
            <w:r>
              <w:t xml:space="preserve">ы</w:t>
            </w:r>
            <w:r>
              <w:t xml:space="preserve"> </w:t>
            </w:r>
            <w:r>
              <w:t xml:space="preserve">п</w:t>
            </w:r>
            <w:r>
              <w:t xml:space="preserve">п.</w:t>
            </w:r>
            <w:r>
              <w:t xml:space="preserve"> </w:t>
            </w:r>
            <w:r>
              <w:fldChar w:fldCharType="begin"/>
            </w:r>
            <w:r>
              <w:instrText xml:space="preserve"> REF _Ref59718037 \r \h </w:instrText>
            </w:r>
            <w:r>
              <w:fldChar w:fldCharType="separate"/>
            </w:r>
            <w:r>
              <w:t xml:space="preserve">5.4.1</w:t>
            </w:r>
            <w:r>
              <w:fldChar w:fldCharType="end"/>
            </w:r>
            <w:r>
              <w:t xml:space="preserve">, </w:t>
            </w:r>
            <w:r>
              <w:fldChar w:fldCharType="begin"/>
            </w:r>
            <w:r>
              <w:instrText xml:space="preserve"> REF _Ref325618374 \r \h  \* MERGEFORMAT </w:instrText>
            </w:r>
            <w:r>
              <w:fldChar w:fldCharType="separate"/>
            </w:r>
            <w:r>
              <w:t xml:space="preserve">5.3.1</w:t>
            </w:r>
            <w:r>
              <w:fldChar w:fldCharType="end"/>
            </w:r>
            <w:r>
              <w:t xml:space="preserve">, </w:t>
            </w:r>
            <w:r>
              <w:fldChar w:fldCharType="begin"/>
            </w:r>
            <w:r>
              <w:instrText xml:space="preserve"> REF _Ref325638041 \r \h  \* MERGEFORMAT </w:instrText>
            </w:r>
            <w:r>
              <w:fldChar w:fldCharType="separate"/>
            </w:r>
            <w:r>
              <w:t xml:space="preserve">5.1.4</w:t>
            </w:r>
            <w:r>
              <w:fldChar w:fldCharType="end"/>
            </w:r>
            <w:r>
              <w:t xml:space="preserve">, </w:t>
            </w:r>
            <w:r>
              <w:fldChar w:fldCharType="begin"/>
            </w:r>
            <w:r>
              <w:instrText xml:space="preserve"> REF _Ref318189449 \r \h  \* MERGEFORMAT </w:instrText>
            </w:r>
            <w:r>
              <w:fldChar w:fldCharType="separate"/>
            </w:r>
            <w:r>
              <w:t xml:space="preserve">5.1.3.2</w:t>
            </w:r>
            <w:r>
              <w:fldChar w:fldCharType="end"/>
            </w:r>
            <w:r>
              <w:t xml:space="preserve">.</w:t>
            </w:r>
            <w:r/>
          </w:p>
        </w:tc>
      </w:tr>
      <w:tr>
        <w:trPr/>
        <w:tc>
          <w:tcPr>
            <w:shd w:val="clear" w:fill="auto" w:color="auto"/>
            <w:tcW w:w="412" w:type="pct"/>
            <w:textDirection w:val="lrTb"/>
            <w:noWrap w:val="false"/>
          </w:tcPr>
          <w:p>
            <w:pPr>
              <w:pStyle w:val="1005"/>
              <w:ind w:left="57" w:right="57"/>
            </w:pPr>
            <w:r>
              <w:t xml:space="preserve">4.8</w:t>
            </w:r>
            <w:r/>
          </w:p>
        </w:tc>
        <w:tc>
          <w:tcPr>
            <w:shd w:val="clear" w:fill="auto" w:color="auto"/>
            <w:tcW w:w="635" w:type="pct"/>
            <w:textDirection w:val="lrTb"/>
            <w:noWrap w:val="false"/>
          </w:tcPr>
          <w:p>
            <w:pPr>
              <w:pStyle w:val="1005"/>
              <w:ind w:left="57" w:right="57"/>
            </w:pPr>
            <w:r>
              <w:t xml:space="preserve">15.06.2012</w:t>
            </w:r>
            <w:r/>
          </w:p>
        </w:tc>
        <w:tc>
          <w:tcPr>
            <w:shd w:val="clear" w:fill="auto" w:color="auto"/>
            <w:tcW w:w="1017" w:type="pct"/>
            <w:textDirection w:val="lrTb"/>
            <w:noWrap w:val="false"/>
          </w:tcPr>
          <w:p>
            <w:pPr>
              <w:pStyle w:val="1005"/>
              <w:ind w:left="57" w:right="57"/>
            </w:pPr>
            <w:r>
              <w:t xml:space="preserve">Гофман И.Д.</w:t>
            </w:r>
            <w:r/>
          </w:p>
          <w:p>
            <w:pPr>
              <w:pStyle w:val="1005"/>
              <w:ind w:left="57" w:right="57"/>
            </w:pPr>
            <w:r>
              <w:t xml:space="preserve">Алексеев И.И.</w:t>
            </w:r>
            <w:r/>
          </w:p>
          <w:p>
            <w:pPr>
              <w:pStyle w:val="1005"/>
              <w:ind w:left="57" w:right="57"/>
            </w:pPr>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-28127 (</w:t>
            </w:r>
            <w:r>
              <w:rPr>
                <w:lang w:val="en-US"/>
              </w:rPr>
              <w:t xml:space="preserve">SUFD</w:t>
            </w:r>
            <w:r>
              <w:t xml:space="preserve">-34557) введен п. </w:t>
            </w:r>
            <w:r>
              <w:fldChar w:fldCharType="begin"/>
            </w:r>
            <w:r>
              <w:instrText xml:space="preserve"> REF _Ref311541908 \r \h  \* MERGEFORMAT </w:instrText>
            </w:r>
            <w:r>
              <w:fldChar w:fldCharType="separate"/>
            </w:r>
            <w:r>
              <w:t xml:space="preserve">5.17.1</w:t>
            </w:r>
            <w:r>
              <w:fldChar w:fldCharType="end"/>
            </w:r>
            <w:r>
              <w:t xml:space="preserve">.</w:t>
            </w:r>
            <w:r/>
          </w:p>
          <w:p>
            <w:pPr>
              <w:pStyle w:val="1005"/>
              <w:ind w:left="57" w:right="57"/>
            </w:pPr>
            <w:r>
              <w:t xml:space="preserve">В соответствии с </w:t>
            </w:r>
            <w:r>
              <w:rPr>
                <w:lang w:val="en-US"/>
              </w:rPr>
              <w:t xml:space="preserve">SUFD</w:t>
            </w:r>
            <w:r>
              <w:t xml:space="preserve">-29592 (</w:t>
            </w:r>
            <w:r>
              <w:rPr>
                <w:lang w:val="en-US"/>
              </w:rPr>
              <w:t xml:space="preserve">SUFD</w:t>
            </w:r>
            <w:r>
              <w:t xml:space="preserve">-35027) актуализирован п.</w:t>
            </w:r>
            <w:r>
              <w:t xml:space="preserve"> </w:t>
            </w:r>
            <w:r>
              <w:fldChar w:fldCharType="begin"/>
            </w:r>
            <w:r>
              <w:instrText xml:space="preserve"> REF _Ref328575222 \r \h  \* MERGEFORMAT </w:instrText>
            </w:r>
            <w:r>
              <w:fldChar w:fldCharType="separate"/>
            </w:r>
            <w:r>
              <w:t xml:space="preserve">5.3.1</w:t>
            </w:r>
            <w:r>
              <w:fldChar w:fldCharType="end"/>
            </w:r>
            <w:r>
              <w:t xml:space="preserve">.</w:t>
            </w:r>
            <w:r/>
          </w:p>
          <w:p>
            <w:pPr>
              <w:pStyle w:val="1005"/>
              <w:ind w:left="57" w:right="57"/>
            </w:pPr>
            <w:r>
              <w:t xml:space="preserve">В соответствии с </w:t>
            </w:r>
            <w:r>
              <w:rPr>
                <w:lang w:val="en-US"/>
              </w:rPr>
              <w:t xml:space="preserve">SUFD</w:t>
            </w:r>
            <w:r>
              <w:t xml:space="preserve">-33759 (</w:t>
            </w:r>
            <w:r>
              <w:rPr>
                <w:lang w:val="en-US"/>
              </w:rPr>
              <w:t xml:space="preserve">SUFD</w:t>
            </w:r>
            <w:r>
              <w:t xml:space="preserve">-35258) актуализирован п. </w:t>
            </w:r>
            <w:r>
              <w:fldChar w:fldCharType="begin"/>
            </w:r>
            <w:r>
              <w:instrText xml:space="preserve"> REF _Ref328566985 \r \h  \* MERGEFORMAT </w:instrText>
            </w:r>
            <w:r>
              <w:fldChar w:fldCharType="separate"/>
            </w:r>
            <w:r>
              <w:t xml:space="preserve">5.16.1</w:t>
            </w:r>
            <w:r>
              <w:fldChar w:fldCharType="end"/>
            </w:r>
            <w:r>
              <w:t xml:space="preserve">.</w:t>
            </w:r>
            <w:r/>
          </w:p>
          <w:p>
            <w:pPr>
              <w:pStyle w:val="1005"/>
              <w:ind w:left="57" w:right="57"/>
            </w:pPr>
            <w:r>
              <w:t xml:space="preserve">В соответствии с </w:t>
            </w:r>
            <w:r>
              <w:rPr>
                <w:lang w:val="en-US"/>
              </w:rPr>
              <w:t xml:space="preserve">SUFD</w:t>
            </w:r>
            <w:r>
              <w:t xml:space="preserve">-33377 (</w:t>
            </w:r>
            <w:r>
              <w:rPr>
                <w:lang w:val="en-US"/>
              </w:rPr>
              <w:t xml:space="preserve">SUFD</w:t>
            </w:r>
            <w:r>
              <w:t xml:space="preserve">-35338) актуализирован п. </w:t>
            </w:r>
            <w:r>
              <w:fldChar w:fldCharType="begin"/>
            </w:r>
            <w:r>
              <w:instrText xml:space="preserve"> REF _Ref328579724 \r \h  \* MERGEFORMAT </w:instrText>
            </w:r>
            <w:r>
              <w:fldChar w:fldCharType="separate"/>
            </w:r>
            <w:r>
              <w:t xml:space="preserve">5.1.10</w:t>
            </w:r>
            <w:r>
              <w:fldChar w:fldCharType="end"/>
            </w:r>
            <w:r>
              <w:t xml:space="preserve">.</w:t>
            </w:r>
            <w:r/>
          </w:p>
        </w:tc>
      </w:tr>
      <w:tr>
        <w:trPr/>
        <w:tc>
          <w:tcPr>
            <w:shd w:val="clear" w:fill="auto" w:color="auto"/>
            <w:tcW w:w="412" w:type="pct"/>
            <w:textDirection w:val="lrTb"/>
            <w:noWrap w:val="false"/>
          </w:tcPr>
          <w:p>
            <w:pPr>
              <w:pStyle w:val="1005"/>
              <w:ind w:left="57" w:right="57"/>
            </w:pPr>
            <w:r>
              <w:t xml:space="preserve">4.9</w:t>
            </w:r>
            <w:r/>
          </w:p>
        </w:tc>
        <w:tc>
          <w:tcPr>
            <w:shd w:val="clear" w:fill="auto" w:color="auto"/>
            <w:tcW w:w="635" w:type="pct"/>
            <w:textDirection w:val="lrTb"/>
            <w:noWrap w:val="false"/>
          </w:tcPr>
          <w:p>
            <w:pPr>
              <w:pStyle w:val="1005"/>
              <w:ind w:left="57" w:right="57"/>
            </w:pPr>
            <w:r>
              <w:t xml:space="preserve">10.07.2012</w:t>
            </w:r>
            <w:r/>
          </w:p>
        </w:tc>
        <w:tc>
          <w:tcPr>
            <w:shd w:val="clear" w:fill="auto" w:color="auto"/>
            <w:tcW w:w="1017" w:type="pct"/>
            <w:textDirection w:val="lrTb"/>
            <w:noWrap w:val="false"/>
          </w:tcPr>
          <w:p>
            <w:pPr>
              <w:pStyle w:val="1005"/>
              <w:ind w:left="57" w:right="57"/>
            </w:pPr>
            <w:r>
              <w:t xml:space="preserve">Алексеев И.И.</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-35069 (</w:t>
            </w:r>
            <w:r>
              <w:rPr>
                <w:lang w:val="en-US"/>
              </w:rPr>
              <w:t xml:space="preserve">SUFD</w:t>
            </w:r>
            <w:r>
              <w:t xml:space="preserve">-35816) актуализирован п. </w:t>
            </w:r>
            <w:r>
              <w:fldChar w:fldCharType="begin"/>
            </w:r>
            <w:r>
              <w:instrText xml:space="preserve"> REF _Ref311541908 \r \h  \* MERGEFORMAT </w:instrText>
            </w:r>
            <w:r>
              <w:fldChar w:fldCharType="separate"/>
            </w:r>
            <w:r>
              <w:t xml:space="preserve">5.17.1</w:t>
            </w:r>
            <w:r>
              <w:fldChar w:fldCharType="end"/>
            </w:r>
            <w:r>
              <w:t xml:space="preserve">.</w:t>
            </w:r>
            <w:r/>
          </w:p>
        </w:tc>
      </w:tr>
      <w:tr>
        <w:trPr/>
        <w:tc>
          <w:tcPr>
            <w:shd w:val="clear" w:fill="auto" w:color="auto"/>
            <w:tcW w:w="412" w:type="pct"/>
            <w:textDirection w:val="lrTb"/>
            <w:noWrap w:val="false"/>
          </w:tcPr>
          <w:p>
            <w:pPr>
              <w:pStyle w:val="1005"/>
              <w:ind w:left="57" w:right="57"/>
            </w:pPr>
            <w:r>
              <w:t xml:space="preserve">5.0</w:t>
            </w:r>
            <w:r/>
          </w:p>
        </w:tc>
        <w:tc>
          <w:tcPr>
            <w:shd w:val="clear" w:fill="auto" w:color="auto"/>
            <w:tcW w:w="635" w:type="pct"/>
            <w:textDirection w:val="lrTb"/>
            <w:noWrap w:val="false"/>
          </w:tcPr>
          <w:p>
            <w:pPr>
              <w:pStyle w:val="1005"/>
              <w:ind w:left="57" w:right="57"/>
            </w:pPr>
            <w:r>
              <w:t xml:space="preserve">31.07.2012</w:t>
            </w:r>
            <w:r/>
          </w:p>
        </w:tc>
        <w:tc>
          <w:tcPr>
            <w:shd w:val="clear" w:fill="auto" w:color="auto"/>
            <w:tcW w:w="1017" w:type="pct"/>
            <w:textDirection w:val="lrTb"/>
            <w:noWrap w:val="false"/>
          </w:tcPr>
          <w:p>
            <w:pPr>
              <w:pStyle w:val="1005"/>
              <w:ind w:left="57" w:right="57"/>
            </w:pPr>
            <w:r>
              <w:t xml:space="preserve">Алексеев И.И.</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-36283 (</w:t>
            </w:r>
            <w:r>
              <w:rPr>
                <w:lang w:val="en-US"/>
              </w:rPr>
              <w:t xml:space="preserve">SUFD</w:t>
            </w:r>
            <w:r>
              <w:t xml:space="preserve">-36542) актуализирован п. </w:t>
            </w:r>
            <w:r>
              <w:fldChar w:fldCharType="begin"/>
            </w:r>
            <w:r>
              <w:instrText xml:space="preserve"> REF _Ref331503789 \r \h  \* MERGEFORMAT </w:instrText>
            </w:r>
            <w:r>
              <w:fldChar w:fldCharType="separate"/>
            </w:r>
            <w:r>
              <w:t xml:space="preserve">5.16.1</w:t>
            </w:r>
            <w:r>
              <w:fldChar w:fldCharType="end"/>
            </w:r>
            <w:r>
              <w:t xml:space="preserve">.</w:t>
            </w:r>
            <w:r/>
          </w:p>
          <w:p>
            <w:pPr>
              <w:pStyle w:val="1005"/>
              <w:ind w:left="57" w:right="57"/>
            </w:pPr>
            <w:r>
              <w:t xml:space="preserve">В соответствии с </w:t>
            </w:r>
            <w:r>
              <w:rPr>
                <w:lang w:val="en-US"/>
              </w:rPr>
              <w:t xml:space="preserve">SUFD</w:t>
            </w:r>
            <w:r>
              <w:t xml:space="preserve">-16390 (</w:t>
            </w:r>
            <w:r>
              <w:rPr>
                <w:lang w:val="en-US"/>
              </w:rPr>
              <w:t xml:space="preserve">FTAS</w:t>
            </w:r>
            <w:r>
              <w:t xml:space="preserve">-162283) добавлен п.</w:t>
            </w:r>
            <w:r>
              <w:t xml:space="preserve"> </w:t>
            </w:r>
            <w:r>
              <w:fldChar w:fldCharType="begin"/>
            </w:r>
            <w:r>
              <w:instrText xml:space="preserve"> REF _Ref452627405 \r \h </w:instrText>
            </w:r>
            <w:r>
              <w:fldChar w:fldCharType="separate"/>
            </w:r>
            <w:r>
              <w:t xml:space="preserve">5.13.1.3</w:t>
            </w:r>
            <w:r>
              <w:fldChar w:fldCharType="end"/>
            </w:r>
            <w:r>
              <w:t xml:space="preserve">.</w:t>
            </w:r>
            <w:r/>
          </w:p>
          <w:p>
            <w:pPr>
              <w:pStyle w:val="1005"/>
              <w:ind w:left="57" w:right="57"/>
            </w:pPr>
            <w:r>
              <w:t xml:space="preserve">В соответствии с </w:t>
            </w:r>
            <w:r>
              <w:rPr>
                <w:lang w:val="en-US"/>
              </w:rPr>
              <w:t xml:space="preserve">SUFD</w:t>
            </w:r>
            <w:r>
              <w:t xml:space="preserve">-35080 (</w:t>
            </w:r>
            <w:r>
              <w:rPr>
                <w:lang w:val="en-US"/>
              </w:rPr>
              <w:t xml:space="preserve">SUFD</w:t>
            </w:r>
            <w:r>
              <w:t xml:space="preserve">-36363) актуализирован п. </w:t>
            </w:r>
            <w:r>
              <w:fldChar w:fldCharType="begin"/>
            </w:r>
            <w:r>
              <w:instrText xml:space="preserve"> REF _Ref311541908 \r \h  \* MERGEFORMAT </w:instrText>
            </w:r>
            <w:r>
              <w:fldChar w:fldCharType="separate"/>
            </w:r>
            <w:r>
              <w:t xml:space="preserve">5.17.1</w:t>
            </w:r>
            <w:r>
              <w:fldChar w:fldCharType="end"/>
            </w:r>
            <w:r>
              <w:t xml:space="preserve">.</w:t>
            </w:r>
            <w:r/>
          </w:p>
        </w:tc>
      </w:tr>
      <w:tr>
        <w:trPr/>
        <w:tc>
          <w:tcPr>
            <w:shd w:val="clear" w:fill="auto" w:color="auto"/>
            <w:tcW w:w="412" w:type="pct"/>
            <w:textDirection w:val="lrTb"/>
            <w:noWrap w:val="false"/>
          </w:tcPr>
          <w:p>
            <w:pPr>
              <w:pStyle w:val="1005"/>
              <w:ind w:left="57" w:right="57"/>
            </w:pPr>
            <w:r>
              <w:t xml:space="preserve">5.1</w:t>
            </w:r>
            <w:r/>
          </w:p>
        </w:tc>
        <w:tc>
          <w:tcPr>
            <w:shd w:val="clear" w:fill="auto" w:color="auto"/>
            <w:tcW w:w="635" w:type="pct"/>
            <w:textDirection w:val="lrTb"/>
            <w:noWrap w:val="false"/>
          </w:tcPr>
          <w:p>
            <w:pPr>
              <w:pStyle w:val="1005"/>
              <w:ind w:left="57" w:right="57"/>
            </w:pPr>
            <w:r>
              <w:t xml:space="preserve">28.08.2012</w:t>
            </w:r>
            <w:r/>
          </w:p>
        </w:tc>
        <w:tc>
          <w:tcPr>
            <w:shd w:val="clear" w:fill="auto" w:color="auto"/>
            <w:tcW w:w="1017" w:type="pct"/>
            <w:textDirection w:val="lrTb"/>
            <w:noWrap w:val="false"/>
          </w:tcPr>
          <w:p>
            <w:pPr>
              <w:pStyle w:val="1005"/>
              <w:ind w:left="57" w:right="57"/>
            </w:pPr>
            <w:r>
              <w:t xml:space="preserve">Алексеев И.И.</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-33195 (</w:t>
            </w:r>
            <w:r>
              <w:rPr>
                <w:lang w:val="en-US"/>
              </w:rPr>
              <w:t xml:space="preserve">SUFD</w:t>
            </w:r>
            <w:r>
              <w:t xml:space="preserve">-35510) актуализирован п. </w:t>
            </w:r>
            <w:r>
              <w:fldChar w:fldCharType="begin"/>
            </w:r>
            <w:r>
              <w:instrText xml:space="preserve"> REF _Ref311541908 \r \h  \* MERGEFORMAT </w:instrText>
            </w:r>
            <w:r>
              <w:fldChar w:fldCharType="separate"/>
            </w:r>
            <w:r>
              <w:t xml:space="preserve">5.17.1</w:t>
            </w:r>
            <w:r>
              <w:fldChar w:fldCharType="end"/>
            </w:r>
            <w:r>
              <w:t xml:space="preserve">.</w:t>
            </w:r>
            <w:r/>
          </w:p>
        </w:tc>
      </w:tr>
      <w:tr>
        <w:trPr/>
        <w:tc>
          <w:tcPr>
            <w:shd w:val="clear" w:fill="auto" w:color="auto"/>
            <w:tcW w:w="412" w:type="pct"/>
            <w:textDirection w:val="lrTb"/>
            <w:noWrap w:val="false"/>
          </w:tcPr>
          <w:p>
            <w:pPr>
              <w:pStyle w:val="1005"/>
              <w:ind w:left="57" w:right="57"/>
            </w:pPr>
            <w:r>
              <w:t xml:space="preserve">5.2</w:t>
            </w:r>
            <w:r/>
          </w:p>
        </w:tc>
        <w:tc>
          <w:tcPr>
            <w:shd w:val="clear" w:fill="auto" w:color="auto"/>
            <w:tcW w:w="635" w:type="pct"/>
            <w:textDirection w:val="lrTb"/>
            <w:noWrap w:val="false"/>
          </w:tcPr>
          <w:p>
            <w:pPr>
              <w:pStyle w:val="1005"/>
              <w:ind w:left="57" w:right="57"/>
            </w:pPr>
            <w:r>
              <w:t xml:space="preserve">25.09.2012</w:t>
            </w:r>
            <w:r/>
          </w:p>
        </w:tc>
        <w:tc>
          <w:tcPr>
            <w:shd w:val="clear" w:fill="auto" w:color="auto"/>
            <w:tcW w:w="1017" w:type="pct"/>
            <w:textDirection w:val="lrTb"/>
            <w:noWrap w:val="false"/>
          </w:tcPr>
          <w:p>
            <w:pPr>
              <w:pStyle w:val="1005"/>
              <w:ind w:left="57" w:right="57"/>
            </w:pPr>
            <w:r>
              <w:t xml:space="preserve">Алексеев И.И.</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-20932 (</w:t>
            </w:r>
            <w:r>
              <w:rPr>
                <w:lang w:val="en-US"/>
              </w:rPr>
              <w:t xml:space="preserve">SUFD</w:t>
            </w:r>
            <w:r>
              <w:t xml:space="preserve">-36161, </w:t>
            </w:r>
            <w:r>
              <w:rPr>
                <w:lang w:val="en-US"/>
              </w:rPr>
              <w:t xml:space="preserve">SUFD</w:t>
            </w:r>
            <w:r>
              <w:t xml:space="preserve">-38129) актуализирован п. </w:t>
            </w:r>
            <w:r>
              <w:fldChar w:fldCharType="begin"/>
            </w:r>
            <w:r>
              <w:instrText xml:space="preserve"> REF _Ref336355460 \r \h  \* MERGEFORMAT </w:instrText>
            </w:r>
            <w:r>
              <w:fldChar w:fldCharType="separate"/>
            </w:r>
            <w:r>
              <w:t xml:space="preserve">5.16.1</w:t>
            </w:r>
            <w:r>
              <w:fldChar w:fldCharType="end"/>
            </w:r>
            <w:r>
              <w:t xml:space="preserve">.</w:t>
            </w:r>
            <w:r/>
          </w:p>
        </w:tc>
      </w:tr>
      <w:tr>
        <w:trPr/>
        <w:tc>
          <w:tcPr>
            <w:shd w:val="clear" w:fill="auto" w:color="auto"/>
            <w:tcW w:w="412" w:type="pct"/>
            <w:textDirection w:val="lrTb"/>
            <w:noWrap w:val="false"/>
          </w:tcPr>
          <w:p>
            <w:pPr>
              <w:pStyle w:val="1005"/>
              <w:ind w:left="57" w:right="57"/>
            </w:pPr>
            <w:r>
              <w:t xml:space="preserve">5.3</w:t>
            </w:r>
            <w:r/>
          </w:p>
        </w:tc>
        <w:tc>
          <w:tcPr>
            <w:shd w:val="clear" w:fill="auto" w:color="auto"/>
            <w:tcW w:w="635" w:type="pct"/>
            <w:textDirection w:val="lrTb"/>
            <w:noWrap w:val="false"/>
          </w:tcPr>
          <w:p>
            <w:pPr>
              <w:pStyle w:val="1005"/>
              <w:ind w:left="57" w:right="57"/>
            </w:pPr>
            <w:r>
              <w:t xml:space="preserve">17.10.2012</w:t>
            </w:r>
            <w:r/>
          </w:p>
        </w:tc>
        <w:tc>
          <w:tcPr>
            <w:shd w:val="clear" w:fill="auto" w:color="auto"/>
            <w:tcW w:w="1017" w:type="pct"/>
            <w:textDirection w:val="lrTb"/>
            <w:noWrap w:val="false"/>
          </w:tcPr>
          <w:p>
            <w:pPr>
              <w:pStyle w:val="1005"/>
              <w:ind w:left="57" w:right="57"/>
            </w:pPr>
            <w:r>
              <w:t xml:space="preserve">Алексеев И.И.</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FTAS</w:t>
            </w:r>
            <w:r>
              <w:t xml:space="preserve">-158804 (</w:t>
            </w:r>
            <w:r>
              <w:rPr>
                <w:lang w:val="en-US"/>
              </w:rPr>
              <w:t xml:space="preserve">SUFD</w:t>
            </w:r>
            <w:r>
              <w:t xml:space="preserve">-38220) добавлен п.</w:t>
            </w:r>
            <w:r>
              <w:t xml:space="preserve"> </w:t>
            </w:r>
            <w:r>
              <w:fldChar w:fldCharType="begin"/>
            </w:r>
            <w:r>
              <w:instrText xml:space="preserve"> REF _Ref448762970 \r \h </w:instrText>
            </w:r>
            <w:r>
              <w:fldChar w:fldCharType="separate"/>
            </w:r>
            <w:r>
              <w:t xml:space="preserve">5.11.1</w:t>
            </w:r>
            <w:r>
              <w:fldChar w:fldCharType="end"/>
            </w:r>
            <w:r>
              <w:t xml:space="preserve">.</w:t>
            </w:r>
            <w:r/>
          </w:p>
          <w:p>
            <w:pPr>
              <w:pStyle w:val="1005"/>
              <w:ind w:left="57" w:right="57"/>
            </w:pPr>
            <w:r>
              <w:t xml:space="preserve">В соответствии с </w:t>
            </w:r>
            <w:r>
              <w:rPr>
                <w:lang w:val="en-US"/>
              </w:rPr>
              <w:t xml:space="preserve">SUFD</w:t>
            </w:r>
            <w:r>
              <w:t xml:space="preserve">-20932 (</w:t>
            </w:r>
            <w:r>
              <w:rPr>
                <w:lang w:val="en-US"/>
              </w:rPr>
              <w:t xml:space="preserve">SUFD</w:t>
            </w:r>
            <w:r>
              <w:t xml:space="preserve">-25613) актуализи</w:t>
            </w:r>
            <w:r>
              <w:t xml:space="preserve">рован п. </w:t>
            </w:r>
            <w:r>
              <w:fldChar w:fldCharType="begin"/>
            </w:r>
            <w:r>
              <w:instrText xml:space="preserve"> REF _Ref339455954 \r \h  \* MERGEFORMAT </w:instrText>
            </w:r>
            <w:r>
              <w:fldChar w:fldCharType="separate"/>
            </w:r>
            <w:r>
              <w:t xml:space="preserve">5.16.1</w:t>
            </w:r>
            <w:r>
              <w:fldChar w:fldCharType="end"/>
            </w:r>
            <w:r>
              <w:t xml:space="preserve">.</w:t>
            </w:r>
            <w:r/>
          </w:p>
        </w:tc>
      </w:tr>
      <w:tr>
        <w:trPr/>
        <w:tc>
          <w:tcPr>
            <w:shd w:val="clear" w:fill="auto" w:color="auto"/>
            <w:tcW w:w="412" w:type="pct"/>
            <w:textDirection w:val="lrTb"/>
            <w:noWrap w:val="false"/>
          </w:tcPr>
          <w:p>
            <w:pPr>
              <w:pStyle w:val="1005"/>
              <w:ind w:left="57" w:right="57"/>
            </w:pPr>
            <w:r>
              <w:t xml:space="preserve">5.4</w:t>
            </w:r>
            <w:r/>
          </w:p>
        </w:tc>
        <w:tc>
          <w:tcPr>
            <w:shd w:val="clear" w:fill="auto" w:color="auto"/>
            <w:tcW w:w="635" w:type="pct"/>
            <w:textDirection w:val="lrTb"/>
            <w:noWrap w:val="false"/>
          </w:tcPr>
          <w:p>
            <w:pPr>
              <w:pStyle w:val="1005"/>
              <w:ind w:left="57" w:right="57"/>
            </w:pPr>
            <w:r>
              <w:t xml:space="preserve">23.11.2012</w:t>
            </w:r>
            <w:r/>
          </w:p>
        </w:tc>
        <w:tc>
          <w:tcPr>
            <w:shd w:val="clear" w:fill="auto" w:color="auto"/>
            <w:tcW w:w="1017" w:type="pct"/>
            <w:textDirection w:val="lrTb"/>
            <w:noWrap w:val="false"/>
          </w:tcPr>
          <w:p>
            <w:pPr>
              <w:pStyle w:val="1005"/>
              <w:ind w:left="57" w:right="57"/>
            </w:pPr>
            <w:r>
              <w:t xml:space="preserve">Алексеев И.И.</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-36951 (</w:t>
            </w:r>
            <w:r>
              <w:rPr>
                <w:lang w:val="en-US"/>
              </w:rPr>
              <w:t xml:space="preserve">SUFD</w:t>
            </w:r>
            <w:r>
              <w:t xml:space="preserve">-39759) актуализирован п. </w:t>
            </w:r>
            <w:r>
              <w:fldChar w:fldCharType="begin"/>
            </w:r>
            <w:r>
              <w:instrText xml:space="preserve"> REF _Ref341441063 \r \h  \* MERGEFORMAT </w:instrText>
            </w:r>
            <w:r>
              <w:fldChar w:fldCharType="separate"/>
            </w:r>
            <w:r>
              <w:t xml:space="preserve">5.3.1</w:t>
            </w:r>
            <w:r>
              <w:fldChar w:fldCharType="end"/>
            </w:r>
            <w:r>
              <w:t xml:space="preserve">.</w:t>
            </w:r>
            <w:r/>
          </w:p>
          <w:p>
            <w:pPr>
              <w:pStyle w:val="1005"/>
              <w:ind w:left="57" w:right="57"/>
            </w:pPr>
            <w:r>
              <w:t xml:space="preserve">В соответствии с </w:t>
            </w:r>
            <w:r>
              <w:rPr>
                <w:lang w:val="en-US"/>
              </w:rPr>
              <w:t xml:space="preserve">SUFD</w:t>
            </w:r>
            <w:r>
              <w:t xml:space="preserve">-36951 (</w:t>
            </w:r>
            <w:r>
              <w:rPr>
                <w:lang w:val="en-US"/>
              </w:rPr>
              <w:t xml:space="preserve">SUFD</w:t>
            </w:r>
            <w:r>
              <w:t xml:space="preserve">-39758) актуализирован п. </w:t>
            </w:r>
            <w:r>
              <w:fldChar w:fldCharType="begin"/>
            </w:r>
            <w:r>
              <w:instrText xml:space="preserve"> REF _Ref341447804 \r \h  \* MERGEFORMAT </w:instrText>
            </w:r>
            <w:r>
              <w:fldChar w:fldCharType="separate"/>
            </w:r>
            <w:r>
              <w:t xml:space="preserve">5.1.5</w:t>
            </w:r>
            <w:r>
              <w:fldChar w:fldCharType="end"/>
            </w:r>
            <w:r>
              <w:t xml:space="preserve">.</w:t>
            </w:r>
            <w:r/>
          </w:p>
          <w:p>
            <w:pPr>
              <w:pStyle w:val="1005"/>
              <w:ind w:left="57" w:right="57"/>
            </w:pPr>
            <w:r>
              <w:t xml:space="preserve">В соответствии с </w:t>
            </w:r>
            <w:r>
              <w:rPr>
                <w:lang w:val="en-US"/>
              </w:rPr>
              <w:t xml:space="preserve">SUFD</w:t>
            </w:r>
            <w:r>
              <w:t xml:space="preserve">-37883 (</w:t>
            </w:r>
            <w:r>
              <w:rPr>
                <w:lang w:val="en-US"/>
              </w:rPr>
              <w:t xml:space="preserve">SUFD</w:t>
            </w:r>
            <w:r>
              <w:t xml:space="preserve">-39766</w:t>
            </w:r>
            <w:r>
              <w:t xml:space="preserve">, </w:t>
            </w:r>
            <w:r>
              <w:t xml:space="preserve">SUFD</w:t>
            </w:r>
            <w:r>
              <w:t xml:space="preserve">-39768</w:t>
            </w:r>
            <w:r>
              <w:t xml:space="preserve">, </w:t>
            </w:r>
            <w:r>
              <w:t xml:space="preserve">SUFD</w:t>
            </w:r>
            <w:r>
              <w:t xml:space="preserve">-39772</w:t>
            </w:r>
            <w:r>
              <w:t xml:space="preserve">) актуализирован</w:t>
            </w:r>
            <w:r>
              <w:t xml:space="preserve">ы</w:t>
            </w:r>
            <w:r>
              <w:t xml:space="preserve"> </w:t>
            </w:r>
            <w:r>
              <w:t xml:space="preserve">п</w:t>
            </w:r>
            <w:r>
              <w:t xml:space="preserve">п. </w:t>
            </w:r>
            <w:r>
              <w:fldChar w:fldCharType="begin"/>
            </w:r>
            <w:r>
              <w:instrText xml:space="preserve"> REF _Ref341799410 \r \h  \* MERGEFORMAT </w:instrText>
            </w:r>
            <w:r>
              <w:fldChar w:fldCharType="separate"/>
            </w:r>
            <w:r>
              <w:t xml:space="preserve">5.1.15</w:t>
            </w:r>
            <w:r>
              <w:fldChar w:fldCharType="end"/>
            </w:r>
            <w:r>
              <w:t xml:space="preserve">, </w:t>
            </w:r>
            <w:r>
              <w:fldChar w:fldCharType="begin"/>
            </w:r>
            <w:r>
              <w:instrText xml:space="preserve"> REF _Ref341870321 \r \h  \* MERGEFORMAT </w:instrText>
            </w:r>
            <w:r>
              <w:fldChar w:fldCharType="separate"/>
            </w:r>
            <w:r>
              <w:t xml:space="preserve">5.1.4</w:t>
            </w:r>
            <w:r>
              <w:fldChar w:fldCharType="end"/>
            </w:r>
            <w:r>
              <w:t xml:space="preserve">, </w:t>
            </w:r>
            <w:r>
              <w:fldChar w:fldCharType="begin"/>
            </w:r>
            <w:r>
              <w:instrText xml:space="preserve"> REF _Ref341877464 \r \h  \* MERGEFORMAT </w:instrText>
            </w:r>
            <w:r>
              <w:fldChar w:fldCharType="separate"/>
            </w:r>
            <w:r>
              <w:t xml:space="preserve">5.1.1</w:t>
            </w:r>
            <w:r>
              <w:fldChar w:fldCharType="end"/>
            </w:r>
            <w:r>
              <w:t xml:space="preserve">.</w:t>
            </w:r>
            <w:r>
              <w:t xml:space="preserve"> </w:t>
            </w:r>
            <w:r/>
          </w:p>
        </w:tc>
      </w:tr>
      <w:tr>
        <w:trPr/>
        <w:tc>
          <w:tcPr>
            <w:shd w:val="clear" w:fill="auto" w:color="auto"/>
            <w:tcW w:w="412" w:type="pct"/>
            <w:textDirection w:val="lrTb"/>
            <w:noWrap w:val="false"/>
          </w:tcPr>
          <w:p>
            <w:pPr>
              <w:pStyle w:val="1005"/>
              <w:ind w:left="57" w:right="57"/>
            </w:pPr>
            <w:r>
              <w:t xml:space="preserve">5.5</w:t>
            </w:r>
            <w:r/>
          </w:p>
        </w:tc>
        <w:tc>
          <w:tcPr>
            <w:shd w:val="clear" w:fill="auto" w:color="auto"/>
            <w:tcW w:w="635" w:type="pct"/>
            <w:textDirection w:val="lrTb"/>
            <w:noWrap w:val="false"/>
          </w:tcPr>
          <w:p>
            <w:pPr>
              <w:pStyle w:val="1005"/>
              <w:ind w:left="57" w:right="57"/>
            </w:pPr>
            <w:r>
              <w:t xml:space="preserve">29.11.2012</w:t>
            </w:r>
            <w:r/>
          </w:p>
        </w:tc>
        <w:tc>
          <w:tcPr>
            <w:shd w:val="clear" w:fill="auto" w:color="auto"/>
            <w:tcW w:w="1017" w:type="pct"/>
            <w:textDirection w:val="lrTb"/>
            <w:noWrap w:val="false"/>
          </w:tcPr>
          <w:p>
            <w:pPr>
              <w:pStyle w:val="1005"/>
              <w:ind w:left="57" w:right="57"/>
            </w:pPr>
            <w:r>
              <w:t xml:space="preserve">Алексеев И.И.</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-34750</w:t>
            </w:r>
            <w:r>
              <w:rPr>
                <w:sz w:val="26"/>
                <w:szCs w:val="26"/>
              </w:rPr>
              <w:t xml:space="preserve"> </w:t>
            </w:r>
            <w:r>
              <w:t xml:space="preserve">(</w:t>
            </w:r>
            <w:r>
              <w:rPr>
                <w:lang w:val="en-US"/>
              </w:rPr>
              <w:t xml:space="preserve">SUFD</w:t>
            </w:r>
            <w:r>
              <w:t xml:space="preserve">-40074) актуализирован п.</w:t>
            </w:r>
            <w:r>
              <w:t xml:space="preserve"> </w:t>
            </w:r>
            <w:r>
              <w:fldChar w:fldCharType="begin"/>
            </w:r>
            <w:r>
              <w:instrText xml:space="preserve"> REF _Ref59718068 \r \h </w:instrText>
            </w:r>
            <w:r>
              <w:fldChar w:fldCharType="separate"/>
            </w:r>
            <w:r>
              <w:t xml:space="preserve">5.4.1</w:t>
            </w:r>
            <w:r>
              <w:fldChar w:fldCharType="end"/>
            </w:r>
            <w:r>
              <w:t xml:space="preserve">.</w:t>
            </w:r>
            <w:r/>
          </w:p>
          <w:p>
            <w:pPr>
              <w:pStyle w:val="1005"/>
              <w:ind w:left="57" w:right="57"/>
            </w:pPr>
            <w:r>
              <w:t xml:space="preserve">В соответствии с </w:t>
            </w:r>
            <w:r>
              <w:rPr>
                <w:lang w:val="en-US"/>
              </w:rPr>
              <w:t xml:space="preserve">SUFD</w:t>
            </w:r>
            <w:r>
              <w:t xml:space="preserve">-38370 (</w:t>
            </w:r>
            <w:r>
              <w:rPr>
                <w:lang w:val="en-US"/>
              </w:rPr>
              <w:t xml:space="preserve">SUFD</w:t>
            </w:r>
            <w:r>
              <w:t xml:space="preserve">-40075</w:t>
            </w:r>
            <w:r>
              <w:t xml:space="preserve">, </w:t>
            </w:r>
            <w:r>
              <w:t xml:space="preserve">SUFD</w:t>
            </w:r>
            <w:r>
              <w:t xml:space="preserve">-40078</w:t>
            </w:r>
            <w:r>
              <w:t xml:space="preserve">) ак</w:t>
            </w:r>
            <w:r>
              <w:t xml:space="preserve">туализирован</w:t>
            </w:r>
            <w:r>
              <w:t xml:space="preserve">ы</w:t>
            </w:r>
            <w:r>
              <w:t xml:space="preserve"> </w:t>
            </w:r>
            <w:r>
              <w:t xml:space="preserve">п</w:t>
            </w:r>
            <w:r>
              <w:t xml:space="preserve">п. </w:t>
            </w:r>
            <w:r>
              <w:fldChar w:fldCharType="begin"/>
            </w:r>
            <w:r>
              <w:instrText xml:space="preserve"> REF _Ref342039419 \r \h  \* MERGEFORMAT </w:instrText>
            </w:r>
            <w:r>
              <w:fldChar w:fldCharType="separate"/>
            </w:r>
            <w:r>
              <w:t xml:space="preserve">5.6</w:t>
            </w:r>
            <w:r>
              <w:fldChar w:fldCharType="end"/>
            </w:r>
            <w:r>
              <w:t xml:space="preserve">, </w:t>
            </w:r>
            <w:r>
              <w:fldChar w:fldCharType="begin"/>
            </w:r>
            <w:r>
              <w:instrText xml:space="preserve"> REF _Ref342306549 \r \h  \* MERGEFORMAT </w:instrText>
            </w:r>
            <w:r>
              <w:fldChar w:fldCharType="separate"/>
            </w:r>
            <w:r>
              <w:t xml:space="preserve">5.1.4</w:t>
            </w:r>
            <w:r>
              <w:fldChar w:fldCharType="end"/>
            </w:r>
            <w:r>
              <w:t xml:space="preserve">.</w:t>
            </w:r>
            <w:r/>
          </w:p>
          <w:p>
            <w:pPr>
              <w:pStyle w:val="1005"/>
              <w:ind w:left="57" w:right="57"/>
            </w:pPr>
            <w:r>
              <w:t xml:space="preserve">В соответствии с </w:t>
            </w:r>
            <w:r>
              <w:rPr>
                <w:lang w:val="en-US"/>
              </w:rPr>
              <w:t xml:space="preserve">SUFD</w:t>
            </w:r>
            <w:r>
              <w:t xml:space="preserve">-38477</w:t>
            </w:r>
            <w:r>
              <w:rPr>
                <w:sz w:val="26"/>
                <w:szCs w:val="26"/>
              </w:rPr>
              <w:t xml:space="preserve"> </w:t>
            </w:r>
            <w:r>
              <w:t xml:space="preserve">(</w:t>
            </w:r>
            <w:r>
              <w:rPr>
                <w:lang w:val="en-US"/>
              </w:rPr>
              <w:t xml:space="preserve">SUFD</w:t>
            </w:r>
            <w:r>
              <w:t xml:space="preserve">-40085) актуализирован п. </w:t>
            </w:r>
            <w:r>
              <w:fldChar w:fldCharType="begin"/>
            </w:r>
            <w:r>
              <w:instrText xml:space="preserve"> REF _Ref342316954 \r \h  \* MERGEFORMAT </w:instrText>
            </w:r>
            <w:r>
              <w:fldChar w:fldCharType="separate"/>
            </w:r>
            <w:r>
              <w:t xml:space="preserve">5.1.10</w:t>
            </w:r>
            <w:r>
              <w:fldChar w:fldCharType="end"/>
            </w:r>
            <w:r>
              <w:t xml:space="preserve">.</w:t>
            </w:r>
            <w:r/>
          </w:p>
          <w:p>
            <w:pPr>
              <w:pStyle w:val="1005"/>
              <w:ind w:left="57" w:right="57"/>
            </w:pPr>
            <w:r>
              <w:t xml:space="preserve">В соответствии с </w:t>
            </w:r>
            <w:r>
              <w:rPr>
                <w:lang w:val="en-US"/>
              </w:rPr>
              <w:t xml:space="preserve">SUFD</w:t>
            </w:r>
            <w:r>
              <w:t xml:space="preserve">-39750</w:t>
            </w:r>
            <w:r>
              <w:rPr>
                <w:sz w:val="26"/>
                <w:szCs w:val="26"/>
              </w:rPr>
              <w:t xml:space="preserve"> </w:t>
            </w:r>
            <w:r>
              <w:t xml:space="preserve">(</w:t>
            </w:r>
            <w:r>
              <w:rPr>
                <w:lang w:val="en-US"/>
              </w:rPr>
              <w:t xml:space="preserve">SUFD</w:t>
            </w:r>
            <w:r>
              <w:t xml:space="preserve">-40093) актуализирован п. </w:t>
            </w:r>
            <w:r>
              <w:fldChar w:fldCharType="begin"/>
            </w:r>
            <w:r>
              <w:instrText xml:space="preserve"> REF _Ref342401790 \r \h  \* MERGEFORMAT </w:instrText>
            </w:r>
            <w:r>
              <w:fldChar w:fldCharType="separate"/>
            </w:r>
            <w:r>
              <w:t xml:space="preserve">5.12.1</w:t>
            </w:r>
            <w:r>
              <w:fldChar w:fldCharType="end"/>
            </w:r>
            <w:r>
              <w:t xml:space="preserve">.</w:t>
            </w:r>
            <w:r/>
          </w:p>
        </w:tc>
      </w:tr>
      <w:tr>
        <w:trPr/>
        <w:tc>
          <w:tcPr>
            <w:shd w:val="clear" w:fill="auto" w:color="auto"/>
            <w:tcW w:w="412" w:type="pct"/>
            <w:textDirection w:val="lrTb"/>
            <w:noWrap w:val="false"/>
          </w:tcPr>
          <w:p>
            <w:pPr>
              <w:pStyle w:val="1005"/>
              <w:ind w:left="57" w:right="57"/>
            </w:pPr>
            <w:r>
              <w:t xml:space="preserve">5.6</w:t>
            </w:r>
            <w:r/>
          </w:p>
        </w:tc>
        <w:tc>
          <w:tcPr>
            <w:shd w:val="clear" w:fill="auto" w:color="auto"/>
            <w:tcW w:w="635" w:type="pct"/>
            <w:textDirection w:val="lrTb"/>
            <w:noWrap w:val="false"/>
          </w:tcPr>
          <w:p>
            <w:pPr>
              <w:pStyle w:val="1005"/>
              <w:ind w:left="57" w:right="57"/>
            </w:pPr>
            <w:r>
              <w:t xml:space="preserve">11.12.2012</w:t>
            </w:r>
            <w:r/>
          </w:p>
        </w:tc>
        <w:tc>
          <w:tcPr>
            <w:shd w:val="clear" w:fill="auto" w:color="auto"/>
            <w:tcW w:w="1017" w:type="pct"/>
            <w:textDirection w:val="lrTb"/>
            <w:noWrap w:val="false"/>
          </w:tcPr>
          <w:p>
            <w:pPr>
              <w:pStyle w:val="1005"/>
              <w:ind w:left="57" w:right="57"/>
            </w:pPr>
            <w:r>
              <w:t xml:space="preserve">Алексеев И.И.</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-34509 (</w:t>
            </w:r>
            <w:r>
              <w:rPr>
                <w:lang w:val="en-US"/>
              </w:rPr>
              <w:t xml:space="preserve">SUFD</w:t>
            </w:r>
            <w:r>
              <w:t xml:space="preserve">-38112) актуализирован п. </w:t>
            </w:r>
            <w:r>
              <w:fldChar w:fldCharType="begin"/>
            </w:r>
            <w:r>
              <w:instrText xml:space="preserve"> REF _Ref342997175 \r \h  \* MERGEFORMAT </w:instrText>
            </w:r>
            <w:r>
              <w:fldChar w:fldCharType="separate"/>
            </w:r>
            <w:r>
              <w:t xml:space="preserve">5.3.1</w:t>
            </w:r>
            <w:r>
              <w:fldChar w:fldCharType="end"/>
            </w:r>
            <w:r>
              <w:t xml:space="preserve">.</w:t>
            </w:r>
            <w:r/>
          </w:p>
          <w:p>
            <w:pPr>
              <w:pStyle w:val="1005"/>
              <w:ind w:left="57" w:right="57"/>
            </w:pPr>
            <w:r>
              <w:t xml:space="preserve">В соответствии с </w:t>
            </w:r>
            <w:r>
              <w:rPr>
                <w:lang w:val="en-US"/>
              </w:rPr>
              <w:t xml:space="preserve">SUFD</w:t>
            </w:r>
            <w:r>
              <w:t xml:space="preserve">-25938 (</w:t>
            </w:r>
            <w:r>
              <w:rPr>
                <w:lang w:val="en-US"/>
              </w:rPr>
              <w:t xml:space="preserve">SUFD</w:t>
            </w:r>
            <w:r>
              <w:t xml:space="preserve">-40071</w:t>
            </w:r>
            <w:r>
              <w:t xml:space="preserve">, </w:t>
            </w:r>
            <w:r>
              <w:t xml:space="preserve">SUFD</w:t>
            </w:r>
            <w:r>
              <w:t xml:space="preserve">-40070</w:t>
            </w:r>
            <w:r>
              <w:t xml:space="preserve">) актуализирован</w:t>
            </w:r>
            <w:r>
              <w:t xml:space="preserve">ы</w:t>
            </w:r>
            <w:r>
              <w:t xml:space="preserve"> п</w:t>
            </w:r>
            <w:r>
              <w:t xml:space="preserve">п</w:t>
            </w:r>
            <w:r>
              <w:t xml:space="preserve">. </w:t>
            </w:r>
            <w:r>
              <w:fldChar w:fldCharType="begin"/>
            </w:r>
            <w:r>
              <w:instrText xml:space="preserve"> REF _Ref343179097 \r \h  \* MERGEFORMAT </w:instrText>
            </w:r>
            <w:r>
              <w:fldChar w:fldCharType="separate"/>
            </w:r>
            <w:r>
              <w:t xml:space="preserve">5.1.10</w:t>
            </w:r>
            <w:r>
              <w:fldChar w:fldCharType="end"/>
            </w:r>
            <w:r>
              <w:t xml:space="preserve">, </w:t>
            </w:r>
            <w:r>
              <w:fldChar w:fldCharType="begin"/>
            </w:r>
            <w:r>
              <w:instrText xml:space="preserve"> REF _Ref343179126 \r \h  \* MERGEFORMAT </w:instrText>
            </w:r>
            <w:r>
              <w:fldChar w:fldCharType="separate"/>
            </w:r>
            <w:r>
              <w:t xml:space="preserve">5.1.15</w:t>
            </w:r>
            <w:r>
              <w:fldChar w:fldCharType="end"/>
            </w:r>
            <w:r>
              <w:t xml:space="preserve">.</w:t>
            </w:r>
            <w:r/>
          </w:p>
          <w:p>
            <w:pPr>
              <w:pStyle w:val="1005"/>
              <w:ind w:left="57" w:right="57"/>
            </w:pPr>
            <w:r>
              <w:t xml:space="preserve">В соответствии с </w:t>
            </w:r>
            <w:r>
              <w:rPr>
                <w:lang w:val="en-US"/>
              </w:rPr>
              <w:t xml:space="preserve">SUFD</w:t>
            </w:r>
            <w:r>
              <w:t xml:space="preserve">-40714 (</w:t>
            </w:r>
            <w:r>
              <w:rPr>
                <w:lang w:val="en-US"/>
              </w:rPr>
              <w:t xml:space="preserve">SUFD</w:t>
            </w:r>
            <w:r>
              <w:t xml:space="preserve">-41135) ак</w:t>
            </w:r>
            <w:r>
              <w:t xml:space="preserve">туализирован п. </w:t>
            </w:r>
            <w:r>
              <w:fldChar w:fldCharType="begin"/>
            </w:r>
            <w:r>
              <w:instrText xml:space="preserve"> REF _Ref311541908 \r \h  \* MERGEFORMAT </w:instrText>
            </w:r>
            <w:r>
              <w:fldChar w:fldCharType="separate"/>
            </w:r>
            <w:r>
              <w:t xml:space="preserve">5.17.1</w:t>
            </w:r>
            <w:r>
              <w:fldChar w:fldCharType="end"/>
            </w:r>
            <w:r>
              <w:t xml:space="preserve">.</w:t>
            </w:r>
            <w:r/>
          </w:p>
          <w:p>
            <w:pPr>
              <w:pStyle w:val="1005"/>
              <w:ind w:left="57" w:right="57"/>
            </w:pPr>
            <w:r>
              <w:t xml:space="preserve">В соответствии с </w:t>
            </w:r>
            <w:r>
              <w:rPr>
                <w:lang w:val="en-US"/>
              </w:rPr>
              <w:t xml:space="preserve">SUFD</w:t>
            </w:r>
            <w:r>
              <w:t xml:space="preserve">-38372 (</w:t>
            </w:r>
            <w:r>
              <w:rPr>
                <w:lang w:val="en-US"/>
              </w:rPr>
              <w:t xml:space="preserve">SUFD</w:t>
            </w:r>
            <w:r>
              <w:t xml:space="preserve">-41517) актуализирован п. </w:t>
            </w:r>
            <w:r>
              <w:fldChar w:fldCharType="begin"/>
            </w:r>
            <w:r>
              <w:instrText xml:space="preserve"> REF _Ref311541908 \r \h  \* MERGEFORMAT </w:instrText>
            </w:r>
            <w:r>
              <w:fldChar w:fldCharType="separate"/>
            </w:r>
            <w:r>
              <w:t xml:space="preserve">5.17.1</w:t>
            </w:r>
            <w:r>
              <w:fldChar w:fldCharType="end"/>
            </w:r>
            <w:r>
              <w:t xml:space="preserve">.</w:t>
            </w:r>
            <w:r/>
          </w:p>
        </w:tc>
      </w:tr>
      <w:tr>
        <w:trPr/>
        <w:tc>
          <w:tcPr>
            <w:shd w:val="clear" w:fill="auto" w:color="auto"/>
            <w:tcW w:w="412" w:type="pct"/>
            <w:textDirection w:val="lrTb"/>
            <w:noWrap w:val="false"/>
          </w:tcPr>
          <w:p>
            <w:pPr>
              <w:pStyle w:val="1005"/>
              <w:ind w:left="57" w:right="57"/>
            </w:pPr>
            <w:r>
              <w:t xml:space="preserve">5.7</w:t>
            </w:r>
            <w:r/>
          </w:p>
        </w:tc>
        <w:tc>
          <w:tcPr>
            <w:shd w:val="clear" w:fill="auto" w:color="auto"/>
            <w:tcW w:w="635" w:type="pct"/>
            <w:textDirection w:val="lrTb"/>
            <w:noWrap w:val="false"/>
          </w:tcPr>
          <w:p>
            <w:pPr>
              <w:pStyle w:val="1005"/>
              <w:ind w:left="57" w:right="57"/>
            </w:pPr>
            <w:r>
              <w:t xml:space="preserve">01.03.2013</w:t>
            </w:r>
            <w:r/>
          </w:p>
        </w:tc>
        <w:tc>
          <w:tcPr>
            <w:shd w:val="clear" w:fill="auto" w:color="auto"/>
            <w:tcW w:w="1017" w:type="pct"/>
            <w:textDirection w:val="lrTb"/>
            <w:noWrap w:val="false"/>
          </w:tcPr>
          <w:p>
            <w:pPr>
              <w:pStyle w:val="1005"/>
              <w:ind w:left="57" w:right="57"/>
            </w:pPr>
            <w:r>
              <w:t xml:space="preserve">Дорофеев И.И.</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-29184 (</w:t>
            </w:r>
            <w:r>
              <w:rPr>
                <w:lang w:val="en-US"/>
              </w:rPr>
              <w:t xml:space="preserve">SUFD</w:t>
            </w:r>
            <w:r>
              <w:t xml:space="preserve">-42505) актуализирован п. </w:t>
            </w:r>
            <w:r>
              <w:fldChar w:fldCharType="begin"/>
            </w:r>
            <w:r>
              <w:instrText xml:space="preserve"> REF _Ref349916122 \r \h  \* MERGEFORMAT </w:instrText>
            </w:r>
            <w:r>
              <w:fldChar w:fldCharType="separate"/>
            </w:r>
            <w:r>
              <w:t xml:space="preserve">5.7.2</w:t>
            </w:r>
            <w:r>
              <w:fldChar w:fldCharType="end"/>
            </w:r>
            <w:r>
              <w:t xml:space="preserve">.</w:t>
            </w:r>
            <w:r/>
          </w:p>
        </w:tc>
      </w:tr>
      <w:tr>
        <w:trPr/>
        <w:tc>
          <w:tcPr>
            <w:shd w:val="clear" w:fill="auto" w:color="auto"/>
            <w:tcW w:w="412" w:type="pct"/>
            <w:textDirection w:val="lrTb"/>
            <w:noWrap w:val="false"/>
          </w:tcPr>
          <w:p>
            <w:pPr>
              <w:pStyle w:val="1005"/>
              <w:ind w:left="57" w:right="57"/>
            </w:pPr>
            <w:r>
              <w:t xml:space="preserve">5.8</w:t>
            </w:r>
            <w:r/>
          </w:p>
        </w:tc>
        <w:tc>
          <w:tcPr>
            <w:shd w:val="clear" w:fill="auto" w:color="auto"/>
            <w:tcW w:w="635" w:type="pct"/>
            <w:textDirection w:val="lrTb"/>
            <w:noWrap w:val="false"/>
          </w:tcPr>
          <w:p>
            <w:pPr>
              <w:pStyle w:val="1005"/>
              <w:ind w:left="57" w:right="57"/>
            </w:pPr>
            <w:r>
              <w:t xml:space="preserve">05.03.2013</w:t>
            </w:r>
            <w:r/>
          </w:p>
        </w:tc>
        <w:tc>
          <w:tcPr>
            <w:shd w:val="clear" w:fill="auto" w:color="auto"/>
            <w:tcW w:w="1017" w:type="pct"/>
            <w:textDirection w:val="lrTb"/>
            <w:noWrap w:val="false"/>
          </w:tcPr>
          <w:p>
            <w:pPr>
              <w:pStyle w:val="1005"/>
              <w:ind w:left="57" w:right="57"/>
            </w:pPr>
            <w:r>
              <w:t xml:space="preserve">Дорофеев И.И.</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-42635 (</w:t>
            </w:r>
            <w:r>
              <w:rPr>
                <w:lang w:val="en-US"/>
              </w:rPr>
              <w:t xml:space="preserve">SUFD</w:t>
            </w:r>
            <w:r>
              <w:t xml:space="preserve">-42693) актуализированы </w:t>
            </w:r>
            <w:r>
              <w:t xml:space="preserve">п</w:t>
            </w:r>
            <w:r>
              <w:t xml:space="preserve">п. </w:t>
            </w:r>
            <w:r>
              <w:fldChar w:fldCharType="begin"/>
            </w:r>
            <w:r>
              <w:instrText xml:space="preserve"> REF _Ref350255305 \r \h  \* MERGEFORMAT </w:instrText>
            </w:r>
            <w:r>
              <w:fldChar w:fldCharType="separate"/>
            </w:r>
            <w:r>
              <w:t xml:space="preserve">5.1.10</w:t>
            </w:r>
            <w:r>
              <w:fldChar w:fldCharType="end"/>
            </w:r>
            <w:r>
              <w:t xml:space="preserve">, </w:t>
            </w:r>
            <w:r>
              <w:fldChar w:fldCharType="begin"/>
            </w:r>
            <w:r>
              <w:instrText xml:space="preserve"> REF _Ref350255405 \r \h  \* MERGEFORMAT </w:instrText>
            </w:r>
            <w:r>
              <w:fldChar w:fldCharType="separate"/>
            </w:r>
            <w:r>
              <w:t xml:space="preserve">5.1.15</w:t>
            </w:r>
            <w:r>
              <w:fldChar w:fldCharType="end"/>
            </w:r>
            <w:r>
              <w:t xml:space="preserve">.</w:t>
            </w:r>
            <w:r/>
          </w:p>
          <w:p>
            <w:pPr>
              <w:pStyle w:val="1005"/>
              <w:ind w:left="57" w:right="57"/>
            </w:pPr>
            <w:r>
              <w:t xml:space="preserve">В соответствии с </w:t>
            </w:r>
            <w:r>
              <w:rPr>
                <w:lang w:val="en-US"/>
              </w:rPr>
              <w:t xml:space="preserve">SUFD</w:t>
            </w:r>
            <w:r>
              <w:t xml:space="preserve">-41210 (</w:t>
            </w:r>
            <w:r>
              <w:rPr>
                <w:lang w:val="en-US"/>
              </w:rPr>
              <w:t xml:space="preserve">SUFD</w:t>
            </w:r>
            <w:r>
              <w:t xml:space="preserve">-43094) актуализирован п. </w:t>
            </w:r>
            <w:r>
              <w:fldChar w:fldCharType="begin"/>
            </w:r>
            <w:r>
              <w:instrText xml:space="preserve"> REF _Ref350934944 \r \h  \* MERGEFORMAT </w:instrText>
            </w:r>
            <w:r>
              <w:fldChar w:fldCharType="separate"/>
            </w:r>
            <w:r>
              <w:t xml:space="preserve">5.8.1</w:t>
            </w:r>
            <w:r>
              <w:fldChar w:fldCharType="end"/>
            </w:r>
            <w:r>
              <w:t xml:space="preserve">.</w:t>
            </w:r>
            <w:r/>
          </w:p>
          <w:p>
            <w:pPr>
              <w:pStyle w:val="1005"/>
              <w:ind w:left="57" w:right="57"/>
            </w:pPr>
            <w:r>
              <w:t xml:space="preserve">В соответствии с </w:t>
            </w:r>
            <w:r>
              <w:rPr>
                <w:lang w:val="en-US"/>
              </w:rPr>
              <w:t xml:space="preserve">SUFD</w:t>
            </w:r>
            <w:r>
              <w:t xml:space="preserve">-41954 (</w:t>
            </w:r>
            <w:r>
              <w:rPr>
                <w:lang w:val="en-US"/>
              </w:rPr>
              <w:t xml:space="preserve">SUFD</w:t>
            </w:r>
            <w:r>
              <w:t xml:space="preserve">-43266) актуализирован п. </w:t>
            </w:r>
            <w:r>
              <w:fldChar w:fldCharType="begin"/>
            </w:r>
            <w:r>
              <w:instrText xml:space="preserve"> REF _Ref350934944 \r \h  \* MERGEFORMAT </w:instrText>
            </w:r>
            <w:r>
              <w:fldChar w:fldCharType="separate"/>
            </w:r>
            <w:r>
              <w:t xml:space="preserve">5.8.1</w:t>
            </w:r>
            <w:r>
              <w:fldChar w:fldCharType="end"/>
            </w:r>
            <w:r>
              <w:t xml:space="preserve">.</w:t>
            </w:r>
            <w:r/>
          </w:p>
          <w:p>
            <w:pPr>
              <w:pStyle w:val="1005"/>
              <w:ind w:left="57" w:right="57"/>
            </w:pPr>
            <w:r>
              <w:t xml:space="preserve">В соответствии с </w:t>
            </w:r>
            <w:r>
              <w:rPr>
                <w:lang w:val="en-US"/>
              </w:rPr>
              <w:t xml:space="preserve">SUFD</w:t>
            </w:r>
            <w:r>
              <w:t xml:space="preserve">-41585 (</w:t>
            </w:r>
            <w:r>
              <w:rPr>
                <w:lang w:val="en-US"/>
              </w:rPr>
              <w:t xml:space="preserve">SUFD</w:t>
            </w:r>
            <w:r>
              <w:t xml:space="preserve">-42848) актуализирован п. </w:t>
            </w:r>
            <w:r>
              <w:fldChar w:fldCharType="begin"/>
            </w:r>
            <w:r>
              <w:instrText xml:space="preserve"> REF _Ref311541908 \r \h  \* MERGEFORMAT </w:instrText>
            </w:r>
            <w:r>
              <w:fldChar w:fldCharType="separate"/>
            </w:r>
            <w:r>
              <w:t xml:space="preserve">5.17.1</w:t>
            </w:r>
            <w:r>
              <w:fldChar w:fldCharType="end"/>
            </w:r>
            <w:r>
              <w:t xml:space="preserve">.</w:t>
            </w:r>
            <w:r/>
          </w:p>
          <w:p>
            <w:pPr>
              <w:pStyle w:val="1005"/>
              <w:ind w:left="57" w:right="57"/>
            </w:pPr>
            <w:r>
              <w:t xml:space="preserve">В соответствии с </w:t>
            </w:r>
            <w:r>
              <w:rPr>
                <w:lang w:val="en-US"/>
              </w:rPr>
              <w:t xml:space="preserve">SUFD</w:t>
            </w:r>
            <w:r>
              <w:t xml:space="preserve">-41585 (</w:t>
            </w:r>
            <w:r>
              <w:rPr>
                <w:lang w:val="en-US"/>
              </w:rPr>
              <w:t xml:space="preserve">SUFD</w:t>
            </w:r>
            <w:r>
              <w:t xml:space="preserve">-42848) актуализирован п. </w:t>
            </w:r>
            <w:r>
              <w:fldChar w:fldCharType="begin"/>
            </w:r>
            <w:r>
              <w:instrText xml:space="preserve"> REF _Ref311541908 \r \h  \* MERGEFORMAT </w:instrText>
            </w:r>
            <w:r>
              <w:fldChar w:fldCharType="separate"/>
            </w:r>
            <w:r>
              <w:t xml:space="preserve">5.17.1</w:t>
            </w:r>
            <w:r>
              <w:fldChar w:fldCharType="end"/>
            </w:r>
            <w:r>
              <w:t xml:space="preserve">.</w:t>
            </w:r>
            <w:r/>
          </w:p>
        </w:tc>
      </w:tr>
      <w:tr>
        <w:trPr/>
        <w:tc>
          <w:tcPr>
            <w:shd w:val="clear" w:fill="auto" w:color="auto"/>
            <w:tcW w:w="412" w:type="pct"/>
            <w:textDirection w:val="lrTb"/>
            <w:noWrap w:val="false"/>
          </w:tcPr>
          <w:p>
            <w:pPr>
              <w:pStyle w:val="1005"/>
              <w:ind w:left="57" w:right="57"/>
            </w:pPr>
            <w:r>
              <w:t xml:space="preserve">5.9</w:t>
            </w:r>
            <w:r/>
          </w:p>
        </w:tc>
        <w:tc>
          <w:tcPr>
            <w:shd w:val="clear" w:fill="auto" w:color="auto"/>
            <w:tcW w:w="635" w:type="pct"/>
            <w:textDirection w:val="lrTb"/>
            <w:noWrap w:val="false"/>
          </w:tcPr>
          <w:p>
            <w:pPr>
              <w:pStyle w:val="1005"/>
              <w:ind w:left="57" w:right="57"/>
            </w:pPr>
            <w:r>
              <w:t xml:space="preserve">07.05.2013</w:t>
            </w:r>
            <w:r/>
          </w:p>
        </w:tc>
        <w:tc>
          <w:tcPr>
            <w:shd w:val="clear" w:fill="auto" w:color="auto"/>
            <w:tcW w:w="1017" w:type="pct"/>
            <w:textDirection w:val="lrTb"/>
            <w:noWrap w:val="false"/>
          </w:tcPr>
          <w:p>
            <w:pPr>
              <w:pStyle w:val="1005"/>
              <w:ind w:left="57" w:right="57"/>
            </w:pPr>
            <w:r>
              <w:t xml:space="preserve">Дорофеев И.И.</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-40848 (</w:t>
            </w:r>
            <w:r>
              <w:rPr>
                <w:lang w:val="en-US"/>
              </w:rPr>
              <w:t xml:space="preserve">SUFD</w:t>
            </w:r>
            <w:r>
              <w:t xml:space="preserve">-43498) актуализирован п. </w:t>
            </w:r>
            <w:r>
              <w:fldChar w:fldCharType="begin"/>
            </w:r>
            <w:r>
              <w:instrText xml:space="preserve"> REF _Ref311541908 \r \h  \* MERGEFORMAT </w:instrText>
            </w:r>
            <w:r>
              <w:fldChar w:fldCharType="separate"/>
            </w:r>
            <w:r>
              <w:t xml:space="preserve">5.17.1</w:t>
            </w:r>
            <w:r>
              <w:fldChar w:fldCharType="end"/>
            </w:r>
            <w:r>
              <w:t xml:space="preserve">.</w:t>
            </w:r>
            <w:r/>
          </w:p>
          <w:p>
            <w:pPr>
              <w:pStyle w:val="1005"/>
              <w:ind w:left="57" w:right="57"/>
            </w:pPr>
            <w:r>
              <w:t xml:space="preserve">В соответствии с </w:t>
            </w:r>
            <w:r>
              <w:rPr>
                <w:lang w:val="en-US"/>
              </w:rPr>
              <w:t xml:space="preserve">SUFD</w:t>
            </w:r>
            <w:r>
              <w:t xml:space="preserve">-39511 (</w:t>
            </w:r>
            <w:r>
              <w:rPr>
                <w:lang w:val="en-US"/>
              </w:rPr>
              <w:t xml:space="preserve">SUFD</w:t>
            </w:r>
            <w:r>
              <w:t xml:space="preserve">-44031) актуализирован п. </w:t>
            </w:r>
            <w:r>
              <w:fldChar w:fldCharType="begin"/>
            </w:r>
            <w:r>
              <w:instrText xml:space="preserve"> REF _Ref311541908 \r \h  \* MERGEFORMAT </w:instrText>
            </w:r>
            <w:r>
              <w:fldChar w:fldCharType="separate"/>
            </w:r>
            <w:r>
              <w:t xml:space="preserve">5.17.1</w:t>
            </w:r>
            <w:r>
              <w:fldChar w:fldCharType="end"/>
            </w:r>
            <w:r>
              <w:t xml:space="preserve">.</w:t>
            </w:r>
            <w:r/>
          </w:p>
          <w:p>
            <w:pPr>
              <w:pStyle w:val="1005"/>
              <w:ind w:left="57" w:right="57"/>
            </w:pPr>
            <w:r>
              <w:t xml:space="preserve">В соответствии с </w:t>
            </w:r>
            <w:r>
              <w:rPr>
                <w:lang w:val="en-US"/>
              </w:rPr>
              <w:t xml:space="preserve">SUFD</w:t>
            </w:r>
            <w:r>
              <w:t xml:space="preserve">-40777 (</w:t>
            </w:r>
            <w:r>
              <w:rPr>
                <w:lang w:val="en-US"/>
              </w:rPr>
              <w:t xml:space="preserve">SUFD</w:t>
            </w:r>
            <w:r>
              <w:t xml:space="preserve">-44334) актуализирован п. </w:t>
            </w:r>
            <w:r>
              <w:fldChar w:fldCharType="begin"/>
            </w:r>
            <w:r>
              <w:instrText xml:space="preserve"> REF _Ref482629405 \r \h </w:instrText>
            </w:r>
            <w:r>
              <w:fldChar w:fldCharType="separate"/>
            </w:r>
            <w:r>
              <w:t xml:space="preserve">5.1.7</w:t>
            </w:r>
            <w:r>
              <w:fldChar w:fldCharType="end"/>
            </w:r>
            <w:r>
              <w:t xml:space="preserve">.</w:t>
            </w:r>
            <w:r/>
          </w:p>
          <w:p>
            <w:pPr>
              <w:pStyle w:val="1005"/>
              <w:ind w:left="57" w:right="57"/>
            </w:pPr>
            <w:r>
              <w:t xml:space="preserve">В соответствии с </w:t>
            </w:r>
            <w:r>
              <w:rPr>
                <w:lang w:val="en-US"/>
              </w:rPr>
              <w:t xml:space="preserve">SUFD</w:t>
            </w:r>
            <w:r>
              <w:t xml:space="preserve">-43139 (</w:t>
            </w:r>
            <w:r>
              <w:rPr>
                <w:lang w:val="en-US"/>
              </w:rPr>
              <w:t xml:space="preserve">SUFD</w:t>
            </w:r>
            <w:r>
              <w:t xml:space="preserve">-44925) актуализирован п. </w:t>
            </w:r>
            <w:r>
              <w:fldChar w:fldCharType="begin"/>
            </w:r>
            <w:r>
              <w:instrText xml:space="preserve"> REF _Ref355695440 \r \h  \* MERGEFORMAT </w:instrText>
            </w:r>
            <w:r>
              <w:fldChar w:fldCharType="separate"/>
            </w:r>
            <w:r>
              <w:t xml:space="preserve">5.11.2</w:t>
            </w:r>
            <w:r>
              <w:fldChar w:fldCharType="end"/>
            </w:r>
            <w:r>
              <w:t xml:space="preserve">. </w:t>
            </w:r>
            <w:r/>
          </w:p>
        </w:tc>
      </w:tr>
      <w:tr>
        <w:trPr/>
        <w:tc>
          <w:tcPr>
            <w:shd w:val="clear" w:fill="auto" w:color="auto"/>
            <w:tcW w:w="412" w:type="pct"/>
            <w:textDirection w:val="lrTb"/>
            <w:noWrap w:val="false"/>
          </w:tcPr>
          <w:p>
            <w:pPr>
              <w:pStyle w:val="1005"/>
              <w:ind w:left="57" w:right="57"/>
            </w:pPr>
            <w:r>
              <w:t xml:space="preserve">6.0</w:t>
            </w:r>
            <w:r/>
          </w:p>
        </w:tc>
        <w:tc>
          <w:tcPr>
            <w:shd w:val="clear" w:fill="auto" w:color="auto"/>
            <w:tcW w:w="635" w:type="pct"/>
            <w:textDirection w:val="lrTb"/>
            <w:noWrap w:val="false"/>
          </w:tcPr>
          <w:p>
            <w:pPr>
              <w:pStyle w:val="1005"/>
              <w:ind w:left="57" w:right="57"/>
            </w:pPr>
            <w:r>
              <w:t xml:space="preserve">15.05.2013</w:t>
            </w:r>
            <w:r/>
          </w:p>
        </w:tc>
        <w:tc>
          <w:tcPr>
            <w:shd w:val="clear" w:fill="auto" w:color="auto"/>
            <w:tcW w:w="1017" w:type="pct"/>
            <w:textDirection w:val="lrTb"/>
            <w:noWrap w:val="false"/>
          </w:tcPr>
          <w:p>
            <w:pPr>
              <w:pStyle w:val="1005"/>
              <w:ind w:left="57" w:right="57"/>
            </w:pPr>
            <w:r>
              <w:t xml:space="preserve">Алексеев И.И.</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-23893 (</w:t>
            </w:r>
            <w:r>
              <w:rPr>
                <w:lang w:val="en-US"/>
              </w:rPr>
              <w:t xml:space="preserve">SUFD</w:t>
            </w:r>
            <w:r>
              <w:t xml:space="preserve">-44911) изменён п. </w:t>
            </w:r>
            <w:r>
              <w:fldChar w:fldCharType="begin"/>
            </w:r>
            <w:r>
              <w:instrText xml:space="preserve"> REF _Ref342401790 \r \h  \* MERGEFORMAT </w:instrText>
            </w:r>
            <w:r>
              <w:fldChar w:fldCharType="separate"/>
            </w:r>
            <w:r>
              <w:t xml:space="preserve">5.12.1</w:t>
            </w:r>
            <w:r>
              <w:fldChar w:fldCharType="end"/>
            </w:r>
            <w:r>
              <w:t xml:space="preserve"> и </w:t>
            </w:r>
            <w:r>
              <w:t xml:space="preserve">добавлены </w:t>
            </w:r>
            <w:r>
              <w:t xml:space="preserve">п</w:t>
            </w:r>
            <w:r>
              <w:t xml:space="preserve">п. </w:t>
            </w:r>
            <w:r>
              <w:fldChar w:fldCharType="begin"/>
            </w:r>
            <w:r>
              <w:instrText xml:space="preserve"> REF _Ref449106970 \r \h </w:instrText>
            </w:r>
            <w:r>
              <w:fldChar w:fldCharType="separate"/>
            </w:r>
            <w:r>
              <w:t xml:space="preserve">5.17.4</w:t>
            </w:r>
            <w:r>
              <w:fldChar w:fldCharType="end"/>
            </w:r>
            <w:r>
              <w:t xml:space="preserve">, </w:t>
            </w:r>
            <w:r>
              <w:fldChar w:fldCharType="begin"/>
            </w:r>
            <w:r>
              <w:instrText xml:space="preserve"> REF _Ref356406305 \r \h  \* MERGEFORMAT </w:instrText>
            </w:r>
            <w:r>
              <w:fldChar w:fldCharType="separate"/>
            </w:r>
            <w:r>
              <w:t xml:space="preserve">5.17.5</w:t>
            </w:r>
            <w:r>
              <w:fldChar w:fldCharType="end"/>
            </w:r>
            <w:r>
              <w:t xml:space="preserve">. </w:t>
            </w:r>
            <w:r/>
          </w:p>
        </w:tc>
      </w:tr>
      <w:tr>
        <w:trPr/>
        <w:tc>
          <w:tcPr>
            <w:shd w:val="clear" w:fill="auto" w:color="auto"/>
            <w:tcW w:w="412" w:type="pct"/>
            <w:textDirection w:val="lrTb"/>
            <w:noWrap w:val="false"/>
          </w:tcPr>
          <w:p>
            <w:pPr>
              <w:pStyle w:val="1005"/>
              <w:ind w:left="57" w:right="57"/>
            </w:pPr>
            <w:r>
              <w:t xml:space="preserve">6.1</w:t>
            </w:r>
            <w:r/>
          </w:p>
        </w:tc>
        <w:tc>
          <w:tcPr>
            <w:shd w:val="clear" w:fill="auto" w:color="auto"/>
            <w:tcW w:w="635" w:type="pct"/>
            <w:textDirection w:val="lrTb"/>
            <w:noWrap w:val="false"/>
          </w:tcPr>
          <w:p>
            <w:pPr>
              <w:pStyle w:val="1005"/>
              <w:ind w:left="57" w:right="57"/>
            </w:pPr>
            <w:r>
              <w:t xml:space="preserve">20.06.2013</w:t>
            </w:r>
            <w:r/>
          </w:p>
        </w:tc>
        <w:tc>
          <w:tcPr>
            <w:shd w:val="clear" w:fill="auto" w:color="auto"/>
            <w:tcW w:w="1017" w:type="pct"/>
            <w:textDirection w:val="lrTb"/>
            <w:noWrap w:val="false"/>
          </w:tcPr>
          <w:p>
            <w:pPr>
              <w:pStyle w:val="1005"/>
              <w:ind w:left="57" w:right="57"/>
            </w:pPr>
            <w:r>
              <w:t xml:space="preserve">Алексеев И.И.</w:t>
            </w:r>
            <w:r/>
          </w:p>
          <w:p>
            <w:pPr>
              <w:pStyle w:val="1005"/>
              <w:ind w:left="57" w:right="57"/>
            </w:pPr>
            <w:r>
              <w:t xml:space="preserve">Дорофеев И.И.</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-39307 (</w:t>
            </w:r>
            <w:r>
              <w:rPr>
                <w:lang w:val="en-US"/>
              </w:rPr>
              <w:t xml:space="preserve">SUFD</w:t>
            </w:r>
            <w:r>
              <w:t xml:space="preserve">-44920</w:t>
            </w:r>
            <w:r>
              <w:t xml:space="preserve">) актуализирован</w:t>
            </w:r>
            <w:r>
              <w:t xml:space="preserve">ы</w:t>
            </w:r>
            <w:r>
              <w:t xml:space="preserve"> </w:t>
            </w:r>
            <w:r>
              <w:t xml:space="preserve">п</w:t>
            </w:r>
            <w:r>
              <w:t xml:space="preserve">п. </w:t>
            </w:r>
            <w:r>
              <w:fldChar w:fldCharType="begin"/>
            </w:r>
            <w:r>
              <w:instrText xml:space="preserve"> REF _Ref357683254 \r \h  \* MERGEFORMAT </w:instrText>
            </w:r>
            <w:r>
              <w:fldChar w:fldCharType="separate"/>
            </w:r>
            <w:r>
              <w:t xml:space="preserve">5.1.10</w:t>
            </w:r>
            <w:r>
              <w:fldChar w:fldCharType="end"/>
            </w:r>
            <w:r>
              <w:t xml:space="preserve">, </w:t>
            </w:r>
            <w:r>
              <w:fldChar w:fldCharType="begin"/>
            </w:r>
            <w:r>
              <w:instrText xml:space="preserve"> REF _Ref357693381 \r \h  \* MERGEFORMAT </w:instrText>
            </w:r>
            <w:r>
              <w:fldChar w:fldCharType="separate"/>
            </w:r>
            <w:r>
              <w:t xml:space="preserve">5.1.15</w:t>
            </w:r>
            <w:r>
              <w:fldChar w:fldCharType="end"/>
            </w:r>
            <w:r>
              <w:t xml:space="preserve">, </w:t>
            </w:r>
            <w:r>
              <w:fldChar w:fldCharType="begin"/>
            </w:r>
            <w:r>
              <w:instrText xml:space="preserve"> REF _Ref357697219 \r \h  \* MERGEFORMAT </w:instrText>
            </w:r>
            <w:r>
              <w:fldChar w:fldCharType="separate"/>
            </w:r>
            <w:r>
              <w:t xml:space="preserve">5.1.14</w:t>
            </w:r>
            <w:r>
              <w:fldChar w:fldCharType="end"/>
            </w:r>
            <w:r>
              <w:t xml:space="preserve">.</w:t>
            </w:r>
            <w:r/>
          </w:p>
          <w:p>
            <w:pPr>
              <w:pStyle w:val="1005"/>
              <w:ind w:left="57" w:right="57"/>
            </w:pPr>
            <w:r>
              <w:t xml:space="preserve">В соответствии с </w:t>
            </w:r>
            <w:r>
              <w:rPr>
                <w:lang w:val="en-US"/>
              </w:rPr>
              <w:t xml:space="preserve">SUFD</w:t>
            </w:r>
            <w:r>
              <w:t xml:space="preserve">-23893 (</w:t>
            </w:r>
            <w:r>
              <w:rPr>
                <w:lang w:val="en-US"/>
              </w:rPr>
              <w:t xml:space="preserve">SUFD</w:t>
            </w:r>
            <w:r>
              <w:t xml:space="preserve">-44907, </w:t>
            </w:r>
            <w:r>
              <w:rPr>
                <w:lang w:val="en-US"/>
              </w:rPr>
              <w:t xml:space="preserve">SUFD</w:t>
            </w:r>
            <w:r>
              <w:t xml:space="preserve">-45995) актуализирован п. </w:t>
            </w:r>
            <w:r>
              <w:fldChar w:fldCharType="begin"/>
            </w:r>
            <w:r>
              <w:instrText xml:space="preserve"> REF _Ref356406305 \r \h  \* MERGEFORMAT </w:instrText>
            </w:r>
            <w:r>
              <w:fldChar w:fldCharType="separate"/>
            </w:r>
            <w:r>
              <w:t xml:space="preserve">5.17.5</w:t>
            </w:r>
            <w:r>
              <w:fldChar w:fldCharType="end"/>
            </w:r>
            <w:r>
              <w:t xml:space="preserve">.</w:t>
            </w:r>
            <w:r/>
          </w:p>
          <w:p>
            <w:pPr>
              <w:pStyle w:val="1005"/>
              <w:ind w:left="57" w:right="57"/>
            </w:pPr>
            <w:r>
              <w:t xml:space="preserve">В соответствии с </w:t>
            </w:r>
            <w:r>
              <w:rPr>
                <w:lang w:val="en-US"/>
              </w:rPr>
              <w:t xml:space="preserve">SUFD</w:t>
            </w:r>
            <w:r>
              <w:t xml:space="preserve">-45119 (</w:t>
            </w:r>
            <w:r>
              <w:rPr>
                <w:lang w:val="en-US"/>
              </w:rPr>
              <w:t xml:space="preserve">SUFD</w:t>
            </w:r>
            <w:r>
              <w:t xml:space="preserve">-46185) актуализирован п. </w:t>
            </w:r>
            <w:r>
              <w:fldChar w:fldCharType="begin"/>
            </w:r>
            <w:r>
              <w:instrText xml:space="preserve"> REF _Ref356406305 \r \h  \* MERGEFORMAT </w:instrText>
            </w:r>
            <w:r>
              <w:fldChar w:fldCharType="separate"/>
            </w:r>
            <w:r>
              <w:t xml:space="preserve">5.17.5</w:t>
            </w:r>
            <w:r>
              <w:fldChar w:fldCharType="end"/>
            </w:r>
            <w:r>
              <w:t xml:space="preserve">.</w:t>
            </w:r>
            <w:r/>
          </w:p>
          <w:p>
            <w:pPr>
              <w:pStyle w:val="1005"/>
              <w:ind w:left="57" w:right="57"/>
            </w:pPr>
            <w:r>
              <w:t xml:space="preserve">В соответствии с </w:t>
            </w:r>
            <w:r>
              <w:rPr>
                <w:lang w:val="en-US"/>
              </w:rPr>
              <w:t xml:space="preserve">SUFD</w:t>
            </w:r>
            <w:r>
              <w:t xml:space="preserve">-46420 (</w:t>
            </w:r>
            <w:r>
              <w:rPr>
                <w:lang w:val="en-US"/>
              </w:rPr>
              <w:t xml:space="preserve">SUFD</w:t>
            </w:r>
            <w:r>
              <w:t xml:space="preserve">-46611) </w:t>
            </w:r>
            <w:r>
              <w:t xml:space="preserve">актуализированы п</w:t>
            </w:r>
            <w:r>
              <w:t xml:space="preserve">п</w:t>
            </w:r>
            <w:r>
              <w:t xml:space="preserve">.</w:t>
            </w:r>
            <w:r>
              <w:t xml:space="preserve"> </w:t>
            </w:r>
            <w:r>
              <w:fldChar w:fldCharType="begin"/>
            </w:r>
            <w:r>
              <w:instrText xml:space="preserve"> REF _Ref359411710 \r \h  \* MERGEFORMAT </w:instrText>
            </w:r>
            <w:r>
              <w:fldChar w:fldCharType="separate"/>
            </w:r>
            <w:r>
              <w:t xml:space="preserve">5.1.6</w:t>
            </w:r>
            <w:r>
              <w:fldChar w:fldCharType="end"/>
            </w:r>
            <w:r>
              <w:t xml:space="preserve">, </w:t>
            </w:r>
            <w:r>
              <w:fldChar w:fldCharType="begin"/>
            </w:r>
            <w:r>
              <w:instrText xml:space="preserve"> REF _Ref482629405 \r \h </w:instrText>
            </w:r>
            <w:r>
              <w:fldChar w:fldCharType="separate"/>
            </w:r>
            <w:r>
              <w:t xml:space="preserve">5.1.7</w:t>
            </w:r>
            <w:r>
              <w:fldChar w:fldCharType="end"/>
            </w:r>
            <w:r>
              <w:t xml:space="preserve">.</w:t>
            </w:r>
            <w:r/>
          </w:p>
          <w:p>
            <w:pPr>
              <w:pStyle w:val="1005"/>
              <w:ind w:left="57" w:right="57"/>
            </w:pPr>
            <w:r>
              <w:t xml:space="preserve">В соответствии с </w:t>
            </w:r>
            <w:r>
              <w:rPr>
                <w:lang w:val="en-US"/>
              </w:rPr>
              <w:t xml:space="preserve">SUFD</w:t>
            </w:r>
            <w:r>
              <w:t xml:space="preserve">-46418 (</w:t>
            </w:r>
            <w:r>
              <w:rPr>
                <w:lang w:val="en-US"/>
              </w:rPr>
              <w:t xml:space="preserve">SUFD</w:t>
            </w:r>
            <w:r>
              <w:t xml:space="preserve">-46612) актуализирован п.</w:t>
            </w:r>
            <w:r>
              <w:t xml:space="preserve"> </w:t>
            </w:r>
            <w:r>
              <w:fldChar w:fldCharType="begin"/>
            </w:r>
            <w:r>
              <w:instrText xml:space="preserve"> REF _Ref59718104 \r \h </w:instrText>
            </w:r>
            <w:r>
              <w:fldChar w:fldCharType="separate"/>
            </w:r>
            <w:r>
              <w:t xml:space="preserve">5.3.5</w:t>
            </w:r>
            <w:r>
              <w:fldChar w:fldCharType="end"/>
            </w:r>
            <w:r>
              <w:t xml:space="preserve">.</w:t>
            </w:r>
            <w:r/>
          </w:p>
          <w:p>
            <w:pPr>
              <w:pStyle w:val="1005"/>
              <w:ind w:left="57" w:right="57"/>
            </w:pPr>
            <w:r>
              <w:t xml:space="preserve">В соответствии с </w:t>
            </w:r>
            <w:r>
              <w:rPr>
                <w:lang w:val="en-US"/>
              </w:rPr>
              <w:t xml:space="preserve">SUFD</w:t>
            </w:r>
            <w:r>
              <w:t xml:space="preserve">-46255 (</w:t>
            </w:r>
            <w:r>
              <w:rPr>
                <w:lang w:val="en-US"/>
              </w:rPr>
              <w:t xml:space="preserve">SUFD</w:t>
            </w:r>
            <w:r>
              <w:t xml:space="preserve">-46614) актуализирован п.</w:t>
            </w:r>
            <w:r>
              <w:t xml:space="preserve"> </w:t>
            </w:r>
            <w:r>
              <w:fldChar w:fldCharType="begin"/>
            </w:r>
            <w:r>
              <w:instrText xml:space="preserve"> REF _Ref420330845 \r \h </w:instrText>
            </w:r>
            <w:r>
              <w:fldChar w:fldCharType="separate"/>
            </w:r>
            <w:r>
              <w:t xml:space="preserve">5.3.3</w:t>
            </w:r>
            <w:r>
              <w:fldChar w:fldCharType="end"/>
            </w:r>
            <w:r>
              <w:t xml:space="preserve">.</w:t>
            </w:r>
            <w:r/>
          </w:p>
          <w:p>
            <w:pPr>
              <w:pStyle w:val="1005"/>
              <w:ind w:left="57" w:right="57"/>
            </w:pPr>
            <w:r>
              <w:t xml:space="preserve">В соответствии с </w:t>
            </w:r>
            <w:r>
              <w:rPr>
                <w:lang w:val="en-US"/>
              </w:rPr>
              <w:t xml:space="preserve">SUFD</w:t>
            </w:r>
            <w:r>
              <w:t xml:space="preserve">-46248 (</w:t>
            </w:r>
            <w:r>
              <w:rPr>
                <w:lang w:val="en-US"/>
              </w:rPr>
              <w:t xml:space="preserve">SUFD</w:t>
            </w:r>
            <w:r>
              <w:t xml:space="preserve">-46615) </w:t>
            </w:r>
            <w:r>
              <w:t xml:space="preserve">актуализированы п</w:t>
            </w:r>
            <w:r>
              <w:t xml:space="preserve">п</w:t>
            </w:r>
            <w:r>
              <w:t xml:space="preserve">.</w:t>
            </w:r>
            <w:r>
              <w:t xml:space="preserve"> </w:t>
            </w:r>
            <w:r>
              <w:fldChar w:fldCharType="begin"/>
            </w:r>
            <w:r>
              <w:instrText xml:space="preserve"> REF _Ref359521302 \r \h  \* MERGEFORMAT </w:instrText>
            </w:r>
            <w:r>
              <w:fldChar w:fldCharType="separate"/>
            </w:r>
            <w:r>
              <w:t xml:space="preserve">5.1.1</w:t>
            </w:r>
            <w:r>
              <w:fldChar w:fldCharType="end"/>
            </w:r>
            <w:r>
              <w:t xml:space="preserve"> и </w:t>
            </w:r>
            <w:r>
              <w:fldChar w:fldCharType="begin"/>
            </w:r>
            <w:r>
              <w:instrText xml:space="preserve"> REF _Ref359521322 \r \h  \* MERGEFORMAT </w:instrText>
            </w:r>
            <w:r>
              <w:fldChar w:fldCharType="separate"/>
            </w:r>
            <w:r>
              <w:t xml:space="preserve">5.1.2</w:t>
            </w:r>
            <w:r>
              <w:fldChar w:fldCharType="end"/>
            </w:r>
            <w:r>
              <w:t xml:space="preserve">.</w:t>
            </w:r>
            <w:r/>
          </w:p>
        </w:tc>
      </w:tr>
      <w:tr>
        <w:trPr/>
        <w:tc>
          <w:tcPr>
            <w:shd w:val="clear" w:fill="auto" w:color="auto"/>
            <w:tcW w:w="412" w:type="pct"/>
            <w:textDirection w:val="lrTb"/>
            <w:noWrap w:val="false"/>
          </w:tcPr>
          <w:p>
            <w:pPr>
              <w:pStyle w:val="1005"/>
              <w:ind w:left="57" w:right="57"/>
            </w:pPr>
            <w:r>
              <w:t xml:space="preserve">6.2</w:t>
            </w:r>
            <w:r/>
          </w:p>
        </w:tc>
        <w:tc>
          <w:tcPr>
            <w:shd w:val="clear" w:fill="auto" w:color="auto"/>
            <w:tcW w:w="635" w:type="pct"/>
            <w:textDirection w:val="lrTb"/>
            <w:noWrap w:val="false"/>
          </w:tcPr>
          <w:p>
            <w:pPr>
              <w:pStyle w:val="1005"/>
              <w:ind w:left="57" w:right="57"/>
            </w:pPr>
            <w:r>
              <w:t xml:space="preserve">13.08.2013</w:t>
            </w:r>
            <w:r/>
          </w:p>
          <w:p>
            <w:pPr>
              <w:pStyle w:val="1005"/>
              <w:ind w:left="57" w:right="57"/>
            </w:pPr>
            <w:r>
              <w:t xml:space="preserve">20.08.2013</w:t>
            </w:r>
            <w:r/>
          </w:p>
        </w:tc>
        <w:tc>
          <w:tcPr>
            <w:shd w:val="clear" w:fill="auto" w:color="auto"/>
            <w:tcW w:w="1017" w:type="pct"/>
            <w:textDirection w:val="lrTb"/>
            <w:noWrap w:val="false"/>
          </w:tcPr>
          <w:p>
            <w:pPr>
              <w:pStyle w:val="1005"/>
              <w:ind w:left="57" w:right="57"/>
            </w:pPr>
            <w:r>
              <w:t xml:space="preserve">Дорофеев И.И.</w:t>
            </w:r>
            <w:r/>
          </w:p>
          <w:p>
            <w:pPr>
              <w:pStyle w:val="1005"/>
              <w:ind w:left="57" w:right="57"/>
            </w:pPr>
            <w:r>
              <w:t xml:space="preserve">Алексеев И.И.</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-46003 (</w:t>
            </w:r>
            <w:r>
              <w:rPr>
                <w:lang w:val="en-US"/>
              </w:rPr>
              <w:t xml:space="preserve">SUFD</w:t>
            </w:r>
            <w:r>
              <w:t xml:space="preserve">-47660) добавлен п. </w:t>
            </w:r>
            <w:r>
              <w:fldChar w:fldCharType="begin"/>
            </w:r>
            <w:r>
              <w:instrText xml:space="preserve"> REF _Ref361680359 \r \h  \* MERGEFORMAT </w:instrText>
            </w:r>
            <w:r>
              <w:fldChar w:fldCharType="separate"/>
            </w:r>
            <w:r>
              <w:t xml:space="preserve">5.11.1.2</w:t>
            </w:r>
            <w:r>
              <w:fldChar w:fldCharType="end"/>
            </w:r>
            <w:r>
              <w:t xml:space="preserve">.</w:t>
            </w:r>
            <w:r/>
          </w:p>
          <w:p>
            <w:pPr>
              <w:pStyle w:val="1005"/>
              <w:ind w:left="57" w:right="57"/>
            </w:pPr>
            <w:r>
              <w:t xml:space="preserve">В соответствии с SUFD-44411, SUFD-47686 (SUFD-48009) актуализирован п. </w:t>
            </w:r>
            <w:r>
              <w:fldChar w:fldCharType="begin"/>
            </w:r>
            <w:r>
              <w:instrText xml:space="preserve"> REF _Ref355695440 \r \h  \* MERGEFORMAT </w:instrText>
            </w:r>
            <w:r>
              <w:fldChar w:fldCharType="separate"/>
            </w:r>
            <w:r>
              <w:t xml:space="preserve">5.11.2</w:t>
            </w:r>
            <w:r>
              <w:fldChar w:fldCharType="end"/>
            </w:r>
            <w:r>
              <w:t xml:space="preserve">.</w:t>
            </w:r>
            <w:r/>
          </w:p>
          <w:p>
            <w:pPr>
              <w:pStyle w:val="1005"/>
              <w:ind w:left="57" w:right="57"/>
            </w:pPr>
            <w:r>
              <w:t xml:space="preserve">В соответствии с SUFD-46003 (SUFD-47660) актуализирован п. </w:t>
            </w:r>
            <w:r>
              <w:fldChar w:fldCharType="begin"/>
            </w:r>
            <w:r>
              <w:instrText xml:space="preserve"> REF _Ref361680359 \r \h  \* MERGEFORMAT </w:instrText>
            </w:r>
            <w:r>
              <w:fldChar w:fldCharType="separate"/>
            </w:r>
            <w:r>
              <w:t xml:space="preserve">5.11.1.2</w:t>
            </w:r>
            <w:r>
              <w:fldChar w:fldCharType="end"/>
            </w:r>
            <w:r>
              <w:t xml:space="preserve">.</w:t>
            </w:r>
            <w:r/>
          </w:p>
          <w:p>
            <w:pPr>
              <w:pStyle w:val="1005"/>
              <w:ind w:left="57" w:right="57"/>
            </w:pPr>
            <w:r>
              <w:t xml:space="preserve">В соответствии с SUFD-46464, SUFD-47259 (SUFD-48495) актуализирован п. </w:t>
            </w:r>
            <w:r>
              <w:fldChar w:fldCharType="begin"/>
            </w:r>
            <w:r>
              <w:instrText xml:space="preserve"> REF _Ref364090605 \r \h  \* MERGEFORMAT </w:instrText>
            </w:r>
            <w:r>
              <w:fldChar w:fldCharType="separate"/>
            </w:r>
            <w:r>
              <w:t xml:space="preserve">5.11.2</w:t>
            </w:r>
            <w:r>
              <w:fldChar w:fldCharType="end"/>
            </w:r>
            <w:r>
              <w:t xml:space="preserve">.</w:t>
            </w:r>
            <w:r/>
          </w:p>
          <w:p>
            <w:pPr>
              <w:pStyle w:val="1005"/>
              <w:ind w:left="57" w:right="57"/>
            </w:pPr>
            <w:r>
              <w:t xml:space="preserve">В соответствии с SUFD-38924 (SUFD-48862) актуализирован п. </w:t>
            </w:r>
            <w:r>
              <w:fldChar w:fldCharType="begin"/>
            </w:r>
            <w:r>
              <w:instrText xml:space="preserve"> REF _Ref364778716 \r \h  \* MERGEFORMAT </w:instrText>
            </w:r>
            <w:r>
              <w:fldChar w:fldCharType="separate"/>
            </w:r>
            <w:r>
              <w:t xml:space="preserve">5.3.1</w:t>
            </w:r>
            <w:r>
              <w:fldChar w:fldCharType="end"/>
            </w:r>
            <w:r>
              <w:t xml:space="preserve">.</w:t>
            </w:r>
            <w:r/>
          </w:p>
          <w:p>
            <w:pPr>
              <w:pStyle w:val="1005"/>
              <w:ind w:left="57" w:right="57"/>
            </w:pPr>
            <w:r>
              <w:t xml:space="preserve">В соответствии с SUFD-46240 (SUFD-48863) актуализирован п. </w:t>
            </w:r>
            <w:r>
              <w:fldChar w:fldCharType="begin"/>
            </w:r>
            <w:r>
              <w:instrText xml:space="preserve"> REF _Ref364778716 \r \h  \* MERGEFORMAT </w:instrText>
            </w:r>
            <w:r>
              <w:fldChar w:fldCharType="separate"/>
            </w:r>
            <w:r>
              <w:t xml:space="preserve">5.3.1</w:t>
            </w:r>
            <w:r>
              <w:fldChar w:fldCharType="end"/>
            </w:r>
            <w:r>
              <w:t xml:space="preserve">.</w:t>
            </w:r>
            <w:r/>
          </w:p>
          <w:p>
            <w:pPr>
              <w:pStyle w:val="1005"/>
              <w:ind w:left="57" w:right="57"/>
            </w:pPr>
            <w:r>
              <w:t xml:space="preserve">В соответствии с SUFD-46464 (SUFD-48864) актуализирован п. </w:t>
            </w:r>
            <w:r>
              <w:fldChar w:fldCharType="begin"/>
            </w:r>
            <w:r>
              <w:instrText xml:space="preserve"> REF _Ref364090605 \r \h  \* MERGEFORMAT </w:instrText>
            </w:r>
            <w:r>
              <w:fldChar w:fldCharType="separate"/>
            </w:r>
            <w:r>
              <w:t xml:space="preserve">5.11.2</w:t>
            </w:r>
            <w:r>
              <w:fldChar w:fldCharType="end"/>
            </w:r>
            <w:r>
              <w:t xml:space="preserve">.</w:t>
            </w:r>
            <w:r/>
          </w:p>
        </w:tc>
      </w:tr>
      <w:tr>
        <w:trPr/>
        <w:tc>
          <w:tcPr>
            <w:shd w:val="clear" w:fill="auto" w:color="auto"/>
            <w:tcW w:w="412" w:type="pct"/>
            <w:textDirection w:val="lrTb"/>
            <w:noWrap w:val="false"/>
          </w:tcPr>
          <w:p>
            <w:pPr>
              <w:pStyle w:val="1005"/>
              <w:ind w:left="57" w:right="57"/>
            </w:pPr>
            <w:r>
              <w:t xml:space="preserve">6.3</w:t>
            </w:r>
            <w:r/>
          </w:p>
        </w:tc>
        <w:tc>
          <w:tcPr>
            <w:shd w:val="clear" w:fill="auto" w:color="auto"/>
            <w:tcW w:w="635" w:type="pct"/>
            <w:textDirection w:val="lrTb"/>
            <w:noWrap w:val="false"/>
          </w:tcPr>
          <w:p>
            <w:pPr>
              <w:pStyle w:val="1005"/>
              <w:ind w:left="57" w:right="57"/>
            </w:pPr>
            <w:r>
              <w:t xml:space="preserve">23.09.2013</w:t>
            </w:r>
            <w:r/>
          </w:p>
        </w:tc>
        <w:tc>
          <w:tcPr>
            <w:shd w:val="clear" w:fill="auto" w:color="auto"/>
            <w:tcW w:w="1017" w:type="pct"/>
            <w:textDirection w:val="lrTb"/>
            <w:noWrap w:val="false"/>
          </w:tcPr>
          <w:p>
            <w:pPr>
              <w:pStyle w:val="1005"/>
              <w:ind w:left="57" w:right="57"/>
            </w:pPr>
            <w:r>
              <w:t xml:space="preserve">Дорофеев И.И.</w:t>
            </w:r>
            <w:r/>
          </w:p>
        </w:tc>
        <w:tc>
          <w:tcPr>
            <w:shd w:val="clear" w:fill="auto" w:color="auto"/>
            <w:tcW w:w="2936" w:type="pct"/>
            <w:textDirection w:val="lrTb"/>
            <w:noWrap w:val="false"/>
          </w:tcPr>
          <w:p>
            <w:pPr>
              <w:pStyle w:val="1005"/>
              <w:ind w:left="57" w:right="57"/>
            </w:pPr>
            <w:r>
              <w:t xml:space="preserve">В соответствии с SUFD-38713, SUFD-44445 (SUFD-44919) </w:t>
            </w:r>
            <w:r>
              <w:t xml:space="preserve">актуализированы п</w:t>
            </w:r>
            <w:r>
              <w:t xml:space="preserve">п</w:t>
            </w:r>
            <w:r>
              <w:t xml:space="preserve">.</w:t>
            </w:r>
            <w:r>
              <w:t xml:space="preserve"> </w:t>
            </w:r>
            <w:r>
              <w:fldChar w:fldCharType="begin"/>
            </w:r>
            <w:r>
              <w:instrText xml:space="preserve"> REF _Ref365478143 \r \h  \* MERGEFORMAT </w:instrText>
            </w:r>
            <w:r>
              <w:fldChar w:fldCharType="separate"/>
            </w:r>
            <w:r>
              <w:t xml:space="preserve">5.1.1</w:t>
            </w:r>
            <w:r>
              <w:fldChar w:fldCharType="end"/>
            </w:r>
            <w:r>
              <w:t xml:space="preserve">, </w:t>
            </w:r>
            <w:r>
              <w:fldChar w:fldCharType="begin"/>
            </w:r>
            <w:r>
              <w:instrText xml:space="preserve"> REF _Ref359521322 \r \h  \* MERGEFORMAT </w:instrText>
            </w:r>
            <w:r>
              <w:fldChar w:fldCharType="separate"/>
            </w:r>
            <w:r>
              <w:t xml:space="preserve">5.1.2</w:t>
            </w:r>
            <w:r>
              <w:fldChar w:fldCharType="end"/>
            </w:r>
            <w:r>
              <w:t xml:space="preserve">, </w:t>
            </w:r>
            <w:r>
              <w:fldChar w:fldCharType="begin"/>
            </w:r>
            <w:r>
              <w:instrText xml:space="preserve"> REF _Ref365452935 \r \h  \* MERGEFORMAT </w:instrText>
            </w:r>
            <w:r>
              <w:fldChar w:fldCharType="separate"/>
            </w:r>
            <w:r>
              <w:t xml:space="preserve">5.1.3</w:t>
            </w:r>
            <w:r>
              <w:fldChar w:fldCharType="end"/>
            </w:r>
            <w:r>
              <w:t xml:space="preserve">, </w:t>
            </w:r>
            <w:r>
              <w:fldChar w:fldCharType="begin"/>
            </w:r>
            <w:r>
              <w:instrText xml:space="preserve"> REF _Ref365478209 \r \h  \* MERGEFORMAT </w:instrText>
            </w:r>
            <w:r>
              <w:fldChar w:fldCharType="separate"/>
            </w:r>
            <w:r>
              <w:t xml:space="preserve">5.1.4</w:t>
            </w:r>
            <w:r>
              <w:fldChar w:fldCharType="end"/>
            </w:r>
            <w:r>
              <w:t xml:space="preserve">, </w:t>
            </w:r>
            <w:r>
              <w:fldChar w:fldCharType="begin"/>
            </w:r>
            <w:r>
              <w:instrText xml:space="preserve"> REF _Ref365478241 \r \h  \* MERGEFORMAT </w:instrText>
            </w:r>
            <w:r>
              <w:fldChar w:fldCharType="separate"/>
            </w:r>
            <w:r>
              <w:t xml:space="preserve">5.1.10</w:t>
            </w:r>
            <w:r>
              <w:fldChar w:fldCharType="end"/>
            </w:r>
            <w:r>
              <w:t xml:space="preserve">, </w:t>
            </w:r>
            <w:r>
              <w:fldChar w:fldCharType="begin"/>
            </w:r>
            <w:r>
              <w:instrText xml:space="preserve"> REF _Ref357697219 \r \h  \* MERGEFORMAT </w:instrText>
            </w:r>
            <w:r>
              <w:fldChar w:fldCharType="separate"/>
            </w:r>
            <w:r>
              <w:t xml:space="preserve">5.1.14</w:t>
            </w:r>
            <w:r>
              <w:fldChar w:fldCharType="end"/>
            </w:r>
            <w:r>
              <w:t xml:space="preserve">, </w:t>
            </w:r>
            <w:r>
              <w:fldChar w:fldCharType="begin"/>
            </w:r>
            <w:r>
              <w:instrText xml:space="preserve"> REF _Ref365478270 \r \h  \* MERGEFORMAT </w:instrText>
            </w:r>
            <w:r>
              <w:fldChar w:fldCharType="separate"/>
            </w:r>
            <w:r>
              <w:t xml:space="preserve">5.1.15</w:t>
            </w:r>
            <w:r>
              <w:fldChar w:fldCharType="end"/>
            </w:r>
            <w:r>
              <w:t xml:space="preserve">.</w:t>
            </w:r>
            <w:r/>
          </w:p>
          <w:p>
            <w:pPr>
              <w:pStyle w:val="1005"/>
              <w:ind w:left="57" w:right="57"/>
            </w:pPr>
            <w:r>
              <w:t xml:space="preserve">В соответствии с SUFD-48037 (SUFD-49022</w:t>
            </w:r>
            <w:r>
              <w:t xml:space="preserve">, </w:t>
            </w:r>
            <w:r>
              <w:t xml:space="preserve">SUFD-49023</w:t>
            </w:r>
            <w:r>
              <w:t xml:space="preserve">, SUFD-49024</w:t>
            </w:r>
            <w:r>
              <w:t xml:space="preserve">) актуализирован</w:t>
            </w:r>
            <w:r>
              <w:t xml:space="preserve">ы</w:t>
            </w:r>
            <w:r>
              <w:t xml:space="preserve"> </w:t>
            </w:r>
            <w:r>
              <w:t xml:space="preserve">п</w:t>
            </w:r>
            <w:r>
              <w:t xml:space="preserve">п. </w:t>
            </w:r>
            <w:r>
              <w:fldChar w:fldCharType="begin"/>
            </w:r>
            <w:r>
              <w:instrText xml:space="preserve"> REF _Ref365628490 \r \h  \* MERGEFORMAT </w:instrText>
            </w:r>
            <w:r>
              <w:fldChar w:fldCharType="separate"/>
            </w:r>
            <w:r>
              <w:t xml:space="preserve">5.1.15</w:t>
            </w:r>
            <w:r>
              <w:fldChar w:fldCharType="end"/>
            </w:r>
            <w:r>
              <w:t xml:space="preserve">, </w:t>
            </w:r>
            <w:r>
              <w:fldChar w:fldCharType="begin"/>
            </w:r>
            <w:r>
              <w:instrText xml:space="preserve"> REF _Ref357697219 \r \h  \* MERGEFORMAT </w:instrText>
            </w:r>
            <w:r>
              <w:fldChar w:fldCharType="separate"/>
            </w:r>
            <w:r>
              <w:t xml:space="preserve">5.1.14</w:t>
            </w:r>
            <w:r>
              <w:fldChar w:fldCharType="end"/>
            </w:r>
            <w:r>
              <w:t xml:space="preserve">, </w:t>
            </w:r>
            <w:r>
              <w:fldChar w:fldCharType="begin"/>
            </w:r>
            <w:r>
              <w:instrText xml:space="preserve"> REF _Ref365898961 \r \h  \* MERGEFORMAT </w:instrText>
            </w:r>
            <w:r>
              <w:fldChar w:fldCharType="separate"/>
            </w:r>
            <w:r>
              <w:t xml:space="preserve">5.1.10</w:t>
            </w:r>
            <w:r>
              <w:fldChar w:fldCharType="end"/>
            </w:r>
            <w:r>
              <w:t xml:space="preserve">.</w:t>
            </w:r>
            <w:r/>
          </w:p>
          <w:p>
            <w:pPr>
              <w:pStyle w:val="1005"/>
              <w:ind w:left="57" w:right="57"/>
            </w:pPr>
            <w:r>
              <w:t xml:space="preserve">В соответствии с SUFD-49079 (SUFD-49417) актуализирован п. </w:t>
            </w:r>
            <w:r>
              <w:fldChar w:fldCharType="begin"/>
            </w:r>
            <w:r>
              <w:instrText xml:space="preserve"> REF _Ref366077386 \r \h  \* MERGEFORMAT </w:instrText>
            </w:r>
            <w:r>
              <w:fldChar w:fldCharType="separate"/>
            </w:r>
            <w:r>
              <w:t xml:space="preserve">5.15.1</w:t>
            </w:r>
            <w:r>
              <w:fldChar w:fldCharType="end"/>
            </w:r>
            <w:r>
              <w:t xml:space="preserve">.</w:t>
            </w:r>
            <w:r/>
          </w:p>
          <w:p>
            <w:pPr>
              <w:pStyle w:val="1005"/>
              <w:ind w:left="57" w:right="57"/>
            </w:pPr>
            <w:r>
              <w:t xml:space="preserve">В соответствии с SUFD-49070 (SUFD-49405) актуализирован п. </w:t>
            </w:r>
            <w:r>
              <w:fldChar w:fldCharType="begin"/>
            </w:r>
            <w:r>
              <w:instrText xml:space="preserve"> REF _Ref366153818 \r \h  \* MERGEFORMAT </w:instrText>
            </w:r>
            <w:r>
              <w:fldChar w:fldCharType="separate"/>
            </w:r>
            <w:r>
              <w:t xml:space="preserve">5.15.2</w:t>
            </w:r>
            <w:r>
              <w:fldChar w:fldCharType="end"/>
            </w:r>
            <w:r>
              <w:t xml:space="preserve">.</w:t>
            </w:r>
            <w:r/>
          </w:p>
          <w:p>
            <w:pPr>
              <w:pStyle w:val="1005"/>
              <w:ind w:left="57" w:right="57"/>
            </w:pPr>
            <w:r>
              <w:t xml:space="preserve">В соответствии с SUFD-49754 (SUFD-49910) </w:t>
            </w:r>
            <w:r>
              <w:t xml:space="preserve">актуализированы п</w:t>
            </w:r>
            <w:r>
              <w:t xml:space="preserve">п</w:t>
            </w:r>
            <w:r>
              <w:t xml:space="preserve">.</w:t>
            </w:r>
            <w:r>
              <w:t xml:space="preserve"> </w:t>
            </w:r>
            <w:r>
              <w:fldChar w:fldCharType="begin"/>
            </w:r>
            <w:r>
              <w:instrText xml:space="preserve"> REF _Ref367475710 \r \h  \* MERGEFORMAT </w:instrText>
            </w:r>
            <w:r>
              <w:fldChar w:fldCharType="separate"/>
            </w:r>
            <w:r>
              <w:t xml:space="preserve">5.1.10</w:t>
            </w:r>
            <w:r>
              <w:fldChar w:fldCharType="end"/>
            </w:r>
            <w:r>
              <w:t xml:space="preserve">, </w:t>
            </w:r>
            <w:r>
              <w:fldChar w:fldCharType="begin"/>
            </w:r>
            <w:r>
              <w:instrText xml:space="preserve"> REF _Ref357697219 \r \h  \* MERGEFORMAT </w:instrText>
            </w:r>
            <w:r>
              <w:fldChar w:fldCharType="separate"/>
            </w:r>
            <w:r>
              <w:t xml:space="preserve">5.1.14</w:t>
            </w:r>
            <w:r>
              <w:fldChar w:fldCharType="end"/>
            </w:r>
            <w:r>
              <w:t xml:space="preserve">, </w:t>
            </w:r>
            <w:r>
              <w:fldChar w:fldCharType="begin"/>
            </w:r>
            <w:r>
              <w:instrText xml:space="preserve"> REF _Ref367475754 \r \h  \* MERGEFORMAT </w:instrText>
            </w:r>
            <w:r>
              <w:fldChar w:fldCharType="separate"/>
            </w:r>
            <w:r>
              <w:t xml:space="preserve">5.1.15</w:t>
            </w:r>
            <w:r>
              <w:fldChar w:fldCharType="end"/>
            </w:r>
            <w:r>
              <w:t xml:space="preserve">.</w:t>
            </w:r>
            <w:r/>
          </w:p>
          <w:p>
            <w:pPr>
              <w:pStyle w:val="1005"/>
              <w:ind w:left="57" w:right="57"/>
            </w:pPr>
            <w:r>
              <w:t xml:space="preserve">В соответствии с SUFD-48065 (SUFD-49603) </w:t>
            </w:r>
            <w:r>
              <w:t xml:space="preserve">актуализированы п</w:t>
            </w:r>
            <w:r>
              <w:t xml:space="preserve">п</w:t>
            </w:r>
            <w:r>
              <w:t xml:space="preserve">.</w:t>
            </w:r>
            <w:r>
              <w:t xml:space="preserve"> </w:t>
            </w:r>
            <w:r>
              <w:fldChar w:fldCharType="begin"/>
            </w:r>
            <w:r>
              <w:instrText xml:space="preserve"> REF _Ref367727352 \r \h  \* MERGEFORMAT </w:instrText>
            </w:r>
            <w:r>
              <w:fldChar w:fldCharType="separate"/>
            </w:r>
            <w:r>
              <w:t xml:space="preserve">5.1.1</w:t>
            </w:r>
            <w:r>
              <w:fldChar w:fldCharType="end"/>
            </w:r>
            <w:r>
              <w:t xml:space="preserve">, </w:t>
            </w:r>
            <w:r>
              <w:fldChar w:fldCharType="begin"/>
            </w:r>
            <w:r>
              <w:instrText xml:space="preserve"> REF _Ref359521322 \r \h  \* MERGEFORMAT </w:instrText>
            </w:r>
            <w:r>
              <w:fldChar w:fldCharType="separate"/>
            </w:r>
            <w:r>
              <w:t xml:space="preserve">5.1.2</w:t>
            </w:r>
            <w:r>
              <w:fldChar w:fldCharType="end"/>
            </w:r>
            <w:r>
              <w:t xml:space="preserve">, </w:t>
            </w:r>
            <w:r>
              <w:fldChar w:fldCharType="begin"/>
            </w:r>
            <w:r>
              <w:instrText xml:space="preserve"> REF _Ref365452935 \r \h  \* MERGEFORMAT </w:instrText>
            </w:r>
            <w:r>
              <w:fldChar w:fldCharType="separate"/>
            </w:r>
            <w:r>
              <w:t xml:space="preserve">5.1.3</w:t>
            </w:r>
            <w:r>
              <w:fldChar w:fldCharType="end"/>
            </w:r>
            <w:r>
              <w:t xml:space="preserve">, </w:t>
            </w:r>
            <w:r>
              <w:fldChar w:fldCharType="begin"/>
            </w:r>
            <w:r>
              <w:instrText xml:space="preserve"> REF _Ref367727404 \r \h  \* MERGEFORMAT </w:instrText>
            </w:r>
            <w:r>
              <w:fldChar w:fldCharType="separate"/>
            </w:r>
            <w:r>
              <w:t xml:space="preserve">5.1.4</w:t>
            </w:r>
            <w:r>
              <w:fldChar w:fldCharType="end"/>
            </w:r>
            <w:r>
              <w:t xml:space="preserve">.</w:t>
            </w:r>
            <w:r/>
          </w:p>
        </w:tc>
      </w:tr>
      <w:tr>
        <w:trPr/>
        <w:tc>
          <w:tcPr>
            <w:shd w:val="clear" w:fill="auto" w:color="auto"/>
            <w:tcW w:w="412" w:type="pct"/>
            <w:textDirection w:val="lrTb"/>
            <w:noWrap w:val="false"/>
          </w:tcPr>
          <w:p>
            <w:pPr>
              <w:pStyle w:val="1005"/>
              <w:ind w:left="57" w:right="57"/>
            </w:pPr>
            <w:r>
              <w:t xml:space="preserve">6.4</w:t>
            </w:r>
            <w:r/>
          </w:p>
        </w:tc>
        <w:tc>
          <w:tcPr>
            <w:shd w:val="clear" w:fill="auto" w:color="auto"/>
            <w:tcW w:w="635" w:type="pct"/>
            <w:textDirection w:val="lrTb"/>
            <w:noWrap w:val="false"/>
          </w:tcPr>
          <w:p>
            <w:pPr>
              <w:pStyle w:val="1005"/>
              <w:ind w:left="57" w:right="57"/>
            </w:pPr>
            <w:r>
              <w:t xml:space="preserve">23.10.2013</w:t>
            </w:r>
            <w:r/>
          </w:p>
        </w:tc>
        <w:tc>
          <w:tcPr>
            <w:shd w:val="clear" w:fill="auto" w:color="auto"/>
            <w:tcW w:w="1017" w:type="pct"/>
            <w:textDirection w:val="lrTb"/>
            <w:noWrap w:val="false"/>
          </w:tcPr>
          <w:p>
            <w:pPr>
              <w:pStyle w:val="1005"/>
              <w:ind w:left="57" w:right="57"/>
            </w:pPr>
            <w:r>
              <w:t xml:space="preserve">Дорофеев И.И.</w:t>
            </w:r>
            <w:r/>
          </w:p>
        </w:tc>
        <w:tc>
          <w:tcPr>
            <w:shd w:val="clear" w:fill="auto" w:color="auto"/>
            <w:tcW w:w="2936" w:type="pct"/>
            <w:textDirection w:val="lrTb"/>
            <w:noWrap w:val="false"/>
          </w:tcPr>
          <w:p>
            <w:pPr>
              <w:pStyle w:val="1005"/>
              <w:ind w:left="57" w:right="57"/>
            </w:pPr>
            <w:r>
              <w:t xml:space="preserve">В соответствии с SUFD-43139 (SUFD-50018) актуализирован п.</w:t>
            </w:r>
            <w:r>
              <w:t xml:space="preserve"> </w:t>
            </w:r>
            <w:r>
              <w:fldChar w:fldCharType="begin"/>
            </w:r>
            <w:r>
              <w:instrText xml:space="preserve"> REF _Ref355695440 \r \h </w:instrText>
            </w:r>
            <w:r>
              <w:fldChar w:fldCharType="separate"/>
            </w:r>
            <w:r>
              <w:t xml:space="preserve">5.11.2</w:t>
            </w:r>
            <w:r>
              <w:fldChar w:fldCharType="end"/>
            </w:r>
            <w:r>
              <w:t xml:space="preserve">.</w:t>
            </w:r>
            <w:r/>
          </w:p>
          <w:p>
            <w:pPr>
              <w:pStyle w:val="1005"/>
              <w:ind w:left="57" w:right="57"/>
            </w:pPr>
            <w:r>
              <w:t xml:space="preserve">В соответствии с SUFD-48065 (SUFD-49603) </w:t>
            </w:r>
            <w:r>
              <w:t xml:space="preserve">актуализи</w:t>
            </w:r>
            <w:r>
              <w:t xml:space="preserve">рованы </w:t>
            </w:r>
            <w:r>
              <w:t xml:space="preserve">п</w:t>
            </w:r>
            <w:r>
              <w:t xml:space="preserve">п.</w:t>
            </w:r>
            <w:r>
              <w:t xml:space="preserve"> </w:t>
            </w:r>
            <w:r>
              <w:fldChar w:fldCharType="begin"/>
            </w:r>
            <w:r>
              <w:instrText xml:space="preserve"> REF _Ref368676705 \r \h  \* MERGEFORMAT </w:instrText>
            </w:r>
            <w:r>
              <w:fldChar w:fldCharType="separate"/>
            </w:r>
            <w:r>
              <w:t xml:space="preserve">5.1.1</w:t>
            </w:r>
            <w:r>
              <w:fldChar w:fldCharType="end"/>
            </w:r>
            <w:r>
              <w:t xml:space="preserve">, </w:t>
            </w:r>
            <w:r>
              <w:fldChar w:fldCharType="begin"/>
            </w:r>
            <w:r>
              <w:instrText xml:space="preserve"> REF _Ref359521322 \r \h  \* MERGEFORMAT </w:instrText>
            </w:r>
            <w:r>
              <w:fldChar w:fldCharType="separate"/>
            </w:r>
            <w:r>
              <w:t xml:space="preserve">5.1.2</w:t>
            </w:r>
            <w:r>
              <w:fldChar w:fldCharType="end"/>
            </w:r>
            <w:r>
              <w:t xml:space="preserve">, </w:t>
            </w:r>
            <w:r>
              <w:fldChar w:fldCharType="begin"/>
            </w:r>
            <w:r>
              <w:instrText xml:space="preserve"> REF _Ref365452935 \r \h  \* MERGEFORMAT </w:instrText>
            </w:r>
            <w:r>
              <w:fldChar w:fldCharType="separate"/>
            </w:r>
            <w:r>
              <w:t xml:space="preserve">5.1.3</w:t>
            </w:r>
            <w:r>
              <w:fldChar w:fldCharType="end"/>
            </w:r>
            <w:r>
              <w:t xml:space="preserve">, </w:t>
            </w:r>
            <w:r>
              <w:fldChar w:fldCharType="begin"/>
            </w:r>
            <w:r>
              <w:instrText xml:space="preserve"> REF _Ref368676772 \r \h  \* MERGEFORMAT </w:instrText>
            </w:r>
            <w:r>
              <w:fldChar w:fldCharType="separate"/>
            </w:r>
            <w:r>
              <w:t xml:space="preserve">5.1.4</w:t>
            </w:r>
            <w:r>
              <w:fldChar w:fldCharType="end"/>
            </w:r>
            <w:r>
              <w:t xml:space="preserve">, </w:t>
            </w:r>
            <w:r>
              <w:fldChar w:fldCharType="begin"/>
            </w:r>
            <w:r>
              <w:instrText xml:space="preserve"> REF _Ref368676793 \r \h  \* MERGEFORMAT </w:instrText>
            </w:r>
            <w:r>
              <w:fldChar w:fldCharType="separate"/>
            </w:r>
            <w:r>
              <w:t xml:space="preserve">5.1.6</w:t>
            </w:r>
            <w:r>
              <w:fldChar w:fldCharType="end"/>
            </w:r>
            <w:r>
              <w:t xml:space="preserve">; </w:t>
            </w:r>
            <w:r>
              <w:fldChar w:fldCharType="begin"/>
            </w:r>
            <w:r>
              <w:instrText xml:space="preserve"> REF _Ref368586144 \r \h  \* MERGEFORMAT </w:instrText>
            </w:r>
            <w:r>
              <w:fldChar w:fldCharType="separate"/>
            </w:r>
            <w:r>
              <w:t xml:space="preserve">5.3.1</w:t>
            </w:r>
            <w:r>
              <w:fldChar w:fldCharType="end"/>
            </w:r>
            <w:r>
              <w:t xml:space="preserve">, добавлен п. </w:t>
            </w:r>
            <w:r>
              <w:fldChar w:fldCharType="begin"/>
            </w:r>
            <w:r>
              <w:instrText xml:space="preserve"> REF _Ref272416333 \r \h  \* MERGEFORMAT </w:instrText>
            </w:r>
            <w:r>
              <w:fldChar w:fldCharType="separate"/>
            </w:r>
            <w:r>
              <w:t xml:space="preserve">5.3.2</w:t>
            </w:r>
            <w:r>
              <w:fldChar w:fldCharType="end"/>
            </w:r>
            <w:r>
              <w:t xml:space="preserve">.</w:t>
            </w:r>
            <w:r/>
          </w:p>
          <w:p>
            <w:pPr>
              <w:pStyle w:val="1005"/>
              <w:ind w:left="57" w:right="57"/>
            </w:pPr>
            <w:r>
              <w:t xml:space="preserve">В соответствии с SUFD-46954, SUFD-49975 (SUFD-50014) актуализирован п. </w:t>
            </w:r>
            <w:r>
              <w:fldChar w:fldCharType="begin"/>
            </w:r>
            <w:r>
              <w:instrText xml:space="preserve"> REF _Ref369022921 \r \h  \* MERGEFORMAT </w:instrText>
            </w:r>
            <w:r>
              <w:fldChar w:fldCharType="separate"/>
            </w:r>
            <w:r>
              <w:t xml:space="preserve">5.16.1</w:t>
            </w:r>
            <w:r>
              <w:fldChar w:fldCharType="end"/>
            </w:r>
            <w:r>
              <w:t xml:space="preserve">.</w:t>
            </w:r>
            <w:r/>
          </w:p>
          <w:p>
            <w:pPr>
              <w:pStyle w:val="1005"/>
              <w:ind w:left="57" w:right="57"/>
            </w:pPr>
            <w:r>
              <w:t xml:space="preserve">В соответствии с SUFD-48984 (SUFD-50616) актуализирован п. </w:t>
            </w:r>
            <w:r>
              <w:fldChar w:fldCharType="begin"/>
            </w:r>
            <w:r>
              <w:instrText xml:space="preserve"> REF _Ref369271280 \r \h  \* MERGEFORMAT </w:instrText>
            </w:r>
            <w:r>
              <w:fldChar w:fldCharType="separate"/>
            </w:r>
            <w:r>
              <w:t xml:space="preserve">5.7.1</w:t>
            </w:r>
            <w:r>
              <w:fldChar w:fldCharType="end"/>
            </w:r>
            <w:r>
              <w:t xml:space="preserve">.</w:t>
            </w:r>
            <w:r/>
          </w:p>
          <w:p>
            <w:pPr>
              <w:pStyle w:val="1005"/>
              <w:ind w:left="57" w:right="57"/>
            </w:pPr>
            <w:r>
              <w:t xml:space="preserve">В соответствии с SUFD-50526 (SUFD-50617) актуализирован п. </w:t>
            </w:r>
            <w:r>
              <w:fldChar w:fldCharType="begin"/>
            </w:r>
            <w:r>
              <w:instrText xml:space="preserve"> REF _Ref369533015 \r \h  \* MERGEFORMAT </w:instrText>
            </w:r>
            <w:r>
              <w:fldChar w:fldCharType="separate"/>
            </w:r>
            <w:r>
              <w:t xml:space="preserve">5.7.2</w:t>
            </w:r>
            <w:r>
              <w:fldChar w:fldCharType="end"/>
            </w:r>
            <w:r>
              <w:t xml:space="preserve">.</w:t>
            </w:r>
            <w:r/>
          </w:p>
          <w:p>
            <w:pPr>
              <w:pStyle w:val="1005"/>
              <w:ind w:left="57" w:right="57"/>
            </w:pPr>
            <w:r>
              <w:t xml:space="preserve">В соответствии с SUFD-46954, SUFD-49975 (SUFD-50014) актуализирован п. </w:t>
            </w:r>
            <w:r>
              <w:fldChar w:fldCharType="begin"/>
            </w:r>
            <w:r>
              <w:instrText xml:space="preserve"> REF _Ref369623886 \r \h  \* MERGEFORMAT </w:instrText>
            </w:r>
            <w:r>
              <w:fldChar w:fldCharType="separate"/>
            </w:r>
            <w:r>
              <w:t xml:space="preserve">5.16.1</w:t>
            </w:r>
            <w:r>
              <w:fldChar w:fldCharType="end"/>
            </w:r>
            <w:r>
              <w:t xml:space="preserve">.</w:t>
            </w:r>
            <w:r/>
          </w:p>
          <w:p>
            <w:pPr>
              <w:pStyle w:val="1005"/>
              <w:ind w:left="57" w:right="57"/>
            </w:pPr>
            <w:r>
              <w:t xml:space="preserve">В соответствии с SUFD-50209 (SUFD-50754) актуализирован п. </w:t>
            </w:r>
            <w:r>
              <w:fldChar w:fldCharType="begin"/>
            </w:r>
            <w:r>
              <w:instrText xml:space="preserve"> REF _Ref369717299 \r \h  \* MERGEFORMAT </w:instrText>
            </w:r>
            <w:r>
              <w:fldChar w:fldCharType="separate"/>
            </w:r>
            <w:r>
              <w:t xml:space="preserve">5.1.1</w:t>
            </w:r>
            <w:r>
              <w:fldChar w:fldCharType="end"/>
            </w:r>
            <w:r>
              <w:t xml:space="preserve">.</w:t>
            </w:r>
            <w:r/>
          </w:p>
          <w:p>
            <w:pPr>
              <w:pStyle w:val="1005"/>
              <w:ind w:left="57" w:right="57"/>
            </w:pPr>
            <w:r>
              <w:t xml:space="preserve">В соответствии с SUFD-50429 (SUFD-50758) актуализирован п. </w:t>
            </w:r>
            <w:r>
              <w:fldChar w:fldCharType="begin"/>
            </w:r>
            <w:r>
              <w:instrText xml:space="preserve"> REF _Ref370141601 \r \h  \* MERGEFORMAT </w:instrText>
            </w:r>
            <w:r>
              <w:fldChar w:fldCharType="separate"/>
            </w:r>
            <w:r>
              <w:t xml:space="preserve">5.3.1</w:t>
            </w:r>
            <w:r>
              <w:fldChar w:fldCharType="end"/>
            </w:r>
            <w:r>
              <w:t xml:space="preserve">.</w:t>
            </w:r>
            <w:r/>
          </w:p>
          <w:p>
            <w:pPr>
              <w:pStyle w:val="1005"/>
              <w:ind w:left="57" w:right="57"/>
            </w:pPr>
            <w:r>
              <w:t xml:space="preserve">В соответствии с SUFD-48065, SUFD-37738 (SUFD-49603) добавлен п. </w:t>
            </w:r>
            <w:r>
              <w:fldChar w:fldCharType="begin"/>
            </w:r>
            <w:r>
              <w:instrText xml:space="preserve"> REF _Ref370315769 \r \h  \* MERGEFORMAT </w:instrText>
            </w:r>
            <w:r>
              <w:fldChar w:fldCharType="separate"/>
            </w:r>
            <w:r>
              <w:t xml:space="preserve">3.3.1</w:t>
            </w:r>
            <w:r>
              <w:fldChar w:fldCharType="end"/>
            </w:r>
            <w:r>
              <w:t xml:space="preserve"> и </w:t>
            </w:r>
            <w:r>
              <w:t xml:space="preserve">актуализированы п</w:t>
            </w:r>
            <w:r>
              <w:t xml:space="preserve">п</w:t>
            </w:r>
            <w:r>
              <w:t xml:space="preserve">.</w:t>
            </w:r>
            <w:r>
              <w:t xml:space="preserve"> </w:t>
            </w:r>
            <w:r>
              <w:fldChar w:fldCharType="begin"/>
            </w:r>
            <w:r>
              <w:instrText xml:space="preserve"> REF _Ref370315715 \r \h  \* MERGEFORMAT </w:instrText>
            </w:r>
            <w:r>
              <w:fldChar w:fldCharType="separate"/>
            </w:r>
            <w:r>
              <w:t xml:space="preserve">5.3.1</w:t>
            </w:r>
            <w:r>
              <w:fldChar w:fldCharType="end"/>
            </w:r>
            <w:r>
              <w:t xml:space="preserve">, </w:t>
            </w:r>
            <w:r>
              <w:fldChar w:fldCharType="begin"/>
            </w:r>
            <w:r>
              <w:instrText xml:space="preserve"> REF _Ref272416333 \r \h  \* MERGEFORMAT </w:instrText>
            </w:r>
            <w:r>
              <w:fldChar w:fldCharType="separate"/>
            </w:r>
            <w:r>
              <w:t xml:space="preserve">5.3.2</w:t>
            </w:r>
            <w:r>
              <w:fldChar w:fldCharType="end"/>
            </w:r>
            <w:r>
              <w:t xml:space="preserve">, </w:t>
            </w:r>
            <w:r>
              <w:fldChar w:fldCharType="begin"/>
            </w:r>
            <w:r>
              <w:instrText xml:space="preserve"> REF _Ref370315826 \r \h  \* MERGEFORMAT </w:instrText>
            </w:r>
            <w:r>
              <w:fldChar w:fldCharType="separate"/>
            </w:r>
            <w:r>
              <w:t xml:space="preserve">5.1.1</w:t>
            </w:r>
            <w:r>
              <w:fldChar w:fldCharType="end"/>
            </w:r>
            <w:r>
              <w:t xml:space="preserve">, </w:t>
            </w:r>
            <w:r>
              <w:fldChar w:fldCharType="begin"/>
            </w:r>
            <w:r>
              <w:instrText xml:space="preserve"> REF _Ref359521322 \r \h  \* MERGEFORMAT </w:instrText>
            </w:r>
            <w:r>
              <w:fldChar w:fldCharType="separate"/>
            </w:r>
            <w:r>
              <w:t xml:space="preserve">5.1.2</w:t>
            </w:r>
            <w:r>
              <w:fldChar w:fldCharType="end"/>
            </w:r>
            <w:r>
              <w:t xml:space="preserve">, </w:t>
            </w:r>
            <w:r>
              <w:fldChar w:fldCharType="begin"/>
            </w:r>
            <w:r>
              <w:instrText xml:space="preserve"> REF _Ref365452935 \r \h  \* MERGEFORMAT </w:instrText>
            </w:r>
            <w:r>
              <w:fldChar w:fldCharType="separate"/>
            </w:r>
            <w:r>
              <w:t xml:space="preserve">5.1.3</w:t>
            </w:r>
            <w:r>
              <w:fldChar w:fldCharType="end"/>
            </w:r>
            <w:r>
              <w:t xml:space="preserve">, </w:t>
            </w:r>
            <w:r>
              <w:fldChar w:fldCharType="begin"/>
            </w:r>
            <w:r>
              <w:instrText xml:space="preserve"> REF _Ref370315872 \r \h  \* MERGEFORMAT </w:instrText>
            </w:r>
            <w:r>
              <w:fldChar w:fldCharType="separate"/>
            </w:r>
            <w:r>
              <w:t xml:space="preserve">5.1.4</w:t>
            </w:r>
            <w:r>
              <w:fldChar w:fldCharType="end"/>
            </w:r>
            <w:r>
              <w:t xml:space="preserve">, </w:t>
            </w:r>
            <w:r>
              <w:fldChar w:fldCharType="begin"/>
            </w:r>
            <w:r>
              <w:instrText xml:space="preserve"> REF _Ref370315916 \r \h  \* MERGEFORMAT </w:instrText>
            </w:r>
            <w:r>
              <w:fldChar w:fldCharType="separate"/>
            </w:r>
            <w:r>
              <w:t xml:space="preserve">5.1.6</w:t>
            </w:r>
            <w:r>
              <w:fldChar w:fldCharType="end"/>
            </w:r>
            <w:r>
              <w:t xml:space="preserve">.</w:t>
            </w:r>
            <w:r/>
          </w:p>
          <w:p>
            <w:pPr>
              <w:pStyle w:val="1005"/>
              <w:ind w:left="57" w:right="57"/>
            </w:pPr>
            <w:r>
              <w:t xml:space="preserve">В соответствии с SUFD-50401 (SUFD-50757) актуализирован п.</w:t>
            </w:r>
            <w:r>
              <w:t xml:space="preserve"> </w:t>
            </w:r>
            <w:r>
              <w:fldChar w:fldCharType="begin"/>
            </w:r>
            <w:r>
              <w:instrText xml:space="preserve"> REF _Ref420330963 \r \h </w:instrText>
            </w:r>
            <w:r>
              <w:fldChar w:fldCharType="separate"/>
            </w:r>
            <w:r>
              <w:t xml:space="preserve">5.3.3</w:t>
            </w:r>
            <w:r>
              <w:fldChar w:fldCharType="end"/>
            </w:r>
            <w:r>
              <w:t xml:space="preserve">.</w:t>
            </w:r>
            <w:r/>
          </w:p>
        </w:tc>
      </w:tr>
      <w:tr>
        <w:trPr/>
        <w:tc>
          <w:tcPr>
            <w:shd w:val="clear" w:fill="auto" w:color="auto"/>
            <w:tcW w:w="412" w:type="pct"/>
            <w:textDirection w:val="lrTb"/>
            <w:noWrap w:val="false"/>
          </w:tcPr>
          <w:p>
            <w:pPr>
              <w:pStyle w:val="1005"/>
              <w:ind w:left="57" w:right="57"/>
            </w:pPr>
            <w:r>
              <w:t xml:space="preserve">6.5</w:t>
            </w:r>
            <w:r/>
          </w:p>
        </w:tc>
        <w:tc>
          <w:tcPr>
            <w:shd w:val="clear" w:fill="auto" w:color="auto"/>
            <w:tcW w:w="635" w:type="pct"/>
            <w:textDirection w:val="lrTb"/>
            <w:noWrap w:val="false"/>
          </w:tcPr>
          <w:p>
            <w:pPr>
              <w:pStyle w:val="1005"/>
              <w:ind w:left="57" w:right="57"/>
            </w:pPr>
            <w:r>
              <w:t xml:space="preserve">27.11.2013</w:t>
            </w:r>
            <w:r/>
          </w:p>
        </w:tc>
        <w:tc>
          <w:tcPr>
            <w:shd w:val="clear" w:fill="auto" w:color="auto"/>
            <w:tcW w:w="1017" w:type="pct"/>
            <w:textDirection w:val="lrTb"/>
            <w:noWrap w:val="false"/>
          </w:tcPr>
          <w:p>
            <w:pPr>
              <w:pStyle w:val="1005"/>
              <w:ind w:left="57" w:right="57"/>
            </w:pPr>
            <w:r>
              <w:t xml:space="preserve">Дорофеев И.И.</w:t>
            </w:r>
            <w:r/>
          </w:p>
        </w:tc>
        <w:tc>
          <w:tcPr>
            <w:shd w:val="clear" w:fill="auto" w:color="auto"/>
            <w:tcW w:w="2936" w:type="pct"/>
            <w:textDirection w:val="lrTb"/>
            <w:noWrap w:val="false"/>
          </w:tcPr>
          <w:p>
            <w:pPr>
              <w:pStyle w:val="1005"/>
              <w:ind w:left="57" w:right="57"/>
            </w:pPr>
            <w:r>
              <w:t xml:space="preserve">В соответствии с SUFD-43216 (SUFD-50755</w:t>
            </w:r>
            <w:r>
              <w:t xml:space="preserve">, </w:t>
            </w:r>
            <w:r>
              <w:t xml:space="preserve">SUFD-50756</w:t>
            </w:r>
            <w:r>
              <w:t xml:space="preserve">) актуализирован</w:t>
            </w:r>
            <w:r>
              <w:t xml:space="preserve">ы</w:t>
            </w:r>
            <w:r>
              <w:t xml:space="preserve"> </w:t>
            </w:r>
            <w:r>
              <w:t xml:space="preserve">п</w:t>
            </w:r>
            <w:r>
              <w:t xml:space="preserve">п. </w:t>
            </w:r>
            <w:r>
              <w:fldChar w:fldCharType="begin"/>
            </w:r>
            <w:r>
              <w:instrText xml:space="preserve"> REF _Ref359521322 \r \h  \* MERGEFORMAT </w:instrText>
            </w:r>
            <w:r>
              <w:fldChar w:fldCharType="separate"/>
            </w:r>
            <w:r>
              <w:t xml:space="preserve">5.1.2</w:t>
            </w:r>
            <w:r>
              <w:fldChar w:fldCharType="end"/>
            </w:r>
            <w:r>
              <w:t xml:space="preserve">, </w:t>
            </w:r>
            <w:r>
              <w:fldChar w:fldCharType="begin"/>
            </w:r>
            <w:r>
              <w:instrText xml:space="preserve"> REF _Ref365452935 \r \h  \* MERGEFORMAT </w:instrText>
            </w:r>
            <w:r>
              <w:fldChar w:fldCharType="separate"/>
            </w:r>
            <w:r>
              <w:t xml:space="preserve">5.1.3</w:t>
            </w:r>
            <w:r>
              <w:fldChar w:fldCharType="end"/>
            </w:r>
            <w:r>
              <w:t xml:space="preserve">, (</w:t>
            </w:r>
            <w:r>
              <w:t xml:space="preserve">SUFD-50761</w:t>
            </w:r>
            <w:r>
              <w:t xml:space="preserve">) </w:t>
            </w:r>
            <w:r>
              <w:fldChar w:fldCharType="begin"/>
            </w:r>
            <w:r>
              <w:instrText xml:space="preserve"> REF _Ref371070892 \r \h  \* MERGEFORMAT </w:instrText>
            </w:r>
            <w:r>
              <w:fldChar w:fldCharType="separate"/>
            </w:r>
            <w:r>
              <w:t xml:space="preserve">5.1.6</w:t>
            </w:r>
            <w:r>
              <w:fldChar w:fldCharType="end"/>
            </w:r>
            <w:r>
              <w:t xml:space="preserve">, </w:t>
            </w:r>
            <w:r>
              <w:fldChar w:fldCharType="begin"/>
            </w:r>
            <w:r>
              <w:instrText xml:space="preserve"> REF _Ref482629405 \r \h </w:instrText>
            </w:r>
            <w:r>
              <w:fldChar w:fldCharType="separate"/>
            </w:r>
            <w:r>
              <w:t xml:space="preserve">5.1.7</w:t>
            </w:r>
            <w:r>
              <w:fldChar w:fldCharType="end"/>
            </w:r>
            <w:r>
              <w:t xml:space="preserve">, (</w:t>
            </w:r>
            <w:r>
              <w:t xml:space="preserve">SUFD-50762</w:t>
            </w:r>
            <w:r>
              <w:t xml:space="preserve">) </w:t>
            </w:r>
            <w:r>
              <w:fldChar w:fldCharType="begin"/>
            </w:r>
            <w:r>
              <w:instrText xml:space="preserve"> REF _Ref371593707 \r \h  \* MERGEFORMAT </w:instrText>
            </w:r>
            <w:r>
              <w:fldChar w:fldCharType="separate"/>
            </w:r>
            <w:r>
              <w:t xml:space="preserve">5.15.2</w:t>
            </w:r>
            <w:r>
              <w:fldChar w:fldCharType="end"/>
            </w:r>
            <w:r>
              <w:t xml:space="preserve">, (</w:t>
            </w:r>
            <w:r>
              <w:t xml:space="preserve">SUFD-50763</w:t>
            </w:r>
            <w:r>
              <w:t xml:space="preserve">) </w:t>
            </w:r>
            <w:r>
              <w:fldChar w:fldCharType="begin"/>
            </w:r>
            <w:r>
              <w:instrText xml:space="preserve"> REF _Ref355695440 \r \h  \* MERGEFORMAT </w:instrText>
            </w:r>
            <w:r>
              <w:fldChar w:fldCharType="separate"/>
            </w:r>
            <w:r>
              <w:t xml:space="preserve">5.11.2</w:t>
            </w:r>
            <w:r>
              <w:fldChar w:fldCharType="end"/>
            </w:r>
            <w:r>
              <w:t xml:space="preserve">.</w:t>
            </w:r>
            <w:r/>
          </w:p>
          <w:p>
            <w:pPr>
              <w:pStyle w:val="1005"/>
              <w:ind w:left="57" w:right="57"/>
            </w:pPr>
            <w:r>
              <w:t xml:space="preserve">В соответствии с SUFD-43176 (SUFD-51105</w:t>
            </w:r>
            <w:r>
              <w:t xml:space="preserve">, </w:t>
            </w:r>
            <w:r>
              <w:t xml:space="preserve">SUFD-51106</w:t>
            </w:r>
            <w:r>
              <w:t xml:space="preserve">, SUFD-51107</w:t>
            </w:r>
            <w:r>
              <w:t xml:space="preserve">) актуализирован</w:t>
            </w:r>
            <w:r>
              <w:t xml:space="preserve">ы</w:t>
            </w:r>
            <w:r>
              <w:t xml:space="preserve"> </w:t>
            </w:r>
            <w:r>
              <w:t xml:space="preserve">п</w:t>
            </w:r>
            <w:r>
              <w:t xml:space="preserve">п.</w:t>
            </w:r>
            <w:r>
              <w:t xml:space="preserve"> </w:t>
            </w:r>
            <w:r>
              <w:fldChar w:fldCharType="begin"/>
            </w:r>
            <w:r>
              <w:instrText xml:space="preserve"> REF _Ref404870282 \r \h </w:instrText>
            </w:r>
            <w:r>
              <w:fldChar w:fldCharType="separate"/>
            </w:r>
            <w:r>
              <w:t xml:space="preserve">5.3.4</w:t>
            </w:r>
            <w:r>
              <w:fldChar w:fldCharType="end"/>
            </w:r>
            <w:r>
              <w:t xml:space="preserve">, </w:t>
            </w:r>
            <w:r>
              <w:fldChar w:fldCharType="begin"/>
            </w:r>
            <w:r>
              <w:instrText xml:space="preserve"> REF _Ref370835955 \r \h  \* MERGEFORMAT </w:instrText>
            </w:r>
            <w:r>
              <w:fldChar w:fldCharType="separate"/>
            </w:r>
            <w:r>
              <w:t xml:space="preserve">5.3.6</w:t>
            </w:r>
            <w:r>
              <w:fldChar w:fldCharType="end"/>
            </w:r>
            <w:r>
              <w:t xml:space="preserve">,</w:t>
            </w:r>
            <w:r>
              <w:t xml:space="preserve"> </w:t>
            </w:r>
            <w:r>
              <w:fldChar w:fldCharType="begin"/>
            </w:r>
            <w:r>
              <w:instrText xml:space="preserve"> REF _Ref59718146 \r \h </w:instrText>
            </w:r>
            <w:r>
              <w:fldChar w:fldCharType="separate"/>
            </w:r>
            <w:r>
              <w:t xml:space="preserve">5.3.5</w:t>
            </w:r>
            <w:r>
              <w:fldChar w:fldCharType="end"/>
            </w:r>
            <w:r>
              <w:t xml:space="preserve">.</w:t>
            </w:r>
            <w:r/>
          </w:p>
          <w:p>
            <w:pPr>
              <w:pStyle w:val="1005"/>
              <w:ind w:left="57" w:right="57"/>
            </w:pPr>
            <w:r>
              <w:t xml:space="preserve">В соответствии с SUFD-50614, SUFD-48111 (SUFD-51235) добавлен п. </w:t>
            </w:r>
            <w:r>
              <w:fldChar w:fldCharType="begin"/>
            </w:r>
            <w:r>
              <w:instrText xml:space="preserve"> REF _Ref372112339 \r \h  \* MERGEFORMAT </w:instrText>
            </w:r>
            <w:r>
              <w:fldChar w:fldCharType="separate"/>
            </w:r>
            <w:r>
              <w:t xml:space="preserve">5.8.2</w:t>
            </w:r>
            <w:r>
              <w:fldChar w:fldCharType="end"/>
            </w:r>
            <w:r>
              <w:t xml:space="preserve">.</w:t>
            </w:r>
            <w:r/>
          </w:p>
          <w:p>
            <w:pPr>
              <w:pStyle w:val="1005"/>
              <w:ind w:left="57" w:right="57"/>
            </w:pPr>
            <w:r>
              <w:t xml:space="preserve">В соответствии с SUFD-46424 (</w:t>
            </w:r>
            <w:r>
              <w:t xml:space="preserve">SUFD-51233</w:t>
            </w:r>
            <w:r>
              <w:t xml:space="preserve">, </w:t>
            </w:r>
            <w:r>
              <w:t xml:space="preserve">SUFD-51234) </w:t>
            </w:r>
            <w:r>
              <w:t xml:space="preserve">актуализирован п. </w:t>
            </w:r>
            <w:r>
              <w:fldChar w:fldCharType="begin"/>
            </w:r>
            <w:r>
              <w:instrText xml:space="preserve"> REF _Ref361680359 \r \h  \* MERGEFORMAT </w:instrText>
            </w:r>
            <w:r>
              <w:fldChar w:fldCharType="separate"/>
            </w:r>
            <w:r>
              <w:t xml:space="preserve">5.11.1.2</w:t>
            </w:r>
            <w:r>
              <w:fldChar w:fldCharType="end"/>
            </w:r>
            <w:r>
              <w:t xml:space="preserve">, </w:t>
            </w:r>
            <w:r>
              <w:t xml:space="preserve">добавлен </w:t>
            </w:r>
            <w:r>
              <w:t xml:space="preserve">новый пункт</w:t>
            </w:r>
            <w:r>
              <w:t xml:space="preserve">.</w:t>
            </w:r>
            <w:r/>
          </w:p>
          <w:p>
            <w:pPr>
              <w:pStyle w:val="1005"/>
              <w:ind w:left="57" w:right="57"/>
            </w:pPr>
            <w:r>
              <w:t xml:space="preserve">В соответствии с SUFD-51135 (SUFD-52115</w:t>
            </w:r>
            <w:r>
              <w:t xml:space="preserve">, </w:t>
            </w:r>
            <w:r>
              <w:t xml:space="preserve">SUFD-52116</w:t>
            </w:r>
            <w:r>
              <w:t xml:space="preserve">) актуализирован п. </w:t>
            </w:r>
            <w:r>
              <w:fldChar w:fldCharType="begin"/>
            </w:r>
            <w:r>
              <w:instrText xml:space="preserve"> REF _Ref311541908 \r \h  \* MERGEFORMAT </w:instrText>
            </w:r>
            <w:r>
              <w:fldChar w:fldCharType="separate"/>
            </w:r>
            <w:r>
              <w:t xml:space="preserve">5.17.1</w:t>
            </w:r>
            <w:r>
              <w:fldChar w:fldCharType="end"/>
            </w:r>
            <w:r>
              <w:t xml:space="preserve">.</w:t>
            </w:r>
            <w:r/>
          </w:p>
          <w:p>
            <w:pPr>
              <w:pStyle w:val="1005"/>
              <w:ind w:left="57" w:right="57"/>
            </w:pPr>
            <w:r>
              <w:t xml:space="preserve">В соответствии с SUFD-49873, SUFD-45343 (SUFD-51184) актуализирован п. </w:t>
            </w:r>
            <w:r>
              <w:fldChar w:fldCharType="begin"/>
            </w:r>
            <w:r>
              <w:instrText xml:space="preserve"> REF _Ref373250277 \r \h  \* MERGEFORMAT </w:instrText>
            </w:r>
            <w:r>
              <w:fldChar w:fldCharType="separate"/>
            </w:r>
            <w:r>
              <w:t xml:space="preserve">5.1.1</w:t>
            </w:r>
            <w:r>
              <w:fldChar w:fldCharType="end"/>
            </w:r>
            <w:r>
              <w:t xml:space="preserve">.</w:t>
            </w:r>
            <w:r/>
          </w:p>
          <w:p>
            <w:pPr>
              <w:pStyle w:val="1005"/>
              <w:ind w:left="57" w:right="57"/>
            </w:pPr>
            <w:r>
              <w:t xml:space="preserve">В соответствии с SUFD-51476, SUFD-47608 (SUFD-52406) актуализирован п. </w:t>
            </w:r>
            <w:r>
              <w:fldChar w:fldCharType="begin"/>
            </w:r>
            <w:r>
              <w:instrText xml:space="preserve"> REF _Ref373261140 \r \h  \* MERGEFORMAT </w:instrText>
            </w:r>
            <w:r>
              <w:fldChar w:fldCharType="separate"/>
            </w:r>
            <w:r>
              <w:t xml:space="preserve">5.1.4</w:t>
            </w:r>
            <w:r>
              <w:fldChar w:fldCharType="end"/>
            </w:r>
            <w:r>
              <w:t xml:space="preserve">.</w:t>
            </w:r>
            <w:r/>
          </w:p>
          <w:p>
            <w:pPr>
              <w:pStyle w:val="1005"/>
              <w:ind w:left="57" w:right="57"/>
            </w:pPr>
            <w:r>
              <w:t xml:space="preserve">В соответствии с SUFD-52170, SUFD-50498 (SUFD-52408) актуализирован п. </w:t>
            </w:r>
            <w:r>
              <w:fldChar w:fldCharType="begin"/>
            </w:r>
            <w:r>
              <w:instrText xml:space="preserve"> REF _Ref373344006 \r \h  \* MERGEFORMAT </w:instrText>
            </w:r>
            <w:r>
              <w:fldChar w:fldCharType="separate"/>
            </w:r>
            <w:r>
              <w:t xml:space="preserve">5.1.10</w:t>
            </w:r>
            <w:r>
              <w:fldChar w:fldCharType="end"/>
            </w:r>
            <w:r>
              <w:t xml:space="preserve">.</w:t>
            </w:r>
            <w:r/>
          </w:p>
        </w:tc>
      </w:tr>
      <w:tr>
        <w:trPr/>
        <w:tc>
          <w:tcPr>
            <w:shd w:val="clear" w:fill="auto" w:color="auto"/>
            <w:tcW w:w="412" w:type="pct"/>
            <w:textDirection w:val="lrTb"/>
            <w:noWrap w:val="false"/>
          </w:tcPr>
          <w:p>
            <w:pPr>
              <w:pStyle w:val="1005"/>
              <w:ind w:left="57" w:right="57"/>
            </w:pPr>
            <w:r>
              <w:t xml:space="preserve">6.6</w:t>
            </w:r>
            <w:r/>
          </w:p>
        </w:tc>
        <w:tc>
          <w:tcPr>
            <w:shd w:val="clear" w:fill="auto" w:color="auto"/>
            <w:tcW w:w="635" w:type="pct"/>
            <w:textDirection w:val="lrTb"/>
            <w:noWrap w:val="false"/>
          </w:tcPr>
          <w:p>
            <w:pPr>
              <w:pStyle w:val="1005"/>
              <w:ind w:left="57" w:right="57"/>
            </w:pPr>
            <w:r>
              <w:t xml:space="preserve">14.01.2014</w:t>
            </w:r>
            <w:r/>
          </w:p>
        </w:tc>
        <w:tc>
          <w:tcPr>
            <w:shd w:val="clear" w:fill="auto" w:color="auto"/>
            <w:tcW w:w="1017" w:type="pct"/>
            <w:textDirection w:val="lrTb"/>
            <w:noWrap w:val="false"/>
          </w:tcPr>
          <w:p>
            <w:pPr>
              <w:pStyle w:val="1005"/>
              <w:ind w:left="57" w:right="57"/>
            </w:pPr>
            <w:r>
              <w:t xml:space="preserve">Алексеев И.И.</w:t>
            </w:r>
            <w:r/>
          </w:p>
          <w:p>
            <w:pPr>
              <w:pStyle w:val="1005"/>
              <w:ind w:left="57" w:right="57"/>
            </w:pPr>
            <w:r>
              <w:t xml:space="preserve">Дорофеев И.И.</w:t>
            </w:r>
            <w:r/>
          </w:p>
        </w:tc>
        <w:tc>
          <w:tcPr>
            <w:shd w:val="clear" w:fill="auto" w:color="auto"/>
            <w:tcW w:w="2936" w:type="pct"/>
            <w:textDirection w:val="lrTb"/>
            <w:noWrap w:val="false"/>
          </w:tcPr>
          <w:p>
            <w:pPr>
              <w:pStyle w:val="1005"/>
              <w:ind w:left="57" w:right="57"/>
            </w:pPr>
            <w:r>
              <w:t xml:space="preserve">В соответствии с PROD-97858 (SF-52408) актуализирован п. </w:t>
            </w:r>
            <w:r>
              <w:fldChar w:fldCharType="begin"/>
            </w:r>
            <w:r>
              <w:instrText xml:space="preserve"> REF _Ref373484305 \r \h  \* MERGEFORMAT </w:instrText>
            </w:r>
            <w:r>
              <w:fldChar w:fldCharType="separate"/>
            </w:r>
            <w:r>
              <w:t xml:space="preserve">5.16.1</w:t>
            </w:r>
            <w:r>
              <w:fldChar w:fldCharType="end"/>
            </w:r>
            <w:r/>
          </w:p>
          <w:p>
            <w:pPr>
              <w:pStyle w:val="1005"/>
              <w:ind w:left="57" w:right="57"/>
            </w:pPr>
            <w:r>
              <w:t xml:space="preserve">В соответствии с SUFD-52516 (SUFD-53075) актуализирован п. </w:t>
            </w:r>
            <w:r>
              <w:fldChar w:fldCharType="begin"/>
            </w:r>
            <w:r>
              <w:instrText xml:space="preserve"> REF _Ref482629405 \r \h </w:instrText>
            </w:r>
            <w:r>
              <w:fldChar w:fldCharType="separate"/>
            </w:r>
            <w:r>
              <w:t xml:space="preserve">5.1.7</w:t>
            </w:r>
            <w:r>
              <w:fldChar w:fldCharType="end"/>
            </w:r>
            <w:r>
              <w:t xml:space="preserve">.</w:t>
            </w:r>
            <w:r/>
          </w:p>
          <w:p>
            <w:pPr>
              <w:pStyle w:val="1005"/>
              <w:ind w:left="57" w:right="57"/>
            </w:pPr>
            <w:r>
              <w:t xml:space="preserve">В соответствии с SUFD-50514, SUFD-43216 (</w:t>
            </w:r>
            <w:r>
              <w:t xml:space="preserve">SUFD-50763) актуализирован</w:t>
            </w:r>
            <w:r>
              <w:t xml:space="preserve"> п. </w:t>
            </w:r>
            <w:r>
              <w:fldChar w:fldCharType="begin"/>
            </w:r>
            <w:r>
              <w:instrText xml:space="preserve"> REF _Ref355695440 \r \h  \* MERGEFORMAT </w:instrText>
            </w:r>
            <w:r>
              <w:fldChar w:fldCharType="separate"/>
            </w:r>
            <w:r>
              <w:t xml:space="preserve">5.11.2</w:t>
            </w:r>
            <w:r>
              <w:fldChar w:fldCharType="end"/>
            </w:r>
            <w:r>
              <w:t xml:space="preserve">.</w:t>
            </w:r>
            <w:r/>
          </w:p>
          <w:p>
            <w:pPr>
              <w:pStyle w:val="1005"/>
              <w:ind w:left="57" w:right="57"/>
            </w:pPr>
            <w:r>
              <w:t xml:space="preserve">В соответствии с SUFD-53208, SUFD-52637 (SUFD-53415) актуализирован п.</w:t>
            </w:r>
            <w:r>
              <w:t xml:space="preserve"> </w:t>
            </w:r>
            <w:r>
              <w:fldChar w:fldCharType="begin"/>
            </w:r>
            <w:r>
              <w:instrText xml:space="preserve"> REF _Ref404870310 \r \h </w:instrText>
            </w:r>
            <w:r>
              <w:fldChar w:fldCharType="separate"/>
            </w:r>
            <w:r>
              <w:t xml:space="preserve">5.3.4</w:t>
            </w:r>
            <w:r>
              <w:fldChar w:fldCharType="end"/>
            </w:r>
            <w:r>
              <w:t xml:space="preserve">.</w:t>
            </w:r>
            <w:r/>
          </w:p>
          <w:p>
            <w:pPr>
              <w:pStyle w:val="1005"/>
              <w:ind w:left="57" w:right="57"/>
            </w:pPr>
            <w:r>
              <w:t xml:space="preserve">В соответствии с SUFD-53256, SUFD-50501 (SUFD-53554) актуализирован п. </w:t>
            </w:r>
            <w:r>
              <w:fldChar w:fldCharType="begin"/>
            </w:r>
            <w:r>
              <w:instrText xml:space="preserve"> REF _Ref327532506 \r \h  \* MERGEFORMAT </w:instrText>
            </w:r>
            <w:r>
              <w:fldChar w:fldCharType="separate"/>
            </w:r>
            <w:r>
              <w:t xml:space="preserve">5.17.1.2</w:t>
            </w:r>
            <w:r>
              <w:fldChar w:fldCharType="end"/>
            </w:r>
            <w:r>
              <w:t xml:space="preserve">.</w:t>
            </w:r>
            <w:r/>
          </w:p>
          <w:p>
            <w:pPr>
              <w:pStyle w:val="1005"/>
              <w:ind w:left="57" w:right="57"/>
            </w:pPr>
            <w:r>
              <w:t xml:space="preserve">В соответствии с SUFD-53254 (SUFD-54128</w:t>
            </w:r>
            <w:r>
              <w:t xml:space="preserve">,</w:t>
            </w:r>
            <w:r>
              <w:t xml:space="preserve"> SUFD-54129</w:t>
            </w:r>
            <w:r>
              <w:t xml:space="preserve">, </w:t>
            </w:r>
            <w:r>
              <w:t xml:space="preserve">SUFD-54131</w:t>
            </w:r>
            <w:r>
              <w:t xml:space="preserve">, SUFD-54132, </w:t>
            </w:r>
            <w:r>
              <w:t xml:space="preserve">SUFD-54133</w:t>
            </w:r>
            <w:r>
              <w:t xml:space="preserve">) актуализирован</w:t>
            </w:r>
            <w:r>
              <w:t xml:space="preserve">ы</w:t>
            </w:r>
            <w:r>
              <w:t xml:space="preserve"> </w:t>
            </w:r>
            <w:r>
              <w:t xml:space="preserve">п</w:t>
            </w:r>
            <w:r>
              <w:t xml:space="preserve">п. </w:t>
            </w:r>
            <w:r>
              <w:fldChar w:fldCharType="begin"/>
            </w:r>
            <w:r>
              <w:instrText xml:space="preserve"> REF _Ref377404002 \r \h  \* MERGEFORMAT </w:instrText>
            </w:r>
            <w:r>
              <w:fldChar w:fldCharType="separate"/>
            </w:r>
            <w:r>
              <w:t xml:space="preserve">5.1.1</w:t>
            </w:r>
            <w:r>
              <w:fldChar w:fldCharType="end"/>
            </w:r>
            <w:r>
              <w:t xml:space="preserve">, </w:t>
            </w:r>
            <w:r>
              <w:fldChar w:fldCharType="begin"/>
            </w:r>
            <w:r>
              <w:instrText xml:space="preserve"> REF _Ref359521322 \r \h  \* MERGEFORMAT </w:instrText>
            </w:r>
            <w:r>
              <w:fldChar w:fldCharType="separate"/>
            </w:r>
            <w:r>
              <w:t xml:space="preserve">5.1.2</w:t>
            </w:r>
            <w:r>
              <w:fldChar w:fldCharType="end"/>
            </w:r>
            <w:r>
              <w:t xml:space="preserve">, </w:t>
            </w:r>
            <w:r>
              <w:fldChar w:fldCharType="begin"/>
            </w:r>
            <w:r>
              <w:instrText xml:space="preserve"> REF _Ref365452935 \r \h  \* MERGEFORMAT </w:instrText>
            </w:r>
            <w:r>
              <w:fldChar w:fldCharType="separate"/>
            </w:r>
            <w:r>
              <w:t xml:space="preserve">5.1.3</w:t>
            </w:r>
            <w:r>
              <w:fldChar w:fldCharType="end"/>
            </w:r>
            <w:r>
              <w:t xml:space="preserve">, </w:t>
            </w:r>
            <w:r>
              <w:fldChar w:fldCharType="begin"/>
            </w:r>
            <w:r>
              <w:instrText xml:space="preserve"> REF _Ref420331057 \r \h </w:instrText>
            </w:r>
            <w:r>
              <w:fldChar w:fldCharType="separate"/>
            </w:r>
            <w:r>
              <w:t xml:space="preserve">5.3.3</w:t>
            </w:r>
            <w:r>
              <w:fldChar w:fldCharType="end"/>
            </w:r>
            <w:r>
              <w:t xml:space="preserve">, </w:t>
            </w:r>
            <w:r>
              <w:fldChar w:fldCharType="begin"/>
            </w:r>
            <w:r>
              <w:instrText xml:space="preserve"> REF _Ref377489457 \r \h  \* MERGEFORMAT </w:instrText>
            </w:r>
            <w:r>
              <w:fldChar w:fldCharType="separate"/>
            </w:r>
            <w:r>
              <w:t xml:space="preserve">5.1.4</w:t>
            </w:r>
            <w:r>
              <w:fldChar w:fldCharType="end"/>
            </w:r>
            <w:r>
              <w:t xml:space="preserve">.</w:t>
            </w:r>
            <w:r>
              <w:t xml:space="preserve"> </w:t>
            </w:r>
            <w:r/>
          </w:p>
        </w:tc>
      </w:tr>
      <w:tr>
        <w:trPr/>
        <w:tc>
          <w:tcPr>
            <w:shd w:val="clear" w:fill="auto" w:color="auto"/>
            <w:tcW w:w="412" w:type="pct"/>
            <w:textDirection w:val="lrTb"/>
            <w:noWrap w:val="false"/>
          </w:tcPr>
          <w:p>
            <w:pPr>
              <w:pStyle w:val="1005"/>
              <w:ind w:left="57" w:right="57"/>
            </w:pPr>
            <w:r>
              <w:t xml:space="preserve">6.7</w:t>
            </w:r>
            <w:r/>
          </w:p>
        </w:tc>
        <w:tc>
          <w:tcPr>
            <w:shd w:val="clear" w:fill="auto" w:color="auto"/>
            <w:tcW w:w="635" w:type="pct"/>
            <w:textDirection w:val="lrTb"/>
            <w:noWrap w:val="false"/>
          </w:tcPr>
          <w:p>
            <w:pPr>
              <w:pStyle w:val="1005"/>
              <w:ind w:left="57" w:right="57"/>
            </w:pPr>
            <w:r>
              <w:t xml:space="preserve">30.01.2014</w:t>
            </w:r>
            <w:r/>
          </w:p>
        </w:tc>
        <w:tc>
          <w:tcPr>
            <w:shd w:val="clear" w:fill="auto" w:color="auto"/>
            <w:tcW w:w="1017" w:type="pct"/>
            <w:textDirection w:val="lrTb"/>
            <w:noWrap w:val="false"/>
          </w:tcPr>
          <w:p>
            <w:pPr>
              <w:pStyle w:val="1005"/>
              <w:ind w:left="57" w:right="57"/>
            </w:pPr>
            <w:r>
              <w:t xml:space="preserve">Дорофеев И.И.</w:t>
            </w:r>
            <w:r/>
          </w:p>
        </w:tc>
        <w:tc>
          <w:tcPr>
            <w:shd w:val="clear" w:fill="auto" w:color="auto"/>
            <w:tcW w:w="2936" w:type="pct"/>
            <w:textDirection w:val="lrTb"/>
            <w:noWrap w:val="false"/>
          </w:tcPr>
          <w:p>
            <w:pPr>
              <w:pStyle w:val="1005"/>
              <w:ind w:left="57" w:right="57"/>
            </w:pPr>
            <w:r>
              <w:t xml:space="preserve">В соответствии с SUFD-53751, SUFD-51620 (SUFD-54241) добавлен п. </w:t>
            </w:r>
            <w:r>
              <w:fldChar w:fldCharType="begin"/>
            </w:r>
            <w:r>
              <w:instrText xml:space="preserve"> REF _Ref377561876 \r \h  \* MERGEFORMAT </w:instrText>
            </w:r>
            <w:r>
              <w:fldChar w:fldCharType="separate"/>
            </w:r>
            <w:r>
              <w:t xml:space="preserve">5.8.3</w:t>
            </w:r>
            <w:r>
              <w:fldChar w:fldCharType="end"/>
            </w:r>
            <w:r>
              <w:t xml:space="preserve">.</w:t>
            </w:r>
            <w:r/>
          </w:p>
          <w:p>
            <w:pPr>
              <w:pStyle w:val="1005"/>
              <w:ind w:left="57" w:right="57"/>
            </w:pPr>
            <w:r>
              <w:t xml:space="preserve">В соответствии с SUFD-50949 (SUFD-54255</w:t>
            </w:r>
            <w:r>
              <w:t xml:space="preserve">, </w:t>
            </w:r>
            <w:r>
              <w:t xml:space="preserve">SUFD-54256</w:t>
            </w:r>
            <w:r>
              <w:t xml:space="preserve">) актуализирован</w:t>
            </w:r>
            <w:r>
              <w:t xml:space="preserve">ы</w:t>
            </w:r>
            <w:r>
              <w:t xml:space="preserve"> </w:t>
            </w:r>
            <w:r>
              <w:t xml:space="preserve">п</w:t>
            </w:r>
            <w:r>
              <w:t xml:space="preserve">п. </w:t>
            </w:r>
            <w:r>
              <w:fldChar w:fldCharType="begin"/>
            </w:r>
            <w:r>
              <w:instrText xml:space="preserve"> REF _Ref377742273 \r \h  \* MERGEFORMAT </w:instrText>
            </w:r>
            <w:r>
              <w:fldChar w:fldCharType="separate"/>
            </w:r>
            <w:r>
              <w:t xml:space="preserve">5.1.6</w:t>
            </w:r>
            <w:r>
              <w:fldChar w:fldCharType="end"/>
            </w:r>
            <w:r>
              <w:t xml:space="preserve">, </w:t>
            </w:r>
            <w:r>
              <w:fldChar w:fldCharType="begin"/>
            </w:r>
            <w:r>
              <w:instrText xml:space="preserve"> REF _Ref482629405 \r \h </w:instrText>
            </w:r>
            <w:r>
              <w:fldChar w:fldCharType="separate"/>
            </w:r>
            <w:r>
              <w:t xml:space="preserve">5.1.7</w:t>
            </w:r>
            <w:r>
              <w:fldChar w:fldCharType="end"/>
            </w:r>
            <w:r>
              <w:t xml:space="preserve">.</w:t>
            </w:r>
            <w:r/>
          </w:p>
          <w:p>
            <w:pPr>
              <w:pStyle w:val="1005"/>
              <w:ind w:left="57" w:right="57"/>
            </w:pPr>
            <w:r>
              <w:t xml:space="preserve">В соответствии с SUFD-53254 (SUFD-54128</w:t>
            </w:r>
            <w:r>
              <w:t xml:space="preserve">, </w:t>
            </w:r>
            <w:r>
              <w:t xml:space="preserve">SUFD-54131</w:t>
            </w:r>
            <w:r>
              <w:t xml:space="preserve">, </w:t>
            </w:r>
            <w:r>
              <w:t xml:space="preserve">SUFD-54132</w:t>
            </w:r>
            <w:r>
              <w:t xml:space="preserve">) откорректирован</w:t>
            </w:r>
            <w:r>
              <w:t xml:space="preserve">ы</w:t>
            </w:r>
            <w:r>
              <w:t xml:space="preserve"> </w:t>
            </w:r>
            <w:r>
              <w:t xml:space="preserve">п</w:t>
            </w:r>
            <w:r>
              <w:t xml:space="preserve">п. </w:t>
            </w:r>
            <w:r>
              <w:fldChar w:fldCharType="begin"/>
            </w:r>
            <w:r>
              <w:instrText xml:space="preserve"> REF _Ref378697488 \r \h  \* MERGEFORMAT </w:instrText>
            </w:r>
            <w:r>
              <w:fldChar w:fldCharType="separate"/>
            </w:r>
            <w:r>
              <w:t xml:space="preserve">5.1.1</w:t>
            </w:r>
            <w:r>
              <w:fldChar w:fldCharType="end"/>
            </w:r>
            <w:r>
              <w:t xml:space="preserve">, </w:t>
            </w:r>
            <w:r>
              <w:fldChar w:fldCharType="begin"/>
            </w:r>
            <w:r>
              <w:instrText xml:space="preserve"> REF _Ref365452935 \r \h  \* MERGEFORMAT </w:instrText>
            </w:r>
            <w:r>
              <w:fldChar w:fldCharType="separate"/>
            </w:r>
            <w:r>
              <w:t xml:space="preserve">5.1.3</w:t>
            </w:r>
            <w:r>
              <w:fldChar w:fldCharType="end"/>
            </w:r>
            <w:r>
              <w:t xml:space="preserve">, </w:t>
            </w:r>
            <w:r>
              <w:fldChar w:fldCharType="begin"/>
            </w:r>
            <w:r>
              <w:instrText xml:space="preserve"> REF _Ref420331057 \r \h </w:instrText>
            </w:r>
            <w:r>
              <w:fldChar w:fldCharType="separate"/>
            </w:r>
            <w:r>
              <w:t xml:space="preserve">5.3.3</w:t>
            </w:r>
            <w:r>
              <w:fldChar w:fldCharType="end"/>
            </w:r>
            <w:r>
              <w:t xml:space="preserve">.</w:t>
            </w:r>
            <w:r/>
          </w:p>
          <w:p>
            <w:pPr>
              <w:pStyle w:val="1005"/>
              <w:ind w:left="57" w:right="57"/>
            </w:pPr>
            <w:r>
              <w:t xml:space="preserve">В соответствии с </w:t>
            </w:r>
            <w:r>
              <w:rPr>
                <w:lang w:val="en-US"/>
              </w:rPr>
              <w:t xml:space="preserve">MAIL</w:t>
            </w:r>
            <w:r>
              <w:t xml:space="preserve">-17183 (</w:t>
            </w:r>
            <w:r>
              <w:rPr>
                <w:lang w:val="en-US"/>
              </w:rPr>
              <w:t xml:space="preserve">MAIL</w:t>
            </w:r>
            <w:r>
              <w:t xml:space="preserve">-17233) отредактирован п. </w:t>
            </w:r>
            <w:r>
              <w:fldChar w:fldCharType="begin"/>
            </w:r>
            <w:r>
              <w:instrText xml:space="preserve"> REF _Ref377561876 \r \h  \* MERGEFORMAT </w:instrText>
            </w:r>
            <w:r>
              <w:fldChar w:fldCharType="separate"/>
            </w:r>
            <w:r>
              <w:t xml:space="preserve">5.8.3</w:t>
            </w:r>
            <w:r>
              <w:fldChar w:fldCharType="end"/>
            </w:r>
            <w:r>
              <w:t xml:space="preserve">.</w:t>
            </w:r>
            <w:r/>
          </w:p>
        </w:tc>
      </w:tr>
      <w:tr>
        <w:trPr/>
        <w:tc>
          <w:tcPr>
            <w:shd w:val="clear" w:fill="auto" w:color="auto"/>
            <w:tcW w:w="412" w:type="pct"/>
            <w:textDirection w:val="lrTb"/>
            <w:noWrap w:val="false"/>
          </w:tcPr>
          <w:p>
            <w:pPr>
              <w:pStyle w:val="1005"/>
              <w:ind w:left="57" w:right="57"/>
            </w:pPr>
            <w:r>
              <w:t xml:space="preserve">6.8</w:t>
            </w:r>
            <w:r/>
          </w:p>
        </w:tc>
        <w:tc>
          <w:tcPr>
            <w:shd w:val="clear" w:fill="auto" w:color="auto"/>
            <w:tcW w:w="635" w:type="pct"/>
            <w:textDirection w:val="lrTb"/>
            <w:noWrap w:val="false"/>
          </w:tcPr>
          <w:p>
            <w:pPr>
              <w:pStyle w:val="1005"/>
              <w:ind w:left="57" w:right="57"/>
            </w:pPr>
            <w:r>
              <w:t xml:space="preserve">18.03.2014</w:t>
            </w:r>
            <w:r/>
          </w:p>
        </w:tc>
        <w:tc>
          <w:tcPr>
            <w:shd w:val="clear" w:fill="auto" w:color="auto"/>
            <w:tcW w:w="1017" w:type="pct"/>
            <w:textDirection w:val="lrTb"/>
            <w:noWrap w:val="false"/>
          </w:tcPr>
          <w:p>
            <w:pPr>
              <w:pStyle w:val="1005"/>
              <w:ind w:left="57" w:right="57"/>
            </w:pPr>
            <w:r>
              <w:t xml:space="preserve">Дорофеев И.И</w:t>
            </w:r>
            <w:r/>
          </w:p>
          <w:p>
            <w:pPr>
              <w:pStyle w:val="1005"/>
              <w:ind w:left="57" w:right="57"/>
            </w:pPr>
            <w:r>
              <w:t xml:space="preserve">Алексеев И.И.</w:t>
            </w:r>
            <w:r/>
          </w:p>
        </w:tc>
        <w:tc>
          <w:tcPr>
            <w:shd w:val="clear" w:fill="auto" w:color="auto"/>
            <w:tcW w:w="2936" w:type="pct"/>
            <w:textDirection w:val="lrTb"/>
            <w:noWrap w:val="false"/>
          </w:tcPr>
          <w:p>
            <w:pPr>
              <w:pStyle w:val="1005"/>
              <w:ind w:left="57" w:right="57"/>
            </w:pPr>
            <w:r>
              <w:t xml:space="preserve">В соответствии с SUFD-54937 (SUFD-55574) актуализирован п.</w:t>
            </w:r>
            <w:r>
              <w:t xml:space="preserve"> </w:t>
            </w:r>
            <w:r>
              <w:fldChar w:fldCharType="begin"/>
            </w:r>
            <w:r>
              <w:instrText xml:space="preserve"> REF _Ref51937061 \r \h </w:instrText>
            </w:r>
            <w:r>
              <w:fldChar w:fldCharType="separate"/>
            </w:r>
            <w:r>
              <w:t xml:space="preserve">5.1.8</w:t>
            </w:r>
            <w:r>
              <w:fldChar w:fldCharType="end"/>
            </w:r>
            <w:r>
              <w:t xml:space="preserve">.</w:t>
            </w:r>
            <w:r/>
          </w:p>
          <w:p>
            <w:pPr>
              <w:pStyle w:val="1005"/>
              <w:ind w:left="57" w:right="57"/>
            </w:pPr>
            <w:r>
              <w:t xml:space="preserve">В соответствии с SUFD-55542 (SUFD-56066) актуализирован п. </w:t>
            </w:r>
            <w:r>
              <w:fldChar w:fldCharType="begin"/>
            </w:r>
            <w:r>
              <w:instrText xml:space="preserve"> REF _Ref380511302 \r \h  \* MERGEFORMAT </w:instrText>
            </w:r>
            <w:r>
              <w:fldChar w:fldCharType="separate"/>
            </w:r>
            <w:r>
              <w:t xml:space="preserve">5.7.1</w:t>
            </w:r>
            <w:r>
              <w:fldChar w:fldCharType="end"/>
            </w:r>
            <w:r>
              <w:t xml:space="preserve">.</w:t>
            </w:r>
            <w:r/>
          </w:p>
          <w:p>
            <w:pPr>
              <w:pStyle w:val="1005"/>
              <w:ind w:left="57" w:right="57"/>
            </w:pPr>
            <w:r>
              <w:t xml:space="preserve">В соответствии с SUFD-55754 (SUFD-56411</w:t>
            </w:r>
            <w:r>
              <w:t xml:space="preserve">, </w:t>
            </w:r>
            <w:r>
              <w:t xml:space="preserve">SUFD-56413</w:t>
            </w:r>
            <w:r>
              <w:t xml:space="preserve">) актуализирован п. </w:t>
            </w:r>
            <w:r>
              <w:fldChar w:fldCharType="begin"/>
            </w:r>
            <w:r>
              <w:instrText xml:space="preserve"> REF _Ref355695440 \r \h  \* MERGEFORMAT </w:instrText>
            </w:r>
            <w:r>
              <w:fldChar w:fldCharType="separate"/>
            </w:r>
            <w:r>
              <w:t xml:space="preserve">5.11.2</w:t>
            </w:r>
            <w:r>
              <w:fldChar w:fldCharType="end"/>
            </w:r>
            <w:r>
              <w:t xml:space="preserve">.</w:t>
            </w:r>
            <w:r/>
          </w:p>
          <w:p>
            <w:pPr>
              <w:pStyle w:val="1005"/>
              <w:ind w:left="57" w:right="57"/>
            </w:pPr>
            <w:r>
              <w:t xml:space="preserve">В соответствии с SUFD-55247, SUFD-43204 (SUFD-56420) актуализирован п</w:t>
            </w:r>
            <w:r>
              <w:t xml:space="preserve">. </w:t>
            </w:r>
            <w:r>
              <w:fldChar w:fldCharType="begin"/>
            </w:r>
            <w:r>
              <w:instrText xml:space="preserve"> REF _Ref356406935 \r \h </w:instrText>
            </w:r>
            <w:r>
              <w:fldChar w:fldCharType="separate"/>
            </w:r>
            <w:r>
              <w:t xml:space="preserve">5.17.6</w:t>
            </w:r>
            <w:r>
              <w:fldChar w:fldCharType="end"/>
            </w:r>
            <w:r>
              <w:t xml:space="preserve">.</w:t>
            </w:r>
            <w:r/>
          </w:p>
          <w:p>
            <w:pPr>
              <w:pStyle w:val="1005"/>
              <w:ind w:left="57" w:right="57"/>
            </w:pPr>
            <w:r>
              <w:t xml:space="preserve">В соответствии с SUFD-54655, SUFD-53875 (SUFD-54531) </w:t>
            </w:r>
            <w:r>
              <w:t xml:space="preserve">актуализированы </w:t>
            </w:r>
            <w:r>
              <w:t xml:space="preserve">п</w:t>
            </w:r>
            <w:r>
              <w:t xml:space="preserve">п.</w:t>
            </w:r>
            <w:r>
              <w:t xml:space="preserve"> </w:t>
            </w:r>
            <w:r>
              <w:fldChar w:fldCharType="begin"/>
            </w:r>
            <w:r>
              <w:instrText xml:space="preserve"> REF _Ref381265701 \r \h </w:instrText>
            </w:r>
            <w:r>
              <w:instrText xml:space="preserve"> \* MERGEFORMAT </w:instrText>
            </w:r>
            <w:r>
              <w:fldChar w:fldCharType="separate"/>
            </w:r>
            <w:r>
              <w:t xml:space="preserve">5.1.6</w:t>
            </w:r>
            <w:r>
              <w:fldChar w:fldCharType="end"/>
            </w:r>
            <w:r>
              <w:t xml:space="preserve">, </w:t>
            </w:r>
            <w:r>
              <w:fldChar w:fldCharType="begin"/>
            </w:r>
            <w:r>
              <w:instrText xml:space="preserve"> REF _Ref482629405 \r \h </w:instrText>
            </w:r>
            <w:r>
              <w:fldChar w:fldCharType="separate"/>
            </w:r>
            <w:r>
              <w:t xml:space="preserve">5.1.7</w:t>
            </w:r>
            <w:r>
              <w:fldChar w:fldCharType="end"/>
            </w:r>
            <w:r>
              <w:t xml:space="preserve">.</w:t>
            </w:r>
            <w:r/>
          </w:p>
          <w:p>
            <w:pPr>
              <w:pStyle w:val="1005"/>
              <w:ind w:left="57" w:right="57"/>
            </w:pPr>
            <w:r>
              <w:t xml:space="preserve">В соответствии с SUFD-55269, SUFD-50501 (SUFD-56422) актуализирован п. </w:t>
            </w:r>
            <w:r>
              <w:fldChar w:fldCharType="begin"/>
            </w:r>
            <w:r>
              <w:instrText xml:space="preserve"> REF _Ref327532506 \r \h </w:instrText>
            </w:r>
            <w:r>
              <w:instrText xml:space="preserve"> \* MERGEFORMAT </w:instrText>
            </w:r>
            <w:r>
              <w:fldChar w:fldCharType="separate"/>
            </w:r>
            <w:r>
              <w:t xml:space="preserve">5.17.1.2</w:t>
            </w:r>
            <w:r>
              <w:fldChar w:fldCharType="end"/>
            </w:r>
            <w:r>
              <w:t xml:space="preserve">.</w:t>
            </w:r>
            <w:r/>
          </w:p>
        </w:tc>
      </w:tr>
      <w:tr>
        <w:trPr/>
        <w:tc>
          <w:tcPr>
            <w:shd w:val="clear" w:fill="auto" w:color="auto"/>
            <w:tcW w:w="412" w:type="pct"/>
            <w:textDirection w:val="lrTb"/>
            <w:noWrap w:val="false"/>
          </w:tcPr>
          <w:p>
            <w:pPr>
              <w:pStyle w:val="1005"/>
              <w:ind w:left="57" w:right="57"/>
            </w:pPr>
            <w:r>
              <w:t xml:space="preserve">6.9</w:t>
            </w:r>
            <w:r/>
          </w:p>
        </w:tc>
        <w:tc>
          <w:tcPr>
            <w:shd w:val="clear" w:fill="auto" w:color="auto"/>
            <w:tcW w:w="635" w:type="pct"/>
            <w:textDirection w:val="lrTb"/>
            <w:noWrap w:val="false"/>
          </w:tcPr>
          <w:p>
            <w:pPr>
              <w:pStyle w:val="1005"/>
              <w:ind w:left="57" w:right="57"/>
            </w:pPr>
            <w:r>
              <w:t xml:space="preserve">13.04.2014</w:t>
            </w:r>
            <w:r/>
          </w:p>
        </w:tc>
        <w:tc>
          <w:tcPr>
            <w:shd w:val="clear" w:fill="auto" w:color="auto"/>
            <w:tcW w:w="1017" w:type="pct"/>
            <w:textDirection w:val="lrTb"/>
            <w:noWrap w:val="false"/>
          </w:tcPr>
          <w:p>
            <w:pPr>
              <w:pStyle w:val="1005"/>
              <w:ind w:left="57" w:right="57"/>
            </w:pPr>
            <w:r>
              <w:t xml:space="preserve">Дорофеев И.И.</w:t>
            </w:r>
            <w:r/>
          </w:p>
        </w:tc>
        <w:tc>
          <w:tcPr>
            <w:shd w:val="clear" w:fill="auto" w:color="auto"/>
            <w:tcW w:w="2936" w:type="pct"/>
            <w:textDirection w:val="lrTb"/>
            <w:noWrap w:val="false"/>
          </w:tcPr>
          <w:p>
            <w:pPr>
              <w:pStyle w:val="1005"/>
              <w:ind w:left="57" w:right="57"/>
            </w:pPr>
            <w:r>
              <w:t xml:space="preserve">В соответствии с SUFD-56300, SUFD-50994 (SUFD-57439) добавлен п. </w:t>
            </w:r>
            <w:r>
              <w:fldChar w:fldCharType="begin"/>
            </w:r>
            <w:r>
              <w:instrText xml:space="preserve"> REF _Ref383195990 \r \h </w:instrText>
            </w:r>
            <w:r>
              <w:instrText xml:space="preserve"> \* MERGEFORMAT </w:instrText>
            </w:r>
            <w:r>
              <w:fldChar w:fldCharType="separate"/>
            </w:r>
            <w:r>
              <w:t xml:space="preserve">1</w:t>
            </w:r>
            <w:r>
              <w:fldChar w:fldCharType="end"/>
            </w:r>
            <w:r>
              <w:t xml:space="preserve">.</w:t>
            </w:r>
            <w:r/>
          </w:p>
          <w:p>
            <w:pPr>
              <w:pStyle w:val="1005"/>
              <w:ind w:left="57" w:right="57"/>
            </w:pPr>
            <w:r>
              <w:t xml:space="preserve">В соответствии с SUFD-57321, SUFD-55432 (SUFD-57537) актуализирован п. </w:t>
            </w:r>
            <w:r>
              <w:fldChar w:fldCharType="begin"/>
            </w:r>
            <w:r>
              <w:instrText xml:space="preserve"> REF _Ref327532506 \r \h </w:instrText>
            </w:r>
            <w:r>
              <w:instrText xml:space="preserve"> \* MERGEFORMAT </w:instrText>
            </w:r>
            <w:r>
              <w:fldChar w:fldCharType="separate"/>
            </w:r>
            <w:r>
              <w:t xml:space="preserve">5.17.1.2</w:t>
            </w:r>
            <w:r>
              <w:fldChar w:fldCharType="end"/>
            </w:r>
            <w:r>
              <w:t xml:space="preserve">.</w:t>
            </w:r>
            <w:r/>
          </w:p>
          <w:p>
            <w:pPr>
              <w:pStyle w:val="1005"/>
              <w:ind w:left="57" w:right="57"/>
            </w:pPr>
            <w:r>
              <w:t xml:space="preserve">В соответствии с SUFD-54478 (SUFD-57539</w:t>
            </w:r>
            <w:r>
              <w:t xml:space="preserve">, </w:t>
            </w:r>
            <w:r>
              <w:t xml:space="preserve">SUFD-57541</w:t>
            </w:r>
            <w:r>
              <w:t xml:space="preserve">) актуализирован</w:t>
            </w:r>
            <w:r>
              <w:t xml:space="preserve">ы</w:t>
            </w:r>
            <w:r>
              <w:t xml:space="preserve"> </w:t>
            </w:r>
            <w:r>
              <w:t xml:space="preserve">п</w:t>
            </w:r>
            <w:r>
              <w:t xml:space="preserve">п.</w:t>
            </w:r>
            <w:r>
              <w:t xml:space="preserve"> </w:t>
            </w:r>
            <w:r>
              <w:fldChar w:fldCharType="begin"/>
            </w:r>
            <w:r>
              <w:instrText xml:space="preserve"> REF _Ref59718255 \r \h </w:instrText>
            </w:r>
            <w:r>
              <w:fldChar w:fldCharType="separate"/>
            </w:r>
            <w:r>
              <w:t xml:space="preserve">5.3.5</w:t>
            </w:r>
            <w:r>
              <w:fldChar w:fldCharType="end"/>
            </w:r>
            <w:r>
              <w:t xml:space="preserve">; </w:t>
            </w:r>
            <w:r>
              <w:fldChar w:fldCharType="begin"/>
            </w:r>
            <w:r>
              <w:instrText xml:space="preserve"> REF _Ref383800420 \r \h  \* MERGEFORMAT </w:instrText>
            </w:r>
            <w:r>
              <w:fldChar w:fldCharType="separate"/>
            </w:r>
            <w:r>
              <w:t xml:space="preserve">5.1.1</w:t>
            </w:r>
            <w:r>
              <w:fldChar w:fldCharType="end"/>
            </w:r>
            <w:r>
              <w:t xml:space="preserve">, </w:t>
            </w:r>
            <w:r>
              <w:fldChar w:fldCharType="begin"/>
            </w:r>
            <w:r>
              <w:instrText xml:space="preserve"> REF _Ref359521322 \r \h  \* MERGEFORMAT </w:instrText>
            </w:r>
            <w:r>
              <w:fldChar w:fldCharType="separate"/>
            </w:r>
            <w:r>
              <w:t xml:space="preserve">5.1.2</w:t>
            </w:r>
            <w:r>
              <w:fldChar w:fldCharType="end"/>
            </w:r>
            <w:r>
              <w:t xml:space="preserve">, </w:t>
            </w:r>
            <w:r>
              <w:fldChar w:fldCharType="begin"/>
            </w:r>
            <w:r>
              <w:instrText xml:space="preserve"> REF _Ref383800451 \r \h  \* MERGEFORMAT </w:instrText>
            </w:r>
            <w:r>
              <w:fldChar w:fldCharType="separate"/>
            </w:r>
            <w:r>
              <w:t xml:space="preserve">5.1.6</w:t>
            </w:r>
            <w:r>
              <w:fldChar w:fldCharType="end"/>
            </w:r>
            <w:r>
              <w:t xml:space="preserve">, </w:t>
            </w:r>
            <w:r>
              <w:fldChar w:fldCharType="begin"/>
            </w:r>
            <w:r>
              <w:instrText xml:space="preserve"> REF _Ref482629405 \r \h </w:instrText>
            </w:r>
            <w:r>
              <w:fldChar w:fldCharType="separate"/>
            </w:r>
            <w:r>
              <w:t xml:space="preserve">5.1.7</w:t>
            </w:r>
            <w:r>
              <w:fldChar w:fldCharType="end"/>
            </w:r>
            <w:r>
              <w:t xml:space="preserve">.</w:t>
            </w:r>
            <w:r/>
          </w:p>
        </w:tc>
      </w:tr>
      <w:tr>
        <w:trPr/>
        <w:tc>
          <w:tcPr>
            <w:shd w:val="clear" w:fill="auto" w:color="auto"/>
            <w:tcW w:w="412" w:type="pct"/>
            <w:textDirection w:val="lrTb"/>
            <w:noWrap w:val="false"/>
          </w:tcPr>
          <w:p>
            <w:pPr>
              <w:pStyle w:val="1005"/>
              <w:ind w:left="57" w:right="57"/>
            </w:pPr>
            <w:r>
              <w:t xml:space="preserve">7.0</w:t>
            </w:r>
            <w:r/>
          </w:p>
        </w:tc>
        <w:tc>
          <w:tcPr>
            <w:shd w:val="clear" w:fill="auto" w:color="auto"/>
            <w:tcW w:w="635" w:type="pct"/>
            <w:textDirection w:val="lrTb"/>
            <w:noWrap w:val="false"/>
          </w:tcPr>
          <w:p>
            <w:pPr>
              <w:pStyle w:val="1005"/>
              <w:ind w:left="57" w:right="57"/>
            </w:pPr>
            <w:r>
              <w:t xml:space="preserve">16.05.2014</w:t>
            </w:r>
            <w:r/>
          </w:p>
        </w:tc>
        <w:tc>
          <w:tcPr>
            <w:shd w:val="clear" w:fill="auto" w:color="auto"/>
            <w:tcW w:w="1017" w:type="pct"/>
            <w:textDirection w:val="lrTb"/>
            <w:noWrap w:val="false"/>
          </w:tcPr>
          <w:p>
            <w:pPr>
              <w:pStyle w:val="1005"/>
              <w:ind w:left="57" w:right="57"/>
            </w:pPr>
            <w:r>
              <w:t xml:space="preserve">Дорофеев И.И.</w:t>
            </w:r>
            <w:r/>
          </w:p>
        </w:tc>
        <w:tc>
          <w:tcPr>
            <w:shd w:val="clear" w:fill="auto" w:color="auto"/>
            <w:tcW w:w="2936" w:type="pct"/>
            <w:textDirection w:val="lrTb"/>
            <w:noWrap w:val="false"/>
          </w:tcPr>
          <w:p>
            <w:pPr>
              <w:pStyle w:val="1005"/>
              <w:ind w:left="57" w:right="57"/>
            </w:pPr>
            <w:r>
              <w:t xml:space="preserve">В соответствии с SUFD-58108, SUFD-48213 (SUFD-58491) актуализирован п. </w:t>
            </w:r>
            <w:r>
              <w:fldChar w:fldCharType="begin"/>
            </w:r>
            <w:r>
              <w:instrText xml:space="preserve"> REF _Ref299370510 \r \h </w:instrText>
            </w:r>
            <w:r>
              <w:instrText xml:space="preserve"> \* MERGEFORMAT </w:instrText>
            </w:r>
            <w:r>
              <w:fldChar w:fldCharType="separate"/>
            </w:r>
            <w:r>
              <w:t xml:space="preserve">5.13.1</w:t>
            </w:r>
            <w:r>
              <w:fldChar w:fldCharType="end"/>
            </w:r>
            <w:r>
              <w:t xml:space="preserve">.</w:t>
            </w:r>
            <w:r/>
          </w:p>
          <w:p>
            <w:pPr>
              <w:pStyle w:val="1005"/>
              <w:ind w:left="57" w:right="57"/>
            </w:pPr>
            <w:r>
              <w:t xml:space="preserve">В соответствии с SUFD-57883, SUFD-47474 (SUFD-58853) удален ЭД «Произвольный документ».</w:t>
            </w:r>
            <w:r/>
          </w:p>
          <w:p>
            <w:pPr>
              <w:pStyle w:val="1005"/>
              <w:ind w:left="57" w:right="57"/>
            </w:pPr>
            <w:r>
              <w:t xml:space="preserve">В соответствии с SUFD-58718, SUFD-54765 (SUFD-58986) актуализирован п. </w:t>
            </w:r>
            <w:r>
              <w:fldChar w:fldCharType="begin"/>
            </w:r>
            <w:r>
              <w:instrText xml:space="preserve"> REF _Ref311541908 \r \h </w:instrText>
            </w:r>
            <w:r>
              <w:instrText xml:space="preserve"> \* MERGEFORMAT </w:instrText>
            </w:r>
            <w:r>
              <w:fldChar w:fldCharType="separate"/>
            </w:r>
            <w:r>
              <w:t xml:space="preserve">5.17.1</w:t>
            </w:r>
            <w:r>
              <w:fldChar w:fldCharType="end"/>
            </w:r>
            <w:r>
              <w:t xml:space="preserve">.</w:t>
            </w:r>
            <w:r/>
          </w:p>
          <w:p>
            <w:pPr>
              <w:pStyle w:val="1005"/>
              <w:ind w:left="57" w:right="57"/>
            </w:pPr>
            <w:r>
              <w:t xml:space="preserve">В соответствии с SUFD-58230, SUFD-55719 (SUFD-59348) актуализирован п. </w:t>
            </w:r>
            <w:r>
              <w:fldChar w:fldCharType="begin"/>
            </w:r>
            <w:r>
              <w:instrText xml:space="preserve"> REF _Ref311541908 \r \h </w:instrText>
            </w:r>
            <w:r>
              <w:instrText xml:space="preserve"> \* MERGEFORMAT </w:instrText>
            </w:r>
            <w:r>
              <w:fldChar w:fldCharType="separate"/>
            </w:r>
            <w:r>
              <w:t xml:space="preserve">5.17.1</w:t>
            </w:r>
            <w:r>
              <w:fldChar w:fldCharType="end"/>
            </w:r>
            <w:r>
              <w:t xml:space="preserve">.</w:t>
            </w:r>
            <w:r/>
          </w:p>
          <w:p>
            <w:pPr>
              <w:pStyle w:val="1005"/>
              <w:ind w:left="57" w:right="57"/>
            </w:pPr>
            <w:r>
              <w:t xml:space="preserve">В соответствии с SUFD-59496, SUFD-57746 (SUFD-59673) актуализирован п. </w:t>
            </w:r>
            <w:r>
              <w:fldChar w:fldCharType="begin"/>
            </w:r>
            <w:r>
              <w:instrText xml:space="preserve"> REF _Ref388006316 \r \h </w:instrText>
            </w:r>
            <w:r>
              <w:instrText xml:space="preserve"> \* MERGEFORMAT </w:instrText>
            </w:r>
            <w:r>
              <w:fldChar w:fldCharType="separate"/>
            </w:r>
            <w:r>
              <w:t xml:space="preserve">5.3.1</w:t>
            </w:r>
            <w:r>
              <w:fldChar w:fldCharType="end"/>
            </w:r>
            <w:r>
              <w:t xml:space="preserve">.</w:t>
            </w:r>
            <w:r/>
          </w:p>
          <w:p>
            <w:pPr>
              <w:pStyle w:val="1005"/>
              <w:ind w:left="57" w:right="57"/>
            </w:pPr>
            <w:r>
              <w:t xml:space="preserve">В соответствии с SUFD-58346, SUFD-57745 (SUFD-59728) актуализирован п. </w:t>
            </w:r>
            <w:r>
              <w:fldChar w:fldCharType="begin"/>
            </w:r>
            <w:r>
              <w:instrText xml:space="preserve"> REF _Ref388026049 \r \h </w:instrText>
            </w:r>
            <w:r>
              <w:instrText xml:space="preserve"> \* MERGEFORMAT </w:instrText>
            </w:r>
            <w:r>
              <w:fldChar w:fldCharType="separate"/>
            </w:r>
            <w:r>
              <w:t xml:space="preserve">5.16.1</w:t>
            </w:r>
            <w:r>
              <w:fldChar w:fldCharType="end"/>
            </w:r>
            <w:r>
              <w:t xml:space="preserve">.</w:t>
            </w:r>
            <w:r/>
          </w:p>
        </w:tc>
      </w:tr>
      <w:tr>
        <w:trPr/>
        <w:tc>
          <w:tcPr>
            <w:shd w:val="clear" w:fill="auto" w:color="auto"/>
            <w:tcW w:w="412" w:type="pct"/>
            <w:textDirection w:val="lrTb"/>
            <w:noWrap w:val="false"/>
          </w:tcPr>
          <w:p>
            <w:pPr>
              <w:pStyle w:val="1005"/>
              <w:ind w:left="57" w:right="57"/>
            </w:pPr>
            <w:r>
              <w:t xml:space="preserve">7.1</w:t>
            </w:r>
            <w:r/>
          </w:p>
        </w:tc>
        <w:tc>
          <w:tcPr>
            <w:shd w:val="clear" w:fill="auto" w:color="auto"/>
            <w:tcW w:w="635" w:type="pct"/>
            <w:textDirection w:val="lrTb"/>
            <w:noWrap w:val="false"/>
          </w:tcPr>
          <w:p>
            <w:pPr>
              <w:pStyle w:val="1005"/>
              <w:ind w:left="57" w:right="57"/>
            </w:pPr>
            <w:r>
              <w:t xml:space="preserve">04.08.2014</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SUFD-51510 (SUFD-60905, SUFD-62325) </w:t>
            </w:r>
            <w:r>
              <w:t xml:space="preserve">актуализированы </w:t>
            </w:r>
            <w:r>
              <w:t xml:space="preserve">п</w:t>
            </w:r>
            <w:r>
              <w:t xml:space="preserve">п.</w:t>
            </w:r>
            <w:r>
              <w:t xml:space="preserve"> </w:t>
            </w:r>
            <w:r>
              <w:fldChar w:fldCharType="begin"/>
            </w:r>
            <w:r>
              <w:instrText xml:space="preserve"> REF _Ref434996122 \r \h </w:instrText>
            </w:r>
            <w:r>
              <w:fldChar w:fldCharType="separate"/>
            </w:r>
            <w:r>
              <w:t xml:space="preserve">5.1.1</w:t>
            </w:r>
            <w:r>
              <w:fldChar w:fldCharType="end"/>
            </w:r>
            <w:r>
              <w:t xml:space="preserve">,</w:t>
            </w:r>
            <w:r>
              <w:t xml:space="preserve"> </w:t>
            </w:r>
            <w:r>
              <w:fldChar w:fldCharType="begin"/>
            </w:r>
            <w:r>
              <w:instrText xml:space="preserve"> REF _Ref359521322 \r \h </w:instrText>
            </w:r>
            <w:r>
              <w:fldChar w:fldCharType="separate"/>
            </w:r>
            <w:r>
              <w:t xml:space="preserve">5.1.2</w:t>
            </w:r>
            <w:r>
              <w:fldChar w:fldCharType="end"/>
            </w:r>
            <w:r>
              <w:t xml:space="preserve">.</w:t>
            </w:r>
            <w:r/>
          </w:p>
          <w:p>
            <w:pPr>
              <w:pStyle w:val="1005"/>
              <w:ind w:left="57" w:right="57"/>
            </w:pPr>
            <w:r>
              <w:t xml:space="preserve">В соответствии с SUFD-51777 (SUFD-62315) актуализирован п.</w:t>
            </w:r>
            <w:r>
              <w:t xml:space="preserve"> </w:t>
            </w:r>
            <w:r>
              <w:fldChar w:fldCharType="begin"/>
            </w:r>
            <w:r>
              <w:instrText xml:space="preserve"> REF _Ref413935099 \r \h </w:instrText>
            </w:r>
            <w:r>
              <w:fldChar w:fldCharType="separate"/>
            </w:r>
            <w:r>
              <w:t xml:space="preserve">5.11.1</w:t>
            </w:r>
            <w:r>
              <w:fldChar w:fldCharType="end"/>
            </w:r>
            <w:r>
              <w:t xml:space="preserve">.</w:t>
            </w:r>
            <w:r/>
          </w:p>
          <w:p>
            <w:pPr>
              <w:pStyle w:val="1005"/>
              <w:ind w:left="57" w:right="57"/>
            </w:pPr>
            <w:r>
              <w:t xml:space="preserve">В соответствии с </w:t>
            </w:r>
            <w:r>
              <w:rPr>
                <w:lang w:val="en-US"/>
              </w:rPr>
              <w:t xml:space="preserve">SUFD</w:t>
            </w:r>
            <w:r>
              <w:t xml:space="preserve">-62308 (</w:t>
            </w:r>
            <w:r>
              <w:rPr>
                <w:lang w:val="en-US"/>
              </w:rPr>
              <w:t xml:space="preserve">SUFD</w:t>
            </w:r>
            <w:r>
              <w:t xml:space="preserve">-38888) добавлен п. </w:t>
            </w:r>
            <w:r>
              <w:fldChar w:fldCharType="begin"/>
            </w:r>
            <w:r>
              <w:instrText xml:space="preserve"> REF _Ref394926125 \r \h </w:instrText>
            </w:r>
            <w:r>
              <w:instrText xml:space="preserve"> \* MERGEFORMAT </w:instrText>
            </w:r>
            <w:r>
              <w:fldChar w:fldCharType="separate"/>
            </w:r>
            <w:r>
              <w:t xml:space="preserve">5.5.3</w:t>
            </w:r>
            <w:r>
              <w:fldChar w:fldCharType="end"/>
            </w:r>
            <w:r>
              <w:t xml:space="preserve">.</w:t>
            </w:r>
            <w:r/>
          </w:p>
        </w:tc>
      </w:tr>
      <w:tr>
        <w:trPr/>
        <w:tc>
          <w:tcPr>
            <w:shd w:val="clear" w:fill="auto" w:color="auto"/>
            <w:tcW w:w="412" w:type="pct"/>
            <w:textDirection w:val="lrTb"/>
            <w:noWrap w:val="false"/>
          </w:tcPr>
          <w:p>
            <w:pPr>
              <w:pStyle w:val="1005"/>
              <w:ind w:left="57" w:right="57"/>
            </w:pPr>
            <w:r>
              <w:t xml:space="preserve">7.2</w:t>
            </w:r>
            <w:r/>
          </w:p>
        </w:tc>
        <w:tc>
          <w:tcPr>
            <w:shd w:val="clear" w:fill="auto" w:color="auto"/>
            <w:tcW w:w="635" w:type="pct"/>
            <w:textDirection w:val="lrTb"/>
            <w:noWrap w:val="false"/>
          </w:tcPr>
          <w:p>
            <w:pPr>
              <w:pStyle w:val="1005"/>
              <w:ind w:left="57" w:right="57"/>
            </w:pPr>
            <w:r>
              <w:t xml:space="preserve">27.08.2014</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SUFD-58944 (SUFD-63015) </w:t>
            </w:r>
            <w:r>
              <w:t xml:space="preserve">добавлен п.</w:t>
            </w:r>
            <w:r>
              <w:t xml:space="preserve"> </w:t>
            </w:r>
            <w:r>
              <w:fldChar w:fldCharType="begin"/>
            </w:r>
            <w:r>
              <w:instrText xml:space="preserve"> REF _Ref395197271 \r \h </w:instrText>
            </w:r>
            <w:r>
              <w:instrText xml:space="preserve"> \* MERGEFORMAT </w:instrText>
            </w:r>
            <w:r>
              <w:fldChar w:fldCharType="separate"/>
            </w:r>
            <w:r>
              <w:t xml:space="preserve">5.9.1</w:t>
            </w:r>
            <w:r>
              <w:fldChar w:fldCharType="end"/>
            </w:r>
            <w:r>
              <w:t xml:space="preserve">.</w:t>
            </w:r>
            <w:r/>
          </w:p>
          <w:p>
            <w:pPr>
              <w:pStyle w:val="1005"/>
              <w:ind w:left="57" w:right="57"/>
            </w:pPr>
            <w:r>
              <w:t xml:space="preserve">В соответствии с </w:t>
            </w:r>
            <w:r>
              <w:rPr>
                <w:lang w:val="en-US"/>
              </w:rPr>
              <w:t xml:space="preserve">FTAS</w:t>
            </w:r>
            <w:r>
              <w:t xml:space="preserve">-252375 добавлен п. </w:t>
            </w:r>
            <w:r>
              <w:fldChar w:fldCharType="begin"/>
            </w:r>
            <w:r>
              <w:instrText xml:space="preserve"> REF _Ref356406935 \r \h </w:instrText>
            </w:r>
            <w:r>
              <w:instrText xml:space="preserve"> \* MERGEFORMAT </w:instrText>
            </w:r>
            <w:r>
              <w:fldChar w:fldCharType="separate"/>
            </w:r>
            <w:r>
              <w:t xml:space="preserve">5.17.6</w:t>
            </w:r>
            <w:r>
              <w:fldChar w:fldCharType="end"/>
            </w:r>
            <w:r>
              <w:t xml:space="preserve">.</w:t>
            </w:r>
            <w:r/>
          </w:p>
          <w:p>
            <w:pPr>
              <w:pStyle w:val="1005"/>
              <w:ind w:left="57" w:right="57"/>
            </w:pPr>
            <w:r>
              <w:t xml:space="preserve">В соответствии с SUFD-44599, SUFD-61913 (SUFD-65574; SUFD-63689, SUFD-63687)</w:t>
            </w:r>
            <w:r>
              <w:t xml:space="preserve"> </w:t>
            </w:r>
            <w:r>
              <w:t xml:space="preserve">актуализированы </w:t>
            </w:r>
            <w:r>
              <w:t xml:space="preserve">п</w:t>
            </w:r>
            <w:r>
              <w:t xml:space="preserve">п.</w:t>
            </w:r>
            <w:r>
              <w:t xml:space="preserve"> </w:t>
            </w:r>
            <w:r>
              <w:fldChar w:fldCharType="begin"/>
            </w:r>
            <w:r>
              <w:instrText xml:space="preserve"> REF _Ref396211156 \r \h </w:instrText>
            </w:r>
            <w:r>
              <w:instrText xml:space="preserve"> \* MERGEFORMAT </w:instrText>
            </w:r>
            <w:r>
              <w:fldChar w:fldCharType="separate"/>
            </w:r>
            <w:r>
              <w:t xml:space="preserve">5.1.4.2</w:t>
            </w:r>
            <w:r>
              <w:fldChar w:fldCharType="end"/>
            </w:r>
            <w:r>
              <w:t xml:space="preserve">, </w:t>
            </w:r>
            <w:r>
              <w:fldChar w:fldCharType="begin"/>
            </w:r>
            <w:r>
              <w:instrText xml:space="preserve"> REF _Ref396228036 \r \h </w:instrText>
            </w:r>
            <w:r>
              <w:instrText xml:space="preserve"> \* MERGEFORMAT </w:instrText>
            </w:r>
            <w:r>
              <w:fldChar w:fldCharType="separate"/>
            </w:r>
            <w:r>
              <w:t xml:space="preserve">5.1.5.2</w:t>
            </w:r>
            <w:r>
              <w:fldChar w:fldCharType="end"/>
            </w:r>
            <w:r>
              <w:t xml:space="preserve">.</w:t>
            </w:r>
            <w:r/>
          </w:p>
          <w:p>
            <w:pPr>
              <w:pStyle w:val="1005"/>
              <w:ind w:left="57" w:right="57"/>
            </w:pPr>
            <w:r>
              <w:t xml:space="preserve">В соответствии с SUFD-32906 (SUFD-63006) добавлен п. </w:t>
            </w:r>
            <w:r>
              <w:fldChar w:fldCharType="begin"/>
            </w:r>
            <w:r>
              <w:instrText xml:space="preserve"> REF _Ref396924630 \r \h </w:instrText>
            </w:r>
            <w:r>
              <w:instrText xml:space="preserve"> \* MERGEFORMAT </w:instrText>
            </w:r>
            <w:r>
              <w:fldChar w:fldCharType="separate"/>
            </w:r>
            <w:r>
              <w:t xml:space="preserve">5.18</w:t>
            </w:r>
            <w:r>
              <w:fldChar w:fldCharType="end"/>
            </w:r>
            <w:r>
              <w:t xml:space="preserve">.</w:t>
            </w:r>
            <w:r/>
          </w:p>
        </w:tc>
      </w:tr>
      <w:tr>
        <w:trPr/>
        <w:tc>
          <w:tcPr>
            <w:shd w:val="clear" w:fill="auto" w:color="auto"/>
            <w:tcW w:w="412" w:type="pct"/>
            <w:textDirection w:val="lrTb"/>
            <w:noWrap w:val="false"/>
          </w:tcPr>
          <w:p>
            <w:pPr>
              <w:pStyle w:val="1005"/>
              <w:ind w:left="57" w:right="57"/>
            </w:pPr>
            <w:r>
              <w:t xml:space="preserve">7.3</w:t>
            </w:r>
            <w:r/>
          </w:p>
        </w:tc>
        <w:tc>
          <w:tcPr>
            <w:shd w:val="clear" w:fill="auto" w:color="auto"/>
            <w:tcW w:w="635" w:type="pct"/>
            <w:textDirection w:val="lrTb"/>
            <w:noWrap w:val="false"/>
          </w:tcPr>
          <w:p>
            <w:pPr>
              <w:pStyle w:val="1005"/>
              <w:ind w:left="57" w:right="57"/>
            </w:pPr>
            <w:r>
              <w:t xml:space="preserve">29.09.2014</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SUFD-44599, SUFD-61914 (SUFD-65575, SUFD-64793</w:t>
            </w:r>
            <w:r>
              <w:t xml:space="preserve">) </w:t>
            </w:r>
            <w:r>
              <w:t xml:space="preserve">актуализирован п.</w:t>
            </w:r>
            <w:r>
              <w:t xml:space="preserve"> </w:t>
            </w:r>
            <w:r>
              <w:fldChar w:fldCharType="begin"/>
            </w:r>
            <w:r>
              <w:instrText xml:space="preserve"> REF _Ref59718303 \r \h </w:instrText>
            </w:r>
            <w:r>
              <w:fldChar w:fldCharType="separate"/>
            </w:r>
            <w:r>
              <w:t xml:space="preserve">5.4.1</w:t>
            </w:r>
            <w:r>
              <w:fldChar w:fldCharType="end"/>
            </w:r>
            <w:r>
              <w:t xml:space="preserve">.</w:t>
            </w:r>
            <w:r/>
          </w:p>
        </w:tc>
      </w:tr>
      <w:tr>
        <w:trPr/>
        <w:tc>
          <w:tcPr>
            <w:shd w:val="clear" w:fill="auto" w:color="auto"/>
            <w:tcW w:w="412" w:type="pct"/>
            <w:textDirection w:val="lrTb"/>
            <w:noWrap w:val="false"/>
          </w:tcPr>
          <w:p>
            <w:pPr>
              <w:pStyle w:val="1005"/>
              <w:ind w:left="57" w:right="57"/>
            </w:pPr>
            <w:r>
              <w:t xml:space="preserve">7.4</w:t>
            </w:r>
            <w:r/>
          </w:p>
        </w:tc>
        <w:tc>
          <w:tcPr>
            <w:shd w:val="clear" w:fill="auto" w:color="auto"/>
            <w:tcW w:w="635" w:type="pct"/>
            <w:textDirection w:val="lrTb"/>
            <w:noWrap w:val="false"/>
          </w:tcPr>
          <w:p>
            <w:pPr>
              <w:pStyle w:val="1005"/>
              <w:ind w:left="57" w:right="57"/>
            </w:pPr>
            <w:r>
              <w:t xml:space="preserve">20.10.2014</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w:t>
            </w:r>
            <w:r>
              <w:t xml:space="preserve">SUFD-62925</w:t>
            </w:r>
            <w:r>
              <w:t xml:space="preserve"> (</w:t>
            </w:r>
            <w:r>
              <w:t xml:space="preserve">SUFD-65810</w:t>
            </w:r>
            <w:r>
              <w:t xml:space="preserve">) добавлен п.</w:t>
            </w:r>
            <w:r>
              <w:t xml:space="preserve"> </w:t>
            </w:r>
            <w:r>
              <w:fldChar w:fldCharType="begin"/>
            </w:r>
            <w:r>
              <w:instrText xml:space="preserve"> REF _Ref401587730 \r \h  \* MERGEFORMAT </w:instrText>
            </w:r>
            <w:r>
              <w:fldChar w:fldCharType="separate"/>
            </w:r>
            <w:r>
              <w:t xml:space="preserve">5.10.3</w:t>
            </w:r>
            <w:r>
              <w:fldChar w:fldCharType="end"/>
            </w:r>
            <w:r>
              <w:t xml:space="preserve">.</w:t>
            </w:r>
            <w:r/>
          </w:p>
        </w:tc>
      </w:tr>
      <w:tr>
        <w:trPr/>
        <w:tc>
          <w:tcPr>
            <w:shd w:val="clear" w:fill="auto" w:color="auto"/>
            <w:tcW w:w="412" w:type="pct"/>
            <w:textDirection w:val="lrTb"/>
            <w:noWrap w:val="false"/>
          </w:tcPr>
          <w:p>
            <w:pPr>
              <w:pStyle w:val="1005"/>
              <w:ind w:left="57" w:right="57"/>
            </w:pPr>
            <w:r>
              <w:t xml:space="preserve">7.5</w:t>
            </w:r>
            <w:r/>
          </w:p>
        </w:tc>
        <w:tc>
          <w:tcPr>
            <w:shd w:val="clear" w:fill="auto" w:color="auto"/>
            <w:tcW w:w="635" w:type="pct"/>
            <w:textDirection w:val="lrTb"/>
            <w:noWrap w:val="false"/>
          </w:tcPr>
          <w:p>
            <w:pPr>
              <w:pStyle w:val="1005"/>
              <w:ind w:left="57" w:right="57"/>
            </w:pPr>
            <w:r>
              <w:t xml:space="preserve">23.10.2014</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w:t>
            </w:r>
            <w:r>
              <w:t xml:space="preserve">SUFD-63817 </w:t>
            </w:r>
            <w:r>
              <w:t xml:space="preserve">(</w:t>
            </w:r>
            <w:r>
              <w:t xml:space="preserve">SUFD-66394</w:t>
            </w:r>
            <w:r>
              <w:t xml:space="preserve">, SUFD-66395) </w:t>
            </w:r>
            <w:r>
              <w:t xml:space="preserve">актуализирован</w:t>
            </w:r>
            <w:r>
              <w:t xml:space="preserve"> п. </w:t>
            </w:r>
            <w:r>
              <w:fldChar w:fldCharType="begin"/>
            </w:r>
            <w:r>
              <w:instrText xml:space="preserve"> REF _Ref401760133 \r \h </w:instrText>
            </w:r>
            <w:r>
              <w:fldChar w:fldCharType="separate"/>
            </w:r>
            <w:r>
              <w:t xml:space="preserve">5.17.6.2</w:t>
            </w:r>
            <w:r>
              <w:fldChar w:fldCharType="end"/>
            </w:r>
            <w:r>
              <w:t xml:space="preserve">.</w:t>
            </w:r>
            <w:r/>
          </w:p>
          <w:p>
            <w:pPr>
              <w:pStyle w:val="1005"/>
              <w:ind w:left="57" w:right="57"/>
            </w:pPr>
            <w:r>
              <w:t xml:space="preserve">В соответствии с SUFD-55748 (SUFD-66402)</w:t>
            </w:r>
            <w:r>
              <w:t xml:space="preserve"> добавлен п. </w:t>
            </w:r>
            <w:r>
              <w:fldChar w:fldCharType="begin"/>
            </w:r>
            <w:r>
              <w:instrText xml:space="preserve"> REF _Ref373061971 \r \h </w:instrText>
            </w:r>
            <w:r>
              <w:fldChar w:fldCharType="separate"/>
            </w:r>
            <w:r>
              <w:t xml:space="preserve">5.1.10</w:t>
            </w:r>
            <w:r>
              <w:fldChar w:fldCharType="end"/>
            </w:r>
            <w:r>
              <w:t xml:space="preserve">.</w:t>
            </w:r>
            <w:r/>
          </w:p>
        </w:tc>
      </w:tr>
      <w:tr>
        <w:trPr/>
        <w:tc>
          <w:tcPr>
            <w:shd w:val="clear" w:fill="auto" w:color="auto"/>
            <w:tcW w:w="412" w:type="pct"/>
            <w:textDirection w:val="lrTb"/>
            <w:noWrap w:val="false"/>
          </w:tcPr>
          <w:p>
            <w:pPr>
              <w:pStyle w:val="1005"/>
              <w:ind w:left="57" w:right="57"/>
            </w:pPr>
            <w:r>
              <w:t xml:space="preserve">7.6</w:t>
            </w:r>
            <w:r/>
          </w:p>
        </w:tc>
        <w:tc>
          <w:tcPr>
            <w:shd w:val="clear" w:fill="auto" w:color="auto"/>
            <w:tcW w:w="635" w:type="pct"/>
            <w:textDirection w:val="lrTb"/>
            <w:noWrap w:val="false"/>
          </w:tcPr>
          <w:p>
            <w:pPr>
              <w:pStyle w:val="1005"/>
              <w:ind w:left="57" w:right="57"/>
            </w:pPr>
            <w:r>
              <w:t xml:space="preserve">13.11.2014</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SUFD-66702 (SUFD-66967</w:t>
            </w:r>
            <w:r>
              <w:t xml:space="preserve">; SUFD-66970; SUFD-66974</w:t>
            </w:r>
            <w:r>
              <w:t xml:space="preserve">)</w:t>
            </w:r>
            <w:r>
              <w:t xml:space="preserve"> </w:t>
            </w:r>
            <w:r>
              <w:t xml:space="preserve">актуализированы п</w:t>
            </w:r>
            <w:r>
              <w:t xml:space="preserve">п</w:t>
            </w:r>
            <w:r>
              <w:t xml:space="preserve">: </w:t>
            </w:r>
            <w:r>
              <w:fldChar w:fldCharType="begin"/>
            </w:r>
            <w:r>
              <w:instrText xml:space="preserve"> REF _Ref420320422 \r \h </w:instrText>
            </w:r>
            <w:r>
              <w:fldChar w:fldCharType="separate"/>
            </w:r>
            <w:r>
              <w:t xml:space="preserve">5.1.4</w:t>
            </w:r>
            <w:r>
              <w:fldChar w:fldCharType="end"/>
            </w:r>
            <w:r>
              <w:t xml:space="preserve">; </w:t>
            </w:r>
            <w:r>
              <w:fldChar w:fldCharType="begin"/>
            </w:r>
            <w:r>
              <w:instrText xml:space="preserve"> REF _Ref420320329 \r \h </w:instrText>
            </w:r>
            <w:r>
              <w:fldChar w:fldCharType="separate"/>
            </w:r>
            <w:r>
              <w:t xml:space="preserve">5.1.1</w:t>
            </w:r>
            <w:r>
              <w:fldChar w:fldCharType="end"/>
            </w:r>
            <w:r>
              <w:t xml:space="preserve">, </w:t>
            </w:r>
            <w:r>
              <w:fldChar w:fldCharType="begin"/>
            </w:r>
            <w:r>
              <w:instrText xml:space="preserve"> REF _Ref359521322 \r \h </w:instrText>
            </w:r>
            <w:r>
              <w:fldChar w:fldCharType="separate"/>
            </w:r>
            <w:r>
              <w:t xml:space="preserve">5.1.2</w:t>
            </w:r>
            <w:r>
              <w:fldChar w:fldCharType="end"/>
            </w:r>
            <w:r>
              <w:t xml:space="preserve">; </w:t>
            </w:r>
            <w:r>
              <w:fldChar w:fldCharType="begin"/>
            </w:r>
            <w:r>
              <w:instrText xml:space="preserve"> REF _Ref420320397 \r \h </w:instrText>
            </w:r>
            <w:r>
              <w:fldChar w:fldCharType="separate"/>
            </w:r>
            <w:r>
              <w:t xml:space="preserve">5.3.3</w:t>
            </w:r>
            <w:r>
              <w:fldChar w:fldCharType="end"/>
            </w:r>
            <w:r>
              <w:t xml:space="preserve">, </w:t>
            </w:r>
            <w:r>
              <w:fldChar w:fldCharType="begin"/>
            </w:r>
            <w:r>
              <w:instrText xml:space="preserve"> REF _Ref365452935 \r \h </w:instrText>
            </w:r>
            <w:r>
              <w:fldChar w:fldCharType="separate"/>
            </w:r>
            <w:r>
              <w:t xml:space="preserve">5.1.3</w:t>
            </w:r>
            <w:r>
              <w:fldChar w:fldCharType="end"/>
            </w:r>
            <w:r>
              <w:t xml:space="preserve">.</w:t>
            </w:r>
            <w:r/>
          </w:p>
          <w:p>
            <w:pPr>
              <w:pStyle w:val="1005"/>
              <w:ind w:left="57" w:right="57"/>
            </w:pPr>
            <w:r>
              <w:t xml:space="preserve">В соответствии с SUFD-39307 (SUFD-44563, SUFD-44920)</w:t>
            </w:r>
            <w:r>
              <w:t xml:space="preserve"> добавлен п. </w:t>
            </w:r>
            <w:r>
              <w:fldChar w:fldCharType="begin"/>
            </w:r>
            <w:r>
              <w:instrText xml:space="preserve"> REF _Ref357699450 \r \h </w:instrText>
            </w:r>
            <w:r>
              <w:fldChar w:fldCharType="separate"/>
            </w:r>
            <w:r>
              <w:t xml:space="preserve">5.5.1</w:t>
            </w:r>
            <w:r>
              <w:fldChar w:fldCharType="end"/>
            </w:r>
            <w:r>
              <w:t xml:space="preserve">.</w:t>
            </w:r>
            <w:r/>
          </w:p>
        </w:tc>
      </w:tr>
      <w:tr>
        <w:trPr/>
        <w:tc>
          <w:tcPr>
            <w:shd w:val="clear" w:fill="auto" w:color="auto"/>
            <w:tcW w:w="412" w:type="pct"/>
            <w:textDirection w:val="lrTb"/>
            <w:noWrap w:val="false"/>
          </w:tcPr>
          <w:p>
            <w:pPr>
              <w:pStyle w:val="1005"/>
              <w:ind w:left="57" w:right="57"/>
            </w:pPr>
            <w:r>
              <w:t xml:space="preserve">7.7</w:t>
            </w:r>
            <w:r/>
          </w:p>
        </w:tc>
        <w:tc>
          <w:tcPr>
            <w:shd w:val="clear" w:fill="auto" w:color="auto"/>
            <w:tcW w:w="635" w:type="pct"/>
            <w:textDirection w:val="lrTb"/>
            <w:noWrap w:val="false"/>
          </w:tcPr>
          <w:p>
            <w:pPr>
              <w:pStyle w:val="1005"/>
              <w:ind w:left="57" w:right="57"/>
            </w:pPr>
            <w:r>
              <w:t xml:space="preserve">27.11.2014</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SUFD-66818 (SUFD-67793) </w:t>
            </w:r>
            <w:r>
              <w:t xml:space="preserve">актуализированы </w:t>
            </w:r>
            <w:r>
              <w:t xml:space="preserve">п</w:t>
            </w:r>
            <w:r>
              <w:t xml:space="preserve">п.</w:t>
            </w:r>
            <w:r>
              <w:t xml:space="preserve"> </w:t>
            </w:r>
            <w:r>
              <w:fldChar w:fldCharType="begin"/>
            </w:r>
            <w:r>
              <w:instrText xml:space="preserve"> REF _Ref350934944 \r \h </w:instrText>
            </w:r>
            <w:r>
              <w:fldChar w:fldCharType="separate"/>
            </w:r>
            <w:r>
              <w:t xml:space="preserve">5.8.1</w:t>
            </w:r>
            <w:r>
              <w:fldChar w:fldCharType="end"/>
            </w:r>
            <w:r>
              <w:t xml:space="preserve">, </w:t>
            </w:r>
            <w:r>
              <w:fldChar w:fldCharType="begin"/>
            </w:r>
            <w:r>
              <w:instrText xml:space="preserve"> REF _Ref404769997 \r \h </w:instrText>
            </w:r>
            <w:r>
              <w:fldChar w:fldCharType="separate"/>
            </w:r>
            <w:r>
              <w:t xml:space="preserve">5.8.2</w:t>
            </w:r>
            <w:r>
              <w:fldChar w:fldCharType="end"/>
            </w:r>
            <w:r>
              <w:t xml:space="preserve">.</w:t>
            </w:r>
            <w:r/>
          </w:p>
          <w:p>
            <w:pPr>
              <w:pStyle w:val="1005"/>
              <w:ind w:left="57" w:right="57"/>
            </w:pPr>
            <w:r>
              <w:t xml:space="preserve">В соответствии с </w:t>
            </w:r>
            <w:r>
              <w:t xml:space="preserve">SUFD-61911 (SUFD-66989</w:t>
            </w:r>
            <w:r>
              <w:t xml:space="preserve">, </w:t>
            </w:r>
            <w:r>
              <w:t xml:space="preserve">SUFD-</w:t>
            </w:r>
            <w:r>
              <w:t xml:space="preserve">66988</w:t>
            </w:r>
            <w:r>
              <w:t xml:space="preserve">) </w:t>
            </w:r>
            <w:r>
              <w:t xml:space="preserve">добавлены п</w:t>
            </w:r>
            <w:r>
              <w:t xml:space="preserve">п</w:t>
            </w:r>
            <w:r>
              <w:t xml:space="preserve">.</w:t>
            </w:r>
            <w:r>
              <w:t xml:space="preserve"> </w:t>
            </w:r>
            <w:r>
              <w:fldChar w:fldCharType="begin"/>
            </w:r>
            <w:r>
              <w:instrText xml:space="preserve"> REF _Ref404845692 \r \h </w:instrText>
            </w:r>
            <w:r>
              <w:fldChar w:fldCharType="separate"/>
            </w:r>
            <w:r>
              <w:t xml:space="preserve">5.14.1</w:t>
            </w:r>
            <w:r>
              <w:fldChar w:fldCharType="end"/>
            </w:r>
            <w:r>
              <w:t xml:space="preserve">, </w:t>
            </w:r>
            <w:r>
              <w:fldChar w:fldCharType="begin"/>
            </w:r>
            <w:r>
              <w:instrText xml:space="preserve"> REF _Ref404845699 \r \h </w:instrText>
            </w:r>
            <w:r>
              <w:fldChar w:fldCharType="separate"/>
            </w:r>
            <w:r>
              <w:t xml:space="preserve">5.14.2</w:t>
            </w:r>
            <w:r>
              <w:fldChar w:fldCharType="end"/>
            </w:r>
            <w:r>
              <w:t xml:space="preserve">.</w:t>
            </w:r>
            <w:r/>
          </w:p>
        </w:tc>
      </w:tr>
      <w:tr>
        <w:trPr/>
        <w:tc>
          <w:tcPr>
            <w:shd w:val="clear" w:fill="auto" w:color="auto"/>
            <w:tcW w:w="412" w:type="pct"/>
            <w:textDirection w:val="lrTb"/>
            <w:noWrap w:val="false"/>
          </w:tcPr>
          <w:p>
            <w:pPr>
              <w:pStyle w:val="1005"/>
              <w:ind w:left="57" w:right="57"/>
            </w:pPr>
            <w:r>
              <w:t xml:space="preserve">7.8</w:t>
            </w:r>
            <w:r/>
          </w:p>
        </w:tc>
        <w:tc>
          <w:tcPr>
            <w:shd w:val="clear" w:fill="auto" w:color="auto"/>
            <w:tcW w:w="635" w:type="pct"/>
            <w:textDirection w:val="lrTb"/>
            <w:noWrap w:val="false"/>
          </w:tcPr>
          <w:p>
            <w:pPr>
              <w:pStyle w:val="1005"/>
              <w:ind w:left="57" w:right="57"/>
            </w:pPr>
            <w:r>
              <w:t xml:space="preserve">17.12.2014</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w:t>
            </w:r>
            <w:r>
              <w:t xml:space="preserve">RFC-10554</w:t>
            </w:r>
            <w:r>
              <w:t xml:space="preserve">, </w:t>
            </w:r>
            <w:r>
              <w:t xml:space="preserve">SUFD-66055 </w:t>
            </w:r>
            <w:r>
              <w:t xml:space="preserve">(</w:t>
            </w:r>
            <w:r>
              <w:t xml:space="preserve">SUFD-67800</w:t>
            </w:r>
            <w:r>
              <w:t xml:space="preserve">)</w:t>
            </w:r>
            <w:r>
              <w:t xml:space="preserve"> актуализирован</w:t>
            </w:r>
            <w:r>
              <w:t xml:space="preserve"> п. </w:t>
            </w:r>
            <w:r>
              <w:fldChar w:fldCharType="begin"/>
            </w:r>
            <w:r>
              <w:instrText xml:space="preserve"> REF _Ref299370510 \r \h </w:instrText>
            </w:r>
            <w:r>
              <w:fldChar w:fldCharType="separate"/>
            </w:r>
            <w:r>
              <w:t xml:space="preserve">5.13.1</w:t>
            </w:r>
            <w:r>
              <w:fldChar w:fldCharType="end"/>
            </w:r>
            <w:r>
              <w:t xml:space="preserve">.</w:t>
            </w:r>
            <w:r/>
          </w:p>
          <w:p>
            <w:pPr>
              <w:pStyle w:val="1005"/>
              <w:ind w:left="57" w:right="57"/>
            </w:pPr>
            <w:r>
              <w:t xml:space="preserve">В соответствии с SUFD-53738 (SUFD-68621</w:t>
            </w:r>
            <w:r>
              <w:t xml:space="preserve">; </w:t>
            </w:r>
            <w:r>
              <w:t xml:space="preserve">SUFD-68617</w:t>
            </w:r>
            <w:r>
              <w:t xml:space="preserve">; </w:t>
            </w:r>
            <w:r>
              <w:t xml:space="preserve">SUFD-68619</w:t>
            </w:r>
            <w:r>
              <w:t xml:space="preserve">) </w:t>
            </w:r>
            <w:r>
              <w:t xml:space="preserve">актуализированы </w:t>
            </w:r>
            <w:r>
              <w:t xml:space="preserve">п</w:t>
            </w:r>
            <w:r>
              <w:t xml:space="preserve">п.</w:t>
            </w:r>
            <w:r>
              <w:t xml:space="preserve"> </w:t>
            </w:r>
            <w:r>
              <w:fldChar w:fldCharType="begin"/>
            </w:r>
            <w:r>
              <w:instrText xml:space="preserve"> REF _Ref406497604 \r \h </w:instrText>
            </w:r>
            <w:r>
              <w:fldChar w:fldCharType="separate"/>
            </w:r>
            <w:r>
              <w:t xml:space="preserve">5.1.4</w:t>
            </w:r>
            <w:r>
              <w:fldChar w:fldCharType="end"/>
            </w:r>
            <w:r>
              <w:t xml:space="preserve">; </w:t>
            </w:r>
            <w:r>
              <w:fldChar w:fldCharType="begin"/>
            </w:r>
            <w:r>
              <w:instrText xml:space="preserve"> REF _Ref406576104 \r \h </w:instrText>
            </w:r>
            <w:r>
              <w:fldChar w:fldCharType="separate"/>
            </w:r>
            <w:r>
              <w:t xml:space="preserve">5.1.6</w:t>
            </w:r>
            <w:r>
              <w:fldChar w:fldCharType="end"/>
            </w:r>
            <w:r>
              <w:t xml:space="preserve">; </w:t>
            </w:r>
            <w:r>
              <w:fldChar w:fldCharType="begin"/>
            </w:r>
            <w:r>
              <w:instrText xml:space="preserve"> REF _Ref406592633 \r \h </w:instrText>
            </w:r>
            <w:r>
              <w:fldChar w:fldCharType="separate"/>
            </w:r>
            <w:r>
              <w:t xml:space="preserve">5.1.1</w:t>
            </w:r>
            <w:r>
              <w:fldChar w:fldCharType="end"/>
            </w:r>
            <w:r>
              <w:t xml:space="preserve">, </w:t>
            </w:r>
            <w:r>
              <w:fldChar w:fldCharType="begin"/>
            </w:r>
            <w:r>
              <w:instrText xml:space="preserve"> REF _Ref359521322 \r \h </w:instrText>
            </w:r>
            <w:r>
              <w:fldChar w:fldCharType="separate"/>
            </w:r>
            <w:r>
              <w:t xml:space="preserve">5.1.2</w:t>
            </w:r>
            <w:r>
              <w:fldChar w:fldCharType="end"/>
            </w:r>
            <w:r>
              <w:t xml:space="preserve">.</w:t>
            </w:r>
            <w:r/>
          </w:p>
        </w:tc>
      </w:tr>
      <w:tr>
        <w:trPr/>
        <w:tc>
          <w:tcPr>
            <w:shd w:val="clear" w:fill="auto" w:color="auto"/>
            <w:tcW w:w="412" w:type="pct"/>
            <w:textDirection w:val="lrTb"/>
            <w:noWrap w:val="false"/>
          </w:tcPr>
          <w:p>
            <w:pPr>
              <w:pStyle w:val="1005"/>
              <w:ind w:left="57" w:right="57"/>
            </w:pPr>
            <w:r>
              <w:t xml:space="preserve">7.9</w:t>
            </w:r>
            <w:r/>
          </w:p>
        </w:tc>
        <w:tc>
          <w:tcPr>
            <w:shd w:val="clear" w:fill="auto" w:color="auto"/>
            <w:tcW w:w="635" w:type="pct"/>
            <w:textDirection w:val="lrTb"/>
            <w:noWrap w:val="false"/>
          </w:tcPr>
          <w:p>
            <w:pPr>
              <w:pStyle w:val="1005"/>
              <w:ind w:left="57" w:right="57"/>
            </w:pPr>
            <w:r>
              <w:t xml:space="preserve">16.01.2015</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w:t>
            </w:r>
            <w:r>
              <w:t xml:space="preserve">SUFD-64440 (SUFD-69473) </w:t>
            </w:r>
            <w:r>
              <w:t xml:space="preserve">актуализированы п.</w:t>
            </w:r>
            <w:r>
              <w:t xml:space="preserve"> </w:t>
            </w:r>
            <w:r>
              <w:fldChar w:fldCharType="begin"/>
            </w:r>
            <w:r>
              <w:instrText xml:space="preserve"> REF _Ref350934944 \r \h </w:instrText>
            </w:r>
            <w:r>
              <w:fldChar w:fldCharType="separate"/>
            </w:r>
            <w:r>
              <w:t xml:space="preserve">5.8.1</w:t>
            </w:r>
            <w:r>
              <w:fldChar w:fldCharType="end"/>
            </w:r>
            <w:r>
              <w:t xml:space="preserve">, </w:t>
            </w:r>
            <w:r>
              <w:fldChar w:fldCharType="begin"/>
            </w:r>
            <w:r>
              <w:instrText xml:space="preserve"> REF _Ref409192794 \r \h </w:instrText>
            </w:r>
            <w:r>
              <w:fldChar w:fldCharType="separate"/>
            </w:r>
            <w:r>
              <w:t xml:space="preserve">5.8.2</w:t>
            </w:r>
            <w:r>
              <w:fldChar w:fldCharType="end"/>
            </w:r>
            <w:r>
              <w:t xml:space="preserve">.</w:t>
            </w:r>
            <w:r/>
          </w:p>
        </w:tc>
      </w:tr>
      <w:tr>
        <w:trPr/>
        <w:tc>
          <w:tcPr>
            <w:shd w:val="clear" w:fill="auto" w:color="auto"/>
            <w:tcW w:w="412" w:type="pct"/>
            <w:textDirection w:val="lrTb"/>
            <w:noWrap w:val="false"/>
          </w:tcPr>
          <w:p>
            <w:pPr>
              <w:pStyle w:val="1005"/>
              <w:ind w:left="57" w:right="57"/>
            </w:pPr>
            <w:r>
              <w:t xml:space="preserve">8.0</w:t>
            </w:r>
            <w:r/>
          </w:p>
        </w:tc>
        <w:tc>
          <w:tcPr>
            <w:shd w:val="clear" w:fill="auto" w:color="auto"/>
            <w:tcW w:w="635" w:type="pct"/>
            <w:textDirection w:val="lrTb"/>
            <w:noWrap w:val="false"/>
          </w:tcPr>
          <w:p>
            <w:pPr>
              <w:pStyle w:val="1005"/>
              <w:ind w:left="57" w:right="57"/>
            </w:pPr>
            <w:r>
              <w:t xml:space="preserve">04.02.2015</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SUFD-67688 (SUFD-70108)</w:t>
            </w:r>
            <w:r>
              <w:t xml:space="preserve"> </w:t>
            </w:r>
            <w:r>
              <w:t xml:space="preserve">актуализирован</w:t>
            </w:r>
            <w:r>
              <w:t xml:space="preserve"> п.</w:t>
            </w:r>
            <w:r>
              <w:t xml:space="preserve"> </w:t>
            </w:r>
            <w:r>
              <w:fldChar w:fldCharType="begin"/>
            </w:r>
            <w:r>
              <w:instrText xml:space="preserve"> REF _Ref59718344 \r \h </w:instrText>
            </w:r>
            <w:r>
              <w:fldChar w:fldCharType="separate"/>
            </w:r>
            <w:r>
              <w:t xml:space="preserve">5.4.1</w:t>
            </w:r>
            <w:r>
              <w:fldChar w:fldCharType="end"/>
            </w:r>
            <w:r>
              <w:t xml:space="preserve">.</w:t>
            </w:r>
            <w:r/>
          </w:p>
          <w:p>
            <w:pPr>
              <w:pStyle w:val="1005"/>
              <w:ind w:left="57" w:right="57"/>
            </w:pPr>
            <w:r>
              <w:t xml:space="preserve">В соответствии с SUFD-68390 (SUFD-68484) актуализирован п. </w:t>
            </w:r>
            <w:r>
              <w:fldChar w:fldCharType="begin"/>
            </w:r>
            <w:r>
              <w:instrText xml:space="preserve"> REF _Ref410396254 \r \h </w:instrText>
            </w:r>
            <w:r>
              <w:fldChar w:fldCharType="separate"/>
            </w:r>
            <w:r>
              <w:t xml:space="preserve">5.14.1</w:t>
            </w:r>
            <w:r>
              <w:fldChar w:fldCharType="end"/>
            </w:r>
            <w:r>
              <w:t xml:space="preserve">.</w:t>
            </w:r>
            <w:r/>
          </w:p>
          <w:p>
            <w:pPr>
              <w:pStyle w:val="1005"/>
              <w:ind w:left="57" w:right="57"/>
            </w:pPr>
            <w:r>
              <w:t xml:space="preserve">В соответствии с SUFD-69060 (SUFD-70386)</w:t>
            </w:r>
            <w:r>
              <w:t xml:space="preserve"> актуализирован п. </w:t>
            </w:r>
            <w:r>
              <w:fldChar w:fldCharType="begin"/>
            </w:r>
            <w:r>
              <w:instrText xml:space="preserve"> REF _Ref410833409 \r \h </w:instrText>
            </w:r>
            <w:r>
              <w:fldChar w:fldCharType="separate"/>
            </w:r>
            <w:r>
              <w:t xml:space="preserve">5.16.1</w:t>
            </w:r>
            <w:r>
              <w:fldChar w:fldCharType="end"/>
            </w:r>
            <w:r>
              <w:t xml:space="preserve">.</w:t>
            </w:r>
            <w:r/>
          </w:p>
        </w:tc>
      </w:tr>
      <w:tr>
        <w:trPr/>
        <w:tc>
          <w:tcPr>
            <w:shd w:val="clear" w:fill="auto" w:color="auto"/>
            <w:tcW w:w="412" w:type="pct"/>
            <w:textDirection w:val="lrTb"/>
            <w:noWrap w:val="false"/>
          </w:tcPr>
          <w:p>
            <w:pPr>
              <w:pStyle w:val="1005"/>
              <w:ind w:left="57" w:right="57"/>
            </w:pPr>
            <w:r>
              <w:t xml:space="preserve">8.1</w:t>
            </w:r>
            <w:r/>
          </w:p>
        </w:tc>
        <w:tc>
          <w:tcPr>
            <w:shd w:val="clear" w:fill="auto" w:color="auto"/>
            <w:tcW w:w="635" w:type="pct"/>
            <w:textDirection w:val="lrTb"/>
            <w:noWrap w:val="false"/>
          </w:tcPr>
          <w:p>
            <w:pPr>
              <w:pStyle w:val="1005"/>
              <w:ind w:left="57" w:right="57"/>
            </w:pPr>
            <w:r>
              <w:t xml:space="preserve">11.02.2015</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SUFD-61413 (SUFD-70647) актуализирован п.</w:t>
            </w:r>
            <w:r>
              <w:t xml:space="preserve"> </w:t>
            </w:r>
            <w:r>
              <w:fldChar w:fldCharType="begin"/>
            </w:r>
            <w:r>
              <w:instrText xml:space="preserve"> REF _Ref364090605 \r \h </w:instrText>
            </w:r>
            <w:r>
              <w:fldChar w:fldCharType="separate"/>
            </w:r>
            <w:r>
              <w:t xml:space="preserve">5.11.2</w:t>
            </w:r>
            <w:r>
              <w:fldChar w:fldCharType="end"/>
            </w:r>
            <w:r>
              <w:t xml:space="preserve">.</w:t>
            </w:r>
            <w:r/>
          </w:p>
        </w:tc>
      </w:tr>
      <w:tr>
        <w:trPr/>
        <w:tc>
          <w:tcPr>
            <w:shd w:val="clear" w:fill="auto" w:color="auto"/>
            <w:tcW w:w="412" w:type="pct"/>
            <w:textDirection w:val="lrTb"/>
            <w:noWrap w:val="false"/>
          </w:tcPr>
          <w:p>
            <w:pPr>
              <w:pStyle w:val="1005"/>
              <w:ind w:left="57" w:right="57"/>
            </w:pPr>
            <w:r>
              <w:t xml:space="preserve">8.2</w:t>
            </w:r>
            <w:r/>
          </w:p>
        </w:tc>
        <w:tc>
          <w:tcPr>
            <w:shd w:val="clear" w:fill="auto" w:color="auto"/>
            <w:tcW w:w="635" w:type="pct"/>
            <w:textDirection w:val="lrTb"/>
            <w:noWrap w:val="false"/>
          </w:tcPr>
          <w:p>
            <w:pPr>
              <w:pStyle w:val="1005"/>
              <w:ind w:left="57" w:right="57"/>
            </w:pPr>
            <w:r>
              <w:t xml:space="preserve">11.03.2015</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SUFD-71082 (SUFD-71276)</w:t>
            </w:r>
            <w:r>
              <w:t xml:space="preserve"> </w:t>
            </w:r>
            <w:r>
              <w:t xml:space="preserve">актуализированы </w:t>
            </w:r>
            <w:r>
              <w:t xml:space="preserve">п</w:t>
            </w:r>
            <w:r>
              <w:t xml:space="preserve">п.</w:t>
            </w:r>
            <w:r>
              <w:t xml:space="preserve"> </w:t>
            </w:r>
            <w:r>
              <w:fldChar w:fldCharType="begin"/>
            </w:r>
            <w:r>
              <w:instrText xml:space="preserve"> REF _Ref350934944 \r \h </w:instrText>
            </w:r>
            <w:r>
              <w:fldChar w:fldCharType="separate"/>
            </w:r>
            <w:r>
              <w:t xml:space="preserve">5.8.1</w:t>
            </w:r>
            <w:r>
              <w:fldChar w:fldCharType="end"/>
            </w:r>
            <w:r>
              <w:t xml:space="preserve">, </w:t>
            </w:r>
            <w:r>
              <w:fldChar w:fldCharType="begin"/>
            </w:r>
            <w:r>
              <w:instrText xml:space="preserve"> REF _Ref413769605 \r \h </w:instrText>
            </w:r>
            <w:r>
              <w:fldChar w:fldCharType="separate"/>
            </w:r>
            <w:r>
              <w:t xml:space="preserve">5.8.2</w:t>
            </w:r>
            <w:r>
              <w:fldChar w:fldCharType="end"/>
            </w:r>
            <w:r>
              <w:t xml:space="preserve">.</w:t>
            </w:r>
            <w:r/>
          </w:p>
          <w:p>
            <w:pPr>
              <w:pStyle w:val="1005"/>
              <w:ind w:left="57" w:right="57"/>
            </w:pPr>
            <w:r>
              <w:t xml:space="preserve">В соответствии с SUFD-62625 (SUFD-71508</w:t>
            </w:r>
            <w:r>
              <w:t xml:space="preserve">, </w:t>
            </w:r>
            <w:r>
              <w:t xml:space="preserve">SUFD-71509</w:t>
            </w:r>
            <w:r>
              <w:t xml:space="preserve">, SUFD-71511</w:t>
            </w:r>
            <w:r>
              <w:t xml:space="preserve">)</w:t>
            </w:r>
            <w:r>
              <w:t xml:space="preserve"> актуализирован п. </w:t>
            </w:r>
            <w:r>
              <w:fldChar w:fldCharType="begin"/>
            </w:r>
            <w:r>
              <w:instrText xml:space="preserve"> REF _Ref413935099 \r \h </w:instrText>
            </w:r>
            <w:r>
              <w:fldChar w:fldCharType="separate"/>
            </w:r>
            <w:r>
              <w:t xml:space="preserve">5.11.1</w:t>
            </w:r>
            <w:r>
              <w:fldChar w:fldCharType="end"/>
            </w:r>
            <w:r>
              <w:t xml:space="preserve">.</w:t>
            </w:r>
            <w:r/>
          </w:p>
        </w:tc>
      </w:tr>
      <w:tr>
        <w:trPr/>
        <w:tc>
          <w:tcPr>
            <w:shd w:val="clear" w:fill="auto" w:color="auto"/>
            <w:tcW w:w="412" w:type="pct"/>
            <w:textDirection w:val="lrTb"/>
            <w:noWrap w:val="false"/>
          </w:tcPr>
          <w:p>
            <w:pPr>
              <w:pStyle w:val="1005"/>
              <w:ind w:left="57" w:right="57"/>
            </w:pPr>
            <w:r>
              <w:t xml:space="preserve">8.3</w:t>
            </w:r>
            <w:r/>
          </w:p>
        </w:tc>
        <w:tc>
          <w:tcPr>
            <w:shd w:val="clear" w:fill="auto" w:color="auto"/>
            <w:tcW w:w="635" w:type="pct"/>
            <w:textDirection w:val="lrTb"/>
            <w:noWrap w:val="false"/>
          </w:tcPr>
          <w:p>
            <w:pPr>
              <w:pStyle w:val="1005"/>
              <w:ind w:left="57" w:right="57"/>
            </w:pPr>
            <w:r>
              <w:t xml:space="preserve">17.03.2015</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w:t>
            </w:r>
            <w:r>
              <w:t xml:space="preserve">SUFD-</w:t>
            </w:r>
            <w:r>
              <w:t xml:space="preserve">61846 (</w:t>
            </w:r>
            <w:r>
              <w:t xml:space="preserve">SUFD-71503</w:t>
            </w:r>
            <w:r>
              <w:t xml:space="preserve">, SUFD-71505) </w:t>
            </w:r>
            <w:r>
              <w:t xml:space="preserve">добавлены </w:t>
            </w:r>
            <w:r>
              <w:t xml:space="preserve">п</w:t>
            </w:r>
            <w:r>
              <w:t xml:space="preserve">п.</w:t>
            </w:r>
            <w:r>
              <w:t xml:space="preserve"> </w:t>
            </w:r>
            <w:r>
              <w:fldChar w:fldCharType="begin"/>
            </w:r>
            <w:r>
              <w:instrText xml:space="preserve"> REF _Ref414952713 \r \h </w:instrText>
            </w:r>
            <w:r>
              <w:fldChar w:fldCharType="separate"/>
            </w:r>
            <w:r>
              <w:t xml:space="preserve">5.2.2</w:t>
            </w:r>
            <w:r>
              <w:fldChar w:fldCharType="end"/>
            </w:r>
            <w:r>
              <w:t xml:space="preserve">, </w:t>
            </w:r>
            <w:r>
              <w:fldChar w:fldCharType="begin"/>
            </w:r>
            <w:r>
              <w:instrText xml:space="preserve"> REF _Ref414952720 \r \h </w:instrText>
            </w:r>
            <w:r>
              <w:fldChar w:fldCharType="separate"/>
            </w:r>
            <w:r>
              <w:t xml:space="preserve">5.2.1</w:t>
            </w:r>
            <w:r>
              <w:fldChar w:fldCharType="end"/>
            </w:r>
            <w:r>
              <w:t xml:space="preserve">.</w:t>
            </w:r>
            <w:r/>
          </w:p>
        </w:tc>
      </w:tr>
      <w:tr>
        <w:trPr/>
        <w:tc>
          <w:tcPr>
            <w:shd w:val="clear" w:fill="auto" w:color="auto"/>
            <w:tcW w:w="412" w:type="pct"/>
            <w:textDirection w:val="lrTb"/>
            <w:noWrap w:val="false"/>
          </w:tcPr>
          <w:p>
            <w:pPr>
              <w:pStyle w:val="1005"/>
              <w:ind w:left="57" w:right="57"/>
            </w:pPr>
            <w:r>
              <w:t xml:space="preserve">8.4</w:t>
            </w:r>
            <w:r/>
          </w:p>
        </w:tc>
        <w:tc>
          <w:tcPr>
            <w:shd w:val="clear" w:fill="auto" w:color="auto"/>
            <w:tcW w:w="635" w:type="pct"/>
            <w:textDirection w:val="lrTb"/>
            <w:noWrap w:val="false"/>
          </w:tcPr>
          <w:p>
            <w:pPr>
              <w:pStyle w:val="1005"/>
              <w:ind w:left="57" w:right="57"/>
            </w:pPr>
            <w:r>
              <w:t xml:space="preserve">14.04.2015</w:t>
            </w:r>
            <w:r/>
          </w:p>
        </w:tc>
        <w:tc>
          <w:tcPr>
            <w:shd w:val="clear" w:fill="auto" w:color="auto"/>
            <w:tcW w:w="1017" w:type="pct"/>
            <w:textDirection w:val="lrTb"/>
            <w:noWrap w:val="false"/>
          </w:tcPr>
          <w:p>
            <w:pPr>
              <w:pStyle w:val="1005"/>
              <w:ind w:left="57" w:right="57"/>
            </w:pPr>
            <w:r>
              <w:t xml:space="preserve">Соколова Н.В.</w:t>
            </w:r>
            <w:r/>
          </w:p>
          <w:p>
            <w:pPr>
              <w:pStyle w:val="1005"/>
              <w:ind w:left="57" w:right="57"/>
            </w:pPr>
            <w:r>
              <w:t xml:space="preserve">Алексеев И.И.</w:t>
            </w:r>
            <w:r/>
          </w:p>
        </w:tc>
        <w:tc>
          <w:tcPr>
            <w:shd w:val="clear" w:fill="auto" w:color="auto"/>
            <w:tcW w:w="2936" w:type="pct"/>
            <w:textDirection w:val="lrTb"/>
            <w:noWrap w:val="false"/>
          </w:tcPr>
          <w:p>
            <w:pPr>
              <w:pStyle w:val="1005"/>
              <w:ind w:left="57" w:right="57"/>
            </w:pPr>
            <w:r>
              <w:t xml:space="preserve">В соответствии с SUFD-72690 (SUFD-67173)</w:t>
            </w:r>
            <w:r>
              <w:t xml:space="preserve"> </w:t>
            </w:r>
            <w:r>
              <w:t xml:space="preserve">актуализированы </w:t>
            </w:r>
            <w:r>
              <w:t xml:space="preserve">п</w:t>
            </w:r>
            <w:r>
              <w:t xml:space="preserve">п.</w:t>
            </w:r>
            <w:r>
              <w:t xml:space="preserve"> </w:t>
            </w:r>
            <w:r>
              <w:fldChar w:fldCharType="begin"/>
            </w:r>
            <w:r>
              <w:instrText xml:space="preserve"> REF _Ref416433062 \r \h </w:instrText>
            </w:r>
            <w:r>
              <w:fldChar w:fldCharType="separate"/>
            </w:r>
            <w:r>
              <w:t xml:space="preserve">5.3.1</w:t>
            </w:r>
            <w:r>
              <w:fldChar w:fldCharType="end"/>
            </w:r>
            <w:r>
              <w:t xml:space="preserve">, </w:t>
            </w:r>
            <w:r>
              <w:fldChar w:fldCharType="begin"/>
            </w:r>
            <w:r>
              <w:instrText xml:space="preserve"> REF _Ref272416333 \r \h </w:instrText>
            </w:r>
            <w:r>
              <w:fldChar w:fldCharType="separate"/>
            </w:r>
            <w:r>
              <w:t xml:space="preserve">5.3.2</w:t>
            </w:r>
            <w:r>
              <w:fldChar w:fldCharType="end"/>
            </w:r>
            <w:r>
              <w:t xml:space="preserve">.</w:t>
            </w:r>
            <w:r/>
          </w:p>
          <w:p>
            <w:pPr>
              <w:pStyle w:val="1005"/>
              <w:ind w:left="57" w:right="57"/>
            </w:pPr>
            <w:r>
              <w:t xml:space="preserve">В соответствии с </w:t>
            </w:r>
            <w:r>
              <w:t xml:space="preserve">SUFD-</w:t>
            </w:r>
            <w:r>
              <w:t xml:space="preserve">61846, </w:t>
            </w:r>
            <w:r>
              <w:t xml:space="preserve">SUFD-71214</w:t>
            </w:r>
            <w:r>
              <w:t xml:space="preserve"> (</w:t>
            </w:r>
            <w:r>
              <w:t xml:space="preserve">SUFD-72726</w:t>
            </w:r>
            <w:r>
              <w:t xml:space="preserve">) </w:t>
            </w:r>
            <w:r>
              <w:t xml:space="preserve">актуализированы </w:t>
            </w:r>
            <w:r>
              <w:t xml:space="preserve">п</w:t>
            </w:r>
            <w:r>
              <w:t xml:space="preserve">п.</w:t>
            </w:r>
            <w:r>
              <w:t xml:space="preserve"> </w:t>
            </w:r>
            <w:r>
              <w:fldChar w:fldCharType="begin"/>
            </w:r>
            <w:r>
              <w:instrText xml:space="preserve"> REF _Ref414952713 \r \h </w:instrText>
            </w:r>
            <w:r>
              <w:fldChar w:fldCharType="separate"/>
            </w:r>
            <w:r>
              <w:t xml:space="preserve">5.2.2</w:t>
            </w:r>
            <w:r>
              <w:fldChar w:fldCharType="end"/>
            </w:r>
            <w:r>
              <w:t xml:space="preserve">, </w:t>
            </w:r>
            <w:r>
              <w:fldChar w:fldCharType="begin"/>
            </w:r>
            <w:r>
              <w:instrText xml:space="preserve"> REF _Ref414952720 \r \h </w:instrText>
            </w:r>
            <w:r>
              <w:fldChar w:fldCharType="separate"/>
            </w:r>
            <w:r>
              <w:t xml:space="preserve">5.2.1</w:t>
            </w:r>
            <w:r>
              <w:fldChar w:fldCharType="end"/>
            </w:r>
            <w:r>
              <w:t xml:space="preserve">.</w:t>
            </w:r>
            <w:r/>
          </w:p>
          <w:p>
            <w:pPr>
              <w:pStyle w:val="1005"/>
              <w:ind w:left="57" w:right="57"/>
            </w:pPr>
            <w:r>
              <w:t xml:space="preserve">В соответствии с SUFD-71856 (SUFD-72880) актуализирован п</w:t>
            </w:r>
            <w:r>
              <w:t xml:space="preserve">. </w:t>
            </w:r>
            <w:r>
              <w:fldChar w:fldCharType="begin"/>
            </w:r>
            <w:r>
              <w:instrText xml:space="preserve"> REF _Ref373061971 \r \h </w:instrText>
            </w:r>
            <w:r>
              <w:fldChar w:fldCharType="separate"/>
            </w:r>
            <w:r>
              <w:t xml:space="preserve">5.1.10</w:t>
            </w:r>
            <w:r>
              <w:fldChar w:fldCharType="end"/>
            </w:r>
            <w:r>
              <w:t xml:space="preserve">.</w:t>
            </w:r>
            <w:r/>
          </w:p>
          <w:p>
            <w:pPr>
              <w:pStyle w:val="1005"/>
              <w:ind w:left="57" w:right="57"/>
            </w:pPr>
            <w:r>
              <w:t xml:space="preserve">В соответствии с SUFD-64668 (SUFD-73827) актуализирован п</w:t>
            </w:r>
            <w:r>
              <w:t xml:space="preserve">. </w:t>
            </w:r>
            <w:r>
              <w:fldChar w:fldCharType="begin"/>
            </w:r>
            <w:r>
              <w:instrText xml:space="preserve"> REF _Ref419282140 \r \h </w:instrText>
            </w:r>
            <w:r>
              <w:fldChar w:fldCharType="separate"/>
            </w:r>
            <w:r>
              <w:t xml:space="preserve">5.3.1</w:t>
            </w:r>
            <w:r>
              <w:fldChar w:fldCharType="end"/>
            </w:r>
            <w:r>
              <w:t xml:space="preserve">.</w:t>
            </w:r>
            <w:r/>
          </w:p>
        </w:tc>
      </w:tr>
      <w:tr>
        <w:trPr/>
        <w:tc>
          <w:tcPr>
            <w:shd w:val="clear" w:fill="auto" w:color="auto"/>
            <w:tcW w:w="412" w:type="pct"/>
            <w:textDirection w:val="lrTb"/>
            <w:noWrap w:val="false"/>
          </w:tcPr>
          <w:p>
            <w:pPr>
              <w:pStyle w:val="1005"/>
              <w:ind w:left="57" w:right="57"/>
            </w:pPr>
            <w:r>
              <w:t xml:space="preserve">8.5</w:t>
            </w:r>
            <w:r/>
          </w:p>
        </w:tc>
        <w:tc>
          <w:tcPr>
            <w:shd w:val="clear" w:fill="auto" w:color="auto"/>
            <w:tcW w:w="635" w:type="pct"/>
            <w:textDirection w:val="lrTb"/>
            <w:noWrap w:val="false"/>
          </w:tcPr>
          <w:p>
            <w:pPr>
              <w:pStyle w:val="1005"/>
              <w:ind w:left="57" w:right="57"/>
            </w:pPr>
            <w:r>
              <w:t xml:space="preserve">25.05.2015</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SUFD-61846</w:t>
            </w:r>
            <w:r>
              <w:t xml:space="preserve">, </w:t>
            </w:r>
            <w:r>
              <w:t xml:space="preserve">ACCEPT-40939 (SUFD-74506) актуализированы</w:t>
            </w:r>
            <w:r>
              <w:t xml:space="preserve"> п. </w:t>
            </w:r>
            <w:r>
              <w:fldChar w:fldCharType="begin"/>
            </w:r>
            <w:r>
              <w:instrText xml:space="preserve"> REF _Ref414952713 \r \h </w:instrText>
            </w:r>
            <w:r>
              <w:fldChar w:fldCharType="separate"/>
            </w:r>
            <w:r>
              <w:t xml:space="preserve">5.2.2</w:t>
            </w:r>
            <w:r>
              <w:fldChar w:fldCharType="end"/>
            </w:r>
            <w:r>
              <w:t xml:space="preserve">, </w:t>
            </w:r>
            <w:r>
              <w:fldChar w:fldCharType="begin"/>
            </w:r>
            <w:r>
              <w:instrText xml:space="preserve"> REF _Ref414952720 \r \h </w:instrText>
            </w:r>
            <w:r>
              <w:fldChar w:fldCharType="separate"/>
            </w:r>
            <w:r>
              <w:t xml:space="preserve">5.2.1</w:t>
            </w:r>
            <w:r>
              <w:fldChar w:fldCharType="end"/>
            </w:r>
            <w:r>
              <w:t xml:space="preserve">.</w:t>
            </w:r>
            <w:r/>
          </w:p>
        </w:tc>
      </w:tr>
      <w:tr>
        <w:trPr/>
        <w:tc>
          <w:tcPr>
            <w:shd w:val="clear" w:fill="auto" w:color="auto"/>
            <w:tcW w:w="412" w:type="pct"/>
            <w:textDirection w:val="lrTb"/>
            <w:noWrap w:val="false"/>
          </w:tcPr>
          <w:p>
            <w:pPr>
              <w:pStyle w:val="1005"/>
              <w:ind w:left="57" w:right="57"/>
            </w:pPr>
            <w:r>
              <w:t xml:space="preserve">8.6</w:t>
            </w:r>
            <w:r/>
          </w:p>
        </w:tc>
        <w:tc>
          <w:tcPr>
            <w:shd w:val="clear" w:fill="auto" w:color="auto"/>
            <w:tcW w:w="635" w:type="pct"/>
            <w:textDirection w:val="lrTb"/>
            <w:noWrap w:val="false"/>
          </w:tcPr>
          <w:p>
            <w:pPr>
              <w:pStyle w:val="1005"/>
              <w:ind w:left="57" w:right="57"/>
            </w:pPr>
            <w:r>
              <w:t xml:space="preserve">01.06.2015</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w:t>
            </w:r>
            <w:r>
              <w:t xml:space="preserve">SUFD-72352 </w:t>
            </w:r>
            <w:r>
              <w:t xml:space="preserve">(</w:t>
            </w:r>
            <w:r>
              <w:t xml:space="preserve">SUFD-74683</w:t>
            </w:r>
            <w:r>
              <w:t xml:space="preserve">; </w:t>
            </w:r>
            <w:r>
              <w:t xml:space="preserve">SUFD-74684</w:t>
            </w:r>
            <w:r>
              <w:t xml:space="preserve">; </w:t>
            </w:r>
            <w:r>
              <w:t xml:space="preserve">SUFD-7468</w:t>
            </w:r>
            <w:r>
              <w:t xml:space="preserve">5; </w:t>
            </w:r>
            <w:r>
              <w:t xml:space="preserve">SUFD-7468</w:t>
            </w:r>
            <w:r>
              <w:t xml:space="preserve">6; </w:t>
            </w:r>
            <w:r>
              <w:t xml:space="preserve">SUFD-7468</w:t>
            </w:r>
            <w:r>
              <w:t xml:space="preserve">7; </w:t>
            </w:r>
            <w:r>
              <w:t xml:space="preserve">SUFD-7468</w:t>
            </w:r>
            <w:r>
              <w:t xml:space="preserve">8</w:t>
            </w:r>
            <w:r>
              <w:t xml:space="preserve">) актуал</w:t>
            </w:r>
            <w:r>
              <w:t xml:space="preserve">и</w:t>
            </w:r>
            <w:r>
              <w:t xml:space="preserve">з</w:t>
            </w:r>
            <w:r>
              <w:t xml:space="preserve">и</w:t>
            </w:r>
            <w:r>
              <w:t xml:space="preserve">рован</w:t>
            </w:r>
            <w:r>
              <w:t xml:space="preserve">ы</w:t>
            </w:r>
            <w:r>
              <w:t xml:space="preserve"> </w:t>
            </w:r>
            <w:r>
              <w:t xml:space="preserve">п</w:t>
            </w:r>
            <w:r>
              <w:t xml:space="preserve">п</w:t>
            </w:r>
            <w:r>
              <w:t xml:space="preserve">. </w:t>
            </w:r>
            <w:r>
              <w:fldChar w:fldCharType="begin"/>
            </w:r>
            <w:r>
              <w:instrText xml:space="preserve"> REF _Ref420656629 \r \h </w:instrText>
            </w:r>
            <w:r>
              <w:fldChar w:fldCharType="separate"/>
            </w:r>
            <w:r>
              <w:t xml:space="preserve">5.1.6</w:t>
            </w:r>
            <w:r>
              <w:fldChar w:fldCharType="end"/>
            </w:r>
            <w:r>
              <w:t xml:space="preserve">; </w:t>
            </w:r>
            <w:r>
              <w:fldChar w:fldCharType="begin"/>
            </w:r>
            <w:r>
              <w:instrText xml:space="preserve"> REF _Ref365452935 \r \h </w:instrText>
            </w:r>
            <w:r>
              <w:fldChar w:fldCharType="separate"/>
            </w:r>
            <w:r>
              <w:t xml:space="preserve">5.1.3</w:t>
            </w:r>
            <w:r>
              <w:fldChar w:fldCharType="end"/>
            </w:r>
            <w:r>
              <w:t xml:space="preserve">, </w:t>
            </w:r>
            <w:r>
              <w:fldChar w:fldCharType="begin"/>
            </w:r>
            <w:r>
              <w:instrText xml:space="preserve"> REF _Ref420666055 \r \h </w:instrText>
            </w:r>
            <w:r>
              <w:fldChar w:fldCharType="separate"/>
            </w:r>
            <w:r>
              <w:t xml:space="preserve">5.1.4</w:t>
            </w:r>
            <w:r>
              <w:fldChar w:fldCharType="end"/>
            </w:r>
            <w:r>
              <w:t xml:space="preserve">; </w:t>
            </w:r>
            <w:r>
              <w:fldChar w:fldCharType="begin"/>
            </w:r>
            <w:r>
              <w:instrText xml:space="preserve"> REF _Ref420320397 \r \h </w:instrText>
            </w:r>
            <w:r>
              <w:fldChar w:fldCharType="separate"/>
            </w:r>
            <w:r>
              <w:t xml:space="preserve">5.3.3</w:t>
            </w:r>
            <w:r>
              <w:fldChar w:fldCharType="end"/>
            </w:r>
            <w:r>
              <w:t xml:space="preserve">; </w:t>
            </w:r>
            <w:r>
              <w:fldChar w:fldCharType="begin"/>
            </w:r>
            <w:r>
              <w:instrText xml:space="preserve"> REF _Ref420921155 \r \h </w:instrText>
            </w:r>
            <w:r>
              <w:fldChar w:fldCharType="separate"/>
            </w:r>
            <w:r>
              <w:t xml:space="preserve">5.1.1</w:t>
            </w:r>
            <w:r>
              <w:fldChar w:fldCharType="end"/>
            </w:r>
            <w:r>
              <w:t xml:space="preserve">, </w:t>
            </w:r>
            <w:r>
              <w:fldChar w:fldCharType="begin"/>
            </w:r>
            <w:r>
              <w:instrText xml:space="preserve"> REF _Ref359521322 \r \h </w:instrText>
            </w:r>
            <w:r>
              <w:fldChar w:fldCharType="separate"/>
            </w:r>
            <w:r>
              <w:t xml:space="preserve">5.1.2</w:t>
            </w:r>
            <w:r>
              <w:fldChar w:fldCharType="end"/>
            </w:r>
            <w:r>
              <w:t xml:space="preserve">;</w:t>
            </w:r>
            <w:r>
              <w:t xml:space="preserve"> </w:t>
            </w:r>
            <w:r>
              <w:fldChar w:fldCharType="begin"/>
            </w:r>
            <w:r>
              <w:instrText xml:space="preserve"> REF _Ref420932749 \r \h </w:instrText>
            </w:r>
            <w:r>
              <w:fldChar w:fldCharType="separate"/>
            </w:r>
            <w:r>
              <w:t xml:space="preserve">5.1.5</w:t>
            </w:r>
            <w:r>
              <w:fldChar w:fldCharType="end"/>
            </w:r>
            <w:r>
              <w:t xml:space="preserve">; </w:t>
            </w:r>
            <w:r>
              <w:fldChar w:fldCharType="begin"/>
            </w:r>
            <w:r>
              <w:instrText xml:space="preserve"> REF _Ref272416333 \r \h </w:instrText>
            </w:r>
            <w:r>
              <w:fldChar w:fldCharType="separate"/>
            </w:r>
            <w:r>
              <w:t xml:space="preserve">5.3.2</w:t>
            </w:r>
            <w:r>
              <w:fldChar w:fldCharType="end"/>
            </w:r>
            <w:r>
              <w:t xml:space="preserve">.</w:t>
            </w:r>
            <w:r/>
          </w:p>
          <w:p>
            <w:pPr>
              <w:pStyle w:val="1005"/>
              <w:ind w:left="57" w:right="57"/>
            </w:pPr>
            <w:r>
              <w:t xml:space="preserve">В соответствии с </w:t>
            </w:r>
            <w:r>
              <w:t xml:space="preserve">RFC-24795</w:t>
            </w:r>
            <w:r>
              <w:t xml:space="preserve"> актуализированы п.</w:t>
            </w:r>
            <w:r>
              <w:t xml:space="preserve"> </w:t>
            </w:r>
            <w:r>
              <w:fldChar w:fldCharType="begin"/>
            </w:r>
            <w:r>
              <w:instrText xml:space="preserve"> REF _Ref414952720 \r \h </w:instrText>
            </w:r>
            <w:r>
              <w:fldChar w:fldCharType="separate"/>
            </w:r>
            <w:r>
              <w:t xml:space="preserve">5.2.1</w:t>
            </w:r>
            <w:r>
              <w:fldChar w:fldCharType="end"/>
            </w:r>
            <w:r>
              <w:t xml:space="preserve">, </w:t>
            </w:r>
            <w:r>
              <w:fldChar w:fldCharType="begin"/>
            </w:r>
            <w:r>
              <w:instrText xml:space="preserve"> REF _Ref414952713 \r \h </w:instrText>
            </w:r>
            <w:r>
              <w:fldChar w:fldCharType="separate"/>
            </w:r>
            <w:r>
              <w:t xml:space="preserve">5.2.2</w:t>
            </w:r>
            <w:r>
              <w:fldChar w:fldCharType="end"/>
            </w:r>
            <w:r>
              <w:t xml:space="preserve">.</w:t>
            </w:r>
            <w:r/>
          </w:p>
        </w:tc>
      </w:tr>
      <w:tr>
        <w:trPr/>
        <w:tc>
          <w:tcPr>
            <w:shd w:val="clear" w:fill="auto" w:color="auto"/>
            <w:tcW w:w="412" w:type="pct"/>
            <w:textDirection w:val="lrTb"/>
            <w:noWrap w:val="false"/>
          </w:tcPr>
          <w:p>
            <w:pPr>
              <w:pStyle w:val="1005"/>
              <w:ind w:left="57" w:right="57"/>
            </w:pPr>
            <w:r>
              <w:t xml:space="preserve">8.7</w:t>
            </w:r>
            <w:r/>
          </w:p>
        </w:tc>
        <w:tc>
          <w:tcPr>
            <w:shd w:val="clear" w:fill="auto" w:color="auto"/>
            <w:tcW w:w="635" w:type="pct"/>
            <w:textDirection w:val="lrTb"/>
            <w:noWrap w:val="false"/>
          </w:tcPr>
          <w:p>
            <w:pPr>
              <w:pStyle w:val="1005"/>
              <w:ind w:left="57" w:right="57"/>
            </w:pPr>
            <w:r>
              <w:t xml:space="preserve">24</w:t>
            </w:r>
            <w:r>
              <w:t xml:space="preserve">.07.2015</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SUFD-63544 (SUFD-76047</w:t>
            </w:r>
            <w:r>
              <w:t xml:space="preserve">, </w:t>
            </w:r>
            <w:r>
              <w:t xml:space="preserve">SUFD-7604</w:t>
            </w:r>
            <w:r>
              <w:t xml:space="preserve">8</w:t>
            </w:r>
            <w:r>
              <w:t xml:space="preserve">)</w:t>
            </w:r>
            <w:r>
              <w:t xml:space="preserve"> доба</w:t>
            </w:r>
            <w:r>
              <w:t xml:space="preserve">в</w:t>
            </w:r>
            <w:r>
              <w:t xml:space="preserve">лены </w:t>
            </w:r>
            <w:r>
              <w:t xml:space="preserve">п</w:t>
            </w:r>
            <w:r>
              <w:t xml:space="preserve">п.</w:t>
            </w:r>
            <w:r>
              <w:t xml:space="preserve"> </w:t>
            </w:r>
            <w:r>
              <w:fldChar w:fldCharType="begin"/>
            </w:r>
            <w:r>
              <w:instrText xml:space="preserve"> REF _Ref512603087 \r \h </w:instrText>
            </w:r>
            <w:r>
              <w:fldChar w:fldCharType="separate"/>
            </w:r>
            <w:r>
              <w:t xml:space="preserve">5.9.2</w:t>
            </w:r>
            <w:r>
              <w:fldChar w:fldCharType="end"/>
            </w:r>
            <w:r>
              <w:t xml:space="preserve">, </w:t>
            </w:r>
            <w:r>
              <w:fldChar w:fldCharType="begin"/>
            </w:r>
            <w:r>
              <w:instrText xml:space="preserve"> REF _Ref423505202 \r \h </w:instrText>
            </w:r>
            <w:r>
              <w:fldChar w:fldCharType="separate"/>
            </w:r>
            <w:r>
              <w:t xml:space="preserve">5.9.3</w:t>
            </w:r>
            <w:r>
              <w:fldChar w:fldCharType="end"/>
            </w:r>
            <w:r>
              <w:t xml:space="preserve">.</w:t>
            </w:r>
            <w:r/>
          </w:p>
          <w:p>
            <w:pPr>
              <w:pStyle w:val="1005"/>
              <w:ind w:left="57" w:right="57"/>
            </w:pPr>
            <w:r>
              <w:t xml:space="preserve">В соответствии с SUFD-73911 (SUFD-76220</w:t>
            </w:r>
            <w:r>
              <w:t xml:space="preserve">, SUFD-76224</w:t>
            </w:r>
            <w:r>
              <w:t xml:space="preserve">) актуализирован</w:t>
            </w:r>
            <w:r>
              <w:t xml:space="preserve">ы</w:t>
            </w:r>
            <w:r>
              <w:t xml:space="preserve"> </w:t>
            </w:r>
            <w:r>
              <w:t xml:space="preserve">п</w:t>
            </w:r>
            <w:r>
              <w:t xml:space="preserve">п.</w:t>
            </w:r>
            <w:r>
              <w:t xml:space="preserve"> </w:t>
            </w:r>
            <w:r>
              <w:rPr>
                <w:color w:val="000000"/>
              </w:rPr>
              <w:t xml:space="preserve">5.1.1</w:t>
            </w:r>
            <w:r>
              <w:t xml:space="preserve">, </w:t>
            </w:r>
            <w:r>
              <w:fldChar w:fldCharType="begin"/>
            </w:r>
            <w:r>
              <w:instrText xml:space="preserve"> REF _Ref419282140 \r \h </w:instrText>
            </w:r>
            <w:r>
              <w:fldChar w:fldCharType="separate"/>
            </w:r>
            <w:r>
              <w:t xml:space="preserve">5.3.1</w:t>
            </w:r>
            <w:r>
              <w:fldChar w:fldCharType="end"/>
            </w:r>
            <w:r>
              <w:t xml:space="preserve">.</w:t>
            </w:r>
            <w:r/>
          </w:p>
          <w:p>
            <w:pPr>
              <w:pStyle w:val="1005"/>
              <w:ind w:left="57" w:right="57"/>
            </w:pPr>
            <w:r>
              <w:t xml:space="preserve">В соответствии с SUFD-73768 (</w:t>
            </w:r>
            <w:r>
              <w:t xml:space="preserve">SUFD-77043</w:t>
            </w:r>
            <w:r>
              <w:t xml:space="preserve">) актуал</w:t>
            </w:r>
            <w:r>
              <w:t xml:space="preserve">и</w:t>
            </w:r>
            <w:r>
              <w:t xml:space="preserve">зирован</w:t>
            </w:r>
            <w:r>
              <w:t xml:space="preserve"> п. </w:t>
            </w:r>
            <w:r>
              <w:fldChar w:fldCharType="begin"/>
            </w:r>
            <w:r>
              <w:instrText xml:space="preserve"> REF _Ref425507525 \r \h </w:instrText>
            </w:r>
            <w:r>
              <w:fldChar w:fldCharType="separate"/>
            </w:r>
            <w:r>
              <w:t xml:space="preserve">5.1.6</w:t>
            </w:r>
            <w:r>
              <w:fldChar w:fldCharType="end"/>
            </w:r>
            <w:r>
              <w:t xml:space="preserve">.</w:t>
            </w:r>
            <w:r/>
          </w:p>
        </w:tc>
      </w:tr>
      <w:tr>
        <w:trPr/>
        <w:tc>
          <w:tcPr>
            <w:shd w:val="clear" w:fill="auto" w:color="auto"/>
            <w:tcW w:w="412" w:type="pct"/>
            <w:textDirection w:val="lrTb"/>
            <w:noWrap w:val="false"/>
          </w:tcPr>
          <w:p>
            <w:pPr>
              <w:pStyle w:val="1005"/>
              <w:ind w:left="57" w:right="57"/>
            </w:pPr>
            <w:r>
              <w:t xml:space="preserve">8.8</w:t>
            </w:r>
            <w:r/>
          </w:p>
        </w:tc>
        <w:tc>
          <w:tcPr>
            <w:shd w:val="clear" w:fill="auto" w:color="auto"/>
            <w:tcW w:w="635" w:type="pct"/>
            <w:textDirection w:val="lrTb"/>
            <w:noWrap w:val="false"/>
          </w:tcPr>
          <w:p>
            <w:pPr>
              <w:pStyle w:val="1005"/>
              <w:ind w:left="57" w:right="57"/>
            </w:pPr>
            <w:r>
              <w:t xml:space="preserve">29.07.2015</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SUFD-7</w:t>
            </w:r>
            <w:r>
              <w:t xml:space="preserve">6082</w:t>
            </w:r>
            <w:r>
              <w:t xml:space="preserve"> (</w:t>
            </w:r>
            <w:r>
              <w:t xml:space="preserve">SUFD-770</w:t>
            </w:r>
            <w:r>
              <w:t xml:space="preserve">76, SUFD-77073</w:t>
            </w:r>
            <w:r>
              <w:t xml:space="preserve">) актуализирован</w:t>
            </w:r>
            <w:r>
              <w:t xml:space="preserve">ы </w:t>
            </w:r>
            <w:r>
              <w:t xml:space="preserve">п</w:t>
            </w:r>
            <w:r>
              <w:t xml:space="preserve">п. </w:t>
            </w:r>
            <w:r>
              <w:fldChar w:fldCharType="begin"/>
            </w:r>
            <w:r>
              <w:instrText xml:space="preserve"> REF _Ref414952720 \r \h </w:instrText>
            </w:r>
            <w:r>
              <w:fldChar w:fldCharType="separate"/>
            </w:r>
            <w:r>
              <w:t xml:space="preserve">5.2.1</w:t>
            </w:r>
            <w:r>
              <w:fldChar w:fldCharType="end"/>
            </w:r>
            <w:r>
              <w:t xml:space="preserve">, </w:t>
            </w:r>
            <w:r>
              <w:fldChar w:fldCharType="begin"/>
            </w:r>
            <w:r>
              <w:instrText xml:space="preserve"> REF _Ref414952713 \r \h </w:instrText>
            </w:r>
            <w:r>
              <w:fldChar w:fldCharType="separate"/>
            </w:r>
            <w:r>
              <w:t xml:space="preserve">5.2.2</w:t>
            </w:r>
            <w:r>
              <w:fldChar w:fldCharType="end"/>
            </w:r>
            <w:r>
              <w:t xml:space="preserve">.</w:t>
            </w:r>
            <w:r/>
          </w:p>
        </w:tc>
      </w:tr>
      <w:tr>
        <w:trPr>
          <w:trHeight w:val="984"/>
        </w:trPr>
        <w:tc>
          <w:tcPr>
            <w:shd w:val="clear" w:fill="auto" w:color="auto"/>
            <w:tcW w:w="412" w:type="pct"/>
            <w:textDirection w:val="lrTb"/>
            <w:noWrap w:val="false"/>
          </w:tcPr>
          <w:p>
            <w:pPr>
              <w:pStyle w:val="1005"/>
              <w:ind w:left="57" w:right="57"/>
            </w:pPr>
            <w:r/>
            <w:bookmarkStart w:id="2173" w:name="_Hlk433897165"/>
            <w:r>
              <w:t xml:space="preserve">8.9</w:t>
            </w:r>
            <w:bookmarkEnd w:id="2173"/>
            <w:r/>
            <w:r/>
          </w:p>
        </w:tc>
        <w:tc>
          <w:tcPr>
            <w:shd w:val="clear" w:fill="auto" w:color="auto"/>
            <w:tcW w:w="635" w:type="pct"/>
            <w:textDirection w:val="lrTb"/>
            <w:noWrap w:val="false"/>
          </w:tcPr>
          <w:p>
            <w:pPr>
              <w:pStyle w:val="1005"/>
              <w:ind w:left="57" w:right="57"/>
            </w:pPr>
            <w:r>
              <w:t xml:space="preserve">20</w:t>
            </w:r>
            <w:r>
              <w:t xml:space="preserve">.10</w:t>
            </w:r>
            <w:r>
              <w:t xml:space="preserve">.2015</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w:t>
            </w:r>
            <w:r>
              <w:t xml:space="preserve">SUFD-76250</w:t>
            </w:r>
            <w:r>
              <w:t xml:space="preserve"> (</w:t>
            </w:r>
            <w:r>
              <w:t xml:space="preserve">SUFD-78960</w:t>
            </w:r>
            <w:r>
              <w:t xml:space="preserve">) актуализирован п. </w:t>
            </w:r>
            <w:r>
              <w:fldChar w:fldCharType="begin"/>
            </w:r>
            <w:r>
              <w:instrText xml:space="preserve"> REF _Ref430184820 \r \h </w:instrText>
            </w:r>
            <w:r>
              <w:fldChar w:fldCharType="separate"/>
            </w:r>
            <w:r>
              <w:t xml:space="preserve">5.17.3</w:t>
            </w:r>
            <w:r>
              <w:fldChar w:fldCharType="end"/>
            </w:r>
            <w:r>
              <w:t xml:space="preserve">.</w:t>
            </w:r>
            <w:r/>
          </w:p>
          <w:p>
            <w:pPr>
              <w:pStyle w:val="1005"/>
              <w:ind w:left="57" w:right="57"/>
            </w:pPr>
            <w:r>
              <w:t xml:space="preserve">В соответствии с SUFD-66503 (SUFD-79498) актуализирован п.</w:t>
            </w:r>
            <w:r>
              <w:t xml:space="preserve"> </w:t>
            </w:r>
            <w:r>
              <w:fldChar w:fldCharType="begin"/>
            </w:r>
            <w:r>
              <w:instrText xml:space="preserve"> REF _Ref59718405 \r \h </w:instrText>
            </w:r>
            <w:r>
              <w:fldChar w:fldCharType="separate"/>
            </w:r>
            <w:r>
              <w:t xml:space="preserve">5.4.1</w:t>
            </w:r>
            <w:r>
              <w:fldChar w:fldCharType="end"/>
            </w:r>
            <w:r>
              <w:t xml:space="preserve">.</w:t>
            </w:r>
            <w:r/>
          </w:p>
          <w:p>
            <w:pPr>
              <w:pStyle w:val="1005"/>
              <w:ind w:left="57" w:right="57"/>
            </w:pPr>
            <w:r>
              <w:t xml:space="preserve">В соответствии с SUFD-78631 (SUFD-79789)</w:t>
            </w:r>
            <w:r>
              <w:t xml:space="preserve"> актуализирован п. </w:t>
            </w:r>
            <w:r>
              <w:fldChar w:fldCharType="begin"/>
            </w:r>
            <w:r>
              <w:instrText xml:space="preserve"> REF _Ref357699450 \r \h </w:instrText>
            </w:r>
            <w:r>
              <w:fldChar w:fldCharType="separate"/>
            </w:r>
            <w:r>
              <w:t xml:space="preserve">5.5.1</w:t>
            </w:r>
            <w:r>
              <w:fldChar w:fldCharType="end"/>
            </w:r>
            <w:r>
              <w:t xml:space="preserve">.</w:t>
            </w:r>
            <w:r/>
          </w:p>
          <w:p>
            <w:pPr>
              <w:pStyle w:val="1005"/>
              <w:ind w:left="57" w:right="57"/>
            </w:pPr>
            <w:r>
              <w:t xml:space="preserve">В соответствии с </w:t>
            </w:r>
            <w:r>
              <w:t xml:space="preserve">SUFD-73433 </w:t>
            </w:r>
            <w:r>
              <w:t xml:space="preserve">(</w:t>
            </w:r>
            <w:r>
              <w:t xml:space="preserve">SUFD-79606</w:t>
            </w:r>
            <w:r>
              <w:t xml:space="preserve">)</w:t>
            </w:r>
            <w:r>
              <w:t xml:space="preserve"> актуал</w:t>
            </w:r>
            <w:r>
              <w:t xml:space="preserve">и</w:t>
            </w:r>
            <w:r>
              <w:t xml:space="preserve">зированы п</w:t>
            </w:r>
            <w:r>
              <w:t xml:space="preserve">п</w:t>
            </w:r>
            <w:r>
              <w:t xml:space="preserve">. </w:t>
            </w:r>
            <w:r>
              <w:fldChar w:fldCharType="begin"/>
            </w:r>
            <w:r>
              <w:instrText xml:space="preserve"> REF _Ref373061971 \r \h </w:instrText>
            </w:r>
            <w:r>
              <w:fldChar w:fldCharType="separate"/>
            </w:r>
            <w:r>
              <w:t xml:space="preserve">5.1.10</w:t>
            </w:r>
            <w:r>
              <w:fldChar w:fldCharType="end"/>
            </w:r>
            <w:r>
              <w:t xml:space="preserve">,</w:t>
            </w:r>
            <w:r>
              <w:t xml:space="preserve"> </w:t>
            </w:r>
            <w:r>
              <w:fldChar w:fldCharType="begin"/>
            </w:r>
            <w:r>
              <w:instrText xml:space="preserve"> REF _Ref420330774 \r \h </w:instrText>
            </w:r>
            <w:r>
              <w:fldChar w:fldCharType="separate"/>
            </w:r>
            <w:r>
              <w:t xml:space="preserve">5.1.13</w:t>
            </w:r>
            <w:r>
              <w:fldChar w:fldCharType="end"/>
            </w:r>
            <w:r>
              <w:t xml:space="preserve">,</w:t>
            </w:r>
            <w:r>
              <w:t xml:space="preserve"> </w:t>
            </w:r>
            <w:r>
              <w:fldChar w:fldCharType="begin"/>
            </w:r>
            <w:r>
              <w:instrText xml:space="preserve"> REF _Ref357697219 \r \h </w:instrText>
            </w:r>
            <w:r>
              <w:fldChar w:fldCharType="separate"/>
            </w:r>
            <w:r>
              <w:t xml:space="preserve">5.1.14</w:t>
            </w:r>
            <w:r>
              <w:fldChar w:fldCharType="end"/>
            </w:r>
            <w:r>
              <w:t xml:space="preserve">, </w:t>
            </w:r>
            <w:r>
              <w:fldChar w:fldCharType="begin"/>
            </w:r>
            <w:r>
              <w:instrText xml:space="preserve"> REF _Ref431565846 \r \h </w:instrText>
            </w:r>
            <w:r>
              <w:fldChar w:fldCharType="separate"/>
            </w:r>
            <w:r>
              <w:t xml:space="preserve">5.1.15</w:t>
            </w:r>
            <w:r>
              <w:fldChar w:fldCharType="end"/>
            </w:r>
            <w:r>
              <w:t xml:space="preserve">, </w:t>
            </w:r>
            <w:r>
              <w:fldChar w:fldCharType="begin"/>
            </w:r>
            <w:r>
              <w:instrText xml:space="preserve"> REF _Ref435196999 \r \h </w:instrText>
            </w:r>
            <w:r>
              <w:fldChar w:fldCharType="separate"/>
            </w:r>
            <w:r>
              <w:t xml:space="preserve">5.7.3</w:t>
            </w:r>
            <w:r>
              <w:fldChar w:fldCharType="end"/>
            </w:r>
            <w:r>
              <w:t xml:space="preserve">, добавлен п. </w:t>
            </w:r>
            <w:r>
              <w:fldChar w:fldCharType="begin"/>
            </w:r>
            <w:r>
              <w:instrText xml:space="preserve"> REF _Ref318206870 \r \h </w:instrText>
            </w:r>
            <w:r>
              <w:fldChar w:fldCharType="separate"/>
            </w:r>
            <w:r>
              <w:t xml:space="preserve">5.7.5</w:t>
            </w:r>
            <w:r>
              <w:fldChar w:fldCharType="end"/>
            </w:r>
            <w:r>
              <w:t xml:space="preserve">.</w:t>
            </w:r>
            <w:r/>
          </w:p>
          <w:p>
            <w:pPr>
              <w:pStyle w:val="1005"/>
              <w:ind w:left="57" w:right="57"/>
            </w:pPr>
            <w:r>
              <w:t xml:space="preserve">В соответствии с RFC-30272</w:t>
            </w:r>
            <w:r>
              <w:t xml:space="preserve"> актуализирован п. </w:t>
            </w:r>
            <w:r>
              <w:fldChar w:fldCharType="begin"/>
            </w:r>
            <w:r>
              <w:instrText xml:space="preserve"> REF _Ref433107350 \r \h </w:instrText>
            </w:r>
            <w:r>
              <w:fldChar w:fldCharType="separate"/>
            </w:r>
            <w:r>
              <w:t xml:space="preserve">5.9.3</w:t>
            </w:r>
            <w:r>
              <w:fldChar w:fldCharType="end"/>
            </w:r>
            <w:r>
              <w:t xml:space="preserve">.</w:t>
            </w:r>
            <w:r/>
          </w:p>
        </w:tc>
      </w:tr>
      <w:tr>
        <w:trPr/>
        <w:tc>
          <w:tcPr>
            <w:shd w:val="clear" w:fill="auto" w:color="auto"/>
            <w:tcW w:w="412" w:type="pct"/>
            <w:textDirection w:val="lrTb"/>
            <w:noWrap w:val="false"/>
          </w:tcPr>
          <w:p>
            <w:pPr>
              <w:pStyle w:val="1005"/>
              <w:ind w:left="57" w:right="57"/>
            </w:pPr>
            <w:r>
              <w:t xml:space="preserve">9.0</w:t>
            </w:r>
            <w:r/>
          </w:p>
        </w:tc>
        <w:tc>
          <w:tcPr>
            <w:shd w:val="clear" w:fill="auto" w:color="auto"/>
            <w:tcW w:w="635" w:type="pct"/>
            <w:textDirection w:val="lrTb"/>
            <w:noWrap w:val="false"/>
          </w:tcPr>
          <w:p>
            <w:pPr>
              <w:pStyle w:val="1005"/>
              <w:ind w:left="57" w:right="57"/>
            </w:pPr>
            <w:r>
              <w:t xml:space="preserve">11</w:t>
            </w:r>
            <w:r>
              <w:t xml:space="preserve">.12</w:t>
            </w:r>
            <w:r>
              <w:t xml:space="preserve">.2015</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RFC-30</w:t>
            </w:r>
            <w:r>
              <w:t xml:space="preserve">591</w:t>
            </w:r>
            <w:r>
              <w:t xml:space="preserve"> актуализирован</w:t>
            </w:r>
            <w:r>
              <w:t xml:space="preserve"> п. </w:t>
            </w:r>
            <w:r>
              <w:fldChar w:fldCharType="begin"/>
            </w:r>
            <w:r>
              <w:instrText xml:space="preserve"> REF _Ref434242746 \r \h </w:instrText>
            </w:r>
            <w:r>
              <w:fldChar w:fldCharType="separate"/>
            </w:r>
            <w:r>
              <w:t xml:space="preserve">5.11.1</w:t>
            </w:r>
            <w:r>
              <w:fldChar w:fldCharType="end"/>
            </w:r>
            <w:r>
              <w:t xml:space="preserve">.</w:t>
            </w:r>
            <w:r/>
          </w:p>
          <w:p>
            <w:pPr>
              <w:pStyle w:val="1005"/>
              <w:ind w:left="57" w:right="57"/>
            </w:pPr>
            <w:r>
              <w:t xml:space="preserve">В соответствии с SUFD-80094 (SUFD-80873) актуализированы п</w:t>
            </w:r>
            <w:r>
              <w:t xml:space="preserve">п</w:t>
            </w:r>
            <w:r>
              <w:t xml:space="preserve">.</w:t>
            </w:r>
            <w:r>
              <w:t xml:space="preserve"> </w:t>
            </w:r>
            <w:r>
              <w:fldChar w:fldCharType="begin"/>
            </w:r>
            <w:r>
              <w:instrText xml:space="preserve"> REF _Ref414952720 \r \h </w:instrText>
            </w:r>
            <w:r>
              <w:fldChar w:fldCharType="separate"/>
            </w:r>
            <w:r>
              <w:t xml:space="preserve">5.2.1</w:t>
            </w:r>
            <w:r>
              <w:fldChar w:fldCharType="end"/>
            </w:r>
            <w:r>
              <w:t xml:space="preserve">, </w:t>
            </w:r>
            <w:r>
              <w:fldChar w:fldCharType="begin"/>
            </w:r>
            <w:r>
              <w:instrText xml:space="preserve"> REF _Ref414952713 \r \h </w:instrText>
            </w:r>
            <w:r>
              <w:fldChar w:fldCharType="separate"/>
            </w:r>
            <w:r>
              <w:t xml:space="preserve">5.2.2</w:t>
            </w:r>
            <w:r>
              <w:fldChar w:fldCharType="end"/>
            </w:r>
            <w:r>
              <w:t xml:space="preserve">.</w:t>
            </w:r>
            <w:r/>
          </w:p>
          <w:p>
            <w:pPr>
              <w:pStyle w:val="1005"/>
              <w:ind w:left="57" w:right="57"/>
            </w:pPr>
            <w:r>
              <w:t xml:space="preserve">В соответствии с SUFD-</w:t>
            </w:r>
            <w:r>
              <w:t xml:space="preserve">80360</w:t>
            </w:r>
            <w:r>
              <w:t xml:space="preserve"> (SUFD-</w:t>
            </w:r>
            <w:r>
              <w:t xml:space="preserve">81055</w:t>
            </w:r>
            <w:r>
              <w:t xml:space="preserve">)</w:t>
            </w:r>
            <w:r>
              <w:t xml:space="preserve"> актуал</w:t>
            </w:r>
            <w:r>
              <w:t xml:space="preserve">и</w:t>
            </w:r>
            <w:r>
              <w:t xml:space="preserve">зированы п</w:t>
            </w:r>
            <w:r>
              <w:t xml:space="preserve">п</w:t>
            </w:r>
            <w:r>
              <w:t xml:space="preserve">. </w:t>
            </w:r>
            <w:r>
              <w:fldChar w:fldCharType="begin"/>
            </w:r>
            <w:r>
              <w:instrText xml:space="preserve"> REF _Ref435183198 \r \h </w:instrText>
            </w:r>
            <w:r>
              <w:fldChar w:fldCharType="separate"/>
            </w:r>
            <w:r>
              <w:t xml:space="preserve">5.7.1</w:t>
            </w:r>
            <w:r>
              <w:fldChar w:fldCharType="end"/>
            </w:r>
            <w:r>
              <w:t xml:space="preserve">, </w:t>
            </w:r>
            <w:r>
              <w:fldChar w:fldCharType="begin"/>
            </w:r>
            <w:r>
              <w:instrText xml:space="preserve"> REF _Ref435183208 \r \h </w:instrText>
            </w:r>
            <w:r>
              <w:fldChar w:fldCharType="separate"/>
            </w:r>
            <w:r>
              <w:t xml:space="preserve">5.7.2</w:t>
            </w:r>
            <w:r>
              <w:fldChar w:fldCharType="end"/>
            </w:r>
            <w:r>
              <w:t xml:space="preserve">.</w:t>
            </w:r>
            <w:r/>
          </w:p>
          <w:p>
            <w:pPr>
              <w:pStyle w:val="1005"/>
              <w:ind w:left="57" w:right="57"/>
            </w:pPr>
            <w:r>
              <w:t xml:space="preserve">В соответствии с SUFD-80901 (SUFD-81255)</w:t>
            </w:r>
            <w:r>
              <w:t xml:space="preserve"> </w:t>
            </w:r>
            <w:r>
              <w:t xml:space="preserve">актуализирован п.</w:t>
            </w:r>
            <w:r>
              <w:t xml:space="preserve"> </w:t>
            </w:r>
            <w:r>
              <w:fldChar w:fldCharType="begin"/>
            </w:r>
            <w:r>
              <w:instrText xml:space="preserve"> REF _Ref435196999 \r \h </w:instrText>
            </w:r>
            <w:r>
              <w:fldChar w:fldCharType="separate"/>
            </w:r>
            <w:r>
              <w:t xml:space="preserve">5.7.3</w:t>
            </w:r>
            <w:r>
              <w:fldChar w:fldCharType="end"/>
            </w:r>
            <w:r>
              <w:t xml:space="preserve">.</w:t>
            </w:r>
            <w:r/>
          </w:p>
          <w:p>
            <w:pPr>
              <w:pStyle w:val="1005"/>
              <w:ind w:left="57" w:right="57"/>
            </w:pPr>
            <w:r>
              <w:t xml:space="preserve">В соответствии с </w:t>
            </w:r>
            <w:r>
              <w:t xml:space="preserve">SUFD-</w:t>
            </w:r>
            <w:r>
              <w:t xml:space="preserve">811</w:t>
            </w:r>
            <w:r>
              <w:t xml:space="preserve">73 </w:t>
            </w:r>
            <w:r>
              <w:t xml:space="preserve">(</w:t>
            </w:r>
            <w:r>
              <w:t xml:space="preserve">SUFD-81310</w:t>
            </w:r>
            <w:r>
              <w:t xml:space="preserve">)</w:t>
            </w:r>
            <w:r>
              <w:t xml:space="preserve"> актуал</w:t>
            </w:r>
            <w:r>
              <w:t xml:space="preserve">и</w:t>
            </w:r>
            <w:r>
              <w:t xml:space="preserve">зированы </w:t>
            </w:r>
            <w:r>
              <w:t xml:space="preserve">п</w:t>
            </w:r>
            <w:r>
              <w:t xml:space="preserve">п. </w:t>
            </w:r>
            <w:r>
              <w:fldChar w:fldCharType="begin"/>
            </w:r>
            <w:r>
              <w:instrText xml:space="preserve"> REF _Ref357697219 \r \h </w:instrText>
            </w:r>
            <w:r>
              <w:fldChar w:fldCharType="separate"/>
            </w:r>
            <w:r>
              <w:t xml:space="preserve">5.1.14</w:t>
            </w:r>
            <w:r>
              <w:fldChar w:fldCharType="end"/>
            </w:r>
            <w:r>
              <w:t xml:space="preserve">, </w:t>
            </w:r>
            <w:r>
              <w:fldChar w:fldCharType="begin"/>
            </w:r>
            <w:r>
              <w:instrText xml:space="preserve"> REF _Ref431565846 \r \h </w:instrText>
            </w:r>
            <w:r>
              <w:fldChar w:fldCharType="separate"/>
            </w:r>
            <w:r>
              <w:t xml:space="preserve">5.1.15</w:t>
            </w:r>
            <w:r>
              <w:fldChar w:fldCharType="end"/>
            </w:r>
            <w:r>
              <w:t xml:space="preserve">.</w:t>
            </w:r>
            <w:r/>
          </w:p>
          <w:p>
            <w:pPr>
              <w:pStyle w:val="1005"/>
              <w:ind w:left="57" w:right="57"/>
            </w:pPr>
            <w:r>
              <w:t xml:space="preserve">В соответствии с </w:t>
            </w:r>
            <w:r>
              <w:t xml:space="preserve">SUFD-80544</w:t>
            </w:r>
            <w:r>
              <w:t xml:space="preserve"> </w:t>
            </w:r>
            <w:r>
              <w:t xml:space="preserve">(</w:t>
            </w:r>
            <w:r>
              <w:t xml:space="preserve">SUFD-81311</w:t>
            </w:r>
            <w:r>
              <w:t xml:space="preserve">) актуализированы </w:t>
            </w:r>
            <w:r>
              <w:t xml:space="preserve">п</w:t>
            </w:r>
            <w:r>
              <w:t xml:space="preserve">п. </w:t>
            </w:r>
            <w:r>
              <w:fldChar w:fldCharType="begin"/>
            </w:r>
            <w:r>
              <w:instrText xml:space="preserve"> REF _Ref435183198 \r \h </w:instrText>
            </w:r>
            <w:r>
              <w:fldChar w:fldCharType="separate"/>
            </w:r>
            <w:r>
              <w:t xml:space="preserve">5.7.1</w:t>
            </w:r>
            <w:r>
              <w:fldChar w:fldCharType="end"/>
            </w:r>
            <w:r>
              <w:t xml:space="preserve">, </w:t>
            </w:r>
            <w:r>
              <w:fldChar w:fldCharType="begin"/>
            </w:r>
            <w:r>
              <w:instrText xml:space="preserve"> REF _Ref435183208 \r \h </w:instrText>
            </w:r>
            <w:r>
              <w:fldChar w:fldCharType="separate"/>
            </w:r>
            <w:r>
              <w:t xml:space="preserve">5.7.2</w:t>
            </w:r>
            <w:r>
              <w:fldChar w:fldCharType="end"/>
            </w:r>
            <w:r>
              <w:t xml:space="preserve">.</w:t>
            </w:r>
            <w:r/>
          </w:p>
          <w:p>
            <w:pPr>
              <w:pStyle w:val="1005"/>
              <w:ind w:left="57" w:right="57"/>
            </w:pPr>
            <w:r>
              <w:t xml:space="preserve">В соответствии с SUFD-79501 (SUFD-79652) актуализирован п.</w:t>
            </w:r>
            <w:r>
              <w:t xml:space="preserve"> </w:t>
            </w:r>
            <w:r>
              <w:rPr>
                <w:color w:val="000000"/>
              </w:rPr>
              <w:t xml:space="preserve">5.10.2.3</w:t>
            </w:r>
            <w:r>
              <w:t xml:space="preserve">.</w:t>
            </w:r>
            <w:r/>
          </w:p>
          <w:p>
            <w:pPr>
              <w:pStyle w:val="1005"/>
              <w:ind w:left="57" w:right="57"/>
            </w:pPr>
            <w:r>
              <w:t xml:space="preserve">В соответствии с SUFD-73819 (SUFD-81324</w:t>
            </w:r>
            <w:r>
              <w:t xml:space="preserve">;</w:t>
            </w:r>
            <w:r>
              <w:t xml:space="preserve"> </w:t>
            </w:r>
            <w:r>
              <w:t xml:space="preserve">SUFD-81353</w:t>
            </w:r>
            <w:r>
              <w:t xml:space="preserve">;</w:t>
            </w:r>
            <w:r>
              <w:t xml:space="preserve"> SUFD-81326</w:t>
            </w:r>
            <w:r>
              <w:t xml:space="preserve">, </w:t>
            </w:r>
            <w:r>
              <w:t xml:space="preserve">SUFD-</w:t>
            </w:r>
            <w:r>
              <w:t xml:space="preserve">81358</w:t>
            </w:r>
            <w:r>
              <w:t xml:space="preserve">; SUFD-81328</w:t>
            </w:r>
            <w:r>
              <w:t xml:space="preserve">)</w:t>
            </w:r>
            <w:r>
              <w:t xml:space="preserve"> добавлен п. </w:t>
            </w:r>
            <w:r>
              <w:fldChar w:fldCharType="begin"/>
            </w:r>
            <w:r>
              <w:instrText xml:space="preserve"> REF _Ref435696975 \r \h </w:instrText>
            </w:r>
            <w:r>
              <w:fldChar w:fldCharType="separate"/>
            </w:r>
            <w:r>
              <w:t xml:space="preserve">5.1.16</w:t>
            </w:r>
            <w:r>
              <w:fldChar w:fldCharType="end"/>
            </w:r>
            <w:r>
              <w:t xml:space="preserve">;</w:t>
            </w:r>
            <w:r>
              <w:t xml:space="preserve"> актуализирован</w:t>
            </w:r>
            <w:r>
              <w:t xml:space="preserve">ы</w:t>
            </w:r>
            <w:r>
              <w:t xml:space="preserve"> </w:t>
            </w:r>
            <w:r>
              <w:t xml:space="preserve">п</w:t>
            </w:r>
            <w:r>
              <w:t xml:space="preserve">п. </w:t>
            </w:r>
            <w:r>
              <w:fldChar w:fldCharType="begin"/>
            </w:r>
            <w:r>
              <w:instrText xml:space="preserve"> REF _Ref436208810 \r \h </w:instrText>
            </w:r>
            <w:r>
              <w:fldChar w:fldCharType="separate"/>
            </w:r>
            <w:r>
              <w:t xml:space="preserve">5.1.1</w:t>
            </w:r>
            <w:r>
              <w:fldChar w:fldCharType="end"/>
            </w:r>
            <w:r>
              <w:t xml:space="preserve">; </w:t>
            </w:r>
            <w:r>
              <w:fldChar w:fldCharType="begin"/>
            </w:r>
            <w:r>
              <w:instrText xml:space="preserve"> REF _Ref420330774 \r \h </w:instrText>
            </w:r>
            <w:r>
              <w:fldChar w:fldCharType="separate"/>
            </w:r>
            <w:r>
              <w:t xml:space="preserve">5.1.13</w:t>
            </w:r>
            <w:r>
              <w:fldChar w:fldCharType="end"/>
            </w:r>
            <w:r>
              <w:t xml:space="preserve">; </w:t>
            </w:r>
            <w:r>
              <w:fldChar w:fldCharType="begin"/>
            </w:r>
            <w:r>
              <w:instrText xml:space="preserve"> REF _Ref357697219 \r \h </w:instrText>
            </w:r>
            <w:r>
              <w:fldChar w:fldCharType="separate"/>
            </w:r>
            <w:r>
              <w:t xml:space="preserve">5.1.14</w:t>
            </w:r>
            <w:r>
              <w:fldChar w:fldCharType="end"/>
            </w:r>
            <w:r>
              <w:t xml:space="preserve">, </w:t>
            </w:r>
            <w:r>
              <w:fldChar w:fldCharType="begin"/>
            </w:r>
            <w:r>
              <w:instrText xml:space="preserve"> REF _Ref436062316 \r \h </w:instrText>
            </w:r>
            <w:r>
              <w:fldChar w:fldCharType="separate"/>
            </w:r>
            <w:r>
              <w:t xml:space="preserve">5.1.15</w:t>
            </w:r>
            <w:r>
              <w:fldChar w:fldCharType="end"/>
            </w:r>
            <w:r>
              <w:t xml:space="preserve">.</w:t>
            </w:r>
            <w:r/>
          </w:p>
          <w:p>
            <w:pPr>
              <w:pStyle w:val="1005"/>
              <w:ind w:left="57" w:right="57"/>
            </w:pPr>
            <w:r>
              <w:t xml:space="preserve">В соответствии с SUFD-75116 (</w:t>
            </w:r>
            <w:r>
              <w:t xml:space="preserve">SUFD-8172</w:t>
            </w:r>
            <w:r>
              <w:t xml:space="preserve">1</w:t>
            </w:r>
            <w:r>
              <w:t xml:space="preserve">, SUFD-81722, </w:t>
            </w:r>
            <w:r>
              <w:t xml:space="preserve">SUFD-81730, </w:t>
            </w:r>
            <w:r>
              <w:t xml:space="preserve">SUFD-81726) актуализирован</w:t>
            </w:r>
            <w:r>
              <w:t xml:space="preserve">ы</w:t>
            </w:r>
            <w:r>
              <w:t xml:space="preserve"> </w:t>
            </w:r>
            <w:r>
              <w:t xml:space="preserve">п</w:t>
            </w:r>
            <w:r>
              <w:t xml:space="preserve">п.</w:t>
            </w:r>
            <w:r>
              <w:t xml:space="preserve"> </w:t>
            </w:r>
            <w:r>
              <w:fldChar w:fldCharType="begin"/>
            </w:r>
            <w:r>
              <w:instrText xml:space="preserve"> REF _Ref436664244 \r \h </w:instrText>
            </w:r>
            <w:r>
              <w:fldChar w:fldCharType="separate"/>
            </w:r>
            <w:r>
              <w:t xml:space="preserve">5.1.1</w:t>
            </w:r>
            <w:r>
              <w:fldChar w:fldCharType="end"/>
            </w:r>
            <w:r>
              <w:t xml:space="preserve">, </w:t>
            </w:r>
            <w:r>
              <w:fldChar w:fldCharType="begin"/>
            </w:r>
            <w:r>
              <w:instrText xml:space="preserve"> REF _Ref359521322 \r \h </w:instrText>
            </w:r>
            <w:r>
              <w:fldChar w:fldCharType="separate"/>
            </w:r>
            <w:r>
              <w:t xml:space="preserve">5.1.2</w:t>
            </w:r>
            <w:r>
              <w:fldChar w:fldCharType="end"/>
            </w:r>
            <w:r>
              <w:t xml:space="preserve">, </w:t>
            </w:r>
            <w:r>
              <w:fldChar w:fldCharType="begin"/>
            </w:r>
            <w:r>
              <w:instrText xml:space="preserve"> REF _Ref365452935 \r \h </w:instrText>
            </w:r>
            <w:r>
              <w:fldChar w:fldCharType="separate"/>
            </w:r>
            <w:r>
              <w:t xml:space="preserve">5.1.3</w:t>
            </w:r>
            <w:r>
              <w:fldChar w:fldCharType="end"/>
            </w:r>
            <w:r>
              <w:t xml:space="preserve">, </w:t>
            </w:r>
            <w:r>
              <w:fldChar w:fldCharType="begin"/>
            </w:r>
            <w:r>
              <w:instrText xml:space="preserve"> REF _Ref435196999 \r \h </w:instrText>
            </w:r>
            <w:r>
              <w:fldChar w:fldCharType="separate"/>
            </w:r>
            <w:r>
              <w:t xml:space="preserve">5.7.3</w:t>
            </w:r>
            <w:r>
              <w:fldChar w:fldCharType="end"/>
            </w:r>
            <w:r>
              <w:t xml:space="preserve">.</w:t>
            </w:r>
            <w:r/>
          </w:p>
          <w:p>
            <w:pPr>
              <w:pStyle w:val="1005"/>
              <w:ind w:left="57" w:right="57"/>
            </w:pPr>
            <w:r>
              <w:t xml:space="preserve">В соответствии с</w:t>
            </w:r>
            <w:r>
              <w:t xml:space="preserve"> </w:t>
            </w:r>
            <w:r>
              <w:t xml:space="preserve">SUFD-79739</w:t>
            </w:r>
            <w:r>
              <w:t xml:space="preserve"> (</w:t>
            </w:r>
            <w:r>
              <w:t xml:space="preserve">SUFD-82205</w:t>
            </w:r>
            <w:r>
              <w:t xml:space="preserve">, </w:t>
            </w:r>
            <w:r>
              <w:t xml:space="preserve">SUFD-82206, </w:t>
            </w:r>
            <w:r>
              <w:t xml:space="preserve">SUFD-82202</w:t>
            </w:r>
            <w:r>
              <w:t xml:space="preserve">, </w:t>
            </w:r>
            <w:r>
              <w:t xml:space="preserve">SUFD-82263</w:t>
            </w:r>
            <w:r>
              <w:t xml:space="preserve">, </w:t>
            </w:r>
            <w:r>
              <w:t xml:space="preserve">SUFD-82225, </w:t>
            </w:r>
            <w:r>
              <w:t xml:space="preserve">SUFD-82208, </w:t>
            </w:r>
            <w:r>
              <w:t xml:space="preserve">SUFD-82207</w:t>
            </w:r>
            <w:r>
              <w:t xml:space="preserve">) актуал</w:t>
            </w:r>
            <w:r>
              <w:t xml:space="preserve">и</w:t>
            </w:r>
            <w:r>
              <w:t xml:space="preserve">зированы </w:t>
            </w:r>
            <w:r>
              <w:t xml:space="preserve">п</w:t>
            </w:r>
            <w:r>
              <w:t xml:space="preserve">п.</w:t>
            </w:r>
            <w:r>
              <w:t xml:space="preserve"> </w:t>
            </w:r>
            <w:r>
              <w:fldChar w:fldCharType="begin"/>
            </w:r>
            <w:r>
              <w:instrText xml:space="preserve"> REF _Ref420320397 \r \h </w:instrText>
            </w:r>
            <w:r>
              <w:fldChar w:fldCharType="separate"/>
            </w:r>
            <w:r>
              <w:t xml:space="preserve">5.3.3</w:t>
            </w:r>
            <w:r>
              <w:fldChar w:fldCharType="end"/>
            </w:r>
            <w:r>
              <w:t xml:space="preserve">, </w:t>
            </w:r>
            <w:r>
              <w:fldChar w:fldCharType="begin"/>
            </w:r>
            <w:r>
              <w:instrText xml:space="preserve"> REF _Ref59718435 \r \h </w:instrText>
            </w:r>
            <w:r>
              <w:fldChar w:fldCharType="separate"/>
            </w:r>
            <w:r>
              <w:t xml:space="preserve">5.4.1</w:t>
            </w:r>
            <w:r>
              <w:fldChar w:fldCharType="end"/>
            </w:r>
            <w:r>
              <w:t xml:space="preserve">, </w:t>
            </w:r>
            <w:r>
              <w:fldChar w:fldCharType="begin"/>
            </w:r>
            <w:r>
              <w:instrText xml:space="preserve"> REF _Ref436664244 \r \h </w:instrText>
            </w:r>
            <w:r>
              <w:fldChar w:fldCharType="separate"/>
            </w:r>
            <w:r>
              <w:t xml:space="preserve">5.1.1</w:t>
            </w:r>
            <w:r>
              <w:fldChar w:fldCharType="end"/>
            </w:r>
            <w:r>
              <w:t xml:space="preserve">, </w:t>
            </w:r>
            <w:r>
              <w:fldChar w:fldCharType="begin"/>
            </w:r>
            <w:r>
              <w:instrText xml:space="preserve"> REF _Ref359521322 \r \h </w:instrText>
            </w:r>
            <w:r>
              <w:fldChar w:fldCharType="separate"/>
            </w:r>
            <w:r>
              <w:t xml:space="preserve">5.1.2</w:t>
            </w:r>
            <w:r>
              <w:fldChar w:fldCharType="end"/>
            </w:r>
            <w:r>
              <w:t xml:space="preserve">, </w:t>
            </w:r>
            <w:r>
              <w:fldChar w:fldCharType="begin"/>
            </w:r>
            <w:r>
              <w:instrText xml:space="preserve"> REF _Ref420330774 \r \h </w:instrText>
            </w:r>
            <w:r>
              <w:fldChar w:fldCharType="separate"/>
            </w:r>
            <w:r>
              <w:t xml:space="preserve">5.1.13</w:t>
            </w:r>
            <w:r>
              <w:fldChar w:fldCharType="end"/>
            </w:r>
            <w:r>
              <w:t xml:space="preserve">, </w:t>
            </w:r>
            <w:r>
              <w:fldChar w:fldCharType="begin"/>
            </w:r>
            <w:r>
              <w:instrText xml:space="preserve"> REF _Ref437598224 \r \h </w:instrText>
            </w:r>
            <w:r>
              <w:fldChar w:fldCharType="separate"/>
            </w:r>
            <w:r>
              <w:t xml:space="preserve">5.7.1</w:t>
            </w:r>
            <w:r>
              <w:fldChar w:fldCharType="end"/>
            </w:r>
            <w:r>
              <w:t xml:space="preserve">, </w:t>
            </w:r>
            <w:r>
              <w:fldChar w:fldCharType="begin"/>
            </w:r>
            <w:r>
              <w:instrText xml:space="preserve"> REF _Ref437591857 \r \h </w:instrText>
            </w:r>
            <w:r>
              <w:fldChar w:fldCharType="separate"/>
            </w:r>
            <w:r>
              <w:t xml:space="preserve">5.7.2</w:t>
            </w:r>
            <w:r>
              <w:fldChar w:fldCharType="end"/>
            </w:r>
            <w:r>
              <w:t xml:space="preserve">.</w:t>
            </w:r>
            <w:r/>
          </w:p>
        </w:tc>
      </w:tr>
      <w:tr>
        <w:trPr/>
        <w:tc>
          <w:tcPr>
            <w:shd w:val="clear" w:fill="auto" w:color="auto"/>
            <w:tcW w:w="412" w:type="pct"/>
            <w:textDirection w:val="lrTb"/>
            <w:noWrap w:val="false"/>
          </w:tcPr>
          <w:p>
            <w:pPr>
              <w:pStyle w:val="1005"/>
              <w:ind w:left="57" w:right="57"/>
            </w:pPr>
            <w:r>
              <w:t xml:space="preserve">9.1</w:t>
            </w:r>
            <w:r/>
          </w:p>
        </w:tc>
        <w:tc>
          <w:tcPr>
            <w:shd w:val="clear" w:fill="auto" w:color="auto"/>
            <w:tcW w:w="635" w:type="pct"/>
            <w:textDirection w:val="lrTb"/>
            <w:noWrap w:val="false"/>
          </w:tcPr>
          <w:p>
            <w:pPr>
              <w:pStyle w:val="1005"/>
              <w:ind w:left="57" w:right="57"/>
            </w:pPr>
            <w:r>
              <w:t xml:space="preserve">22</w:t>
            </w:r>
            <w:r>
              <w:t xml:space="preserve">.12.2015</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SUFD-79739 (</w:t>
            </w:r>
            <w:r>
              <w:t xml:space="preserve">SUFD-82226, </w:t>
            </w:r>
            <w:r>
              <w:t xml:space="preserve">SUFD-82210</w:t>
            </w:r>
            <w:r>
              <w:t xml:space="preserve">, </w:t>
            </w:r>
            <w:r>
              <w:t xml:space="preserve">SUFD-8223</w:t>
            </w:r>
            <w:r>
              <w:t xml:space="preserve">0</w:t>
            </w:r>
            <w:r>
              <w:t xml:space="preserve">, SUFD-82231, </w:t>
            </w:r>
            <w:r>
              <w:t xml:space="preserve">SUFD-82234, </w:t>
            </w:r>
            <w:r>
              <w:t xml:space="preserve">SUFD-82232</w:t>
            </w:r>
            <w:r>
              <w:t xml:space="preserve">, </w:t>
            </w:r>
            <w:r>
              <w:t xml:space="preserve">SUFD-8223</w:t>
            </w:r>
            <w:r>
              <w:t xml:space="preserve">3</w:t>
            </w:r>
            <w:r>
              <w:t xml:space="preserve">, </w:t>
            </w:r>
            <w:r>
              <w:t xml:space="preserve">SUFD-82229</w:t>
            </w:r>
            <w:r>
              <w:t xml:space="preserve">)</w:t>
            </w:r>
            <w:r>
              <w:t xml:space="preserve"> </w:t>
            </w:r>
            <w:r>
              <w:t xml:space="preserve">актуализирован</w:t>
            </w:r>
            <w:r>
              <w:t xml:space="preserve">ы</w:t>
            </w:r>
            <w:r>
              <w:t xml:space="preserve"> </w:t>
            </w:r>
            <w:r>
              <w:t xml:space="preserve">п</w:t>
            </w:r>
            <w:r>
              <w:t xml:space="preserve">п.</w:t>
            </w:r>
            <w:r>
              <w:t xml:space="preserve"> </w:t>
            </w:r>
            <w:r>
              <w:fldChar w:fldCharType="begin"/>
            </w:r>
            <w:r>
              <w:instrText xml:space="preserve"> REF _Ref419282140 \r \h </w:instrText>
            </w:r>
            <w:r>
              <w:fldChar w:fldCharType="separate"/>
            </w:r>
            <w:r>
              <w:t xml:space="preserve">5.3.1</w:t>
            </w:r>
            <w:r>
              <w:fldChar w:fldCharType="end"/>
            </w:r>
            <w:r>
              <w:t xml:space="preserve">, </w:t>
            </w:r>
            <w:r>
              <w:fldChar w:fldCharType="begin"/>
            </w:r>
            <w:r>
              <w:instrText xml:space="preserve"> REF _Ref468884232 \r \h </w:instrText>
            </w:r>
            <w:r>
              <w:fldChar w:fldCharType="separate"/>
            </w:r>
            <w:r>
              <w:t xml:space="preserve">5.5.2</w:t>
            </w:r>
            <w:r>
              <w:fldChar w:fldCharType="end"/>
            </w:r>
            <w:r>
              <w:t xml:space="preserve">, </w:t>
            </w:r>
            <w:r>
              <w:fldChar w:fldCharType="begin"/>
            </w:r>
            <w:r>
              <w:instrText xml:space="preserve"> REF _Ref365452935 \r \h </w:instrText>
            </w:r>
            <w:r>
              <w:fldChar w:fldCharType="separate"/>
            </w:r>
            <w:r>
              <w:t xml:space="preserve">5.1.3</w:t>
            </w:r>
            <w:r>
              <w:fldChar w:fldCharType="end"/>
            </w:r>
            <w:r>
              <w:t xml:space="preserve">, </w:t>
            </w:r>
            <w:r>
              <w:fldChar w:fldCharType="begin"/>
            </w:r>
            <w:r>
              <w:instrText xml:space="preserve"> REF _Ref438542245 \r \h </w:instrText>
            </w:r>
            <w:r>
              <w:fldChar w:fldCharType="separate"/>
            </w:r>
            <w:r>
              <w:t xml:space="preserve">5.1.4</w:t>
            </w:r>
            <w:r>
              <w:fldChar w:fldCharType="end"/>
            </w:r>
            <w:r>
              <w:t xml:space="preserve">, </w:t>
            </w:r>
            <w:r>
              <w:fldChar w:fldCharType="begin"/>
            </w:r>
            <w:r>
              <w:instrText xml:space="preserve"> REF _Ref438657195 \r \h </w:instrText>
            </w:r>
            <w:r>
              <w:fldChar w:fldCharType="separate"/>
            </w:r>
            <w:r>
              <w:t xml:space="preserve">5.1.5</w:t>
            </w:r>
            <w:r>
              <w:fldChar w:fldCharType="end"/>
            </w:r>
            <w:r>
              <w:t xml:space="preserve">, </w:t>
            </w:r>
            <w:r>
              <w:fldChar w:fldCharType="begin"/>
            </w:r>
            <w:r>
              <w:instrText xml:space="preserve"> REF _Ref482629311 \r \h </w:instrText>
            </w:r>
            <w:r>
              <w:fldChar w:fldCharType="separate"/>
            </w:r>
            <w:r>
              <w:t xml:space="preserve">5.1.7</w:t>
            </w:r>
            <w:r>
              <w:fldChar w:fldCharType="end"/>
            </w:r>
            <w:r>
              <w:t xml:space="preserve">, </w:t>
            </w:r>
            <w:r>
              <w:fldChar w:fldCharType="begin"/>
            </w:r>
            <w:r>
              <w:instrText xml:space="preserve"> REF _Ref51937061 \r \h </w:instrText>
            </w:r>
            <w:r>
              <w:fldChar w:fldCharType="separate"/>
            </w:r>
            <w:r>
              <w:t xml:space="preserve">5.1.8</w:t>
            </w:r>
            <w:r>
              <w:fldChar w:fldCharType="end"/>
            </w:r>
            <w:r>
              <w:t xml:space="preserve">, </w:t>
            </w:r>
            <w:r>
              <w:fldChar w:fldCharType="begin"/>
            </w:r>
            <w:r>
              <w:instrText xml:space="preserve"> REF _Ref435196999 \r \h </w:instrText>
            </w:r>
            <w:r>
              <w:fldChar w:fldCharType="separate"/>
            </w:r>
            <w:r>
              <w:t xml:space="preserve">5.7.3</w:t>
            </w:r>
            <w:r>
              <w:fldChar w:fldCharType="end"/>
            </w:r>
            <w:r>
              <w:t xml:space="preserve">.</w:t>
            </w:r>
            <w:r>
              <w:t xml:space="preserve"> </w:t>
            </w:r>
            <w:r/>
          </w:p>
        </w:tc>
      </w:tr>
      <w:tr>
        <w:trPr/>
        <w:tc>
          <w:tcPr>
            <w:shd w:val="clear" w:fill="auto" w:color="auto"/>
            <w:tcW w:w="412" w:type="pct"/>
            <w:textDirection w:val="lrTb"/>
            <w:noWrap w:val="false"/>
          </w:tcPr>
          <w:p>
            <w:pPr>
              <w:pStyle w:val="1005"/>
              <w:ind w:left="57" w:right="57"/>
            </w:pPr>
            <w:r>
              <w:t xml:space="preserve">9.2</w:t>
            </w:r>
            <w:r/>
          </w:p>
        </w:tc>
        <w:tc>
          <w:tcPr>
            <w:shd w:val="clear" w:fill="auto" w:color="auto"/>
            <w:tcW w:w="635" w:type="pct"/>
            <w:textDirection w:val="lrTb"/>
            <w:noWrap w:val="false"/>
          </w:tcPr>
          <w:p>
            <w:pPr>
              <w:pStyle w:val="1005"/>
              <w:ind w:left="57" w:right="57"/>
            </w:pPr>
            <w:r>
              <w:t xml:space="preserve">09.02</w:t>
            </w:r>
            <w:r>
              <w:t xml:space="preserve">.2016</w:t>
            </w:r>
            <w:r/>
          </w:p>
        </w:tc>
        <w:tc>
          <w:tcPr>
            <w:shd w:val="clear" w:fill="auto" w:color="auto"/>
            <w:tcW w:w="1017" w:type="pct"/>
            <w:textDirection w:val="lrTb"/>
            <w:noWrap w:val="false"/>
          </w:tcPr>
          <w:p>
            <w:pPr>
              <w:pStyle w:val="1005"/>
              <w:ind w:left="57" w:right="57"/>
            </w:pPr>
            <w:r>
              <w:t xml:space="preserve">Иванова Н.Ю.</w:t>
            </w:r>
            <w:r/>
          </w:p>
        </w:tc>
        <w:tc>
          <w:tcPr>
            <w:shd w:val="clear" w:fill="auto" w:color="auto"/>
            <w:tcW w:w="2936" w:type="pct"/>
            <w:textDirection w:val="lrTb"/>
            <w:noWrap w:val="false"/>
          </w:tcPr>
          <w:p>
            <w:pPr>
              <w:pStyle w:val="1005"/>
              <w:ind w:left="57" w:right="57"/>
            </w:pPr>
            <w:r>
              <w:t xml:space="preserve">В соответствии с SUFD-79739 (</w:t>
            </w:r>
            <w:r>
              <w:t xml:space="preserve">SUFD-822</w:t>
            </w:r>
            <w:r>
              <w:t xml:space="preserve">48</w:t>
            </w:r>
            <w:r>
              <w:t xml:space="preserve">, </w:t>
            </w:r>
            <w:r>
              <w:t xml:space="preserve">SUFD-822</w:t>
            </w:r>
            <w:r>
              <w:t xml:space="preserve">21</w:t>
            </w:r>
            <w:r>
              <w:t xml:space="preserve">) </w:t>
            </w:r>
            <w:r>
              <w:t xml:space="preserve">актуализирован</w:t>
            </w:r>
            <w:r>
              <w:t xml:space="preserve">ы</w:t>
            </w:r>
            <w:r>
              <w:t xml:space="preserve"> </w:t>
            </w:r>
            <w:r>
              <w:t xml:space="preserve">п</w:t>
            </w:r>
            <w:r>
              <w:t xml:space="preserve">п.</w:t>
            </w:r>
            <w:r>
              <w:t xml:space="preserve"> </w:t>
            </w:r>
            <w:r>
              <w:fldChar w:fldCharType="begin"/>
            </w:r>
            <w:r>
              <w:instrText xml:space="preserve"> REF _Ref373061971 \r \h </w:instrText>
            </w:r>
            <w:r>
              <w:fldChar w:fldCharType="separate"/>
            </w:r>
            <w:r>
              <w:t xml:space="preserve">5.1.10</w:t>
            </w:r>
            <w:r>
              <w:fldChar w:fldCharType="end"/>
            </w:r>
            <w:r>
              <w:t xml:space="preserve">, </w:t>
            </w:r>
            <w:r>
              <w:fldChar w:fldCharType="begin"/>
            </w:r>
            <w:r>
              <w:instrText xml:space="preserve"> REF _Ref357699450 \r \h </w:instrText>
            </w:r>
            <w:r>
              <w:fldChar w:fldCharType="separate"/>
            </w:r>
            <w:r>
              <w:t xml:space="preserve">5.5.1</w:t>
            </w:r>
            <w:r>
              <w:fldChar w:fldCharType="end"/>
            </w:r>
            <w:r>
              <w:t xml:space="preserve">.</w:t>
            </w:r>
            <w:r/>
          </w:p>
          <w:p>
            <w:pPr>
              <w:pStyle w:val="1005"/>
              <w:ind w:left="57" w:right="57"/>
            </w:pPr>
            <w:r>
              <w:t xml:space="preserve">В соответствии с SUFD-</w:t>
            </w:r>
            <w:r>
              <w:t xml:space="preserve">82979</w:t>
            </w:r>
            <w:r>
              <w:t xml:space="preserve"> (SUFD-8</w:t>
            </w:r>
            <w:r>
              <w:t xml:space="preserve">3</w:t>
            </w:r>
            <w:r>
              <w:t xml:space="preserve">776</w:t>
            </w:r>
            <w:r>
              <w:t xml:space="preserve">) </w:t>
            </w:r>
            <w:r>
              <w:t xml:space="preserve">актуализирован п.</w:t>
            </w:r>
            <w:r>
              <w:t xml:space="preserve"> </w:t>
            </w:r>
            <w:r>
              <w:fldChar w:fldCharType="begin"/>
            </w:r>
            <w:r>
              <w:instrText xml:space="preserve"> REF _Ref373061971 \r \h </w:instrText>
            </w:r>
            <w:r>
              <w:fldChar w:fldCharType="separate"/>
            </w:r>
            <w:r>
              <w:t xml:space="preserve">5.1.10</w:t>
            </w:r>
            <w:r>
              <w:fldChar w:fldCharType="end"/>
            </w:r>
            <w:r>
              <w:t xml:space="preserve">.</w:t>
            </w:r>
            <w:r/>
          </w:p>
        </w:tc>
      </w:tr>
      <w:tr>
        <w:trPr/>
        <w:tc>
          <w:tcPr>
            <w:shd w:val="clear" w:fill="auto" w:color="auto"/>
            <w:tcW w:w="412" w:type="pct"/>
            <w:textDirection w:val="lrTb"/>
            <w:noWrap w:val="false"/>
          </w:tcPr>
          <w:p>
            <w:pPr>
              <w:pStyle w:val="1005"/>
              <w:ind w:left="57" w:right="57"/>
            </w:pPr>
            <w:r>
              <w:t xml:space="preserve">9.3</w:t>
            </w:r>
            <w:r/>
          </w:p>
        </w:tc>
        <w:tc>
          <w:tcPr>
            <w:shd w:val="clear" w:fill="auto" w:color="auto"/>
            <w:tcW w:w="635" w:type="pct"/>
            <w:textDirection w:val="lrTb"/>
            <w:noWrap w:val="false"/>
          </w:tcPr>
          <w:p>
            <w:pPr>
              <w:pStyle w:val="1005"/>
              <w:ind w:left="57" w:right="57"/>
            </w:pPr>
            <w:r>
              <w:t xml:space="preserve">1</w:t>
            </w:r>
            <w:r>
              <w:t xml:space="preserve">4</w:t>
            </w:r>
            <w:r>
              <w:t xml:space="preserve">.03</w:t>
            </w:r>
            <w:r>
              <w:t xml:space="preserve">.2016</w:t>
            </w:r>
            <w:r/>
          </w:p>
        </w:tc>
        <w:tc>
          <w:tcPr>
            <w:shd w:val="clear" w:fill="auto" w:color="auto"/>
            <w:tcW w:w="1017" w:type="pct"/>
            <w:textDirection w:val="lrTb"/>
            <w:noWrap w:val="false"/>
          </w:tcPr>
          <w:p>
            <w:pPr>
              <w:pStyle w:val="1005"/>
              <w:ind w:left="57" w:right="57"/>
            </w:pPr>
            <w:r>
              <w:t xml:space="preserve">Соколова Н.В.</w:t>
            </w:r>
            <w:r/>
          </w:p>
          <w:p>
            <w:pPr>
              <w:pStyle w:val="1005"/>
              <w:ind w:left="57" w:right="57"/>
            </w:pPr>
            <w:r>
              <w:t xml:space="preserve">Алексеев И.И.</w:t>
            </w:r>
            <w:r/>
          </w:p>
        </w:tc>
        <w:tc>
          <w:tcPr>
            <w:shd w:val="clear" w:fill="auto" w:color="auto"/>
            <w:tcW w:w="2936" w:type="pct"/>
            <w:textDirection w:val="lrTb"/>
            <w:noWrap w:val="false"/>
          </w:tcPr>
          <w:p>
            <w:pPr>
              <w:pStyle w:val="1005"/>
              <w:ind w:left="57" w:right="57"/>
            </w:pPr>
            <w:r>
              <w:t xml:space="preserve">В соответствии с ACCEPT-50496 актуализированы </w:t>
            </w:r>
            <w:r>
              <w:t xml:space="preserve">п</w:t>
            </w:r>
            <w:r>
              <w:t xml:space="preserve">п. </w:t>
            </w:r>
            <w:r>
              <w:fldChar w:fldCharType="begin"/>
            </w:r>
            <w:r>
              <w:instrText xml:space="preserve"> REF _Ref414952720 \r \h </w:instrText>
            </w:r>
            <w:r>
              <w:fldChar w:fldCharType="separate"/>
            </w:r>
            <w:r>
              <w:t xml:space="preserve">5.2.1</w:t>
            </w:r>
            <w:r>
              <w:fldChar w:fldCharType="end"/>
            </w:r>
            <w:r>
              <w:t xml:space="preserve">, </w:t>
            </w:r>
            <w:r>
              <w:fldChar w:fldCharType="begin"/>
            </w:r>
            <w:r>
              <w:instrText xml:space="preserve"> REF _Ref414952713 \r \h </w:instrText>
            </w:r>
            <w:r>
              <w:fldChar w:fldCharType="separate"/>
            </w:r>
            <w:r>
              <w:t xml:space="preserve">5.2.2</w:t>
            </w:r>
            <w:r>
              <w:fldChar w:fldCharType="end"/>
            </w:r>
            <w:r>
              <w:t xml:space="preserve">.</w:t>
            </w:r>
            <w:r/>
          </w:p>
          <w:p>
            <w:pPr>
              <w:pStyle w:val="1005"/>
              <w:ind w:left="57" w:right="57"/>
            </w:pPr>
            <w:r>
              <w:t xml:space="preserve">В соответствии с SUFD-82190 (SUFD-84981) актуализирован п</w:t>
            </w:r>
            <w:r>
              <w:t xml:space="preserve">. </w:t>
            </w:r>
            <w:r>
              <w:fldChar w:fldCharType="begin"/>
            </w:r>
            <w:r>
              <w:instrText xml:space="preserve"> REF _Ref419282140 \r \h </w:instrText>
            </w:r>
            <w:r>
              <w:fldChar w:fldCharType="separate"/>
            </w:r>
            <w:r>
              <w:t xml:space="preserve">5.3.1</w:t>
            </w:r>
            <w:r>
              <w:fldChar w:fldCharType="end"/>
            </w:r>
            <w:r>
              <w:t xml:space="preserve">.</w:t>
            </w:r>
            <w:r/>
          </w:p>
          <w:p>
            <w:pPr>
              <w:pStyle w:val="1005"/>
              <w:ind w:left="57" w:right="57"/>
            </w:pPr>
            <w:r>
              <w:t xml:space="preserve">В соответствии с SUFD-78119 (SUFD-85034)</w:t>
            </w:r>
            <w:r>
              <w:t xml:space="preserve"> актуал</w:t>
            </w:r>
            <w:r>
              <w:t xml:space="preserve">и</w:t>
            </w:r>
            <w:r>
              <w:t xml:space="preserve">зирован п. </w:t>
            </w:r>
            <w:r>
              <w:fldChar w:fldCharType="begin"/>
            </w:r>
            <w:r>
              <w:instrText xml:space="preserve"> REF _Ref444682715 \r \h </w:instrText>
            </w:r>
            <w:r>
              <w:fldChar w:fldCharType="separate"/>
            </w:r>
            <w:r>
              <w:t xml:space="preserve">5.17.3</w:t>
            </w:r>
            <w:r>
              <w:fldChar w:fldCharType="end"/>
            </w:r>
            <w:r>
              <w:t xml:space="preserve">.</w:t>
            </w:r>
            <w:r/>
          </w:p>
          <w:p>
            <w:pPr>
              <w:pStyle w:val="1005"/>
              <w:ind w:left="57" w:right="57"/>
            </w:pPr>
            <w:r>
              <w:t xml:space="preserve">В соответствии с SUFD-68252 (SUFD-85295) актуализирован п.</w:t>
            </w:r>
            <w:r>
              <w:fldChar w:fldCharType="begin"/>
            </w:r>
            <w:r>
              <w:instrText xml:space="preserve"> REF _Ref445284797 \r \h </w:instrText>
            </w:r>
            <w:r>
              <w:fldChar w:fldCharType="separate"/>
            </w:r>
            <w:r>
              <w:t xml:space="preserve">5.18.1</w:t>
            </w:r>
            <w:r>
              <w:fldChar w:fldCharType="end"/>
            </w:r>
            <w:r>
              <w:t xml:space="preserve">.</w:t>
            </w:r>
            <w:r/>
          </w:p>
          <w:p>
            <w:pPr>
              <w:pStyle w:val="1005"/>
              <w:ind w:left="57" w:right="57"/>
            </w:pPr>
            <w:r>
              <w:t xml:space="preserve">В соответствии с SUFD-83831 (SUFD-84040)</w:t>
            </w:r>
            <w:r>
              <w:t xml:space="preserve"> </w:t>
            </w:r>
            <w:r>
              <w:t xml:space="preserve">актуализирован п</w:t>
            </w:r>
            <w:r>
              <w:t xml:space="preserve">. </w:t>
            </w:r>
            <w:r>
              <w:fldChar w:fldCharType="begin"/>
            </w:r>
            <w:r>
              <w:instrText xml:space="preserve"> REF _Ref420330774 \r \h </w:instrText>
            </w:r>
            <w:r>
              <w:fldChar w:fldCharType="separate"/>
            </w:r>
            <w:r>
              <w:t xml:space="preserve">5.1.13</w:t>
            </w:r>
            <w:r>
              <w:fldChar w:fldCharType="end"/>
            </w:r>
            <w:r>
              <w:t xml:space="preserve">.</w:t>
            </w:r>
            <w:r/>
          </w:p>
          <w:p>
            <w:pPr>
              <w:pStyle w:val="1005"/>
              <w:ind w:left="57" w:right="57"/>
            </w:pPr>
            <w:r>
              <w:t xml:space="preserve">В соответствии с SUFD-80708 (SUFD-81994) актуализиров</w:t>
            </w:r>
            <w:r>
              <w:t xml:space="preserve">аны п. </w:t>
            </w:r>
            <w:r>
              <w:fldChar w:fldCharType="begin"/>
            </w:r>
            <w:r>
              <w:instrText xml:space="preserve"> REF _Ref414952720 \r \h </w:instrText>
            </w:r>
            <w:r>
              <w:fldChar w:fldCharType="separate"/>
            </w:r>
            <w:r>
              <w:t xml:space="preserve">5.2.1</w:t>
            </w:r>
            <w:r>
              <w:fldChar w:fldCharType="end"/>
            </w:r>
            <w:r>
              <w:t xml:space="preserve">, </w:t>
            </w:r>
            <w:r>
              <w:fldChar w:fldCharType="begin"/>
            </w:r>
            <w:r>
              <w:instrText xml:space="preserve"> REF _Ref414952713 \r \h </w:instrText>
            </w:r>
            <w:r>
              <w:fldChar w:fldCharType="separate"/>
            </w:r>
            <w:r>
              <w:t xml:space="preserve">5.2.2</w:t>
            </w:r>
            <w:r>
              <w:fldChar w:fldCharType="end"/>
            </w:r>
            <w:r>
              <w:t xml:space="preserve">.</w:t>
            </w:r>
            <w:r/>
          </w:p>
        </w:tc>
      </w:tr>
      <w:tr>
        <w:trPr/>
        <w:tc>
          <w:tcPr>
            <w:shd w:val="clear" w:fill="auto" w:color="auto"/>
            <w:tcW w:w="412" w:type="pct"/>
            <w:textDirection w:val="lrTb"/>
            <w:noWrap w:val="false"/>
          </w:tcPr>
          <w:p>
            <w:pPr>
              <w:pStyle w:val="1005"/>
              <w:ind w:left="57" w:right="57"/>
            </w:pPr>
            <w:r>
              <w:t xml:space="preserve">9.4</w:t>
            </w:r>
            <w:r/>
          </w:p>
        </w:tc>
        <w:tc>
          <w:tcPr>
            <w:shd w:val="clear" w:fill="auto" w:color="auto"/>
            <w:tcW w:w="635" w:type="pct"/>
            <w:textDirection w:val="lrTb"/>
            <w:noWrap w:val="false"/>
          </w:tcPr>
          <w:p>
            <w:pPr>
              <w:pStyle w:val="1005"/>
              <w:ind w:left="57" w:right="57"/>
            </w:pPr>
            <w:r>
              <w:t xml:space="preserve">2</w:t>
            </w:r>
            <w:r>
              <w:t xml:space="preserve">5</w:t>
            </w:r>
            <w:r>
              <w:t xml:space="preserve">.03.2016</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SUFD-84923 (SUFD-85766) актуализирован п.</w:t>
            </w:r>
            <w:r>
              <w:t xml:space="preserve"> </w:t>
            </w:r>
            <w:r>
              <w:fldChar w:fldCharType="begin"/>
            </w:r>
            <w:r>
              <w:instrText xml:space="preserve"> REF _Ref420330774 \r \h </w:instrText>
            </w:r>
            <w:r>
              <w:fldChar w:fldCharType="separate"/>
            </w:r>
            <w:r>
              <w:t xml:space="preserve">5.1.13</w:t>
            </w:r>
            <w:r>
              <w:fldChar w:fldCharType="end"/>
            </w:r>
            <w:r>
              <w:t xml:space="preserve">.</w:t>
            </w:r>
            <w:r/>
          </w:p>
          <w:p>
            <w:pPr>
              <w:pStyle w:val="1005"/>
              <w:ind w:left="57" w:right="57"/>
            </w:pPr>
            <w:r>
              <w:t xml:space="preserve">В соответствии с SUFD-84677 (</w:t>
            </w:r>
            <w:r>
              <w:t xml:space="preserve">SUFD-85859</w:t>
            </w:r>
            <w:r>
              <w:t xml:space="preserve">, </w:t>
            </w:r>
            <w:r>
              <w:t xml:space="preserve">SUFD-85862) актуализирован</w:t>
            </w:r>
            <w:r>
              <w:t xml:space="preserve">ы</w:t>
            </w:r>
            <w:r>
              <w:t xml:space="preserve"> </w:t>
            </w:r>
            <w:r>
              <w:t xml:space="preserve">п</w:t>
            </w:r>
            <w:r>
              <w:t xml:space="preserve">п.</w:t>
            </w:r>
            <w:r>
              <w:t xml:space="preserve"> </w:t>
            </w:r>
            <w:r>
              <w:fldChar w:fldCharType="begin"/>
            </w:r>
            <w:r>
              <w:instrText xml:space="preserve"> REF _Ref420330774 \r \h </w:instrText>
            </w:r>
            <w:r>
              <w:fldChar w:fldCharType="separate"/>
            </w:r>
            <w:r>
              <w:t xml:space="preserve">5.1.13</w:t>
            </w:r>
            <w:r>
              <w:fldChar w:fldCharType="end"/>
            </w:r>
            <w:r>
              <w:t xml:space="preserve">,</w:t>
            </w:r>
            <w:r>
              <w:t xml:space="preserve"> </w:t>
            </w:r>
            <w:r>
              <w:fldChar w:fldCharType="begin"/>
            </w:r>
            <w:r>
              <w:instrText xml:space="preserve"> REF _Ref364090605 \r \h </w:instrText>
            </w:r>
            <w:r>
              <w:fldChar w:fldCharType="separate"/>
            </w:r>
            <w:r>
              <w:t xml:space="preserve">5.11.2</w:t>
            </w:r>
            <w:r>
              <w:fldChar w:fldCharType="end"/>
            </w:r>
            <w:r>
              <w:t xml:space="preserve">.</w:t>
            </w:r>
            <w:r/>
          </w:p>
        </w:tc>
      </w:tr>
      <w:tr>
        <w:trPr/>
        <w:tc>
          <w:tcPr>
            <w:shd w:val="clear" w:fill="auto" w:color="auto"/>
            <w:tcW w:w="412" w:type="pct"/>
            <w:textDirection w:val="lrTb"/>
            <w:noWrap w:val="false"/>
          </w:tcPr>
          <w:p>
            <w:pPr>
              <w:pStyle w:val="1005"/>
              <w:ind w:left="57" w:right="57"/>
            </w:pPr>
            <w:r>
              <w:t xml:space="preserve">9.5</w:t>
            </w:r>
            <w:r/>
          </w:p>
        </w:tc>
        <w:tc>
          <w:tcPr>
            <w:shd w:val="clear" w:fill="auto" w:color="auto"/>
            <w:tcW w:w="635" w:type="pct"/>
            <w:textDirection w:val="lrTb"/>
            <w:noWrap w:val="false"/>
          </w:tcPr>
          <w:p>
            <w:pPr>
              <w:pStyle w:val="1005"/>
              <w:ind w:left="57" w:right="57"/>
            </w:pPr>
            <w:r>
              <w:t xml:space="preserve">10</w:t>
            </w:r>
            <w:r>
              <w:t xml:space="preserve">.05.2016</w:t>
            </w:r>
            <w:r/>
          </w:p>
        </w:tc>
        <w:tc>
          <w:tcPr>
            <w:shd w:val="clear" w:fill="auto" w:color="auto"/>
            <w:tcW w:w="1017" w:type="pct"/>
            <w:textDirection w:val="lrTb"/>
            <w:noWrap w:val="false"/>
          </w:tcPr>
          <w:p>
            <w:pPr>
              <w:pStyle w:val="1005"/>
              <w:ind w:left="57" w:right="57"/>
            </w:pPr>
            <w:r>
              <w:t xml:space="preserve">Алексеев И.И.</w:t>
            </w:r>
            <w:r/>
          </w:p>
          <w:p>
            <w:pPr>
              <w:pStyle w:val="1005"/>
              <w:ind w:left="57" w:right="57"/>
            </w:pPr>
            <w:r>
              <w:t xml:space="preserve">Соколова Н.В.</w:t>
            </w:r>
            <w:r/>
          </w:p>
          <w:p>
            <w:pPr>
              <w:pStyle w:val="1005"/>
              <w:ind w:left="57" w:right="57"/>
            </w:pPr>
            <w:r>
              <w:t xml:space="preserve">Иванова Н.Ю.</w:t>
            </w:r>
            <w:r/>
          </w:p>
        </w:tc>
        <w:tc>
          <w:tcPr>
            <w:shd w:val="clear" w:fill="auto" w:color="auto"/>
            <w:tcW w:w="2936" w:type="pct"/>
            <w:textDirection w:val="lrTb"/>
            <w:noWrap w:val="false"/>
          </w:tcPr>
          <w:p>
            <w:pPr>
              <w:pStyle w:val="1005"/>
              <w:ind w:left="57" w:right="57"/>
            </w:pPr>
            <w:r>
              <w:t xml:space="preserve">В соответствии </w:t>
            </w:r>
            <w:r>
              <w:tab/>
              <w:t xml:space="preserve">SUFD-87484 (SUFD-87609) актуал</w:t>
            </w:r>
            <w:r>
              <w:t xml:space="preserve">и</w:t>
            </w:r>
            <w:r>
              <w:t xml:space="preserve">зирован п</w:t>
            </w:r>
            <w:r>
              <w:t xml:space="preserve">. </w:t>
            </w:r>
            <w:r>
              <w:fldChar w:fldCharType="begin"/>
            </w:r>
            <w:r>
              <w:instrText xml:space="preserve"> REF _Ref299370510 \r \h </w:instrText>
            </w:r>
            <w:r>
              <w:fldChar w:fldCharType="separate"/>
            </w:r>
            <w:r>
              <w:t xml:space="preserve">5.13.1</w:t>
            </w:r>
            <w:r>
              <w:fldChar w:fldCharType="end"/>
            </w:r>
            <w:r>
              <w:t xml:space="preserve">.</w:t>
            </w:r>
            <w:r/>
          </w:p>
          <w:p>
            <w:pPr>
              <w:pStyle w:val="1005"/>
              <w:ind w:left="57" w:right="57"/>
            </w:pPr>
            <w:r>
              <w:t xml:space="preserve">В соответствии с SUFD-85677 (SUFD-87393</w:t>
            </w:r>
            <w:r>
              <w:t xml:space="preserve">, SUFD-87395</w:t>
            </w:r>
            <w:r>
              <w:t xml:space="preserve">)</w:t>
            </w:r>
            <w:r>
              <w:t xml:space="preserve"> </w:t>
            </w:r>
            <w:r>
              <w:t xml:space="preserve">актуализирован</w:t>
            </w:r>
            <w:r>
              <w:t xml:space="preserve">ы</w:t>
            </w:r>
            <w:r>
              <w:t xml:space="preserve"> </w:t>
            </w:r>
            <w:r>
              <w:t xml:space="preserve">п</w:t>
            </w:r>
            <w:r>
              <w:t xml:space="preserve">п.</w:t>
            </w:r>
            <w:r>
              <w:t xml:space="preserve"> </w:t>
            </w:r>
            <w:r>
              <w:fldChar w:fldCharType="begin"/>
            </w:r>
            <w:r>
              <w:instrText xml:space="preserve"> REF _Ref450204765 \r \h </w:instrText>
            </w:r>
            <w:r>
              <w:fldChar w:fldCharType="separate"/>
            </w:r>
            <w:r>
              <w:t xml:space="preserve">5.1.6</w:t>
            </w:r>
            <w:r>
              <w:fldChar w:fldCharType="end"/>
            </w:r>
            <w:r>
              <w:t xml:space="preserve">, </w:t>
            </w:r>
            <w:r>
              <w:fldChar w:fldCharType="begin"/>
            </w:r>
            <w:r>
              <w:instrText xml:space="preserve"> REF _Ref435196999 \r \h </w:instrText>
            </w:r>
            <w:r>
              <w:fldChar w:fldCharType="separate"/>
            </w:r>
            <w:r>
              <w:t xml:space="preserve">5.7.3</w:t>
            </w:r>
            <w:r>
              <w:fldChar w:fldCharType="end"/>
            </w:r>
            <w:r>
              <w:t xml:space="preserve">.</w:t>
            </w:r>
            <w:r/>
          </w:p>
          <w:p>
            <w:pPr>
              <w:pStyle w:val="1005"/>
              <w:ind w:left="57" w:right="57"/>
            </w:pPr>
            <w:r>
              <w:t xml:space="preserve">В соответствии с SUFD-877</w:t>
            </w:r>
            <w:r>
              <w:t xml:space="preserve">86</w:t>
            </w:r>
            <w:r>
              <w:t xml:space="preserve"> (SUFD-8</w:t>
            </w:r>
            <w:r>
              <w:t xml:space="preserve">8271</w:t>
            </w:r>
            <w:r>
              <w:t xml:space="preserve">) актуализированы </w:t>
            </w:r>
            <w:r>
              <w:t xml:space="preserve">п</w:t>
            </w:r>
            <w:r>
              <w:t xml:space="preserve">п. </w:t>
            </w:r>
            <w:r>
              <w:fldChar w:fldCharType="begin"/>
            </w:r>
            <w:r>
              <w:instrText xml:space="preserve"> REF _Ref450204765 \r \h </w:instrText>
            </w:r>
            <w:r>
              <w:fldChar w:fldCharType="separate"/>
            </w:r>
            <w:r>
              <w:t xml:space="preserve">5.1.6</w:t>
            </w:r>
            <w:r>
              <w:fldChar w:fldCharType="end"/>
            </w:r>
            <w:r>
              <w:t xml:space="preserve">, </w:t>
            </w:r>
            <w:r>
              <w:fldChar w:fldCharType="begin"/>
            </w:r>
            <w:r>
              <w:instrText xml:space="preserve"> REF _Ref435196999 \r \h </w:instrText>
            </w:r>
            <w:r>
              <w:fldChar w:fldCharType="separate"/>
            </w:r>
            <w:r>
              <w:t xml:space="preserve">5.7.3</w:t>
            </w:r>
            <w:r>
              <w:fldChar w:fldCharType="end"/>
            </w:r>
            <w:r>
              <w:t xml:space="preserve">.</w:t>
            </w:r>
            <w:r/>
          </w:p>
        </w:tc>
      </w:tr>
      <w:tr>
        <w:trPr/>
        <w:tc>
          <w:tcPr>
            <w:shd w:val="clear" w:fill="auto" w:color="auto"/>
            <w:tcW w:w="412" w:type="pct"/>
            <w:textDirection w:val="lrTb"/>
            <w:noWrap w:val="false"/>
          </w:tcPr>
          <w:p>
            <w:pPr>
              <w:pStyle w:val="1005"/>
              <w:ind w:left="57" w:right="57"/>
            </w:pPr>
            <w:r>
              <w:t xml:space="preserve">9.6</w:t>
            </w:r>
            <w:r/>
          </w:p>
        </w:tc>
        <w:tc>
          <w:tcPr>
            <w:shd w:val="clear" w:fill="auto" w:color="auto"/>
            <w:tcW w:w="635" w:type="pct"/>
            <w:textDirection w:val="lrTb"/>
            <w:noWrap w:val="false"/>
          </w:tcPr>
          <w:p>
            <w:pPr>
              <w:pStyle w:val="1005"/>
              <w:ind w:left="57" w:right="57"/>
            </w:pPr>
            <w:r>
              <w:t xml:space="preserve">08.08.2016</w:t>
            </w:r>
            <w:r/>
          </w:p>
        </w:tc>
        <w:tc>
          <w:tcPr>
            <w:shd w:val="clear" w:fill="auto" w:color="auto"/>
            <w:tcW w:w="1017" w:type="pct"/>
            <w:textDirection w:val="lrTb"/>
            <w:noWrap w:val="false"/>
          </w:tcPr>
          <w:p>
            <w:pPr>
              <w:pStyle w:val="1005"/>
              <w:ind w:left="57" w:right="57"/>
            </w:pPr>
            <w:r>
              <w:t xml:space="preserve">Алексеев И.И.</w:t>
            </w:r>
            <w:r/>
          </w:p>
        </w:tc>
        <w:tc>
          <w:tcPr>
            <w:shd w:val="clear" w:fill="auto" w:color="auto"/>
            <w:tcW w:w="2936" w:type="pct"/>
            <w:textDirection w:val="lrTb"/>
            <w:noWrap w:val="false"/>
          </w:tcPr>
          <w:p>
            <w:pPr>
              <w:pStyle w:val="1005"/>
              <w:ind w:left="57" w:right="57"/>
            </w:pPr>
            <w:r>
              <w:t xml:space="preserve">В соответствии </w:t>
            </w:r>
            <w:r>
              <w:tab/>
            </w:r>
            <w:r>
              <w:t xml:space="preserve">SUFD-</w:t>
            </w:r>
            <w:r>
              <w:t xml:space="preserve">88819</w:t>
            </w:r>
            <w:r>
              <w:t xml:space="preserve"> </w:t>
            </w:r>
            <w:r>
              <w:t xml:space="preserve">(</w:t>
            </w:r>
            <w:r>
              <w:t xml:space="preserve">SUFD-8</w:t>
            </w:r>
            <w:r>
              <w:t xml:space="preserve">9891)</w:t>
            </w:r>
            <w:r>
              <w:t xml:space="preserve"> актуал</w:t>
            </w:r>
            <w:r>
              <w:t xml:space="preserve">и</w:t>
            </w:r>
            <w:r>
              <w:t xml:space="preserve">зирован п.</w:t>
            </w:r>
            <w:r>
              <w:t xml:space="preserve"> </w:t>
            </w:r>
            <w:r>
              <w:fldChar w:fldCharType="begin"/>
            </w:r>
            <w:r>
              <w:instrText xml:space="preserve"> REF _Ref420330774 \r \h </w:instrText>
            </w:r>
            <w:r>
              <w:fldChar w:fldCharType="separate"/>
            </w:r>
            <w:r>
              <w:t xml:space="preserve">5.1.13</w:t>
            </w:r>
            <w:r>
              <w:fldChar w:fldCharType="end"/>
            </w:r>
            <w:r>
              <w:t xml:space="preserve">.</w:t>
            </w:r>
            <w:r/>
          </w:p>
        </w:tc>
      </w:tr>
      <w:tr>
        <w:trPr/>
        <w:tc>
          <w:tcPr>
            <w:shd w:val="clear" w:fill="auto" w:color="auto"/>
            <w:tcW w:w="412" w:type="pct"/>
            <w:textDirection w:val="lrTb"/>
            <w:noWrap w:val="false"/>
          </w:tcPr>
          <w:p>
            <w:pPr>
              <w:pStyle w:val="1005"/>
              <w:ind w:left="57" w:right="57"/>
            </w:pPr>
            <w:r>
              <w:t xml:space="preserve">9.7</w:t>
            </w:r>
            <w:r/>
          </w:p>
        </w:tc>
        <w:tc>
          <w:tcPr>
            <w:shd w:val="clear" w:fill="auto" w:color="auto"/>
            <w:tcW w:w="635" w:type="pct"/>
            <w:textDirection w:val="lrTb"/>
            <w:noWrap w:val="false"/>
          </w:tcPr>
          <w:p>
            <w:pPr>
              <w:pStyle w:val="1005"/>
              <w:ind w:left="57" w:right="57"/>
            </w:pPr>
            <w:r>
              <w:t xml:space="preserve">2</w:t>
            </w:r>
            <w:r>
              <w:t xml:space="preserve">4</w:t>
            </w:r>
            <w:r>
              <w:t xml:space="preserve">.08.2016</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w:t>
            </w:r>
            <w:r>
              <w:tab/>
              <w:t xml:space="preserve">SUFD-86127 (SUFD-89162) актуал</w:t>
            </w:r>
            <w:r>
              <w:t xml:space="preserve">и</w:t>
            </w:r>
            <w:r>
              <w:t xml:space="preserve">зирован п.</w:t>
            </w:r>
            <w:r>
              <w:t xml:space="preserve"> </w:t>
            </w:r>
            <w:r>
              <w:fldChar w:fldCharType="begin"/>
            </w:r>
            <w:r>
              <w:instrText xml:space="preserve"> REF _Ref299370510 \r \h </w:instrText>
            </w:r>
            <w:r>
              <w:fldChar w:fldCharType="separate"/>
            </w:r>
            <w:r>
              <w:t xml:space="preserve">5.13.1</w:t>
            </w:r>
            <w:r>
              <w:fldChar w:fldCharType="end"/>
            </w:r>
            <w:r>
              <w:t xml:space="preserve">.</w:t>
            </w:r>
            <w:r/>
          </w:p>
          <w:p>
            <w:pPr>
              <w:pStyle w:val="1005"/>
              <w:ind w:left="57" w:right="57"/>
            </w:pPr>
            <w:r>
              <w:t xml:space="preserve">В соответствии SUFD-83445 (SUFD-88688)</w:t>
            </w:r>
            <w:r>
              <w:t xml:space="preserve"> </w:t>
            </w:r>
            <w:r>
              <w:t xml:space="preserve">актуализирован п. </w:t>
            </w:r>
            <w:r>
              <w:fldChar w:fldCharType="begin"/>
            </w:r>
            <w:r>
              <w:instrText xml:space="preserve"> REF _Ref459708060 \r \h </w:instrText>
            </w:r>
            <w:r>
              <w:fldChar w:fldCharType="separate"/>
            </w:r>
            <w:r>
              <w:t xml:space="preserve">5.16.1</w:t>
            </w:r>
            <w:r>
              <w:fldChar w:fldCharType="end"/>
            </w:r>
            <w:r>
              <w:t xml:space="preserve">.</w:t>
            </w:r>
            <w:r/>
          </w:p>
          <w:p>
            <w:pPr>
              <w:pStyle w:val="1005"/>
              <w:ind w:left="57" w:right="57"/>
            </w:pPr>
            <w:r>
              <w:t xml:space="preserve">В соответствии с RFC-42713 отредактированы наименования системных констант.</w:t>
            </w:r>
            <w:r/>
          </w:p>
        </w:tc>
      </w:tr>
      <w:tr>
        <w:trPr/>
        <w:tc>
          <w:tcPr>
            <w:shd w:val="clear" w:fill="auto" w:color="auto"/>
            <w:tcW w:w="412" w:type="pct"/>
            <w:textDirection w:val="lrTb"/>
            <w:noWrap w:val="false"/>
          </w:tcPr>
          <w:p>
            <w:pPr>
              <w:pStyle w:val="1005"/>
              <w:ind w:left="57" w:right="57"/>
            </w:pPr>
            <w:r>
              <w:t xml:space="preserve">9.8</w:t>
            </w:r>
            <w:r/>
          </w:p>
        </w:tc>
        <w:tc>
          <w:tcPr>
            <w:shd w:val="clear" w:fill="auto" w:color="auto"/>
            <w:tcW w:w="635" w:type="pct"/>
            <w:textDirection w:val="lrTb"/>
            <w:noWrap w:val="false"/>
          </w:tcPr>
          <w:p>
            <w:pPr>
              <w:pStyle w:val="1005"/>
              <w:ind w:left="57" w:right="57"/>
            </w:pPr>
            <w:r>
              <w:t xml:space="preserve">12.12.2016</w:t>
            </w:r>
            <w:r/>
          </w:p>
        </w:tc>
        <w:tc>
          <w:tcPr>
            <w:shd w:val="clear" w:fill="auto" w:color="auto"/>
            <w:tcW w:w="1017" w:type="pct"/>
            <w:textDirection w:val="lrTb"/>
            <w:noWrap w:val="false"/>
          </w:tcPr>
          <w:p>
            <w:pPr>
              <w:pStyle w:val="1005"/>
              <w:ind w:left="57" w:right="57"/>
            </w:pPr>
            <w:r>
              <w:t xml:space="preserve">Тяпкина О.</w:t>
            </w:r>
            <w:r>
              <w:t xml:space="preserve">В.</w:t>
            </w:r>
            <w:r/>
          </w:p>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Внесены редакционные правки, предусмотренные г</w:t>
            </w:r>
            <w:r>
              <w:t xml:space="preserve">о</w:t>
            </w:r>
            <w:r>
              <w:t xml:space="preserve">сударственным контрактом № УФТ-57/2016 от 14.11.2016</w:t>
            </w:r>
            <w:r>
              <w:t xml:space="preserve">.</w:t>
            </w:r>
            <w:r/>
          </w:p>
          <w:p>
            <w:pPr>
              <w:pStyle w:val="1005"/>
              <w:ind w:left="57" w:right="57"/>
            </w:pPr>
            <w:r>
              <w:t xml:space="preserve">В соответствии с SUFD-89838 (SUFD-92174)</w:t>
            </w:r>
            <w:r>
              <w:t xml:space="preserve"> </w:t>
            </w:r>
            <w:r>
              <w:t xml:space="preserve">актуал</w:t>
            </w:r>
            <w:r>
              <w:t xml:space="preserve">и</w:t>
            </w:r>
            <w:r>
              <w:t xml:space="preserve">зирован п. </w:t>
            </w:r>
            <w:r>
              <w:fldChar w:fldCharType="begin"/>
            </w:r>
            <w:r>
              <w:instrText xml:space="preserve"> REF _Ref420330774 \r \h </w:instrText>
            </w:r>
            <w:r>
              <w:fldChar w:fldCharType="separate"/>
            </w:r>
            <w:r>
              <w:t xml:space="preserve">5.1.13</w:t>
            </w:r>
            <w:r>
              <w:fldChar w:fldCharType="end"/>
            </w:r>
            <w:r>
              <w:t xml:space="preserve">.</w:t>
            </w:r>
            <w:r/>
          </w:p>
          <w:p>
            <w:pPr>
              <w:pStyle w:val="1005"/>
              <w:ind w:left="57" w:right="57"/>
            </w:pPr>
            <w:r>
              <w:t xml:space="preserve">В соответствии с SUFD-</w:t>
            </w:r>
            <w:r>
              <w:t xml:space="preserve">88432</w:t>
            </w:r>
            <w:r>
              <w:t xml:space="preserve"> (</w:t>
            </w:r>
            <w:r>
              <w:t xml:space="preserve">SUFD-91996, SUFD-92001</w:t>
            </w:r>
            <w:r>
              <w:t xml:space="preserve">)</w:t>
            </w:r>
            <w:r>
              <w:t xml:space="preserve"> добавлен</w:t>
            </w:r>
            <w:r>
              <w:t xml:space="preserve"> п</w:t>
            </w:r>
            <w:r>
              <w:t xml:space="preserve">. </w:t>
            </w:r>
            <w:r>
              <w:fldChar w:fldCharType="begin"/>
            </w:r>
            <w:r>
              <w:instrText xml:space="preserve"> REF _Ref472075999 \r \h </w:instrText>
            </w:r>
            <w:r>
              <w:fldChar w:fldCharType="separate"/>
            </w:r>
            <w:r>
              <w:t xml:space="preserve">5.1.17</w:t>
            </w:r>
            <w:r>
              <w:fldChar w:fldCharType="end"/>
            </w:r>
            <w:r>
              <w:t xml:space="preserve">.</w:t>
            </w:r>
            <w:r/>
          </w:p>
          <w:p>
            <w:pPr>
              <w:pStyle w:val="1005"/>
              <w:ind w:left="57" w:right="57"/>
            </w:pPr>
            <w:r>
              <w:t xml:space="preserve">В </w:t>
            </w:r>
            <w:r>
              <w:t xml:space="preserve">соответствии с SUFD-91434 (</w:t>
            </w:r>
            <w:r>
              <w:t xml:space="preserve">SUFD-92906</w:t>
            </w:r>
            <w:r>
              <w:t xml:space="preserve">,</w:t>
            </w:r>
            <w:r>
              <w:t xml:space="preserve"> </w:t>
            </w:r>
            <w:r>
              <w:t xml:space="preserve">SUFD-92900</w:t>
            </w:r>
            <w:r>
              <w:t xml:space="preserve">, </w:t>
            </w:r>
            <w:r>
              <w:t xml:space="preserve">SUFD-92896) актуал</w:t>
            </w:r>
            <w:r>
              <w:t xml:space="preserve">и</w:t>
            </w:r>
            <w:r>
              <w:t xml:space="preserve">зирован</w:t>
            </w:r>
            <w:r>
              <w:t xml:space="preserve">ы</w:t>
            </w:r>
            <w:r>
              <w:t xml:space="preserve"> </w:t>
            </w:r>
            <w:r>
              <w:t xml:space="preserve">п</w:t>
            </w:r>
            <w:r>
              <w:t xml:space="preserve">п.</w:t>
            </w:r>
            <w:r>
              <w:t xml:space="preserve"> </w:t>
            </w:r>
            <w:r>
              <w:fldChar w:fldCharType="begin"/>
            </w:r>
            <w:r>
              <w:instrText xml:space="preserve"> REF _Ref357699450 \r \h </w:instrText>
            </w:r>
            <w:r>
              <w:fldChar w:fldCharType="separate"/>
            </w:r>
            <w:r>
              <w:t xml:space="preserve">5.5.1</w:t>
            </w:r>
            <w:r>
              <w:fldChar w:fldCharType="end"/>
            </w:r>
            <w:r>
              <w:t xml:space="preserve">, </w:t>
            </w:r>
            <w:r>
              <w:fldChar w:fldCharType="begin"/>
            </w:r>
            <w:r>
              <w:instrText xml:space="preserve"> REF _Ref468884232 \r \h </w:instrText>
            </w:r>
            <w:r>
              <w:fldChar w:fldCharType="separate"/>
            </w:r>
            <w:r>
              <w:t xml:space="preserve">5.5.2</w:t>
            </w:r>
            <w:r>
              <w:fldChar w:fldCharType="end"/>
            </w:r>
            <w:r>
              <w:t xml:space="preserve">, </w:t>
            </w:r>
            <w:r>
              <w:fldChar w:fldCharType="begin"/>
            </w:r>
            <w:r>
              <w:instrText xml:space="preserve"> REF _Ref394926125 \r \h </w:instrText>
            </w:r>
            <w:r>
              <w:fldChar w:fldCharType="separate"/>
            </w:r>
            <w:r>
              <w:t xml:space="preserve">5.5.3</w:t>
            </w:r>
            <w:r>
              <w:fldChar w:fldCharType="end"/>
            </w:r>
            <w:r>
              <w:t xml:space="preserve">.</w:t>
            </w:r>
            <w:r/>
          </w:p>
        </w:tc>
      </w:tr>
      <w:tr>
        <w:trPr/>
        <w:tc>
          <w:tcPr>
            <w:shd w:val="clear" w:fill="auto" w:color="auto"/>
            <w:tcW w:w="412" w:type="pct"/>
            <w:textDirection w:val="lrTb"/>
            <w:noWrap w:val="false"/>
          </w:tcPr>
          <w:p>
            <w:pPr>
              <w:pStyle w:val="1005"/>
              <w:ind w:left="57" w:right="57"/>
            </w:pPr>
            <w:r>
              <w:t xml:space="preserve">9.</w:t>
            </w:r>
            <w:r>
              <w:t xml:space="preserve">9</w:t>
            </w:r>
            <w:r/>
          </w:p>
        </w:tc>
        <w:tc>
          <w:tcPr>
            <w:shd w:val="clear" w:fill="auto" w:color="auto"/>
            <w:tcW w:w="635" w:type="pct"/>
            <w:textDirection w:val="lrTb"/>
            <w:noWrap w:val="false"/>
          </w:tcPr>
          <w:p>
            <w:pPr>
              <w:pStyle w:val="1005"/>
              <w:ind w:left="57" w:right="57"/>
            </w:pPr>
            <w:r>
              <w:t xml:space="preserve">1</w:t>
            </w:r>
            <w:r>
              <w:t xml:space="preserve">3</w:t>
            </w:r>
            <w:r>
              <w:t xml:space="preserve">.01.2017</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SUFD-91613 (SUFD-94122) актуал</w:t>
            </w:r>
            <w:r>
              <w:t xml:space="preserve">и</w:t>
            </w:r>
            <w:r>
              <w:t xml:space="preserve">зирован</w:t>
            </w:r>
            <w:r>
              <w:t xml:space="preserve">ы</w:t>
            </w:r>
            <w:r>
              <w:t xml:space="preserve"> </w:t>
            </w:r>
            <w:r>
              <w:t xml:space="preserve">п</w:t>
            </w:r>
            <w:r>
              <w:t xml:space="preserve">п. </w:t>
            </w:r>
            <w:r>
              <w:fldChar w:fldCharType="begin"/>
            </w:r>
            <w:r>
              <w:instrText xml:space="preserve"> REF _Ref365452935 \r \h </w:instrText>
            </w:r>
            <w:r>
              <w:fldChar w:fldCharType="separate"/>
            </w:r>
            <w:r>
              <w:t xml:space="preserve">5.1.3</w:t>
            </w:r>
            <w:r>
              <w:fldChar w:fldCharType="end"/>
            </w:r>
            <w:r>
              <w:t xml:space="preserve">,</w:t>
            </w:r>
            <w:r>
              <w:t xml:space="preserve"> </w:t>
            </w:r>
            <w:r>
              <w:fldChar w:fldCharType="begin"/>
            </w:r>
            <w:r>
              <w:instrText xml:space="preserve"> REF _Ref471913417 \r \h </w:instrText>
            </w:r>
            <w:r>
              <w:fldChar w:fldCharType="separate"/>
            </w:r>
            <w:r>
              <w:t xml:space="preserve">5.1.4</w:t>
            </w:r>
            <w:r>
              <w:fldChar w:fldCharType="end"/>
            </w:r>
            <w:r>
              <w:t xml:space="preserve">,</w:t>
            </w:r>
            <w:r>
              <w:t xml:space="preserve"> </w:t>
            </w:r>
            <w:r>
              <w:fldChar w:fldCharType="begin"/>
            </w:r>
            <w:r>
              <w:instrText xml:space="preserve"> REF _Ref471906065 \r \h </w:instrText>
            </w:r>
            <w:r>
              <w:fldChar w:fldCharType="separate"/>
            </w:r>
            <w:r>
              <w:t xml:space="preserve">5.1.5</w:t>
            </w:r>
            <w:r>
              <w:fldChar w:fldCharType="end"/>
            </w:r>
            <w:r>
              <w:t xml:space="preserve">.</w:t>
            </w:r>
            <w:r/>
          </w:p>
          <w:p>
            <w:pPr>
              <w:pStyle w:val="1005"/>
              <w:ind w:left="57" w:right="57"/>
            </w:pPr>
            <w:r>
              <w:t xml:space="preserve">В соответствии с SUFD-92054 (SUFD-94141) актуализирован п. </w:t>
            </w:r>
            <w:r>
              <w:fldChar w:fldCharType="begin"/>
            </w:r>
            <w:r>
              <w:instrText xml:space="preserve"> REF _Ref420330774 \r \h </w:instrText>
            </w:r>
            <w:r>
              <w:fldChar w:fldCharType="separate"/>
            </w:r>
            <w:r>
              <w:t xml:space="preserve">5.1.13</w:t>
            </w:r>
            <w:r>
              <w:fldChar w:fldCharType="end"/>
            </w:r>
            <w:r>
              <w:t xml:space="preserve">.</w:t>
            </w:r>
            <w:r/>
          </w:p>
          <w:p>
            <w:pPr>
              <w:pStyle w:val="1005"/>
              <w:ind w:left="57" w:right="57"/>
            </w:pPr>
            <w:r>
              <w:t xml:space="preserve">В соответствии с SUFD-92055 (SUFD-94142)</w:t>
            </w:r>
            <w:r>
              <w:t xml:space="preserve"> </w:t>
            </w:r>
            <w:r>
              <w:t xml:space="preserve">актуализирован п</w:t>
            </w:r>
            <w:r>
              <w:t xml:space="preserve">. </w:t>
            </w:r>
            <w:r>
              <w:fldChar w:fldCharType="begin"/>
            </w:r>
            <w:r>
              <w:instrText xml:space="preserve"> REF _Ref472075999 \r \h </w:instrText>
            </w:r>
            <w:r>
              <w:fldChar w:fldCharType="separate"/>
            </w:r>
            <w:r>
              <w:t xml:space="preserve">5.1.17</w:t>
            </w:r>
            <w:r>
              <w:fldChar w:fldCharType="end"/>
            </w:r>
            <w:r>
              <w:t xml:space="preserve">.</w:t>
            </w:r>
            <w:r/>
          </w:p>
        </w:tc>
      </w:tr>
      <w:tr>
        <w:trPr/>
        <w:tc>
          <w:tcPr>
            <w:shd w:val="clear" w:fill="auto" w:color="auto"/>
            <w:tcW w:w="412" w:type="pct"/>
            <w:textDirection w:val="lrTb"/>
            <w:noWrap w:val="false"/>
          </w:tcPr>
          <w:p>
            <w:pPr>
              <w:pStyle w:val="1005"/>
              <w:ind w:left="57" w:right="57"/>
            </w:pPr>
            <w:r>
              <w:t xml:space="preserve">10.0</w:t>
            </w:r>
            <w:r/>
          </w:p>
        </w:tc>
        <w:tc>
          <w:tcPr>
            <w:shd w:val="clear" w:fill="auto" w:color="auto"/>
            <w:tcW w:w="635" w:type="pct"/>
            <w:textDirection w:val="lrTb"/>
            <w:noWrap w:val="false"/>
          </w:tcPr>
          <w:p>
            <w:pPr>
              <w:pStyle w:val="1005"/>
              <w:ind w:left="57" w:right="57"/>
            </w:pPr>
            <w:r>
              <w:t xml:space="preserve">11</w:t>
            </w:r>
            <w:r>
              <w:t xml:space="preserve">.05</w:t>
            </w:r>
            <w:r>
              <w:t xml:space="preserve">.2017</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SUFD-92332 (SUFD-95202) актуализирован п.</w:t>
            </w:r>
            <w:r>
              <w:t xml:space="preserve"> </w:t>
            </w:r>
            <w:r>
              <w:fldChar w:fldCharType="begin"/>
            </w:r>
            <w:r>
              <w:instrText xml:space="preserve"> REF _Ref299370510 \r \h </w:instrText>
            </w:r>
            <w:r>
              <w:instrText xml:space="preserve"> \* MERGEFORMAT </w:instrText>
            </w:r>
            <w:r>
              <w:fldChar w:fldCharType="separate"/>
            </w:r>
            <w:r>
              <w:t xml:space="preserve">5.13.1</w:t>
            </w:r>
            <w:r>
              <w:fldChar w:fldCharType="end"/>
            </w:r>
            <w:r>
              <w:t xml:space="preserve">.</w:t>
            </w:r>
            <w:r/>
          </w:p>
          <w:p>
            <w:pPr>
              <w:pStyle w:val="1005"/>
              <w:ind w:left="57" w:right="57"/>
            </w:pPr>
            <w:r>
              <w:t xml:space="preserve">В соответствии с SUFD-94517 (SUFD-94902)</w:t>
            </w:r>
            <w:r>
              <w:t xml:space="preserve"> актуализирован п. </w:t>
            </w:r>
            <w:r>
              <w:fldChar w:fldCharType="begin"/>
            </w:r>
            <w:r>
              <w:instrText xml:space="preserve"> REF _Ref435196999 \r \h </w:instrText>
            </w:r>
            <w:r>
              <w:instrText xml:space="preserve"> \* MERGEFORMAT </w:instrText>
            </w:r>
            <w:r>
              <w:fldChar w:fldCharType="separate"/>
            </w:r>
            <w:r>
              <w:t xml:space="preserve">5.7.3</w:t>
            </w:r>
            <w:r>
              <w:fldChar w:fldCharType="end"/>
            </w:r>
            <w:r>
              <w:t xml:space="preserve">.</w:t>
            </w:r>
            <w:r/>
          </w:p>
          <w:p>
            <w:pPr>
              <w:pStyle w:val="1005"/>
              <w:ind w:left="57" w:right="57"/>
            </w:pPr>
            <w:r>
              <w:t xml:space="preserve">В соответствии с SUFD-80395 (SUFD-94147) актуализированы </w:t>
            </w:r>
            <w:r>
              <w:t xml:space="preserve">п</w:t>
            </w:r>
            <w:r>
              <w:t xml:space="preserve">п.</w:t>
            </w:r>
            <w:r>
              <w:t xml:space="preserve"> </w:t>
            </w:r>
            <w:r>
              <w:fldChar w:fldCharType="begin"/>
            </w:r>
            <w:r>
              <w:instrText xml:space="preserve"> REF _Ref474404511 \r \h </w:instrText>
            </w:r>
            <w:r>
              <w:instrText xml:space="preserve"> \* MERGEFORMAT </w:instrText>
            </w:r>
            <w:r>
              <w:fldChar w:fldCharType="separate"/>
            </w:r>
            <w:r>
              <w:t xml:space="preserve">5.1.1</w:t>
            </w:r>
            <w:r>
              <w:fldChar w:fldCharType="end"/>
            </w:r>
            <w:r>
              <w:t xml:space="preserve">, </w:t>
            </w:r>
            <w:r>
              <w:fldChar w:fldCharType="begin"/>
            </w:r>
            <w:r>
              <w:instrText xml:space="preserve"> REF _Ref359521322 \r \h </w:instrText>
            </w:r>
            <w:r>
              <w:instrText xml:space="preserve"> \* MERGEFORMAT </w:instrText>
            </w:r>
            <w:r>
              <w:fldChar w:fldCharType="separate"/>
            </w:r>
            <w:r>
              <w:t xml:space="preserve">5.1.2</w:t>
            </w:r>
            <w:r>
              <w:fldChar w:fldCharType="end"/>
            </w:r>
            <w:r>
              <w:t xml:space="preserve">, </w:t>
            </w:r>
            <w:r>
              <w:fldChar w:fldCharType="begin"/>
            </w:r>
            <w:r>
              <w:instrText xml:space="preserve"> REF _Ref365452935 \r \h </w:instrText>
            </w:r>
            <w:r>
              <w:instrText xml:space="preserve"> \* MERGEFORMAT </w:instrText>
            </w:r>
            <w:r>
              <w:fldChar w:fldCharType="separate"/>
            </w:r>
            <w:r>
              <w:t xml:space="preserve">5.1.3</w:t>
            </w:r>
            <w:r>
              <w:fldChar w:fldCharType="end"/>
            </w:r>
            <w:r>
              <w:t xml:space="preserve">, </w:t>
            </w:r>
            <w:r>
              <w:fldChar w:fldCharType="begin"/>
            </w:r>
            <w:r>
              <w:instrText xml:space="preserve"> REF _Ref474421876 \r \h </w:instrText>
            </w:r>
            <w:r>
              <w:instrText xml:space="preserve"> \* MERGEFORMAT </w:instrText>
            </w:r>
            <w:r>
              <w:fldChar w:fldCharType="separate"/>
            </w:r>
            <w:r>
              <w:t xml:space="preserve">5.1.4</w:t>
            </w:r>
            <w:r>
              <w:fldChar w:fldCharType="end"/>
            </w:r>
            <w:r>
              <w:t xml:space="preserve">, </w:t>
            </w:r>
            <w:r>
              <w:fldChar w:fldCharType="begin"/>
            </w:r>
            <w:r>
              <w:instrText xml:space="preserve"> REF _Ref474504962 \r \h </w:instrText>
            </w:r>
            <w:r>
              <w:instrText xml:space="preserve"> \* MERGEFORMAT </w:instrText>
            </w:r>
            <w:r>
              <w:fldChar w:fldCharType="separate"/>
            </w:r>
            <w:r>
              <w:t xml:space="preserve">5.1.5</w:t>
            </w:r>
            <w:r>
              <w:fldChar w:fldCharType="end"/>
            </w:r>
            <w:r>
              <w:t xml:space="preserve">, </w:t>
            </w:r>
            <w:r>
              <w:fldChar w:fldCharType="begin"/>
            </w:r>
            <w:r>
              <w:instrText xml:space="preserve"> REF _Ref474747005 \r \h </w:instrText>
            </w:r>
            <w:r>
              <w:instrText xml:space="preserve"> \* MERGEFORMAT </w:instrText>
            </w:r>
            <w:r>
              <w:fldChar w:fldCharType="separate"/>
            </w:r>
            <w:r>
              <w:t xml:space="preserve">5.1.6</w:t>
            </w:r>
            <w:r>
              <w:fldChar w:fldCharType="end"/>
            </w:r>
            <w:r>
              <w:t xml:space="preserve">, </w:t>
            </w:r>
            <w:r>
              <w:fldChar w:fldCharType="begin"/>
            </w:r>
            <w:r>
              <w:instrText xml:space="preserve"> REF _Ref51937061 \r \h </w:instrText>
            </w:r>
            <w:r>
              <w:fldChar w:fldCharType="separate"/>
            </w:r>
            <w:r>
              <w:t xml:space="preserve">5.1.8</w:t>
            </w:r>
            <w:r>
              <w:fldChar w:fldCharType="end"/>
            </w:r>
            <w:r>
              <w:t xml:space="preserve">, </w:t>
            </w:r>
            <w:r>
              <w:fldChar w:fldCharType="begin"/>
            </w:r>
            <w:r>
              <w:instrText xml:space="preserve"> REF _Ref373061971 \r \h </w:instrText>
            </w:r>
            <w:r>
              <w:instrText xml:space="preserve"> \* MERGEFORMAT </w:instrText>
            </w:r>
            <w:r>
              <w:fldChar w:fldCharType="separate"/>
            </w:r>
            <w:r>
              <w:t xml:space="preserve">5.1.10</w:t>
            </w:r>
            <w:r>
              <w:fldChar w:fldCharType="end"/>
            </w:r>
            <w:r>
              <w:t xml:space="preserve">, </w:t>
            </w:r>
            <w:r>
              <w:fldChar w:fldCharType="begin"/>
            </w:r>
            <w:r>
              <w:instrText xml:space="preserve"> REF _Ref419282140 \r \h </w:instrText>
            </w:r>
            <w:r>
              <w:instrText xml:space="preserve"> \* MERGEFORMAT </w:instrText>
            </w:r>
            <w:r>
              <w:fldChar w:fldCharType="separate"/>
            </w:r>
            <w:r>
              <w:t xml:space="preserve">5.3.1</w:t>
            </w:r>
            <w:r>
              <w:fldChar w:fldCharType="end"/>
            </w:r>
            <w:r>
              <w:t xml:space="preserve">, </w:t>
            </w:r>
            <w:r>
              <w:fldChar w:fldCharType="begin"/>
            </w:r>
            <w:r>
              <w:instrText xml:space="preserve"> REF _Ref272416333 \r \h </w:instrText>
            </w:r>
            <w:r>
              <w:instrText xml:space="preserve"> \* MERGEFORMAT </w:instrText>
            </w:r>
            <w:r>
              <w:fldChar w:fldCharType="separate"/>
            </w:r>
            <w:r>
              <w:t xml:space="preserve">5.3.2</w:t>
            </w:r>
            <w:r>
              <w:fldChar w:fldCharType="end"/>
            </w:r>
            <w:r>
              <w:t xml:space="preserve">, </w:t>
            </w:r>
            <w:r>
              <w:fldChar w:fldCharType="begin"/>
            </w:r>
            <w:r>
              <w:instrText xml:space="preserve"> REF _Ref420320397 \r \h </w:instrText>
            </w:r>
            <w:r>
              <w:instrText xml:space="preserve"> \* MERGEFORMAT </w:instrText>
            </w:r>
            <w:r>
              <w:fldChar w:fldCharType="separate"/>
            </w:r>
            <w:r>
              <w:t xml:space="preserve">5.3.3</w:t>
            </w:r>
            <w:r>
              <w:fldChar w:fldCharType="end"/>
            </w:r>
            <w:r>
              <w:t xml:space="preserve">, </w:t>
            </w:r>
            <w:r>
              <w:fldChar w:fldCharType="begin"/>
            </w:r>
            <w:r>
              <w:instrText xml:space="preserve"> REF _Ref59718554 \r \h </w:instrText>
            </w:r>
            <w:r>
              <w:fldChar w:fldCharType="separate"/>
            </w:r>
            <w:r>
              <w:t xml:space="preserve">5.4.1</w:t>
            </w:r>
            <w:r>
              <w:fldChar w:fldCharType="end"/>
            </w:r>
            <w:r>
              <w:t xml:space="preserve">, </w:t>
            </w:r>
            <w:r>
              <w:fldChar w:fldCharType="begin"/>
            </w:r>
            <w:r>
              <w:instrText xml:space="preserve"> REF _Ref475098775 \r \h </w:instrText>
            </w:r>
            <w:r>
              <w:instrText xml:space="preserve"> \* MERGEFORMAT </w:instrText>
            </w:r>
            <w:r>
              <w:fldChar w:fldCharType="separate"/>
            </w:r>
            <w:r>
              <w:t xml:space="preserve">5.7.1</w:t>
            </w:r>
            <w:r>
              <w:fldChar w:fldCharType="end"/>
            </w:r>
            <w:r>
              <w:t xml:space="preserve">, </w:t>
            </w:r>
            <w:r>
              <w:fldChar w:fldCharType="begin"/>
            </w:r>
            <w:r>
              <w:instrText xml:space="preserve"> REF _Ref475098781 \r \h </w:instrText>
            </w:r>
            <w:r>
              <w:instrText xml:space="preserve"> \* MERGEFORMAT </w:instrText>
            </w:r>
            <w:r>
              <w:fldChar w:fldCharType="separate"/>
            </w:r>
            <w:r>
              <w:t xml:space="preserve">5.7.2</w:t>
            </w:r>
            <w:r>
              <w:fldChar w:fldCharType="end"/>
            </w:r>
            <w:r>
              <w:t xml:space="preserve">, </w:t>
            </w:r>
            <w:r>
              <w:fldChar w:fldCharType="begin"/>
            </w:r>
            <w:r>
              <w:instrText xml:space="preserve"> REF _Ref435196999 \r \h </w:instrText>
            </w:r>
            <w:r>
              <w:instrText xml:space="preserve"> \* MERGEFORMAT </w:instrText>
            </w:r>
            <w:r>
              <w:fldChar w:fldCharType="separate"/>
            </w:r>
            <w:r>
              <w:t xml:space="preserve">5.7.3</w:t>
            </w:r>
            <w:r>
              <w:fldChar w:fldCharType="end"/>
            </w:r>
            <w:r>
              <w:t xml:space="preserve">, </w:t>
            </w:r>
            <w:r>
              <w:fldChar w:fldCharType="begin"/>
            </w:r>
            <w:r>
              <w:instrText xml:space="preserve"> REF _Ref318206870 \r \h </w:instrText>
            </w:r>
            <w:r>
              <w:instrText xml:space="preserve"> \* MERGEFORMAT </w:instrText>
            </w:r>
            <w:r>
              <w:fldChar w:fldCharType="separate"/>
            </w:r>
            <w:r>
              <w:t xml:space="preserve">5.7.5</w:t>
            </w:r>
            <w:r>
              <w:fldChar w:fldCharType="end"/>
            </w:r>
            <w:r>
              <w:t xml:space="preserve">.</w:t>
            </w:r>
            <w:r/>
          </w:p>
          <w:p>
            <w:pPr>
              <w:pStyle w:val="1005"/>
              <w:ind w:left="57" w:right="57"/>
            </w:pPr>
            <w:r>
              <w:t xml:space="preserve">В соответствии с SUFD-94928 (SUFD-96416) актуал</w:t>
            </w:r>
            <w:r>
              <w:t xml:space="preserve">и</w:t>
            </w:r>
            <w:r>
              <w:t xml:space="preserve">зированы </w:t>
            </w:r>
            <w:r>
              <w:t xml:space="preserve">п</w:t>
            </w:r>
            <w:r>
              <w:t xml:space="preserve">п.</w:t>
            </w:r>
            <w:r>
              <w:t xml:space="preserve"> </w:t>
            </w:r>
            <w:r>
              <w:fldChar w:fldCharType="begin"/>
            </w:r>
            <w:r>
              <w:instrText xml:space="preserve"> REF _Ref474404511 \r \h  \* MERGEFORMAT </w:instrText>
            </w:r>
            <w:r>
              <w:fldChar w:fldCharType="separate"/>
            </w:r>
            <w:r>
              <w:t xml:space="preserve">5.1.1</w:t>
            </w:r>
            <w:r>
              <w:fldChar w:fldCharType="end"/>
            </w:r>
            <w:r>
              <w:t xml:space="preserve">, </w:t>
            </w:r>
            <w:r>
              <w:fldChar w:fldCharType="begin"/>
            </w:r>
            <w:r>
              <w:instrText xml:space="preserve"> REF _Ref359521322 \r \h  \* MERGEFORMAT </w:instrText>
            </w:r>
            <w:r>
              <w:fldChar w:fldCharType="separate"/>
            </w:r>
            <w:r>
              <w:t xml:space="preserve">5.1.2</w:t>
            </w:r>
            <w:r>
              <w:fldChar w:fldCharType="end"/>
            </w:r>
            <w:r>
              <w:t xml:space="preserve">, </w:t>
            </w:r>
            <w:r>
              <w:fldChar w:fldCharType="begin"/>
            </w:r>
            <w:r>
              <w:instrText xml:space="preserve"> REF _Ref474421876 \r \h  \* MERGEFORMAT </w:instrText>
            </w:r>
            <w:r>
              <w:fldChar w:fldCharType="separate"/>
            </w:r>
            <w:r>
              <w:t xml:space="preserve">5.1.4</w:t>
            </w:r>
            <w:r>
              <w:fldChar w:fldCharType="end"/>
            </w:r>
            <w:r>
              <w:t xml:space="preserve">, </w:t>
            </w:r>
            <w:r>
              <w:fldChar w:fldCharType="begin"/>
            </w:r>
            <w:r>
              <w:instrText xml:space="preserve"> REF _Ref474504962 \r \h  \* MERGEFORMAT </w:instrText>
            </w:r>
            <w:r>
              <w:fldChar w:fldCharType="separate"/>
            </w:r>
            <w:r>
              <w:t xml:space="preserve">5.1.5</w:t>
            </w:r>
            <w:r>
              <w:fldChar w:fldCharType="end"/>
            </w:r>
            <w:r>
              <w:t xml:space="preserve">, </w:t>
            </w:r>
            <w:r>
              <w:fldChar w:fldCharType="begin"/>
            </w:r>
            <w:r>
              <w:instrText xml:space="preserve"> REF _Ref373061971 \r \h  \* MERGEFORMAT </w:instrText>
            </w:r>
            <w:r>
              <w:fldChar w:fldCharType="separate"/>
            </w:r>
            <w:r>
              <w:t xml:space="preserve">5.1.10</w:t>
            </w:r>
            <w:r>
              <w:fldChar w:fldCharType="end"/>
            </w:r>
            <w:r>
              <w:t xml:space="preserve">, </w:t>
            </w:r>
            <w:r>
              <w:fldChar w:fldCharType="begin"/>
            </w:r>
            <w:r>
              <w:instrText xml:space="preserve"> REF _Ref419282140 \r \h  \* MERGEFORMAT </w:instrText>
            </w:r>
            <w:r>
              <w:fldChar w:fldCharType="separate"/>
            </w:r>
            <w:r>
              <w:t xml:space="preserve">5.3.1</w:t>
            </w:r>
            <w:r>
              <w:fldChar w:fldCharType="end"/>
            </w:r>
            <w:r>
              <w:t xml:space="preserve">, </w:t>
            </w:r>
            <w:r>
              <w:fldChar w:fldCharType="begin"/>
            </w:r>
            <w:r>
              <w:instrText xml:space="preserve"> REF _Ref420320397 \r \h  \* MERGEFORMAT </w:instrText>
            </w:r>
            <w:r>
              <w:fldChar w:fldCharType="separate"/>
            </w:r>
            <w:r>
              <w:t xml:space="preserve">5.3.3</w:t>
            </w:r>
            <w:r>
              <w:fldChar w:fldCharType="end"/>
            </w:r>
            <w:r>
              <w:t xml:space="preserve">, </w:t>
            </w:r>
            <w:r>
              <w:fldChar w:fldCharType="begin"/>
            </w:r>
            <w:r>
              <w:instrText xml:space="preserve"> REF _Ref59718583 \r \h </w:instrText>
            </w:r>
            <w:r>
              <w:fldChar w:fldCharType="separate"/>
            </w:r>
            <w:r>
              <w:t xml:space="preserve">5.4.1</w:t>
            </w:r>
            <w:r>
              <w:fldChar w:fldCharType="end"/>
            </w:r>
            <w:r>
              <w:t xml:space="preserve">, </w:t>
            </w:r>
            <w:r>
              <w:fldChar w:fldCharType="begin"/>
            </w:r>
            <w:r>
              <w:instrText xml:space="preserve"> REF _Ref475098775 \r \h  \* MERGEFORMAT </w:instrText>
            </w:r>
            <w:r>
              <w:fldChar w:fldCharType="separate"/>
            </w:r>
            <w:r>
              <w:t xml:space="preserve">5.7.1</w:t>
            </w:r>
            <w:r>
              <w:fldChar w:fldCharType="end"/>
            </w:r>
            <w:r>
              <w:t xml:space="preserve">, </w:t>
            </w:r>
            <w:r>
              <w:fldChar w:fldCharType="begin"/>
            </w:r>
            <w:r>
              <w:instrText xml:space="preserve"> REF _Ref475098781 \r \h  \* MERGEFORMAT </w:instrText>
            </w:r>
            <w:r>
              <w:fldChar w:fldCharType="separate"/>
            </w:r>
            <w:r>
              <w:t xml:space="preserve">5.7.2</w:t>
            </w:r>
            <w:r>
              <w:fldChar w:fldCharType="end"/>
            </w:r>
            <w:r>
              <w:t xml:space="preserve">.</w:t>
            </w:r>
            <w:r/>
          </w:p>
          <w:p>
            <w:pPr>
              <w:pStyle w:val="1005"/>
              <w:ind w:left="57" w:right="57"/>
            </w:pPr>
            <w:r>
              <w:t xml:space="preserve">В соответствии с SUFD-94118 (SUFD-95406) актуализирован п</w:t>
            </w:r>
            <w:r>
              <w:t xml:space="preserve">. </w:t>
            </w:r>
            <w:r>
              <w:fldChar w:fldCharType="begin"/>
            </w:r>
            <w:r>
              <w:instrText xml:space="preserve"> REF _Ref474936869 \r \h </w:instrText>
            </w:r>
            <w:r>
              <w:instrText xml:space="preserve"> \* MERGEFORMAT </w:instrText>
            </w:r>
            <w:r>
              <w:fldChar w:fldCharType="separate"/>
            </w:r>
            <w:r>
              <w:t xml:space="preserve">5.11.3</w:t>
            </w:r>
            <w:r>
              <w:fldChar w:fldCharType="end"/>
            </w:r>
            <w:r>
              <w:t xml:space="preserve">.</w:t>
            </w:r>
            <w:r/>
          </w:p>
          <w:p>
            <w:pPr>
              <w:pStyle w:val="1005"/>
              <w:ind w:left="57" w:right="57"/>
            </w:pPr>
            <w:r>
              <w:t xml:space="preserve">В соответствии с SUFD-94789 (SUFD-95735)</w:t>
            </w:r>
            <w:r>
              <w:t xml:space="preserve"> </w:t>
            </w:r>
            <w:r>
              <w:t xml:space="preserve">актуализирован п.</w:t>
            </w:r>
            <w:r>
              <w:t xml:space="preserve"> </w:t>
            </w:r>
            <w:r>
              <w:fldChar w:fldCharType="begin"/>
            </w:r>
            <w:r>
              <w:instrText xml:space="preserve"> REF _Ref476058582 \r \h </w:instrText>
            </w:r>
            <w:r>
              <w:fldChar w:fldCharType="separate"/>
            </w:r>
            <w:r>
              <w:t xml:space="preserve">5.16.1</w:t>
            </w:r>
            <w:r>
              <w:fldChar w:fldCharType="end"/>
            </w:r>
            <w:r>
              <w:t xml:space="preserve">.</w:t>
            </w:r>
            <w:r/>
          </w:p>
          <w:p>
            <w:pPr>
              <w:pStyle w:val="1005"/>
              <w:ind w:left="57" w:right="57"/>
            </w:pPr>
            <w:r>
              <w:t xml:space="preserve">В соответствии с SUFD-93777 (SUFD-95988) </w:t>
            </w:r>
            <w:r>
              <w:t xml:space="preserve">актуал</w:t>
            </w:r>
            <w:r>
              <w:t xml:space="preserve">и</w:t>
            </w:r>
            <w:r>
              <w:t xml:space="preserve">зирован п. </w:t>
            </w:r>
            <w:r>
              <w:fldChar w:fldCharType="begin"/>
            </w:r>
            <w:r>
              <w:instrText xml:space="preserve"> REF _Ref435196999 \r \h  \* MERGEFORMAT </w:instrText>
            </w:r>
            <w:r>
              <w:fldChar w:fldCharType="separate"/>
            </w:r>
            <w:r>
              <w:t xml:space="preserve">5.7.3</w:t>
            </w:r>
            <w:r>
              <w:fldChar w:fldCharType="end"/>
            </w:r>
            <w:r>
              <w:t xml:space="preserve">.</w:t>
            </w:r>
            <w:r/>
          </w:p>
          <w:p>
            <w:pPr>
              <w:pStyle w:val="1005"/>
              <w:ind w:left="57" w:right="57"/>
            </w:pPr>
            <w:r>
              <w:t xml:space="preserve">В соответствии с SUFD-93224 (SUFD-96922) актуализирован</w:t>
            </w:r>
            <w:r>
              <w:t xml:space="preserve">ы</w:t>
            </w:r>
            <w:r>
              <w:t xml:space="preserve"> </w:t>
            </w:r>
            <w:r>
              <w:t xml:space="preserve">п</w:t>
            </w:r>
            <w:r>
              <w:t xml:space="preserve">п. </w:t>
            </w:r>
            <w:r>
              <w:fldChar w:fldCharType="begin"/>
            </w:r>
            <w:r>
              <w:instrText xml:space="preserve"> REF _Ref480755918 \r \h </w:instrText>
            </w:r>
            <w:r>
              <w:fldChar w:fldCharType="separate"/>
            </w:r>
            <w:r>
              <w:t xml:space="preserve">5.1.6</w:t>
            </w:r>
            <w:r>
              <w:fldChar w:fldCharType="end"/>
            </w:r>
            <w:r>
              <w:t xml:space="preserve">, </w:t>
            </w:r>
            <w:r>
              <w:fldChar w:fldCharType="begin"/>
            </w:r>
            <w:r>
              <w:instrText xml:space="preserve"> REF _Ref355695440 \r \h </w:instrText>
            </w:r>
            <w:r>
              <w:fldChar w:fldCharType="separate"/>
            </w:r>
            <w:r>
              <w:t xml:space="preserve">5.11.2</w:t>
            </w:r>
            <w:r>
              <w:fldChar w:fldCharType="end"/>
            </w:r>
            <w:r>
              <w:t xml:space="preserve">, </w:t>
            </w:r>
            <w:r>
              <w:fldChar w:fldCharType="begin"/>
            </w:r>
            <w:r>
              <w:instrText xml:space="preserve"> REF _Ref480795837 \r \h </w:instrText>
            </w:r>
            <w:r>
              <w:fldChar w:fldCharType="separate"/>
            </w:r>
            <w:r>
              <w:t xml:space="preserve">5.11.5</w:t>
            </w:r>
            <w:r>
              <w:fldChar w:fldCharType="end"/>
            </w:r>
            <w:r>
              <w:t xml:space="preserve">.</w:t>
            </w:r>
            <w:r/>
          </w:p>
          <w:p>
            <w:pPr>
              <w:pStyle w:val="1005"/>
              <w:ind w:left="57" w:right="57"/>
            </w:pPr>
            <w:r>
              <w:t xml:space="preserve">В соответствии с</w:t>
            </w:r>
            <w:r>
              <w:t xml:space="preserve"> </w:t>
            </w:r>
            <w:r>
              <w:t xml:space="preserve">SUFD-96714</w:t>
            </w:r>
            <w:r>
              <w:t xml:space="preserve"> (</w:t>
            </w:r>
            <w:r>
              <w:t xml:space="preserve">SUFD-97398</w:t>
            </w:r>
            <w:r>
              <w:t xml:space="preserve">) </w:t>
            </w:r>
            <w:r>
              <w:t xml:space="preserve">актуал</w:t>
            </w:r>
            <w:r>
              <w:t xml:space="preserve">и</w:t>
            </w:r>
            <w:r>
              <w:t xml:space="preserve">зирован п</w:t>
            </w:r>
            <w:r>
              <w:t xml:space="preserve">. </w:t>
            </w:r>
            <w:r>
              <w:fldChar w:fldCharType="begin"/>
            </w:r>
            <w:r>
              <w:instrText xml:space="preserve"> REF _Ref480911077 \r \h </w:instrText>
            </w:r>
            <w:r>
              <w:fldChar w:fldCharType="separate"/>
            </w:r>
            <w:r>
              <w:t xml:space="preserve">5.7.1</w:t>
            </w:r>
            <w:r>
              <w:fldChar w:fldCharType="end"/>
            </w:r>
            <w:r>
              <w:t xml:space="preserve">.</w:t>
            </w:r>
            <w:r/>
          </w:p>
          <w:p>
            <w:pPr>
              <w:pStyle w:val="1005"/>
              <w:ind w:left="57" w:right="57"/>
            </w:pPr>
            <w:r>
              <w:t xml:space="preserve">В соответствии с SUFD-77296 (SUFD-96807) актуали</w:t>
            </w:r>
            <w:r>
              <w:t xml:space="preserve">зирован</w:t>
            </w:r>
            <w:r>
              <w:t xml:space="preserve">ы</w:t>
            </w:r>
            <w:r>
              <w:t xml:space="preserve"> </w:t>
            </w:r>
            <w:r>
              <w:t xml:space="preserve">п</w:t>
            </w:r>
            <w:r>
              <w:t xml:space="preserve">п. </w:t>
            </w:r>
            <w:r>
              <w:fldChar w:fldCharType="begin"/>
            </w:r>
            <w:r>
              <w:instrText xml:space="preserve"> REF _Ref480982294 \r \h </w:instrText>
            </w:r>
            <w:r>
              <w:fldChar w:fldCharType="separate"/>
            </w:r>
            <w:r>
              <w:t xml:space="preserve">5.9.3</w:t>
            </w:r>
            <w:r>
              <w:fldChar w:fldCharType="end"/>
            </w:r>
            <w:r>
              <w:t xml:space="preserve">, </w:t>
            </w:r>
            <w:r>
              <w:fldChar w:fldCharType="begin"/>
            </w:r>
            <w:r>
              <w:instrText xml:space="preserve"> REF _Ref355695440 \r \h </w:instrText>
            </w:r>
            <w:r>
              <w:fldChar w:fldCharType="separate"/>
            </w:r>
            <w:r>
              <w:t xml:space="preserve">5.11.2</w:t>
            </w:r>
            <w:r>
              <w:fldChar w:fldCharType="end"/>
            </w:r>
            <w:r>
              <w:t xml:space="preserve">.</w:t>
            </w:r>
            <w:r/>
          </w:p>
        </w:tc>
      </w:tr>
      <w:tr>
        <w:trPr/>
        <w:tc>
          <w:tcPr>
            <w:shd w:val="clear" w:fill="auto" w:color="auto"/>
            <w:tcW w:w="412" w:type="pct"/>
            <w:textDirection w:val="lrTb"/>
            <w:noWrap w:val="false"/>
          </w:tcPr>
          <w:p>
            <w:pPr>
              <w:pStyle w:val="1005"/>
              <w:ind w:left="57" w:right="57"/>
            </w:pPr>
            <w:r>
              <w:t xml:space="preserve">10.1</w:t>
            </w:r>
            <w:r/>
          </w:p>
        </w:tc>
        <w:tc>
          <w:tcPr>
            <w:shd w:val="clear" w:fill="auto" w:color="auto"/>
            <w:tcW w:w="635" w:type="pct"/>
            <w:textDirection w:val="lrTb"/>
            <w:noWrap w:val="false"/>
          </w:tcPr>
          <w:p>
            <w:pPr>
              <w:pStyle w:val="1005"/>
              <w:ind w:left="57" w:right="57"/>
            </w:pPr>
            <w:r>
              <w:t xml:space="preserve">3</w:t>
            </w:r>
            <w:r>
              <w:t xml:space="preserve">1</w:t>
            </w:r>
            <w:r>
              <w:t xml:space="preserve">.05.2017</w:t>
            </w:r>
            <w:r/>
          </w:p>
        </w:tc>
        <w:tc>
          <w:tcPr>
            <w:shd w:val="clear" w:fill="auto" w:color="auto"/>
            <w:tcW w:w="1017" w:type="pct"/>
            <w:textDirection w:val="lrTb"/>
            <w:noWrap w:val="false"/>
          </w:tcPr>
          <w:p>
            <w:pPr>
              <w:pStyle w:val="1005"/>
              <w:ind w:left="57" w:right="57"/>
            </w:pPr>
            <w:r>
              <w:t xml:space="preserve">Соколова Н.В.</w:t>
            </w:r>
            <w:r/>
          </w:p>
        </w:tc>
        <w:tc>
          <w:tcPr>
            <w:shd w:val="clear" w:fill="auto" w:color="auto"/>
            <w:tcW w:w="2936" w:type="pct"/>
            <w:textDirection w:val="lrTb"/>
            <w:noWrap w:val="false"/>
          </w:tcPr>
          <w:p>
            <w:pPr>
              <w:pStyle w:val="1005"/>
              <w:ind w:left="57" w:right="57"/>
            </w:pPr>
            <w:r>
              <w:t xml:space="preserve">В соответствии с SUFD-90050 (SUFD-98066) актуализи</w:t>
            </w:r>
            <w:r>
              <w:t xml:space="preserve">рован п. </w:t>
            </w:r>
            <w:r>
              <w:fldChar w:fldCharType="begin"/>
            </w:r>
            <w:r>
              <w:instrText xml:space="preserve"> REF _Ref483934435 \r \h </w:instrText>
            </w:r>
            <w:r>
              <w:fldChar w:fldCharType="separate"/>
            </w:r>
            <w:r>
              <w:t xml:space="preserve">5.9.3</w:t>
            </w:r>
            <w:r>
              <w:fldChar w:fldCharType="end"/>
            </w:r>
            <w:r>
              <w:t xml:space="preserve">.</w:t>
            </w:r>
            <w:r/>
          </w:p>
          <w:p>
            <w:pPr>
              <w:pStyle w:val="1005"/>
              <w:ind w:left="57" w:right="57"/>
            </w:pPr>
            <w:r>
              <w:t xml:space="preserve">В соответствии с SUFD-95511 (SUFD-98073) актуализирован п.</w:t>
            </w:r>
            <w:r>
              <w:t xml:space="preserve"> </w:t>
            </w:r>
            <w:r>
              <w:fldChar w:fldCharType="begin"/>
            </w:r>
            <w:r>
              <w:instrText xml:space="preserve"> REF _Ref474936869 \r \h  \* MERGEFORMAT </w:instrText>
            </w:r>
            <w:r>
              <w:fldChar w:fldCharType="separate"/>
            </w:r>
            <w:r>
              <w:t xml:space="preserve">5.11.3</w:t>
            </w:r>
            <w:r>
              <w:fldChar w:fldCharType="end"/>
            </w:r>
            <w:r>
              <w:t xml:space="preserve">.</w:t>
            </w:r>
            <w:r/>
          </w:p>
          <w:p>
            <w:pPr>
              <w:pStyle w:val="1005"/>
              <w:ind w:left="57" w:right="57"/>
            </w:pPr>
            <w:r>
              <w:t xml:space="preserve">В соответствии с </w:t>
            </w:r>
            <w:r>
              <w:tab/>
              <w:t xml:space="preserve">RFC-54483 </w:t>
            </w:r>
            <w:r>
              <w:t xml:space="preserve">актуали</w:t>
            </w:r>
            <w:r>
              <w:t xml:space="preserve">зирован п.</w:t>
            </w:r>
            <w:r>
              <w:t xml:space="preserve"> </w:t>
            </w:r>
            <w:r>
              <w:fldChar w:fldCharType="begin"/>
            </w:r>
            <w:r>
              <w:instrText xml:space="preserve"> REF _Ref485828100 \r \h </w:instrText>
            </w:r>
            <w:r>
              <w:fldChar w:fldCharType="separate"/>
            </w:r>
            <w:r>
              <w:t xml:space="preserve">4.2.3</w:t>
            </w:r>
            <w:r>
              <w:fldChar w:fldCharType="end"/>
            </w:r>
            <w:r/>
          </w:p>
        </w:tc>
      </w:tr>
      <w:tr>
        <w:trPr/>
        <w:tc>
          <w:tcPr>
            <w:shd w:val="clear" w:fill="auto" w:color="auto"/>
            <w:tcW w:w="412" w:type="pct"/>
            <w:textDirection w:val="lrTb"/>
            <w:noWrap w:val="false"/>
          </w:tcPr>
          <w:p>
            <w:pPr>
              <w:pStyle w:val="1005"/>
              <w:ind w:left="57" w:right="57"/>
            </w:pPr>
            <w:r>
              <w:t xml:space="preserve">10.2</w:t>
            </w:r>
            <w:r/>
          </w:p>
        </w:tc>
        <w:tc>
          <w:tcPr>
            <w:shd w:val="clear" w:fill="auto" w:color="auto"/>
            <w:tcW w:w="635" w:type="pct"/>
            <w:textDirection w:val="lrTb"/>
            <w:noWrap w:val="false"/>
          </w:tcPr>
          <w:p>
            <w:pPr>
              <w:pStyle w:val="1005"/>
              <w:ind w:left="57" w:right="57"/>
            </w:pPr>
            <w:r>
              <w:t xml:space="preserve">27.06.2017</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В соответствии с SUFD-92544 (SUFD-98095) актуализирован п. </w:t>
            </w:r>
            <w:r>
              <w:fldChar w:fldCharType="begin"/>
            </w:r>
            <w:r>
              <w:instrText xml:space="preserve"> REF _Ref486323628 \r \h </w:instrText>
            </w:r>
            <w:r>
              <w:fldChar w:fldCharType="separate"/>
            </w:r>
            <w:r>
              <w:t xml:space="preserve">5.1.6</w:t>
            </w:r>
            <w:r>
              <w:fldChar w:fldCharType="end"/>
            </w:r>
            <w:r>
              <w:t xml:space="preserve">.</w:t>
            </w:r>
            <w:r/>
          </w:p>
        </w:tc>
      </w:tr>
      <w:tr>
        <w:trPr/>
        <w:tc>
          <w:tcPr>
            <w:shd w:val="clear" w:fill="auto" w:color="auto"/>
            <w:tcW w:w="412" w:type="pct"/>
            <w:textDirection w:val="lrTb"/>
            <w:noWrap w:val="false"/>
          </w:tcPr>
          <w:p>
            <w:pPr>
              <w:pStyle w:val="1005"/>
              <w:ind w:left="57" w:right="57"/>
            </w:pPr>
            <w:r>
              <w:t xml:space="preserve">10.3</w:t>
            </w:r>
            <w:r/>
          </w:p>
        </w:tc>
        <w:tc>
          <w:tcPr>
            <w:shd w:val="clear" w:fill="auto" w:color="auto"/>
            <w:tcW w:w="635" w:type="pct"/>
            <w:textDirection w:val="lrTb"/>
            <w:noWrap w:val="false"/>
          </w:tcPr>
          <w:p>
            <w:pPr>
              <w:pStyle w:val="1005"/>
              <w:ind w:left="57" w:right="57"/>
            </w:pPr>
            <w:r>
              <w:t xml:space="preserve">11</w:t>
            </w:r>
            <w:r>
              <w:t xml:space="preserve">.07.2017</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Внесены изменения по требованиям к развитию ППО АСФК, предусмотренные государственным контрактом № ФКУ0240/06/2017 от 15.06.2017.</w:t>
            </w:r>
            <w:r/>
          </w:p>
          <w:p>
            <w:pPr>
              <w:pStyle w:val="1005"/>
              <w:ind w:left="57" w:right="57"/>
            </w:pPr>
            <w:r>
              <w:t xml:space="preserve">В соответствии с SUFD-99095 (SUFD-99331) актуализирован п.</w:t>
            </w:r>
            <w:r>
              <w:t xml:space="preserve"> </w:t>
            </w:r>
            <w:r>
              <w:fldChar w:fldCharType="begin"/>
            </w:r>
            <w:r>
              <w:instrText xml:space="preserve"> REF _Ref512603087 \r \h </w:instrText>
            </w:r>
            <w:r>
              <w:fldChar w:fldCharType="separate"/>
            </w:r>
            <w:r>
              <w:t xml:space="preserve">5.9.2</w:t>
            </w:r>
            <w:r>
              <w:fldChar w:fldCharType="end"/>
            </w:r>
            <w:r>
              <w:t xml:space="preserve">.</w:t>
            </w:r>
            <w:r/>
          </w:p>
        </w:tc>
      </w:tr>
      <w:tr>
        <w:trPr/>
        <w:tc>
          <w:tcPr>
            <w:shd w:val="clear" w:fill="auto" w:color="auto"/>
            <w:tcW w:w="412" w:type="pct"/>
            <w:textDirection w:val="lrTb"/>
            <w:noWrap w:val="false"/>
          </w:tcPr>
          <w:p>
            <w:pPr>
              <w:pStyle w:val="1005"/>
              <w:ind w:left="57" w:right="57"/>
            </w:pPr>
            <w:r>
              <w:t xml:space="preserve">10.4</w:t>
            </w:r>
            <w:r/>
          </w:p>
        </w:tc>
        <w:tc>
          <w:tcPr>
            <w:shd w:val="clear" w:fill="auto" w:color="auto"/>
            <w:tcW w:w="635" w:type="pct"/>
            <w:textDirection w:val="lrTb"/>
            <w:noWrap w:val="false"/>
          </w:tcPr>
          <w:p>
            <w:pPr>
              <w:pStyle w:val="1005"/>
              <w:ind w:left="57" w:right="57"/>
            </w:pPr>
            <w:r>
              <w:t xml:space="preserve">17.08.2017</w:t>
            </w:r>
            <w:r/>
          </w:p>
        </w:tc>
        <w:tc>
          <w:tcPr>
            <w:shd w:val="clear" w:fill="auto" w:color="auto"/>
            <w:tcW w:w="1017" w:type="pct"/>
            <w:textDirection w:val="lrTb"/>
            <w:noWrap w:val="false"/>
          </w:tcPr>
          <w:p>
            <w:pPr>
              <w:pStyle w:val="1005"/>
              <w:ind w:left="57" w:right="57"/>
            </w:pPr>
            <w:r>
              <w:t xml:space="preserve">Галкина Г. С.</w:t>
            </w:r>
            <w:r/>
          </w:p>
        </w:tc>
        <w:tc>
          <w:tcPr>
            <w:shd w:val="clear" w:fill="auto" w:color="auto"/>
            <w:tcW w:w="2936" w:type="pct"/>
            <w:textDirection w:val="lrTb"/>
            <w:noWrap w:val="false"/>
          </w:tcPr>
          <w:p>
            <w:pPr>
              <w:pStyle w:val="1005"/>
              <w:ind w:left="57" w:right="57"/>
            </w:pPr>
            <w:r>
              <w:t xml:space="preserve">Актуализированная редакция.</w:t>
            </w:r>
            <w:r/>
          </w:p>
        </w:tc>
      </w:tr>
      <w:tr>
        <w:trPr/>
        <w:tc>
          <w:tcPr>
            <w:shd w:val="clear" w:fill="auto" w:color="auto"/>
            <w:tcW w:w="412" w:type="pct"/>
            <w:textDirection w:val="lrTb"/>
            <w:noWrap w:val="false"/>
          </w:tcPr>
          <w:p>
            <w:pPr>
              <w:pStyle w:val="1005"/>
              <w:ind w:left="57" w:right="57"/>
            </w:pPr>
            <w:r>
              <w:t xml:space="preserve">10.</w:t>
            </w:r>
            <w:r>
              <w:t xml:space="preserve">5</w:t>
            </w:r>
            <w:r/>
          </w:p>
        </w:tc>
        <w:tc>
          <w:tcPr>
            <w:shd w:val="clear" w:fill="auto" w:color="auto"/>
            <w:tcW w:w="635" w:type="pct"/>
            <w:textDirection w:val="lrTb"/>
            <w:noWrap w:val="false"/>
          </w:tcPr>
          <w:p>
            <w:pPr>
              <w:pStyle w:val="1005"/>
              <w:ind w:left="57" w:right="57"/>
            </w:pPr>
            <w:r>
              <w:t xml:space="preserve">29</w:t>
            </w:r>
            <w:r>
              <w:t xml:space="preserve">.08.2017</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В соответствии с SUFD-92279 (SUFD-99744) актуализирован п.</w:t>
            </w:r>
            <w:r>
              <w:t xml:space="preserve"> </w:t>
            </w:r>
            <w:r>
              <w:fldChar w:fldCharType="begin"/>
            </w:r>
            <w:r>
              <w:instrText xml:space="preserve"> REF _Ref59718612 \r \h </w:instrText>
            </w:r>
            <w:r>
              <w:fldChar w:fldCharType="separate"/>
            </w:r>
            <w:r>
              <w:t xml:space="preserve">5.4.1</w:t>
            </w:r>
            <w:r>
              <w:fldChar w:fldCharType="end"/>
            </w:r>
            <w:r>
              <w:t xml:space="preserve">.</w:t>
            </w:r>
            <w:r/>
          </w:p>
          <w:p>
            <w:pPr>
              <w:pStyle w:val="1005"/>
              <w:ind w:left="57" w:right="57"/>
            </w:pPr>
            <w:r>
              <w:t xml:space="preserve">В соответствии с SUFD-92279 (SUFD-99744) актуал</w:t>
            </w:r>
            <w:r>
              <w:t xml:space="preserve">и</w:t>
            </w:r>
            <w:r>
              <w:t xml:space="preserve">зирован п.</w:t>
            </w:r>
            <w:r>
              <w:fldChar w:fldCharType="begin"/>
            </w:r>
            <w:r>
              <w:instrText xml:space="preserve"> REF _Ref480795837 \r \h </w:instrText>
            </w:r>
            <w:r>
              <w:fldChar w:fldCharType="separate"/>
            </w:r>
            <w:r>
              <w:t xml:space="preserve">5.11.5</w:t>
            </w:r>
            <w:r>
              <w:fldChar w:fldCharType="end"/>
            </w:r>
            <w:r>
              <w:t xml:space="preserve">.</w:t>
            </w:r>
            <w:r/>
          </w:p>
          <w:p>
            <w:pPr>
              <w:pStyle w:val="1005"/>
              <w:ind w:left="57" w:right="57"/>
            </w:pPr>
            <w:r>
              <w:t xml:space="preserve">В соответствии с SUFD-9</w:t>
            </w:r>
            <w:r>
              <w:t xml:space="preserve">8947</w:t>
            </w:r>
            <w:r>
              <w:t xml:space="preserve"> (SUFD-99</w:t>
            </w:r>
            <w:r>
              <w:t xml:space="preserve">749</w:t>
            </w:r>
            <w:r>
              <w:t xml:space="preserve">) актуализирован</w:t>
            </w:r>
            <w:r>
              <w:t xml:space="preserve"> п. </w:t>
            </w:r>
            <w:r>
              <w:fldChar w:fldCharType="begin"/>
            </w:r>
            <w:r>
              <w:instrText xml:space="preserve"> REF _Ref490217727 \r \h </w:instrText>
            </w:r>
            <w:r>
              <w:fldChar w:fldCharType="separate"/>
            </w:r>
            <w:r>
              <w:t xml:space="preserve">5.9.3</w:t>
            </w:r>
            <w:r>
              <w:fldChar w:fldCharType="end"/>
            </w:r>
            <w:r>
              <w:t xml:space="preserve">.</w:t>
            </w:r>
            <w:r/>
          </w:p>
          <w:p>
            <w:pPr>
              <w:pStyle w:val="1005"/>
              <w:ind w:left="57" w:right="57"/>
            </w:pPr>
            <w:r>
              <w:t xml:space="preserve">В соответствии с SUFD-88432 (SUFD-99825) добавлен п.</w:t>
            </w:r>
            <w:r>
              <w:fldChar w:fldCharType="begin"/>
            </w:r>
            <w:r>
              <w:instrText xml:space="preserve"> REF _Ref490557310 \r \h </w:instrText>
            </w:r>
            <w:r>
              <w:fldChar w:fldCharType="separate"/>
            </w:r>
            <w:r>
              <w:t xml:space="preserve">5.1.17</w:t>
            </w:r>
            <w:r>
              <w:fldChar w:fldCharType="end"/>
            </w:r>
            <w:r>
              <w:t xml:space="preserve">.</w:t>
            </w:r>
            <w:r/>
          </w:p>
        </w:tc>
      </w:tr>
      <w:tr>
        <w:trPr/>
        <w:tc>
          <w:tcPr>
            <w:shd w:val="clear" w:fill="auto" w:color="auto"/>
            <w:tcW w:w="412" w:type="pct"/>
            <w:textDirection w:val="lrTb"/>
            <w:noWrap w:val="false"/>
          </w:tcPr>
          <w:p>
            <w:pPr>
              <w:pStyle w:val="1005"/>
              <w:ind w:left="57" w:right="57"/>
            </w:pPr>
            <w:r>
              <w:t xml:space="preserve">10.6</w:t>
            </w:r>
            <w:r/>
          </w:p>
        </w:tc>
        <w:tc>
          <w:tcPr>
            <w:shd w:val="clear" w:fill="auto" w:color="auto"/>
            <w:tcW w:w="635" w:type="pct"/>
            <w:textDirection w:val="lrTb"/>
            <w:noWrap w:val="false"/>
          </w:tcPr>
          <w:p>
            <w:pPr>
              <w:pStyle w:val="1005"/>
              <w:ind w:left="57" w:right="57"/>
            </w:pPr>
            <w:r>
              <w:t xml:space="preserve">09</w:t>
            </w:r>
            <w:r>
              <w:t xml:space="preserve">.10.2017</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Плановая актуализация документа.</w:t>
            </w:r>
            <w:r/>
          </w:p>
        </w:tc>
      </w:tr>
      <w:tr>
        <w:trPr/>
        <w:tc>
          <w:tcPr>
            <w:shd w:val="clear" w:fill="auto" w:color="auto"/>
            <w:tcW w:w="412" w:type="pct"/>
            <w:textDirection w:val="lrTb"/>
            <w:noWrap w:val="false"/>
          </w:tcPr>
          <w:p>
            <w:pPr>
              <w:pStyle w:val="1005"/>
              <w:ind w:left="57" w:right="57"/>
            </w:pPr>
            <w:r>
              <w:t xml:space="preserve">10.7</w:t>
            </w:r>
            <w:r/>
          </w:p>
        </w:tc>
        <w:tc>
          <w:tcPr>
            <w:shd w:val="clear" w:fill="auto" w:color="auto"/>
            <w:tcW w:w="635" w:type="pct"/>
            <w:textDirection w:val="lrTb"/>
            <w:noWrap w:val="false"/>
          </w:tcPr>
          <w:p>
            <w:pPr>
              <w:pStyle w:val="1005"/>
              <w:ind w:left="57" w:right="57"/>
            </w:pPr>
            <w:r>
              <w:t xml:space="preserve">2</w:t>
            </w:r>
            <w:r>
              <w:t xml:space="preserve">9.11</w:t>
            </w:r>
            <w:r>
              <w:t xml:space="preserve">.2017</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В соответствии с SUFD-96989 (SUFD-101962) актуализирован</w:t>
            </w:r>
            <w:r>
              <w:t xml:space="preserve">ы</w:t>
            </w:r>
            <w:r>
              <w:t xml:space="preserve"> </w:t>
            </w:r>
            <w:r>
              <w:t xml:space="preserve">п</w:t>
            </w:r>
            <w:r>
              <w:t xml:space="preserve">п. </w:t>
            </w:r>
            <w:r>
              <w:fldChar w:fldCharType="begin"/>
            </w:r>
            <w:r>
              <w:instrText xml:space="preserve"> REF _Ref480795837 \r \h </w:instrText>
            </w:r>
            <w:r>
              <w:fldChar w:fldCharType="separate"/>
            </w:r>
            <w:r>
              <w:t xml:space="preserve">5.11.5</w:t>
            </w:r>
            <w:r>
              <w:fldChar w:fldCharType="end"/>
            </w:r>
            <w:r>
              <w:t xml:space="preserve">, </w:t>
            </w:r>
            <w:r>
              <w:fldChar w:fldCharType="begin"/>
            </w:r>
            <w:r>
              <w:instrText xml:space="preserve"> REF _Ref59718868 \r \h </w:instrText>
            </w:r>
            <w:r>
              <w:fldChar w:fldCharType="separate"/>
            </w:r>
            <w:r>
              <w:t xml:space="preserve">5.4.1</w:t>
            </w:r>
            <w:r>
              <w:fldChar w:fldCharType="end"/>
            </w:r>
            <w:r>
              <w:t xml:space="preserve">, </w:t>
            </w:r>
            <w:r>
              <w:fldChar w:fldCharType="begin"/>
            </w:r>
            <w:r>
              <w:instrText xml:space="preserve"> REF _Ref419282140 \r \h </w:instrText>
            </w:r>
            <w:r>
              <w:fldChar w:fldCharType="separate"/>
            </w:r>
            <w:r>
              <w:t xml:space="preserve">5.3.1</w:t>
            </w:r>
            <w:r>
              <w:fldChar w:fldCharType="end"/>
            </w:r>
            <w:r>
              <w:t xml:space="preserve">, </w:t>
            </w:r>
            <w:r>
              <w:fldChar w:fldCharType="begin"/>
            </w:r>
            <w:r>
              <w:instrText xml:space="preserve"> REF _Ref272416333 \r \h </w:instrText>
            </w:r>
            <w:r>
              <w:fldChar w:fldCharType="separate"/>
            </w:r>
            <w:r>
              <w:t xml:space="preserve">5.3.2</w:t>
            </w:r>
            <w:r>
              <w:fldChar w:fldCharType="end"/>
            </w:r>
            <w:r>
              <w:t xml:space="preserve">.</w:t>
            </w:r>
            <w:r/>
          </w:p>
          <w:p>
            <w:pPr>
              <w:pStyle w:val="1005"/>
              <w:ind w:left="57" w:right="57"/>
            </w:pPr>
            <w:r>
              <w:t xml:space="preserve">В соответствии с SUFD-96376 (102014) актуализирован п.</w:t>
            </w:r>
            <w:r>
              <w:t xml:space="preserve"> </w:t>
            </w:r>
            <w:r>
              <w:fldChar w:fldCharType="begin"/>
            </w:r>
            <w:r>
              <w:instrText xml:space="preserve"> REF _Ref357699450 \r \h </w:instrText>
            </w:r>
            <w:r>
              <w:fldChar w:fldCharType="separate"/>
            </w:r>
            <w:r>
              <w:t xml:space="preserve">5.5.1</w:t>
            </w:r>
            <w:r>
              <w:fldChar w:fldCharType="end"/>
            </w:r>
            <w:r>
              <w:t xml:space="preserve">.</w:t>
            </w:r>
            <w:r/>
          </w:p>
          <w:p>
            <w:pPr>
              <w:pStyle w:val="1005"/>
              <w:ind w:left="57" w:right="57"/>
            </w:pPr>
            <w:r>
              <w:t xml:space="preserve">В соответствии с SUFD-100110 (SUFD-100749) актуализирован п.</w:t>
            </w:r>
            <w:r>
              <w:t xml:space="preserve"> </w:t>
            </w:r>
            <w:r>
              <w:fldChar w:fldCharType="begin"/>
            </w:r>
            <w:r>
              <w:instrText xml:space="preserve"> REF _Ref512603087 \r \h </w:instrText>
            </w:r>
            <w:r>
              <w:fldChar w:fldCharType="separate"/>
            </w:r>
            <w:r>
              <w:t xml:space="preserve">5.9.2</w:t>
            </w:r>
            <w:r>
              <w:fldChar w:fldCharType="end"/>
            </w:r>
            <w:r>
              <w:t xml:space="preserve">.</w:t>
            </w:r>
            <w:r/>
          </w:p>
          <w:p>
            <w:pPr>
              <w:pStyle w:val="1005"/>
              <w:ind w:left="57" w:right="57"/>
            </w:pPr>
            <w:r>
              <w:t xml:space="preserve">В соответствии с</w:t>
            </w:r>
            <w:r>
              <w:t xml:space="preserve"> </w:t>
            </w:r>
            <w:r>
              <w:t xml:space="preserve">SUFD-97088</w:t>
            </w:r>
            <w:r>
              <w:t xml:space="preserve"> (</w:t>
            </w:r>
            <w:r>
              <w:t xml:space="preserve">SUFD-97788</w:t>
            </w:r>
            <w:r>
              <w:t xml:space="preserve">) добавлен п. </w:t>
            </w:r>
            <w:r>
              <w:fldChar w:fldCharType="begin"/>
            </w:r>
            <w:r>
              <w:instrText xml:space="preserve"> REF _Ref482284809 \r \h </w:instrText>
            </w:r>
            <w:r>
              <w:fldChar w:fldCharType="separate"/>
            </w:r>
            <w:r>
              <w:t xml:space="preserve">5.1.10</w:t>
            </w:r>
            <w:r>
              <w:fldChar w:fldCharType="end"/>
            </w:r>
            <w:r>
              <w:t xml:space="preserve">.</w:t>
            </w:r>
            <w:r/>
          </w:p>
          <w:p>
            <w:pPr>
              <w:pStyle w:val="1005"/>
              <w:ind w:left="57" w:right="57"/>
            </w:pPr>
            <w:r>
              <w:t xml:space="preserve">В соответствии с SUFD-96951 (SUFD-101596) акту</w:t>
            </w:r>
            <w:r>
              <w:t xml:space="preserve">а</w:t>
            </w:r>
            <w:r>
              <w:t xml:space="preserve">лизирован</w:t>
            </w:r>
            <w:r>
              <w:t xml:space="preserve">ы</w:t>
            </w:r>
            <w:r>
              <w:t xml:space="preserve"> </w:t>
            </w:r>
            <w:r>
              <w:t xml:space="preserve">п</w:t>
            </w:r>
            <w:r>
              <w:t xml:space="preserve">п. </w:t>
            </w:r>
            <w:r>
              <w:fldChar w:fldCharType="begin"/>
            </w:r>
            <w:r>
              <w:instrText xml:space="preserve"> REF _Ref494982869 \r \h </w:instrText>
            </w:r>
            <w:r>
              <w:fldChar w:fldCharType="separate"/>
            </w:r>
            <w:r>
              <w:t xml:space="preserve">5.1.10</w:t>
            </w:r>
            <w:r>
              <w:fldChar w:fldCharType="end"/>
            </w:r>
            <w:r>
              <w:t xml:space="preserve">, </w:t>
            </w:r>
            <w:r>
              <w:fldChar w:fldCharType="begin"/>
            </w:r>
            <w:r>
              <w:instrText xml:space="preserve"> REF _Ref419282140 \r \h </w:instrText>
            </w:r>
            <w:r>
              <w:fldChar w:fldCharType="separate"/>
            </w:r>
            <w:r>
              <w:t xml:space="preserve">5.3.1</w:t>
            </w:r>
            <w:r>
              <w:fldChar w:fldCharType="end"/>
            </w:r>
            <w:r>
              <w:t xml:space="preserve">.</w:t>
            </w:r>
            <w:r/>
          </w:p>
        </w:tc>
      </w:tr>
      <w:tr>
        <w:trPr/>
        <w:tc>
          <w:tcPr>
            <w:shd w:val="clear" w:fill="auto" w:color="auto"/>
            <w:tcW w:w="412" w:type="pct"/>
            <w:textDirection w:val="lrTb"/>
            <w:noWrap w:val="false"/>
          </w:tcPr>
          <w:p>
            <w:pPr>
              <w:pStyle w:val="1005"/>
              <w:ind w:left="57" w:right="57"/>
            </w:pPr>
            <w:r>
              <w:t xml:space="preserve">10.8</w:t>
            </w:r>
            <w:r/>
          </w:p>
        </w:tc>
        <w:tc>
          <w:tcPr>
            <w:shd w:val="clear" w:fill="auto" w:color="auto"/>
            <w:tcW w:w="635" w:type="pct"/>
            <w:textDirection w:val="lrTb"/>
            <w:noWrap w:val="false"/>
          </w:tcPr>
          <w:p>
            <w:pPr>
              <w:pStyle w:val="1005"/>
              <w:ind w:left="57" w:right="57"/>
            </w:pPr>
            <w:r>
              <w:t xml:space="preserve">21</w:t>
            </w:r>
            <w:r>
              <w:t xml:space="preserve">.12.2017</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-101357 (</w:t>
            </w:r>
            <w:r>
              <w:rPr>
                <w:lang w:val="en-US"/>
              </w:rPr>
              <w:t xml:space="preserve">SUFD</w:t>
            </w:r>
            <w:r>
              <w:t xml:space="preserve">-103961) </w:t>
            </w:r>
            <w:r>
              <w:t xml:space="preserve">актуализирован п. </w:t>
            </w:r>
            <w:r>
              <w:fldChar w:fldCharType="begin"/>
            </w:r>
            <w:r>
              <w:instrText xml:space="preserve"> REF _Ref299370510 \r \h </w:instrText>
            </w:r>
            <w:r>
              <w:fldChar w:fldCharType="separate"/>
            </w:r>
            <w:r>
              <w:t xml:space="preserve">5.13.1</w:t>
            </w:r>
            <w:r>
              <w:fldChar w:fldCharType="end"/>
            </w:r>
            <w:r>
              <w:t xml:space="preserve">.</w:t>
            </w:r>
            <w:r/>
          </w:p>
          <w:p>
            <w:pPr>
              <w:pStyle w:val="1005"/>
              <w:ind w:left="57" w:right="57"/>
            </w:pPr>
            <w:r>
              <w:t xml:space="preserve">В соответствии с SUFD-98860 (SUFD-103965) актуализирован п</w:t>
            </w:r>
            <w:r>
              <w:t xml:space="preserve">. </w:t>
            </w:r>
            <w:r>
              <w:fldChar w:fldCharType="begin"/>
            </w:r>
            <w:r>
              <w:instrText xml:space="preserve"> REF _Ref420330774 \r \h </w:instrText>
            </w:r>
            <w:r>
              <w:fldChar w:fldCharType="separate"/>
            </w:r>
            <w:r>
              <w:t xml:space="preserve">5.1.13</w:t>
            </w:r>
            <w:r>
              <w:fldChar w:fldCharType="end"/>
            </w:r>
            <w:r>
              <w:t xml:space="preserve">.</w:t>
            </w:r>
            <w:r/>
          </w:p>
          <w:p>
            <w:pPr>
              <w:pStyle w:val="1005"/>
              <w:ind w:left="57" w:right="57"/>
            </w:pPr>
            <w:r>
              <w:t xml:space="preserve">В соответствии с SUFD-102710 (SUFD-104259) актуализирован п. </w:t>
            </w:r>
            <w:r>
              <w:fldChar w:fldCharType="begin"/>
            </w:r>
            <w:r>
              <w:instrText xml:space="preserve"> REF _Ref420330774 \r \h </w:instrText>
            </w:r>
            <w:r>
              <w:fldChar w:fldCharType="separate"/>
            </w:r>
            <w:r>
              <w:t xml:space="preserve">5.1.13</w:t>
            </w:r>
            <w:r>
              <w:fldChar w:fldCharType="end"/>
            </w:r>
            <w:r>
              <w:t xml:space="preserve">.</w:t>
            </w:r>
            <w:r/>
          </w:p>
          <w:p>
            <w:pPr>
              <w:pStyle w:val="1005"/>
              <w:ind w:left="57" w:right="57"/>
            </w:pPr>
            <w:r>
              <w:t xml:space="preserve">В соответствии с SUFD-103160 (SUFD-104626) актуализирован п. </w:t>
            </w:r>
            <w:r>
              <w:fldChar w:fldCharType="begin"/>
            </w:r>
            <w:r>
              <w:instrText xml:space="preserve"> REF _Ref420320397 \r \h </w:instrText>
            </w:r>
            <w:r>
              <w:fldChar w:fldCharType="separate"/>
            </w:r>
            <w:r>
              <w:t xml:space="preserve">5.3.3</w:t>
            </w:r>
            <w:r>
              <w:fldChar w:fldCharType="end"/>
            </w:r>
            <w:r>
              <w:t xml:space="preserve">.</w:t>
            </w:r>
            <w:r/>
          </w:p>
          <w:p>
            <w:pPr>
              <w:pStyle w:val="1005"/>
              <w:ind w:left="57" w:right="57"/>
            </w:pPr>
            <w:r>
              <w:t xml:space="preserve">В соответствии с SUFD-100198 (SUFD-104721) актуализирован</w:t>
            </w:r>
            <w:r>
              <w:t xml:space="preserve">ы</w:t>
            </w:r>
            <w:r>
              <w:t xml:space="preserve"> </w:t>
            </w:r>
            <w:r>
              <w:t xml:space="preserve">п</w:t>
            </w:r>
            <w:r>
              <w:t xml:space="preserve">п. </w:t>
            </w:r>
            <w:r>
              <w:fldChar w:fldCharType="begin"/>
            </w:r>
            <w:r>
              <w:instrText xml:space="preserve"> REF _Ref501395159 \r \h </w:instrText>
            </w:r>
            <w:r>
              <w:fldChar w:fldCharType="separate"/>
            </w:r>
            <w:r>
              <w:t xml:space="preserve">5.7.1</w:t>
            </w:r>
            <w:r>
              <w:fldChar w:fldCharType="end"/>
            </w:r>
            <w:r>
              <w:t xml:space="preserve">, </w:t>
            </w:r>
            <w:r>
              <w:fldChar w:fldCharType="begin"/>
            </w:r>
            <w:r>
              <w:instrText xml:space="preserve"> REF _Ref501548885 \r \h </w:instrText>
            </w:r>
            <w:r>
              <w:fldChar w:fldCharType="separate"/>
            </w:r>
            <w:r>
              <w:t xml:space="preserve">5.7.2</w:t>
            </w:r>
            <w:r>
              <w:fldChar w:fldCharType="end"/>
            </w:r>
            <w:r>
              <w:t xml:space="preserve">.</w:t>
            </w:r>
            <w:r/>
          </w:p>
          <w:p>
            <w:pPr>
              <w:pStyle w:val="1005"/>
              <w:ind w:left="57" w:right="57"/>
            </w:pPr>
            <w:r>
              <w:t xml:space="preserve">В соответствии с SUFD-102533 (SUFD-103636) актуализирован п. </w:t>
            </w:r>
            <w:r>
              <w:fldChar w:fldCharType="begin"/>
            </w:r>
            <w:r>
              <w:instrText xml:space="preserve"> REF _Ref401587730 \r \h </w:instrText>
            </w:r>
            <w:r>
              <w:fldChar w:fldCharType="separate"/>
            </w:r>
            <w:r>
              <w:t xml:space="preserve">5.10.3</w:t>
            </w:r>
            <w:r>
              <w:fldChar w:fldCharType="end"/>
            </w:r>
            <w:r>
              <w:t xml:space="preserve">.</w:t>
            </w:r>
            <w:r/>
          </w:p>
        </w:tc>
      </w:tr>
      <w:tr>
        <w:trPr/>
        <w:tc>
          <w:tcPr>
            <w:shd w:val="clear" w:fill="auto" w:color="auto"/>
            <w:tcW w:w="412" w:type="pct"/>
            <w:textDirection w:val="lrTb"/>
            <w:noWrap w:val="false"/>
          </w:tcPr>
          <w:p>
            <w:pPr>
              <w:pStyle w:val="1005"/>
              <w:ind w:left="57" w:right="57"/>
            </w:pPr>
            <w:r>
              <w:t xml:space="preserve">10.9</w:t>
            </w:r>
            <w:r/>
          </w:p>
        </w:tc>
        <w:tc>
          <w:tcPr>
            <w:shd w:val="clear" w:fill="auto" w:color="auto"/>
            <w:tcW w:w="635" w:type="pct"/>
            <w:textDirection w:val="lrTb"/>
            <w:noWrap w:val="false"/>
          </w:tcPr>
          <w:p>
            <w:pPr>
              <w:pStyle w:val="1005"/>
              <w:ind w:left="57" w:right="57"/>
            </w:pPr>
            <w:r>
              <w:t xml:space="preserve">1</w:t>
            </w:r>
            <w:r>
              <w:t xml:space="preserve">2.02.2018</w:t>
            </w:r>
            <w:r/>
          </w:p>
        </w:tc>
        <w:tc>
          <w:tcPr>
            <w:shd w:val="clear" w:fill="auto" w:color="auto"/>
            <w:tcW w:w="1017" w:type="pct"/>
            <w:textDirection w:val="lrTb"/>
            <w:noWrap w:val="false"/>
          </w:tcPr>
          <w:p>
            <w:pPr>
              <w:pStyle w:val="1005"/>
              <w:ind w:left="57" w:right="57"/>
            </w:pPr>
            <w:r>
              <w:t xml:space="preserve">Сармосова А.В.</w:t>
            </w:r>
            <w:r>
              <w:t xml:space="preserve"> </w:t>
            </w:r>
            <w:r/>
          </w:p>
        </w:tc>
        <w:tc>
          <w:tcPr>
            <w:shd w:val="clear" w:fill="auto" w:color="auto"/>
            <w:tcW w:w="2936" w:type="pct"/>
            <w:textDirection w:val="lrTb"/>
            <w:noWrap w:val="false"/>
          </w:tcPr>
          <w:p>
            <w:pPr>
              <w:pStyle w:val="1005"/>
              <w:ind w:left="57" w:right="57"/>
            </w:pPr>
            <w:r>
              <w:t xml:space="preserve">В соответствии с SUFD-103958 (SUFD-105200) актуализирован</w:t>
            </w:r>
            <w:r>
              <w:t xml:space="preserve">ы</w:t>
            </w:r>
            <w:r>
              <w:t xml:space="preserve"> </w:t>
            </w:r>
            <w:r>
              <w:t xml:space="preserve">п</w:t>
            </w:r>
            <w:r>
              <w:t xml:space="preserve">п. </w:t>
            </w:r>
            <w:r>
              <w:fldChar w:fldCharType="begin"/>
            </w:r>
            <w:r>
              <w:instrText xml:space="preserve"> REF _Ref502218450 \r \h </w:instrText>
            </w:r>
            <w:r>
              <w:fldChar w:fldCharType="separate"/>
            </w:r>
            <w:r>
              <w:t xml:space="preserve">5.1.1</w:t>
            </w:r>
            <w:r>
              <w:fldChar w:fldCharType="end"/>
            </w:r>
            <w:r>
              <w:t xml:space="preserve">, </w:t>
            </w:r>
            <w:r>
              <w:fldChar w:fldCharType="begin"/>
            </w:r>
            <w:r>
              <w:instrText xml:space="preserve"> REF _Ref365452935 \r \h </w:instrText>
            </w:r>
            <w:r>
              <w:fldChar w:fldCharType="separate"/>
            </w:r>
            <w:r>
              <w:t xml:space="preserve">5.1.3</w:t>
            </w:r>
            <w:r>
              <w:fldChar w:fldCharType="end"/>
            </w:r>
            <w:r>
              <w:t xml:space="preserve">, </w:t>
            </w:r>
            <w:r>
              <w:fldChar w:fldCharType="begin"/>
            </w:r>
            <w:r>
              <w:instrText xml:space="preserve"> REF _Ref502237917 \r \h </w:instrText>
            </w:r>
            <w:r>
              <w:fldChar w:fldCharType="separate"/>
            </w:r>
            <w:r>
              <w:t xml:space="preserve">5.1.5</w:t>
            </w:r>
            <w:r>
              <w:fldChar w:fldCharType="end"/>
            </w:r>
            <w:r>
              <w:t xml:space="preserve">.</w:t>
            </w:r>
            <w:r/>
          </w:p>
          <w:p>
            <w:pPr>
              <w:pStyle w:val="1005"/>
              <w:ind w:left="57" w:right="57"/>
            </w:pPr>
            <w:r>
              <w:t xml:space="preserve">В соответствии с SUFD-104542 (SUFD-105202) актуализирован п. </w:t>
            </w:r>
            <w:r>
              <w:fldChar w:fldCharType="begin"/>
            </w:r>
            <w:r>
              <w:instrText xml:space="preserve"> REF _Ref503270182 \r \h </w:instrText>
            </w:r>
            <w:r>
              <w:fldChar w:fldCharType="separate"/>
            </w:r>
            <w:r>
              <w:t xml:space="preserve">5.14.1</w:t>
            </w:r>
            <w:r>
              <w:fldChar w:fldCharType="end"/>
            </w:r>
            <w:r>
              <w:t xml:space="preserve">.</w:t>
            </w:r>
            <w:r/>
          </w:p>
          <w:p>
            <w:pPr>
              <w:pStyle w:val="1005"/>
              <w:ind w:left="57" w:right="57"/>
            </w:pPr>
            <w:r>
              <w:t xml:space="preserve">В соответствии с SUFD-103253 (SUFD-105199) актуализирован п. </w:t>
            </w:r>
            <w:r>
              <w:fldChar w:fldCharType="begin"/>
            </w:r>
            <w:r>
              <w:instrText xml:space="preserve"> REF _Ref503774534 \r \h </w:instrText>
            </w:r>
            <w:r>
              <w:fldChar w:fldCharType="separate"/>
            </w:r>
            <w:r>
              <w:t xml:space="preserve">5.1.6</w:t>
            </w:r>
            <w:r>
              <w:fldChar w:fldCharType="end"/>
            </w:r>
            <w:r>
              <w:t xml:space="preserve">.</w:t>
            </w:r>
            <w:r/>
          </w:p>
          <w:p>
            <w:pPr>
              <w:pStyle w:val="1005"/>
              <w:ind w:left="57" w:right="57"/>
            </w:pPr>
            <w:r>
              <w:t xml:space="preserve">В соответствии с SUFD-105239 (SUFD-105665) актуализирован п. </w:t>
            </w:r>
            <w:r>
              <w:fldChar w:fldCharType="begin"/>
            </w:r>
            <w:r>
              <w:instrText xml:space="preserve"> REF _Ref504466348 \r \h </w:instrText>
            </w:r>
            <w:r>
              <w:fldChar w:fldCharType="separate"/>
            </w:r>
            <w:r>
              <w:t xml:space="preserve">5.18.1</w:t>
            </w:r>
            <w:r>
              <w:fldChar w:fldCharType="end"/>
            </w:r>
            <w:r>
              <w:t xml:space="preserve">.</w:t>
            </w:r>
            <w:r/>
          </w:p>
          <w:p>
            <w:pPr>
              <w:pStyle w:val="1005"/>
              <w:ind w:left="57" w:right="57"/>
            </w:pPr>
            <w:r>
              <w:t xml:space="preserve">В соответствии с SUFD-103901 (SUFD-105988) актуализирован</w:t>
            </w:r>
            <w:r>
              <w:t xml:space="preserve">ы</w:t>
            </w:r>
            <w:r>
              <w:t xml:space="preserve"> </w:t>
            </w:r>
            <w:r>
              <w:t xml:space="preserve">п</w:t>
            </w:r>
            <w:r>
              <w:t xml:space="preserve">п.</w:t>
            </w:r>
            <w:r>
              <w:t xml:space="preserve"> </w:t>
            </w:r>
            <w:r>
              <w:fldChar w:fldCharType="begin"/>
            </w:r>
            <w:r>
              <w:instrText xml:space="preserve"> REF _Ref505097280 \r \h </w:instrText>
            </w:r>
            <w:r>
              <w:fldChar w:fldCharType="separate"/>
            </w:r>
            <w:r>
              <w:t xml:space="preserve">5.1.1</w:t>
            </w:r>
            <w:r>
              <w:fldChar w:fldCharType="end"/>
            </w:r>
            <w:r>
              <w:t xml:space="preserve">, </w:t>
            </w:r>
            <w:r>
              <w:fldChar w:fldCharType="begin"/>
            </w:r>
            <w:r>
              <w:instrText xml:space="preserve"> REF _Ref359521322 \r \h </w:instrText>
            </w:r>
            <w:r>
              <w:fldChar w:fldCharType="separate"/>
            </w:r>
            <w:r>
              <w:t xml:space="preserve">5.1.2</w:t>
            </w:r>
            <w:r>
              <w:fldChar w:fldCharType="end"/>
            </w:r>
            <w:r>
              <w:t xml:space="preserve">,</w:t>
            </w:r>
            <w:r>
              <w:t xml:space="preserve"> </w:t>
            </w:r>
            <w:r>
              <w:fldChar w:fldCharType="begin"/>
            </w:r>
            <w:r>
              <w:instrText xml:space="preserve"> REF _Ref505161625 \r \h </w:instrText>
            </w:r>
            <w:r>
              <w:fldChar w:fldCharType="separate"/>
            </w:r>
            <w:r>
              <w:t xml:space="preserve">5.1.4</w:t>
            </w:r>
            <w:r>
              <w:fldChar w:fldCharType="end"/>
            </w:r>
            <w:r>
              <w:t xml:space="preserve">,</w:t>
            </w:r>
            <w:r>
              <w:t xml:space="preserve"> </w:t>
            </w:r>
            <w:r>
              <w:fldChar w:fldCharType="begin"/>
            </w:r>
            <w:r>
              <w:instrText xml:space="preserve"> REF _Ref505073330 \r \h </w:instrText>
            </w:r>
            <w:r>
              <w:fldChar w:fldCharType="separate"/>
            </w:r>
            <w:r>
              <w:t xml:space="preserve">5.1.5</w:t>
            </w:r>
            <w:r>
              <w:fldChar w:fldCharType="end"/>
            </w:r>
            <w:r>
              <w:t xml:space="preserve">.</w:t>
            </w:r>
            <w:r/>
          </w:p>
          <w:p>
            <w:pPr>
              <w:pStyle w:val="1005"/>
              <w:ind w:left="57" w:right="57"/>
            </w:pPr>
            <w:r>
              <w:t xml:space="preserve">В соответствии с SUFD-104239 (SUFD-106233) актуализирован п. </w:t>
            </w:r>
            <w:r>
              <w:fldChar w:fldCharType="begin"/>
            </w:r>
            <w:r>
              <w:instrText xml:space="preserve"> REF _Ref506193192 \r \h </w:instrText>
            </w:r>
            <w:r>
              <w:fldChar w:fldCharType="separate"/>
            </w:r>
            <w:r>
              <w:t xml:space="preserve">5.1.5</w:t>
            </w:r>
            <w:r>
              <w:fldChar w:fldCharType="end"/>
            </w:r>
            <w:r>
              <w:t xml:space="preserve">.</w:t>
            </w:r>
            <w:r/>
          </w:p>
        </w:tc>
      </w:tr>
      <w:tr>
        <w:trPr/>
        <w:tc>
          <w:tcPr>
            <w:shd w:val="clear" w:fill="auto" w:color="auto"/>
            <w:tcW w:w="412" w:type="pct"/>
            <w:textDirection w:val="lrTb"/>
            <w:noWrap w:val="false"/>
          </w:tcPr>
          <w:p>
            <w:pPr>
              <w:pStyle w:val="1005"/>
              <w:ind w:left="57" w:right="57"/>
            </w:pPr>
            <w:r>
              <w:t xml:space="preserve">11.0</w:t>
            </w:r>
            <w:r/>
          </w:p>
        </w:tc>
        <w:tc>
          <w:tcPr>
            <w:shd w:val="clear" w:fill="auto" w:color="auto"/>
            <w:tcW w:w="635" w:type="pct"/>
            <w:textDirection w:val="lrTb"/>
            <w:noWrap w:val="false"/>
          </w:tcPr>
          <w:p>
            <w:pPr>
              <w:pStyle w:val="1005"/>
              <w:ind w:left="57" w:right="57"/>
            </w:pPr>
            <w:r>
              <w:t xml:space="preserve">2</w:t>
            </w:r>
            <w:r>
              <w:t xml:space="preserve">1</w:t>
            </w:r>
            <w:r>
              <w:t xml:space="preserve">.03.2018</w:t>
            </w:r>
            <w:r/>
          </w:p>
        </w:tc>
        <w:tc>
          <w:tcPr>
            <w:shd w:val="clear" w:fill="auto" w:color="auto"/>
            <w:tcW w:w="1017" w:type="pct"/>
            <w:textDirection w:val="lrTb"/>
            <w:noWrap w:val="false"/>
          </w:tcPr>
          <w:p>
            <w:pPr>
              <w:pStyle w:val="1005"/>
              <w:ind w:left="57" w:right="57"/>
            </w:pPr>
            <w:r>
              <w:t xml:space="preserve">Сармосова А.В.</w:t>
            </w:r>
            <w:r>
              <w:t xml:space="preserve"> </w:t>
            </w:r>
            <w:r/>
          </w:p>
        </w:tc>
        <w:tc>
          <w:tcPr>
            <w:shd w:val="clear" w:fill="auto" w:color="auto"/>
            <w:tcW w:w="2936" w:type="pct"/>
            <w:textDirection w:val="lrTb"/>
            <w:noWrap w:val="false"/>
          </w:tcPr>
          <w:p>
            <w:pPr>
              <w:pStyle w:val="1005"/>
              <w:ind w:left="57" w:right="57"/>
            </w:pPr>
            <w:r>
              <w:t xml:space="preserve">В соответствии с SUFD-63544 (SUFD-106556) актуализирован п.</w:t>
            </w:r>
            <w:r>
              <w:t xml:space="preserve"> </w:t>
            </w:r>
            <w:r>
              <w:fldChar w:fldCharType="begin"/>
            </w:r>
            <w:r>
              <w:instrText xml:space="preserve"> REF _Ref512603087 \r \h </w:instrText>
            </w:r>
            <w:r>
              <w:fldChar w:fldCharType="separate"/>
            </w:r>
            <w:r>
              <w:t xml:space="preserve">5.9.2</w:t>
            </w:r>
            <w:r>
              <w:fldChar w:fldCharType="end"/>
            </w:r>
            <w:r>
              <w:t xml:space="preserve">.</w:t>
            </w:r>
            <w:r/>
          </w:p>
          <w:p>
            <w:pPr>
              <w:pStyle w:val="1005"/>
              <w:ind w:left="57" w:right="57"/>
            </w:pPr>
            <w:r>
              <w:t xml:space="preserve">В соответствии с SUFD-104239 (SUFD-106233) добавлен п. </w:t>
            </w:r>
            <w:r>
              <w:fldChar w:fldCharType="begin"/>
            </w:r>
            <w:r>
              <w:instrText xml:space="preserve"> REF _Ref508623527 \r \h </w:instrText>
            </w:r>
            <w:r>
              <w:fldChar w:fldCharType="separate"/>
            </w:r>
            <w:r>
              <w:t xml:space="preserve">5.7.4</w:t>
            </w:r>
            <w:r>
              <w:fldChar w:fldCharType="end"/>
            </w:r>
            <w:r>
              <w:t xml:space="preserve">.</w:t>
            </w:r>
            <w:r/>
          </w:p>
          <w:p>
            <w:pPr>
              <w:pStyle w:val="1005"/>
              <w:ind w:left="57" w:right="57"/>
            </w:pPr>
            <w:r>
              <w:t xml:space="preserve">В соответствии с SUFD-100866 (SUFD-107062) актуализирован</w:t>
            </w:r>
            <w:r>
              <w:t xml:space="preserve">ы</w:t>
            </w:r>
            <w:r>
              <w:t xml:space="preserve"> </w:t>
            </w:r>
            <w:r>
              <w:t xml:space="preserve">п</w:t>
            </w:r>
            <w:r>
              <w:t xml:space="preserve">п.</w:t>
            </w:r>
            <w:r>
              <w:t xml:space="preserve"> </w:t>
            </w:r>
            <w:r>
              <w:fldChar w:fldCharType="begin"/>
            </w:r>
            <w:r>
              <w:instrText xml:space="preserve"> REF _Ref512603087 \r \h </w:instrText>
            </w:r>
            <w:r>
              <w:fldChar w:fldCharType="separate"/>
            </w:r>
            <w:r>
              <w:t xml:space="preserve">5.9.2</w:t>
            </w:r>
            <w:r>
              <w:fldChar w:fldCharType="end"/>
            </w:r>
            <w:r>
              <w:t xml:space="preserve">, </w:t>
            </w:r>
            <w:r>
              <w:fldChar w:fldCharType="begin"/>
            </w:r>
            <w:r>
              <w:instrText xml:space="preserve"> REF _Ref509389082 \r \h </w:instrText>
            </w:r>
            <w:r>
              <w:fldChar w:fldCharType="separate"/>
            </w:r>
            <w:r>
              <w:t xml:space="preserve">5.9.3</w:t>
            </w:r>
            <w:r>
              <w:fldChar w:fldCharType="end"/>
            </w:r>
            <w:r>
              <w:t xml:space="preserve">.</w:t>
            </w:r>
            <w:r/>
          </w:p>
        </w:tc>
      </w:tr>
      <w:tr>
        <w:trPr/>
        <w:tc>
          <w:tcPr>
            <w:shd w:val="clear" w:fill="auto" w:color="auto"/>
            <w:tcW w:w="412" w:type="pct"/>
            <w:textDirection w:val="lrTb"/>
            <w:noWrap w:val="false"/>
          </w:tcPr>
          <w:p>
            <w:pPr>
              <w:pStyle w:val="1005"/>
              <w:ind w:left="57" w:right="57"/>
            </w:pPr>
            <w:r>
              <w:t xml:space="preserve">11.1</w:t>
            </w:r>
            <w:r/>
          </w:p>
        </w:tc>
        <w:tc>
          <w:tcPr>
            <w:shd w:val="clear" w:fill="auto" w:color="auto"/>
            <w:tcW w:w="635" w:type="pct"/>
            <w:textDirection w:val="lrTb"/>
            <w:noWrap w:val="false"/>
          </w:tcPr>
          <w:p>
            <w:pPr>
              <w:pStyle w:val="1005"/>
              <w:ind w:left="57" w:right="57"/>
            </w:pPr>
            <w:r>
              <w:t xml:space="preserve">27.03.2018</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В соответствии с SUFD-100763 (SUFD-107310) акту</w:t>
            </w:r>
            <w:r>
              <w:t xml:space="preserve">а</w:t>
            </w:r>
            <w:r>
              <w:t xml:space="preserve">лизирован п.</w:t>
            </w:r>
            <w:r>
              <w:t xml:space="preserve"> </w:t>
            </w:r>
            <w:r>
              <w:fldChar w:fldCharType="begin"/>
            </w:r>
            <w:r>
              <w:instrText xml:space="preserve"> REF _Ref512603087 \r \h </w:instrText>
            </w:r>
            <w:r>
              <w:fldChar w:fldCharType="separate"/>
            </w:r>
            <w:r>
              <w:t xml:space="preserve">5.9.2</w:t>
            </w:r>
            <w:r>
              <w:fldChar w:fldCharType="end"/>
            </w:r>
            <w:r>
              <w:t xml:space="preserve">.</w:t>
            </w:r>
            <w:r/>
          </w:p>
        </w:tc>
      </w:tr>
      <w:tr>
        <w:trPr/>
        <w:tc>
          <w:tcPr>
            <w:shd w:val="clear" w:fill="auto" w:color="auto"/>
            <w:tcW w:w="412" w:type="pct"/>
            <w:textDirection w:val="lrTb"/>
            <w:noWrap w:val="false"/>
          </w:tcPr>
          <w:p>
            <w:pPr>
              <w:pStyle w:val="1005"/>
              <w:ind w:left="57" w:right="57"/>
            </w:pPr>
            <w:r>
              <w:t xml:space="preserve">11.2</w:t>
            </w:r>
            <w:r/>
          </w:p>
        </w:tc>
        <w:tc>
          <w:tcPr>
            <w:shd w:val="clear" w:fill="auto" w:color="auto"/>
            <w:tcW w:w="635" w:type="pct"/>
            <w:textDirection w:val="lrTb"/>
            <w:noWrap w:val="false"/>
          </w:tcPr>
          <w:p>
            <w:pPr>
              <w:pStyle w:val="1005"/>
              <w:ind w:left="57" w:right="57"/>
            </w:pPr>
            <w:r>
              <w:t xml:space="preserve">12.04.2018</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В соответствии с SUFD-101441 (SUFD-103295) актуализирован п. </w:t>
            </w:r>
            <w:r>
              <w:fldChar w:fldCharType="begin"/>
            </w:r>
            <w:r>
              <w:instrText xml:space="preserve"> REF _Ref420330774 \r \h </w:instrText>
            </w:r>
            <w:r>
              <w:fldChar w:fldCharType="separate"/>
            </w:r>
            <w:r>
              <w:t xml:space="preserve">5.1.13</w:t>
            </w:r>
            <w:r>
              <w:fldChar w:fldCharType="end"/>
            </w:r>
            <w:r>
              <w:t xml:space="preserve">.</w:t>
            </w:r>
            <w:r/>
          </w:p>
        </w:tc>
      </w:tr>
      <w:tr>
        <w:trPr/>
        <w:tc>
          <w:tcPr>
            <w:shd w:val="clear" w:fill="auto" w:color="auto"/>
            <w:tcW w:w="412" w:type="pct"/>
            <w:textDirection w:val="lrTb"/>
            <w:noWrap w:val="false"/>
          </w:tcPr>
          <w:p>
            <w:pPr>
              <w:pStyle w:val="1005"/>
              <w:ind w:left="57" w:right="57"/>
            </w:pPr>
            <w:r>
              <w:t xml:space="preserve">11.3</w:t>
            </w:r>
            <w:r/>
          </w:p>
        </w:tc>
        <w:tc>
          <w:tcPr>
            <w:shd w:val="clear" w:fill="auto" w:color="auto"/>
            <w:tcW w:w="635" w:type="pct"/>
            <w:textDirection w:val="lrTb"/>
            <w:noWrap w:val="false"/>
          </w:tcPr>
          <w:p>
            <w:pPr>
              <w:pStyle w:val="1005"/>
              <w:ind w:left="57" w:right="57"/>
            </w:pPr>
            <w:r>
              <w:t xml:space="preserve">1</w:t>
            </w:r>
            <w:r>
              <w:t xml:space="preserve">9</w:t>
            </w:r>
            <w:r>
              <w:t xml:space="preserve">.04.2018</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В соответствии с SUFD-105585 (SUFD-108059) актуализирован</w:t>
            </w:r>
            <w:r>
              <w:t xml:space="preserve">ы</w:t>
            </w:r>
            <w:r>
              <w:t xml:space="preserve"> </w:t>
            </w:r>
            <w:r>
              <w:t xml:space="preserve">п</w:t>
            </w:r>
            <w:r>
              <w:t xml:space="preserve">п. </w:t>
            </w:r>
            <w:r>
              <w:fldChar w:fldCharType="begin"/>
            </w:r>
            <w:r>
              <w:instrText xml:space="preserve"> REF _Ref365452935 \r \h </w:instrText>
            </w:r>
            <w:r>
              <w:fldChar w:fldCharType="separate"/>
            </w:r>
            <w:r>
              <w:t xml:space="preserve">5.1.3</w:t>
            </w:r>
            <w:r>
              <w:fldChar w:fldCharType="end"/>
            </w:r>
            <w:r>
              <w:t xml:space="preserve">, </w:t>
            </w:r>
            <w:r>
              <w:fldChar w:fldCharType="begin"/>
            </w:r>
            <w:r>
              <w:instrText xml:space="preserve"> REF _Ref511903965 \r \h </w:instrText>
            </w:r>
            <w:r>
              <w:fldChar w:fldCharType="separate"/>
            </w:r>
            <w:r>
              <w:t xml:space="preserve">5.1.4</w:t>
            </w:r>
            <w:r>
              <w:fldChar w:fldCharType="end"/>
            </w:r>
            <w:r>
              <w:t xml:space="preserve">, </w:t>
            </w:r>
            <w:r>
              <w:fldChar w:fldCharType="begin"/>
            </w:r>
            <w:r>
              <w:instrText xml:space="preserve"> REF _Ref480795837 \r \h </w:instrText>
            </w:r>
            <w:r>
              <w:fldChar w:fldCharType="separate"/>
            </w:r>
            <w:r>
              <w:t xml:space="preserve">5.11.5</w:t>
            </w:r>
            <w:r>
              <w:fldChar w:fldCharType="end"/>
            </w:r>
            <w:r>
              <w:t xml:space="preserve">.</w:t>
            </w:r>
            <w:r/>
          </w:p>
        </w:tc>
      </w:tr>
      <w:tr>
        <w:trPr/>
        <w:tc>
          <w:tcPr>
            <w:shd w:val="clear" w:fill="auto" w:color="auto"/>
            <w:tcW w:w="412" w:type="pct"/>
            <w:textDirection w:val="lrTb"/>
            <w:noWrap w:val="false"/>
          </w:tcPr>
          <w:p>
            <w:pPr>
              <w:pStyle w:val="1005"/>
              <w:ind w:left="57" w:right="57"/>
            </w:pPr>
            <w:r>
              <w:t xml:space="preserve">11.4</w:t>
            </w:r>
            <w:r/>
          </w:p>
        </w:tc>
        <w:tc>
          <w:tcPr>
            <w:shd w:val="clear" w:fill="auto" w:color="auto"/>
            <w:tcW w:w="635" w:type="pct"/>
            <w:textDirection w:val="lrTb"/>
            <w:noWrap w:val="false"/>
          </w:tcPr>
          <w:p>
            <w:pPr>
              <w:pStyle w:val="1005"/>
              <w:ind w:left="57" w:right="57"/>
            </w:pPr>
            <w:r>
              <w:t xml:space="preserve">0</w:t>
            </w:r>
            <w:r>
              <w:t xml:space="preserve">4</w:t>
            </w:r>
            <w:r>
              <w:t xml:space="preserve">.05.2018</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В соответствии с SUFD-107345 (SUFD-108259) актуализирован</w:t>
            </w:r>
            <w:r>
              <w:t xml:space="preserve">ы</w:t>
            </w:r>
            <w:r>
              <w:t xml:space="preserve"> </w:t>
            </w:r>
            <w:r>
              <w:t xml:space="preserve">п</w:t>
            </w:r>
            <w:r>
              <w:t xml:space="preserve">п.</w:t>
            </w:r>
            <w:r>
              <w:t xml:space="preserve"> </w:t>
            </w:r>
            <w:r>
              <w:fldChar w:fldCharType="begin"/>
            </w:r>
            <w:r>
              <w:instrText xml:space="preserve"> REF _Ref512603087 \r \h </w:instrText>
            </w:r>
            <w:r>
              <w:fldChar w:fldCharType="separate"/>
            </w:r>
            <w:r>
              <w:t xml:space="preserve">5.9.2</w:t>
            </w:r>
            <w:r>
              <w:fldChar w:fldCharType="end"/>
            </w:r>
            <w:r>
              <w:t xml:space="preserve">,</w:t>
            </w:r>
            <w:r>
              <w:t xml:space="preserve"> </w:t>
            </w:r>
            <w:r>
              <w:fldChar w:fldCharType="begin"/>
            </w:r>
            <w:r>
              <w:instrText xml:space="preserve"> REF _Ref512590182 \r \h </w:instrText>
            </w:r>
            <w:r>
              <w:fldChar w:fldCharType="separate"/>
            </w:r>
            <w:r>
              <w:t xml:space="preserve">5.9.3</w:t>
            </w:r>
            <w:r>
              <w:fldChar w:fldCharType="end"/>
            </w:r>
            <w:r>
              <w:t xml:space="preserve">.</w:t>
            </w:r>
            <w:r/>
          </w:p>
        </w:tc>
      </w:tr>
      <w:tr>
        <w:trPr/>
        <w:tc>
          <w:tcPr>
            <w:shd w:val="clear" w:fill="auto" w:color="auto"/>
            <w:tcW w:w="412" w:type="pct"/>
            <w:textDirection w:val="lrTb"/>
            <w:noWrap w:val="false"/>
          </w:tcPr>
          <w:p>
            <w:pPr>
              <w:pStyle w:val="1005"/>
              <w:ind w:left="57" w:right="57"/>
            </w:pPr>
            <w:r>
              <w:t xml:space="preserve">11.5</w:t>
            </w:r>
            <w:r/>
          </w:p>
        </w:tc>
        <w:tc>
          <w:tcPr>
            <w:shd w:val="clear" w:fill="auto" w:color="auto"/>
            <w:tcW w:w="635" w:type="pct"/>
            <w:textDirection w:val="lrTb"/>
            <w:noWrap w:val="false"/>
          </w:tcPr>
          <w:p>
            <w:pPr>
              <w:pStyle w:val="1005"/>
              <w:ind w:left="57" w:right="57"/>
            </w:pPr>
            <w:r>
              <w:t xml:space="preserve">13</w:t>
            </w:r>
            <w:r>
              <w:t xml:space="preserve">.06.2018</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В соответствии с SUFD-105087 (SUFD-108631) актуализированы пп. </w:t>
            </w:r>
            <w:r>
              <w:fldChar w:fldCharType="begin"/>
            </w:r>
            <w:r>
              <w:instrText xml:space="preserve"> REF _Ref515023791 \r \h </w:instrText>
            </w:r>
            <w:r>
              <w:fldChar w:fldCharType="separate"/>
            </w:r>
            <w:r>
              <w:t xml:space="preserve">5.1.1</w:t>
            </w:r>
            <w:r>
              <w:fldChar w:fldCharType="end"/>
            </w:r>
            <w:r>
              <w:t xml:space="preserve">, </w:t>
            </w:r>
            <w:r>
              <w:fldChar w:fldCharType="begin"/>
            </w:r>
            <w:r>
              <w:instrText xml:space="preserve"> REF _Ref359521322 \r \h </w:instrText>
            </w:r>
            <w:r>
              <w:fldChar w:fldCharType="separate"/>
            </w:r>
            <w:r>
              <w:t xml:space="preserve">5.1.2</w:t>
            </w:r>
            <w:r>
              <w:fldChar w:fldCharType="end"/>
            </w:r>
            <w:r>
              <w:t xml:space="preserve">.</w:t>
            </w:r>
            <w:r/>
          </w:p>
        </w:tc>
      </w:tr>
      <w:tr>
        <w:trPr/>
        <w:tc>
          <w:tcPr>
            <w:shd w:val="clear" w:fill="auto" w:color="auto"/>
            <w:tcW w:w="412" w:type="pct"/>
            <w:textDirection w:val="lrTb"/>
            <w:noWrap w:val="false"/>
          </w:tcPr>
          <w:p>
            <w:pPr>
              <w:pStyle w:val="1005"/>
              <w:ind w:left="57" w:right="57"/>
            </w:pPr>
            <w:r>
              <w:t xml:space="preserve">11.6</w:t>
            </w:r>
            <w:r/>
          </w:p>
        </w:tc>
        <w:tc>
          <w:tcPr>
            <w:shd w:val="clear" w:fill="auto" w:color="auto"/>
            <w:tcW w:w="635" w:type="pct"/>
            <w:textDirection w:val="lrTb"/>
            <w:noWrap w:val="false"/>
          </w:tcPr>
          <w:p>
            <w:pPr>
              <w:pStyle w:val="1005"/>
              <w:ind w:left="57" w:right="57"/>
            </w:pPr>
            <w:r>
              <w:t xml:space="preserve">02.07.2018</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В соответствии с SUFD-106</w:t>
            </w:r>
            <w:r>
              <w:t xml:space="preserve">943</w:t>
            </w:r>
            <w:r>
              <w:t xml:space="preserve"> (SUFD-108365) акту</w:t>
            </w:r>
            <w:r>
              <w:t xml:space="preserve">а</w:t>
            </w:r>
            <w:r>
              <w:t xml:space="preserve">лизированы пп. </w:t>
            </w:r>
            <w:r>
              <w:fldChar w:fldCharType="begin"/>
            </w:r>
            <w:r>
              <w:instrText xml:space="preserve"> REF _Ref513120055 \r \h </w:instrText>
            </w:r>
            <w:r>
              <w:fldChar w:fldCharType="separate"/>
            </w:r>
            <w:r>
              <w:t xml:space="preserve">5.1.1</w:t>
            </w:r>
            <w:r>
              <w:fldChar w:fldCharType="end"/>
            </w:r>
            <w:r>
              <w:t xml:space="preserve">, </w:t>
            </w:r>
            <w:r>
              <w:fldChar w:fldCharType="begin"/>
            </w:r>
            <w:r>
              <w:instrText xml:space="preserve"> REF _Ref359521322 \r \h </w:instrText>
            </w:r>
            <w:r>
              <w:fldChar w:fldCharType="separate"/>
            </w:r>
            <w:r>
              <w:t xml:space="preserve">5.1.2</w:t>
            </w:r>
            <w:r>
              <w:fldChar w:fldCharType="end"/>
            </w:r>
            <w:r>
              <w:t xml:space="preserve">.</w:t>
            </w:r>
            <w:r/>
          </w:p>
          <w:p>
            <w:pPr>
              <w:pStyle w:val="1005"/>
              <w:ind w:left="57" w:right="57"/>
            </w:pPr>
            <w:r>
              <w:t xml:space="preserve">В соответствии с SUFD-103219 (SUFD-109256) акту</w:t>
            </w:r>
            <w:r>
              <w:t xml:space="preserve">а</w:t>
            </w:r>
            <w:r>
              <w:t xml:space="preserve">лизир</w:t>
            </w:r>
            <w:r>
              <w:t xml:space="preserve">о</w:t>
            </w:r>
            <w:r>
              <w:t xml:space="preserve">ван п. </w:t>
            </w:r>
            <w:r>
              <w:fldChar w:fldCharType="begin"/>
            </w:r>
            <w:r>
              <w:instrText xml:space="preserve"> REF _Ref420320397 \r \h </w:instrText>
            </w:r>
            <w:r>
              <w:fldChar w:fldCharType="separate"/>
            </w:r>
            <w:r>
              <w:t xml:space="preserve">5.3.3</w:t>
            </w:r>
            <w:r>
              <w:fldChar w:fldCharType="end"/>
            </w:r>
            <w:r>
              <w:t xml:space="preserve">.</w:t>
            </w:r>
            <w:r/>
          </w:p>
          <w:p>
            <w:pPr>
              <w:pStyle w:val="1005"/>
              <w:ind w:left="57" w:right="57"/>
            </w:pPr>
            <w:r>
              <w:t xml:space="preserve">В соответствии с SUFD-106103 (SUFD-109083) акту</w:t>
            </w:r>
            <w:r>
              <w:t xml:space="preserve">а</w:t>
            </w:r>
            <w:r>
              <w:t xml:space="preserve">лизирован п. </w:t>
            </w:r>
            <w:r>
              <w:fldChar w:fldCharType="begin"/>
            </w:r>
            <w:r>
              <w:instrText xml:space="preserve"> REF _Ref515889774 \r \h </w:instrText>
            </w:r>
            <w:r>
              <w:fldChar w:fldCharType="separate"/>
            </w:r>
            <w:r>
              <w:t xml:space="preserve">5.16.1</w:t>
            </w:r>
            <w:r>
              <w:fldChar w:fldCharType="end"/>
            </w:r>
            <w:r>
              <w:t xml:space="preserve">.</w:t>
            </w:r>
            <w:r/>
          </w:p>
          <w:p>
            <w:pPr>
              <w:pStyle w:val="1005"/>
              <w:ind w:left="57" w:right="57"/>
            </w:pPr>
            <w:r>
              <w:t xml:space="preserve">В соответствии с SUFD-103034 (SUFD-109257) актуализирован п. </w:t>
            </w:r>
            <w:r>
              <w:fldChar w:fldCharType="begin"/>
            </w:r>
            <w:r>
              <w:instrText xml:space="preserve"> REF _Ref435196999 \r \h </w:instrText>
            </w:r>
            <w:r>
              <w:fldChar w:fldCharType="separate"/>
            </w:r>
            <w:r>
              <w:t xml:space="preserve">5.7.3</w:t>
            </w:r>
            <w:r>
              <w:fldChar w:fldCharType="end"/>
            </w:r>
            <w:r>
              <w:t xml:space="preserve">.</w:t>
            </w:r>
            <w:r/>
          </w:p>
        </w:tc>
      </w:tr>
      <w:tr>
        <w:trPr/>
        <w:tc>
          <w:tcPr>
            <w:shd w:val="clear" w:fill="auto" w:color="auto"/>
            <w:tcW w:w="412" w:type="pct"/>
            <w:textDirection w:val="lrTb"/>
            <w:noWrap w:val="false"/>
          </w:tcPr>
          <w:p>
            <w:pPr>
              <w:pStyle w:val="1005"/>
              <w:ind w:left="57" w:right="57"/>
            </w:pPr>
            <w:r>
              <w:t xml:space="preserve">11.7</w:t>
            </w:r>
            <w:r/>
          </w:p>
        </w:tc>
        <w:tc>
          <w:tcPr>
            <w:shd w:val="clear" w:fill="auto" w:color="auto"/>
            <w:tcW w:w="635" w:type="pct"/>
            <w:textDirection w:val="lrTb"/>
            <w:noWrap w:val="false"/>
          </w:tcPr>
          <w:p>
            <w:pPr>
              <w:pStyle w:val="1005"/>
              <w:ind w:left="57" w:right="57"/>
            </w:pPr>
            <w:r>
              <w:t xml:space="preserve">0</w:t>
            </w:r>
            <w:r>
              <w:t xml:space="preserve">5</w:t>
            </w:r>
            <w:r>
              <w:t xml:space="preserve">.10.2018</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В соответствии с SUFD-106311 (SUFD-110834) актуализирован п. </w:t>
            </w:r>
            <w:r>
              <w:fldChar w:fldCharType="begin"/>
            </w:r>
            <w:r>
              <w:instrText xml:space="preserve"> REF _Ref522885187 \r \h </w:instrText>
            </w:r>
            <w:r>
              <w:fldChar w:fldCharType="separate"/>
            </w:r>
            <w:r>
              <w:t xml:space="preserve">5.1.5</w:t>
            </w:r>
            <w:r>
              <w:fldChar w:fldCharType="end"/>
            </w:r>
            <w:r>
              <w:t xml:space="preserve">.</w:t>
            </w:r>
            <w:r/>
          </w:p>
          <w:p>
            <w:pPr>
              <w:pStyle w:val="1005"/>
              <w:ind w:left="57" w:right="57"/>
            </w:pPr>
            <w:r>
              <w:t xml:space="preserve">В соответствии с SUFD-104431 (SUFD-110920) актуализирован</w:t>
            </w:r>
            <w:r>
              <w:t xml:space="preserve">ы</w:t>
            </w:r>
            <w:r>
              <w:t xml:space="preserve"> </w:t>
            </w:r>
            <w:r>
              <w:t xml:space="preserve">п</w:t>
            </w:r>
            <w:r>
              <w:t xml:space="preserve">п. </w:t>
            </w:r>
            <w:r>
              <w:fldChar w:fldCharType="begin"/>
            </w:r>
            <w:r>
              <w:instrText xml:space="preserve"> REF _Ref523328503 \r \h </w:instrText>
            </w:r>
            <w:r>
              <w:fldChar w:fldCharType="separate"/>
            </w:r>
            <w:r>
              <w:t xml:space="preserve">5.1.1</w:t>
            </w:r>
            <w:r>
              <w:fldChar w:fldCharType="end"/>
            </w:r>
            <w:r>
              <w:t xml:space="preserve">,</w:t>
            </w:r>
            <w:r>
              <w:t xml:space="preserve"> </w:t>
            </w:r>
            <w:r>
              <w:fldChar w:fldCharType="begin"/>
            </w:r>
            <w:r>
              <w:instrText xml:space="preserve"> REF _Ref365452935 \r \h </w:instrText>
            </w:r>
            <w:r>
              <w:fldChar w:fldCharType="separate"/>
            </w:r>
            <w:r>
              <w:t xml:space="preserve">5.1.3</w:t>
            </w:r>
            <w:r>
              <w:fldChar w:fldCharType="end"/>
            </w:r>
            <w:r>
              <w:t xml:space="preserve">,</w:t>
            </w:r>
            <w:r>
              <w:t xml:space="preserve"> </w:t>
            </w:r>
            <w:r>
              <w:fldChar w:fldCharType="begin"/>
            </w:r>
            <w:r>
              <w:instrText xml:space="preserve"> REF _Ref523387195 \r \h </w:instrText>
            </w:r>
            <w:r>
              <w:fldChar w:fldCharType="separate"/>
            </w:r>
            <w:r>
              <w:t xml:space="preserve">5.1.6</w:t>
            </w:r>
            <w:r>
              <w:fldChar w:fldCharType="end"/>
            </w:r>
            <w:r>
              <w:t xml:space="preserve">,</w:t>
            </w:r>
            <w:r>
              <w:t xml:space="preserve"> </w:t>
            </w:r>
            <w:r>
              <w:fldChar w:fldCharType="begin"/>
            </w:r>
            <w:r>
              <w:instrText xml:space="preserve"> REF _Ref482629311 \r \h </w:instrText>
            </w:r>
            <w:r>
              <w:fldChar w:fldCharType="separate"/>
            </w:r>
            <w:r>
              <w:t xml:space="preserve">5.1.7</w:t>
            </w:r>
            <w:r>
              <w:fldChar w:fldCharType="end"/>
            </w:r>
            <w:r>
              <w:t xml:space="preserve">, </w:t>
            </w:r>
            <w:r>
              <w:fldChar w:fldCharType="begin"/>
            </w:r>
            <w:r>
              <w:instrText xml:space="preserve"> REF _Ref51937061 \r \h </w:instrText>
            </w:r>
            <w:r>
              <w:fldChar w:fldCharType="separate"/>
            </w:r>
            <w:r>
              <w:t xml:space="preserve">5.1.8</w:t>
            </w:r>
            <w:r>
              <w:fldChar w:fldCharType="end"/>
            </w:r>
            <w:r>
              <w:t xml:space="preserve">, </w:t>
            </w:r>
            <w:r>
              <w:fldChar w:fldCharType="begin"/>
            </w:r>
            <w:r>
              <w:instrText xml:space="preserve"> REF _Ref420320397 \r \h </w:instrText>
            </w:r>
            <w:r>
              <w:fldChar w:fldCharType="separate"/>
            </w:r>
            <w:r>
              <w:t xml:space="preserve">5.3.3</w:t>
            </w:r>
            <w:r>
              <w:fldChar w:fldCharType="end"/>
            </w:r>
            <w:r>
              <w:t xml:space="preserve">, </w:t>
            </w:r>
            <w:r>
              <w:fldChar w:fldCharType="begin"/>
            </w:r>
            <w:r>
              <w:instrText xml:space="preserve"> REF _Ref435196999 \r \h </w:instrText>
            </w:r>
            <w:r>
              <w:fldChar w:fldCharType="separate"/>
            </w:r>
            <w:r>
              <w:t xml:space="preserve">5.7.3</w:t>
            </w:r>
            <w:r>
              <w:fldChar w:fldCharType="end"/>
            </w:r>
            <w:r>
              <w:t xml:space="preserve">.</w:t>
            </w:r>
            <w:r/>
          </w:p>
          <w:p>
            <w:pPr>
              <w:pStyle w:val="1005"/>
              <w:ind w:left="57" w:right="57"/>
            </w:pPr>
            <w:r>
              <w:t xml:space="preserve">В соответствии с SUFD-109272 (SUFD-111515)</w:t>
            </w:r>
            <w:r>
              <w:t xml:space="preserve"> актуализирован п. </w:t>
            </w:r>
            <w:r>
              <w:fldChar w:fldCharType="begin"/>
            </w:r>
            <w:r>
              <w:instrText xml:space="preserve"> REF _Ref526154313 \r \h </w:instrText>
            </w:r>
            <w:r>
              <w:fldChar w:fldCharType="separate"/>
            </w:r>
            <w:r>
              <w:t xml:space="preserve">5.1.10</w:t>
            </w:r>
            <w:r>
              <w:fldChar w:fldCharType="end"/>
            </w:r>
            <w:r>
              <w:t xml:space="preserve">.</w:t>
            </w:r>
            <w:r/>
          </w:p>
          <w:p>
            <w:pPr>
              <w:pStyle w:val="1005"/>
              <w:ind w:left="57" w:right="57"/>
            </w:pPr>
            <w:r>
              <w:t xml:space="preserve">В соответствии с RFC-72517 актуализирован п. </w:t>
            </w:r>
            <w:r>
              <w:fldChar w:fldCharType="begin"/>
            </w:r>
            <w:r>
              <w:instrText xml:space="preserve"> REF _Ref526520162 \r \h </w:instrText>
            </w:r>
            <w:r>
              <w:fldChar w:fldCharType="separate"/>
            </w:r>
            <w:r>
              <w:t xml:space="preserve">5.1.11</w:t>
            </w:r>
            <w:r>
              <w:fldChar w:fldCharType="end"/>
            </w:r>
            <w:r>
              <w:t xml:space="preserve">.</w:t>
            </w:r>
            <w:r/>
          </w:p>
        </w:tc>
      </w:tr>
      <w:tr>
        <w:trPr/>
        <w:tc>
          <w:tcPr>
            <w:shd w:val="clear" w:fill="auto" w:color="auto"/>
            <w:tcW w:w="412" w:type="pct"/>
            <w:textDirection w:val="lrTb"/>
            <w:noWrap w:val="false"/>
          </w:tcPr>
          <w:p>
            <w:pPr>
              <w:pStyle w:val="1005"/>
              <w:ind w:left="57" w:right="57"/>
            </w:pPr>
            <w:r>
              <w:t xml:space="preserve">11.8</w:t>
            </w:r>
            <w:r/>
          </w:p>
        </w:tc>
        <w:tc>
          <w:tcPr>
            <w:shd w:val="clear" w:fill="auto" w:color="auto"/>
            <w:tcW w:w="635" w:type="pct"/>
            <w:textDirection w:val="lrTb"/>
            <w:noWrap w:val="false"/>
          </w:tcPr>
          <w:p>
            <w:pPr>
              <w:pStyle w:val="1005"/>
              <w:ind w:left="57" w:right="57"/>
            </w:pPr>
            <w:r>
              <w:t xml:space="preserve">0</w:t>
            </w:r>
            <w:r>
              <w:t xml:space="preserve">5</w:t>
            </w:r>
            <w:r>
              <w:t xml:space="preserve">.12.2018</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-111508 (</w:t>
            </w:r>
            <w:r>
              <w:rPr>
                <w:lang w:val="en-US"/>
              </w:rPr>
              <w:t xml:space="preserve">SUFD</w:t>
            </w:r>
            <w:r>
              <w:t xml:space="preserve">-112300) </w:t>
            </w:r>
            <w:r>
              <w:t xml:space="preserve">актуализирован п. </w:t>
            </w:r>
            <w:r>
              <w:fldChar w:fldCharType="begin"/>
            </w:r>
            <w:r>
              <w:instrText xml:space="preserve"> REF _Ref528055878 \r \h </w:instrText>
            </w:r>
            <w:r>
              <w:fldChar w:fldCharType="separate"/>
            </w:r>
            <w:r>
              <w:t xml:space="preserve">5.1.6</w:t>
            </w:r>
            <w:r>
              <w:fldChar w:fldCharType="end"/>
            </w:r>
            <w:r>
              <w:t xml:space="preserve">.</w:t>
            </w:r>
            <w:r/>
          </w:p>
          <w:p>
            <w:pPr>
              <w:pStyle w:val="1005"/>
              <w:ind w:left="57" w:right="57"/>
            </w:pPr>
            <w:r>
              <w:t xml:space="preserve">В соответствии с </w:t>
            </w:r>
            <w:r>
              <w:rPr>
                <w:lang w:val="en-US"/>
              </w:rPr>
              <w:t xml:space="preserve">SUFD</w:t>
            </w:r>
            <w:r>
              <w:t xml:space="preserve">-98924 (</w:t>
            </w:r>
            <w:r>
              <w:rPr>
                <w:lang w:val="en-US"/>
              </w:rPr>
              <w:t xml:space="preserve">SUFD</w:t>
            </w:r>
            <w:r>
              <w:t xml:space="preserve">-112335) </w:t>
            </w:r>
            <w:r>
              <w:t xml:space="preserve">актуализирован п. </w:t>
            </w:r>
            <w:r>
              <w:fldChar w:fldCharType="begin"/>
            </w:r>
            <w:r>
              <w:instrText xml:space="preserve"> REF _Ref419282140 \r \h </w:instrText>
            </w:r>
            <w:r>
              <w:fldChar w:fldCharType="separate"/>
            </w:r>
            <w:r>
              <w:t xml:space="preserve">5.3.1</w:t>
            </w:r>
            <w:r>
              <w:fldChar w:fldCharType="end"/>
            </w:r>
            <w:r>
              <w:t xml:space="preserve">.</w:t>
            </w:r>
            <w:r/>
          </w:p>
          <w:p>
            <w:pPr>
              <w:pStyle w:val="1005"/>
              <w:ind w:left="57" w:right="57"/>
            </w:pPr>
            <w:r>
              <w:t xml:space="preserve">В соответствии с </w:t>
            </w:r>
            <w:r>
              <w:rPr>
                <w:lang w:val="en-US"/>
              </w:rPr>
              <w:t xml:space="preserve">SUFD</w:t>
            </w:r>
            <w:r>
              <w:t xml:space="preserve">-107689 (</w:t>
            </w:r>
            <w:r>
              <w:rPr>
                <w:lang w:val="en-US"/>
              </w:rPr>
              <w:t xml:space="preserve">SUFD</w:t>
            </w:r>
            <w:r>
              <w:t xml:space="preserve">-112378) </w:t>
            </w:r>
            <w:r>
              <w:t xml:space="preserve">актуализирован п. </w:t>
            </w:r>
            <w:r>
              <w:fldChar w:fldCharType="begin"/>
            </w:r>
            <w:r>
              <w:instrText xml:space="preserve"> REF _Ref528761411 \r \h </w:instrText>
            </w:r>
            <w:r>
              <w:fldChar w:fldCharType="separate"/>
            </w:r>
            <w:r>
              <w:t xml:space="preserve">5.9.3</w:t>
            </w:r>
            <w:r>
              <w:fldChar w:fldCharType="end"/>
            </w:r>
            <w:r>
              <w:t xml:space="preserve">.</w:t>
            </w:r>
            <w:r/>
          </w:p>
          <w:p>
            <w:pPr>
              <w:pStyle w:val="1005"/>
              <w:ind w:left="57" w:right="57"/>
            </w:pPr>
            <w:r>
              <w:t xml:space="preserve">В соответствии с </w:t>
            </w:r>
            <w:r>
              <w:rPr>
                <w:lang w:val="en-US"/>
              </w:rPr>
              <w:t xml:space="preserve">SUFD</w:t>
            </w:r>
            <w:r>
              <w:t xml:space="preserve">-109099 (</w:t>
            </w:r>
            <w:r>
              <w:rPr>
                <w:lang w:val="en-US"/>
              </w:rPr>
              <w:t xml:space="preserve">SUFD</w:t>
            </w:r>
            <w:r>
              <w:t xml:space="preserve">-113041) </w:t>
            </w:r>
            <w:r>
              <w:t xml:space="preserve">актуализирован</w:t>
            </w:r>
            <w:r>
              <w:t xml:space="preserve">ы</w:t>
            </w:r>
            <w:r>
              <w:t xml:space="preserve"> </w:t>
            </w:r>
            <w:r>
              <w:t xml:space="preserve">п</w:t>
            </w:r>
            <w:r>
              <w:t xml:space="preserve">п. </w:t>
            </w:r>
            <w:r>
              <w:fldChar w:fldCharType="begin"/>
            </w:r>
            <w:r>
              <w:instrText xml:space="preserve"> REF _Ref420330774 \r \h </w:instrText>
            </w:r>
            <w:r>
              <w:fldChar w:fldCharType="separate"/>
            </w:r>
            <w:r>
              <w:t xml:space="preserve">5.1.13</w:t>
            </w:r>
            <w:r>
              <w:fldChar w:fldCharType="end"/>
            </w:r>
            <w:r>
              <w:t xml:space="preserve">, </w:t>
            </w:r>
            <w:r>
              <w:fldChar w:fldCharType="begin"/>
            </w:r>
            <w:r>
              <w:instrText xml:space="preserve"> REF _Ref524531412 \r \h </w:instrText>
            </w:r>
            <w:r>
              <w:fldChar w:fldCharType="separate"/>
            </w:r>
            <w:r>
              <w:t xml:space="preserve">5.1.20</w:t>
            </w:r>
            <w:r>
              <w:fldChar w:fldCharType="end"/>
            </w:r>
            <w:r>
              <w:t xml:space="preserve">.</w:t>
            </w:r>
            <w:r/>
          </w:p>
          <w:p>
            <w:pPr>
              <w:pStyle w:val="1005"/>
              <w:ind w:left="57" w:right="57"/>
            </w:pPr>
            <w:r>
              <w:t xml:space="preserve">В соответствии с </w:t>
            </w:r>
            <w:r>
              <w:rPr>
                <w:lang w:val="en-US"/>
              </w:rPr>
              <w:t xml:space="preserve">SUFD</w:t>
            </w:r>
            <w:r>
              <w:t xml:space="preserve">-</w:t>
            </w:r>
            <w:r>
              <w:t xml:space="preserve">111511 (</w:t>
            </w:r>
            <w:r>
              <w:rPr>
                <w:lang w:val="en-US"/>
              </w:rPr>
              <w:t xml:space="preserve">SUFD</w:t>
            </w:r>
            <w:r>
              <w:t xml:space="preserve">-113131) </w:t>
            </w:r>
            <w:r>
              <w:t xml:space="preserve">актуализирован п. </w:t>
            </w:r>
            <w:r>
              <w:fldChar w:fldCharType="begin"/>
            </w:r>
            <w:r>
              <w:instrText xml:space="preserve"> REF _Ref531007962 \r \h </w:instrText>
            </w:r>
            <w:r>
              <w:fldChar w:fldCharType="separate"/>
            </w:r>
            <w:r>
              <w:t xml:space="preserve">5.7.6</w:t>
            </w:r>
            <w:r>
              <w:fldChar w:fldCharType="end"/>
            </w:r>
            <w:r>
              <w:t xml:space="preserve">.</w:t>
            </w:r>
            <w:r/>
          </w:p>
          <w:p>
            <w:pPr>
              <w:pStyle w:val="1005"/>
              <w:ind w:left="57" w:right="57"/>
            </w:pPr>
            <w:r>
              <w:t xml:space="preserve">В соответствии с </w:t>
            </w:r>
            <w:r>
              <w:rPr>
                <w:lang w:val="en-US"/>
              </w:rPr>
              <w:t xml:space="preserve">SUFD</w:t>
            </w:r>
            <w:r>
              <w:t xml:space="preserve">-111158 (</w:t>
            </w:r>
            <w:r>
              <w:rPr>
                <w:lang w:val="en-US"/>
              </w:rPr>
              <w:t xml:space="preserve">SUFD</w:t>
            </w:r>
            <w:r>
              <w:t xml:space="preserve">-113186) </w:t>
            </w:r>
            <w:r>
              <w:t xml:space="preserve">актуализирован</w:t>
            </w:r>
            <w:r>
              <w:t xml:space="preserve">ы</w:t>
            </w:r>
            <w:r>
              <w:t xml:space="preserve"> </w:t>
            </w:r>
            <w:r>
              <w:t xml:space="preserve">п</w:t>
            </w:r>
            <w:r>
              <w:t xml:space="preserve">п. </w:t>
            </w:r>
            <w:r>
              <w:fldChar w:fldCharType="begin"/>
            </w:r>
            <w:r>
              <w:instrText xml:space="preserve"> REF _Ref531085616 \r \h </w:instrText>
            </w:r>
            <w:r>
              <w:fldChar w:fldCharType="separate"/>
            </w:r>
            <w:r>
              <w:t xml:space="preserve">5.1.4</w:t>
            </w:r>
            <w:r>
              <w:fldChar w:fldCharType="end"/>
            </w:r>
            <w:r>
              <w:t xml:space="preserve">, </w:t>
            </w:r>
            <w:r>
              <w:fldChar w:fldCharType="begin"/>
            </w:r>
            <w:r>
              <w:instrText xml:space="preserve"> REF _Ref531354815 \r \h </w:instrText>
            </w:r>
            <w:r>
              <w:fldChar w:fldCharType="separate"/>
            </w:r>
            <w:r>
              <w:t xml:space="preserve">5.1.5</w:t>
            </w:r>
            <w:r>
              <w:fldChar w:fldCharType="end"/>
            </w:r>
            <w:r>
              <w:t xml:space="preserve">, </w:t>
            </w:r>
            <w:r>
              <w:fldChar w:fldCharType="begin"/>
            </w:r>
            <w:r>
              <w:instrText xml:space="preserve"> REF _Ref480795837 \r \h </w:instrText>
            </w:r>
            <w:r>
              <w:fldChar w:fldCharType="separate"/>
            </w:r>
            <w:r>
              <w:t xml:space="preserve">5.11.5</w:t>
            </w:r>
            <w:r>
              <w:fldChar w:fldCharType="end"/>
            </w:r>
            <w:r>
              <w:t xml:space="preserve">.</w:t>
            </w:r>
            <w:r/>
          </w:p>
          <w:p>
            <w:pPr>
              <w:pStyle w:val="1005"/>
              <w:ind w:left="57" w:right="57"/>
            </w:pPr>
            <w:r>
              <w:t xml:space="preserve">В соответствии с </w:t>
            </w:r>
            <w:r>
              <w:rPr>
                <w:lang w:val="en-US"/>
              </w:rPr>
              <w:t xml:space="preserve">SUFD</w:t>
            </w:r>
            <w:r>
              <w:t xml:space="preserve">-111617 (</w:t>
            </w:r>
            <w:r>
              <w:rPr>
                <w:lang w:val="en-US"/>
              </w:rPr>
              <w:t xml:space="preserve">SUFD</w:t>
            </w:r>
            <w:r>
              <w:t xml:space="preserve">-113188) </w:t>
            </w:r>
            <w:r>
              <w:t xml:space="preserve">актуализирован</w:t>
            </w:r>
            <w:r>
              <w:t xml:space="preserve">ы</w:t>
            </w:r>
            <w:r>
              <w:t xml:space="preserve"> </w:t>
            </w:r>
            <w:r>
              <w:t xml:space="preserve">п</w:t>
            </w:r>
            <w:r>
              <w:t xml:space="preserve">п. </w:t>
            </w:r>
            <w:r>
              <w:fldChar w:fldCharType="begin"/>
            </w:r>
            <w:r>
              <w:instrText xml:space="preserve"> REF _Ref531786997 \r \h </w:instrText>
            </w:r>
            <w:r>
              <w:fldChar w:fldCharType="separate"/>
            </w:r>
            <w:r>
              <w:t xml:space="preserve">5.7.1</w:t>
            </w:r>
            <w:r>
              <w:fldChar w:fldCharType="end"/>
            </w:r>
            <w:r>
              <w:t xml:space="preserve">, </w:t>
            </w:r>
            <w:r>
              <w:fldChar w:fldCharType="begin"/>
            </w:r>
            <w:r>
              <w:instrText xml:space="preserve"> REF _Ref531817121 \r \h </w:instrText>
            </w:r>
            <w:r>
              <w:fldChar w:fldCharType="separate"/>
            </w:r>
            <w:r>
              <w:t xml:space="preserve">5.7.2</w:t>
            </w:r>
            <w:r>
              <w:fldChar w:fldCharType="end"/>
            </w:r>
            <w:r>
              <w:t xml:space="preserve">.</w:t>
            </w:r>
            <w:r/>
          </w:p>
        </w:tc>
      </w:tr>
      <w:tr>
        <w:trPr/>
        <w:tc>
          <w:tcPr>
            <w:shd w:val="clear" w:fill="auto" w:color="auto"/>
            <w:tcW w:w="412" w:type="pct"/>
            <w:textDirection w:val="lrTb"/>
            <w:noWrap w:val="false"/>
          </w:tcPr>
          <w:p>
            <w:pPr>
              <w:pStyle w:val="1005"/>
              <w:ind w:left="57" w:right="57"/>
            </w:pPr>
            <w:r>
              <w:t xml:space="preserve">11.9</w:t>
            </w:r>
            <w:r/>
          </w:p>
        </w:tc>
        <w:tc>
          <w:tcPr>
            <w:shd w:val="clear" w:fill="auto" w:color="auto"/>
            <w:tcW w:w="635" w:type="pct"/>
            <w:textDirection w:val="lrTb"/>
            <w:noWrap w:val="false"/>
          </w:tcPr>
          <w:p>
            <w:pPr>
              <w:pStyle w:val="1005"/>
              <w:ind w:left="57" w:right="57"/>
            </w:pPr>
            <w:r>
              <w:t xml:space="preserve">25</w:t>
            </w:r>
            <w:r>
              <w:t xml:space="preserve">.03.2019</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-113529 (</w:t>
            </w:r>
            <w:r>
              <w:rPr>
                <w:lang w:val="en-US"/>
              </w:rPr>
              <w:t xml:space="preserve">SUFD</w:t>
            </w:r>
            <w:r>
              <w:t xml:space="preserve">-115002) </w:t>
            </w:r>
            <w:r>
              <w:t xml:space="preserve">актуализирован п. </w:t>
            </w:r>
            <w:r>
              <w:fldChar w:fldCharType="begin"/>
            </w:r>
            <w:r>
              <w:instrText xml:space="preserve"> REF _Ref524531412 \r \h </w:instrText>
            </w:r>
            <w:r>
              <w:fldChar w:fldCharType="separate"/>
            </w:r>
            <w:r>
              <w:t xml:space="preserve">5.1.20</w:t>
            </w:r>
            <w:r>
              <w:fldChar w:fldCharType="end"/>
            </w:r>
            <w:r>
              <w:t xml:space="preserve">.</w:t>
            </w:r>
            <w:r/>
          </w:p>
          <w:p>
            <w:pPr>
              <w:pStyle w:val="1005"/>
              <w:ind w:left="57" w:right="57"/>
            </w:pPr>
            <w:r>
              <w:t xml:space="preserve">В соответствии с </w:t>
            </w:r>
            <w:r>
              <w:rPr>
                <w:lang w:val="en-US"/>
              </w:rPr>
              <w:t xml:space="preserve">SUFD</w:t>
            </w:r>
            <w:r>
              <w:t xml:space="preserve">-114754 (</w:t>
            </w:r>
            <w:r>
              <w:rPr>
                <w:lang w:val="en-US"/>
              </w:rPr>
              <w:t xml:space="preserve">SUFD</w:t>
            </w:r>
            <w:r>
              <w:t xml:space="preserve">-115273) </w:t>
            </w:r>
            <w:r>
              <w:t xml:space="preserve">актуализирован п. </w:t>
            </w:r>
            <w:r>
              <w:fldChar w:fldCharType="begin"/>
            </w:r>
            <w:r>
              <w:instrText xml:space="preserve"> REF _Ref420330774 \r \h </w:instrText>
            </w:r>
            <w:r>
              <w:fldChar w:fldCharType="separate"/>
            </w:r>
            <w:r>
              <w:t xml:space="preserve">5.1.13</w:t>
            </w:r>
            <w:r>
              <w:fldChar w:fldCharType="end"/>
            </w:r>
            <w:r>
              <w:t xml:space="preserve">.</w:t>
            </w:r>
            <w:r/>
          </w:p>
          <w:p>
            <w:pPr>
              <w:pStyle w:val="1005"/>
              <w:ind w:left="57" w:right="57"/>
            </w:pPr>
            <w:r>
              <w:t xml:space="preserve">В соответствии с </w:t>
            </w:r>
            <w:r>
              <w:rPr>
                <w:lang w:val="en-US"/>
              </w:rPr>
              <w:t xml:space="preserve">SUFD</w:t>
            </w:r>
            <w:r>
              <w:t xml:space="preserve">-110473 (</w:t>
            </w:r>
            <w:r>
              <w:rPr>
                <w:lang w:val="en-US"/>
              </w:rPr>
              <w:t xml:space="preserve">SUFD</w:t>
            </w:r>
            <w:r>
              <w:t xml:space="preserve">-115279) </w:t>
            </w:r>
            <w:r>
              <w:t xml:space="preserve">актуализирован п. </w:t>
            </w:r>
            <w:r>
              <w:fldChar w:fldCharType="begin"/>
            </w:r>
            <w:r>
              <w:instrText xml:space="preserve"> REF _Ref419282140 \r \h </w:instrText>
            </w:r>
            <w:r>
              <w:fldChar w:fldCharType="separate"/>
            </w:r>
            <w:r>
              <w:t xml:space="preserve">5.3.1</w:t>
            </w:r>
            <w:r>
              <w:fldChar w:fldCharType="end"/>
            </w:r>
            <w:r>
              <w:t xml:space="preserve">.</w:t>
            </w:r>
            <w:r/>
          </w:p>
          <w:p>
            <w:pPr>
              <w:pStyle w:val="1005"/>
              <w:ind w:left="57" w:right="57"/>
            </w:pPr>
            <w:r>
              <w:t xml:space="preserve">В соответствии с </w:t>
            </w:r>
            <w:r>
              <w:rPr>
                <w:lang w:val="en-US"/>
              </w:rPr>
              <w:t xml:space="preserve">SUFD</w:t>
            </w:r>
            <w:r>
              <w:t xml:space="preserve">-110823 (</w:t>
            </w:r>
            <w:r>
              <w:rPr>
                <w:lang w:val="en-US"/>
              </w:rPr>
              <w:t xml:space="preserve">SUFD</w:t>
            </w:r>
            <w:r>
              <w:t xml:space="preserve">-115280) </w:t>
            </w:r>
            <w:r>
              <w:t xml:space="preserve">актуализирован п. </w:t>
            </w:r>
            <w:r>
              <w:fldChar w:fldCharType="begin"/>
            </w:r>
            <w:r>
              <w:instrText xml:space="preserve"> REF _Ref420320397 \r \h </w:instrText>
            </w:r>
            <w:r>
              <w:fldChar w:fldCharType="separate"/>
            </w:r>
            <w:r>
              <w:t xml:space="preserve">5.3.3</w:t>
            </w:r>
            <w:r>
              <w:fldChar w:fldCharType="end"/>
            </w:r>
            <w:r>
              <w:t xml:space="preserve">.</w:t>
            </w:r>
            <w:r>
              <w:t xml:space="preserve"> </w:t>
            </w:r>
            <w:r>
              <w:t xml:space="preserve">Внесены изменения по замечаниям ФК к доработке SUFD-110823.</w:t>
            </w:r>
            <w:r/>
          </w:p>
          <w:p>
            <w:pPr>
              <w:pStyle w:val="1005"/>
              <w:ind w:left="57" w:right="57"/>
            </w:pPr>
            <w:r>
              <w:t xml:space="preserve">В соответствии с </w:t>
            </w:r>
            <w:r>
              <w:rPr>
                <w:lang w:val="en-US"/>
              </w:rPr>
              <w:t xml:space="preserve">SUFD</w:t>
            </w:r>
            <w:r>
              <w:t xml:space="preserve">-110247 (</w:t>
            </w:r>
            <w:r>
              <w:rPr>
                <w:lang w:val="en-US"/>
              </w:rPr>
              <w:t xml:space="preserve">SUFD</w:t>
            </w:r>
            <w:r>
              <w:t xml:space="preserve">-115449) </w:t>
            </w:r>
            <w:r>
              <w:t xml:space="preserve">актуализирован п.</w:t>
            </w:r>
            <w:r>
              <w:t xml:space="preserve"> </w:t>
            </w:r>
            <w:r>
              <w:fldChar w:fldCharType="begin"/>
            </w:r>
            <w:r>
              <w:instrText xml:space="preserve"> REF _Ref59719043 \r \h </w:instrText>
            </w:r>
            <w:r>
              <w:fldChar w:fldCharType="separate"/>
            </w:r>
            <w:r>
              <w:t xml:space="preserve">5.3.5</w:t>
            </w:r>
            <w:r>
              <w:fldChar w:fldCharType="end"/>
            </w:r>
            <w:r>
              <w:t xml:space="preserve">.</w:t>
            </w:r>
            <w:r/>
          </w:p>
          <w:p>
            <w:pPr>
              <w:pStyle w:val="1005"/>
              <w:ind w:left="57" w:right="57"/>
            </w:pPr>
            <w:r>
              <w:t xml:space="preserve">В соответствии с </w:t>
            </w:r>
            <w:r>
              <w:rPr>
                <w:lang w:val="en-US"/>
              </w:rPr>
              <w:t xml:space="preserve">SUFD</w:t>
            </w:r>
            <w:r>
              <w:t xml:space="preserve">-114767 (</w:t>
            </w:r>
            <w:r>
              <w:rPr>
                <w:lang w:val="en-US"/>
              </w:rPr>
              <w:t xml:space="preserve">SUFD</w:t>
            </w:r>
            <w:r>
              <w:t xml:space="preserve">-115451) </w:t>
            </w:r>
            <w:r>
              <w:t xml:space="preserve">актуализированы пп. </w:t>
            </w:r>
            <w:r>
              <w:fldChar w:fldCharType="begin"/>
            </w:r>
            <w:r>
              <w:instrText xml:space="preserve"> REF _Ref3155634 \r \h </w:instrText>
            </w:r>
            <w:r>
              <w:fldChar w:fldCharType="separate"/>
            </w:r>
            <w:r>
              <w:t xml:space="preserve">5.1.1</w:t>
            </w:r>
            <w:r>
              <w:fldChar w:fldCharType="end"/>
            </w:r>
            <w:r>
              <w:t xml:space="preserve">, </w:t>
            </w:r>
            <w:r>
              <w:fldChar w:fldCharType="begin"/>
            </w:r>
            <w:r>
              <w:instrText xml:space="preserve"> REF _Ref359521322 \r \h </w:instrText>
            </w:r>
            <w:r>
              <w:fldChar w:fldCharType="separate"/>
            </w:r>
            <w:r>
              <w:t xml:space="preserve">5.1.2</w:t>
            </w:r>
            <w:r>
              <w:fldChar w:fldCharType="end"/>
            </w:r>
            <w:r>
              <w:t xml:space="preserve">, </w:t>
            </w:r>
            <w:r>
              <w:fldChar w:fldCharType="begin"/>
            </w:r>
            <w:r>
              <w:instrText xml:space="preserve"> REF _Ref3155660 \r \h </w:instrText>
            </w:r>
            <w:r>
              <w:fldChar w:fldCharType="separate"/>
            </w:r>
            <w:r>
              <w:t xml:space="preserve">5.1.6</w:t>
            </w:r>
            <w:r>
              <w:fldChar w:fldCharType="end"/>
            </w:r>
            <w:r>
              <w:t xml:space="preserve">, </w:t>
            </w:r>
            <w:r>
              <w:fldChar w:fldCharType="begin"/>
            </w:r>
            <w:r>
              <w:instrText xml:space="preserve"> REF _Ref482629311 \r \h </w:instrText>
            </w:r>
            <w:r>
              <w:fldChar w:fldCharType="separate"/>
            </w:r>
            <w:r>
              <w:t xml:space="preserve">5.1.7</w:t>
            </w:r>
            <w:r>
              <w:fldChar w:fldCharType="end"/>
            </w:r>
            <w:r>
              <w:t xml:space="preserve">.</w:t>
            </w:r>
            <w:r/>
          </w:p>
          <w:p>
            <w:pPr>
              <w:pStyle w:val="1005"/>
              <w:ind w:left="57" w:right="57"/>
            </w:pPr>
            <w:r>
              <w:t xml:space="preserve">В соответствии с </w:t>
            </w:r>
            <w:r>
              <w:rPr>
                <w:lang w:val="en-US"/>
              </w:rPr>
              <w:t xml:space="preserve">SUFD</w:t>
            </w:r>
            <w:r>
              <w:t xml:space="preserve">-114202 (</w:t>
            </w:r>
            <w:r>
              <w:rPr>
                <w:lang w:val="en-US"/>
              </w:rPr>
              <w:t xml:space="preserve">SUFD</w:t>
            </w:r>
            <w:r>
              <w:t xml:space="preserve">-115805) </w:t>
            </w:r>
            <w:r>
              <w:t xml:space="preserve">актуализирован п. </w:t>
            </w:r>
            <w:r>
              <w:fldChar w:fldCharType="begin"/>
            </w:r>
            <w:r>
              <w:instrText xml:space="preserve"> REF _Ref3816024 \r \h </w:instrText>
            </w:r>
            <w:r>
              <w:fldChar w:fldCharType="separate"/>
            </w:r>
            <w:r>
              <w:t xml:space="preserve">5.7.4</w:t>
            </w:r>
            <w:r>
              <w:fldChar w:fldCharType="end"/>
            </w:r>
            <w:r>
              <w:t xml:space="preserve">.</w:t>
            </w:r>
            <w:r/>
          </w:p>
          <w:p>
            <w:pPr>
              <w:pStyle w:val="1005"/>
              <w:ind w:left="57" w:right="57"/>
            </w:pPr>
            <w:r>
              <w:t xml:space="preserve">В соответствии с </w:t>
            </w:r>
            <w:r>
              <w:rPr>
                <w:lang w:val="en-US"/>
              </w:rPr>
              <w:t xml:space="preserve">SUFD</w:t>
            </w:r>
            <w:r>
              <w:t xml:space="preserve">-112840 (</w:t>
            </w:r>
            <w:r>
              <w:rPr>
                <w:lang w:val="en-US"/>
              </w:rPr>
              <w:t xml:space="preserve">SUFD</w:t>
            </w:r>
            <w:r>
              <w:t xml:space="preserve">-115802) </w:t>
            </w:r>
            <w:r>
              <w:t xml:space="preserve">актуализирован</w:t>
            </w:r>
            <w:r>
              <w:t xml:space="preserve">ы</w:t>
            </w:r>
            <w:r>
              <w:t xml:space="preserve"> </w:t>
            </w:r>
            <w:r>
              <w:t xml:space="preserve">п</w:t>
            </w:r>
            <w:r>
              <w:t xml:space="preserve">п.</w:t>
            </w:r>
            <w:r>
              <w:t xml:space="preserve"> </w:t>
            </w:r>
            <w:r>
              <w:fldChar w:fldCharType="begin"/>
            </w:r>
            <w:r>
              <w:instrText xml:space="preserve"> REF _Ref4485242 \r \h </w:instrText>
            </w:r>
            <w:r>
              <w:fldChar w:fldCharType="separate"/>
            </w:r>
            <w:r>
              <w:t xml:space="preserve">5.1.1</w:t>
            </w:r>
            <w:r>
              <w:fldChar w:fldCharType="end"/>
            </w:r>
            <w:r>
              <w:t xml:space="preserve">, </w:t>
            </w:r>
            <w:r>
              <w:fldChar w:fldCharType="begin"/>
            </w:r>
            <w:r>
              <w:instrText xml:space="preserve"> REF _Ref359521322 \r \h </w:instrText>
            </w:r>
            <w:r>
              <w:fldChar w:fldCharType="separate"/>
            </w:r>
            <w:r>
              <w:t xml:space="preserve">5.1.2</w:t>
            </w:r>
            <w:r>
              <w:fldChar w:fldCharType="end"/>
            </w:r>
            <w:r>
              <w:t xml:space="preserve">,</w:t>
            </w:r>
            <w:r>
              <w:t xml:space="preserve"> </w:t>
            </w:r>
            <w:r>
              <w:fldChar w:fldCharType="begin"/>
            </w:r>
            <w:r>
              <w:instrText xml:space="preserve"> REF _Ref365452935 \r \h </w:instrText>
            </w:r>
            <w:r>
              <w:fldChar w:fldCharType="separate"/>
            </w:r>
            <w:r>
              <w:t xml:space="preserve">5.1.3</w:t>
            </w:r>
            <w:r>
              <w:fldChar w:fldCharType="end"/>
            </w:r>
            <w:r>
              <w:t xml:space="preserve">,</w:t>
            </w:r>
            <w:r>
              <w:t xml:space="preserve"> </w:t>
            </w:r>
            <w:r>
              <w:fldChar w:fldCharType="begin"/>
            </w:r>
            <w:r>
              <w:instrText xml:space="preserve"> REF _Ref4424441 \r \h </w:instrText>
            </w:r>
            <w:r>
              <w:fldChar w:fldCharType="separate"/>
            </w:r>
            <w:r>
              <w:t xml:space="preserve">5.1.4</w:t>
            </w:r>
            <w:r>
              <w:fldChar w:fldCharType="end"/>
            </w:r>
            <w:r>
              <w:t xml:space="preserve">,</w:t>
            </w:r>
            <w:r>
              <w:t xml:space="preserve"> </w:t>
            </w:r>
            <w:r>
              <w:fldChar w:fldCharType="begin"/>
            </w:r>
            <w:r>
              <w:instrText xml:space="preserve"> REF _Ref4417310 \r \h </w:instrText>
            </w:r>
            <w:r>
              <w:fldChar w:fldCharType="separate"/>
            </w:r>
            <w:r>
              <w:t xml:space="preserve">5.1.5</w:t>
            </w:r>
            <w:r>
              <w:fldChar w:fldCharType="end"/>
            </w:r>
            <w:r>
              <w:t xml:space="preserve">,</w:t>
            </w:r>
            <w:r>
              <w:t xml:space="preserve"> </w:t>
            </w:r>
            <w:r>
              <w:fldChar w:fldCharType="begin"/>
            </w:r>
            <w:r>
              <w:instrText xml:space="preserve"> REF _Ref526520162 \r \h </w:instrText>
            </w:r>
            <w:r>
              <w:fldChar w:fldCharType="separate"/>
            </w:r>
            <w:r>
              <w:t xml:space="preserve">5.1.11</w:t>
            </w:r>
            <w:r>
              <w:fldChar w:fldCharType="end"/>
            </w:r>
            <w:r>
              <w:t xml:space="preserve">,</w:t>
            </w:r>
            <w:r>
              <w:t xml:space="preserve"> </w:t>
            </w:r>
            <w:r>
              <w:fldChar w:fldCharType="begin"/>
            </w:r>
            <w:r>
              <w:instrText xml:space="preserve"> REF _Ref59719082 \r \h </w:instrText>
            </w:r>
            <w:r>
              <w:fldChar w:fldCharType="separate"/>
            </w:r>
            <w:r>
              <w:t xml:space="preserve">5.4.1</w:t>
            </w:r>
            <w:r>
              <w:fldChar w:fldCharType="end"/>
            </w:r>
            <w:r>
              <w:t xml:space="preserve">.</w:t>
            </w:r>
            <w:r/>
          </w:p>
        </w:tc>
      </w:tr>
      <w:tr>
        <w:trPr/>
        <w:tc>
          <w:tcPr>
            <w:shd w:val="clear" w:fill="auto" w:color="auto"/>
            <w:tcW w:w="412" w:type="pct"/>
            <w:textDirection w:val="lrTb"/>
            <w:noWrap w:val="false"/>
          </w:tcPr>
          <w:p>
            <w:pPr>
              <w:pStyle w:val="1005"/>
              <w:ind w:left="57" w:right="57"/>
            </w:pPr>
            <w:r>
              <w:t xml:space="preserve">12.0</w:t>
            </w:r>
            <w:r/>
          </w:p>
        </w:tc>
        <w:tc>
          <w:tcPr>
            <w:shd w:val="clear" w:fill="auto" w:color="auto"/>
            <w:tcW w:w="635" w:type="pct"/>
            <w:textDirection w:val="lrTb"/>
            <w:noWrap w:val="false"/>
          </w:tcPr>
          <w:p>
            <w:pPr>
              <w:pStyle w:val="1005"/>
              <w:ind w:left="57" w:right="57"/>
            </w:pPr>
            <w:r>
              <w:t xml:space="preserve">04.07.2019</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В соответствии с </w:t>
            </w:r>
            <w:r>
              <w:rPr>
                <w:lang w:val="en-US"/>
              </w:rPr>
              <w:t xml:space="preserve">SUFD</w:t>
            </w:r>
            <w:r>
              <w:t xml:space="preserve">-116699 (</w:t>
            </w:r>
            <w:r>
              <w:rPr>
                <w:lang w:val="en-US"/>
              </w:rPr>
              <w:t xml:space="preserve">SUFD</w:t>
            </w:r>
            <w:r>
              <w:t xml:space="preserve">-118146) </w:t>
            </w:r>
            <w:r>
              <w:t xml:space="preserve">актуализирован п. </w:t>
            </w:r>
            <w:r>
              <w:fldChar w:fldCharType="begin"/>
            </w:r>
            <w:r>
              <w:instrText xml:space="preserve"> REF _Ref419282140 \r \h </w:instrText>
            </w:r>
            <w:r>
              <w:fldChar w:fldCharType="separate"/>
            </w:r>
            <w:r>
              <w:t xml:space="preserve">5.3.1</w:t>
            </w:r>
            <w:r>
              <w:fldChar w:fldCharType="end"/>
            </w:r>
            <w:r>
              <w:t xml:space="preserve">.</w:t>
            </w:r>
            <w:r/>
          </w:p>
          <w:p>
            <w:pPr>
              <w:pStyle w:val="1005"/>
              <w:ind w:left="57" w:right="57"/>
            </w:pPr>
            <w:r>
              <w:t xml:space="preserve">В соответствии с SUFD-117449 (SUFD-118149) актуализирован п.</w:t>
            </w:r>
            <w:r>
              <w:t xml:space="preserve"> </w:t>
            </w:r>
            <w:r>
              <w:fldChar w:fldCharType="begin"/>
            </w:r>
            <w:r>
              <w:instrText xml:space="preserve"> REF _Ref420330774 \r \h </w:instrText>
            </w:r>
            <w:r>
              <w:fldChar w:fldCharType="separate"/>
            </w:r>
            <w:r>
              <w:t xml:space="preserve">5.1.13</w:t>
            </w:r>
            <w:r>
              <w:fldChar w:fldCharType="end"/>
            </w:r>
            <w:r>
              <w:t xml:space="preserve">.</w:t>
            </w:r>
            <w:r/>
          </w:p>
        </w:tc>
      </w:tr>
      <w:tr>
        <w:trPr/>
        <w:tc>
          <w:tcPr>
            <w:shd w:val="clear" w:fill="auto" w:color="auto"/>
            <w:tcW w:w="412" w:type="pct"/>
            <w:textDirection w:val="lrTb"/>
            <w:noWrap w:val="false"/>
          </w:tcPr>
          <w:p>
            <w:pPr>
              <w:pStyle w:val="1005"/>
              <w:ind w:left="57" w:right="57"/>
            </w:pPr>
            <w:r>
              <w:t xml:space="preserve">12.</w:t>
            </w:r>
            <w:r>
              <w:t xml:space="preserve">0</w:t>
            </w:r>
            <w:r>
              <w:t xml:space="preserve">1</w:t>
            </w:r>
            <w:r/>
          </w:p>
        </w:tc>
        <w:tc>
          <w:tcPr>
            <w:shd w:val="clear" w:fill="auto" w:color="auto"/>
            <w:tcW w:w="635" w:type="pct"/>
            <w:textDirection w:val="lrTb"/>
            <w:noWrap w:val="false"/>
          </w:tcPr>
          <w:p>
            <w:pPr>
              <w:pStyle w:val="1005"/>
              <w:ind w:left="57" w:right="57"/>
            </w:pPr>
            <w:r>
              <w:t xml:space="preserve">30.09.2019</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Внесены изменения по требованиям к развитию ППО АСФК, предусмотренные государственным контрактом № ФКУ0264/09/2019/РИС от 16.09.2019.</w:t>
            </w:r>
            <w:r/>
          </w:p>
        </w:tc>
      </w:tr>
      <w:tr>
        <w:trPr/>
        <w:tc>
          <w:tcPr>
            <w:shd w:val="clear" w:fill="auto" w:color="auto"/>
            <w:tcW w:w="412" w:type="pct"/>
            <w:textDirection w:val="lrTb"/>
            <w:noWrap w:val="false"/>
          </w:tcPr>
          <w:p>
            <w:pPr>
              <w:pStyle w:val="1005"/>
              <w:ind w:left="57" w:right="57"/>
            </w:pPr>
            <w:r>
              <w:t xml:space="preserve">12.</w:t>
            </w:r>
            <w:r>
              <w:t xml:space="preserve">0</w:t>
            </w:r>
            <w:r>
              <w:t xml:space="preserve">2</w:t>
            </w:r>
            <w:r/>
          </w:p>
        </w:tc>
        <w:tc>
          <w:tcPr>
            <w:shd w:val="clear" w:fill="auto" w:color="auto"/>
            <w:tcW w:w="635" w:type="pct"/>
            <w:textDirection w:val="lrTb"/>
            <w:noWrap w:val="false"/>
          </w:tcPr>
          <w:p>
            <w:pPr>
              <w:pStyle w:val="1005"/>
              <w:ind w:left="57" w:right="57"/>
            </w:pPr>
            <w:r>
              <w:t xml:space="preserve">01.10.2019</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Государственный контракт № ФКУ0264/09/2019/РИС от 16.09.2019 (1 период).</w:t>
            </w:r>
            <w:r/>
          </w:p>
          <w:p>
            <w:pPr>
              <w:pStyle w:val="1005"/>
              <w:ind w:left="57" w:right="57"/>
            </w:pPr>
            <w:r>
              <w:t xml:space="preserve">В соответствии с </w:t>
            </w:r>
            <w:r>
              <w:rPr>
                <w:lang w:val="en-US"/>
              </w:rPr>
              <w:t xml:space="preserve">SUFD</w:t>
            </w:r>
            <w:r>
              <w:t xml:space="preserve">-115069 (</w:t>
            </w:r>
            <w:r>
              <w:rPr>
                <w:lang w:val="en-US"/>
              </w:rPr>
              <w:t xml:space="preserve">SUFD</w:t>
            </w:r>
            <w:r>
              <w:t xml:space="preserve">-115807) </w:t>
            </w:r>
            <w:r>
              <w:t xml:space="preserve">актуализирован п. </w:t>
            </w:r>
            <w:r>
              <w:fldChar w:fldCharType="begin"/>
            </w:r>
            <w:r>
              <w:instrText xml:space="preserve"> REF _Ref17791517 \r \h </w:instrText>
            </w:r>
            <w:r>
              <w:fldChar w:fldCharType="separate"/>
            </w:r>
            <w:r>
              <w:t xml:space="preserve">5.7.6</w:t>
            </w:r>
            <w:r>
              <w:fldChar w:fldCharType="end"/>
            </w:r>
            <w:r>
              <w:t xml:space="preserve">.</w:t>
            </w:r>
            <w:r/>
          </w:p>
          <w:p>
            <w:pPr>
              <w:pStyle w:val="1005"/>
              <w:ind w:left="57" w:right="57"/>
            </w:pPr>
            <w:r>
              <w:t xml:space="preserve">В соответствии с </w:t>
            </w:r>
            <w:r>
              <w:rPr>
                <w:lang w:val="en-US"/>
              </w:rPr>
              <w:t xml:space="preserve">SUFD</w:t>
            </w:r>
            <w:r>
              <w:t xml:space="preserve">-113075 (</w:t>
            </w:r>
            <w:r>
              <w:rPr>
                <w:lang w:val="en-US"/>
              </w:rPr>
              <w:t xml:space="preserve">SUFD</w:t>
            </w:r>
            <w:r>
              <w:t xml:space="preserve">-115803) </w:t>
            </w:r>
            <w:r>
              <w:t xml:space="preserve">добавлен п. </w:t>
            </w:r>
            <w:r>
              <w:fldChar w:fldCharType="begin"/>
            </w:r>
            <w:r>
              <w:instrText xml:space="preserve"> REF _Ref20824578 \r \h </w:instrText>
            </w:r>
            <w:r>
              <w:fldChar w:fldCharType="separate"/>
            </w:r>
            <w:r>
              <w:t xml:space="preserve">5.11.6</w:t>
            </w:r>
            <w:r>
              <w:fldChar w:fldCharType="end"/>
            </w:r>
            <w:r>
              <w:t xml:space="preserve">.</w:t>
            </w:r>
            <w:r/>
          </w:p>
          <w:p>
            <w:pPr>
              <w:pStyle w:val="1005"/>
              <w:ind w:left="57" w:right="57"/>
            </w:pPr>
            <w:r>
              <w:t xml:space="preserve">В соответствии с </w:t>
            </w:r>
            <w:r>
              <w:rPr>
                <w:lang w:val="en-US"/>
              </w:rPr>
              <w:t xml:space="preserve">SUFD</w:t>
            </w:r>
            <w:r>
              <w:t xml:space="preserve">-119545 (</w:t>
            </w:r>
            <w:r>
              <w:rPr>
                <w:lang w:val="en-US"/>
              </w:rPr>
              <w:t xml:space="preserve">SUFD</w:t>
            </w:r>
            <w:r>
              <w:t xml:space="preserve">-120054) </w:t>
            </w:r>
            <w:r>
              <w:t xml:space="preserve">актуализирован п. </w:t>
            </w:r>
            <w:r>
              <w:fldChar w:fldCharType="begin"/>
            </w:r>
            <w:r>
              <w:instrText xml:space="preserve"> REF _Ref20824578 \r \h </w:instrText>
            </w:r>
            <w:r>
              <w:fldChar w:fldCharType="separate"/>
            </w:r>
            <w:r>
              <w:t xml:space="preserve">5.11.6</w:t>
            </w:r>
            <w:r>
              <w:fldChar w:fldCharType="end"/>
            </w:r>
            <w:r>
              <w:t xml:space="preserve">.</w:t>
            </w:r>
            <w:r/>
          </w:p>
        </w:tc>
      </w:tr>
      <w:tr>
        <w:trPr/>
        <w:tc>
          <w:tcPr>
            <w:shd w:val="clear" w:fill="auto" w:color="auto"/>
            <w:tcW w:w="412" w:type="pct"/>
            <w:textDirection w:val="lrTb"/>
            <w:noWrap w:val="false"/>
          </w:tcPr>
          <w:p>
            <w:pPr>
              <w:pStyle w:val="1005"/>
              <w:ind w:left="57" w:right="57"/>
            </w:pPr>
            <w:r>
              <w:t xml:space="preserve">1</w:t>
            </w:r>
            <w:r>
              <w:t xml:space="preserve">3.00</w:t>
            </w:r>
            <w:r/>
          </w:p>
        </w:tc>
        <w:tc>
          <w:tcPr>
            <w:shd w:val="clear" w:fill="auto" w:color="auto"/>
            <w:tcW w:w="635" w:type="pct"/>
            <w:textDirection w:val="lrTb"/>
            <w:noWrap w:val="false"/>
          </w:tcPr>
          <w:p>
            <w:pPr>
              <w:pStyle w:val="1005"/>
              <w:ind w:left="57" w:right="57"/>
            </w:pPr>
            <w:r>
              <w:t xml:space="preserve">15.10.2019</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Государственный контракт № ФКУ0264/09/2019/РИС от 16.09.2019 (1 период).</w:t>
            </w:r>
            <w:r>
              <w:t xml:space="preserve"> </w:t>
            </w:r>
            <w:r>
              <w:t xml:space="preserve">Версия ППО АСФК 32.2.0</w:t>
            </w:r>
            <w:r>
              <w:t xml:space="preserve">.</w:t>
            </w:r>
            <w:r/>
          </w:p>
          <w:p>
            <w:pPr>
              <w:pStyle w:val="1005"/>
              <w:ind w:left="57" w:right="57"/>
            </w:pPr>
            <w:r>
              <w:t xml:space="preserve">В соответствии с </w:t>
            </w:r>
            <w:r>
              <w:rPr>
                <w:lang w:val="en-US"/>
              </w:rPr>
              <w:t xml:space="preserve">RFC</w:t>
            </w:r>
            <w:r>
              <w:t xml:space="preserve">-</w:t>
            </w:r>
            <w:r>
              <w:t xml:space="preserve">98354</w:t>
            </w:r>
            <w:r>
              <w:t xml:space="preserve"> </w:t>
            </w:r>
            <w:r>
              <w:t xml:space="preserve">актуализирован п. </w:t>
            </w:r>
            <w:r>
              <w:fldChar w:fldCharType="begin"/>
            </w:r>
            <w:r>
              <w:instrText xml:space="preserve"> REF _Ref419282140 \r \h </w:instrText>
            </w:r>
            <w:r>
              <w:fldChar w:fldCharType="separate"/>
            </w:r>
            <w:r>
              <w:t xml:space="preserve">5.3.1</w:t>
            </w:r>
            <w:r>
              <w:fldChar w:fldCharType="end"/>
            </w:r>
            <w:r>
              <w:t xml:space="preserve">.</w:t>
            </w:r>
            <w:r/>
          </w:p>
        </w:tc>
      </w:tr>
      <w:tr>
        <w:trPr/>
        <w:tc>
          <w:tcPr>
            <w:shd w:val="clear" w:fill="auto" w:color="auto"/>
            <w:tcW w:w="412" w:type="pct"/>
            <w:textDirection w:val="lrTb"/>
            <w:noWrap w:val="false"/>
          </w:tcPr>
          <w:p>
            <w:pPr>
              <w:pStyle w:val="1005"/>
              <w:ind w:left="57" w:right="57"/>
            </w:pPr>
            <w:r>
              <w:t xml:space="preserve">14.00</w:t>
            </w:r>
            <w:r/>
          </w:p>
        </w:tc>
        <w:tc>
          <w:tcPr>
            <w:shd w:val="clear" w:fill="auto" w:color="auto"/>
            <w:tcW w:w="635" w:type="pct"/>
            <w:textDirection w:val="lrTb"/>
            <w:noWrap w:val="false"/>
          </w:tcPr>
          <w:p>
            <w:pPr>
              <w:pStyle w:val="1005"/>
              <w:ind w:left="57" w:right="57"/>
            </w:pPr>
            <w:r>
              <w:t xml:space="preserve">20.11.2019</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Государственный контракт № ФКУ0264/09/2019/РИС от 16.09.2019 (2 период).</w:t>
            </w:r>
            <w:r>
              <w:t xml:space="preserve"> </w:t>
            </w:r>
            <w:r>
              <w:t xml:space="preserve">Версия ППО АСФК 32.3.0.</w:t>
            </w:r>
            <w:r/>
          </w:p>
          <w:p>
            <w:pPr>
              <w:pStyle w:val="1005"/>
              <w:ind w:left="57" w:right="57"/>
            </w:pPr>
            <w:r>
              <w:t xml:space="preserve">В соответствии с </w:t>
            </w:r>
            <w:r>
              <w:rPr>
                <w:lang w:val="en-US"/>
              </w:rPr>
              <w:t xml:space="preserve">SUFD</w:t>
            </w:r>
            <w:r>
              <w:t xml:space="preserve">-119976 (</w:t>
            </w:r>
            <w:r>
              <w:rPr>
                <w:lang w:val="en-US"/>
              </w:rPr>
              <w:t xml:space="preserve">SUFD</w:t>
            </w:r>
            <w:r>
              <w:t xml:space="preserve">-120464) </w:t>
            </w:r>
            <w:r>
              <w:t xml:space="preserve">актуализирован п. </w:t>
            </w:r>
            <w:r>
              <w:fldChar w:fldCharType="begin"/>
            </w:r>
            <w:r>
              <w:instrText xml:space="preserve"> REF _Ref20824578 \r \h </w:instrText>
            </w:r>
            <w:r>
              <w:fldChar w:fldCharType="separate"/>
            </w:r>
            <w:r>
              <w:t xml:space="preserve">5.11.6</w:t>
            </w:r>
            <w:r>
              <w:fldChar w:fldCharType="end"/>
            </w:r>
            <w:r>
              <w:t xml:space="preserve">.</w:t>
            </w:r>
            <w:r/>
          </w:p>
        </w:tc>
      </w:tr>
      <w:tr>
        <w:trPr/>
        <w:tc>
          <w:tcPr>
            <w:shd w:val="clear" w:fill="auto" w:color="auto"/>
            <w:tcW w:w="412" w:type="pct"/>
            <w:textDirection w:val="lrTb"/>
            <w:noWrap w:val="false"/>
          </w:tcPr>
          <w:p>
            <w:pPr>
              <w:pStyle w:val="1005"/>
              <w:ind w:left="57" w:right="57"/>
            </w:pPr>
            <w:r>
              <w:t xml:space="preserve">15.00</w:t>
            </w:r>
            <w:r/>
          </w:p>
        </w:tc>
        <w:tc>
          <w:tcPr>
            <w:shd w:val="clear" w:fill="auto" w:color="auto"/>
            <w:tcW w:w="635" w:type="pct"/>
            <w:textDirection w:val="lrTb"/>
            <w:noWrap w:val="false"/>
          </w:tcPr>
          <w:p>
            <w:pPr>
              <w:pStyle w:val="1005"/>
              <w:ind w:left="57" w:right="57"/>
            </w:pPr>
            <w:r>
              <w:t xml:space="preserve">23.12.2019</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Государственный контракт № ФКУ0264/09/2019/РИС от 16.09.2019 (2 период). </w:t>
            </w:r>
            <w:r>
              <w:t xml:space="preserve">Версия ППО АСФК 32.3.0.</w:t>
            </w:r>
            <w:r/>
          </w:p>
          <w:p>
            <w:pPr>
              <w:pStyle w:val="1005"/>
              <w:ind w:left="57" w:right="57"/>
            </w:pPr>
            <w:r>
              <w:t xml:space="preserve">В соответствии с </w:t>
            </w:r>
            <w:r>
              <w:rPr>
                <w:lang w:val="en-US"/>
              </w:rPr>
              <w:t xml:space="preserve">SUFD</w:t>
            </w:r>
            <w:r>
              <w:t xml:space="preserve">-120773 (</w:t>
            </w:r>
            <w:r>
              <w:rPr>
                <w:lang w:val="en-US"/>
              </w:rPr>
              <w:t xml:space="preserve">SUFD</w:t>
            </w:r>
            <w:r>
              <w:t xml:space="preserve">-120914) </w:t>
            </w:r>
            <w:r>
              <w:t xml:space="preserve">актуализирован п. </w:t>
            </w:r>
            <w:r>
              <w:fldChar w:fldCharType="begin"/>
            </w:r>
            <w:r>
              <w:instrText xml:space="preserve"> REF _Ref20824578 \r \h </w:instrText>
            </w:r>
            <w:r>
              <w:fldChar w:fldCharType="separate"/>
            </w:r>
            <w:r>
              <w:t xml:space="preserve">5.11.6</w:t>
            </w:r>
            <w:r>
              <w:fldChar w:fldCharType="end"/>
            </w:r>
            <w:r>
              <w:t xml:space="preserve">.</w:t>
            </w:r>
            <w:r/>
          </w:p>
        </w:tc>
      </w:tr>
      <w:tr>
        <w:trPr/>
        <w:tc>
          <w:tcPr>
            <w:shd w:val="clear" w:fill="auto" w:color="auto"/>
            <w:tcW w:w="412" w:type="pct"/>
            <w:textDirection w:val="lrTb"/>
            <w:noWrap w:val="false"/>
          </w:tcPr>
          <w:p>
            <w:pPr>
              <w:pStyle w:val="1005"/>
              <w:ind w:left="57" w:right="57"/>
            </w:pPr>
            <w:r>
              <w:t xml:space="preserve">16.00</w:t>
            </w:r>
            <w:r/>
          </w:p>
        </w:tc>
        <w:tc>
          <w:tcPr>
            <w:shd w:val="clear" w:fill="auto" w:color="auto"/>
            <w:tcW w:w="635" w:type="pct"/>
            <w:textDirection w:val="lrTb"/>
            <w:noWrap w:val="false"/>
          </w:tcPr>
          <w:p>
            <w:pPr>
              <w:pStyle w:val="1005"/>
              <w:ind w:left="57" w:right="57"/>
            </w:pPr>
            <w:r>
              <w:t xml:space="preserve">1</w:t>
            </w:r>
            <w:r>
              <w:t xml:space="preserve">4</w:t>
            </w:r>
            <w:r>
              <w:t xml:space="preserve">.08.2020</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Государственный контракт </w:t>
            </w:r>
            <w:r>
              <w:t xml:space="preserve">№ ФКУ0168/06/2020/РИС от 05.06.2020</w:t>
            </w:r>
            <w:r>
              <w:t xml:space="preserve">.</w:t>
            </w:r>
            <w:r>
              <w:t xml:space="preserve"> </w:t>
            </w:r>
            <w:r>
              <w:t xml:space="preserve">Версия ППО АСФК 32.</w:t>
            </w:r>
            <w:r>
              <w:t xml:space="preserve">4</w:t>
            </w:r>
            <w:r>
              <w:t xml:space="preserve">.0</w:t>
            </w:r>
            <w:r>
              <w:t xml:space="preserve">.</w:t>
            </w:r>
            <w:r/>
          </w:p>
          <w:p>
            <w:pPr>
              <w:pStyle w:val="1005"/>
              <w:ind w:left="57" w:right="57"/>
            </w:pPr>
            <w:r>
              <w:t xml:space="preserve">В соответствии с </w:t>
            </w:r>
            <w:r>
              <w:rPr>
                <w:lang w:val="en-US"/>
              </w:rPr>
              <w:t xml:space="preserve">SUFD</w:t>
            </w:r>
            <w:r>
              <w:t xml:space="preserve">-121608 (</w:t>
            </w:r>
            <w:r>
              <w:rPr>
                <w:lang w:val="en-US"/>
              </w:rPr>
              <w:t xml:space="preserve">SUFD</w:t>
            </w:r>
            <w:r>
              <w:t xml:space="preserve">-122863) </w:t>
            </w:r>
            <w:r>
              <w:t xml:space="preserve">актуализирован</w:t>
            </w:r>
            <w:r>
              <w:t xml:space="preserve">ы</w:t>
            </w:r>
            <w:r>
              <w:t xml:space="preserve"> </w:t>
            </w:r>
            <w:r>
              <w:t xml:space="preserve">п</w:t>
            </w:r>
            <w:r>
              <w:t xml:space="preserve">п. </w:t>
            </w:r>
            <w:r>
              <w:fldChar w:fldCharType="begin"/>
            </w:r>
            <w:r>
              <w:instrText xml:space="preserve"> REF _Ref35263454 \r \h </w:instrText>
            </w:r>
            <w:r>
              <w:fldChar w:fldCharType="separate"/>
            </w:r>
            <w:r>
              <w:t xml:space="preserve">5.1.1</w:t>
            </w:r>
            <w:r>
              <w:fldChar w:fldCharType="end"/>
            </w:r>
            <w:r>
              <w:t xml:space="preserve">, </w:t>
            </w:r>
            <w:r>
              <w:fldChar w:fldCharType="begin"/>
            </w:r>
            <w:r>
              <w:instrText xml:space="preserve"> REF _Ref359521322 \r \h </w:instrText>
            </w:r>
            <w:r>
              <w:fldChar w:fldCharType="separate"/>
            </w:r>
            <w:r>
              <w:t xml:space="preserve">5.1.2</w:t>
            </w:r>
            <w:r>
              <w:fldChar w:fldCharType="end"/>
            </w:r>
            <w:r>
              <w:t xml:space="preserve">, </w:t>
            </w:r>
            <w:r>
              <w:fldChar w:fldCharType="begin"/>
            </w:r>
            <w:r>
              <w:instrText xml:space="preserve"> REF _Ref35418454 \r \h </w:instrText>
            </w:r>
            <w:r>
              <w:fldChar w:fldCharType="separate"/>
            </w:r>
            <w:r>
              <w:t xml:space="preserve">5.1.6</w:t>
            </w:r>
            <w:r>
              <w:fldChar w:fldCharType="end"/>
            </w:r>
            <w:r>
              <w:t xml:space="preserve">, </w:t>
            </w:r>
            <w:r>
              <w:fldChar w:fldCharType="begin"/>
            </w:r>
            <w:r>
              <w:instrText xml:space="preserve"> REF _Ref482629311 \r \h </w:instrText>
            </w:r>
            <w:r>
              <w:fldChar w:fldCharType="separate"/>
            </w:r>
            <w:r>
              <w:t xml:space="preserve">5.1.7</w:t>
            </w:r>
            <w:r>
              <w:fldChar w:fldCharType="end"/>
            </w:r>
            <w:r>
              <w:t xml:space="preserve">, </w:t>
            </w:r>
            <w:r>
              <w:fldChar w:fldCharType="begin"/>
            </w:r>
            <w:r>
              <w:instrText xml:space="preserve"> REF _Ref419282140 \r \h </w:instrText>
            </w:r>
            <w:r>
              <w:fldChar w:fldCharType="separate"/>
            </w:r>
            <w:r>
              <w:t xml:space="preserve">5.3.1</w:t>
            </w:r>
            <w:r>
              <w:fldChar w:fldCharType="end"/>
            </w:r>
            <w:r>
              <w:t xml:space="preserve">, </w:t>
            </w:r>
            <w:r>
              <w:fldChar w:fldCharType="begin"/>
            </w:r>
            <w:r>
              <w:instrText xml:space="preserve"> REF _Ref272416333 \r \h </w:instrText>
            </w:r>
            <w:r>
              <w:fldChar w:fldCharType="separate"/>
            </w:r>
            <w:r>
              <w:t xml:space="preserve">5.3.2</w:t>
            </w:r>
            <w:r>
              <w:fldChar w:fldCharType="end"/>
            </w:r>
            <w:r>
              <w:t xml:space="preserve">.</w:t>
            </w:r>
            <w:r/>
          </w:p>
          <w:p>
            <w:pPr>
              <w:pStyle w:val="1005"/>
              <w:ind w:left="57" w:right="57"/>
            </w:pPr>
            <w:r>
              <w:t xml:space="preserve">В соответствии с </w:t>
            </w:r>
            <w:r>
              <w:rPr>
                <w:lang w:val="en-US"/>
              </w:rPr>
              <w:t xml:space="preserve">SUFD</w:t>
            </w:r>
            <w:r>
              <w:t xml:space="preserve">-122237 (</w:t>
            </w:r>
            <w:r>
              <w:rPr>
                <w:lang w:val="en-US"/>
              </w:rPr>
              <w:t xml:space="preserve">SUFD</w:t>
            </w:r>
            <w:r>
              <w:t xml:space="preserve">-122867) </w:t>
            </w:r>
            <w:r>
              <w:t xml:space="preserve">актуализирован п. </w:t>
            </w:r>
            <w:r>
              <w:fldChar w:fldCharType="begin"/>
            </w:r>
            <w:r>
              <w:instrText xml:space="preserve"> REF _Ref272416333 \r \h </w:instrText>
            </w:r>
            <w:r>
              <w:fldChar w:fldCharType="separate"/>
            </w:r>
            <w:r>
              <w:t xml:space="preserve">5.3.2</w:t>
            </w:r>
            <w:r>
              <w:fldChar w:fldCharType="end"/>
            </w:r>
            <w:r>
              <w:t xml:space="preserve">.</w:t>
            </w:r>
            <w:r/>
          </w:p>
          <w:p>
            <w:pPr>
              <w:pStyle w:val="1005"/>
              <w:ind w:left="57" w:right="57"/>
            </w:pPr>
            <w:r>
              <w:t xml:space="preserve">В соответствии с </w:t>
            </w:r>
            <w:r>
              <w:rPr>
                <w:lang w:val="en-US"/>
              </w:rPr>
              <w:t xml:space="preserve">SUFD</w:t>
            </w:r>
            <w:r>
              <w:t xml:space="preserve">-122237 (</w:t>
            </w:r>
            <w:r>
              <w:rPr>
                <w:lang w:val="en-US"/>
              </w:rPr>
              <w:t xml:space="preserve">SUFD</w:t>
            </w:r>
            <w:r>
              <w:t xml:space="preserve">-122867) </w:t>
            </w:r>
            <w:r>
              <w:t xml:space="preserve">актуализирован п. </w:t>
            </w:r>
            <w:r>
              <w:fldChar w:fldCharType="begin"/>
            </w:r>
            <w:r>
              <w:instrText xml:space="preserve"> REF _Ref480795837 \r \h </w:instrText>
            </w:r>
            <w:r>
              <w:fldChar w:fldCharType="separate"/>
            </w:r>
            <w:r>
              <w:t xml:space="preserve">5.11.5</w:t>
            </w:r>
            <w:r>
              <w:fldChar w:fldCharType="end"/>
            </w:r>
            <w:r>
              <w:t xml:space="preserve">.</w:t>
            </w:r>
            <w:r/>
          </w:p>
          <w:p>
            <w:pPr>
              <w:pStyle w:val="1005"/>
              <w:ind w:left="57" w:right="57"/>
            </w:pPr>
            <w:r>
              <w:t xml:space="preserve">В соответствии с </w:t>
            </w:r>
            <w:r>
              <w:rPr>
                <w:lang w:val="en-US"/>
              </w:rPr>
              <w:t xml:space="preserve">SUFD</w:t>
            </w:r>
            <w:r>
              <w:t xml:space="preserve">-123245 (</w:t>
            </w:r>
            <w:r>
              <w:rPr>
                <w:lang w:val="en-US"/>
              </w:rPr>
              <w:t xml:space="preserve">SUFD</w:t>
            </w:r>
            <w:r>
              <w:t xml:space="preserve">-123988) </w:t>
            </w:r>
            <w:r>
              <w:t xml:space="preserve">актуализирован</w:t>
            </w:r>
            <w:r>
              <w:t xml:space="preserve">ы</w:t>
            </w:r>
            <w:r>
              <w:t xml:space="preserve"> </w:t>
            </w:r>
            <w:r>
              <w:t xml:space="preserve">п</w:t>
            </w:r>
            <w:r>
              <w:t xml:space="preserve">п. </w:t>
            </w:r>
            <w:r>
              <w:fldChar w:fldCharType="begin"/>
            </w:r>
            <w:r>
              <w:instrText xml:space="preserve"> REF _Ref40955673 \r \h </w:instrText>
            </w:r>
            <w:r>
              <w:fldChar w:fldCharType="separate"/>
            </w:r>
            <w:r>
              <w:t xml:space="preserve">5.1.1</w:t>
            </w:r>
            <w:r>
              <w:fldChar w:fldCharType="end"/>
            </w:r>
            <w:r>
              <w:t xml:space="preserve">, </w:t>
            </w:r>
            <w:r>
              <w:fldChar w:fldCharType="begin"/>
            </w:r>
            <w:r>
              <w:instrText xml:space="preserve"> REF _Ref359521322 \r \h </w:instrText>
            </w:r>
            <w:r>
              <w:fldChar w:fldCharType="separate"/>
            </w:r>
            <w:r>
              <w:t xml:space="preserve">5.1.2</w:t>
            </w:r>
            <w:r>
              <w:fldChar w:fldCharType="end"/>
            </w:r>
            <w:r>
              <w:t xml:space="preserve">,</w:t>
            </w:r>
            <w:r>
              <w:t xml:space="preserve"> </w:t>
            </w:r>
            <w:r>
              <w:fldChar w:fldCharType="begin"/>
            </w:r>
            <w:r>
              <w:instrText xml:space="preserve"> REF _Ref41398525 \r \h </w:instrText>
            </w:r>
            <w:r>
              <w:fldChar w:fldCharType="separate"/>
            </w:r>
            <w:r>
              <w:t xml:space="preserve">5.1.6</w:t>
            </w:r>
            <w:r>
              <w:fldChar w:fldCharType="end"/>
            </w:r>
            <w:r>
              <w:t xml:space="preserve">,</w:t>
            </w:r>
            <w:r>
              <w:t xml:space="preserve"> </w:t>
            </w:r>
            <w:r>
              <w:fldChar w:fldCharType="begin"/>
            </w:r>
            <w:r>
              <w:instrText xml:space="preserve"> REF _Ref482629311 \r \h </w:instrText>
            </w:r>
            <w:r>
              <w:fldChar w:fldCharType="separate"/>
            </w:r>
            <w:r>
              <w:t xml:space="preserve">5.1.7</w:t>
            </w:r>
            <w:r>
              <w:fldChar w:fldCharType="end"/>
            </w:r>
            <w:r>
              <w:t xml:space="preserve">,</w:t>
            </w:r>
            <w:r>
              <w:t xml:space="preserve"> </w:t>
            </w:r>
            <w:r>
              <w:fldChar w:fldCharType="begin"/>
            </w:r>
            <w:r>
              <w:instrText xml:space="preserve"> REF _Ref526520162 \r \h </w:instrText>
            </w:r>
            <w:r>
              <w:fldChar w:fldCharType="separate"/>
            </w:r>
            <w:r>
              <w:t xml:space="preserve">5.1.11</w:t>
            </w:r>
            <w:r>
              <w:fldChar w:fldCharType="end"/>
            </w:r>
            <w:r>
              <w:t xml:space="preserve">.</w:t>
            </w:r>
            <w:r/>
          </w:p>
          <w:p>
            <w:pPr>
              <w:pStyle w:val="1005"/>
              <w:ind w:left="57" w:right="57"/>
            </w:pPr>
            <w:r>
              <w:t xml:space="preserve">В соответствии с </w:t>
            </w:r>
            <w:r>
              <w:rPr>
                <w:lang w:val="en-US"/>
              </w:rPr>
              <w:t xml:space="preserve">SUFD</w:t>
            </w:r>
            <w:r>
              <w:t xml:space="preserve">-109158 (</w:t>
            </w:r>
            <w:r>
              <w:rPr>
                <w:lang w:val="en-US"/>
              </w:rPr>
              <w:t xml:space="preserve">SUFD</w:t>
            </w:r>
            <w:r>
              <w:t xml:space="preserve">-125320) актуализирован</w:t>
            </w:r>
            <w:r>
              <w:t xml:space="preserve">ы</w:t>
            </w:r>
            <w:r>
              <w:t xml:space="preserve"> </w:t>
            </w:r>
            <w:r>
              <w:t xml:space="preserve">п</w:t>
            </w:r>
            <w:r>
              <w:t xml:space="preserve">п.</w:t>
            </w:r>
            <w:r>
              <w:t xml:space="preserve"> </w:t>
            </w:r>
            <w:r>
              <w:fldChar w:fldCharType="begin"/>
            </w:r>
            <w:r>
              <w:instrText xml:space="preserve"> REF _Ref48548020 \r \h </w:instrText>
            </w:r>
            <w:r>
              <w:fldChar w:fldCharType="separate"/>
            </w:r>
            <w:r>
              <w:t xml:space="preserve">5.1.4</w:t>
            </w:r>
            <w:r>
              <w:fldChar w:fldCharType="end"/>
            </w:r>
            <w:r>
              <w:t xml:space="preserve">, </w:t>
            </w:r>
            <w:r>
              <w:fldChar w:fldCharType="begin"/>
            </w:r>
            <w:r>
              <w:instrText xml:space="preserve"> REF _Ref48555522 \r \h </w:instrText>
            </w:r>
            <w:r>
              <w:fldChar w:fldCharType="separate"/>
            </w:r>
            <w:r>
              <w:t xml:space="preserve">5.1.5</w:t>
            </w:r>
            <w:r>
              <w:fldChar w:fldCharType="end"/>
            </w:r>
            <w:r>
              <w:t xml:space="preserve">.</w:t>
            </w:r>
            <w:r/>
          </w:p>
          <w:p>
            <w:pPr>
              <w:pStyle w:val="1005"/>
              <w:ind w:left="57" w:right="57"/>
            </w:pPr>
            <w:r>
              <w:t xml:space="preserve">В соответствии с </w:t>
            </w:r>
            <w:r>
              <w:rPr>
                <w:lang w:val="en-US"/>
              </w:rPr>
              <w:t xml:space="preserve">SUFD</w:t>
            </w:r>
            <w:r>
              <w:t xml:space="preserve">-122439 (</w:t>
            </w:r>
            <w:r>
              <w:rPr>
                <w:lang w:val="en-US"/>
              </w:rPr>
              <w:t xml:space="preserve">SUFD</w:t>
            </w:r>
            <w:r>
              <w:t xml:space="preserve">-125321) </w:t>
            </w:r>
            <w:r>
              <w:t xml:space="preserve">актуализирован п. </w:t>
            </w:r>
            <w:r>
              <w:fldChar w:fldCharType="begin"/>
            </w:r>
            <w:r>
              <w:instrText xml:space="preserve"> REF _Ref48597071 \r \h </w:instrText>
            </w:r>
            <w:r>
              <w:fldChar w:fldCharType="separate"/>
            </w:r>
            <w:r>
              <w:t xml:space="preserve">5.7.4</w:t>
            </w:r>
            <w:r>
              <w:fldChar w:fldCharType="end"/>
            </w:r>
            <w:r>
              <w:t xml:space="preserve">.</w:t>
            </w:r>
            <w:r/>
          </w:p>
          <w:p>
            <w:pPr>
              <w:pStyle w:val="1005"/>
              <w:ind w:left="57" w:right="57"/>
            </w:pPr>
            <w:r>
              <w:t xml:space="preserve">В соответствии с </w:t>
            </w:r>
            <w:r>
              <w:rPr>
                <w:lang w:val="en-US"/>
              </w:rPr>
              <w:t xml:space="preserve">SUFD</w:t>
            </w:r>
            <w:r>
              <w:t xml:space="preserve">-124354 (</w:t>
            </w:r>
            <w:r>
              <w:rPr>
                <w:lang w:val="en-US"/>
              </w:rPr>
              <w:t xml:space="preserve">SUFD</w:t>
            </w:r>
            <w:r>
              <w:t xml:space="preserve">-125360) </w:t>
            </w:r>
            <w:r>
              <w:t xml:space="preserve">актуализирован п. </w:t>
            </w:r>
            <w:r>
              <w:fldChar w:fldCharType="begin"/>
            </w:r>
            <w:r>
              <w:instrText xml:space="preserve"> REF _Ref419282140 \r \h </w:instrText>
            </w:r>
            <w:r>
              <w:fldChar w:fldCharType="separate"/>
            </w:r>
            <w:r>
              <w:t xml:space="preserve">5.3.1</w:t>
            </w:r>
            <w:r>
              <w:fldChar w:fldCharType="end"/>
            </w:r>
            <w:r>
              <w:t xml:space="preserve">.</w:t>
            </w:r>
            <w:r/>
          </w:p>
        </w:tc>
      </w:tr>
      <w:tr>
        <w:trPr/>
        <w:tc>
          <w:tcPr>
            <w:shd w:val="clear" w:fill="auto" w:color="auto"/>
            <w:tcW w:w="412" w:type="pct"/>
            <w:textDirection w:val="lrTb"/>
            <w:noWrap w:val="false"/>
          </w:tcPr>
          <w:p>
            <w:pPr>
              <w:pStyle w:val="1005"/>
              <w:ind w:left="57" w:right="57"/>
            </w:pPr>
            <w:r>
              <w:t xml:space="preserve">16.01</w:t>
            </w:r>
            <w:r/>
          </w:p>
        </w:tc>
        <w:tc>
          <w:tcPr>
            <w:shd w:val="clear" w:fill="auto" w:color="auto"/>
            <w:tcW w:w="635" w:type="pct"/>
            <w:textDirection w:val="lrTb"/>
            <w:noWrap w:val="false"/>
          </w:tcPr>
          <w:p>
            <w:pPr>
              <w:pStyle w:val="1005"/>
              <w:ind w:left="57" w:right="57"/>
            </w:pPr>
            <w:r>
              <w:t xml:space="preserve">16.08.2020</w:t>
            </w:r>
            <w:r/>
          </w:p>
        </w:tc>
        <w:tc>
          <w:tcPr>
            <w:shd w:val="clear" w:fill="auto" w:color="auto"/>
            <w:tcW w:w="1017" w:type="pct"/>
            <w:textDirection w:val="lrTb"/>
            <w:noWrap w:val="false"/>
          </w:tcPr>
          <w:p>
            <w:pPr>
              <w:pStyle w:val="1005"/>
              <w:ind w:left="57" w:right="57"/>
            </w:pPr>
            <w:r>
              <w:t xml:space="preserve">Галкина Г.С.</w:t>
            </w:r>
            <w:r/>
          </w:p>
        </w:tc>
        <w:tc>
          <w:tcPr>
            <w:shd w:val="clear" w:fill="auto" w:color="auto"/>
            <w:tcW w:w="2936" w:type="pct"/>
            <w:textDirection w:val="lrTb"/>
            <w:noWrap w:val="false"/>
          </w:tcPr>
          <w:p>
            <w:pPr>
              <w:pStyle w:val="1005"/>
              <w:ind w:left="57" w:right="57"/>
            </w:pPr>
            <w:r>
              <w:t xml:space="preserve">Внесены изменения по требованиям, предусмотренным Государственным контрактом № ФКУ0168/06/2020/РИС от 05.06.2020. Версия ППО АСФК 32.4.0.</w:t>
            </w:r>
            <w:r/>
          </w:p>
        </w:tc>
      </w:tr>
      <w:tr>
        <w:trPr/>
        <w:tc>
          <w:tcPr>
            <w:shd w:val="clear" w:fill="auto" w:color="auto"/>
            <w:tcW w:w="412" w:type="pct"/>
            <w:textDirection w:val="lrTb"/>
            <w:noWrap w:val="false"/>
          </w:tcPr>
          <w:p>
            <w:pPr>
              <w:pStyle w:val="1005"/>
              <w:ind w:left="57" w:right="57"/>
            </w:pPr>
            <w:r>
              <w:t xml:space="preserve">17.00</w:t>
            </w:r>
            <w:r/>
          </w:p>
        </w:tc>
        <w:tc>
          <w:tcPr>
            <w:shd w:val="clear" w:fill="auto" w:color="auto"/>
            <w:tcW w:w="635" w:type="pct"/>
            <w:textDirection w:val="lrTb"/>
            <w:noWrap w:val="false"/>
          </w:tcPr>
          <w:p>
            <w:pPr>
              <w:pStyle w:val="1005"/>
              <w:ind w:left="57" w:right="57"/>
            </w:pPr>
            <w:r>
              <w:t xml:space="preserve">20.08.2020</w:t>
            </w:r>
            <w:r/>
          </w:p>
        </w:tc>
        <w:tc>
          <w:tcPr>
            <w:shd w:val="clear" w:fill="auto" w:color="auto"/>
            <w:tcW w:w="1017" w:type="pct"/>
            <w:textDirection w:val="lrTb"/>
            <w:noWrap w:val="false"/>
          </w:tcPr>
          <w:p>
            <w:pPr>
              <w:pStyle w:val="1005"/>
              <w:ind w:left="57" w:right="57"/>
            </w:pPr>
            <w:r>
              <w:t xml:space="preserve">Божкова Н.</w:t>
            </w:r>
            <w:r>
              <w:t xml:space="preserve">А.</w:t>
            </w:r>
            <w:r/>
          </w:p>
        </w:tc>
        <w:tc>
          <w:tcPr>
            <w:shd w:val="clear" w:fill="auto" w:color="auto"/>
            <w:tcW w:w="2936" w:type="pct"/>
            <w:textDirection w:val="lrTb"/>
            <w:noWrap w:val="false"/>
          </w:tcPr>
          <w:p>
            <w:pPr>
              <w:pStyle w:val="1005"/>
              <w:ind w:left="57" w:right="57"/>
            </w:pPr>
            <w:r>
              <w:t xml:space="preserve">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t xml:space="preserve">5</w:t>
            </w:r>
            <w:r>
              <w:t xml:space="preserve">.0.</w:t>
            </w:r>
            <w:r/>
          </w:p>
        </w:tc>
      </w:tr>
      <w:tr>
        <w:trPr/>
        <w:tc>
          <w:tcPr>
            <w:shd w:val="clear" w:fill="auto" w:color="auto"/>
            <w:tcW w:w="412" w:type="pct"/>
            <w:textDirection w:val="lrTb"/>
            <w:noWrap w:val="false"/>
          </w:tcPr>
          <w:p>
            <w:pPr>
              <w:pStyle w:val="1005"/>
              <w:ind w:left="57" w:right="57"/>
            </w:pPr>
            <w:r>
              <w:t xml:space="preserve">18.00</w:t>
            </w:r>
            <w:r/>
          </w:p>
        </w:tc>
        <w:tc>
          <w:tcPr>
            <w:shd w:val="clear" w:fill="auto" w:color="auto"/>
            <w:tcW w:w="635" w:type="pct"/>
            <w:textDirection w:val="lrTb"/>
            <w:noWrap w:val="false"/>
          </w:tcPr>
          <w:p>
            <w:pPr>
              <w:pStyle w:val="1005"/>
              <w:ind w:left="57" w:right="57"/>
            </w:pPr>
            <w:r>
              <w:t xml:space="preserve">08.10.2020</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t xml:space="preserve">.</w:t>
            </w:r>
            <w:r/>
          </w:p>
          <w:p>
            <w:pPr>
              <w:pStyle w:val="1005"/>
              <w:ind w:left="57" w:right="57"/>
            </w:pPr>
            <w:r>
              <w:t xml:space="preserve">В соответствии c </w:t>
            </w:r>
            <w:r>
              <w:rPr>
                <w:lang w:val="en-US"/>
              </w:rPr>
              <w:t xml:space="preserve">SUFD</w:t>
            </w:r>
            <w:r>
              <w:t xml:space="preserve">-124575 (</w:t>
            </w:r>
            <w:r>
              <w:rPr>
                <w:lang w:val="en-US"/>
              </w:rPr>
              <w:t xml:space="preserve">SUFD</w:t>
            </w:r>
            <w:r>
              <w:t xml:space="preserve">-124950)</w:t>
            </w:r>
            <w:r>
              <w:t xml:space="preserve"> УКП к ПД </w:t>
            </w:r>
            <w:r>
              <w:rPr>
                <w:lang w:val="en-US"/>
              </w:rPr>
              <w:t xml:space="preserve">SUFD</w:t>
            </w:r>
            <w:r>
              <w:t xml:space="preserve">-</w:t>
            </w:r>
            <w:r>
              <w:t xml:space="preserve">124266</w:t>
            </w:r>
            <w:r>
              <w:t xml:space="preserve"> </w:t>
            </w:r>
            <w:r>
              <w:t xml:space="preserve">актуализированы пп. </w:t>
            </w:r>
            <w:r>
              <w:fldChar w:fldCharType="begin"/>
            </w:r>
            <w:r>
              <w:instrText xml:space="preserve"> REF _Ref51162587 \r \h </w:instrText>
            </w:r>
            <w:r>
              <w:fldChar w:fldCharType="separate"/>
            </w:r>
            <w:r>
              <w:t xml:space="preserve">5.1.1</w:t>
            </w:r>
            <w:r>
              <w:fldChar w:fldCharType="end"/>
            </w:r>
            <w:r>
              <w:t xml:space="preserve">, </w:t>
            </w:r>
            <w:r>
              <w:fldChar w:fldCharType="begin"/>
            </w:r>
            <w:r>
              <w:instrText xml:space="preserve"> REF _Ref359521322 \r \h </w:instrText>
            </w:r>
            <w:r>
              <w:fldChar w:fldCharType="separate"/>
            </w:r>
            <w:r>
              <w:t xml:space="preserve">5.1.2</w:t>
            </w:r>
            <w:r>
              <w:fldChar w:fldCharType="end"/>
            </w:r>
            <w:r>
              <w:t xml:space="preserve">, </w:t>
            </w:r>
            <w:r>
              <w:fldChar w:fldCharType="begin"/>
            </w:r>
            <w:r>
              <w:instrText xml:space="preserve"> REF _Ref51162637 \r \h </w:instrText>
            </w:r>
            <w:r>
              <w:fldChar w:fldCharType="separate"/>
            </w:r>
            <w:r>
              <w:t xml:space="preserve">5.1.6</w:t>
            </w:r>
            <w:r>
              <w:fldChar w:fldCharType="end"/>
            </w:r>
            <w:r>
              <w:t xml:space="preserve">, </w:t>
            </w:r>
            <w:r>
              <w:fldChar w:fldCharType="begin"/>
            </w:r>
            <w:r>
              <w:instrText xml:space="preserve"> REF _Ref482629311 \r \h </w:instrText>
            </w:r>
            <w:r>
              <w:fldChar w:fldCharType="separate"/>
            </w:r>
            <w:r>
              <w:t xml:space="preserve">5.1.7</w:t>
            </w:r>
            <w:r>
              <w:fldChar w:fldCharType="end"/>
            </w:r>
            <w:r>
              <w:t xml:space="preserve">,</w:t>
            </w:r>
            <w:r>
              <w:t xml:space="preserve"> </w:t>
            </w:r>
            <w:r>
              <w:fldChar w:fldCharType="begin"/>
            </w:r>
            <w:r>
              <w:instrText xml:space="preserve"> REF _Ref51937061 \r \h </w:instrText>
            </w:r>
            <w:r>
              <w:fldChar w:fldCharType="separate"/>
            </w:r>
            <w:r>
              <w:t xml:space="preserve">5.1.8</w:t>
            </w:r>
            <w:r>
              <w:fldChar w:fldCharType="end"/>
            </w:r>
            <w:r>
              <w:t xml:space="preserve">,</w:t>
            </w:r>
            <w:r>
              <w:t xml:space="preserve"> </w:t>
            </w:r>
            <w:r>
              <w:fldChar w:fldCharType="begin"/>
            </w:r>
            <w:r>
              <w:instrText xml:space="preserve"> REF _Ref526520162 \r \h </w:instrText>
            </w:r>
            <w:r>
              <w:fldChar w:fldCharType="separate"/>
            </w:r>
            <w:r>
              <w:t xml:space="preserve">5.1.11</w:t>
            </w:r>
            <w:r>
              <w:fldChar w:fldCharType="end"/>
            </w:r>
            <w:r>
              <w:t xml:space="preserve">, </w:t>
            </w:r>
            <w:r>
              <w:fldChar w:fldCharType="begin"/>
            </w:r>
            <w:r>
              <w:instrText xml:space="preserve"> REF _Ref420320397 \r \h </w:instrText>
            </w:r>
            <w:r>
              <w:fldChar w:fldCharType="separate"/>
            </w:r>
            <w:r>
              <w:t xml:space="preserve">5.3.3</w:t>
            </w:r>
            <w:r>
              <w:fldChar w:fldCharType="end"/>
            </w:r>
            <w:r>
              <w:t xml:space="preserve">.</w:t>
            </w:r>
            <w:r/>
          </w:p>
          <w:p>
            <w:pPr>
              <w:pStyle w:val="1005"/>
              <w:ind w:left="57" w:right="57"/>
            </w:pPr>
            <w:r>
              <w:t xml:space="preserve">В соответствии с </w:t>
            </w:r>
            <w:r>
              <w:rPr>
                <w:lang w:val="en-US"/>
              </w:rPr>
              <w:t xml:space="preserve">SUFD</w:t>
            </w:r>
            <w:r>
              <w:t xml:space="preserve">-</w:t>
            </w:r>
            <w:r>
              <w:t xml:space="preserve">124353 (</w:t>
            </w:r>
            <w:r>
              <w:rPr>
                <w:lang w:val="en-US"/>
              </w:rPr>
              <w:t xml:space="preserve">SUFD</w:t>
            </w:r>
            <w:r>
              <w:t xml:space="preserve">-124977) </w:t>
            </w:r>
            <w:r>
              <w:t xml:space="preserve">актуализирован п. </w:t>
            </w:r>
            <w:r>
              <w:fldChar w:fldCharType="begin"/>
            </w:r>
            <w:r>
              <w:instrText xml:space="preserve"> REF _Ref52887327 \r \h </w:instrText>
            </w:r>
            <w:r>
              <w:fldChar w:fldCharType="separate"/>
            </w:r>
            <w:r>
              <w:t xml:space="preserve">5.3.4</w:t>
            </w:r>
            <w:r>
              <w:fldChar w:fldCharType="end"/>
            </w:r>
            <w:r>
              <w:t xml:space="preserve">.</w:t>
            </w:r>
            <w:r/>
          </w:p>
          <w:p>
            <w:pPr>
              <w:pStyle w:val="1005"/>
              <w:ind w:left="57" w:right="57"/>
            </w:pPr>
            <w:r>
              <w:t xml:space="preserve">В соответствии с </w:t>
            </w:r>
            <w:r>
              <w:rPr>
                <w:lang w:val="en-US"/>
              </w:rPr>
              <w:t xml:space="preserve">SUFD</w:t>
            </w:r>
            <w:r>
              <w:t xml:space="preserve">-120783 (</w:t>
            </w:r>
            <w:r>
              <w:rPr>
                <w:lang w:val="en-US"/>
              </w:rPr>
              <w:t xml:space="preserve">SUFD</w:t>
            </w:r>
            <w:r>
              <w:t xml:space="preserve">-120915) </w:t>
            </w:r>
            <w:r>
              <w:t xml:space="preserve">добавлен п.</w:t>
            </w:r>
            <w:r>
              <w:t xml:space="preserve"> </w:t>
            </w:r>
            <w:r>
              <w:fldChar w:fldCharType="begin"/>
            </w:r>
            <w:r>
              <w:instrText xml:space="preserve"> REF _Ref74234896 \r \h </w:instrText>
            </w:r>
            <w:r>
              <w:fldChar w:fldCharType="separate"/>
            </w:r>
            <w:r>
              <w:t xml:space="preserve">5.1.18</w:t>
            </w:r>
            <w:r>
              <w:fldChar w:fldCharType="end"/>
            </w:r>
            <w:r>
              <w:t xml:space="preserve">.</w:t>
            </w:r>
            <w:r/>
          </w:p>
          <w:p>
            <w:pPr>
              <w:pStyle w:val="1005"/>
              <w:ind w:left="57" w:right="57"/>
            </w:pPr>
            <w:r>
              <w:t xml:space="preserve">В соответствии с </w:t>
            </w:r>
            <w:r>
              <w:rPr>
                <w:lang w:val="en-US"/>
              </w:rPr>
              <w:t xml:space="preserve">SUFD</w:t>
            </w:r>
            <w:r>
              <w:t xml:space="preserve">-123698 (</w:t>
            </w:r>
            <w:r>
              <w:rPr>
                <w:lang w:val="en-US"/>
              </w:rPr>
              <w:t xml:space="preserve">SUFD</w:t>
            </w:r>
            <w:r>
              <w:t xml:space="preserve">-125219) </w:t>
            </w:r>
            <w:r>
              <w:t xml:space="preserve">актуализирован п.</w:t>
            </w:r>
            <w:r>
              <w:t xml:space="preserve"> </w:t>
            </w:r>
            <w:r>
              <w:fldChar w:fldCharType="begin"/>
            </w:r>
            <w:r>
              <w:instrText xml:space="preserve"> REF _Ref74234896 \r \h </w:instrText>
            </w:r>
            <w:r>
              <w:fldChar w:fldCharType="separate"/>
            </w:r>
            <w:r>
              <w:t xml:space="preserve">5.1.18</w:t>
            </w:r>
            <w:r>
              <w:fldChar w:fldCharType="end"/>
            </w:r>
            <w:r>
              <w:t xml:space="preserve">.</w:t>
            </w:r>
            <w:r/>
          </w:p>
        </w:tc>
      </w:tr>
      <w:tr>
        <w:trPr/>
        <w:tc>
          <w:tcPr>
            <w:shd w:val="clear" w:fill="auto" w:color="auto"/>
            <w:tcW w:w="412" w:type="pct"/>
            <w:textDirection w:val="lrTb"/>
            <w:noWrap w:val="false"/>
          </w:tcPr>
          <w:p>
            <w:pPr>
              <w:pStyle w:val="1005"/>
              <w:ind w:left="57" w:right="57"/>
            </w:pPr>
            <w:r>
              <w:t xml:space="preserve">18.01</w:t>
            </w:r>
            <w:r/>
          </w:p>
        </w:tc>
        <w:tc>
          <w:tcPr>
            <w:shd w:val="clear" w:fill="auto" w:color="auto"/>
            <w:tcW w:w="635" w:type="pct"/>
            <w:textDirection w:val="lrTb"/>
            <w:noWrap w:val="false"/>
          </w:tcPr>
          <w:p>
            <w:pPr>
              <w:pStyle w:val="1005"/>
              <w:ind w:left="57" w:right="57"/>
            </w:pPr>
            <w:r>
              <w:t xml:space="preserve">22.03.2021</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Актуализирован в связи с изменением номера версии </w:t>
            </w:r>
            <w:r>
              <w:t xml:space="preserve">ППО АСФК в период проведения опытной эксплуатации в рамках 1-го периода работ Государственного контракта ФКУ0173/06/2020/РИС от 09.06.2020. Версия ППО АСФК 32.6.0.</w:t>
            </w:r>
            <w:r/>
          </w:p>
          <w:p>
            <w:pPr>
              <w:pStyle w:val="1005"/>
              <w:ind w:left="57" w:right="57"/>
            </w:pPr>
            <w:r>
              <w:t xml:space="preserve">В соответствии с </w:t>
            </w:r>
            <w:r>
              <w:rPr>
                <w:lang w:val="en-US"/>
              </w:rPr>
              <w:t xml:space="preserve">SUFD</w:t>
            </w:r>
            <w:r>
              <w:t xml:space="preserve">-122415 (</w:t>
            </w:r>
            <w:r>
              <w:rPr>
                <w:lang w:val="en-US"/>
              </w:rPr>
              <w:t xml:space="preserve">SUFD</w:t>
            </w:r>
            <w:r>
              <w:t xml:space="preserve">-126033) </w:t>
            </w:r>
            <w:r>
              <w:t xml:space="preserve">актуализированы пп.</w:t>
            </w:r>
            <w:r>
              <w:t xml:space="preserve"> </w:t>
            </w:r>
            <w:r>
              <w:fldChar w:fldCharType="begin"/>
            </w:r>
            <w:r>
              <w:instrText xml:space="preserve"> REF _Ref74234896 \r \h </w:instrText>
            </w:r>
            <w:r>
              <w:fldChar w:fldCharType="separate"/>
            </w:r>
            <w:r>
              <w:t xml:space="preserve">5.1.18</w:t>
            </w:r>
            <w:r>
              <w:fldChar w:fldCharType="end"/>
            </w:r>
            <w:r>
              <w:t xml:space="preserve">, </w:t>
            </w:r>
            <w:r>
              <w:fldChar w:fldCharType="begin"/>
            </w:r>
            <w:r>
              <w:instrText xml:space="preserve"> REF _Ref57809686 \r \h </w:instrText>
            </w:r>
            <w:r>
              <w:fldChar w:fldCharType="separate"/>
            </w:r>
            <w:r>
              <w:t xml:space="preserve">5.1.19</w:t>
            </w:r>
            <w:r>
              <w:fldChar w:fldCharType="end"/>
            </w:r>
            <w:r>
              <w:t xml:space="preserve">.</w:t>
            </w:r>
            <w:r/>
          </w:p>
          <w:p>
            <w:pPr>
              <w:pStyle w:val="1005"/>
              <w:ind w:left="57" w:right="57"/>
            </w:pPr>
            <w:r>
              <w:t xml:space="preserve">В соответствии с </w:t>
            </w:r>
            <w:r>
              <w:rPr>
                <w:lang w:val="en-US"/>
              </w:rPr>
              <w:t xml:space="preserve">SUFD</w:t>
            </w:r>
            <w:r>
              <w:t xml:space="preserve">-124577 (</w:t>
            </w:r>
            <w:r>
              <w:rPr>
                <w:lang w:val="en-US"/>
              </w:rPr>
              <w:t xml:space="preserve">SUFD</w:t>
            </w:r>
            <w:r>
              <w:t xml:space="preserve">-125366)</w:t>
            </w:r>
            <w:r>
              <w:t xml:space="preserve"> УКП к ПД </w:t>
            </w:r>
            <w:r>
              <w:rPr>
                <w:lang w:val="en-US"/>
              </w:rPr>
              <w:t xml:space="preserve">SUFD</w:t>
            </w:r>
            <w:r>
              <w:t xml:space="preserve">-124266</w:t>
            </w:r>
            <w:r>
              <w:t xml:space="preserve"> </w:t>
            </w:r>
            <w:r>
              <w:t xml:space="preserve">актуализированы пп. </w:t>
            </w:r>
            <w:r>
              <w:fldChar w:fldCharType="begin"/>
            </w:r>
            <w:r>
              <w:instrText xml:space="preserve"> REF _Ref58796768 \r \h </w:instrText>
            </w:r>
            <w:r>
              <w:fldChar w:fldCharType="separate"/>
            </w:r>
            <w:r>
              <w:t xml:space="preserve">5.4.1</w:t>
            </w:r>
            <w:r>
              <w:fldChar w:fldCharType="end"/>
            </w:r>
            <w:r>
              <w:t xml:space="preserve">, </w:t>
            </w:r>
            <w:r>
              <w:fldChar w:fldCharType="begin"/>
            </w:r>
            <w:r>
              <w:instrText xml:space="preserve"> REF _Ref58710701 \r \h </w:instrText>
            </w:r>
            <w:r>
              <w:fldChar w:fldCharType="separate"/>
            </w:r>
            <w:r>
              <w:t xml:space="preserve">5.6.1</w:t>
            </w:r>
            <w:r>
              <w:fldChar w:fldCharType="end"/>
            </w:r>
            <w:r>
              <w:t xml:space="preserve">, </w:t>
            </w:r>
            <w:r>
              <w:fldChar w:fldCharType="begin"/>
            </w:r>
            <w:r>
              <w:instrText xml:space="preserve"> REF _Ref355695440 \r \h </w:instrText>
            </w:r>
            <w:r>
              <w:fldChar w:fldCharType="separate"/>
            </w:r>
            <w:r>
              <w:t xml:space="preserve">5.11.2</w:t>
            </w:r>
            <w:r>
              <w:fldChar w:fldCharType="end"/>
            </w:r>
            <w:r>
              <w:t xml:space="preserve">.</w:t>
            </w:r>
            <w:r/>
          </w:p>
          <w:p>
            <w:pPr>
              <w:pStyle w:val="1005"/>
              <w:ind w:left="57" w:right="57"/>
            </w:pPr>
            <w:r>
              <w:t xml:space="preserve">В соответствии с </w:t>
            </w:r>
            <w:r>
              <w:rPr>
                <w:lang w:val="en-US"/>
              </w:rPr>
              <w:t xml:space="preserve">SUFD</w:t>
            </w:r>
            <w:r>
              <w:t xml:space="preserve">-125895 (</w:t>
            </w:r>
            <w:r>
              <w:rPr>
                <w:lang w:val="en-US"/>
              </w:rPr>
              <w:t xml:space="preserve">SUFD</w:t>
            </w:r>
            <w:r>
              <w:t xml:space="preserve">-126176)</w:t>
            </w:r>
            <w:r>
              <w:t xml:space="preserve"> УКП к ПД </w:t>
            </w:r>
            <w:r>
              <w:rPr>
                <w:lang w:val="en-US"/>
              </w:rPr>
              <w:t xml:space="preserve">SUFD</w:t>
            </w:r>
            <w:r>
              <w:t xml:space="preserve">-124266</w:t>
            </w:r>
            <w:r>
              <w:t xml:space="preserve"> </w:t>
            </w:r>
            <w:r>
              <w:t xml:space="preserve">актуализированы пп. </w:t>
            </w:r>
            <w:r>
              <w:fldChar w:fldCharType="begin"/>
            </w:r>
            <w:r>
              <w:instrText xml:space="preserve"> REF _Ref419282140 \r \h </w:instrText>
            </w:r>
            <w:r>
              <w:fldChar w:fldCharType="separate"/>
            </w:r>
            <w:r>
              <w:t xml:space="preserve">5.3.1</w:t>
            </w:r>
            <w:r>
              <w:fldChar w:fldCharType="end"/>
            </w:r>
            <w:r>
              <w:t xml:space="preserve">, </w:t>
            </w:r>
            <w:r>
              <w:fldChar w:fldCharType="begin"/>
            </w:r>
            <w:r>
              <w:instrText xml:space="preserve"> REF _Ref272416333 \r \h </w:instrText>
            </w:r>
            <w:r>
              <w:fldChar w:fldCharType="separate"/>
            </w:r>
            <w:r>
              <w:t xml:space="preserve">5.3.2</w:t>
            </w:r>
            <w:r>
              <w:fldChar w:fldCharType="end"/>
            </w:r>
            <w:r>
              <w:t xml:space="preserve">.</w:t>
            </w:r>
            <w:r/>
          </w:p>
          <w:p>
            <w:pPr>
              <w:pStyle w:val="1005"/>
              <w:ind w:left="57" w:right="57"/>
            </w:pPr>
            <w:r>
              <w:t xml:space="preserve">В соответствии с </w:t>
            </w:r>
            <w:r>
              <w:rPr>
                <w:lang w:val="en-US"/>
              </w:rPr>
              <w:t xml:space="preserve">SUFD</w:t>
            </w:r>
            <w:r>
              <w:t xml:space="preserve">-125249 (</w:t>
            </w:r>
            <w:r>
              <w:rPr>
                <w:lang w:val="en-US"/>
              </w:rPr>
              <w:t xml:space="preserve">SUFD</w:t>
            </w:r>
            <w:r>
              <w:t xml:space="preserve">-126175) </w:t>
            </w:r>
            <w:r>
              <w:t xml:space="preserve">добавлен п. </w:t>
            </w:r>
            <w:r>
              <w:fldChar w:fldCharType="begin"/>
            </w:r>
            <w:r>
              <w:instrText xml:space="preserve"> REF _Ref58935798 \r \h </w:instrText>
            </w:r>
            <w:r>
              <w:fldChar w:fldCharType="separate"/>
            </w:r>
            <w:r>
              <w:t xml:space="preserve">5.11.4</w:t>
            </w:r>
            <w:r>
              <w:fldChar w:fldCharType="end"/>
            </w:r>
            <w:r>
              <w:t xml:space="preserve">.</w:t>
            </w:r>
            <w:r/>
          </w:p>
          <w:p>
            <w:pPr>
              <w:pStyle w:val="1005"/>
              <w:ind w:left="57" w:right="57"/>
            </w:pPr>
            <w:r>
              <w:t xml:space="preserve">В соответствии с </w:t>
            </w:r>
            <w:r>
              <w:rPr>
                <w:lang w:val="en-US"/>
              </w:rPr>
              <w:t xml:space="preserve">SUFD</w:t>
            </w:r>
            <w:r>
              <w:t xml:space="preserve">-126144 (</w:t>
            </w:r>
            <w:r>
              <w:rPr>
                <w:lang w:val="en-US"/>
              </w:rPr>
              <w:t xml:space="preserve">SUFD</w:t>
            </w:r>
            <w:r>
              <w:t xml:space="preserve">-126532)</w:t>
            </w:r>
            <w:r>
              <w:t xml:space="preserve"> УКП к ПД </w:t>
            </w:r>
            <w:r>
              <w:rPr>
                <w:lang w:val="en-US"/>
              </w:rPr>
              <w:t xml:space="preserve">SUFD</w:t>
            </w:r>
            <w:r>
              <w:t xml:space="preserve">-124266</w:t>
            </w:r>
            <w:r>
              <w:t xml:space="preserve"> </w:t>
            </w:r>
            <w:r>
              <w:t xml:space="preserve">актуализирован п. </w:t>
            </w:r>
            <w:r>
              <w:fldChar w:fldCharType="begin"/>
            </w:r>
            <w:r>
              <w:instrText xml:space="preserve"> REF _Ref395197271 \r \h </w:instrText>
            </w:r>
            <w:r>
              <w:fldChar w:fldCharType="separate"/>
            </w:r>
            <w:r>
              <w:t xml:space="preserve">5.9.1</w:t>
            </w:r>
            <w:r>
              <w:fldChar w:fldCharType="end"/>
            </w:r>
            <w:r>
              <w:t xml:space="preserve">.</w:t>
            </w:r>
            <w:r/>
          </w:p>
          <w:p>
            <w:pPr>
              <w:pStyle w:val="1005"/>
              <w:ind w:left="57" w:right="57"/>
            </w:pPr>
            <w:r>
              <w:t xml:space="preserve">В соответствии с </w:t>
            </w:r>
            <w:r>
              <w:rPr>
                <w:lang w:val="en-US"/>
              </w:rPr>
              <w:t xml:space="preserve">SUFD</w:t>
            </w:r>
            <w:r>
              <w:t xml:space="preserve">-126216 (</w:t>
            </w:r>
            <w:r>
              <w:rPr>
                <w:lang w:val="en-US"/>
              </w:rPr>
              <w:t xml:space="preserve">SUFD</w:t>
            </w:r>
            <w:r>
              <w:t xml:space="preserve">-126533) </w:t>
            </w:r>
            <w:r>
              <w:t xml:space="preserve">актуализированы пп. </w:t>
            </w:r>
            <w:r>
              <w:fldChar w:fldCharType="begin"/>
            </w:r>
            <w:r>
              <w:instrText xml:space="preserve"> REF _Ref60047740 \r \h </w:instrText>
            </w:r>
            <w:r>
              <w:fldChar w:fldCharType="separate"/>
            </w:r>
            <w:r>
              <w:t xml:space="preserve">5.1.6</w:t>
            </w:r>
            <w:r>
              <w:fldChar w:fldCharType="end"/>
            </w:r>
            <w:r>
              <w:t xml:space="preserve">, </w:t>
            </w:r>
            <w:r>
              <w:fldChar w:fldCharType="begin"/>
            </w:r>
            <w:r>
              <w:instrText xml:space="preserve"> REF _Ref482629311 \r \h </w:instrText>
            </w:r>
            <w:r>
              <w:fldChar w:fldCharType="separate"/>
            </w:r>
            <w:r>
              <w:t xml:space="preserve">5.1.7</w:t>
            </w:r>
            <w:r>
              <w:fldChar w:fldCharType="end"/>
            </w:r>
            <w:r>
              <w:t xml:space="preserve">, </w:t>
            </w:r>
            <w:r>
              <w:fldChar w:fldCharType="begin"/>
            </w:r>
            <w:r>
              <w:instrText xml:space="preserve"> REF _Ref60089794 \r \h </w:instrText>
            </w:r>
            <w:r>
              <w:fldChar w:fldCharType="separate"/>
            </w:r>
            <w:r>
              <w:t xml:space="preserve">5.4.1</w:t>
            </w:r>
            <w:r>
              <w:fldChar w:fldCharType="end"/>
            </w:r>
            <w:r>
              <w:t xml:space="preserve">.</w:t>
            </w:r>
            <w:r/>
          </w:p>
          <w:p>
            <w:pPr>
              <w:pStyle w:val="1005"/>
              <w:ind w:left="57" w:right="57"/>
            </w:pPr>
            <w:r>
              <w:t xml:space="preserve">В соответствии с </w:t>
            </w:r>
            <w:r>
              <w:rPr>
                <w:lang w:val="en-US"/>
              </w:rPr>
              <w:t xml:space="preserve">SUFD</w:t>
            </w:r>
            <w:r>
              <w:t xml:space="preserve">-123033 (</w:t>
            </w:r>
            <w:r>
              <w:rPr>
                <w:lang w:val="en-US"/>
              </w:rPr>
              <w:t xml:space="preserve">SUFD</w:t>
            </w:r>
            <w:r>
              <w:t xml:space="preserve">-128421) </w:t>
            </w:r>
            <w:r>
              <w:t xml:space="preserve">актуализирован п. </w:t>
            </w:r>
            <w:r>
              <w:fldChar w:fldCharType="begin"/>
            </w:r>
            <w:r>
              <w:instrText xml:space="preserve"> REF _Ref482629311 \r \h </w:instrText>
            </w:r>
            <w:r>
              <w:fldChar w:fldCharType="separate"/>
            </w:r>
            <w:r>
              <w:t xml:space="preserve">5.1.7</w:t>
            </w:r>
            <w:r>
              <w:fldChar w:fldCharType="end"/>
            </w:r>
            <w:r>
              <w:t xml:space="preserve">.</w:t>
            </w:r>
            <w:r/>
          </w:p>
          <w:p>
            <w:pPr>
              <w:pStyle w:val="1005"/>
              <w:ind w:left="57" w:right="57"/>
            </w:pPr>
            <w:r>
              <w:t xml:space="preserve">В соответствии с </w:t>
            </w:r>
            <w:r>
              <w:rPr>
                <w:lang w:val="en-US"/>
              </w:rPr>
              <w:t xml:space="preserve">SUFD</w:t>
            </w:r>
            <w:r>
              <w:t xml:space="preserve">-126831 (</w:t>
            </w:r>
            <w:r>
              <w:rPr>
                <w:lang w:val="en-US"/>
              </w:rPr>
              <w:t xml:space="preserve">SUFD</w:t>
            </w:r>
            <w:r>
              <w:t xml:space="preserve">-128459) </w:t>
            </w:r>
            <w:r>
              <w:t xml:space="preserve">актуализированы пп. </w:t>
            </w:r>
            <w:r>
              <w:fldChar w:fldCharType="begin"/>
            </w:r>
            <w:r>
              <w:instrText xml:space="preserve"> REF _Ref420330774 \r \h </w:instrText>
            </w:r>
            <w:r>
              <w:fldChar w:fldCharType="separate"/>
            </w:r>
            <w:r>
              <w:t xml:space="preserve">5.1.13</w:t>
            </w:r>
            <w:r>
              <w:fldChar w:fldCharType="end"/>
            </w:r>
            <w:r>
              <w:t xml:space="preserve">, </w:t>
            </w:r>
            <w:r>
              <w:fldChar w:fldCharType="begin"/>
            </w:r>
            <w:r>
              <w:instrText xml:space="preserve"> REF _Ref524531412 \r \h </w:instrText>
            </w:r>
            <w:r>
              <w:fldChar w:fldCharType="separate"/>
            </w:r>
            <w:r>
              <w:t xml:space="preserve">5.1.20</w:t>
            </w:r>
            <w:r>
              <w:fldChar w:fldCharType="end"/>
            </w:r>
            <w:r>
              <w:t xml:space="preserve">.</w:t>
            </w:r>
            <w:r/>
          </w:p>
          <w:p>
            <w:pPr>
              <w:pStyle w:val="1005"/>
              <w:ind w:left="57" w:right="57"/>
            </w:pPr>
            <w:r>
              <w:t xml:space="preserve">В соответствии с </w:t>
            </w:r>
            <w:r>
              <w:rPr>
                <w:lang w:val="en-US"/>
              </w:rPr>
              <w:t xml:space="preserve">SUFD</w:t>
            </w:r>
            <w:r>
              <w:t xml:space="preserve">-127242 (</w:t>
            </w:r>
            <w:r>
              <w:rPr>
                <w:lang w:val="en-US"/>
              </w:rPr>
              <w:t xml:space="preserve">SUFD</w:t>
            </w:r>
            <w:r>
              <w:t xml:space="preserve">-128461) </w:t>
            </w:r>
            <w:r>
              <w:t xml:space="preserve">актуализирован п. </w:t>
            </w:r>
            <w:r>
              <w:fldChar w:fldCharType="begin"/>
            </w:r>
            <w:r>
              <w:instrText xml:space="preserve"> REF _Ref524531412 \r \h </w:instrText>
            </w:r>
            <w:r>
              <w:fldChar w:fldCharType="separate"/>
            </w:r>
            <w:r>
              <w:t xml:space="preserve">5.1.20</w:t>
            </w:r>
            <w:r>
              <w:fldChar w:fldCharType="end"/>
            </w:r>
            <w:r>
              <w:t xml:space="preserve">.</w:t>
            </w:r>
            <w:r/>
          </w:p>
        </w:tc>
      </w:tr>
      <w:tr>
        <w:trPr/>
        <w:tc>
          <w:tcPr>
            <w:shd w:val="clear" w:fill="auto" w:color="auto"/>
            <w:tcW w:w="412" w:type="pct"/>
            <w:textDirection w:val="lrTb"/>
            <w:noWrap w:val="false"/>
          </w:tcPr>
          <w:p>
            <w:pPr>
              <w:pStyle w:val="1005"/>
              <w:ind w:left="57" w:right="57"/>
            </w:pPr>
            <w:r>
              <w:t xml:space="preserve">19.00</w:t>
            </w:r>
            <w:r/>
          </w:p>
        </w:tc>
        <w:tc>
          <w:tcPr>
            <w:shd w:val="clear" w:fill="auto" w:color="auto"/>
            <w:tcW w:w="635" w:type="pct"/>
            <w:textDirection w:val="lrTb"/>
            <w:noWrap w:val="false"/>
          </w:tcPr>
          <w:p>
            <w:pPr>
              <w:pStyle w:val="1005"/>
              <w:ind w:left="57" w:right="57"/>
            </w:pPr>
            <w:r>
              <w:t xml:space="preserve">10</w:t>
            </w:r>
            <w:r>
              <w:t xml:space="preserve">.0</w:t>
            </w:r>
            <w:r>
              <w:t xml:space="preserve">6</w:t>
            </w:r>
            <w:r>
              <w:t xml:space="preserve">.2021</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Внесены изменения по требованиям к развитию ППО АСФК, предусмотренные государственным контрактом № ФКУ0121/04/2021/РИС от 28.04.2021. Версия ППО АСФК 32.7.0</w:t>
            </w:r>
            <w:r>
              <w:t xml:space="preserve">.</w:t>
            </w:r>
            <w:r/>
          </w:p>
          <w:p>
            <w:pPr>
              <w:pStyle w:val="1005"/>
              <w:ind w:left="57" w:right="57"/>
            </w:pPr>
            <w:r>
              <w:t xml:space="preserve">В соответствии с </w:t>
            </w:r>
            <w:r>
              <w:rPr>
                <w:lang w:val="en-US"/>
              </w:rPr>
              <w:t xml:space="preserve">SUFD</w:t>
            </w:r>
            <w:r>
              <w:t xml:space="preserve">-115783 (</w:t>
            </w:r>
            <w:r>
              <w:rPr>
                <w:lang w:val="en-US"/>
              </w:rPr>
              <w:t xml:space="preserve">SUFD</w:t>
            </w:r>
            <w:r>
              <w:t xml:space="preserve">-120857) </w:t>
            </w:r>
            <w:r>
              <w:t xml:space="preserve">актуализирован</w:t>
            </w:r>
            <w:r>
              <w:t xml:space="preserve">ы</w:t>
            </w:r>
            <w:r>
              <w:t xml:space="preserve"> </w:t>
            </w:r>
            <w:r>
              <w:t xml:space="preserve">п</w:t>
            </w:r>
            <w:r>
              <w:t xml:space="preserve">п. </w:t>
            </w:r>
            <w:r>
              <w:fldChar w:fldCharType="begin"/>
            </w:r>
            <w:r>
              <w:instrText xml:space="preserve"> REF _Ref85795457 \r \h </w:instrText>
            </w:r>
            <w:r>
              <w:fldChar w:fldCharType="separate"/>
            </w:r>
            <w:r>
              <w:t xml:space="preserve">5.7.1</w:t>
            </w:r>
            <w:r>
              <w:fldChar w:fldCharType="end"/>
            </w:r>
            <w:r>
              <w:t xml:space="preserve">, </w:t>
            </w:r>
            <w:r>
              <w:fldChar w:fldCharType="begin"/>
            </w:r>
            <w:r>
              <w:instrText xml:space="preserve"> REF _Ref85803277 \r \h </w:instrText>
            </w:r>
            <w:r>
              <w:fldChar w:fldCharType="separate"/>
            </w:r>
            <w:r>
              <w:t xml:space="preserve">5.7.2</w:t>
            </w:r>
            <w:r>
              <w:fldChar w:fldCharType="end"/>
            </w:r>
            <w:r>
              <w:t xml:space="preserve">.</w:t>
            </w:r>
            <w:r/>
          </w:p>
          <w:p>
            <w:pPr>
              <w:pStyle w:val="1005"/>
              <w:ind w:left="57" w:right="57"/>
            </w:pPr>
            <w:r>
              <w:t xml:space="preserve">В соответствии с </w:t>
            </w:r>
            <w:r>
              <w:rPr>
                <w:lang w:val="en-US"/>
              </w:rPr>
              <w:t xml:space="preserve">SUFD</w:t>
            </w:r>
            <w:r>
              <w:t xml:space="preserve">-125515 (</w:t>
            </w:r>
            <w:r>
              <w:rPr>
                <w:lang w:val="en-US"/>
              </w:rPr>
              <w:t xml:space="preserve">SUFD</w:t>
            </w:r>
            <w:r>
              <w:t xml:space="preserve">-128426) </w:t>
            </w:r>
            <w:r>
              <w:t xml:space="preserve">актуализирован п. </w:t>
            </w:r>
            <w:r>
              <w:fldChar w:fldCharType="begin"/>
            </w:r>
            <w:r>
              <w:instrText xml:space="preserve"> REF _Ref420330774 \r \h </w:instrText>
            </w:r>
            <w:r>
              <w:fldChar w:fldCharType="separate"/>
            </w:r>
            <w:r>
              <w:t xml:space="preserve">5.1.13</w:t>
            </w:r>
            <w:r>
              <w:fldChar w:fldCharType="end"/>
            </w:r>
            <w:r>
              <w:t xml:space="preserve">.</w:t>
            </w:r>
            <w:r/>
          </w:p>
          <w:p>
            <w:pPr>
              <w:pStyle w:val="1005"/>
              <w:ind w:left="57" w:right="57"/>
            </w:pPr>
            <w:r>
              <w:t xml:space="preserve">В соответствии с </w:t>
            </w:r>
            <w:r>
              <w:rPr>
                <w:lang w:val="en-US"/>
              </w:rPr>
              <w:t xml:space="preserve">SUFD</w:t>
            </w:r>
            <w:r>
              <w:t xml:space="preserve">-127200 (</w:t>
            </w:r>
            <w:r>
              <w:rPr>
                <w:lang w:val="en-US"/>
              </w:rPr>
              <w:t xml:space="preserve">SUFD</w:t>
            </w:r>
            <w:r>
              <w:t xml:space="preserve">-128431) </w:t>
            </w:r>
            <w:r>
              <w:t xml:space="preserve">актуализирован</w:t>
            </w:r>
            <w:r>
              <w:t xml:space="preserve">ы</w:t>
            </w:r>
            <w:r>
              <w:t xml:space="preserve"> </w:t>
            </w:r>
            <w:r>
              <w:t xml:space="preserve">п</w:t>
            </w:r>
            <w:r>
              <w:t xml:space="preserve">п.</w:t>
            </w:r>
            <w:r>
              <w:t xml:space="preserve"> </w:t>
            </w:r>
            <w:r>
              <w:fldChar w:fldCharType="begin"/>
            </w:r>
            <w:r>
              <w:instrText xml:space="preserve"> REF _Ref68857975 \r \h </w:instrText>
            </w:r>
            <w:r>
              <w:fldChar w:fldCharType="separate"/>
            </w:r>
            <w:r>
              <w:t xml:space="preserve">5.1.1</w:t>
            </w:r>
            <w:r>
              <w:fldChar w:fldCharType="end"/>
            </w:r>
            <w:r>
              <w:t xml:space="preserve">, </w:t>
            </w:r>
            <w:r>
              <w:fldChar w:fldCharType="begin"/>
            </w:r>
            <w:r>
              <w:instrText xml:space="preserve"> REF _Ref359521322 \r \h </w:instrText>
            </w:r>
            <w:r>
              <w:fldChar w:fldCharType="separate"/>
            </w:r>
            <w:r>
              <w:t xml:space="preserve">5.1.2</w:t>
            </w:r>
            <w:r>
              <w:fldChar w:fldCharType="end"/>
            </w:r>
            <w:r>
              <w:t xml:space="preserve">,</w:t>
            </w:r>
            <w:r>
              <w:t xml:space="preserve"> </w:t>
            </w:r>
            <w:r>
              <w:fldChar w:fldCharType="begin"/>
            </w:r>
            <w:r>
              <w:instrText xml:space="preserve"> REF _Ref365452935 \r \h </w:instrText>
            </w:r>
            <w:r>
              <w:fldChar w:fldCharType="separate"/>
            </w:r>
            <w:r>
              <w:t xml:space="preserve">5.1.3</w:t>
            </w:r>
            <w:r>
              <w:fldChar w:fldCharType="end"/>
            </w:r>
            <w:r>
              <w:t xml:space="preserve">,</w:t>
            </w:r>
            <w:r>
              <w:t xml:space="preserve"> </w:t>
            </w:r>
            <w:r>
              <w:fldChar w:fldCharType="begin"/>
            </w:r>
            <w:r>
              <w:instrText xml:space="preserve"> REF _Ref68619274 \r \h </w:instrText>
            </w:r>
            <w:r>
              <w:fldChar w:fldCharType="separate"/>
            </w:r>
            <w:r>
              <w:t xml:space="preserve">5.1.4</w:t>
            </w:r>
            <w:r>
              <w:fldChar w:fldCharType="end"/>
            </w:r>
            <w:r>
              <w:t xml:space="preserve">,</w:t>
            </w:r>
            <w:r>
              <w:t xml:space="preserve"> </w:t>
            </w:r>
            <w:r>
              <w:fldChar w:fldCharType="begin"/>
            </w:r>
            <w:r>
              <w:instrText xml:space="preserve"> REF _Ref68787995 \r \h </w:instrText>
            </w:r>
            <w:r>
              <w:fldChar w:fldCharType="separate"/>
            </w:r>
            <w:r>
              <w:t xml:space="preserve">5.1.5</w:t>
            </w:r>
            <w:r>
              <w:fldChar w:fldCharType="end"/>
            </w:r>
            <w:r>
              <w:t xml:space="preserve">,</w:t>
            </w:r>
            <w:r>
              <w:t xml:space="preserve"> </w:t>
            </w:r>
            <w:r>
              <w:fldChar w:fldCharType="begin"/>
            </w:r>
            <w:r>
              <w:instrText xml:space="preserve"> REF _Ref420330774 \r \h </w:instrText>
            </w:r>
            <w:r>
              <w:fldChar w:fldCharType="separate"/>
            </w:r>
            <w:r>
              <w:t xml:space="preserve">5.1.13</w:t>
            </w:r>
            <w:r>
              <w:fldChar w:fldCharType="end"/>
            </w:r>
            <w:r>
              <w:t xml:space="preserve">,</w:t>
            </w:r>
            <w:r>
              <w:t xml:space="preserve"> </w:t>
            </w:r>
            <w:r>
              <w:fldChar w:fldCharType="begin"/>
            </w:r>
            <w:r>
              <w:instrText xml:space="preserve"> REF _Ref419282140 \r \h </w:instrText>
            </w:r>
            <w:r>
              <w:fldChar w:fldCharType="separate"/>
            </w:r>
            <w:r>
              <w:t xml:space="preserve">5.3.1</w:t>
            </w:r>
            <w:r>
              <w:fldChar w:fldCharType="end"/>
            </w:r>
            <w:r>
              <w:t xml:space="preserve">,</w:t>
            </w:r>
            <w:r>
              <w:t xml:space="preserve"> </w:t>
            </w:r>
            <w:r>
              <w:fldChar w:fldCharType="begin"/>
            </w:r>
            <w:r>
              <w:instrText xml:space="preserve"> REF _Ref420320397 \r \h </w:instrText>
            </w:r>
            <w:r>
              <w:fldChar w:fldCharType="separate"/>
            </w:r>
            <w:r>
              <w:t xml:space="preserve">5.3.3</w:t>
            </w:r>
            <w:r>
              <w:fldChar w:fldCharType="end"/>
            </w:r>
            <w:r>
              <w:t xml:space="preserve">,</w:t>
            </w:r>
            <w:r>
              <w:t xml:space="preserve"> </w:t>
            </w:r>
            <w:r>
              <w:fldChar w:fldCharType="begin"/>
            </w:r>
            <w:r>
              <w:instrText xml:space="preserve"> REF _Ref68183263 \r \h </w:instrText>
            </w:r>
            <w:r>
              <w:fldChar w:fldCharType="separate"/>
            </w:r>
            <w:r>
              <w:t xml:space="preserve">5.4.1</w:t>
            </w:r>
            <w:r>
              <w:fldChar w:fldCharType="end"/>
            </w:r>
            <w:r>
              <w:t xml:space="preserve">.</w:t>
            </w:r>
            <w:r/>
          </w:p>
          <w:p>
            <w:pPr>
              <w:pStyle w:val="1005"/>
              <w:ind w:left="57" w:right="57"/>
            </w:pPr>
            <w:r>
              <w:t xml:space="preserve">В соответствии с </w:t>
            </w:r>
            <w:r>
              <w:rPr>
                <w:lang w:val="en-US"/>
              </w:rPr>
              <w:t xml:space="preserve">SUFD</w:t>
            </w:r>
            <w:r>
              <w:t xml:space="preserve">-126403 (</w:t>
            </w:r>
            <w:r>
              <w:rPr>
                <w:lang w:val="en-US"/>
              </w:rPr>
              <w:t xml:space="preserve">SUFD</w:t>
            </w:r>
            <w:r>
              <w:t xml:space="preserve">-128848) </w:t>
            </w:r>
            <w:r>
              <w:t xml:space="preserve">добавлен п. </w:t>
            </w:r>
            <w:r>
              <w:fldChar w:fldCharType="begin"/>
            </w:r>
            <w:r>
              <w:instrText xml:space="preserve"> REF _Ref524104944 \r \h </w:instrText>
            </w:r>
            <w:r>
              <w:fldChar w:fldCharType="separate"/>
            </w:r>
            <w:r>
              <w:t xml:space="preserve">5.1.12</w:t>
            </w:r>
            <w:r>
              <w:fldChar w:fldCharType="end"/>
            </w:r>
            <w:r>
              <w:t xml:space="preserve">.</w:t>
            </w:r>
            <w:r/>
          </w:p>
          <w:p>
            <w:pPr>
              <w:pStyle w:val="1005"/>
              <w:ind w:left="57" w:right="57"/>
            </w:pPr>
            <w:r>
              <w:t xml:space="preserve">В соответствии с </w:t>
            </w:r>
            <w:r>
              <w:rPr>
                <w:lang w:val="en-US"/>
              </w:rPr>
              <w:t xml:space="preserve">SUFD</w:t>
            </w:r>
            <w:r>
              <w:t xml:space="preserve">-128885 (</w:t>
            </w:r>
            <w:r>
              <w:rPr>
                <w:lang w:val="en-US"/>
              </w:rPr>
              <w:t xml:space="preserve">SUFD</w:t>
            </w:r>
            <w:r>
              <w:t xml:space="preserve">-129350) </w:t>
            </w:r>
            <w:r>
              <w:t xml:space="preserve">актуализирован п. </w:t>
            </w:r>
            <w:r>
              <w:fldChar w:fldCharType="begin"/>
            </w:r>
            <w:r>
              <w:instrText xml:space="preserve"> REF _Ref420330774 \r \h </w:instrText>
            </w:r>
            <w:r>
              <w:fldChar w:fldCharType="separate"/>
            </w:r>
            <w:r>
              <w:t xml:space="preserve">5.1.13</w:t>
            </w:r>
            <w:r>
              <w:fldChar w:fldCharType="end"/>
            </w:r>
            <w:r>
              <w:t xml:space="preserve">.</w:t>
            </w:r>
            <w:r/>
          </w:p>
          <w:p>
            <w:pPr>
              <w:pStyle w:val="1005"/>
              <w:ind w:left="57" w:right="57"/>
            </w:pPr>
            <w:r>
              <w:t xml:space="preserve">В соответствии с </w:t>
            </w:r>
            <w:r>
              <w:rPr>
                <w:lang w:val="en-US"/>
              </w:rPr>
              <w:t xml:space="preserve">SUFD</w:t>
            </w:r>
            <w:r>
              <w:t xml:space="preserve">-128897 (</w:t>
            </w:r>
            <w:r>
              <w:rPr>
                <w:lang w:val="en-US"/>
              </w:rPr>
              <w:t xml:space="preserve">SUFD</w:t>
            </w:r>
            <w:r>
              <w:t xml:space="preserve">-129529) </w:t>
            </w:r>
            <w:r>
              <w:t xml:space="preserve">актуализирован п. </w:t>
            </w:r>
            <w:r>
              <w:fldChar w:fldCharType="begin"/>
            </w:r>
            <w:r>
              <w:instrText xml:space="preserve"> REF _Ref72236238 \r \h </w:instrText>
            </w:r>
            <w:r>
              <w:fldChar w:fldCharType="separate"/>
            </w:r>
            <w:r>
              <w:t xml:space="preserve">5.7.4</w:t>
            </w:r>
            <w:r>
              <w:fldChar w:fldCharType="end"/>
            </w:r>
            <w:r>
              <w:t xml:space="preserve">.</w:t>
            </w:r>
            <w:r/>
          </w:p>
          <w:p>
            <w:pPr>
              <w:pStyle w:val="1005"/>
              <w:ind w:left="57" w:right="57"/>
            </w:pPr>
            <w:r>
              <w:t xml:space="preserve">В соответствии с </w:t>
            </w:r>
            <w:r>
              <w:rPr>
                <w:lang w:val="en-US"/>
              </w:rPr>
              <w:t xml:space="preserve">SUFD</w:t>
            </w:r>
            <w:r>
              <w:t xml:space="preserve">-125725 (</w:t>
            </w:r>
            <w:r>
              <w:rPr>
                <w:lang w:val="en-US"/>
              </w:rPr>
              <w:t xml:space="preserve">SUFD</w:t>
            </w:r>
            <w:r>
              <w:t xml:space="preserve">-130543) </w:t>
            </w:r>
            <w:r>
              <w:t xml:space="preserve">актуализирован</w:t>
            </w:r>
            <w:r>
              <w:t xml:space="preserve">ы</w:t>
            </w:r>
            <w:r>
              <w:t xml:space="preserve"> </w:t>
            </w:r>
            <w:r>
              <w:t xml:space="preserve">п</w:t>
            </w:r>
            <w:r>
              <w:t xml:space="preserve">п.</w:t>
            </w:r>
            <w:r>
              <w:t xml:space="preserve"> </w:t>
            </w:r>
            <w:r>
              <w:fldChar w:fldCharType="begin"/>
            </w:r>
            <w:r>
              <w:instrText xml:space="preserve"> REF _Ref74234896 \r \h </w:instrText>
            </w:r>
            <w:r>
              <w:fldChar w:fldCharType="separate"/>
            </w:r>
            <w:r>
              <w:t xml:space="preserve">5.1.18</w:t>
            </w:r>
            <w:r>
              <w:fldChar w:fldCharType="end"/>
            </w:r>
            <w:r>
              <w:t xml:space="preserve">,</w:t>
            </w:r>
            <w:r>
              <w:t xml:space="preserve"> </w:t>
            </w:r>
            <w:r>
              <w:fldChar w:fldCharType="begin"/>
            </w:r>
            <w:r>
              <w:instrText xml:space="preserve"> REF _Ref57809686 \r \h </w:instrText>
            </w:r>
            <w:r>
              <w:fldChar w:fldCharType="separate"/>
            </w:r>
            <w:r>
              <w:t xml:space="preserve">5.1.19</w:t>
            </w:r>
            <w:r>
              <w:fldChar w:fldCharType="end"/>
            </w:r>
            <w:r>
              <w:t xml:space="preserve">.</w:t>
            </w:r>
            <w:r/>
          </w:p>
        </w:tc>
      </w:tr>
      <w:tr>
        <w:trPr/>
        <w:tc>
          <w:tcPr>
            <w:shd w:val="clear" w:fill="auto" w:color="auto"/>
            <w:tcW w:w="412" w:type="pct"/>
            <w:textDirection w:val="lrTb"/>
            <w:noWrap w:val="false"/>
          </w:tcPr>
          <w:p>
            <w:pPr>
              <w:pStyle w:val="1005"/>
              <w:ind w:left="57" w:right="57"/>
            </w:pPr>
            <w:r>
              <w:t xml:space="preserve">19.01</w:t>
            </w:r>
            <w:r/>
          </w:p>
        </w:tc>
        <w:tc>
          <w:tcPr>
            <w:shd w:val="clear" w:fill="auto" w:color="auto"/>
            <w:tcW w:w="635" w:type="pct"/>
            <w:textDirection w:val="lrTb"/>
            <w:noWrap w:val="false"/>
          </w:tcPr>
          <w:p>
            <w:pPr>
              <w:pStyle w:val="1005"/>
              <w:ind w:left="57" w:right="57"/>
            </w:pPr>
            <w:r>
              <w:t xml:space="preserve">10.08.2021</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Внесены изменения по требованиям к развитию ППО АСФК, предусмотренные государственным контрактом № ФКУ0121/04/2021/РИС от 28.04.2021.Версия ППО АСФК 32.7.0.</w:t>
            </w:r>
            <w:r/>
          </w:p>
          <w:p>
            <w:pPr>
              <w:pStyle w:val="1005"/>
              <w:ind w:left="57" w:right="57"/>
            </w:pPr>
            <w:r>
              <w:t xml:space="preserve">Произведена замена термина «уровень секретности» на «уровень конфиденциальности».</w:t>
            </w:r>
            <w:r/>
          </w:p>
        </w:tc>
      </w:tr>
      <w:tr>
        <w:trPr/>
        <w:tc>
          <w:tcPr>
            <w:shd w:val="clear" w:fill="auto" w:color="auto"/>
            <w:tcW w:w="412" w:type="pct"/>
            <w:textDirection w:val="lrTb"/>
            <w:noWrap w:val="false"/>
          </w:tcPr>
          <w:p>
            <w:pPr>
              <w:pStyle w:val="1005"/>
              <w:ind w:right="57"/>
            </w:pPr>
            <w:r>
              <w:t xml:space="preserve">19.02</w:t>
            </w:r>
            <w:r/>
          </w:p>
        </w:tc>
        <w:tc>
          <w:tcPr>
            <w:shd w:val="clear" w:fill="auto" w:color="auto"/>
            <w:tcW w:w="635" w:type="pct"/>
            <w:textDirection w:val="lrTb"/>
            <w:noWrap w:val="false"/>
          </w:tcPr>
          <w:p>
            <w:pPr>
              <w:pStyle w:val="1005"/>
            </w:pPr>
            <w:r>
              <w:t xml:space="preserve">03.11.2021</w:t>
            </w:r>
            <w:r/>
          </w:p>
        </w:tc>
        <w:tc>
          <w:tcPr>
            <w:shd w:val="clear" w:fill="auto" w:color="auto"/>
            <w:tcW w:w="1017" w:type="pct"/>
            <w:textDirection w:val="lrTb"/>
            <w:noWrap w:val="false"/>
          </w:tcPr>
          <w:p>
            <w:pPr>
              <w:pStyle w:val="1005"/>
            </w:pPr>
            <w:r>
              <w:t xml:space="preserve">Сармосова А. В.</w:t>
            </w:r>
            <w:r/>
          </w:p>
        </w:tc>
        <w:tc>
          <w:tcPr>
            <w:shd w:val="clear" w:fill="auto" w:color="auto"/>
            <w:tcW w:w="2936" w:type="pct"/>
            <w:textDirection w:val="lrTb"/>
            <w:noWrap w:val="false"/>
          </w:tcPr>
          <w:p>
            <w:pPr>
              <w:pStyle w:val="1005"/>
            </w:pPr>
            <w:r>
              <w:t xml:space="preserve">Внесены изменения по требованиям к развитию ППО АСФК, предусмотренные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Pr>
                <w:lang w:val="en-US"/>
              </w:rPr>
              <w:t xml:space="preserve">1</w:t>
            </w:r>
            <w:r>
              <w:t xml:space="preserve">.</w:t>
            </w:r>
            <w:r/>
          </w:p>
        </w:tc>
      </w:tr>
      <w:tr>
        <w:trPr/>
        <w:tc>
          <w:tcPr>
            <w:shd w:val="clear" w:fill="auto" w:color="auto"/>
            <w:tcW w:w="412" w:type="pct"/>
            <w:textDirection w:val="lrTb"/>
            <w:noWrap w:val="false"/>
          </w:tcPr>
          <w:p>
            <w:pPr>
              <w:pStyle w:val="1005"/>
              <w:ind w:left="57" w:right="57"/>
            </w:pPr>
            <w:r>
              <w:t xml:space="preserve">20.00</w:t>
            </w:r>
            <w:r/>
          </w:p>
        </w:tc>
        <w:tc>
          <w:tcPr>
            <w:shd w:val="clear" w:fill="auto" w:color="auto"/>
            <w:tcW w:w="635" w:type="pct"/>
            <w:textDirection w:val="lrTb"/>
            <w:noWrap w:val="false"/>
          </w:tcPr>
          <w:p>
            <w:pPr>
              <w:pStyle w:val="1005"/>
              <w:ind w:left="57" w:right="57"/>
            </w:pPr>
            <w:r>
              <w:t xml:space="preserve">10.11.2021</w:t>
            </w:r>
            <w:r/>
          </w:p>
        </w:tc>
        <w:tc>
          <w:tcPr>
            <w:shd w:val="clear" w:fill="auto" w:color="auto"/>
            <w:tcW w:w="1017" w:type="pct"/>
            <w:textDirection w:val="lrTb"/>
            <w:noWrap w:val="false"/>
          </w:tcPr>
          <w:p>
            <w:pPr>
              <w:pStyle w:val="1005"/>
              <w:ind w:left="57" w:right="57"/>
            </w:pPr>
            <w:r>
              <w:t xml:space="preserve">Сармосова А.В.</w:t>
            </w:r>
            <w:r/>
          </w:p>
        </w:tc>
        <w:tc>
          <w:tcPr>
            <w:shd w:val="clear" w:fill="auto" w:color="auto"/>
            <w:tcW w:w="2936" w:type="pct"/>
            <w:textDirection w:val="lrTb"/>
            <w:noWrap w:val="false"/>
          </w:tcPr>
          <w:p>
            <w:pPr>
              <w:pStyle w:val="1005"/>
              <w:ind w:left="57" w:right="57"/>
            </w:pPr>
            <w:r>
              <w:t xml:space="preserve">Версия ППО АСФК 32.</w:t>
            </w:r>
            <w:r>
              <w:t xml:space="preserve">8</w:t>
            </w:r>
            <w:r>
              <w:t xml:space="preserve">.0</w:t>
            </w:r>
            <w:r>
              <w:t xml:space="preserve">.</w:t>
            </w:r>
            <w:r/>
          </w:p>
          <w:p>
            <w:pPr>
              <w:pStyle w:val="1005"/>
              <w:ind w:left="57" w:right="57"/>
            </w:pPr>
            <w:r>
              <w:t xml:space="preserve">В соответствии с </w:t>
            </w:r>
            <w:r>
              <w:rPr>
                <w:lang w:val="en-US"/>
              </w:rPr>
              <w:t xml:space="preserve">SUFD</w:t>
            </w:r>
            <w:r>
              <w:t xml:space="preserve">-130098 (</w:t>
            </w:r>
            <w:r>
              <w:rPr>
                <w:lang w:val="en-US"/>
              </w:rPr>
              <w:t xml:space="preserve">SUFD</w:t>
            </w:r>
            <w:r>
              <w:t xml:space="preserve">-131288) </w:t>
            </w:r>
            <w:r>
              <w:t xml:space="preserve">актуализирован п. </w:t>
            </w:r>
            <w:r>
              <w:fldChar w:fldCharType="begin"/>
            </w:r>
            <w:r>
              <w:instrText xml:space="preserve"> REF _Ref20824578 \r \h </w:instrText>
            </w:r>
            <w:r>
              <w:fldChar w:fldCharType="separate"/>
            </w:r>
            <w:r>
              <w:t xml:space="preserve">5.11.6</w:t>
            </w:r>
            <w:r>
              <w:fldChar w:fldCharType="end"/>
            </w:r>
            <w:r>
              <w:t xml:space="preserve">.</w:t>
            </w:r>
            <w:r/>
          </w:p>
          <w:p>
            <w:pPr>
              <w:pStyle w:val="1005"/>
              <w:ind w:left="57" w:right="57"/>
            </w:pPr>
            <w:r>
              <w:t xml:space="preserve">В соответствии с </w:t>
            </w:r>
            <w:r>
              <w:rPr>
                <w:lang w:val="en-US"/>
              </w:rPr>
              <w:t xml:space="preserve">SUFD</w:t>
            </w:r>
            <w:r>
              <w:t xml:space="preserve">-130161 (</w:t>
            </w:r>
            <w:r>
              <w:rPr>
                <w:lang w:val="en-US"/>
              </w:rPr>
              <w:t xml:space="preserve">SUFD</w:t>
            </w:r>
            <w:r>
              <w:t xml:space="preserve">-131733) </w:t>
            </w:r>
            <w:r>
              <w:t xml:space="preserve">актуализирован п. </w:t>
            </w:r>
            <w:r>
              <w:fldChar w:fldCharType="begin"/>
            </w:r>
            <w:r>
              <w:instrText xml:space="preserve"> REF _Ref83298816 \r \h </w:instrText>
            </w:r>
            <w:r>
              <w:fldChar w:fldCharType="separate"/>
            </w:r>
            <w:r>
              <w:t xml:space="preserve">5.1.10</w:t>
            </w:r>
            <w:r>
              <w:fldChar w:fldCharType="end"/>
            </w:r>
            <w:r>
              <w:t xml:space="preserve">.</w:t>
            </w:r>
            <w:r/>
          </w:p>
          <w:p>
            <w:pPr>
              <w:pStyle w:val="1005"/>
              <w:ind w:left="57" w:right="57"/>
            </w:pPr>
            <w:r>
              <w:t xml:space="preserve">В соответствии с SUFD-130457 (SUFD-132869) актуализирован п.</w:t>
            </w:r>
            <w:r>
              <w:t xml:space="preserve"> </w:t>
            </w:r>
            <w:r>
              <w:fldChar w:fldCharType="begin"/>
            </w:r>
            <w:r>
              <w:instrText xml:space="preserve"> REF _Ref83741785 \r \h </w:instrText>
            </w:r>
            <w:r>
              <w:fldChar w:fldCharType="separate"/>
            </w:r>
            <w:r>
              <w:t xml:space="preserve">5.1.1</w:t>
            </w:r>
            <w:r>
              <w:fldChar w:fldCharType="end"/>
            </w:r>
            <w:r>
              <w:t xml:space="preserve">.</w:t>
            </w:r>
            <w:r/>
          </w:p>
        </w:tc>
      </w:tr>
    </w:tbl>
    <w:p>
      <w:pPr>
        <w:pStyle w:val="994"/>
      </w:pPr>
      <w:r/>
      <w:r/>
    </w:p>
    <w:sectPr>
      <w:headerReference w:type="default" r:id="rId10"/>
      <w:headerReference w:type="even" r:id="rId11"/>
      <w:footerReference w:type="default" r:id="rId13"/>
      <w:footnotePr/>
      <w:endnotePr/>
      <w:type w:val="nextPage"/>
      <w:pgSz w:w="11906" w:h="16838" w:orient="portrait"/>
      <w:pgMar w:top="1134" w:right="567" w:bottom="851" w:left="1701" w:header="567" w:footer="284" w:gutter="0"/>
      <w:pgNumType w:start="2"/>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font>
  <w:font w:name="zapfdingbats">
    <w:panose1 w:val="020B0603030804020204"/>
  </w:font>
  <w:font w:name="Symbol">
    <w:panose1 w:val="05010000000000000000"/>
  </w:font>
  <w:font w:name="Wingdings">
    <w:panose1 w:val="05010000000000000000"/>
  </w:font>
  <w:font w:name="arial cyr">
    <w:panose1 w:val="020B0604020202020204"/>
  </w:font>
  <w:font w:name="Cambria">
    <w:panose1 w:val="02020603050405020304"/>
  </w:font>
  <w:font w:name="Calibri">
    <w:panose1 w:val="020F0502020204030204"/>
  </w:font>
  <w:font w:name="Tahoma">
    <w:panose1 w:val="020B0604030504040204"/>
  </w:font>
  <w:font w:name="Times New Roman">
    <w:panose1 w:val="02020603050405020304"/>
  </w:font>
  <w:font w:name="petersburgctt">
    <w:panose1 w:val="020B0603030804020204"/>
  </w:font>
  <w:font w:name="Courier New">
    <w:panose1 w:val="02070309020205020404"/>
  </w:font>
  <w:font w:name="Arial Unicode MS">
    <w:panose1 w:val="020B0604020202020204"/>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99"/>
    </w:pPr>
    <w:r>
      <w:t xml:space="preserve">20</w:t>
    </w:r>
    <w:r>
      <w:t xml:space="preserve">21 г.</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Borders>
        <w:bottom w:val="single" w:color="404040" w:sz="12" w:space="0"/>
      </w:tblBorders>
      <w:tblLook w:val="04A0" w:firstRow="1" w:lastRow="0" w:firstColumn="1" w:lastColumn="0" w:noHBand="0" w:noVBand="1"/>
    </w:tblPr>
    <w:tblGrid>
      <w:gridCol w:w="9855"/>
    </w:tblGrid>
    <w:tr>
      <w:trPr/>
      <w:tc>
        <w:tcPr>
          <w:tcW w:w="5000" w:type="pct"/>
          <w:textDirection w:val="lrTb"/>
          <w:noWrap w:val="false"/>
        </w:tcPr>
        <w:p>
          <w:pPr>
            <w:pStyle w:val="1200"/>
          </w:pPr>
          <w:r>
            <w:t xml:space="preserve">ФЕДЕРАЛЬНОЕ КАЗНАЧЕЙСТВО (КАЗНАЧЕйСТВО РОССИИ)</w:t>
          </w:r>
          <w:r/>
        </w:p>
      </w:tc>
    </w:tr>
  </w:tbl>
  <w:p>
    <w:pPr>
      <w:pStyle w:val="989"/>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9752" w:type="dxa"/>
      <w:tblInd w:w="54" w:type="dxa"/>
      <w:tblBorders>
        <w:left w:val="single" w:sz="12" w:space="0" w:color="auto"/>
        <w:top w:val="single" w:sz="12" w:space="0" w:color="auto"/>
        <w:right w:val="single" w:sz="12" w:space="0" w:color="auto"/>
        <w:bottom w:val="single" w:sz="12" w:space="0" w:color="auto"/>
        <w:insideV w:val="single" w:sz="12" w:space="0" w:color="auto"/>
        <w:insideH w:val="single" w:sz="12" w:space="0" w:color="auto"/>
      </w:tblBorders>
      <w:tblLayout w:type="fixed"/>
      <w:tblLook w:val="04A0" w:firstRow="1" w:lastRow="0" w:firstColumn="1" w:lastColumn="0" w:noHBand="0" w:noVBand="1"/>
    </w:tblPr>
    <w:tblGrid>
      <w:gridCol w:w="2354"/>
      <w:gridCol w:w="6115"/>
      <w:gridCol w:w="1283"/>
    </w:tblGrid>
    <w:tr>
      <w:trPr>
        <w:cantSplit/>
      </w:trPr>
      <w:tc>
        <w:tcPr>
          <w:tcBorders>
            <w:left w:val="single" w:sz="12" w:space="0" w:color="auto"/>
            <w:top w:val="single" w:sz="12" w:space="0" w:color="auto"/>
            <w:right w:val="single" w:sz="12" w:space="0" w:color="auto"/>
            <w:bottom w:val="single" w:sz="12" w:space="0" w:color="auto"/>
          </w:tcBorders>
          <w:tcW w:w="1207" w:type="pct"/>
          <w:vAlign w:val="center"/>
          <w:textDirection w:val="lrTb"/>
          <w:noWrap w:val="false"/>
        </w:tcPr>
        <w:p>
          <w:pPr>
            <w:pStyle w:val="984"/>
          </w:pPr>
          <w:r>
            <w:t xml:space="preserve">Наименование ИС:</w:t>
          </w:r>
          <w:r/>
        </w:p>
      </w:tc>
      <w:tc>
        <w:tcPr>
          <w:gridSpan w:val="2"/>
          <w:tcBorders>
            <w:left w:val="single" w:sz="12" w:space="0" w:color="auto"/>
            <w:top w:val="single" w:sz="12" w:space="0" w:color="auto"/>
            <w:right w:val="single" w:sz="12" w:space="0" w:color="auto"/>
            <w:bottom w:val="single" w:sz="12" w:space="0" w:color="auto"/>
          </w:tcBorders>
          <w:tcW w:w="3793" w:type="pct"/>
          <w:vAlign w:val="center"/>
          <w:textDirection w:val="lrTb"/>
          <w:noWrap w:val="false"/>
        </w:tcPr>
        <w:p>
          <w:pPr>
            <w:pStyle w:val="984"/>
          </w:pPr>
          <w:r>
            <w:t xml:space="preserve">Автоматизированная система Федерального казначейства</w:t>
          </w:r>
          <w:r/>
        </w:p>
      </w:tc>
    </w:tr>
    <w:tr>
      <w:trPr>
        <w:cantSplit/>
      </w:trPr>
      <w:tc>
        <w:tcPr>
          <w:tcBorders>
            <w:left w:val="single" w:sz="12" w:space="0" w:color="auto"/>
            <w:top w:val="single" w:sz="12" w:space="0" w:color="auto"/>
            <w:right w:val="single" w:sz="12" w:space="0" w:color="auto"/>
            <w:bottom w:val="single" w:sz="12" w:space="0" w:color="auto"/>
          </w:tcBorders>
          <w:tcW w:w="1207" w:type="pct"/>
          <w:vAlign w:val="center"/>
          <w:textDirection w:val="lrTb"/>
          <w:noWrap w:val="false"/>
        </w:tcPr>
        <w:p>
          <w:pPr>
            <w:pStyle w:val="984"/>
          </w:pPr>
          <w:r>
            <w:t xml:space="preserve">Название документа</w:t>
          </w:r>
          <w:r>
            <w:t xml:space="preserve">:</w:t>
          </w:r>
          <w:r/>
        </w:p>
      </w:tc>
      <w:tc>
        <w:tcPr>
          <w:gridSpan w:val="2"/>
          <w:tcBorders>
            <w:left w:val="single" w:sz="12" w:space="0" w:color="auto"/>
            <w:top w:val="single" w:sz="12" w:space="0" w:color="auto"/>
            <w:right w:val="single" w:sz="12" w:space="0" w:color="auto"/>
            <w:bottom w:val="single" w:sz="12" w:space="0" w:color="auto"/>
          </w:tcBorders>
          <w:tcW w:w="3793" w:type="pct"/>
          <w:vAlign w:val="center"/>
          <w:textDirection w:val="lrTb"/>
          <w:noWrap w:val="false"/>
        </w:tcPr>
        <w:p>
          <w:pPr>
            <w:pStyle w:val="984"/>
            <w:rPr>
              <w:highlight w:val="yellow"/>
            </w:rPr>
          </w:pPr>
          <w:r>
            <w:t xml:space="preserve">Обучающие материалы</w:t>
          </w:r>
          <w:r>
            <w:t xml:space="preserve"> «</w:t>
          </w:r>
          <w:r>
            <w:t xml:space="preserve">Руководство по работе с «АРМ ФО»</w:t>
          </w:r>
          <w:r/>
        </w:p>
      </w:tc>
    </w:tr>
    <w:tr>
      <w:trPr>
        <w:cantSplit/>
        <w:trHeight w:val="143"/>
      </w:trPr>
      <w:tc>
        <w:tcPr>
          <w:tcBorders>
            <w:left w:val="single" w:sz="12" w:space="0" w:color="auto"/>
            <w:top w:val="single" w:sz="12" w:space="0" w:color="auto"/>
            <w:right w:val="single" w:sz="12" w:space="0" w:color="auto"/>
            <w:bottom w:val="single" w:sz="12" w:space="0" w:color="auto"/>
          </w:tcBorders>
          <w:tcW w:w="1207" w:type="pct"/>
          <w:vAlign w:val="center"/>
          <w:textDirection w:val="lrTb"/>
          <w:noWrap w:val="false"/>
        </w:tcPr>
        <w:p>
          <w:pPr>
            <w:pStyle w:val="984"/>
          </w:pPr>
          <w:r>
            <w:t xml:space="preserve">Код документа:</w:t>
          </w:r>
          <w:r/>
        </w:p>
      </w:tc>
      <w:tc>
        <w:tcPr>
          <w:tcBorders>
            <w:left w:val="single" w:sz="12" w:space="0" w:color="auto"/>
            <w:top w:val="single" w:sz="12" w:space="0" w:color="auto"/>
            <w:right w:val="single" w:sz="12" w:space="0" w:color="auto"/>
            <w:bottom w:val="single" w:sz="12" w:space="0" w:color="auto"/>
          </w:tcBorders>
          <w:tcW w:w="3135" w:type="pct"/>
          <w:vAlign w:val="center"/>
          <w:textDirection w:val="lrTb"/>
          <w:noWrap w:val="false"/>
        </w:tcPr>
        <w:p>
          <w:pPr>
            <w:pStyle w:val="984"/>
            <w:rPr>
              <w:lang w:val="en-US"/>
            </w:rPr>
          </w:pPr>
          <w:r>
            <w:fldChar w:fldCharType="begin"/>
          </w:r>
          <w:r>
            <w:instrText xml:space="preserve"> DOCPROPERTY  DocCode  \* MERGEFORMAT </w:instrText>
          </w:r>
          <w:r>
            <w:fldChar w:fldCharType="separate"/>
          </w:r>
          <w:r>
            <w:t xml:space="preserve">54819512.09.01,01.ОМ.003-20.00 2(5)</w:t>
          </w:r>
          <w:r>
            <w:fldChar w:fldCharType="end"/>
          </w:r>
          <w:r/>
        </w:p>
      </w:tc>
      <w:tc>
        <w:tcPr>
          <w:tcBorders>
            <w:left w:val="single" w:sz="12" w:space="0" w:color="auto"/>
            <w:top w:val="single" w:sz="12" w:space="0" w:color="auto"/>
            <w:right w:val="single" w:sz="12" w:space="0" w:color="auto"/>
            <w:bottom w:val="single" w:sz="12" w:space="0" w:color="auto"/>
          </w:tcBorders>
          <w:tcW w:w="658" w:type="pct"/>
          <w:textDirection w:val="lrTb"/>
          <w:noWrap w:val="false"/>
        </w:tcPr>
        <w:p>
          <w:pPr>
            <w:pStyle w:val="984"/>
          </w:pPr>
          <w:r>
            <w:t xml:space="preserve">Стр. </w:t>
          </w:r>
          <w:r>
            <w:fldChar w:fldCharType="begin"/>
          </w:r>
          <w:r>
            <w:instrText xml:space="preserve"> PAGE </w:instrText>
          </w:r>
          <w:r>
            <w:fldChar w:fldCharType="separate"/>
          </w:r>
          <w:r>
            <w:t xml:space="preserve">20</w:t>
          </w:r>
          <w:r>
            <w:fldChar w:fldCharType="end"/>
          </w:r>
          <w:r/>
        </w:p>
      </w:tc>
    </w:tr>
  </w:tbl>
  <w:p>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p>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1143"/>
      <w:isLgl w:val="false"/>
      <w:suff w:val="tab"/>
      <w:lvlText w:val="%1."/>
      <w:lvlJc w:val="left"/>
      <w:pPr>
        <w:ind w:left="1492" w:hanging="360"/>
        <w:tabs>
          <w:tab w:val="num" w:pos="1492" w:leader="none"/>
        </w:tabs>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1"/>
      <w:numFmt w:val="decimal"/>
      <w:pStyle w:val="1142"/>
      <w:isLgl w:val="false"/>
      <w:suff w:val="tab"/>
      <w:lvlText w:val="%1."/>
      <w:lvlJc w:val="left"/>
      <w:pPr>
        <w:ind w:left="1209" w:hanging="360"/>
        <w:tabs>
          <w:tab w:val="num" w:pos="1209" w:leader="none"/>
        </w:tabs>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2">
    <w:multiLevelType w:val="hybridMultilevel"/>
    <w:lvl w:ilvl="0">
      <w:start w:val="1"/>
      <w:numFmt w:val="decimal"/>
      <w:pStyle w:val="1141"/>
      <w:isLgl w:val="false"/>
      <w:suff w:val="tab"/>
      <w:lvlText w:val="%1."/>
      <w:lvlJc w:val="left"/>
      <w:pPr>
        <w:ind w:left="926" w:hanging="360"/>
        <w:tabs>
          <w:tab w:val="num" w:pos="926" w:leader="none"/>
        </w:tabs>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3">
    <w:multiLevelType w:val="hybridMultilevel"/>
    <w:lvl w:ilvl="0">
      <w:start w:val="1"/>
      <w:numFmt w:val="decimal"/>
      <w:pStyle w:val="1140"/>
      <w:isLgl w:val="false"/>
      <w:suff w:val="tab"/>
      <w:lvlText w:val="%1."/>
      <w:lvlJc w:val="left"/>
      <w:pPr>
        <w:ind w:left="643" w:hanging="360"/>
        <w:tabs>
          <w:tab w:val="num" w:pos="643" w:leader="none"/>
        </w:tabs>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4">
    <w:multiLevelType w:val="hybridMultilevel"/>
    <w:lvl w:ilvl="0">
      <w:start w:val="1"/>
      <w:numFmt w:val="bullet"/>
      <w:pStyle w:val="1136"/>
      <w:isLgl w:val="false"/>
      <w:suff w:val="tab"/>
      <w:lvlText w:val=""/>
      <w:lvlJc w:val="left"/>
      <w:pPr>
        <w:ind w:left="1492" w:hanging="360"/>
        <w:tabs>
          <w:tab w:val="num" w:pos="1492" w:leader="none"/>
        </w:tabs>
      </w:pPr>
      <w:rPr>
        <w:rFonts w:ascii="Symbol" w:hAnsi="Symbol" w:hint="default"/>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5">
    <w:multiLevelType w:val="hybridMultilevel"/>
    <w:lvl w:ilvl="0">
      <w:start w:val="1"/>
      <w:numFmt w:val="bullet"/>
      <w:pStyle w:val="1135"/>
      <w:isLgl w:val="false"/>
      <w:suff w:val="tab"/>
      <w:lvlText w:val=""/>
      <w:lvlJc w:val="left"/>
      <w:pPr>
        <w:ind w:left="1209" w:hanging="360"/>
        <w:tabs>
          <w:tab w:val="num" w:pos="1209" w:leader="none"/>
        </w:tabs>
      </w:pPr>
      <w:rPr>
        <w:rFonts w:ascii="Symbol" w:hAnsi="Symbol" w:hint="default"/>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6">
    <w:multiLevelType w:val="hybridMultilevel"/>
    <w:lvl w:ilvl="0">
      <w:start w:val="1"/>
      <w:numFmt w:val="bullet"/>
      <w:pStyle w:val="1134"/>
      <w:isLgl w:val="false"/>
      <w:suff w:val="tab"/>
      <w:lvlText w:val=""/>
      <w:lvlJc w:val="left"/>
      <w:pPr>
        <w:ind w:left="926" w:hanging="360"/>
        <w:tabs>
          <w:tab w:val="num" w:pos="926" w:leader="none"/>
        </w:tabs>
      </w:pPr>
      <w:rPr>
        <w:rFonts w:ascii="Symbol" w:hAnsi="Symbol" w:cs="Symbol" w:hint="default"/>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7">
    <w:multiLevelType w:val="hybridMultilevel"/>
    <w:lvl w:ilvl="0">
      <w:start w:val="1"/>
      <w:numFmt w:val="bullet"/>
      <w:pStyle w:val="1133"/>
      <w:isLgl w:val="false"/>
      <w:suff w:val="tab"/>
      <w:lvlText w:val=""/>
      <w:lvlJc w:val="left"/>
      <w:pPr>
        <w:ind w:left="643" w:hanging="360"/>
        <w:tabs>
          <w:tab w:val="num" w:pos="643" w:leader="none"/>
        </w:tabs>
      </w:pPr>
      <w:rPr>
        <w:rFonts w:ascii="Symbol" w:hAnsi="Symbol" w:hint="default"/>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8">
    <w:multiLevelType w:val="hybridMultilevel"/>
    <w:lvl w:ilvl="0">
      <w:start w:val="1"/>
      <w:numFmt w:val="decimal"/>
      <w:pStyle w:val="1110"/>
      <w:isLgl w:val="false"/>
      <w:suff w:val="tab"/>
      <w:lvlText w:val="%1."/>
      <w:lvlJc w:val="left"/>
      <w:pPr>
        <w:ind w:left="360" w:hanging="360"/>
        <w:tabs>
          <w:tab w:val="num" w:pos="360" w:leader="none"/>
        </w:tabs>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9">
    <w:multiLevelType w:val="hybridMultilevel"/>
    <w:lvl w:ilvl="0">
      <w:start w:val="1"/>
      <w:numFmt w:val="bullet"/>
      <w:pStyle w:val="1109"/>
      <w:isLgl w:val="false"/>
      <w:suff w:val="tab"/>
      <w:lvlText w:val=""/>
      <w:lvlJc w:val="left"/>
      <w:pPr>
        <w:ind w:left="360" w:hanging="360"/>
        <w:tabs>
          <w:tab w:val="num" w:pos="360" w:leader="none"/>
        </w:tabs>
      </w:pPr>
      <w:rPr>
        <w:rFonts w:ascii="Symbol" w:hAnsi="Symbol" w:hint="default"/>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0">
    <w:multiLevelType w:val="hybridMultilevel"/>
    <w:lvl w:ilvl="0">
      <w:start w:val="1"/>
      <w:numFmt w:val="bullet"/>
      <w:pStyle w:val="1272"/>
      <w:isLgl w:val="false"/>
      <w:suff w:val="tab"/>
      <w:lvlText w:val=""/>
      <w:lvlJc w:val="left"/>
      <w:pPr>
        <w:ind w:left="360" w:hanging="360"/>
        <w:tabs>
          <w:tab w:val="num" w:pos="360" w:leader="none"/>
        </w:tabs>
      </w:pPr>
      <w:rPr>
        <w:rFonts w:ascii="Symbol" w:hAnsi="Symbol" w:hint="default"/>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1">
    <w:multiLevelType w:val="hybridMultilevel"/>
    <w:lvl w:ilvl="0">
      <w:start w:val="1"/>
      <w:numFmt w:val="bullet"/>
      <w:pStyle w:val="1180"/>
      <w:isLgl w:val="false"/>
      <w:suff w:val="tab"/>
      <w:lvlText w:val=""/>
      <w:lvlJc w:val="left"/>
      <w:pPr>
        <w:ind w:left="360" w:hanging="360"/>
        <w:tabs>
          <w:tab w:val="num" w:pos="360" w:leader="none"/>
        </w:tabs>
      </w:pPr>
      <w:rPr>
        <w:rFonts w:ascii="Wingdings" w:hAnsi="Wingdings" w:hint="default"/>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2">
    <w:multiLevelType w:val="hybridMultilevel"/>
    <w:styleLink w:val="1297"/>
    <w:lvl w:ilvl="0">
      <w:start w:val="1"/>
      <w:numFmt w:val="decimal"/>
      <w:pStyle w:val="1297"/>
      <w:isLgl w:val="false"/>
      <w:suff w:val="tab"/>
      <w:lvlText w:val="%1."/>
      <w:lvlJc w:val="left"/>
      <w:pPr>
        <w:ind w:left="1428" w:hanging="360"/>
        <w:tabs>
          <w:tab w:val="num" w:pos="1428" w:leader="none"/>
        </w:tabs>
      </w:pPr>
      <w:rPr>
        <w:rFonts w:hint="default"/>
        <w:b w:val="false"/>
        <w:i w:val="false"/>
      </w:rPr>
    </w:lvl>
    <w:lvl w:ilvl="1">
      <w:start w:val="1"/>
      <w:numFmt w:val="bullet"/>
      <w:isLgl w:val="false"/>
      <w:suff w:val="tab"/>
      <w:lvlText w:val=""/>
      <w:lvlJc w:val="left"/>
      <w:pPr>
        <w:ind w:left="1440" w:hanging="360"/>
        <w:tabs>
          <w:tab w:val="num" w:pos="1440" w:leader="none"/>
        </w:tabs>
      </w:pPr>
      <w:rPr>
        <w:rFonts w:ascii="Symbol" w:hAnsi="Symbol" w:hint="default"/>
        <w:b w:val="false"/>
        <w:i w:val="false"/>
      </w:rPr>
    </w:lvl>
    <w:lvl w:ilvl="2">
      <w:start w:val="1"/>
      <w:numFmt w:val="bullet"/>
      <w:isLgl w:val="false"/>
      <w:suff w:val="tab"/>
      <w:lvlText w:val=""/>
      <w:lvlJc w:val="left"/>
      <w:pPr>
        <w:ind w:left="2340" w:hanging="360"/>
        <w:tabs>
          <w:tab w:val="num" w:pos="2340" w:leader="none"/>
        </w:tabs>
      </w:pPr>
      <w:rPr>
        <w:rFonts w:ascii="Wingdings" w:hAnsi="Wingdings"/>
        <w:sz w:val="24"/>
      </w:r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3">
    <w:multiLevelType w:val="hybridMultilevel"/>
    <w:lvl w:ilvl="0">
      <w:start w:val="1"/>
      <w:numFmt w:val="decimal"/>
      <w:pStyle w:val="1369"/>
      <w:isLgl w:val="false"/>
      <w:suff w:val="tab"/>
      <w:lvlText w:val="Рисунок %1."/>
      <w:lvlJc w:val="left"/>
      <w:pPr>
        <w:ind w:left="5387" w:firstLine="0"/>
        <w:tabs>
          <w:tab w:val="num" w:pos="6159" w:leader="none"/>
        </w:tabs>
      </w:pPr>
      <w:rPr>
        <w:rFonts w:hint="default"/>
      </w:rPr>
    </w:lvl>
    <w:lvl w:ilvl="1">
      <w:start w:val="1"/>
      <w:numFmt w:val="decimal"/>
      <w:isLgl w:val="false"/>
      <w:suff w:val="tab"/>
      <w:lvlText w:val="%2."/>
      <w:lvlJc w:val="left"/>
      <w:pPr>
        <w:ind w:left="2115" w:hanging="1035"/>
        <w:tabs>
          <w:tab w:val="num" w:pos="2115" w:leader="none"/>
        </w:tabs>
      </w:pPr>
      <w:rPr>
        <w:rFonts w:hint="default"/>
      </w:r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4">
    <w:multiLevelType w:val="hybridMultilevel"/>
    <w:lvl w:ilvl="0">
      <w:start w:val="1"/>
      <w:numFmt w:val="decimal"/>
      <w:pStyle w:val="1008"/>
      <w:isLgl w:val="false"/>
      <w:suff w:val="tab"/>
      <w:lvlText w:val="%1."/>
      <w:lvlJc w:val="left"/>
      <w:pPr>
        <w:ind w:left="284" w:hanging="227"/>
        <w:tabs>
          <w:tab w:val="num" w:pos="284" w:leader="none"/>
        </w:tabs>
      </w:pPr>
      <w:rPr>
        <w:rFonts w:ascii="Times New Roman" w:hAnsi="Times New Roman" w:cs="Times New Roman" w:hint="default"/>
        <w:b w:val="false"/>
        <w:bCs w:val="false"/>
        <w:i w:val="false"/>
        <w:iCs w:val="false"/>
        <w:caps w:val="false"/>
        <w:smallCaps w:val="false"/>
        <w:strike w:val="false"/>
        <w:vanish w:val="false"/>
        <w:spacing w:val="0"/>
        <w:position w:val="0"/>
        <w:sz w:val="22"/>
        <w:u w:val="none"/>
        <w:vertAlign w:val="baseline"/>
      </w:rPr>
    </w:lvl>
    <w:lvl w:ilvl="1">
      <w:start w:val="1"/>
      <w:numFmt w:val="decimal"/>
      <w:isLgl w:val="false"/>
      <w:suff w:val="tab"/>
      <w:lvlText w:val="%1.%2."/>
      <w:lvlJc w:val="left"/>
      <w:pPr>
        <w:ind w:left="709" w:hanging="425"/>
        <w:tabs>
          <w:tab w:val="num" w:pos="567" w:leader="none"/>
        </w:tabs>
      </w:pPr>
      <w:rPr>
        <w:rFonts w:ascii="Times New Roman" w:hAnsi="Times New Roman" w:hint="default"/>
        <w:sz w:val="24"/>
        <w:szCs w:val="24"/>
      </w:rPr>
    </w:lvl>
    <w:lvl w:ilvl="2">
      <w:start w:val="1"/>
      <w:numFmt w:val="decimal"/>
      <w:isLgl w:val="false"/>
      <w:suff w:val="tab"/>
      <w:lvlText w:val="%2.%1.%3."/>
      <w:lvlJc w:val="left"/>
      <w:pPr>
        <w:ind w:left="1276" w:hanging="567"/>
        <w:tabs>
          <w:tab w:val="num" w:pos="1134" w:leader="none"/>
        </w:tabs>
      </w:pPr>
      <w:rPr>
        <w:rFonts w:ascii="Times New Roman" w:hAnsi="Times New Roman" w:hint="default"/>
        <w:sz w:val="24"/>
        <w:szCs w:val="24"/>
      </w:rPr>
    </w:lvl>
    <w:lvl w:ilvl="3">
      <w:start w:val="1"/>
      <w:numFmt w:val="decimal"/>
      <w:isLgl w:val="false"/>
      <w:suff w:val="tab"/>
      <w:lvlText w:val="%1.%2.%3.%4."/>
      <w:lvlJc w:val="left"/>
      <w:pPr>
        <w:ind w:left="2295" w:hanging="648"/>
        <w:tabs>
          <w:tab w:val="num" w:pos="2367" w:leader="none"/>
        </w:tabs>
      </w:pPr>
      <w:rPr>
        <w:rFonts w:hint="default"/>
      </w:rPr>
    </w:lvl>
    <w:lvl w:ilvl="4">
      <w:start w:val="1"/>
      <w:numFmt w:val="decimal"/>
      <w:isLgl w:val="false"/>
      <w:suff w:val="tab"/>
      <w:lvlText w:val="%1.%2.%3.%4.%5."/>
      <w:lvlJc w:val="left"/>
      <w:pPr>
        <w:ind w:left="2799" w:hanging="792"/>
        <w:tabs>
          <w:tab w:val="num" w:pos="3087" w:leader="none"/>
        </w:tabs>
      </w:pPr>
      <w:rPr>
        <w:rFonts w:hint="default"/>
      </w:rPr>
    </w:lvl>
    <w:lvl w:ilvl="5">
      <w:start w:val="1"/>
      <w:numFmt w:val="decimal"/>
      <w:isLgl w:val="false"/>
      <w:suff w:val="tab"/>
      <w:lvlText w:val="%1.%2.%3.%4.%5.%6."/>
      <w:lvlJc w:val="left"/>
      <w:pPr>
        <w:ind w:left="3303" w:hanging="936"/>
        <w:tabs>
          <w:tab w:val="num" w:pos="3447" w:leader="none"/>
        </w:tabs>
      </w:pPr>
      <w:rPr>
        <w:rFonts w:hint="default"/>
      </w:rPr>
    </w:lvl>
    <w:lvl w:ilvl="6">
      <w:start w:val="1"/>
      <w:numFmt w:val="decimal"/>
      <w:isLgl w:val="false"/>
      <w:suff w:val="tab"/>
      <w:lvlText w:val="%1.%2.%3.%4.%5.%6.%7."/>
      <w:lvlJc w:val="left"/>
      <w:pPr>
        <w:ind w:left="3807" w:hanging="1080"/>
        <w:tabs>
          <w:tab w:val="num" w:pos="4167" w:leader="none"/>
        </w:tabs>
      </w:pPr>
      <w:rPr>
        <w:rFonts w:hint="default"/>
      </w:rPr>
    </w:lvl>
    <w:lvl w:ilvl="7">
      <w:start w:val="1"/>
      <w:numFmt w:val="decimal"/>
      <w:isLgl w:val="false"/>
      <w:suff w:val="tab"/>
      <w:lvlText w:val="%1.%2.%3.%4.%5.%6.%7.%8."/>
      <w:lvlJc w:val="left"/>
      <w:pPr>
        <w:ind w:left="4311" w:hanging="1224"/>
        <w:tabs>
          <w:tab w:val="num" w:pos="4527" w:leader="none"/>
        </w:tabs>
      </w:pPr>
      <w:rPr>
        <w:rFonts w:hint="default"/>
      </w:rPr>
    </w:lvl>
    <w:lvl w:ilvl="8">
      <w:start w:val="1"/>
      <w:numFmt w:val="decimal"/>
      <w:isLgl w:val="false"/>
      <w:suff w:val="tab"/>
      <w:lvlText w:val="%1.%2.%3.%4.%5.%6.%7.%8.%9."/>
      <w:lvlJc w:val="left"/>
      <w:pPr>
        <w:ind w:left="4887" w:hanging="1440"/>
        <w:tabs>
          <w:tab w:val="num" w:pos="5247" w:leader="none"/>
        </w:tabs>
      </w:pPr>
      <w:rPr>
        <w:rFonts w:hint="default"/>
      </w:rPr>
    </w:lvl>
  </w:abstractNum>
  <w:abstractNum w:abstractNumId="15">
    <w:multiLevelType w:val="hybridMultilevel"/>
    <w:lvl w:ilvl="0">
      <w:start w:val="1"/>
      <w:numFmt w:val="bullet"/>
      <w:pStyle w:val="1352"/>
      <w:isLgl w:val="false"/>
      <w:suff w:val="tab"/>
      <w:lvlText w:val="-"/>
      <w:lvlJc w:val="left"/>
      <w:pPr>
        <w:ind w:left="360" w:hanging="360"/>
        <w:tabs>
          <w:tab w:val="num" w:pos="360" w:leader="none"/>
        </w:tabs>
      </w:pPr>
      <w:rPr>
        <w:rFonts w:hint="default"/>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6">
    <w:multiLevelType w:val="hybridMultilevel"/>
    <w:lvl w:ilvl="0">
      <w:start w:val="1"/>
      <w:numFmt w:val="decimal"/>
      <w:pStyle w:val="1156"/>
      <w:isLgl w:val="false"/>
      <w:suff w:val="tab"/>
      <w:lvlText w:val="%1."/>
      <w:lvlJc w:val="left"/>
      <w:pPr>
        <w:ind w:left="1021" w:hanging="454"/>
        <w:tabs>
          <w:tab w:val="num" w:pos="1021" w:leader="none"/>
        </w:tabs>
      </w:pPr>
      <w:rPr>
        <w:rFonts w:ascii="Times New Roman" w:hAnsi="Times New Roman" w:cs="Times New Roman" w:hint="default"/>
        <w:b w:val="false"/>
        <w:bCs w:val="false"/>
        <w:i w:val="false"/>
        <w:iCs w:val="false"/>
        <w:caps w:val="false"/>
        <w:smallCaps w:val="false"/>
        <w:strike w:val="false"/>
        <w:vanish w:val="false"/>
        <w:spacing w:val="0"/>
        <w:position w:val="0"/>
        <w:sz w:val="24"/>
        <w:u w:val="none"/>
        <w:vertAlign w:val="baseline"/>
      </w:rPr>
    </w:lvl>
    <w:lvl w:ilvl="1">
      <w:start w:val="1"/>
      <w:numFmt w:val="decimal"/>
      <w:pStyle w:val="992"/>
      <w:isLgl/>
      <w:suff w:val="tab"/>
      <w:lvlText w:val="%1.%2."/>
      <w:lvlJc w:val="left"/>
      <w:pPr>
        <w:ind w:left="1588" w:hanging="567"/>
        <w:tabs>
          <w:tab w:val="num" w:pos="1588" w:leader="none"/>
        </w:tabs>
      </w:pPr>
      <w:rPr>
        <w:rFonts w:ascii="Times New Roman" w:hAnsi="Times New Roman" w:cs="Times New Roman" w:hint="default"/>
        <w:b w:val="false"/>
        <w:i w:val="false"/>
        <w:sz w:val="24"/>
      </w:rPr>
    </w:lvl>
    <w:lvl w:ilvl="2">
      <w:start w:val="1"/>
      <w:numFmt w:val="decimal"/>
      <w:isLgl/>
      <w:suff w:val="tab"/>
      <w:lvlText w:val="%1.%2.%3."/>
      <w:lvlJc w:val="left"/>
      <w:pPr>
        <w:ind w:left="2421" w:hanging="567"/>
        <w:tabs>
          <w:tab w:val="num" w:pos="2421" w:leader="none"/>
        </w:tabs>
      </w:pPr>
      <w:rPr>
        <w:rFonts w:ascii="Arial CYR" w:hAnsi="Arial CYR" w:hint="default"/>
        <w:b w:val="false"/>
        <w:i w:val="false"/>
        <w:sz w:val="24"/>
      </w:rPr>
    </w:lvl>
    <w:lvl w:ilvl="3">
      <w:start w:val="1"/>
      <w:numFmt w:val="decimal"/>
      <w:isLgl w:val="false"/>
      <w:suff w:val="space"/>
      <w:lvlText w:val="%1.%2.%3.%4."/>
      <w:lvlJc w:val="left"/>
      <w:pPr>
        <w:ind w:left="2704" w:hanging="567"/>
      </w:pPr>
      <w:rPr>
        <w:rFonts w:ascii="Arial CYR" w:hAnsi="Arial CYR" w:hint="default"/>
        <w:b w:val="false"/>
        <w:i w:val="false"/>
        <w:sz w:val="24"/>
      </w:rPr>
    </w:lvl>
    <w:lvl w:ilvl="4">
      <w:start w:val="1"/>
      <w:numFmt w:val="decimal"/>
      <w:isLgl w:val="false"/>
      <w:suff w:val="space"/>
      <w:lvlText w:val="%1.%2.%3.%4.%5"/>
      <w:lvlJc w:val="left"/>
      <w:pPr>
        <w:ind w:left="3271" w:hanging="567"/>
      </w:pPr>
      <w:rPr>
        <w:rFonts w:hint="default"/>
      </w:rPr>
    </w:lvl>
    <w:lvl w:ilvl="5">
      <w:start w:val="1"/>
      <w:numFmt w:val="decimal"/>
      <w:isLgl w:val="false"/>
      <w:suff w:val="tab"/>
      <w:lvlText w:val="%1.%2.%3.%4.%5.%6"/>
      <w:lvlJc w:val="left"/>
      <w:pPr>
        <w:ind w:left="1588" w:hanging="1152"/>
        <w:tabs>
          <w:tab w:val="num" w:pos="1588" w:leader="none"/>
        </w:tabs>
      </w:pPr>
      <w:rPr>
        <w:rFonts w:hint="default"/>
      </w:rPr>
    </w:lvl>
    <w:lvl w:ilvl="6">
      <w:start w:val="1"/>
      <w:numFmt w:val="decimal"/>
      <w:isLgl w:val="false"/>
      <w:suff w:val="tab"/>
      <w:lvlText w:val="%1.%2.%3.%4.%5.%6.%7"/>
      <w:lvlJc w:val="left"/>
      <w:pPr>
        <w:ind w:left="1732" w:hanging="1296"/>
        <w:tabs>
          <w:tab w:val="num" w:pos="1732" w:leader="none"/>
        </w:tabs>
      </w:pPr>
      <w:rPr>
        <w:rFonts w:hint="default"/>
      </w:rPr>
    </w:lvl>
    <w:lvl w:ilvl="7">
      <w:start w:val="1"/>
      <w:numFmt w:val="decimal"/>
      <w:isLgl w:val="false"/>
      <w:suff w:val="tab"/>
      <w:lvlText w:val="%1.%2.%3.%4.%5.%6.%7.%8"/>
      <w:lvlJc w:val="left"/>
      <w:pPr>
        <w:ind w:left="1876" w:hanging="1440"/>
        <w:tabs>
          <w:tab w:val="num" w:pos="1876" w:leader="none"/>
        </w:tabs>
      </w:pPr>
      <w:rPr>
        <w:rFonts w:hint="default"/>
      </w:rPr>
    </w:lvl>
    <w:lvl w:ilvl="8">
      <w:start w:val="1"/>
      <w:numFmt w:val="decimal"/>
      <w:isLgl w:val="false"/>
      <w:suff w:val="tab"/>
      <w:lvlText w:val="%1.%2.%3.%4.%5.%6.%7.%8.%9"/>
      <w:lvlJc w:val="left"/>
      <w:pPr>
        <w:ind w:left="2020" w:hanging="1584"/>
        <w:tabs>
          <w:tab w:val="num" w:pos="2020" w:leader="none"/>
        </w:tabs>
      </w:pPr>
      <w:rPr>
        <w:rFonts w:hint="default"/>
      </w:rPr>
    </w:lvl>
  </w:abstractNum>
  <w:abstractNum w:abstractNumId="17">
    <w:multiLevelType w:val="hybridMultilevel"/>
    <w:styleLink w:val="1074"/>
    <w:lvl w:ilvl="0">
      <w:start w:val="1"/>
      <w:numFmt w:val="upperRoman"/>
      <w:pStyle w:val="1074"/>
      <w:isLgl w:val="false"/>
      <w:suff w:val="tab"/>
      <w:lvlText w:val="Статья %1."/>
      <w:lvlJc w:val="left"/>
      <w:pPr>
        <w:ind w:left="0" w:firstLine="0"/>
        <w:tabs>
          <w:tab w:val="num" w:pos="1440" w:leader="none"/>
        </w:tabs>
      </w:pPr>
    </w:lvl>
    <w:lvl w:ilvl="1">
      <w:start w:val="1"/>
      <w:numFmt w:val="decimalZero"/>
      <w:isLgl/>
      <w:suff w:val="tab"/>
      <w:lvlText w:val="Раздел %1.%2"/>
      <w:lvlJc w:val="left"/>
      <w:pPr>
        <w:ind w:left="0" w:firstLine="0"/>
        <w:tabs>
          <w:tab w:val="num" w:pos="1080" w:leader="none"/>
        </w:tabs>
      </w:pPr>
    </w:lvl>
    <w:lvl w:ilvl="2">
      <w:start w:val="1"/>
      <w:numFmt w:val="lowerLetter"/>
      <w:isLgl w:val="false"/>
      <w:suff w:val="tab"/>
      <w:lvlText w:val="(%3)"/>
      <w:lvlJc w:val="left"/>
      <w:pPr>
        <w:ind w:left="720" w:hanging="432"/>
        <w:tabs>
          <w:tab w:val="num" w:pos="720" w:leader="none"/>
        </w:tabs>
      </w:pPr>
    </w:lvl>
    <w:lvl w:ilvl="3">
      <w:start w:val="1"/>
      <w:numFmt w:val="lowerRoman"/>
      <w:isLgl w:val="false"/>
      <w:suff w:val="tab"/>
      <w:lvlText w:val="(%4)"/>
      <w:lvlJc w:val="right"/>
      <w:pPr>
        <w:ind w:left="864" w:hanging="144"/>
        <w:tabs>
          <w:tab w:val="num" w:pos="864" w:leader="none"/>
        </w:tabs>
      </w:pPr>
    </w:lvl>
    <w:lvl w:ilvl="4">
      <w:start w:val="1"/>
      <w:numFmt w:val="decimal"/>
      <w:isLgl w:val="false"/>
      <w:suff w:val="tab"/>
      <w:lvlText w:val="%5)"/>
      <w:lvlJc w:val="left"/>
      <w:pPr>
        <w:ind w:left="1008" w:hanging="432"/>
        <w:tabs>
          <w:tab w:val="num" w:pos="1008" w:leader="none"/>
        </w:tabs>
      </w:pPr>
    </w:lvl>
    <w:lvl w:ilvl="5">
      <w:start w:val="1"/>
      <w:numFmt w:val="lowerLetter"/>
      <w:isLgl w:val="false"/>
      <w:suff w:val="tab"/>
      <w:lvlText w:val="%6)"/>
      <w:lvlJc w:val="left"/>
      <w:pPr>
        <w:ind w:left="1152" w:hanging="432"/>
        <w:tabs>
          <w:tab w:val="num" w:pos="1152" w:leader="none"/>
        </w:tabs>
      </w:pPr>
    </w:lvl>
    <w:lvl w:ilvl="6">
      <w:start w:val="1"/>
      <w:numFmt w:val="lowerRoman"/>
      <w:isLgl w:val="false"/>
      <w:suff w:val="tab"/>
      <w:lvlText w:val="%7)"/>
      <w:lvlJc w:val="right"/>
      <w:pPr>
        <w:ind w:left="1296" w:hanging="288"/>
        <w:tabs>
          <w:tab w:val="num" w:pos="1296" w:leader="none"/>
        </w:tabs>
      </w:pPr>
    </w:lvl>
    <w:lvl w:ilvl="7">
      <w:start w:val="1"/>
      <w:numFmt w:val="lowerLetter"/>
      <w:isLgl w:val="false"/>
      <w:suff w:val="tab"/>
      <w:lvlText w:val="%8."/>
      <w:lvlJc w:val="left"/>
      <w:pPr>
        <w:ind w:left="1440" w:hanging="432"/>
        <w:tabs>
          <w:tab w:val="num" w:pos="1440" w:leader="none"/>
        </w:tabs>
      </w:pPr>
    </w:lvl>
    <w:lvl w:ilvl="8">
      <w:start w:val="1"/>
      <w:numFmt w:val="lowerRoman"/>
      <w:isLgl w:val="false"/>
      <w:suff w:val="tab"/>
      <w:lvlText w:val="%9."/>
      <w:lvlJc w:val="right"/>
      <w:pPr>
        <w:ind w:left="1584" w:hanging="144"/>
        <w:tabs>
          <w:tab w:val="num" w:pos="1584" w:leader="none"/>
        </w:tabs>
      </w:pPr>
    </w:lvl>
  </w:abstractNum>
  <w:abstractNum w:abstractNumId="18">
    <w:multiLevelType w:val="hybridMultilevel"/>
    <w:lvl w:ilvl="0">
      <w:start w:val="1"/>
      <w:numFmt w:val="decimal"/>
      <w:pStyle w:val="1228"/>
      <w:isLgl w:val="false"/>
      <w:suff w:val="tab"/>
      <w:lvlText w:val="%1) "/>
      <w:legacy w:legacy="1" w:legacyIndent="283" w:legacySpace="0"/>
      <w:lvlJc w:val="left"/>
      <w:pPr>
        <w:ind w:left="283" w:hanging="283"/>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9">
    <w:multiLevelType w:val="hybridMultilevel"/>
    <w:styleLink w:val="1031"/>
    <w:lvl w:ilvl="0">
      <w:start w:val="1"/>
      <w:numFmt w:val="decimal"/>
      <w:pStyle w:val="1031"/>
      <w:isLgl w:val="false"/>
      <w:suff w:val="tab"/>
      <w:lvlText w:val="%1)"/>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20">
    <w:multiLevelType w:val="hybridMultilevel"/>
    <w:lvl w:ilvl="0">
      <w:start w:val="1"/>
      <w:numFmt w:val="bullet"/>
      <w:pStyle w:val="987"/>
      <w:isLgl w:val="false"/>
      <w:suff w:val="tab"/>
      <w:lvlText w:val="–"/>
      <w:lvlJc w:val="left"/>
      <w:pPr>
        <w:ind w:left="1418" w:hanging="284"/>
        <w:tabs>
          <w:tab w:val="num" w:pos="1418" w:leader="none"/>
        </w:tabs>
      </w:pPr>
      <w:rPr>
        <w:rFonts w:ascii="Times New Roman" w:hAnsi="Times New Roman" w:cs="Times New Roman" w:hint="default"/>
      </w:rPr>
    </w:lvl>
    <w:lvl w:ilvl="1">
      <w:start w:val="1"/>
      <w:numFmt w:val="bullet"/>
      <w:isLgl w:val="false"/>
      <w:suff w:val="tab"/>
      <w:lvlText w:val="o"/>
      <w:lvlJc w:val="left"/>
      <w:pPr>
        <w:ind w:left="1440" w:hanging="360"/>
        <w:tabs>
          <w:tab w:val="num" w:pos="1440" w:leader="none"/>
        </w:tabs>
      </w:pPr>
      <w:rPr>
        <w:rFonts w:ascii="Courier New" w:hAnsi="Courier New" w:cs="Courier New" w:hint="default"/>
      </w:rPr>
    </w:lvl>
    <w:lvl w:ilvl="2">
      <w:start w:val="1"/>
      <w:numFmt w:val="bullet"/>
      <w:isLgl w:val="false"/>
      <w:suff w:val="tab"/>
      <w:lvlText w:val=""/>
      <w:lvlJc w:val="left"/>
      <w:pPr>
        <w:ind w:left="2160" w:hanging="360"/>
        <w:tabs>
          <w:tab w:val="num" w:pos="2160" w:leader="none"/>
        </w:tabs>
      </w:pPr>
      <w:rPr>
        <w:rFonts w:ascii="Wingdings" w:hAnsi="Wingdings" w:hint="default"/>
      </w:rPr>
    </w:lvl>
    <w:lvl w:ilvl="3">
      <w:start w:val="1"/>
      <w:numFmt w:val="bullet"/>
      <w:isLgl w:val="false"/>
      <w:suff w:val="tab"/>
      <w:lvlText w:val=""/>
      <w:lvlJc w:val="left"/>
      <w:pPr>
        <w:ind w:left="2880" w:hanging="360"/>
        <w:tabs>
          <w:tab w:val="num" w:pos="2880" w:leader="none"/>
        </w:tabs>
      </w:pPr>
      <w:rPr>
        <w:rFonts w:ascii="Symbol" w:hAnsi="Symbol" w:hint="default"/>
      </w:rPr>
    </w:lvl>
    <w:lvl w:ilvl="4">
      <w:start w:val="1"/>
      <w:numFmt w:val="bullet"/>
      <w:isLgl w:val="false"/>
      <w:suff w:val="tab"/>
      <w:lvlText w:val="o"/>
      <w:lvlJc w:val="left"/>
      <w:pPr>
        <w:ind w:left="3600" w:hanging="360"/>
        <w:tabs>
          <w:tab w:val="num" w:pos="3600" w:leader="none"/>
        </w:tabs>
      </w:pPr>
      <w:rPr>
        <w:rFonts w:ascii="Courier New" w:hAnsi="Courier New" w:cs="Courier New" w:hint="default"/>
      </w:rPr>
    </w:lvl>
    <w:lvl w:ilvl="5">
      <w:start w:val="1"/>
      <w:numFmt w:val="bullet"/>
      <w:isLgl w:val="false"/>
      <w:suff w:val="tab"/>
      <w:lvlText w:val=""/>
      <w:lvlJc w:val="left"/>
      <w:pPr>
        <w:ind w:left="4320" w:hanging="360"/>
        <w:tabs>
          <w:tab w:val="num" w:pos="4320" w:leader="none"/>
        </w:tabs>
      </w:pPr>
      <w:rPr>
        <w:rFonts w:ascii="Wingdings" w:hAnsi="Wingdings" w:hint="default"/>
      </w:rPr>
    </w:lvl>
    <w:lvl w:ilvl="6">
      <w:start w:val="1"/>
      <w:numFmt w:val="bullet"/>
      <w:isLgl w:val="false"/>
      <w:suff w:val="tab"/>
      <w:lvlText w:val=""/>
      <w:lvlJc w:val="left"/>
      <w:pPr>
        <w:ind w:left="5040" w:hanging="360"/>
        <w:tabs>
          <w:tab w:val="num" w:pos="5040" w:leader="none"/>
        </w:tabs>
      </w:pPr>
      <w:rPr>
        <w:rFonts w:ascii="Symbol" w:hAnsi="Symbol" w:hint="default"/>
      </w:rPr>
    </w:lvl>
    <w:lvl w:ilvl="7">
      <w:start w:val="1"/>
      <w:numFmt w:val="bullet"/>
      <w:isLgl w:val="false"/>
      <w:suff w:val="tab"/>
      <w:lvlText w:val="o"/>
      <w:lvlJc w:val="left"/>
      <w:pPr>
        <w:ind w:left="5760" w:hanging="360"/>
        <w:tabs>
          <w:tab w:val="num" w:pos="5760" w:leader="none"/>
        </w:tabs>
      </w:pPr>
      <w:rPr>
        <w:rFonts w:ascii="Courier New" w:hAnsi="Courier New" w:cs="Courier New" w:hint="default"/>
      </w:rPr>
    </w:lvl>
    <w:lvl w:ilvl="8">
      <w:start w:val="1"/>
      <w:numFmt w:val="bullet"/>
      <w:isLgl w:val="false"/>
      <w:suff w:val="tab"/>
      <w:lvlText w:val=""/>
      <w:lvlJc w:val="left"/>
      <w:pPr>
        <w:ind w:left="6480" w:hanging="360"/>
        <w:tabs>
          <w:tab w:val="num" w:pos="6480" w:leader="none"/>
        </w:tabs>
      </w:pPr>
      <w:rPr>
        <w:rFonts w:ascii="Wingdings" w:hAnsi="Wingdings" w:hint="default"/>
      </w:rPr>
    </w:lvl>
  </w:abstractNum>
  <w:abstractNum w:abstractNumId="21">
    <w:multiLevelType w:val="hybridMultilevel"/>
    <w:lvl w:ilvl="0">
      <w:start w:val="1"/>
      <w:numFmt w:val="decimal"/>
      <w:pStyle w:val="1295"/>
      <w:isLgl w:val="false"/>
      <w:suff w:val="tab"/>
      <w:lvlText w:val="%1."/>
      <w:lvlJc w:val="left"/>
      <w:pPr>
        <w:ind w:left="1428" w:hanging="360"/>
        <w:tabs>
          <w:tab w:val="num" w:pos="1428" w:leader="none"/>
        </w:tabs>
      </w:pPr>
      <w:rPr>
        <w:sz w:val="24"/>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22">
    <w:multiLevelType w:val="hybridMultilevel"/>
    <w:styleLink w:val="1197"/>
    <w:lvl w:ilvl="0">
      <w:start w:val="1"/>
      <w:numFmt w:val="decimal"/>
      <w:pStyle w:val="1197"/>
      <w:isLgl w:val="false"/>
      <w:suff w:val="tab"/>
      <w:lvlText w:val="%1."/>
      <w:lvlJc w:val="left"/>
      <w:pPr>
        <w:ind w:left="1428" w:hanging="360"/>
        <w:tabs>
          <w:tab w:val="num" w:pos="1428" w:leader="none"/>
        </w:tabs>
      </w:pPr>
      <w:rPr>
        <w:sz w:val="24"/>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23">
    <w:multiLevelType w:val="hybridMultilevel"/>
    <w:styleLink w:val="1335"/>
    <w:lvl w:ilvl="0">
      <w:start w:val="1"/>
      <w:numFmt w:val="decimal"/>
      <w:pStyle w:val="1335"/>
      <w:isLgl w:val="false"/>
      <w:suff w:val="tab"/>
      <w:lvlText w:val="%1."/>
      <w:lvlJc w:val="left"/>
      <w:pPr>
        <w:ind w:left="360" w:hanging="360"/>
        <w:tabs>
          <w:tab w:val="num" w:pos="360" w:leader="none"/>
        </w:tabs>
      </w:pPr>
      <w:rPr>
        <w:sz w:val="24"/>
        <w:szCs w:val="24"/>
      </w:rPr>
    </w:lvl>
    <w:lvl w:ilvl="1">
      <w:start w:val="1"/>
      <w:numFmt w:val="decimal"/>
      <w:isLgl w:val="false"/>
      <w:suff w:val="tab"/>
      <w:lvlText w:val="%1.%2."/>
      <w:lvlJc w:val="left"/>
      <w:pPr>
        <w:ind w:left="792" w:hanging="432"/>
        <w:tabs>
          <w:tab w:val="num" w:pos="792" w:leader="none"/>
        </w:tabs>
      </w:pPr>
      <w:rPr>
        <w:rFonts w:hint="default"/>
      </w:rPr>
    </w:lvl>
    <w:lvl w:ilvl="2">
      <w:start w:val="1"/>
      <w:numFmt w:val="decimal"/>
      <w:isLgl w:val="false"/>
      <w:suff w:val="tab"/>
      <w:lvlText w:val="%1.%2.%3."/>
      <w:lvlJc w:val="left"/>
      <w:pPr>
        <w:ind w:left="1224" w:hanging="504"/>
        <w:tabs>
          <w:tab w:val="num" w:pos="1440" w:leader="none"/>
        </w:tabs>
      </w:pPr>
      <w:rPr>
        <w:sz w:val="22"/>
      </w:rPr>
    </w:lvl>
    <w:lvl w:ilvl="3">
      <w:start w:val="1"/>
      <w:numFmt w:val="decimal"/>
      <w:isLgl w:val="false"/>
      <w:suff w:val="tab"/>
      <w:lvlText w:val="%1.%2.%3.%4."/>
      <w:lvlJc w:val="left"/>
      <w:pPr>
        <w:ind w:left="1728" w:hanging="648"/>
        <w:tabs>
          <w:tab w:val="num" w:pos="1800" w:leader="none"/>
        </w:tabs>
      </w:pPr>
      <w:rPr>
        <w:rFonts w:hint="default"/>
      </w:rPr>
    </w:lvl>
    <w:lvl w:ilvl="4">
      <w:start w:val="1"/>
      <w:numFmt w:val="decimal"/>
      <w:isLgl w:val="false"/>
      <w:suff w:val="tab"/>
      <w:lvlText w:val="%1.%2.%3.%4.%5."/>
      <w:lvlJc w:val="left"/>
      <w:pPr>
        <w:ind w:left="2232" w:hanging="792"/>
        <w:tabs>
          <w:tab w:val="num" w:pos="2520" w:leader="none"/>
        </w:tabs>
      </w:pPr>
      <w:rPr>
        <w:rFonts w:hint="default"/>
      </w:rPr>
    </w:lvl>
    <w:lvl w:ilvl="5">
      <w:start w:val="1"/>
      <w:numFmt w:val="decimal"/>
      <w:isLgl w:val="false"/>
      <w:suff w:val="tab"/>
      <w:lvlText w:val="%1.%2.%3.%4.%5.%6."/>
      <w:lvlJc w:val="left"/>
      <w:pPr>
        <w:ind w:left="2736" w:hanging="936"/>
        <w:tabs>
          <w:tab w:val="num" w:pos="2880" w:leader="none"/>
        </w:tabs>
      </w:pPr>
      <w:rPr>
        <w:rFonts w:hint="default"/>
      </w:rPr>
    </w:lvl>
    <w:lvl w:ilvl="6">
      <w:start w:val="1"/>
      <w:numFmt w:val="decimal"/>
      <w:isLgl w:val="false"/>
      <w:suff w:val="tab"/>
      <w:lvlText w:val="%1.%2.%3.%4.%5.%6.%7."/>
      <w:lvlJc w:val="left"/>
      <w:pPr>
        <w:ind w:left="3240" w:hanging="1080"/>
        <w:tabs>
          <w:tab w:val="num" w:pos="3600" w:leader="none"/>
        </w:tabs>
      </w:pPr>
      <w:rPr>
        <w:rFonts w:hint="default"/>
      </w:rPr>
    </w:lvl>
    <w:lvl w:ilvl="7">
      <w:start w:val="1"/>
      <w:numFmt w:val="decimal"/>
      <w:isLgl w:val="false"/>
      <w:suff w:val="tab"/>
      <w:lvlText w:val="%1.%2.%3.%4.%5.%6.%7.%8."/>
      <w:lvlJc w:val="left"/>
      <w:pPr>
        <w:ind w:left="3744" w:hanging="1224"/>
        <w:tabs>
          <w:tab w:val="num" w:pos="3960" w:leader="none"/>
        </w:tabs>
      </w:pPr>
      <w:rPr>
        <w:rFonts w:hint="default"/>
      </w:rPr>
    </w:lvl>
    <w:lvl w:ilvl="8">
      <w:start w:val="1"/>
      <w:numFmt w:val="decimal"/>
      <w:isLgl w:val="false"/>
      <w:suff w:val="tab"/>
      <w:lvlText w:val="%1.%2.%3.%4.%5.%6.%7.%8.%9."/>
      <w:lvlJc w:val="left"/>
      <w:pPr>
        <w:ind w:left="4320" w:hanging="1440"/>
        <w:tabs>
          <w:tab w:val="num" w:pos="4680" w:leader="none"/>
        </w:tabs>
      </w:pPr>
      <w:rPr>
        <w:rFonts w:hint="default"/>
      </w:rPr>
    </w:lvl>
  </w:abstractNum>
  <w:abstractNum w:abstractNumId="24">
    <w:multiLevelType w:val="hybridMultilevel"/>
    <w:lvl w:ilvl="0">
      <w:start w:val="1"/>
      <w:numFmt w:val="bullet"/>
      <w:pStyle w:val="1158"/>
      <w:isLgl w:val="false"/>
      <w:suff w:val="tab"/>
      <w:lvlText w:val="–"/>
      <w:lvlJc w:val="left"/>
      <w:pPr>
        <w:ind w:left="1985" w:hanging="284"/>
        <w:tabs>
          <w:tab w:val="num" w:pos="1985" w:leader="none"/>
        </w:tabs>
      </w:pPr>
      <w:rPr>
        <w:rFonts w:ascii="Times New Roman" w:hAnsi="Times New Roman" w:cs="Times New Roman" w:hint="default"/>
        <w:b w:val="false"/>
        <w:i w:val="false"/>
        <w:sz w:val="24"/>
      </w:rPr>
    </w:lvl>
    <w:lvl w:ilvl="1">
      <w:start w:val="1"/>
      <w:numFmt w:val="bullet"/>
      <w:isLgl w:val="false"/>
      <w:suff w:val="tab"/>
      <w:lvlText w:val="o"/>
      <w:lvlJc w:val="left"/>
      <w:pPr>
        <w:ind w:left="1440" w:hanging="360"/>
        <w:tabs>
          <w:tab w:val="num" w:pos="1440" w:leader="none"/>
        </w:tabs>
      </w:pPr>
      <w:rPr>
        <w:rFonts w:ascii="Courier New" w:hAnsi="Courier New" w:cs="Courier New" w:hint="default"/>
      </w:rPr>
    </w:lvl>
    <w:lvl w:ilvl="2">
      <w:start w:val="1"/>
      <w:numFmt w:val="bullet"/>
      <w:isLgl w:val="false"/>
      <w:suff w:val="tab"/>
      <w:lvlText w:val=""/>
      <w:lvlJc w:val="left"/>
      <w:pPr>
        <w:ind w:left="2160" w:hanging="360"/>
        <w:tabs>
          <w:tab w:val="num" w:pos="2160" w:leader="none"/>
        </w:tabs>
      </w:pPr>
      <w:rPr>
        <w:rFonts w:ascii="Wingdings" w:hAnsi="Wingdings" w:hint="default"/>
      </w:rPr>
    </w:lvl>
    <w:lvl w:ilvl="3">
      <w:start w:val="1"/>
      <w:numFmt w:val="bullet"/>
      <w:isLgl w:val="false"/>
      <w:suff w:val="tab"/>
      <w:lvlText w:val=""/>
      <w:lvlJc w:val="left"/>
      <w:pPr>
        <w:ind w:left="2880" w:hanging="360"/>
        <w:tabs>
          <w:tab w:val="num" w:pos="2880" w:leader="none"/>
        </w:tabs>
      </w:pPr>
      <w:rPr>
        <w:rFonts w:ascii="Symbol" w:hAnsi="Symbol" w:hint="default"/>
      </w:rPr>
    </w:lvl>
    <w:lvl w:ilvl="4">
      <w:start w:val="1"/>
      <w:numFmt w:val="bullet"/>
      <w:isLgl w:val="false"/>
      <w:suff w:val="tab"/>
      <w:lvlText w:val="o"/>
      <w:lvlJc w:val="left"/>
      <w:pPr>
        <w:ind w:left="3600" w:hanging="360"/>
        <w:tabs>
          <w:tab w:val="num" w:pos="3600" w:leader="none"/>
        </w:tabs>
      </w:pPr>
      <w:rPr>
        <w:rFonts w:ascii="Courier New" w:hAnsi="Courier New" w:cs="Courier New" w:hint="default"/>
      </w:rPr>
    </w:lvl>
    <w:lvl w:ilvl="5">
      <w:start w:val="1"/>
      <w:numFmt w:val="bullet"/>
      <w:isLgl w:val="false"/>
      <w:suff w:val="tab"/>
      <w:lvlText w:val=""/>
      <w:lvlJc w:val="left"/>
      <w:pPr>
        <w:ind w:left="4320" w:hanging="360"/>
        <w:tabs>
          <w:tab w:val="num" w:pos="4320" w:leader="none"/>
        </w:tabs>
      </w:pPr>
      <w:rPr>
        <w:rFonts w:ascii="Wingdings" w:hAnsi="Wingdings" w:hint="default"/>
      </w:rPr>
    </w:lvl>
    <w:lvl w:ilvl="6">
      <w:start w:val="1"/>
      <w:numFmt w:val="bullet"/>
      <w:isLgl w:val="false"/>
      <w:suff w:val="tab"/>
      <w:lvlText w:val=""/>
      <w:lvlJc w:val="left"/>
      <w:pPr>
        <w:ind w:left="5040" w:hanging="360"/>
        <w:tabs>
          <w:tab w:val="num" w:pos="5040" w:leader="none"/>
        </w:tabs>
      </w:pPr>
      <w:rPr>
        <w:rFonts w:ascii="Symbol" w:hAnsi="Symbol" w:hint="default"/>
      </w:rPr>
    </w:lvl>
    <w:lvl w:ilvl="7">
      <w:start w:val="1"/>
      <w:numFmt w:val="bullet"/>
      <w:isLgl w:val="false"/>
      <w:suff w:val="tab"/>
      <w:lvlText w:val="o"/>
      <w:lvlJc w:val="left"/>
      <w:pPr>
        <w:ind w:left="5760" w:hanging="360"/>
        <w:tabs>
          <w:tab w:val="num" w:pos="5760" w:leader="none"/>
        </w:tabs>
      </w:pPr>
      <w:rPr>
        <w:rFonts w:ascii="Courier New" w:hAnsi="Courier New" w:cs="Courier New" w:hint="default"/>
      </w:rPr>
    </w:lvl>
    <w:lvl w:ilvl="8">
      <w:start w:val="1"/>
      <w:numFmt w:val="bullet"/>
      <w:isLgl w:val="false"/>
      <w:suff w:val="tab"/>
      <w:lvlText w:val=""/>
      <w:lvlJc w:val="left"/>
      <w:pPr>
        <w:ind w:left="6480" w:hanging="360"/>
        <w:tabs>
          <w:tab w:val="num" w:pos="6480" w:leader="none"/>
        </w:tabs>
      </w:pPr>
      <w:rPr>
        <w:rFonts w:ascii="Wingdings" w:hAnsi="Wingdings" w:hint="default"/>
      </w:rPr>
    </w:lvl>
  </w:abstractNum>
  <w:abstractNum w:abstractNumId="25">
    <w:multiLevelType w:val="hybridMultilevel"/>
    <w:lvl w:ilvl="0">
      <w:start w:val="1"/>
      <w:numFmt w:val="bullet"/>
      <w:pStyle w:val="1184"/>
      <w:isLgl w:val="false"/>
      <w:suff w:val="tab"/>
      <w:lvlText w:val=""/>
      <w:lvlJc w:val="left"/>
      <w:pPr>
        <w:ind w:left="0" w:firstLine="709"/>
        <w:tabs>
          <w:tab w:val="num" w:pos="992" w:leader="none"/>
        </w:tabs>
      </w:pPr>
      <w:rPr>
        <w:rFonts w:ascii="Symbol" w:hAnsi="Symbol" w:cs="Times New Roman" w:hint="default"/>
        <w:color w:val="auto"/>
      </w:rPr>
    </w:lvl>
    <w:lvl w:ilvl="1">
      <w:start w:val="1"/>
      <w:numFmt w:val="bullet"/>
      <w:isLgl w:val="false"/>
      <w:suff w:val="tab"/>
      <w:lvlText w:val=""/>
      <w:lvlJc w:val="left"/>
      <w:pPr>
        <w:ind w:left="1276" w:hanging="284"/>
        <w:tabs>
          <w:tab w:val="num" w:pos="992" w:leader="none"/>
        </w:tabs>
      </w:pPr>
      <w:rPr>
        <w:rFonts w:ascii="Wingdings" w:hAnsi="Wingdings" w:cs="Times New Roman" w:hint="default"/>
        <w:sz w:val="16"/>
        <w:szCs w:val="16"/>
      </w:rPr>
    </w:lvl>
    <w:lvl w:ilvl="2">
      <w:start w:val="1"/>
      <w:numFmt w:val="bullet"/>
      <w:isLgl w:val="false"/>
      <w:suff w:val="tab"/>
      <w:lvlText w:val="–"/>
      <w:lvlJc w:val="left"/>
      <w:pPr>
        <w:ind w:left="1758" w:hanging="340"/>
        <w:tabs>
          <w:tab w:val="num" w:pos="1276" w:leader="none"/>
        </w:tabs>
      </w:pPr>
      <w:rPr>
        <w:rFonts w:ascii="Verdana" w:hAnsi="Verdana" w:cs="Times New Roman" w:hint="default"/>
        <w:b/>
        <w:i w:val="false"/>
        <w:sz w:val="24"/>
        <w:szCs w:val="20"/>
      </w:rPr>
    </w:lvl>
    <w:lvl w:ilvl="3">
      <w:start w:val="1"/>
      <w:numFmt w:val="bullet"/>
      <w:isLgl w:val="false"/>
      <w:suff w:val="tab"/>
      <w:lvlText w:val=""/>
      <w:lvlJc w:val="left"/>
      <w:pPr>
        <w:ind w:left="1440" w:hanging="360"/>
        <w:tabs>
          <w:tab w:val="num" w:pos="1440" w:leader="none"/>
        </w:tabs>
      </w:pPr>
      <w:rPr>
        <w:rFonts w:ascii="Symbol" w:hAnsi="Symbol" w:hint="default"/>
      </w:rPr>
    </w:lvl>
    <w:lvl w:ilvl="4">
      <w:start w:val="1"/>
      <w:numFmt w:val="bullet"/>
      <w:isLgl w:val="false"/>
      <w:suff w:val="tab"/>
      <w:lvlText w:val=""/>
      <w:lvlJc w:val="left"/>
      <w:pPr>
        <w:ind w:left="1800" w:hanging="360"/>
        <w:tabs>
          <w:tab w:val="num" w:pos="1800" w:leader="none"/>
        </w:tabs>
      </w:pPr>
      <w:rPr>
        <w:rFonts w:ascii="Symbol" w:hAnsi="Symbol" w:hint="default"/>
      </w:rPr>
    </w:lvl>
    <w:lvl w:ilvl="5">
      <w:start w:val="1"/>
      <w:numFmt w:val="bullet"/>
      <w:isLgl w:val="false"/>
      <w:suff w:val="tab"/>
      <w:lvlText w:val=""/>
      <w:lvlJc w:val="left"/>
      <w:pPr>
        <w:ind w:left="2160" w:hanging="360"/>
        <w:tabs>
          <w:tab w:val="num" w:pos="2160" w:leader="none"/>
        </w:tabs>
      </w:pPr>
      <w:rPr>
        <w:rFonts w:ascii="Wingdings" w:hAnsi="Wingdings" w:hint="default"/>
      </w:rPr>
    </w:lvl>
    <w:lvl w:ilvl="6">
      <w:start w:val="1"/>
      <w:numFmt w:val="bullet"/>
      <w:isLgl w:val="false"/>
      <w:suff w:val="tab"/>
      <w:lvlText w:val=""/>
      <w:lvlJc w:val="left"/>
      <w:pPr>
        <w:ind w:left="2520" w:hanging="360"/>
        <w:tabs>
          <w:tab w:val="num" w:pos="2520" w:leader="none"/>
        </w:tabs>
      </w:pPr>
      <w:rPr>
        <w:rFonts w:ascii="Wingdings" w:hAnsi="Wingdings" w:hint="default"/>
      </w:rPr>
    </w:lvl>
    <w:lvl w:ilvl="7">
      <w:start w:val="1"/>
      <w:numFmt w:val="bullet"/>
      <w:isLgl w:val="false"/>
      <w:suff w:val="tab"/>
      <w:lvlText w:val=""/>
      <w:lvlJc w:val="left"/>
      <w:pPr>
        <w:ind w:left="2880" w:hanging="360"/>
        <w:tabs>
          <w:tab w:val="num" w:pos="2880" w:leader="none"/>
        </w:tabs>
      </w:pPr>
      <w:rPr>
        <w:rFonts w:ascii="Symbol" w:hAnsi="Symbol" w:hint="default"/>
      </w:rPr>
    </w:lvl>
    <w:lvl w:ilvl="8">
      <w:start w:val="1"/>
      <w:numFmt w:val="bullet"/>
      <w:isLgl w:val="false"/>
      <w:suff w:val="tab"/>
      <w:lvlText w:val=""/>
      <w:lvlJc w:val="left"/>
      <w:pPr>
        <w:ind w:left="3240" w:hanging="360"/>
        <w:tabs>
          <w:tab w:val="num" w:pos="3240" w:leader="none"/>
        </w:tabs>
      </w:pPr>
      <w:rPr>
        <w:rFonts w:ascii="Symbol" w:hAnsi="Symbol" w:hint="default"/>
      </w:rPr>
    </w:lvl>
  </w:abstractNum>
  <w:abstractNum w:abstractNumId="26">
    <w:multiLevelType w:val="hybridMultilevel"/>
    <w:styleLink w:val="1030"/>
    <w:lvl w:ilvl="0">
      <w:start w:val="1"/>
      <w:numFmt w:val="decimal"/>
      <w:pStyle w:val="1030"/>
      <w:isLgl w:val="false"/>
      <w:suff w:val="tab"/>
      <w:lvlText w:val="%1."/>
      <w:lvlJc w:val="left"/>
      <w:pPr>
        <w:ind w:left="360" w:hanging="360"/>
        <w:tabs>
          <w:tab w:val="num" w:pos="360" w:leader="none"/>
        </w:tabs>
      </w:pPr>
    </w:lvl>
    <w:lvl w:ilvl="1">
      <w:start w:val="1"/>
      <w:numFmt w:val="decimal"/>
      <w:isLgl w:val="false"/>
      <w:suff w:val="tab"/>
      <w:lvlText w:val="%1.%2."/>
      <w:lvlJc w:val="left"/>
      <w:pPr>
        <w:ind w:left="792" w:hanging="432"/>
        <w:tabs>
          <w:tab w:val="num" w:pos="792" w:leader="none"/>
        </w:tabs>
      </w:pPr>
    </w:lvl>
    <w:lvl w:ilvl="2">
      <w:start w:val="1"/>
      <w:numFmt w:val="decimal"/>
      <w:isLgl w:val="false"/>
      <w:suff w:val="tab"/>
      <w:lvlText w:val="%1.%2.%3."/>
      <w:lvlJc w:val="left"/>
      <w:pPr>
        <w:ind w:left="1224" w:hanging="504"/>
        <w:tabs>
          <w:tab w:val="num" w:pos="1440" w:leader="none"/>
        </w:tabs>
      </w:pPr>
    </w:lvl>
    <w:lvl w:ilvl="3">
      <w:start w:val="1"/>
      <w:numFmt w:val="decimal"/>
      <w:isLgl w:val="false"/>
      <w:suff w:val="tab"/>
      <w:lvlText w:val="%1.%2.%3.%4."/>
      <w:lvlJc w:val="left"/>
      <w:pPr>
        <w:ind w:left="1728" w:hanging="648"/>
        <w:tabs>
          <w:tab w:val="num" w:pos="180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2880" w:leader="none"/>
        </w:tabs>
      </w:pPr>
    </w:lvl>
    <w:lvl w:ilvl="6">
      <w:start w:val="1"/>
      <w:numFmt w:val="decimal"/>
      <w:isLgl w:val="false"/>
      <w:suff w:val="tab"/>
      <w:lvlText w:val="%1.%2.%3.%4.%5.%6.%7."/>
      <w:lvlJc w:val="left"/>
      <w:pPr>
        <w:ind w:left="3240" w:hanging="1080"/>
        <w:tabs>
          <w:tab w:val="num" w:pos="3600" w:leader="none"/>
        </w:tabs>
      </w:pPr>
    </w:lvl>
    <w:lvl w:ilvl="7">
      <w:start w:val="1"/>
      <w:numFmt w:val="decimal"/>
      <w:isLgl w:val="false"/>
      <w:suff w:val="tab"/>
      <w:lvlText w:val="%1.%2.%3.%4.%5.%6.%7.%8."/>
      <w:lvlJc w:val="left"/>
      <w:pPr>
        <w:ind w:left="3744" w:hanging="1224"/>
        <w:tabs>
          <w:tab w:val="num" w:pos="3960" w:leader="none"/>
        </w:tabs>
      </w:pPr>
    </w:lvl>
    <w:lvl w:ilvl="8">
      <w:start w:val="1"/>
      <w:numFmt w:val="decimal"/>
      <w:isLgl w:val="false"/>
      <w:suff w:val="tab"/>
      <w:lvlText w:val="%1.%2.%3.%4.%5.%6.%7.%8.%9."/>
      <w:lvlJc w:val="left"/>
      <w:pPr>
        <w:ind w:left="4320" w:hanging="1440"/>
        <w:tabs>
          <w:tab w:val="num" w:pos="4680" w:leader="none"/>
        </w:tabs>
      </w:pPr>
    </w:lvl>
  </w:abstractNum>
  <w:abstractNum w:abstractNumId="27">
    <w:multiLevelType w:val="hybridMultilevel"/>
    <w:lvl w:ilvl="0">
      <w:start w:val="1"/>
      <w:numFmt w:val="bullet"/>
      <w:pStyle w:val="1193"/>
      <w:isLgl w:val="false"/>
      <w:suff w:val="tab"/>
      <w:lvlText w:val=""/>
      <w:lvlJc w:val="left"/>
      <w:pPr>
        <w:ind w:left="340" w:hanging="283"/>
        <w:tabs>
          <w:tab w:val="num" w:pos="340" w:leader="none"/>
        </w:tabs>
      </w:pPr>
      <w:rPr>
        <w:rFonts w:ascii="Symbol" w:hAnsi="Symbol" w:hint="default"/>
      </w:rPr>
    </w:lvl>
    <w:lvl w:ilvl="1">
      <w:start w:val="1"/>
      <w:numFmt w:val="bullet"/>
      <w:isLgl w:val="false"/>
      <w:suff w:val="tab"/>
      <w:lvlText w:val="o"/>
      <w:lvlJc w:val="left"/>
      <w:pPr>
        <w:ind w:left="1440" w:hanging="360"/>
        <w:tabs>
          <w:tab w:val="num" w:pos="1440" w:leader="none"/>
        </w:tabs>
      </w:pPr>
      <w:rPr>
        <w:rFonts w:ascii="Courier New" w:hAnsi="Courier New" w:cs="Courier New" w:hint="default"/>
      </w:rPr>
    </w:lvl>
    <w:lvl w:ilvl="2">
      <w:start w:val="1"/>
      <w:numFmt w:val="bullet"/>
      <w:isLgl w:val="false"/>
      <w:suff w:val="tab"/>
      <w:lvlText w:val=""/>
      <w:lvlJc w:val="left"/>
      <w:pPr>
        <w:ind w:left="2160" w:hanging="360"/>
        <w:tabs>
          <w:tab w:val="num" w:pos="2160" w:leader="none"/>
        </w:tabs>
      </w:pPr>
      <w:rPr>
        <w:rFonts w:ascii="Wingdings" w:hAnsi="Wingdings" w:hint="default"/>
      </w:rPr>
    </w:lvl>
    <w:lvl w:ilvl="3">
      <w:start w:val="1"/>
      <w:numFmt w:val="bullet"/>
      <w:isLgl w:val="false"/>
      <w:suff w:val="tab"/>
      <w:lvlText w:val=""/>
      <w:lvlJc w:val="left"/>
      <w:pPr>
        <w:ind w:left="2880" w:hanging="360"/>
        <w:tabs>
          <w:tab w:val="num" w:pos="2880" w:leader="none"/>
        </w:tabs>
      </w:pPr>
      <w:rPr>
        <w:rFonts w:ascii="Symbol" w:hAnsi="Symbol" w:hint="default"/>
      </w:rPr>
    </w:lvl>
    <w:lvl w:ilvl="4">
      <w:start w:val="1"/>
      <w:numFmt w:val="bullet"/>
      <w:isLgl w:val="false"/>
      <w:suff w:val="tab"/>
      <w:lvlText w:val="o"/>
      <w:lvlJc w:val="left"/>
      <w:pPr>
        <w:ind w:left="3600" w:hanging="360"/>
        <w:tabs>
          <w:tab w:val="num" w:pos="3600" w:leader="none"/>
        </w:tabs>
      </w:pPr>
      <w:rPr>
        <w:rFonts w:ascii="Courier New" w:hAnsi="Courier New" w:cs="Courier New" w:hint="default"/>
      </w:rPr>
    </w:lvl>
    <w:lvl w:ilvl="5">
      <w:start w:val="1"/>
      <w:numFmt w:val="bullet"/>
      <w:isLgl w:val="false"/>
      <w:suff w:val="tab"/>
      <w:lvlText w:val=""/>
      <w:lvlJc w:val="left"/>
      <w:pPr>
        <w:ind w:left="4320" w:hanging="360"/>
        <w:tabs>
          <w:tab w:val="num" w:pos="4320" w:leader="none"/>
        </w:tabs>
      </w:pPr>
      <w:rPr>
        <w:rFonts w:ascii="Wingdings" w:hAnsi="Wingdings" w:hint="default"/>
      </w:rPr>
    </w:lvl>
    <w:lvl w:ilvl="6">
      <w:start w:val="1"/>
      <w:numFmt w:val="bullet"/>
      <w:isLgl w:val="false"/>
      <w:suff w:val="tab"/>
      <w:lvlText w:val=""/>
      <w:lvlJc w:val="left"/>
      <w:pPr>
        <w:ind w:left="5040" w:hanging="360"/>
        <w:tabs>
          <w:tab w:val="num" w:pos="5040" w:leader="none"/>
        </w:tabs>
      </w:pPr>
      <w:rPr>
        <w:rFonts w:ascii="Symbol" w:hAnsi="Symbol" w:hint="default"/>
      </w:rPr>
    </w:lvl>
    <w:lvl w:ilvl="7">
      <w:start w:val="1"/>
      <w:numFmt w:val="bullet"/>
      <w:isLgl w:val="false"/>
      <w:suff w:val="tab"/>
      <w:lvlText w:val="o"/>
      <w:lvlJc w:val="left"/>
      <w:pPr>
        <w:ind w:left="5760" w:hanging="360"/>
        <w:tabs>
          <w:tab w:val="num" w:pos="5760" w:leader="none"/>
        </w:tabs>
      </w:pPr>
      <w:rPr>
        <w:rFonts w:ascii="Courier New" w:hAnsi="Courier New" w:cs="Courier New" w:hint="default"/>
      </w:rPr>
    </w:lvl>
    <w:lvl w:ilvl="8">
      <w:start w:val="1"/>
      <w:numFmt w:val="bullet"/>
      <w:isLgl w:val="false"/>
      <w:suff w:val="tab"/>
      <w:lvlText w:val=""/>
      <w:lvlJc w:val="left"/>
      <w:pPr>
        <w:ind w:left="6480" w:hanging="360"/>
        <w:tabs>
          <w:tab w:val="num" w:pos="6480" w:leader="none"/>
        </w:tabs>
      </w:pPr>
      <w:rPr>
        <w:rFonts w:ascii="Wingdings" w:hAnsi="Wingdings" w:hint="default"/>
      </w:rPr>
    </w:lvl>
  </w:abstractNum>
  <w:abstractNum w:abstractNumId="28">
    <w:multiLevelType w:val="hybridMultilevel"/>
    <w:lvl w:ilvl="0">
      <w:start w:val="1"/>
      <w:numFmt w:val="bullet"/>
      <w:pStyle w:val="986"/>
      <w:isLgl w:val="false"/>
      <w:suff w:val="tab"/>
      <w:lvlText w:val="–"/>
      <w:lvlJc w:val="left"/>
      <w:pPr>
        <w:ind w:left="1134" w:hanging="283"/>
        <w:tabs>
          <w:tab w:val="num" w:pos="1134" w:leader="none"/>
        </w:tabs>
      </w:pPr>
      <w:rPr>
        <w:rFonts w:ascii="Times New Roman" w:hAnsi="Times New Roman" w:cs="Times New Roman" w:hint="default"/>
      </w:rPr>
    </w:lvl>
    <w:lvl w:ilvl="1">
      <w:start w:val="1"/>
      <w:numFmt w:val="bullet"/>
      <w:isLgl w:val="false"/>
      <w:suff w:val="tab"/>
      <w:lvlText w:val="o"/>
      <w:lvlJc w:val="left"/>
      <w:pPr>
        <w:ind w:left="1440" w:hanging="360"/>
        <w:tabs>
          <w:tab w:val="num" w:pos="1440" w:leader="none"/>
        </w:tabs>
      </w:pPr>
      <w:rPr>
        <w:rFonts w:ascii="Courier New" w:hAnsi="Courier New" w:cs="Courier New" w:hint="default"/>
      </w:rPr>
    </w:lvl>
    <w:lvl w:ilvl="2">
      <w:start w:val="1"/>
      <w:numFmt w:val="bullet"/>
      <w:isLgl w:val="false"/>
      <w:suff w:val="tab"/>
      <w:lvlText w:val=""/>
      <w:lvlJc w:val="left"/>
      <w:pPr>
        <w:ind w:left="2160" w:hanging="360"/>
        <w:tabs>
          <w:tab w:val="num" w:pos="2160" w:leader="none"/>
        </w:tabs>
      </w:pPr>
      <w:rPr>
        <w:rFonts w:ascii="Wingdings" w:hAnsi="Wingdings" w:hint="default"/>
      </w:rPr>
    </w:lvl>
    <w:lvl w:ilvl="3">
      <w:start w:val="1"/>
      <w:numFmt w:val="bullet"/>
      <w:isLgl w:val="false"/>
      <w:suff w:val="tab"/>
      <w:lvlText w:val=""/>
      <w:lvlJc w:val="left"/>
      <w:pPr>
        <w:ind w:left="2880" w:hanging="360"/>
        <w:tabs>
          <w:tab w:val="num" w:pos="2880" w:leader="none"/>
        </w:tabs>
      </w:pPr>
      <w:rPr>
        <w:rFonts w:ascii="Symbol" w:hAnsi="Symbol" w:hint="default"/>
      </w:rPr>
    </w:lvl>
    <w:lvl w:ilvl="4">
      <w:start w:val="1"/>
      <w:numFmt w:val="bullet"/>
      <w:isLgl w:val="false"/>
      <w:suff w:val="tab"/>
      <w:lvlText w:val="o"/>
      <w:lvlJc w:val="left"/>
      <w:pPr>
        <w:ind w:left="3600" w:hanging="360"/>
        <w:tabs>
          <w:tab w:val="num" w:pos="3600" w:leader="none"/>
        </w:tabs>
      </w:pPr>
      <w:rPr>
        <w:rFonts w:ascii="Courier New" w:hAnsi="Courier New" w:cs="Courier New" w:hint="default"/>
      </w:rPr>
    </w:lvl>
    <w:lvl w:ilvl="5">
      <w:start w:val="1"/>
      <w:numFmt w:val="bullet"/>
      <w:isLgl w:val="false"/>
      <w:suff w:val="tab"/>
      <w:lvlText w:val=""/>
      <w:lvlJc w:val="left"/>
      <w:pPr>
        <w:ind w:left="4320" w:hanging="360"/>
        <w:tabs>
          <w:tab w:val="num" w:pos="4320" w:leader="none"/>
        </w:tabs>
      </w:pPr>
      <w:rPr>
        <w:rFonts w:ascii="Wingdings" w:hAnsi="Wingdings" w:hint="default"/>
      </w:rPr>
    </w:lvl>
    <w:lvl w:ilvl="6">
      <w:start w:val="1"/>
      <w:numFmt w:val="bullet"/>
      <w:isLgl w:val="false"/>
      <w:suff w:val="tab"/>
      <w:lvlText w:val=""/>
      <w:lvlJc w:val="left"/>
      <w:pPr>
        <w:ind w:left="5040" w:hanging="360"/>
        <w:tabs>
          <w:tab w:val="num" w:pos="5040" w:leader="none"/>
        </w:tabs>
      </w:pPr>
      <w:rPr>
        <w:rFonts w:ascii="Symbol" w:hAnsi="Symbol" w:hint="default"/>
      </w:rPr>
    </w:lvl>
    <w:lvl w:ilvl="7">
      <w:start w:val="1"/>
      <w:numFmt w:val="bullet"/>
      <w:isLgl w:val="false"/>
      <w:suff w:val="tab"/>
      <w:lvlText w:val="o"/>
      <w:lvlJc w:val="left"/>
      <w:pPr>
        <w:ind w:left="5760" w:hanging="360"/>
        <w:tabs>
          <w:tab w:val="num" w:pos="5760" w:leader="none"/>
        </w:tabs>
      </w:pPr>
      <w:rPr>
        <w:rFonts w:ascii="Courier New" w:hAnsi="Courier New" w:cs="Courier New" w:hint="default"/>
      </w:rPr>
    </w:lvl>
    <w:lvl w:ilvl="8">
      <w:start w:val="1"/>
      <w:numFmt w:val="bullet"/>
      <w:isLgl w:val="false"/>
      <w:suff w:val="tab"/>
      <w:lvlText w:val=""/>
      <w:lvlJc w:val="left"/>
      <w:pPr>
        <w:ind w:left="6480" w:hanging="360"/>
        <w:tabs>
          <w:tab w:val="num" w:pos="6480" w:leader="none"/>
        </w:tabs>
      </w:pPr>
      <w:rPr>
        <w:rFonts w:ascii="Wingdings" w:hAnsi="Wingdings" w:hint="default"/>
      </w:rPr>
    </w:lvl>
  </w:abstractNum>
  <w:abstractNum w:abstractNumId="29">
    <w:multiLevelType w:val="hybridMultilevel"/>
    <w:lvl w:ilvl="0">
      <w:start w:val="1"/>
      <w:numFmt w:val="bullet"/>
      <w:pStyle w:val="988"/>
      <w:isLgl w:val="false"/>
      <w:suff w:val="tab"/>
      <w:lvlText w:val=""/>
      <w:lvlJc w:val="left"/>
      <w:pPr>
        <w:ind w:left="1701" w:hanging="283"/>
        <w:tabs>
          <w:tab w:val="num" w:pos="1701" w:leader="none"/>
        </w:tabs>
      </w:pPr>
      <w:rPr>
        <w:rFonts w:ascii="Symbol" w:hAnsi="Symbol" w:hint="default"/>
      </w:rPr>
    </w:lvl>
    <w:lvl w:ilvl="1">
      <w:start w:val="1"/>
      <w:numFmt w:val="bullet"/>
      <w:isLgl w:val="false"/>
      <w:suff w:val="tab"/>
      <w:lvlText w:val="o"/>
      <w:lvlJc w:val="left"/>
      <w:pPr>
        <w:ind w:left="1491" w:hanging="360"/>
        <w:tabs>
          <w:tab w:val="num" w:pos="1491" w:leader="none"/>
        </w:tabs>
      </w:pPr>
      <w:rPr>
        <w:rFonts w:ascii="Courier New" w:hAnsi="Courier New" w:cs="Courier New" w:hint="default"/>
      </w:rPr>
    </w:lvl>
    <w:lvl w:ilvl="2">
      <w:start w:val="1"/>
      <w:numFmt w:val="bullet"/>
      <w:isLgl w:val="false"/>
      <w:suff w:val="tab"/>
      <w:lvlText w:val=""/>
      <w:lvlJc w:val="left"/>
      <w:pPr>
        <w:ind w:left="2211" w:hanging="360"/>
        <w:tabs>
          <w:tab w:val="num" w:pos="2211" w:leader="none"/>
        </w:tabs>
      </w:pPr>
      <w:rPr>
        <w:rFonts w:ascii="Wingdings" w:hAnsi="Wingdings" w:hint="default"/>
      </w:rPr>
    </w:lvl>
    <w:lvl w:ilvl="3">
      <w:start w:val="1"/>
      <w:numFmt w:val="bullet"/>
      <w:isLgl w:val="false"/>
      <w:suff w:val="tab"/>
      <w:lvlText w:val=""/>
      <w:lvlJc w:val="left"/>
      <w:pPr>
        <w:ind w:left="2931" w:hanging="360"/>
        <w:tabs>
          <w:tab w:val="num" w:pos="2931" w:leader="none"/>
        </w:tabs>
      </w:pPr>
      <w:rPr>
        <w:rFonts w:ascii="Symbol" w:hAnsi="Symbol" w:hint="default"/>
      </w:rPr>
    </w:lvl>
    <w:lvl w:ilvl="4">
      <w:start w:val="1"/>
      <w:numFmt w:val="bullet"/>
      <w:isLgl w:val="false"/>
      <w:suff w:val="tab"/>
      <w:lvlText w:val="o"/>
      <w:lvlJc w:val="left"/>
      <w:pPr>
        <w:ind w:left="3651" w:hanging="360"/>
        <w:tabs>
          <w:tab w:val="num" w:pos="3651" w:leader="none"/>
        </w:tabs>
      </w:pPr>
      <w:rPr>
        <w:rFonts w:ascii="Courier New" w:hAnsi="Courier New" w:cs="Courier New" w:hint="default"/>
      </w:rPr>
    </w:lvl>
    <w:lvl w:ilvl="5">
      <w:start w:val="1"/>
      <w:numFmt w:val="bullet"/>
      <w:isLgl w:val="false"/>
      <w:suff w:val="tab"/>
      <w:lvlText w:val=""/>
      <w:lvlJc w:val="left"/>
      <w:pPr>
        <w:ind w:left="4371" w:hanging="360"/>
        <w:tabs>
          <w:tab w:val="num" w:pos="4371" w:leader="none"/>
        </w:tabs>
      </w:pPr>
      <w:rPr>
        <w:rFonts w:ascii="Wingdings" w:hAnsi="Wingdings" w:hint="default"/>
      </w:rPr>
    </w:lvl>
    <w:lvl w:ilvl="6">
      <w:start w:val="1"/>
      <w:numFmt w:val="bullet"/>
      <w:isLgl w:val="false"/>
      <w:suff w:val="tab"/>
      <w:lvlText w:val=""/>
      <w:lvlJc w:val="left"/>
      <w:pPr>
        <w:ind w:left="5091" w:hanging="360"/>
        <w:tabs>
          <w:tab w:val="num" w:pos="5091" w:leader="none"/>
        </w:tabs>
      </w:pPr>
      <w:rPr>
        <w:rFonts w:ascii="Symbol" w:hAnsi="Symbol" w:hint="default"/>
      </w:rPr>
    </w:lvl>
    <w:lvl w:ilvl="7">
      <w:start w:val="1"/>
      <w:numFmt w:val="bullet"/>
      <w:isLgl w:val="false"/>
      <w:suff w:val="tab"/>
      <w:lvlText w:val="o"/>
      <w:lvlJc w:val="left"/>
      <w:pPr>
        <w:ind w:left="5811" w:hanging="360"/>
        <w:tabs>
          <w:tab w:val="num" w:pos="5811" w:leader="none"/>
        </w:tabs>
      </w:pPr>
      <w:rPr>
        <w:rFonts w:ascii="Courier New" w:hAnsi="Courier New" w:cs="Courier New" w:hint="default"/>
      </w:rPr>
    </w:lvl>
    <w:lvl w:ilvl="8">
      <w:start w:val="1"/>
      <w:numFmt w:val="bullet"/>
      <w:isLgl w:val="false"/>
      <w:suff w:val="tab"/>
      <w:lvlText w:val=""/>
      <w:lvlJc w:val="left"/>
      <w:pPr>
        <w:ind w:left="6531" w:hanging="360"/>
        <w:tabs>
          <w:tab w:val="num" w:pos="6531" w:leader="none"/>
        </w:tabs>
      </w:pPr>
      <w:rPr>
        <w:rFonts w:ascii="Wingdings" w:hAnsi="Wingdings" w:hint="default"/>
      </w:rPr>
    </w:lvl>
  </w:abstractNum>
  <w:abstractNum w:abstractNumId="30">
    <w:multiLevelType w:val="hybridMultilevel"/>
    <w:lvl w:ilvl="0">
      <w:start w:val="1"/>
      <w:numFmt w:val="decimal"/>
      <w:pStyle w:val="970"/>
      <w:isLgl w:val="false"/>
      <w:suff w:val="tab"/>
      <w:lvlText w:val="%1."/>
      <w:lvlJc w:val="left"/>
      <w:pPr>
        <w:ind w:left="567" w:hanging="567"/>
        <w:tabs>
          <w:tab w:val="num" w:pos="567" w:leader="none"/>
        </w:tabs>
      </w:pPr>
      <w:rPr>
        <w:rFonts w:hint="default"/>
      </w:rPr>
    </w:lvl>
    <w:lvl w:ilvl="1">
      <w:start w:val="1"/>
      <w:numFmt w:val="decimal"/>
      <w:pStyle w:val="971"/>
      <w:isLgl w:val="false"/>
      <w:suff w:val="tab"/>
      <w:lvlText w:val="%1.%2."/>
      <w:lvlJc w:val="left"/>
      <w:pPr>
        <w:ind w:left="851" w:hanging="851"/>
        <w:tabs>
          <w:tab w:val="num" w:pos="851" w:leader="none"/>
        </w:tabs>
      </w:pPr>
      <w:rPr>
        <w:rFonts w:ascii="Times New Roman" w:hAnsi="Times New Roman" w:cs="Times New Roman" w:hint="default"/>
        <w:b/>
        <w:i w:val="false"/>
        <w:sz w:val="32"/>
        <w:szCs w:val="32"/>
      </w:rPr>
    </w:lvl>
    <w:lvl w:ilvl="2">
      <w:start w:val="1"/>
      <w:numFmt w:val="decimal"/>
      <w:pStyle w:val="972"/>
      <w:isLgl w:val="false"/>
      <w:suff w:val="tab"/>
      <w:lvlText w:val="%1.%2.%3."/>
      <w:lvlJc w:val="left"/>
      <w:pPr>
        <w:ind w:left="964" w:hanging="964"/>
        <w:tabs>
          <w:tab w:val="num" w:pos="964" w:leader="none"/>
        </w:tabs>
      </w:pPr>
      <w:rPr>
        <w:rFonts w:ascii="Times New Roman" w:hAnsi="Times New Roman" w:hint="default"/>
        <w:b/>
        <w:i w:val="false"/>
        <w:sz w:val="28"/>
        <w:szCs w:val="28"/>
      </w:rPr>
    </w:lvl>
    <w:lvl w:ilvl="3">
      <w:start w:val="1"/>
      <w:numFmt w:val="decimal"/>
      <w:pStyle w:val="973"/>
      <w:isLgl w:val="false"/>
      <w:suff w:val="tab"/>
      <w:lvlText w:val="%1.%2.%3.%4."/>
      <w:lvlJc w:val="left"/>
      <w:pPr>
        <w:ind w:left="1134" w:hanging="1134"/>
        <w:tabs>
          <w:tab w:val="num" w:pos="1134" w:leader="none"/>
        </w:tabs>
      </w:pPr>
      <w:rPr>
        <w:rFonts w:ascii="Times New Roman" w:hAnsi="Times New Roman" w:hint="default"/>
        <w:b/>
        <w:i w:val="false"/>
        <w:sz w:val="24"/>
      </w:rPr>
    </w:lvl>
    <w:lvl w:ilvl="4">
      <w:start w:val="1"/>
      <w:numFmt w:val="decimal"/>
      <w:isLgl w:val="false"/>
      <w:suff w:val="tab"/>
      <w:lvlText w:val="%1.%2.%3.%4.%5"/>
      <w:lvlJc w:val="left"/>
      <w:pPr>
        <w:ind w:left="724" w:hanging="1008"/>
        <w:tabs>
          <w:tab w:val="num" w:pos="724" w:leader="none"/>
        </w:tabs>
      </w:pPr>
      <w:rPr>
        <w:rFonts w:hint="default"/>
      </w:rPr>
    </w:lvl>
    <w:lvl w:ilvl="5">
      <w:start w:val="1"/>
      <w:numFmt w:val="decimal"/>
      <w:isLgl w:val="false"/>
      <w:suff w:val="tab"/>
      <w:lvlText w:val="%1.%2.%3.%4.%5.%6"/>
      <w:lvlJc w:val="left"/>
      <w:pPr>
        <w:ind w:left="868" w:hanging="1152"/>
        <w:tabs>
          <w:tab w:val="num" w:pos="868" w:leader="none"/>
        </w:tabs>
      </w:pPr>
      <w:rPr>
        <w:rFonts w:hint="default"/>
      </w:rPr>
    </w:lvl>
    <w:lvl w:ilvl="6">
      <w:start w:val="1"/>
      <w:numFmt w:val="decimal"/>
      <w:isLgl w:val="false"/>
      <w:suff w:val="tab"/>
      <w:lvlText w:val="%1.%2.%3.%4.%5.%6.%7"/>
      <w:lvlJc w:val="left"/>
      <w:pPr>
        <w:ind w:left="1012" w:hanging="1296"/>
        <w:tabs>
          <w:tab w:val="num" w:pos="1012" w:leader="none"/>
        </w:tabs>
      </w:pPr>
      <w:rPr>
        <w:rFonts w:hint="default"/>
      </w:rPr>
    </w:lvl>
    <w:lvl w:ilvl="7">
      <w:start w:val="1"/>
      <w:numFmt w:val="decimal"/>
      <w:isLgl w:val="false"/>
      <w:suff w:val="tab"/>
      <w:lvlText w:val="%1.%2.%3.%4.%5.%6.%7.%8"/>
      <w:lvlJc w:val="left"/>
      <w:pPr>
        <w:ind w:left="1156" w:hanging="1440"/>
        <w:tabs>
          <w:tab w:val="num" w:pos="1156" w:leader="none"/>
        </w:tabs>
      </w:pPr>
      <w:rPr>
        <w:rFonts w:hint="default"/>
      </w:rPr>
    </w:lvl>
    <w:lvl w:ilvl="8">
      <w:start w:val="1"/>
      <w:numFmt w:val="decimal"/>
      <w:isLgl w:val="false"/>
      <w:suff w:val="tab"/>
      <w:lvlText w:val="%1.%2.%3.%4.%5.%6.%7.%8.%9"/>
      <w:lvlJc w:val="left"/>
      <w:pPr>
        <w:ind w:left="1300" w:hanging="1584"/>
        <w:tabs>
          <w:tab w:val="num" w:pos="1300" w:leader="none"/>
        </w:tabs>
      </w:pPr>
      <w:rPr>
        <w:rFonts w:hint="default"/>
      </w:rPr>
    </w:lvl>
  </w:abstractNum>
  <w:abstractNum w:abstractNumId="31">
    <w:multiLevelType w:val="hybridMultilevel"/>
    <w:lvl w:ilvl="0">
      <w:start w:val="1"/>
      <w:numFmt w:val="none"/>
      <w:pStyle w:val="1015"/>
      <w:isLgl w:val="false"/>
      <w:suff w:val="tab"/>
      <w:lvlText w:val="%1Приложение"/>
      <w:lvlJc w:val="left"/>
      <w:pPr>
        <w:ind w:left="0" w:firstLine="0"/>
        <w:tabs>
          <w:tab w:val="num" w:pos="0"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2">
    <w:multiLevelType w:val="hybridMultilevel"/>
    <w:lvl w:ilvl="0">
      <w:start w:val="1"/>
      <w:numFmt w:val="none"/>
      <w:pStyle w:val="993"/>
      <w:isLgl w:val="false"/>
      <w:suff w:val="tab"/>
      <w:lvlText w:val="Таблица "/>
      <w:lvlJc w:val="left"/>
      <w:pPr>
        <w:ind w:left="0" w:firstLine="567"/>
        <w:tabs>
          <w:tab w:val="num" w:pos="567" w:leader="none"/>
        </w:tabs>
      </w:pPr>
      <w:rPr>
        <w:rFonts w:ascii="Times New Roman" w:hAnsi="Times New Roman" w:cs="Times New Roman" w:hint="default"/>
        <w:b/>
        <w:bCs w:val="false"/>
        <w:i w:val="false"/>
        <w:iCs w:val="false"/>
        <w:caps w:val="false"/>
        <w:smallCaps w:val="false"/>
        <w:strike w:val="false"/>
        <w:vanish w:val="false"/>
        <w:spacing w:val="0"/>
        <w:position w:val="0"/>
        <w:sz w:val="24"/>
        <w:u w:val="none"/>
        <w:vertAlign w:val="baseline"/>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3">
    <w:multiLevelType w:val="hybridMultilevel"/>
    <w:lvl w:ilvl="0">
      <w:start w:val="1"/>
      <w:numFmt w:val="decimal"/>
      <w:pStyle w:val="1332"/>
      <w:isLgl w:val="false"/>
      <w:suff w:val="tab"/>
      <w:lvlText w:val="%1."/>
      <w:lvlJc w:val="left"/>
      <w:pPr>
        <w:ind w:left="972" w:hanging="432"/>
        <w:tabs>
          <w:tab w:val="num" w:pos="972" w:leader="none"/>
        </w:tabs>
      </w:pPr>
      <w:rPr>
        <w:rFonts w:hint="default"/>
      </w:rPr>
    </w:lvl>
    <w:lvl w:ilvl="1">
      <w:start w:val="1"/>
      <w:numFmt w:val="decimal"/>
      <w:pStyle w:val="1332"/>
      <w:isLgl w:val="false"/>
      <w:suff w:val="tab"/>
      <w:lvlText w:val="%1.%2."/>
      <w:lvlJc w:val="left"/>
      <w:pPr>
        <w:ind w:left="1116" w:hanging="576"/>
        <w:tabs>
          <w:tab w:val="num" w:pos="1116" w:leader="none"/>
        </w:tabs>
      </w:pPr>
      <w:rPr>
        <w:rFonts w:hint="default"/>
      </w:rPr>
    </w:lvl>
    <w:lvl w:ilvl="2">
      <w:start w:val="1"/>
      <w:numFmt w:val="decimal"/>
      <w:isLgl w:val="false"/>
      <w:suff w:val="tab"/>
      <w:lvlText w:val="%1.%2.%3"/>
      <w:lvlJc w:val="left"/>
      <w:pPr>
        <w:ind w:left="1260" w:hanging="720"/>
        <w:tabs>
          <w:tab w:val="num" w:pos="1260" w:leader="none"/>
        </w:tabs>
      </w:pPr>
      <w:rPr>
        <w:rFonts w:hint="default"/>
      </w:rPr>
    </w:lvl>
    <w:lvl w:ilvl="3">
      <w:start w:val="1"/>
      <w:numFmt w:val="decimal"/>
      <w:isLgl w:val="false"/>
      <w:suff w:val="tab"/>
      <w:lvlText w:val="%1.%2.%3.%4"/>
      <w:lvlJc w:val="left"/>
      <w:pPr>
        <w:ind w:left="1404" w:hanging="864"/>
        <w:tabs>
          <w:tab w:val="num" w:pos="1404" w:leader="none"/>
        </w:tabs>
      </w:pPr>
      <w:rPr>
        <w:rFonts w:hint="default"/>
      </w:rPr>
    </w:lvl>
    <w:lvl w:ilvl="4">
      <w:start w:val="1"/>
      <w:numFmt w:val="decimal"/>
      <w:isLgl w:val="false"/>
      <w:suff w:val="tab"/>
      <w:lvlText w:val="%1.%2.%3.%4.%5"/>
      <w:lvlJc w:val="left"/>
      <w:pPr>
        <w:ind w:left="1548" w:hanging="1008"/>
        <w:tabs>
          <w:tab w:val="num" w:pos="1548" w:leader="none"/>
        </w:tabs>
      </w:pPr>
      <w:rPr>
        <w:rFonts w:hint="default"/>
      </w:rPr>
    </w:lvl>
    <w:lvl w:ilvl="5">
      <w:start w:val="1"/>
      <w:numFmt w:val="decimal"/>
      <w:isLgl w:val="false"/>
      <w:suff w:val="tab"/>
      <w:lvlText w:val="%1.%2.%3.%4.%5.%6"/>
      <w:lvlJc w:val="left"/>
      <w:pPr>
        <w:ind w:left="1692" w:hanging="1152"/>
        <w:tabs>
          <w:tab w:val="num" w:pos="1692" w:leader="none"/>
        </w:tabs>
      </w:pPr>
      <w:rPr>
        <w:rFonts w:hint="default"/>
      </w:rPr>
    </w:lvl>
    <w:lvl w:ilvl="6">
      <w:start w:val="1"/>
      <w:numFmt w:val="decimal"/>
      <w:isLgl w:val="false"/>
      <w:suff w:val="tab"/>
      <w:lvlText w:val="%1.%2.%3.%4.%5.%6.%7"/>
      <w:lvlJc w:val="left"/>
      <w:pPr>
        <w:ind w:left="1836" w:hanging="1296"/>
        <w:tabs>
          <w:tab w:val="num" w:pos="1836" w:leader="none"/>
        </w:tabs>
      </w:pPr>
      <w:rPr>
        <w:rFonts w:hint="default"/>
      </w:rPr>
    </w:lvl>
    <w:lvl w:ilvl="7">
      <w:start w:val="1"/>
      <w:numFmt w:val="decimal"/>
      <w:isLgl w:val="false"/>
      <w:suff w:val="tab"/>
      <w:lvlText w:val="%1.%2.%3.%4.%5.%6.%7.%8"/>
      <w:lvlJc w:val="left"/>
      <w:pPr>
        <w:ind w:left="1980" w:hanging="1440"/>
        <w:tabs>
          <w:tab w:val="num" w:pos="1980" w:leader="none"/>
        </w:tabs>
      </w:pPr>
      <w:rPr>
        <w:rFonts w:hint="default"/>
      </w:rPr>
    </w:lvl>
    <w:lvl w:ilvl="8">
      <w:start w:val="1"/>
      <w:numFmt w:val="decimal"/>
      <w:isLgl w:val="false"/>
      <w:suff w:val="tab"/>
      <w:lvlText w:val="%1.%2.%3.%4.%5.%6.%7.%8.%9"/>
      <w:lvlJc w:val="left"/>
      <w:pPr>
        <w:ind w:left="2124" w:hanging="1584"/>
        <w:tabs>
          <w:tab w:val="num" w:pos="2124" w:leader="none"/>
        </w:tabs>
      </w:pPr>
      <w:rPr>
        <w:rFonts w:hint="default"/>
      </w:rPr>
    </w:lvl>
  </w:abstractNum>
  <w:abstractNum w:abstractNumId="34">
    <w:multiLevelType w:val="hybridMultilevel"/>
    <w:lvl w:ilvl="0">
      <w:start w:val="1"/>
      <w:numFmt w:val="bullet"/>
      <w:pStyle w:val="1007"/>
      <w:isLgl w:val="false"/>
      <w:suff w:val="tab"/>
      <w:lvlText w:val=""/>
      <w:lvlJc w:val="left"/>
      <w:pPr>
        <w:ind w:left="340" w:hanging="227"/>
        <w:tabs>
          <w:tab w:val="num" w:pos="340" w:leader="none"/>
        </w:tabs>
      </w:pPr>
      <w:rPr>
        <w:rFonts w:ascii="Symbol" w:hAnsi="Symbol"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5">
    <w:multiLevelType w:val="hybridMultilevel"/>
    <w:lvl w:ilvl="0">
      <w:start w:val="1"/>
      <w:numFmt w:val="bullet"/>
      <w:pStyle w:val="1230"/>
      <w:isLgl w:val="false"/>
      <w:suff w:val="tab"/>
      <w:lvlText w:val="-"/>
      <w:lvlJc w:val="left"/>
      <w:pPr>
        <w:ind w:left="360" w:hanging="360"/>
        <w:tabs>
          <w:tab w:val="num" w:pos="360" w:leader="none"/>
        </w:tabs>
      </w:pPr>
      <w:rPr>
        <w:rFonts w:hAnsi="Courier New" w:hint="default"/>
      </w:rPr>
    </w:lvl>
    <w:lvl w:ilvl="1">
      <w:start w:val="1"/>
      <w:numFmt w:val="bullet"/>
      <w:isLgl w:val="false"/>
      <w:suff w:val="tab"/>
      <w:lvlText w:val="o"/>
      <w:lvlJc w:val="left"/>
      <w:pPr>
        <w:ind w:left="-1200" w:hanging="360"/>
        <w:tabs>
          <w:tab w:val="num" w:pos="-1200" w:leader="none"/>
        </w:tabs>
      </w:pPr>
      <w:rPr>
        <w:rFonts w:ascii="Courier New" w:hAnsi="Courier New" w:hint="default"/>
      </w:rPr>
    </w:lvl>
    <w:lvl w:ilvl="2">
      <w:start w:val="1"/>
      <w:numFmt w:val="bullet"/>
      <w:isLgl w:val="false"/>
      <w:suff w:val="tab"/>
      <w:lvlText w:val=""/>
      <w:lvlJc w:val="left"/>
      <w:pPr>
        <w:ind w:left="-480" w:hanging="360"/>
        <w:tabs>
          <w:tab w:val="num" w:pos="-480" w:leader="none"/>
        </w:tabs>
      </w:pPr>
      <w:rPr>
        <w:rFonts w:ascii="Wingdings" w:hAnsi="Wingdings" w:hint="default"/>
      </w:rPr>
    </w:lvl>
    <w:lvl w:ilvl="3">
      <w:start w:val="1"/>
      <w:numFmt w:val="bullet"/>
      <w:isLgl w:val="false"/>
      <w:suff w:val="tab"/>
      <w:lvlText w:val=""/>
      <w:lvlJc w:val="left"/>
      <w:pPr>
        <w:ind w:left="240" w:hanging="360"/>
        <w:tabs>
          <w:tab w:val="num" w:pos="240" w:leader="none"/>
        </w:tabs>
      </w:pPr>
      <w:rPr>
        <w:rFonts w:ascii="Symbol" w:hAnsi="Symbol" w:hint="default"/>
      </w:rPr>
    </w:lvl>
    <w:lvl w:ilvl="4">
      <w:start w:val="1"/>
      <w:numFmt w:val="bullet"/>
      <w:isLgl w:val="false"/>
      <w:suff w:val="tab"/>
      <w:lvlText w:val="o"/>
      <w:lvlJc w:val="left"/>
      <w:pPr>
        <w:ind w:left="960" w:hanging="360"/>
        <w:tabs>
          <w:tab w:val="num" w:pos="960" w:leader="none"/>
        </w:tabs>
      </w:pPr>
      <w:rPr>
        <w:rFonts w:ascii="Courier New" w:hAnsi="Courier New" w:hint="default"/>
      </w:rPr>
    </w:lvl>
    <w:lvl w:ilvl="5">
      <w:start w:val="1"/>
      <w:numFmt w:val="bullet"/>
      <w:isLgl w:val="false"/>
      <w:suff w:val="tab"/>
      <w:lvlText w:val=""/>
      <w:lvlJc w:val="left"/>
      <w:pPr>
        <w:ind w:left="1680" w:hanging="360"/>
        <w:tabs>
          <w:tab w:val="num" w:pos="1680" w:leader="none"/>
        </w:tabs>
      </w:pPr>
      <w:rPr>
        <w:rFonts w:ascii="Wingdings" w:hAnsi="Wingdings" w:hint="default"/>
      </w:rPr>
    </w:lvl>
    <w:lvl w:ilvl="6">
      <w:start w:val="1"/>
      <w:numFmt w:val="bullet"/>
      <w:isLgl w:val="false"/>
      <w:suff w:val="tab"/>
      <w:lvlText w:val=""/>
      <w:lvlJc w:val="left"/>
      <w:pPr>
        <w:ind w:left="2400" w:hanging="360"/>
        <w:tabs>
          <w:tab w:val="num" w:pos="2400" w:leader="none"/>
        </w:tabs>
      </w:pPr>
      <w:rPr>
        <w:rFonts w:ascii="Symbol" w:hAnsi="Symbol" w:hint="default"/>
      </w:rPr>
    </w:lvl>
    <w:lvl w:ilvl="7">
      <w:start w:val="1"/>
      <w:numFmt w:val="bullet"/>
      <w:isLgl w:val="false"/>
      <w:suff w:val="tab"/>
      <w:lvlText w:val="o"/>
      <w:lvlJc w:val="left"/>
      <w:pPr>
        <w:ind w:left="3120" w:hanging="360"/>
        <w:tabs>
          <w:tab w:val="num" w:pos="3120" w:leader="none"/>
        </w:tabs>
      </w:pPr>
      <w:rPr>
        <w:rFonts w:ascii="Courier New" w:hAnsi="Courier New" w:hint="default"/>
      </w:rPr>
    </w:lvl>
    <w:lvl w:ilvl="8">
      <w:start w:val="1"/>
      <w:numFmt w:val="bullet"/>
      <w:isLgl w:val="false"/>
      <w:suff w:val="tab"/>
      <w:lvlText w:val=""/>
      <w:lvlJc w:val="left"/>
      <w:pPr>
        <w:ind w:left="3840" w:hanging="360"/>
        <w:tabs>
          <w:tab w:val="num" w:pos="3840" w:leader="none"/>
        </w:tabs>
      </w:pPr>
      <w:rPr>
        <w:rFonts w:ascii="Wingdings" w:hAnsi="Wingdings" w:hint="default"/>
      </w:rPr>
    </w:lvl>
  </w:abstractNum>
  <w:abstractNum w:abstractNumId="36">
    <w:multiLevelType w:val="hybridMultilevel"/>
    <w:lvl w:ilvl="0">
      <w:start w:val="1"/>
      <w:numFmt w:val="none"/>
      <w:pStyle w:val="983"/>
      <w:isLgl w:val="false"/>
      <w:suff w:val="tab"/>
      <w:lvlText w:val="Рисунок "/>
      <w:lvlJc w:val="left"/>
      <w:pPr>
        <w:ind w:left="0" w:firstLine="0"/>
        <w:tabs>
          <w:tab w:val="num" w:pos="0" w:leader="none"/>
        </w:tabs>
      </w:pPr>
      <w:rPr>
        <w:rFonts w:ascii="Times New Roman" w:hAnsi="Times New Roman" w:cs="Times New Roman" w:hint="default"/>
        <w:b/>
        <w:bCs w:val="false"/>
        <w:i w:val="false"/>
        <w:iCs w:val="false"/>
        <w:caps w:val="false"/>
        <w:smallCaps w:val="false"/>
        <w:strike w:val="false"/>
        <w:vanish w:val="false"/>
        <w:spacing w:val="0"/>
        <w:position w:val="0"/>
        <w:sz w:val="24"/>
        <w:u w:val="none"/>
        <w:vertAlign w:val="baseline"/>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7">
    <w:multiLevelType w:val="hybridMultilevel"/>
    <w:lvl w:ilvl="0">
      <w:start w:val="1"/>
      <w:numFmt w:val="decimal"/>
      <w:isLgl w:val="false"/>
      <w:suff w:val="tab"/>
      <w:lvlText w:val="%1"/>
      <w:lvlJc w:val="left"/>
      <w:pPr>
        <w:ind w:left="432" w:hanging="432"/>
        <w:tabs>
          <w:tab w:val="num" w:pos="432" w:leader="none"/>
        </w:tabs>
      </w:pPr>
      <w:rPr>
        <w:rFonts w:hint="default"/>
      </w:rPr>
    </w:lvl>
    <w:lvl w:ilvl="1">
      <w:start w:val="1"/>
      <w:numFmt w:val="decimal"/>
      <w:isLgl w:val="false"/>
      <w:suff w:val="tab"/>
      <w:lvlText w:val="%1.%2"/>
      <w:lvlJc w:val="left"/>
      <w:pPr>
        <w:ind w:left="756" w:hanging="576"/>
        <w:tabs>
          <w:tab w:val="num" w:pos="756" w:leader="none"/>
        </w:tabs>
      </w:pPr>
      <w:rPr>
        <w:rFonts w:hint="default"/>
      </w:rPr>
    </w:lvl>
    <w:lvl w:ilvl="2">
      <w:start w:val="1"/>
      <w:numFmt w:val="decimal"/>
      <w:isLgl w:val="false"/>
      <w:suff w:val="tab"/>
      <w:lvlText w:val="%1.%2.%3"/>
      <w:lvlJc w:val="left"/>
      <w:pPr>
        <w:ind w:left="646" w:hanging="646"/>
        <w:tabs>
          <w:tab w:val="num" w:pos="646" w:leader="none"/>
        </w:tabs>
      </w:pPr>
      <w:rPr>
        <w:rFonts w:hint="default"/>
      </w:rPr>
    </w:lvl>
    <w:lvl w:ilvl="3">
      <w:start w:val="1"/>
      <w:numFmt w:val="decimal"/>
      <w:isLgl w:val="false"/>
      <w:suff w:val="tab"/>
      <w:lvlText w:val="%1.%2.%3.%4"/>
      <w:lvlJc w:val="left"/>
      <w:pPr>
        <w:ind w:left="864" w:hanging="864"/>
        <w:tabs>
          <w:tab w:val="num" w:pos="864" w:leader="none"/>
        </w:tabs>
      </w:pPr>
      <w:rPr>
        <w:rFonts w:hint="default"/>
        <w:b w:val="false"/>
      </w:rPr>
    </w:lvl>
    <w:lvl w:ilvl="4">
      <w:start w:val="1"/>
      <w:numFmt w:val="decimal"/>
      <w:isLgl w:val="false"/>
      <w:suff w:val="tab"/>
      <w:lvlText w:val="%1.%2.%3.%4.%5"/>
      <w:lvlJc w:val="left"/>
      <w:pPr>
        <w:ind w:left="1008" w:hanging="1008"/>
        <w:tabs>
          <w:tab w:val="num" w:pos="1008" w:leader="none"/>
        </w:tabs>
      </w:pPr>
      <w:rPr>
        <w:rFonts w:hint="default"/>
      </w:rPr>
    </w:lvl>
    <w:lvl w:ilvl="5">
      <w:start w:val="1"/>
      <w:numFmt w:val="decimal"/>
      <w:pStyle w:val="975"/>
      <w:isLgl w:val="false"/>
      <w:suff w:val="tab"/>
      <w:lvlText w:val="%1.%2.%3.%4.%5.%6"/>
      <w:lvlJc w:val="left"/>
      <w:pPr>
        <w:ind w:left="1152" w:hanging="1152"/>
        <w:tabs>
          <w:tab w:val="num" w:pos="1152" w:leader="none"/>
        </w:tabs>
      </w:pPr>
      <w:rPr>
        <w:rFonts w:hint="default"/>
      </w:rPr>
    </w:lvl>
    <w:lvl w:ilvl="6">
      <w:start w:val="1"/>
      <w:numFmt w:val="decimal"/>
      <w:pStyle w:val="976"/>
      <w:isLgl w:val="false"/>
      <w:suff w:val="tab"/>
      <w:lvlText w:val="%1.%2.%3.%4.%5.%6.%7"/>
      <w:lvlJc w:val="left"/>
      <w:pPr>
        <w:ind w:left="1296" w:hanging="1296"/>
        <w:tabs>
          <w:tab w:val="num" w:pos="1296" w:leader="none"/>
        </w:tabs>
      </w:pPr>
      <w:rPr>
        <w:rFonts w:hint="default"/>
      </w:rPr>
    </w:lvl>
    <w:lvl w:ilvl="7">
      <w:start w:val="1"/>
      <w:numFmt w:val="decimal"/>
      <w:pStyle w:val="977"/>
      <w:isLgl w:val="false"/>
      <w:suff w:val="tab"/>
      <w:lvlText w:val="%1.%2.%3.%4.%5.%6.%7.%8"/>
      <w:lvlJc w:val="left"/>
      <w:pPr>
        <w:ind w:left="1440" w:hanging="1440"/>
        <w:tabs>
          <w:tab w:val="num" w:pos="1440" w:leader="none"/>
        </w:tabs>
      </w:pPr>
      <w:rPr>
        <w:rFonts w:hint="default"/>
      </w:rPr>
    </w:lvl>
    <w:lvl w:ilvl="8">
      <w:start w:val="1"/>
      <w:numFmt w:val="decimal"/>
      <w:pStyle w:val="978"/>
      <w:isLgl w:val="false"/>
      <w:suff w:val="tab"/>
      <w:lvlText w:val="%1.%2.%3.%4.%5.%6.%7.%8.%9"/>
      <w:lvlJc w:val="left"/>
      <w:pPr>
        <w:ind w:left="1584" w:hanging="1584"/>
        <w:tabs>
          <w:tab w:val="num" w:pos="1584" w:leader="none"/>
        </w:tabs>
      </w:pPr>
      <w:rPr>
        <w:rFonts w:hint="default"/>
      </w:rPr>
    </w:lvl>
  </w:abstractNum>
  <w:abstractNum w:abstractNumId="38">
    <w:multiLevelType w:val="hybridMultilevel"/>
    <w:lvl w:ilvl="0">
      <w:start w:val="1"/>
      <w:numFmt w:val="russianLower"/>
      <w:pStyle w:val="1361"/>
      <w:isLgl w:val="false"/>
      <w:suff w:val="tab"/>
      <w:lvlText w:val="%1."/>
      <w:lvlJc w:val="left"/>
      <w:pPr>
        <w:ind w:left="1134" w:hanging="283"/>
        <w:tabs>
          <w:tab w:val="num" w:pos="567"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9">
    <w:multiLevelType w:val="hybridMultilevel"/>
    <w:lvl w:ilvl="0">
      <w:start w:val="1"/>
      <w:numFmt w:val="bullet"/>
      <w:pStyle w:val="985"/>
      <w:isLgl w:val="false"/>
      <w:suff w:val="tab"/>
      <w:lvlText w:val="–"/>
      <w:lvlJc w:val="left"/>
      <w:pPr>
        <w:ind w:left="851" w:hanging="284"/>
        <w:tabs>
          <w:tab w:val="num" w:pos="851" w:leader="none"/>
        </w:tabs>
      </w:pPr>
      <w:rPr>
        <w:rFonts w:ascii="Times New Roman" w:hAnsi="Times New Roman" w:cs="Times New Roman" w:hint="default"/>
      </w:rPr>
    </w:lvl>
    <w:lvl w:ilvl="1">
      <w:start w:val="1"/>
      <w:numFmt w:val="bullet"/>
      <w:isLgl w:val="false"/>
      <w:suff w:val="tab"/>
      <w:lvlText w:val="o"/>
      <w:lvlJc w:val="left"/>
      <w:pPr>
        <w:ind w:left="1440" w:hanging="360"/>
        <w:tabs>
          <w:tab w:val="num" w:pos="1440" w:leader="none"/>
        </w:tabs>
      </w:pPr>
      <w:rPr>
        <w:rFonts w:ascii="Courier New" w:hAnsi="Courier New" w:cs="Courier New" w:hint="default"/>
      </w:rPr>
    </w:lvl>
    <w:lvl w:ilvl="2">
      <w:start w:val="1"/>
      <w:numFmt w:val="bullet"/>
      <w:isLgl w:val="false"/>
      <w:suff w:val="tab"/>
      <w:lvlText w:val=""/>
      <w:lvlJc w:val="left"/>
      <w:pPr>
        <w:ind w:left="2160" w:hanging="360"/>
        <w:tabs>
          <w:tab w:val="num" w:pos="2160" w:leader="none"/>
        </w:tabs>
      </w:pPr>
      <w:rPr>
        <w:rFonts w:ascii="Wingdings" w:hAnsi="Wingdings" w:hint="default"/>
      </w:rPr>
    </w:lvl>
    <w:lvl w:ilvl="3">
      <w:start w:val="1"/>
      <w:numFmt w:val="bullet"/>
      <w:isLgl w:val="false"/>
      <w:suff w:val="tab"/>
      <w:lvlText w:val=""/>
      <w:lvlJc w:val="left"/>
      <w:pPr>
        <w:ind w:left="2880" w:hanging="360"/>
        <w:tabs>
          <w:tab w:val="num" w:pos="2880" w:leader="none"/>
        </w:tabs>
      </w:pPr>
      <w:rPr>
        <w:rFonts w:ascii="Symbol" w:hAnsi="Symbol" w:hint="default"/>
      </w:rPr>
    </w:lvl>
    <w:lvl w:ilvl="4">
      <w:start w:val="1"/>
      <w:numFmt w:val="bullet"/>
      <w:isLgl w:val="false"/>
      <w:suff w:val="tab"/>
      <w:lvlText w:val="o"/>
      <w:lvlJc w:val="left"/>
      <w:pPr>
        <w:ind w:left="3600" w:hanging="360"/>
        <w:tabs>
          <w:tab w:val="num" w:pos="3600" w:leader="none"/>
        </w:tabs>
      </w:pPr>
      <w:rPr>
        <w:rFonts w:ascii="Courier New" w:hAnsi="Courier New" w:cs="Courier New" w:hint="default"/>
      </w:rPr>
    </w:lvl>
    <w:lvl w:ilvl="5">
      <w:start w:val="1"/>
      <w:numFmt w:val="bullet"/>
      <w:isLgl w:val="false"/>
      <w:suff w:val="tab"/>
      <w:lvlText w:val=""/>
      <w:lvlJc w:val="left"/>
      <w:pPr>
        <w:ind w:left="4320" w:hanging="360"/>
        <w:tabs>
          <w:tab w:val="num" w:pos="4320" w:leader="none"/>
        </w:tabs>
      </w:pPr>
      <w:rPr>
        <w:rFonts w:ascii="Wingdings" w:hAnsi="Wingdings" w:hint="default"/>
      </w:rPr>
    </w:lvl>
    <w:lvl w:ilvl="6">
      <w:start w:val="1"/>
      <w:numFmt w:val="bullet"/>
      <w:isLgl w:val="false"/>
      <w:suff w:val="tab"/>
      <w:lvlText w:val=""/>
      <w:lvlJc w:val="left"/>
      <w:pPr>
        <w:ind w:left="5040" w:hanging="360"/>
        <w:tabs>
          <w:tab w:val="num" w:pos="5040" w:leader="none"/>
        </w:tabs>
      </w:pPr>
      <w:rPr>
        <w:rFonts w:ascii="Symbol" w:hAnsi="Symbol" w:hint="default"/>
      </w:rPr>
    </w:lvl>
    <w:lvl w:ilvl="7">
      <w:start w:val="1"/>
      <w:numFmt w:val="bullet"/>
      <w:isLgl w:val="false"/>
      <w:suff w:val="tab"/>
      <w:lvlText w:val="o"/>
      <w:lvlJc w:val="left"/>
      <w:pPr>
        <w:ind w:left="5760" w:hanging="360"/>
        <w:tabs>
          <w:tab w:val="num" w:pos="5760" w:leader="none"/>
        </w:tabs>
      </w:pPr>
      <w:rPr>
        <w:rFonts w:ascii="Courier New" w:hAnsi="Courier New" w:cs="Courier New" w:hint="default"/>
      </w:rPr>
    </w:lvl>
    <w:lvl w:ilvl="8">
      <w:start w:val="1"/>
      <w:numFmt w:val="bullet"/>
      <w:isLgl w:val="false"/>
      <w:suff w:val="tab"/>
      <w:lvlText w:val=""/>
      <w:lvlJc w:val="left"/>
      <w:pPr>
        <w:ind w:left="6480" w:hanging="360"/>
        <w:tabs>
          <w:tab w:val="num" w:pos="6480" w:leader="none"/>
        </w:tabs>
      </w:pPr>
      <w:rPr>
        <w:rFonts w:ascii="Wingdings" w:hAnsi="Wingdings" w:hint="default"/>
      </w:rPr>
    </w:lvl>
  </w:abstractNum>
  <w:abstractNum w:abstractNumId="40">
    <w:multiLevelType w:val="hybridMultilevel"/>
    <w:lvl w:ilvl="0">
      <w:start w:val="1"/>
      <w:numFmt w:val="decimal"/>
      <w:pStyle w:val="1009"/>
      <w:isLgl w:val="false"/>
      <w:suff w:val="tab"/>
      <w:lvlText w:val="%1."/>
      <w:lvlJc w:val="left"/>
      <w:pPr>
        <w:ind w:left="57" w:firstLine="0"/>
        <w:tabs>
          <w:tab w:val="num" w:pos="57" w:leader="none"/>
        </w:tabs>
      </w:pPr>
      <w:rPr>
        <w:rFonts w:ascii="Times New Roman" w:hAnsi="Times New Roman" w:cs="Times New Roman" w:hint="default"/>
        <w:b w:val="false"/>
        <w:bCs w:val="false"/>
        <w:i w:val="false"/>
        <w:iCs w:val="false"/>
        <w:caps w:val="false"/>
        <w:smallCaps w:val="false"/>
        <w:strike w:val="false"/>
        <w:vanish w:val="false"/>
        <w:spacing w:val="0"/>
        <w:position w:val="0"/>
        <w:sz w:val="22"/>
        <w:u w:val="none"/>
        <w:vertAlign w:val="baseline"/>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41">
    <w:multiLevelType w:val="hybridMultilevel"/>
    <w:lvl w:ilvl="0">
      <w:start w:val="1"/>
      <w:numFmt w:val="bullet"/>
      <w:pStyle w:val="1190"/>
      <w:isLgl w:val="false"/>
      <w:suff w:val="tab"/>
      <w:lvlText w:val=""/>
      <w:lvlJc w:val="left"/>
      <w:pPr>
        <w:ind w:left="464" w:hanging="284"/>
        <w:tabs>
          <w:tab w:val="num" w:pos="464" w:leader="none"/>
        </w:tabs>
      </w:pPr>
      <w:rPr>
        <w:rFonts w:ascii="ZapfDingbats" w:hAnsi="ZapfDingbats" w:cs="Times New Roman" w:hint="default"/>
        <w:sz w:val="32"/>
        <w:szCs w:val="32"/>
      </w:rPr>
    </w:lvl>
    <w:lvl w:ilvl="1">
      <w:start w:val="1"/>
      <w:numFmt w:val="bullet"/>
      <w:isLgl w:val="false"/>
      <w:suff w:val="tab"/>
      <w:lvlText w:val="o"/>
      <w:lvlJc w:val="left"/>
      <w:pPr>
        <w:ind w:left="1566" w:hanging="360"/>
        <w:tabs>
          <w:tab w:val="num" w:pos="1566" w:leader="none"/>
        </w:tabs>
      </w:pPr>
      <w:rPr>
        <w:rFonts w:ascii="Courier New" w:hAnsi="Courier New" w:cs="Courier New" w:hint="default"/>
      </w:rPr>
    </w:lvl>
    <w:lvl w:ilvl="2">
      <w:start w:val="1"/>
      <w:numFmt w:val="bullet"/>
      <w:isLgl w:val="false"/>
      <w:suff w:val="tab"/>
      <w:lvlText w:val=""/>
      <w:lvlJc w:val="left"/>
      <w:pPr>
        <w:ind w:left="2286" w:hanging="360"/>
        <w:tabs>
          <w:tab w:val="num" w:pos="2286" w:leader="none"/>
        </w:tabs>
      </w:pPr>
      <w:rPr>
        <w:rFonts w:ascii="Wingdings" w:hAnsi="Wingdings" w:hint="default"/>
      </w:rPr>
    </w:lvl>
    <w:lvl w:ilvl="3">
      <w:start w:val="1"/>
      <w:numFmt w:val="bullet"/>
      <w:isLgl w:val="false"/>
      <w:suff w:val="tab"/>
      <w:lvlText w:val=""/>
      <w:lvlJc w:val="left"/>
      <w:pPr>
        <w:ind w:left="3006" w:hanging="360"/>
        <w:tabs>
          <w:tab w:val="num" w:pos="3006" w:leader="none"/>
        </w:tabs>
      </w:pPr>
      <w:rPr>
        <w:rFonts w:ascii="Symbol" w:hAnsi="Symbol" w:hint="default"/>
      </w:rPr>
    </w:lvl>
    <w:lvl w:ilvl="4">
      <w:start w:val="1"/>
      <w:numFmt w:val="bullet"/>
      <w:isLgl w:val="false"/>
      <w:suff w:val="tab"/>
      <w:lvlText w:val="o"/>
      <w:lvlJc w:val="left"/>
      <w:pPr>
        <w:ind w:left="3726" w:hanging="360"/>
        <w:tabs>
          <w:tab w:val="num" w:pos="3726" w:leader="none"/>
        </w:tabs>
      </w:pPr>
      <w:rPr>
        <w:rFonts w:ascii="Courier New" w:hAnsi="Courier New" w:cs="Courier New" w:hint="default"/>
      </w:rPr>
    </w:lvl>
    <w:lvl w:ilvl="5">
      <w:start w:val="1"/>
      <w:numFmt w:val="bullet"/>
      <w:isLgl w:val="false"/>
      <w:suff w:val="tab"/>
      <w:lvlText w:val=""/>
      <w:lvlJc w:val="left"/>
      <w:pPr>
        <w:ind w:left="4446" w:hanging="360"/>
        <w:tabs>
          <w:tab w:val="num" w:pos="4446" w:leader="none"/>
        </w:tabs>
      </w:pPr>
      <w:rPr>
        <w:rFonts w:ascii="Wingdings" w:hAnsi="Wingdings" w:hint="default"/>
      </w:rPr>
    </w:lvl>
    <w:lvl w:ilvl="6">
      <w:start w:val="1"/>
      <w:numFmt w:val="bullet"/>
      <w:isLgl w:val="false"/>
      <w:suff w:val="tab"/>
      <w:lvlText w:val=""/>
      <w:lvlJc w:val="left"/>
      <w:pPr>
        <w:ind w:left="5166" w:hanging="360"/>
        <w:tabs>
          <w:tab w:val="num" w:pos="5166" w:leader="none"/>
        </w:tabs>
      </w:pPr>
      <w:rPr>
        <w:rFonts w:ascii="Symbol" w:hAnsi="Symbol" w:hint="default"/>
      </w:rPr>
    </w:lvl>
    <w:lvl w:ilvl="7">
      <w:start w:val="1"/>
      <w:numFmt w:val="bullet"/>
      <w:isLgl w:val="false"/>
      <w:suff w:val="tab"/>
      <w:lvlText w:val="o"/>
      <w:lvlJc w:val="left"/>
      <w:pPr>
        <w:ind w:left="5886" w:hanging="360"/>
        <w:tabs>
          <w:tab w:val="num" w:pos="5886" w:leader="none"/>
        </w:tabs>
      </w:pPr>
      <w:rPr>
        <w:rFonts w:ascii="Courier New" w:hAnsi="Courier New" w:cs="Courier New" w:hint="default"/>
      </w:rPr>
    </w:lvl>
    <w:lvl w:ilvl="8">
      <w:start w:val="1"/>
      <w:numFmt w:val="bullet"/>
      <w:isLgl w:val="false"/>
      <w:suff w:val="tab"/>
      <w:lvlText w:val=""/>
      <w:lvlJc w:val="left"/>
      <w:pPr>
        <w:ind w:left="6606" w:hanging="360"/>
        <w:tabs>
          <w:tab w:val="num" w:pos="6606" w:leader="none"/>
        </w:tabs>
      </w:pPr>
      <w:rPr>
        <w:rFonts w:ascii="Wingdings" w:hAnsi="Wingdings" w:hint="default"/>
      </w:rPr>
    </w:lvl>
  </w:abstractNum>
  <w:num w:numId="1">
    <w:abstractNumId w:val="11"/>
  </w:num>
  <w:num w:numId="2">
    <w:abstractNumId w:val="22"/>
  </w:num>
  <w:num w:numId="3">
    <w:abstractNumId w:val="41"/>
  </w:num>
  <w:num w:numId="4">
    <w:abstractNumId w:val="27"/>
  </w:num>
  <w:num w:numId="5">
    <w:abstractNumId w:val="25"/>
  </w:num>
  <w:num w:numId="6">
    <w:abstractNumId w:val="18"/>
  </w:num>
  <w:num w:numId="7">
    <w:abstractNumId w:val="35"/>
  </w:num>
  <w:num w:numId="8">
    <w:abstractNumId w:val="10"/>
  </w:num>
  <w:num w:numId="9">
    <w:abstractNumId w:val="21"/>
  </w:num>
  <w:num w:numId="10">
    <w:abstractNumId w:val="12"/>
  </w:num>
  <w:num w:numId="11">
    <w:abstractNumId w:val="23"/>
  </w:num>
  <w:num w:numId="12">
    <w:abstractNumId w:val="33"/>
  </w:num>
  <w:num w:numId="13">
    <w:abstractNumId w:val="15"/>
  </w:num>
  <w:num w:numId="14">
    <w:abstractNumId w:val="38"/>
  </w:num>
  <w:num w:numId="15">
    <w:abstractNumId w:val="13"/>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0"/>
    <w:lvlOverride w:ilvl="0">
      <w:startOverride w:val="1"/>
    </w:lvlOverride>
  </w:num>
  <w:num w:numId="93">
    <w:abstractNumId w:val="40"/>
    <w:lvlOverride w:ilvl="0">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6"/>
  </w:num>
  <w:num w:numId="98">
    <w:abstractNumId w:val="39"/>
  </w:num>
  <w:num w:numId="99">
    <w:abstractNumId w:val="28"/>
  </w:num>
  <w:num w:numId="100">
    <w:abstractNumId w:val="20"/>
  </w:num>
  <w:num w:numId="101">
    <w:abstractNumId w:val="29"/>
  </w:num>
  <w:num w:numId="102">
    <w:abstractNumId w:val="24"/>
  </w:num>
  <w:num w:numId="103">
    <w:abstractNumId w:val="32"/>
  </w:num>
  <w:num w:numId="104">
    <w:abstractNumId w:val="34"/>
  </w:num>
  <w:num w:numId="105">
    <w:abstractNumId w:val="14"/>
  </w:num>
  <w:num w:numId="106">
    <w:abstractNumId w:val="26"/>
  </w:num>
  <w:num w:numId="107">
    <w:abstractNumId w:val="19"/>
  </w:num>
  <w:num w:numId="108">
    <w:abstractNumId w:val="31"/>
  </w:num>
  <w:num w:numId="109">
    <w:abstractNumId w:val="30"/>
  </w:num>
  <w:num w:numId="110">
    <w:abstractNumId w:val="37"/>
  </w:num>
  <w:num w:numId="111">
    <w:abstractNumId w:val="9"/>
  </w:num>
  <w:num w:numId="112">
    <w:abstractNumId w:val="7"/>
  </w:num>
  <w:num w:numId="113">
    <w:abstractNumId w:val="6"/>
  </w:num>
  <w:num w:numId="114">
    <w:abstractNumId w:val="5"/>
  </w:num>
  <w:num w:numId="115">
    <w:abstractNumId w:val="4"/>
  </w:num>
  <w:num w:numId="116">
    <w:abstractNumId w:val="3"/>
  </w:num>
  <w:num w:numId="117">
    <w:abstractNumId w:val="2"/>
  </w:num>
  <w:num w:numId="118">
    <w:abstractNumId w:val="1"/>
  </w:num>
  <w:num w:numId="119">
    <w:abstractNumId w:val="0"/>
  </w:num>
  <w:num w:numId="120">
    <w:abstractNumId w:val="8"/>
  </w:num>
  <w:num w:numId="121">
    <w:abstractNumId w:val="17"/>
  </w:num>
  <w:num w:numId="122">
    <w:abstractNumId w:val="40"/>
    <w:lvlOverride w:ilvl="0">
      <w:startOverride w:val="1"/>
    </w:lvlOverride>
  </w:num>
  <w:num w:numId="1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40"/>
    <w:lvlOverride w:ilvl="0">
      <w:startOverride w:val="1"/>
    </w:lvlOverride>
  </w:num>
  <w:num w:numId="1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39"/>
  </w:num>
  <w:num w:numId="128">
    <w:abstractNumId w:val="28"/>
  </w:num>
  <w:num w:numId="1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3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3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39"/>
  </w:num>
  <w:num w:numId="133">
    <w:abstractNumId w:val="28"/>
  </w:num>
  <w:num w:numId="1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6"/>
  </w:num>
  <w:num w:numId="137">
    <w:abstractNumId w:val="3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4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113"/>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decimalSymbol w:val=","/>
  <w:listSeparator w:va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bidi="ar-SA" w:eastAsia="ru-RU"/>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2">
    <w:name w:val="Heading 1 Char"/>
    <w:basedOn w:val="979"/>
    <w:link w:val="970"/>
    <w:uiPriority w:val="9"/>
    <w:rPr>
      <w:rFonts w:ascii="Arial" w:hAnsi="Arial" w:cs="Arial" w:eastAsia="Arial"/>
      <w:sz w:val="40"/>
      <w:szCs w:val="40"/>
    </w:rPr>
  </w:style>
  <w:style w:type="character" w:styleId="14">
    <w:name w:val="Heading 2 Char"/>
    <w:basedOn w:val="979"/>
    <w:link w:val="971"/>
    <w:uiPriority w:val="9"/>
    <w:rPr>
      <w:rFonts w:ascii="Arial" w:hAnsi="Arial" w:cs="Arial" w:eastAsia="Arial"/>
      <w:sz w:val="34"/>
    </w:rPr>
  </w:style>
  <w:style w:type="character" w:styleId="16">
    <w:name w:val="Heading 3 Char"/>
    <w:basedOn w:val="979"/>
    <w:link w:val="972"/>
    <w:uiPriority w:val="9"/>
    <w:rPr>
      <w:rFonts w:ascii="Arial" w:hAnsi="Arial" w:cs="Arial" w:eastAsia="Arial"/>
      <w:sz w:val="30"/>
      <w:szCs w:val="30"/>
    </w:rPr>
  </w:style>
  <w:style w:type="character" w:styleId="18">
    <w:name w:val="Heading 4 Char"/>
    <w:basedOn w:val="979"/>
    <w:link w:val="973"/>
    <w:uiPriority w:val="9"/>
    <w:rPr>
      <w:rFonts w:ascii="Arial" w:hAnsi="Arial" w:cs="Arial" w:eastAsia="Arial"/>
      <w:b/>
      <w:bCs/>
      <w:sz w:val="26"/>
      <w:szCs w:val="26"/>
    </w:rPr>
  </w:style>
  <w:style w:type="character" w:styleId="20">
    <w:name w:val="Heading 5 Char"/>
    <w:basedOn w:val="979"/>
    <w:link w:val="974"/>
    <w:uiPriority w:val="9"/>
    <w:rPr>
      <w:rFonts w:ascii="Arial" w:hAnsi="Arial" w:cs="Arial" w:eastAsia="Arial"/>
      <w:b/>
      <w:bCs/>
      <w:sz w:val="24"/>
      <w:szCs w:val="24"/>
    </w:rPr>
  </w:style>
  <w:style w:type="character" w:styleId="22">
    <w:name w:val="Heading 6 Char"/>
    <w:basedOn w:val="979"/>
    <w:link w:val="975"/>
    <w:uiPriority w:val="9"/>
    <w:rPr>
      <w:rFonts w:ascii="Arial" w:hAnsi="Arial" w:cs="Arial" w:eastAsia="Arial"/>
      <w:b/>
      <w:bCs/>
      <w:sz w:val="22"/>
      <w:szCs w:val="22"/>
    </w:rPr>
  </w:style>
  <w:style w:type="character" w:styleId="24">
    <w:name w:val="Heading 7 Char"/>
    <w:basedOn w:val="979"/>
    <w:link w:val="976"/>
    <w:uiPriority w:val="9"/>
    <w:rPr>
      <w:rFonts w:ascii="Arial" w:hAnsi="Arial" w:cs="Arial" w:eastAsia="Arial"/>
      <w:b/>
      <w:bCs/>
      <w:i/>
      <w:iCs/>
      <w:sz w:val="22"/>
      <w:szCs w:val="22"/>
    </w:rPr>
  </w:style>
  <w:style w:type="character" w:styleId="26">
    <w:name w:val="Heading 8 Char"/>
    <w:basedOn w:val="979"/>
    <w:link w:val="977"/>
    <w:uiPriority w:val="9"/>
    <w:rPr>
      <w:rFonts w:ascii="Arial" w:hAnsi="Arial" w:cs="Arial" w:eastAsia="Arial"/>
      <w:i/>
      <w:iCs/>
      <w:sz w:val="22"/>
      <w:szCs w:val="22"/>
    </w:rPr>
  </w:style>
  <w:style w:type="character" w:styleId="28">
    <w:name w:val="Heading 9 Char"/>
    <w:basedOn w:val="979"/>
    <w:link w:val="978"/>
    <w:uiPriority w:val="9"/>
    <w:rPr>
      <w:rFonts w:ascii="Arial" w:hAnsi="Arial" w:cs="Arial" w:eastAsia="Arial"/>
      <w:i/>
      <w:iCs/>
      <w:sz w:val="21"/>
      <w:szCs w:val="21"/>
    </w:rPr>
  </w:style>
  <w:style w:type="character" w:styleId="33">
    <w:name w:val="Title Char"/>
    <w:basedOn w:val="979"/>
    <w:link w:val="1137"/>
    <w:uiPriority w:val="10"/>
    <w:rPr>
      <w:sz w:val="48"/>
      <w:szCs w:val="48"/>
    </w:rPr>
  </w:style>
  <w:style w:type="character" w:styleId="35">
    <w:name w:val="Subtitle Char"/>
    <w:basedOn w:val="979"/>
    <w:link w:val="1049"/>
    <w:uiPriority w:val="11"/>
    <w:rPr>
      <w:sz w:val="24"/>
      <w:szCs w:val="24"/>
    </w:rPr>
  </w:style>
  <w:style w:type="character" w:styleId="37">
    <w:name w:val="Quote Char"/>
    <w:link w:val="1389"/>
    <w:uiPriority w:val="29"/>
    <w:rPr>
      <w:i/>
    </w:rPr>
  </w:style>
  <w:style w:type="character" w:styleId="39">
    <w:name w:val="Intense Quote Char"/>
    <w:link w:val="1391"/>
    <w:uiPriority w:val="30"/>
    <w:rPr>
      <w:i/>
    </w:rPr>
  </w:style>
  <w:style w:type="character" w:styleId="41">
    <w:name w:val="Header Char"/>
    <w:basedOn w:val="979"/>
    <w:link w:val="989"/>
    <w:uiPriority w:val="99"/>
  </w:style>
  <w:style w:type="character" w:styleId="43">
    <w:name w:val="Footer Char"/>
    <w:basedOn w:val="979"/>
    <w:link w:val="1155"/>
    <w:uiPriority w:val="99"/>
  </w:style>
  <w:style w:type="character" w:styleId="45">
    <w:name w:val="Caption Char"/>
    <w:basedOn w:val="1019"/>
    <w:link w:val="1155"/>
    <w:uiPriority w:val="99"/>
  </w:style>
  <w:style w:type="table" w:styleId="47">
    <w:name w:val="Table Grid Light"/>
    <w:basedOn w:val="98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98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themeFill="text1" w:themeFillTint="0D" w:themeColor="text1" w:themeTint="0D"/>
      </w:tcPr>
    </w:tblStylePr>
    <w:tblStylePr w:type="band1Vert">
      <w:tcPr>
        <w:shd w:val="clear" w:color="FFFFFF" w:themeFill="text1" w:themeFillTint="0D" w:themeColor="text1" w:theme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980"/>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98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themeFill="text1" w:themeFillTint="0D" w:themeColor="text1" w:themeTint="0D"/>
      </w:tcPr>
    </w:tblStylePr>
    <w:tblStylePr w:type="band1Vert">
      <w:rPr>
        <w:rFonts w:ascii="Arial" w:hAnsi="Arial"/>
        <w:color w:val="404040"/>
        <w:sz w:val="22"/>
      </w:rPr>
      <w:tcPr>
        <w:shd w:val="clear" w:color="FFFFFF" w:themeFill="text1" w:themeFillTint="0D" w:themeColor="text1" w:theme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98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themeFill="text1" w:themeFillTint="0D" w:themeColor="text1" w:themeTint="0D"/>
      </w:tcPr>
    </w:tblStylePr>
    <w:tblStylePr w:type="band1Vert">
      <w:rPr>
        <w:rFonts w:ascii="Arial" w:hAnsi="Arial"/>
        <w:color w:val="404040"/>
        <w:sz w:val="22"/>
      </w:rPr>
      <w:tcPr>
        <w:shd w:val="clear" w:color="FFFFFF" w:themeFill="text1" w:themeFillTint="0D" w:themeColor="text1" w:theme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98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themeFill="text1" w:themeFillTint="0D" w:themeColor="text1" w:themeTint="0D"/>
      </w:tcPr>
    </w:tblStylePr>
    <w:tblStylePr w:type="band1Vert">
      <w:rPr>
        <w:rFonts w:ascii="Arial" w:hAnsi="Arial"/>
        <w:color w:val="404040"/>
        <w:sz w:val="22"/>
      </w:rPr>
      <w:tcPr>
        <w:shd w:val="clear" w:color="FFFFFF" w:themeFill="text1" w:themeFillTint="0D" w:themeColor="text1" w:theme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right w:val="none" w:color="000000" w:sz="4" w:space="0"/>
          <w:bottom w:val="single" w:color="40404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left w:val="none" w:color="000000" w:sz="4" w:space="0"/>
          <w:top w:val="single" w:color="404040" w:sz="4" w:space="0"/>
          <w:right w:val="none" w:color="000000" w:sz="4" w:space="0"/>
        </w:tcBorders>
      </w:tcPr>
    </w:tblStylePr>
  </w:style>
  <w:style w:type="table" w:styleId="53">
    <w:name w:val="Grid Table 1 Light"/>
    <w:basedOn w:val="980"/>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98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98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98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98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98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98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98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themeFill="text1" w:themeFillTint="34" w:themeColor="text1" w:themeTint="34"/>
      </w:tcPr>
    </w:tblStylePr>
    <w:tblStylePr w:type="band1Vert">
      <w:rPr>
        <w:rFonts w:ascii="Arial" w:hAnsi="Arial"/>
        <w:color w:val="404040"/>
        <w:sz w:val="22"/>
      </w:rPr>
      <w:tcPr>
        <w:shd w:val="clear" w:color="FFFFFF" w:themeFill="text1" w:themeFillTint="34" w:themeColor="text1"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98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themeFill="accent1" w:themeFillTint="34" w:themeColor="accent1" w:themeTint="34"/>
      </w:tcPr>
    </w:tblStylePr>
    <w:tblStylePr w:type="band1Vert">
      <w:rPr>
        <w:rFonts w:ascii="Arial" w:hAnsi="Arial"/>
        <w:color w:val="404040"/>
        <w:sz w:val="22"/>
      </w:rPr>
      <w:tcPr>
        <w:shd w:val="clear" w:color="FFFFFF" w:themeFill="accent1" w:themeFillTint="34" w:themeColor="accent1"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98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themeFill="accent2" w:themeFillTint="32" w:themeColor="accent2" w:themeTint="32"/>
      </w:tcPr>
    </w:tblStylePr>
    <w:tblStylePr w:type="band1Vert">
      <w:rPr>
        <w:rFonts w:ascii="Arial" w:hAnsi="Arial"/>
        <w:color w:val="404040"/>
        <w:sz w:val="22"/>
      </w:rPr>
      <w:tcPr>
        <w:shd w:val="clear" w:color="FFFFFF" w:themeFill="accent2" w:themeFillTint="32" w:themeColor="accent2" w:themeTint="32"/>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98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themeFill="accent3" w:themeFillTint="34" w:themeColor="accent3" w:themeTint="34"/>
      </w:tcPr>
    </w:tblStylePr>
    <w:tblStylePr w:type="band1Vert">
      <w:rPr>
        <w:rFonts w:ascii="Arial" w:hAnsi="Arial"/>
        <w:color w:val="404040"/>
        <w:sz w:val="22"/>
      </w:rPr>
      <w:tcPr>
        <w:shd w:val="clear" w:color="FFFFFF" w:themeFill="accent3" w:themeFillTint="34" w:themeColor="accent3"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98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themeFill="accent4" w:themeFillTint="34" w:themeColor="accent4" w:themeTint="34"/>
      </w:tcPr>
    </w:tblStylePr>
    <w:tblStylePr w:type="band1Vert">
      <w:rPr>
        <w:rFonts w:ascii="Arial" w:hAnsi="Arial"/>
        <w:color w:val="404040"/>
        <w:sz w:val="22"/>
      </w:rPr>
      <w:tcPr>
        <w:shd w:val="clear" w:color="FFFFFF" w:themeFill="accent4" w:themeFillTint="34" w:themeColor="accent4"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98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themeFill="accent5" w:themeFillTint="34" w:themeColor="accent5" w:themeTint="34"/>
      </w:tcPr>
    </w:tblStylePr>
    <w:tblStylePr w:type="band1Vert">
      <w:rPr>
        <w:rFonts w:ascii="Arial" w:hAnsi="Arial"/>
        <w:color w:val="404040"/>
        <w:sz w:val="22"/>
      </w:rPr>
      <w:tcPr>
        <w:shd w:val="clear" w:color="FFFFFF" w:themeFill="accent5" w:themeFillTint="34" w:themeColor="accent5"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98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themeFill="accent6" w:themeFillTint="34" w:themeColor="accent6" w:themeTint="34"/>
      </w:tcPr>
    </w:tblStylePr>
    <w:tblStylePr w:type="band1Vert">
      <w:rPr>
        <w:rFonts w:ascii="Arial" w:hAnsi="Arial"/>
        <w:color w:val="404040"/>
        <w:sz w:val="22"/>
      </w:rPr>
      <w:tcPr>
        <w:shd w:val="clear" w:color="FFFFFF" w:themeFill="accent6" w:themeFillTint="34" w:themeColor="accent6" w:themeTint="34"/>
      </w:tcPr>
    </w:tblStylePr>
    <w:tblStylePr w:type="firstCol">
      <w:rPr>
        <w:b/>
        <w:color w:val="404040"/>
      </w:rPr>
    </w:tblStylePr>
    <w:tblStylePr w:type="firstRow">
      <w:rPr>
        <w:b/>
        <w:color w:val="404040"/>
      </w:rPr>
      <w:tcPr>
        <w:shd w:val="clear"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98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themeFill="text1" w:themeFillTint="34" w:themeColor="text1" w:themeTint="34"/>
      </w:tcPr>
    </w:tblStylePr>
    <w:tblStylePr w:type="band1Vert">
      <w:rPr>
        <w:rFonts w:ascii="Arial" w:hAnsi="Arial"/>
        <w:color w:val="404040"/>
        <w:sz w:val="22"/>
      </w:rPr>
      <w:tcPr>
        <w:shd w:val="clear" w:color="FFFFFF" w:themeFill="text1" w:themeFillTint="34" w:themeColor="text1"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98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themeFill="accent1" w:themeFillTint="34" w:themeColor="accent1" w:themeTint="34"/>
      </w:tcPr>
    </w:tblStylePr>
    <w:tblStylePr w:type="band1Vert">
      <w:rPr>
        <w:rFonts w:ascii="Arial" w:hAnsi="Arial"/>
        <w:color w:val="404040"/>
        <w:sz w:val="22"/>
      </w:rPr>
      <w:tcPr>
        <w:shd w:val="clear" w:color="FFFFFF" w:themeFill="accent1" w:themeFillTint="34" w:themeColor="accent1"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98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themeFill="accent2" w:themeFillTint="32" w:themeColor="accent2" w:themeTint="32"/>
      </w:tcPr>
    </w:tblStylePr>
    <w:tblStylePr w:type="band1Vert">
      <w:rPr>
        <w:rFonts w:ascii="Arial" w:hAnsi="Arial"/>
        <w:color w:val="404040"/>
        <w:sz w:val="22"/>
      </w:rPr>
      <w:tcPr>
        <w:shd w:val="clear" w:color="FFFFFF" w:themeFill="accent2" w:themeFillTint="32" w:themeColor="accent2" w:themeTint="32"/>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98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themeFill="accent3" w:themeFillTint="34" w:themeColor="accent3" w:themeTint="34"/>
      </w:tcPr>
    </w:tblStylePr>
    <w:tblStylePr w:type="band1Vert">
      <w:rPr>
        <w:rFonts w:ascii="Arial" w:hAnsi="Arial"/>
        <w:color w:val="404040"/>
        <w:sz w:val="22"/>
      </w:rPr>
      <w:tcPr>
        <w:shd w:val="clear" w:color="FFFFFF" w:themeFill="accent3" w:themeFillTint="34" w:themeColor="accent3"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98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themeFill="accent4" w:themeFillTint="34" w:themeColor="accent4" w:themeTint="34"/>
      </w:tcPr>
    </w:tblStylePr>
    <w:tblStylePr w:type="band1Vert">
      <w:rPr>
        <w:rFonts w:ascii="Arial" w:hAnsi="Arial"/>
        <w:color w:val="404040"/>
        <w:sz w:val="22"/>
      </w:rPr>
      <w:tcPr>
        <w:shd w:val="clear" w:color="FFFFFF" w:themeFill="accent4" w:themeFillTint="34" w:themeColor="accent4"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98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themeFill="accent5" w:themeFillTint="34" w:themeColor="accent5" w:themeTint="34"/>
      </w:tcPr>
    </w:tblStylePr>
    <w:tblStylePr w:type="band1Vert">
      <w:rPr>
        <w:rFonts w:ascii="Arial" w:hAnsi="Arial"/>
        <w:color w:val="404040"/>
        <w:sz w:val="22"/>
      </w:rPr>
      <w:tcPr>
        <w:shd w:val="clear" w:color="FFFFFF" w:themeFill="accent5" w:themeFillTint="34" w:themeColor="accent5"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98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themeFill="accent6" w:themeFillTint="34" w:themeColor="accent6" w:themeTint="34"/>
      </w:tcPr>
    </w:tblStylePr>
    <w:tblStylePr w:type="band1Vert">
      <w:rPr>
        <w:rFonts w:ascii="Arial" w:hAnsi="Arial"/>
        <w:color w:val="404040"/>
        <w:sz w:val="22"/>
      </w:rPr>
      <w:tcPr>
        <w:shd w:val="clear" w:color="FFFFFF" w:themeFill="accent6" w:themeFillTint="34" w:themeColor="accent6" w:themeTint="34"/>
      </w:tcPr>
    </w:tblStylePr>
    <w:tblStylePr w:type="firstCol">
      <w:rPr>
        <w:i/>
        <w:color w:val="404040"/>
      </w:rPr>
      <w:pPr>
        <w:jc w:val="right"/>
      </w:pPr>
      <w:tcPr>
        <w:shd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980"/>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themeFill="text1" w:themeFillTint="34" w:themeColor="text1" w:themeTint="34"/>
      </w:tcPr>
    </w:tblStylePr>
    <w:tblStylePr w:type="band1Vert">
      <w:rPr>
        <w:rFonts w:ascii="Arial" w:hAnsi="Arial"/>
        <w:color w:val="404040"/>
        <w:sz w:val="22"/>
      </w:rPr>
      <w:tcPr>
        <w:shd w:val="clear" w:color="FFFFFF" w:themeFill="text1" w:themeFillTint="34" w:themeColor="text1" w:themeTint="34"/>
      </w:tcPr>
    </w:tblStylePr>
    <w:tblStylePr w:type="firstCol">
      <w:rPr>
        <w:b/>
        <w:color w:val="404040"/>
      </w:rPr>
    </w:tblStylePr>
    <w:tblStylePr w:type="firstRow">
      <w:rPr>
        <w:rFonts w:ascii="Arial" w:hAnsi="Arial"/>
        <w:b/>
        <w:color w:val="FFFFFF"/>
        <w:sz w:val="22"/>
      </w:rPr>
      <w:tcPr>
        <w:shd w:val="clear" w:color="FFFFFF" w:themeFill="text1" w:themeColor="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980"/>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themeFill="accent1" w:themeFillTint="32" w:themeColor="accent1" w:themeTint="32"/>
      </w:tcPr>
    </w:tblStylePr>
    <w:tblStylePr w:type="band1Vert">
      <w:rPr>
        <w:rFonts w:ascii="Arial" w:hAnsi="Arial"/>
        <w:color w:val="404040"/>
        <w:sz w:val="22"/>
      </w:rPr>
      <w:tcPr>
        <w:shd w:val="clear" w:color="FFFFFF" w:themeFill="accent1" w:themeFillTint="32" w:themeColor="accent1" w:themeTint="32"/>
      </w:tcPr>
    </w:tblStylePr>
    <w:tblStylePr w:type="firstCol">
      <w:rPr>
        <w:b/>
        <w:color w:val="404040"/>
      </w:rPr>
    </w:tblStylePr>
    <w:tblStylePr w:type="firstRow">
      <w:rPr>
        <w:rFonts w:ascii="Arial" w:hAnsi="Arial"/>
        <w:b/>
        <w:color w:val="FFFFFF"/>
        <w:sz w:val="22"/>
      </w:rPr>
      <w:tcPr>
        <w:shd w:val="clear" w:color="FFFFFF" w:themeFill="accent1" w:themeFillTint="EA" w:themeColor="accent1" w:theme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980"/>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themeFill="accent2" w:themeFillTint="32" w:themeColor="accent2" w:themeTint="32"/>
      </w:tcPr>
    </w:tblStylePr>
    <w:tblStylePr w:type="band1Vert">
      <w:rPr>
        <w:rFonts w:ascii="Arial" w:hAnsi="Arial"/>
        <w:color w:val="404040"/>
        <w:sz w:val="22"/>
      </w:rPr>
      <w:tcPr>
        <w:shd w:val="clear" w:color="FFFFFF" w:themeFill="accent2" w:themeFillTint="32" w:themeColor="accent2" w:themeTint="32"/>
      </w:tcPr>
    </w:tblStylePr>
    <w:tblStylePr w:type="firstCol">
      <w:rPr>
        <w:b/>
        <w:color w:val="404040"/>
      </w:rPr>
    </w:tblStylePr>
    <w:tblStylePr w:type="firstRow">
      <w:rPr>
        <w:rFonts w:ascii="Arial" w:hAnsi="Arial"/>
        <w:b/>
        <w:color w:val="FFFFFF"/>
        <w:sz w:val="22"/>
      </w:rPr>
      <w:tcPr>
        <w:shd w:val="clear" w:color="FFFFFF" w:themeFill="accent2" w:themeFillTint="97" w:themeColor="accent2" w:theme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980"/>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themeFill="accent3" w:themeFillTint="34" w:themeColor="accent3" w:themeTint="34"/>
      </w:tcPr>
    </w:tblStylePr>
    <w:tblStylePr w:type="band1Vert">
      <w:rPr>
        <w:rFonts w:ascii="Arial" w:hAnsi="Arial"/>
        <w:color w:val="404040"/>
        <w:sz w:val="22"/>
      </w:rPr>
      <w:tcPr>
        <w:shd w:val="clear" w:color="FFFFFF" w:themeFill="accent3" w:themeFillTint="34" w:themeColor="accent3" w:themeTint="34"/>
      </w:tcPr>
    </w:tblStylePr>
    <w:tblStylePr w:type="firstCol">
      <w:rPr>
        <w:b/>
        <w:color w:val="404040"/>
      </w:rPr>
    </w:tblStylePr>
    <w:tblStylePr w:type="firstRow">
      <w:rPr>
        <w:rFonts w:ascii="Arial" w:hAnsi="Arial"/>
        <w:b/>
        <w:color w:val="FFFFFF"/>
        <w:sz w:val="22"/>
      </w:rPr>
      <w:tcPr>
        <w:shd w:val="clear" w:color="FFFFFF" w:themeFill="accent3" w:themeFillTint="FE" w:themeColor="accent3" w:theme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980"/>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themeFill="accent4" w:themeFillTint="34" w:themeColor="accent4" w:themeTint="34"/>
      </w:tcPr>
    </w:tblStylePr>
    <w:tblStylePr w:type="band1Vert">
      <w:rPr>
        <w:rFonts w:ascii="Arial" w:hAnsi="Arial"/>
        <w:color w:val="404040"/>
        <w:sz w:val="22"/>
      </w:rPr>
      <w:tcPr>
        <w:shd w:val="clear" w:color="FFFFFF" w:themeFill="accent4" w:themeFillTint="34" w:themeColor="accent4" w:themeTint="34"/>
      </w:tcPr>
    </w:tblStylePr>
    <w:tblStylePr w:type="firstCol">
      <w:rPr>
        <w:b/>
        <w:color w:val="404040"/>
      </w:rPr>
    </w:tblStylePr>
    <w:tblStylePr w:type="firstRow">
      <w:rPr>
        <w:rFonts w:ascii="Arial" w:hAnsi="Arial"/>
        <w:b/>
        <w:color w:val="FFFFFF"/>
        <w:sz w:val="22"/>
      </w:rPr>
      <w:tcPr>
        <w:shd w:val="clear" w:color="FFFFFF" w:themeFill="accent4" w:themeFillTint="9A" w:themeColor="accent4" w:theme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980"/>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themeFill="accent5" w:themeFillTint="34" w:themeColor="accent5" w:themeTint="34"/>
      </w:tcPr>
    </w:tblStylePr>
    <w:tblStylePr w:type="band1Vert">
      <w:rPr>
        <w:rFonts w:ascii="Arial" w:hAnsi="Arial"/>
        <w:color w:val="404040"/>
        <w:sz w:val="22"/>
      </w:rPr>
      <w:tcPr>
        <w:shd w:val="clear" w:color="FFFFFF" w:themeFill="accent5" w:themeFillTint="34" w:themeColor="accent5" w:themeTint="34"/>
      </w:tcPr>
    </w:tblStylePr>
    <w:tblStylePr w:type="firstCol">
      <w:rPr>
        <w:b/>
        <w:color w:val="404040"/>
      </w:rPr>
    </w:tblStylePr>
    <w:tblStylePr w:type="firstRow">
      <w:rPr>
        <w:rFonts w:ascii="Arial" w:hAnsi="Arial"/>
        <w:b/>
        <w:color w:val="FFFFFF"/>
        <w:sz w:val="22"/>
      </w:rPr>
      <w:tcPr>
        <w:shd w:val="clear" w:color="FFFFFF" w:themeFill="accent5" w:themeColor="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980"/>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themeFill="accent6" w:themeFillTint="34" w:themeColor="accent6" w:themeTint="34"/>
      </w:tcPr>
    </w:tblStylePr>
    <w:tblStylePr w:type="band1Vert">
      <w:rPr>
        <w:rFonts w:ascii="Arial" w:hAnsi="Arial"/>
        <w:color w:val="404040"/>
        <w:sz w:val="22"/>
      </w:rPr>
      <w:tcPr>
        <w:shd w:val="clear" w:color="FFFFFF" w:themeFill="accent6" w:themeFillTint="34" w:themeColor="accent6" w:themeTint="34"/>
      </w:tcPr>
    </w:tblStylePr>
    <w:tblStylePr w:type="firstCol">
      <w:rPr>
        <w:b/>
        <w:color w:val="404040"/>
      </w:rPr>
    </w:tblStylePr>
    <w:tblStylePr w:type="firstRow">
      <w:rPr>
        <w:rFonts w:ascii="Arial" w:hAnsi="Arial"/>
        <w:b/>
        <w:color w:val="FFFFFF"/>
        <w:sz w:val="22"/>
      </w:rPr>
      <w:tcPr>
        <w:shd w:val="clear" w:color="FFFFFF" w:themeFill="accent6" w:themeColor="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98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Fill="text1" w:themeFillTint="40" w:themeColor="text1" w:themeTint="40"/>
    </w:tblPr>
    <w:tblStylePr w:type="band1Horz">
      <w:tcPr>
        <w:shd w:val="clear" w:color="FFFFFF" w:themeFill="text1" w:themeFillTint="75" w:themeColor="text1" w:themeTint="75"/>
      </w:tcPr>
    </w:tblStylePr>
    <w:tblStylePr w:type="band1Vert">
      <w:tcPr>
        <w:shd w:val="clear" w:color="FFFFFF" w:themeFill="text1" w:themeFillTint="75" w:themeColor="text1" w:themeTint="75"/>
      </w:tcPr>
    </w:tblStylePr>
    <w:tblStylePr w:type="firstCol">
      <w:rPr>
        <w:rFonts w:ascii="Arial" w:hAnsi="Arial"/>
        <w:b/>
        <w:color w:val="FFFFFF"/>
        <w:sz w:val="22"/>
      </w:rPr>
      <w:tcPr>
        <w:shd w:val="clear" w:color="FFFFFF" w:themeFill="text1" w:themeColor="text1"/>
      </w:tcPr>
    </w:tblStylePr>
    <w:tblStylePr w:type="firstRow">
      <w:rPr>
        <w:rFonts w:ascii="Arial" w:hAnsi="Arial"/>
        <w:b/>
        <w:color w:val="FFFFFF"/>
        <w:sz w:val="22"/>
      </w:rPr>
      <w:tcPr>
        <w:shd w:val="clear" w:color="FFFFFF" w:themeFill="text1" w:themeColor="text1"/>
      </w:tcPr>
    </w:tblStylePr>
    <w:tblStylePr w:type="lastCol">
      <w:rPr>
        <w:rFonts w:ascii="Arial" w:hAnsi="Arial"/>
        <w:b/>
        <w:color w:val="FFFFFF"/>
        <w:sz w:val="22"/>
      </w:rPr>
      <w:tcPr>
        <w:shd w:val="clear" w:color="FFFFFF" w:themeFill="text1" w:themeColor="text1"/>
      </w:tcPr>
    </w:tblStylePr>
    <w:tblStylePr w:type="lastRow">
      <w:rPr>
        <w:rFonts w:ascii="Arial" w:hAnsi="Arial"/>
        <w:b/>
        <w:color w:val="FFFFFF"/>
        <w:sz w:val="22"/>
      </w:rPr>
      <w:tcPr>
        <w:shd w:val="clear" w:color="FFFFFF" w:themeFill="text1" w:themeColor="text1"/>
        <w:tcBorders>
          <w:top w:val="single" w:color="000000" w:sz="4" w:space="0" w:themeColor="light1"/>
        </w:tcBorders>
      </w:tcPr>
    </w:tblStylePr>
  </w:style>
  <w:style w:type="table" w:styleId="82">
    <w:name w:val="Grid Table 5 Dark- Accent 1"/>
    <w:basedOn w:val="98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Fill="accent1" w:themeFillTint="34" w:themeColor="accent1" w:themeTint="34"/>
    </w:tblPr>
    <w:tblStylePr w:type="band1Horz">
      <w:tcPr>
        <w:shd w:val="clear" w:color="FFFFFF" w:themeFill="accent1" w:themeFillTint="75" w:themeColor="accent1" w:themeTint="75"/>
      </w:tcPr>
    </w:tblStylePr>
    <w:tblStylePr w:type="band1Vert">
      <w:tcPr>
        <w:shd w:val="clear" w:color="FFFFFF" w:themeFill="accent1" w:themeFillTint="75" w:themeColor="accent1" w:themeTint="75"/>
      </w:tcPr>
    </w:tblStylePr>
    <w:tblStylePr w:type="firstCol">
      <w:rPr>
        <w:rFonts w:ascii="Arial" w:hAnsi="Arial"/>
        <w:b/>
        <w:color w:val="FFFFFF"/>
        <w:sz w:val="22"/>
      </w:rPr>
      <w:tcPr>
        <w:shd w:val="clear" w:color="FFFFFF" w:themeFill="accent1" w:themeColor="accent1"/>
      </w:tcPr>
    </w:tblStylePr>
    <w:tblStylePr w:type="firstRow">
      <w:rPr>
        <w:rFonts w:ascii="Arial" w:hAnsi="Arial"/>
        <w:b/>
        <w:color w:val="FFFFFF"/>
        <w:sz w:val="22"/>
      </w:rPr>
      <w:tcPr>
        <w:shd w:val="clear" w:color="FFFFFF" w:themeFill="accent1" w:themeColor="accent1"/>
      </w:tcPr>
    </w:tblStylePr>
    <w:tblStylePr w:type="lastCol">
      <w:rPr>
        <w:rFonts w:ascii="Arial" w:hAnsi="Arial"/>
        <w:b/>
        <w:color w:val="FFFFFF"/>
        <w:sz w:val="22"/>
      </w:rPr>
      <w:tcPr>
        <w:shd w:val="clear" w:color="FFFFFF" w:themeFill="accent1" w:themeColor="accent1"/>
      </w:tcPr>
    </w:tblStylePr>
    <w:tblStylePr w:type="lastRow">
      <w:rPr>
        <w:rFonts w:ascii="Arial" w:hAnsi="Arial"/>
        <w:b/>
        <w:color w:val="FFFFFF"/>
        <w:sz w:val="22"/>
      </w:rPr>
      <w:tcPr>
        <w:shd w:val="clear" w:color="FFFFFF" w:themeFill="accent1" w:themeColor="accent1"/>
        <w:tcBorders>
          <w:top w:val="single" w:color="000000" w:sz="4" w:space="0" w:themeColor="light1"/>
        </w:tcBorders>
      </w:tcPr>
    </w:tblStylePr>
  </w:style>
  <w:style w:type="table" w:styleId="83">
    <w:name w:val="Grid Table 5 Dark - Accent 2"/>
    <w:basedOn w:val="98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Fill="accent2" w:themeFillTint="32" w:themeColor="accent2" w:themeTint="32"/>
    </w:tblPr>
    <w:tblStylePr w:type="band1Horz">
      <w:tcPr>
        <w:shd w:val="clear" w:color="FFFFFF" w:themeFill="accent2" w:themeFillTint="75" w:themeColor="accent2" w:themeTint="75"/>
      </w:tcPr>
    </w:tblStylePr>
    <w:tblStylePr w:type="band1Vert">
      <w:tcPr>
        <w:shd w:val="clear" w:color="FFFFFF" w:themeFill="accent2" w:themeFillTint="75" w:themeColor="accent2" w:themeTint="75"/>
      </w:tcPr>
    </w:tblStylePr>
    <w:tblStylePr w:type="firstCol">
      <w:rPr>
        <w:rFonts w:ascii="Arial" w:hAnsi="Arial"/>
        <w:b/>
        <w:color w:val="FFFFFF"/>
        <w:sz w:val="22"/>
      </w:rPr>
      <w:tcPr>
        <w:shd w:val="clear" w:color="FFFFFF" w:themeFill="accent2" w:themeColor="accent2"/>
      </w:tcPr>
    </w:tblStylePr>
    <w:tblStylePr w:type="firstRow">
      <w:rPr>
        <w:rFonts w:ascii="Arial" w:hAnsi="Arial"/>
        <w:b/>
        <w:color w:val="FFFFFF"/>
        <w:sz w:val="22"/>
      </w:rPr>
      <w:tcPr>
        <w:shd w:val="clear" w:color="FFFFFF" w:themeFill="accent2" w:themeColor="accent2"/>
      </w:tcPr>
    </w:tblStylePr>
    <w:tblStylePr w:type="lastCol">
      <w:rPr>
        <w:rFonts w:ascii="Arial" w:hAnsi="Arial"/>
        <w:b/>
        <w:color w:val="FFFFFF"/>
        <w:sz w:val="22"/>
      </w:rPr>
      <w:tcPr>
        <w:shd w:val="clear" w:color="FFFFFF" w:themeFill="accent2" w:themeColor="accent2"/>
      </w:tcPr>
    </w:tblStylePr>
    <w:tblStylePr w:type="lastRow">
      <w:rPr>
        <w:rFonts w:ascii="Arial" w:hAnsi="Arial"/>
        <w:b/>
        <w:color w:val="FFFFFF"/>
        <w:sz w:val="22"/>
      </w:rPr>
      <w:tcPr>
        <w:shd w:val="clear" w:color="FFFFFF" w:themeFill="accent2" w:themeColor="accent2"/>
        <w:tcBorders>
          <w:top w:val="single" w:color="000000" w:sz="4" w:space="0" w:themeColor="light1"/>
        </w:tcBorders>
      </w:tcPr>
    </w:tblStylePr>
  </w:style>
  <w:style w:type="table" w:styleId="84">
    <w:name w:val="Grid Table 5 Dark - Accent 3"/>
    <w:basedOn w:val="98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Fill="accent3" w:themeFillTint="34" w:themeColor="accent3" w:themeTint="34"/>
    </w:tblPr>
    <w:tblStylePr w:type="band1Horz">
      <w:tcPr>
        <w:shd w:val="clear" w:color="FFFFFF" w:themeFill="accent3" w:themeFillTint="75" w:themeColor="accent3" w:themeTint="75"/>
      </w:tcPr>
    </w:tblStylePr>
    <w:tblStylePr w:type="band1Vert">
      <w:tcPr>
        <w:shd w:val="clear" w:color="FFFFFF" w:themeFill="accent3" w:themeFillTint="75" w:themeColor="accent3" w:themeTint="75"/>
      </w:tcPr>
    </w:tblStylePr>
    <w:tblStylePr w:type="firstCol">
      <w:rPr>
        <w:rFonts w:ascii="Arial" w:hAnsi="Arial"/>
        <w:b/>
        <w:color w:val="FFFFFF"/>
        <w:sz w:val="22"/>
      </w:rPr>
      <w:tcPr>
        <w:shd w:val="clear" w:color="FFFFFF" w:themeFill="accent3" w:themeColor="accent3"/>
      </w:tcPr>
    </w:tblStylePr>
    <w:tblStylePr w:type="firstRow">
      <w:rPr>
        <w:rFonts w:ascii="Arial" w:hAnsi="Arial"/>
        <w:b/>
        <w:color w:val="FFFFFF"/>
        <w:sz w:val="22"/>
      </w:rPr>
      <w:tcPr>
        <w:shd w:val="clear" w:color="FFFFFF" w:themeFill="accent3" w:themeColor="accent3"/>
      </w:tcPr>
    </w:tblStylePr>
    <w:tblStylePr w:type="lastCol">
      <w:rPr>
        <w:rFonts w:ascii="Arial" w:hAnsi="Arial"/>
        <w:b/>
        <w:color w:val="FFFFFF"/>
        <w:sz w:val="22"/>
      </w:rPr>
      <w:tcPr>
        <w:shd w:val="clear" w:color="FFFFFF" w:themeFill="accent3" w:themeColor="accent3"/>
      </w:tcPr>
    </w:tblStylePr>
    <w:tblStylePr w:type="lastRow">
      <w:rPr>
        <w:rFonts w:ascii="Arial" w:hAnsi="Arial"/>
        <w:b/>
        <w:color w:val="FFFFFF"/>
        <w:sz w:val="22"/>
      </w:rPr>
      <w:tcPr>
        <w:shd w:val="clear" w:color="FFFFFF" w:themeFill="accent3" w:themeColor="accent3"/>
        <w:tcBorders>
          <w:top w:val="single" w:color="000000" w:sz="4" w:space="0" w:themeColor="light1"/>
        </w:tcBorders>
      </w:tcPr>
    </w:tblStylePr>
  </w:style>
  <w:style w:type="table" w:styleId="85">
    <w:name w:val="Grid Table 5 Dark- Accent 4"/>
    <w:basedOn w:val="98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Fill="accent4" w:themeFillTint="34" w:themeColor="accent4" w:themeTint="34"/>
    </w:tblPr>
    <w:tblStylePr w:type="band1Horz">
      <w:tcPr>
        <w:shd w:val="clear" w:color="FFFFFF" w:themeFill="accent4" w:themeFillTint="75" w:themeColor="accent4" w:themeTint="75"/>
      </w:tcPr>
    </w:tblStylePr>
    <w:tblStylePr w:type="band1Vert">
      <w:tcPr>
        <w:shd w:val="clear" w:color="FFFFFF" w:themeFill="accent4" w:themeFillTint="75" w:themeColor="accent4" w:themeTint="75"/>
      </w:tcPr>
    </w:tblStylePr>
    <w:tblStylePr w:type="firstCol">
      <w:rPr>
        <w:rFonts w:ascii="Arial" w:hAnsi="Arial"/>
        <w:b/>
        <w:color w:val="FFFFFF"/>
        <w:sz w:val="22"/>
      </w:rPr>
      <w:tcPr>
        <w:shd w:val="clear" w:color="FFFFFF" w:themeFill="accent4" w:themeColor="accent4"/>
      </w:tcPr>
    </w:tblStylePr>
    <w:tblStylePr w:type="firstRow">
      <w:rPr>
        <w:rFonts w:ascii="Arial" w:hAnsi="Arial"/>
        <w:b/>
        <w:color w:val="FFFFFF"/>
        <w:sz w:val="22"/>
      </w:rPr>
      <w:tcPr>
        <w:shd w:val="clear" w:color="FFFFFF" w:themeFill="accent4" w:themeColor="accent4"/>
      </w:tcPr>
    </w:tblStylePr>
    <w:tblStylePr w:type="lastCol">
      <w:rPr>
        <w:rFonts w:ascii="Arial" w:hAnsi="Arial"/>
        <w:b/>
        <w:color w:val="FFFFFF"/>
        <w:sz w:val="22"/>
      </w:rPr>
      <w:tcPr>
        <w:shd w:val="clear" w:color="FFFFFF" w:themeFill="accent4" w:themeColor="accent4"/>
      </w:tcPr>
    </w:tblStylePr>
    <w:tblStylePr w:type="lastRow">
      <w:rPr>
        <w:rFonts w:ascii="Arial" w:hAnsi="Arial"/>
        <w:b/>
        <w:color w:val="FFFFFF"/>
        <w:sz w:val="22"/>
      </w:rPr>
      <w:tcPr>
        <w:shd w:val="clear" w:color="FFFFFF" w:themeFill="accent4" w:themeColor="accent4"/>
        <w:tcBorders>
          <w:top w:val="single" w:color="000000" w:sz="4" w:space="0" w:themeColor="light1"/>
        </w:tcBorders>
      </w:tcPr>
    </w:tblStylePr>
  </w:style>
  <w:style w:type="table" w:styleId="86">
    <w:name w:val="Grid Table 5 Dark - Accent 5"/>
    <w:basedOn w:val="98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Fill="accent5" w:themeFillTint="34" w:themeColor="accent5" w:themeTint="34"/>
    </w:tblPr>
    <w:tblStylePr w:type="band1Horz">
      <w:tcPr>
        <w:shd w:val="clear" w:color="FFFFFF" w:themeFill="accent5" w:themeFillTint="75" w:themeColor="accent5" w:themeTint="75"/>
      </w:tcPr>
    </w:tblStylePr>
    <w:tblStylePr w:type="band1Vert">
      <w:tcPr>
        <w:shd w:val="clear" w:color="FFFFFF" w:themeFill="accent5" w:themeFillTint="75" w:themeColor="accent5" w:themeTint="75"/>
      </w:tcPr>
    </w:tblStylePr>
    <w:tblStylePr w:type="firstCol">
      <w:rPr>
        <w:rFonts w:ascii="Arial" w:hAnsi="Arial"/>
        <w:b/>
        <w:color w:val="FFFFFF"/>
        <w:sz w:val="22"/>
      </w:rPr>
      <w:tcPr>
        <w:shd w:val="clear" w:color="FFFFFF" w:themeFill="accent5" w:themeColor="accent5"/>
      </w:tcPr>
    </w:tblStylePr>
    <w:tblStylePr w:type="firstRow">
      <w:rPr>
        <w:rFonts w:ascii="Arial" w:hAnsi="Arial"/>
        <w:b/>
        <w:color w:val="FFFFFF"/>
        <w:sz w:val="22"/>
      </w:rPr>
      <w:tcPr>
        <w:shd w:val="clear" w:color="FFFFFF" w:themeFill="accent5" w:themeColor="accent5"/>
      </w:tcPr>
    </w:tblStylePr>
    <w:tblStylePr w:type="lastCol">
      <w:rPr>
        <w:rFonts w:ascii="Arial" w:hAnsi="Arial"/>
        <w:b/>
        <w:color w:val="FFFFFF"/>
        <w:sz w:val="22"/>
      </w:rPr>
      <w:tcPr>
        <w:shd w:val="clear" w:color="FFFFFF" w:themeFill="accent5" w:themeColor="accent5"/>
      </w:tcPr>
    </w:tblStylePr>
    <w:tblStylePr w:type="lastRow">
      <w:rPr>
        <w:rFonts w:ascii="Arial" w:hAnsi="Arial"/>
        <w:b/>
        <w:color w:val="FFFFFF"/>
        <w:sz w:val="22"/>
      </w:rPr>
      <w:tcPr>
        <w:shd w:val="clear" w:color="FFFFFF" w:themeFill="accent5" w:themeColor="accent5"/>
        <w:tcBorders>
          <w:top w:val="single" w:color="000000" w:sz="4" w:space="0" w:themeColor="light1"/>
        </w:tcBorders>
      </w:tcPr>
    </w:tblStylePr>
  </w:style>
  <w:style w:type="table" w:styleId="87">
    <w:name w:val="Grid Table 5 Dark - Accent 6"/>
    <w:basedOn w:val="98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themeFill="accent6" w:themeFillTint="34" w:themeColor="accent6" w:themeTint="34"/>
    </w:tblPr>
    <w:tblStylePr w:type="band1Horz">
      <w:tcPr>
        <w:shd w:val="clear" w:color="FFFFFF" w:themeFill="accent6" w:themeFillTint="75" w:themeColor="accent6" w:themeTint="75"/>
      </w:tcPr>
    </w:tblStylePr>
    <w:tblStylePr w:type="band1Vert">
      <w:tcPr>
        <w:shd w:val="clear" w:color="FFFFFF" w:themeFill="accent6" w:themeFillTint="75" w:themeColor="accent6" w:themeTint="75"/>
      </w:tcPr>
    </w:tblStylePr>
    <w:tblStylePr w:type="firstCol">
      <w:rPr>
        <w:rFonts w:ascii="Arial" w:hAnsi="Arial"/>
        <w:b/>
        <w:color w:val="FFFFFF"/>
        <w:sz w:val="22"/>
      </w:rPr>
      <w:tcPr>
        <w:shd w:val="clear" w:color="FFFFFF" w:themeFill="accent6" w:themeColor="accent6"/>
      </w:tcPr>
    </w:tblStylePr>
    <w:tblStylePr w:type="firstRow">
      <w:rPr>
        <w:rFonts w:ascii="Arial" w:hAnsi="Arial"/>
        <w:b/>
        <w:color w:val="FFFFFF"/>
        <w:sz w:val="22"/>
      </w:rPr>
      <w:tcPr>
        <w:shd w:val="clear" w:color="FFFFFF" w:themeFill="accent6" w:themeColor="accent6"/>
      </w:tcPr>
    </w:tblStylePr>
    <w:tblStylePr w:type="lastCol">
      <w:rPr>
        <w:rFonts w:ascii="Arial" w:hAnsi="Arial"/>
        <w:b/>
        <w:color w:val="FFFFFF"/>
        <w:sz w:val="22"/>
      </w:rPr>
      <w:tcPr>
        <w:shd w:val="clear" w:color="FFFFFF" w:themeFill="accent6" w:themeColor="accent6"/>
      </w:tcPr>
    </w:tblStylePr>
    <w:tblStylePr w:type="lastRow">
      <w:rPr>
        <w:rFonts w:ascii="Arial" w:hAnsi="Arial"/>
        <w:b/>
        <w:color w:val="FFFFFF"/>
        <w:sz w:val="22"/>
      </w:rPr>
      <w:tcPr>
        <w:shd w:val="clear" w:color="FFFFFF" w:themeFill="accent6" w:themeColor="accent6"/>
        <w:tcBorders>
          <w:top w:val="single" w:color="000000" w:sz="4" w:space="0" w:themeColor="light1"/>
        </w:tcBorders>
      </w:tcPr>
    </w:tblStylePr>
  </w:style>
  <w:style w:type="table" w:styleId="88">
    <w:name w:val="Grid Table 6 Colorful"/>
    <w:basedOn w:val="980"/>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themeFill="text1" w:themeFillTint="34" w:themeColor="text1" w:themeTint="34"/>
      </w:tcPr>
    </w:tblStylePr>
    <w:tblStylePr w:type="band1Vert">
      <w:tcPr>
        <w:shd w:val="clear" w:color="FFFFFF" w:themeFill="text1" w:themeFillTint="34" w:themeColor="text1" w:theme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980"/>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themeFill="accent1" w:themeFillTint="34" w:themeColor="accent1" w:themeTint="34"/>
      </w:tcPr>
    </w:tblStylePr>
    <w:tblStylePr w:type="band1Vert">
      <w:tcPr>
        <w:shd w:val="clear" w:color="FFFFFF" w:themeFill="accent1" w:themeFillTint="34" w:themeColor="accent1" w:theme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sz="12" w:space="0" w:themeColor="accent1" w:themeTint="8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98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themeFill="accent2" w:themeFillTint="32" w:themeColor="accent2" w:themeTint="32"/>
      </w:tcPr>
    </w:tblStylePr>
    <w:tblStylePr w:type="band1Vert">
      <w:tcPr>
        <w:shd w:val="clear" w:color="FFFFFF" w:themeFill="accent2" w:themeFillTint="32" w:themeColor="accent2" w:theme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980"/>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themeFill="accent3" w:themeFillTint="34" w:themeColor="accent3" w:themeTint="34"/>
      </w:tcPr>
    </w:tblStylePr>
    <w:tblStylePr w:type="band1Vert">
      <w:tcPr>
        <w:shd w:val="clear" w:color="FFFFFF" w:themeFill="accent3" w:themeFillTint="34" w:themeColor="accent3" w:theme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98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themeFill="accent4" w:themeFillTint="34" w:themeColor="accent4" w:themeTint="34"/>
      </w:tcPr>
    </w:tblStylePr>
    <w:tblStylePr w:type="band1Vert">
      <w:tcPr>
        <w:shd w:val="clear" w:color="FFFFFF" w:themeFill="accent4" w:themeFillTint="34" w:themeColor="accent4" w:theme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980"/>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themeFill="accent5" w:themeFillTint="34" w:themeColor="accent5" w:themeTint="34"/>
      </w:tcPr>
    </w:tblStylePr>
    <w:tblStylePr w:type="band1Vert">
      <w:tcPr>
        <w:shd w:val="clear" w:color="FFFFFF" w:themeFill="accent5" w:themeFillTint="34" w:themeColor="accent5" w:theme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sz="12" w:space="0" w:themeColor="accent5"/>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980"/>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themeFill="accent6" w:themeFillTint="34" w:themeColor="accent6" w:themeTint="34"/>
      </w:tcPr>
    </w:tblStylePr>
    <w:tblStylePr w:type="band1Vert">
      <w:tcPr>
        <w:shd w:val="clear" w:color="FFFFFF" w:themeFill="accent6" w:themeFillTint="34" w:themeColor="accent6" w:theme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sz="12" w:space="0" w:themeColor="accent6"/>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5">
    <w:name w:val="Grid Table 7 Colorful"/>
    <w:basedOn w:val="980"/>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themeFill="text1" w:themeFillTint="0D" w:themeColor="text1" w:themeTint="0D"/>
      </w:tcPr>
    </w:tblStylePr>
    <w:tblStylePr w:type="band1Vert">
      <w:tcPr>
        <w:shd w:val="clear" w:color="FFFFFF" w:themeFill="text1" w:themeFillTint="0D" w:themeColor="text1" w:theme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FFFFFF" w:themeFill="light1" w:themeColor="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FFFFFF" w:themeFill="light1" w:themeColor="light1"/>
        <w:tcBorders>
          <w:left w:val="none"/>
          <w:top w:val="single" w:color="000000" w:sz="4" w:space="0" w:themeColor="text1" w:themeTint="80"/>
          <w:right w:val="none"/>
          <w:bottom w:val="none"/>
        </w:tcBorders>
      </w:tcPr>
    </w:tblStylePr>
  </w:style>
  <w:style w:type="table" w:styleId="96">
    <w:name w:val="Grid Table 7 Colorful - Accent 1"/>
    <w:basedOn w:val="980"/>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17BBA" w:themeColor="accent1" w:themeTint="80" w:themeShade="95"/>
        <w:sz w:val="22"/>
      </w:rPr>
      <w:tcPr>
        <w:shd w:val="clear" w:color="FFFFFF" w:themeFill="accent1" w:themeFillTint="34" w:themeColor="accent1" w:themeTint="34"/>
      </w:tcPr>
    </w:tblStylePr>
    <w:tblStylePr w:type="band1Vert">
      <w:tcPr>
        <w:shd w:val="clear" w:color="FFFFFF" w:themeFill="accent1" w:themeFillTint="34" w:themeColor="accent1" w:theme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color="FFFFFF"/>
        <w:tcBorders>
          <w:left w:val="none"/>
          <w:top w:val="none"/>
          <w:right w:val="single" w:color="000000" w:sz="4" w:space="0" w:themeColor="accent1" w:themeTint="80"/>
          <w:bottom w:val="none"/>
        </w:tcBorders>
      </w:tcPr>
    </w:tblStylePr>
    <w:tblStylePr w:type="firstRow">
      <w:rPr>
        <w:rFonts w:ascii="Arial" w:hAnsi="Arial"/>
        <w:b/>
        <w:color w:val="317BBA" w:themeColor="accent1" w:themeTint="80" w:themeShade="95"/>
        <w:sz w:val="22"/>
      </w:rPr>
      <w:tcPr>
        <w:shd w:val="clear" w:color="FFFFFF" w:themeFill="light1" w:themeColor="light1"/>
        <w:tcBorders>
          <w:left w:val="none"/>
          <w:top w:val="none"/>
          <w:right w:val="none"/>
          <w:bottom w:val="single" w:color="000000" w:sz="4" w:space="0" w:themeColor="accent1" w:themeTint="80"/>
        </w:tcBorders>
      </w:tcPr>
    </w:tblStylePr>
    <w:tblStylePr w:type="lastCol">
      <w:rPr>
        <w:rFonts w:ascii="Arial" w:hAnsi="Arial"/>
        <w:i/>
        <w:color w:val="317BBA" w:themeColor="accent1" w:themeTint="80" w:themeShade="95"/>
        <w:sz w:val="22"/>
      </w:rPr>
      <w:tcPr>
        <w:shd w:color="FFFFFF"/>
        <w:tcBorders>
          <w:left w:val="single" w:color="000000" w:sz="4" w:space="0" w:themeColor="accent1" w:themeTint="80"/>
          <w:top w:val="none"/>
          <w:right w:val="none"/>
          <w:bottom w:val="none"/>
        </w:tcBorders>
      </w:tcPr>
    </w:tblStylePr>
    <w:tblStylePr w:type="lastRow">
      <w:rPr>
        <w:rFonts w:ascii="Arial" w:hAnsi="Arial"/>
        <w:b/>
        <w:color w:val="317BBA" w:themeColor="accent1" w:themeTint="80" w:themeShade="95"/>
        <w:sz w:val="22"/>
      </w:rPr>
      <w:tcPr>
        <w:shd w:val="clear" w:color="FFFFFF" w:themeFill="light1" w:themeColor="light1"/>
        <w:tcBorders>
          <w:left w:val="none"/>
          <w:top w:val="single" w:color="000000" w:sz="4" w:space="0" w:themeColor="accent1" w:themeTint="80"/>
          <w:right w:val="none"/>
          <w:bottom w:val="none"/>
        </w:tcBorders>
      </w:tcPr>
    </w:tblStylePr>
  </w:style>
  <w:style w:type="table" w:styleId="97">
    <w:name w:val="Grid Table 7 Colorful - Accent 2"/>
    <w:basedOn w:val="980"/>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FFFFFF" w:themeFill="accent2" w:themeFillTint="32" w:themeColor="accent2" w:themeTint="32"/>
      </w:tcPr>
    </w:tblStylePr>
    <w:tblStylePr w:type="band1Vert">
      <w:tcPr>
        <w:shd w:val="clear" w:color="FFFFFF" w:themeFill="accent2" w:themeFillTint="32" w:themeColor="accent2" w:theme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color="FFFFFF" w:themeFill="light1" w:themeColor="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color="FFFFFF" w:themeFill="light1" w:themeColor="light1"/>
        <w:tcBorders>
          <w:left w:val="none"/>
          <w:top w:val="single" w:color="000000" w:sz="4" w:space="0" w:themeColor="accent2" w:themeTint="97"/>
          <w:right w:val="none"/>
          <w:bottom w:val="none"/>
        </w:tcBorders>
      </w:tcPr>
    </w:tblStylePr>
  </w:style>
  <w:style w:type="table" w:styleId="98">
    <w:name w:val="Grid Table 7 Colorful - Accent 3"/>
    <w:basedOn w:val="980"/>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FFFFFF" w:themeFill="accent3" w:themeFillTint="34" w:themeColor="accent3" w:themeTint="34"/>
      </w:tcPr>
    </w:tblStylePr>
    <w:tblStylePr w:type="band1Vert">
      <w:tcPr>
        <w:shd w:val="clear" w:color="FFFFFF" w:themeFill="accent3" w:themeFillTint="34" w:themeColor="accent3" w:theme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color="FFFFFF" w:themeFill="light1" w:themeColor="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color="FFFFFF" w:themeFill="light1" w:themeColor="light1"/>
        <w:tcBorders>
          <w:left w:val="none"/>
          <w:top w:val="single" w:color="000000" w:sz="4" w:space="0" w:themeColor="accent3" w:themeTint="FE"/>
          <w:right w:val="none"/>
          <w:bottom w:val="none"/>
        </w:tcBorders>
      </w:tcPr>
    </w:tblStylePr>
  </w:style>
  <w:style w:type="table" w:styleId="99">
    <w:name w:val="Grid Table 7 Colorful - Accent 4"/>
    <w:basedOn w:val="980"/>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FFFFFF" w:themeFill="accent4" w:themeFillTint="34" w:themeColor="accent4" w:themeTint="34"/>
      </w:tcPr>
    </w:tblStylePr>
    <w:tblStylePr w:type="band1Vert">
      <w:tcPr>
        <w:shd w:val="clear" w:color="FFFFFF" w:themeFill="accent4" w:themeFillTint="34" w:themeColor="accent4" w:theme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color="FFFFFF" w:themeFill="light1" w:themeColor="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color="FFFFFF" w:themeFill="light1" w:themeColor="light1"/>
        <w:tcBorders>
          <w:left w:val="none"/>
          <w:top w:val="single" w:color="000000" w:sz="4" w:space="0" w:themeColor="accent4" w:themeTint="9A"/>
          <w:right w:val="none"/>
          <w:bottom w:val="none"/>
        </w:tcBorders>
      </w:tcPr>
    </w:tblStylePr>
  </w:style>
  <w:style w:type="table" w:styleId="100">
    <w:name w:val="Grid Table 7 Colorful - Accent 5"/>
    <w:basedOn w:val="980"/>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54374" w:themeColor="accent5" w:themeShade="95"/>
        <w:sz w:val="22"/>
      </w:rPr>
      <w:tcPr>
        <w:shd w:val="clear" w:color="FFFFFF" w:themeFill="accent5" w:themeFillTint="34" w:themeColor="accent5" w:themeTint="34"/>
      </w:tcPr>
    </w:tblStylePr>
    <w:tblStylePr w:type="band1Vert">
      <w:tcPr>
        <w:shd w:val="clear" w:color="FFFFFF" w:themeFill="accent5" w:themeFillTint="34" w:themeColor="accent5" w:theme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color="FFFFFF"/>
        <w:tcBorders>
          <w:left w:val="none"/>
          <w:top w:val="none"/>
          <w:right w:val="single" w:color="000000" w:sz="4" w:space="0" w:themeColor="accent5" w:themeTint="90"/>
          <w:bottom w:val="none"/>
        </w:tcBorders>
      </w:tcPr>
    </w:tblStylePr>
    <w:tblStylePr w:type="firstRow">
      <w:rPr>
        <w:rFonts w:ascii="Arial" w:hAnsi="Arial"/>
        <w:b/>
        <w:color w:val="254374" w:themeColor="accent5" w:themeShade="95"/>
        <w:sz w:val="22"/>
      </w:rPr>
      <w:tcPr>
        <w:shd w:val="clear" w:color="FFFFFF" w:themeFill="light1" w:themeColor="light1"/>
        <w:tcBorders>
          <w:left w:val="none"/>
          <w:top w:val="none"/>
          <w:right w:val="none"/>
          <w:bottom w:val="single" w:color="000000" w:sz="4" w:space="0" w:themeColor="accent5" w:themeTint="90"/>
        </w:tcBorders>
      </w:tcPr>
    </w:tblStylePr>
    <w:tblStylePr w:type="lastCol">
      <w:rPr>
        <w:rFonts w:ascii="Arial" w:hAnsi="Arial"/>
        <w:i/>
        <w:color w:val="254374" w:themeColor="accent5" w:themeShade="95"/>
        <w:sz w:val="22"/>
      </w:rPr>
      <w:tcPr>
        <w:shd w:color="FFFFFF"/>
        <w:tcBorders>
          <w:left w:val="single" w:color="000000" w:sz="4" w:space="0" w:themeColor="accent5" w:themeTint="90"/>
          <w:top w:val="none"/>
          <w:right w:val="none"/>
          <w:bottom w:val="none"/>
        </w:tcBorders>
      </w:tcPr>
    </w:tblStylePr>
    <w:tblStylePr w:type="lastRow">
      <w:rPr>
        <w:rFonts w:ascii="Arial" w:hAnsi="Arial"/>
        <w:b/>
        <w:color w:val="254374" w:themeColor="accent5" w:themeShade="95"/>
        <w:sz w:val="22"/>
      </w:rPr>
      <w:tcPr>
        <w:shd w:val="clear" w:color="FFFFFF" w:themeFill="light1" w:themeColor="light1"/>
        <w:tcBorders>
          <w:left w:val="none"/>
          <w:top w:val="single" w:color="000000" w:sz="4" w:space="0" w:themeColor="accent5" w:themeTint="90"/>
          <w:right w:val="none"/>
          <w:bottom w:val="none"/>
        </w:tcBorders>
      </w:tcPr>
    </w:tblStylePr>
  </w:style>
  <w:style w:type="table" w:styleId="101">
    <w:name w:val="Grid Table 7 Colorful - Accent 6"/>
    <w:basedOn w:val="980"/>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FFFFFF" w:themeFill="accent6" w:themeFillTint="34" w:themeColor="accent6" w:themeTint="34"/>
      </w:tcPr>
    </w:tblStylePr>
    <w:tblStylePr w:type="band1Vert">
      <w:tcPr>
        <w:shd w:val="clear" w:color="FFFFFF" w:themeFill="accent6" w:themeFillTint="34" w:themeColor="accent6" w:theme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color="FFFFFF" w:themeFill="light1" w:themeColor="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color="FFFFFF" w:themeFill="light1" w:themeColor="light1"/>
        <w:tcBorders>
          <w:left w:val="none"/>
          <w:top w:val="single" w:color="000000" w:sz="4" w:space="0" w:themeColor="accent6" w:themeTint="90"/>
          <w:right w:val="none"/>
          <w:bottom w:val="none"/>
        </w:tcBorders>
      </w:tcPr>
    </w:tblStylePr>
  </w:style>
  <w:style w:type="table" w:styleId="102">
    <w:name w:val="List Table 1 Light"/>
    <w:basedOn w:val="980"/>
    <w:uiPriority w:val="99"/>
    <w:pPr>
      <w:spacing w:lineRule="auto" w:line="240" w:after="0"/>
    </w:pPr>
    <w:tblPr>
      <w:tblStyleRowBandSize w:val="1"/>
      <w:tblStyleColBandSize w:val="1"/>
      <w:tblInd w:w="0" w:type="dxa"/>
    </w:tblPr>
    <w:tblStylePr w:type="band1Horz">
      <w:tcPr>
        <w:shd w:val="clear" w:color="FFFFFF" w:themeFill="text1" w:themeFillTint="40" w:themeColor="text1" w:themeTint="40"/>
      </w:tcPr>
    </w:tblStylePr>
    <w:tblStylePr w:type="band1Vert">
      <w:tcPr>
        <w:shd w:val="clear" w:color="FFFFFF" w:themeFill="text1" w:themeFillTint="40" w:themeColor="text1"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980"/>
    <w:uiPriority w:val="99"/>
    <w:pPr>
      <w:spacing w:lineRule="auto" w:line="240" w:after="0"/>
    </w:pPr>
    <w:tblPr>
      <w:tblStyleRowBandSize w:val="1"/>
      <w:tblStyleColBandSize w:val="1"/>
      <w:tblInd w:w="0" w:type="dxa"/>
    </w:tblPr>
    <w:tblStylePr w:type="band1Horz">
      <w:tcPr>
        <w:shd w:val="clear" w:color="FFFFFF" w:themeFill="accent1" w:themeFillTint="40" w:themeColor="accent1" w:themeTint="40"/>
      </w:tcPr>
    </w:tblStylePr>
    <w:tblStylePr w:type="band1Vert">
      <w:tcPr>
        <w:shd w:val="clear" w:color="FFFFFF" w:themeFill="accent1" w:themeFillTint="40" w:themeColor="accent1"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980"/>
    <w:uiPriority w:val="99"/>
    <w:pPr>
      <w:spacing w:lineRule="auto" w:line="240" w:after="0"/>
    </w:pPr>
    <w:tblPr>
      <w:tblStyleRowBandSize w:val="1"/>
      <w:tblStyleColBandSize w:val="1"/>
      <w:tblInd w:w="0" w:type="dxa"/>
    </w:tblPr>
    <w:tblStylePr w:type="band1Horz">
      <w:tcPr>
        <w:shd w:val="clear" w:color="FFFFFF" w:themeFill="accent2" w:themeFillTint="40" w:themeColor="accent2" w:themeTint="40"/>
      </w:tcPr>
    </w:tblStylePr>
    <w:tblStylePr w:type="band1Vert">
      <w:tcPr>
        <w:shd w:val="clear" w:color="FFFFFF" w:themeFill="accent2" w:themeFillTint="40" w:themeColor="accent2"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980"/>
    <w:uiPriority w:val="99"/>
    <w:pPr>
      <w:spacing w:lineRule="auto" w:line="240" w:after="0"/>
    </w:pPr>
    <w:tblPr>
      <w:tblStyleRowBandSize w:val="1"/>
      <w:tblStyleColBandSize w:val="1"/>
      <w:tblInd w:w="0" w:type="dxa"/>
    </w:tblPr>
    <w:tblStylePr w:type="band1Horz">
      <w:tcPr>
        <w:shd w:val="clear" w:color="FFFFFF" w:themeFill="accent3" w:themeFillTint="40" w:themeColor="accent3" w:themeTint="40"/>
      </w:tcPr>
    </w:tblStylePr>
    <w:tblStylePr w:type="band1Vert">
      <w:tcPr>
        <w:shd w:val="clear" w:color="FFFFFF" w:themeFill="accent3" w:themeFillTint="40" w:themeColor="accent3"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980"/>
    <w:uiPriority w:val="99"/>
    <w:pPr>
      <w:spacing w:lineRule="auto" w:line="240" w:after="0"/>
    </w:pPr>
    <w:tblPr>
      <w:tblStyleRowBandSize w:val="1"/>
      <w:tblStyleColBandSize w:val="1"/>
      <w:tblInd w:w="0" w:type="dxa"/>
    </w:tblPr>
    <w:tblStylePr w:type="band1Horz">
      <w:tcPr>
        <w:shd w:val="clear" w:color="FFFFFF" w:themeFill="accent4" w:themeFillTint="40" w:themeColor="accent4" w:themeTint="40"/>
      </w:tcPr>
    </w:tblStylePr>
    <w:tblStylePr w:type="band1Vert">
      <w:tcPr>
        <w:shd w:val="clear" w:color="FFFFFF" w:themeFill="accent4" w:themeFillTint="40" w:themeColor="accent4"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980"/>
    <w:uiPriority w:val="99"/>
    <w:pPr>
      <w:spacing w:lineRule="auto" w:line="240" w:after="0"/>
    </w:pPr>
    <w:tblPr>
      <w:tblStyleRowBandSize w:val="1"/>
      <w:tblStyleColBandSize w:val="1"/>
      <w:tblInd w:w="0" w:type="dxa"/>
    </w:tblPr>
    <w:tblStylePr w:type="band1Horz">
      <w:tcPr>
        <w:shd w:val="clear" w:color="FFFFFF" w:themeFill="accent5" w:themeFillTint="40" w:themeColor="accent5" w:themeTint="40"/>
      </w:tcPr>
    </w:tblStylePr>
    <w:tblStylePr w:type="band1Vert">
      <w:tcPr>
        <w:shd w:val="clear" w:color="FFFFFF" w:themeFill="accent5" w:themeFillTint="40" w:themeColor="accent5"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980"/>
    <w:uiPriority w:val="99"/>
    <w:pPr>
      <w:spacing w:lineRule="auto" w:line="240" w:after="0"/>
    </w:pPr>
    <w:tblPr>
      <w:tblStyleRowBandSize w:val="1"/>
      <w:tblStyleColBandSize w:val="1"/>
      <w:tblInd w:w="0" w:type="dxa"/>
    </w:tblPr>
    <w:tblStylePr w:type="band1Horz">
      <w:tcPr>
        <w:shd w:val="clear" w:color="FFFFFF" w:themeFill="accent6" w:themeFillTint="40" w:themeColor="accent6" w:themeTint="40"/>
      </w:tcPr>
    </w:tblStylePr>
    <w:tblStylePr w:type="band1Vert">
      <w:tcPr>
        <w:shd w:val="clear" w:color="FFFFFF" w:themeFill="accent6" w:themeFillTint="40" w:themeColor="accent6" w:theme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980"/>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themeFill="text1" w:themeFillTint="40" w:themeColor="text1" w:themeTint="40"/>
      </w:tcPr>
    </w:tblStylePr>
    <w:tblStylePr w:type="band1Vert">
      <w:rPr>
        <w:rFonts w:ascii="Arial" w:hAnsi="Arial"/>
        <w:color w:val="404040"/>
        <w:sz w:val="22"/>
      </w:rPr>
      <w:tcPr>
        <w:shd w:val="clear" w:color="FFFFFF" w:themeFill="text1" w:themeFillTint="40" w:themeColor="text1"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980"/>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themeFill="accent1" w:themeFillTint="40" w:themeColor="accent1" w:themeTint="40"/>
      </w:tcPr>
    </w:tblStylePr>
    <w:tblStylePr w:type="band1Vert">
      <w:rPr>
        <w:rFonts w:ascii="Arial" w:hAnsi="Arial"/>
        <w:color w:val="404040"/>
        <w:sz w:val="22"/>
      </w:rPr>
      <w:tcPr>
        <w:shd w:val="clear" w:color="FFFFFF" w:themeFill="accent1" w:themeFillTint="40" w:themeColor="accent1"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980"/>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themeFill="accent2" w:themeFillTint="40" w:themeColor="accent2" w:themeTint="40"/>
      </w:tcPr>
    </w:tblStylePr>
    <w:tblStylePr w:type="band1Vert">
      <w:rPr>
        <w:rFonts w:ascii="Arial" w:hAnsi="Arial"/>
        <w:color w:val="404040"/>
        <w:sz w:val="22"/>
      </w:rPr>
      <w:tcPr>
        <w:shd w:val="clear" w:color="FFFFFF" w:themeFill="accent2" w:themeFillTint="40" w:themeColor="accent2"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980"/>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themeFill="accent3" w:themeFillTint="40" w:themeColor="accent3" w:themeTint="40"/>
      </w:tcPr>
    </w:tblStylePr>
    <w:tblStylePr w:type="band1Vert">
      <w:rPr>
        <w:rFonts w:ascii="Arial" w:hAnsi="Arial"/>
        <w:color w:val="404040"/>
        <w:sz w:val="22"/>
      </w:rPr>
      <w:tcPr>
        <w:shd w:val="clear" w:color="FFFFFF" w:themeFill="accent3" w:themeFillTint="40" w:themeColor="accent3"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980"/>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themeFill="accent4" w:themeFillTint="40" w:themeColor="accent4" w:themeTint="40"/>
      </w:tcPr>
    </w:tblStylePr>
    <w:tblStylePr w:type="band1Vert">
      <w:rPr>
        <w:rFonts w:ascii="Arial" w:hAnsi="Arial"/>
        <w:color w:val="404040"/>
        <w:sz w:val="22"/>
      </w:rPr>
      <w:tcPr>
        <w:shd w:val="clear" w:color="FFFFFF" w:themeFill="accent4" w:themeFillTint="40" w:themeColor="accent4"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980"/>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themeFill="accent5" w:themeFillTint="40" w:themeColor="accent5" w:themeTint="40"/>
      </w:tcPr>
    </w:tblStylePr>
    <w:tblStylePr w:type="band1Vert">
      <w:rPr>
        <w:rFonts w:ascii="Arial" w:hAnsi="Arial"/>
        <w:color w:val="404040"/>
        <w:sz w:val="22"/>
      </w:rPr>
      <w:tcPr>
        <w:shd w:val="clear" w:color="FFFFFF" w:themeFill="accent5" w:themeFillTint="40" w:themeColor="accent5"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980"/>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themeFill="accent6" w:themeFillTint="40" w:themeColor="accent6" w:themeTint="40"/>
      </w:tcPr>
    </w:tblStylePr>
    <w:tblStylePr w:type="band1Vert">
      <w:rPr>
        <w:rFonts w:ascii="Arial" w:hAnsi="Arial"/>
        <w:color w:val="404040"/>
        <w:sz w:val="22"/>
      </w:rPr>
      <w:tcPr>
        <w:shd w:val="clear" w:color="FFFFFF" w:themeFill="accent6" w:themeFillTint="40" w:themeColor="accent6" w:theme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98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themeFill="text1" w:themeColor="text1"/>
      </w:tcPr>
    </w:tblStylePr>
    <w:tblStylePr w:type="lastCol">
      <w:rPr>
        <w:b/>
        <w:color w:val="404040"/>
      </w:rPr>
    </w:tblStylePr>
    <w:tblStylePr w:type="lastRow">
      <w:rPr>
        <w:b/>
        <w:color w:val="404040"/>
      </w:rPr>
    </w:tblStylePr>
  </w:style>
  <w:style w:type="table" w:styleId="117">
    <w:name w:val="List Table 3 - Accent 1"/>
    <w:basedOn w:val="980"/>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themeFill="accent1" w:themeColor="accent1"/>
      </w:tcPr>
    </w:tblStylePr>
    <w:tblStylePr w:type="lastCol">
      <w:rPr>
        <w:b/>
        <w:color w:val="404040"/>
      </w:rPr>
    </w:tblStylePr>
    <w:tblStylePr w:type="lastRow">
      <w:rPr>
        <w:b/>
        <w:color w:val="404040"/>
      </w:rPr>
    </w:tblStylePr>
  </w:style>
  <w:style w:type="table" w:styleId="118">
    <w:name w:val="List Table 3 - Accent 2"/>
    <w:basedOn w:val="98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themeFill="accent2" w:themeFillTint="97" w:themeColor="accent2" w:themeTint="97"/>
      </w:tcPr>
    </w:tblStylePr>
    <w:tblStylePr w:type="lastCol">
      <w:rPr>
        <w:b/>
        <w:color w:val="404040"/>
      </w:rPr>
    </w:tblStylePr>
    <w:tblStylePr w:type="lastRow">
      <w:rPr>
        <w:b/>
        <w:color w:val="404040"/>
      </w:rPr>
    </w:tblStylePr>
  </w:style>
  <w:style w:type="table" w:styleId="119">
    <w:name w:val="List Table 3 - Accent 3"/>
    <w:basedOn w:val="980"/>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themeFill="accent3" w:themeFillTint="98" w:themeColor="accent3" w:themeTint="98"/>
      </w:tcPr>
    </w:tblStylePr>
    <w:tblStylePr w:type="lastCol">
      <w:rPr>
        <w:b/>
        <w:color w:val="404040"/>
      </w:rPr>
    </w:tblStylePr>
    <w:tblStylePr w:type="lastRow">
      <w:rPr>
        <w:b/>
        <w:color w:val="404040"/>
      </w:rPr>
    </w:tblStylePr>
  </w:style>
  <w:style w:type="table" w:styleId="120">
    <w:name w:val="List Table 3 - Accent 4"/>
    <w:basedOn w:val="98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themeFill="accent4" w:themeFillTint="9A" w:themeColor="accent4" w:themeTint="9A"/>
      </w:tcPr>
    </w:tblStylePr>
    <w:tblStylePr w:type="lastCol">
      <w:rPr>
        <w:b/>
        <w:color w:val="404040"/>
      </w:rPr>
    </w:tblStylePr>
    <w:tblStylePr w:type="lastRow">
      <w:rPr>
        <w:b/>
        <w:color w:val="404040"/>
      </w:rPr>
    </w:tblStylePr>
  </w:style>
  <w:style w:type="table" w:styleId="121">
    <w:name w:val="List Table 3 - Accent 5"/>
    <w:basedOn w:val="980"/>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themeFill="accent5" w:themeFillTint="9A" w:themeColor="accent5" w:themeTint="9A"/>
      </w:tcPr>
    </w:tblStylePr>
    <w:tblStylePr w:type="lastCol">
      <w:rPr>
        <w:b/>
        <w:color w:val="404040"/>
      </w:rPr>
    </w:tblStylePr>
    <w:tblStylePr w:type="lastRow">
      <w:rPr>
        <w:b/>
        <w:color w:val="404040"/>
      </w:rPr>
    </w:tblStylePr>
  </w:style>
  <w:style w:type="table" w:styleId="122">
    <w:name w:val="List Table 3 - Accent 6"/>
    <w:basedOn w:val="980"/>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themeFill="accent6" w:themeFillTint="98" w:themeColor="accent6" w:themeTint="98"/>
      </w:tcPr>
    </w:tblStylePr>
    <w:tblStylePr w:type="lastCol">
      <w:rPr>
        <w:b/>
        <w:color w:val="404040"/>
      </w:rPr>
    </w:tblStylePr>
    <w:tblStylePr w:type="lastRow">
      <w:rPr>
        <w:b/>
        <w:color w:val="404040"/>
      </w:rPr>
    </w:tblStylePr>
  </w:style>
  <w:style w:type="table" w:styleId="123">
    <w:name w:val="List Table 4"/>
    <w:basedOn w:val="98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themeFill="text1" w:themeFillTint="40" w:themeColor="text1" w:themeTint="40"/>
      </w:tcPr>
    </w:tblStylePr>
    <w:tblStylePr w:type="band1Vert">
      <w:rPr>
        <w:rFonts w:ascii="Arial" w:hAnsi="Arial"/>
        <w:color w:val="404040"/>
        <w:sz w:val="22"/>
      </w:rPr>
      <w:tcPr>
        <w:shd w:val="clear" w:color="FFFFFF" w:themeFill="text1" w:themeFillTint="40" w:themeColor="text1" w:themeTint="40"/>
      </w:tcPr>
    </w:tblStylePr>
    <w:tblStylePr w:type="firstCol">
      <w:rPr>
        <w:b/>
        <w:color w:val="404040"/>
      </w:rPr>
    </w:tblStylePr>
    <w:tblStylePr w:type="firstRow">
      <w:rPr>
        <w:rFonts w:ascii="Arial" w:hAnsi="Arial"/>
        <w:b/>
        <w:color w:val="FFFFFF"/>
        <w:sz w:val="22"/>
      </w:rPr>
      <w:tcPr>
        <w:shd w:val="clear" w:color="FFFFFF" w:themeFill="text1" w:themeColor="text1"/>
      </w:tcPr>
    </w:tblStylePr>
    <w:tblStylePr w:type="lastCol">
      <w:rPr>
        <w:b/>
        <w:color w:val="404040"/>
      </w:rPr>
    </w:tblStylePr>
    <w:tblStylePr w:type="lastRow">
      <w:rPr>
        <w:b/>
        <w:color w:val="404040"/>
      </w:rPr>
    </w:tblStylePr>
  </w:style>
  <w:style w:type="table" w:styleId="124">
    <w:name w:val="List Table 4 - Accent 1"/>
    <w:basedOn w:val="980"/>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themeFill="accent1" w:themeFillTint="40" w:themeColor="accent1" w:themeTint="40"/>
      </w:tcPr>
    </w:tblStylePr>
    <w:tblStylePr w:type="band1Vert">
      <w:rPr>
        <w:rFonts w:ascii="Arial" w:hAnsi="Arial"/>
        <w:color w:val="404040"/>
        <w:sz w:val="22"/>
      </w:rPr>
      <w:tcPr>
        <w:shd w:val="clear" w:color="FFFFFF" w:themeFill="accent1" w:themeFillTint="40" w:themeColor="accent1" w:themeTint="40"/>
      </w:tcPr>
    </w:tblStylePr>
    <w:tblStylePr w:type="firstCol">
      <w:rPr>
        <w:b/>
        <w:color w:val="404040"/>
      </w:rPr>
    </w:tblStylePr>
    <w:tblStylePr w:type="firstRow">
      <w:rPr>
        <w:rFonts w:ascii="Arial" w:hAnsi="Arial"/>
        <w:b/>
        <w:color w:val="FFFFFF"/>
        <w:sz w:val="22"/>
      </w:rPr>
      <w:tcPr>
        <w:shd w:val="clear" w:color="FFFFFF" w:themeFill="accent1" w:themeColor="accent1"/>
      </w:tcPr>
    </w:tblStylePr>
    <w:tblStylePr w:type="lastCol">
      <w:rPr>
        <w:b/>
        <w:color w:val="404040"/>
      </w:rPr>
    </w:tblStylePr>
    <w:tblStylePr w:type="lastRow">
      <w:rPr>
        <w:b/>
        <w:color w:val="404040"/>
      </w:rPr>
    </w:tblStylePr>
  </w:style>
  <w:style w:type="table" w:styleId="125">
    <w:name w:val="List Table 4 - Accent 2"/>
    <w:basedOn w:val="980"/>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themeFill="accent2" w:themeFillTint="40" w:themeColor="accent2" w:themeTint="40"/>
      </w:tcPr>
    </w:tblStylePr>
    <w:tblStylePr w:type="band1Vert">
      <w:rPr>
        <w:rFonts w:ascii="Arial" w:hAnsi="Arial"/>
        <w:color w:val="404040"/>
        <w:sz w:val="22"/>
      </w:rPr>
      <w:tcPr>
        <w:shd w:val="clear" w:color="FFFFFF" w:themeFill="accent2" w:themeFillTint="40" w:themeColor="accent2" w:themeTint="40"/>
      </w:tcPr>
    </w:tblStylePr>
    <w:tblStylePr w:type="firstCol">
      <w:rPr>
        <w:b/>
        <w:color w:val="404040"/>
      </w:rPr>
    </w:tblStylePr>
    <w:tblStylePr w:type="firstRow">
      <w:rPr>
        <w:rFonts w:ascii="Arial" w:hAnsi="Arial"/>
        <w:b/>
        <w:color w:val="FFFFFF"/>
        <w:sz w:val="22"/>
      </w:rPr>
      <w:tcPr>
        <w:shd w:val="clear" w:color="FFFFFF" w:themeFill="accent2" w:themeColor="accent2"/>
      </w:tcPr>
    </w:tblStylePr>
    <w:tblStylePr w:type="lastCol">
      <w:rPr>
        <w:b/>
        <w:color w:val="404040"/>
      </w:rPr>
    </w:tblStylePr>
    <w:tblStylePr w:type="lastRow">
      <w:rPr>
        <w:b/>
        <w:color w:val="404040"/>
      </w:rPr>
    </w:tblStylePr>
  </w:style>
  <w:style w:type="table" w:styleId="126">
    <w:name w:val="List Table 4 - Accent 3"/>
    <w:basedOn w:val="980"/>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themeFill="accent3" w:themeFillTint="40" w:themeColor="accent3" w:themeTint="40"/>
      </w:tcPr>
    </w:tblStylePr>
    <w:tblStylePr w:type="band1Vert">
      <w:rPr>
        <w:rFonts w:ascii="Arial" w:hAnsi="Arial"/>
        <w:color w:val="404040"/>
        <w:sz w:val="22"/>
      </w:rPr>
      <w:tcPr>
        <w:shd w:val="clear" w:color="FFFFFF" w:themeFill="accent3" w:themeFillTint="40" w:themeColor="accent3" w:themeTint="40"/>
      </w:tcPr>
    </w:tblStylePr>
    <w:tblStylePr w:type="firstCol">
      <w:rPr>
        <w:b/>
        <w:color w:val="404040"/>
      </w:rPr>
    </w:tblStylePr>
    <w:tblStylePr w:type="firstRow">
      <w:rPr>
        <w:rFonts w:ascii="Arial" w:hAnsi="Arial"/>
        <w:b/>
        <w:color w:val="FFFFFF"/>
        <w:sz w:val="22"/>
      </w:rPr>
      <w:tcPr>
        <w:shd w:val="clear" w:color="FFFFFF" w:themeFill="accent3" w:themeColor="accent3"/>
      </w:tcPr>
    </w:tblStylePr>
    <w:tblStylePr w:type="lastCol">
      <w:rPr>
        <w:b/>
        <w:color w:val="404040"/>
      </w:rPr>
    </w:tblStylePr>
    <w:tblStylePr w:type="lastRow">
      <w:rPr>
        <w:b/>
        <w:color w:val="404040"/>
      </w:rPr>
    </w:tblStylePr>
  </w:style>
  <w:style w:type="table" w:styleId="127">
    <w:name w:val="List Table 4 - Accent 4"/>
    <w:basedOn w:val="980"/>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themeFill="accent4" w:themeFillTint="40" w:themeColor="accent4" w:themeTint="40"/>
      </w:tcPr>
    </w:tblStylePr>
    <w:tblStylePr w:type="band1Vert">
      <w:rPr>
        <w:rFonts w:ascii="Arial" w:hAnsi="Arial"/>
        <w:color w:val="404040"/>
        <w:sz w:val="22"/>
      </w:rPr>
      <w:tcPr>
        <w:shd w:val="clear" w:color="FFFFFF" w:themeFill="accent4" w:themeFillTint="40" w:themeColor="accent4" w:themeTint="40"/>
      </w:tcPr>
    </w:tblStylePr>
    <w:tblStylePr w:type="firstCol">
      <w:rPr>
        <w:b/>
        <w:color w:val="404040"/>
      </w:rPr>
    </w:tblStylePr>
    <w:tblStylePr w:type="firstRow">
      <w:rPr>
        <w:rFonts w:ascii="Arial" w:hAnsi="Arial"/>
        <w:b/>
        <w:color w:val="FFFFFF"/>
        <w:sz w:val="22"/>
      </w:rPr>
      <w:tcPr>
        <w:shd w:val="clear" w:color="FFFFFF" w:themeFill="accent4" w:themeColor="accent4"/>
      </w:tcPr>
    </w:tblStylePr>
    <w:tblStylePr w:type="lastCol">
      <w:rPr>
        <w:b/>
        <w:color w:val="404040"/>
      </w:rPr>
    </w:tblStylePr>
    <w:tblStylePr w:type="lastRow">
      <w:rPr>
        <w:b/>
        <w:color w:val="404040"/>
      </w:rPr>
    </w:tblStylePr>
  </w:style>
  <w:style w:type="table" w:styleId="128">
    <w:name w:val="List Table 4 - Accent 5"/>
    <w:basedOn w:val="980"/>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themeFill="accent5" w:themeFillTint="40" w:themeColor="accent5" w:themeTint="40"/>
      </w:tcPr>
    </w:tblStylePr>
    <w:tblStylePr w:type="band1Vert">
      <w:rPr>
        <w:rFonts w:ascii="Arial" w:hAnsi="Arial"/>
        <w:color w:val="404040"/>
        <w:sz w:val="22"/>
      </w:rPr>
      <w:tcPr>
        <w:shd w:val="clear" w:color="FFFFFF" w:themeFill="accent5" w:themeFillTint="40" w:themeColor="accent5" w:themeTint="40"/>
      </w:tcPr>
    </w:tblStylePr>
    <w:tblStylePr w:type="firstCol">
      <w:rPr>
        <w:b/>
        <w:color w:val="404040"/>
      </w:rPr>
    </w:tblStylePr>
    <w:tblStylePr w:type="firstRow">
      <w:rPr>
        <w:rFonts w:ascii="Arial" w:hAnsi="Arial"/>
        <w:b/>
        <w:color w:val="FFFFFF"/>
        <w:sz w:val="22"/>
      </w:rPr>
      <w:tcPr>
        <w:shd w:val="clear" w:color="FFFFFF" w:themeFill="accent5" w:themeColor="accent5"/>
      </w:tcPr>
    </w:tblStylePr>
    <w:tblStylePr w:type="lastCol">
      <w:rPr>
        <w:b/>
        <w:color w:val="404040"/>
      </w:rPr>
    </w:tblStylePr>
    <w:tblStylePr w:type="lastRow">
      <w:rPr>
        <w:b/>
        <w:color w:val="404040"/>
      </w:rPr>
    </w:tblStylePr>
  </w:style>
  <w:style w:type="table" w:styleId="129">
    <w:name w:val="List Table 4 - Accent 6"/>
    <w:basedOn w:val="980"/>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themeFill="accent6" w:themeFillTint="40" w:themeColor="accent6" w:themeTint="40"/>
      </w:tcPr>
    </w:tblStylePr>
    <w:tblStylePr w:type="band1Vert">
      <w:rPr>
        <w:rFonts w:ascii="Arial" w:hAnsi="Arial"/>
        <w:color w:val="404040"/>
        <w:sz w:val="22"/>
      </w:rPr>
      <w:tcPr>
        <w:shd w:val="clear" w:color="FFFFFF" w:themeFill="accent6" w:themeFillTint="40" w:themeColor="accent6" w:themeTint="40"/>
      </w:tcPr>
    </w:tblStylePr>
    <w:tblStylePr w:type="firstCol">
      <w:rPr>
        <w:b/>
        <w:color w:val="404040"/>
      </w:rPr>
    </w:tblStylePr>
    <w:tblStylePr w:type="firstRow">
      <w:rPr>
        <w:rFonts w:ascii="Arial" w:hAnsi="Arial"/>
        <w:b/>
        <w:color w:val="FFFFFF"/>
        <w:sz w:val="22"/>
      </w:rPr>
      <w:tcPr>
        <w:shd w:val="clear" w:color="FFFFFF" w:themeFill="accent6" w:themeColor="accent6"/>
      </w:tcPr>
    </w:tblStylePr>
    <w:tblStylePr w:type="lastCol">
      <w:rPr>
        <w:b/>
        <w:color w:val="404040"/>
      </w:rPr>
    </w:tblStylePr>
    <w:tblStylePr w:type="lastRow">
      <w:rPr>
        <w:b/>
        <w:color w:val="404040"/>
      </w:rPr>
    </w:tblStylePr>
  </w:style>
  <w:style w:type="table" w:styleId="130">
    <w:name w:val="List Table 5 Dark"/>
    <w:basedOn w:val="980"/>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themeFill="text1" w:themeFillTint="80" w:themeColor="text1" w:themeTint="80"/>
    </w:tblPr>
    <w:tblStylePr w:type="band1Horz">
      <w:tcPr>
        <w:shd w:val="clear" w:color="FFFFFF" w:themeFill="text1" w:themeFillTint="80" w:themeColor="text1" w:themeTint="80"/>
        <w:tcBorders>
          <w:top w:val="single" w:color="000000" w:sz="4" w:space="0" w:themeColor="light1"/>
          <w:bottom w:val="single" w:color="000000" w:sz="4" w:space="0" w:themeColor="light1"/>
        </w:tcBorders>
      </w:tcPr>
    </w:tblStylePr>
    <w:tblStylePr w:type="band1Vert">
      <w:tcPr>
        <w:shd w:val="clear" w:color="FFFFFF" w:themeFill="text1" w:themeFillTint="80" w:themeColor="text1" w:themeTint="80"/>
        <w:tcBorders>
          <w:left w:val="single" w:color="000000" w:sz="4" w:space="0" w:themeColor="light1"/>
          <w:right w:val="single" w:color="000000" w:sz="4" w:space="0" w:themeColor="light1"/>
        </w:tcBorders>
      </w:tcPr>
    </w:tblStylePr>
    <w:tblStylePr w:type="band2Horz">
      <w:tcPr>
        <w:shd w:val="clear" w:color="FFFFFF" w:themeFill="text1" w:themeFillTint="80" w:themeColor="text1" w:theme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themeFill="text1" w:themeFillTint="80" w:themeColor="text1" w:theme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980"/>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themeFill="accent1" w:themeColor="accent1"/>
    </w:tblPr>
    <w:tblStylePr w:type="band1Horz">
      <w:tcPr>
        <w:shd w:val="clear" w:color="FFFFFF" w:themeFill="accent1" w:themeColor="accent1"/>
        <w:tcBorders>
          <w:top w:val="single" w:color="000000" w:sz="4" w:space="0" w:themeColor="light1"/>
          <w:bottom w:val="single" w:color="000000" w:sz="4" w:space="0" w:themeColor="light1"/>
        </w:tcBorders>
      </w:tcPr>
    </w:tblStylePr>
    <w:tblStylePr w:type="band1Vert">
      <w:tcPr>
        <w:shd w:val="clear" w:color="FFFFFF" w:themeFill="accent1" w:themeColor="accent1"/>
        <w:tcBorders>
          <w:left w:val="single" w:color="000000" w:sz="4" w:space="0" w:themeColor="light1"/>
          <w:right w:val="single" w:color="000000" w:sz="4" w:space="0" w:themeColor="light1"/>
        </w:tcBorders>
      </w:tcPr>
    </w:tblStylePr>
    <w:tblStylePr w:type="band2Horz">
      <w:tcPr>
        <w:shd w:val="clear" w:color="FFFFFF" w:themeFill="accent1" w:themeColor="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themeFill="accent1" w:themeColor="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980"/>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themeFill="accent2" w:themeFillTint="97" w:themeColor="accent2" w:themeTint="97"/>
    </w:tblPr>
    <w:tblStylePr w:type="band1Horz">
      <w:tcPr>
        <w:shd w:val="clear" w:color="FFFFFF" w:themeFill="accent2" w:themeFillTint="97" w:themeColor="accent2" w:themeTint="97"/>
        <w:tcBorders>
          <w:top w:val="single" w:color="000000" w:sz="4" w:space="0" w:themeColor="light1"/>
          <w:bottom w:val="single" w:color="000000" w:sz="4" w:space="0" w:themeColor="light1"/>
        </w:tcBorders>
      </w:tcPr>
    </w:tblStylePr>
    <w:tblStylePr w:type="band1Vert">
      <w:tcPr>
        <w:shd w:val="clear" w:color="FFFFFF" w:themeFill="accent2" w:themeFillTint="97" w:themeColor="accent2" w:themeTint="97"/>
        <w:tcBorders>
          <w:left w:val="single" w:color="000000" w:sz="4" w:space="0" w:themeColor="light1"/>
          <w:right w:val="single" w:color="000000" w:sz="4" w:space="0" w:themeColor="light1"/>
        </w:tcBorders>
      </w:tcPr>
    </w:tblStylePr>
    <w:tblStylePr w:type="band2Horz">
      <w:tcPr>
        <w:shd w:val="clear" w:color="FFFFFF" w:themeFill="accent2" w:themeFillTint="97" w:themeColor="accent2" w:theme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themeFill="accent2" w:themeFillTint="97" w:themeColor="accent2" w:theme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980"/>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themeFill="accent3" w:themeFillTint="98" w:themeColor="accent3" w:themeTint="98"/>
    </w:tblPr>
    <w:tblStylePr w:type="band1Horz">
      <w:tcPr>
        <w:shd w:val="clear" w:color="FFFFFF" w:themeFill="accent3" w:themeFillTint="98" w:themeColor="accent3" w:themeTint="98"/>
        <w:tcBorders>
          <w:top w:val="single" w:color="000000" w:sz="4" w:space="0" w:themeColor="light1"/>
          <w:bottom w:val="single" w:color="000000" w:sz="4" w:space="0" w:themeColor="light1"/>
        </w:tcBorders>
      </w:tcPr>
    </w:tblStylePr>
    <w:tblStylePr w:type="band1Vert">
      <w:tcPr>
        <w:shd w:val="clear" w:color="FFFFFF" w:themeFill="accent3" w:themeFillTint="98" w:themeColor="accent3" w:themeTint="98"/>
        <w:tcBorders>
          <w:left w:val="single" w:color="000000" w:sz="4" w:space="0" w:themeColor="light1"/>
          <w:right w:val="single" w:color="000000" w:sz="4" w:space="0" w:themeColor="light1"/>
        </w:tcBorders>
      </w:tcPr>
    </w:tblStylePr>
    <w:tblStylePr w:type="band2Horz">
      <w:tcPr>
        <w:shd w:val="clear" w:color="FFFFFF" w:themeFill="accent3" w:themeFillTint="98" w:themeColor="accent3" w:theme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themeFill="accent3" w:themeFillTint="98" w:themeColor="accent3" w:theme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980"/>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themeFill="accent4" w:themeFillTint="9A" w:themeColor="accent4" w:themeTint="9A"/>
    </w:tblPr>
    <w:tblStylePr w:type="band1Horz">
      <w:tcPr>
        <w:shd w:val="clear" w:color="FFFFFF" w:themeFill="accent4" w:themeFillTint="9A" w:themeColor="accent4" w:themeTint="9A"/>
        <w:tcBorders>
          <w:top w:val="single" w:color="000000" w:sz="4" w:space="0" w:themeColor="light1"/>
          <w:bottom w:val="single" w:color="000000" w:sz="4" w:space="0" w:themeColor="light1"/>
        </w:tcBorders>
      </w:tcPr>
    </w:tblStylePr>
    <w:tblStylePr w:type="band1Vert">
      <w:tcPr>
        <w:shd w:val="clear" w:color="FFFFFF" w:themeFill="accent4" w:themeFillTint="9A" w:themeColor="accent4" w:themeTint="9A"/>
        <w:tcBorders>
          <w:left w:val="single" w:color="000000" w:sz="4" w:space="0" w:themeColor="light1"/>
          <w:right w:val="single" w:color="000000" w:sz="4" w:space="0" w:themeColor="light1"/>
        </w:tcBorders>
      </w:tcPr>
    </w:tblStylePr>
    <w:tblStylePr w:type="band2Horz">
      <w:tcPr>
        <w:shd w:val="clear" w:color="FFFFFF" w:themeFill="accent4" w:themeFillTint="9A" w:themeColor="accent4" w:theme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themeFill="accent4" w:themeFillTint="9A" w:themeColor="accent4" w:theme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980"/>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themeFill="accent5" w:themeFillTint="9A" w:themeColor="accent5" w:themeTint="9A"/>
    </w:tblPr>
    <w:tblStylePr w:type="band1Horz">
      <w:tcPr>
        <w:shd w:val="clear" w:color="FFFFFF" w:themeFill="accent5" w:themeFillTint="9A" w:themeColor="accent5" w:themeTint="9A"/>
        <w:tcBorders>
          <w:top w:val="single" w:color="000000" w:sz="4" w:space="0" w:themeColor="light1"/>
          <w:bottom w:val="single" w:color="000000" w:sz="4" w:space="0" w:themeColor="light1"/>
        </w:tcBorders>
      </w:tcPr>
    </w:tblStylePr>
    <w:tblStylePr w:type="band1Vert">
      <w:tcPr>
        <w:shd w:val="clear" w:color="FFFFFF" w:themeFill="accent5" w:themeFillTint="9A" w:themeColor="accent5" w:themeTint="9A"/>
        <w:tcBorders>
          <w:left w:val="single" w:color="000000" w:sz="4" w:space="0" w:themeColor="light1"/>
          <w:right w:val="single" w:color="000000" w:sz="4" w:space="0" w:themeColor="light1"/>
        </w:tcBorders>
      </w:tcPr>
    </w:tblStylePr>
    <w:tblStylePr w:type="band2Horz">
      <w:tcPr>
        <w:shd w:val="clear" w:color="FFFFFF" w:themeFill="accent5" w:themeFillTint="9A" w:themeColor="accent5" w:theme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themeFill="accent5" w:themeFillTint="9A" w:themeColor="accent5" w:theme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980"/>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themeFill="accent6" w:themeFillTint="98" w:themeColor="accent6" w:themeTint="98"/>
    </w:tblPr>
    <w:tblStylePr w:type="band1Horz">
      <w:tcPr>
        <w:shd w:val="clear" w:color="FFFFFF" w:themeFill="accent6" w:themeFillTint="98" w:themeColor="accent6" w:themeTint="98"/>
        <w:tcBorders>
          <w:top w:val="single" w:color="000000" w:sz="4" w:space="0" w:themeColor="light1"/>
          <w:bottom w:val="single" w:color="000000" w:sz="4" w:space="0" w:themeColor="light1"/>
        </w:tcBorders>
      </w:tcPr>
    </w:tblStylePr>
    <w:tblStylePr w:type="band1Vert">
      <w:tcPr>
        <w:shd w:val="clear" w:color="FFFFFF" w:themeFill="accent6" w:themeFillTint="98" w:themeColor="accent6" w:themeTint="98"/>
        <w:tcBorders>
          <w:left w:val="single" w:color="000000" w:sz="4" w:space="0" w:themeColor="light1"/>
          <w:right w:val="single" w:color="000000" w:sz="4" w:space="0" w:themeColor="light1"/>
        </w:tcBorders>
      </w:tcPr>
    </w:tblStylePr>
    <w:tblStylePr w:type="band2Horz">
      <w:tcPr>
        <w:shd w:val="clear" w:color="FFFFFF" w:themeFill="accent6" w:themeFillTint="98" w:themeColor="accent6" w:theme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themeFill="accent6" w:themeFillTint="98" w:themeColor="accent6" w:theme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980"/>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themeFill="text1" w:themeFillTint="40" w:themeColor="text1" w:themeTint="40"/>
      </w:tcPr>
    </w:tblStylePr>
    <w:tblStylePr w:type="band1Vert">
      <w:tcPr>
        <w:shd w:val="clear" w:color="FFFFFF" w:themeFill="text1" w:themeFillTint="40" w:themeColor="text1" w:theme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980"/>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themeFill="accent1" w:themeFillTint="40" w:themeColor="accent1" w:themeTint="40"/>
      </w:tcPr>
    </w:tblStylePr>
    <w:tblStylePr w:type="band1Vert">
      <w:tcPr>
        <w:shd w:val="clear" w:color="FFFFFF" w:themeFill="accent1" w:themeFillTint="40" w:themeColor="accent1" w:theme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sz="4" w:space="0" w:themeColor="accent1"/>
        </w:tcBorders>
      </w:tcPr>
    </w:tblStylePr>
    <w:tblStylePr w:type="lastCol">
      <w:rPr>
        <w:b/>
        <w:color w:val="245D8D" w:themeColor="accent1" w:themeShade="95"/>
      </w:rPr>
    </w:tblStylePr>
    <w:tblStylePr w:type="lastRow">
      <w:rPr>
        <w:b/>
        <w:color w:val="245D8D" w:themeColor="accent1" w:themeShade="95"/>
      </w:rPr>
      <w:tcPr>
        <w:tcBorders>
          <w:top w:val="single" w:color="000000" w:sz="4" w:space="0" w:themeColor="accent1"/>
        </w:tcBorders>
      </w:tcPr>
    </w:tblStylePr>
  </w:style>
  <w:style w:type="table" w:styleId="139">
    <w:name w:val="List Table 6 Colorful - Accent 2"/>
    <w:basedOn w:val="980"/>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themeFill="accent2" w:themeFillTint="40" w:themeColor="accent2" w:themeTint="40"/>
      </w:tcPr>
    </w:tblStylePr>
    <w:tblStylePr w:type="band1Vert">
      <w:tcPr>
        <w:shd w:val="clear" w:color="FFFFFF" w:themeFill="accent2" w:themeFillTint="40" w:themeColor="accent2" w:theme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980"/>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themeFill="accent3" w:themeFillTint="40" w:themeColor="accent3" w:themeTint="40"/>
      </w:tcPr>
    </w:tblStylePr>
    <w:tblStylePr w:type="band1Vert">
      <w:tcPr>
        <w:shd w:val="clear" w:color="FFFFFF" w:themeFill="accent3" w:themeFillTint="40" w:themeColor="accent3" w:theme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980"/>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themeFill="accent4" w:themeFillTint="40" w:themeColor="accent4" w:themeTint="40"/>
      </w:tcPr>
    </w:tblStylePr>
    <w:tblStylePr w:type="band1Vert">
      <w:tcPr>
        <w:shd w:val="clear" w:color="FFFFFF" w:themeFill="accent4" w:themeFillTint="40" w:themeColor="accent4" w:theme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980"/>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themeFill="accent5" w:themeFillTint="40" w:themeColor="accent5" w:themeTint="40"/>
      </w:tcPr>
    </w:tblStylePr>
    <w:tblStylePr w:type="band1Vert">
      <w:tcPr>
        <w:shd w:val="clear" w:color="FFFFFF" w:themeFill="accent5" w:themeFillTint="40" w:themeColor="accent5" w:theme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sz="4" w:space="0" w:themeColor="accent5" w:themeTint="9A"/>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sz="4" w:space="0" w:themeColor="accent5" w:themeTint="9A"/>
        </w:tcBorders>
      </w:tcPr>
    </w:tblStylePr>
  </w:style>
  <w:style w:type="table" w:styleId="143">
    <w:name w:val="List Table 6 Colorful - Accent 6"/>
    <w:basedOn w:val="980"/>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themeFill="accent6" w:themeFillTint="40" w:themeColor="accent6" w:themeTint="40"/>
      </w:tcPr>
    </w:tblStylePr>
    <w:tblStylePr w:type="band1Vert">
      <w:tcPr>
        <w:shd w:val="clear" w:color="FFFFFF" w:themeFill="accent6" w:themeFillTint="40" w:themeColor="accent6" w:theme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980"/>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themeFill="text1" w:themeFillTint="40" w:themeColor="text1" w:themeTint="40"/>
      </w:tcPr>
    </w:tblStylePr>
    <w:tblStylePr w:type="band1Vert">
      <w:tcPr>
        <w:shd w:val="clear" w:color="FFFFFF" w:themeFill="text1" w:themeFillTint="40" w:themeColor="text1" w:theme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FFFFFF" w:themeFill="light1" w:themeColor="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FFFFFF" w:themeFill="light1" w:themeColor="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980"/>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45D8D" w:themeColor="accent1" w:themeShade="95"/>
        <w:sz w:val="22"/>
      </w:rPr>
      <w:tcPr>
        <w:shd w:val="clear" w:color="FFFFFF" w:themeFill="accent1" w:themeFillTint="40" w:themeColor="accent1" w:themeTint="40"/>
      </w:tcPr>
    </w:tblStylePr>
    <w:tblStylePr w:type="band1Vert">
      <w:tcPr>
        <w:shd w:val="clear" w:color="FFFFFF" w:themeFill="accent1" w:themeFillTint="40" w:themeColor="accent1" w:theme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color="FFFFFF"/>
        <w:tcBorders>
          <w:left w:val="none"/>
          <w:top w:val="none"/>
          <w:right w:val="single" w:color="000000" w:sz="4" w:space="0" w:themeColor="accent1"/>
          <w:bottom w:val="none"/>
        </w:tcBorders>
      </w:tcPr>
    </w:tblStylePr>
    <w:tblStylePr w:type="firstRow">
      <w:rPr>
        <w:rFonts w:ascii="Arial" w:hAnsi="Arial"/>
        <w:i/>
        <w:color w:val="245D8D" w:themeColor="accent1" w:themeShade="95"/>
        <w:sz w:val="22"/>
      </w:rPr>
      <w:tcPr>
        <w:shd w:val="clear" w:color="FFFFFF" w:themeFill="light1" w:themeColor="light1"/>
        <w:tcBorders>
          <w:left w:val="none"/>
          <w:top w:val="none"/>
          <w:right w:val="none"/>
          <w:bottom w:val="single" w:color="000000" w:sz="4" w:space="0" w:themeColor="accent1"/>
        </w:tcBorders>
      </w:tcPr>
    </w:tblStylePr>
    <w:tblStylePr w:type="lastCol">
      <w:rPr>
        <w:rFonts w:ascii="Arial" w:hAnsi="Arial"/>
        <w:i/>
        <w:color w:val="245D8D" w:themeColor="accent1" w:themeShade="95"/>
        <w:sz w:val="22"/>
      </w:rPr>
      <w:tcPr>
        <w:shd w:color="FFFFFF"/>
        <w:tcBorders>
          <w:left w:val="single" w:color="000000" w:sz="4" w:space="0" w:themeColor="accent1"/>
          <w:top w:val="none"/>
          <w:right w:val="none"/>
          <w:bottom w:val="none"/>
        </w:tcBorders>
      </w:tcPr>
    </w:tblStylePr>
    <w:tblStylePr w:type="lastRow">
      <w:rPr>
        <w:rFonts w:ascii="Arial" w:hAnsi="Arial"/>
        <w:i/>
        <w:color w:val="245D8D" w:themeColor="accent1" w:themeShade="95"/>
        <w:sz w:val="22"/>
      </w:rPr>
      <w:tcPr>
        <w:shd w:val="clear" w:color="FFFFFF" w:themeFill="light1" w:themeColor="light1"/>
        <w:tcBorders>
          <w:left w:val="none"/>
          <w:top w:val="single" w:color="000000" w:sz="4" w:space="0" w:themeColor="accent1"/>
          <w:right w:val="none"/>
          <w:bottom w:val="none"/>
        </w:tcBorders>
      </w:tcPr>
    </w:tblStylePr>
    <w:tblStylePr w:type="wholeTable">
      <w:rPr>
        <w:rFonts w:ascii="Arial" w:hAnsi="Arial"/>
        <w:color w:val="245D8D" w:themeColor="accent1" w:themeShade="95"/>
        <w:sz w:val="22"/>
      </w:rPr>
    </w:tblStylePr>
  </w:style>
  <w:style w:type="table" w:styleId="146">
    <w:name w:val="List Table 7 Colorful - Accent 2"/>
    <w:basedOn w:val="980"/>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FFFFFF" w:themeFill="accent2" w:themeFillTint="40" w:themeColor="accent2" w:themeTint="40"/>
      </w:tcPr>
    </w:tblStylePr>
    <w:tblStylePr w:type="band1Vert">
      <w:tcPr>
        <w:shd w:val="clear" w:color="FFFFFF" w:themeFill="accent2" w:themeFillTint="40" w:themeColor="accent2" w:theme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color="FFFFFF" w:themeFill="light1" w:themeColor="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color="FFFFFF" w:themeFill="light1" w:themeColor="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980"/>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FFFFFF" w:themeFill="accent3" w:themeFillTint="40" w:themeColor="accent3" w:themeTint="40"/>
      </w:tcPr>
    </w:tblStylePr>
    <w:tblStylePr w:type="band1Vert">
      <w:tcPr>
        <w:shd w:val="clear" w:color="FFFFFF" w:themeFill="accent3" w:themeFillTint="40" w:themeColor="accent3" w:theme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color="FFFFFF" w:themeFill="light1" w:themeColor="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color="FFFFFF" w:themeFill="light1" w:themeColor="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980"/>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FFFFFF" w:themeFill="accent4" w:themeFillTint="40" w:themeColor="accent4" w:themeTint="40"/>
      </w:tcPr>
    </w:tblStylePr>
    <w:tblStylePr w:type="band1Vert">
      <w:tcPr>
        <w:shd w:val="clear" w:color="FFFFFF" w:themeFill="accent4" w:themeFillTint="40" w:themeColor="accent4" w:theme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color="FFFFFF" w:themeFill="light1" w:themeColor="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color="FFFFFF" w:themeFill="light1" w:themeColor="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980"/>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5E9E" w:themeColor="accent5" w:themeTint="9A" w:themeShade="95"/>
        <w:sz w:val="22"/>
      </w:rPr>
      <w:tcPr>
        <w:shd w:val="clear" w:color="FFFFFF" w:themeFill="accent5" w:themeFillTint="40" w:themeColor="accent5" w:themeTint="40"/>
      </w:tcPr>
    </w:tblStylePr>
    <w:tblStylePr w:type="band1Vert">
      <w:tcPr>
        <w:shd w:val="clear" w:color="FFFFFF" w:themeFill="accent5" w:themeFillTint="40" w:themeColor="accent5" w:theme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color="FFFFFF"/>
        <w:tcBorders>
          <w:left w:val="none"/>
          <w:top w:val="none"/>
          <w:right w:val="single" w:color="000000" w:sz="4" w:space="0" w:themeColor="accent5" w:themeTint="9A"/>
          <w:bottom w:val="none"/>
        </w:tcBorders>
      </w:tcPr>
    </w:tblStylePr>
    <w:tblStylePr w:type="firstRow">
      <w:rPr>
        <w:rFonts w:ascii="Arial" w:hAnsi="Arial"/>
        <w:i/>
        <w:color w:val="335E9E" w:themeColor="accent5" w:themeTint="9A" w:themeShade="95"/>
        <w:sz w:val="22"/>
      </w:rPr>
      <w:tcPr>
        <w:shd w:val="clear" w:color="FFFFFF" w:themeFill="light1" w:themeColor="light1"/>
        <w:tcBorders>
          <w:left w:val="none"/>
          <w:top w:val="none"/>
          <w:right w:val="none"/>
          <w:bottom w:val="single" w:color="000000" w:sz="4" w:space="0" w:themeColor="accent5" w:themeTint="9A"/>
        </w:tcBorders>
      </w:tcPr>
    </w:tblStylePr>
    <w:tblStylePr w:type="lastCol">
      <w:rPr>
        <w:rFonts w:ascii="Arial" w:hAnsi="Arial"/>
        <w:i/>
        <w:color w:val="335E9E" w:themeColor="accent5" w:themeTint="9A" w:themeShade="95"/>
        <w:sz w:val="22"/>
      </w:rPr>
      <w:tcPr>
        <w:shd w:color="FFFFFF"/>
        <w:tcBorders>
          <w:left w:val="single" w:color="000000" w:sz="4" w:space="0" w:themeColor="accent5" w:themeTint="9A"/>
          <w:top w:val="none"/>
          <w:right w:val="none"/>
          <w:bottom w:val="none"/>
        </w:tcBorders>
      </w:tcPr>
    </w:tblStylePr>
    <w:tblStylePr w:type="lastRow">
      <w:rPr>
        <w:rFonts w:ascii="Arial" w:hAnsi="Arial"/>
        <w:i/>
        <w:color w:val="335E9E" w:themeColor="accent5" w:themeTint="9A" w:themeShade="95"/>
        <w:sz w:val="22"/>
      </w:rPr>
      <w:tcPr>
        <w:shd w:val="clear" w:color="FFFFFF" w:themeFill="light1" w:themeColor="light1"/>
        <w:tcBorders>
          <w:left w:val="none"/>
          <w:top w:val="single" w:color="000000" w:sz="4" w:space="0" w:themeColor="accent5" w:themeTint="9A"/>
          <w:right w:val="none"/>
          <w:bottom w:val="none"/>
        </w:tcBorders>
      </w:tcPr>
    </w:tblStylePr>
    <w:tblStylePr w:type="wholeTable">
      <w:rPr>
        <w:rFonts w:ascii="Arial" w:hAnsi="Arial"/>
        <w:color w:val="335E9E" w:themeColor="accent5" w:themeTint="9A" w:themeShade="95"/>
        <w:sz w:val="22"/>
      </w:rPr>
    </w:tblStylePr>
  </w:style>
  <w:style w:type="table" w:styleId="150">
    <w:name w:val="List Table 7 Colorful - Accent 6"/>
    <w:basedOn w:val="980"/>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FFFFFF" w:themeFill="accent6" w:themeFillTint="40" w:themeColor="accent6" w:themeTint="40"/>
      </w:tcPr>
    </w:tblStylePr>
    <w:tblStylePr w:type="band1Vert">
      <w:tcPr>
        <w:shd w:val="clear" w:color="FFFFFF" w:themeFill="accent6" w:themeFillTint="40" w:themeColor="accent6" w:theme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color="FFFFFF" w:themeFill="light1" w:themeColor="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color="FFFFFF" w:themeFill="light1" w:themeColor="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98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text1" w:themeFillTint="0D" w:themeColor="text1" w:themeTint="0D"/>
      </w:tcPr>
    </w:tblStylePr>
    <w:tblStylePr w:type="band2Vert">
      <w:rPr>
        <w:rFonts w:ascii="Arial" w:hAnsi="Arial"/>
        <w:color w:val="404040"/>
        <w:sz w:val="22"/>
      </w:rPr>
      <w:tcPr>
        <w:shd w:val="clear" w:color="FFFFFF" w:themeFill="text1" w:themeFillTint="0D" w:themeColor="text1" w:themeTint="0D"/>
      </w:tcPr>
    </w:tblStylePr>
    <w:tblStylePr w:type="firstCol">
      <w:rPr>
        <w:rFonts w:ascii="Arial" w:hAnsi="Arial"/>
        <w:color w:val="F2F2F2"/>
        <w:sz w:val="22"/>
      </w:rPr>
      <w:tcPr>
        <w:shd w:val="clear" w:color="FFFFFF" w:themeFill="text1" w:themeFillTint="80" w:themeColor="text1" w:themeTint="80"/>
      </w:tcPr>
    </w:tblStylePr>
    <w:tblStylePr w:type="firstRow">
      <w:rPr>
        <w:rFonts w:ascii="Arial" w:hAnsi="Arial"/>
        <w:color w:val="F2F2F2"/>
        <w:sz w:val="22"/>
      </w:rPr>
      <w:tcPr>
        <w:shd w:val="clear" w:color="FFFFFF" w:themeFill="text1" w:themeFillTint="80" w:themeColor="text1" w:themeTint="80"/>
      </w:tcPr>
    </w:tblStylePr>
    <w:tblStylePr w:type="lastCol">
      <w:rPr>
        <w:rFonts w:ascii="Arial" w:hAnsi="Arial"/>
        <w:color w:val="F2F2F2"/>
        <w:sz w:val="22"/>
      </w:rPr>
      <w:tcPr>
        <w:shd w:val="clear" w:color="FFFFFF" w:themeFill="text1" w:themeFillTint="80" w:themeColor="text1" w:themeTint="80"/>
      </w:tcPr>
    </w:tblStylePr>
    <w:tblStylePr w:type="lastRow">
      <w:rPr>
        <w:rFonts w:ascii="Arial" w:hAnsi="Arial"/>
        <w:color w:val="F2F2F2"/>
        <w:sz w:val="22"/>
      </w:rPr>
      <w:tcPr>
        <w:shd w:val="clear" w:color="FFFFFF" w:themeFill="text1" w:themeFillTint="80" w:themeColor="text1" w:themeTint="80"/>
      </w:tcPr>
    </w:tblStylePr>
  </w:style>
  <w:style w:type="table" w:styleId="152">
    <w:name w:val="Lined - Accent 1"/>
    <w:basedOn w:val="98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1" w:themeFillTint="50" w:themeColor="accent1" w:themeTint="50"/>
      </w:tcPr>
    </w:tblStylePr>
    <w:tblStylePr w:type="band2Vert">
      <w:rPr>
        <w:rFonts w:ascii="Arial" w:hAnsi="Arial"/>
        <w:color w:val="404040"/>
        <w:sz w:val="22"/>
      </w:rPr>
      <w:tcPr>
        <w:shd w:val="clear" w:color="FFFFFF" w:themeFill="accent1" w:themeFillTint="50" w:themeColor="accent1" w:themeTint="50"/>
      </w:tcPr>
    </w:tblStylePr>
    <w:tblStylePr w:type="firstCol">
      <w:rPr>
        <w:rFonts w:ascii="Arial" w:hAnsi="Arial"/>
        <w:color w:val="F2F2F2"/>
        <w:sz w:val="22"/>
      </w:rPr>
      <w:tcPr>
        <w:shd w:val="clear" w:color="FFFFFF" w:themeFill="accent1" w:themeFillTint="EA" w:themeColor="accent1" w:themeTint="EA"/>
      </w:tcPr>
    </w:tblStylePr>
    <w:tblStylePr w:type="firstRow">
      <w:rPr>
        <w:rFonts w:ascii="Arial" w:hAnsi="Arial"/>
        <w:color w:val="F2F2F2"/>
        <w:sz w:val="22"/>
      </w:rPr>
      <w:tcPr>
        <w:shd w:val="clear" w:color="FFFFFF" w:themeFill="accent1" w:themeFillTint="EA" w:themeColor="accent1" w:themeTint="EA"/>
      </w:tcPr>
    </w:tblStylePr>
    <w:tblStylePr w:type="lastCol">
      <w:rPr>
        <w:rFonts w:ascii="Arial" w:hAnsi="Arial"/>
        <w:color w:val="F2F2F2"/>
        <w:sz w:val="22"/>
      </w:rPr>
      <w:tcPr>
        <w:shd w:val="clear" w:color="FFFFFF" w:themeFill="accent1" w:themeFillTint="EA" w:themeColor="accent1" w:themeTint="EA"/>
      </w:tcPr>
    </w:tblStylePr>
    <w:tblStylePr w:type="lastRow">
      <w:rPr>
        <w:rFonts w:ascii="Arial" w:hAnsi="Arial"/>
        <w:color w:val="F2F2F2"/>
        <w:sz w:val="22"/>
      </w:rPr>
      <w:tcPr>
        <w:shd w:val="clear" w:color="FFFFFF" w:themeFill="accent1" w:themeFillTint="EA" w:themeColor="accent1" w:themeTint="EA"/>
      </w:tcPr>
    </w:tblStylePr>
  </w:style>
  <w:style w:type="table" w:styleId="153">
    <w:name w:val="Lined - Accent 2"/>
    <w:basedOn w:val="98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2" w:themeFillTint="32" w:themeColor="accent2" w:themeTint="32"/>
      </w:tcPr>
    </w:tblStylePr>
    <w:tblStylePr w:type="band2Vert">
      <w:rPr>
        <w:rFonts w:ascii="Arial" w:hAnsi="Arial"/>
        <w:color w:val="404040"/>
        <w:sz w:val="22"/>
      </w:rPr>
      <w:tcPr>
        <w:shd w:val="clear" w:color="FFFFFF" w:themeFill="accent2" w:themeFillTint="32" w:themeColor="accent2" w:themeTint="32"/>
      </w:tcPr>
    </w:tblStylePr>
    <w:tblStylePr w:type="firstCol">
      <w:rPr>
        <w:rFonts w:ascii="Arial" w:hAnsi="Arial"/>
        <w:color w:val="F2F2F2"/>
        <w:sz w:val="22"/>
      </w:rPr>
      <w:tcPr>
        <w:shd w:val="clear" w:color="FFFFFF" w:themeFill="accent2" w:themeFillTint="97" w:themeColor="accent2" w:themeTint="97"/>
      </w:tcPr>
    </w:tblStylePr>
    <w:tblStylePr w:type="firstRow">
      <w:rPr>
        <w:rFonts w:ascii="Arial" w:hAnsi="Arial"/>
        <w:color w:val="F2F2F2"/>
        <w:sz w:val="22"/>
      </w:rPr>
      <w:tcPr>
        <w:shd w:val="clear" w:color="FFFFFF" w:themeFill="accent2" w:themeFillTint="97" w:themeColor="accent2" w:themeTint="97"/>
      </w:tcPr>
    </w:tblStylePr>
    <w:tblStylePr w:type="lastCol">
      <w:rPr>
        <w:rFonts w:ascii="Arial" w:hAnsi="Arial"/>
        <w:color w:val="F2F2F2"/>
        <w:sz w:val="22"/>
      </w:rPr>
      <w:tcPr>
        <w:shd w:val="clear" w:color="FFFFFF" w:themeFill="accent2" w:themeFillTint="97" w:themeColor="accent2" w:themeTint="97"/>
      </w:tcPr>
    </w:tblStylePr>
    <w:tblStylePr w:type="lastRow">
      <w:rPr>
        <w:rFonts w:ascii="Arial" w:hAnsi="Arial"/>
        <w:color w:val="F2F2F2"/>
        <w:sz w:val="22"/>
      </w:rPr>
      <w:tcPr>
        <w:shd w:val="clear" w:color="FFFFFF" w:themeFill="accent2" w:themeFillTint="97" w:themeColor="accent2" w:themeTint="97"/>
      </w:tcPr>
    </w:tblStylePr>
  </w:style>
  <w:style w:type="table" w:styleId="154">
    <w:name w:val="Lined - Accent 3"/>
    <w:basedOn w:val="98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3" w:themeFillTint="34" w:themeColor="accent3" w:themeTint="34"/>
      </w:tcPr>
    </w:tblStylePr>
    <w:tblStylePr w:type="band2Vert">
      <w:rPr>
        <w:rFonts w:ascii="Arial" w:hAnsi="Arial"/>
        <w:color w:val="404040"/>
        <w:sz w:val="22"/>
      </w:rPr>
      <w:tcPr>
        <w:shd w:val="clear" w:color="FFFFFF" w:themeFill="accent3" w:themeFillTint="34" w:themeColor="accent3" w:themeTint="34"/>
      </w:tcPr>
    </w:tblStylePr>
    <w:tblStylePr w:type="firstCol">
      <w:rPr>
        <w:rFonts w:ascii="Arial" w:hAnsi="Arial"/>
        <w:color w:val="F2F2F2"/>
        <w:sz w:val="22"/>
      </w:rPr>
      <w:tcPr>
        <w:shd w:val="clear" w:color="FFFFFF" w:themeFill="accent3" w:themeFillTint="FE" w:themeColor="accent3" w:themeTint="FE"/>
      </w:tcPr>
    </w:tblStylePr>
    <w:tblStylePr w:type="firstRow">
      <w:rPr>
        <w:rFonts w:ascii="Arial" w:hAnsi="Arial"/>
        <w:color w:val="F2F2F2"/>
        <w:sz w:val="22"/>
      </w:rPr>
      <w:tcPr>
        <w:shd w:val="clear" w:color="FFFFFF" w:themeFill="accent3" w:themeFillTint="FE" w:themeColor="accent3" w:themeTint="FE"/>
      </w:tcPr>
    </w:tblStylePr>
    <w:tblStylePr w:type="lastCol">
      <w:rPr>
        <w:rFonts w:ascii="Arial" w:hAnsi="Arial"/>
        <w:color w:val="F2F2F2"/>
        <w:sz w:val="22"/>
      </w:rPr>
      <w:tcPr>
        <w:shd w:val="clear" w:color="FFFFFF" w:themeFill="accent3" w:themeFillTint="FE" w:themeColor="accent3" w:themeTint="FE"/>
      </w:tcPr>
    </w:tblStylePr>
    <w:tblStylePr w:type="lastRow">
      <w:rPr>
        <w:rFonts w:ascii="Arial" w:hAnsi="Arial"/>
        <w:color w:val="F2F2F2"/>
        <w:sz w:val="22"/>
      </w:rPr>
      <w:tcPr>
        <w:shd w:val="clear" w:color="FFFFFF" w:themeFill="accent3" w:themeFillTint="FE" w:themeColor="accent3" w:themeTint="FE"/>
      </w:tcPr>
    </w:tblStylePr>
  </w:style>
  <w:style w:type="table" w:styleId="155">
    <w:name w:val="Lined - Accent 4"/>
    <w:basedOn w:val="98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4" w:themeFillTint="34" w:themeColor="accent4" w:themeTint="34"/>
      </w:tcPr>
    </w:tblStylePr>
    <w:tblStylePr w:type="band2Vert">
      <w:rPr>
        <w:rFonts w:ascii="Arial" w:hAnsi="Arial"/>
        <w:color w:val="404040"/>
        <w:sz w:val="22"/>
      </w:rPr>
      <w:tcPr>
        <w:shd w:val="clear" w:color="FFFFFF" w:themeFill="accent4" w:themeFillTint="34" w:themeColor="accent4" w:themeTint="34"/>
      </w:tcPr>
    </w:tblStylePr>
    <w:tblStylePr w:type="firstCol">
      <w:rPr>
        <w:rFonts w:ascii="Arial" w:hAnsi="Arial"/>
        <w:color w:val="F2F2F2"/>
        <w:sz w:val="22"/>
      </w:rPr>
      <w:tcPr>
        <w:shd w:val="clear" w:color="FFFFFF" w:themeFill="accent4" w:themeFillTint="9A" w:themeColor="accent4" w:themeTint="9A"/>
      </w:tcPr>
    </w:tblStylePr>
    <w:tblStylePr w:type="firstRow">
      <w:rPr>
        <w:rFonts w:ascii="Arial" w:hAnsi="Arial"/>
        <w:color w:val="F2F2F2"/>
        <w:sz w:val="22"/>
      </w:rPr>
      <w:tcPr>
        <w:shd w:val="clear" w:color="FFFFFF" w:themeFill="accent4" w:themeFillTint="9A" w:themeColor="accent4" w:themeTint="9A"/>
      </w:tcPr>
    </w:tblStylePr>
    <w:tblStylePr w:type="lastCol">
      <w:rPr>
        <w:rFonts w:ascii="Arial" w:hAnsi="Arial"/>
        <w:color w:val="F2F2F2"/>
        <w:sz w:val="22"/>
      </w:rPr>
      <w:tcPr>
        <w:shd w:val="clear" w:color="FFFFFF" w:themeFill="accent4" w:themeFillTint="9A" w:themeColor="accent4" w:themeTint="9A"/>
      </w:tcPr>
    </w:tblStylePr>
    <w:tblStylePr w:type="lastRow">
      <w:rPr>
        <w:rFonts w:ascii="Arial" w:hAnsi="Arial"/>
        <w:color w:val="F2F2F2"/>
        <w:sz w:val="22"/>
      </w:rPr>
      <w:tcPr>
        <w:shd w:val="clear" w:color="FFFFFF" w:themeFill="accent4" w:themeFillTint="9A" w:themeColor="accent4" w:themeTint="9A"/>
      </w:tcPr>
    </w:tblStylePr>
  </w:style>
  <w:style w:type="table" w:styleId="156">
    <w:name w:val="Lined - Accent 5"/>
    <w:basedOn w:val="98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5" w:themeFillTint="34" w:themeColor="accent5" w:themeTint="34"/>
      </w:tcPr>
    </w:tblStylePr>
    <w:tblStylePr w:type="band2Vert">
      <w:rPr>
        <w:rFonts w:ascii="Arial" w:hAnsi="Arial"/>
        <w:color w:val="404040"/>
        <w:sz w:val="22"/>
      </w:rPr>
      <w:tcPr>
        <w:shd w:val="clear" w:color="FFFFFF" w:themeFill="accent5" w:themeFillTint="34" w:themeColor="accent5" w:themeTint="34"/>
      </w:tcPr>
    </w:tblStylePr>
    <w:tblStylePr w:type="firstCol">
      <w:rPr>
        <w:rFonts w:ascii="Arial" w:hAnsi="Arial"/>
        <w:color w:val="F2F2F2"/>
        <w:sz w:val="22"/>
      </w:rPr>
      <w:tcPr>
        <w:shd w:val="clear" w:color="FFFFFF" w:themeFill="accent5" w:themeColor="accent5"/>
      </w:tcPr>
    </w:tblStylePr>
    <w:tblStylePr w:type="firstRow">
      <w:rPr>
        <w:rFonts w:ascii="Arial" w:hAnsi="Arial"/>
        <w:color w:val="F2F2F2"/>
        <w:sz w:val="22"/>
      </w:rPr>
      <w:tcPr>
        <w:shd w:val="clear" w:color="FFFFFF" w:themeFill="accent5" w:themeColor="accent5"/>
      </w:tcPr>
    </w:tblStylePr>
    <w:tblStylePr w:type="lastCol">
      <w:rPr>
        <w:rFonts w:ascii="Arial" w:hAnsi="Arial"/>
        <w:color w:val="F2F2F2"/>
        <w:sz w:val="22"/>
      </w:rPr>
      <w:tcPr>
        <w:shd w:val="clear" w:color="FFFFFF" w:themeFill="accent5" w:themeColor="accent5"/>
      </w:tcPr>
    </w:tblStylePr>
    <w:tblStylePr w:type="lastRow">
      <w:rPr>
        <w:rFonts w:ascii="Arial" w:hAnsi="Arial"/>
        <w:color w:val="F2F2F2"/>
        <w:sz w:val="22"/>
      </w:rPr>
      <w:tcPr>
        <w:shd w:val="clear" w:color="FFFFFF" w:themeFill="accent5" w:themeColor="accent5"/>
      </w:tcPr>
    </w:tblStylePr>
  </w:style>
  <w:style w:type="table" w:styleId="157">
    <w:name w:val="Lined - Accent 6"/>
    <w:basedOn w:val="98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6" w:themeFillTint="34" w:themeColor="accent6" w:themeTint="34"/>
      </w:tcPr>
    </w:tblStylePr>
    <w:tblStylePr w:type="band2Vert">
      <w:rPr>
        <w:rFonts w:ascii="Arial" w:hAnsi="Arial"/>
        <w:color w:val="404040"/>
        <w:sz w:val="22"/>
      </w:rPr>
      <w:tcPr>
        <w:shd w:val="clear" w:color="FFFFFF" w:themeFill="accent6" w:themeFillTint="34" w:themeColor="accent6" w:themeTint="34"/>
      </w:tcPr>
    </w:tblStylePr>
    <w:tblStylePr w:type="firstCol">
      <w:rPr>
        <w:rFonts w:ascii="Arial" w:hAnsi="Arial"/>
        <w:color w:val="F2F2F2"/>
        <w:sz w:val="22"/>
      </w:rPr>
      <w:tcPr>
        <w:shd w:val="clear" w:color="FFFFFF" w:themeFill="accent6" w:themeColor="accent6"/>
      </w:tcPr>
    </w:tblStylePr>
    <w:tblStylePr w:type="firstRow">
      <w:rPr>
        <w:rFonts w:ascii="Arial" w:hAnsi="Arial"/>
        <w:color w:val="F2F2F2"/>
        <w:sz w:val="22"/>
      </w:rPr>
      <w:tcPr>
        <w:shd w:val="clear" w:color="FFFFFF" w:themeFill="accent6" w:themeColor="accent6"/>
      </w:tcPr>
    </w:tblStylePr>
    <w:tblStylePr w:type="lastCol">
      <w:rPr>
        <w:rFonts w:ascii="Arial" w:hAnsi="Arial"/>
        <w:color w:val="F2F2F2"/>
        <w:sz w:val="22"/>
      </w:rPr>
      <w:tcPr>
        <w:shd w:val="clear" w:color="FFFFFF" w:themeFill="accent6" w:themeColor="accent6"/>
      </w:tcPr>
    </w:tblStylePr>
    <w:tblStylePr w:type="lastRow">
      <w:rPr>
        <w:rFonts w:ascii="Arial" w:hAnsi="Arial"/>
        <w:color w:val="F2F2F2"/>
        <w:sz w:val="22"/>
      </w:rPr>
      <w:tcPr>
        <w:shd w:val="clear" w:color="FFFFFF" w:themeFill="accent6" w:themeColor="accent6"/>
      </w:tcPr>
    </w:tblStylePr>
  </w:style>
  <w:style w:type="table" w:styleId="158">
    <w:name w:val="Bordered &amp; Lined - Accent"/>
    <w:basedOn w:val="980"/>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text1" w:themeFillTint="0D" w:themeColor="text1" w:themeTint="0D"/>
      </w:tcPr>
    </w:tblStylePr>
    <w:tblStylePr w:type="band2Vert">
      <w:rPr>
        <w:rFonts w:ascii="Arial" w:hAnsi="Arial"/>
        <w:color w:val="404040"/>
        <w:sz w:val="22"/>
      </w:rPr>
      <w:tcPr>
        <w:shd w:val="clear" w:color="FFFFFF" w:themeFill="text1" w:themeFillTint="0D" w:themeColor="text1" w:themeTint="0D"/>
      </w:tcPr>
    </w:tblStylePr>
    <w:tblStylePr w:type="firstCol">
      <w:rPr>
        <w:rFonts w:ascii="Arial" w:hAnsi="Arial"/>
        <w:color w:val="F2F2F2"/>
        <w:sz w:val="22"/>
      </w:rPr>
      <w:tcPr>
        <w:shd w:val="clear" w:color="FFFFFF" w:themeFill="text1" w:themeFillTint="80" w:themeColor="text1" w:themeTint="80"/>
      </w:tcPr>
    </w:tblStylePr>
    <w:tblStylePr w:type="firstRow">
      <w:rPr>
        <w:rFonts w:ascii="Arial" w:hAnsi="Arial"/>
        <w:color w:val="F2F2F2"/>
        <w:sz w:val="22"/>
      </w:rPr>
      <w:tcPr>
        <w:shd w:val="clear" w:color="FFFFFF" w:themeFill="text1" w:themeFillTint="80" w:themeColor="text1" w:themeTint="80"/>
      </w:tcPr>
    </w:tblStylePr>
    <w:tblStylePr w:type="lastCol">
      <w:rPr>
        <w:rFonts w:ascii="Arial" w:hAnsi="Arial"/>
        <w:color w:val="F2F2F2"/>
        <w:sz w:val="22"/>
      </w:rPr>
      <w:tcPr>
        <w:shd w:val="clear" w:color="FFFFFF" w:themeFill="text1" w:themeFillTint="80" w:themeColor="text1" w:themeTint="80"/>
      </w:tcPr>
    </w:tblStylePr>
    <w:tblStylePr w:type="lastRow">
      <w:rPr>
        <w:rFonts w:ascii="Arial" w:hAnsi="Arial"/>
        <w:color w:val="F2F2F2"/>
        <w:sz w:val="22"/>
      </w:rPr>
      <w:tcPr>
        <w:shd w:val="clear" w:color="FFFFFF" w:themeFill="text1" w:themeFillTint="80" w:themeColor="text1" w:themeTint="80"/>
      </w:tcPr>
    </w:tblStylePr>
  </w:style>
  <w:style w:type="table" w:styleId="159">
    <w:name w:val="Bordered &amp; Lined - Accent 1"/>
    <w:basedOn w:val="980"/>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1" w:themeFillTint="50" w:themeColor="accent1" w:themeTint="50"/>
      </w:tcPr>
    </w:tblStylePr>
    <w:tblStylePr w:type="band2Vert">
      <w:rPr>
        <w:rFonts w:ascii="Arial" w:hAnsi="Arial"/>
        <w:color w:val="404040"/>
        <w:sz w:val="22"/>
      </w:rPr>
      <w:tcPr>
        <w:shd w:val="clear" w:color="FFFFFF" w:themeFill="accent1" w:themeFillTint="50" w:themeColor="accent1" w:themeTint="50"/>
      </w:tcPr>
    </w:tblStylePr>
    <w:tblStylePr w:type="firstCol">
      <w:rPr>
        <w:rFonts w:ascii="Arial" w:hAnsi="Arial"/>
        <w:color w:val="F2F2F2"/>
        <w:sz w:val="22"/>
      </w:rPr>
      <w:tcPr>
        <w:shd w:val="clear" w:color="FFFFFF" w:themeFill="accent1" w:themeFillTint="EA" w:themeColor="accent1" w:themeTint="EA"/>
      </w:tcPr>
    </w:tblStylePr>
    <w:tblStylePr w:type="firstRow">
      <w:rPr>
        <w:rFonts w:ascii="Arial" w:hAnsi="Arial"/>
        <w:color w:val="F2F2F2"/>
        <w:sz w:val="22"/>
      </w:rPr>
      <w:tcPr>
        <w:shd w:val="clear" w:color="FFFFFF" w:themeFill="accent1" w:themeFillTint="EA" w:themeColor="accent1" w:themeTint="EA"/>
      </w:tcPr>
    </w:tblStylePr>
    <w:tblStylePr w:type="lastCol">
      <w:rPr>
        <w:rFonts w:ascii="Arial" w:hAnsi="Arial"/>
        <w:color w:val="F2F2F2"/>
        <w:sz w:val="22"/>
      </w:rPr>
      <w:tcPr>
        <w:shd w:val="clear" w:color="FFFFFF" w:themeFill="accent1" w:themeFillTint="EA" w:themeColor="accent1" w:themeTint="EA"/>
      </w:tcPr>
    </w:tblStylePr>
    <w:tblStylePr w:type="lastRow">
      <w:rPr>
        <w:rFonts w:ascii="Arial" w:hAnsi="Arial"/>
        <w:color w:val="F2F2F2"/>
        <w:sz w:val="22"/>
      </w:rPr>
      <w:tcPr>
        <w:shd w:val="clear" w:color="FFFFFF" w:themeFill="accent1" w:themeFillTint="EA" w:themeColor="accent1" w:themeTint="EA"/>
      </w:tcPr>
    </w:tblStylePr>
  </w:style>
  <w:style w:type="table" w:styleId="160">
    <w:name w:val="Bordered &amp; Lined - Accent 2"/>
    <w:basedOn w:val="980"/>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2" w:themeFillTint="32" w:themeColor="accent2" w:themeTint="32"/>
      </w:tcPr>
    </w:tblStylePr>
    <w:tblStylePr w:type="band2Vert">
      <w:rPr>
        <w:rFonts w:ascii="Arial" w:hAnsi="Arial"/>
        <w:color w:val="404040"/>
        <w:sz w:val="22"/>
      </w:rPr>
      <w:tcPr>
        <w:shd w:val="clear" w:color="FFFFFF" w:themeFill="accent2" w:themeFillTint="32" w:themeColor="accent2" w:themeTint="32"/>
      </w:tcPr>
    </w:tblStylePr>
    <w:tblStylePr w:type="firstCol">
      <w:rPr>
        <w:rFonts w:ascii="Arial" w:hAnsi="Arial"/>
        <w:color w:val="F2F2F2"/>
        <w:sz w:val="22"/>
      </w:rPr>
      <w:tcPr>
        <w:shd w:val="clear" w:color="FFFFFF" w:themeFill="accent2" w:themeFillTint="97" w:themeColor="accent2" w:themeTint="97"/>
      </w:tcPr>
    </w:tblStylePr>
    <w:tblStylePr w:type="firstRow">
      <w:rPr>
        <w:rFonts w:ascii="Arial" w:hAnsi="Arial"/>
        <w:color w:val="F2F2F2"/>
        <w:sz w:val="22"/>
      </w:rPr>
      <w:tcPr>
        <w:shd w:val="clear" w:color="FFFFFF" w:themeFill="accent2" w:themeFillTint="97" w:themeColor="accent2" w:themeTint="97"/>
      </w:tcPr>
    </w:tblStylePr>
    <w:tblStylePr w:type="lastCol">
      <w:rPr>
        <w:rFonts w:ascii="Arial" w:hAnsi="Arial"/>
        <w:color w:val="F2F2F2"/>
        <w:sz w:val="22"/>
      </w:rPr>
      <w:tcPr>
        <w:shd w:val="clear" w:color="FFFFFF" w:themeFill="accent2" w:themeFillTint="97" w:themeColor="accent2" w:themeTint="97"/>
      </w:tcPr>
    </w:tblStylePr>
    <w:tblStylePr w:type="lastRow">
      <w:rPr>
        <w:rFonts w:ascii="Arial" w:hAnsi="Arial"/>
        <w:color w:val="F2F2F2"/>
        <w:sz w:val="22"/>
      </w:rPr>
      <w:tcPr>
        <w:shd w:val="clear" w:color="FFFFFF" w:themeFill="accent2" w:themeFillTint="97" w:themeColor="accent2" w:themeTint="97"/>
      </w:tcPr>
    </w:tblStylePr>
  </w:style>
  <w:style w:type="table" w:styleId="161">
    <w:name w:val="Bordered &amp; Lined - Accent 3"/>
    <w:basedOn w:val="980"/>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3" w:themeFillTint="34" w:themeColor="accent3" w:themeTint="34"/>
      </w:tcPr>
    </w:tblStylePr>
    <w:tblStylePr w:type="band2Vert">
      <w:rPr>
        <w:rFonts w:ascii="Arial" w:hAnsi="Arial"/>
        <w:color w:val="404040"/>
        <w:sz w:val="22"/>
      </w:rPr>
      <w:tcPr>
        <w:shd w:val="clear" w:color="FFFFFF" w:themeFill="accent3" w:themeFillTint="34" w:themeColor="accent3" w:themeTint="34"/>
      </w:tcPr>
    </w:tblStylePr>
    <w:tblStylePr w:type="firstCol">
      <w:rPr>
        <w:rFonts w:ascii="Arial" w:hAnsi="Arial"/>
        <w:color w:val="F2F2F2"/>
        <w:sz w:val="22"/>
      </w:rPr>
      <w:tcPr>
        <w:shd w:val="clear" w:color="FFFFFF" w:themeFill="accent3" w:themeFillTint="FE" w:themeColor="accent3" w:themeTint="FE"/>
      </w:tcPr>
    </w:tblStylePr>
    <w:tblStylePr w:type="firstRow">
      <w:rPr>
        <w:rFonts w:ascii="Arial" w:hAnsi="Arial"/>
        <w:color w:val="F2F2F2"/>
        <w:sz w:val="22"/>
      </w:rPr>
      <w:tcPr>
        <w:shd w:val="clear" w:color="FFFFFF" w:themeFill="accent3" w:themeFillTint="FE" w:themeColor="accent3" w:themeTint="FE"/>
      </w:tcPr>
    </w:tblStylePr>
    <w:tblStylePr w:type="lastCol">
      <w:rPr>
        <w:rFonts w:ascii="Arial" w:hAnsi="Arial"/>
        <w:color w:val="F2F2F2"/>
        <w:sz w:val="22"/>
      </w:rPr>
      <w:tcPr>
        <w:shd w:val="clear" w:color="FFFFFF" w:themeFill="accent3" w:themeFillTint="FE" w:themeColor="accent3" w:themeTint="FE"/>
      </w:tcPr>
    </w:tblStylePr>
    <w:tblStylePr w:type="lastRow">
      <w:rPr>
        <w:rFonts w:ascii="Arial" w:hAnsi="Arial"/>
        <w:color w:val="F2F2F2"/>
        <w:sz w:val="22"/>
      </w:rPr>
      <w:tcPr>
        <w:shd w:val="clear" w:color="FFFFFF" w:themeFill="accent3" w:themeFillTint="FE" w:themeColor="accent3" w:themeTint="FE"/>
      </w:tcPr>
    </w:tblStylePr>
  </w:style>
  <w:style w:type="table" w:styleId="162">
    <w:name w:val="Bordered &amp; Lined - Accent 4"/>
    <w:basedOn w:val="980"/>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4" w:themeFillTint="34" w:themeColor="accent4" w:themeTint="34"/>
      </w:tcPr>
    </w:tblStylePr>
    <w:tblStylePr w:type="band2Vert">
      <w:rPr>
        <w:rFonts w:ascii="Arial" w:hAnsi="Arial"/>
        <w:color w:val="404040"/>
        <w:sz w:val="22"/>
      </w:rPr>
      <w:tcPr>
        <w:shd w:val="clear" w:color="FFFFFF" w:themeFill="accent4" w:themeFillTint="34" w:themeColor="accent4" w:themeTint="34"/>
      </w:tcPr>
    </w:tblStylePr>
    <w:tblStylePr w:type="firstCol">
      <w:rPr>
        <w:rFonts w:ascii="Arial" w:hAnsi="Arial"/>
        <w:color w:val="F2F2F2"/>
        <w:sz w:val="22"/>
      </w:rPr>
      <w:tcPr>
        <w:shd w:val="clear" w:color="FFFFFF" w:themeFill="accent4" w:themeFillTint="9A" w:themeColor="accent4" w:themeTint="9A"/>
      </w:tcPr>
    </w:tblStylePr>
    <w:tblStylePr w:type="firstRow">
      <w:rPr>
        <w:rFonts w:ascii="Arial" w:hAnsi="Arial"/>
        <w:color w:val="F2F2F2"/>
        <w:sz w:val="22"/>
      </w:rPr>
      <w:tcPr>
        <w:shd w:val="clear" w:color="FFFFFF" w:themeFill="accent4" w:themeFillTint="9A" w:themeColor="accent4" w:themeTint="9A"/>
      </w:tcPr>
    </w:tblStylePr>
    <w:tblStylePr w:type="lastCol">
      <w:rPr>
        <w:rFonts w:ascii="Arial" w:hAnsi="Arial"/>
        <w:color w:val="F2F2F2"/>
        <w:sz w:val="22"/>
      </w:rPr>
      <w:tcPr>
        <w:shd w:val="clear" w:color="FFFFFF" w:themeFill="accent4" w:themeFillTint="9A" w:themeColor="accent4" w:themeTint="9A"/>
      </w:tcPr>
    </w:tblStylePr>
    <w:tblStylePr w:type="lastRow">
      <w:rPr>
        <w:rFonts w:ascii="Arial" w:hAnsi="Arial"/>
        <w:color w:val="F2F2F2"/>
        <w:sz w:val="22"/>
      </w:rPr>
      <w:tcPr>
        <w:shd w:val="clear" w:color="FFFFFF" w:themeFill="accent4" w:themeFillTint="9A" w:themeColor="accent4" w:themeTint="9A"/>
      </w:tcPr>
    </w:tblStylePr>
  </w:style>
  <w:style w:type="table" w:styleId="163">
    <w:name w:val="Bordered &amp; Lined - Accent 5"/>
    <w:basedOn w:val="980"/>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5" w:themeFillTint="34" w:themeColor="accent5" w:themeTint="34"/>
      </w:tcPr>
    </w:tblStylePr>
    <w:tblStylePr w:type="band2Vert">
      <w:rPr>
        <w:rFonts w:ascii="Arial" w:hAnsi="Arial"/>
        <w:color w:val="404040"/>
        <w:sz w:val="22"/>
      </w:rPr>
      <w:tcPr>
        <w:shd w:val="clear" w:color="FFFFFF" w:themeFill="accent5" w:themeFillTint="34" w:themeColor="accent5" w:themeTint="34"/>
      </w:tcPr>
    </w:tblStylePr>
    <w:tblStylePr w:type="firstCol">
      <w:rPr>
        <w:rFonts w:ascii="Arial" w:hAnsi="Arial"/>
        <w:color w:val="F2F2F2"/>
        <w:sz w:val="22"/>
      </w:rPr>
      <w:tcPr>
        <w:shd w:val="clear" w:color="FFFFFF" w:themeFill="accent5" w:themeColor="accent5"/>
      </w:tcPr>
    </w:tblStylePr>
    <w:tblStylePr w:type="firstRow">
      <w:rPr>
        <w:rFonts w:ascii="Arial" w:hAnsi="Arial"/>
        <w:color w:val="F2F2F2"/>
        <w:sz w:val="22"/>
      </w:rPr>
      <w:tcPr>
        <w:shd w:val="clear" w:color="FFFFFF" w:themeFill="accent5" w:themeColor="accent5"/>
      </w:tcPr>
    </w:tblStylePr>
    <w:tblStylePr w:type="lastCol">
      <w:rPr>
        <w:rFonts w:ascii="Arial" w:hAnsi="Arial"/>
        <w:color w:val="F2F2F2"/>
        <w:sz w:val="22"/>
      </w:rPr>
      <w:tcPr>
        <w:shd w:val="clear" w:color="FFFFFF" w:themeFill="accent5" w:themeColor="accent5"/>
      </w:tcPr>
    </w:tblStylePr>
    <w:tblStylePr w:type="lastRow">
      <w:rPr>
        <w:rFonts w:ascii="Arial" w:hAnsi="Arial"/>
        <w:color w:val="F2F2F2"/>
        <w:sz w:val="22"/>
      </w:rPr>
      <w:tcPr>
        <w:shd w:val="clear" w:color="FFFFFF" w:themeFill="accent5" w:themeColor="accent5"/>
      </w:tcPr>
    </w:tblStylePr>
  </w:style>
  <w:style w:type="table" w:styleId="164">
    <w:name w:val="Bordered &amp; Lined - Accent 6"/>
    <w:basedOn w:val="980"/>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Fill="accent6" w:themeFillTint="34" w:themeColor="accent6" w:themeTint="34"/>
      </w:tcPr>
    </w:tblStylePr>
    <w:tblStylePr w:type="band2Vert">
      <w:rPr>
        <w:rFonts w:ascii="Arial" w:hAnsi="Arial"/>
        <w:color w:val="404040"/>
        <w:sz w:val="22"/>
      </w:rPr>
      <w:tcPr>
        <w:shd w:val="clear" w:color="FFFFFF" w:themeFill="accent6" w:themeFillTint="34" w:themeColor="accent6" w:themeTint="34"/>
      </w:tcPr>
    </w:tblStylePr>
    <w:tblStylePr w:type="firstCol">
      <w:rPr>
        <w:rFonts w:ascii="Arial" w:hAnsi="Arial"/>
        <w:color w:val="F2F2F2"/>
        <w:sz w:val="22"/>
      </w:rPr>
      <w:tcPr>
        <w:shd w:val="clear" w:color="FFFFFF" w:themeFill="accent6" w:themeColor="accent6"/>
      </w:tcPr>
    </w:tblStylePr>
    <w:tblStylePr w:type="firstRow">
      <w:rPr>
        <w:rFonts w:ascii="Arial" w:hAnsi="Arial"/>
        <w:color w:val="F2F2F2"/>
        <w:sz w:val="22"/>
      </w:rPr>
      <w:tcPr>
        <w:shd w:val="clear" w:color="FFFFFF" w:themeFill="accent6" w:themeColor="accent6"/>
      </w:tcPr>
    </w:tblStylePr>
    <w:tblStylePr w:type="lastCol">
      <w:rPr>
        <w:rFonts w:ascii="Arial" w:hAnsi="Arial"/>
        <w:color w:val="F2F2F2"/>
        <w:sz w:val="22"/>
      </w:rPr>
      <w:tcPr>
        <w:shd w:val="clear" w:color="FFFFFF" w:themeFill="accent6" w:themeColor="accent6"/>
      </w:tcPr>
    </w:tblStylePr>
    <w:tblStylePr w:type="lastRow">
      <w:rPr>
        <w:rFonts w:ascii="Arial" w:hAnsi="Arial"/>
        <w:color w:val="F2F2F2"/>
        <w:sz w:val="22"/>
      </w:rPr>
      <w:tcPr>
        <w:shd w:val="clear" w:color="FFFFFF" w:themeFill="accent6" w:themeColor="accent6"/>
      </w:tcPr>
    </w:tblStylePr>
  </w:style>
  <w:style w:type="table" w:styleId="165">
    <w:name w:val="Bordered"/>
    <w:basedOn w:val="980"/>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98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98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98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98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98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98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4">
    <w:name w:val="Footnote Text Char"/>
    <w:link w:val="1042"/>
    <w:uiPriority w:val="99"/>
    <w:rPr>
      <w:sz w:val="18"/>
    </w:rPr>
  </w:style>
  <w:style w:type="character" w:styleId="177">
    <w:name w:val="Endnote Text Char"/>
    <w:link w:val="1176"/>
    <w:uiPriority w:val="99"/>
    <w:rPr>
      <w:sz w:val="20"/>
    </w:rPr>
  </w:style>
  <w:style w:type="paragraph" w:styleId="969" w:default="1">
    <w:name w:val="Normal"/>
    <w:qFormat/>
    <w:rPr>
      <w:sz w:val="24"/>
    </w:rPr>
    <w:pPr>
      <w:ind w:firstLine="567"/>
      <w:jc w:val="both"/>
    </w:pPr>
  </w:style>
  <w:style w:type="paragraph" w:styleId="970">
    <w:name w:val="Heading 1"/>
    <w:next w:val="994"/>
    <w:link w:val="1383"/>
    <w:qFormat/>
    <w:rPr>
      <w:b/>
      <w:caps/>
      <w:sz w:val="32"/>
      <w:szCs w:val="36"/>
    </w:rPr>
    <w:pPr>
      <w:numPr>
        <w:numId w:val="109"/>
      </w:numPr>
      <w:contextualSpacing w:val="true"/>
      <w:jc w:val="center"/>
      <w:keepNext/>
      <w:pageBreakBefore/>
      <w:spacing w:after="360" w:before="240"/>
      <w:outlineLvl w:val="0"/>
    </w:pPr>
  </w:style>
  <w:style w:type="paragraph" w:styleId="971">
    <w:name w:val="Heading 2"/>
    <w:basedOn w:val="970"/>
    <w:next w:val="994"/>
    <w:link w:val="1375"/>
    <w:qFormat/>
    <w:rPr>
      <w:rFonts w:cs="Arial"/>
      <w:bCs/>
      <w:iCs/>
      <w:caps w:val="false"/>
      <w:sz w:val="32"/>
      <w:szCs w:val="32"/>
    </w:rPr>
    <w:pPr>
      <w:numPr>
        <w:ilvl w:val="1"/>
      </w:numPr>
      <w:jc w:val="left"/>
      <w:pageBreakBefore w:val="false"/>
      <w:spacing w:after="240"/>
      <w:outlineLvl w:val="1"/>
    </w:pPr>
  </w:style>
  <w:style w:type="paragraph" w:styleId="972">
    <w:name w:val="Heading 3"/>
    <w:basedOn w:val="971"/>
    <w:next w:val="994"/>
    <w:link w:val="1189"/>
    <w:qFormat/>
    <w:rPr>
      <w:bCs w:val="false"/>
      <w:sz w:val="26"/>
      <w:szCs w:val="26"/>
    </w:rPr>
    <w:pPr>
      <w:numPr>
        <w:ilvl w:val="2"/>
      </w:numPr>
      <w:keepLines/>
      <w:outlineLvl w:val="2"/>
    </w:pPr>
  </w:style>
  <w:style w:type="paragraph" w:styleId="973">
    <w:name w:val="Heading 4"/>
    <w:basedOn w:val="972"/>
    <w:next w:val="994"/>
    <w:link w:val="1181"/>
    <w:qFormat/>
    <w:rPr>
      <w:sz w:val="24"/>
    </w:rPr>
    <w:pPr>
      <w:numPr>
        <w:ilvl w:val="3"/>
      </w:numPr>
      <w:outlineLvl w:val="3"/>
    </w:pPr>
  </w:style>
  <w:style w:type="paragraph" w:styleId="974">
    <w:name w:val="Heading 5"/>
    <w:next w:val="994"/>
    <w:link w:val="1168"/>
    <w:qFormat/>
    <w:rPr>
      <w:b/>
      <w:bCs/>
      <w:iCs/>
      <w:sz w:val="24"/>
      <w:szCs w:val="26"/>
    </w:rPr>
    <w:pPr>
      <w:ind w:left="567"/>
      <w:keepNext/>
      <w:spacing w:after="120" w:before="240"/>
      <w:tabs>
        <w:tab w:val="left" w:pos="567" w:leader="none"/>
      </w:tabs>
      <w:outlineLvl w:val="4"/>
    </w:pPr>
  </w:style>
  <w:style w:type="paragraph" w:styleId="975">
    <w:name w:val="Heading 6"/>
    <w:basedOn w:val="969"/>
    <w:next w:val="969"/>
    <w:qFormat/>
    <w:rPr>
      <w:b/>
      <w:bCs/>
      <w:sz w:val="22"/>
      <w:szCs w:val="22"/>
    </w:rPr>
    <w:pPr>
      <w:numPr>
        <w:ilvl w:val="5"/>
        <w:numId w:val="110"/>
      </w:numPr>
      <w:ind w:left="0" w:firstLine="0"/>
      <w:spacing w:after="60" w:before="240"/>
      <w:tabs>
        <w:tab w:val="num" w:pos="360" w:leader="none"/>
        <w:tab w:val="clear" w:pos="1152" w:leader="none"/>
      </w:tabs>
      <w:outlineLvl w:val="5"/>
    </w:pPr>
  </w:style>
  <w:style w:type="paragraph" w:styleId="976">
    <w:name w:val="Heading 7"/>
    <w:basedOn w:val="969"/>
    <w:next w:val="969"/>
    <w:qFormat/>
    <w:pPr>
      <w:numPr>
        <w:ilvl w:val="6"/>
        <w:numId w:val="110"/>
      </w:numPr>
      <w:ind w:left="0" w:firstLine="0"/>
      <w:spacing w:after="60" w:before="240"/>
      <w:tabs>
        <w:tab w:val="num" w:pos="360" w:leader="none"/>
        <w:tab w:val="clear" w:pos="1296" w:leader="none"/>
      </w:tabs>
      <w:outlineLvl w:val="6"/>
    </w:pPr>
  </w:style>
  <w:style w:type="paragraph" w:styleId="977">
    <w:name w:val="Heading 8"/>
    <w:basedOn w:val="969"/>
    <w:next w:val="969"/>
    <w:qFormat/>
    <w:rPr>
      <w:i/>
      <w:iCs/>
    </w:rPr>
    <w:pPr>
      <w:numPr>
        <w:ilvl w:val="7"/>
        <w:numId w:val="110"/>
      </w:numPr>
      <w:ind w:left="0" w:firstLine="0"/>
      <w:spacing w:after="60" w:before="240"/>
      <w:tabs>
        <w:tab w:val="num" w:pos="360" w:leader="none"/>
        <w:tab w:val="clear" w:pos="1440" w:leader="none"/>
      </w:tabs>
      <w:outlineLvl w:val="7"/>
    </w:pPr>
  </w:style>
  <w:style w:type="paragraph" w:styleId="978">
    <w:name w:val="Heading 9"/>
    <w:basedOn w:val="969"/>
    <w:next w:val="969"/>
    <w:qFormat/>
    <w:rPr>
      <w:rFonts w:ascii="Arial" w:hAnsi="Arial"/>
      <w:sz w:val="22"/>
      <w:szCs w:val="22"/>
    </w:rPr>
    <w:pPr>
      <w:numPr>
        <w:ilvl w:val="8"/>
        <w:numId w:val="110"/>
      </w:numPr>
      <w:ind w:left="0" w:firstLine="0"/>
      <w:spacing w:after="60" w:before="240"/>
      <w:tabs>
        <w:tab w:val="num" w:pos="360" w:leader="none"/>
        <w:tab w:val="clear" w:pos="1584" w:leader="none"/>
      </w:tabs>
      <w:outlineLvl w:val="8"/>
    </w:pPr>
  </w:style>
  <w:style w:type="character" w:styleId="979" w:default="1">
    <w:name w:val="Default Paragraph Font"/>
    <w:uiPriority w:val="1"/>
    <w:semiHidden/>
    <w:unhideWhenUsed/>
  </w:style>
  <w:style w:type="table" w:styleId="980" w:default="1">
    <w:name w:val="Normal Table"/>
    <w:uiPriority w:val="99"/>
    <w:semiHidden/>
    <w:unhideWhenUsed/>
    <w:tblPr>
      <w:tblInd w:w="0" w:type="dxa"/>
      <w:tblCellMar>
        <w:left w:w="108" w:type="dxa"/>
        <w:top w:w="0" w:type="dxa"/>
        <w:right w:w="108" w:type="dxa"/>
        <w:bottom w:w="0" w:type="dxa"/>
      </w:tblCellMar>
    </w:tblPr>
  </w:style>
  <w:style w:type="numbering" w:styleId="981" w:default="1">
    <w:name w:val="No List"/>
    <w:uiPriority w:val="99"/>
    <w:semiHidden/>
    <w:unhideWhenUsed/>
  </w:style>
  <w:style w:type="paragraph" w:styleId="982" w:customStyle="1">
    <w:name w:val="_ASFK_Figure"/>
    <w:next w:val="969"/>
    <w:link w:val="1170"/>
    <w:rPr>
      <w:sz w:val="24"/>
    </w:rPr>
    <w:pPr>
      <w:jc w:val="center"/>
      <w:keepNext/>
      <w:spacing w:after="120" w:before="120"/>
    </w:pPr>
  </w:style>
  <w:style w:type="paragraph" w:styleId="983" w:customStyle="1">
    <w:name w:val="_ASFK_Fig_Name"/>
    <w:basedOn w:val="982"/>
    <w:next w:val="994"/>
    <w:link w:val="1171"/>
    <w:rPr>
      <w:b/>
      <w:sz w:val="24"/>
      <w:szCs w:val="24"/>
    </w:rPr>
    <w:pPr>
      <w:numPr>
        <w:numId w:val="97"/>
      </w:numPr>
      <w:contextualSpacing w:val="true"/>
      <w:keepNext w:val="false"/>
    </w:pPr>
  </w:style>
  <w:style w:type="paragraph" w:styleId="984" w:customStyle="1">
    <w:name w:val="_ASFK_header"/>
    <w:rPr>
      <w:rFonts w:ascii="Arial" w:hAnsi="Arial"/>
      <w:b/>
      <w:color w:val="333333"/>
    </w:rPr>
  </w:style>
  <w:style w:type="paragraph" w:styleId="985" w:customStyle="1">
    <w:name w:val="_ASFK_List_mark1"/>
    <w:link w:val="1169"/>
    <w:rPr>
      <w:sz w:val="24"/>
    </w:rPr>
    <w:pPr>
      <w:numPr>
        <w:numId w:val="98"/>
      </w:numPr>
      <w:jc w:val="both"/>
    </w:pPr>
  </w:style>
  <w:style w:type="paragraph" w:styleId="986" w:customStyle="1">
    <w:name w:val="_ASFK_List_mark2"/>
    <w:link w:val="1365"/>
    <w:rPr>
      <w:sz w:val="24"/>
    </w:rPr>
    <w:pPr>
      <w:numPr>
        <w:numId w:val="99"/>
      </w:numPr>
      <w:jc w:val="both"/>
    </w:pPr>
  </w:style>
  <w:style w:type="paragraph" w:styleId="987" w:customStyle="1">
    <w:name w:val="_ASFK_List_mark3"/>
    <w:link w:val="1372"/>
    <w:rPr>
      <w:sz w:val="24"/>
    </w:rPr>
    <w:pPr>
      <w:numPr>
        <w:numId w:val="100"/>
      </w:numPr>
    </w:pPr>
  </w:style>
  <w:style w:type="paragraph" w:styleId="988" w:customStyle="1">
    <w:name w:val="_ASFK_List_mark4"/>
    <w:rPr>
      <w:sz w:val="24"/>
    </w:rPr>
    <w:pPr>
      <w:numPr>
        <w:numId w:val="101"/>
      </w:numPr>
    </w:pPr>
  </w:style>
  <w:style w:type="paragraph" w:styleId="989">
    <w:name w:val="Header"/>
    <w:basedOn w:val="969"/>
    <w:pPr>
      <w:tabs>
        <w:tab w:val="center" w:pos="4677" w:leader="none"/>
        <w:tab w:val="right" w:pos="9355" w:leader="none"/>
      </w:tabs>
    </w:pPr>
  </w:style>
  <w:style w:type="character" w:styleId="990" w:customStyle="1">
    <w:name w:val="_ASFK_Table_norm Знак"/>
    <w:link w:val="1005"/>
    <w:rPr>
      <w:sz w:val="22"/>
    </w:rPr>
  </w:style>
  <w:style w:type="paragraph" w:styleId="991" w:customStyle="1">
    <w:name w:val="_ASFK_List_normal_1.8"/>
    <w:basedOn w:val="1159"/>
    <w:pPr>
      <w:ind w:left="1021"/>
      <w:tabs>
        <w:tab w:val="clear" w:pos="567" w:leader="none"/>
        <w:tab w:val="left" w:pos="1021" w:leader="none"/>
      </w:tabs>
    </w:pPr>
  </w:style>
  <w:style w:type="paragraph" w:styleId="992" w:customStyle="1">
    <w:name w:val="_ASFK_List_num2"/>
    <w:basedOn w:val="1156"/>
    <w:rPr>
      <w:sz w:val="24"/>
      <w:szCs w:val="24"/>
    </w:rPr>
    <w:pPr>
      <w:numPr>
        <w:ilvl w:val="1"/>
      </w:numPr>
    </w:pPr>
  </w:style>
  <w:style w:type="paragraph" w:styleId="993" w:customStyle="1">
    <w:name w:val="_ASFK_Name_Table"/>
    <w:link w:val="1166"/>
    <w:rPr>
      <w:b/>
      <w:sz w:val="24"/>
    </w:rPr>
    <w:pPr>
      <w:numPr>
        <w:numId w:val="103"/>
      </w:numPr>
      <w:keepNext/>
      <w:spacing w:after="120" w:before="240"/>
    </w:pPr>
  </w:style>
  <w:style w:type="paragraph" w:styleId="994" w:customStyle="1">
    <w:name w:val="_ASFK_Normal"/>
    <w:link w:val="1162"/>
    <w:rPr>
      <w:sz w:val="24"/>
    </w:rPr>
    <w:pPr>
      <w:contextualSpacing w:val="true"/>
      <w:ind w:firstLine="567"/>
      <w:jc w:val="both"/>
      <w:spacing w:after="60" w:before="120"/>
    </w:pPr>
  </w:style>
  <w:style w:type="paragraph" w:styleId="995" w:customStyle="1">
    <w:name w:val="_ASFK_Normal_Without"/>
    <w:basedOn w:val="994"/>
    <w:next w:val="994"/>
    <w:link w:val="1373"/>
    <w:pPr>
      <w:keepNext/>
    </w:pPr>
  </w:style>
  <w:style w:type="paragraph" w:styleId="996" w:customStyle="1">
    <w:name w:val="_ASFK_Note"/>
    <w:next w:val="994"/>
    <w:link w:val="1157"/>
    <w:rPr>
      <w:sz w:val="24"/>
    </w:rPr>
    <w:pPr>
      <w:ind w:left="1701" w:hanging="1701"/>
      <w:jc w:val="both"/>
      <w:spacing w:after="120" w:before="120"/>
    </w:pPr>
  </w:style>
  <w:style w:type="paragraph" w:styleId="997" w:customStyle="1">
    <w:name w:val="_ASFK_Note_Continue"/>
    <w:basedOn w:val="996"/>
    <w:pPr>
      <w:ind w:firstLine="0"/>
    </w:pPr>
  </w:style>
  <w:style w:type="paragraph" w:styleId="998" w:customStyle="1">
    <w:name w:val="_ASFK_Reg"/>
    <w:rPr>
      <w:b/>
      <w:caps/>
      <w:sz w:val="28"/>
    </w:rPr>
    <w:pPr>
      <w:contextualSpacing w:val="true"/>
      <w:jc w:val="center"/>
      <w:keepNext/>
      <w:pageBreakBefore/>
      <w:spacing w:after="120" w:before="120"/>
      <w:outlineLvl w:val="0"/>
    </w:pPr>
  </w:style>
  <w:style w:type="paragraph" w:styleId="999" w:customStyle="1">
    <w:name w:val="_ASFK_Script"/>
    <w:basedOn w:val="969"/>
    <w:rPr>
      <w:rFonts w:ascii="Courier New" w:hAnsi="Courier New"/>
      <w:spacing w:val="-20"/>
      <w:sz w:val="20"/>
      <w:lang w:val="en-US"/>
    </w:rPr>
    <w:pPr>
      <w:ind w:left="567" w:right="29"/>
      <w:pBdr>
        <w:left w:val="single" w:sz="4" w:space="4" w:color="auto"/>
        <w:top w:val="single" w:sz="4" w:space="1" w:color="auto"/>
        <w:right w:val="single" w:sz="4" w:space="4" w:color="auto"/>
        <w:bottom w:val="single" w:sz="4" w:space="1" w:color="auto"/>
      </w:pBdr>
    </w:pPr>
  </w:style>
  <w:style w:type="paragraph" w:styleId="1000" w:customStyle="1">
    <w:name w:val="_ASFK_Sign"/>
    <w:basedOn w:val="998"/>
    <w:pPr>
      <w:pageBreakBefore w:val="false"/>
      <w:outlineLvl w:val="9"/>
    </w:pPr>
  </w:style>
  <w:style w:type="character" w:styleId="1001" w:customStyle="1">
    <w:name w:val="_ASFK_Sym_Bold"/>
    <w:rPr>
      <w:b/>
    </w:rPr>
  </w:style>
  <w:style w:type="character" w:styleId="1002" w:customStyle="1">
    <w:name w:val="_ASFK_Sym_Bold_Italic"/>
    <w:rPr>
      <w:b/>
      <w:i/>
    </w:rPr>
  </w:style>
  <w:style w:type="character" w:styleId="1003" w:customStyle="1">
    <w:name w:val="_ASFK_Sym_Italic"/>
    <w:rPr>
      <w:i/>
    </w:rPr>
  </w:style>
  <w:style w:type="table" w:styleId="1004" w:customStyle="1">
    <w:name w:val="_ASFK_Table"/>
    <w:basedOn w:val="980"/>
    <w:rPr>
      <w:sz w:val="22"/>
    </w:rPr>
    <w:pPr>
      <w:jc w:val="both"/>
    </w:pPr>
    <w:tblPr>
      <w:tblStyleRowBandSize w:val="1"/>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57" w:type="dxa"/>
        <w:right w:w="57" w:type="dxa"/>
      </w:tblCellMar>
    </w:tblPr>
    <w:tblStylePr w:type="band1Horz">
      <w:rPr>
        <w:rFonts w:ascii="Times New Roman" w:hAnsi="Times New Roman"/>
        <w:sz w:val="24"/>
      </w:rPr>
      <w:pPr>
        <w:ind w:left="57" w:right="57" w:firstLine="0"/>
        <w:jc w:val="left"/>
        <w:spacing w:lineRule="auto" w:line="240" w:after="60" w:afterAutospacing="0" w:before="60" w:beforeAutospacing="0"/>
        <w:outlineLvl w:val="9"/>
      </w:pPr>
    </w:tblStylePr>
    <w:tblStylePr w:type="band2Horz">
      <w:rPr>
        <w:rFonts w:ascii="Times New Roman" w:hAnsi="Times New Roman"/>
        <w:sz w:val="24"/>
      </w:rPr>
      <w:pPr>
        <w:contextualSpacing w:val="false"/>
        <w:ind w:left="57" w:right="57" w:firstLine="0"/>
        <w:jc w:val="left"/>
        <w:spacing w:after="60" w:afterAutospacing="0" w:before="60" w:beforeAutospacing="0"/>
        <w:outlineLvl w:val="9"/>
      </w:pPr>
    </w:tblStylePr>
    <w:tblStylePr w:type="firstRow">
      <w:rPr>
        <w:rFonts w:ascii="Times New Roman" w:hAnsi="Times New Roman"/>
        <w:b w:val="false"/>
        <w:sz w:val="22"/>
      </w:rPr>
      <w:pPr>
        <w:ind w:left="0" w:right="0" w:firstLine="0"/>
        <w:jc w:val="center"/>
        <w:spacing w:lineRule="auto" w:line="240" w:after="60" w:afterAutospacing="0" w:before="60" w:beforeAutospacing="0"/>
        <w:outlineLvl w:val="9"/>
      </w:pPr>
      <w:trPr>
        <w:tblHeader/>
      </w:trPr>
      <w:tcPr>
        <w:shd w:val="clear" w:fill="E6E6E6" w:color="auto"/>
        <w:tcBorders>
          <w:left w:val="single" w:sz="4" w:space="0" w:color="auto"/>
          <w:top w:val="single" w:sz="4" w:space="0" w:color="auto"/>
          <w:right w:val="single" w:sz="4" w:space="0" w:color="auto"/>
          <w:bottom w:val="single" w:sz="4" w:space="0" w:color="auto"/>
          <w:insideV w:val="single" w:sz="4" w:space="0" w:color="auto"/>
          <w:insideH w:val="single" w:sz="4" w:space="0" w:color="auto"/>
        </w:tcBorders>
        <w:vAlign w:val="center"/>
      </w:tcPr>
    </w:tblStylePr>
  </w:style>
  <w:style w:type="paragraph" w:styleId="1005" w:customStyle="1">
    <w:name w:val="_ASFK_Table_norm"/>
    <w:link w:val="990"/>
    <w:rPr>
      <w:sz w:val="22"/>
    </w:rPr>
    <w:pPr>
      <w:jc w:val="both"/>
      <w:spacing w:after="60" w:before="60"/>
    </w:pPr>
  </w:style>
  <w:style w:type="paragraph" w:styleId="1006" w:customStyle="1">
    <w:name w:val="_ASFK_Table_Head"/>
    <w:basedOn w:val="1005"/>
    <w:rPr>
      <w:b/>
      <w:bCs/>
    </w:rPr>
    <w:pPr>
      <w:jc w:val="center"/>
      <w:keepNext/>
    </w:pPr>
  </w:style>
  <w:style w:type="paragraph" w:styleId="1007" w:customStyle="1">
    <w:name w:val="_ASFK_Table_List_Mark"/>
    <w:rPr>
      <w:sz w:val="22"/>
    </w:rPr>
    <w:pPr>
      <w:numPr>
        <w:numId w:val="104"/>
      </w:numPr>
      <w:contextualSpacing w:val="true"/>
      <w:ind w:right="57"/>
      <w:spacing w:after="60" w:before="60"/>
      <w:tabs>
        <w:tab w:val="left" w:pos="170" w:leader="none"/>
      </w:tabs>
    </w:pPr>
  </w:style>
  <w:style w:type="paragraph" w:styleId="1008" w:customStyle="1">
    <w:name w:val="_ASFK_Table_List_Num"/>
    <w:basedOn w:val="969"/>
    <w:link w:val="1367"/>
    <w:rPr>
      <w:sz w:val="22"/>
      <w:szCs w:val="22"/>
    </w:rPr>
    <w:pPr>
      <w:numPr>
        <w:numId w:val="18"/>
      </w:numPr>
      <w:contextualSpacing w:val="true"/>
      <w:ind w:right="57"/>
      <w:jc w:val="left"/>
      <w:spacing w:after="60" w:before="60"/>
    </w:pPr>
  </w:style>
  <w:style w:type="paragraph" w:styleId="1009" w:customStyle="1">
    <w:name w:val="_ASFK_Table_Num"/>
    <w:link w:val="1167"/>
    <w:rPr>
      <w:sz w:val="22"/>
    </w:rPr>
    <w:pPr>
      <w:numPr>
        <w:numId w:val="92"/>
      </w:numPr>
      <w:ind w:right="57"/>
      <w:spacing w:after="60" w:before="60"/>
    </w:pPr>
  </w:style>
  <w:style w:type="paragraph" w:styleId="1010" w:customStyle="1">
    <w:name w:val="_ASFK_Titul_0"/>
    <w:rPr>
      <w:sz w:val="28"/>
      <w:szCs w:val="28"/>
    </w:rPr>
    <w:pPr>
      <w:jc w:val="center"/>
    </w:pPr>
  </w:style>
  <w:style w:type="paragraph" w:styleId="1011" w:customStyle="1">
    <w:name w:val="_ASFK_List_normal_BI"/>
    <w:basedOn w:val="969"/>
    <w:rPr>
      <w:b/>
      <w:i/>
    </w:rPr>
    <w:pPr>
      <w:contextualSpacing w:val="true"/>
      <w:ind w:left="1021" w:firstLine="0"/>
      <w:keepNext/>
      <w:spacing w:after="120" w:before="120"/>
      <w:tabs>
        <w:tab w:val="left" w:pos="855" w:leader="none"/>
      </w:tabs>
    </w:pPr>
  </w:style>
  <w:style w:type="paragraph" w:styleId="1012" w:customStyle="1">
    <w:name w:val="_ASFK_Titul_1"/>
    <w:rPr>
      <w:sz w:val="32"/>
      <w:szCs w:val="28"/>
    </w:rPr>
    <w:pPr>
      <w:contextualSpacing w:val="true"/>
      <w:jc w:val="center"/>
      <w:spacing w:after="240" w:before="240"/>
    </w:pPr>
  </w:style>
  <w:style w:type="paragraph" w:styleId="1013" w:customStyle="1">
    <w:name w:val="_ASFK_Titul_2"/>
    <w:rPr>
      <w:b/>
      <w:caps/>
      <w:sz w:val="32"/>
      <w:szCs w:val="28"/>
    </w:rPr>
    <w:pPr>
      <w:jc w:val="center"/>
    </w:pPr>
  </w:style>
  <w:style w:type="paragraph" w:styleId="1014" w:customStyle="1">
    <w:name w:val="_ASFK_List_normal_Bold"/>
    <w:basedOn w:val="1159"/>
    <w:rPr>
      <w:b/>
    </w:rPr>
    <w:pPr>
      <w:ind w:left="1021"/>
      <w:keepNext/>
      <w:spacing w:after="120" w:before="120"/>
      <w:tabs>
        <w:tab w:val="left" w:pos="284" w:leader="none"/>
        <w:tab w:val="clear" w:pos="567" w:leader="none"/>
      </w:tabs>
    </w:pPr>
  </w:style>
  <w:style w:type="paragraph" w:styleId="1015" w:customStyle="1">
    <w:name w:val="Заг_Приложение"/>
    <w:basedOn w:val="970"/>
    <w:next w:val="994"/>
    <w:pPr>
      <w:numPr>
        <w:numId w:val="108"/>
      </w:numPr>
    </w:pPr>
  </w:style>
  <w:style w:type="paragraph" w:styleId="1016" w:customStyle="1">
    <w:name w:val="Заг_2_Приложение"/>
    <w:basedOn w:val="1015"/>
    <w:next w:val="994"/>
    <w:link w:val="1017"/>
    <w:rPr>
      <w:caps w:val="false"/>
    </w:rPr>
    <w:pPr>
      <w:numPr>
        <w:numId w:val="0"/>
      </w:numPr>
      <w:ind w:left="454" w:hanging="454"/>
      <w:jc w:val="left"/>
      <w:pageBreakBefore w:val="false"/>
      <w:spacing w:after="240"/>
    </w:pPr>
  </w:style>
  <w:style w:type="character" w:styleId="1017" w:customStyle="1">
    <w:name w:val="Заг_2_Приложение Знак"/>
    <w:link w:val="1016"/>
    <w:rPr>
      <w:b/>
      <w:sz w:val="32"/>
      <w:szCs w:val="36"/>
    </w:rPr>
  </w:style>
  <w:style w:type="paragraph" w:styleId="1018" w:customStyle="1">
    <w:name w:val="Заг_3_Приложение"/>
    <w:basedOn w:val="969"/>
    <w:next w:val="994"/>
    <w:rPr>
      <w:rFonts w:cs="Arial"/>
      <w:b/>
      <w:bCs/>
      <w:iCs/>
      <w:sz w:val="28"/>
      <w:szCs w:val="28"/>
    </w:rPr>
    <w:pPr>
      <w:contextualSpacing w:val="true"/>
      <w:ind w:left="680" w:hanging="680"/>
      <w:keepNext/>
      <w:spacing w:after="120" w:before="240"/>
      <w:outlineLvl w:val="1"/>
    </w:pPr>
  </w:style>
  <w:style w:type="paragraph" w:styleId="1019">
    <w:name w:val="Caption"/>
    <w:basedOn w:val="969"/>
    <w:next w:val="969"/>
    <w:qFormat/>
    <w:rPr>
      <w:b/>
      <w:bCs/>
      <w:sz w:val="20"/>
    </w:rPr>
  </w:style>
  <w:style w:type="character" w:styleId="1020">
    <w:name w:val="Hyperlink"/>
    <w:uiPriority w:val="99"/>
    <w:rPr>
      <w:color w:val="0000FF"/>
      <w:u w:val="single"/>
    </w:rPr>
  </w:style>
  <w:style w:type="paragraph" w:styleId="1021">
    <w:name w:val="toc 1"/>
    <w:uiPriority w:val="39"/>
    <w:rPr>
      <w:b/>
      <w:bCs/>
      <w:caps/>
      <w:sz w:val="24"/>
      <w:szCs w:val="24"/>
    </w:rPr>
    <w:pPr>
      <w:ind w:left="454" w:right="567" w:hanging="454"/>
      <w:spacing w:after="80" w:before="80"/>
      <w:tabs>
        <w:tab w:val="left" w:pos="454" w:leader="none"/>
        <w:tab w:val="right" w:pos="9631" w:leader="dot"/>
      </w:tabs>
    </w:pPr>
  </w:style>
  <w:style w:type="paragraph" w:styleId="1022">
    <w:name w:val="toc 2"/>
    <w:basedOn w:val="1021"/>
    <w:uiPriority w:val="39"/>
    <w:rPr>
      <w:b w:val="false"/>
      <w:caps w:val="false"/>
    </w:rPr>
    <w:pPr>
      <w:contextualSpacing w:val="true"/>
      <w:ind w:left="851" w:hanging="567"/>
      <w:spacing w:after="60" w:before="60"/>
      <w:tabs>
        <w:tab w:val="clear" w:pos="454" w:leader="none"/>
        <w:tab w:val="left" w:pos="851" w:leader="none"/>
      </w:tabs>
    </w:pPr>
  </w:style>
  <w:style w:type="paragraph" w:styleId="1023">
    <w:name w:val="toc 3"/>
    <w:basedOn w:val="1022"/>
    <w:uiPriority w:val="39"/>
    <w:rPr>
      <w:iCs/>
    </w:rPr>
    <w:pPr>
      <w:ind w:left="1418" w:hanging="851"/>
      <w:tabs>
        <w:tab w:val="clear" w:pos="851" w:leader="none"/>
        <w:tab w:val="left" w:pos="1418" w:leader="none"/>
      </w:tabs>
    </w:pPr>
  </w:style>
  <w:style w:type="paragraph" w:styleId="1024">
    <w:name w:val="Body Text Indent"/>
    <w:basedOn w:val="969"/>
    <w:next w:val="969"/>
    <w:semiHidden/>
    <w:rPr>
      <w:sz w:val="20"/>
    </w:rPr>
    <w:pPr>
      <w:ind w:firstLine="425"/>
      <w:spacing w:lineRule="auto" w:line="360"/>
      <w:widowControl w:val="off"/>
      <w:tabs>
        <w:tab w:val="left" w:pos="1985" w:leader="none"/>
        <w:tab w:val="left" w:pos="2127" w:leader="none"/>
      </w:tabs>
    </w:pPr>
  </w:style>
  <w:style w:type="paragraph" w:styleId="1025">
    <w:name w:val="Body Text Indent 2"/>
    <w:basedOn w:val="969"/>
    <w:rPr>
      <w:b/>
      <w:sz w:val="20"/>
    </w:rPr>
    <w:pPr>
      <w:ind w:firstLine="425"/>
      <w:spacing w:lineRule="auto" w:line="360"/>
      <w:widowControl w:val="off"/>
      <w:tabs>
        <w:tab w:val="left" w:pos="1985" w:leader="none"/>
        <w:tab w:val="left" w:pos="2127" w:leader="none"/>
      </w:tabs>
    </w:pPr>
  </w:style>
  <w:style w:type="paragraph" w:styleId="1026">
    <w:name w:val="Document Map"/>
    <w:basedOn w:val="969"/>
    <w:semiHidden/>
    <w:rPr>
      <w:rFonts w:ascii="Tahoma" w:hAnsi="Tahoma" w:cs="Tahoma"/>
      <w:sz w:val="20"/>
    </w:rPr>
    <w:pPr>
      <w:shd w:val="clear" w:fill="000080" w:color="auto"/>
    </w:pPr>
  </w:style>
  <w:style w:type="paragraph" w:styleId="1027">
    <w:name w:val="toc 4"/>
    <w:basedOn w:val="969"/>
    <w:next w:val="969"/>
    <w:uiPriority w:val="39"/>
    <w:pPr>
      <w:ind w:left="1872" w:right="567" w:hanging="1021"/>
      <w:tabs>
        <w:tab w:val="left" w:pos="1871" w:leader="none"/>
        <w:tab w:val="right" w:pos="9630" w:leader="dot"/>
      </w:tabs>
    </w:pPr>
  </w:style>
  <w:style w:type="paragraph" w:styleId="1028">
    <w:name w:val="Body Text 3"/>
    <w:basedOn w:val="969"/>
    <w:semiHidden/>
    <w:rPr>
      <w:sz w:val="16"/>
      <w:szCs w:val="16"/>
    </w:rPr>
    <w:pPr>
      <w:spacing w:after="120"/>
    </w:pPr>
  </w:style>
  <w:style w:type="paragraph" w:styleId="1029" w:customStyle="1">
    <w:name w:val="_ASFK_List_normal_1"/>
    <w:basedOn w:val="1159"/>
    <w:link w:val="1284"/>
    <w:pPr>
      <w:ind w:left="851"/>
      <w:tabs>
        <w:tab w:val="clear" w:pos="567" w:leader="none"/>
        <w:tab w:val="left" w:pos="851" w:leader="none"/>
      </w:tabs>
    </w:pPr>
  </w:style>
  <w:style w:type="numbering" w:styleId="1030">
    <w:name w:val="Outline List 2"/>
    <w:basedOn w:val="981"/>
    <w:semiHidden/>
    <w:pPr>
      <w:numPr>
        <w:numId w:val="106"/>
      </w:numPr>
    </w:pPr>
  </w:style>
  <w:style w:type="numbering" w:styleId="1031">
    <w:name w:val="Outline List 1"/>
    <w:basedOn w:val="981"/>
    <w:semiHidden/>
    <w:pPr>
      <w:numPr>
        <w:numId w:val="107"/>
      </w:numPr>
    </w:pPr>
  </w:style>
  <w:style w:type="paragraph" w:styleId="1032">
    <w:name w:val="Balloon Text"/>
    <w:basedOn w:val="969"/>
    <w:semiHidden/>
    <w:rPr>
      <w:rFonts w:ascii="Tahoma" w:hAnsi="Tahoma" w:cs="Tahoma"/>
      <w:sz w:val="16"/>
      <w:szCs w:val="16"/>
    </w:rPr>
  </w:style>
  <w:style w:type="paragraph" w:styleId="1033" w:customStyle="1">
    <w:name w:val="_ASFK_List_normal_2.8"/>
    <w:basedOn w:val="1159"/>
    <w:pPr>
      <w:ind w:left="1588"/>
      <w:tabs>
        <w:tab w:val="clear" w:pos="567" w:leader="none"/>
        <w:tab w:val="left" w:pos="1588" w:leader="none"/>
      </w:tabs>
    </w:pPr>
  </w:style>
  <w:style w:type="paragraph" w:styleId="1034">
    <w:name w:val="annotation text"/>
    <w:basedOn w:val="969"/>
    <w:semiHidden/>
    <w:rPr>
      <w:sz w:val="20"/>
    </w:rPr>
  </w:style>
  <w:style w:type="paragraph" w:styleId="1035">
    <w:name w:val="annotation subject"/>
    <w:basedOn w:val="1034"/>
    <w:next w:val="1034"/>
    <w:semiHidden/>
    <w:rPr>
      <w:b/>
      <w:bCs/>
    </w:rPr>
  </w:style>
  <w:style w:type="paragraph" w:styleId="1036">
    <w:name w:val="toc 5"/>
    <w:basedOn w:val="969"/>
    <w:next w:val="969"/>
    <w:uiPriority w:val="39"/>
    <w:rPr>
      <w:sz w:val="18"/>
      <w:szCs w:val="18"/>
    </w:rPr>
    <w:pPr>
      <w:ind w:left="960"/>
      <w:jc w:val="left"/>
    </w:pPr>
  </w:style>
  <w:style w:type="paragraph" w:styleId="1037">
    <w:name w:val="toc 6"/>
    <w:basedOn w:val="969"/>
    <w:next w:val="969"/>
    <w:uiPriority w:val="39"/>
    <w:rPr>
      <w:sz w:val="18"/>
      <w:szCs w:val="18"/>
    </w:rPr>
    <w:pPr>
      <w:ind w:left="1200"/>
      <w:jc w:val="left"/>
    </w:pPr>
  </w:style>
  <w:style w:type="paragraph" w:styleId="1038">
    <w:name w:val="toc 7"/>
    <w:basedOn w:val="969"/>
    <w:next w:val="969"/>
    <w:uiPriority w:val="39"/>
    <w:rPr>
      <w:sz w:val="18"/>
      <w:szCs w:val="18"/>
    </w:rPr>
    <w:pPr>
      <w:ind w:left="1440"/>
      <w:jc w:val="left"/>
    </w:pPr>
  </w:style>
  <w:style w:type="paragraph" w:styleId="1039">
    <w:name w:val="toc 8"/>
    <w:basedOn w:val="969"/>
    <w:next w:val="969"/>
    <w:uiPriority w:val="39"/>
    <w:rPr>
      <w:sz w:val="18"/>
      <w:szCs w:val="18"/>
    </w:rPr>
    <w:pPr>
      <w:ind w:left="1680"/>
      <w:jc w:val="left"/>
    </w:pPr>
  </w:style>
  <w:style w:type="paragraph" w:styleId="1040">
    <w:name w:val="toc 9"/>
    <w:basedOn w:val="969"/>
    <w:next w:val="969"/>
    <w:uiPriority w:val="39"/>
    <w:rPr>
      <w:sz w:val="18"/>
      <w:szCs w:val="18"/>
    </w:rPr>
    <w:pPr>
      <w:ind w:left="1920"/>
      <w:jc w:val="left"/>
    </w:pPr>
  </w:style>
  <w:style w:type="character" w:styleId="1041">
    <w:name w:val="footnote reference"/>
    <w:rPr>
      <w:vertAlign w:val="superscript"/>
    </w:rPr>
  </w:style>
  <w:style w:type="paragraph" w:styleId="1042">
    <w:name w:val="footnote text"/>
    <w:semiHidden/>
  </w:style>
  <w:style w:type="paragraph" w:styleId="1043">
    <w:name w:val="List 4"/>
    <w:basedOn w:val="969"/>
    <w:semiHidden/>
    <w:pPr>
      <w:ind w:left="1132" w:hanging="283"/>
    </w:pPr>
  </w:style>
  <w:style w:type="paragraph" w:styleId="1044">
    <w:name w:val="Body Text 2"/>
    <w:basedOn w:val="969"/>
    <w:semiHidden/>
    <w:pPr>
      <w:spacing w:lineRule="auto" w:line="480" w:after="120"/>
    </w:pPr>
  </w:style>
  <w:style w:type="paragraph" w:styleId="1045">
    <w:name w:val="Body Text Indent 3"/>
    <w:basedOn w:val="969"/>
    <w:semiHidden/>
    <w:rPr>
      <w:sz w:val="16"/>
      <w:szCs w:val="16"/>
    </w:rPr>
    <w:pPr>
      <w:ind w:left="283"/>
      <w:spacing w:after="120"/>
    </w:pPr>
  </w:style>
  <w:style w:type="character" w:styleId="1046">
    <w:name w:val="FollowedHyperlink"/>
    <w:semiHidden/>
    <w:rPr>
      <w:color w:val="800080"/>
      <w:u w:val="single"/>
    </w:rPr>
  </w:style>
  <w:style w:type="character" w:styleId="1047">
    <w:name w:val="HTML Variable"/>
    <w:semiHidden/>
    <w:rPr>
      <w:i/>
      <w:iCs/>
    </w:rPr>
  </w:style>
  <w:style w:type="character" w:styleId="1048">
    <w:name w:val="HTML Typewriter"/>
    <w:semiHidden/>
    <w:rPr>
      <w:rFonts w:ascii="Courier New" w:hAnsi="Courier New" w:cs="Courier New"/>
      <w:sz w:val="20"/>
      <w:szCs w:val="20"/>
    </w:rPr>
  </w:style>
  <w:style w:type="paragraph" w:styleId="1049">
    <w:name w:val="Subtitle"/>
    <w:basedOn w:val="969"/>
    <w:qFormat/>
    <w:rPr>
      <w:rFonts w:ascii="Arial" w:hAnsi="Arial" w:cs="Arial"/>
    </w:rPr>
    <w:pPr>
      <w:jc w:val="center"/>
      <w:spacing w:after="60"/>
      <w:outlineLvl w:val="1"/>
    </w:pPr>
  </w:style>
  <w:style w:type="paragraph" w:styleId="1050">
    <w:name w:val="Salutation"/>
    <w:basedOn w:val="969"/>
    <w:next w:val="969"/>
    <w:semiHidden/>
  </w:style>
  <w:style w:type="paragraph" w:styleId="1051">
    <w:name w:val="List Continue"/>
    <w:basedOn w:val="969"/>
    <w:semiHidden/>
    <w:pPr>
      <w:ind w:left="283"/>
      <w:spacing w:after="120"/>
    </w:pPr>
  </w:style>
  <w:style w:type="paragraph" w:styleId="1052">
    <w:name w:val="List Continue 2"/>
    <w:basedOn w:val="969"/>
    <w:semiHidden/>
    <w:pPr>
      <w:ind w:left="566"/>
      <w:spacing w:after="120"/>
    </w:pPr>
  </w:style>
  <w:style w:type="paragraph" w:styleId="1053">
    <w:name w:val="List Continue 3"/>
    <w:basedOn w:val="969"/>
    <w:semiHidden/>
    <w:pPr>
      <w:ind w:left="849"/>
      <w:spacing w:after="120"/>
    </w:pPr>
  </w:style>
  <w:style w:type="paragraph" w:styleId="1054">
    <w:name w:val="List Continue 4"/>
    <w:basedOn w:val="969"/>
    <w:semiHidden/>
    <w:pPr>
      <w:ind w:left="1132"/>
      <w:spacing w:after="120"/>
    </w:pPr>
  </w:style>
  <w:style w:type="paragraph" w:styleId="1055">
    <w:name w:val="List Continue 5"/>
    <w:basedOn w:val="969"/>
    <w:semiHidden/>
    <w:pPr>
      <w:ind w:left="1415"/>
      <w:spacing w:after="120"/>
    </w:pPr>
  </w:style>
  <w:style w:type="table" w:styleId="1056">
    <w:name w:val="Table Simple 1"/>
    <w:basedOn w:val="980"/>
    <w:semiHidden/>
    <w:tblPr>
      <w:tblBorders>
        <w:top w:val="single" w:color="008000" w:sz="12" w:space="0"/>
        <w:bottom w:val="single" w:color="008000" w:sz="12" w:space="0"/>
      </w:tblBorders>
    </w:tblPr>
    <w:tcPr>
      <w:shd w:val="clear" w:fill="auto" w:color="auto"/>
    </w:tcPr>
    <w:tblStylePr w:type="firstRow">
      <w:tcPr>
        <w:tcBorders>
          <w:bottom w:val="single" w:color="008000" w:sz="6" w:space="0"/>
        </w:tcBorders>
      </w:tcPr>
    </w:tblStylePr>
    <w:tblStylePr w:type="lastRow">
      <w:tcPr>
        <w:tcBorders>
          <w:top w:val="single" w:color="008000" w:sz="6" w:space="0"/>
        </w:tcBorders>
      </w:tcPr>
    </w:tblStylePr>
  </w:style>
  <w:style w:type="table" w:styleId="1057">
    <w:name w:val="Table Simple 2"/>
    <w:basedOn w:val="980"/>
    <w:semiHidden/>
    <w:tblPr/>
    <w:tblStylePr w:type="firstCol">
      <w:rPr>
        <w:b/>
        <w:bCs/>
      </w:rPr>
      <w:tcPr>
        <w:tcBorders>
          <w:right w:val="single" w:color="000000" w:sz="12" w:space="0"/>
        </w:tcBorders>
      </w:tcPr>
    </w:tblStylePr>
    <w:tblStylePr w:type="firstRow">
      <w:rPr>
        <w:b/>
        <w:bCs/>
      </w:rPr>
      <w:tcPr>
        <w:tcBorders>
          <w:bottom w:val="single" w:color="000000" w:sz="12" w:space="0"/>
        </w:tcBorders>
      </w:tcPr>
    </w:tblStylePr>
    <w:tblStylePr w:type="lastCol">
      <w:rPr>
        <w:b/>
        <w:bCs/>
      </w:rPr>
      <w:tcPr>
        <w:tcBorders>
          <w:left w:val="single" w:color="000000" w:sz="6" w:space="0"/>
        </w:tcBorders>
      </w:tcPr>
    </w:tblStylePr>
    <w:tblStylePr w:type="lastRow">
      <w:rPr>
        <w:b/>
        <w:bCs/>
        <w:color w:val="auto"/>
      </w:rPr>
      <w:tcPr>
        <w:tcBorders>
          <w:top w:val="single" w:color="000000" w:sz="6" w:space="0"/>
        </w:tcBorders>
      </w:tcPr>
    </w:tblStylePr>
    <w:tblStylePr w:type="neCell">
      <w:rPr>
        <w:b/>
        <w:bCs/>
      </w:rPr>
      <w:tcPr>
        <w:tcBorders>
          <w:left w:val="none" w:sz="0" w:space="0" w:color="auto"/>
        </w:tcBorders>
      </w:tcPr>
    </w:tblStylePr>
    <w:tblStylePr w:type="swCell">
      <w:rPr>
        <w:b/>
        <w:bCs/>
      </w:rPr>
      <w:tcPr>
        <w:tcBorders>
          <w:top w:val="none" w:sz="0" w:space="0" w:color="auto"/>
        </w:tcBorders>
      </w:tcPr>
    </w:tblStylePr>
  </w:style>
  <w:style w:type="table" w:styleId="1058">
    <w:name w:val="Table Simple 3"/>
    <w:basedOn w:val="980"/>
    <w:semiHidden/>
    <w:tblPr>
      <w:tblBorders>
        <w:left w:val="single" w:color="000000" w:sz="12" w:space="0"/>
        <w:top w:val="single" w:color="000000" w:sz="12" w:space="0"/>
        <w:right w:val="single" w:color="000000" w:sz="12" w:space="0"/>
        <w:bottom w:val="single" w:color="000000" w:sz="12" w:space="0"/>
      </w:tblBorders>
    </w:tblPr>
    <w:tcPr>
      <w:shd w:val="clear" w:fill="auto" w:color="auto"/>
    </w:tcPr>
    <w:tblStylePr w:type="firstRow">
      <w:rPr>
        <w:b/>
        <w:bCs/>
        <w:color w:val="FFFFFF"/>
      </w:rPr>
      <w:tcPr>
        <w:shd w:val="solid" w:color="000000" w:fill="FFFFFF"/>
      </w:tcPr>
    </w:tblStylePr>
  </w:style>
  <w:style w:type="table" w:styleId="1059">
    <w:name w:val="Table Grid 1"/>
    <w:basedOn w:val="980"/>
    <w:semiHidden/>
    <w:tblPr>
      <w:tblBorders>
        <w:left w:val="single" w:color="000000" w:sz="6" w:space="0"/>
        <w:top w:val="single" w:color="000000" w:sz="6" w:space="0"/>
        <w:right w:val="single" w:color="000000" w:sz="6" w:space="0"/>
        <w:bottom w:val="single" w:color="000000" w:sz="6" w:space="0"/>
        <w:insideV w:val="single" w:color="000000" w:sz="6" w:space="0"/>
        <w:insideH w:val="single" w:color="000000" w:sz="6" w:space="0"/>
      </w:tblBorders>
    </w:tblPr>
    <w:tcPr>
      <w:shd w:val="clear" w:fill="auto" w:color="auto"/>
    </w:tcPr>
    <w:tblStylePr w:type="lastCol">
      <w:rPr>
        <w:i/>
        <w:iCs/>
      </w:rPr>
    </w:tblStylePr>
    <w:tblStylePr w:type="lastRow">
      <w:rPr>
        <w:i/>
        <w:iCs/>
      </w:rPr>
    </w:tblStylePr>
  </w:style>
  <w:style w:type="table" w:styleId="1060">
    <w:name w:val="Table Grid 2"/>
    <w:basedOn w:val="980"/>
    <w:semiHidden/>
    <w:tblPr>
      <w:tblBorders>
        <w:insideV w:val="single" w:color="000000" w:sz="6" w:space="0"/>
        <w:insideH w:val="single" w:color="000000" w:sz="6" w:space="0"/>
      </w:tblBorders>
    </w:tblPr>
    <w:tcPr>
      <w:shd w:val="clear" w:fill="auto" w:color="auto"/>
    </w:tcPr>
    <w:tblStylePr w:type="firstCol">
      <w:rPr>
        <w:b/>
        <w:bCs/>
      </w:rPr>
    </w:tblStylePr>
    <w:tblStylePr w:type="firstRow">
      <w:rPr>
        <w:b/>
        <w:bCs/>
      </w:rPr>
    </w:tblStylePr>
    <w:tblStylePr w:type="lastCol">
      <w:rPr>
        <w:b/>
        <w:bCs/>
      </w:rPr>
    </w:tblStylePr>
    <w:tblStylePr w:type="lastRow">
      <w:rPr>
        <w:b/>
        <w:bCs/>
      </w:rPr>
      <w:tcPr>
        <w:tcBorders>
          <w:top w:val="single" w:color="000000" w:sz="6" w:space="0"/>
        </w:tcBorders>
      </w:tcPr>
    </w:tblStylePr>
  </w:style>
  <w:style w:type="table" w:styleId="1061">
    <w:name w:val="Table Grid 3"/>
    <w:basedOn w:val="980"/>
    <w:semiHidden/>
    <w:tblPr>
      <w:tblBorders>
        <w:left w:val="single" w:color="000000" w:sz="12" w:space="0"/>
        <w:top w:val="single" w:color="000000" w:sz="6" w:space="0"/>
        <w:right w:val="single" w:color="000000" w:sz="12" w:space="0"/>
        <w:bottom w:val="single" w:color="000000" w:sz="6" w:space="0"/>
        <w:insideV w:val="single" w:color="000000" w:sz="6" w:space="0"/>
      </w:tblBorders>
    </w:tblPr>
    <w:tcPr>
      <w:shd w:val="clear" w:fill="auto" w:color="auto"/>
    </w:tcPr>
    <w:tblStylePr w:type="firstRow">
      <w:tcPr>
        <w:shd w:val="pct30" w:color="FFFF00" w:fill="FFFFFF"/>
        <w:tcBorders>
          <w:bottom w:val="single" w:color="000000" w:sz="6" w:space="0"/>
        </w:tcBorders>
      </w:tcPr>
    </w:tblStylePr>
    <w:tblStylePr w:type="lastCol">
      <w:rPr>
        <w:b/>
        <w:bCs/>
      </w:rPr>
    </w:tblStylePr>
    <w:tblStylePr w:type="lastRow">
      <w:rPr>
        <w:b/>
        <w:bCs/>
      </w:rPr>
    </w:tblStylePr>
  </w:style>
  <w:style w:type="table" w:styleId="1062">
    <w:name w:val="Table Grid 4"/>
    <w:basedOn w:val="980"/>
    <w:semiHidden/>
    <w:tblPr>
      <w:tblBorders>
        <w:left w:val="single" w:color="000000" w:sz="12" w:space="0"/>
        <w:right w:val="single" w:color="000000" w:sz="12" w:space="0"/>
        <w:insideV w:val="single" w:color="000000" w:sz="6" w:space="0"/>
        <w:insideH w:val="single" w:color="000000" w:sz="6" w:space="0"/>
      </w:tblBorders>
    </w:tblPr>
    <w:tcPr>
      <w:shd w:val="clear" w:fill="auto" w:color="auto"/>
    </w:tcPr>
    <w:tblStylePr w:type="firstRow">
      <w:rPr>
        <w:color w:val="auto"/>
      </w:rPr>
      <w:tcPr>
        <w:shd w:val="pct30" w:color="FFFF00" w:fill="FFFFFF"/>
        <w:tcBorders>
          <w:bottom w:val="single" w:color="000000" w:sz="6" w:space="0"/>
        </w:tcBorders>
      </w:tcPr>
    </w:tblStylePr>
    <w:tblStylePr w:type="lastCol">
      <w:rPr>
        <w:b/>
        <w:bCs/>
        <w:color w:val="auto"/>
      </w:rPr>
    </w:tblStylePr>
    <w:tblStylePr w:type="lastRow">
      <w:rPr>
        <w:b/>
        <w:bCs/>
        <w:color w:val="auto"/>
      </w:rPr>
      <w:tcPr>
        <w:shd w:val="pct30" w:color="FFFF00" w:fill="FFFFFF"/>
        <w:tcBorders>
          <w:top w:val="single" w:color="000000" w:sz="6" w:space="0"/>
        </w:tcBorders>
      </w:tcPr>
    </w:tblStylePr>
  </w:style>
  <w:style w:type="table" w:styleId="1063">
    <w:name w:val="Table Grid 5"/>
    <w:basedOn w:val="980"/>
    <w:semiHidden/>
    <w:tblPr>
      <w:tblBorders>
        <w:left w:val="single" w:color="000000" w:sz="12" w:space="0"/>
        <w:top w:val="single" w:color="000000" w:sz="12" w:space="0"/>
        <w:right w:val="single" w:color="000000" w:sz="12" w:space="0"/>
        <w:bottom w:val="single" w:color="000000" w:sz="12" w:space="0"/>
        <w:insideV w:val="single" w:color="000000" w:sz="6" w:space="0"/>
        <w:insideH w:val="single" w:color="000000" w:sz="6" w:space="0"/>
      </w:tblBorders>
    </w:tblPr>
    <w:tcPr>
      <w:shd w:val="clear" w:fill="auto" w:color="auto"/>
    </w:tcPr>
    <w:tblStylePr w:type="firstRow">
      <w:tcPr>
        <w:tcBorders>
          <w:bottom w:val="single" w:color="000000" w:sz="12" w:space="0"/>
        </w:tcBorders>
      </w:tcPr>
    </w:tblStylePr>
    <w:tblStylePr w:type="lastCol">
      <w:rPr>
        <w:b/>
        <w:bCs/>
      </w:rPr>
    </w:tblStylePr>
    <w:tblStylePr w:type="lastRow">
      <w:rPr>
        <w:b/>
        <w:bCs/>
      </w:rPr>
    </w:tblStylePr>
  </w:style>
  <w:style w:type="table" w:styleId="1064">
    <w:name w:val="Table Grid 6"/>
    <w:basedOn w:val="980"/>
    <w:semiHidden/>
    <w:tblPr>
      <w:tblBorders>
        <w:left w:val="single" w:color="000000" w:sz="12" w:space="0"/>
        <w:top w:val="single" w:color="000000" w:sz="12" w:space="0"/>
        <w:right w:val="single" w:color="000000" w:sz="12" w:space="0"/>
        <w:bottom w:val="single" w:color="000000" w:sz="12" w:space="0"/>
        <w:insideV w:val="single" w:color="000000" w:sz="6" w:space="0"/>
      </w:tblBorders>
    </w:tblPr>
    <w:tcPr>
      <w:shd w:val="clear" w:fill="auto" w:color="auto"/>
    </w:tcPr>
    <w:tblStylePr w:type="firstCol">
      <w:rPr>
        <w:b/>
        <w:bCs/>
      </w:rPr>
    </w:tblStylePr>
    <w:tblStylePr w:type="firstRow">
      <w:rPr>
        <w:b/>
        <w:bCs/>
      </w:rPr>
      <w:tcPr>
        <w:tcBorders>
          <w:bottom w:val="single" w:color="000000" w:sz="6" w:space="0"/>
        </w:tcBorders>
      </w:tcPr>
    </w:tblStylePr>
    <w:tblStylePr w:type="lastRow">
      <w:rPr>
        <w:color w:val="auto"/>
      </w:rPr>
      <w:tcPr>
        <w:tcBorders>
          <w:top w:val="single" w:color="000000" w:sz="6" w:space="0"/>
        </w:tcBorders>
      </w:tcPr>
    </w:tblStylePr>
  </w:style>
  <w:style w:type="table" w:styleId="1065">
    <w:name w:val="Table Grid 7"/>
    <w:basedOn w:val="980"/>
    <w:semiHidden/>
    <w:rPr>
      <w:b/>
      <w:bCs/>
    </w:rPr>
    <w:tblPr>
      <w:tblBorders>
        <w:left w:val="single" w:color="000000" w:sz="12" w:space="0"/>
        <w:top w:val="single" w:color="000000" w:sz="12" w:space="0"/>
        <w:right w:val="single" w:color="000000" w:sz="12" w:space="0"/>
        <w:bottom w:val="single" w:color="000000" w:sz="12" w:space="0"/>
        <w:insideV w:val="single" w:color="000000" w:sz="6" w:space="0"/>
        <w:insideH w:val="single" w:color="000000" w:sz="6" w:space="0"/>
      </w:tblBorders>
    </w:tblPr>
    <w:tcPr>
      <w:shd w:val="clear" w:fill="auto" w:color="auto"/>
    </w:tcPr>
    <w:tblStylePr w:type="firstCol">
      <w:rPr>
        <w:b w:val="false"/>
        <w:bCs w:val="false"/>
      </w:rPr>
    </w:tblStylePr>
    <w:tblStylePr w:type="firstRow">
      <w:rPr>
        <w:b w:val="false"/>
        <w:bCs w:val="false"/>
      </w:rPr>
      <w:tcPr>
        <w:tcBorders>
          <w:bottom w:val="single" w:color="000000" w:sz="12" w:space="0"/>
        </w:tcBorders>
      </w:tcPr>
    </w:tblStylePr>
    <w:tblStylePr w:type="lastCol">
      <w:rPr>
        <w:b w:val="false"/>
        <w:bCs w:val="false"/>
      </w:rPr>
    </w:tblStylePr>
    <w:tblStylePr w:type="lastRow">
      <w:rPr>
        <w:b w:val="false"/>
        <w:bCs w:val="false"/>
      </w:rPr>
      <w:tcPr>
        <w:tcBorders>
          <w:top w:val="single" w:color="000000" w:sz="6" w:space="0"/>
        </w:tcBorders>
      </w:tcPr>
    </w:tblStylePr>
  </w:style>
  <w:style w:type="table" w:styleId="1066">
    <w:name w:val="Table Grid 8"/>
    <w:basedOn w:val="980"/>
    <w:semiHidden/>
    <w:tblPr>
      <w:tblBorders>
        <w:left w:val="single" w:color="000080" w:sz="6" w:space="0"/>
        <w:top w:val="single" w:color="000080" w:sz="6" w:space="0"/>
        <w:right w:val="single" w:color="000080" w:sz="6" w:space="0"/>
        <w:bottom w:val="single" w:color="000080" w:sz="6" w:space="0"/>
        <w:insideV w:val="single" w:color="000080" w:sz="6" w:space="0"/>
        <w:insideH w:val="single" w:color="000080" w:sz="6" w:space="0"/>
      </w:tblBorders>
    </w:tblPr>
    <w:tcPr>
      <w:shd w:val="clear" w:fill="auto" w:color="auto"/>
    </w:tcPr>
    <w:tblStylePr w:type="firstRow">
      <w:rPr>
        <w:b/>
        <w:bCs/>
        <w:color w:val="FFFFFF"/>
      </w:rPr>
      <w:tcPr>
        <w:shd w:val="solid" w:color="000080" w:fill="FFFFFF"/>
      </w:tcPr>
    </w:tblStylePr>
    <w:tblStylePr w:type="lastCol">
      <w:rPr>
        <w:b/>
        <w:bCs/>
        <w:color w:val="auto"/>
      </w:rPr>
    </w:tblStylePr>
    <w:tblStylePr w:type="lastRow">
      <w:rPr>
        <w:b/>
        <w:bCs/>
        <w:color w:val="auto"/>
      </w:rPr>
    </w:tblStylePr>
  </w:style>
  <w:style w:type="table" w:styleId="1067">
    <w:name w:val="Table Contemporary"/>
    <w:basedOn w:val="980"/>
    <w:semiHidden/>
    <w:tblPr>
      <w:tblStyleRowBandSize w:val="1"/>
      <w:tblBorders>
        <w:insideV w:val="single" w:color="FFFFFF" w:sz="18" w:space="0"/>
        <w:insideH w:val="single" w:color="FFFFFF" w:sz="18" w:space="0"/>
      </w:tblBorders>
    </w:tblPr>
    <w:tblStylePr w:type="band1Horz">
      <w:rPr>
        <w:color w:val="auto"/>
      </w:rPr>
      <w:tcPr>
        <w:shd w:val="pct5" w:color="000000" w:fill="FFFFFF"/>
      </w:tcPr>
    </w:tblStylePr>
    <w:tblStylePr w:type="band2Horz">
      <w:rPr>
        <w:color w:val="auto"/>
      </w:rPr>
      <w:tcPr>
        <w:shd w:val="pct20" w:color="000000" w:fill="FFFFFF"/>
      </w:tcPr>
    </w:tblStylePr>
    <w:tblStylePr w:type="firstRow">
      <w:rPr>
        <w:b/>
        <w:bCs/>
        <w:color w:val="auto"/>
      </w:rPr>
      <w:tcPr>
        <w:shd w:val="pct20" w:color="000000" w:fill="FFFFFF"/>
      </w:tcPr>
    </w:tblStylePr>
  </w:style>
  <w:style w:type="paragraph" w:styleId="1068">
    <w:name w:val="List"/>
    <w:basedOn w:val="969"/>
    <w:semiHidden/>
    <w:pPr>
      <w:ind w:left="283" w:hanging="283"/>
    </w:pPr>
  </w:style>
  <w:style w:type="paragraph" w:styleId="1069">
    <w:name w:val="List 2"/>
    <w:basedOn w:val="969"/>
    <w:semiHidden/>
    <w:pPr>
      <w:ind w:left="566" w:hanging="283"/>
    </w:pPr>
  </w:style>
  <w:style w:type="paragraph" w:styleId="1070">
    <w:name w:val="List 3"/>
    <w:basedOn w:val="969"/>
    <w:semiHidden/>
    <w:pPr>
      <w:ind w:left="849" w:hanging="283"/>
    </w:pPr>
  </w:style>
  <w:style w:type="paragraph" w:styleId="1071">
    <w:name w:val="List 5"/>
    <w:basedOn w:val="969"/>
    <w:semiHidden/>
    <w:pPr>
      <w:ind w:left="1415" w:hanging="283"/>
    </w:pPr>
  </w:style>
  <w:style w:type="table" w:styleId="1072">
    <w:name w:val="Table Professional"/>
    <w:basedOn w:val="980"/>
    <w:semiHidden/>
    <w:tblPr>
      <w:tblBorders>
        <w:left w:val="single" w:color="000000" w:sz="6" w:space="0"/>
        <w:top w:val="single" w:color="000000" w:sz="6" w:space="0"/>
        <w:right w:val="single" w:color="000000" w:sz="6" w:space="0"/>
        <w:bottom w:val="single" w:color="000000" w:sz="6" w:space="0"/>
        <w:insideV w:val="single" w:color="000000" w:sz="6" w:space="0"/>
        <w:insideH w:val="single" w:color="000000" w:sz="6" w:space="0"/>
      </w:tblBorders>
    </w:tblPr>
    <w:tcPr>
      <w:shd w:val="clear" w:fill="auto" w:color="auto"/>
    </w:tcPr>
    <w:tblStylePr w:type="firstRow">
      <w:rPr>
        <w:b/>
        <w:bCs/>
        <w:color w:val="auto"/>
      </w:rPr>
      <w:tcPr>
        <w:shd w:val="solid" w:color="000000" w:fill="FFFFFF"/>
      </w:tcPr>
    </w:tblStylePr>
  </w:style>
  <w:style w:type="paragraph" w:styleId="1073">
    <w:name w:val="HTML Preformatted"/>
    <w:basedOn w:val="969"/>
    <w:semiHidden/>
    <w:rPr>
      <w:rFonts w:ascii="Courier New" w:hAnsi="Courier New" w:cs="Courier New"/>
      <w:sz w:val="20"/>
    </w:rPr>
  </w:style>
  <w:style w:type="numbering" w:styleId="1074">
    <w:name w:val="Outline List 3"/>
    <w:basedOn w:val="981"/>
    <w:semiHidden/>
    <w:pPr>
      <w:numPr>
        <w:numId w:val="121"/>
      </w:numPr>
    </w:pPr>
  </w:style>
  <w:style w:type="table" w:styleId="1075">
    <w:name w:val="Table Columns 1"/>
    <w:basedOn w:val="980"/>
    <w:semiHidden/>
    <w:rPr>
      <w:b/>
      <w:bCs/>
    </w:rPr>
    <w:tblPr>
      <w:tblStyleColBandSize w:val="1"/>
      <w:tblBorders>
        <w:left w:val="single" w:color="000000" w:sz="12" w:space="0"/>
        <w:top w:val="single" w:color="000000" w:sz="12" w:space="0"/>
        <w:right w:val="single" w:color="000000" w:sz="12" w:space="0"/>
        <w:bottom w:val="single" w:color="000000" w:sz="12" w:space="0"/>
      </w:tblBorders>
    </w:tblPr>
    <w:tblStylePr w:type="band1Vert">
      <w:rPr>
        <w:color w:val="auto"/>
      </w:rPr>
      <w:tcPr>
        <w:shd w:val="pct25" w:color="000000" w:fill="FFFFFF"/>
      </w:tcPr>
    </w:tblStylePr>
    <w:tblStylePr w:type="band2Vert">
      <w:rPr>
        <w:color w:val="auto"/>
      </w:rPr>
      <w:tcPr>
        <w:shd w:val="pct25" w:color="FFFF00" w:fill="FFFFFF"/>
      </w:tcPr>
    </w:tblStylePr>
    <w:tblStylePr w:type="firstCol">
      <w:rPr>
        <w:b w:val="false"/>
        <w:bCs w:val="false"/>
      </w:rPr>
    </w:tblStylePr>
    <w:tblStylePr w:type="firstRow">
      <w:rPr>
        <w:b w:val="false"/>
        <w:bCs w:val="false"/>
      </w:rPr>
      <w:tcPr>
        <w:tcBorders>
          <w:bottom w:val="single" w:color="000000" w:sz="6" w:space="0"/>
        </w:tcBorders>
      </w:tcPr>
    </w:tblStylePr>
    <w:tblStylePr w:type="lastCol">
      <w:rPr>
        <w:b w:val="false"/>
        <w:bCs w:val="false"/>
      </w:rPr>
    </w:tblStylePr>
    <w:tblStylePr w:type="lastRow">
      <w:rPr>
        <w:b w:val="false"/>
        <w:bCs w:val="false"/>
      </w:rPr>
    </w:tblStylePr>
    <w:tblStylePr w:type="neCell">
      <w:rPr>
        <w:b/>
        <w:bCs/>
      </w:rPr>
    </w:tblStylePr>
    <w:tblStylePr w:type="swCell">
      <w:rPr>
        <w:b/>
        <w:bCs/>
      </w:rPr>
    </w:tblStylePr>
  </w:style>
  <w:style w:type="table" w:styleId="1076">
    <w:name w:val="Table Columns 2"/>
    <w:basedOn w:val="980"/>
    <w:semiHidden/>
    <w:rPr>
      <w:b/>
      <w:bCs/>
    </w:rPr>
    <w:tblPr>
      <w:tblStyleColBandSize w:val="1"/>
    </w:tblPr>
    <w:tblStylePr w:type="band1Vert">
      <w:rPr>
        <w:color w:val="auto"/>
      </w:rPr>
      <w:tcPr>
        <w:shd w:val="pct30" w:color="000000" w:fill="FFFFFF"/>
      </w:tcPr>
    </w:tblStylePr>
    <w:tblStylePr w:type="band2Vert">
      <w:rPr>
        <w:color w:val="auto"/>
      </w:rPr>
      <w:tcPr>
        <w:shd w:val="pct25" w:color="00FF00" w:fill="FFFFFF"/>
      </w:tcPr>
    </w:tblStylePr>
    <w:tblStylePr w:type="firstCol">
      <w:rPr>
        <w:b w:val="false"/>
        <w:bCs w:val="false"/>
        <w:color w:val="000000"/>
      </w:rPr>
    </w:tblStylePr>
    <w:tblStylePr w:type="firstRow">
      <w:rPr>
        <w:color w:val="FFFFFF"/>
      </w:rPr>
      <w:tcPr>
        <w:shd w:val="solid" w:color="000080" w:fill="FFFFFF"/>
      </w:tcPr>
    </w:tblStylePr>
    <w:tblStylePr w:type="lastCol">
      <w:rPr>
        <w:b w:val="false"/>
        <w:bCs w:val="false"/>
      </w:rPr>
    </w:tblStylePr>
    <w:tblStylePr w:type="lastRow">
      <w:rPr>
        <w:b w:val="false"/>
        <w:bCs w:val="false"/>
      </w:rPr>
    </w:tblStylePr>
    <w:tblStylePr w:type="neCell">
      <w:rPr>
        <w:b/>
        <w:bCs/>
      </w:rPr>
    </w:tblStylePr>
    <w:tblStylePr w:type="swCell">
      <w:rPr>
        <w:b/>
        <w:bCs/>
      </w:rPr>
    </w:tblStylePr>
  </w:style>
  <w:style w:type="table" w:styleId="1077">
    <w:name w:val="Table Columns 3"/>
    <w:basedOn w:val="980"/>
    <w:semiHidden/>
    <w:rPr>
      <w:b/>
      <w:bCs/>
    </w:rPr>
    <w:tblPr>
      <w:tblStyleColBandSize w:val="1"/>
      <w:tblBorders>
        <w:left w:val="single" w:color="000080" w:sz="6" w:space="0"/>
        <w:top w:val="single" w:color="000080" w:sz="6" w:space="0"/>
        <w:right w:val="single" w:color="000080" w:sz="6" w:space="0"/>
        <w:bottom w:val="single" w:color="000080" w:sz="6" w:space="0"/>
        <w:insideV w:val="single" w:color="000080" w:sz="6" w:space="0"/>
      </w:tblBorders>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false"/>
        <w:bCs w:val="false"/>
      </w:rPr>
    </w:tblStylePr>
    <w:tblStylePr w:type="firstRow">
      <w:rPr>
        <w:color w:val="FFFFFF"/>
      </w:rPr>
      <w:tcPr>
        <w:shd w:val="solid" w:color="000080" w:fill="FFFFFF"/>
      </w:tcPr>
    </w:tblStylePr>
    <w:tblStylePr w:type="lastCol">
      <w:rPr>
        <w:b w:val="false"/>
        <w:bCs w:val="false"/>
      </w:rPr>
    </w:tblStylePr>
    <w:tblStylePr w:type="lastRow">
      <w:rPr>
        <w:b w:val="false"/>
        <w:bCs w:val="false"/>
      </w:rPr>
      <w:tcPr>
        <w:tcBorders>
          <w:top w:val="single" w:color="000080" w:sz="6" w:space="0"/>
        </w:tcBorders>
      </w:tcPr>
    </w:tblStylePr>
    <w:tblStylePr w:type="neCell">
      <w:rPr>
        <w:b/>
        <w:bCs/>
      </w:rPr>
    </w:tblStylePr>
  </w:style>
  <w:style w:type="table" w:styleId="1078">
    <w:name w:val="Table Columns 4"/>
    <w:basedOn w:val="980"/>
    <w:semiHidden/>
    <w:tblPr>
      <w:tblStyleColBandSize w:val="1"/>
    </w:tblPr>
    <w:tblStylePr w:type="band1Vert">
      <w:rPr>
        <w:color w:val="auto"/>
      </w:rPr>
      <w:tcPr>
        <w:shd w:val="pct50" w:color="008080" w:fill="FFFFFF"/>
      </w:tcPr>
    </w:tblStylePr>
    <w:tblStylePr w:type="band2Vert">
      <w:rPr>
        <w:color w:val="auto"/>
      </w:rPr>
      <w:tcPr>
        <w:shd w:val="pct10" w:color="000000" w:fill="FFFFFF"/>
      </w:tcPr>
    </w:tblStylePr>
    <w:tblStylePr w:type="firstRow">
      <w:rPr>
        <w:color w:val="FFFFFF"/>
      </w:rPr>
      <w:tcPr>
        <w:shd w:val="solid" w:color="000000" w:fill="FFFFFF"/>
      </w:tcPr>
    </w:tblStylePr>
    <w:tblStylePr w:type="lastCol">
      <w:rPr>
        <w:b/>
        <w:bCs/>
      </w:rPr>
    </w:tblStylePr>
    <w:tblStylePr w:type="lastRow">
      <w:rPr>
        <w:b/>
        <w:bCs/>
      </w:rPr>
    </w:tblStylePr>
  </w:style>
  <w:style w:type="table" w:styleId="1079">
    <w:name w:val="Table Columns 5"/>
    <w:basedOn w:val="980"/>
    <w:semiHidden/>
    <w:tblPr>
      <w:tblStyleColBandSize w:val="1"/>
      <w:tblBorders>
        <w:left w:val="single" w:color="808080" w:sz="12" w:space="0"/>
        <w:top w:val="single" w:color="808080" w:sz="12" w:space="0"/>
        <w:right w:val="single" w:color="808080" w:sz="12" w:space="0"/>
        <w:bottom w:val="single" w:color="808080" w:sz="12" w:space="0"/>
        <w:insideV w:val="single" w:color="C0C0C0" w:sz="6" w:space="0"/>
      </w:tblBorders>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character" w:styleId="1080">
    <w:name w:val="Strong"/>
    <w:qFormat/>
    <w:rPr>
      <w:b/>
      <w:bCs/>
    </w:rPr>
  </w:style>
  <w:style w:type="table" w:styleId="1081">
    <w:name w:val="Table List 1"/>
    <w:basedOn w:val="980"/>
    <w:semiHidden/>
    <w:tblPr>
      <w:tblStyleRowBandSize w:val="1"/>
      <w:tblBorders>
        <w:left w:val="single" w:color="008080" w:sz="6" w:space="0"/>
        <w:top w:val="single" w:color="008080" w:sz="12" w:space="0"/>
        <w:right w:val="single" w:color="008080" w:sz="6" w:space="0"/>
        <w:bottom w:val="single" w:color="008080" w:sz="12" w:space="0"/>
      </w:tblBorders>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1082">
    <w:name w:val="Table List 2"/>
    <w:basedOn w:val="980"/>
    <w:semiHidden/>
    <w:tblPr>
      <w:tblStyleRowBandSize w:val="2"/>
      <w:tblBorders>
        <w:bottom w:val="single" w:color="808080" w:sz="12" w:space="0"/>
      </w:tblBorders>
    </w:tblPr>
    <w:tblStylePr w:type="band1Horz">
      <w:rPr>
        <w:color w:val="auto"/>
      </w:rPr>
      <w:tcPr>
        <w:shd w:val="pct20" w:color="00FF00" w:fill="FFFFFF"/>
      </w:tcPr>
    </w:tblStylePr>
    <w:tblStylePr w:type="band2Horz">
      <w:rPr>
        <w:color w:val="auto"/>
      </w:rPr>
    </w:tblStylePr>
    <w:tblStylePr w:type="firstRow">
      <w:rPr>
        <w:b/>
        <w:bCs/>
        <w:color w:val="FFFFFF"/>
      </w:rPr>
      <w:tcPr>
        <w:shd w:val="pct75" w:color="008080" w:fill="008000"/>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1083">
    <w:name w:val="Table List 3"/>
    <w:basedOn w:val="980"/>
    <w:semiHidden/>
    <w:tblPr>
      <w:tblBorders>
        <w:top w:val="single" w:color="000000" w:sz="12" w:space="0"/>
        <w:bottom w:val="single" w:color="000000" w:sz="12" w:space="0"/>
        <w:insideH w:val="single" w:color="000000" w:sz="6" w:space="0"/>
      </w:tblBorders>
    </w:tblPr>
    <w:tcPr>
      <w:shd w:val="clear" w:fill="auto" w:color="auto"/>
    </w:tc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1084">
    <w:name w:val="Table List 4"/>
    <w:basedOn w:val="980"/>
    <w:semiHidden/>
    <w:tblPr>
      <w:tblBorders>
        <w:left w:val="single" w:color="000000" w:sz="12" w:space="0"/>
        <w:top w:val="single" w:color="000000" w:sz="12" w:space="0"/>
        <w:right w:val="single" w:color="000000" w:sz="12" w:space="0"/>
        <w:bottom w:val="single" w:color="000000" w:sz="12" w:space="0"/>
        <w:insideH w:val="single" w:color="000000" w:sz="6" w:space="0"/>
      </w:tblBorders>
    </w:tblPr>
    <w:tcPr>
      <w:shd w:val="clear" w:fill="auto" w:color="auto"/>
    </w:tcPr>
    <w:tblStylePr w:type="firstRow">
      <w:rPr>
        <w:b/>
        <w:bCs/>
        <w:color w:val="FFFFFF"/>
      </w:rPr>
      <w:tcPr>
        <w:shd w:val="solid" w:color="808080" w:fill="FFFFFF"/>
        <w:tcBorders>
          <w:bottom w:val="single" w:color="000000" w:sz="12" w:space="0"/>
        </w:tcBorders>
      </w:tcPr>
    </w:tblStylePr>
  </w:style>
  <w:style w:type="table" w:styleId="1085">
    <w:name w:val="Table List 5"/>
    <w:basedOn w:val="980"/>
    <w:semiHidden/>
    <w:tblPr>
      <w:tblBorders>
        <w:left w:val="single" w:color="000000" w:sz="6" w:space="0"/>
        <w:top w:val="single" w:color="000000" w:sz="6" w:space="0"/>
        <w:right w:val="single" w:color="000000" w:sz="6" w:space="0"/>
        <w:bottom w:val="single" w:color="000000" w:sz="6" w:space="0"/>
        <w:insideH w:val="single" w:color="000000" w:sz="6" w:space="0"/>
      </w:tblBorders>
    </w:tblPr>
    <w:tcPr>
      <w:shd w:val="clear" w:fill="auto" w:color="auto"/>
    </w:tcPr>
    <w:tblStylePr w:type="firstCol">
      <w:rPr>
        <w:b/>
        <w:bCs/>
      </w:rPr>
    </w:tblStylePr>
    <w:tblStylePr w:type="firstRow">
      <w:rPr>
        <w:b/>
        <w:bCs/>
      </w:rPr>
      <w:tcPr>
        <w:tcBorders>
          <w:bottom w:val="single" w:color="000000" w:sz="12" w:space="0"/>
        </w:tcBorders>
      </w:tcPr>
    </w:tblStylePr>
  </w:style>
  <w:style w:type="table" w:styleId="1086">
    <w:name w:val="Table List 6"/>
    <w:basedOn w:val="980"/>
    <w:semiHidden/>
    <w:tblPr>
      <w:tblStyleRowBandSize w:val="1"/>
      <w:tblBorders>
        <w:left w:val="single" w:color="000000" w:sz="6" w:space="0"/>
        <w:top w:val="single" w:color="000000" w:sz="6" w:space="0"/>
        <w:right w:val="single" w:color="000000" w:sz="6" w:space="0"/>
        <w:bottom w:val="single" w:color="000000" w:sz="6" w:space="0"/>
      </w:tblBorders>
    </w:tblPr>
    <w:tcPr>
      <w:shd w:val="pct50" w:color="000000" w:fill="FFFFFF"/>
    </w:tcPr>
    <w:tblStylePr w:type="band1Horz">
      <w:tcPr>
        <w:shd w:val="pct25" w:color="000000" w:fill="FFFFFF"/>
      </w:tcPr>
    </w:tblStylePr>
    <w:tblStylePr w:type="firstCol">
      <w:rPr>
        <w:b/>
        <w:bCs/>
      </w:rPr>
      <w:tcPr>
        <w:tcBorders>
          <w:right w:val="single" w:color="000000" w:sz="12" w:space="0"/>
        </w:tcBorders>
      </w:tcPr>
    </w:tblStylePr>
    <w:tblStylePr w:type="firstRow">
      <w:rPr>
        <w:b/>
        <w:bCs/>
      </w:rPr>
      <w:tcPr>
        <w:tcBorders>
          <w:bottom w:val="single" w:color="000000" w:sz="12" w:space="0"/>
        </w:tcBorders>
      </w:tcPr>
    </w:tblStylePr>
  </w:style>
  <w:style w:type="table" w:styleId="1087">
    <w:name w:val="Table List 7"/>
    <w:basedOn w:val="980"/>
    <w:semiHidden/>
    <w:tblPr>
      <w:tblStyleRowBandSize w:val="1"/>
      <w:tblBorders>
        <w:left w:val="single" w:color="008000" w:sz="6" w:space="0"/>
        <w:top w:val="single" w:color="008000" w:sz="12" w:space="0"/>
        <w:right w:val="single" w:color="008000" w:sz="6" w:space="0"/>
        <w:bottom w:val="single" w:color="008000" w:sz="12" w:space="0"/>
        <w:insideH w:val="single" w:color="000000" w:sz="6" w:space="0"/>
      </w:tblBorders>
    </w:tblPr>
    <w:tblStylePr w:type="band1Horz">
      <w:rPr>
        <w:color w:val="auto"/>
      </w:rPr>
      <w:tcPr>
        <w:shd w:val="pct20" w:color="000000" w:fill="FFFFFF"/>
      </w:tcPr>
    </w:tblStylePr>
    <w:tblStylePr w:type="band2Horz">
      <w:tcPr>
        <w:shd w:val="pct25" w:color="FFFF00" w:fill="FFFFFF"/>
      </w:tcPr>
    </w:tblStylePr>
    <w:tblStylePr w:type="firstCol">
      <w:rPr>
        <w:b/>
        <w:bCs/>
      </w:rPr>
    </w:tblStylePr>
    <w:tblStylePr w:type="firstRow">
      <w:rPr>
        <w:b/>
        <w:bCs/>
      </w:rPr>
      <w:tcPr>
        <w:shd w:val="solid" w:color="C0C0C0" w:fill="FFFFFF"/>
        <w:tcBorders>
          <w:bottom w:val="single" w:color="008000" w:sz="12" w:space="0"/>
        </w:tcBorders>
      </w:tcPr>
    </w:tblStylePr>
    <w:tblStylePr w:type="lastCol">
      <w:rPr>
        <w:b/>
        <w:bCs/>
      </w:rPr>
    </w:tblStylePr>
    <w:tblStylePr w:type="lastRow">
      <w:rPr>
        <w:b/>
        <w:bCs/>
      </w:rPr>
      <w:tcPr>
        <w:tcBorders>
          <w:top w:val="single" w:color="008000" w:sz="12" w:space="0"/>
        </w:tcBorders>
      </w:tcPr>
    </w:tblStylePr>
  </w:style>
  <w:style w:type="table" w:styleId="1088">
    <w:name w:val="Table List 8"/>
    <w:basedOn w:val="980"/>
    <w:semiHidden/>
    <w:tblPr>
      <w:tblStyleRowBandSize w:val="1"/>
      <w:tblBorders>
        <w:left w:val="single" w:color="000000" w:sz="6" w:space="0"/>
        <w:top w:val="single" w:color="000000" w:sz="6" w:space="0"/>
        <w:right w:val="single" w:color="000000" w:sz="6" w:space="0"/>
        <w:bottom w:val="single" w:color="000000" w:sz="6" w:space="0"/>
        <w:insideV w:val="single" w:color="000000" w:sz="6" w:space="0"/>
      </w:tblBorders>
    </w:tblPr>
    <w:tblStylePr w:type="band1Horz">
      <w:rPr>
        <w:color w:val="auto"/>
      </w:rPr>
      <w:tcPr>
        <w:shd w:val="pct25" w:color="FFFF00" w:fill="FFFFFF"/>
      </w:tcPr>
    </w:tblStylePr>
    <w:tblStylePr w:type="band2Horz">
      <w:tcPr>
        <w:shd w:val="pct50" w:color="FF0000" w:fill="FFFFFF"/>
      </w:tcPr>
    </w:tblStylePr>
    <w:tblStylePr w:type="firstCol">
      <w:rPr>
        <w:b/>
        <w:bCs/>
      </w:rPr>
    </w:tblStylePr>
    <w:tblStylePr w:type="firstRow">
      <w:rPr>
        <w:b/>
        <w:bCs/>
        <w:i/>
        <w:iCs/>
      </w:rPr>
      <w:tcPr>
        <w:shd w:val="solid" w:color="FFFF00" w:fill="FFFFFF"/>
        <w:tcBorders>
          <w:bottom w:val="single" w:color="000000" w:sz="6" w:space="0"/>
        </w:tcBorders>
      </w:tcPr>
    </w:tblStylePr>
    <w:tblStylePr w:type="lastCol">
      <w:rPr>
        <w:b/>
        <w:bCs/>
      </w:rPr>
    </w:tblStylePr>
    <w:tblStylePr w:type="lastRow">
      <w:rPr>
        <w:b/>
        <w:bCs/>
      </w:rPr>
      <w:tcPr>
        <w:tcBorders>
          <w:top w:val="single" w:color="000000" w:sz="6" w:space="0"/>
        </w:tcBorders>
      </w:tcPr>
    </w:tblStylePr>
  </w:style>
  <w:style w:type="paragraph" w:styleId="1089">
    <w:name w:val="Plain Text"/>
    <w:basedOn w:val="969"/>
    <w:semiHidden/>
    <w:rPr>
      <w:rFonts w:ascii="Courier New" w:hAnsi="Courier New" w:cs="Courier New"/>
      <w:sz w:val="20"/>
    </w:rPr>
  </w:style>
  <w:style w:type="table" w:styleId="1090">
    <w:name w:val="Table Theme"/>
    <w:basedOn w:val="980"/>
    <w:semiHidden/>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table" w:styleId="1091">
    <w:name w:val="Table Colorful 1"/>
    <w:basedOn w:val="980"/>
    <w:semiHidden/>
    <w:rPr>
      <w:color w:val="FFFFFF"/>
    </w:rPr>
    <w:tblPr>
      <w:tblBorders>
        <w:left w:val="single" w:color="008080" w:sz="12" w:space="0"/>
        <w:top w:val="single" w:color="008080" w:sz="12" w:space="0"/>
        <w:right w:val="single" w:color="008080" w:sz="12" w:space="0"/>
        <w:bottom w:val="single" w:color="008080" w:sz="12" w:space="0"/>
        <w:insideH w:val="single" w:color="00FFFF" w:sz="6" w:space="0"/>
      </w:tblBorders>
    </w:tblPr>
    <w:tcPr>
      <w:shd w:val="solid" w:color="008080" w:fill="FFFFFF"/>
    </w:tcPr>
    <w:tblStylePr w:type="firstCol">
      <w:rPr>
        <w:b/>
        <w:bCs/>
        <w:i/>
        <w:iCs/>
      </w:rPr>
      <w:tcPr>
        <w:shd w:val="solid" w:color="000080" w:fill="FFFFFF"/>
      </w:tcPr>
    </w:tblStylePr>
    <w:tblStylePr w:type="firstRow">
      <w:rPr>
        <w:b/>
        <w:bCs/>
        <w:i/>
        <w:iCs/>
      </w:rPr>
      <w:tcPr>
        <w:shd w:val="solid" w:color="000000" w:fill="FFFFFF"/>
      </w:tcPr>
    </w:tblStylePr>
    <w:tblStylePr w:type="nwCell">
      <w:tcPr>
        <w:shd w:val="solid" w:color="000000" w:fill="FFFFFF"/>
      </w:tcPr>
    </w:tblStylePr>
    <w:tblStylePr w:type="swCell">
      <w:rPr>
        <w:b/>
        <w:bCs/>
        <w:i w:val="false"/>
        <w:iCs w:val="false"/>
      </w:rPr>
    </w:tblStylePr>
  </w:style>
  <w:style w:type="table" w:styleId="1092">
    <w:name w:val="Table Colorful 2"/>
    <w:basedOn w:val="980"/>
    <w:semiHidden/>
    <w:tblPr>
      <w:tblBorders>
        <w:bottom w:val="single" w:color="000000" w:sz="12" w:space="0"/>
      </w:tblBorders>
    </w:tblPr>
    <w:tcPr>
      <w:shd w:val="pct20" w:color="FFFF00" w:fill="FFFFFF"/>
    </w:tcPr>
    <w:tblStylePr w:type="firstCol">
      <w:rPr>
        <w:b/>
        <w:bCs/>
        <w:i/>
        <w:iCs/>
      </w:rPr>
    </w:tblStylePr>
    <w:tblStylePr w:type="firstRow">
      <w:rPr>
        <w:b/>
        <w:bCs/>
        <w:i/>
        <w:iCs/>
        <w:color w:val="FFFFFF"/>
      </w:rPr>
      <w:tcPr>
        <w:shd w:val="solid" w:color="800000" w:fill="FFFFFF"/>
        <w:tcBorders>
          <w:bottom w:val="single" w:color="000000" w:sz="12" w:space="0"/>
        </w:tcBorders>
      </w:tcPr>
    </w:tblStylePr>
    <w:tblStylePr w:type="lastCol">
      <w:tcPr>
        <w:shd w:val="solid" w:color="C0C0C0" w:fill="FFFFFF"/>
      </w:tcPr>
    </w:tblStylePr>
    <w:tblStylePr w:type="swCell">
      <w:rPr>
        <w:b/>
        <w:bCs/>
        <w:i w:val="false"/>
        <w:iCs w:val="false"/>
      </w:rPr>
    </w:tblStylePr>
  </w:style>
  <w:style w:type="table" w:styleId="1093">
    <w:name w:val="Table Colorful 3"/>
    <w:basedOn w:val="980"/>
    <w:semiHidden/>
    <w:tblPr>
      <w:tblBorders>
        <w:left w:val="single" w:color="000000" w:sz="18" w:space="0"/>
        <w:top w:val="single" w:color="000000" w:sz="18" w:space="0"/>
        <w:right w:val="single" w:color="000000" w:sz="18" w:space="0"/>
        <w:bottom w:val="single" w:color="000000" w:sz="18" w:space="0"/>
        <w:insideH w:val="single" w:color="C0C0C0" w:sz="6" w:space="0"/>
      </w:tblBorders>
    </w:tblPr>
    <w:tcPr>
      <w:shd w:val="pct25" w:color="008080" w:fill="FFFFFF"/>
    </w:tcPr>
    <w:tblStylePr w:type="firstCol">
      <w:tcPr>
        <w:shd w:val="solid" w:color="008080" w:fill="FFFFFF"/>
        <w:tcBorders>
          <w:left w:val="single" w:color="000000" w:sz="36" w:space="0"/>
          <w:right w:val="single" w:color="000000" w:sz="6" w:space="0"/>
        </w:tcBorders>
      </w:tcPr>
    </w:tblStylePr>
    <w:tblStylePr w:type="firstRow">
      <w:tcPr>
        <w:shd w:val="solid" w:color="008080" w:fill="FFFFFF"/>
        <w:tcBorders>
          <w:bottom w:val="single" w:color="000000" w:sz="6" w:space="0"/>
        </w:tcBorders>
      </w:tcPr>
    </w:tblStylePr>
    <w:tblStylePr w:type="nwCell">
      <w:rPr>
        <w:b/>
        <w:bCs/>
        <w:color w:val="FFFFFF"/>
      </w:rPr>
      <w:tcPr>
        <w:shd w:val="solid" w:color="000000" w:fill="FFFFFF"/>
      </w:tcPr>
    </w:tblStylePr>
  </w:style>
  <w:style w:type="paragraph" w:styleId="1094">
    <w:name w:val="Block Text"/>
    <w:basedOn w:val="969"/>
    <w:semiHidden/>
    <w:pPr>
      <w:ind w:left="1440" w:right="1440"/>
      <w:spacing w:after="120"/>
    </w:pPr>
  </w:style>
  <w:style w:type="character" w:styleId="1095">
    <w:name w:val="HTML Cite"/>
    <w:semiHidden/>
    <w:rPr>
      <w:i/>
      <w:iCs/>
    </w:rPr>
  </w:style>
  <w:style w:type="paragraph" w:styleId="1096">
    <w:name w:val="Message Header"/>
    <w:basedOn w:val="969"/>
    <w:semiHidden/>
    <w:rPr>
      <w:rFonts w:ascii="Arial" w:hAnsi="Arial" w:cs="Arial"/>
    </w:rPr>
    <w:pPr>
      <w:ind w:left="1134" w:hanging="1134"/>
      <w:shd w:val="pct20" w:fill="auto" w:color="auto"/>
      <w:pBdr>
        <w:left w:val="single" w:sz="6" w:space="1" w:color="auto"/>
        <w:top w:val="single" w:sz="6" w:space="1" w:color="auto"/>
        <w:right w:val="single" w:sz="6" w:space="1" w:color="auto"/>
        <w:bottom w:val="single" w:sz="6" w:space="1" w:color="auto"/>
      </w:pBdr>
    </w:pPr>
  </w:style>
  <w:style w:type="paragraph" w:styleId="1097">
    <w:name w:val="E-mail Signature"/>
    <w:basedOn w:val="969"/>
    <w:semiHidden/>
  </w:style>
  <w:style w:type="paragraph" w:styleId="1098">
    <w:name w:val="Signature"/>
    <w:basedOn w:val="969"/>
    <w:semiHidden/>
    <w:pPr>
      <w:ind w:left="4252"/>
    </w:pPr>
  </w:style>
  <w:style w:type="paragraph" w:styleId="1099">
    <w:name w:val="index 1"/>
    <w:basedOn w:val="969"/>
    <w:next w:val="969"/>
    <w:semiHidden/>
    <w:pPr>
      <w:ind w:left="720" w:hanging="360"/>
      <w:spacing w:lineRule="auto" w:line="360"/>
      <w:widowControl w:val="off"/>
      <w:tabs>
        <w:tab w:val="num" w:pos="720" w:leader="none"/>
        <w:tab w:val="left" w:pos="1985" w:leader="none"/>
        <w:tab w:val="left" w:pos="2127" w:leader="none"/>
      </w:tabs>
    </w:pPr>
  </w:style>
  <w:style w:type="paragraph" w:styleId="1100">
    <w:name w:val="index heading"/>
    <w:basedOn w:val="969"/>
    <w:next w:val="1099"/>
    <w:semiHidden/>
    <w:rPr>
      <w:sz w:val="20"/>
    </w:rPr>
    <w:pPr>
      <w:ind w:firstLine="425"/>
      <w:spacing w:lineRule="auto" w:line="360"/>
      <w:widowControl w:val="off"/>
      <w:tabs>
        <w:tab w:val="left" w:pos="1985" w:leader="none"/>
        <w:tab w:val="left" w:pos="2127" w:leader="none"/>
      </w:tabs>
    </w:pPr>
  </w:style>
  <w:style w:type="paragraph" w:styleId="1101">
    <w:name w:val="index 2"/>
    <w:basedOn w:val="969"/>
    <w:next w:val="969"/>
    <w:semiHidden/>
    <w:rPr>
      <w:sz w:val="20"/>
    </w:rPr>
    <w:pPr>
      <w:ind w:left="400" w:hanging="200"/>
      <w:spacing w:lineRule="auto" w:line="360"/>
      <w:widowControl w:val="off"/>
      <w:tabs>
        <w:tab w:val="left" w:pos="1985" w:leader="none"/>
        <w:tab w:val="left" w:pos="2127" w:leader="none"/>
      </w:tabs>
    </w:pPr>
  </w:style>
  <w:style w:type="paragraph" w:styleId="1102">
    <w:name w:val="index 3"/>
    <w:basedOn w:val="969"/>
    <w:next w:val="969"/>
    <w:semiHidden/>
    <w:rPr>
      <w:sz w:val="20"/>
    </w:rPr>
    <w:pPr>
      <w:ind w:left="600" w:hanging="200"/>
      <w:spacing w:lineRule="auto" w:line="360"/>
      <w:widowControl w:val="off"/>
      <w:tabs>
        <w:tab w:val="left" w:pos="1985" w:leader="none"/>
        <w:tab w:val="left" w:pos="2127" w:leader="none"/>
      </w:tabs>
    </w:pPr>
  </w:style>
  <w:style w:type="paragraph" w:styleId="1103">
    <w:name w:val="index 4"/>
    <w:basedOn w:val="969"/>
    <w:next w:val="969"/>
    <w:semiHidden/>
    <w:rPr>
      <w:sz w:val="20"/>
    </w:rPr>
    <w:pPr>
      <w:ind w:left="800" w:hanging="200"/>
      <w:spacing w:lineRule="auto" w:line="360"/>
      <w:widowControl w:val="off"/>
      <w:tabs>
        <w:tab w:val="left" w:pos="1985" w:leader="none"/>
        <w:tab w:val="left" w:pos="2127" w:leader="none"/>
      </w:tabs>
    </w:pPr>
  </w:style>
  <w:style w:type="paragraph" w:styleId="1104">
    <w:name w:val="index 5"/>
    <w:basedOn w:val="969"/>
    <w:next w:val="969"/>
    <w:semiHidden/>
    <w:rPr>
      <w:sz w:val="20"/>
    </w:rPr>
    <w:pPr>
      <w:ind w:left="1000" w:hanging="200"/>
      <w:spacing w:lineRule="auto" w:line="360"/>
      <w:widowControl w:val="off"/>
      <w:tabs>
        <w:tab w:val="left" w:pos="1985" w:leader="none"/>
        <w:tab w:val="left" w:pos="2127" w:leader="none"/>
      </w:tabs>
    </w:pPr>
  </w:style>
  <w:style w:type="paragraph" w:styleId="1105">
    <w:name w:val="index 6"/>
    <w:basedOn w:val="969"/>
    <w:next w:val="969"/>
    <w:semiHidden/>
    <w:rPr>
      <w:sz w:val="20"/>
    </w:rPr>
    <w:pPr>
      <w:ind w:left="1200" w:hanging="200"/>
      <w:spacing w:lineRule="auto" w:line="360"/>
      <w:widowControl w:val="off"/>
      <w:tabs>
        <w:tab w:val="left" w:pos="1985" w:leader="none"/>
        <w:tab w:val="left" w:pos="2127" w:leader="none"/>
      </w:tabs>
    </w:pPr>
  </w:style>
  <w:style w:type="paragraph" w:styleId="1106">
    <w:name w:val="index 7"/>
    <w:basedOn w:val="969"/>
    <w:next w:val="969"/>
    <w:semiHidden/>
    <w:rPr>
      <w:sz w:val="20"/>
    </w:rPr>
    <w:pPr>
      <w:ind w:left="1400" w:hanging="200"/>
      <w:spacing w:lineRule="auto" w:line="360"/>
      <w:widowControl w:val="off"/>
      <w:tabs>
        <w:tab w:val="left" w:pos="1985" w:leader="none"/>
        <w:tab w:val="left" w:pos="2127" w:leader="none"/>
      </w:tabs>
    </w:pPr>
  </w:style>
  <w:style w:type="paragraph" w:styleId="1107">
    <w:name w:val="index 8"/>
    <w:basedOn w:val="969"/>
    <w:next w:val="969"/>
    <w:semiHidden/>
    <w:rPr>
      <w:sz w:val="20"/>
    </w:rPr>
    <w:pPr>
      <w:ind w:left="1600" w:hanging="200"/>
      <w:spacing w:lineRule="auto" w:line="360"/>
      <w:widowControl w:val="off"/>
      <w:tabs>
        <w:tab w:val="left" w:pos="1985" w:leader="none"/>
        <w:tab w:val="left" w:pos="2127" w:leader="none"/>
      </w:tabs>
    </w:pPr>
  </w:style>
  <w:style w:type="paragraph" w:styleId="1108">
    <w:name w:val="index 9"/>
    <w:basedOn w:val="969"/>
    <w:next w:val="969"/>
    <w:semiHidden/>
    <w:rPr>
      <w:sz w:val="20"/>
    </w:rPr>
    <w:pPr>
      <w:ind w:left="1800" w:hanging="200"/>
      <w:spacing w:lineRule="auto" w:line="360"/>
      <w:widowControl w:val="off"/>
      <w:tabs>
        <w:tab w:val="left" w:pos="1985" w:leader="none"/>
        <w:tab w:val="left" w:pos="2127" w:leader="none"/>
      </w:tabs>
    </w:pPr>
  </w:style>
  <w:style w:type="paragraph" w:styleId="1109">
    <w:name w:val="List Bullet"/>
    <w:basedOn w:val="969"/>
    <w:semiHidden/>
    <w:pPr>
      <w:numPr>
        <w:numId w:val="111"/>
      </w:numPr>
      <w:ind w:left="0" w:firstLine="0"/>
    </w:pPr>
  </w:style>
  <w:style w:type="paragraph" w:styleId="1110">
    <w:name w:val="List Number"/>
    <w:basedOn w:val="969"/>
    <w:semiHidden/>
    <w:pPr>
      <w:numPr>
        <w:numId w:val="120"/>
      </w:numPr>
      <w:ind w:left="0" w:firstLine="0"/>
    </w:pPr>
  </w:style>
  <w:style w:type="paragraph" w:styleId="1111">
    <w:name w:val="HTML Address"/>
    <w:basedOn w:val="969"/>
    <w:semiHidden/>
    <w:rPr>
      <w:i/>
      <w:iCs/>
    </w:rPr>
  </w:style>
  <w:style w:type="paragraph" w:styleId="1112">
    <w:name w:val="envelope address"/>
    <w:basedOn w:val="969"/>
    <w:semiHidden/>
    <w:rPr>
      <w:rFonts w:ascii="Arial" w:hAnsi="Arial" w:cs="Arial"/>
    </w:rPr>
    <w:pPr>
      <w:ind w:left="2880"/>
      <w:framePr w:w="7920" w:h="1980" w:hSpace="180" w:wrap="auto" w:hAnchor="page" w:xAlign="center" w:yAlign="bottom" w:hRule="exact"/>
    </w:pPr>
  </w:style>
  <w:style w:type="character" w:styleId="1113">
    <w:name w:val="HTML Acronym"/>
    <w:semiHidden/>
  </w:style>
  <w:style w:type="table" w:styleId="1114">
    <w:name w:val="Table Web 1"/>
    <w:basedOn w:val="980"/>
    <w:semiHidden/>
    <w:tblPr>
      <w:tblCellSpacing w:w="20" w:type="dxa"/>
      <w:tblBorders>
        <w:left w:val="single" w:color="000000" w:sz="6" w:space="0"/>
        <w:top w:val="single" w:color="000000" w:sz="6" w:space="0"/>
        <w:right w:val="single" w:color="000000" w:sz="6" w:space="0"/>
        <w:bottom w:val="single" w:color="000000" w:sz="6" w:space="0"/>
        <w:insideV w:val="single" w:color="000000" w:sz="6" w:space="0"/>
        <w:insideH w:val="single" w:color="000000" w:sz="6" w:space="0"/>
      </w:tblBorders>
    </w:tblPr>
    <w:trPr>
      <w:tblCellSpacing w:w="20" w:type="dxa"/>
    </w:trPr>
    <w:tcPr>
      <w:shd w:val="clear" w:fill="auto" w:color="auto"/>
    </w:tcPr>
    <w:tblStylePr w:type="firstRow">
      <w:rPr>
        <w:color w:val="auto"/>
      </w:rPr>
    </w:tblStylePr>
  </w:style>
  <w:style w:type="table" w:styleId="1115">
    <w:name w:val="Table Web 2"/>
    <w:basedOn w:val="980"/>
    <w:semiHidden/>
    <w:tblPr>
      <w:tblCellSpacing w:w="20" w:type="dxa"/>
      <w:tblBorders>
        <w:left w:val="single" w:color="000000" w:sz="6" w:space="0"/>
        <w:top w:val="single" w:color="000000" w:sz="6" w:space="0"/>
        <w:right w:val="single" w:color="000000" w:sz="6" w:space="0"/>
        <w:bottom w:val="single" w:color="000000" w:sz="6" w:space="0"/>
        <w:insideV w:val="single" w:color="000000" w:sz="6" w:space="0"/>
        <w:insideH w:val="single" w:color="000000" w:sz="6" w:space="0"/>
      </w:tblBorders>
    </w:tblPr>
    <w:trPr>
      <w:tblCellSpacing w:w="20" w:type="dxa"/>
    </w:trPr>
    <w:tcPr>
      <w:shd w:val="clear" w:fill="auto" w:color="auto"/>
    </w:tcPr>
    <w:tblStylePr w:type="firstRow">
      <w:rPr>
        <w:color w:val="auto"/>
      </w:rPr>
    </w:tblStylePr>
  </w:style>
  <w:style w:type="table" w:styleId="1116">
    <w:name w:val="Table Web 3"/>
    <w:basedOn w:val="980"/>
    <w:semiHidden/>
    <w:tblPr>
      <w:tblCellSpacing w:w="20" w:type="dxa"/>
      <w:tblBorders>
        <w:left w:val="single" w:color="000000" w:sz="24" w:space="0"/>
        <w:top w:val="single" w:color="000000" w:sz="24" w:space="0"/>
        <w:right w:val="single" w:color="000000" w:sz="24" w:space="0"/>
        <w:bottom w:val="single" w:color="000000" w:sz="24" w:space="0"/>
        <w:insideV w:val="single" w:color="000000" w:sz="6" w:space="0"/>
        <w:insideH w:val="single" w:color="000000" w:sz="6" w:space="0"/>
      </w:tblBorders>
    </w:tblPr>
    <w:trPr>
      <w:tblCellSpacing w:w="20" w:type="dxa"/>
    </w:trPr>
    <w:tcPr>
      <w:shd w:val="clear" w:fill="auto" w:color="auto"/>
    </w:tcPr>
    <w:tblStylePr w:type="firstRow">
      <w:rPr>
        <w:color w:val="auto"/>
      </w:rPr>
    </w:tblStylePr>
  </w:style>
  <w:style w:type="character" w:styleId="1117">
    <w:name w:val="Emphasis"/>
    <w:qFormat/>
    <w:rPr>
      <w:i/>
      <w:iCs/>
    </w:rPr>
  </w:style>
  <w:style w:type="paragraph" w:styleId="1118">
    <w:name w:val="Date"/>
    <w:basedOn w:val="969"/>
    <w:next w:val="969"/>
    <w:semiHidden/>
  </w:style>
  <w:style w:type="paragraph" w:styleId="1119">
    <w:name w:val="Note Heading"/>
    <w:basedOn w:val="969"/>
    <w:next w:val="969"/>
    <w:semiHidden/>
  </w:style>
  <w:style w:type="character" w:styleId="1120">
    <w:name w:val="annotation reference"/>
    <w:rPr>
      <w:sz w:val="16"/>
      <w:szCs w:val="16"/>
    </w:rPr>
  </w:style>
  <w:style w:type="table" w:styleId="1121">
    <w:name w:val="Table Elegant"/>
    <w:basedOn w:val="980"/>
    <w:semiHidden/>
    <w:tblPr>
      <w:tblBorders>
        <w:left w:val="single" w:color="000000" w:sz="6" w:space="0"/>
        <w:top w:val="single" w:color="000000" w:sz="6" w:space="0"/>
        <w:right w:val="single" w:color="000000" w:sz="6" w:space="0"/>
        <w:bottom w:val="single" w:color="000000" w:sz="6" w:space="0"/>
        <w:insideV w:val="single" w:color="000000" w:sz="6" w:space="0"/>
        <w:insideH w:val="single" w:color="000000" w:sz="6" w:space="0"/>
      </w:tblBorders>
    </w:tblPr>
    <w:tcPr>
      <w:shd w:val="clear" w:fill="auto" w:color="auto"/>
    </w:tcPr>
    <w:tblStylePr w:type="firstRow">
      <w:rPr>
        <w:caps/>
        <w:color w:val="auto"/>
      </w:rPr>
    </w:tblStylePr>
  </w:style>
  <w:style w:type="table" w:styleId="1122">
    <w:name w:val="Table Subtle 1"/>
    <w:basedOn w:val="980"/>
    <w:semiHidden/>
    <w:tblPr>
      <w:tblStyleRowBandSize w:val="1"/>
    </w:tblPr>
    <w:tblStylePr w:type="band1Horz">
      <w:tcPr>
        <w:shd w:val="pct25" w:color="808000" w:fill="FFFFFF"/>
        <w:tcBorders>
          <w:bottom w:val="single" w:color="000000" w:sz="6" w:space="0"/>
        </w:tcBorders>
      </w:tcPr>
    </w:tblStylePr>
    <w:tblStylePr w:type="firstCol">
      <w:tcPr>
        <w:tcBorders>
          <w:right w:val="single" w:color="000000" w:sz="12" w:space="0"/>
        </w:tcBorders>
      </w:tcPr>
    </w:tblStylePr>
    <w:tblStylePr w:type="firstRow">
      <w:tcPr>
        <w:tcBorders>
          <w:top w:val="single" w:color="000000" w:sz="6" w:space="0"/>
          <w:bottom w:val="single" w:color="000000" w:sz="12" w:space="0"/>
        </w:tcBorders>
      </w:tcPr>
    </w:tblStylePr>
    <w:tblStylePr w:type="lastCol">
      <w:tcPr>
        <w:tcBorders>
          <w:left w:val="single" w:color="000000" w:sz="12" w:space="0"/>
        </w:tcBorders>
      </w:tcPr>
    </w:tblStylePr>
    <w:tblStylePr w:type="lastRow">
      <w:tcPr>
        <w:shd w:val="pct25" w:color="800080" w:fill="FFFFFF"/>
        <w:tcBorders>
          <w:top w:val="single" w:color="000000" w:sz="12" w:space="0"/>
        </w:tcBorders>
      </w:tcPr>
    </w:tblStylePr>
    <w:tblStylePr w:type="neCell">
      <w:rPr>
        <w:b/>
        <w:bCs/>
      </w:rPr>
    </w:tblStylePr>
    <w:tblStylePr w:type="swCell">
      <w:rPr>
        <w:b/>
        <w:bCs/>
      </w:rPr>
    </w:tblStylePr>
  </w:style>
  <w:style w:type="table" w:styleId="1123">
    <w:name w:val="Table Subtle 2"/>
    <w:basedOn w:val="980"/>
    <w:semiHidden/>
    <w:tblPr>
      <w:tblBorders>
        <w:left w:val="single" w:color="000000" w:sz="6" w:space="0"/>
        <w:right w:val="single" w:color="000000" w:sz="6" w:space="0"/>
      </w:tblBorders>
    </w:tblPr>
    <w:tblStylePr w:type="firstCol">
      <w:tcPr>
        <w:shd w:val="pct25" w:color="008000" w:fill="FFFFFF"/>
        <w:tcBorders>
          <w:right w:val="single" w:color="000000" w:sz="12" w:space="0"/>
        </w:tcBorders>
      </w:tcPr>
    </w:tblStylePr>
    <w:tblStylePr w:type="firstRow">
      <w:tcPr>
        <w:tcBorders>
          <w:bottom w:val="single" w:color="000000" w:sz="12" w:space="0"/>
        </w:tcBorders>
      </w:tcPr>
    </w:tblStylePr>
    <w:tblStylePr w:type="lastCol">
      <w:tcPr>
        <w:shd w:val="pct25" w:color="808000" w:fill="FFFFFF"/>
        <w:tcBorders>
          <w:left w:val="single" w:color="000000" w:sz="12" w:space="0"/>
        </w:tcBorders>
      </w:tcPr>
    </w:tblStylePr>
    <w:tblStylePr w:type="lastRow">
      <w:tcPr>
        <w:tcBorders>
          <w:top w:val="single" w:color="000000" w:sz="12" w:space="0"/>
        </w:tcBorders>
      </w:tcPr>
    </w:tblStylePr>
    <w:tblStylePr w:type="neCell">
      <w:rPr>
        <w:b/>
        <w:bCs/>
      </w:rPr>
    </w:tblStylePr>
    <w:tblStylePr w:type="swCell">
      <w:rPr>
        <w:b/>
        <w:bCs/>
      </w:rPr>
    </w:tblStylePr>
  </w:style>
  <w:style w:type="character" w:styleId="1124">
    <w:name w:val="HTML Keyboard"/>
    <w:semiHidden/>
    <w:rPr>
      <w:rFonts w:ascii="Courier New" w:hAnsi="Courier New" w:cs="Courier New"/>
      <w:sz w:val="20"/>
      <w:szCs w:val="20"/>
    </w:rPr>
  </w:style>
  <w:style w:type="table" w:styleId="1125">
    <w:name w:val="Table Classic 1"/>
    <w:basedOn w:val="980"/>
    <w:semiHidden/>
    <w:tblPr>
      <w:tblBorders>
        <w:top w:val="single" w:color="000000" w:sz="12" w:space="0"/>
        <w:bottom w:val="single" w:color="000000" w:sz="12" w:space="0"/>
      </w:tblBorders>
    </w:tblPr>
    <w:tcPr>
      <w:shd w:val="clear" w:fill="auto" w:color="auto"/>
    </w:tcPr>
    <w:tblStylePr w:type="firstCol">
      <w:tcPr>
        <w:tcBorders>
          <w:right w:val="single" w:color="000000" w:sz="6" w:space="0"/>
        </w:tcBorders>
      </w:tcPr>
    </w:tblStylePr>
    <w:tblStylePr w:type="firstRow">
      <w:rPr>
        <w:i/>
        <w:iCs/>
      </w:rPr>
      <w:tcPr>
        <w:tcBorders>
          <w:bottom w:val="single" w:color="000000" w:sz="6" w:space="0"/>
        </w:tcBorders>
      </w:tcPr>
    </w:tblStylePr>
    <w:tblStylePr w:type="lastRow">
      <w:rPr>
        <w:color w:val="auto"/>
      </w:rPr>
      <w:tcPr>
        <w:tcBorders>
          <w:top w:val="single" w:color="000000" w:sz="6" w:space="0"/>
        </w:tcBorders>
      </w:tcPr>
    </w:tblStylePr>
    <w:tblStylePr w:type="neCell">
      <w:rPr>
        <w:b/>
        <w:bCs/>
        <w:i w:val="false"/>
        <w:iCs w:val="false"/>
      </w:rPr>
    </w:tblStylePr>
    <w:tblStylePr w:type="swCell">
      <w:rPr>
        <w:b/>
        <w:bCs/>
      </w:rPr>
    </w:tblStylePr>
  </w:style>
  <w:style w:type="table" w:styleId="1126">
    <w:name w:val="Table Classic 2"/>
    <w:basedOn w:val="980"/>
    <w:semiHidden/>
    <w:tblPr>
      <w:tblBorders>
        <w:top w:val="single" w:color="000000" w:sz="12" w:space="0"/>
        <w:bottom w:val="single" w:color="000000" w:sz="12" w:space="0"/>
      </w:tblBorders>
    </w:tblPr>
    <w:tcPr>
      <w:shd w:val="clear" w:fill="auto" w:color="auto"/>
    </w:tcPr>
    <w:tblStylePr w:type="firstCol">
      <w:rPr>
        <w:b/>
        <w:bCs/>
      </w:rPr>
      <w:tcPr>
        <w:shd w:val="solid" w:color="C0C0C0" w:fill="FFFFFF"/>
      </w:tcPr>
    </w:tblStylePr>
    <w:tblStylePr w:type="firstRow">
      <w:rPr>
        <w:color w:val="FFFFFF"/>
      </w:rPr>
      <w:tcPr>
        <w:shd w:val="solid" w:color="800080" w:fill="FFFFFF"/>
        <w:tcBorders>
          <w:bottom w:val="single" w:color="000000" w:sz="6" w:space="0"/>
        </w:tcBorders>
      </w:tcPr>
    </w:tblStylePr>
    <w:tblStylePr w:type="lastRow">
      <w:tcPr>
        <w:tcBorders>
          <w:top w:val="single" w:color="000000" w:sz="6" w:space="0"/>
        </w:tcBorders>
      </w:tcPr>
    </w:tblStylePr>
    <w:tblStylePr w:type="nwCell">
      <w:tcPr>
        <w:shd w:val="solid" w:color="800080" w:fill="FFFFFF"/>
      </w:tcPr>
    </w:tblStylePr>
    <w:tblStylePr w:type="neCell">
      <w:rPr>
        <w:b/>
        <w:bCs/>
      </w:rPr>
    </w:tblStylePr>
    <w:tblStylePr w:type="swCell">
      <w:rPr>
        <w:color w:val="000080"/>
      </w:rPr>
    </w:tblStylePr>
  </w:style>
  <w:style w:type="table" w:styleId="1127">
    <w:name w:val="Table Classic 3"/>
    <w:basedOn w:val="980"/>
    <w:semiHidden/>
    <w:rPr>
      <w:color w:val="000080"/>
    </w:rPr>
    <w:tblPr>
      <w:tblBorders>
        <w:left w:val="single" w:color="000000" w:sz="12" w:space="0"/>
        <w:top w:val="single" w:color="000000" w:sz="12" w:space="0"/>
        <w:right w:val="single" w:color="000000" w:sz="12" w:space="0"/>
        <w:bottom w:val="single" w:color="000000" w:sz="12" w:space="0"/>
      </w:tblBorders>
    </w:tblPr>
    <w:tcPr>
      <w:shd w:val="solid" w:color="C0C0C0" w:fill="FFFFFF"/>
    </w:tcPr>
    <w:tblStylePr w:type="firstCol">
      <w:rPr>
        <w:b/>
        <w:bCs/>
        <w:color w:val="000000"/>
      </w:rPr>
    </w:tblStylePr>
    <w:tblStylePr w:type="firstRow">
      <w:rPr>
        <w:b/>
        <w:bCs/>
        <w:i/>
        <w:iCs/>
        <w:color w:val="FFFFFF"/>
      </w:rPr>
      <w:tcPr>
        <w:shd w:val="solid" w:color="000080" w:fill="FFFFFF"/>
        <w:tcBorders>
          <w:bottom w:val="single" w:color="000000" w:sz="6" w:space="0"/>
        </w:tcBorders>
      </w:tcPr>
    </w:tblStylePr>
    <w:tblStylePr w:type="lastRow">
      <w:rPr>
        <w:color w:val="000080"/>
      </w:rPr>
      <w:tcPr>
        <w:shd w:val="solid" w:color="FFFFFF" w:fill="FFFFFF"/>
        <w:tcBorders>
          <w:top w:val="single" w:color="000000" w:sz="12" w:space="0"/>
        </w:tcBorders>
      </w:tcPr>
    </w:tblStylePr>
  </w:style>
  <w:style w:type="table" w:styleId="1128">
    <w:name w:val="Table Classic 4"/>
    <w:basedOn w:val="980"/>
    <w:semiHidden/>
    <w:tblPr>
      <w:tblBorders>
        <w:left w:val="single" w:color="000000" w:sz="6" w:space="0"/>
        <w:top w:val="single" w:color="000000" w:sz="12" w:space="0"/>
        <w:right w:val="single" w:color="000000" w:sz="6" w:space="0"/>
        <w:bottom w:val="single" w:color="000000" w:sz="12" w:space="0"/>
      </w:tblBorders>
    </w:tblPr>
    <w:tcPr>
      <w:shd w:val="clear" w:fill="auto" w:color="auto"/>
    </w:tcPr>
    <w:tblStylePr w:type="firstCol">
      <w:rPr>
        <w:b/>
        <w:bCs/>
      </w:rPr>
    </w:tblStylePr>
    <w:tblStylePr w:type="firstRow">
      <w:rPr>
        <w:b/>
        <w:bCs/>
        <w:i/>
        <w:iCs/>
        <w:color w:val="FFFFFF"/>
      </w:rPr>
      <w:tcPr>
        <w:shd w:val="pct50" w:color="000080" w:fill="FFFFFF"/>
        <w:tcBorders>
          <w:bottom w:val="single" w:color="000000" w:sz="6" w:space="0"/>
        </w:tcBorders>
      </w:tcPr>
    </w:tblStylePr>
    <w:tblStylePr w:type="lastRow">
      <w:rPr>
        <w:color w:val="000080"/>
      </w:rPr>
      <w:tcPr>
        <w:shd w:val="pct50" w:color="000000" w:fill="FFFFFF"/>
        <w:tcBorders>
          <w:bottom w:val="single" w:color="000000" w:sz="6" w:space="0"/>
        </w:tcBorders>
      </w:tcPr>
    </w:tblStylePr>
    <w:tblStylePr w:type="nwCell">
      <w:rPr>
        <w:b/>
        <w:bCs/>
      </w:rPr>
    </w:tblStylePr>
    <w:tblStylePr w:type="swCell">
      <w:rPr>
        <w:color w:val="000080"/>
      </w:rPr>
    </w:tblStylePr>
  </w:style>
  <w:style w:type="character" w:styleId="1129">
    <w:name w:val="HTML Code"/>
    <w:semiHidden/>
    <w:rPr>
      <w:rFonts w:ascii="Courier New" w:hAnsi="Courier New" w:cs="Courier New"/>
      <w:sz w:val="20"/>
      <w:szCs w:val="20"/>
    </w:rPr>
  </w:style>
  <w:style w:type="paragraph" w:styleId="1130">
    <w:name w:val="Body Text"/>
    <w:basedOn w:val="969"/>
    <w:semiHidden/>
    <w:pPr>
      <w:spacing w:after="240"/>
    </w:pPr>
  </w:style>
  <w:style w:type="paragraph" w:styleId="1131">
    <w:name w:val="Body Text First Indent"/>
    <w:basedOn w:val="1130"/>
    <w:semiHidden/>
    <w:pPr>
      <w:ind w:firstLine="210"/>
      <w:jc w:val="left"/>
      <w:spacing w:after="120"/>
    </w:pPr>
  </w:style>
  <w:style w:type="paragraph" w:styleId="1132">
    <w:name w:val="Body Text First Indent 2"/>
    <w:basedOn w:val="1024"/>
    <w:semiHidden/>
    <w:rPr>
      <w:sz w:val="24"/>
      <w:szCs w:val="24"/>
    </w:rPr>
    <w:pPr>
      <w:ind w:left="283" w:firstLine="210"/>
      <w:jc w:val="left"/>
      <w:spacing w:lineRule="auto" w:line="240" w:after="120"/>
      <w:widowControl/>
      <w:tabs>
        <w:tab w:val="clear" w:pos="1985" w:leader="none"/>
        <w:tab w:val="clear" w:pos="2127" w:leader="none"/>
      </w:tabs>
    </w:pPr>
  </w:style>
  <w:style w:type="paragraph" w:styleId="1133">
    <w:name w:val="List Bullet 2"/>
    <w:basedOn w:val="969"/>
    <w:semiHidden/>
    <w:pPr>
      <w:numPr>
        <w:numId w:val="112"/>
      </w:numPr>
      <w:ind w:left="0" w:firstLine="0"/>
      <w:tabs>
        <w:tab w:val="num" w:pos="360" w:leader="none"/>
        <w:tab w:val="clear" w:pos="643" w:leader="none"/>
      </w:tabs>
    </w:pPr>
  </w:style>
  <w:style w:type="paragraph" w:styleId="1134">
    <w:name w:val="List Bullet 3"/>
    <w:basedOn w:val="969"/>
    <w:semiHidden/>
    <w:pPr>
      <w:numPr>
        <w:numId w:val="113"/>
      </w:numPr>
      <w:ind w:left="0" w:firstLine="0"/>
      <w:spacing w:lineRule="auto" w:line="360"/>
      <w:widowControl w:val="off"/>
      <w:tabs>
        <w:tab w:val="num" w:pos="360" w:leader="none"/>
        <w:tab w:val="clear" w:pos="926" w:leader="none"/>
        <w:tab w:val="left" w:pos="1985" w:leader="none"/>
        <w:tab w:val="left" w:pos="2127" w:leader="none"/>
      </w:tabs>
    </w:pPr>
  </w:style>
  <w:style w:type="paragraph" w:styleId="1135">
    <w:name w:val="List Bullet 4"/>
    <w:basedOn w:val="969"/>
    <w:semiHidden/>
    <w:pPr>
      <w:numPr>
        <w:numId w:val="114"/>
      </w:numPr>
      <w:ind w:left="0" w:firstLine="0"/>
      <w:tabs>
        <w:tab w:val="num" w:pos="360" w:leader="none"/>
        <w:tab w:val="clear" w:pos="1209" w:leader="none"/>
      </w:tabs>
    </w:pPr>
  </w:style>
  <w:style w:type="paragraph" w:styleId="1136">
    <w:name w:val="List Bullet 5"/>
    <w:basedOn w:val="969"/>
    <w:semiHidden/>
    <w:pPr>
      <w:numPr>
        <w:numId w:val="115"/>
      </w:numPr>
      <w:ind w:left="0" w:firstLine="0"/>
      <w:tabs>
        <w:tab w:val="num" w:pos="360" w:leader="none"/>
        <w:tab w:val="clear" w:pos="1492" w:leader="none"/>
      </w:tabs>
    </w:pPr>
  </w:style>
  <w:style w:type="paragraph" w:styleId="1137">
    <w:name w:val="Title"/>
    <w:basedOn w:val="969"/>
    <w:qFormat/>
    <w:rPr>
      <w:rFonts w:ascii="Arial" w:hAnsi="Arial" w:cs="Arial"/>
      <w:b/>
      <w:bCs/>
      <w:sz w:val="32"/>
      <w:szCs w:val="32"/>
    </w:rPr>
    <w:pPr>
      <w:jc w:val="center"/>
      <w:spacing w:after="60" w:before="240"/>
      <w:outlineLvl w:val="0"/>
    </w:pPr>
  </w:style>
  <w:style w:type="character" w:styleId="1138">
    <w:name w:val="page number"/>
    <w:semiHidden/>
  </w:style>
  <w:style w:type="character" w:styleId="1139">
    <w:name w:val="line number"/>
    <w:semiHidden/>
  </w:style>
  <w:style w:type="paragraph" w:styleId="1140">
    <w:name w:val="List Number 2"/>
    <w:basedOn w:val="969"/>
    <w:semiHidden/>
    <w:pPr>
      <w:numPr>
        <w:numId w:val="116"/>
      </w:numPr>
      <w:ind w:left="0" w:firstLine="0"/>
      <w:tabs>
        <w:tab w:val="num" w:pos="360" w:leader="none"/>
        <w:tab w:val="clear" w:pos="643" w:leader="none"/>
      </w:tabs>
    </w:pPr>
  </w:style>
  <w:style w:type="paragraph" w:styleId="1141">
    <w:name w:val="List Number 3"/>
    <w:basedOn w:val="969"/>
    <w:semiHidden/>
    <w:pPr>
      <w:numPr>
        <w:numId w:val="117"/>
      </w:numPr>
      <w:ind w:left="0" w:firstLine="0"/>
      <w:tabs>
        <w:tab w:val="num" w:pos="360" w:leader="none"/>
        <w:tab w:val="clear" w:pos="926" w:leader="none"/>
      </w:tabs>
    </w:pPr>
  </w:style>
  <w:style w:type="paragraph" w:styleId="1142">
    <w:name w:val="List Number 4"/>
    <w:basedOn w:val="969"/>
    <w:semiHidden/>
    <w:pPr>
      <w:numPr>
        <w:numId w:val="118"/>
      </w:numPr>
      <w:ind w:left="0" w:firstLine="0"/>
      <w:tabs>
        <w:tab w:val="num" w:pos="360" w:leader="none"/>
        <w:tab w:val="clear" w:pos="1209" w:leader="none"/>
      </w:tabs>
    </w:pPr>
  </w:style>
  <w:style w:type="paragraph" w:styleId="1143">
    <w:name w:val="List Number 5"/>
    <w:basedOn w:val="969"/>
    <w:semiHidden/>
    <w:pPr>
      <w:numPr>
        <w:numId w:val="119"/>
      </w:numPr>
      <w:ind w:left="0" w:firstLine="0"/>
      <w:tabs>
        <w:tab w:val="num" w:pos="360" w:leader="none"/>
        <w:tab w:val="clear" w:pos="1492" w:leader="none"/>
      </w:tabs>
    </w:pPr>
  </w:style>
  <w:style w:type="character" w:styleId="1144">
    <w:name w:val="HTML Sample"/>
    <w:semiHidden/>
    <w:rPr>
      <w:rFonts w:ascii="Courier New" w:hAnsi="Courier New" w:cs="Courier New"/>
    </w:rPr>
  </w:style>
  <w:style w:type="paragraph" w:styleId="1145">
    <w:name w:val="envelope return"/>
    <w:basedOn w:val="969"/>
    <w:semiHidden/>
    <w:rPr>
      <w:rFonts w:ascii="Arial" w:hAnsi="Arial" w:cs="Arial"/>
      <w:sz w:val="20"/>
    </w:rPr>
  </w:style>
  <w:style w:type="table" w:styleId="1146">
    <w:name w:val="Table 3D effects 1"/>
    <w:basedOn w:val="980"/>
    <w:semiHidden/>
    <w:tblPr/>
    <w:tcPr>
      <w:shd w:val="solid" w:color="C0C0C0" w:fill="FFFFFF"/>
    </w:tcPr>
    <w:tblStylePr w:type="firstCol">
      <w:rPr>
        <w:b/>
        <w:bCs/>
      </w:rPr>
      <w:tcPr>
        <w:tcBorders>
          <w:right w:val="single" w:color="808080" w:sz="6" w:space="0"/>
        </w:tcBorders>
      </w:tcPr>
    </w:tblStylePr>
    <w:tblStylePr w:type="firstRow">
      <w:rPr>
        <w:b/>
        <w:bCs/>
        <w:color w:val="800080"/>
      </w:rPr>
      <w:tcPr>
        <w:tcBorders>
          <w:bottom w:val="single" w:color="808080" w:sz="6" w:space="0"/>
        </w:tcBorders>
      </w:tcPr>
    </w:tblStylePr>
    <w:tblStylePr w:type="lastCol">
      <w:tcPr>
        <w:tcBorders>
          <w:left w:val="single" w:color="FFFFFF" w:sz="6" w:space="0"/>
        </w:tcBorders>
      </w:tcPr>
    </w:tblStylePr>
    <w:tblStylePr w:type="lastRow">
      <w:tcPr>
        <w:tcBorders>
          <w:top w:val="single" w:color="FFFFFF" w:sz="6" w:space="0"/>
        </w:tcBorders>
      </w:tcPr>
    </w:tblStylePr>
    <w:tblStylePr w:type="nwCell">
      <w:tcPr>
        <w:tcBorders>
          <w:right w:val="none" w:sz="0" w:space="0" w:color="auto"/>
          <w:bottom w:val="none" w:sz="0" w:space="0" w:color="auto"/>
        </w:tcBorders>
      </w:tcPr>
    </w:tblStylePr>
    <w:tblStylePr w:type="neCell">
      <w:tcPr>
        <w:tcBorders>
          <w:left w:val="none" w:sz="0" w:space="0" w:color="auto"/>
          <w:bottom w:val="none" w:sz="0" w:space="0" w:color="auto"/>
        </w:tcBorders>
      </w:tcPr>
    </w:tblStylePr>
    <w:tblStylePr w:type="swCell">
      <w:rPr>
        <w:color w:val="000080"/>
      </w:rPr>
      <w:tcPr>
        <w:tcBorders>
          <w:top w:val="none" w:sz="0" w:space="0" w:color="auto"/>
          <w:right w:val="none" w:sz="0" w:space="0" w:color="auto"/>
        </w:tcBorders>
      </w:tcPr>
    </w:tblStylePr>
    <w:tblStylePr w:type="seCell">
      <w:tcPr>
        <w:tcBorders>
          <w:left w:val="none" w:sz="0" w:space="0" w:color="auto"/>
          <w:top w:val="none" w:sz="0" w:space="0" w:color="auto"/>
        </w:tcBorders>
      </w:tcPr>
    </w:tblStylePr>
  </w:style>
  <w:style w:type="table" w:styleId="1147">
    <w:name w:val="Table 3D effects 2"/>
    <w:basedOn w:val="980"/>
    <w:semiHidden/>
    <w:tblPr>
      <w:tblStyleRowBandSize w:val="1"/>
    </w:tblPr>
    <w:tcPr>
      <w:shd w:val="solid" w:color="C0C0C0" w:fill="FFFFFF"/>
    </w:tcPr>
    <w:tblStylePr w:type="band1Horz">
      <w:tcPr>
        <w:tcBorders>
          <w:top w:val="single" w:color="808080" w:sz="6" w:space="0"/>
          <w:bottom w:val="single" w:color="FFFFFF" w:sz="6" w:space="0"/>
        </w:tcBorders>
      </w:tcPr>
    </w:tblStylePr>
    <w:tblStylePr w:type="firstCol">
      <w:tcPr>
        <w:tcBorders>
          <w:top w:val="none" w:sz="0" w:space="0" w:color="auto"/>
          <w:right w:val="single" w:color="808080" w:sz="6" w:space="0"/>
          <w:bottom w:val="none" w:sz="0" w:space="0" w:color="auto"/>
        </w:tcBorders>
      </w:tcPr>
    </w:tblStylePr>
    <w:tblStylePr w:type="firstRow">
      <w:rPr>
        <w:b/>
        <w:bCs/>
      </w:rPr>
    </w:tblStylePr>
    <w:tblStylePr w:type="lastCol">
      <w:tcPr>
        <w:tcBorders>
          <w:right w:val="single" w:color="FFFFFF" w:sz="6" w:space="0"/>
        </w:tcBorders>
      </w:tcPr>
    </w:tblStylePr>
    <w:tblStylePr w:type="swCell">
      <w:rPr>
        <w:b/>
        <w:bCs/>
      </w:rPr>
    </w:tblStylePr>
  </w:style>
  <w:style w:type="table" w:styleId="1148">
    <w:name w:val="Table 3D effects 3"/>
    <w:basedOn w:val="980"/>
    <w:semiHidden/>
    <w:tblPr>
      <w:tblStyleRowBandSize w:val="1"/>
      <w:tblStyleColBandSize w:val="1"/>
    </w:tblPr>
    <w:tblStylePr w:type="band1Horz">
      <w:tcPr>
        <w:tcBorders>
          <w:top w:val="single" w:color="808080" w:sz="6" w:space="0"/>
          <w:bottom w:val="single" w:color="FFFFFF" w:sz="6" w:space="0"/>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firstCol">
      <w:tcPr>
        <w:tcBorders>
          <w:top w:val="none" w:sz="0" w:space="0" w:color="auto"/>
          <w:right w:val="single" w:color="808080" w:sz="6" w:space="0"/>
          <w:bottom w:val="none" w:sz="0" w:space="0" w:color="auto"/>
        </w:tcBorders>
      </w:tcPr>
    </w:tblStylePr>
    <w:tblStylePr w:type="firstRow">
      <w:rPr>
        <w:b/>
        <w:bCs/>
      </w:rPr>
    </w:tblStylePr>
    <w:tblStylePr w:type="lastCol">
      <w:tcPr>
        <w:tcBorders>
          <w:right w:val="single" w:color="FFFFFF" w:sz="6" w:space="0"/>
        </w:tcBorders>
      </w:tcPr>
    </w:tblStylePr>
    <w:tblStylePr w:type="swCell">
      <w:rPr>
        <w:b/>
        <w:bCs/>
      </w:rPr>
    </w:tblStylePr>
  </w:style>
  <w:style w:type="paragraph" w:styleId="1149">
    <w:name w:val="Normal (Web)"/>
    <w:basedOn w:val="969"/>
    <w:semiHidden/>
  </w:style>
  <w:style w:type="paragraph" w:styleId="1150">
    <w:name w:val="Normal Indent"/>
    <w:basedOn w:val="969"/>
    <w:semiHidden/>
    <w:pPr>
      <w:ind w:left="708"/>
    </w:pPr>
  </w:style>
  <w:style w:type="character" w:styleId="1151">
    <w:name w:val="HTML Definition"/>
    <w:semiHidden/>
    <w:rPr>
      <w:i/>
      <w:iCs/>
    </w:rPr>
  </w:style>
  <w:style w:type="paragraph" w:styleId="1152">
    <w:name w:val="table of figures"/>
    <w:basedOn w:val="969"/>
    <w:next w:val="969"/>
    <w:uiPriority w:val="99"/>
    <w:pPr>
      <w:ind w:left="1134" w:right="567" w:hanging="1134"/>
      <w:jc w:val="left"/>
      <w:tabs>
        <w:tab w:val="left" w:pos="1134" w:leader="none"/>
        <w:tab w:val="left" w:pos="1418" w:leader="none"/>
        <w:tab w:val="right" w:pos="9628" w:leader="dot"/>
      </w:tabs>
    </w:pPr>
  </w:style>
  <w:style w:type="paragraph" w:styleId="1153" w:customStyle="1">
    <w:name w:val="_ASFK_List_normal_3"/>
    <w:basedOn w:val="1159"/>
    <w:pPr>
      <w:ind w:left="1418"/>
      <w:tabs>
        <w:tab w:val="clear" w:pos="567" w:leader="none"/>
        <w:tab w:val="left" w:pos="1418" w:leader="none"/>
      </w:tabs>
    </w:pPr>
  </w:style>
  <w:style w:type="paragraph" w:styleId="1154" w:customStyle="1">
    <w:name w:val="_ASFK_List_normal_4"/>
    <w:basedOn w:val="1153"/>
    <w:pPr>
      <w:ind w:left="1701"/>
      <w:tabs>
        <w:tab w:val="clear" w:pos="1418" w:leader="none"/>
        <w:tab w:val="left" w:pos="1701" w:leader="none"/>
      </w:tabs>
    </w:pPr>
  </w:style>
  <w:style w:type="paragraph" w:styleId="1155">
    <w:name w:val="Footer"/>
    <w:basedOn w:val="969"/>
    <w:semiHidden/>
    <w:pPr>
      <w:tabs>
        <w:tab w:val="center" w:pos="4677" w:leader="none"/>
        <w:tab w:val="right" w:pos="9355" w:leader="none"/>
      </w:tabs>
    </w:pPr>
  </w:style>
  <w:style w:type="paragraph" w:styleId="1156" w:customStyle="1">
    <w:name w:val="_ASFK_List_num"/>
    <w:link w:val="1179"/>
    <w:rPr>
      <w:sz w:val="24"/>
    </w:rPr>
    <w:pPr>
      <w:numPr>
        <w:numId w:val="16"/>
      </w:numPr>
      <w:contextualSpacing w:val="true"/>
      <w:jc w:val="both"/>
      <w:spacing w:after="120" w:before="120"/>
    </w:pPr>
  </w:style>
  <w:style w:type="character" w:styleId="1157" w:customStyle="1">
    <w:name w:val="_ASFK_Note Знак Знак"/>
    <w:link w:val="996"/>
    <w:rPr>
      <w:sz w:val="24"/>
    </w:rPr>
  </w:style>
  <w:style w:type="paragraph" w:styleId="1158" w:customStyle="1">
    <w:name w:val="_ASFK_List_mark5"/>
    <w:rPr>
      <w:sz w:val="24"/>
    </w:rPr>
    <w:pPr>
      <w:numPr>
        <w:numId w:val="102"/>
      </w:numPr>
    </w:pPr>
  </w:style>
  <w:style w:type="paragraph" w:styleId="1159" w:customStyle="1">
    <w:name w:val="_ASFK_List_normal"/>
    <w:link w:val="1376"/>
    <w:rPr>
      <w:sz w:val="24"/>
    </w:rPr>
    <w:pPr>
      <w:contextualSpacing w:val="true"/>
      <w:ind w:left="567"/>
      <w:jc w:val="both"/>
      <w:spacing w:after="60" w:before="60"/>
      <w:tabs>
        <w:tab w:val="left" w:pos="567" w:leader="none"/>
      </w:tabs>
    </w:pPr>
  </w:style>
  <w:style w:type="paragraph" w:styleId="1160" w:customStyle="1">
    <w:name w:val="_ASFK_Titul_name_doc"/>
    <w:rPr>
      <w:b/>
      <w:sz w:val="32"/>
      <w:szCs w:val="28"/>
    </w:rPr>
    <w:pPr>
      <w:contextualSpacing w:val="true"/>
      <w:jc w:val="center"/>
      <w:spacing w:after="120" w:before="120"/>
    </w:pPr>
  </w:style>
  <w:style w:type="paragraph" w:styleId="1161" w:customStyle="1">
    <w:name w:val="_ASFK_List_normal_2"/>
    <w:basedOn w:val="1159"/>
    <w:pPr>
      <w:ind w:left="1134"/>
      <w:tabs>
        <w:tab w:val="clear" w:pos="567" w:leader="none"/>
        <w:tab w:val="left" w:pos="1134" w:leader="none"/>
      </w:tabs>
    </w:pPr>
  </w:style>
  <w:style w:type="character" w:styleId="1162" w:customStyle="1">
    <w:name w:val="_ASFK_Normal Знак"/>
    <w:link w:val="994"/>
    <w:rPr>
      <w:sz w:val="24"/>
    </w:rPr>
  </w:style>
  <w:style w:type="paragraph" w:styleId="1163" w:customStyle="1">
    <w:name w:val="_ASFK_List_normal_5"/>
    <w:basedOn w:val="1154"/>
    <w:pPr>
      <w:ind w:left="1985"/>
      <w:tabs>
        <w:tab w:val="clear" w:pos="1701" w:leader="none"/>
        <w:tab w:val="left" w:pos="1985" w:leader="none"/>
      </w:tabs>
    </w:pPr>
  </w:style>
  <w:style w:type="table" w:styleId="1164">
    <w:name w:val="Table Grid"/>
    <w:basedOn w:val="980"/>
    <w:pPr>
      <w:ind w:firstLine="567"/>
      <w:jc w:val="both"/>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paragraph" w:styleId="1165" w:customStyle="1">
    <w:name w:val="_ASFK_An"/>
    <w:rPr>
      <w:b/>
      <w:sz w:val="32"/>
    </w:rPr>
    <w:pPr>
      <w:jc w:val="center"/>
      <w:spacing w:after="240"/>
      <w:outlineLvl w:val="4"/>
    </w:pPr>
  </w:style>
  <w:style w:type="character" w:styleId="1166" w:customStyle="1">
    <w:name w:val="_ASFK_Name_Table Знак Знак"/>
    <w:link w:val="993"/>
    <w:rPr>
      <w:b/>
      <w:sz w:val="24"/>
    </w:rPr>
  </w:style>
  <w:style w:type="character" w:styleId="1167" w:customStyle="1">
    <w:name w:val="_ASFK_Table_Num Знак Знак"/>
    <w:link w:val="1009"/>
    <w:rPr>
      <w:sz w:val="22"/>
    </w:rPr>
  </w:style>
  <w:style w:type="character" w:styleId="1168" w:customStyle="1">
    <w:name w:val="Заголовок 5 Знак"/>
    <w:link w:val="974"/>
    <w:rPr>
      <w:b/>
      <w:bCs/>
      <w:iCs/>
      <w:sz w:val="24"/>
      <w:szCs w:val="26"/>
    </w:rPr>
  </w:style>
  <w:style w:type="character" w:styleId="1169" w:customStyle="1">
    <w:name w:val="_ASFK_List_mark1 Знак Знак"/>
    <w:link w:val="985"/>
    <w:rPr>
      <w:sz w:val="24"/>
    </w:rPr>
  </w:style>
  <w:style w:type="character" w:styleId="1170" w:customStyle="1">
    <w:name w:val="_ASFK_Figure Знак Знак"/>
    <w:link w:val="982"/>
    <w:rPr>
      <w:sz w:val="24"/>
    </w:rPr>
  </w:style>
  <w:style w:type="character" w:styleId="1171" w:customStyle="1">
    <w:name w:val="_ASFK_Fig_Name Знак Знак"/>
    <w:link w:val="983"/>
    <w:rPr>
      <w:b/>
      <w:sz w:val="24"/>
      <w:szCs w:val="24"/>
    </w:rPr>
  </w:style>
  <w:style w:type="paragraph" w:styleId="1172" w:customStyle="1">
    <w:name w:val="_ASFK_List_note"/>
    <w:basedOn w:val="987"/>
    <w:pPr>
      <w:numPr>
        <w:numId w:val="0"/>
      </w:numPr>
    </w:pPr>
  </w:style>
  <w:style w:type="paragraph" w:styleId="1173" w:customStyle="1">
    <w:name w:val="_ASFK_TITUL_0"/>
    <w:rPr>
      <w:sz w:val="28"/>
      <w:szCs w:val="28"/>
    </w:rPr>
    <w:pPr>
      <w:contextualSpacing w:val="true"/>
      <w:jc w:val="center"/>
      <w:spacing w:lineRule="auto" w:line="360"/>
    </w:pPr>
  </w:style>
  <w:style w:type="paragraph" w:styleId="1174">
    <w:name w:val="Closing"/>
    <w:basedOn w:val="969"/>
    <w:link w:val="1175"/>
    <w:pPr>
      <w:ind w:left="4252"/>
    </w:pPr>
  </w:style>
  <w:style w:type="character" w:styleId="1175" w:customStyle="1">
    <w:name w:val="Прощание Знак"/>
    <w:link w:val="1174"/>
    <w:rPr>
      <w:sz w:val="24"/>
    </w:rPr>
  </w:style>
  <w:style w:type="paragraph" w:styleId="1176">
    <w:name w:val="endnote text"/>
    <w:basedOn w:val="969"/>
    <w:link w:val="1177"/>
    <w:rPr>
      <w:sz w:val="20"/>
    </w:rPr>
  </w:style>
  <w:style w:type="character" w:styleId="1177" w:customStyle="1">
    <w:name w:val="Текст концевой сноски Знак"/>
    <w:basedOn w:val="979"/>
    <w:link w:val="1176"/>
  </w:style>
  <w:style w:type="character" w:styleId="1178">
    <w:name w:val="endnote reference"/>
    <w:rPr>
      <w:vertAlign w:val="superscript"/>
    </w:rPr>
  </w:style>
  <w:style w:type="character" w:styleId="1179" w:customStyle="1">
    <w:name w:val="_ASFK_List_num Знак Знак"/>
    <w:link w:val="1156"/>
    <w:rPr>
      <w:sz w:val="24"/>
    </w:rPr>
  </w:style>
  <w:style w:type="paragraph" w:styleId="1180" w:customStyle="1">
    <w:name w:val="Обычный1"/>
    <w:semiHidden/>
    <w:rPr>
      <w:rFonts w:ascii="Arial" w:hAnsi="Arial" w:cs="Arial"/>
      <w:b/>
      <w:sz w:val="28"/>
      <w:szCs w:val="28"/>
    </w:rPr>
    <w:pPr>
      <w:numPr>
        <w:numId w:val="1"/>
      </w:numPr>
      <w:ind w:left="851" w:hanging="284"/>
      <w:jc w:val="center"/>
      <w:spacing w:lineRule="auto" w:line="360"/>
      <w:tabs>
        <w:tab w:val="clear" w:pos="360" w:leader="none"/>
        <w:tab w:val="num" w:pos="851" w:leader="none"/>
      </w:tabs>
    </w:pPr>
  </w:style>
  <w:style w:type="character" w:styleId="1181" w:customStyle="1">
    <w:name w:val="Заголовок 4 Знак"/>
    <w:link w:val="973"/>
    <w:rPr>
      <w:rFonts w:cs="Arial"/>
      <w:b/>
      <w:iCs/>
      <w:sz w:val="24"/>
      <w:szCs w:val="26"/>
    </w:rPr>
  </w:style>
  <w:style w:type="paragraph" w:styleId="1182" w:customStyle="1">
    <w:name w:val="Dates/Notes"/>
    <w:basedOn w:val="969"/>
    <w:rPr>
      <w:rFonts w:ascii="Arial" w:hAnsi="Arial"/>
      <w:b/>
      <w:sz w:val="20"/>
      <w:szCs w:val="24"/>
      <w:lang w:val="en-US"/>
    </w:rPr>
    <w:pPr>
      <w:ind w:firstLine="0"/>
    </w:pPr>
  </w:style>
  <w:style w:type="paragraph" w:styleId="1183" w:customStyle="1">
    <w:name w:val="Основной"/>
    <w:basedOn w:val="969"/>
    <w:semiHidden/>
  </w:style>
  <w:style w:type="paragraph" w:styleId="1184" w:customStyle="1">
    <w:name w:val="Список маркированный"/>
    <w:basedOn w:val="969"/>
    <w:semiHidden/>
    <w:pPr>
      <w:numPr>
        <w:numId w:val="5"/>
      </w:numPr>
      <w:ind w:firstLine="0"/>
      <w:tabs>
        <w:tab w:val="num" w:pos="360" w:leader="none"/>
        <w:tab w:val="clear" w:pos="992" w:leader="none"/>
        <w:tab w:val="left" w:pos="1080" w:leader="none"/>
      </w:tabs>
    </w:pPr>
  </w:style>
  <w:style w:type="paragraph" w:styleId="1185" w:customStyle="1">
    <w:name w:val="UG_List_Mark"/>
    <w:semiHidden/>
    <w:rPr>
      <w:sz w:val="24"/>
    </w:rPr>
    <w:pPr>
      <w:contextualSpacing w:val="true"/>
      <w:ind w:firstLine="567"/>
      <w:spacing w:after="120" w:before="120"/>
      <w:tabs>
        <w:tab w:val="left" w:pos="567" w:leader="none"/>
        <w:tab w:val="left" w:pos="1701" w:leader="none"/>
        <w:tab w:val="left" w:pos="2835" w:leader="none"/>
        <w:tab w:val="left" w:pos="3402" w:leader="none"/>
      </w:tabs>
    </w:pPr>
  </w:style>
  <w:style w:type="paragraph" w:styleId="1186" w:customStyle="1">
    <w:name w:val="Надпись"/>
    <w:semiHidden/>
    <w:rPr>
      <w:sz w:val="16"/>
    </w:rPr>
  </w:style>
  <w:style w:type="paragraph" w:styleId="1187" w:customStyle="1">
    <w:name w:val="OTR_TITUL_new"/>
    <w:basedOn w:val="969"/>
    <w:semiHidden/>
    <w:rPr>
      <w:sz w:val="28"/>
      <w:szCs w:val="28"/>
    </w:rPr>
    <w:pPr>
      <w:ind w:firstLine="0"/>
      <w:jc w:val="center"/>
      <w:spacing w:lineRule="auto" w:line="360"/>
    </w:pPr>
  </w:style>
  <w:style w:type="character" w:styleId="1188" w:customStyle="1">
    <w:name w:val="_ASFK_Normal Знак Знак"/>
    <w:rPr>
      <w:sz w:val="24"/>
      <w:lang w:val="ru-RU" w:bidi="ar-SA" w:eastAsia="ru-RU"/>
    </w:rPr>
  </w:style>
  <w:style w:type="character" w:styleId="1189" w:customStyle="1">
    <w:name w:val="Заголовок 3 Знак"/>
    <w:link w:val="972"/>
    <w:rPr>
      <w:rFonts w:cs="Arial"/>
      <w:b/>
      <w:iCs/>
      <w:sz w:val="26"/>
      <w:szCs w:val="26"/>
    </w:rPr>
  </w:style>
  <w:style w:type="paragraph" w:styleId="1190" w:customStyle="1">
    <w:name w:val="UG_normal"/>
    <w:link w:val="1191"/>
    <w:semiHidden/>
    <w:rPr>
      <w:iCs/>
      <w:sz w:val="24"/>
      <w:szCs w:val="24"/>
    </w:rPr>
    <w:pPr>
      <w:numPr>
        <w:numId w:val="3"/>
      </w:numPr>
      <w:ind w:left="1134" w:firstLine="0"/>
      <w:jc w:val="both"/>
      <w:spacing w:after="120" w:before="120"/>
      <w:tabs>
        <w:tab w:val="clear" w:pos="464" w:leader="none"/>
        <w:tab w:val="left" w:pos="4786" w:leader="none"/>
        <w:tab w:val="left" w:pos="8472" w:leader="none"/>
        <w:tab w:val="left" w:pos="9572" w:leader="none"/>
      </w:tabs>
    </w:pPr>
  </w:style>
  <w:style w:type="character" w:styleId="1191" w:customStyle="1">
    <w:name w:val="UG_normal Знак"/>
    <w:link w:val="1190"/>
    <w:semiHidden/>
    <w:rPr>
      <w:iCs/>
      <w:sz w:val="24"/>
      <w:szCs w:val="24"/>
    </w:rPr>
  </w:style>
  <w:style w:type="paragraph" w:styleId="1192" w:customStyle="1">
    <w:name w:val="UG_name_doc"/>
    <w:semiHidden/>
    <w:rPr>
      <w:rFonts w:ascii="Arial" w:hAnsi="Arial" w:cs="Arial"/>
      <w:b/>
      <w:bCs/>
      <w:caps/>
      <w:sz w:val="32"/>
      <w:szCs w:val="32"/>
    </w:rPr>
    <w:pPr>
      <w:contextualSpacing w:val="true"/>
      <w:jc w:val="center"/>
      <w:spacing w:after="240" w:before="240"/>
    </w:pPr>
  </w:style>
  <w:style w:type="paragraph" w:styleId="1193" w:customStyle="1">
    <w:name w:val="UG_Table_Head"/>
    <w:basedOn w:val="969"/>
    <w:semiHidden/>
    <w:rPr>
      <w:b/>
      <w:lang w:eastAsia="en-US"/>
    </w:rPr>
    <w:pPr>
      <w:numPr>
        <w:numId w:val="4"/>
      </w:numPr>
      <w:contextualSpacing w:val="true"/>
      <w:ind w:left="0" w:firstLine="0"/>
      <w:jc w:val="center"/>
      <w:keepLines/>
      <w:keepNext/>
      <w:spacing w:after="60" w:before="60"/>
      <w:tabs>
        <w:tab w:val="clear" w:pos="340" w:leader="none"/>
      </w:tabs>
    </w:pPr>
  </w:style>
  <w:style w:type="paragraph" w:styleId="1194" w:customStyle="1">
    <w:name w:val="Название таблицы"/>
    <w:basedOn w:val="969"/>
    <w:rPr>
      <w:rFonts w:ascii="Arial" w:hAnsi="Arial"/>
      <w:b/>
      <w:sz w:val="22"/>
    </w:rPr>
    <w:pPr>
      <w:jc w:val="right"/>
      <w:spacing w:after="60" w:before="60"/>
    </w:pPr>
  </w:style>
  <w:style w:type="paragraph" w:styleId="1195" w:customStyle="1">
    <w:name w:val="Маркир список"/>
    <w:basedOn w:val="969"/>
    <w:semiHidden/>
    <w:pPr>
      <w:ind w:left="1080" w:hanging="360"/>
      <w:spacing w:lineRule="auto" w:line="360"/>
      <w:tabs>
        <w:tab w:val="num" w:pos="1080" w:leader="none"/>
        <w:tab w:val="left" w:pos="1191" w:leader="none"/>
      </w:tabs>
    </w:pPr>
  </w:style>
  <w:style w:type="paragraph" w:styleId="1196" w:customStyle="1">
    <w:name w:val="Примечание"/>
    <w:basedOn w:val="969"/>
    <w:semiHidden/>
    <w:rPr>
      <w:sz w:val="24"/>
      <w:szCs w:val="24"/>
    </w:rPr>
    <w:pPr>
      <w:spacing w:lineRule="auto" w:line="360" w:before="120"/>
    </w:pPr>
  </w:style>
  <w:style w:type="numbering" w:styleId="1197" w:customStyle="1">
    <w:name w:val="Нумерованные"/>
    <w:basedOn w:val="981"/>
    <w:semiHidden/>
    <w:pPr>
      <w:numPr>
        <w:numId w:val="2"/>
      </w:numPr>
    </w:pPr>
  </w:style>
  <w:style w:type="paragraph" w:styleId="1198" w:customStyle="1">
    <w:name w:val="Номер года"/>
    <w:basedOn w:val="969"/>
    <w:semiHidden/>
    <w:pPr>
      <w:jc w:val="center"/>
      <w:spacing w:lineRule="auto" w:line="360" w:before="120"/>
    </w:pPr>
  </w:style>
  <w:style w:type="paragraph" w:styleId="1199" w:customStyle="1">
    <w:name w:val="Титульный лист"/>
    <w:basedOn w:val="969"/>
    <w:semiHidden/>
    <w:pPr>
      <w:ind w:left="998"/>
      <w:jc w:val="center"/>
      <w:spacing w:lineRule="auto" w:line="360" w:before="1718"/>
      <w:shd w:val="clear" w:fill="FFFFFF" w:color="auto"/>
      <w:widowControl w:val="off"/>
    </w:pPr>
  </w:style>
  <w:style w:type="paragraph" w:styleId="1200" w:customStyle="1">
    <w:name w:val="_ASFK_Titul_header"/>
    <w:rPr>
      <w:rFonts w:ascii="Arial" w:hAnsi="Arial"/>
      <w:b/>
      <w:caps/>
      <w:color w:val="404040"/>
      <w:sz w:val="24"/>
    </w:rPr>
    <w:pPr>
      <w:jc w:val="center"/>
    </w:pPr>
  </w:style>
  <w:style w:type="character" w:styleId="1201" w:customStyle="1">
    <w:name w:val="Алексеев Игорь"/>
    <w:semiHidden/>
    <w:rPr>
      <w:rFonts w:ascii="Tahoma" w:hAnsi="Tahoma"/>
      <w:b w:val="false"/>
      <w:bCs w:val="false"/>
      <w:i w:val="false"/>
      <w:iCs w:val="false"/>
      <w:strike w:val="false"/>
      <w:color w:val="000080"/>
      <w:sz w:val="24"/>
      <w:szCs w:val="24"/>
      <w:u w:val="none"/>
    </w:rPr>
  </w:style>
  <w:style w:type="paragraph" w:styleId="1202" w:customStyle="1">
    <w:name w:val="Paragraph 0"/>
    <w:basedOn w:val="969"/>
    <w:rPr>
      <w:sz w:val="22"/>
    </w:rPr>
    <w:pPr>
      <w:ind w:firstLine="284"/>
    </w:pPr>
  </w:style>
  <w:style w:type="paragraph" w:styleId="1203" w:customStyle="1">
    <w:name w:val="Number 1"/>
    <w:basedOn w:val="969"/>
    <w:rPr>
      <w:rFonts w:ascii="PetersburgCTT" w:hAnsi="PetersburgCTT"/>
      <w:sz w:val="22"/>
    </w:rPr>
    <w:pPr>
      <w:ind w:left="568" w:hanging="284"/>
    </w:pPr>
  </w:style>
  <w:style w:type="paragraph" w:styleId="1204" w:customStyle="1">
    <w:name w:val="Стиль1"/>
    <w:basedOn w:val="969"/>
    <w:semiHidden/>
    <w:pPr>
      <w:tabs>
        <w:tab w:val="left" w:pos="357" w:leader="none"/>
      </w:tabs>
    </w:pPr>
  </w:style>
  <w:style w:type="character" w:styleId="1205" w:customStyle="1">
    <w:name w:val="Стиль Times New Roman"/>
    <w:rPr>
      <w:rFonts w:ascii="PetersburgCTT" w:hAnsi="PetersburgCTT"/>
    </w:rPr>
  </w:style>
  <w:style w:type="paragraph" w:styleId="1206" w:customStyle="1">
    <w:name w:val="Table Text"/>
    <w:basedOn w:val="969"/>
    <w:rPr>
      <w:sz w:val="18"/>
      <w:lang w:val="en-US"/>
    </w:rPr>
    <w:pPr>
      <w:ind w:firstLine="0"/>
      <w:jc w:val="left"/>
      <w:spacing w:after="20" w:before="20"/>
    </w:pPr>
  </w:style>
  <w:style w:type="paragraph" w:styleId="1207" w:customStyle="1">
    <w:name w:val="Абзац Обычный"/>
    <w:basedOn w:val="969"/>
    <w:semiHidden/>
    <w:pPr>
      <w:spacing w:lineRule="auto" w:line="360"/>
    </w:pPr>
  </w:style>
  <w:style w:type="paragraph" w:styleId="1208" w:customStyle="1">
    <w:name w:val="Обычный (Web)"/>
    <w:basedOn w:val="969"/>
    <w:semiHidden/>
    <w:rPr>
      <w:rFonts w:ascii="Arial Unicode MS" w:hAnsi="Arial Unicode MS" w:eastAsia="Arial Unicode MS"/>
    </w:rPr>
    <w:pPr>
      <w:spacing w:after="100" w:before="100"/>
    </w:pPr>
  </w:style>
  <w:style w:type="paragraph" w:styleId="1209" w:customStyle="1">
    <w:name w:val="Абзац Обычный7"/>
    <w:basedOn w:val="969"/>
    <w:semiHidden/>
    <w:pPr>
      <w:ind w:firstLine="709"/>
      <w:spacing w:lineRule="auto" w:line="360"/>
      <w:widowControl w:val="off"/>
    </w:pPr>
  </w:style>
  <w:style w:type="paragraph" w:styleId="1210" w:customStyle="1">
    <w:name w:val="Абзац Обычный8"/>
    <w:basedOn w:val="969"/>
    <w:semiHidden/>
    <w:rPr>
      <w:bCs/>
    </w:rPr>
    <w:pPr>
      <w:ind w:firstLine="709"/>
      <w:spacing w:lineRule="auto" w:line="360"/>
      <w:widowControl w:val="off"/>
      <w:tabs>
        <w:tab w:val="left" w:pos="1985" w:leader="none"/>
        <w:tab w:val="left" w:pos="2127" w:leader="none"/>
      </w:tabs>
    </w:pPr>
  </w:style>
  <w:style w:type="table" w:styleId="1211" w:customStyle="1">
    <w:name w:val="Сетка таблицы1"/>
    <w:basedOn w:val="980"/>
    <w:next w:val="980"/>
    <w:semiHidden/>
    <w:pPr>
      <w:jc w:val="both"/>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paragraph" w:styleId="1212" w:customStyle="1">
    <w:name w:val="Стиль &quot;Наименование&quot;"/>
    <w:basedOn w:val="969"/>
    <w:next w:val="969"/>
    <w:rPr>
      <w:b/>
      <w:sz w:val="28"/>
    </w:rPr>
    <w:pPr>
      <w:ind w:firstLine="0"/>
      <w:jc w:val="center"/>
      <w:keepNext/>
      <w:spacing w:after="240" w:before="240"/>
      <w:widowControl w:val="off"/>
      <w:suppressLineNumbers/>
    </w:pPr>
  </w:style>
  <w:style w:type="paragraph" w:styleId="1213" w:customStyle="1">
    <w:name w:val="Char Char Char Char"/>
    <w:basedOn w:val="969"/>
    <w:next w:val="969"/>
    <w:semiHidden/>
    <w:rPr>
      <w:rFonts w:ascii="Arial" w:hAnsi="Arial" w:cs="Arial"/>
      <w:sz w:val="20"/>
      <w:lang w:val="en-US" w:eastAsia="en-US"/>
    </w:rPr>
    <w:pPr>
      <w:ind w:firstLine="0"/>
      <w:jc w:val="left"/>
      <w:spacing w:lineRule="exact" w:line="240" w:after="160"/>
    </w:pPr>
  </w:style>
  <w:style w:type="paragraph" w:styleId="1214" w:customStyle="1">
    <w:name w:val="Вариант мышь"/>
    <w:basedOn w:val="969"/>
    <w:next w:val="969"/>
    <w:semiHidden/>
    <w:pPr>
      <w:ind w:left="720" w:hanging="360"/>
      <w:keepNext/>
      <w:spacing w:after="60" w:before="60"/>
      <w:tabs>
        <w:tab w:val="num" w:pos="720" w:leader="none"/>
        <w:tab w:val="left" w:pos="1134" w:leader="none"/>
        <w:tab w:val="left" w:pos="1418" w:leader="none"/>
      </w:tabs>
    </w:pPr>
  </w:style>
  <w:style w:type="paragraph" w:styleId="1215" w:customStyle="1">
    <w:name w:val="Вариант клавиатура"/>
    <w:basedOn w:val="969"/>
    <w:next w:val="969"/>
    <w:semiHidden/>
    <w:pPr>
      <w:ind w:left="1134"/>
      <w:tabs>
        <w:tab w:val="num" w:pos="972" w:leader="none"/>
        <w:tab w:val="left" w:pos="1134" w:leader="none"/>
        <w:tab w:val="left" w:pos="1418" w:leader="none"/>
      </w:tabs>
    </w:pPr>
  </w:style>
  <w:style w:type="paragraph" w:styleId="1216" w:customStyle="1">
    <w:name w:val="Абзац Обычный1"/>
    <w:basedOn w:val="969"/>
    <w:semiHidden/>
    <w:pPr>
      <w:ind w:firstLine="709"/>
      <w:spacing w:lineRule="auto" w:line="360"/>
      <w:widowControl w:val="off"/>
    </w:pPr>
  </w:style>
  <w:style w:type="paragraph" w:styleId="1217" w:customStyle="1">
    <w:name w:val="Абзац Обычный5"/>
    <w:basedOn w:val="969"/>
    <w:semiHidden/>
    <w:pPr>
      <w:ind w:firstLine="709"/>
      <w:spacing w:lineRule="auto" w:line="360"/>
      <w:widowControl w:val="off"/>
    </w:pPr>
  </w:style>
  <w:style w:type="paragraph" w:styleId="1218" w:customStyle="1">
    <w:name w:val="Абзац Обычный2"/>
    <w:basedOn w:val="969"/>
    <w:semiHidden/>
    <w:pPr>
      <w:ind w:firstLine="709"/>
      <w:spacing w:lineRule="auto" w:line="360"/>
      <w:widowControl w:val="off"/>
    </w:pPr>
  </w:style>
  <w:style w:type="paragraph" w:styleId="1219" w:customStyle="1">
    <w:name w:val="Абзац Обычный3"/>
    <w:basedOn w:val="969"/>
    <w:semiHidden/>
    <w:pPr>
      <w:ind w:firstLine="709"/>
      <w:spacing w:lineRule="auto" w:line="360"/>
      <w:widowControl w:val="off"/>
    </w:pPr>
  </w:style>
  <w:style w:type="paragraph" w:styleId="1220" w:customStyle="1">
    <w:name w:val="Абзац Обычный4"/>
    <w:basedOn w:val="969"/>
    <w:semiHidden/>
    <w:pPr>
      <w:ind w:firstLine="709"/>
      <w:spacing w:lineRule="auto" w:line="360"/>
      <w:widowControl w:val="off"/>
    </w:pPr>
  </w:style>
  <w:style w:type="paragraph" w:styleId="1221" w:customStyle="1">
    <w:name w:val="Абзац Обычный6"/>
    <w:basedOn w:val="969"/>
    <w:semiHidden/>
    <w:pPr>
      <w:ind w:firstLine="709"/>
      <w:spacing w:lineRule="auto" w:line="360"/>
      <w:widowControl w:val="off"/>
    </w:pPr>
  </w:style>
  <w:style w:type="paragraph" w:styleId="1222" w:customStyle="1">
    <w:name w:val="Абзац Обычный9"/>
    <w:basedOn w:val="969"/>
    <w:semiHidden/>
    <w:pPr>
      <w:ind w:firstLine="709"/>
      <w:spacing w:lineRule="auto" w:line="360"/>
      <w:widowControl w:val="off"/>
    </w:pPr>
  </w:style>
  <w:style w:type="paragraph" w:styleId="1223" w:customStyle="1">
    <w:name w:val="Таблица"/>
    <w:basedOn w:val="969"/>
    <w:semiHidden/>
    <w:rPr>
      <w:sz w:val="22"/>
      <w:lang w:eastAsia="en-US"/>
    </w:rPr>
    <w:pPr>
      <w:spacing w:after="40" w:before="80"/>
      <w:widowControl w:val="off"/>
      <w:suppressLineNumbers/>
    </w:pPr>
  </w:style>
  <w:style w:type="paragraph" w:styleId="1224" w:customStyle="1">
    <w:name w:val="Столбец"/>
    <w:basedOn w:val="969"/>
    <w:semiHidden/>
    <w:rPr>
      <w:b/>
      <w:sz w:val="22"/>
      <w:lang w:eastAsia="en-US"/>
    </w:rPr>
    <w:pPr>
      <w:jc w:val="center"/>
      <w:spacing w:after="40"/>
      <w:widowControl w:val="off"/>
      <w:suppressLineNumbers/>
    </w:pPr>
  </w:style>
  <w:style w:type="paragraph" w:styleId="1225" w:customStyle="1">
    <w:name w:val="_ASFK_Code"/>
    <w:rPr>
      <w:rFonts w:ascii="Courier New" w:hAnsi="Courier New"/>
    </w:rPr>
    <w:pPr>
      <w:contextualSpacing w:val="true"/>
      <w:ind w:left="567" w:right="567" w:firstLine="567"/>
      <w:spacing w:after="120" w:before="120"/>
      <w:shd w:val="clear" w:fill="E6E6E6" w:color="auto"/>
    </w:pPr>
  </w:style>
  <w:style w:type="paragraph" w:styleId="1226" w:customStyle="1">
    <w:name w:val="_ASFK_Footer"/>
    <w:next w:val="969"/>
    <w:rPr>
      <w:rFonts w:cs="Arial"/>
      <w:bCs/>
      <w:sz w:val="28"/>
    </w:rPr>
    <w:pPr>
      <w:ind w:left="21"/>
      <w:jc w:val="center"/>
      <w:spacing w:lineRule="auto" w:line="360"/>
    </w:pPr>
  </w:style>
  <w:style w:type="table" w:styleId="1227" w:customStyle="1">
    <w:name w:val="_ASFK_Table_nohead"/>
    <w:basedOn w:val="1004"/>
    <w:tblPr/>
    <w:tblStylePr w:type="band1Horz">
      <w:rPr>
        <w:rFonts w:ascii="Times New Roman" w:hAnsi="Times New Roman"/>
        <w:sz w:val="24"/>
      </w:rPr>
      <w:pPr>
        <w:ind w:left="57" w:right="57" w:firstLine="0"/>
        <w:jc w:val="left"/>
        <w:spacing w:lineRule="auto" w:line="240" w:after="60" w:afterAutospacing="0" w:before="60" w:beforeAutospacing="0"/>
        <w:outlineLvl w:val="9"/>
      </w:pPr>
    </w:tblStylePr>
    <w:tblStylePr w:type="band2Horz">
      <w:rPr>
        <w:rFonts w:ascii="Times New Roman" w:hAnsi="Times New Roman"/>
        <w:sz w:val="24"/>
      </w:rPr>
      <w:pPr>
        <w:contextualSpacing w:val="false"/>
        <w:ind w:left="57" w:right="57" w:firstLine="0"/>
        <w:jc w:val="left"/>
        <w:spacing w:after="60" w:afterAutospacing="0" w:before="60" w:beforeAutospacing="0"/>
        <w:outlineLvl w:val="9"/>
      </w:pPr>
    </w:tblStylePr>
    <w:tblStylePr w:type="firstRow">
      <w:rPr>
        <w:rFonts w:ascii="Times New Roman" w:hAnsi="Times New Roman"/>
        <w:b w:val="false"/>
        <w:sz w:val="22"/>
      </w:rPr>
      <w:pPr>
        <w:ind w:left="0" w:right="0" w:firstLine="0"/>
        <w:jc w:val="center"/>
        <w:spacing w:lineRule="auto" w:line="240" w:after="60" w:afterAutospacing="0" w:before="60" w:beforeAutospacing="0"/>
        <w:outlineLvl w:val="9"/>
      </w:pPr>
      <w:trPr>
        <w:tblHeader/>
      </w:trPr>
      <w:tcPr>
        <w:shd w:val="clear" w:fill="E6E6E6" w:color="auto"/>
        <w:tcBorders>
          <w:left w:val="single" w:sz="4" w:space="0" w:color="auto"/>
          <w:top w:val="single" w:sz="4" w:space="0" w:color="auto"/>
          <w:right w:val="single" w:sz="4" w:space="0" w:color="auto"/>
          <w:bottom w:val="single" w:sz="4" w:space="0" w:color="auto"/>
          <w:insideV w:val="single" w:sz="4" w:space="0" w:color="auto"/>
          <w:insideH w:val="single" w:sz="4" w:space="0" w:color="auto"/>
        </w:tcBorders>
        <w:vAlign w:val="center"/>
      </w:tcPr>
    </w:tblStylePr>
  </w:style>
  <w:style w:type="paragraph" w:styleId="1228" w:customStyle="1">
    <w:name w:val="Приложение29"/>
    <w:basedOn w:val="969"/>
    <w:next w:val="969"/>
    <w:semiHidden/>
    <w:rPr>
      <w:b/>
      <w:sz w:val="28"/>
      <w:lang w:val="en-US" w:eastAsia="en-US"/>
    </w:rPr>
    <w:pPr>
      <w:numPr>
        <w:numId w:val="6"/>
      </w:numPr>
      <w:ind w:left="0" w:firstLine="0"/>
      <w:pageBreakBefore/>
      <w:shd w:val="pct12" w:fill="FFFFFF" w:color="auto"/>
      <w:widowControl w:val="off"/>
      <w:tabs>
        <w:tab w:val="num" w:pos="360" w:leader="none"/>
        <w:tab w:val="left" w:pos="1418" w:leader="none"/>
      </w:tabs>
      <w:pBdr>
        <w:bottom w:val="single" w:sz="18" w:space="1" w:color="auto"/>
      </w:pBdr>
    </w:pPr>
  </w:style>
  <w:style w:type="paragraph" w:styleId="1229" w:customStyle="1">
    <w:name w:val="Знак1"/>
    <w:basedOn w:val="969"/>
    <w:next w:val="969"/>
    <w:semiHidden/>
    <w:rPr>
      <w:rFonts w:ascii="Arial" w:hAnsi="Arial" w:cs="Arial"/>
      <w:sz w:val="20"/>
      <w:lang w:val="en-US" w:eastAsia="en-US"/>
    </w:rPr>
    <w:pPr>
      <w:ind w:firstLine="0"/>
      <w:jc w:val="left"/>
      <w:spacing w:lineRule="exact" w:line="240" w:after="160"/>
    </w:pPr>
  </w:style>
  <w:style w:type="paragraph" w:styleId="1230" w:customStyle="1">
    <w:name w:val="Table Bullet"/>
    <w:basedOn w:val="969"/>
    <w:rPr>
      <w:sz w:val="20"/>
    </w:rPr>
    <w:pPr>
      <w:numPr>
        <w:numId w:val="7"/>
      </w:numPr>
      <w:jc w:val="left"/>
      <w:spacing w:after="20" w:before="20"/>
    </w:pPr>
  </w:style>
  <w:style w:type="paragraph" w:styleId="1231" w:customStyle="1">
    <w:name w:val="Table Cell L"/>
    <w:basedOn w:val="969"/>
    <w:rPr>
      <w:sz w:val="20"/>
    </w:rPr>
    <w:pPr>
      <w:ind w:firstLine="0"/>
      <w:jc w:val="left"/>
    </w:pPr>
  </w:style>
  <w:style w:type="paragraph" w:styleId="1232" w:customStyle="1">
    <w:name w:val="_ASFK_Titul_LU"/>
    <w:rPr>
      <w:sz w:val="32"/>
      <w:szCs w:val="28"/>
    </w:rPr>
    <w:pPr>
      <w:contextualSpacing w:val="true"/>
      <w:jc w:val="center"/>
      <w:spacing w:after="240" w:before="240"/>
    </w:pPr>
  </w:style>
  <w:style w:type="paragraph" w:styleId="1233" w:customStyle="1">
    <w:name w:val="Appendix"/>
    <w:basedOn w:val="970"/>
    <w:semiHidden/>
    <w:rPr>
      <w:rFonts w:ascii="Arial" w:hAnsi="Arial"/>
      <w:bCs/>
      <w:caps w:val="false"/>
      <w:smallCaps/>
      <w:color w:val="0000FF"/>
      <w:sz w:val="20"/>
      <w:szCs w:val="20"/>
      <w:lang w:val="en-US"/>
    </w:rPr>
    <w:pPr>
      <w:numPr>
        <w:numId w:val="0"/>
      </w:numPr>
      <w:jc w:val="left"/>
      <w:keepLines/>
      <w:spacing w:before="480"/>
      <w:tabs>
        <w:tab w:val="left" w:pos="432" w:leader="none"/>
      </w:tabs>
      <w:outlineLvl w:val="9"/>
    </w:pPr>
  </w:style>
  <w:style w:type="paragraph" w:styleId="1234" w:customStyle="1">
    <w:name w:val="Appendix 2"/>
    <w:basedOn w:val="971"/>
    <w:semiHidden/>
    <w:rPr>
      <w:rFonts w:ascii="Arial" w:hAnsi="Arial" w:cs="Times New Roman"/>
      <w:bCs w:val="false"/>
      <w:iCs w:val="false"/>
      <w:color w:val="0000FF"/>
      <w:sz w:val="20"/>
      <w:szCs w:val="20"/>
    </w:rPr>
    <w:pPr>
      <w:numPr>
        <w:ilvl w:val="0"/>
        <w:numId w:val="0"/>
      </w:numPr>
      <w:keepLines/>
      <w:spacing w:before="360"/>
      <w:outlineLvl w:val="9"/>
    </w:pPr>
  </w:style>
  <w:style w:type="paragraph" w:styleId="1235" w:customStyle="1">
    <w:name w:val="Основной текст 21"/>
    <w:basedOn w:val="969"/>
    <w:semiHidden/>
    <w:rPr>
      <w:lang w:val="en-US" w:eastAsia="en-US"/>
    </w:rPr>
    <w:pPr>
      <w:spacing w:lineRule="auto" w:line="360"/>
      <w:widowControl w:val="off"/>
      <w:tabs>
        <w:tab w:val="left" w:pos="1985" w:leader="none"/>
      </w:tabs>
    </w:pPr>
  </w:style>
  <w:style w:type="paragraph" w:styleId="1236" w:customStyle="1">
    <w:name w:val="Основной текст с отступом 21"/>
    <w:basedOn w:val="969"/>
    <w:semiHidden/>
    <w:rPr>
      <w:lang w:val="en-US" w:eastAsia="en-US"/>
    </w:rPr>
    <w:pPr>
      <w:ind w:firstLine="709"/>
    </w:pPr>
  </w:style>
  <w:style w:type="paragraph" w:styleId="1237" w:customStyle="1">
    <w:name w:val="Body Text Indent 24"/>
    <w:basedOn w:val="969"/>
    <w:semiHidden/>
    <w:rPr>
      <w:lang w:val="en-US" w:eastAsia="en-US"/>
    </w:rPr>
    <w:pPr>
      <w:ind w:firstLine="709"/>
      <w:spacing w:lineRule="auto" w:line="360"/>
    </w:pPr>
  </w:style>
  <w:style w:type="paragraph" w:styleId="1238" w:customStyle="1">
    <w:name w:val="Название объекта1"/>
    <w:basedOn w:val="971"/>
    <w:next w:val="971"/>
    <w:semiHidden/>
    <w:rPr>
      <w:rFonts w:ascii="Arial" w:hAnsi="Arial" w:cs="Times New Roman"/>
      <w:b w:val="false"/>
      <w:i/>
      <w:iCs w:val="false"/>
      <w:sz w:val="20"/>
      <w:szCs w:val="20"/>
      <w:lang w:val="en-US" w:eastAsia="en-US"/>
    </w:rPr>
    <w:pPr>
      <w:numPr>
        <w:ilvl w:val="0"/>
        <w:numId w:val="0"/>
      </w:numPr>
      <w:ind w:left="926" w:hanging="360"/>
      <w:keepLines/>
      <w:spacing w:lineRule="auto" w:line="360" w:before="120"/>
      <w:widowControl w:val="off"/>
      <w:tabs>
        <w:tab w:val="num" w:pos="926" w:leader="none"/>
        <w:tab w:val="right" w:pos="1080" w:leader="none"/>
        <w:tab w:val="left" w:pos="1985" w:leader="none"/>
        <w:tab w:val="left" w:pos="2127" w:leader="none"/>
      </w:tabs>
    </w:pPr>
  </w:style>
  <w:style w:type="paragraph" w:styleId="1239" w:customStyle="1">
    <w:name w:val="caption1"/>
    <w:basedOn w:val="971"/>
    <w:next w:val="971"/>
    <w:semiHidden/>
    <w:rPr>
      <w:rFonts w:ascii="Arial" w:hAnsi="Arial" w:cs="Times New Roman"/>
      <w:b w:val="false"/>
      <w:bCs w:val="false"/>
      <w:iCs w:val="false"/>
      <w:sz w:val="20"/>
      <w:szCs w:val="20"/>
      <w:lang w:val="en-US" w:eastAsia="en-US"/>
    </w:rPr>
    <w:pPr>
      <w:numPr>
        <w:ilvl w:val="0"/>
        <w:numId w:val="0"/>
      </w:numPr>
      <w:ind w:left="360" w:hanging="360"/>
      <w:keepLines/>
      <w:spacing w:lineRule="auto" w:line="360" w:before="120"/>
      <w:widowControl w:val="off"/>
      <w:tabs>
        <w:tab w:val="num" w:pos="360" w:leader="none"/>
        <w:tab w:val="left" w:pos="907" w:leader="none"/>
        <w:tab w:val="right" w:pos="1080" w:leader="none"/>
        <w:tab w:val="left" w:pos="1985" w:leader="none"/>
        <w:tab w:val="left" w:pos="2127" w:leader="none"/>
      </w:tabs>
    </w:pPr>
  </w:style>
  <w:style w:type="paragraph" w:styleId="1240" w:customStyle="1">
    <w:name w:val="caption2"/>
    <w:basedOn w:val="971"/>
    <w:next w:val="971"/>
    <w:semiHidden/>
    <w:rPr>
      <w:rFonts w:ascii="Arial" w:hAnsi="Arial" w:cs="Times New Roman"/>
      <w:b w:val="false"/>
      <w:bCs w:val="false"/>
      <w:iCs w:val="false"/>
      <w:sz w:val="20"/>
      <w:szCs w:val="20"/>
      <w:lang w:val="en-US" w:eastAsia="en-US"/>
    </w:rPr>
    <w:pPr>
      <w:numPr>
        <w:ilvl w:val="0"/>
        <w:numId w:val="0"/>
      </w:numPr>
      <w:ind w:left="360" w:hanging="360"/>
      <w:keepLines/>
      <w:spacing w:lineRule="auto" w:line="360" w:before="120"/>
      <w:widowControl w:val="off"/>
      <w:tabs>
        <w:tab w:val="num" w:pos="360" w:leader="none"/>
        <w:tab w:val="left" w:pos="907" w:leader="none"/>
        <w:tab w:val="right" w:pos="1080" w:leader="none"/>
        <w:tab w:val="left" w:pos="1985" w:leader="none"/>
        <w:tab w:val="left" w:pos="2127" w:leader="none"/>
      </w:tabs>
    </w:pPr>
  </w:style>
  <w:style w:type="paragraph" w:styleId="1241" w:customStyle="1">
    <w:name w:val="caption3"/>
    <w:basedOn w:val="971"/>
    <w:next w:val="971"/>
    <w:semiHidden/>
    <w:rPr>
      <w:rFonts w:ascii="Arial" w:hAnsi="Arial" w:cs="Times New Roman"/>
      <w:b w:val="false"/>
      <w:bCs w:val="false"/>
      <w:iCs w:val="false"/>
      <w:sz w:val="20"/>
      <w:szCs w:val="20"/>
      <w:lang w:val="en-US" w:eastAsia="en-US"/>
    </w:rPr>
    <w:pPr>
      <w:numPr>
        <w:ilvl w:val="0"/>
        <w:numId w:val="0"/>
      </w:numPr>
      <w:ind w:left="360" w:hanging="360"/>
      <w:keepLines/>
      <w:spacing w:lineRule="auto" w:line="360" w:before="120"/>
      <w:widowControl w:val="off"/>
      <w:tabs>
        <w:tab w:val="num" w:pos="360" w:leader="none"/>
        <w:tab w:val="left" w:pos="907" w:leader="none"/>
        <w:tab w:val="right" w:pos="1080" w:leader="none"/>
        <w:tab w:val="left" w:pos="1985" w:leader="none"/>
        <w:tab w:val="left" w:pos="2127" w:leader="none"/>
      </w:tabs>
    </w:pPr>
  </w:style>
  <w:style w:type="paragraph" w:styleId="1242" w:customStyle="1">
    <w:name w:val="caption4"/>
    <w:basedOn w:val="971"/>
    <w:next w:val="971"/>
    <w:semiHidden/>
    <w:rPr>
      <w:rFonts w:ascii="Arial" w:hAnsi="Arial" w:cs="Times New Roman"/>
      <w:b w:val="false"/>
      <w:bCs w:val="false"/>
      <w:iCs w:val="false"/>
      <w:sz w:val="20"/>
      <w:szCs w:val="20"/>
      <w:lang w:val="en-US" w:eastAsia="en-US"/>
    </w:rPr>
    <w:pPr>
      <w:numPr>
        <w:ilvl w:val="0"/>
        <w:numId w:val="0"/>
      </w:numPr>
      <w:ind w:left="360" w:hanging="360"/>
      <w:keepLines/>
      <w:spacing w:lineRule="auto" w:line="360" w:before="120"/>
      <w:widowControl w:val="off"/>
      <w:tabs>
        <w:tab w:val="num" w:pos="360" w:leader="none"/>
        <w:tab w:val="left" w:pos="907" w:leader="none"/>
        <w:tab w:val="right" w:pos="1080" w:leader="none"/>
        <w:tab w:val="left" w:pos="1985" w:leader="none"/>
        <w:tab w:val="left" w:pos="2127" w:leader="none"/>
      </w:tabs>
    </w:pPr>
  </w:style>
  <w:style w:type="paragraph" w:styleId="1243" w:customStyle="1">
    <w:name w:val="caption5"/>
    <w:basedOn w:val="971"/>
    <w:next w:val="971"/>
    <w:semiHidden/>
    <w:rPr>
      <w:rFonts w:ascii="Arial" w:hAnsi="Arial" w:cs="Times New Roman"/>
      <w:b w:val="false"/>
      <w:bCs w:val="false"/>
      <w:iCs w:val="false"/>
      <w:sz w:val="20"/>
      <w:szCs w:val="20"/>
      <w:lang w:val="en-US" w:eastAsia="en-US"/>
    </w:rPr>
    <w:pPr>
      <w:numPr>
        <w:ilvl w:val="0"/>
        <w:numId w:val="0"/>
      </w:numPr>
      <w:ind w:left="360" w:hanging="360"/>
      <w:keepLines/>
      <w:spacing w:lineRule="auto" w:line="360" w:before="120"/>
      <w:widowControl w:val="off"/>
      <w:tabs>
        <w:tab w:val="num" w:pos="360" w:leader="none"/>
        <w:tab w:val="left" w:pos="907" w:leader="none"/>
        <w:tab w:val="right" w:pos="1080" w:leader="none"/>
        <w:tab w:val="left" w:pos="1985" w:leader="none"/>
        <w:tab w:val="left" w:pos="2127" w:leader="none"/>
      </w:tabs>
    </w:pPr>
  </w:style>
  <w:style w:type="character" w:styleId="1244" w:customStyle="1">
    <w:name w:val="coficial"/>
    <w:basedOn w:val="979"/>
    <w:semiHidden/>
  </w:style>
  <w:style w:type="paragraph" w:styleId="1245" w:customStyle="1">
    <w:name w:val="ConsNormal"/>
    <w:semiHidden/>
    <w:rPr>
      <w:rFonts w:ascii="Arial" w:hAnsi="Arial" w:cs="Arial"/>
    </w:rPr>
    <w:pPr>
      <w:ind w:firstLine="720"/>
      <w:widowControl w:val="off"/>
    </w:pPr>
  </w:style>
  <w:style w:type="character" w:styleId="1246" w:customStyle="1">
    <w:name w:val="Основной шрифт абзаца1"/>
    <w:semiHidden/>
  </w:style>
  <w:style w:type="paragraph" w:styleId="1247" w:customStyle="1">
    <w:name w:val="Верхний колонтитул1"/>
    <w:basedOn w:val="1180"/>
    <w:semiHidden/>
    <w:pPr>
      <w:numPr>
        <w:numId w:val="0"/>
      </w:numPr>
      <w:tabs>
        <w:tab w:val="center" w:pos="4153" w:leader="none"/>
        <w:tab w:val="right" w:pos="8306" w:leader="none"/>
      </w:tabs>
    </w:pPr>
  </w:style>
  <w:style w:type="paragraph" w:styleId="1248" w:customStyle="1">
    <w:name w:val="heading 21"/>
    <w:basedOn w:val="1180"/>
    <w:next w:val="1180"/>
    <w:semiHidden/>
    <w:rPr>
      <w:rFonts w:cs="Times New Roman"/>
      <w:b w:val="false"/>
      <w:i/>
      <w:sz w:val="24"/>
      <w:szCs w:val="20"/>
    </w:rPr>
    <w:pPr>
      <w:numPr>
        <w:numId w:val="0"/>
      </w:numPr>
      <w:keepNext/>
      <w:spacing w:after="60" w:before="240"/>
    </w:pPr>
  </w:style>
  <w:style w:type="paragraph" w:styleId="1249" w:customStyle="1">
    <w:name w:val="heading 22"/>
    <w:basedOn w:val="1180"/>
    <w:next w:val="1180"/>
    <w:semiHidden/>
    <w:rPr>
      <w:rFonts w:cs="Times New Roman"/>
      <w:b w:val="false"/>
      <w:i/>
      <w:sz w:val="24"/>
      <w:szCs w:val="20"/>
    </w:rPr>
    <w:pPr>
      <w:numPr>
        <w:numId w:val="0"/>
      </w:numPr>
      <w:keepNext/>
      <w:spacing w:after="60" w:before="240"/>
    </w:pPr>
  </w:style>
  <w:style w:type="paragraph" w:styleId="1250" w:customStyle="1">
    <w:name w:val="heading 23"/>
    <w:basedOn w:val="1180"/>
    <w:next w:val="1180"/>
    <w:semiHidden/>
    <w:rPr>
      <w:rFonts w:cs="Times New Roman"/>
      <w:b w:val="false"/>
      <w:i/>
      <w:sz w:val="24"/>
      <w:szCs w:val="20"/>
    </w:rPr>
    <w:pPr>
      <w:numPr>
        <w:numId w:val="0"/>
      </w:numPr>
      <w:keepNext/>
      <w:spacing w:after="60" w:before="240"/>
    </w:pPr>
  </w:style>
  <w:style w:type="paragraph" w:styleId="1251" w:customStyle="1">
    <w:name w:val="heading 24"/>
    <w:basedOn w:val="1180"/>
    <w:next w:val="1180"/>
    <w:semiHidden/>
    <w:rPr>
      <w:rFonts w:cs="Times New Roman"/>
      <w:b w:val="false"/>
      <w:i/>
      <w:sz w:val="24"/>
      <w:szCs w:val="20"/>
    </w:rPr>
    <w:pPr>
      <w:numPr>
        <w:numId w:val="0"/>
      </w:numPr>
      <w:ind w:left="540" w:hanging="360"/>
      <w:keepNext/>
      <w:spacing w:after="60" w:before="240"/>
      <w:tabs>
        <w:tab w:val="num" w:pos="540" w:leader="none"/>
      </w:tabs>
    </w:pPr>
  </w:style>
  <w:style w:type="paragraph" w:styleId="1252" w:customStyle="1">
    <w:name w:val="heading 25"/>
    <w:basedOn w:val="1180"/>
    <w:next w:val="1180"/>
    <w:semiHidden/>
    <w:rPr>
      <w:rFonts w:cs="Times New Roman"/>
      <w:b w:val="false"/>
      <w:i/>
      <w:sz w:val="24"/>
      <w:szCs w:val="20"/>
    </w:rPr>
    <w:pPr>
      <w:numPr>
        <w:numId w:val="0"/>
      </w:numPr>
      <w:keepNext/>
      <w:spacing w:after="60" w:before="240"/>
    </w:pPr>
  </w:style>
  <w:style w:type="character" w:styleId="1253" w:customStyle="1">
    <w:name w:val="Гиперссылка1"/>
    <w:semiHidden/>
    <w:rPr>
      <w:color w:val="0000FF"/>
      <w:u w:val="single"/>
    </w:rPr>
  </w:style>
  <w:style w:type="character" w:styleId="1254" w:customStyle="1">
    <w:name w:val="links"/>
    <w:semiHidden/>
    <w:rPr>
      <w:u w:val="single"/>
    </w:rPr>
  </w:style>
  <w:style w:type="paragraph" w:styleId="1255" w:customStyle="1">
    <w:name w:val="_ASFK_List_normal_ 2"/>
    <w:basedOn w:val="969"/>
    <w:pPr>
      <w:contextualSpacing w:val="true"/>
      <w:ind w:left="1418" w:firstLine="0"/>
      <w:spacing w:after="60" w:before="60"/>
      <w:tabs>
        <w:tab w:val="left" w:pos="567" w:leader="none"/>
      </w:tabs>
    </w:pPr>
  </w:style>
  <w:style w:type="paragraph" w:styleId="1256" w:customStyle="1">
    <w:name w:val="_ASFK_List_normal_ 3 см"/>
    <w:basedOn w:val="969"/>
    <w:pPr>
      <w:contextualSpacing w:val="true"/>
      <w:ind w:left="1701" w:firstLine="0"/>
      <w:spacing w:after="60" w:before="60"/>
      <w:tabs>
        <w:tab w:val="left" w:pos="567" w:leader="none"/>
      </w:tabs>
    </w:pPr>
  </w:style>
  <w:style w:type="paragraph" w:styleId="1257" w:customStyle="1">
    <w:name w:val="n12"/>
    <w:basedOn w:val="969"/>
    <w:semiHidden/>
    <w:rPr>
      <w:lang w:val="en-US" w:eastAsia="en-US"/>
    </w:rPr>
    <w:pPr>
      <w:ind w:firstLine="720"/>
      <w:widowControl w:val="off"/>
    </w:pPr>
  </w:style>
  <w:style w:type="paragraph" w:styleId="1258" w:customStyle="1">
    <w:name w:val="n121"/>
    <w:basedOn w:val="969"/>
    <w:semiHidden/>
    <w:rPr>
      <w:lang w:val="en-US"/>
    </w:rPr>
    <w:pPr>
      <w:ind w:firstLine="720"/>
    </w:pPr>
  </w:style>
  <w:style w:type="paragraph" w:styleId="1259" w:customStyle="1">
    <w:name w:val="n122"/>
    <w:basedOn w:val="969"/>
    <w:semiHidden/>
    <w:rPr>
      <w:lang w:val="en-US" w:eastAsia="en-US"/>
    </w:rPr>
    <w:pPr>
      <w:ind w:firstLine="720"/>
      <w:widowControl w:val="off"/>
    </w:pPr>
  </w:style>
  <w:style w:type="paragraph" w:styleId="1260" w:customStyle="1">
    <w:name w:val="n123"/>
    <w:basedOn w:val="969"/>
    <w:semiHidden/>
    <w:rPr>
      <w:lang w:val="en-US" w:eastAsia="en-US"/>
    </w:rPr>
    <w:pPr>
      <w:ind w:firstLine="720"/>
      <w:widowControl w:val="off"/>
    </w:pPr>
  </w:style>
  <w:style w:type="paragraph" w:styleId="1261" w:customStyle="1">
    <w:name w:val="n124"/>
    <w:basedOn w:val="969"/>
    <w:semiHidden/>
    <w:rPr>
      <w:lang w:val="en-US"/>
    </w:rPr>
    <w:pPr>
      <w:ind w:firstLine="720"/>
    </w:pPr>
  </w:style>
  <w:style w:type="paragraph" w:styleId="1262" w:customStyle="1">
    <w:name w:val="n125"/>
    <w:basedOn w:val="969"/>
    <w:semiHidden/>
    <w:rPr>
      <w:lang w:val="en-US" w:eastAsia="en-US"/>
    </w:rPr>
    <w:pPr>
      <w:ind w:firstLine="720"/>
      <w:widowControl w:val="off"/>
    </w:pPr>
  </w:style>
  <w:style w:type="paragraph" w:styleId="1263" w:customStyle="1">
    <w:name w:val="n126"/>
    <w:basedOn w:val="969"/>
    <w:semiHidden/>
    <w:rPr>
      <w:lang w:val="en-US" w:eastAsia="en-US"/>
    </w:rPr>
    <w:pPr>
      <w:ind w:firstLine="720"/>
      <w:widowControl w:val="off"/>
    </w:pPr>
  </w:style>
  <w:style w:type="paragraph" w:styleId="1264" w:customStyle="1">
    <w:name w:val="n127"/>
    <w:basedOn w:val="969"/>
    <w:semiHidden/>
    <w:rPr>
      <w:lang w:val="en-US" w:eastAsia="en-US"/>
    </w:rPr>
    <w:pPr>
      <w:ind w:firstLine="720"/>
      <w:widowControl w:val="off"/>
    </w:pPr>
  </w:style>
  <w:style w:type="paragraph" w:styleId="1265" w:customStyle="1">
    <w:name w:val="n128"/>
    <w:basedOn w:val="969"/>
    <w:semiHidden/>
    <w:rPr>
      <w:lang w:val="en-US" w:eastAsia="en-US"/>
    </w:rPr>
    <w:pPr>
      <w:ind w:firstLine="720"/>
      <w:widowControl w:val="off"/>
    </w:pPr>
  </w:style>
  <w:style w:type="paragraph" w:styleId="1266" w:customStyle="1">
    <w:name w:val="n129"/>
    <w:basedOn w:val="969"/>
    <w:semiHidden/>
    <w:rPr>
      <w:lang w:val="en-US"/>
    </w:rPr>
    <w:pPr>
      <w:ind w:firstLine="720"/>
    </w:pPr>
  </w:style>
  <w:style w:type="paragraph" w:styleId="1267" w:customStyle="1">
    <w:name w:val="Normal.Нормальный"/>
    <w:semiHidden/>
    <w:rPr>
      <w:sz w:val="24"/>
    </w:rPr>
    <w:pPr>
      <w:widowControl w:val="off"/>
    </w:pPr>
  </w:style>
  <w:style w:type="paragraph" w:styleId="1268" w:customStyle="1">
    <w:name w:val="Normal1"/>
    <w:semiHidden/>
    <w:rPr>
      <w:b/>
      <w:sz w:val="28"/>
      <w:szCs w:val="28"/>
    </w:rPr>
    <w:pPr>
      <w:ind w:left="1080"/>
      <w:jc w:val="center"/>
      <w:spacing w:lineRule="auto" w:line="360"/>
    </w:pPr>
  </w:style>
  <w:style w:type="paragraph" w:styleId="1269" w:customStyle="1">
    <w:name w:val="Normal11"/>
    <w:semiHidden/>
    <w:rPr>
      <w:rFonts w:ascii="Arial" w:hAnsi="Arial"/>
      <w:b/>
      <w:sz w:val="28"/>
    </w:rPr>
    <w:pPr>
      <w:ind w:firstLine="720"/>
      <w:jc w:val="center"/>
      <w:spacing w:lineRule="auto" w:line="360"/>
    </w:pPr>
  </w:style>
  <w:style w:type="paragraph" w:styleId="1270" w:customStyle="1">
    <w:name w:val="Normal17"/>
    <w:semiHidden/>
    <w:rPr>
      <w:rFonts w:ascii="Arial" w:hAnsi="Arial" w:cs="Arial"/>
      <w:b/>
      <w:bCs/>
      <w:sz w:val="28"/>
      <w:szCs w:val="28"/>
    </w:rPr>
    <w:pPr>
      <w:ind w:firstLine="720"/>
      <w:jc w:val="center"/>
      <w:spacing w:lineRule="auto" w:line="360"/>
    </w:pPr>
  </w:style>
  <w:style w:type="paragraph" w:styleId="1271" w:customStyle="1">
    <w:name w:val="Normal2"/>
    <w:semiHidden/>
    <w:rPr>
      <w:rFonts w:ascii="Arial" w:hAnsi="Arial"/>
      <w:b/>
      <w:sz w:val="28"/>
    </w:rPr>
    <w:pPr>
      <w:jc w:val="center"/>
      <w:spacing w:lineRule="auto" w:line="360"/>
    </w:pPr>
  </w:style>
  <w:style w:type="paragraph" w:styleId="1272" w:customStyle="1">
    <w:name w:val="Normal20"/>
    <w:semiHidden/>
    <w:rPr>
      <w:b/>
      <w:sz w:val="28"/>
      <w:szCs w:val="28"/>
    </w:rPr>
    <w:pPr>
      <w:numPr>
        <w:numId w:val="8"/>
      </w:numPr>
      <w:ind w:left="567" w:firstLine="0"/>
      <w:jc w:val="center"/>
      <w:spacing w:lineRule="auto" w:line="360"/>
      <w:tabs>
        <w:tab w:val="clear" w:pos="360" w:leader="none"/>
        <w:tab w:val="num" w:pos="567" w:leader="none"/>
      </w:tabs>
    </w:pPr>
  </w:style>
  <w:style w:type="paragraph" w:styleId="1273" w:customStyle="1">
    <w:name w:val="Normal23"/>
    <w:semiHidden/>
    <w:rPr>
      <w:rFonts w:ascii="Arial" w:hAnsi="Arial" w:cs="Arial"/>
      <w:b/>
      <w:bCs/>
      <w:sz w:val="28"/>
      <w:szCs w:val="28"/>
    </w:rPr>
    <w:pPr>
      <w:ind w:left="720"/>
      <w:jc w:val="center"/>
      <w:spacing w:lineRule="auto" w:line="360"/>
    </w:pPr>
  </w:style>
  <w:style w:type="paragraph" w:styleId="1274" w:customStyle="1">
    <w:name w:val="Normal24"/>
    <w:semiHidden/>
    <w:rPr>
      <w:sz w:val="28"/>
      <w:szCs w:val="28"/>
    </w:rPr>
    <w:pPr>
      <w:jc w:val="center"/>
      <w:spacing w:lineRule="auto" w:line="360"/>
    </w:pPr>
  </w:style>
  <w:style w:type="paragraph" w:styleId="1275" w:customStyle="1">
    <w:name w:val="Normal3"/>
    <w:semiHidden/>
    <w:rPr>
      <w:rFonts w:ascii="Arial" w:hAnsi="Arial"/>
      <w:b/>
      <w:sz w:val="28"/>
    </w:rPr>
    <w:pPr>
      <w:jc w:val="center"/>
      <w:spacing w:lineRule="auto" w:line="360"/>
    </w:pPr>
  </w:style>
  <w:style w:type="paragraph" w:styleId="1276" w:customStyle="1">
    <w:name w:val="Normal4"/>
    <w:semiHidden/>
    <w:rPr>
      <w:rFonts w:ascii="Arial" w:hAnsi="Arial"/>
      <w:b/>
      <w:sz w:val="28"/>
    </w:rPr>
    <w:pPr>
      <w:ind w:left="720"/>
      <w:jc w:val="center"/>
      <w:spacing w:lineRule="auto" w:line="360"/>
    </w:pPr>
  </w:style>
  <w:style w:type="paragraph" w:styleId="1277" w:customStyle="1">
    <w:name w:val="Normal5"/>
    <w:semiHidden/>
    <w:rPr>
      <w:sz w:val="28"/>
      <w:szCs w:val="28"/>
    </w:rPr>
    <w:pPr>
      <w:jc w:val="center"/>
      <w:spacing w:lineRule="auto" w:line="360"/>
    </w:pPr>
  </w:style>
  <w:style w:type="paragraph" w:styleId="1278" w:customStyle="1">
    <w:name w:val="_ASFK_List_num2_"/>
    <w:basedOn w:val="992"/>
    <w:pPr>
      <w:numPr>
        <w:ilvl w:val="0"/>
        <w:numId w:val="0"/>
      </w:numPr>
      <w:ind w:left="1247" w:hanging="680"/>
      <w:tabs>
        <w:tab w:val="num" w:pos="360" w:leader="none"/>
        <w:tab w:val="left" w:pos="1247" w:leader="none"/>
      </w:tabs>
    </w:pPr>
  </w:style>
  <w:style w:type="paragraph" w:styleId="1279" w:customStyle="1">
    <w:name w:val="Normal6"/>
    <w:semiHidden/>
    <w:rPr>
      <w:rFonts w:ascii="Arial" w:hAnsi="Arial"/>
      <w:b/>
      <w:sz w:val="26"/>
      <w:szCs w:val="26"/>
    </w:rPr>
    <w:pPr>
      <w:jc w:val="center"/>
      <w:spacing w:lineRule="auto" w:line="360"/>
    </w:pPr>
  </w:style>
  <w:style w:type="paragraph" w:styleId="1280" w:customStyle="1">
    <w:name w:val="Normal7"/>
    <w:semiHidden/>
    <w:rPr>
      <w:rFonts w:ascii="Arial" w:hAnsi="Arial"/>
      <w:b/>
      <w:sz w:val="28"/>
    </w:rPr>
    <w:pPr>
      <w:ind w:firstLine="720"/>
      <w:jc w:val="center"/>
      <w:spacing w:lineRule="auto" w:line="360"/>
    </w:pPr>
  </w:style>
  <w:style w:type="paragraph" w:styleId="1281" w:customStyle="1">
    <w:name w:val="Normal8"/>
    <w:semiHidden/>
    <w:rPr>
      <w:rFonts w:ascii="Arial" w:hAnsi="Arial"/>
      <w:b/>
      <w:sz w:val="28"/>
    </w:rPr>
    <w:pPr>
      <w:ind w:firstLine="720"/>
      <w:jc w:val="center"/>
      <w:spacing w:lineRule="auto" w:line="360"/>
    </w:pPr>
  </w:style>
  <w:style w:type="paragraph" w:styleId="1282" w:customStyle="1">
    <w:name w:val="NormalTEXT"/>
    <w:basedOn w:val="969"/>
    <w:semiHidden/>
    <w:rPr>
      <w:rFonts w:ascii="Arial" w:hAnsi="Arial"/>
      <w:sz w:val="20"/>
    </w:rPr>
    <w:pPr>
      <w:ind w:left="567" w:firstLine="425"/>
      <w:widowControl w:val="off"/>
    </w:pPr>
  </w:style>
  <w:style w:type="paragraph" w:styleId="1283" w:customStyle="1">
    <w:name w:val="_ASFK_List_normal_2 см"/>
    <w:basedOn w:val="969"/>
    <w:pPr>
      <w:contextualSpacing w:val="true"/>
      <w:ind w:left="1134" w:firstLine="0"/>
      <w:spacing w:after="60" w:before="60"/>
      <w:tabs>
        <w:tab w:val="left" w:pos="567" w:leader="none"/>
      </w:tabs>
    </w:pPr>
  </w:style>
  <w:style w:type="character" w:styleId="1284" w:customStyle="1">
    <w:name w:val="_ASFK_List_normal_1;8 см Знак Знак"/>
    <w:link w:val="1029"/>
    <w:rPr>
      <w:sz w:val="24"/>
    </w:rPr>
  </w:style>
  <w:style w:type="character" w:styleId="1285" w:customStyle="1">
    <w:name w:val="Номер страницы1"/>
    <w:basedOn w:val="1246"/>
    <w:semiHidden/>
  </w:style>
  <w:style w:type="paragraph" w:styleId="1286" w:customStyle="1">
    <w:name w:val="Текст1"/>
    <w:basedOn w:val="969"/>
    <w:semiHidden/>
    <w:rPr>
      <w:rFonts w:ascii="Courier New" w:hAnsi="Courier New"/>
      <w:sz w:val="20"/>
      <w:lang w:val="en-US" w:eastAsia="en-US"/>
    </w:rPr>
    <w:pPr>
      <w:ind w:left="567" w:firstLine="720"/>
      <w:spacing w:lineRule="auto" w:line="360"/>
      <w:widowControl w:val="off"/>
      <w:tabs>
        <w:tab w:val="left" w:pos="1985" w:leader="none"/>
      </w:tabs>
    </w:pPr>
  </w:style>
  <w:style w:type="paragraph" w:styleId="1287" w:customStyle="1">
    <w:name w:val="pnumbered1"/>
    <w:basedOn w:val="969"/>
    <w:semiHidden/>
    <w:rPr>
      <w:lang w:val="en-US" w:eastAsia="en-US"/>
    </w:rPr>
    <w:pPr>
      <w:spacing w:after="100" w:afterAutospacing="1" w:before="100" w:beforeAutospacing="1"/>
    </w:pPr>
  </w:style>
  <w:style w:type="paragraph" w:styleId="1288" w:customStyle="1">
    <w:name w:val="Program"/>
    <w:basedOn w:val="1282"/>
    <w:semiHidden/>
    <w:rPr>
      <w:rFonts w:ascii="Courier New" w:hAnsi="Courier New" w:cs="Courier New"/>
    </w:rPr>
    <w:pPr>
      <w:ind w:left="539" w:firstLine="0"/>
      <w:jc w:val="left"/>
      <w:spacing w:after="60" w:before="60"/>
    </w:pPr>
  </w:style>
  <w:style w:type="paragraph" w:styleId="1289" w:customStyle="1">
    <w:name w:val="TableElement"/>
    <w:basedOn w:val="969"/>
    <w:semiHidden/>
    <w:rPr>
      <w:rFonts w:ascii="Arial" w:hAnsi="Arial"/>
      <w:sz w:val="20"/>
    </w:rPr>
    <w:pPr>
      <w:keepLines/>
      <w:keepNext/>
      <w:widowControl w:val="off"/>
      <w:suppressLineNumbers/>
    </w:pPr>
  </w:style>
  <w:style w:type="paragraph" w:styleId="1290" w:customStyle="1">
    <w:name w:val="TableHead"/>
    <w:basedOn w:val="1289"/>
    <w:semiHidden/>
    <w:rPr>
      <w:i/>
      <w:sz w:val="18"/>
    </w:rPr>
    <w:pPr>
      <w:spacing w:after="60" w:before="60"/>
    </w:pPr>
  </w:style>
  <w:style w:type="paragraph" w:styleId="1291" w:customStyle="1">
    <w:name w:val="Titul"/>
    <w:basedOn w:val="1282"/>
    <w:semiHidden/>
    <w:rPr>
      <w:b/>
    </w:rPr>
    <w:pPr>
      <w:ind w:left="0" w:firstLine="0"/>
      <w:jc w:val="left"/>
      <w:keepNext/>
      <w:spacing w:after="120" w:before="240"/>
    </w:pPr>
  </w:style>
  <w:style w:type="paragraph" w:styleId="1292" w:customStyle="1">
    <w:name w:val="TitulString"/>
    <w:basedOn w:val="969"/>
    <w:semiHidden/>
    <w:rPr>
      <w:rFonts w:ascii="Arial" w:hAnsi="Arial"/>
      <w:i/>
      <w:sz w:val="20"/>
      <w:lang w:val="en-US"/>
    </w:rPr>
    <w:pPr>
      <w:ind w:left="567"/>
      <w:keepNext/>
      <w:spacing w:after="120" w:before="240"/>
    </w:pPr>
  </w:style>
  <w:style w:type="paragraph" w:styleId="1293" w:customStyle="1">
    <w:name w:val="UnderPic"/>
    <w:basedOn w:val="1282"/>
    <w:semiHidden/>
    <w:rPr>
      <w:i/>
      <w:iCs/>
    </w:rPr>
    <w:pPr>
      <w:ind w:left="0" w:firstLine="0"/>
      <w:keepNext/>
      <w:spacing w:after="120" w:before="120"/>
    </w:pPr>
  </w:style>
  <w:style w:type="character" w:styleId="1294" w:customStyle="1">
    <w:name w:val="абзац жирный"/>
    <w:semiHidden/>
    <w:rPr>
      <w:b/>
    </w:rPr>
  </w:style>
  <w:style w:type="paragraph" w:styleId="1295" w:customStyle="1">
    <w:name w:val="Абзац жирный+курсив"/>
    <w:basedOn w:val="969"/>
    <w:semiHidden/>
    <w:pPr>
      <w:numPr>
        <w:numId w:val="9"/>
      </w:numPr>
      <w:ind w:left="0" w:firstLine="0"/>
      <w:spacing w:lineRule="atLeast" w:line="360"/>
      <w:widowControl w:val="off"/>
      <w:tabs>
        <w:tab w:val="num" w:pos="360" w:leader="none"/>
        <w:tab w:val="clear" w:pos="1428" w:leader="none"/>
      </w:tabs>
    </w:pPr>
  </w:style>
  <w:style w:type="paragraph" w:styleId="1296" w:customStyle="1">
    <w:name w:val="абзац полужирный+курсив"/>
    <w:basedOn w:val="969"/>
    <w:semiHidden/>
    <w:rPr>
      <w:b/>
      <w:i/>
    </w:rPr>
    <w:pPr>
      <w:ind w:left="1428" w:hanging="360"/>
      <w:spacing w:lineRule="atLeast" w:line="360"/>
      <w:widowControl w:val="off"/>
      <w:tabs>
        <w:tab w:val="num" w:pos="1428" w:leader="none"/>
      </w:tabs>
    </w:pPr>
  </w:style>
  <w:style w:type="numbering" w:styleId="1297" w:customStyle="1">
    <w:name w:val="Галочка"/>
    <w:basedOn w:val="981"/>
    <w:semiHidden/>
    <w:pPr>
      <w:numPr>
        <w:numId w:val="10"/>
      </w:numPr>
    </w:pPr>
  </w:style>
  <w:style w:type="paragraph" w:styleId="1298" w:customStyle="1">
    <w:name w:val="Заголовки Пять"/>
    <w:basedOn w:val="974"/>
    <w:semiHidden/>
    <w:pPr>
      <w:spacing w:lineRule="atLeast" w:line="360"/>
      <w:widowControl w:val="off"/>
      <w:tabs>
        <w:tab w:val="left" w:pos="1021" w:leader="none"/>
      </w:tabs>
    </w:pPr>
  </w:style>
  <w:style w:type="paragraph" w:styleId="1299" w:customStyle="1">
    <w:name w:val="Заголовок 2 для РО"/>
    <w:basedOn w:val="969"/>
    <w:semiHidden/>
    <w:rPr>
      <w:lang w:val="en-US" w:eastAsia="en-US"/>
    </w:rPr>
  </w:style>
  <w:style w:type="paragraph" w:styleId="1300" w:customStyle="1">
    <w:name w:val="Заголовок Два"/>
    <w:basedOn w:val="971"/>
    <w:semiHidden/>
    <w:rPr>
      <w:rFonts w:ascii="Arial" w:hAnsi="Arial" w:cs="Times New Roman"/>
      <w:b w:val="false"/>
      <w:bCs w:val="false"/>
      <w:i/>
      <w:iCs w:val="false"/>
      <w:sz w:val="30"/>
      <w:szCs w:val="20"/>
    </w:rPr>
    <w:pPr>
      <w:numPr>
        <w:ilvl w:val="0"/>
        <w:numId w:val="0"/>
      </w:numPr>
      <w:keepLines/>
      <w:spacing w:lineRule="auto" w:line="360" w:before="120"/>
      <w:widowControl w:val="off"/>
      <w:tabs>
        <w:tab w:val="left" w:pos="692" w:leader="none"/>
        <w:tab w:val="left" w:pos="907" w:leader="none"/>
        <w:tab w:val="left" w:pos="1021" w:leader="none"/>
      </w:tabs>
    </w:pPr>
  </w:style>
  <w:style w:type="paragraph" w:styleId="1301" w:customStyle="1">
    <w:name w:val="Заголовок Один"/>
    <w:basedOn w:val="970"/>
    <w:semiHidden/>
    <w:rPr>
      <w:rFonts w:ascii="Arial" w:hAnsi="Arial"/>
      <w:caps w:val="false"/>
      <w:sz w:val="20"/>
      <w:szCs w:val="20"/>
    </w:rPr>
    <w:pPr>
      <w:numPr>
        <w:numId w:val="0"/>
      </w:numPr>
      <w:ind w:left="643" w:hanging="360"/>
      <w:jc w:val="left"/>
      <w:keepLines/>
      <w:spacing w:lineRule="auto" w:line="360" w:before="100"/>
      <w:widowControl w:val="off"/>
      <w:tabs>
        <w:tab w:val="left" w:pos="567" w:leader="none"/>
        <w:tab w:val="num" w:pos="643" w:leader="none"/>
      </w:tabs>
    </w:pPr>
  </w:style>
  <w:style w:type="paragraph" w:styleId="1302" w:customStyle="1">
    <w:name w:val="Заголовок Пять"/>
    <w:basedOn w:val="974"/>
    <w:semiHidden/>
    <w:pPr>
      <w:spacing w:lineRule="atLeast" w:line="360" w:before="120"/>
      <w:widowControl w:val="off"/>
      <w:tabs>
        <w:tab w:val="left" w:pos="1066" w:leader="none"/>
      </w:tabs>
    </w:pPr>
  </w:style>
  <w:style w:type="paragraph" w:styleId="1303" w:customStyle="1">
    <w:name w:val="Заголовок Ттри"/>
    <w:basedOn w:val="972"/>
    <w:semiHidden/>
    <w:rPr>
      <w:rFonts w:cs="Times New Roman"/>
      <w:lang w:eastAsia="en-US"/>
    </w:rPr>
    <w:pPr>
      <w:numPr>
        <w:ilvl w:val="0"/>
        <w:numId w:val="0"/>
      </w:numPr>
      <w:spacing w:lineRule="auto" w:line="360" w:before="120"/>
      <w:widowControl w:val="off"/>
      <w:tabs>
        <w:tab w:val="left" w:pos="794" w:leader="none"/>
        <w:tab w:val="left" w:pos="964" w:leader="none"/>
      </w:tabs>
    </w:pPr>
  </w:style>
  <w:style w:type="paragraph" w:styleId="1304" w:customStyle="1">
    <w:name w:val="Заголовок Четыре"/>
    <w:basedOn w:val="973"/>
    <w:semiHidden/>
    <w:rPr>
      <w:rFonts w:ascii="Arial" w:hAnsi="Arial" w:cs="Times New Roman"/>
      <w:b w:val="false"/>
      <w:sz w:val="20"/>
      <w:szCs w:val="20"/>
    </w:rPr>
    <w:pPr>
      <w:numPr>
        <w:ilvl w:val="0"/>
        <w:numId w:val="0"/>
      </w:numPr>
      <w:spacing w:lineRule="auto" w:line="360" w:before="120"/>
      <w:widowControl w:val="off"/>
      <w:tabs>
        <w:tab w:val="left" w:pos="975" w:leader="none"/>
      </w:tabs>
    </w:pPr>
  </w:style>
  <w:style w:type="paragraph" w:styleId="1305" w:customStyle="1">
    <w:name w:val="Заголовок Шесть"/>
    <w:basedOn w:val="975"/>
    <w:semiHidden/>
    <w:rPr>
      <w:sz w:val="20"/>
      <w:szCs w:val="20"/>
    </w:rPr>
    <w:pPr>
      <w:numPr>
        <w:ilvl w:val="0"/>
        <w:numId w:val="0"/>
      </w:numPr>
      <w:keepNext/>
      <w:spacing w:lineRule="auto" w:line="360"/>
      <w:widowControl w:val="off"/>
    </w:pPr>
  </w:style>
  <w:style w:type="paragraph" w:styleId="1306" w:customStyle="1">
    <w:name w:val="заєe3ол"/>
    <w:basedOn w:val="969"/>
    <w:next w:val="969"/>
    <w:semiHidden/>
    <w:rPr>
      <w:rFonts w:ascii="Arial" w:hAnsi="Arial"/>
    </w:rPr>
    <w:pPr>
      <w:keepNext/>
      <w:spacing w:after="60" w:before="240"/>
    </w:pPr>
  </w:style>
  <w:style w:type="character" w:styleId="1307" w:customStyle="1">
    <w:name w:val="знак курсив"/>
    <w:semiHidden/>
    <w:rPr>
      <w:i/>
    </w:rPr>
  </w:style>
  <w:style w:type="paragraph" w:styleId="1308" w:customStyle="1">
    <w:name w:val="курсив полужирный"/>
    <w:basedOn w:val="969"/>
    <w:semiHidden/>
    <w:rPr>
      <w:b/>
      <w:bCs/>
      <w:i/>
    </w:rPr>
    <w:pPr>
      <w:spacing w:lineRule="atLeast" w:line="360"/>
      <w:widowControl w:val="off"/>
    </w:pPr>
  </w:style>
  <w:style w:type="paragraph" w:styleId="1309" w:customStyle="1">
    <w:name w:val="Название объектов"/>
    <w:basedOn w:val="1019"/>
    <w:semiHidden/>
    <w:rPr>
      <w:sz w:val="24"/>
    </w:rPr>
    <w:pPr>
      <w:jc w:val="center"/>
      <w:keepNext/>
      <w:spacing w:lineRule="atLeast" w:line="360"/>
      <w:widowControl w:val="off"/>
    </w:pPr>
  </w:style>
  <w:style w:type="paragraph" w:styleId="1310" w:customStyle="1">
    <w:name w:val="Наименование кодов"/>
    <w:basedOn w:val="969"/>
    <w:semiHidden/>
    <w:rPr>
      <w:spacing w:val="-6"/>
    </w:rPr>
    <w:pPr>
      <w:jc w:val="center"/>
      <w:spacing w:lineRule="atLeast" w:line="360"/>
      <w:shd w:val="clear" w:fill="FFFFFF" w:color="auto"/>
      <w:widowControl w:val="off"/>
    </w:pPr>
  </w:style>
  <w:style w:type="character" w:styleId="1311" w:customStyle="1">
    <w:name w:val="Наименование ПО"/>
    <w:semiHidden/>
    <w:rPr>
      <w:spacing w:val="-7"/>
      <w:sz w:val="32"/>
    </w:rPr>
  </w:style>
  <w:style w:type="character" w:styleId="1312" w:customStyle="1">
    <w:name w:val="Наименование продукта"/>
    <w:semiHidden/>
    <w:rPr>
      <w:b/>
      <w:bCs/>
      <w:spacing w:val="-7"/>
      <w:sz w:val="36"/>
    </w:rPr>
  </w:style>
  <w:style w:type="paragraph" w:styleId="1313" w:customStyle="1">
    <w:name w:val="Оглавление"/>
    <w:basedOn w:val="969"/>
    <w:semiHidden/>
    <w:pPr>
      <w:ind w:left="19" w:firstLine="521"/>
      <w:spacing w:lineRule="atLeast" w:line="360"/>
      <w:shd w:val="clear" w:fill="FFFFFF" w:color="auto"/>
      <w:widowControl w:val="off"/>
    </w:pPr>
  </w:style>
  <w:style w:type="character" w:styleId="1314" w:customStyle="1">
    <w:name w:val="Пенред таблицей"/>
    <w:semiHidden/>
    <w:rPr>
      <w:b/>
      <w:bCs/>
      <w:sz w:val="28"/>
    </w:rPr>
  </w:style>
  <w:style w:type="character" w:styleId="1315" w:customStyle="1">
    <w:name w:val="Перед таблицей не основной"/>
    <w:semiHidden/>
    <w:rPr>
      <w:b/>
      <w:bCs/>
      <w:sz w:val="28"/>
    </w:rPr>
  </w:style>
  <w:style w:type="paragraph" w:styleId="1316" w:customStyle="1">
    <w:name w:val="Перечисление"/>
    <w:basedOn w:val="969"/>
    <w:link w:val="1317"/>
    <w:semiHidden/>
    <w:rPr>
      <w:sz w:val="22"/>
      <w:szCs w:val="22"/>
      <w:lang w:val="en-US" w:eastAsia="en-US"/>
    </w:rPr>
    <w:pPr>
      <w:spacing w:after="40" w:before="80"/>
    </w:pPr>
  </w:style>
  <w:style w:type="character" w:styleId="1317" w:customStyle="1">
    <w:name w:val="Перечисление Знак"/>
    <w:link w:val="1316"/>
    <w:semiHidden/>
    <w:rPr>
      <w:sz w:val="24"/>
      <w:szCs w:val="22"/>
      <w:lang w:val="en-US" w:eastAsia="en-US"/>
    </w:rPr>
  </w:style>
  <w:style w:type="paragraph" w:styleId="1318" w:customStyle="1">
    <w:name w:val="Перечисление с номером"/>
    <w:basedOn w:val="1316"/>
    <w:semiHidden/>
    <w:rPr>
      <w:sz w:val="24"/>
      <w:szCs w:val="24"/>
      <w:lang w:eastAsia="ru-RU"/>
    </w:rPr>
    <w:pPr>
      <w:spacing w:before="0"/>
    </w:pPr>
  </w:style>
  <w:style w:type="paragraph" w:styleId="1319" w:customStyle="1">
    <w:name w:val="перечисление с номером вправо"/>
    <w:basedOn w:val="1318"/>
    <w:semiHidden/>
  </w:style>
  <w:style w:type="paragraph" w:styleId="1320" w:customStyle="1">
    <w:name w:val="Последовательность действий"/>
    <w:basedOn w:val="969"/>
    <w:semiHidden/>
    <w:pPr>
      <w:ind w:left="432" w:hanging="432"/>
      <w:spacing w:after="60" w:before="60"/>
      <w:tabs>
        <w:tab w:val="left" w:pos="284" w:leader="none"/>
        <w:tab w:val="num" w:pos="432" w:leader="none"/>
      </w:tabs>
    </w:pPr>
  </w:style>
  <w:style w:type="paragraph" w:styleId="1321" w:customStyle="1">
    <w:name w:val="приложение"/>
    <w:semiHidden/>
    <w:rPr>
      <w:rFonts w:ascii="Arial" w:hAnsi="Arial"/>
      <w:b/>
      <w:bCs/>
      <w:sz w:val="32"/>
    </w:rPr>
    <w:pPr>
      <w:pageBreakBefore/>
      <w:spacing w:after="120" w:before="120"/>
      <w:outlineLvl w:val="0"/>
    </w:pPr>
  </w:style>
  <w:style w:type="paragraph" w:styleId="1322" w:customStyle="1">
    <w:name w:val="Приложение2"/>
    <w:basedOn w:val="969"/>
    <w:next w:val="969"/>
    <w:semiHidden/>
    <w:rPr>
      <w:b/>
      <w:sz w:val="28"/>
      <w:lang w:val="en-US" w:eastAsia="en-US"/>
    </w:rPr>
    <w:pPr>
      <w:ind w:left="900" w:hanging="360"/>
      <w:pageBreakBefore/>
      <w:shd w:val="pct12" w:fill="FFFFFF" w:color="auto"/>
      <w:widowControl w:val="off"/>
      <w:tabs>
        <w:tab w:val="num" w:pos="900" w:leader="none"/>
        <w:tab w:val="left" w:pos="1418" w:leader="none"/>
      </w:tabs>
      <w:pBdr>
        <w:bottom w:val="single" w:sz="18" w:space="1" w:color="auto"/>
      </w:pBdr>
    </w:pPr>
  </w:style>
  <w:style w:type="paragraph" w:styleId="1323" w:customStyle="1">
    <w:name w:val="Приложение291"/>
    <w:basedOn w:val="969"/>
    <w:next w:val="969"/>
    <w:semiHidden/>
    <w:rPr>
      <w:b/>
      <w:sz w:val="28"/>
      <w:lang w:val="en-US" w:eastAsia="en-US"/>
    </w:rPr>
    <w:pPr>
      <w:ind w:left="283" w:hanging="283"/>
      <w:pageBreakBefore/>
      <w:shd w:val="pct12" w:fill="FFFFFF" w:color="auto"/>
      <w:widowControl w:val="off"/>
      <w:tabs>
        <w:tab w:val="left" w:pos="1418" w:leader="none"/>
      </w:tabs>
      <w:pBdr>
        <w:bottom w:val="single" w:sz="18" w:space="1" w:color="auto"/>
      </w:pBdr>
    </w:pPr>
  </w:style>
  <w:style w:type="paragraph" w:styleId="1324" w:customStyle="1">
    <w:name w:val="ПРИМЕЧАНИЕ"/>
    <w:basedOn w:val="969"/>
    <w:semiHidden/>
    <w:pPr>
      <w:ind w:left="1416"/>
      <w:spacing w:lineRule="auto" w:line="360" w:after="120" w:before="120"/>
    </w:pPr>
  </w:style>
  <w:style w:type="paragraph" w:styleId="1325" w:customStyle="1">
    <w:name w:val="СОДЕРЖАНИЕ"/>
    <w:basedOn w:val="969"/>
    <w:semiHidden/>
    <w:pPr>
      <w:ind w:left="19" w:firstLine="521"/>
      <w:spacing w:lineRule="atLeast" w:line="360"/>
      <w:shd w:val="clear" w:fill="FFFFFF" w:color="auto"/>
      <w:widowControl w:val="off"/>
    </w:pPr>
  </w:style>
  <w:style w:type="paragraph" w:styleId="1326" w:customStyle="1">
    <w:name w:val="Содержание"/>
    <w:basedOn w:val="969"/>
    <w:next w:val="969"/>
    <w:semiHidden/>
    <w:rPr>
      <w:b/>
      <w:sz w:val="40"/>
      <w:lang w:eastAsia="en-US"/>
    </w:rPr>
    <w:pPr>
      <w:jc w:val="center"/>
      <w:pageBreakBefore/>
      <w:spacing w:after="240" w:before="240"/>
      <w:widowControl w:val="off"/>
    </w:pPr>
  </w:style>
  <w:style w:type="paragraph" w:styleId="1327" w:customStyle="1">
    <w:name w:val="Содержание содержания"/>
    <w:basedOn w:val="969"/>
    <w:semiHidden/>
    <w:pPr>
      <w:ind w:left="19" w:firstLine="521"/>
      <w:spacing w:lineRule="atLeast" w:line="360"/>
      <w:shd w:val="clear" w:fill="FFFFFF" w:color="auto"/>
      <w:widowControl w:val="off"/>
    </w:pPr>
  </w:style>
  <w:style w:type="paragraph" w:styleId="1328" w:customStyle="1">
    <w:name w:val="Стиль 10 пт полужирный По центру Междустр.интервал:  минимум 18 ..."/>
    <w:basedOn w:val="969"/>
    <w:semiHidden/>
    <w:rPr>
      <w:b/>
      <w:bCs/>
    </w:rPr>
    <w:pPr>
      <w:jc w:val="center"/>
      <w:spacing w:lineRule="atLeast" w:line="360"/>
    </w:pPr>
  </w:style>
  <w:style w:type="paragraph" w:styleId="1329" w:customStyle="1">
    <w:name w:val="Стиль Заголовок 1 + 12 пт"/>
    <w:basedOn w:val="970"/>
    <w:semiHidden/>
    <w:rPr>
      <w:rFonts w:cs="Arial"/>
      <w:caps w:val="false"/>
      <w:sz w:val="28"/>
      <w:lang w:val="en-US" w:eastAsia="en-US"/>
    </w:rPr>
    <w:pPr>
      <w:numPr>
        <w:numId w:val="0"/>
      </w:numPr>
      <w:jc w:val="left"/>
      <w:keepLines/>
    </w:pPr>
  </w:style>
  <w:style w:type="paragraph" w:styleId="1330" w:customStyle="1">
    <w:name w:val="Стиль Заголовок 1 + 16 пт малые прописные"/>
    <w:basedOn w:val="970"/>
    <w:semiHidden/>
    <w:rPr>
      <w:rFonts w:ascii="Arial" w:hAnsi="Arial"/>
      <w:caps w:val="false"/>
      <w:smallCaps/>
      <w:sz w:val="20"/>
      <w:szCs w:val="20"/>
      <w:lang w:val="en-US" w:eastAsia="en-US"/>
    </w:rPr>
    <w:pPr>
      <w:numPr>
        <w:numId w:val="0"/>
      </w:numPr>
      <w:ind w:left="360" w:hanging="360"/>
      <w:jc w:val="left"/>
      <w:keepLines/>
      <w:keepNext w:val="false"/>
      <w:spacing w:after="240" w:before="360"/>
      <w:widowControl w:val="off"/>
      <w:tabs>
        <w:tab w:val="num" w:pos="360" w:leader="none"/>
      </w:tabs>
      <w:pBdr>
        <w:bottom w:val="single" w:sz="24" w:space="4" w:color="auto"/>
      </w:pBdr>
      <w:suppressLineNumbers/>
    </w:pPr>
  </w:style>
  <w:style w:type="paragraph" w:styleId="1331" w:customStyle="1">
    <w:name w:val="Стиль Заголовок 1 + Перед:  5 пт Междустр.интервал:  полуторный"/>
    <w:basedOn w:val="970"/>
    <w:semiHidden/>
    <w:rPr>
      <w:rFonts w:ascii="Arial" w:hAnsi="Arial"/>
      <w:caps w:val="false"/>
      <w:sz w:val="20"/>
      <w:szCs w:val="20"/>
    </w:rPr>
    <w:pPr>
      <w:numPr>
        <w:numId w:val="0"/>
      </w:numPr>
      <w:jc w:val="left"/>
      <w:keepLines/>
      <w:spacing w:lineRule="auto" w:line="360" w:before="100"/>
      <w:widowControl w:val="off"/>
    </w:pPr>
  </w:style>
  <w:style w:type="paragraph" w:styleId="1332" w:customStyle="1">
    <w:name w:val="Стиль Заголовок 2"/>
    <w:basedOn w:val="971"/>
    <w:semiHidden/>
    <w:rPr>
      <w:rFonts w:cs="Times New Roman"/>
      <w:bCs w:val="false"/>
      <w:i/>
      <w:sz w:val="28"/>
      <w:lang w:val="en-US" w:eastAsia="en-US"/>
    </w:rPr>
    <w:pPr>
      <w:numPr>
        <w:numId w:val="12"/>
      </w:numPr>
      <w:ind w:left="0" w:firstLine="0"/>
      <w:keepLines/>
      <w:tabs>
        <w:tab w:val="num" w:pos="360" w:leader="none"/>
        <w:tab w:val="left" w:pos="907" w:leader="none"/>
        <w:tab w:val="clear" w:pos="1116" w:leader="none"/>
      </w:tabs>
    </w:pPr>
  </w:style>
  <w:style w:type="paragraph" w:styleId="1333" w:customStyle="1">
    <w:name w:val="Стиль Заголовок 3 + 12 пт"/>
    <w:basedOn w:val="972"/>
    <w:semiHidden/>
    <w:rPr>
      <w:rFonts w:ascii="Arial" w:hAnsi="Arial" w:cs="Times New Roman"/>
      <w:i/>
      <w:lang w:val="en-US" w:eastAsia="en-US"/>
    </w:rPr>
    <w:pPr>
      <w:numPr>
        <w:ilvl w:val="0"/>
        <w:numId w:val="0"/>
      </w:numPr>
      <w:ind w:left="720" w:hanging="720"/>
      <w:spacing w:after="60"/>
      <w:tabs>
        <w:tab w:val="num" w:pos="720" w:leader="none"/>
      </w:tabs>
    </w:pPr>
  </w:style>
  <w:style w:type="paragraph" w:styleId="1334" w:customStyle="1">
    <w:name w:val="Стиль Заголовок Один + Слева:  0 см Первая строка:  0 см"/>
    <w:basedOn w:val="1301"/>
    <w:semiHidden/>
    <w:pPr>
      <w:ind w:left="0" w:firstLine="0"/>
      <w:tabs>
        <w:tab w:val="clear" w:pos="643" w:leader="none"/>
      </w:tabs>
    </w:pPr>
  </w:style>
  <w:style w:type="numbering" w:styleId="1335" w:customStyle="1">
    <w:name w:val="Стиль многоуровневый 11 пт"/>
    <w:basedOn w:val="981"/>
    <w:semiHidden/>
    <w:pPr>
      <w:numPr>
        <w:numId w:val="11"/>
      </w:numPr>
    </w:pPr>
  </w:style>
  <w:style w:type="paragraph" w:styleId="1336" w:customStyle="1">
    <w:name w:val="Стиль Название объекта"/>
    <w:basedOn w:val="969"/>
    <w:semiHidden/>
    <w:rPr>
      <w:lang w:val="en-US" w:eastAsia="en-US"/>
    </w:rPr>
    <w:pPr>
      <w:keepNext/>
    </w:pPr>
  </w:style>
  <w:style w:type="paragraph" w:styleId="1337" w:customStyle="1">
    <w:name w:val="Стиль Название объекта + Красный По центру"/>
    <w:basedOn w:val="969"/>
    <w:semiHidden/>
    <w:rPr>
      <w:color w:val="FF0000"/>
      <w:lang w:val="en-US" w:eastAsia="en-US"/>
    </w:rPr>
    <w:pPr>
      <w:jc w:val="center"/>
    </w:pPr>
  </w:style>
  <w:style w:type="paragraph" w:styleId="1338" w:customStyle="1">
    <w:name w:val="Стиль Название объекта + По левому краю"/>
    <w:basedOn w:val="969"/>
    <w:semiHidden/>
    <w:rPr>
      <w:lang w:val="en-US" w:eastAsia="en-US"/>
    </w:rPr>
  </w:style>
  <w:style w:type="paragraph" w:styleId="1339" w:customStyle="1">
    <w:name w:val="Стиль Название объекта + По центру"/>
    <w:basedOn w:val="969"/>
    <w:semiHidden/>
    <w:rPr>
      <w:lang w:val="en-US" w:eastAsia="en-US"/>
    </w:rPr>
    <w:pPr>
      <w:jc w:val="center"/>
    </w:pPr>
  </w:style>
  <w:style w:type="paragraph" w:styleId="1340" w:customStyle="1">
    <w:name w:val="Стиль Нумерованный список 2 + Междустр.интервал:  одинарный"/>
    <w:basedOn w:val="969"/>
    <w:semiHidden/>
    <w:rPr>
      <w:b/>
      <w:bCs/>
      <w:i/>
      <w:iCs/>
      <w:lang w:val="en-US" w:eastAsia="en-US"/>
    </w:rPr>
    <w:pPr>
      <w:ind w:left="360" w:hanging="360"/>
      <w:tabs>
        <w:tab w:val="num" w:pos="360" w:leader="none"/>
      </w:tabs>
    </w:pPr>
  </w:style>
  <w:style w:type="paragraph" w:styleId="1341" w:customStyle="1">
    <w:name w:val="Стиль Нумерованный список 2 + не полужирный не курсив Междустр.ин..."/>
    <w:basedOn w:val="969"/>
    <w:semiHidden/>
    <w:rPr>
      <w:b/>
      <w:i/>
      <w:lang w:val="en-US" w:eastAsia="en-US"/>
    </w:rPr>
    <w:pPr>
      <w:ind w:left="360" w:hanging="360"/>
      <w:tabs>
        <w:tab w:val="num" w:pos="360" w:leader="none"/>
      </w:tabs>
    </w:pPr>
  </w:style>
  <w:style w:type="paragraph" w:styleId="1342" w:customStyle="1">
    <w:name w:val="Стиль По центру"/>
    <w:basedOn w:val="969"/>
    <w:semiHidden/>
    <w:rPr>
      <w:lang w:val="en-US" w:eastAsia="en-US"/>
    </w:rPr>
    <w:pPr>
      <w:jc w:val="center"/>
    </w:pPr>
  </w:style>
  <w:style w:type="paragraph" w:styleId="1343" w:customStyle="1">
    <w:name w:val="Стиль Стиль Заголовок 2 + полужирный"/>
    <w:basedOn w:val="1332"/>
    <w:semiHidden/>
    <w:rPr>
      <w:b w:val="false"/>
      <w:bCs/>
      <w:iCs w:val="false"/>
    </w:rPr>
    <w:pPr>
      <w:numPr>
        <w:ilvl w:val="0"/>
        <w:numId w:val="0"/>
      </w:numPr>
    </w:pPr>
  </w:style>
  <w:style w:type="paragraph" w:styleId="1344" w:customStyle="1">
    <w:name w:val="Стиль Стиль Заголовок 3 + 12 пт + По ширине Перед:  6 пт После:  ..."/>
    <w:basedOn w:val="1333"/>
    <w:semiHidden/>
    <w:rPr>
      <w:i w:val="false"/>
      <w:sz w:val="20"/>
      <w:szCs w:val="20"/>
    </w:rPr>
    <w:pPr>
      <w:jc w:val="both"/>
      <w:spacing w:after="120" w:before="120"/>
    </w:pPr>
  </w:style>
  <w:style w:type="paragraph" w:styleId="1345" w:customStyle="1">
    <w:name w:val="Стиль11"/>
    <w:basedOn w:val="969"/>
    <w:semiHidden/>
    <w:rPr>
      <w:lang w:val="en-US" w:eastAsia="en-US"/>
    </w:rPr>
    <w:pPr>
      <w:ind w:left="1492" w:hanging="360"/>
      <w:spacing w:lineRule="auto" w:line="360"/>
      <w:tabs>
        <w:tab w:val="num" w:pos="1492" w:leader="none"/>
      </w:tabs>
    </w:pPr>
  </w:style>
  <w:style w:type="paragraph" w:styleId="1346" w:customStyle="1">
    <w:name w:val="Стиль12"/>
    <w:basedOn w:val="969"/>
    <w:semiHidden/>
    <w:rPr>
      <w:lang w:val="en-US" w:eastAsia="en-US"/>
    </w:rPr>
    <w:pPr>
      <w:ind w:left="360" w:hanging="360"/>
      <w:spacing w:lineRule="auto" w:line="360"/>
      <w:tabs>
        <w:tab w:val="num" w:pos="360" w:leader="none"/>
      </w:tabs>
    </w:pPr>
  </w:style>
  <w:style w:type="paragraph" w:styleId="1347" w:customStyle="1">
    <w:name w:val="Стиль13"/>
    <w:basedOn w:val="969"/>
    <w:semiHidden/>
    <w:rPr>
      <w:lang w:val="en-US" w:eastAsia="en-US"/>
    </w:rPr>
    <w:pPr>
      <w:ind w:left="360" w:hanging="360"/>
      <w:spacing w:lineRule="auto" w:line="360"/>
      <w:tabs>
        <w:tab w:val="num" w:pos="360" w:leader="none"/>
      </w:tabs>
    </w:pPr>
  </w:style>
  <w:style w:type="paragraph" w:styleId="1348" w:customStyle="1">
    <w:name w:val="Стиль14"/>
    <w:basedOn w:val="969"/>
    <w:semiHidden/>
    <w:rPr>
      <w:lang w:val="en-US" w:eastAsia="en-US"/>
    </w:rPr>
    <w:pPr>
      <w:ind w:left="360" w:hanging="360"/>
      <w:spacing w:lineRule="auto" w:line="360"/>
      <w:tabs>
        <w:tab w:val="num" w:pos="360" w:leader="none"/>
      </w:tabs>
    </w:pPr>
  </w:style>
  <w:style w:type="paragraph" w:styleId="1349" w:customStyle="1">
    <w:name w:val="Стиль15"/>
    <w:basedOn w:val="969"/>
    <w:semiHidden/>
    <w:rPr>
      <w:lang w:val="en-US" w:eastAsia="en-US"/>
    </w:rPr>
    <w:pPr>
      <w:ind w:left="360" w:hanging="360"/>
      <w:spacing w:lineRule="auto" w:line="360"/>
      <w:tabs>
        <w:tab w:val="num" w:pos="360" w:leader="none"/>
      </w:tabs>
    </w:pPr>
  </w:style>
  <w:style w:type="paragraph" w:styleId="1350" w:customStyle="1">
    <w:name w:val="Стиль16"/>
    <w:basedOn w:val="969"/>
    <w:semiHidden/>
    <w:rPr>
      <w:lang w:val="en-US" w:eastAsia="en-US"/>
    </w:rPr>
    <w:pPr>
      <w:ind w:left="360" w:hanging="360"/>
      <w:spacing w:lineRule="auto" w:line="360"/>
      <w:tabs>
        <w:tab w:val="num" w:pos="360" w:leader="none"/>
      </w:tabs>
    </w:pPr>
  </w:style>
  <w:style w:type="paragraph" w:styleId="1351" w:customStyle="1">
    <w:name w:val="Стиль2"/>
    <w:basedOn w:val="969"/>
    <w:semiHidden/>
    <w:rPr>
      <w:rFonts w:ascii="Arial" w:hAnsi="Arial"/>
      <w:b/>
      <w:sz w:val="28"/>
      <w:lang w:val="en-US" w:eastAsia="en-US"/>
    </w:rPr>
    <w:pPr>
      <w:ind w:firstLine="425"/>
      <w:keepNext/>
      <w:spacing w:lineRule="auto" w:line="360" w:after="60" w:before="240"/>
      <w:widowControl w:val="off"/>
      <w:tabs>
        <w:tab w:val="left" w:pos="360" w:leader="none"/>
        <w:tab w:val="left" w:pos="1985" w:leader="none"/>
        <w:tab w:val="left" w:pos="2127" w:leader="none"/>
      </w:tabs>
    </w:pPr>
  </w:style>
  <w:style w:type="paragraph" w:styleId="1352" w:customStyle="1">
    <w:name w:val="Стиль3"/>
    <w:basedOn w:val="969"/>
    <w:semiHidden/>
    <w:rPr>
      <w:rFonts w:ascii="Arial" w:hAnsi="Arial"/>
      <w:b/>
      <w:sz w:val="28"/>
      <w:lang w:val="en-US" w:eastAsia="en-US"/>
    </w:rPr>
    <w:pPr>
      <w:numPr>
        <w:numId w:val="13"/>
      </w:numPr>
      <w:ind w:left="0" w:firstLine="0"/>
      <w:keepNext/>
      <w:spacing w:lineRule="auto" w:line="360" w:after="60" w:before="240"/>
      <w:widowControl w:val="off"/>
      <w:tabs>
        <w:tab w:val="left" w:pos="1985" w:leader="none"/>
        <w:tab w:val="left" w:pos="2127" w:leader="none"/>
      </w:tabs>
    </w:pPr>
  </w:style>
  <w:style w:type="paragraph" w:styleId="1353" w:customStyle="1">
    <w:name w:val="Стиль37"/>
    <w:basedOn w:val="969"/>
    <w:semiHidden/>
    <w:rPr>
      <w:rFonts w:ascii="Arial" w:hAnsi="Arial"/>
      <w:b/>
      <w:sz w:val="28"/>
      <w:lang w:val="en-US" w:eastAsia="en-US"/>
    </w:rPr>
    <w:pPr>
      <w:ind w:firstLine="425"/>
      <w:keepNext/>
      <w:spacing w:lineRule="auto" w:line="360" w:after="60" w:before="240"/>
      <w:widowControl w:val="off"/>
      <w:tabs>
        <w:tab w:val="left" w:pos="360" w:leader="none"/>
        <w:tab w:val="left" w:pos="1985" w:leader="none"/>
        <w:tab w:val="left" w:pos="2127" w:leader="none"/>
      </w:tabs>
    </w:pPr>
  </w:style>
  <w:style w:type="paragraph" w:styleId="1354" w:customStyle="1">
    <w:name w:val="Стиль4"/>
    <w:basedOn w:val="970"/>
    <w:semiHidden/>
    <w:rPr>
      <w:rFonts w:ascii="Arial" w:hAnsi="Arial"/>
      <w:bCs/>
      <w:caps w:val="false"/>
      <w:sz w:val="28"/>
      <w:szCs w:val="20"/>
      <w:lang w:val="en-US" w:eastAsia="en-US"/>
    </w:rPr>
    <w:pPr>
      <w:numPr>
        <w:numId w:val="0"/>
      </w:numPr>
      <w:jc w:val="left"/>
      <w:keepLines/>
      <w:spacing w:lineRule="auto" w:line="360"/>
    </w:pPr>
  </w:style>
  <w:style w:type="paragraph" w:styleId="1355" w:customStyle="1">
    <w:name w:val="Табличка"/>
    <w:basedOn w:val="969"/>
    <w:semiHidden/>
    <w:rPr>
      <w:b/>
      <w:iCs/>
    </w:rPr>
    <w:pPr>
      <w:jc w:val="center"/>
      <w:spacing w:lineRule="auto" w:line="360"/>
      <w:widowControl w:val="off"/>
    </w:pPr>
  </w:style>
  <w:style w:type="paragraph" w:styleId="1356" w:customStyle="1">
    <w:name w:val="ТИтульный лист"/>
    <w:basedOn w:val="969"/>
    <w:semiHidden/>
    <w:rPr>
      <w:sz w:val="32"/>
    </w:rPr>
    <w:pPr>
      <w:ind w:left="998"/>
      <w:jc w:val="center"/>
      <w:spacing w:lineRule="auto" w:line="360" w:before="1718"/>
      <w:shd w:val="clear" w:fill="FFFFFF" w:color="auto"/>
      <w:widowControl w:val="off"/>
    </w:pPr>
  </w:style>
  <w:style w:type="character" w:styleId="1357" w:customStyle="1">
    <w:name w:val="Черта"/>
    <w:semiHidden/>
    <w:rPr>
      <w:spacing w:val="-13"/>
    </w:rPr>
  </w:style>
  <w:style w:type="paragraph" w:styleId="1358" w:customStyle="1">
    <w:name w:val="Черта1"/>
    <w:basedOn w:val="969"/>
    <w:semiHidden/>
    <w:pPr>
      <w:jc w:val="right"/>
      <w:spacing w:lineRule="atLeast" w:line="360"/>
      <w:widowControl w:val="off"/>
    </w:pPr>
  </w:style>
  <w:style w:type="paragraph" w:styleId="1359" w:customStyle="1">
    <w:name w:val="Шапка таблицы"/>
    <w:basedOn w:val="969"/>
    <w:semiHidden/>
    <w:rPr>
      <w:b/>
      <w:iCs/>
    </w:rPr>
    <w:pPr>
      <w:jc w:val="center"/>
      <w:spacing w:lineRule="auto" w:line="360"/>
      <w:widowControl w:val="off"/>
    </w:pPr>
  </w:style>
  <w:style w:type="paragraph" w:styleId="1360" w:customStyle="1">
    <w:name w:val="Заголовок 21"/>
    <w:basedOn w:val="1180"/>
    <w:next w:val="1180"/>
    <w:semiHidden/>
    <w:rPr>
      <w:b w:val="false"/>
      <w:i/>
      <w:sz w:val="24"/>
    </w:rPr>
    <w:pPr>
      <w:numPr>
        <w:numId w:val="0"/>
      </w:numPr>
      <w:ind w:left="720" w:hanging="360"/>
      <w:keepNext/>
      <w:spacing w:after="60" w:before="240"/>
      <w:tabs>
        <w:tab w:val="num" w:pos="720" w:leader="none"/>
      </w:tabs>
    </w:pPr>
  </w:style>
  <w:style w:type="paragraph" w:styleId="1361" w:customStyle="1">
    <w:name w:val="OTR_List_lit"/>
    <w:basedOn w:val="969"/>
    <w:pPr>
      <w:numPr>
        <w:numId w:val="14"/>
      </w:numPr>
      <w:jc w:val="left"/>
      <w:keepNext/>
      <w:spacing w:after="120" w:before="120"/>
    </w:pPr>
  </w:style>
  <w:style w:type="paragraph" w:styleId="1362" w:customStyle="1">
    <w:name w:val="OTR_Contents"/>
    <w:basedOn w:val="969"/>
    <w:semiHidden/>
    <w:rPr>
      <w:b/>
      <w:sz w:val="28"/>
      <w:szCs w:val="32"/>
    </w:rPr>
    <w:pPr>
      <w:ind w:firstLine="0"/>
      <w:jc w:val="center"/>
      <w:keepNext/>
      <w:pageBreakBefore/>
      <w:spacing w:after="240" w:before="120"/>
    </w:pPr>
  </w:style>
  <w:style w:type="character" w:styleId="1363" w:customStyle="1">
    <w:name w:val="OTR_Sym_Italic"/>
    <w:rPr>
      <w:i/>
    </w:rPr>
  </w:style>
  <w:style w:type="paragraph" w:styleId="1364" w:customStyle="1">
    <w:name w:val="Стиль _ASFK_Table_norm + Слева:  01 см Справа:  01 см"/>
    <w:basedOn w:val="1005"/>
    <w:next w:val="1005"/>
    <w:pPr>
      <w:ind w:left="57" w:right="57"/>
    </w:pPr>
  </w:style>
  <w:style w:type="character" w:styleId="1365" w:customStyle="1">
    <w:name w:val="_ASFK_List_mark2 Знак"/>
    <w:link w:val="986"/>
    <w:rPr>
      <w:sz w:val="24"/>
    </w:rPr>
  </w:style>
  <w:style w:type="paragraph" w:styleId="1366" w:customStyle="1">
    <w:name w:val="Знак Знак Знак1 Знак"/>
    <w:basedOn w:val="969"/>
    <w:next w:val="969"/>
    <w:semiHidden/>
    <w:rPr>
      <w:rFonts w:ascii="Arial" w:hAnsi="Arial" w:cs="Arial"/>
      <w:sz w:val="20"/>
      <w:lang w:val="en-US" w:eastAsia="en-US"/>
    </w:rPr>
    <w:pPr>
      <w:ind w:firstLine="0"/>
      <w:jc w:val="left"/>
      <w:spacing w:lineRule="exact" w:line="240" w:after="160"/>
    </w:pPr>
  </w:style>
  <w:style w:type="character" w:styleId="1367" w:customStyle="1">
    <w:name w:val="_ASFK_Table_List_Num Знак"/>
    <w:link w:val="1008"/>
    <w:rPr>
      <w:sz w:val="22"/>
      <w:szCs w:val="22"/>
    </w:rPr>
  </w:style>
  <w:style w:type="character" w:styleId="1368" w:customStyle="1">
    <w:name w:val="Заголовок 2 Знак Знак Знак Знак Знак Знак Знак Знак Знак Знак"/>
    <w:semiHidden/>
    <w:rPr>
      <w:rFonts w:ascii="Arial" w:hAnsi="Arial"/>
      <w:b/>
      <w:i/>
      <w:sz w:val="24"/>
      <w:lang w:val="ru-RU" w:bidi="ar-SA" w:eastAsia="ru-RU"/>
    </w:rPr>
  </w:style>
  <w:style w:type="paragraph" w:styleId="1369" w:customStyle="1">
    <w:name w:val="Название рисунка"/>
    <w:basedOn w:val="969"/>
    <w:next w:val="969"/>
    <w:link w:val="1370"/>
    <w:semiHidden/>
    <w:rPr>
      <w:b/>
      <w:lang w:val="en-US" w:eastAsia="en-US"/>
    </w:rPr>
    <w:pPr>
      <w:numPr>
        <w:numId w:val="15"/>
      </w:numPr>
      <w:ind w:left="0"/>
      <w:jc w:val="center"/>
      <w:spacing w:after="120" w:before="120"/>
      <w:tabs>
        <w:tab w:val="num" w:pos="360" w:leader="none"/>
        <w:tab w:val="clear" w:pos="6159" w:leader="none"/>
      </w:tabs>
    </w:pPr>
  </w:style>
  <w:style w:type="character" w:styleId="1370" w:customStyle="1">
    <w:name w:val="Название рисунка Знак"/>
    <w:link w:val="1369"/>
    <w:semiHidden/>
    <w:rPr>
      <w:b/>
      <w:sz w:val="24"/>
      <w:lang w:val="en-US" w:eastAsia="en-US"/>
    </w:rPr>
  </w:style>
  <w:style w:type="character" w:styleId="1371" w:customStyle="1">
    <w:name w:val="Нумерованный список 2 Знак"/>
    <w:semiHidden/>
    <w:rPr>
      <w:b/>
      <w:i/>
      <w:sz w:val="24"/>
      <w:lang w:val="ru-RU" w:bidi="ar-SA" w:eastAsia="ru-RU"/>
    </w:rPr>
  </w:style>
  <w:style w:type="character" w:styleId="1372" w:customStyle="1">
    <w:name w:val="_ASFK_List_mark3 Знак Знак"/>
    <w:link w:val="987"/>
    <w:rPr>
      <w:sz w:val="24"/>
    </w:rPr>
  </w:style>
  <w:style w:type="character" w:styleId="1373" w:customStyle="1">
    <w:name w:val="_ASFK_Normal_Without Знак Знак"/>
    <w:link w:val="995"/>
    <w:rPr>
      <w:sz w:val="24"/>
    </w:rPr>
  </w:style>
  <w:style w:type="paragraph" w:styleId="1374" w:customStyle="1">
    <w:name w:val="Знак"/>
    <w:basedOn w:val="969"/>
    <w:next w:val="969"/>
    <w:semiHidden/>
    <w:rPr>
      <w:rFonts w:ascii="Arial" w:hAnsi="Arial" w:cs="Arial"/>
      <w:sz w:val="20"/>
      <w:lang w:val="en-US" w:eastAsia="en-US"/>
    </w:rPr>
    <w:pPr>
      <w:contextualSpacing w:val="true"/>
      <w:ind w:firstLine="0"/>
      <w:jc w:val="left"/>
      <w:spacing w:lineRule="exact" w:line="240" w:after="160" w:before="120"/>
    </w:pPr>
  </w:style>
  <w:style w:type="character" w:styleId="1375" w:customStyle="1">
    <w:name w:val="Заголовок 2 Знак"/>
    <w:link w:val="971"/>
    <w:rPr>
      <w:rFonts w:cs="Arial"/>
      <w:b/>
      <w:bCs/>
      <w:iCs/>
      <w:sz w:val="32"/>
      <w:szCs w:val="32"/>
    </w:rPr>
  </w:style>
  <w:style w:type="character" w:styleId="1376" w:customStyle="1">
    <w:name w:val="_ASFK_List_normal Знак"/>
    <w:link w:val="1159"/>
    <w:rPr>
      <w:sz w:val="24"/>
    </w:rPr>
  </w:style>
  <w:style w:type="paragraph" w:styleId="1377" w:customStyle="1">
    <w:name w:val="Абзац"/>
    <w:basedOn w:val="969"/>
    <w:link w:val="1379"/>
    <w:semiHidden/>
    <w:pPr>
      <w:spacing w:lineRule="auto" w:line="360" w:after="120" w:before="120"/>
    </w:pPr>
  </w:style>
  <w:style w:type="paragraph" w:styleId="1378" w:customStyle="1">
    <w:name w:val="Абзац двоеточие"/>
    <w:basedOn w:val="1377"/>
    <w:link w:val="1380"/>
    <w:semiHidden/>
    <w:pPr>
      <w:keepNext/>
      <w:spacing w:lineRule="auto" w:line="240" w:before="60"/>
    </w:pPr>
  </w:style>
  <w:style w:type="character" w:styleId="1379" w:customStyle="1">
    <w:name w:val="Абзац Знак"/>
    <w:link w:val="1377"/>
    <w:semiHidden/>
    <w:rPr>
      <w:sz w:val="24"/>
    </w:rPr>
  </w:style>
  <w:style w:type="character" w:styleId="1380" w:customStyle="1">
    <w:name w:val="Абзац двоеточие Знак"/>
    <w:link w:val="1378"/>
    <w:semiHidden/>
    <w:rPr>
      <w:sz w:val="24"/>
    </w:rPr>
  </w:style>
  <w:style w:type="paragraph" w:styleId="1381" w:customStyle="1">
    <w:name w:val="В таблице"/>
    <w:basedOn w:val="969"/>
    <w:link w:val="1382"/>
    <w:semiHidden/>
    <w:pPr>
      <w:spacing w:lineRule="atLeast" w:line="240"/>
      <w:widowControl w:val="off"/>
    </w:pPr>
  </w:style>
  <w:style w:type="character" w:styleId="1382" w:customStyle="1">
    <w:name w:val="В таблице Знак"/>
    <w:link w:val="1381"/>
    <w:semiHidden/>
    <w:rPr>
      <w:sz w:val="24"/>
    </w:rPr>
  </w:style>
  <w:style w:type="character" w:styleId="1383" w:customStyle="1">
    <w:name w:val="Заголовок 1 Знак"/>
    <w:link w:val="970"/>
    <w:rPr>
      <w:b/>
      <w:caps/>
      <w:sz w:val="32"/>
      <w:szCs w:val="36"/>
    </w:rPr>
  </w:style>
  <w:style w:type="character" w:styleId="1384" w:customStyle="1">
    <w:name w:val="Заголовок 3 Знак Знак Знак1"/>
    <w:semiHidden/>
    <w:rPr>
      <w:rFonts w:ascii="Arial" w:hAnsi="Arial"/>
      <w:b/>
      <w:sz w:val="22"/>
      <w:lang w:val="ru-RU" w:bidi="ar-SA" w:eastAsia="ru-RU"/>
    </w:rPr>
  </w:style>
  <w:style w:type="paragraph" w:styleId="1385" w:customStyle="1">
    <w:name w:val="Текст в таблице"/>
    <w:basedOn w:val="969"/>
    <w:link w:val="1386"/>
    <w:semiHidden/>
  </w:style>
  <w:style w:type="character" w:styleId="1386" w:customStyle="1">
    <w:name w:val="Текст в таблице Знак"/>
    <w:link w:val="1385"/>
    <w:semiHidden/>
    <w:rPr>
      <w:sz w:val="24"/>
    </w:rPr>
  </w:style>
  <w:style w:type="paragraph" w:styleId="1387">
    <w:name w:val="No Spacing"/>
    <w:qFormat/>
    <w:uiPriority w:val="1"/>
    <w:rPr>
      <w:rFonts w:ascii="Calibri" w:hAnsi="Calibri" w:eastAsia="Calibri"/>
      <w:sz w:val="22"/>
      <w:szCs w:val="22"/>
      <w:lang w:eastAsia="en-US"/>
    </w:rPr>
  </w:style>
  <w:style w:type="paragraph" w:styleId="1388">
    <w:name w:val="List Paragraph"/>
    <w:basedOn w:val="969"/>
    <w:qFormat/>
    <w:uiPriority w:val="34"/>
    <w:pPr>
      <w:contextualSpacing w:val="true"/>
      <w:ind w:left="720"/>
    </w:pPr>
  </w:style>
  <w:style w:type="paragraph" w:styleId="1389">
    <w:name w:val="Quote"/>
    <w:basedOn w:val="969"/>
    <w:next w:val="969"/>
    <w:link w:val="1390"/>
    <w:qFormat/>
    <w:uiPriority w:val="29"/>
    <w:rPr>
      <w:i/>
      <w:iCs/>
      <w:color w:val="000000"/>
    </w:rPr>
  </w:style>
  <w:style w:type="character" w:styleId="1390" w:customStyle="1">
    <w:name w:val="Цитата 2 Знак"/>
    <w:link w:val="1389"/>
    <w:uiPriority w:val="29"/>
    <w:rPr>
      <w:i/>
      <w:iCs/>
      <w:color w:val="000000"/>
      <w:sz w:val="24"/>
    </w:rPr>
  </w:style>
  <w:style w:type="paragraph" w:styleId="1391">
    <w:name w:val="Intense Quote"/>
    <w:basedOn w:val="969"/>
    <w:next w:val="969"/>
    <w:link w:val="1392"/>
    <w:qFormat/>
    <w:uiPriority w:val="30"/>
    <w:rPr>
      <w:b/>
      <w:bCs/>
      <w:i/>
      <w:iCs/>
      <w:color w:val="4F81BD"/>
    </w:rPr>
    <w:pPr>
      <w:ind w:left="936" w:right="936"/>
      <w:spacing w:after="280" w:before="200"/>
      <w:pBdr>
        <w:bottom w:val="single" w:color="4F81BD" w:sz="4" w:space="4"/>
      </w:pBdr>
    </w:pPr>
  </w:style>
  <w:style w:type="character" w:styleId="1392" w:customStyle="1">
    <w:name w:val="Выделенная цитата Знак"/>
    <w:link w:val="1391"/>
    <w:uiPriority w:val="30"/>
    <w:rPr>
      <w:b/>
      <w:bCs/>
      <w:i/>
      <w:iCs/>
      <w:color w:val="4F81BD"/>
      <w:sz w:val="24"/>
    </w:rPr>
  </w:style>
  <w:style w:type="character" w:styleId="1393">
    <w:name w:val="Subtle Emphasis"/>
    <w:qFormat/>
    <w:uiPriority w:val="19"/>
    <w:rPr>
      <w:i/>
      <w:iCs/>
      <w:color w:val="808080"/>
    </w:rPr>
  </w:style>
  <w:style w:type="character" w:styleId="1394">
    <w:name w:val="Intense Emphasis"/>
    <w:qFormat/>
    <w:uiPriority w:val="21"/>
    <w:rPr>
      <w:b/>
      <w:bCs/>
      <w:i/>
      <w:iCs/>
      <w:color w:val="4F81BD"/>
    </w:rPr>
  </w:style>
  <w:style w:type="character" w:styleId="1395">
    <w:name w:val="Subtle Reference"/>
    <w:qFormat/>
    <w:uiPriority w:val="31"/>
    <w:rPr>
      <w:smallCaps/>
      <w:color w:val="C0504D"/>
      <w:u w:val="single"/>
    </w:rPr>
  </w:style>
  <w:style w:type="character" w:styleId="1396">
    <w:name w:val="Intense Reference"/>
    <w:qFormat/>
    <w:uiPriority w:val="32"/>
    <w:rPr>
      <w:b/>
      <w:bCs/>
      <w:smallCaps/>
      <w:color w:val="C0504D"/>
      <w:spacing w:val="5"/>
      <w:u w:val="single"/>
    </w:rPr>
  </w:style>
  <w:style w:type="character" w:styleId="1397">
    <w:name w:val="Book Title"/>
    <w:qFormat/>
    <w:uiPriority w:val="33"/>
    <w:rPr>
      <w:b/>
      <w:bCs/>
      <w:smallCaps/>
      <w:spacing w:val="5"/>
    </w:rPr>
  </w:style>
  <w:style w:type="paragraph" w:styleId="1398">
    <w:name w:val="TOC Heading"/>
    <w:basedOn w:val="970"/>
    <w:next w:val="969"/>
    <w:qFormat/>
    <w:uiPriority w:val="39"/>
    <w:rPr>
      <w:rFonts w:ascii="Cambria" w:hAnsi="Cambria"/>
      <w:bCs/>
      <w:caps w:val="false"/>
      <w:color w:val="365F91"/>
      <w:sz w:val="28"/>
      <w:szCs w:val="28"/>
    </w:rPr>
    <w:pPr>
      <w:numPr>
        <w:numId w:val="0"/>
      </w:numPr>
      <w:contextualSpacing w:val="false"/>
      <w:ind w:firstLine="567"/>
      <w:jc w:val="both"/>
      <w:keepLines/>
      <w:pageBreakBefore w:val="false"/>
      <w:spacing w:after="0" w:before="480"/>
      <w:outlineLvl w:val="9"/>
    </w:pPr>
  </w:style>
  <w:style w:type="paragraph" w:styleId="1399" w:customStyle="1">
    <w:name w:val="_ASFK_Titul_footer"/>
    <w:rPr>
      <w:color w:val="292929"/>
      <w:sz w:val="28"/>
    </w:rPr>
    <w:pPr>
      <w:jc w:val="center"/>
    </w:pPr>
  </w:style>
  <w:style w:type="character" w:styleId="1400" w:customStyle="1">
    <w:name w:val="_ASFK_Report_error"/>
    <w:rPr>
      <w:lang w:val="en-US"/>
    </w:rPr>
  </w:style>
  <w:style w:type="character" w:styleId="1401" w:customStyle="1">
    <w:name w:val="_ASFK_List_num Знак"/>
    <w:rPr>
      <w:sz w:val="24"/>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customXml" Target="../customXml/item1.xml" /><Relationship Id="rId15" Type="http://schemas.openxmlformats.org/officeDocument/2006/relationships/customXml" Target="../customXml/item2.xml" /><Relationship Id="rId16" Type="http://schemas.openxmlformats.org/officeDocument/2006/relationships/image" Target="media/image1.png"/><Relationship Id="rId17" Type="http://schemas.openxmlformats.org/officeDocument/2006/relationships/image" Target="media/image2.png"/><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png"/><Relationship Id="rId40" Type="http://schemas.openxmlformats.org/officeDocument/2006/relationships/image" Target="media/image25.png"/><Relationship Id="rId41" Type="http://schemas.openxmlformats.org/officeDocument/2006/relationships/image" Target="media/image26.png"/><Relationship Id="rId42" Type="http://schemas.openxmlformats.org/officeDocument/2006/relationships/image" Target="media/image27.png"/><Relationship Id="rId43" Type="http://schemas.openxmlformats.org/officeDocument/2006/relationships/image" Target="media/image28.png"/><Relationship Id="rId44" Type="http://schemas.openxmlformats.org/officeDocument/2006/relationships/image" Target="media/image29.png"/><Relationship Id="rId45" Type="http://schemas.openxmlformats.org/officeDocument/2006/relationships/image" Target="media/image30.png"/><Relationship Id="rId46" Type="http://schemas.openxmlformats.org/officeDocument/2006/relationships/image" Target="media/image31.png"/><Relationship Id="rId47" Type="http://schemas.openxmlformats.org/officeDocument/2006/relationships/image" Target="media/image32.png"/><Relationship Id="rId48" Type="http://schemas.openxmlformats.org/officeDocument/2006/relationships/image" Target="media/image33.png"/><Relationship Id="rId49" Type="http://schemas.openxmlformats.org/officeDocument/2006/relationships/image" Target="media/image34.png"/><Relationship Id="rId50" Type="http://schemas.openxmlformats.org/officeDocument/2006/relationships/image" Target="media/image35.png"/><Relationship Id="rId51" Type="http://schemas.openxmlformats.org/officeDocument/2006/relationships/image" Target="media/image36.png"/><Relationship Id="rId52" Type="http://schemas.openxmlformats.org/officeDocument/2006/relationships/image" Target="media/image37.png"/><Relationship Id="rId53" Type="http://schemas.openxmlformats.org/officeDocument/2006/relationships/image" Target="media/image38.png"/><Relationship Id="rId54" Type="http://schemas.openxmlformats.org/officeDocument/2006/relationships/image" Target="media/image39.png"/><Relationship Id="rId55" Type="http://schemas.openxmlformats.org/officeDocument/2006/relationships/image" Target="media/image40.png"/><Relationship Id="rId56" Type="http://schemas.openxmlformats.org/officeDocument/2006/relationships/image" Target="media/image41.png"/><Relationship Id="rId57" Type="http://schemas.openxmlformats.org/officeDocument/2006/relationships/image" Target="media/image42.png"/><Relationship Id="rId58" Type="http://schemas.openxmlformats.org/officeDocument/2006/relationships/image" Target="media/image43.png"/><Relationship Id="rId59" Type="http://schemas.openxmlformats.org/officeDocument/2006/relationships/image" Target="media/image44.png"/><Relationship Id="rId60" Type="http://schemas.openxmlformats.org/officeDocument/2006/relationships/image" Target="media/image45.png"/><Relationship Id="rId61" Type="http://schemas.openxmlformats.org/officeDocument/2006/relationships/image" Target="media/image46.png"/><Relationship Id="rId62" Type="http://schemas.openxmlformats.org/officeDocument/2006/relationships/image" Target="media/image47.png"/><Relationship Id="rId63" Type="http://schemas.openxmlformats.org/officeDocument/2006/relationships/image" Target="media/image48.png"/><Relationship Id="rId64" Type="http://schemas.openxmlformats.org/officeDocument/2006/relationships/image" Target="media/image49.png"/><Relationship Id="rId65" Type="http://schemas.openxmlformats.org/officeDocument/2006/relationships/image" Target="media/image50.png"/><Relationship Id="rId66" Type="http://schemas.openxmlformats.org/officeDocument/2006/relationships/image" Target="media/image51.png"/><Relationship Id="rId67" Type="http://schemas.openxmlformats.org/officeDocument/2006/relationships/image" Target="media/image52.png"/><Relationship Id="rId68" Type="http://schemas.openxmlformats.org/officeDocument/2006/relationships/image" Target="media/image53.png"/><Relationship Id="rId69" Type="http://schemas.openxmlformats.org/officeDocument/2006/relationships/image" Target="media/image54.png"/><Relationship Id="rId70" Type="http://schemas.openxmlformats.org/officeDocument/2006/relationships/image" Target="media/image55.png"/><Relationship Id="rId71" Type="http://schemas.openxmlformats.org/officeDocument/2006/relationships/image" Target="media/image56.png"/><Relationship Id="rId72" Type="http://schemas.openxmlformats.org/officeDocument/2006/relationships/image" Target="media/image57.png"/><Relationship Id="rId73" Type="http://schemas.openxmlformats.org/officeDocument/2006/relationships/image" Target="media/image58.png"/><Relationship Id="rId74" Type="http://schemas.openxmlformats.org/officeDocument/2006/relationships/image" Target="media/image59.png"/><Relationship Id="rId75" Type="http://schemas.openxmlformats.org/officeDocument/2006/relationships/image" Target="media/image60.png"/><Relationship Id="rId76" Type="http://schemas.openxmlformats.org/officeDocument/2006/relationships/image" Target="media/image61.png"/><Relationship Id="rId77" Type="http://schemas.openxmlformats.org/officeDocument/2006/relationships/image" Target="media/image62.png"/><Relationship Id="rId78" Type="http://schemas.openxmlformats.org/officeDocument/2006/relationships/image" Target="media/image63.png"/><Relationship Id="rId79" Type="http://schemas.openxmlformats.org/officeDocument/2006/relationships/image" Target="media/image64.png"/><Relationship Id="rId80" Type="http://schemas.openxmlformats.org/officeDocument/2006/relationships/image" Target="media/image65.png"/><Relationship Id="rId81" Type="http://schemas.openxmlformats.org/officeDocument/2006/relationships/image" Target="media/image66.png"/><Relationship Id="rId82" Type="http://schemas.openxmlformats.org/officeDocument/2006/relationships/image" Target="media/image67.png"/><Relationship Id="rId83" Type="http://schemas.openxmlformats.org/officeDocument/2006/relationships/image" Target="media/image68.png"/><Relationship Id="rId84" Type="http://schemas.openxmlformats.org/officeDocument/2006/relationships/image" Target="media/image69.png"/><Relationship Id="rId85" Type="http://schemas.openxmlformats.org/officeDocument/2006/relationships/image" Target="media/image70.png"/><Relationship Id="rId86" Type="http://schemas.openxmlformats.org/officeDocument/2006/relationships/image" Target="media/image71.png"/><Relationship Id="rId87" Type="http://schemas.openxmlformats.org/officeDocument/2006/relationships/image" Target="media/image72.png"/><Relationship Id="rId88" Type="http://schemas.openxmlformats.org/officeDocument/2006/relationships/image" Target="media/image73.png"/><Relationship Id="rId89" Type="http://schemas.openxmlformats.org/officeDocument/2006/relationships/image" Target="media/image74.png"/><Relationship Id="rId90" Type="http://schemas.openxmlformats.org/officeDocument/2006/relationships/image" Target="media/image75.png"/><Relationship Id="rId91" Type="http://schemas.openxmlformats.org/officeDocument/2006/relationships/image" Target="media/image76.png"/><Relationship Id="rId92" Type="http://schemas.openxmlformats.org/officeDocument/2006/relationships/image" Target="media/image77.png"/><Relationship Id="rId93" Type="http://schemas.openxmlformats.org/officeDocument/2006/relationships/image" Target="media/image78.png"/><Relationship Id="rId94" Type="http://schemas.openxmlformats.org/officeDocument/2006/relationships/image" Target="media/image79.png"/><Relationship Id="rId95" Type="http://schemas.openxmlformats.org/officeDocument/2006/relationships/image" Target="media/image80.png"/><Relationship Id="rId96" Type="http://schemas.openxmlformats.org/officeDocument/2006/relationships/image" Target="media/image81.png"/><Relationship Id="rId97" Type="http://schemas.openxmlformats.org/officeDocument/2006/relationships/image" Target="media/image82.png"/><Relationship Id="rId98" Type="http://schemas.openxmlformats.org/officeDocument/2006/relationships/image" Target="media/image83.png"/><Relationship Id="rId99" Type="http://schemas.openxmlformats.org/officeDocument/2006/relationships/image" Target="media/image84.png"/><Relationship Id="rId100" Type="http://schemas.openxmlformats.org/officeDocument/2006/relationships/image" Target="media/image85.png"/><Relationship Id="rId101" Type="http://schemas.openxmlformats.org/officeDocument/2006/relationships/image" Target="media/image86.png"/><Relationship Id="rId102" Type="http://schemas.openxmlformats.org/officeDocument/2006/relationships/image" Target="media/image87.png"/><Relationship Id="rId103" Type="http://schemas.openxmlformats.org/officeDocument/2006/relationships/image" Target="media/image88.png"/><Relationship Id="rId104" Type="http://schemas.openxmlformats.org/officeDocument/2006/relationships/image" Target="media/image89.png"/><Relationship Id="rId105" Type="http://schemas.openxmlformats.org/officeDocument/2006/relationships/image" Target="media/image90.png"/><Relationship Id="rId106" Type="http://schemas.openxmlformats.org/officeDocument/2006/relationships/image" Target="media/image91.png"/><Relationship Id="rId107" Type="http://schemas.openxmlformats.org/officeDocument/2006/relationships/image" Target="media/image92.png"/><Relationship Id="rId108" Type="http://schemas.openxmlformats.org/officeDocument/2006/relationships/image" Target="media/image93.png"/><Relationship Id="rId109" Type="http://schemas.openxmlformats.org/officeDocument/2006/relationships/image" Target="media/image94.png"/><Relationship Id="rId110" Type="http://schemas.openxmlformats.org/officeDocument/2006/relationships/image" Target="media/image95.png"/><Relationship Id="rId111" Type="http://schemas.openxmlformats.org/officeDocument/2006/relationships/image" Target="media/image96.png"/><Relationship Id="rId112" Type="http://schemas.openxmlformats.org/officeDocument/2006/relationships/image" Target="media/image97.png"/><Relationship Id="rId113" Type="http://schemas.openxmlformats.org/officeDocument/2006/relationships/image" Target="media/image98.png"/><Relationship Id="rId114" Type="http://schemas.openxmlformats.org/officeDocument/2006/relationships/image" Target="media/image99.png"/><Relationship Id="rId115" Type="http://schemas.openxmlformats.org/officeDocument/2006/relationships/image" Target="media/image100.png"/><Relationship Id="rId116" Type="http://schemas.openxmlformats.org/officeDocument/2006/relationships/image" Target="media/image101.png"/><Relationship Id="rId117" Type="http://schemas.openxmlformats.org/officeDocument/2006/relationships/image" Target="media/image102.png"/><Relationship Id="rId118" Type="http://schemas.openxmlformats.org/officeDocument/2006/relationships/image" Target="media/image103.png"/><Relationship Id="rId119" Type="http://schemas.openxmlformats.org/officeDocument/2006/relationships/image" Target="media/image104.png"/><Relationship Id="rId120" Type="http://schemas.openxmlformats.org/officeDocument/2006/relationships/image" Target="media/image105.png"/><Relationship Id="rId121" Type="http://schemas.openxmlformats.org/officeDocument/2006/relationships/image" Target="media/image106.png"/><Relationship Id="rId122" Type="http://schemas.openxmlformats.org/officeDocument/2006/relationships/image" Target="media/image107.png"/><Relationship Id="rId123" Type="http://schemas.openxmlformats.org/officeDocument/2006/relationships/image" Target="media/image108.png"/><Relationship Id="rId124" Type="http://schemas.openxmlformats.org/officeDocument/2006/relationships/image" Target="media/image109.png"/><Relationship Id="rId125" Type="http://schemas.openxmlformats.org/officeDocument/2006/relationships/image" Target="media/image110.png"/><Relationship Id="rId126" Type="http://schemas.openxmlformats.org/officeDocument/2006/relationships/image" Target="media/image111.png"/><Relationship Id="rId127" Type="http://schemas.openxmlformats.org/officeDocument/2006/relationships/image" Target="media/image112.png"/><Relationship Id="rId128" Type="http://schemas.openxmlformats.org/officeDocument/2006/relationships/image" Target="media/image113.png"/><Relationship Id="rId129" Type="http://schemas.openxmlformats.org/officeDocument/2006/relationships/image" Target="media/image114.png"/><Relationship Id="rId130" Type="http://schemas.openxmlformats.org/officeDocument/2006/relationships/image" Target="media/image115.png"/><Relationship Id="rId131" Type="http://schemas.openxmlformats.org/officeDocument/2006/relationships/image" Target="media/image116.png"/><Relationship Id="rId132" Type="http://schemas.openxmlformats.org/officeDocument/2006/relationships/image" Target="media/image117.png"/><Relationship Id="rId133" Type="http://schemas.openxmlformats.org/officeDocument/2006/relationships/image" Target="media/image118.png"/><Relationship Id="rId134" Type="http://schemas.openxmlformats.org/officeDocument/2006/relationships/image" Target="media/image119.png"/><Relationship Id="rId135" Type="http://schemas.openxmlformats.org/officeDocument/2006/relationships/image" Target="media/image120.png"/><Relationship Id="rId136" Type="http://schemas.openxmlformats.org/officeDocument/2006/relationships/image" Target="media/image121.png"/><Relationship Id="rId137" Type="http://schemas.openxmlformats.org/officeDocument/2006/relationships/image" Target="media/image122.png"/><Relationship Id="rId138" Type="http://schemas.openxmlformats.org/officeDocument/2006/relationships/image" Target="media/image123.png"/><Relationship Id="rId139" Type="http://schemas.openxmlformats.org/officeDocument/2006/relationships/image" Target="media/image124.png"/><Relationship Id="rId140" Type="http://schemas.openxmlformats.org/officeDocument/2006/relationships/image" Target="media/image125.png"/><Relationship Id="rId141" Type="http://schemas.openxmlformats.org/officeDocument/2006/relationships/image" Target="media/image126.png"/><Relationship Id="rId142" Type="http://schemas.openxmlformats.org/officeDocument/2006/relationships/image" Target="media/image127.png"/><Relationship Id="rId143" Type="http://schemas.openxmlformats.org/officeDocument/2006/relationships/image" Target="media/image128.png"/><Relationship Id="rId144" Type="http://schemas.openxmlformats.org/officeDocument/2006/relationships/image" Target="media/image129.png"/><Relationship Id="rId145" Type="http://schemas.openxmlformats.org/officeDocument/2006/relationships/image" Target="media/image130.png"/><Relationship Id="rId146" Type="http://schemas.openxmlformats.org/officeDocument/2006/relationships/image" Target="media/image131.png"/><Relationship Id="rId147" Type="http://schemas.openxmlformats.org/officeDocument/2006/relationships/image" Target="media/image132.png"/><Relationship Id="rId148" Type="http://schemas.openxmlformats.org/officeDocument/2006/relationships/image" Target="media/image133.png"/><Relationship Id="rId149" Type="http://schemas.openxmlformats.org/officeDocument/2006/relationships/image" Target="media/image134.png"/><Relationship Id="rId150" Type="http://schemas.openxmlformats.org/officeDocument/2006/relationships/image" Target="media/image135.png"/><Relationship Id="rId151" Type="http://schemas.openxmlformats.org/officeDocument/2006/relationships/image" Target="media/image136.png"/><Relationship Id="rId152" Type="http://schemas.openxmlformats.org/officeDocument/2006/relationships/image" Target="media/image137.png"/><Relationship Id="rId153" Type="http://schemas.openxmlformats.org/officeDocument/2006/relationships/image" Target="media/image138.png"/><Relationship Id="rId154" Type="http://schemas.openxmlformats.org/officeDocument/2006/relationships/image" Target="media/image139.png"/><Relationship Id="rId155" Type="http://schemas.openxmlformats.org/officeDocument/2006/relationships/image" Target="media/image140.png"/><Relationship Id="rId156" Type="http://schemas.openxmlformats.org/officeDocument/2006/relationships/image" Target="media/image141.png"/><Relationship Id="rId157" Type="http://schemas.openxmlformats.org/officeDocument/2006/relationships/image" Target="media/image142.png"/><Relationship Id="rId158" Type="http://schemas.openxmlformats.org/officeDocument/2006/relationships/image" Target="media/image143.png"/><Relationship Id="rId159" Type="http://schemas.openxmlformats.org/officeDocument/2006/relationships/image" Target="media/image144.png"/><Relationship Id="rId160" Type="http://schemas.openxmlformats.org/officeDocument/2006/relationships/image" Target="media/image145.png"/><Relationship Id="rId161" Type="http://schemas.openxmlformats.org/officeDocument/2006/relationships/image" Target="media/image146.png"/><Relationship Id="rId162" Type="http://schemas.openxmlformats.org/officeDocument/2006/relationships/image" Target="media/image147.png"/><Relationship Id="rId163" Type="http://schemas.openxmlformats.org/officeDocument/2006/relationships/image" Target="media/image148.png"/><Relationship Id="rId164" Type="http://schemas.openxmlformats.org/officeDocument/2006/relationships/image" Target="media/image149.png"/><Relationship Id="rId165" Type="http://schemas.openxmlformats.org/officeDocument/2006/relationships/image" Target="media/image150.png"/><Relationship Id="rId166" Type="http://schemas.openxmlformats.org/officeDocument/2006/relationships/image" Target="media/image151.png"/><Relationship Id="rId167" Type="http://schemas.openxmlformats.org/officeDocument/2006/relationships/image" Target="media/image152.png"/><Relationship Id="rId168" Type="http://schemas.openxmlformats.org/officeDocument/2006/relationships/image" Target="media/image153.png"/><Relationship Id="rId169" Type="http://schemas.openxmlformats.org/officeDocument/2006/relationships/image" Target="media/image154.png"/><Relationship Id="rId170" Type="http://schemas.openxmlformats.org/officeDocument/2006/relationships/image" Target="media/image155.png"/><Relationship Id="rId171" Type="http://schemas.openxmlformats.org/officeDocument/2006/relationships/image" Target="media/image156.png"/><Relationship Id="rId172" Type="http://schemas.openxmlformats.org/officeDocument/2006/relationships/image" Target="media/image157.png"/><Relationship Id="rId173" Type="http://schemas.openxmlformats.org/officeDocument/2006/relationships/image" Target="media/image158.png"/><Relationship Id="rId174" Type="http://schemas.openxmlformats.org/officeDocument/2006/relationships/image" Target="media/image159.png"/><Relationship Id="rId175" Type="http://schemas.openxmlformats.org/officeDocument/2006/relationships/image" Target="media/image160.png"/><Relationship Id="rId176" Type="http://schemas.openxmlformats.org/officeDocument/2006/relationships/image" Target="media/image161.png"/><Relationship Id="rId177" Type="http://schemas.openxmlformats.org/officeDocument/2006/relationships/image" Target="media/image162.png"/><Relationship Id="rId178" Type="http://schemas.openxmlformats.org/officeDocument/2006/relationships/image" Target="media/image163.png"/><Relationship Id="rId179" Type="http://schemas.openxmlformats.org/officeDocument/2006/relationships/image" Target="media/image164.png"/><Relationship Id="rId180" Type="http://schemas.openxmlformats.org/officeDocument/2006/relationships/image" Target="media/image165.png"/><Relationship Id="rId181" Type="http://schemas.openxmlformats.org/officeDocument/2006/relationships/image" Target="media/image166.png"/><Relationship Id="rId182" Type="http://schemas.openxmlformats.org/officeDocument/2006/relationships/image" Target="media/image167.png"/><Relationship Id="rId183" Type="http://schemas.openxmlformats.org/officeDocument/2006/relationships/image" Target="media/image168.png"/><Relationship Id="rId184" Type="http://schemas.openxmlformats.org/officeDocument/2006/relationships/image" Target="media/image169.png"/><Relationship Id="rId185" Type="http://schemas.openxmlformats.org/officeDocument/2006/relationships/image" Target="media/image170.png"/><Relationship Id="rId186" Type="http://schemas.openxmlformats.org/officeDocument/2006/relationships/image" Target="media/image171.png"/><Relationship Id="rId187" Type="http://schemas.openxmlformats.org/officeDocument/2006/relationships/image" Target="media/image172.png"/><Relationship Id="rId188" Type="http://schemas.openxmlformats.org/officeDocument/2006/relationships/image" Target="media/image173.png"/><Relationship Id="rId189" Type="http://schemas.openxmlformats.org/officeDocument/2006/relationships/image" Target="media/image174.png"/><Relationship Id="rId190" Type="http://schemas.openxmlformats.org/officeDocument/2006/relationships/image" Target="media/image175.png"/><Relationship Id="rId191" Type="http://schemas.openxmlformats.org/officeDocument/2006/relationships/image" Target="media/image176.png"/><Relationship Id="rId192" Type="http://schemas.openxmlformats.org/officeDocument/2006/relationships/image" Target="media/image177.png"/><Relationship Id="rId193" Type="http://schemas.openxmlformats.org/officeDocument/2006/relationships/image" Target="media/image178.png"/><Relationship Id="rId194" Type="http://schemas.openxmlformats.org/officeDocument/2006/relationships/image" Target="media/image179.png"/><Relationship Id="rId195" Type="http://schemas.openxmlformats.org/officeDocument/2006/relationships/image" Target="media/image180.png"/><Relationship Id="rId196" Type="http://schemas.openxmlformats.org/officeDocument/2006/relationships/image" Target="media/image181.png"/><Relationship Id="rId197" Type="http://schemas.openxmlformats.org/officeDocument/2006/relationships/image" Target="media/image182.png"/><Relationship Id="rId198" Type="http://schemas.openxmlformats.org/officeDocument/2006/relationships/image" Target="media/image183.png"/><Relationship Id="rId199" Type="http://schemas.openxmlformats.org/officeDocument/2006/relationships/image" Target="media/image184.png"/><Relationship Id="rId200" Type="http://schemas.openxmlformats.org/officeDocument/2006/relationships/image" Target="media/image185.png"/><Relationship Id="rId201" Type="http://schemas.openxmlformats.org/officeDocument/2006/relationships/image" Target="media/image186.png"/><Relationship Id="rId202" Type="http://schemas.openxmlformats.org/officeDocument/2006/relationships/image" Target="media/image187.png"/><Relationship Id="rId203" Type="http://schemas.openxmlformats.org/officeDocument/2006/relationships/image" Target="media/image188.png"/><Relationship Id="rId204" Type="http://schemas.openxmlformats.org/officeDocument/2006/relationships/image" Target="media/image189.png"/><Relationship Id="rId205" Type="http://schemas.openxmlformats.org/officeDocument/2006/relationships/image" Target="media/image190.png"/><Relationship Id="rId206" Type="http://schemas.openxmlformats.org/officeDocument/2006/relationships/image" Target="media/image191.png"/><Relationship Id="rId207" Type="http://schemas.openxmlformats.org/officeDocument/2006/relationships/image" Target="media/image192.png"/><Relationship Id="rId208" Type="http://schemas.openxmlformats.org/officeDocument/2006/relationships/image" Target="media/image193.png"/><Relationship Id="rId209" Type="http://schemas.openxmlformats.org/officeDocument/2006/relationships/image" Target="media/image194.png"/><Relationship Id="rId210" Type="http://schemas.openxmlformats.org/officeDocument/2006/relationships/image" Target="media/image195.png"/><Relationship Id="rId211" Type="http://schemas.openxmlformats.org/officeDocument/2006/relationships/image" Target="media/image196.png"/><Relationship Id="rId212" Type="http://schemas.openxmlformats.org/officeDocument/2006/relationships/image" Target="media/image197.png"/><Relationship Id="rId213" Type="http://schemas.openxmlformats.org/officeDocument/2006/relationships/image" Target="media/image198.png"/><Relationship Id="rId214" Type="http://schemas.openxmlformats.org/officeDocument/2006/relationships/image" Target="media/image199.png"/><Relationship Id="rId215" Type="http://schemas.openxmlformats.org/officeDocument/2006/relationships/image" Target="media/image200.png"/><Relationship Id="rId216" Type="http://schemas.openxmlformats.org/officeDocument/2006/relationships/image" Target="media/image201.png"/><Relationship Id="rId217" Type="http://schemas.openxmlformats.org/officeDocument/2006/relationships/image" Target="media/image202.png"/><Relationship Id="rId218" Type="http://schemas.openxmlformats.org/officeDocument/2006/relationships/image" Target="media/image203.png"/><Relationship Id="rId219" Type="http://schemas.openxmlformats.org/officeDocument/2006/relationships/image" Target="media/image204.png"/><Relationship Id="rId220" Type="http://schemas.openxmlformats.org/officeDocument/2006/relationships/image" Target="media/image205.png"/><Relationship Id="rId221" Type="http://schemas.openxmlformats.org/officeDocument/2006/relationships/image" Target="media/image206.png"/><Relationship Id="rId222" Type="http://schemas.openxmlformats.org/officeDocument/2006/relationships/image" Target="media/image207.png"/><Relationship Id="rId223" Type="http://schemas.openxmlformats.org/officeDocument/2006/relationships/image" Target="media/image208.png"/><Relationship Id="rId224" Type="http://schemas.openxmlformats.org/officeDocument/2006/relationships/image" Target="media/image209.png"/><Relationship Id="rId225" Type="http://schemas.openxmlformats.org/officeDocument/2006/relationships/image" Target="media/image210.png"/><Relationship Id="rId226" Type="http://schemas.openxmlformats.org/officeDocument/2006/relationships/image" Target="media/image211.png"/><Relationship Id="rId227" Type="http://schemas.openxmlformats.org/officeDocument/2006/relationships/image" Target="media/image212.png"/><Relationship Id="rId228" Type="http://schemas.openxmlformats.org/officeDocument/2006/relationships/image" Target="media/image213.png"/><Relationship Id="rId229" Type="http://schemas.openxmlformats.org/officeDocument/2006/relationships/image" Target="media/image214.png"/><Relationship Id="rId230" Type="http://schemas.openxmlformats.org/officeDocument/2006/relationships/image" Target="media/image215.png"/><Relationship Id="rId231" Type="http://schemas.openxmlformats.org/officeDocument/2006/relationships/image" Target="media/image216.png"/><Relationship Id="rId232" Type="http://schemas.openxmlformats.org/officeDocument/2006/relationships/image" Target="media/image217.png"/><Relationship Id="rId233" Type="http://schemas.openxmlformats.org/officeDocument/2006/relationships/image" Target="media/image218.png"/><Relationship Id="rId234" Type="http://schemas.openxmlformats.org/officeDocument/2006/relationships/image" Target="media/image219.png"/><Relationship Id="rId235" Type="http://schemas.openxmlformats.org/officeDocument/2006/relationships/image" Target="media/image220.png"/><Relationship Id="rId236" Type="http://schemas.openxmlformats.org/officeDocument/2006/relationships/image" Target="media/image221.png"/><Relationship Id="rId237" Type="http://schemas.openxmlformats.org/officeDocument/2006/relationships/image" Target="media/image222.png"/><Relationship Id="rId238" Type="http://schemas.openxmlformats.org/officeDocument/2006/relationships/image" Target="media/image223.png"/><Relationship Id="rId239" Type="http://schemas.openxmlformats.org/officeDocument/2006/relationships/image" Target="media/image224.png"/><Relationship Id="rId240" Type="http://schemas.openxmlformats.org/officeDocument/2006/relationships/image" Target="media/image225.png"/><Relationship Id="rId241" Type="http://schemas.openxmlformats.org/officeDocument/2006/relationships/image" Target="media/image226.png"/><Relationship Id="rId242" Type="http://schemas.openxmlformats.org/officeDocument/2006/relationships/image" Target="media/image227.png"/><Relationship Id="rId243" Type="http://schemas.openxmlformats.org/officeDocument/2006/relationships/image" Target="media/image228.png"/><Relationship Id="rId244" Type="http://schemas.openxmlformats.org/officeDocument/2006/relationships/image" Target="media/image229.png"/><Relationship Id="rId245" Type="http://schemas.openxmlformats.org/officeDocument/2006/relationships/image" Target="media/image230.png"/><Relationship Id="rId246" Type="http://schemas.openxmlformats.org/officeDocument/2006/relationships/image" Target="media/image231.png"/><Relationship Id="rId247" Type="http://schemas.openxmlformats.org/officeDocument/2006/relationships/image" Target="media/image232.png"/><Relationship Id="rId248" Type="http://schemas.openxmlformats.org/officeDocument/2006/relationships/image" Target="media/image233.png"/><Relationship Id="rId249" Type="http://schemas.openxmlformats.org/officeDocument/2006/relationships/image" Target="media/image234.png"/><Relationship Id="rId250" Type="http://schemas.openxmlformats.org/officeDocument/2006/relationships/image" Target="media/image235.png"/><Relationship Id="rId251" Type="http://schemas.openxmlformats.org/officeDocument/2006/relationships/image" Target="media/image236.png"/><Relationship Id="rId252" Type="http://schemas.openxmlformats.org/officeDocument/2006/relationships/image" Target="media/image237.png"/><Relationship Id="rId253" Type="http://schemas.openxmlformats.org/officeDocument/2006/relationships/image" Target="media/image238.png"/><Relationship Id="rId254" Type="http://schemas.openxmlformats.org/officeDocument/2006/relationships/image" Target="media/image239.png"/><Relationship Id="rId255" Type="http://schemas.openxmlformats.org/officeDocument/2006/relationships/image" Target="media/image240.png"/><Relationship Id="rId256" Type="http://schemas.openxmlformats.org/officeDocument/2006/relationships/image" Target="media/image241.png"/><Relationship Id="rId257" Type="http://schemas.openxmlformats.org/officeDocument/2006/relationships/image" Target="media/image242.png"/><Relationship Id="rId258" Type="http://schemas.openxmlformats.org/officeDocument/2006/relationships/image" Target="media/image243.png"/><Relationship Id="rId259" Type="http://schemas.openxmlformats.org/officeDocument/2006/relationships/image" Target="media/image244.png"/><Relationship Id="rId260" Type="http://schemas.openxmlformats.org/officeDocument/2006/relationships/image" Target="media/image245.png"/><Relationship Id="rId261" Type="http://schemas.openxmlformats.org/officeDocument/2006/relationships/image" Target="media/image246.png"/><Relationship Id="rId262" Type="http://schemas.openxmlformats.org/officeDocument/2006/relationships/image" Target="media/image247.png"/><Relationship Id="rId263" Type="http://schemas.openxmlformats.org/officeDocument/2006/relationships/image" Target="media/image248.png"/><Relationship Id="rId264" Type="http://schemas.openxmlformats.org/officeDocument/2006/relationships/image" Target="media/image249.png"/><Relationship Id="rId265" Type="http://schemas.openxmlformats.org/officeDocument/2006/relationships/image" Target="media/image250.png"/><Relationship Id="rId266" Type="http://schemas.openxmlformats.org/officeDocument/2006/relationships/image" Target="media/image251.png"/><Relationship Id="rId267" Type="http://schemas.openxmlformats.org/officeDocument/2006/relationships/image" Target="media/image252.png"/><Relationship Id="rId268" Type="http://schemas.openxmlformats.org/officeDocument/2006/relationships/image" Target="media/image253.png"/><Relationship Id="rId269" Type="http://schemas.openxmlformats.org/officeDocument/2006/relationships/image" Target="media/image254.png"/><Relationship Id="rId270" Type="http://schemas.openxmlformats.org/officeDocument/2006/relationships/image" Target="media/image255.png"/><Relationship Id="rId271" Type="http://schemas.openxmlformats.org/officeDocument/2006/relationships/image" Target="media/image256.png"/><Relationship Id="rId272" Type="http://schemas.openxmlformats.org/officeDocument/2006/relationships/image" Target="media/image257.png"/><Relationship Id="rId273" Type="http://schemas.openxmlformats.org/officeDocument/2006/relationships/image" Target="media/image258.png"/><Relationship Id="rId274" Type="http://schemas.openxmlformats.org/officeDocument/2006/relationships/image" Target="media/image259.png"/><Relationship Id="rId275" Type="http://schemas.openxmlformats.org/officeDocument/2006/relationships/image" Target="media/image260.png"/><Relationship Id="rId276" Type="http://schemas.openxmlformats.org/officeDocument/2006/relationships/image" Target="media/image261.png"/><Relationship Id="rId277" Type="http://schemas.openxmlformats.org/officeDocument/2006/relationships/image" Target="media/image262.png"/><Relationship Id="rId278" Type="http://schemas.openxmlformats.org/officeDocument/2006/relationships/image" Target="media/image263.png"/><Relationship Id="rId279" Type="http://schemas.openxmlformats.org/officeDocument/2006/relationships/image" Target="media/image264.png"/><Relationship Id="rId280" Type="http://schemas.openxmlformats.org/officeDocument/2006/relationships/image" Target="media/image265.png"/><Relationship Id="rId281" Type="http://schemas.openxmlformats.org/officeDocument/2006/relationships/image" Target="media/image266.png"/><Relationship Id="rId282" Type="http://schemas.openxmlformats.org/officeDocument/2006/relationships/image" Target="media/image267.png"/><Relationship Id="rId283" Type="http://schemas.openxmlformats.org/officeDocument/2006/relationships/image" Target="media/image268.png"/><Relationship Id="rId284" Type="http://schemas.openxmlformats.org/officeDocument/2006/relationships/image" Target="media/image269.png"/><Relationship Id="rId285" Type="http://schemas.openxmlformats.org/officeDocument/2006/relationships/image" Target="media/image270.png"/><Relationship Id="rId286" Type="http://schemas.openxmlformats.org/officeDocument/2006/relationships/image" Target="media/image271.png"/><Relationship Id="rId287" Type="http://schemas.openxmlformats.org/officeDocument/2006/relationships/image" Target="media/image272.png"/><Relationship Id="rId288" Type="http://schemas.openxmlformats.org/officeDocument/2006/relationships/image" Target="media/image273.png"/><Relationship Id="rId289" Type="http://schemas.openxmlformats.org/officeDocument/2006/relationships/image" Target="media/image274.png"/><Relationship Id="rId290" Type="http://schemas.openxmlformats.org/officeDocument/2006/relationships/image" Target="media/image275.png"/><Relationship Id="rId291" Type="http://schemas.openxmlformats.org/officeDocument/2006/relationships/image" Target="media/image276.png"/><Relationship Id="rId292" Type="http://schemas.openxmlformats.org/officeDocument/2006/relationships/image" Target="media/image277.png"/><Relationship Id="rId293" Type="http://schemas.openxmlformats.org/officeDocument/2006/relationships/image" Target="media/image278.png"/><Relationship Id="rId294" Type="http://schemas.openxmlformats.org/officeDocument/2006/relationships/image" Target="media/image279.png"/><Relationship Id="rId295" Type="http://schemas.openxmlformats.org/officeDocument/2006/relationships/image" Target="media/image280.png"/><Relationship Id="rId296" Type="http://schemas.openxmlformats.org/officeDocument/2006/relationships/image" Target="media/image281.png"/><Relationship Id="rId297" Type="http://schemas.openxmlformats.org/officeDocument/2006/relationships/image" Target="media/image282.png"/><Relationship Id="rId298" Type="http://schemas.openxmlformats.org/officeDocument/2006/relationships/image" Target="media/image283.png"/><Relationship Id="rId299" Type="http://schemas.openxmlformats.org/officeDocument/2006/relationships/image" Target="media/image284.png"/><Relationship Id="rId300" Type="http://schemas.openxmlformats.org/officeDocument/2006/relationships/image" Target="media/image285.png"/><Relationship Id="rId301" Type="http://schemas.openxmlformats.org/officeDocument/2006/relationships/image" Target="media/image286.png"/><Relationship Id="rId302" Type="http://schemas.openxmlformats.org/officeDocument/2006/relationships/image" Target="media/image287.png"/><Relationship Id="rId303" Type="http://schemas.openxmlformats.org/officeDocument/2006/relationships/image" Target="media/image288.png"/><Relationship Id="rId304" Type="http://schemas.openxmlformats.org/officeDocument/2006/relationships/image" Target="media/image289.png"/><Relationship Id="rId305" Type="http://schemas.openxmlformats.org/officeDocument/2006/relationships/image" Target="media/image290.png"/><Relationship Id="rId306" Type="http://schemas.openxmlformats.org/officeDocument/2006/relationships/image" Target="media/image291.png"/><Relationship Id="rId307" Type="http://schemas.openxmlformats.org/officeDocument/2006/relationships/image" Target="media/image292.png"/><Relationship Id="rId308" Type="http://schemas.openxmlformats.org/officeDocument/2006/relationships/image" Target="media/image293.png"/><Relationship Id="rId309" Type="http://schemas.openxmlformats.org/officeDocument/2006/relationships/image" Target="media/image294.png"/><Relationship Id="rId310" Type="http://schemas.openxmlformats.org/officeDocument/2006/relationships/image" Target="media/image295.png"/><Relationship Id="rId311" Type="http://schemas.openxmlformats.org/officeDocument/2006/relationships/image" Target="media/image296.png"/><Relationship Id="rId312" Type="http://schemas.openxmlformats.org/officeDocument/2006/relationships/image" Target="media/image297.png"/><Relationship Id="rId313" Type="http://schemas.openxmlformats.org/officeDocument/2006/relationships/image" Target="media/image298.png"/><Relationship Id="rId314" Type="http://schemas.openxmlformats.org/officeDocument/2006/relationships/image" Target="media/image299.png"/><Relationship Id="rId315" Type="http://schemas.openxmlformats.org/officeDocument/2006/relationships/image" Target="media/image300.png"/><Relationship Id="rId316" Type="http://schemas.openxmlformats.org/officeDocument/2006/relationships/image" Target="media/image301.png"/><Relationship Id="rId317" Type="http://schemas.openxmlformats.org/officeDocument/2006/relationships/image" Target="media/image302.png"/><Relationship Id="rId318" Type="http://schemas.openxmlformats.org/officeDocument/2006/relationships/image" Target="media/image303.png"/><Relationship Id="rId319" Type="http://schemas.openxmlformats.org/officeDocument/2006/relationships/image" Target="media/image304.png"/><Relationship Id="rId320" Type="http://schemas.openxmlformats.org/officeDocument/2006/relationships/image" Target="media/image305.png"/><Relationship Id="rId321" Type="http://schemas.openxmlformats.org/officeDocument/2006/relationships/image" Target="media/image306.png"/><Relationship Id="rId322" Type="http://schemas.openxmlformats.org/officeDocument/2006/relationships/image" Target="media/image307.png"/><Relationship Id="rId323" Type="http://schemas.openxmlformats.org/officeDocument/2006/relationships/image" Target="media/image308.png"/><Relationship Id="rId324" Type="http://schemas.openxmlformats.org/officeDocument/2006/relationships/image" Target="media/image309.png"/><Relationship Id="rId325" Type="http://schemas.openxmlformats.org/officeDocument/2006/relationships/image" Target="media/image310.png"/><Relationship Id="rId326" Type="http://schemas.openxmlformats.org/officeDocument/2006/relationships/image" Target="media/image311.png"/><Relationship Id="rId327" Type="http://schemas.openxmlformats.org/officeDocument/2006/relationships/image" Target="media/image312.png"/><Relationship Id="rId328" Type="http://schemas.openxmlformats.org/officeDocument/2006/relationships/image" Target="media/image313.png"/><Relationship Id="rId329" Type="http://schemas.openxmlformats.org/officeDocument/2006/relationships/image" Target="media/image314.png"/><Relationship Id="rId330" Type="http://schemas.openxmlformats.org/officeDocument/2006/relationships/image" Target="media/image315.png"/><Relationship Id="rId331" Type="http://schemas.openxmlformats.org/officeDocument/2006/relationships/image" Target="media/image316.png"/><Relationship Id="rId332" Type="http://schemas.openxmlformats.org/officeDocument/2006/relationships/image" Target="media/image317.png"/><Relationship Id="rId333" Type="http://schemas.openxmlformats.org/officeDocument/2006/relationships/image" Target="media/image318.png"/><Relationship Id="rId334" Type="http://schemas.openxmlformats.org/officeDocument/2006/relationships/image" Target="media/image319.png"/><Relationship Id="rId335" Type="http://schemas.openxmlformats.org/officeDocument/2006/relationships/image" Target="media/image320.png"/><Relationship Id="rId336" Type="http://schemas.openxmlformats.org/officeDocument/2006/relationships/image" Target="media/image321.png"/><Relationship Id="rId337" Type="http://schemas.openxmlformats.org/officeDocument/2006/relationships/image" Target="media/image322.png"/><Relationship Id="rId338" Type="http://schemas.openxmlformats.org/officeDocument/2006/relationships/image" Target="media/image323.png"/><Relationship Id="rId339" Type="http://schemas.openxmlformats.org/officeDocument/2006/relationships/image" Target="media/image324.png"/><Relationship Id="rId340" Type="http://schemas.openxmlformats.org/officeDocument/2006/relationships/image" Target="media/image325.png"/><Relationship Id="rId341" Type="http://schemas.openxmlformats.org/officeDocument/2006/relationships/image" Target="media/image326.png"/><Relationship Id="rId342" Type="http://schemas.openxmlformats.org/officeDocument/2006/relationships/image" Target="media/image327.png"/><Relationship Id="rId343" Type="http://schemas.openxmlformats.org/officeDocument/2006/relationships/image" Target="media/image328.png"/><Relationship Id="rId344" Type="http://schemas.openxmlformats.org/officeDocument/2006/relationships/image" Target="media/image329.png"/><Relationship Id="rId345" Type="http://schemas.openxmlformats.org/officeDocument/2006/relationships/image" Target="media/image330.png"/><Relationship Id="rId346" Type="http://schemas.openxmlformats.org/officeDocument/2006/relationships/image" Target="media/image331.png"/><Relationship Id="rId347" Type="http://schemas.openxmlformats.org/officeDocument/2006/relationships/image" Target="media/image332.png"/><Relationship Id="rId348" Type="http://schemas.openxmlformats.org/officeDocument/2006/relationships/image" Target="media/image333.png"/><Relationship Id="rId349" Type="http://schemas.openxmlformats.org/officeDocument/2006/relationships/image" Target="media/image334.png"/><Relationship Id="rId350" Type="http://schemas.openxmlformats.org/officeDocument/2006/relationships/image" Target="media/image335.png"/><Relationship Id="rId351" Type="http://schemas.openxmlformats.org/officeDocument/2006/relationships/image" Target="media/image336.png"/><Relationship Id="rId352" Type="http://schemas.openxmlformats.org/officeDocument/2006/relationships/image" Target="media/image337.png"/><Relationship Id="rId353" Type="http://schemas.openxmlformats.org/officeDocument/2006/relationships/image" Target="media/image338.png"/><Relationship Id="rId354" Type="http://schemas.openxmlformats.org/officeDocument/2006/relationships/image" Target="media/image339.png"/><Relationship Id="rId355" Type="http://schemas.openxmlformats.org/officeDocument/2006/relationships/image" Target="media/image340.png"/><Relationship Id="rId356" Type="http://schemas.openxmlformats.org/officeDocument/2006/relationships/image" Target="media/image341.png"/><Relationship Id="rId357" Type="http://schemas.openxmlformats.org/officeDocument/2006/relationships/image" Target="media/image342.png"/><Relationship Id="rId358" Type="http://schemas.openxmlformats.org/officeDocument/2006/relationships/image" Target="media/image343.png"/><Relationship Id="rId359" Type="http://schemas.openxmlformats.org/officeDocument/2006/relationships/image" Target="media/image344.png"/><Relationship Id="rId360" Type="http://schemas.openxmlformats.org/officeDocument/2006/relationships/image" Target="media/image345.png"/><Relationship Id="rId361" Type="http://schemas.openxmlformats.org/officeDocument/2006/relationships/image" Target="media/image346.png"/><Relationship Id="rId362" Type="http://schemas.openxmlformats.org/officeDocument/2006/relationships/image" Target="media/image347.png"/><Relationship Id="rId363" Type="http://schemas.openxmlformats.org/officeDocument/2006/relationships/image" Target="media/image348.png"/><Relationship Id="rId364" Type="http://schemas.openxmlformats.org/officeDocument/2006/relationships/image" Target="media/image349.png"/><Relationship Id="rId365" Type="http://schemas.openxmlformats.org/officeDocument/2006/relationships/image" Target="media/image350.png"/><Relationship Id="rId366" Type="http://schemas.openxmlformats.org/officeDocument/2006/relationships/image" Target="media/image351.png"/><Relationship Id="rId367" Type="http://schemas.openxmlformats.org/officeDocument/2006/relationships/image" Target="media/image352.png"/><Relationship Id="rId368" Type="http://schemas.openxmlformats.org/officeDocument/2006/relationships/image" Target="media/image353.png"/><Relationship Id="rId369" Type="http://schemas.openxmlformats.org/officeDocument/2006/relationships/image" Target="media/image354.png"/><Relationship Id="rId370" Type="http://schemas.openxmlformats.org/officeDocument/2006/relationships/image" Target="media/image355.png"/><Relationship Id="rId371" Type="http://schemas.openxmlformats.org/officeDocument/2006/relationships/image" Target="media/image356.png"/><Relationship Id="rId372" Type="http://schemas.openxmlformats.org/officeDocument/2006/relationships/image" Target="media/image357.png"/><Relationship Id="rId373" Type="http://schemas.openxmlformats.org/officeDocument/2006/relationships/image" Target="media/image358.png"/><Relationship Id="rId374" Type="http://schemas.openxmlformats.org/officeDocument/2006/relationships/image" Target="media/image359.png"/><Relationship Id="rId375" Type="http://schemas.openxmlformats.org/officeDocument/2006/relationships/image" Target="media/image360.png"/><Relationship Id="rId376" Type="http://schemas.openxmlformats.org/officeDocument/2006/relationships/image" Target="media/image361.png"/><Relationship Id="rId377" Type="http://schemas.openxmlformats.org/officeDocument/2006/relationships/image" Target="media/image362.png"/><Relationship Id="rId378" Type="http://schemas.openxmlformats.org/officeDocument/2006/relationships/image" Target="media/image363.png"/><Relationship Id="rId379" Type="http://schemas.openxmlformats.org/officeDocument/2006/relationships/image" Target="media/image364.png"/><Relationship Id="rId380" Type="http://schemas.openxmlformats.org/officeDocument/2006/relationships/image" Target="media/image365.png"/><Relationship Id="rId381" Type="http://schemas.openxmlformats.org/officeDocument/2006/relationships/image" Target="media/image366.png"/><Relationship Id="rId382" Type="http://schemas.openxmlformats.org/officeDocument/2006/relationships/image" Target="media/image367.png"/><Relationship Id="rId383" Type="http://schemas.openxmlformats.org/officeDocument/2006/relationships/image" Target="media/image368.png"/><Relationship Id="rId384" Type="http://schemas.openxmlformats.org/officeDocument/2006/relationships/image" Target="media/image369.png"/><Relationship Id="rId385" Type="http://schemas.openxmlformats.org/officeDocument/2006/relationships/image" Target="media/image370.png"/><Relationship Id="rId386" Type="http://schemas.openxmlformats.org/officeDocument/2006/relationships/image" Target="media/image371.png"/><Relationship Id="rId387" Type="http://schemas.openxmlformats.org/officeDocument/2006/relationships/image" Target="media/image372.png"/><Relationship Id="rId388" Type="http://schemas.openxmlformats.org/officeDocument/2006/relationships/image" Target="media/image373.png"/><Relationship Id="rId389" Type="http://schemas.openxmlformats.org/officeDocument/2006/relationships/image" Target="media/image374.png"/><Relationship Id="rId390" Type="http://schemas.openxmlformats.org/officeDocument/2006/relationships/image" Target="media/image375.png"/><Relationship Id="rId391" Type="http://schemas.openxmlformats.org/officeDocument/2006/relationships/image" Target="media/image376.png"/><Relationship Id="rId392" Type="http://schemas.openxmlformats.org/officeDocument/2006/relationships/image" Target="media/image377.png"/><Relationship Id="rId393" Type="http://schemas.openxmlformats.org/officeDocument/2006/relationships/image" Target="media/image378.png"/><Relationship Id="rId394" Type="http://schemas.openxmlformats.org/officeDocument/2006/relationships/image" Target="media/image379.png"/><Relationship Id="rId395" Type="http://schemas.openxmlformats.org/officeDocument/2006/relationships/image" Target="media/image380.png"/><Relationship Id="rId396" Type="http://schemas.openxmlformats.org/officeDocument/2006/relationships/image" Target="media/image381.png"/><Relationship Id="rId397" Type="http://schemas.openxmlformats.org/officeDocument/2006/relationships/image" Target="media/image382.png"/><Relationship Id="rId398" Type="http://schemas.openxmlformats.org/officeDocument/2006/relationships/image" Target="media/image383.png"/><Relationship Id="rId399" Type="http://schemas.openxmlformats.org/officeDocument/2006/relationships/image" Target="media/image384.png"/><Relationship Id="rId400" Type="http://schemas.openxmlformats.org/officeDocument/2006/relationships/image" Target="media/image385.png"/><Relationship Id="rId401" Type="http://schemas.openxmlformats.org/officeDocument/2006/relationships/image" Target="media/image386.png"/><Relationship Id="rId402" Type="http://schemas.openxmlformats.org/officeDocument/2006/relationships/image" Target="media/image387.png"/><Relationship Id="rId403" Type="http://schemas.openxmlformats.org/officeDocument/2006/relationships/image" Target="media/image388.png"/><Relationship Id="rId404" Type="http://schemas.openxmlformats.org/officeDocument/2006/relationships/image" Target="media/image389.png"/><Relationship Id="rId405" Type="http://schemas.openxmlformats.org/officeDocument/2006/relationships/image" Target="media/image390.png"/><Relationship Id="rId406" Type="http://schemas.openxmlformats.org/officeDocument/2006/relationships/image" Target="media/image391.png"/><Relationship Id="rId407" Type="http://schemas.openxmlformats.org/officeDocument/2006/relationships/image" Target="media/image392.png"/><Relationship Id="rId408" Type="http://schemas.openxmlformats.org/officeDocument/2006/relationships/image" Target="media/image393.png"/><Relationship Id="rId409" Type="http://schemas.openxmlformats.org/officeDocument/2006/relationships/image" Target="media/image394.png"/><Relationship Id="rId410" Type="http://schemas.openxmlformats.org/officeDocument/2006/relationships/image" Target="media/image395.png"/><Relationship Id="rId411" Type="http://schemas.openxmlformats.org/officeDocument/2006/relationships/image" Target="media/image396.png"/><Relationship Id="rId412" Type="http://schemas.openxmlformats.org/officeDocument/2006/relationships/image" Target="media/image397.png"/><Relationship Id="rId413" Type="http://schemas.openxmlformats.org/officeDocument/2006/relationships/image" Target="media/image398.png"/><Relationship Id="rId414" Type="http://schemas.openxmlformats.org/officeDocument/2006/relationships/image" Target="media/image399.png"/><Relationship Id="rId415" Type="http://schemas.openxmlformats.org/officeDocument/2006/relationships/image" Target="media/image400.png"/><Relationship Id="rId416" Type="http://schemas.openxmlformats.org/officeDocument/2006/relationships/image" Target="media/image401.png"/><Relationship Id="rId417" Type="http://schemas.openxmlformats.org/officeDocument/2006/relationships/image" Target="media/image402.png"/><Relationship Id="rId418" Type="http://schemas.openxmlformats.org/officeDocument/2006/relationships/image" Target="media/image403.png"/><Relationship Id="rId419" Type="http://schemas.openxmlformats.org/officeDocument/2006/relationships/image" Target="media/image404.png"/><Relationship Id="rId420" Type="http://schemas.openxmlformats.org/officeDocument/2006/relationships/image" Target="media/image405.png"/><Relationship Id="rId421" Type="http://schemas.openxmlformats.org/officeDocument/2006/relationships/image" Target="media/image406.png"/><Relationship Id="rId422" Type="http://schemas.openxmlformats.org/officeDocument/2006/relationships/image" Target="media/image407.png"/><Relationship Id="rId423" Type="http://schemas.openxmlformats.org/officeDocument/2006/relationships/image" Target="media/image408.png"/><Relationship Id="rId424" Type="http://schemas.openxmlformats.org/officeDocument/2006/relationships/hyperlink" Target="https://www.asfk-support.ru/jira/browse/SUFD-21571" TargetMode="External"/><Relationship Id="rId425" Type="http://schemas.openxmlformats.org/officeDocument/2006/relationships/hyperlink" Target="https://www.asfk-support.ru/jira/browse/SUFD-22118" TargetMode="External"/><Relationship Id="rId426" Type="http://schemas.openxmlformats.org/officeDocument/2006/relationships/hyperlink" Target="https://www.asfk-support.ru/jira/browse/SUFD-20932" TargetMode="External"/><Relationship Id="rId427" Type="http://schemas.openxmlformats.org/officeDocument/2006/relationships/hyperlink" Target="https://www.asfk-support.ru/jira/browse/SUFD-22392" TargetMode="External"/><Relationship Id="rId428" Type="http://schemas.openxmlformats.org/officeDocument/2006/relationships/hyperlink" Target="http://172.31.3.200/jira/browse/PROD-31662" TargetMode="External"/><Relationship Id="rId429" Type="http://schemas.openxmlformats.org/officeDocument/2006/relationships/hyperlink" Target="http://172.31.3.200/jira/browse/SUFD-22871" TargetMode="External"/><Relationship Id="rId430" Type="http://schemas.openxmlformats.org/officeDocument/2006/relationships/hyperlink" Target="https://www.asfk-support.ru/jira/browse/SUFD-20932" TargetMode="External"/><Relationship Id="rId431" Type="http://schemas.openxmlformats.org/officeDocument/2006/relationships/hyperlink" Target="https://www.asfk-support.ru/jira/browse/SUFD-23015" TargetMode="External"/><Relationship Id="rId432" Type="http://schemas.openxmlformats.org/officeDocument/2006/relationships/hyperlink" Target="https://www.asfk-support.ru/jira/browse/PROD-33153" TargetMode="External"/><Relationship Id="rId433" Type="http://schemas.openxmlformats.org/officeDocument/2006/relationships/hyperlink" Target="https://www.asfk-support.ru/jira/browse/SUFD-23423" TargetMode="External"/><Relationship Id="rId434" Type="http://schemas.openxmlformats.org/officeDocument/2006/relationships/hyperlink" Target="https://www.asfk-support.ru/jira/browse/SUFD-17301" TargetMode="External"/><Relationship Id="rId435" Type="http://schemas.openxmlformats.org/officeDocument/2006/relationships/hyperlink" Target="https://www.asfk-support.ru/jira/browse/SUFD-23469" TargetMode="External"/><Relationship Id="rId436" Type="http://schemas.openxmlformats.org/officeDocument/2006/relationships/hyperlink" Target="https://www.asfk-support.ru/jira/browse/PROD-32973" TargetMode="External"/><Relationship Id="rId437" Type="http://schemas.openxmlformats.org/officeDocument/2006/relationships/hyperlink" Target="https://www.asfk-support.ru/jira/browse/SUFD-23483" TargetMode="External"/><Relationship Id="rId438" Type="http://schemas.openxmlformats.org/officeDocument/2006/relationships/hyperlink" Target="https://www.asfk-support.ru/jira/browse/SUFD-20932" TargetMode="External"/><Relationship Id="rId439" Type="http://schemas.openxmlformats.org/officeDocument/2006/relationships/hyperlink" Target="https://www.asfk-support.ru/jira/browse/SUFD-23560" TargetMode="External"/><Relationship Id="rId440" Type="http://schemas.openxmlformats.org/officeDocument/2006/relationships/hyperlink" Target="https://www.asfk-support.ru/jira/browse/PROD-36580" TargetMode="External"/><Relationship Id="rId441" Type="http://schemas.openxmlformats.org/officeDocument/2006/relationships/hyperlink" Target="https://www.asfk-support.ru/jira/browse/PROD-35426" TargetMode="External"/><Relationship Id="rId442" Type="http://schemas.openxmlformats.org/officeDocument/2006/relationships/hyperlink" Target="https://www.asfk-support.ru/jira/browse/SUFD-23936" TargetMode="External"/><Relationship Id="rId443" Type="http://schemas.openxmlformats.org/officeDocument/2006/relationships/hyperlink" Target="https://www.asfk-support.ru/jira/browse/PROD-34213" TargetMode="External"/><Relationship Id="rId444" Type="http://schemas.openxmlformats.org/officeDocument/2006/relationships/hyperlink" Target="https://www.asfk-support.ru/jira/browse/PROD-32990" TargetMode="External"/><Relationship Id="rId445" Type="http://schemas.openxmlformats.org/officeDocument/2006/relationships/hyperlink" Target="https://www.asfk-support.ru/jira/browse/SUFD-24049" TargetMode="External"/><Relationship Id="rId446" Type="http://schemas.openxmlformats.org/officeDocument/2006/relationships/hyperlink" Target="https://www.asfk-support.ru/jira/browse/SUFD-24048" TargetMode="External"/><Relationship Id="rId447" Type="http://schemas.openxmlformats.org/officeDocument/2006/relationships/hyperlink" Target="http://172.31.3.200/jira/browse/PROD-35875" TargetMode="External"/><Relationship Id="rId448" Type="http://schemas.openxmlformats.org/officeDocument/2006/relationships/hyperlink" Target="http://172.31.3.200/jira/browse/SUFD-24188" TargetMode="External"/><Relationship Id="rId449" Type="http://schemas.openxmlformats.org/officeDocument/2006/relationships/hyperlink" Target="http://172.31.3.200/jira/browse/PROD-36456" TargetMode="External"/><Relationship Id="rId450" Type="http://schemas.openxmlformats.org/officeDocument/2006/relationships/hyperlink" Target="http://172.31.3.200/jira/browse/SUFD-24756" TargetMode="External"/><Relationship Id="rId451" Type="http://schemas.openxmlformats.org/officeDocument/2006/relationships/hyperlink" Target="http://172.31.3.200/jira/browse/PROD-9000" TargetMode="External"/><Relationship Id="rId452" Type="http://schemas.openxmlformats.org/officeDocument/2006/relationships/hyperlink" Target="http://172.31.3.200/jira/browse/SUFD-24766" TargetMode="External"/><Relationship Id="rId453" Type="http://schemas.openxmlformats.org/officeDocument/2006/relationships/hyperlink" Target="http://172.31.3.200/jira/browse/PROD-36763" TargetMode="External"/><Relationship Id="rId454" Type="http://schemas.openxmlformats.org/officeDocument/2006/relationships/hyperlink" Target="http://172.31.3.200/jira/browse/SUFD-25065" TargetMode="External"/><Relationship Id="rId455" Type="http://schemas.openxmlformats.org/officeDocument/2006/relationships/hyperlink" Target="https://www.asfk-support.ru/jira/browse/SUFD-24890" TargetMode="External"/><Relationship Id="rId456" Type="http://schemas.openxmlformats.org/officeDocument/2006/relationships/hyperlink" Target="https://www.asfk-support.ru/jira/browse/SUFD-25307" TargetMode="External"/><Relationship Id="rId457" Type="http://schemas.openxmlformats.org/officeDocument/2006/relationships/hyperlink" Target="https://www.asfk-support.ru/jira/browse/SUFD-16390" TargetMode="External"/><Relationship Id="rId458" Type="http://schemas.openxmlformats.org/officeDocument/2006/relationships/hyperlink" Target="https://www.asfk-support.ru/jira/browse/SUFD-26256" TargetMode="External"/><Relationship Id="rId459" Type="http://schemas.openxmlformats.org/officeDocument/2006/relationships/hyperlink" Target="https://www.asfk-support.ru/jira/browse/PROD-34319" TargetMode="External"/><Relationship Id="rId460" Type="http://schemas.openxmlformats.org/officeDocument/2006/relationships/hyperlink" Target="https://www.asfk-support.ru/jira/browse/SUFD-26270" TargetMode="External"/><Relationship Id="rId461" Type="http://schemas.openxmlformats.org/officeDocument/2006/relationships/hyperlink" Target="https://www.asfk-support.ru/jira/browse/PROD-43474" TargetMode="External"/><Relationship Id="rId462" Type="http://schemas.openxmlformats.org/officeDocument/2006/relationships/hyperlink" Target="https://www.asfk-support.ru/jira/browse/SUFD-26504" TargetMode="External"/><Relationship Id="rId463" Type="http://schemas.openxmlformats.org/officeDocument/2006/relationships/hyperlink" Target="https://172.31.3.200/jira/browse/SUFD-26671" TargetMode="External"/><Relationship Id="rId464" Type="http://schemas.openxmlformats.org/officeDocument/2006/relationships/hyperlink" Target="https://www.asfk-support.ru/jira/browse/SUFD-20901" TargetMode="External"/><Relationship Id="rId465" Type="http://schemas.openxmlformats.org/officeDocument/2006/relationships/hyperlink" Target="https://172.31.3.200/jira/browse/SUFD-26751" TargetMode="External"/><Relationship Id="rId466" Type="http://schemas.openxmlformats.org/officeDocument/2006/relationships/hyperlink" Target="https://172.31.3.200/jira/browse/SUFD-26677" TargetMode="External"/><Relationship Id="rId467" Type="http://schemas.openxmlformats.org/officeDocument/2006/relationships/hyperlink" Target="https://www.asfk-support.ru/jira/browse/SUFD-20901" TargetMode="External"/><Relationship Id="rId468" Type="http://schemas.openxmlformats.org/officeDocument/2006/relationships/hyperlink" Target="https://172.31.3.200/jira/browse/SUFD-26724" TargetMode="External"/><Relationship Id="rId469" Type="http://schemas.openxmlformats.org/officeDocument/2006/relationships/hyperlink" Target="https://www.asfk-support.ru/jira/browse/SUFD-20901" TargetMode="External"/><Relationship Id="rId470" Type="http://schemas.openxmlformats.org/officeDocument/2006/relationships/hyperlink" Target="https://172.31.3.200/jira/browse/SUFD-26745" TargetMode="External"/><Relationship Id="rId471" Type="http://schemas.openxmlformats.org/officeDocument/2006/relationships/hyperlink" Target="https://172.31.3.200/jira/browse/SUFD-26747" TargetMode="External"/><Relationship Id="rId472" Type="http://schemas.openxmlformats.org/officeDocument/2006/relationships/hyperlink" Target="https://www.asfk-support.ru/jira/browse/SUFD-20901" TargetMode="External"/><Relationship Id="rId473" Type="http://schemas.openxmlformats.org/officeDocument/2006/relationships/hyperlink" Target="https://172.31.3.200/jira/browse/SUFD-26717" TargetMode="External"/><Relationship Id="rId474" Type="http://schemas.openxmlformats.org/officeDocument/2006/relationships/hyperlink" Target="http://172.31.3.200/jira/browse/PROD-46703" TargetMode="External"/><Relationship Id="rId475" Type="http://schemas.openxmlformats.org/officeDocument/2006/relationships/hyperlink" Target="http://172.31.3.200/jira/browse/SUFD-27460" TargetMode="External"/><Relationship Id="rId476" Type="http://schemas.openxmlformats.org/officeDocument/2006/relationships/hyperlink" Target="http://172.31.3.200/jira/browse/PROD-49382" TargetMode="External"/><Relationship Id="rId477" Type="http://schemas.openxmlformats.org/officeDocument/2006/relationships/hyperlink" Target="http://172.31.3.200/jira/browse/SUFD-27864"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E182BEF7-A4A7-4165-AA85-8116B0105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R7-Office/6.4.2.34</Application>
  <Company/>
  <DocSecurity>0</DocSecurity>
  <HyperlinksChanged>false</HyperlinksChanged>
  <LinksUpToDate>false</LinksUpToDate>
  <ScaleCrop>false</ScaleCrop>
  <SharedDoc>false</SharedDoc>
  <Template>Template_ASFK_(РП_РА).dot</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cp:lastModifiedBy>УФК по Томской области</cp:lastModifiedBy>
  <cp:revision>206</cp:revision>
  <dcterms:created xsi:type="dcterms:W3CDTF">2019-09-06T18:02:00Z</dcterms:created>
  <dcterms:modified xsi:type="dcterms:W3CDTF">2022-01-17T10:39:13Z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ФО»</vt:lpwstr>
  </property>
  <property fmtid="{D5CDD505-2E9C-101B-9397-08002B2CF9AE}" pid="4" name="DocType">
    <vt:lpwstr>Обучающие материалы</vt:lpwstr>
  </property>
  <property fmtid="{D5CDD505-2E9C-101B-9397-08002B2CF9AE}" pid="5" name="DocCode">
    <vt:lpwstr>54819512.09.01,01.ОМ.003-20.00 2(5)</vt:lpwstr>
  </property>
</Properties>
</file>